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096869" w14:paraId="744EBB8A" w14:textId="77777777" w:rsidTr="00EB4E9C">
        <w:tc>
          <w:tcPr>
            <w:tcW w:w="6522" w:type="dxa"/>
          </w:tcPr>
          <w:p w14:paraId="2DC0A08B" w14:textId="39C3389D" w:rsidR="00DC3802" w:rsidRPr="00096869" w:rsidRDefault="00284360" w:rsidP="00AC2883">
            <w:r w:rsidRPr="00096869">
              <w:drawing>
                <wp:inline distT="0" distB="0" distL="0" distR="0" wp14:anchorId="115FA40C" wp14:editId="1D251F00">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51DBB229" w14:textId="1E8C21C3" w:rsidR="00DC3802" w:rsidRPr="00096869" w:rsidRDefault="00096869" w:rsidP="00AC2883">
            <w:pPr>
              <w:pStyle w:val="Lettrine"/>
            </w:pPr>
            <w:r w:rsidRPr="00096869">
              <w:t>G</w:t>
            </w:r>
          </w:p>
        </w:tc>
      </w:tr>
      <w:tr w:rsidR="00DC3802" w:rsidRPr="00096869" w14:paraId="2E52EA0A" w14:textId="77777777" w:rsidTr="00645CA8">
        <w:trPr>
          <w:trHeight w:val="219"/>
        </w:trPr>
        <w:tc>
          <w:tcPr>
            <w:tcW w:w="6522" w:type="dxa"/>
          </w:tcPr>
          <w:p w14:paraId="0B7D8583" w14:textId="77777777" w:rsidR="00DC3802" w:rsidRPr="00096869" w:rsidRDefault="00DC3802" w:rsidP="00AC2883">
            <w:pPr>
              <w:pStyle w:val="upove"/>
            </w:pPr>
            <w:r w:rsidRPr="00096869">
              <w:t>Internationaler Verband zum Schutz von Pflanzenzüchtungen</w:t>
            </w:r>
          </w:p>
        </w:tc>
        <w:tc>
          <w:tcPr>
            <w:tcW w:w="3117" w:type="dxa"/>
          </w:tcPr>
          <w:p w14:paraId="6977A71D" w14:textId="77777777" w:rsidR="00DC3802" w:rsidRPr="00096869" w:rsidRDefault="00DC3802" w:rsidP="00DA4973"/>
        </w:tc>
      </w:tr>
    </w:tbl>
    <w:p w14:paraId="3DE947B1" w14:textId="77777777" w:rsidR="00DC3802" w:rsidRPr="00096869" w:rsidRDefault="00DC3802" w:rsidP="00DC3802"/>
    <w:p w14:paraId="397024C6" w14:textId="77777777" w:rsidR="00B22ED6" w:rsidRPr="00096869" w:rsidRDefault="00B22ED6" w:rsidP="00B22ED6"/>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B22ED6" w:rsidRPr="00096869" w14:paraId="5431E896" w14:textId="77777777" w:rsidTr="00D7425C">
        <w:tc>
          <w:tcPr>
            <w:tcW w:w="6512" w:type="dxa"/>
          </w:tcPr>
          <w:p w14:paraId="1E3F80BF" w14:textId="77777777" w:rsidR="00B22ED6" w:rsidRPr="00096869" w:rsidRDefault="00B22ED6" w:rsidP="00D7425C">
            <w:pPr>
              <w:pStyle w:val="Sessiontwp"/>
            </w:pPr>
            <w:r w:rsidRPr="00096869">
              <w:t>Technischer Ausschuss</w:t>
            </w:r>
          </w:p>
          <w:p w14:paraId="053AD770" w14:textId="277A50A3" w:rsidR="00B22ED6" w:rsidRPr="00096869" w:rsidRDefault="00CD74E3" w:rsidP="00D7425C">
            <w:pPr>
              <w:pStyle w:val="Sessiontwpplacedate"/>
            </w:pPr>
            <w:r w:rsidRPr="00096869">
              <w:rPr>
                <w:rFonts w:hint="eastAsia"/>
                <w:lang w:eastAsia="ja-JP"/>
              </w:rPr>
              <w:t xml:space="preserve">Einundsechzigste </w:t>
            </w:r>
            <w:r w:rsidR="00B22ED6" w:rsidRPr="00096869">
              <w:t>Tagung</w:t>
            </w:r>
          </w:p>
          <w:p w14:paraId="3D679212" w14:textId="31AD7B14" w:rsidR="00B22ED6" w:rsidRPr="00096869" w:rsidRDefault="00B22ED6" w:rsidP="00D7425C">
            <w:pPr>
              <w:rPr>
                <w:lang w:eastAsia="ja-JP"/>
              </w:rPr>
            </w:pPr>
            <w:r w:rsidRPr="00096869">
              <w:t>Genf,</w:t>
            </w:r>
            <w:r w:rsidR="00CD74E3" w:rsidRPr="00096869">
              <w:rPr>
                <w:rFonts w:hint="eastAsia"/>
                <w:lang w:eastAsia="ja-JP"/>
              </w:rPr>
              <w:t xml:space="preserve"> 20</w:t>
            </w:r>
            <w:r w:rsidRPr="00096869">
              <w:t>. und</w:t>
            </w:r>
            <w:r w:rsidR="00CD74E3" w:rsidRPr="00096869">
              <w:rPr>
                <w:rFonts w:hint="eastAsia"/>
                <w:lang w:eastAsia="ja-JP"/>
              </w:rPr>
              <w:t xml:space="preserve"> 21</w:t>
            </w:r>
            <w:r w:rsidRPr="00096869">
              <w:t>. Oktober</w:t>
            </w:r>
            <w:r w:rsidR="00CD74E3" w:rsidRPr="00096869">
              <w:rPr>
                <w:rFonts w:hint="eastAsia"/>
                <w:lang w:eastAsia="ja-JP"/>
              </w:rPr>
              <w:t xml:space="preserve"> 2025</w:t>
            </w:r>
          </w:p>
          <w:p w14:paraId="495B80B9" w14:textId="77777777" w:rsidR="00B22ED6" w:rsidRPr="00096869" w:rsidRDefault="00B22ED6" w:rsidP="00D7425C"/>
          <w:p w14:paraId="56661E49" w14:textId="77777777" w:rsidR="00B22ED6" w:rsidRPr="00096869" w:rsidRDefault="00B22ED6" w:rsidP="00D7425C">
            <w:pPr>
              <w:pStyle w:val="Sessiontwp"/>
            </w:pPr>
            <w:r w:rsidRPr="00096869">
              <w:t>Verwaltungs- und Rechtsausschuss</w:t>
            </w:r>
          </w:p>
          <w:p w14:paraId="26A4B1A2" w14:textId="5BE06E70" w:rsidR="00B22ED6" w:rsidRPr="00096869" w:rsidRDefault="001D71DF" w:rsidP="00D7425C">
            <w:pPr>
              <w:pStyle w:val="Sessiontwp"/>
              <w:rPr>
                <w:b w:val="0"/>
              </w:rPr>
            </w:pPr>
            <w:r w:rsidRPr="00096869">
              <w:rPr>
                <w:rFonts w:hint="eastAsia"/>
                <w:b w:val="0"/>
                <w:lang w:eastAsia="ja-JP"/>
              </w:rPr>
              <w:t xml:space="preserve">Zweiundachtzigste </w:t>
            </w:r>
            <w:r w:rsidR="00B22ED6" w:rsidRPr="00096869">
              <w:rPr>
                <w:b w:val="0"/>
              </w:rPr>
              <w:t>Tagung</w:t>
            </w:r>
          </w:p>
          <w:p w14:paraId="1EAC1B76" w14:textId="38A93B40" w:rsidR="00B22ED6" w:rsidRPr="00096869" w:rsidRDefault="00B22ED6" w:rsidP="00E20F65">
            <w:pPr>
              <w:pStyle w:val="Sessiontwpplacedate"/>
              <w:rPr>
                <w:lang w:eastAsia="ja-JP"/>
              </w:rPr>
            </w:pPr>
            <w:r w:rsidRPr="00096869">
              <w:t>Genf,</w:t>
            </w:r>
            <w:r w:rsidR="001D71DF" w:rsidRPr="00096869">
              <w:rPr>
                <w:rFonts w:hint="eastAsia"/>
                <w:lang w:eastAsia="ja-JP"/>
              </w:rPr>
              <w:t xml:space="preserve"> 22</w:t>
            </w:r>
            <w:r w:rsidRPr="00096869">
              <w:t>. Oktober</w:t>
            </w:r>
            <w:r w:rsidR="001D71DF" w:rsidRPr="00096869">
              <w:rPr>
                <w:rFonts w:hint="eastAsia"/>
                <w:lang w:eastAsia="ja-JP"/>
              </w:rPr>
              <w:t xml:space="preserve"> 2025</w:t>
            </w:r>
          </w:p>
        </w:tc>
        <w:tc>
          <w:tcPr>
            <w:tcW w:w="3127" w:type="dxa"/>
          </w:tcPr>
          <w:p w14:paraId="4BA62DBF" w14:textId="21B76062" w:rsidR="00B22ED6" w:rsidRPr="00096869" w:rsidRDefault="002A12E1" w:rsidP="00D7425C">
            <w:pPr>
              <w:pStyle w:val="Doccode"/>
              <w:rPr>
                <w:lang w:val="de-DE"/>
              </w:rPr>
            </w:pPr>
            <w:r w:rsidRPr="00096869">
              <w:rPr>
                <w:lang w:val="de-DE"/>
              </w:rPr>
              <w:t>SESSIONS/2025/6</w:t>
            </w:r>
          </w:p>
          <w:p w14:paraId="4135D4D9" w14:textId="77777777" w:rsidR="00B22ED6" w:rsidRPr="00096869" w:rsidRDefault="00B22ED6" w:rsidP="00D7425C">
            <w:pPr>
              <w:pStyle w:val="Docoriginal"/>
            </w:pPr>
            <w:r w:rsidRPr="00096869">
              <w:t xml:space="preserve">Original: </w:t>
            </w:r>
            <w:r w:rsidRPr="00096869">
              <w:rPr>
                <w:b w:val="0"/>
                <w:spacing w:val="0"/>
              </w:rPr>
              <w:t>Englisch</w:t>
            </w:r>
          </w:p>
          <w:p w14:paraId="49336837" w14:textId="09ABEC04" w:rsidR="00B22ED6" w:rsidRPr="00096869" w:rsidRDefault="00B22ED6" w:rsidP="00D7425C">
            <w:pPr>
              <w:pStyle w:val="Docoriginal"/>
              <w:rPr>
                <w:lang w:eastAsia="ja-JP"/>
              </w:rPr>
            </w:pPr>
            <w:r w:rsidRPr="00096869">
              <w:t>Datum:</w:t>
            </w:r>
            <w:r w:rsidRPr="00096869">
              <w:rPr>
                <w:b w:val="0"/>
                <w:spacing w:val="0"/>
              </w:rPr>
              <w:t xml:space="preserve">  </w:t>
            </w:r>
            <w:r w:rsidR="0077577B" w:rsidRPr="00096869">
              <w:rPr>
                <w:b w:val="0"/>
                <w:spacing w:val="0"/>
                <w:lang w:eastAsia="ja-JP"/>
              </w:rPr>
              <w:t>30</w:t>
            </w:r>
            <w:r w:rsidRPr="00096869">
              <w:rPr>
                <w:b w:val="0"/>
                <w:spacing w:val="0"/>
              </w:rPr>
              <w:t>.</w:t>
            </w:r>
            <w:r w:rsidR="00551D2C" w:rsidRPr="00096869">
              <w:rPr>
                <w:b w:val="0"/>
                <w:spacing w:val="0"/>
                <w:lang w:eastAsia="ja-JP"/>
              </w:rPr>
              <w:t xml:space="preserve"> September</w:t>
            </w:r>
            <w:r w:rsidR="00CD74E3" w:rsidRPr="00096869">
              <w:rPr>
                <w:rFonts w:hint="eastAsia"/>
                <w:b w:val="0"/>
                <w:spacing w:val="0"/>
                <w:lang w:eastAsia="ja-JP"/>
              </w:rPr>
              <w:t xml:space="preserve"> 2025</w:t>
            </w:r>
          </w:p>
        </w:tc>
      </w:tr>
    </w:tbl>
    <w:p w14:paraId="19B49DD5" w14:textId="5975D39E" w:rsidR="007B73A9" w:rsidRPr="00096869" w:rsidRDefault="002A12E1" w:rsidP="007B73A9">
      <w:pPr>
        <w:pStyle w:val="Titleofdoc0"/>
      </w:pPr>
      <w:r w:rsidRPr="00096869">
        <w:t>Molekulare Techniken</w:t>
      </w:r>
    </w:p>
    <w:p w14:paraId="4117B7F7" w14:textId="640865FB" w:rsidR="001D736D" w:rsidRPr="00096869" w:rsidRDefault="001D736D" w:rsidP="001D736D">
      <w:pPr>
        <w:pStyle w:val="preparedby1"/>
        <w:jc w:val="left"/>
      </w:pPr>
      <w:r w:rsidRPr="00096869">
        <w:t xml:space="preserve">Vom </w:t>
      </w:r>
      <w:r w:rsidR="002F04B1">
        <w:t>Verbandsb</w:t>
      </w:r>
      <w:r w:rsidRPr="00096869">
        <w:t>üro erstelltes Dokument</w:t>
      </w:r>
    </w:p>
    <w:p w14:paraId="4C568A70" w14:textId="77777777" w:rsidR="00D4696F" w:rsidRPr="006365CE" w:rsidRDefault="00D4696F" w:rsidP="00D4696F">
      <w:pPr>
        <w:pStyle w:val="Disclaimer"/>
        <w:rPr>
          <w:lang w:val="de-DE"/>
        </w:rPr>
      </w:pPr>
      <w:bookmarkStart w:id="0" w:name="_Toc177773938"/>
      <w:bookmarkStart w:id="1" w:name="_Toc84413225"/>
      <w:bookmarkStart w:id="2" w:name="_Toc97892774"/>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0FD86AF0" w14:textId="77777777" w:rsidR="00EF4B00" w:rsidRPr="00096869" w:rsidRDefault="00EF4B00" w:rsidP="00EF4B00">
      <w:pPr>
        <w:keepNext/>
        <w:outlineLvl w:val="0"/>
        <w:rPr>
          <w:caps/>
          <w:snapToGrid w:val="0"/>
          <w:lang w:eastAsia="ja-JP"/>
        </w:rPr>
      </w:pPr>
      <w:r w:rsidRPr="00096869">
        <w:rPr>
          <w:caps/>
          <w:snapToGrid w:val="0"/>
          <w:lang w:eastAsia="ja-JP"/>
        </w:rPr>
        <w:t>Zusammenfassung</w:t>
      </w:r>
      <w:bookmarkEnd w:id="0"/>
    </w:p>
    <w:p w14:paraId="7C8B2385" w14:textId="77777777" w:rsidR="00EF4B00" w:rsidRPr="00096869" w:rsidRDefault="00EF4B00" w:rsidP="00EF4B00">
      <w:pPr>
        <w:rPr>
          <w:lang w:eastAsia="ja-JP"/>
        </w:rPr>
      </w:pPr>
    </w:p>
    <w:p w14:paraId="48B4C3D0" w14:textId="6E4A1250" w:rsidR="00BA2810" w:rsidRPr="00096869" w:rsidRDefault="008B6969" w:rsidP="00EF4B00">
      <w:r w:rsidRPr="00096869">
        <w:fldChar w:fldCharType="begin"/>
      </w:r>
      <w:r w:rsidRPr="00096869">
        <w:instrText xml:space="preserve"> AUTONUM  </w:instrText>
      </w:r>
      <w:r w:rsidRPr="00096869">
        <w:fldChar w:fldCharType="end"/>
      </w:r>
      <w:r w:rsidRPr="00096869">
        <w:tab/>
      </w:r>
      <w:r w:rsidR="00D248B8" w:rsidRPr="00096869">
        <w:t xml:space="preserve">Dieses Dokument enthält Vorschläge für </w:t>
      </w:r>
      <w:r w:rsidR="004D3EE1" w:rsidRPr="00096869">
        <w:t xml:space="preserve">die Ausarbeitung von </w:t>
      </w:r>
      <w:r w:rsidR="00AF7C82" w:rsidRPr="00096869">
        <w:t xml:space="preserve">Leitlinien zu molekularen Markern bei </w:t>
      </w:r>
      <w:r w:rsidR="00940E2B" w:rsidRPr="00096869">
        <w:t xml:space="preserve">der </w:t>
      </w:r>
      <w:r w:rsidR="00E10DA2" w:rsidRPr="00096869">
        <w:t xml:space="preserve">Prüfung der </w:t>
      </w:r>
      <w:r w:rsidR="00940E2B" w:rsidRPr="00096869">
        <w:t xml:space="preserve">Unterscheidbarkeit, Homogenität und Beständigkeit </w:t>
      </w:r>
      <w:r w:rsidR="00E10DA2" w:rsidRPr="00096869">
        <w:t>(</w:t>
      </w:r>
      <w:r w:rsidR="00AF7C82" w:rsidRPr="00096869">
        <w:t>DUS</w:t>
      </w:r>
      <w:r w:rsidR="00E10DA2" w:rsidRPr="00096869">
        <w:t xml:space="preserve">) </w:t>
      </w:r>
      <w:r w:rsidR="00B3260D" w:rsidRPr="00096869">
        <w:t xml:space="preserve">und für die Zusammenarbeit mit </w:t>
      </w:r>
      <w:r w:rsidR="00BA2810" w:rsidRPr="00096869">
        <w:t>internationalen Organisationen</w:t>
      </w:r>
      <w:r w:rsidR="00EE0E99" w:rsidRPr="00096869">
        <w:t xml:space="preserve">, wie folgt:  </w:t>
      </w:r>
    </w:p>
    <w:p w14:paraId="0CD2A987" w14:textId="77777777" w:rsidR="00BA2810" w:rsidRPr="00096869" w:rsidRDefault="00BA2810" w:rsidP="00D16288"/>
    <w:p w14:paraId="30F045A8" w14:textId="4426E97D" w:rsidR="00120291" w:rsidRPr="00096869" w:rsidRDefault="004322FB" w:rsidP="004322FB">
      <w:pPr>
        <w:pStyle w:val="ListParagraph"/>
        <w:numPr>
          <w:ilvl w:val="0"/>
          <w:numId w:val="45"/>
        </w:numPr>
        <w:ind w:left="1134" w:hanging="567"/>
        <w:jc w:val="both"/>
      </w:pPr>
      <w:r w:rsidRPr="00096869">
        <w:t xml:space="preserve">Prüfung </w:t>
      </w:r>
      <w:r w:rsidR="00120291" w:rsidRPr="00096869">
        <w:t xml:space="preserve">eines Entwurfs für Leitlinien zur Validierung </w:t>
      </w:r>
      <w:r w:rsidR="00B4760D" w:rsidRPr="00096869">
        <w:t xml:space="preserve">„merkmalspezifischer” </w:t>
      </w:r>
      <w:r w:rsidR="00120291" w:rsidRPr="00096869">
        <w:t xml:space="preserve">molekularer Marker für die DUS-Prüfung und </w:t>
      </w:r>
      <w:r w:rsidR="00547554" w:rsidRPr="00096869">
        <w:rPr>
          <w:lang w:eastAsia="ja-JP"/>
        </w:rPr>
        <w:t xml:space="preserve">eines Standardmusters </w:t>
      </w:r>
      <w:r w:rsidR="00B948B3" w:rsidRPr="00096869">
        <w:t xml:space="preserve">zur Beschreibung </w:t>
      </w:r>
      <w:r w:rsidR="00130945" w:rsidRPr="00096869">
        <w:t xml:space="preserve">ihrer Verwendung </w:t>
      </w:r>
      <w:r w:rsidR="006E5114" w:rsidRPr="00096869">
        <w:t xml:space="preserve">bei der Bewertung von Merkmalen </w:t>
      </w:r>
      <w:r w:rsidR="00B948B3" w:rsidRPr="00096869">
        <w:rPr>
          <w:lang w:eastAsia="ja-JP"/>
        </w:rPr>
        <w:t xml:space="preserve">in </w:t>
      </w:r>
      <w:r w:rsidR="00B948B3" w:rsidRPr="00096869">
        <w:t xml:space="preserve">den Prüfungsrichtlinien </w:t>
      </w:r>
      <w:r w:rsidR="004D3FA3" w:rsidRPr="00096869">
        <w:t xml:space="preserve">(siehe Anlage </w:t>
      </w:r>
      <w:r w:rsidR="006E5114" w:rsidRPr="00096869">
        <w:t xml:space="preserve">zu </w:t>
      </w:r>
      <w:r w:rsidR="004D3FA3" w:rsidRPr="00096869">
        <w:t>diesem Dokument)</w:t>
      </w:r>
    </w:p>
    <w:p w14:paraId="2C5A1401" w14:textId="77777777" w:rsidR="00D16288" w:rsidRPr="00096869" w:rsidRDefault="00D16288" w:rsidP="004322FB">
      <w:pPr>
        <w:ind w:left="1134" w:hanging="567"/>
      </w:pPr>
    </w:p>
    <w:p w14:paraId="2DFDE956" w14:textId="141DF4FB" w:rsidR="004D3EE1" w:rsidRPr="00096869" w:rsidRDefault="00AB5644" w:rsidP="004322FB">
      <w:pPr>
        <w:pStyle w:val="ListParagraph"/>
        <w:numPr>
          <w:ilvl w:val="0"/>
          <w:numId w:val="45"/>
        </w:numPr>
        <w:ind w:left="1134" w:hanging="567"/>
        <w:jc w:val="both"/>
      </w:pPr>
      <w:r w:rsidRPr="00096869">
        <w:t xml:space="preserve">Aufforderung </w:t>
      </w:r>
      <w:r w:rsidR="00B514DB" w:rsidRPr="00096869">
        <w:t>an Frankreich</w:t>
      </w:r>
      <w:r w:rsidR="00A62C60" w:rsidRPr="00096869">
        <w:t xml:space="preserve">, </w:t>
      </w:r>
      <w:r w:rsidR="008520D3" w:rsidRPr="00096869">
        <w:t xml:space="preserve">die Arbeiten </w:t>
      </w:r>
      <w:r w:rsidR="00A62C60" w:rsidRPr="00096869">
        <w:t xml:space="preserve">der UPOV </w:t>
      </w:r>
      <w:r w:rsidR="008520D3" w:rsidRPr="00096869">
        <w:t xml:space="preserve">zur </w:t>
      </w:r>
      <w:r w:rsidR="00A62C60" w:rsidRPr="00096869">
        <w:t xml:space="preserve">Harmonisierung </w:t>
      </w:r>
      <w:r w:rsidR="00650A61" w:rsidRPr="00096869">
        <w:t xml:space="preserve">der Terminologie </w:t>
      </w:r>
      <w:r w:rsidR="007D762E" w:rsidRPr="00096869">
        <w:t xml:space="preserve">für </w:t>
      </w:r>
      <w:r w:rsidR="00FA5FE2" w:rsidRPr="00096869">
        <w:t xml:space="preserve">molekulare Marker </w:t>
      </w:r>
      <w:r w:rsidR="00B015DA" w:rsidRPr="00096869">
        <w:t xml:space="preserve">mit </w:t>
      </w:r>
      <w:r w:rsidR="00940E2B" w:rsidRPr="00096869">
        <w:t xml:space="preserve">der </w:t>
      </w:r>
      <w:r w:rsidR="0084006D" w:rsidRPr="00096869">
        <w:t>Organisation für wirtschaftliche Zusammenarbeit und Entwicklung (</w:t>
      </w:r>
      <w:r w:rsidR="00940E2B" w:rsidRPr="00096869">
        <w:t>OECD</w:t>
      </w:r>
      <w:r w:rsidR="0084006D" w:rsidRPr="00096869">
        <w:t xml:space="preserve">) und der International Seed Testing Association (ISTA) </w:t>
      </w:r>
      <w:r w:rsidR="00A20C9A" w:rsidRPr="00096869">
        <w:t>zu koordinieren</w:t>
      </w:r>
      <w:r w:rsidR="0084006D" w:rsidRPr="00096869">
        <w:t xml:space="preserve">. </w:t>
      </w:r>
    </w:p>
    <w:p w14:paraId="4F920CEE" w14:textId="77777777" w:rsidR="00D16288" w:rsidRPr="00096869" w:rsidRDefault="00D16288" w:rsidP="004322FB">
      <w:pPr>
        <w:ind w:left="1134" w:hanging="567"/>
      </w:pPr>
    </w:p>
    <w:p w14:paraId="2A605944" w14:textId="7F2313C4" w:rsidR="004D3EE1" w:rsidRPr="00096869" w:rsidRDefault="00D16288" w:rsidP="004322FB">
      <w:pPr>
        <w:pStyle w:val="ListParagraph"/>
        <w:numPr>
          <w:ilvl w:val="0"/>
          <w:numId w:val="45"/>
        </w:numPr>
        <w:ind w:left="1134" w:hanging="567"/>
        <w:jc w:val="both"/>
      </w:pPr>
      <w:r w:rsidRPr="00096869">
        <w:t xml:space="preserve">Befragung </w:t>
      </w:r>
      <w:r w:rsidR="00192639" w:rsidRPr="00096869">
        <w:t xml:space="preserve">der UPOV-Mitglieder </w:t>
      </w:r>
      <w:r w:rsidRPr="00096869">
        <w:t xml:space="preserve">zur </w:t>
      </w:r>
      <w:r w:rsidR="00192639" w:rsidRPr="00096869">
        <w:t xml:space="preserve">Aktualisierung </w:t>
      </w:r>
      <w:r w:rsidR="00FA5FE2" w:rsidRPr="00096869">
        <w:t xml:space="preserve">der Liste der </w:t>
      </w:r>
      <w:r w:rsidR="00B514DB" w:rsidRPr="00096869">
        <w:t xml:space="preserve">für jede </w:t>
      </w:r>
      <w:r w:rsidR="00FA5FE2" w:rsidRPr="00096869">
        <w:t xml:space="preserve">Kultur verwendeten molekularen Marker </w:t>
      </w:r>
    </w:p>
    <w:p w14:paraId="6EA1499C" w14:textId="77777777" w:rsidR="00D16288" w:rsidRPr="00096869" w:rsidRDefault="00D16288" w:rsidP="004322FB">
      <w:pPr>
        <w:ind w:left="1134" w:hanging="567"/>
      </w:pPr>
    </w:p>
    <w:p w14:paraId="2C69F4BB" w14:textId="2D1794FA" w:rsidR="00FA5FE2" w:rsidRPr="00096869" w:rsidRDefault="00D16288" w:rsidP="004322FB">
      <w:pPr>
        <w:pStyle w:val="ListParagraph"/>
        <w:numPr>
          <w:ilvl w:val="0"/>
          <w:numId w:val="45"/>
        </w:numPr>
        <w:ind w:left="1134" w:hanging="567"/>
        <w:jc w:val="both"/>
      </w:pPr>
      <w:r w:rsidRPr="00096869">
        <w:t xml:space="preserve">Zusammenarbeit </w:t>
      </w:r>
      <w:r w:rsidR="00EE5ED7" w:rsidRPr="00096869">
        <w:t xml:space="preserve">mit der OECD und der ISTA zur Entwicklung </w:t>
      </w:r>
      <w:r w:rsidR="00FA5FE2" w:rsidRPr="00096869">
        <w:t>gemeinsamer Sätze molekularer Marker für die Sortenidentifizierung</w:t>
      </w:r>
    </w:p>
    <w:p w14:paraId="04C8E8DD" w14:textId="77777777" w:rsidR="001F1740" w:rsidRPr="00096869" w:rsidRDefault="001F1740" w:rsidP="004322FB">
      <w:pPr>
        <w:pStyle w:val="Heading3"/>
        <w:rPr>
          <w:i w:val="0"/>
          <w:iCs/>
          <w:lang w:val="de-DE"/>
        </w:rPr>
      </w:pPr>
    </w:p>
    <w:p w14:paraId="2D860414" w14:textId="6B065B3A" w:rsidR="00461438" w:rsidRPr="00096869" w:rsidRDefault="00D16288" w:rsidP="00461438">
      <w:r w:rsidRPr="00096869">
        <w:fldChar w:fldCharType="begin"/>
      </w:r>
      <w:r w:rsidRPr="00096869">
        <w:instrText xml:space="preserve"> AUTONUM  </w:instrText>
      </w:r>
      <w:r w:rsidRPr="00096869">
        <w:fldChar w:fldCharType="end"/>
      </w:r>
      <w:r w:rsidRPr="00096869">
        <w:tab/>
      </w:r>
      <w:r w:rsidR="008E4C3D" w:rsidRPr="00096869">
        <w:t xml:space="preserve">In Bezug auf „Vertraulichkeit und Eigentumsrechte an molekularen Informationen” </w:t>
      </w:r>
      <w:r w:rsidR="00A11577" w:rsidRPr="00096869">
        <w:t xml:space="preserve">wird der Technische Ausschuss (TC) gebeten, </w:t>
      </w:r>
      <w:r w:rsidR="008375C0" w:rsidRPr="00096869">
        <w:t xml:space="preserve">die Diskussionen </w:t>
      </w:r>
      <w:r w:rsidR="003816C7" w:rsidRPr="00096869">
        <w:t xml:space="preserve">in den Technischen Arbeitsgruppen (TWPs) im Jahr 2025 </w:t>
      </w:r>
      <w:r w:rsidR="008375C0" w:rsidRPr="00096869">
        <w:t xml:space="preserve">zur Kenntnis zu nehmen und die Organisation </w:t>
      </w:r>
      <w:r w:rsidR="00461438" w:rsidRPr="00096869">
        <w:t xml:space="preserve">künftiger Diskussionen auf der Grundlage konkreter Fälle und spezifischer Situationen </w:t>
      </w:r>
      <w:r w:rsidR="008375C0" w:rsidRPr="00096869">
        <w:t>in Betracht zu ziehen</w:t>
      </w:r>
      <w:r w:rsidR="004E1C5B" w:rsidRPr="00096869">
        <w:t xml:space="preserve">.  </w:t>
      </w:r>
      <w:r w:rsidR="003A429E" w:rsidRPr="00096869">
        <w:t>Der TC wird gebeten, zur Kenntnis zu nehmen</w:t>
      </w:r>
      <w:r w:rsidR="00003913" w:rsidRPr="00096869">
        <w:t>,</w:t>
      </w:r>
      <w:r w:rsidR="003A429E" w:rsidRPr="00096869">
        <w:t xml:space="preserve"> dass </w:t>
      </w:r>
      <w:r w:rsidR="00461438" w:rsidRPr="00096869">
        <w:t xml:space="preserve">die Europäische Union </w:t>
      </w:r>
      <w:r w:rsidR="003A429E" w:rsidRPr="00096869">
        <w:t xml:space="preserve">eine </w:t>
      </w:r>
      <w:r w:rsidR="00461438" w:rsidRPr="00096869">
        <w:t xml:space="preserve">„Richtlinie zum Status von Pflanzenmaterial, das für DUS-Prüfungszwecke eingereicht </w:t>
      </w:r>
      <w:r w:rsidR="00A859F9" w:rsidRPr="00096869">
        <w:t>wird</w:t>
      </w:r>
      <w:r w:rsidR="00461438" w:rsidRPr="00096869">
        <w:t>” vorgelegt hat</w:t>
      </w:r>
      <w:r w:rsidR="00003913" w:rsidRPr="00096869">
        <w:t xml:space="preserve">, die </w:t>
      </w:r>
      <w:hyperlink r:id="rId12" w:history="1">
        <w:r w:rsidR="00003913" w:rsidRPr="00096869">
          <w:rPr>
            <w:rStyle w:val="Hyperlink"/>
          </w:rPr>
          <w:t>online</w:t>
        </w:r>
      </w:hyperlink>
      <w:r w:rsidR="00003913" w:rsidRPr="00096869">
        <w:t xml:space="preserve"> verfügbar ist</w:t>
      </w:r>
      <w:r w:rsidR="00F9202D" w:rsidRPr="00096869">
        <w:t>.</w:t>
      </w:r>
    </w:p>
    <w:p w14:paraId="74446157" w14:textId="77777777" w:rsidR="00461438" w:rsidRPr="00096869" w:rsidRDefault="00461438" w:rsidP="001F1740"/>
    <w:p w14:paraId="7E43C9CE" w14:textId="1604E9D2" w:rsidR="00FA5FE2" w:rsidRPr="00096869" w:rsidRDefault="00F9202D" w:rsidP="001F1740">
      <w:r w:rsidRPr="00096869">
        <w:fldChar w:fldCharType="begin"/>
      </w:r>
      <w:r w:rsidRPr="00096869">
        <w:instrText xml:space="preserve"> AUTONUM  </w:instrText>
      </w:r>
      <w:r w:rsidRPr="00096869">
        <w:fldChar w:fldCharType="end"/>
      </w:r>
      <w:r w:rsidRPr="00096869">
        <w:tab/>
      </w:r>
      <w:r w:rsidR="00245273" w:rsidRPr="00096869">
        <w:t xml:space="preserve">Die </w:t>
      </w:r>
      <w:r w:rsidR="00D16288" w:rsidRPr="00096869">
        <w:t xml:space="preserve">seit den </w:t>
      </w:r>
      <w:r w:rsidR="002D2D96" w:rsidRPr="00096869">
        <w:t>UPOV-Tagungen</w:t>
      </w:r>
      <w:r w:rsidR="00245273" w:rsidRPr="00096869">
        <w:t xml:space="preserve"> 2024 </w:t>
      </w:r>
      <w:r w:rsidR="00FA2B4C" w:rsidRPr="00096869">
        <w:t xml:space="preserve">in </w:t>
      </w:r>
      <w:r w:rsidR="005D1C40" w:rsidRPr="00096869">
        <w:t xml:space="preserve">den Technischen Arbeitsgruppen </w:t>
      </w:r>
      <w:r w:rsidR="00BB3FBC" w:rsidRPr="00096869">
        <w:t xml:space="preserve">geführten </w:t>
      </w:r>
      <w:r w:rsidR="00FA2B4C" w:rsidRPr="00096869">
        <w:t xml:space="preserve">Diskussionen über molekulare Marker </w:t>
      </w:r>
      <w:r w:rsidR="00245273" w:rsidRPr="00096869">
        <w:t xml:space="preserve">werden </w:t>
      </w:r>
      <w:r w:rsidR="005D1C40" w:rsidRPr="00096869">
        <w:t>zu Informationszwecken wiedergegeben</w:t>
      </w:r>
      <w:r w:rsidR="00FA2B4C" w:rsidRPr="00096869">
        <w:t xml:space="preserve">. </w:t>
      </w:r>
    </w:p>
    <w:p w14:paraId="2FABB6BA" w14:textId="77777777" w:rsidR="00DF29B7" w:rsidRPr="00096869" w:rsidRDefault="00DF29B7" w:rsidP="00EF4B00">
      <w:pPr>
        <w:tabs>
          <w:tab w:val="left" w:pos="567"/>
          <w:tab w:val="left" w:pos="1134"/>
          <w:tab w:val="left" w:pos="5387"/>
          <w:tab w:val="left" w:pos="5954"/>
        </w:tabs>
      </w:pPr>
    </w:p>
    <w:p w14:paraId="4C3FC292" w14:textId="77777777" w:rsidR="00EF4B00" w:rsidRPr="00096869" w:rsidRDefault="00EF4B00" w:rsidP="001D3885">
      <w:pPr>
        <w:spacing w:after="120"/>
      </w:pPr>
      <w:r w:rsidRPr="00096869">
        <w:fldChar w:fldCharType="begin"/>
      </w:r>
      <w:r w:rsidRPr="00096869">
        <w:instrText xml:space="preserve"> AUTONUM  </w:instrText>
      </w:r>
      <w:r w:rsidRPr="00096869">
        <w:fldChar w:fldCharType="end"/>
      </w:r>
      <w:r w:rsidRPr="00096869">
        <w:tab/>
        <w:t>In diesem Dokument werden folgende Abkürzungen verwendet:</w:t>
      </w:r>
    </w:p>
    <w:p w14:paraId="37BB5BDF" w14:textId="77777777" w:rsidR="00EF4B00" w:rsidRPr="00096869" w:rsidRDefault="00EF4B00" w:rsidP="00EF4B00">
      <w:pPr>
        <w:keepNext/>
        <w:tabs>
          <w:tab w:val="left" w:pos="567"/>
        </w:tabs>
        <w:ind w:left="1701" w:hanging="1134"/>
        <w:rPr>
          <w:sz w:val="18"/>
        </w:rPr>
      </w:pPr>
      <w:r w:rsidRPr="00096869">
        <w:rPr>
          <w:sz w:val="18"/>
        </w:rPr>
        <w:t xml:space="preserve">CAJ: </w:t>
      </w:r>
      <w:r w:rsidRPr="00096869">
        <w:rPr>
          <w:sz w:val="18"/>
        </w:rPr>
        <w:tab/>
        <w:t xml:space="preserve">Verwaltungs- und Rechtsausschuss  </w:t>
      </w:r>
    </w:p>
    <w:p w14:paraId="29C04252" w14:textId="77777777" w:rsidR="00EF4B00" w:rsidRPr="00096869" w:rsidRDefault="00EF4B00" w:rsidP="00EF4B00">
      <w:pPr>
        <w:ind w:left="1701" w:hanging="1134"/>
        <w:rPr>
          <w:rFonts w:cs="Arial"/>
          <w:snapToGrid w:val="0"/>
          <w:sz w:val="18"/>
          <w:szCs w:val="24"/>
          <w:lang w:eastAsia="ja-JP"/>
        </w:rPr>
      </w:pPr>
      <w:r w:rsidRPr="00096869">
        <w:rPr>
          <w:rFonts w:eastAsia="PMingLiU" w:cs="Arial"/>
          <w:snapToGrid w:val="0"/>
          <w:sz w:val="18"/>
          <w:szCs w:val="24"/>
          <w:lang w:eastAsia="fr-FR"/>
        </w:rPr>
        <w:t xml:space="preserve">ISTA: </w:t>
      </w:r>
      <w:r w:rsidRPr="00096869">
        <w:rPr>
          <w:rFonts w:eastAsia="PMingLiU" w:cs="Arial"/>
          <w:snapToGrid w:val="0"/>
          <w:sz w:val="18"/>
          <w:szCs w:val="24"/>
          <w:lang w:eastAsia="fr-FR"/>
        </w:rPr>
        <w:tab/>
        <w:t>Internationaler Verband für Saatgutprüfung</w:t>
      </w:r>
    </w:p>
    <w:p w14:paraId="4FBD0221" w14:textId="77777777" w:rsidR="00EF4B00" w:rsidRPr="00096869" w:rsidRDefault="00EF4B00" w:rsidP="00EF4B00">
      <w:pPr>
        <w:ind w:left="1701" w:hanging="1134"/>
        <w:rPr>
          <w:rFonts w:eastAsia="PMingLiU" w:cs="Arial"/>
          <w:snapToGrid w:val="0"/>
          <w:sz w:val="18"/>
          <w:szCs w:val="24"/>
        </w:rPr>
      </w:pPr>
      <w:r w:rsidRPr="00096869">
        <w:rPr>
          <w:rFonts w:eastAsia="PMingLiU" w:cs="Arial"/>
          <w:sz w:val="18"/>
          <w:szCs w:val="24"/>
        </w:rPr>
        <w:t>OECD:</w:t>
      </w:r>
      <w:r w:rsidRPr="00096869">
        <w:rPr>
          <w:rFonts w:eastAsia="PMingLiU" w:cs="Arial"/>
          <w:sz w:val="18"/>
          <w:szCs w:val="24"/>
        </w:rPr>
        <w:tab/>
      </w:r>
      <w:r w:rsidRPr="00096869">
        <w:rPr>
          <w:rFonts w:eastAsia="PMingLiU" w:cs="Arial"/>
          <w:snapToGrid w:val="0"/>
          <w:sz w:val="18"/>
          <w:szCs w:val="24"/>
        </w:rPr>
        <w:t>Organisation für wirtschaftliche Zusammenarbeit und Entwicklung</w:t>
      </w:r>
    </w:p>
    <w:p w14:paraId="21078AA0" w14:textId="77777777" w:rsidR="00EF4B00" w:rsidRPr="00096869" w:rsidRDefault="00EF4B00" w:rsidP="00EF4B00">
      <w:pPr>
        <w:keepNext/>
        <w:tabs>
          <w:tab w:val="left" w:pos="567"/>
        </w:tabs>
        <w:ind w:left="1701" w:hanging="1134"/>
        <w:rPr>
          <w:sz w:val="18"/>
        </w:rPr>
      </w:pPr>
      <w:r w:rsidRPr="00096869">
        <w:rPr>
          <w:sz w:val="18"/>
        </w:rPr>
        <w:t>TC:</w:t>
      </w:r>
      <w:r w:rsidRPr="00096869">
        <w:rPr>
          <w:sz w:val="18"/>
        </w:rPr>
        <w:tab/>
        <w:t>Technischer Ausschuss</w:t>
      </w:r>
    </w:p>
    <w:p w14:paraId="395DDF69" w14:textId="77777777" w:rsidR="00EF4B00" w:rsidRPr="00096869" w:rsidRDefault="00EF4B00" w:rsidP="00EF4B00">
      <w:pPr>
        <w:ind w:left="1701" w:hanging="1134"/>
        <w:rPr>
          <w:rFonts w:eastAsia="PMingLiU" w:cs="Arial"/>
          <w:sz w:val="18"/>
          <w:szCs w:val="24"/>
        </w:rPr>
      </w:pPr>
      <w:r w:rsidRPr="00096869">
        <w:rPr>
          <w:rFonts w:eastAsia="PMingLiU" w:cs="Arial"/>
          <w:sz w:val="18"/>
          <w:szCs w:val="24"/>
        </w:rPr>
        <w:t>TWA:</w:t>
      </w:r>
      <w:r w:rsidRPr="00096869">
        <w:rPr>
          <w:rFonts w:eastAsia="PMingLiU" w:cs="Arial"/>
          <w:sz w:val="18"/>
          <w:szCs w:val="24"/>
        </w:rPr>
        <w:tab/>
        <w:t>Technische Arbeitsgruppe für landwirtschaftliche Kulturpflanzen</w:t>
      </w:r>
    </w:p>
    <w:p w14:paraId="61509D54" w14:textId="77777777" w:rsidR="00EF4B00" w:rsidRPr="00096869" w:rsidRDefault="00EF4B00" w:rsidP="00EF4B00">
      <w:pPr>
        <w:ind w:left="1701" w:hanging="1134"/>
        <w:rPr>
          <w:rFonts w:eastAsia="PMingLiU" w:cs="Arial"/>
          <w:sz w:val="18"/>
          <w:szCs w:val="24"/>
        </w:rPr>
      </w:pPr>
      <w:r w:rsidRPr="00096869">
        <w:rPr>
          <w:rFonts w:eastAsia="PMingLiU" w:cs="Arial"/>
          <w:sz w:val="18"/>
          <w:szCs w:val="24"/>
        </w:rPr>
        <w:t>TWF:</w:t>
      </w:r>
      <w:r w:rsidRPr="00096869">
        <w:rPr>
          <w:rFonts w:eastAsia="PMingLiU" w:cs="Arial"/>
          <w:sz w:val="18"/>
          <w:szCs w:val="24"/>
        </w:rPr>
        <w:tab/>
        <w:t>Technische Arbeitsgruppe für Obstkulturen</w:t>
      </w:r>
    </w:p>
    <w:p w14:paraId="6CB085B7" w14:textId="77777777" w:rsidR="00EF4B00" w:rsidRPr="00096869" w:rsidRDefault="00EF4B00" w:rsidP="00EF4B00">
      <w:pPr>
        <w:ind w:left="1701" w:hanging="1134"/>
        <w:rPr>
          <w:rFonts w:eastAsia="PMingLiU" w:cs="Arial"/>
          <w:sz w:val="18"/>
          <w:szCs w:val="24"/>
        </w:rPr>
      </w:pPr>
      <w:r w:rsidRPr="00096869">
        <w:rPr>
          <w:rFonts w:eastAsia="PMingLiU" w:cs="Arial"/>
          <w:sz w:val="18"/>
          <w:szCs w:val="24"/>
        </w:rPr>
        <w:t>TWM:</w:t>
      </w:r>
      <w:r w:rsidRPr="00096869">
        <w:rPr>
          <w:rFonts w:eastAsia="PMingLiU" w:cs="Arial"/>
          <w:sz w:val="18"/>
          <w:szCs w:val="24"/>
        </w:rPr>
        <w:tab/>
        <w:t>Technische Arbeitsgruppe für Prüfverfahren und -techniken</w:t>
      </w:r>
    </w:p>
    <w:p w14:paraId="4B06B464" w14:textId="77777777" w:rsidR="00EF4B00" w:rsidRPr="00096869" w:rsidRDefault="00EF4B00" w:rsidP="00EF4B00">
      <w:pPr>
        <w:ind w:left="1701" w:hanging="1134"/>
        <w:rPr>
          <w:rFonts w:eastAsia="PMingLiU" w:cs="Arial"/>
          <w:sz w:val="18"/>
          <w:szCs w:val="24"/>
        </w:rPr>
      </w:pPr>
      <w:r w:rsidRPr="00096869">
        <w:rPr>
          <w:rFonts w:eastAsia="PMingLiU" w:cs="Arial"/>
          <w:sz w:val="18"/>
          <w:szCs w:val="24"/>
        </w:rPr>
        <w:t>TWO:</w:t>
      </w:r>
      <w:r w:rsidRPr="00096869">
        <w:rPr>
          <w:rFonts w:eastAsia="PMingLiU" w:cs="Arial"/>
          <w:sz w:val="18"/>
          <w:szCs w:val="24"/>
        </w:rPr>
        <w:tab/>
        <w:t>Technische Arbeitsgruppe für Zierpflanzen und Waldbäume</w:t>
      </w:r>
    </w:p>
    <w:p w14:paraId="5B43445B" w14:textId="77777777" w:rsidR="00EF4B00" w:rsidRPr="00096869" w:rsidRDefault="00EF4B00" w:rsidP="00EF4B00">
      <w:pPr>
        <w:ind w:left="1701" w:hanging="1134"/>
        <w:rPr>
          <w:rFonts w:eastAsia="PMingLiU" w:cs="Arial"/>
          <w:sz w:val="18"/>
          <w:szCs w:val="24"/>
        </w:rPr>
      </w:pPr>
      <w:r w:rsidRPr="00096869">
        <w:rPr>
          <w:rFonts w:eastAsia="PMingLiU" w:cs="Arial"/>
          <w:sz w:val="18"/>
          <w:szCs w:val="24"/>
        </w:rPr>
        <w:t>TWPs:</w:t>
      </w:r>
      <w:r w:rsidRPr="00096869">
        <w:rPr>
          <w:rFonts w:eastAsia="PMingLiU" w:cs="Arial"/>
          <w:sz w:val="18"/>
          <w:szCs w:val="24"/>
        </w:rPr>
        <w:tab/>
        <w:t>Technische Arbeitsgruppen</w:t>
      </w:r>
    </w:p>
    <w:p w14:paraId="3A272079" w14:textId="4D394DB6" w:rsidR="00BF7C58" w:rsidRPr="00096869" w:rsidRDefault="00EF4B00" w:rsidP="001D3885">
      <w:pPr>
        <w:ind w:left="1701" w:hanging="1134"/>
      </w:pPr>
      <w:r w:rsidRPr="00096869">
        <w:rPr>
          <w:rFonts w:eastAsia="PMingLiU" w:cs="Arial"/>
          <w:sz w:val="18"/>
          <w:szCs w:val="24"/>
        </w:rPr>
        <w:t>TWV:</w:t>
      </w:r>
      <w:r w:rsidRPr="00096869">
        <w:rPr>
          <w:rFonts w:eastAsia="PMingLiU" w:cs="Arial"/>
          <w:sz w:val="18"/>
          <w:szCs w:val="24"/>
        </w:rPr>
        <w:tab/>
        <w:t>Technische Arbeitsgruppe für Gemüse</w:t>
      </w:r>
      <w:r w:rsidR="00BF7C58" w:rsidRPr="00096869">
        <w:br w:type="page"/>
      </w:r>
    </w:p>
    <w:p w14:paraId="59EA9204" w14:textId="134ADDAE" w:rsidR="00EF4B00" w:rsidRPr="00096869" w:rsidRDefault="00EF4B00" w:rsidP="00943F68">
      <w:pPr>
        <w:keepNext/>
      </w:pPr>
      <w:r w:rsidRPr="00096869">
        <w:lastRenderedPageBreak/>
        <w:fldChar w:fldCharType="begin"/>
      </w:r>
      <w:r w:rsidRPr="00096869">
        <w:instrText xml:space="preserve"> AUTONUM  </w:instrText>
      </w:r>
      <w:r w:rsidRPr="00096869">
        <w:fldChar w:fldCharType="end"/>
      </w:r>
      <w:r w:rsidRPr="00096869">
        <w:tab/>
        <w:t>Dieses Dokument ist wie folgt aufgebaut:</w:t>
      </w:r>
    </w:p>
    <w:p w14:paraId="16F082FD" w14:textId="77777777" w:rsidR="00EF4B00" w:rsidRPr="00096869" w:rsidRDefault="00EF4B00" w:rsidP="00943F68">
      <w:pPr>
        <w:keepNext/>
        <w:rPr>
          <w:rFonts w:cs="Arial"/>
          <w:caps/>
          <w:szCs w:val="18"/>
        </w:rPr>
      </w:pPr>
    </w:p>
    <w:p w14:paraId="7DA47282" w14:textId="1035091C" w:rsidR="00546C17" w:rsidRDefault="00047CF1">
      <w:pPr>
        <w:pStyle w:val="TOC1"/>
        <w:rPr>
          <w:rFonts w:asciiTheme="minorHAnsi" w:hAnsiTheme="minorHAnsi" w:cstheme="minorBidi"/>
          <w:caps w:val="0"/>
          <w:noProof/>
          <w:kern w:val="2"/>
          <w:sz w:val="24"/>
          <w:szCs w:val="24"/>
          <w:lang w:val="en-GB" w:eastAsia="en-GB"/>
          <w14:ligatures w14:val="standardContextual"/>
        </w:rPr>
      </w:pPr>
      <w:r w:rsidRPr="00096869">
        <w:rPr>
          <w:rFonts w:cs="Arial"/>
          <w:bCs/>
          <w:szCs w:val="18"/>
        </w:rPr>
        <w:fldChar w:fldCharType="begin"/>
      </w:r>
      <w:r w:rsidRPr="00096869">
        <w:rPr>
          <w:rFonts w:cs="Arial"/>
          <w:bCs/>
          <w:szCs w:val="18"/>
        </w:rPr>
        <w:instrText xml:space="preserve"> TOC \t "Heading 1,1,Heading 2,2,Heading 3,3" </w:instrText>
      </w:r>
      <w:r w:rsidRPr="00096869">
        <w:rPr>
          <w:rFonts w:cs="Arial"/>
          <w:bCs/>
          <w:szCs w:val="18"/>
        </w:rPr>
        <w:fldChar w:fldCharType="separate"/>
      </w:r>
      <w:r w:rsidR="00546C17" w:rsidRPr="004967B3">
        <w:rPr>
          <w:noProof/>
        </w:rPr>
        <w:t>Leitlinien für die Validierung eines neuen merkmalspezifischen molekularen Markerprotokolls als alternative Methode zur Beobachtung</w:t>
      </w:r>
      <w:r w:rsidR="00546C17">
        <w:rPr>
          <w:noProof/>
        </w:rPr>
        <w:tab/>
      </w:r>
      <w:r w:rsidR="00546C17">
        <w:rPr>
          <w:noProof/>
        </w:rPr>
        <w:fldChar w:fldCharType="begin"/>
      </w:r>
      <w:r w:rsidR="00546C17">
        <w:rPr>
          <w:noProof/>
        </w:rPr>
        <w:instrText xml:space="preserve"> PAGEREF _Toc210667555 \h </w:instrText>
      </w:r>
      <w:r w:rsidR="00546C17">
        <w:rPr>
          <w:noProof/>
        </w:rPr>
      </w:r>
      <w:r w:rsidR="00546C17">
        <w:rPr>
          <w:noProof/>
        </w:rPr>
        <w:fldChar w:fldCharType="separate"/>
      </w:r>
      <w:r w:rsidR="00546C17">
        <w:rPr>
          <w:noProof/>
        </w:rPr>
        <w:t>3</w:t>
      </w:r>
      <w:r w:rsidR="00546C17">
        <w:rPr>
          <w:noProof/>
        </w:rPr>
        <w:fldChar w:fldCharType="end"/>
      </w:r>
    </w:p>
    <w:p w14:paraId="28C9E488" w14:textId="0DC60EFE"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Hintergrund</w:t>
      </w:r>
      <w:r>
        <w:rPr>
          <w:noProof/>
        </w:rPr>
        <w:tab/>
      </w:r>
      <w:r>
        <w:rPr>
          <w:noProof/>
        </w:rPr>
        <w:fldChar w:fldCharType="begin"/>
      </w:r>
      <w:r>
        <w:rPr>
          <w:noProof/>
        </w:rPr>
        <w:instrText xml:space="preserve"> PAGEREF _Toc210667556 \h </w:instrText>
      </w:r>
      <w:r>
        <w:rPr>
          <w:noProof/>
        </w:rPr>
      </w:r>
      <w:r>
        <w:rPr>
          <w:noProof/>
        </w:rPr>
        <w:fldChar w:fldCharType="separate"/>
      </w:r>
      <w:r>
        <w:rPr>
          <w:noProof/>
        </w:rPr>
        <w:t>3</w:t>
      </w:r>
      <w:r>
        <w:rPr>
          <w:noProof/>
        </w:rPr>
        <w:fldChar w:fldCharType="end"/>
      </w:r>
    </w:p>
    <w:p w14:paraId="64510042" w14:textId="01EA5AD6"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lang w:eastAsia="ja-JP"/>
        </w:rPr>
        <w:t>Entwicklungen in den Technischen Arbeitsgruppen auf ihren Tagungen im Jahr 2025</w:t>
      </w:r>
      <w:r>
        <w:rPr>
          <w:noProof/>
        </w:rPr>
        <w:tab/>
      </w:r>
      <w:r>
        <w:rPr>
          <w:noProof/>
        </w:rPr>
        <w:fldChar w:fldCharType="begin"/>
      </w:r>
      <w:r>
        <w:rPr>
          <w:noProof/>
        </w:rPr>
        <w:instrText xml:space="preserve"> PAGEREF _Toc210667557 \h </w:instrText>
      </w:r>
      <w:r>
        <w:rPr>
          <w:noProof/>
        </w:rPr>
      </w:r>
      <w:r>
        <w:rPr>
          <w:noProof/>
        </w:rPr>
        <w:fldChar w:fldCharType="separate"/>
      </w:r>
      <w:r>
        <w:rPr>
          <w:noProof/>
        </w:rPr>
        <w:t>3</w:t>
      </w:r>
      <w:r>
        <w:rPr>
          <w:noProof/>
        </w:rPr>
        <w:fldChar w:fldCharType="end"/>
      </w:r>
    </w:p>
    <w:p w14:paraId="1283CF6D" w14:textId="4D372EED"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eastAsia="ja-JP"/>
        </w:rPr>
        <w:t>Validierung charakteristikspezifischer molekularer Marker für Prüfungsrichtlinien.</w:t>
      </w:r>
      <w:r>
        <w:rPr>
          <w:noProof/>
        </w:rPr>
        <w:tab/>
      </w:r>
      <w:r>
        <w:rPr>
          <w:noProof/>
        </w:rPr>
        <w:fldChar w:fldCharType="begin"/>
      </w:r>
      <w:r>
        <w:rPr>
          <w:noProof/>
        </w:rPr>
        <w:instrText xml:space="preserve"> PAGEREF _Toc210667558 \h </w:instrText>
      </w:r>
      <w:r>
        <w:rPr>
          <w:noProof/>
        </w:rPr>
      </w:r>
      <w:r>
        <w:rPr>
          <w:noProof/>
        </w:rPr>
        <w:fldChar w:fldCharType="separate"/>
      </w:r>
      <w:r>
        <w:rPr>
          <w:noProof/>
        </w:rPr>
        <w:t>3</w:t>
      </w:r>
      <w:r>
        <w:rPr>
          <w:noProof/>
        </w:rPr>
        <w:fldChar w:fldCharType="end"/>
      </w:r>
    </w:p>
    <w:p w14:paraId="65B94E34" w14:textId="5733DAD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Molekulare Marker, die Geschäftsgeheimnisse darstellen</w:t>
      </w:r>
      <w:r>
        <w:rPr>
          <w:noProof/>
        </w:rPr>
        <w:tab/>
      </w:r>
      <w:r>
        <w:rPr>
          <w:noProof/>
        </w:rPr>
        <w:fldChar w:fldCharType="begin"/>
      </w:r>
      <w:r>
        <w:rPr>
          <w:noProof/>
        </w:rPr>
        <w:instrText xml:space="preserve"> PAGEREF _Toc210667559 \h </w:instrText>
      </w:r>
      <w:r>
        <w:rPr>
          <w:noProof/>
        </w:rPr>
      </w:r>
      <w:r>
        <w:rPr>
          <w:noProof/>
        </w:rPr>
        <w:fldChar w:fldCharType="separate"/>
      </w:r>
      <w:r>
        <w:rPr>
          <w:noProof/>
        </w:rPr>
        <w:t>4</w:t>
      </w:r>
      <w:r>
        <w:rPr>
          <w:noProof/>
        </w:rPr>
        <w:fldChar w:fldCharType="end"/>
      </w:r>
    </w:p>
    <w:p w14:paraId="10FA1748" w14:textId="72508B0E"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Standardprotokoll für merkmalspezifische molekulare Marker in den Prüfungsrichtlinien</w:t>
      </w:r>
      <w:r>
        <w:rPr>
          <w:noProof/>
        </w:rPr>
        <w:tab/>
      </w:r>
      <w:r>
        <w:rPr>
          <w:noProof/>
        </w:rPr>
        <w:fldChar w:fldCharType="begin"/>
      </w:r>
      <w:r>
        <w:rPr>
          <w:noProof/>
        </w:rPr>
        <w:instrText xml:space="preserve"> PAGEREF _Toc210667560 \h </w:instrText>
      </w:r>
      <w:r>
        <w:rPr>
          <w:noProof/>
        </w:rPr>
      </w:r>
      <w:r>
        <w:rPr>
          <w:noProof/>
        </w:rPr>
        <w:fldChar w:fldCharType="separate"/>
      </w:r>
      <w:r>
        <w:rPr>
          <w:noProof/>
        </w:rPr>
        <w:t>4</w:t>
      </w:r>
      <w:r>
        <w:rPr>
          <w:noProof/>
        </w:rPr>
        <w:fldChar w:fldCharType="end"/>
      </w:r>
    </w:p>
    <w:p w14:paraId="655BD855" w14:textId="1ABB99E8"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Mit neuen Züchtungstechniken entwickelte Merkmale</w:t>
      </w:r>
      <w:r>
        <w:rPr>
          <w:noProof/>
        </w:rPr>
        <w:tab/>
      </w:r>
      <w:r>
        <w:rPr>
          <w:noProof/>
        </w:rPr>
        <w:fldChar w:fldCharType="begin"/>
      </w:r>
      <w:r>
        <w:rPr>
          <w:noProof/>
        </w:rPr>
        <w:instrText xml:space="preserve"> PAGEREF _Toc210667561 \h </w:instrText>
      </w:r>
      <w:r>
        <w:rPr>
          <w:noProof/>
        </w:rPr>
      </w:r>
      <w:r>
        <w:rPr>
          <w:noProof/>
        </w:rPr>
        <w:fldChar w:fldCharType="separate"/>
      </w:r>
      <w:r>
        <w:rPr>
          <w:noProof/>
        </w:rPr>
        <w:t>4</w:t>
      </w:r>
      <w:r>
        <w:rPr>
          <w:noProof/>
        </w:rPr>
        <w:fldChar w:fldCharType="end"/>
      </w:r>
    </w:p>
    <w:p w14:paraId="0F87110B" w14:textId="2EADB97B"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lang w:eastAsia="ja-JP"/>
        </w:rPr>
        <w:t>Vorschlag</w:t>
      </w:r>
      <w:r>
        <w:rPr>
          <w:noProof/>
        </w:rPr>
        <w:tab/>
      </w:r>
      <w:r>
        <w:rPr>
          <w:noProof/>
        </w:rPr>
        <w:fldChar w:fldCharType="begin"/>
      </w:r>
      <w:r>
        <w:rPr>
          <w:noProof/>
        </w:rPr>
        <w:instrText xml:space="preserve"> PAGEREF _Toc210667562 \h </w:instrText>
      </w:r>
      <w:r>
        <w:rPr>
          <w:noProof/>
        </w:rPr>
      </w:r>
      <w:r>
        <w:rPr>
          <w:noProof/>
        </w:rPr>
        <w:fldChar w:fldCharType="separate"/>
      </w:r>
      <w:r>
        <w:rPr>
          <w:noProof/>
        </w:rPr>
        <w:t>4</w:t>
      </w:r>
      <w:r>
        <w:rPr>
          <w:noProof/>
        </w:rPr>
        <w:fldChar w:fldCharType="end"/>
      </w:r>
    </w:p>
    <w:p w14:paraId="4BA59682" w14:textId="0868B805" w:rsidR="00546C17" w:rsidRDefault="00546C17">
      <w:pPr>
        <w:pStyle w:val="TOC1"/>
        <w:rPr>
          <w:rFonts w:asciiTheme="minorHAnsi" w:hAnsiTheme="minorHAnsi" w:cstheme="minorBidi"/>
          <w:caps w:val="0"/>
          <w:noProof/>
          <w:kern w:val="2"/>
          <w:sz w:val="24"/>
          <w:szCs w:val="24"/>
          <w:lang w:val="en-GB" w:eastAsia="en-GB"/>
          <w14:ligatures w14:val="standardContextual"/>
        </w:rPr>
      </w:pPr>
      <w:r w:rsidRPr="004967B3">
        <w:rPr>
          <w:noProof/>
        </w:rPr>
        <w:t>Vertraulichkeit und Eigentumsrechte an molekularen Informationen</w:t>
      </w:r>
      <w:r>
        <w:rPr>
          <w:noProof/>
        </w:rPr>
        <w:tab/>
      </w:r>
      <w:r>
        <w:rPr>
          <w:noProof/>
        </w:rPr>
        <w:fldChar w:fldCharType="begin"/>
      </w:r>
      <w:r>
        <w:rPr>
          <w:noProof/>
        </w:rPr>
        <w:instrText xml:space="preserve"> PAGEREF _Toc210667563 \h </w:instrText>
      </w:r>
      <w:r>
        <w:rPr>
          <w:noProof/>
        </w:rPr>
      </w:r>
      <w:r>
        <w:rPr>
          <w:noProof/>
        </w:rPr>
        <w:fldChar w:fldCharType="separate"/>
      </w:r>
      <w:r>
        <w:rPr>
          <w:noProof/>
        </w:rPr>
        <w:t>4</w:t>
      </w:r>
      <w:r>
        <w:rPr>
          <w:noProof/>
        </w:rPr>
        <w:fldChar w:fldCharType="end"/>
      </w:r>
    </w:p>
    <w:p w14:paraId="2A8BC5F4" w14:textId="212E61A2"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Hintergrund</w:t>
      </w:r>
      <w:r>
        <w:rPr>
          <w:noProof/>
        </w:rPr>
        <w:tab/>
      </w:r>
      <w:r>
        <w:rPr>
          <w:noProof/>
        </w:rPr>
        <w:fldChar w:fldCharType="begin"/>
      </w:r>
      <w:r>
        <w:rPr>
          <w:noProof/>
        </w:rPr>
        <w:instrText xml:space="preserve"> PAGEREF _Toc210667564 \h </w:instrText>
      </w:r>
      <w:r>
        <w:rPr>
          <w:noProof/>
        </w:rPr>
      </w:r>
      <w:r>
        <w:rPr>
          <w:noProof/>
        </w:rPr>
        <w:fldChar w:fldCharType="separate"/>
      </w:r>
      <w:r>
        <w:rPr>
          <w:noProof/>
        </w:rPr>
        <w:t>4</w:t>
      </w:r>
      <w:r>
        <w:rPr>
          <w:noProof/>
        </w:rPr>
        <w:fldChar w:fldCharType="end"/>
      </w:r>
    </w:p>
    <w:p w14:paraId="4F35FB7B" w14:textId="232C0F54"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Bestehende Leitlinien</w:t>
      </w:r>
      <w:r>
        <w:rPr>
          <w:noProof/>
        </w:rPr>
        <w:tab/>
      </w:r>
      <w:r>
        <w:rPr>
          <w:noProof/>
        </w:rPr>
        <w:fldChar w:fldCharType="begin"/>
      </w:r>
      <w:r>
        <w:rPr>
          <w:noProof/>
        </w:rPr>
        <w:instrText xml:space="preserve"> PAGEREF _Toc210667565 \h </w:instrText>
      </w:r>
      <w:r>
        <w:rPr>
          <w:noProof/>
        </w:rPr>
      </w:r>
      <w:r>
        <w:rPr>
          <w:noProof/>
        </w:rPr>
        <w:fldChar w:fldCharType="separate"/>
      </w:r>
      <w:r>
        <w:rPr>
          <w:noProof/>
        </w:rPr>
        <w:t>5</w:t>
      </w:r>
      <w:r>
        <w:rPr>
          <w:noProof/>
        </w:rPr>
        <w:fldChar w:fldCharType="end"/>
      </w:r>
    </w:p>
    <w:p w14:paraId="64FD6F5A" w14:textId="0F21918E"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lang w:eastAsia="ja-JP"/>
        </w:rPr>
        <w:t>Entwicklungen in den technischen Arbeitsgruppen auf ihren Tagungen im Jahr 2025</w:t>
      </w:r>
      <w:r>
        <w:rPr>
          <w:noProof/>
        </w:rPr>
        <w:tab/>
      </w:r>
      <w:r>
        <w:rPr>
          <w:noProof/>
        </w:rPr>
        <w:fldChar w:fldCharType="begin"/>
      </w:r>
      <w:r>
        <w:rPr>
          <w:noProof/>
        </w:rPr>
        <w:instrText xml:space="preserve"> PAGEREF _Toc210667566 \h </w:instrText>
      </w:r>
      <w:r>
        <w:rPr>
          <w:noProof/>
        </w:rPr>
      </w:r>
      <w:r>
        <w:rPr>
          <w:noProof/>
        </w:rPr>
        <w:fldChar w:fldCharType="separate"/>
      </w:r>
      <w:r>
        <w:rPr>
          <w:noProof/>
        </w:rPr>
        <w:t>5</w:t>
      </w:r>
      <w:r>
        <w:rPr>
          <w:noProof/>
        </w:rPr>
        <w:fldChar w:fldCharType="end"/>
      </w:r>
    </w:p>
    <w:p w14:paraId="69A5CF72" w14:textId="590E8B1F" w:rsidR="00546C17" w:rsidRDefault="00546C17">
      <w:pPr>
        <w:pStyle w:val="TOC1"/>
        <w:rPr>
          <w:rFonts w:asciiTheme="minorHAnsi" w:hAnsiTheme="minorHAnsi" w:cstheme="minorBidi"/>
          <w:caps w:val="0"/>
          <w:noProof/>
          <w:kern w:val="2"/>
          <w:sz w:val="24"/>
          <w:szCs w:val="24"/>
          <w:lang w:val="en-GB" w:eastAsia="en-GB"/>
          <w14:ligatures w14:val="standardContextual"/>
        </w:rPr>
      </w:pPr>
      <w:r w:rsidRPr="004967B3">
        <w:rPr>
          <w:noProof/>
          <w:snapToGrid w:val="0"/>
          <w:lang w:eastAsia="ja-JP"/>
        </w:rPr>
        <w:t>ZUSAMMENARBEIT ZWISCHEN INTERNATIONALEN ORGANISATIONEN</w:t>
      </w:r>
      <w:r>
        <w:rPr>
          <w:noProof/>
        </w:rPr>
        <w:tab/>
      </w:r>
      <w:r>
        <w:rPr>
          <w:noProof/>
        </w:rPr>
        <w:fldChar w:fldCharType="begin"/>
      </w:r>
      <w:r>
        <w:rPr>
          <w:noProof/>
        </w:rPr>
        <w:instrText xml:space="preserve"> PAGEREF _Toc210667567 \h </w:instrText>
      </w:r>
      <w:r>
        <w:rPr>
          <w:noProof/>
        </w:rPr>
      </w:r>
      <w:r>
        <w:rPr>
          <w:noProof/>
        </w:rPr>
        <w:fldChar w:fldCharType="separate"/>
      </w:r>
      <w:r>
        <w:rPr>
          <w:noProof/>
        </w:rPr>
        <w:t>7</w:t>
      </w:r>
      <w:r>
        <w:rPr>
          <w:noProof/>
        </w:rPr>
        <w:fldChar w:fldCharType="end"/>
      </w:r>
    </w:p>
    <w:p w14:paraId="19143D01" w14:textId="6B15D1A9"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Hintergrund</w:t>
      </w:r>
      <w:r>
        <w:rPr>
          <w:noProof/>
        </w:rPr>
        <w:tab/>
      </w:r>
      <w:r>
        <w:rPr>
          <w:noProof/>
        </w:rPr>
        <w:fldChar w:fldCharType="begin"/>
      </w:r>
      <w:r>
        <w:rPr>
          <w:noProof/>
        </w:rPr>
        <w:instrText xml:space="preserve"> PAGEREF _Toc210667568 \h </w:instrText>
      </w:r>
      <w:r>
        <w:rPr>
          <w:noProof/>
        </w:rPr>
      </w:r>
      <w:r>
        <w:rPr>
          <w:noProof/>
        </w:rPr>
        <w:fldChar w:fldCharType="separate"/>
      </w:r>
      <w:r>
        <w:rPr>
          <w:noProof/>
        </w:rPr>
        <w:t>7</w:t>
      </w:r>
      <w:r>
        <w:rPr>
          <w:noProof/>
        </w:rPr>
        <w:fldChar w:fldCharType="end"/>
      </w:r>
    </w:p>
    <w:p w14:paraId="38751B1E" w14:textId="4634C650"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Harmonisierung von Begriffen, Definitionen und Methoden zwischen UPOV, OECD und ISTA</w:t>
      </w:r>
      <w:r>
        <w:rPr>
          <w:noProof/>
        </w:rPr>
        <w:tab/>
      </w:r>
      <w:r>
        <w:rPr>
          <w:noProof/>
        </w:rPr>
        <w:fldChar w:fldCharType="begin"/>
      </w:r>
      <w:r>
        <w:rPr>
          <w:noProof/>
        </w:rPr>
        <w:instrText xml:space="preserve"> PAGEREF _Toc210667569 \h </w:instrText>
      </w:r>
      <w:r>
        <w:rPr>
          <w:noProof/>
        </w:rPr>
      </w:r>
      <w:r>
        <w:rPr>
          <w:noProof/>
        </w:rPr>
        <w:fldChar w:fldCharType="separate"/>
      </w:r>
      <w:r>
        <w:rPr>
          <w:noProof/>
        </w:rPr>
        <w:t>7</w:t>
      </w:r>
      <w:r>
        <w:rPr>
          <w:noProof/>
        </w:rPr>
        <w:fldChar w:fldCharType="end"/>
      </w:r>
    </w:p>
    <w:p w14:paraId="7F9E19DF" w14:textId="726B8587"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snapToGrid w:val="0"/>
        </w:rPr>
        <w:t>Aktualisierung der Liste der pro Kultur verwendeten molekularen Marker</w:t>
      </w:r>
      <w:r>
        <w:rPr>
          <w:noProof/>
        </w:rPr>
        <w:tab/>
      </w:r>
      <w:r>
        <w:rPr>
          <w:noProof/>
        </w:rPr>
        <w:fldChar w:fldCharType="begin"/>
      </w:r>
      <w:r>
        <w:rPr>
          <w:noProof/>
        </w:rPr>
        <w:instrText xml:space="preserve"> PAGEREF _Toc210667570 \h </w:instrText>
      </w:r>
      <w:r>
        <w:rPr>
          <w:noProof/>
        </w:rPr>
      </w:r>
      <w:r>
        <w:rPr>
          <w:noProof/>
        </w:rPr>
        <w:fldChar w:fldCharType="separate"/>
      </w:r>
      <w:r>
        <w:rPr>
          <w:noProof/>
        </w:rPr>
        <w:t>7</w:t>
      </w:r>
      <w:r>
        <w:rPr>
          <w:noProof/>
        </w:rPr>
        <w:fldChar w:fldCharType="end"/>
      </w:r>
    </w:p>
    <w:p w14:paraId="6F538741" w14:textId="553CB904"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Gemeinsame Sätze molekularer Marker für die Sortenidentifizierung</w:t>
      </w:r>
      <w:r>
        <w:rPr>
          <w:noProof/>
        </w:rPr>
        <w:tab/>
      </w:r>
      <w:r>
        <w:rPr>
          <w:noProof/>
        </w:rPr>
        <w:fldChar w:fldCharType="begin"/>
      </w:r>
      <w:r>
        <w:rPr>
          <w:noProof/>
        </w:rPr>
        <w:instrText xml:space="preserve"> PAGEREF _Toc210667571 \h </w:instrText>
      </w:r>
      <w:r>
        <w:rPr>
          <w:noProof/>
        </w:rPr>
      </w:r>
      <w:r>
        <w:rPr>
          <w:noProof/>
        </w:rPr>
        <w:fldChar w:fldCharType="separate"/>
      </w:r>
      <w:r>
        <w:rPr>
          <w:noProof/>
        </w:rPr>
        <w:t>8</w:t>
      </w:r>
      <w:r>
        <w:rPr>
          <w:noProof/>
        </w:rPr>
        <w:fldChar w:fldCharType="end"/>
      </w:r>
    </w:p>
    <w:p w14:paraId="7278C391" w14:textId="36CAB15C"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eastAsia="ja-JP"/>
        </w:rPr>
        <w:t>Horizontale Überwachung</w:t>
      </w:r>
      <w:r>
        <w:rPr>
          <w:noProof/>
        </w:rPr>
        <w:tab/>
      </w:r>
      <w:r>
        <w:rPr>
          <w:noProof/>
        </w:rPr>
        <w:fldChar w:fldCharType="begin"/>
      </w:r>
      <w:r>
        <w:rPr>
          <w:noProof/>
        </w:rPr>
        <w:instrText xml:space="preserve"> PAGEREF _Toc210667572 \h </w:instrText>
      </w:r>
      <w:r>
        <w:rPr>
          <w:noProof/>
        </w:rPr>
      </w:r>
      <w:r>
        <w:rPr>
          <w:noProof/>
        </w:rPr>
        <w:fldChar w:fldCharType="separate"/>
      </w:r>
      <w:r>
        <w:rPr>
          <w:noProof/>
        </w:rPr>
        <w:t>8</w:t>
      </w:r>
      <w:r>
        <w:rPr>
          <w:noProof/>
        </w:rPr>
        <w:fldChar w:fldCharType="end"/>
      </w:r>
    </w:p>
    <w:p w14:paraId="1DF394BA" w14:textId="1D2795C9"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Entwicklungen in der Technischen Arbeitsgruppe für Prüfverfahren und -techniken</w:t>
      </w:r>
      <w:r>
        <w:rPr>
          <w:noProof/>
        </w:rPr>
        <w:tab/>
      </w:r>
      <w:r>
        <w:rPr>
          <w:noProof/>
        </w:rPr>
        <w:fldChar w:fldCharType="begin"/>
      </w:r>
      <w:r>
        <w:rPr>
          <w:noProof/>
        </w:rPr>
        <w:instrText xml:space="preserve"> PAGEREF _Toc210667573 \h </w:instrText>
      </w:r>
      <w:r>
        <w:rPr>
          <w:noProof/>
        </w:rPr>
      </w:r>
      <w:r>
        <w:rPr>
          <w:noProof/>
        </w:rPr>
        <w:fldChar w:fldCharType="separate"/>
      </w:r>
      <w:r>
        <w:rPr>
          <w:noProof/>
        </w:rPr>
        <w:t>8</w:t>
      </w:r>
      <w:r>
        <w:rPr>
          <w:noProof/>
        </w:rPr>
        <w:fldChar w:fldCharType="end"/>
      </w:r>
    </w:p>
    <w:p w14:paraId="249D7193" w14:textId="20E0136B"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Informationen über die Verwendung molekularer Verfahren in den einzelnen Organisationen: mögliche gemeinsame Sitzung</w:t>
      </w:r>
      <w:r>
        <w:rPr>
          <w:noProof/>
        </w:rPr>
        <w:tab/>
      </w:r>
      <w:r>
        <w:rPr>
          <w:noProof/>
        </w:rPr>
        <w:fldChar w:fldCharType="begin"/>
      </w:r>
      <w:r>
        <w:rPr>
          <w:noProof/>
        </w:rPr>
        <w:instrText xml:space="preserve"> PAGEREF _Toc210667574 \h </w:instrText>
      </w:r>
      <w:r>
        <w:rPr>
          <w:noProof/>
        </w:rPr>
      </w:r>
      <w:r>
        <w:rPr>
          <w:noProof/>
        </w:rPr>
        <w:fldChar w:fldCharType="separate"/>
      </w:r>
      <w:r>
        <w:rPr>
          <w:noProof/>
        </w:rPr>
        <w:t>8</w:t>
      </w:r>
      <w:r>
        <w:rPr>
          <w:noProof/>
        </w:rPr>
        <w:fldChar w:fldCharType="end"/>
      </w:r>
    </w:p>
    <w:p w14:paraId="471ACB40" w14:textId="25092C41" w:rsidR="00546C17" w:rsidRDefault="00546C17">
      <w:pPr>
        <w:pStyle w:val="TOC1"/>
        <w:rPr>
          <w:rFonts w:asciiTheme="minorHAnsi" w:hAnsiTheme="minorHAnsi" w:cstheme="minorBidi"/>
          <w:caps w:val="0"/>
          <w:noProof/>
          <w:kern w:val="2"/>
          <w:sz w:val="24"/>
          <w:szCs w:val="24"/>
          <w:lang w:val="en-GB" w:eastAsia="en-GB"/>
          <w14:ligatures w14:val="standardContextual"/>
        </w:rPr>
      </w:pPr>
      <w:r w:rsidRPr="004967B3">
        <w:rPr>
          <w:noProof/>
          <w:snapToGrid w:val="0"/>
          <w:lang w:eastAsia="ja-JP"/>
        </w:rPr>
        <w:t>Zur Information</w:t>
      </w:r>
      <w:r>
        <w:rPr>
          <w:noProof/>
        </w:rPr>
        <w:tab/>
      </w:r>
      <w:r>
        <w:rPr>
          <w:noProof/>
        </w:rPr>
        <w:fldChar w:fldCharType="begin"/>
      </w:r>
      <w:r>
        <w:rPr>
          <w:noProof/>
        </w:rPr>
        <w:instrText xml:space="preserve"> PAGEREF _Toc210667575 \h </w:instrText>
      </w:r>
      <w:r>
        <w:rPr>
          <w:noProof/>
        </w:rPr>
      </w:r>
      <w:r>
        <w:rPr>
          <w:noProof/>
        </w:rPr>
        <w:fldChar w:fldCharType="separate"/>
      </w:r>
      <w:r>
        <w:rPr>
          <w:noProof/>
        </w:rPr>
        <w:t>9</w:t>
      </w:r>
      <w:r>
        <w:rPr>
          <w:noProof/>
        </w:rPr>
        <w:fldChar w:fldCharType="end"/>
      </w:r>
    </w:p>
    <w:p w14:paraId="69F42E97" w14:textId="770B61BD"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Neueste Entwicklungen bei molekularen Techniken und Bioinformatik</w:t>
      </w:r>
      <w:r>
        <w:rPr>
          <w:noProof/>
        </w:rPr>
        <w:tab/>
      </w:r>
      <w:r>
        <w:rPr>
          <w:noProof/>
        </w:rPr>
        <w:fldChar w:fldCharType="begin"/>
      </w:r>
      <w:r>
        <w:rPr>
          <w:noProof/>
        </w:rPr>
        <w:instrText xml:space="preserve"> PAGEREF _Toc210667576 \h </w:instrText>
      </w:r>
      <w:r>
        <w:rPr>
          <w:noProof/>
        </w:rPr>
      </w:r>
      <w:r>
        <w:rPr>
          <w:noProof/>
        </w:rPr>
        <w:fldChar w:fldCharType="separate"/>
      </w:r>
      <w:r>
        <w:rPr>
          <w:noProof/>
        </w:rPr>
        <w:t>9</w:t>
      </w:r>
      <w:r>
        <w:rPr>
          <w:noProof/>
        </w:rPr>
        <w:fldChar w:fldCharType="end"/>
      </w:r>
    </w:p>
    <w:p w14:paraId="57AC369D" w14:textId="55064FC7"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Datenwissenschaftliche Aktivitäten bei Naktuinbouw zur Genotypisierung und Phänotypisierung: ein Update</w:t>
      </w:r>
      <w:r>
        <w:rPr>
          <w:noProof/>
        </w:rPr>
        <w:tab/>
      </w:r>
      <w:r>
        <w:rPr>
          <w:noProof/>
        </w:rPr>
        <w:fldChar w:fldCharType="begin"/>
      </w:r>
      <w:r>
        <w:rPr>
          <w:noProof/>
        </w:rPr>
        <w:instrText xml:space="preserve"> PAGEREF _Toc210667577 \h </w:instrText>
      </w:r>
      <w:r>
        <w:rPr>
          <w:noProof/>
        </w:rPr>
      </w:r>
      <w:r>
        <w:rPr>
          <w:noProof/>
        </w:rPr>
        <w:fldChar w:fldCharType="separate"/>
      </w:r>
      <w:r>
        <w:rPr>
          <w:noProof/>
        </w:rPr>
        <w:t>9</w:t>
      </w:r>
      <w:r>
        <w:rPr>
          <w:noProof/>
        </w:rPr>
        <w:fldChar w:fldCharType="end"/>
      </w:r>
    </w:p>
    <w:p w14:paraId="04B80420" w14:textId="2C52B6A7"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Zusammenarbeit zwischen internationalen Organisationen</w:t>
      </w:r>
      <w:r>
        <w:rPr>
          <w:noProof/>
        </w:rPr>
        <w:tab/>
      </w:r>
      <w:r>
        <w:rPr>
          <w:noProof/>
        </w:rPr>
        <w:fldChar w:fldCharType="begin"/>
      </w:r>
      <w:r>
        <w:rPr>
          <w:noProof/>
        </w:rPr>
        <w:instrText xml:space="preserve"> PAGEREF _Toc210667578 \h </w:instrText>
      </w:r>
      <w:r>
        <w:rPr>
          <w:noProof/>
        </w:rPr>
      </w:r>
      <w:r>
        <w:rPr>
          <w:noProof/>
        </w:rPr>
        <w:fldChar w:fldCharType="separate"/>
      </w:r>
      <w:r>
        <w:rPr>
          <w:noProof/>
        </w:rPr>
        <w:t>9</w:t>
      </w:r>
      <w:r>
        <w:rPr>
          <w:noProof/>
        </w:rPr>
        <w:fldChar w:fldCharType="end"/>
      </w:r>
    </w:p>
    <w:p w14:paraId="2282DFFF" w14:textId="3B07BA37"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ISTA</w:t>
      </w:r>
      <w:r>
        <w:rPr>
          <w:noProof/>
        </w:rPr>
        <w:tab/>
      </w:r>
      <w:r>
        <w:rPr>
          <w:noProof/>
        </w:rPr>
        <w:fldChar w:fldCharType="begin"/>
      </w:r>
      <w:r>
        <w:rPr>
          <w:noProof/>
        </w:rPr>
        <w:instrText xml:space="preserve"> PAGEREF _Toc210667579 \h </w:instrText>
      </w:r>
      <w:r>
        <w:rPr>
          <w:noProof/>
        </w:rPr>
      </w:r>
      <w:r>
        <w:rPr>
          <w:noProof/>
        </w:rPr>
        <w:fldChar w:fldCharType="separate"/>
      </w:r>
      <w:r>
        <w:rPr>
          <w:noProof/>
        </w:rPr>
        <w:t>9</w:t>
      </w:r>
      <w:r>
        <w:rPr>
          <w:noProof/>
        </w:rPr>
        <w:fldChar w:fldCharType="end"/>
      </w:r>
    </w:p>
    <w:p w14:paraId="11D7FF19" w14:textId="649D463D"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OECD</w:t>
      </w:r>
      <w:r>
        <w:rPr>
          <w:noProof/>
        </w:rPr>
        <w:tab/>
      </w:r>
      <w:r>
        <w:rPr>
          <w:noProof/>
        </w:rPr>
        <w:fldChar w:fldCharType="begin"/>
      </w:r>
      <w:r>
        <w:rPr>
          <w:noProof/>
        </w:rPr>
        <w:instrText xml:space="preserve"> PAGEREF _Toc210667580 \h </w:instrText>
      </w:r>
      <w:r>
        <w:rPr>
          <w:noProof/>
        </w:rPr>
      </w:r>
      <w:r>
        <w:rPr>
          <w:noProof/>
        </w:rPr>
        <w:fldChar w:fldCharType="separate"/>
      </w:r>
      <w:r>
        <w:rPr>
          <w:noProof/>
        </w:rPr>
        <w:t>9</w:t>
      </w:r>
      <w:r>
        <w:rPr>
          <w:noProof/>
        </w:rPr>
        <w:fldChar w:fldCharType="end"/>
      </w:r>
    </w:p>
    <w:p w14:paraId="2662242C" w14:textId="0DC53835"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Bericht über die Arbeit an molekularen Verfahren im Zusammenhang mit der DUS-Prüfung</w:t>
      </w:r>
      <w:r>
        <w:rPr>
          <w:noProof/>
        </w:rPr>
        <w:tab/>
      </w:r>
      <w:r>
        <w:rPr>
          <w:noProof/>
        </w:rPr>
        <w:fldChar w:fldCharType="begin"/>
      </w:r>
      <w:r>
        <w:rPr>
          <w:noProof/>
        </w:rPr>
        <w:instrText xml:space="preserve"> PAGEREF _Toc210667581 \h </w:instrText>
      </w:r>
      <w:r>
        <w:rPr>
          <w:noProof/>
        </w:rPr>
      </w:r>
      <w:r>
        <w:rPr>
          <w:noProof/>
        </w:rPr>
        <w:fldChar w:fldCharType="separate"/>
      </w:r>
      <w:r>
        <w:rPr>
          <w:noProof/>
        </w:rPr>
        <w:t>9</w:t>
      </w:r>
      <w:r>
        <w:rPr>
          <w:noProof/>
        </w:rPr>
        <w:fldChar w:fldCharType="end"/>
      </w:r>
    </w:p>
    <w:p w14:paraId="1E126768" w14:textId="351764C3"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Neueste Entwicklungen bei merkmalspezifischen molekularen Markern bei Naktuinbouw: Aufruf zum Wissensaustausch</w:t>
      </w:r>
      <w:r>
        <w:rPr>
          <w:noProof/>
        </w:rPr>
        <w:tab/>
      </w:r>
      <w:r>
        <w:rPr>
          <w:noProof/>
        </w:rPr>
        <w:fldChar w:fldCharType="begin"/>
      </w:r>
      <w:r>
        <w:rPr>
          <w:noProof/>
        </w:rPr>
        <w:instrText xml:space="preserve"> PAGEREF _Toc210667582 \h </w:instrText>
      </w:r>
      <w:r>
        <w:rPr>
          <w:noProof/>
        </w:rPr>
      </w:r>
      <w:r>
        <w:rPr>
          <w:noProof/>
        </w:rPr>
        <w:fldChar w:fldCharType="separate"/>
      </w:r>
      <w:r>
        <w:rPr>
          <w:noProof/>
        </w:rPr>
        <w:t>9</w:t>
      </w:r>
      <w:r>
        <w:rPr>
          <w:noProof/>
        </w:rPr>
        <w:fldChar w:fldCharType="end"/>
      </w:r>
    </w:p>
    <w:p w14:paraId="4315B5D5" w14:textId="470261C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Der Einsatz biomolekularer Verfahren bei der DUS-Prüfung – eine Fallstudie zu Gerste</w:t>
      </w:r>
      <w:r>
        <w:rPr>
          <w:noProof/>
        </w:rPr>
        <w:tab/>
      </w:r>
      <w:r>
        <w:rPr>
          <w:noProof/>
        </w:rPr>
        <w:fldChar w:fldCharType="begin"/>
      </w:r>
      <w:r>
        <w:rPr>
          <w:noProof/>
        </w:rPr>
        <w:instrText xml:space="preserve"> PAGEREF _Toc210667583 \h </w:instrText>
      </w:r>
      <w:r>
        <w:rPr>
          <w:noProof/>
        </w:rPr>
      </w:r>
      <w:r>
        <w:rPr>
          <w:noProof/>
        </w:rPr>
        <w:fldChar w:fldCharType="separate"/>
      </w:r>
      <w:r>
        <w:rPr>
          <w:noProof/>
        </w:rPr>
        <w:t>10</w:t>
      </w:r>
      <w:r>
        <w:rPr>
          <w:noProof/>
        </w:rPr>
        <w:fldChar w:fldCharType="end"/>
      </w:r>
    </w:p>
    <w:p w14:paraId="32ED76EF" w14:textId="100E25AF"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Künstliche Intelligenz und molekulare Marker bei Beerenobst: ein Proof of Concept</w:t>
      </w:r>
      <w:r>
        <w:rPr>
          <w:noProof/>
        </w:rPr>
        <w:tab/>
      </w:r>
      <w:r>
        <w:rPr>
          <w:noProof/>
        </w:rPr>
        <w:fldChar w:fldCharType="begin"/>
      </w:r>
      <w:r>
        <w:rPr>
          <w:noProof/>
        </w:rPr>
        <w:instrText xml:space="preserve"> PAGEREF _Toc210667584 \h </w:instrText>
      </w:r>
      <w:r>
        <w:rPr>
          <w:noProof/>
        </w:rPr>
      </w:r>
      <w:r>
        <w:rPr>
          <w:noProof/>
        </w:rPr>
        <w:fldChar w:fldCharType="separate"/>
      </w:r>
      <w:r>
        <w:rPr>
          <w:noProof/>
        </w:rPr>
        <w:t>10</w:t>
      </w:r>
      <w:r>
        <w:rPr>
          <w:noProof/>
        </w:rPr>
        <w:fldChar w:fldCharType="end"/>
      </w:r>
    </w:p>
    <w:p w14:paraId="5AF87E66" w14:textId="67E3BDD9"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Kann ein besseres Verständnis der genetischen Architektur der DUS-Merkmale von Weizen dazu beitragen, die DUS-Verfahren zu straffen?</w:t>
      </w:r>
      <w:r>
        <w:rPr>
          <w:noProof/>
        </w:rPr>
        <w:tab/>
      </w:r>
      <w:r>
        <w:rPr>
          <w:noProof/>
        </w:rPr>
        <w:fldChar w:fldCharType="begin"/>
      </w:r>
      <w:r>
        <w:rPr>
          <w:noProof/>
        </w:rPr>
        <w:instrText xml:space="preserve"> PAGEREF _Toc210667585 \h </w:instrText>
      </w:r>
      <w:r>
        <w:rPr>
          <w:noProof/>
        </w:rPr>
      </w:r>
      <w:r>
        <w:rPr>
          <w:noProof/>
        </w:rPr>
        <w:fldChar w:fldCharType="separate"/>
      </w:r>
      <w:r>
        <w:rPr>
          <w:noProof/>
        </w:rPr>
        <w:t>10</w:t>
      </w:r>
      <w:r>
        <w:rPr>
          <w:noProof/>
        </w:rPr>
        <w:fldChar w:fldCharType="end"/>
      </w:r>
    </w:p>
    <w:p w14:paraId="0A15E527" w14:textId="71329D85"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Genomische Vorhersage für das Management von Sortenbeständen bei Weizen</w:t>
      </w:r>
      <w:r>
        <w:rPr>
          <w:noProof/>
        </w:rPr>
        <w:tab/>
      </w:r>
      <w:r>
        <w:rPr>
          <w:noProof/>
        </w:rPr>
        <w:fldChar w:fldCharType="begin"/>
      </w:r>
      <w:r>
        <w:rPr>
          <w:noProof/>
        </w:rPr>
        <w:instrText xml:space="preserve"> PAGEREF _Toc210667586 \h </w:instrText>
      </w:r>
      <w:r>
        <w:rPr>
          <w:noProof/>
        </w:rPr>
      </w:r>
      <w:r>
        <w:rPr>
          <w:noProof/>
        </w:rPr>
        <w:fldChar w:fldCharType="separate"/>
      </w:r>
      <w:r>
        <w:rPr>
          <w:noProof/>
        </w:rPr>
        <w:t>10</w:t>
      </w:r>
      <w:r>
        <w:rPr>
          <w:noProof/>
        </w:rPr>
        <w:fldChar w:fldCharType="end"/>
      </w:r>
    </w:p>
    <w:p w14:paraId="0504B155" w14:textId="3981ECF7"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COYD-GP-Kriterium für die verbesserte Unterscheidbarkeit bei fremdbestäubten landwirtschaftlichen Pflanzen</w:t>
      </w:r>
      <w:r>
        <w:rPr>
          <w:noProof/>
        </w:rPr>
        <w:tab/>
      </w:r>
      <w:r>
        <w:rPr>
          <w:noProof/>
        </w:rPr>
        <w:fldChar w:fldCharType="begin"/>
      </w:r>
      <w:r>
        <w:rPr>
          <w:noProof/>
        </w:rPr>
        <w:instrText xml:space="preserve"> PAGEREF _Toc210667587 \h </w:instrText>
      </w:r>
      <w:r>
        <w:rPr>
          <w:noProof/>
        </w:rPr>
      </w:r>
      <w:r>
        <w:rPr>
          <w:noProof/>
        </w:rPr>
        <w:fldChar w:fldCharType="separate"/>
      </w:r>
      <w:r>
        <w:rPr>
          <w:noProof/>
        </w:rPr>
        <w:t>10</w:t>
      </w:r>
      <w:r>
        <w:rPr>
          <w:noProof/>
        </w:rPr>
        <w:fldChar w:fldCharType="end"/>
      </w:r>
    </w:p>
    <w:p w14:paraId="2013CB25" w14:textId="08D66D04"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Forschungs- und Entwicklungsaktivitäten des Gemeinschaftlichen Sortenamtes (CPVO)</w:t>
      </w:r>
      <w:r>
        <w:rPr>
          <w:noProof/>
        </w:rPr>
        <w:tab/>
      </w:r>
      <w:r>
        <w:rPr>
          <w:noProof/>
        </w:rPr>
        <w:fldChar w:fldCharType="begin"/>
      </w:r>
      <w:r>
        <w:rPr>
          <w:noProof/>
        </w:rPr>
        <w:instrText xml:space="preserve"> PAGEREF _Toc210667588 \h </w:instrText>
      </w:r>
      <w:r>
        <w:rPr>
          <w:noProof/>
        </w:rPr>
      </w:r>
      <w:r>
        <w:rPr>
          <w:noProof/>
        </w:rPr>
        <w:fldChar w:fldCharType="separate"/>
      </w:r>
      <w:r>
        <w:rPr>
          <w:noProof/>
        </w:rPr>
        <w:t>11</w:t>
      </w:r>
      <w:r>
        <w:rPr>
          <w:noProof/>
        </w:rPr>
        <w:fldChar w:fldCharType="end"/>
      </w:r>
    </w:p>
    <w:p w14:paraId="326505F0" w14:textId="7C637323"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Methoden zur Analyse molekularer Daten, Verwaltung von Datenbanken und Austausch von Daten und Material</w:t>
      </w:r>
      <w:r>
        <w:rPr>
          <w:noProof/>
        </w:rPr>
        <w:tab/>
      </w:r>
      <w:r>
        <w:rPr>
          <w:noProof/>
        </w:rPr>
        <w:fldChar w:fldCharType="begin"/>
      </w:r>
      <w:r>
        <w:rPr>
          <w:noProof/>
        </w:rPr>
        <w:instrText xml:space="preserve"> PAGEREF _Toc210667589 \h </w:instrText>
      </w:r>
      <w:r>
        <w:rPr>
          <w:noProof/>
        </w:rPr>
      </w:r>
      <w:r>
        <w:rPr>
          <w:noProof/>
        </w:rPr>
        <w:fldChar w:fldCharType="separate"/>
      </w:r>
      <w:r>
        <w:rPr>
          <w:noProof/>
        </w:rPr>
        <w:t>11</w:t>
      </w:r>
      <w:r>
        <w:rPr>
          <w:noProof/>
        </w:rPr>
        <w:fldChar w:fldCharType="end"/>
      </w:r>
    </w:p>
    <w:p w14:paraId="68A18434" w14:textId="0588A229"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Nutzung von Markern für Haplotyp-Tag-Polymorphismen bei Kulturpflanzen zur Identifizierung von Stammbäumen</w:t>
      </w:r>
      <w:r>
        <w:rPr>
          <w:noProof/>
        </w:rPr>
        <w:tab/>
      </w:r>
      <w:r>
        <w:rPr>
          <w:noProof/>
        </w:rPr>
        <w:fldChar w:fldCharType="begin"/>
      </w:r>
      <w:r>
        <w:rPr>
          <w:noProof/>
        </w:rPr>
        <w:instrText xml:space="preserve"> PAGEREF _Toc210667590 \h </w:instrText>
      </w:r>
      <w:r>
        <w:rPr>
          <w:noProof/>
        </w:rPr>
      </w:r>
      <w:r>
        <w:rPr>
          <w:noProof/>
        </w:rPr>
        <w:fldChar w:fldCharType="separate"/>
      </w:r>
      <w:r>
        <w:rPr>
          <w:noProof/>
        </w:rPr>
        <w:t>11</w:t>
      </w:r>
      <w:r>
        <w:rPr>
          <w:noProof/>
        </w:rPr>
        <w:fldChar w:fldCharType="end"/>
      </w:r>
    </w:p>
    <w:p w14:paraId="1759ABB0" w14:textId="5046F65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PAD – ein Algorithmus zur Nachkommen-Vorfahren-Erkennung auf der Grundlage genetischer Profile</w:t>
      </w:r>
      <w:r>
        <w:rPr>
          <w:noProof/>
        </w:rPr>
        <w:tab/>
      </w:r>
      <w:r>
        <w:rPr>
          <w:noProof/>
        </w:rPr>
        <w:fldChar w:fldCharType="begin"/>
      </w:r>
      <w:r>
        <w:rPr>
          <w:noProof/>
        </w:rPr>
        <w:instrText xml:space="preserve"> PAGEREF _Toc210667591 \h </w:instrText>
      </w:r>
      <w:r>
        <w:rPr>
          <w:noProof/>
        </w:rPr>
      </w:r>
      <w:r>
        <w:rPr>
          <w:noProof/>
        </w:rPr>
        <w:fldChar w:fldCharType="separate"/>
      </w:r>
      <w:r>
        <w:rPr>
          <w:noProof/>
        </w:rPr>
        <w:t>11</w:t>
      </w:r>
      <w:r>
        <w:rPr>
          <w:noProof/>
        </w:rPr>
        <w:fldChar w:fldCharType="end"/>
      </w:r>
    </w:p>
    <w:p w14:paraId="661C4EE2" w14:textId="1E27F037"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DurdusTools: Aktueller Stand und Verwendung bei der DUS-Prüfung</w:t>
      </w:r>
      <w:r>
        <w:rPr>
          <w:noProof/>
        </w:rPr>
        <w:tab/>
      </w:r>
      <w:r>
        <w:rPr>
          <w:noProof/>
        </w:rPr>
        <w:fldChar w:fldCharType="begin"/>
      </w:r>
      <w:r>
        <w:rPr>
          <w:noProof/>
        </w:rPr>
        <w:instrText xml:space="preserve"> PAGEREF _Toc210667592 \h </w:instrText>
      </w:r>
      <w:r>
        <w:rPr>
          <w:noProof/>
        </w:rPr>
      </w:r>
      <w:r>
        <w:rPr>
          <w:noProof/>
        </w:rPr>
        <w:fldChar w:fldCharType="separate"/>
      </w:r>
      <w:r>
        <w:rPr>
          <w:noProof/>
        </w:rPr>
        <w:t>11</w:t>
      </w:r>
      <w:r>
        <w:rPr>
          <w:noProof/>
        </w:rPr>
        <w:fldChar w:fldCharType="end"/>
      </w:r>
    </w:p>
    <w:p w14:paraId="670B2D09" w14:textId="472AF5C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Entwicklung von DUS-Phänotypisierungsinstrumenten für und mit Prüfungsämtern: gewonnene Erfahrungen</w:t>
      </w:r>
      <w:r>
        <w:rPr>
          <w:noProof/>
        </w:rPr>
        <w:tab/>
      </w:r>
      <w:r>
        <w:rPr>
          <w:noProof/>
        </w:rPr>
        <w:fldChar w:fldCharType="begin"/>
      </w:r>
      <w:r>
        <w:rPr>
          <w:noProof/>
        </w:rPr>
        <w:instrText xml:space="preserve"> PAGEREF _Toc210667593 \h </w:instrText>
      </w:r>
      <w:r>
        <w:rPr>
          <w:noProof/>
        </w:rPr>
      </w:r>
      <w:r>
        <w:rPr>
          <w:noProof/>
        </w:rPr>
        <w:fldChar w:fldCharType="separate"/>
      </w:r>
      <w:r>
        <w:rPr>
          <w:noProof/>
        </w:rPr>
        <w:t>11</w:t>
      </w:r>
      <w:r>
        <w:rPr>
          <w:noProof/>
        </w:rPr>
        <w:fldChar w:fldCharType="end"/>
      </w:r>
    </w:p>
    <w:p w14:paraId="32CB928E" w14:textId="0E1D9CFD"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Phänotypisierungskonzept zur Stärkung der Sortenschutzkette durch kombinierten Einsatz von IA und KI</w:t>
      </w:r>
      <w:r>
        <w:rPr>
          <w:noProof/>
        </w:rPr>
        <w:tab/>
      </w:r>
      <w:r>
        <w:rPr>
          <w:noProof/>
        </w:rPr>
        <w:fldChar w:fldCharType="begin"/>
      </w:r>
      <w:r>
        <w:rPr>
          <w:noProof/>
        </w:rPr>
        <w:instrText xml:space="preserve"> PAGEREF _Toc210667594 \h </w:instrText>
      </w:r>
      <w:r>
        <w:rPr>
          <w:noProof/>
        </w:rPr>
      </w:r>
      <w:r>
        <w:rPr>
          <w:noProof/>
        </w:rPr>
        <w:fldChar w:fldCharType="separate"/>
      </w:r>
      <w:r>
        <w:rPr>
          <w:noProof/>
        </w:rPr>
        <w:t>12</w:t>
      </w:r>
      <w:r>
        <w:rPr>
          <w:noProof/>
        </w:rPr>
        <w:fldChar w:fldCharType="end"/>
      </w:r>
    </w:p>
    <w:p w14:paraId="46C214B9" w14:textId="582F0A7E"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Verwendung von DNA-Datenbanken bei Naktuinbouw zur Verbesserung der DUS-Arbeit</w:t>
      </w:r>
      <w:r>
        <w:rPr>
          <w:noProof/>
        </w:rPr>
        <w:tab/>
      </w:r>
      <w:r>
        <w:rPr>
          <w:noProof/>
        </w:rPr>
        <w:fldChar w:fldCharType="begin"/>
      </w:r>
      <w:r>
        <w:rPr>
          <w:noProof/>
        </w:rPr>
        <w:instrText xml:space="preserve"> PAGEREF _Toc210667595 \h </w:instrText>
      </w:r>
      <w:r>
        <w:rPr>
          <w:noProof/>
        </w:rPr>
      </w:r>
      <w:r>
        <w:rPr>
          <w:noProof/>
        </w:rPr>
        <w:fldChar w:fldCharType="separate"/>
      </w:r>
      <w:r>
        <w:rPr>
          <w:noProof/>
        </w:rPr>
        <w:t>12</w:t>
      </w:r>
      <w:r>
        <w:rPr>
          <w:noProof/>
        </w:rPr>
        <w:fldChar w:fldCharType="end"/>
      </w:r>
    </w:p>
    <w:p w14:paraId="1EA1CD75" w14:textId="1C5BB81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Gemeinsame molekulare Datenbank</w:t>
      </w:r>
      <w:r>
        <w:rPr>
          <w:noProof/>
        </w:rPr>
        <w:tab/>
      </w:r>
      <w:r>
        <w:rPr>
          <w:noProof/>
        </w:rPr>
        <w:fldChar w:fldCharType="begin"/>
      </w:r>
      <w:r>
        <w:rPr>
          <w:noProof/>
        </w:rPr>
        <w:instrText xml:space="preserve"> PAGEREF _Toc210667596 \h </w:instrText>
      </w:r>
      <w:r>
        <w:rPr>
          <w:noProof/>
        </w:rPr>
      </w:r>
      <w:r>
        <w:rPr>
          <w:noProof/>
        </w:rPr>
        <w:fldChar w:fldCharType="separate"/>
      </w:r>
      <w:r>
        <w:rPr>
          <w:noProof/>
        </w:rPr>
        <w:t>12</w:t>
      </w:r>
      <w:r>
        <w:rPr>
          <w:noProof/>
        </w:rPr>
        <w:fldChar w:fldCharType="end"/>
      </w:r>
    </w:p>
    <w:p w14:paraId="4053C996" w14:textId="782F98F4"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Verwendung molekularer Verfahren bei der Prüfung der wesentlichen Ableitung</w:t>
      </w:r>
      <w:r>
        <w:rPr>
          <w:noProof/>
        </w:rPr>
        <w:tab/>
      </w:r>
      <w:r>
        <w:rPr>
          <w:noProof/>
        </w:rPr>
        <w:fldChar w:fldCharType="begin"/>
      </w:r>
      <w:r>
        <w:rPr>
          <w:noProof/>
        </w:rPr>
        <w:instrText xml:space="preserve"> PAGEREF _Toc210667597 \h </w:instrText>
      </w:r>
      <w:r>
        <w:rPr>
          <w:noProof/>
        </w:rPr>
      </w:r>
      <w:r>
        <w:rPr>
          <w:noProof/>
        </w:rPr>
        <w:fldChar w:fldCharType="separate"/>
      </w:r>
      <w:r>
        <w:rPr>
          <w:noProof/>
        </w:rPr>
        <w:t>12</w:t>
      </w:r>
      <w:r>
        <w:rPr>
          <w:noProof/>
        </w:rPr>
        <w:fldChar w:fldCharType="end"/>
      </w:r>
    </w:p>
    <w:p w14:paraId="69694F4A" w14:textId="4092134D"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Erforschungs en von Identifizierungstechniken auf der Grundlage von SNP-Markern für im Wesentlichen abgeleitete Weizensorten</w:t>
      </w:r>
      <w:r>
        <w:rPr>
          <w:noProof/>
        </w:rPr>
        <w:tab/>
      </w:r>
      <w:r>
        <w:rPr>
          <w:noProof/>
        </w:rPr>
        <w:fldChar w:fldCharType="begin"/>
      </w:r>
      <w:r>
        <w:rPr>
          <w:noProof/>
        </w:rPr>
        <w:instrText xml:space="preserve"> PAGEREF _Toc210667598 \h </w:instrText>
      </w:r>
      <w:r>
        <w:rPr>
          <w:noProof/>
        </w:rPr>
      </w:r>
      <w:r>
        <w:rPr>
          <w:noProof/>
        </w:rPr>
        <w:fldChar w:fldCharType="separate"/>
      </w:r>
      <w:r>
        <w:rPr>
          <w:noProof/>
        </w:rPr>
        <w:t>12</w:t>
      </w:r>
      <w:r>
        <w:rPr>
          <w:noProof/>
        </w:rPr>
        <w:fldChar w:fldCharType="end"/>
      </w:r>
    </w:p>
    <w:p w14:paraId="0813B4E2" w14:textId="49F3396A"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Entwicklung eines Schwellenwerts für im Wesentlichen abgeleitete Sorten (EDV) bei Sojabohnen</w:t>
      </w:r>
      <w:r>
        <w:rPr>
          <w:noProof/>
        </w:rPr>
        <w:tab/>
      </w:r>
      <w:r>
        <w:rPr>
          <w:noProof/>
        </w:rPr>
        <w:fldChar w:fldCharType="begin"/>
      </w:r>
      <w:r>
        <w:rPr>
          <w:noProof/>
        </w:rPr>
        <w:instrText xml:space="preserve"> PAGEREF _Toc210667599 \h </w:instrText>
      </w:r>
      <w:r>
        <w:rPr>
          <w:noProof/>
        </w:rPr>
      </w:r>
      <w:r>
        <w:rPr>
          <w:noProof/>
        </w:rPr>
        <w:fldChar w:fldCharType="separate"/>
      </w:r>
      <w:r>
        <w:rPr>
          <w:noProof/>
        </w:rPr>
        <w:t>13</w:t>
      </w:r>
      <w:r>
        <w:rPr>
          <w:noProof/>
        </w:rPr>
        <w:fldChar w:fldCharType="end"/>
      </w:r>
    </w:p>
    <w:p w14:paraId="770F0443" w14:textId="61624AC9" w:rsidR="00546C17" w:rsidRDefault="00546C17">
      <w:pPr>
        <w:pStyle w:val="TOC2"/>
        <w:rPr>
          <w:rFonts w:asciiTheme="minorHAnsi" w:hAnsiTheme="minorHAnsi" w:cstheme="minorBidi"/>
          <w:noProof/>
          <w:kern w:val="2"/>
          <w:sz w:val="24"/>
          <w:szCs w:val="24"/>
          <w:lang w:val="en-GB" w:eastAsia="en-GB"/>
          <w14:ligatures w14:val="standardContextual"/>
        </w:rPr>
      </w:pPr>
      <w:r w:rsidRPr="004967B3">
        <w:rPr>
          <w:noProof/>
        </w:rPr>
        <w:t>Einsatz molekularer Techniken zur Durchsetzung</w:t>
      </w:r>
      <w:r>
        <w:rPr>
          <w:noProof/>
        </w:rPr>
        <w:tab/>
      </w:r>
      <w:r>
        <w:rPr>
          <w:noProof/>
        </w:rPr>
        <w:fldChar w:fldCharType="begin"/>
      </w:r>
      <w:r>
        <w:rPr>
          <w:noProof/>
        </w:rPr>
        <w:instrText xml:space="preserve"> PAGEREF _Toc210667600 \h </w:instrText>
      </w:r>
      <w:r>
        <w:rPr>
          <w:noProof/>
        </w:rPr>
      </w:r>
      <w:r>
        <w:rPr>
          <w:noProof/>
        </w:rPr>
        <w:fldChar w:fldCharType="separate"/>
      </w:r>
      <w:r>
        <w:rPr>
          <w:noProof/>
        </w:rPr>
        <w:t>13</w:t>
      </w:r>
      <w:r>
        <w:rPr>
          <w:noProof/>
        </w:rPr>
        <w:fldChar w:fldCharType="end"/>
      </w:r>
    </w:p>
    <w:p w14:paraId="16236718" w14:textId="1A4ABA5C"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Einsatz von DNA-Techniken zur Durchsetzung von Sortenschutzrechten (PBR) in Peru</w:t>
      </w:r>
      <w:r>
        <w:rPr>
          <w:noProof/>
        </w:rPr>
        <w:tab/>
      </w:r>
      <w:r>
        <w:rPr>
          <w:noProof/>
        </w:rPr>
        <w:fldChar w:fldCharType="begin"/>
      </w:r>
      <w:r>
        <w:rPr>
          <w:noProof/>
        </w:rPr>
        <w:instrText xml:space="preserve"> PAGEREF _Toc210667601 \h </w:instrText>
      </w:r>
      <w:r>
        <w:rPr>
          <w:noProof/>
        </w:rPr>
      </w:r>
      <w:r>
        <w:rPr>
          <w:noProof/>
        </w:rPr>
        <w:fldChar w:fldCharType="separate"/>
      </w:r>
      <w:r>
        <w:rPr>
          <w:noProof/>
        </w:rPr>
        <w:t>13</w:t>
      </w:r>
      <w:r>
        <w:rPr>
          <w:noProof/>
        </w:rPr>
        <w:fldChar w:fldCharType="end"/>
      </w:r>
    </w:p>
    <w:p w14:paraId="6736B4CB" w14:textId="7A64E601" w:rsidR="00546C17" w:rsidRDefault="00546C17">
      <w:pPr>
        <w:pStyle w:val="TOC3"/>
        <w:rPr>
          <w:rFonts w:asciiTheme="minorHAnsi" w:hAnsiTheme="minorHAnsi" w:cstheme="minorBidi"/>
          <w:i w:val="0"/>
          <w:noProof/>
          <w:kern w:val="2"/>
          <w:sz w:val="24"/>
          <w:szCs w:val="24"/>
          <w:lang w:val="en-GB" w:eastAsia="en-GB"/>
          <w14:ligatures w14:val="standardContextual"/>
        </w:rPr>
      </w:pPr>
      <w:r w:rsidRPr="004967B3">
        <w:rPr>
          <w:noProof/>
          <w:lang w:val="de-DE"/>
        </w:rPr>
        <w:t>Verwendung molekularer Marker als Instrument zur Durchsetzung des Sortenschutzrechts (PBR) für Sojabohnen in Uruguay</w:t>
      </w:r>
      <w:r>
        <w:rPr>
          <w:noProof/>
        </w:rPr>
        <w:tab/>
      </w:r>
      <w:r>
        <w:rPr>
          <w:noProof/>
        </w:rPr>
        <w:fldChar w:fldCharType="begin"/>
      </w:r>
      <w:r>
        <w:rPr>
          <w:noProof/>
        </w:rPr>
        <w:instrText xml:space="preserve"> PAGEREF _Toc210667602 \h </w:instrText>
      </w:r>
      <w:r>
        <w:rPr>
          <w:noProof/>
        </w:rPr>
      </w:r>
      <w:r>
        <w:rPr>
          <w:noProof/>
        </w:rPr>
        <w:fldChar w:fldCharType="separate"/>
      </w:r>
      <w:r>
        <w:rPr>
          <w:noProof/>
        </w:rPr>
        <w:t>13</w:t>
      </w:r>
      <w:r>
        <w:rPr>
          <w:noProof/>
        </w:rPr>
        <w:fldChar w:fldCharType="end"/>
      </w:r>
    </w:p>
    <w:p w14:paraId="05761C05" w14:textId="38C2CEFA" w:rsidR="00342001" w:rsidRPr="00096869" w:rsidRDefault="00047CF1" w:rsidP="008A52E0">
      <w:pPr>
        <w:keepNext/>
        <w:tabs>
          <w:tab w:val="center" w:pos="4479"/>
        </w:tabs>
        <w:spacing w:before="120"/>
        <w:ind w:left="851" w:right="851" w:hanging="851"/>
        <w:contextualSpacing/>
        <w:rPr>
          <w:sz w:val="18"/>
          <w:szCs w:val="18"/>
        </w:rPr>
      </w:pPr>
      <w:r w:rsidRPr="00096869">
        <w:rPr>
          <w:rFonts w:cs="Arial"/>
          <w:bCs/>
          <w:sz w:val="18"/>
          <w:szCs w:val="18"/>
        </w:rPr>
        <w:fldChar w:fldCharType="end"/>
      </w:r>
      <w:r w:rsidR="00595FE4">
        <w:rPr>
          <w:rFonts w:cs="Arial"/>
          <w:bCs/>
          <w:caps/>
          <w:sz w:val="18"/>
          <w:szCs w:val="18"/>
        </w:rPr>
        <w:t>ANLAGE</w:t>
      </w:r>
      <w:r w:rsidR="00F509D3" w:rsidRPr="00096869">
        <w:rPr>
          <w:rFonts w:cs="Arial"/>
          <w:bCs/>
          <w:caps/>
          <w:sz w:val="18"/>
          <w:szCs w:val="18"/>
        </w:rPr>
        <w:t>:</w:t>
      </w:r>
      <w:r w:rsidR="008A52E0" w:rsidRPr="00096869">
        <w:rPr>
          <w:rFonts w:cs="Arial"/>
          <w:bCs/>
          <w:caps/>
          <w:sz w:val="18"/>
          <w:szCs w:val="18"/>
        </w:rPr>
        <w:tab/>
      </w:r>
      <w:r w:rsidR="00F509D3" w:rsidRPr="00096869">
        <w:rPr>
          <w:sz w:val="18"/>
          <w:szCs w:val="18"/>
        </w:rPr>
        <w:t xml:space="preserve">Leitlinien für die Validierung eines neuen protokolls für merkmalspezifische molekulare Marker für </w:t>
      </w:r>
      <w:r w:rsidR="00F1282A" w:rsidRPr="00096869">
        <w:rPr>
          <w:sz w:val="18"/>
          <w:szCs w:val="18"/>
        </w:rPr>
        <w:t xml:space="preserve">die DUS-Prüfung </w:t>
      </w:r>
      <w:r w:rsidR="00F509D3" w:rsidRPr="00096869">
        <w:rPr>
          <w:sz w:val="18"/>
          <w:szCs w:val="18"/>
        </w:rPr>
        <w:t>als alternative Methode für die Beobachtung</w:t>
      </w:r>
    </w:p>
    <w:p w14:paraId="43AC56C6" w14:textId="77777777" w:rsidR="008A52E0" w:rsidRPr="00096869" w:rsidRDefault="008A52E0" w:rsidP="00342001">
      <w:pPr>
        <w:jc w:val="left"/>
      </w:pPr>
    </w:p>
    <w:p w14:paraId="7A7FC83A" w14:textId="7733668F" w:rsidR="00342001" w:rsidRPr="00096869" w:rsidRDefault="00342001" w:rsidP="00642CEF">
      <w:pPr>
        <w:pStyle w:val="Heading1"/>
        <w:rPr>
          <w:lang w:val="de-DE"/>
        </w:rPr>
      </w:pPr>
      <w:bookmarkStart w:id="3" w:name="_Toc177773940"/>
      <w:bookmarkStart w:id="4" w:name="_Toc210667555"/>
      <w:r w:rsidRPr="00096869">
        <w:rPr>
          <w:lang w:val="de-DE"/>
        </w:rPr>
        <w:lastRenderedPageBreak/>
        <w:t>Leitlinien für die Validierung eines neuen merkmalspezifischen molekularen Markerprotokolls als alternative Methode zur Beobachtung</w:t>
      </w:r>
      <w:bookmarkEnd w:id="3"/>
      <w:bookmarkEnd w:id="4"/>
    </w:p>
    <w:p w14:paraId="555C066E" w14:textId="77777777" w:rsidR="007B317A" w:rsidRPr="00096869" w:rsidRDefault="007B317A" w:rsidP="00642CEF">
      <w:pPr>
        <w:keepNext/>
      </w:pPr>
    </w:p>
    <w:p w14:paraId="7475F605" w14:textId="77777777" w:rsidR="00FE21AF" w:rsidRPr="00096869" w:rsidRDefault="00FE21AF" w:rsidP="00642CEF">
      <w:pPr>
        <w:pStyle w:val="Heading2"/>
        <w:rPr>
          <w:lang w:val="de-DE"/>
        </w:rPr>
      </w:pPr>
      <w:bookmarkStart w:id="5" w:name="_Toc210667556"/>
      <w:r w:rsidRPr="00096869">
        <w:rPr>
          <w:lang w:val="de-DE"/>
        </w:rPr>
        <w:t>Hintergrund</w:t>
      </w:r>
      <w:bookmarkEnd w:id="5"/>
    </w:p>
    <w:p w14:paraId="46E2F720" w14:textId="77777777" w:rsidR="00FE39FA" w:rsidRPr="00096869" w:rsidRDefault="00FE39FA" w:rsidP="00642CEF">
      <w:pPr>
        <w:keepNext/>
      </w:pPr>
    </w:p>
    <w:p w14:paraId="3208FD3E" w14:textId="0D7EFBF6" w:rsidR="001576C8" w:rsidRPr="00096869" w:rsidRDefault="001576C8" w:rsidP="00BF7C58">
      <w:r w:rsidRPr="00096869">
        <w:fldChar w:fldCharType="begin"/>
      </w:r>
      <w:r w:rsidRPr="00096869">
        <w:instrText xml:space="preserve"> AUTONUM  </w:instrText>
      </w:r>
      <w:r w:rsidRPr="00096869">
        <w:fldChar w:fldCharType="end"/>
      </w:r>
      <w:r w:rsidRPr="00096869">
        <w:tab/>
      </w:r>
      <w:r w:rsidR="00472ACC" w:rsidRPr="00096869">
        <w:rPr>
          <w:rFonts w:hint="eastAsia"/>
          <w:lang w:eastAsia="ja-JP"/>
        </w:rPr>
        <w:t xml:space="preserve">Der </w:t>
      </w:r>
      <w:r w:rsidRPr="00096869">
        <w:t>TC</w:t>
      </w:r>
      <w:r w:rsidRPr="00096869">
        <w:rPr>
          <w:rStyle w:val="FootnoteReference"/>
          <w:lang w:eastAsia="ja-JP"/>
        </w:rPr>
        <w:footnoteReference w:id="2"/>
      </w:r>
      <w:r w:rsidRPr="00096869">
        <w:t xml:space="preserve"> </w:t>
      </w:r>
      <w:r w:rsidR="00472ACC" w:rsidRPr="00096869">
        <w:t xml:space="preserve">vereinbarte </w:t>
      </w:r>
      <w:r w:rsidRPr="00096869">
        <w:t xml:space="preserve">auf seiner </w:t>
      </w:r>
      <w:r w:rsidR="00C3565D" w:rsidRPr="00096869">
        <w:rPr>
          <w:lang w:eastAsia="ja-JP"/>
        </w:rPr>
        <w:t xml:space="preserve">sechzigsten </w:t>
      </w:r>
      <w:r w:rsidRPr="00096869">
        <w:t xml:space="preserve">Tagung, </w:t>
      </w:r>
      <w:r w:rsidR="00472ACC" w:rsidRPr="00096869">
        <w:t>die TWP zu ersuchen, auf ihren Tagungen im Jahr</w:t>
      </w:r>
      <w:r w:rsidR="009C3D5D">
        <w:t> </w:t>
      </w:r>
      <w:r w:rsidR="00472ACC" w:rsidRPr="00096869">
        <w:t>2025 den Vorschlag für Richtlinien für die Validierung eines neuen merkmalspezifischen molekularen Markerprotokolls für die DUS-Prüfung zu prüfen</w:t>
      </w:r>
      <w:r w:rsidRPr="00096869">
        <w:t>.</w:t>
      </w:r>
    </w:p>
    <w:p w14:paraId="0261E89D" w14:textId="77777777" w:rsidR="00EF443F" w:rsidRPr="00096869" w:rsidRDefault="00EF443F" w:rsidP="00FE39FA"/>
    <w:p w14:paraId="3CEBB30B" w14:textId="77777777" w:rsidR="00221BB8" w:rsidRPr="00096869" w:rsidRDefault="00221BB8" w:rsidP="00FE39FA"/>
    <w:p w14:paraId="11917B86" w14:textId="25F16930" w:rsidR="00FE39FA" w:rsidRPr="00096869" w:rsidRDefault="00FE39FA" w:rsidP="001B3715">
      <w:pPr>
        <w:pStyle w:val="Heading2"/>
        <w:rPr>
          <w:lang w:val="de-DE" w:eastAsia="ja-JP"/>
        </w:rPr>
      </w:pPr>
      <w:bookmarkStart w:id="6" w:name="_Toc210667557"/>
      <w:r w:rsidRPr="00096869">
        <w:rPr>
          <w:lang w:val="de-DE" w:eastAsia="ja-JP"/>
        </w:rPr>
        <w:t>Entwicklungen in den Technischen Arbeitsgruppen auf ihren Tagungen im Jahr</w:t>
      </w:r>
      <w:r w:rsidRPr="00096869">
        <w:rPr>
          <w:rFonts w:hint="eastAsia"/>
          <w:lang w:val="de-DE" w:eastAsia="ja-JP"/>
        </w:rPr>
        <w:t xml:space="preserve"> 2025</w:t>
      </w:r>
      <w:bookmarkEnd w:id="6"/>
    </w:p>
    <w:p w14:paraId="133152E8" w14:textId="77777777" w:rsidR="00342001" w:rsidRPr="00096869" w:rsidRDefault="00342001" w:rsidP="001B3715">
      <w:pPr>
        <w:keepNext/>
      </w:pPr>
    </w:p>
    <w:p w14:paraId="0B8747CF" w14:textId="58AB9284" w:rsidR="00D14C85" w:rsidRPr="00096869" w:rsidRDefault="00A655A8" w:rsidP="00221BB8">
      <w:pPr>
        <w:rPr>
          <w:lang w:eastAsia="ja-JP"/>
        </w:rPr>
      </w:pPr>
      <w:r w:rsidRPr="00096869">
        <w:fldChar w:fldCharType="begin"/>
      </w:r>
      <w:r w:rsidRPr="00096869">
        <w:instrText xml:space="preserve"> AUTONUM  </w:instrText>
      </w:r>
      <w:r w:rsidRPr="00096869">
        <w:fldChar w:fldCharType="end"/>
      </w:r>
      <w:r w:rsidRPr="00096869">
        <w:tab/>
      </w:r>
      <w:r w:rsidR="00700E80" w:rsidRPr="00096869">
        <w:t>Auf ihren Tagungen im Jahr</w:t>
      </w:r>
      <w:r w:rsidR="00700E80" w:rsidRPr="00096869">
        <w:rPr>
          <w:rFonts w:hint="eastAsia"/>
          <w:lang w:eastAsia="ja-JP"/>
        </w:rPr>
        <w:t xml:space="preserve"> 2025 </w:t>
      </w:r>
      <w:r w:rsidR="00921B4E" w:rsidRPr="00096869">
        <w:t xml:space="preserve">prüften </w:t>
      </w:r>
      <w:r w:rsidR="00951044" w:rsidRPr="00096869">
        <w:rPr>
          <w:rFonts w:hint="eastAsia"/>
          <w:lang w:eastAsia="ja-JP"/>
        </w:rPr>
        <w:t>die TWO</w:t>
      </w:r>
      <w:r w:rsidR="00951044" w:rsidRPr="00096869">
        <w:rPr>
          <w:rStyle w:val="FootnoteReference"/>
          <w:lang w:eastAsia="ja-JP"/>
        </w:rPr>
        <w:footnoteReference w:id="3"/>
      </w:r>
      <w:r w:rsidR="00B377BF">
        <w:t>,</w:t>
      </w:r>
      <w:r w:rsidR="00700E80" w:rsidRPr="00096869">
        <w:t xml:space="preserve"> </w:t>
      </w:r>
      <w:r w:rsidR="007E36E5" w:rsidRPr="00096869">
        <w:rPr>
          <w:rFonts w:hint="eastAsia"/>
          <w:lang w:eastAsia="ja-JP"/>
        </w:rPr>
        <w:t>die TWM</w:t>
      </w:r>
      <w:r w:rsidR="007E36E5" w:rsidRPr="00096869">
        <w:rPr>
          <w:rStyle w:val="FootnoteReference"/>
        </w:rPr>
        <w:footnoteReference w:id="4"/>
      </w:r>
      <w:r w:rsidR="00B377BF">
        <w:rPr>
          <w:rFonts w:hint="eastAsia"/>
          <w:lang w:eastAsia="ja-JP"/>
        </w:rPr>
        <w:t>,</w:t>
      </w:r>
      <w:r w:rsidR="005751C4" w:rsidRPr="00096869">
        <w:rPr>
          <w:rFonts w:hint="eastAsia"/>
          <w:lang w:eastAsia="ja-JP"/>
        </w:rPr>
        <w:t xml:space="preserve"> </w:t>
      </w:r>
      <w:r w:rsidR="00E95E7F" w:rsidRPr="00096869">
        <w:rPr>
          <w:rFonts w:hint="eastAsia"/>
          <w:lang w:eastAsia="ja-JP"/>
        </w:rPr>
        <w:t>die TWV</w:t>
      </w:r>
      <w:r w:rsidR="00E95E7F" w:rsidRPr="00096869">
        <w:rPr>
          <w:rStyle w:val="FootnoteReference"/>
        </w:rPr>
        <w:footnoteReference w:id="5"/>
      </w:r>
      <w:r w:rsidR="00B377BF">
        <w:t>,</w:t>
      </w:r>
      <w:r w:rsidR="005751C4" w:rsidRPr="00096869">
        <w:t xml:space="preserve"> </w:t>
      </w:r>
      <w:r w:rsidR="00E95E7F" w:rsidRPr="00096869">
        <w:rPr>
          <w:rFonts w:hint="eastAsia"/>
          <w:lang w:eastAsia="ja-JP"/>
        </w:rPr>
        <w:t>die TWA</w:t>
      </w:r>
      <w:r w:rsidR="00E95E7F" w:rsidRPr="00096869">
        <w:rPr>
          <w:rStyle w:val="FootnoteReference"/>
        </w:rPr>
        <w:footnoteReference w:id="6"/>
      </w:r>
      <w:r w:rsidR="00700E80" w:rsidRPr="00096869">
        <w:t xml:space="preserve"> und </w:t>
      </w:r>
      <w:r w:rsidR="006E2D2D" w:rsidRPr="00096869">
        <w:rPr>
          <w:lang w:eastAsia="ja-JP"/>
        </w:rPr>
        <w:t>die TWF</w:t>
      </w:r>
      <w:r w:rsidR="006E2D2D" w:rsidRPr="00096869">
        <w:rPr>
          <w:rStyle w:val="FootnoteReference"/>
        </w:rPr>
        <w:footnoteReference w:id="7"/>
      </w:r>
      <w:r w:rsidR="00921B4E" w:rsidRPr="00096869">
        <w:t xml:space="preserve"> das Dokument TWP/9/4 und die vorgeschlagenen Leitlinien für die Validierung von Bewertungsmethoden für merkmalspezifische molekulare Marker für die DUS-Prüfung, die von </w:t>
      </w:r>
      <w:r w:rsidR="00287F52" w:rsidRPr="00096869">
        <w:t xml:space="preserve">Sachverständigen </w:t>
      </w:r>
      <w:r w:rsidR="00921B4E" w:rsidRPr="00096869">
        <w:t xml:space="preserve">aus den Niederlanden (Königreich </w:t>
      </w:r>
      <w:r w:rsidR="006C7330" w:rsidRPr="00096869">
        <w:t>der</w:t>
      </w:r>
      <w:r w:rsidR="00921B4E" w:rsidRPr="00096869">
        <w:t>) vorgelegt worden waren.</w:t>
      </w:r>
    </w:p>
    <w:p w14:paraId="3BE7E50F" w14:textId="77777777" w:rsidR="00F1282A" w:rsidRPr="00096869" w:rsidRDefault="00F1282A" w:rsidP="00921B4E">
      <w:pPr>
        <w:rPr>
          <w:lang w:eastAsia="ja-JP"/>
        </w:rPr>
      </w:pPr>
    </w:p>
    <w:p w14:paraId="2AE65456" w14:textId="024F235C" w:rsidR="009D0402" w:rsidRPr="00096869" w:rsidRDefault="00544205" w:rsidP="00882559">
      <w:pPr>
        <w:pStyle w:val="Heading3"/>
        <w:rPr>
          <w:lang w:val="de-DE" w:eastAsia="ja-JP"/>
        </w:rPr>
      </w:pPr>
      <w:bookmarkStart w:id="7" w:name="_Toc210667558"/>
      <w:r w:rsidRPr="00096869">
        <w:rPr>
          <w:lang w:val="de-DE" w:eastAsia="ja-JP"/>
        </w:rPr>
        <w:t xml:space="preserve">Validierung </w:t>
      </w:r>
      <w:r w:rsidR="009A070B" w:rsidRPr="00096869">
        <w:rPr>
          <w:lang w:val="de-DE" w:eastAsia="ja-JP"/>
        </w:rPr>
        <w:t xml:space="preserve">charakteristikspezifischer molekularer Marker </w:t>
      </w:r>
      <w:r w:rsidR="00AD3753" w:rsidRPr="00096869">
        <w:rPr>
          <w:lang w:val="de-DE" w:eastAsia="ja-JP"/>
        </w:rPr>
        <w:t xml:space="preserve">für </w:t>
      </w:r>
      <w:r w:rsidR="009D0402" w:rsidRPr="00096869">
        <w:rPr>
          <w:lang w:val="de-DE" w:eastAsia="ja-JP"/>
        </w:rPr>
        <w:t>Prüfungsrichtlinien.</w:t>
      </w:r>
      <w:bookmarkEnd w:id="7"/>
    </w:p>
    <w:p w14:paraId="3CC7C9CA" w14:textId="77777777" w:rsidR="0080077B" w:rsidRPr="00096869" w:rsidRDefault="0080077B" w:rsidP="00921B4E">
      <w:pPr>
        <w:rPr>
          <w:lang w:eastAsia="ja-JP"/>
        </w:rPr>
      </w:pPr>
    </w:p>
    <w:p w14:paraId="72161E2A" w14:textId="78AE86B9" w:rsidR="00A655A8" w:rsidRPr="00096869" w:rsidRDefault="00D14C85" w:rsidP="00921B4E">
      <w:r w:rsidRPr="00096869">
        <w:fldChar w:fldCharType="begin"/>
      </w:r>
      <w:r w:rsidRPr="00096869">
        <w:instrText xml:space="preserve"> AUTONUM  </w:instrText>
      </w:r>
      <w:r w:rsidRPr="00096869">
        <w:fldChar w:fldCharType="end"/>
      </w:r>
      <w:r w:rsidRPr="00096869">
        <w:tab/>
      </w:r>
      <w:r w:rsidR="00FD1193">
        <w:t>Die TW</w:t>
      </w:r>
      <w:r w:rsidR="00921B4E" w:rsidRPr="00096869">
        <w:t>O stellte fest, dass die vorgeschlagenen Richtlinien zur Validierung molekularer Marker angewendet werden sollen, die als alternative Methoden für die Bewertung einzelner Merkmale in Prüfungsrichtlinien vorgeschlagen wurden.</w:t>
      </w:r>
    </w:p>
    <w:p w14:paraId="1FAC3620" w14:textId="77777777" w:rsidR="00AC2EA1" w:rsidRPr="00096869" w:rsidRDefault="00AC2EA1" w:rsidP="00AC2EA1"/>
    <w:p w14:paraId="2CA5238C" w14:textId="77777777" w:rsidR="00AC2EA1" w:rsidRPr="00096869" w:rsidRDefault="00AC2EA1" w:rsidP="00AC2EA1">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 xml:space="preserve">Die </w:t>
      </w:r>
      <w:r w:rsidRPr="00096869">
        <w:rPr>
          <w:rFonts w:hint="eastAsia"/>
          <w:lang w:eastAsia="ja-JP"/>
        </w:rPr>
        <w:t xml:space="preserve">TWM </w:t>
      </w:r>
      <w:r w:rsidRPr="00096869">
        <w:t>stellte fest, dass das vorgeschlagene Verfahren ein mögliches Verfahren zur Validierung molekularer Marker darstelle, und kam überein, dass molekulare Marker durch ihre Veröffentlichung in Fachzeitschriften mit Peer-Review validiert werden könnten.</w:t>
      </w:r>
    </w:p>
    <w:p w14:paraId="5DEAD99C" w14:textId="77777777" w:rsidR="00675087" w:rsidRPr="00096869" w:rsidRDefault="00675087" w:rsidP="00675087">
      <w:pPr>
        <w:pStyle w:val="ListParagraph"/>
        <w:ind w:left="0"/>
        <w:jc w:val="both"/>
        <w:rPr>
          <w:rFonts w:eastAsiaTheme="minorEastAsia"/>
          <w:lang w:eastAsia="ja-JP"/>
        </w:rPr>
      </w:pPr>
    </w:p>
    <w:p w14:paraId="15AB1835" w14:textId="77B39851" w:rsidR="00675087" w:rsidRPr="00096869" w:rsidRDefault="00675087" w:rsidP="00675087">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r>
      <w:r w:rsidR="00FD1193">
        <w:rPr>
          <w:rFonts w:eastAsiaTheme="minorEastAsia"/>
          <w:lang w:eastAsia="ja-JP"/>
        </w:rPr>
        <w:t>Die TW</w:t>
      </w:r>
      <w:r w:rsidRPr="00096869">
        <w:rPr>
          <w:rFonts w:eastAsiaTheme="minorEastAsia"/>
          <w:lang w:eastAsia="ja-JP"/>
        </w:rPr>
        <w:t xml:space="preserve">A stellte fest, dass die vorgeschlagenen Leitlinien die Erfahrungen Frankreichs, Italiens und der Niederlande (Königreich der Niederlande) mit der Validierung merkmalspezifischer molekularer Marker als alternative Methoden zur Bewertung von Merkmalen in Prüfungsrichtlinien wiedergeben. </w:t>
      </w:r>
      <w:r w:rsidR="00FD1193">
        <w:rPr>
          <w:rFonts w:eastAsiaTheme="minorEastAsia"/>
          <w:lang w:eastAsia="ja-JP"/>
        </w:rPr>
        <w:t>Die TW</w:t>
      </w:r>
      <w:r w:rsidRPr="00096869">
        <w:rPr>
          <w:rFonts w:eastAsiaTheme="minorEastAsia"/>
          <w:lang w:eastAsia="ja-JP"/>
        </w:rPr>
        <w:t>A kam überein, dass Flexibilität hinsichtlich der verschiedenen Validierungsarten oder -verfahren bestehen sollte, die als Grundlage für die Aufnahme molekularer Marker in Prüfungsrichtlinien dienen.</w:t>
      </w:r>
    </w:p>
    <w:p w14:paraId="5FCC5742" w14:textId="77777777" w:rsidR="00675087" w:rsidRPr="00096869" w:rsidRDefault="00675087" w:rsidP="00675087"/>
    <w:p w14:paraId="3D3C6D0C" w14:textId="77777777" w:rsidR="00675087" w:rsidRPr="00096869" w:rsidRDefault="00675087" w:rsidP="00675087">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 xml:space="preserve">Die </w:t>
      </w:r>
      <w:r w:rsidRPr="00096869">
        <w:rPr>
          <w:rFonts w:eastAsiaTheme="minorEastAsia" w:hint="eastAsia"/>
          <w:lang w:eastAsia="ja-JP"/>
        </w:rPr>
        <w:t xml:space="preserve">TWF </w:t>
      </w:r>
      <w:r w:rsidRPr="00096869">
        <w:rPr>
          <w:rFonts w:eastAsiaTheme="minorEastAsia"/>
          <w:lang w:eastAsia="ja-JP"/>
        </w:rPr>
        <w:t>stimmte dem vorgeschlagenen Verfahren zur Validierung molekularer Marker zu, die von Prüfungsbehörden für merkmalspezifische molekulare Marker entwickelt wurden und als alternative Methoden für die Bewertung von Merkmalen in Prüfungsrichtlinien verwendet werden sollen.</w:t>
      </w:r>
    </w:p>
    <w:p w14:paraId="565174FE" w14:textId="77777777" w:rsidR="00AC2EA1" w:rsidRPr="00096869" w:rsidRDefault="00AC2EA1" w:rsidP="00AC2EA1">
      <w:pPr>
        <w:pStyle w:val="ListParagraph"/>
        <w:ind w:left="0"/>
        <w:jc w:val="both"/>
        <w:rPr>
          <w:rFonts w:eastAsiaTheme="minorEastAsia"/>
          <w:lang w:eastAsia="ja-JP"/>
        </w:rPr>
      </w:pPr>
    </w:p>
    <w:p w14:paraId="0E022AE3" w14:textId="77777777" w:rsidR="00AC2EA1" w:rsidRPr="00096869" w:rsidRDefault="00AC2EA1" w:rsidP="00AC2EA1">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Die TWM kam überein</w:t>
      </w:r>
      <w:r w:rsidRPr="00096869">
        <w:rPr>
          <w:rFonts w:hint="eastAsia"/>
          <w:lang w:eastAsia="ja-JP"/>
        </w:rPr>
        <w:t xml:space="preserve">, dass </w:t>
      </w:r>
      <w:r w:rsidRPr="00096869">
        <w:rPr>
          <w:lang w:eastAsia="ja-JP"/>
        </w:rPr>
        <w:t>die Informationen in den Absätzen</w:t>
      </w:r>
      <w:r w:rsidRPr="00096869">
        <w:t xml:space="preserve"> 21 und 28 des </w:t>
      </w:r>
      <w:r w:rsidRPr="00096869">
        <w:rPr>
          <w:rFonts w:cs="Arial"/>
          <w:iCs/>
        </w:rPr>
        <w:t xml:space="preserve">Dokuments </w:t>
      </w:r>
      <w:r w:rsidRPr="00096869">
        <w:rPr>
          <w:rFonts w:hint="eastAsia"/>
          <w:lang w:eastAsia="ja-JP"/>
        </w:rPr>
        <w:t xml:space="preserve">TWP/9/4 </w:t>
      </w:r>
      <w:r w:rsidRPr="00096869">
        <w:t xml:space="preserve">überarbeitet werden sollten, um die Validierungsmethoden zu präzisieren. Die TWM kam überein, dass der Textkasten zu Punkt 8 der Tabelle wie folgt geändert werden sollte: </w:t>
      </w:r>
    </w:p>
    <w:p w14:paraId="04340E8D" w14:textId="77777777" w:rsidR="00AC2EA1" w:rsidRPr="00096869" w:rsidRDefault="00AC2EA1" w:rsidP="00AC2EA1">
      <w:pPr>
        <w:contextualSpacing/>
        <w:rPr>
          <w:rFonts w:cs="Calibri"/>
          <w:szCs w:val="22"/>
          <w14:ligatures w14:val="standardContextual"/>
        </w:rPr>
      </w:pPr>
    </w:p>
    <w:p w14:paraId="5C1EE0A8" w14:textId="77777777" w:rsidR="00AC2EA1" w:rsidRPr="00096869" w:rsidRDefault="00AC2EA1" w:rsidP="00AC2EA1">
      <w:pPr>
        <w:ind w:left="567" w:right="567"/>
        <w:rPr>
          <w:rFonts w:cs="Arial"/>
          <w:color w:val="000000" w:themeColor="text1"/>
          <w:sz w:val="18"/>
          <w:szCs w:val="18"/>
          <w:lang w:eastAsia="nl-NL"/>
          <w14:ligatures w14:val="standardContextual"/>
        </w:rPr>
      </w:pPr>
      <w:r w:rsidRPr="00096869">
        <w:rPr>
          <w:rFonts w:cs="Arial"/>
          <w:color w:val="000000" w:themeColor="text1"/>
          <w:sz w:val="18"/>
          <w:szCs w:val="18"/>
          <w:lang w:eastAsia="nl-NL"/>
          <w14:ligatures w14:val="standardContextual"/>
        </w:rPr>
        <w:t xml:space="preserve">„Falls das Ergebnis der DNA-Marker-Prüfung die Angabe im Technischen Fragebogen nicht bestätigt, sollte ein Feldversuch oder ein Bioassay durchgeführt werden, </w:t>
      </w:r>
      <w:r w:rsidRPr="00096869">
        <w:rPr>
          <w:rFonts w:cs="Arial"/>
          <w:strike/>
          <w:color w:val="000000" w:themeColor="text1"/>
          <w:sz w:val="18"/>
          <w:szCs w:val="18"/>
          <w:highlight w:val="lightGray"/>
          <w:lang w:eastAsia="nl-NL"/>
          <w14:ligatures w14:val="standardContextual"/>
        </w:rPr>
        <w:t>um die Richtigkeit der Angabe im Technischen Fragebogen zu überprüfen</w:t>
      </w:r>
      <w:r w:rsidRPr="00096869">
        <w:rPr>
          <w:rFonts w:cs="Arial"/>
          <w:color w:val="000000" w:themeColor="text1"/>
          <w:sz w:val="18"/>
          <w:szCs w:val="18"/>
          <w:lang w:eastAsia="nl-NL"/>
          <w14:ligatures w14:val="standardContextual"/>
        </w:rPr>
        <w:t xml:space="preserve">.“ </w:t>
      </w:r>
    </w:p>
    <w:p w14:paraId="279D7808" w14:textId="77777777" w:rsidR="00AC2EA1" w:rsidRPr="00096869" w:rsidRDefault="00AC2EA1" w:rsidP="00AC2EA1"/>
    <w:p w14:paraId="5F128D11" w14:textId="77777777" w:rsidR="00AC2EA1" w:rsidRPr="00096869" w:rsidRDefault="00AC2EA1" w:rsidP="00AC2EA1">
      <w:pPr>
        <w:pStyle w:val="ListParagraph"/>
        <w:ind w:left="0"/>
      </w:pPr>
      <w:r w:rsidRPr="00096869">
        <w:fldChar w:fldCharType="begin"/>
      </w:r>
      <w:r w:rsidRPr="00096869">
        <w:instrText xml:space="preserve"> AUTONUM  </w:instrText>
      </w:r>
      <w:r w:rsidRPr="00096869">
        <w:fldChar w:fldCharType="end"/>
      </w:r>
      <w:r w:rsidRPr="00096869">
        <w:tab/>
        <w:t xml:space="preserve">Die </w:t>
      </w:r>
      <w:r w:rsidRPr="00096869">
        <w:rPr>
          <w:rFonts w:eastAsiaTheme="minorEastAsia" w:hint="eastAsia"/>
          <w:lang w:eastAsia="ja-JP"/>
        </w:rPr>
        <w:t xml:space="preserve">TWV </w:t>
      </w:r>
      <w:r w:rsidRPr="00096869">
        <w:t>stimmte den folgenden Änderungen am Text in „Tabelle 1“ zu:</w:t>
      </w:r>
    </w:p>
    <w:p w14:paraId="65BAADEC" w14:textId="77777777" w:rsidR="00AC2EA1" w:rsidRPr="00096869" w:rsidRDefault="00AC2EA1" w:rsidP="00AC2EA1">
      <w:pPr>
        <w:pStyle w:val="ListParagraph"/>
      </w:pPr>
    </w:p>
    <w:p w14:paraId="45AF3464" w14:textId="59EA0042" w:rsidR="00AC2EA1" w:rsidRPr="00096869" w:rsidRDefault="00AC2EA1" w:rsidP="00AC2EA1">
      <w:pPr>
        <w:pStyle w:val="ListParagraph"/>
        <w:numPr>
          <w:ilvl w:val="0"/>
          <w:numId w:val="19"/>
        </w:numPr>
        <w:jc w:val="both"/>
      </w:pPr>
      <w:r w:rsidRPr="00096869">
        <w:t>Punkte 1 und 2: Aktualisierung des Verweises auf die aktuelle Fassung der Tomaten-</w:t>
      </w:r>
      <w:r w:rsidR="009C3D5D" w:rsidRPr="009C3D5D">
        <w:rPr>
          <w:rFonts w:eastAsiaTheme="minorEastAsia"/>
          <w:lang w:eastAsia="ja-JP"/>
        </w:rPr>
        <w:t xml:space="preserve"> </w:t>
      </w:r>
      <w:r w:rsidR="009C3D5D" w:rsidRPr="00096869">
        <w:rPr>
          <w:rFonts w:eastAsiaTheme="minorEastAsia"/>
          <w:lang w:eastAsia="ja-JP"/>
        </w:rPr>
        <w:t xml:space="preserve">Prüfungsrichtlinien </w:t>
      </w:r>
      <w:r w:rsidRPr="00096869">
        <w:t>(TG/44/12)</w:t>
      </w:r>
    </w:p>
    <w:p w14:paraId="6D79AB41" w14:textId="77777777" w:rsidR="00AC2EA1" w:rsidRPr="00096869" w:rsidRDefault="00AC2EA1" w:rsidP="00AC2EA1"/>
    <w:p w14:paraId="6FABCF07" w14:textId="77777777" w:rsidR="00AC2EA1" w:rsidRPr="00096869" w:rsidRDefault="00AC2EA1" w:rsidP="00AC2EA1">
      <w:pPr>
        <w:pStyle w:val="ListParagraph"/>
        <w:numPr>
          <w:ilvl w:val="0"/>
          <w:numId w:val="19"/>
        </w:numPr>
        <w:jc w:val="both"/>
      </w:pPr>
      <w:r w:rsidRPr="00096869">
        <w:t>Punkt 8: „[…] Falls das Ergebnis des DNA-Markertests die Angaben im Technischen Fragebogen nicht bestätigt, sollte ein Feldversuch oder Bioassay durchgeführt werden</w:t>
      </w:r>
      <w:r w:rsidRPr="00096869">
        <w:rPr>
          <w:strike/>
          <w:highlight w:val="lightGray"/>
        </w:rPr>
        <w:t>, um die Richtigkeit der Angaben im Technischen Fragebogen zu überprüfen</w:t>
      </w:r>
      <w:r w:rsidRPr="00096869">
        <w:t>.“</w:t>
      </w:r>
    </w:p>
    <w:p w14:paraId="5612A500" w14:textId="77777777" w:rsidR="0080077B" w:rsidRPr="00096869" w:rsidRDefault="0080077B" w:rsidP="0080077B">
      <w:pPr>
        <w:rPr>
          <w:lang w:eastAsia="ja-JP"/>
        </w:rPr>
      </w:pPr>
    </w:p>
    <w:p w14:paraId="04FE4D90" w14:textId="25928ADB" w:rsidR="00CA5C5B" w:rsidRPr="00096869" w:rsidRDefault="008D2D25" w:rsidP="00642CEF">
      <w:pPr>
        <w:pStyle w:val="Heading3"/>
        <w:rPr>
          <w:lang w:val="de-DE"/>
        </w:rPr>
      </w:pPr>
      <w:bookmarkStart w:id="8" w:name="_Toc210667559"/>
      <w:r w:rsidRPr="00096869">
        <w:rPr>
          <w:lang w:val="de-DE"/>
        </w:rPr>
        <w:lastRenderedPageBreak/>
        <w:t>Molekulare Marker, die Geschäftsgeheimnisse darstellen</w:t>
      </w:r>
      <w:bookmarkEnd w:id="8"/>
      <w:r w:rsidRPr="00096869">
        <w:rPr>
          <w:lang w:val="de-DE"/>
        </w:rPr>
        <w:t xml:space="preserve"> </w:t>
      </w:r>
    </w:p>
    <w:p w14:paraId="27CCEBBD" w14:textId="77777777" w:rsidR="00EB5A96" w:rsidRPr="00096869" w:rsidRDefault="00EB5A96" w:rsidP="00642CEF">
      <w:pPr>
        <w:keepNext/>
      </w:pPr>
    </w:p>
    <w:p w14:paraId="27821E40" w14:textId="185E462D" w:rsidR="00AC2EA1" w:rsidRPr="00096869" w:rsidRDefault="00AC2EA1" w:rsidP="001F298F">
      <w:r w:rsidRPr="00096869">
        <w:fldChar w:fldCharType="begin"/>
      </w:r>
      <w:r w:rsidRPr="00096869">
        <w:instrText xml:space="preserve"> AUTONUM  </w:instrText>
      </w:r>
      <w:r w:rsidRPr="00096869">
        <w:fldChar w:fldCharType="end"/>
      </w:r>
      <w:r w:rsidRPr="00096869">
        <w:tab/>
        <w:t xml:space="preserve">Die TWO erörterte im Zusammenhang mit der Entwicklung der UPOV-Prüfungsrichtlinien Fragen, die bei der Verwendung von molekularen Markern, die möglicherweise Geschäftsgeheimnisse darstellen, zu berücksichtigen sind (siehe </w:t>
      </w:r>
      <w:r w:rsidR="00595FE4">
        <w:t>Anlage</w:t>
      </w:r>
      <w:r w:rsidR="00DA1F61" w:rsidRPr="00096869">
        <w:t xml:space="preserve"> zu diesem Dokument, </w:t>
      </w:r>
      <w:r w:rsidRPr="00096869">
        <w:t>Absatz 31).  Die TWO stellte fest, dass in solchen Fällen der Marker nicht in den Prüfungsrichtlinien beschrieben würde und die Genehmigung des Eigentümers des Markers für die Verwendung durch UPOV-Mitglieder erforderlich wäre. Die TWO stellte fest, dass molekulare Marker am häufigsten von den Züchtern bereitgestellt würden, und war der Ansicht, dass der Zugang der UPOV-Mitglieder zu den Markern, die möglicherweise Geschäftsgeheimnisse darstellen, für die internationale Zusammenarbeit und den Austausch von DUS-Prüfungsberichten wichtig sei.</w:t>
      </w:r>
    </w:p>
    <w:p w14:paraId="0A4823BF" w14:textId="77777777" w:rsidR="0014382F" w:rsidRPr="00096869" w:rsidRDefault="0014382F" w:rsidP="0063724C">
      <w:pPr>
        <w:pStyle w:val="ListParagraph"/>
        <w:ind w:left="0"/>
        <w:jc w:val="both"/>
        <w:rPr>
          <w:rFonts w:eastAsiaTheme="minorEastAsia"/>
          <w:lang w:eastAsia="ja-JP"/>
        </w:rPr>
      </w:pPr>
    </w:p>
    <w:p w14:paraId="2BC6AB3C" w14:textId="62AC0425" w:rsidR="003524FA" w:rsidRPr="00096869" w:rsidRDefault="0014382F" w:rsidP="001F298F">
      <w:pPr>
        <w:pStyle w:val="ListParagraph"/>
        <w:ind w:left="0"/>
        <w:jc w:val="both"/>
      </w:pPr>
      <w:r w:rsidRPr="00096869">
        <w:fldChar w:fldCharType="begin"/>
      </w:r>
      <w:r w:rsidRPr="00096869">
        <w:instrText xml:space="preserve"> AUTONUM  </w:instrText>
      </w:r>
      <w:r w:rsidRPr="00096869">
        <w:fldChar w:fldCharType="end"/>
      </w:r>
      <w:r w:rsidRPr="00096869">
        <w:tab/>
      </w:r>
      <w:r w:rsidR="00F515A1" w:rsidRPr="00096869">
        <w:rPr>
          <w:rFonts w:eastAsiaTheme="minorEastAsia"/>
          <w:lang w:eastAsia="ja-JP"/>
        </w:rPr>
        <w:t xml:space="preserve">Die TWA </w:t>
      </w:r>
      <w:r w:rsidR="00C93F66" w:rsidRPr="00096869">
        <w:rPr>
          <w:rFonts w:eastAsiaTheme="minorEastAsia"/>
          <w:lang w:eastAsia="ja-JP"/>
        </w:rPr>
        <w:t xml:space="preserve">und die TWF </w:t>
      </w:r>
      <w:r w:rsidR="00F515A1" w:rsidRPr="00096869">
        <w:rPr>
          <w:rFonts w:eastAsiaTheme="minorEastAsia"/>
          <w:lang w:eastAsia="ja-JP"/>
        </w:rPr>
        <w:t xml:space="preserve">erörterten den Zugang zu den in den Prüfungsrichtlinien verwendeten Methoden im Zusammenhang mit der </w:t>
      </w:r>
      <w:r w:rsidR="00F672A7" w:rsidRPr="00096869">
        <w:rPr>
          <w:rFonts w:eastAsiaTheme="minorEastAsia"/>
          <w:lang w:eastAsia="ja-JP"/>
        </w:rPr>
        <w:t xml:space="preserve">in </w:t>
      </w:r>
      <w:r w:rsidR="00F515A1" w:rsidRPr="00096869">
        <w:rPr>
          <w:rFonts w:eastAsiaTheme="minorEastAsia"/>
          <w:lang w:eastAsia="ja-JP"/>
        </w:rPr>
        <w:t xml:space="preserve">Absatz 31 </w:t>
      </w:r>
      <w:r w:rsidR="00D9352F" w:rsidRPr="00096869">
        <w:rPr>
          <w:rFonts w:eastAsiaTheme="minorEastAsia"/>
          <w:lang w:eastAsia="ja-JP"/>
        </w:rPr>
        <w:t xml:space="preserve">des Entwurfs der Leitlinien </w:t>
      </w:r>
      <w:r w:rsidR="00F515A1" w:rsidRPr="00096869">
        <w:rPr>
          <w:rFonts w:eastAsiaTheme="minorEastAsia"/>
          <w:lang w:eastAsia="ja-JP"/>
        </w:rPr>
        <w:t>beschriebenen Situation („Geschäftsgeheimnisprotokoll“). Die TWA kam überein, dass weitere Überlegungen erforderlich seien, falls ein Molekularmarker mit eingeschränktem Zugang zur Aufnahme in die Prüfungsrichtlinien vorgeschlagen würde.</w:t>
      </w:r>
    </w:p>
    <w:p w14:paraId="77C49FF1" w14:textId="77777777" w:rsidR="005F0B8B" w:rsidRPr="00096869" w:rsidRDefault="005F0B8B" w:rsidP="005F0B8B">
      <w:pPr>
        <w:rPr>
          <w:lang w:eastAsia="ja-JP"/>
        </w:rPr>
      </w:pPr>
    </w:p>
    <w:p w14:paraId="4D38D105" w14:textId="77777777" w:rsidR="005F0B8B" w:rsidRPr="00096869" w:rsidRDefault="005F0B8B" w:rsidP="00882559">
      <w:pPr>
        <w:pStyle w:val="Heading3"/>
        <w:rPr>
          <w:lang w:val="de-DE" w:eastAsia="ja-JP"/>
        </w:rPr>
      </w:pPr>
      <w:bookmarkStart w:id="9" w:name="_Toc210667560"/>
      <w:r w:rsidRPr="00096869">
        <w:rPr>
          <w:lang w:val="de-DE"/>
        </w:rPr>
        <w:t>Standardprotokoll für merkmalspezifische molekulare Marker in den Prüfungsrichtlinien</w:t>
      </w:r>
      <w:bookmarkEnd w:id="9"/>
    </w:p>
    <w:p w14:paraId="17B77905" w14:textId="77777777" w:rsidR="005F0B8B" w:rsidRPr="00096869" w:rsidRDefault="005F0B8B" w:rsidP="005F0B8B"/>
    <w:p w14:paraId="74AA843D" w14:textId="4D13CC87" w:rsidR="005F0B8B" w:rsidRPr="00096869" w:rsidRDefault="005F0B8B" w:rsidP="005F0B8B">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 xml:space="preserve">Die </w:t>
      </w:r>
      <w:r w:rsidRPr="00096869">
        <w:rPr>
          <w:rFonts w:eastAsiaTheme="minorEastAsia" w:hint="eastAsia"/>
          <w:lang w:eastAsia="ja-JP"/>
        </w:rPr>
        <w:t xml:space="preserve">TWA </w:t>
      </w:r>
      <w:r w:rsidRPr="00096869">
        <w:rPr>
          <w:rFonts w:eastAsiaTheme="minorEastAsia"/>
          <w:lang w:eastAsia="ja-JP"/>
        </w:rPr>
        <w:t xml:space="preserve">und die TWF waren sich einig, dass das vorgeschlagene Standardprotokoll für die Merkmalsbewertung unter Verwendung molekularer Marker eine geeignete Grundlage für die Harmonisierung der Art und Weise darstellt, wie Informationen in den Prüfungsrichtlinien bereitgestellt werden sollten (siehe </w:t>
      </w:r>
      <w:r w:rsidR="00595FE4">
        <w:rPr>
          <w:rFonts w:eastAsiaTheme="minorEastAsia"/>
          <w:lang w:eastAsia="ja-JP"/>
        </w:rPr>
        <w:t>Anlage</w:t>
      </w:r>
      <w:r w:rsidRPr="00096869">
        <w:rPr>
          <w:rFonts w:eastAsiaTheme="minorEastAsia"/>
          <w:lang w:eastAsia="ja-JP"/>
        </w:rPr>
        <w:t xml:space="preserve">, Abschnitt V </w:t>
      </w:r>
      <w:r w:rsidRPr="00096869">
        <w:rPr>
          <w:rFonts w:eastAsia="Times New Roman"/>
        </w:rPr>
        <w:t xml:space="preserve">„Standardprotokoll für merkmalspezifische molekulare </w:t>
      </w:r>
      <w:r w:rsidRPr="00096869">
        <w:rPr>
          <w:rFonts w:eastAsiaTheme="minorEastAsia"/>
          <w:lang w:eastAsia="ja-JP"/>
        </w:rPr>
        <w:t>Marker“).</w:t>
      </w:r>
    </w:p>
    <w:p w14:paraId="4CA006AE" w14:textId="77777777" w:rsidR="005F0B8B" w:rsidRPr="00096869" w:rsidRDefault="005F0B8B" w:rsidP="005F0B8B"/>
    <w:p w14:paraId="4790E5F9" w14:textId="63E49965" w:rsidR="00537E91" w:rsidRPr="00096869" w:rsidRDefault="00895431" w:rsidP="00882559">
      <w:pPr>
        <w:pStyle w:val="Heading3"/>
        <w:rPr>
          <w:lang w:val="de-DE" w:eastAsia="ja-JP"/>
        </w:rPr>
      </w:pPr>
      <w:bookmarkStart w:id="10" w:name="_Toc210667561"/>
      <w:r w:rsidRPr="00096869">
        <w:rPr>
          <w:lang w:val="de-DE"/>
        </w:rPr>
        <w:t>Mit neuen Züchtungstechniken entwickelte Merkmale</w:t>
      </w:r>
      <w:bookmarkEnd w:id="10"/>
    </w:p>
    <w:p w14:paraId="2BEB87B1" w14:textId="77777777" w:rsidR="007F72C4" w:rsidRPr="00096869" w:rsidRDefault="007F72C4" w:rsidP="00B52114">
      <w:pPr>
        <w:pStyle w:val="ListParagraph"/>
        <w:ind w:left="0"/>
        <w:jc w:val="both"/>
        <w:rPr>
          <w:rFonts w:eastAsiaTheme="minorEastAsia"/>
          <w:lang w:eastAsia="ja-JP"/>
        </w:rPr>
      </w:pPr>
    </w:p>
    <w:p w14:paraId="1975DEBF" w14:textId="15CC9374" w:rsidR="00B52114" w:rsidRPr="00096869" w:rsidRDefault="00B52114" w:rsidP="00B52114">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Die TWF erörterte die Verwendung molekularer Marker zur Bewertung von Merkmalen, die unter Verwendung neuer Züchtungstechniken entwickelt wurden. Die TWF stellte fest, dass zu diesem Thema keine Erfahrungen vorliegen, und kam überein, sich künftig über Erfahrungen zu diesem Thema zu informieren.</w:t>
      </w:r>
    </w:p>
    <w:p w14:paraId="264DA7CA" w14:textId="77777777" w:rsidR="00342001" w:rsidRPr="00096869" w:rsidRDefault="00342001" w:rsidP="00EF4B00"/>
    <w:p w14:paraId="7C256A0A" w14:textId="77777777" w:rsidR="00221BB8" w:rsidRPr="00096869" w:rsidRDefault="00221BB8" w:rsidP="00EF4B00"/>
    <w:p w14:paraId="4B870AFB" w14:textId="615DE0F9" w:rsidR="00A7229D" w:rsidRPr="00096869" w:rsidRDefault="00CF68E1" w:rsidP="00EF24D5">
      <w:pPr>
        <w:pStyle w:val="Heading2"/>
        <w:rPr>
          <w:lang w:val="de-DE" w:eastAsia="ja-JP"/>
        </w:rPr>
      </w:pPr>
      <w:bookmarkStart w:id="11" w:name="_Toc210667562"/>
      <w:r>
        <w:rPr>
          <w:lang w:val="de-DE" w:eastAsia="ja-JP"/>
        </w:rPr>
        <w:t>Vorschlag</w:t>
      </w:r>
      <w:bookmarkEnd w:id="11"/>
    </w:p>
    <w:p w14:paraId="26BFF67B" w14:textId="77777777" w:rsidR="00270BD7" w:rsidRPr="00096869" w:rsidRDefault="00270BD7" w:rsidP="00145CA2">
      <w:pPr>
        <w:keepNext/>
        <w:rPr>
          <w:lang w:eastAsia="ja-JP"/>
        </w:rPr>
      </w:pPr>
    </w:p>
    <w:p w14:paraId="16BD0C70" w14:textId="65A9B430" w:rsidR="00A7229D" w:rsidRPr="00096869" w:rsidRDefault="00A7229D" w:rsidP="001F298F">
      <w:pPr>
        <w:rPr>
          <w:lang w:eastAsia="ja-JP"/>
        </w:rPr>
      </w:pPr>
      <w:r w:rsidRPr="00096869">
        <w:fldChar w:fldCharType="begin"/>
      </w:r>
      <w:r w:rsidRPr="00096869">
        <w:instrText xml:space="preserve"> AUTONUM  </w:instrText>
      </w:r>
      <w:r w:rsidRPr="00096869">
        <w:fldChar w:fldCharType="end"/>
      </w:r>
      <w:r w:rsidRPr="00096869">
        <w:tab/>
      </w:r>
      <w:r w:rsidR="00884600" w:rsidRPr="00096869">
        <w:t xml:space="preserve">Auf </w:t>
      </w:r>
      <w:r w:rsidRPr="00096869">
        <w:t>der</w:t>
      </w:r>
      <w:r w:rsidR="00884600" w:rsidRPr="00096869">
        <w:t xml:space="preserve"> Grundlage </w:t>
      </w:r>
      <w:r w:rsidRPr="00096869">
        <w:t xml:space="preserve">der Stellungnahmen der TWP könnte der TC auf seinen Tagungen im </w:t>
      </w:r>
      <w:r w:rsidR="00DC4D1B" w:rsidRPr="00096869">
        <w:rPr>
          <w:rFonts w:hint="eastAsia"/>
          <w:lang w:eastAsia="ja-JP"/>
        </w:rPr>
        <w:t xml:space="preserve">Jahr 2025 </w:t>
      </w:r>
      <w:r w:rsidR="009834A3" w:rsidRPr="00096869">
        <w:t xml:space="preserve">die </w:t>
      </w:r>
      <w:r w:rsidR="0098754F" w:rsidRPr="00096869">
        <w:t xml:space="preserve">vorgeschlagenen Leitlinien </w:t>
      </w:r>
      <w:r w:rsidR="002709DB" w:rsidRPr="00096869">
        <w:t xml:space="preserve">für </w:t>
      </w:r>
      <w:r w:rsidR="00DF0A78" w:rsidRPr="00096869">
        <w:t xml:space="preserve">die Validierung molekularer Marker zur </w:t>
      </w:r>
      <w:r w:rsidR="00132FC5" w:rsidRPr="00096869">
        <w:t xml:space="preserve">Aufnahme in die Prüfungsrichtlinien als alternative Prüfungsmethoden  </w:t>
      </w:r>
      <w:r w:rsidRPr="00096869">
        <w:t>prüfen</w:t>
      </w:r>
      <w:r w:rsidR="00132FC5" w:rsidRPr="00096869">
        <w:t xml:space="preserve">.  </w:t>
      </w:r>
      <w:r w:rsidR="004E1F5A" w:rsidRPr="00096869">
        <w:t xml:space="preserve">Der TC könnte </w:t>
      </w:r>
      <w:r w:rsidR="00EE6B94" w:rsidRPr="00096869">
        <w:t xml:space="preserve">die </w:t>
      </w:r>
      <w:r w:rsidR="00101639" w:rsidRPr="00096869">
        <w:t xml:space="preserve">Aufnahme der vorgeschlagenen Leitlinien in </w:t>
      </w:r>
      <w:r w:rsidR="00B767CC" w:rsidRPr="00096869">
        <w:t xml:space="preserve">die </w:t>
      </w:r>
      <w:r w:rsidR="004777B2" w:rsidRPr="00096869">
        <w:t xml:space="preserve">UPOV-Dokumentenserie </w:t>
      </w:r>
      <w:r w:rsidR="00291EBF" w:rsidRPr="00096869">
        <w:t xml:space="preserve">zur Festlegung </w:t>
      </w:r>
      <w:r w:rsidR="004777B2" w:rsidRPr="00096869">
        <w:t xml:space="preserve">der Verfahren der Prüfungsrichtlinien </w:t>
      </w:r>
      <w:r w:rsidR="00A47C5C" w:rsidRPr="00096869">
        <w:t>(</w:t>
      </w:r>
      <w:r w:rsidR="009D7047" w:rsidRPr="00096869">
        <w:t>„TGP-Dokumente</w:t>
      </w:r>
      <w:r w:rsidR="00485129" w:rsidRPr="00096869">
        <w:t xml:space="preserve">“) </w:t>
      </w:r>
      <w:r w:rsidR="00EE6B94" w:rsidRPr="00096869">
        <w:t>prüfen</w:t>
      </w:r>
      <w:r w:rsidR="00485129" w:rsidRPr="00096869">
        <w:t>.</w:t>
      </w:r>
    </w:p>
    <w:p w14:paraId="3C0B092B" w14:textId="77777777" w:rsidR="00A7229D" w:rsidRPr="00096869" w:rsidRDefault="00A7229D" w:rsidP="00A7229D"/>
    <w:p w14:paraId="0E6B9017" w14:textId="245B802B" w:rsidR="00ED2FBB" w:rsidRPr="00096869" w:rsidRDefault="00A7229D" w:rsidP="00ED2FBB">
      <w:pPr>
        <w:pStyle w:val="DecisionParagraphs"/>
      </w:pPr>
      <w:r w:rsidRPr="00096869">
        <w:rPr>
          <w:rFonts w:eastAsia="MS Mincho"/>
        </w:rPr>
        <w:fldChar w:fldCharType="begin"/>
      </w:r>
      <w:r w:rsidRPr="00096869">
        <w:rPr>
          <w:rFonts w:eastAsia="MS Mincho"/>
        </w:rPr>
        <w:instrText xml:space="preserve"> AUTONUM  </w:instrText>
      </w:r>
      <w:r w:rsidRPr="00096869">
        <w:rPr>
          <w:rFonts w:eastAsia="MS Mincho"/>
        </w:rPr>
        <w:fldChar w:fldCharType="end"/>
      </w:r>
      <w:r w:rsidRPr="00096869">
        <w:rPr>
          <w:rFonts w:eastAsia="MS Mincho"/>
        </w:rPr>
        <w:tab/>
      </w:r>
      <w:r w:rsidRPr="00096869">
        <w:t xml:space="preserve">Der TC wird gebeten, </w:t>
      </w:r>
      <w:r w:rsidR="00895393" w:rsidRPr="00096869">
        <w:t xml:space="preserve">die </w:t>
      </w:r>
      <w:r w:rsidR="000B17C9" w:rsidRPr="00096869">
        <w:t xml:space="preserve">vorgeschlagenen Leitlinien </w:t>
      </w:r>
      <w:r w:rsidR="009F3FA7" w:rsidRPr="00096869">
        <w:t>für die Validierung molekularer Marker in den Prüfungsrichtlinien</w:t>
      </w:r>
      <w:r w:rsidR="003445B5" w:rsidRPr="00096869">
        <w:t xml:space="preserve">, </w:t>
      </w:r>
      <w:r w:rsidR="00DB26D0" w:rsidRPr="00096869">
        <w:t xml:space="preserve">wie </w:t>
      </w:r>
      <w:r w:rsidR="00595FE4">
        <w:t>in der</w:t>
      </w:r>
      <w:r w:rsidR="00221BB8" w:rsidRPr="00096869">
        <w:t xml:space="preserve"> </w:t>
      </w:r>
      <w:r w:rsidR="00595FE4">
        <w:t>Anlage</w:t>
      </w:r>
      <w:r w:rsidR="00DB26D0" w:rsidRPr="00096869">
        <w:t xml:space="preserve"> zu diesem Dokument dargelegt, </w:t>
      </w:r>
      <w:r w:rsidRPr="00096869">
        <w:t>zu prüfen</w:t>
      </w:r>
      <w:r w:rsidR="00ED2FBB" w:rsidRPr="00096869">
        <w:t xml:space="preserve">. </w:t>
      </w:r>
    </w:p>
    <w:p w14:paraId="5A101B3D" w14:textId="77777777" w:rsidR="00550FF9" w:rsidRPr="00096869" w:rsidRDefault="00550FF9" w:rsidP="00EF4B00"/>
    <w:p w14:paraId="535B9F03" w14:textId="77777777" w:rsidR="001F298F" w:rsidRPr="00096869" w:rsidRDefault="001F298F" w:rsidP="00EF4B00"/>
    <w:p w14:paraId="557C9F6A" w14:textId="77777777" w:rsidR="00221BB8" w:rsidRPr="00096869" w:rsidRDefault="00221BB8" w:rsidP="00EF4B00"/>
    <w:p w14:paraId="048EE061" w14:textId="2ABEE590" w:rsidR="00EF4B00" w:rsidRPr="00096869" w:rsidRDefault="00EF4B00" w:rsidP="00311464">
      <w:pPr>
        <w:pStyle w:val="Heading1"/>
        <w:rPr>
          <w:lang w:val="de-DE"/>
        </w:rPr>
      </w:pPr>
      <w:bookmarkStart w:id="12" w:name="_Toc177773941"/>
      <w:bookmarkStart w:id="13" w:name="_Toc210667563"/>
      <w:r w:rsidRPr="00096869">
        <w:rPr>
          <w:lang w:val="de-DE"/>
        </w:rPr>
        <w:t xml:space="preserve">Vertraulichkeit </w:t>
      </w:r>
      <w:r w:rsidR="00825360" w:rsidRPr="00096869">
        <w:rPr>
          <w:lang w:val="de-DE"/>
        </w:rPr>
        <w:t xml:space="preserve">und </w:t>
      </w:r>
      <w:r w:rsidRPr="00096869">
        <w:rPr>
          <w:lang w:val="de-DE"/>
        </w:rPr>
        <w:t>Eigentumsrechte an molekularen Informationen</w:t>
      </w:r>
      <w:bookmarkEnd w:id="1"/>
      <w:bookmarkEnd w:id="2"/>
      <w:bookmarkEnd w:id="12"/>
      <w:bookmarkEnd w:id="13"/>
    </w:p>
    <w:p w14:paraId="784293B8" w14:textId="77777777" w:rsidR="00EF4B00" w:rsidRPr="00096869" w:rsidRDefault="00EF4B00" w:rsidP="00975B88">
      <w:pPr>
        <w:keepNext/>
      </w:pPr>
    </w:p>
    <w:p w14:paraId="2D29F9AC" w14:textId="77777777" w:rsidR="00EF4B00" w:rsidRPr="00096869" w:rsidRDefault="00EF4B00" w:rsidP="00EF24D5">
      <w:pPr>
        <w:pStyle w:val="Heading2"/>
        <w:rPr>
          <w:lang w:val="de-DE"/>
        </w:rPr>
      </w:pPr>
      <w:bookmarkStart w:id="14" w:name="_Toc177773942"/>
      <w:bookmarkStart w:id="15" w:name="_Toc210667564"/>
      <w:r w:rsidRPr="00096869">
        <w:rPr>
          <w:lang w:val="de-DE"/>
        </w:rPr>
        <w:t>Hintergrund</w:t>
      </w:r>
      <w:bookmarkEnd w:id="14"/>
      <w:bookmarkEnd w:id="15"/>
    </w:p>
    <w:p w14:paraId="639A3579" w14:textId="77777777" w:rsidR="004730C8" w:rsidRPr="00096869" w:rsidRDefault="004730C8" w:rsidP="004730C8"/>
    <w:p w14:paraId="40004238" w14:textId="42F7EEFF" w:rsidR="00EF4B00" w:rsidRPr="00096869" w:rsidRDefault="00F6462C" w:rsidP="00FA1C4F">
      <w:r w:rsidRPr="00096869">
        <w:fldChar w:fldCharType="begin"/>
      </w:r>
      <w:r w:rsidRPr="00096869">
        <w:instrText xml:space="preserve"> AUTONUM  </w:instrText>
      </w:r>
      <w:r w:rsidRPr="00096869">
        <w:fldChar w:fldCharType="end"/>
      </w:r>
      <w:r w:rsidRPr="00096869">
        <w:tab/>
      </w:r>
      <w:r w:rsidR="00B17ED9" w:rsidRPr="00096869">
        <w:t xml:space="preserve">Seit 2019 </w:t>
      </w:r>
      <w:r w:rsidR="00DB2D3C" w:rsidRPr="00096869">
        <w:t xml:space="preserve">umfassen </w:t>
      </w:r>
      <w:r w:rsidR="00E046C3" w:rsidRPr="00096869">
        <w:t xml:space="preserve">die Diskussionen über die Zusammenarbeit </w:t>
      </w:r>
      <w:r w:rsidR="00005CE9" w:rsidRPr="00096869">
        <w:t xml:space="preserve">im Zusammenhang mit der Verwendung molekularer Verfahren </w:t>
      </w:r>
      <w:r w:rsidR="00DB2D3C" w:rsidRPr="00096869">
        <w:t xml:space="preserve">auch die </w:t>
      </w:r>
      <w:r w:rsidR="004A0FFD" w:rsidRPr="00096869">
        <w:t xml:space="preserve">Forderung, </w:t>
      </w:r>
      <w:r w:rsidR="00DB2D3C" w:rsidRPr="00096869">
        <w:t xml:space="preserve">Leitlinien zum </w:t>
      </w:r>
      <w:r w:rsidR="0097706E" w:rsidRPr="00096869">
        <w:t xml:space="preserve">Eigentum und zur Vertraulichkeit molekularer Informationen </w:t>
      </w:r>
      <w:r w:rsidR="004A0FFD" w:rsidRPr="00096869">
        <w:t xml:space="preserve">zu erarbeiten </w:t>
      </w:r>
      <w:r w:rsidR="0097706E" w:rsidRPr="00096869">
        <w:t xml:space="preserve">(siehe </w:t>
      </w:r>
      <w:r w:rsidR="00081B61" w:rsidRPr="00096869">
        <w:t xml:space="preserve">Dokument </w:t>
      </w:r>
      <w:hyperlink r:id="rId13" w:history="1">
        <w:r w:rsidR="00081B61" w:rsidRPr="00096869">
          <w:rPr>
            <w:rStyle w:val="Hyperlink"/>
          </w:rPr>
          <w:t>TC/55/7</w:t>
        </w:r>
      </w:hyperlink>
      <w:r w:rsidR="00081B61" w:rsidRPr="00096869">
        <w:t xml:space="preserve"> „Molekulare Verfahren“)</w:t>
      </w:r>
      <w:r w:rsidR="00892001" w:rsidRPr="00096869">
        <w:t xml:space="preserve">.  </w:t>
      </w:r>
      <w:r w:rsidR="00B01CD5" w:rsidRPr="00096869">
        <w:t xml:space="preserve">Auf </w:t>
      </w:r>
      <w:r w:rsidR="002A29A3" w:rsidRPr="00096869">
        <w:t>seiner achtundfünfzigsten Tagung</w:t>
      </w:r>
      <w:r w:rsidR="002A29A3" w:rsidRPr="00096869">
        <w:rPr>
          <w:vertAlign w:val="superscript"/>
        </w:rPr>
        <w:footnoteReference w:id="8"/>
      </w:r>
      <w:r w:rsidR="000C22CC" w:rsidRPr="00096869">
        <w:t xml:space="preserve"> nahm der TC die Bedenken der Züchterorganisationen zur Kenntnis, dass molekulare Informationen, die bei der Prüfung einer Sorte verwendet werden, von der Behörde, die den Antrag erhalten hat, nicht ohne die Zustimmung des Züchters weitergegeben werden sollten.</w:t>
      </w:r>
      <w:r w:rsidR="00090551" w:rsidRPr="00096869">
        <w:t xml:space="preserve">  </w:t>
      </w:r>
      <w:r w:rsidR="002D2C7C" w:rsidRPr="00096869">
        <w:t xml:space="preserve">Der TC ersuchte die Mitglieder und </w:t>
      </w:r>
      <w:r w:rsidR="00EF4B00" w:rsidRPr="00096869">
        <w:t>Beobachter, auf ihren Tagungen in den Jahren 2023</w:t>
      </w:r>
      <w:r w:rsidR="00CE1599" w:rsidRPr="00096869">
        <w:rPr>
          <w:vertAlign w:val="superscript"/>
        </w:rPr>
        <w:t>7</w:t>
      </w:r>
      <w:r w:rsidR="00B377BF">
        <w:t xml:space="preserve">, </w:t>
      </w:r>
      <w:r w:rsidR="002D2C7C" w:rsidRPr="00096869">
        <w:t>2024</w:t>
      </w:r>
      <w:r w:rsidR="00CE1599" w:rsidRPr="00096869">
        <w:rPr>
          <w:vertAlign w:val="superscript"/>
        </w:rPr>
        <w:footnoteReference w:id="9"/>
      </w:r>
      <w:r w:rsidR="002D2C7C" w:rsidRPr="00096869">
        <w:t xml:space="preserve"> und 2025</w:t>
      </w:r>
      <w:r w:rsidR="002D2C7C" w:rsidRPr="00096869">
        <w:rPr>
          <w:vertAlign w:val="superscript"/>
        </w:rPr>
        <w:footnoteReference w:id="10"/>
      </w:r>
      <w:r w:rsidR="00986E0C" w:rsidRPr="00096869">
        <w:t xml:space="preserve"> über </w:t>
      </w:r>
      <w:r w:rsidR="00EF4B00" w:rsidRPr="00096869">
        <w:t>die bestehenden Richtlinien zur Vertraulichkeit molekularer Informationen in den TWP zu berichten</w:t>
      </w:r>
      <w:r w:rsidR="002D2C7C" w:rsidRPr="00096869">
        <w:t xml:space="preserve">. </w:t>
      </w:r>
    </w:p>
    <w:p w14:paraId="3099E96D" w14:textId="77777777" w:rsidR="005963F0" w:rsidRPr="00096869" w:rsidRDefault="005963F0" w:rsidP="005963F0">
      <w:pPr>
        <w:pStyle w:val="ListParagraph"/>
        <w:ind w:left="0"/>
        <w:jc w:val="both"/>
        <w:rPr>
          <w:rFonts w:eastAsiaTheme="minorEastAsia"/>
          <w:lang w:eastAsia="ja-JP"/>
        </w:rPr>
      </w:pPr>
    </w:p>
    <w:p w14:paraId="33033FFA" w14:textId="77777777" w:rsidR="00DD1446" w:rsidRPr="00096869" w:rsidRDefault="00DD1446" w:rsidP="001F298F">
      <w:pPr>
        <w:pStyle w:val="Heading3"/>
        <w:rPr>
          <w:lang w:val="de-DE"/>
        </w:rPr>
      </w:pPr>
      <w:bookmarkStart w:id="16" w:name="_Toc210667565"/>
      <w:r w:rsidRPr="00096869">
        <w:rPr>
          <w:lang w:val="de-DE"/>
        </w:rPr>
        <w:lastRenderedPageBreak/>
        <w:t>Bestehende Leitlinien</w:t>
      </w:r>
      <w:bookmarkEnd w:id="16"/>
    </w:p>
    <w:p w14:paraId="1EBA237A" w14:textId="77777777" w:rsidR="00DD1446" w:rsidRPr="00096869" w:rsidRDefault="00DD1446" w:rsidP="001F298F">
      <w:pPr>
        <w:keepNext/>
      </w:pPr>
    </w:p>
    <w:p w14:paraId="65EFC800" w14:textId="77777777" w:rsidR="00DD1446" w:rsidRPr="00096869" w:rsidRDefault="00DD1446" w:rsidP="001F298F">
      <w:pPr>
        <w:keepNext/>
      </w:pPr>
      <w:r w:rsidRPr="00096869">
        <w:fldChar w:fldCharType="begin"/>
      </w:r>
      <w:r w:rsidRPr="00096869">
        <w:instrText xml:space="preserve"> AUTONUM  </w:instrText>
      </w:r>
      <w:r w:rsidRPr="00096869">
        <w:fldChar w:fldCharType="end"/>
      </w:r>
      <w:r w:rsidRPr="00096869">
        <w:tab/>
        <w:t>Die UPOV gibt derzeit folgende Leitlinien zur Vertraulichkeit molekularer Informationen heraus:</w:t>
      </w:r>
    </w:p>
    <w:p w14:paraId="3AD8892F" w14:textId="77777777" w:rsidR="00DD1446" w:rsidRPr="00096869" w:rsidRDefault="00DD1446" w:rsidP="001F298F">
      <w:pPr>
        <w:pStyle w:val="ListParagraph"/>
        <w:keepNext/>
        <w:ind w:left="0"/>
        <w:jc w:val="both"/>
        <w:rPr>
          <w:rFonts w:eastAsiaTheme="minorEastAsia"/>
          <w:lang w:eastAsia="ja-JP"/>
        </w:rPr>
      </w:pPr>
    </w:p>
    <w:p w14:paraId="20139A1B" w14:textId="77777777" w:rsidR="00DD1446" w:rsidRPr="00096869" w:rsidRDefault="00DD1446" w:rsidP="00BF7C58">
      <w:pPr>
        <w:pStyle w:val="ListParagraph"/>
        <w:keepNext/>
        <w:ind w:left="0" w:firstLine="567"/>
        <w:jc w:val="both"/>
        <w:rPr>
          <w:rFonts w:eastAsiaTheme="minorEastAsia"/>
          <w:lang w:eastAsia="ja-JP"/>
        </w:rPr>
      </w:pPr>
      <w:r w:rsidRPr="00096869">
        <w:rPr>
          <w:rFonts w:eastAsiaTheme="minorEastAsia"/>
          <w:lang w:eastAsia="ja-JP"/>
        </w:rPr>
        <w:t>(a)</w:t>
      </w:r>
      <w:r w:rsidRPr="00096869">
        <w:rPr>
          <w:rFonts w:eastAsiaTheme="minorEastAsia"/>
          <w:lang w:eastAsia="ja-JP"/>
        </w:rPr>
        <w:tab/>
        <w:t xml:space="preserve">Dokument </w:t>
      </w:r>
      <w:hyperlink r:id="rId14" w:history="1">
        <w:r w:rsidRPr="00096869">
          <w:rPr>
            <w:rStyle w:val="Hyperlink"/>
            <w:rFonts w:eastAsiaTheme="minorEastAsia"/>
            <w:lang w:eastAsia="ja-JP"/>
          </w:rPr>
          <w:t>UPOV/INF/15/4</w:t>
        </w:r>
      </w:hyperlink>
      <w:r w:rsidRPr="00096869">
        <w:rPr>
          <w:rFonts w:eastAsiaTheme="minorEastAsia"/>
          <w:lang w:eastAsia="ja-JP"/>
        </w:rPr>
        <w:t xml:space="preserve"> „Leitlinien für die Mitglieder der UPOV“, Absatz 38:</w:t>
      </w:r>
    </w:p>
    <w:p w14:paraId="2B0BC2F8" w14:textId="77777777" w:rsidR="00DD1446" w:rsidRPr="00096869" w:rsidRDefault="00DD1446" w:rsidP="00BF7C58">
      <w:pPr>
        <w:pStyle w:val="ListParagraph"/>
        <w:keepNext/>
        <w:ind w:left="0"/>
        <w:jc w:val="both"/>
        <w:rPr>
          <w:rFonts w:eastAsiaTheme="minorEastAsia"/>
          <w:lang w:eastAsia="ja-JP"/>
        </w:rPr>
      </w:pPr>
    </w:p>
    <w:p w14:paraId="7D4370AB" w14:textId="1F74FC96" w:rsidR="00DD1446" w:rsidRPr="00096869" w:rsidRDefault="00DD1446" w:rsidP="00DD1446">
      <w:pPr>
        <w:pStyle w:val="ListParagraph"/>
        <w:ind w:left="1134"/>
        <w:jc w:val="both"/>
        <w:rPr>
          <w:rFonts w:eastAsiaTheme="minorEastAsia"/>
          <w:lang w:eastAsia="ja-JP"/>
        </w:rPr>
      </w:pPr>
      <w:r w:rsidRPr="00096869">
        <w:rPr>
          <w:rFonts w:eastAsiaTheme="minorEastAsia"/>
          <w:lang w:eastAsia="ja-JP"/>
        </w:rPr>
        <w:t>„38.</w:t>
      </w:r>
      <w:r w:rsidR="001F298F" w:rsidRPr="00096869">
        <w:rPr>
          <w:rFonts w:eastAsiaTheme="minorEastAsia"/>
          <w:lang w:eastAsia="ja-JP"/>
        </w:rPr>
        <w:tab/>
      </w:r>
      <w:r w:rsidRPr="00096869">
        <w:rPr>
          <w:rFonts w:eastAsiaTheme="minorEastAsia"/>
          <w:lang w:eastAsia="ja-JP"/>
        </w:rPr>
        <w:t>Wie in Artikel 12 dargelegt, kann die Behörde zum Zwecke der Prüfung vom Züchter verlangen, alle erforderlichen Informationen, Unterlagen oder Materialien vorzulegen. In diesem Zusammenhang sollten die Behörden geeignete Maßnahmen zur Wahrung der Vertraulichkeit in Betracht ziehen, beispielsweise in Bezug auf Informationen über die Abstammung.“</w:t>
      </w:r>
    </w:p>
    <w:p w14:paraId="1F464264" w14:textId="77777777" w:rsidR="00DD1446" w:rsidRPr="00096869" w:rsidRDefault="00DD1446" w:rsidP="00DD1446">
      <w:pPr>
        <w:pStyle w:val="ListParagraph"/>
        <w:ind w:left="0"/>
        <w:jc w:val="both"/>
        <w:rPr>
          <w:rFonts w:eastAsiaTheme="minorEastAsia"/>
          <w:lang w:eastAsia="ja-JP"/>
        </w:rPr>
      </w:pPr>
    </w:p>
    <w:p w14:paraId="656DA9F4" w14:textId="77777777" w:rsidR="00DD1446" w:rsidRPr="00096869" w:rsidRDefault="00DD1446" w:rsidP="00DD1446">
      <w:pPr>
        <w:pStyle w:val="ListParagraph"/>
        <w:tabs>
          <w:tab w:val="left" w:pos="1134"/>
        </w:tabs>
        <w:ind w:left="1134" w:hanging="567"/>
        <w:jc w:val="both"/>
        <w:rPr>
          <w:rFonts w:eastAsiaTheme="minorEastAsia"/>
          <w:lang w:eastAsia="ja-JP"/>
        </w:rPr>
      </w:pPr>
      <w:r w:rsidRPr="00096869">
        <w:rPr>
          <w:rFonts w:eastAsiaTheme="minorEastAsia"/>
          <w:lang w:eastAsia="ja-JP"/>
        </w:rPr>
        <w:t>(b)</w:t>
      </w:r>
      <w:r w:rsidRPr="00096869">
        <w:rPr>
          <w:rFonts w:eastAsiaTheme="minorEastAsia"/>
          <w:lang w:eastAsia="ja-JP"/>
        </w:rPr>
        <w:tab/>
        <w:t xml:space="preserve">Dokument </w:t>
      </w:r>
      <w:hyperlink r:id="rId15" w:history="1">
        <w:r w:rsidRPr="00096869">
          <w:rPr>
            <w:rStyle w:val="Hyperlink"/>
            <w:rFonts w:eastAsiaTheme="minorEastAsia"/>
            <w:lang w:eastAsia="ja-JP"/>
          </w:rPr>
          <w:t>TGP/5, Abschnitt 1/3</w:t>
        </w:r>
      </w:hyperlink>
      <w:r w:rsidRPr="00096869">
        <w:rPr>
          <w:rFonts w:eastAsiaTheme="minorEastAsia"/>
          <w:lang w:eastAsia="ja-JP"/>
        </w:rPr>
        <w:t xml:space="preserve"> „Musterverwaltungsvereinbarung für die internationale Zusammenarbeit bei der Prüfung von Sorten“, Artikel 4:</w:t>
      </w:r>
    </w:p>
    <w:p w14:paraId="3B1DD540" w14:textId="77777777" w:rsidR="00DD1446" w:rsidRPr="00096869" w:rsidRDefault="00DD1446" w:rsidP="00DD1446">
      <w:pPr>
        <w:pStyle w:val="ListParagraph"/>
        <w:ind w:left="0"/>
        <w:jc w:val="both"/>
        <w:rPr>
          <w:rFonts w:eastAsiaTheme="minorEastAsia"/>
          <w:lang w:eastAsia="ja-JP"/>
        </w:rPr>
      </w:pPr>
    </w:p>
    <w:p w14:paraId="028AC967" w14:textId="77777777" w:rsidR="00DD1446" w:rsidRPr="00096869" w:rsidRDefault="00DD1446" w:rsidP="00DD1446">
      <w:pPr>
        <w:pStyle w:val="ListParagraph"/>
        <w:ind w:left="1134"/>
        <w:jc w:val="both"/>
        <w:rPr>
          <w:rFonts w:eastAsiaTheme="minorEastAsia"/>
          <w:lang w:eastAsia="ja-JP"/>
        </w:rPr>
      </w:pPr>
      <w:r w:rsidRPr="00096869">
        <w:rPr>
          <w:rFonts w:eastAsiaTheme="minorEastAsia"/>
          <w:lang w:eastAsia="ja-JP"/>
        </w:rPr>
        <w:t xml:space="preserve">„(1) Die Behörden treffen alle erforderlichen Maßnahmen, um die Rechte des Antragstellers zu schützen.“ </w:t>
      </w:r>
    </w:p>
    <w:p w14:paraId="215D1D08" w14:textId="77777777" w:rsidR="00DD1446" w:rsidRPr="00096869" w:rsidRDefault="00DD1446" w:rsidP="00DD1446">
      <w:pPr>
        <w:pStyle w:val="ListParagraph"/>
        <w:ind w:left="1134"/>
        <w:jc w:val="both"/>
        <w:rPr>
          <w:rFonts w:eastAsiaTheme="minorEastAsia"/>
          <w:lang w:eastAsia="ja-JP"/>
        </w:rPr>
      </w:pPr>
    </w:p>
    <w:p w14:paraId="0C2F809F" w14:textId="77777777" w:rsidR="00DD1446" w:rsidRPr="00096869" w:rsidRDefault="00DD1446" w:rsidP="00DD1446">
      <w:pPr>
        <w:pStyle w:val="ListParagraph"/>
        <w:ind w:left="1134"/>
        <w:jc w:val="both"/>
        <w:rPr>
          <w:rFonts w:eastAsiaTheme="minorEastAsia"/>
          <w:lang w:eastAsia="ja-JP"/>
        </w:rPr>
      </w:pPr>
      <w:r w:rsidRPr="00096869">
        <w:rPr>
          <w:rFonts w:eastAsiaTheme="minorEastAsia"/>
          <w:lang w:eastAsia="ja-JP"/>
        </w:rPr>
        <w:t>„(2) Außer mit ausdrücklicher Genehmigung der empfangenden Behörde und des Antragstellers darf die ausführende Behörde kein Material, einschließlich DNA, oder molekulare Informationen über die Sorten, für die eine Prüfung beantragt wurde, an Dritte weitergeben.“</w:t>
      </w:r>
    </w:p>
    <w:p w14:paraId="15660D89" w14:textId="77777777" w:rsidR="00DD1446" w:rsidRPr="00096869" w:rsidRDefault="00DD1446" w:rsidP="00DD1446">
      <w:pPr>
        <w:pStyle w:val="ListParagraph"/>
        <w:ind w:left="0"/>
        <w:jc w:val="both"/>
        <w:rPr>
          <w:rFonts w:eastAsiaTheme="minorEastAsia"/>
          <w:lang w:eastAsia="ja-JP"/>
        </w:rPr>
      </w:pPr>
    </w:p>
    <w:p w14:paraId="6A2A8338" w14:textId="77777777" w:rsidR="007C0689" w:rsidRPr="00096869" w:rsidRDefault="007C0689" w:rsidP="00EF4B00">
      <w:pPr>
        <w:rPr>
          <w:lang w:eastAsia="ja-JP"/>
        </w:rPr>
      </w:pPr>
    </w:p>
    <w:p w14:paraId="0D861CBE" w14:textId="1BC309ED" w:rsidR="00EF4B00" w:rsidRPr="00096869" w:rsidRDefault="00EF4B00" w:rsidP="00642CEF">
      <w:pPr>
        <w:pStyle w:val="Heading2"/>
        <w:rPr>
          <w:lang w:val="de-DE" w:eastAsia="ja-JP"/>
        </w:rPr>
      </w:pPr>
      <w:bookmarkStart w:id="17" w:name="_Toc177773944"/>
      <w:bookmarkStart w:id="18" w:name="_Toc210667566"/>
      <w:r w:rsidRPr="00096869">
        <w:rPr>
          <w:lang w:val="de-DE" w:eastAsia="ja-JP"/>
        </w:rPr>
        <w:t>Entwicklungen in den technischen Arbeitsgruppen auf ihren Tagungen im Jahr 202</w:t>
      </w:r>
      <w:bookmarkEnd w:id="17"/>
      <w:r w:rsidR="00F9705D" w:rsidRPr="00096869">
        <w:rPr>
          <w:rFonts w:hint="eastAsia"/>
          <w:lang w:val="de-DE" w:eastAsia="ja-JP"/>
        </w:rPr>
        <w:t>5</w:t>
      </w:r>
      <w:bookmarkEnd w:id="18"/>
    </w:p>
    <w:p w14:paraId="6D096396" w14:textId="77777777" w:rsidR="00EF4B00" w:rsidRPr="00096869" w:rsidRDefault="00EF4B00" w:rsidP="00642CEF">
      <w:pPr>
        <w:keepNext/>
        <w:jc w:val="left"/>
      </w:pPr>
    </w:p>
    <w:p w14:paraId="187CEC14" w14:textId="102EDFD8" w:rsidR="006D0B09" w:rsidRPr="00096869" w:rsidRDefault="00C161BF" w:rsidP="00642CEF">
      <w:pPr>
        <w:keepNext/>
      </w:pPr>
      <w:r w:rsidRPr="00096869">
        <w:fldChar w:fldCharType="begin"/>
      </w:r>
      <w:r w:rsidRPr="00096869">
        <w:instrText xml:space="preserve"> AUTONUM  </w:instrText>
      </w:r>
      <w:r w:rsidRPr="00096869">
        <w:fldChar w:fldCharType="end"/>
      </w:r>
      <w:r w:rsidRPr="00096869">
        <w:tab/>
        <w:t xml:space="preserve">Die </w:t>
      </w:r>
      <w:r w:rsidRPr="00096869">
        <w:rPr>
          <w:rFonts w:hint="eastAsia"/>
          <w:lang w:eastAsia="ja-JP"/>
        </w:rPr>
        <w:t>TWO</w:t>
      </w:r>
      <w:r w:rsidRPr="00096869">
        <w:rPr>
          <w:rStyle w:val="FootnoteReference"/>
          <w:lang w:eastAsia="ja-JP"/>
        </w:rPr>
        <w:footnoteReference w:id="11"/>
      </w:r>
      <w:r w:rsidR="00392435" w:rsidRPr="00096869">
        <w:t xml:space="preserve"> kam </w:t>
      </w:r>
      <w:r w:rsidRPr="00096869">
        <w:t xml:space="preserve">auf ihrer </w:t>
      </w:r>
      <w:r w:rsidRPr="00096869">
        <w:rPr>
          <w:rFonts w:hint="eastAsia"/>
          <w:lang w:eastAsia="ja-JP"/>
        </w:rPr>
        <w:t xml:space="preserve">siebenundfünfzigsten </w:t>
      </w:r>
      <w:r w:rsidRPr="00096869">
        <w:t xml:space="preserve">Tagung </w:t>
      </w:r>
      <w:r w:rsidR="00392435" w:rsidRPr="00096869">
        <w:t>überein</w:t>
      </w:r>
      <w:r w:rsidRPr="00096869">
        <w:t>,</w:t>
      </w:r>
      <w:r w:rsidR="00392435" w:rsidRPr="00096869">
        <w:t xml:space="preserve"> dass die Nutzung von DNA-basierten Informationen für die internationale Zusammenarbeit bei der Sortenprüfung wichtig ist. Die TWO erörterte, wie DNA-basierte Informationen zwischen den UPOV-Mitgliedern ausgetauscht </w:t>
      </w:r>
      <w:r w:rsidR="6D2E54D7" w:rsidRPr="00096869">
        <w:t>werden</w:t>
      </w:r>
      <w:r w:rsidR="77C10F92" w:rsidRPr="00096869">
        <w:t xml:space="preserve"> könnten</w:t>
      </w:r>
      <w:r w:rsidR="00392435" w:rsidRPr="00096869">
        <w:t>, und nahm das Angebot von Züchterorganisationen zur gemeinsamen Entwicklung molekularer Marker zur Kenntnis, die keine Rückschlüsse auf die Züchtungsstrategien einzelner Züchter zulassen.</w:t>
      </w:r>
    </w:p>
    <w:p w14:paraId="53766F18" w14:textId="77777777" w:rsidR="00395C92" w:rsidRPr="00096869" w:rsidRDefault="00395C92" w:rsidP="00392435"/>
    <w:p w14:paraId="72301553" w14:textId="714E0DAC" w:rsidR="005B6C70" w:rsidRPr="00096869" w:rsidRDefault="00395C92" w:rsidP="00392435">
      <w:r w:rsidRPr="00096869">
        <w:fldChar w:fldCharType="begin"/>
      </w:r>
      <w:r w:rsidRPr="00096869">
        <w:instrText xml:space="preserve"> AUTONUM  </w:instrText>
      </w:r>
      <w:r w:rsidRPr="00096869">
        <w:fldChar w:fldCharType="end"/>
      </w:r>
      <w:r w:rsidRPr="00096869">
        <w:tab/>
      </w:r>
      <w:r w:rsidR="00392435" w:rsidRPr="00096869">
        <w:t xml:space="preserve">Die TWO nahm die bestehenden Leitlinien zur Vertraulichkeit molekularer Informationen in den UPOV-Dokumenten UPOV/INF/15 „Leitlinien für die Mitglieder der UPOV“ und TGP/5, Abschnitt 1 „Musterverwaltungsvereinbarung für die internationale Zusammenarbeit bei der Prüfung von Sorten“ zur Kenntnis.  Die TWO nahm den Vorschlag der Züchterorganisationen zur Kenntnis, das von der Europäischen Union entwickelte </w:t>
      </w:r>
      <w:r w:rsidR="3DAF4DD3" w:rsidRPr="00096869">
        <w:t xml:space="preserve">Dokument </w:t>
      </w:r>
      <w:r w:rsidR="4F0F013D" w:rsidRPr="00096869">
        <w:t xml:space="preserve">„Politik zum Status von Pflanzenmaterial, das für DUS-Prüfungszwecke eingereicht </w:t>
      </w:r>
      <w:r w:rsidR="1B45E346" w:rsidRPr="00096869">
        <w:t xml:space="preserve">wird” </w:t>
      </w:r>
      <w:r w:rsidR="00392435" w:rsidRPr="00096869">
        <w:t>als Beispiel für die künftige Entwicklung eines gemeinsamen Modells zu berücksichtigen.</w:t>
      </w:r>
    </w:p>
    <w:p w14:paraId="4D3D54AE" w14:textId="77777777" w:rsidR="00B66ECE" w:rsidRPr="00096869" w:rsidRDefault="00B66ECE" w:rsidP="00392435">
      <w:pPr>
        <w:rPr>
          <w:iCs/>
        </w:rPr>
      </w:pPr>
    </w:p>
    <w:p w14:paraId="52B6548A" w14:textId="1BF85027" w:rsidR="005B6C70" w:rsidRPr="00096869" w:rsidRDefault="008A52E0" w:rsidP="00F6446D">
      <w:pPr>
        <w:rPr>
          <w:lang w:eastAsia="ja-JP"/>
        </w:rPr>
      </w:pPr>
      <w:r w:rsidRPr="00096869">
        <w:fldChar w:fldCharType="begin"/>
      </w:r>
      <w:r w:rsidRPr="00096869">
        <w:instrText xml:space="preserve"> AUTONUM  </w:instrText>
      </w:r>
      <w:r w:rsidRPr="00096869">
        <w:fldChar w:fldCharType="end"/>
      </w:r>
      <w:r w:rsidRPr="00096869">
        <w:tab/>
      </w:r>
      <w:r w:rsidR="005B6C70" w:rsidRPr="00096869">
        <w:rPr>
          <w:lang w:eastAsia="ja-JP"/>
        </w:rPr>
        <w:t>D</w:t>
      </w:r>
      <w:r w:rsidR="000B540A">
        <w:rPr>
          <w:lang w:eastAsia="ja-JP"/>
        </w:rPr>
        <w:t>ie</w:t>
      </w:r>
      <w:r w:rsidR="005B6C70" w:rsidRPr="00096869">
        <w:rPr>
          <w:lang w:eastAsia="ja-JP"/>
        </w:rPr>
        <w:t xml:space="preserve"> TWM</w:t>
      </w:r>
      <w:r w:rsidR="00A655A8" w:rsidRPr="00096869">
        <w:rPr>
          <w:rStyle w:val="FootnoteReference"/>
          <w:lang w:eastAsia="ja-JP"/>
        </w:rPr>
        <w:footnoteReference w:id="12"/>
      </w:r>
      <w:r w:rsidR="00173C8F" w:rsidRPr="00096869">
        <w:rPr>
          <w:rFonts w:hint="eastAsia"/>
          <w:lang w:eastAsia="ja-JP"/>
        </w:rPr>
        <w:t xml:space="preserve"> </w:t>
      </w:r>
      <w:r w:rsidR="00F6446D" w:rsidRPr="00096869">
        <w:rPr>
          <w:lang w:eastAsia="ja-JP"/>
        </w:rPr>
        <w:t>erinnerte</w:t>
      </w:r>
      <w:r w:rsidR="00173C8F" w:rsidRPr="00096869">
        <w:rPr>
          <w:rFonts w:hint="eastAsia"/>
          <w:lang w:eastAsia="ja-JP"/>
        </w:rPr>
        <w:t xml:space="preserve"> auf seiner dritten Tagung </w:t>
      </w:r>
      <w:r w:rsidR="00F6446D" w:rsidRPr="00096869">
        <w:rPr>
          <w:lang w:eastAsia="ja-JP"/>
        </w:rPr>
        <w:t>an die UPOV-Leitlinien zur Vertraulichkeit molekularer Informationen</w:t>
      </w:r>
      <w:r w:rsidR="00173C8F" w:rsidRPr="00096869">
        <w:rPr>
          <w:rFonts w:hint="eastAsia"/>
          <w:lang w:eastAsia="ja-JP"/>
        </w:rPr>
        <w:t>,</w:t>
      </w:r>
      <w:r w:rsidR="00F6446D" w:rsidRPr="00096869">
        <w:rPr>
          <w:lang w:eastAsia="ja-JP"/>
        </w:rPr>
        <w:t xml:space="preserve"> die in den Dokumenten TGP/5, Abschnitt 1 „Musterverwaltungsvereinbarung für die internationale Zusammenarbeit bei der Prüfung von Sorten“ und INF/15 „Leitlinien für die Mitglieder der UPOV“ enthalten sind.  Die TWM stellte fest, dass ihr keine Berichte über die Vertraulichkeit molekularer Informationen vorgelegt worden waren, und kam überein, dass es wichtig sei, die Vertraulichkeit von Elternlinien und Hybridformeln zu wahren. Die TWM stellte fest, dass eine ähnliche Diskussion bei der OECD geführt werde.</w:t>
      </w:r>
    </w:p>
    <w:p w14:paraId="2917A6D2" w14:textId="77777777" w:rsidR="005B6C70" w:rsidRPr="00096869" w:rsidRDefault="005B6C70" w:rsidP="00EF4B00">
      <w:pPr>
        <w:rPr>
          <w:lang w:eastAsia="ja-JP"/>
        </w:rPr>
      </w:pPr>
    </w:p>
    <w:p w14:paraId="73DB8C4D" w14:textId="2F86E41B" w:rsidR="00CB0DEE" w:rsidRPr="00096869" w:rsidRDefault="008A52E0" w:rsidP="00CB0DEE">
      <w:r w:rsidRPr="00096869">
        <w:fldChar w:fldCharType="begin"/>
      </w:r>
      <w:r w:rsidRPr="00096869">
        <w:instrText xml:space="preserve"> AUTONUM  </w:instrText>
      </w:r>
      <w:r w:rsidRPr="00096869">
        <w:fldChar w:fldCharType="end"/>
      </w:r>
      <w:r w:rsidRPr="00096869">
        <w:tab/>
      </w:r>
      <w:r w:rsidR="003F18BE" w:rsidRPr="00096869">
        <w:t>D</w:t>
      </w:r>
      <w:r w:rsidR="000B540A">
        <w:t>ie</w:t>
      </w:r>
      <w:r w:rsidR="003F18BE" w:rsidRPr="00096869">
        <w:t xml:space="preserve"> TWV</w:t>
      </w:r>
      <w:r w:rsidR="003F18BE" w:rsidRPr="00096869">
        <w:rPr>
          <w:rStyle w:val="FootnoteReference"/>
        </w:rPr>
        <w:footnoteReference w:id="13"/>
      </w:r>
      <w:r w:rsidR="003F18BE" w:rsidRPr="00096869">
        <w:t xml:space="preserve"> </w:t>
      </w:r>
      <w:r w:rsidR="00CB0DEE" w:rsidRPr="00096869">
        <w:t xml:space="preserve">stellte </w:t>
      </w:r>
      <w:r w:rsidR="003F18BE" w:rsidRPr="00096869">
        <w:t xml:space="preserve">auf seiner </w:t>
      </w:r>
      <w:r w:rsidR="003F18BE" w:rsidRPr="00096869">
        <w:rPr>
          <w:rFonts w:hint="eastAsia"/>
          <w:lang w:eastAsia="ja-JP"/>
        </w:rPr>
        <w:t xml:space="preserve">neunundfünfzigsten </w:t>
      </w:r>
      <w:r w:rsidR="003F18BE" w:rsidRPr="00096869">
        <w:t xml:space="preserve">Tagung </w:t>
      </w:r>
      <w:r w:rsidR="00CB0DEE" w:rsidRPr="00096869">
        <w:t>fest</w:t>
      </w:r>
      <w:r w:rsidR="003F18BE" w:rsidRPr="00096869">
        <w:t>,</w:t>
      </w:r>
      <w:r w:rsidR="00CB0DEE" w:rsidRPr="00096869">
        <w:t xml:space="preserve"> dass vor der TWV-Tagung keine Berichte über bestehende Richtlinien zur Vertraulichkeit molekularer Informationen vorgelegt worden waren.</w:t>
      </w:r>
    </w:p>
    <w:p w14:paraId="1022033F" w14:textId="77777777" w:rsidR="00CE357F" w:rsidRPr="00096869" w:rsidRDefault="00CE357F" w:rsidP="00CB0DEE"/>
    <w:p w14:paraId="65108B44" w14:textId="2C6E33E2" w:rsidR="00CB0DEE" w:rsidRPr="00096869" w:rsidRDefault="00CE357F" w:rsidP="00CB0DEE">
      <w:r w:rsidRPr="00096869">
        <w:fldChar w:fldCharType="begin"/>
      </w:r>
      <w:r w:rsidRPr="00096869">
        <w:instrText xml:space="preserve"> AUTONUM  </w:instrText>
      </w:r>
      <w:r w:rsidRPr="00096869">
        <w:fldChar w:fldCharType="end"/>
      </w:r>
      <w:r w:rsidRPr="00096869">
        <w:tab/>
      </w:r>
      <w:r w:rsidR="00CB0DEE" w:rsidRPr="00096869">
        <w:t>Die TWV nahm den Bericht Japans zur Kenntnis, wonach die Verwendung von DNA-basierten Informationen als Teil der für den Sortenschutz bereitzustellenden Informationen in Erwägung gezogen werde. Die TWV stellte fest, dass Japan diese Informationen als nützlich für die Ausübung der Züchterrechte erachte.</w:t>
      </w:r>
    </w:p>
    <w:p w14:paraId="3D1AEDDF" w14:textId="77777777" w:rsidR="00D43671" w:rsidRPr="00096869" w:rsidRDefault="00D43671" w:rsidP="00CB0DEE"/>
    <w:p w14:paraId="4C6C5E3E" w14:textId="1AC93581" w:rsidR="00F94824" w:rsidRPr="00096869" w:rsidRDefault="00D43671" w:rsidP="00CB0DEE">
      <w:r w:rsidRPr="00096869">
        <w:fldChar w:fldCharType="begin"/>
      </w:r>
      <w:r w:rsidRPr="00096869">
        <w:instrText xml:space="preserve"> AUTONUM  </w:instrText>
      </w:r>
      <w:r w:rsidRPr="00096869">
        <w:fldChar w:fldCharType="end"/>
      </w:r>
      <w:r w:rsidRPr="00096869">
        <w:tab/>
      </w:r>
      <w:r w:rsidR="00CB0DEE" w:rsidRPr="00096869">
        <w:t xml:space="preserve">Die TWV nahm die von den Züchterorganisationen geäußerte Besorgnis über die Offenlegung der Quellen des von Züchtern in verschiedenen Züchtungsprogrammen verwendeten Keimplasmas zur Kenntnis. Die TWV kam überein, dass Züchter in die Auswahl molekularer Marker für die Sortenidentifizierung und die Verwaltung von Sortensammlungen einbezogen werden sollten, insbesondere wenn solche Informationen öffentlich zugänglich gemacht werden. </w:t>
      </w:r>
    </w:p>
    <w:p w14:paraId="5FB1DDB1" w14:textId="77777777" w:rsidR="00F94824" w:rsidRPr="00096869" w:rsidRDefault="00F94824" w:rsidP="00CB0DEE"/>
    <w:p w14:paraId="14E1E946" w14:textId="34164585" w:rsidR="005B6C70" w:rsidRPr="00096869" w:rsidRDefault="00F94824" w:rsidP="00CB0DEE">
      <w:pPr>
        <w:rPr>
          <w:lang w:eastAsia="ja-JP"/>
        </w:rPr>
      </w:pPr>
      <w:r w:rsidRPr="00096869">
        <w:lastRenderedPageBreak/>
        <w:fldChar w:fldCharType="begin"/>
      </w:r>
      <w:r w:rsidRPr="00096869">
        <w:instrText xml:space="preserve"> AUTONUM  </w:instrText>
      </w:r>
      <w:r w:rsidRPr="00096869">
        <w:fldChar w:fldCharType="end"/>
      </w:r>
      <w:r w:rsidRPr="00096869">
        <w:tab/>
      </w:r>
      <w:r w:rsidR="00CB0DEE" w:rsidRPr="00096869">
        <w:t>Die TWV erinnerte daran, dass die Entwicklung der UPOV-Leitlinien auf Beispielen und Erfahrungen von UPOV-Mitgliedern und Beobachtern beruhte. Die TWV kam überein, dass verschiedene Ansätze für die Diskussion über die Vertraulichkeit molekularer Informationen in Betracht gezogen werden sollten, beispielsweise konkrete Fälle und spezifische Situationen, die von den Züchterorganisationen identifiziert wurden.</w:t>
      </w:r>
    </w:p>
    <w:p w14:paraId="485274D3" w14:textId="77777777" w:rsidR="0012713E" w:rsidRPr="00096869" w:rsidRDefault="0012713E" w:rsidP="0012713E">
      <w:pPr>
        <w:pStyle w:val="ListParagraph"/>
        <w:ind w:left="0"/>
        <w:rPr>
          <w:rFonts w:eastAsiaTheme="minorEastAsia"/>
          <w:lang w:eastAsia="ja-JP"/>
        </w:rPr>
      </w:pPr>
    </w:p>
    <w:p w14:paraId="0F477E1E" w14:textId="64E9B167" w:rsidR="000346AB" w:rsidRPr="00096869" w:rsidRDefault="00B73C40" w:rsidP="001F298F">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r>
      <w:r w:rsidR="0012713E" w:rsidRPr="00096869">
        <w:rPr>
          <w:rFonts w:eastAsiaTheme="minorEastAsia" w:hint="eastAsia"/>
          <w:lang w:eastAsia="ja-JP"/>
        </w:rPr>
        <w:t xml:space="preserve">Die </w:t>
      </w:r>
      <w:r w:rsidR="0012713E" w:rsidRPr="00096869">
        <w:t>TWA</w:t>
      </w:r>
      <w:r w:rsidR="0012713E" w:rsidRPr="00096869">
        <w:rPr>
          <w:rStyle w:val="FootnoteReference"/>
        </w:rPr>
        <w:footnoteReference w:id="14"/>
      </w:r>
      <w:r w:rsidR="0012713E" w:rsidRPr="00096869">
        <w:t xml:space="preserve"> </w:t>
      </w:r>
      <w:r w:rsidR="00915C02" w:rsidRPr="00096869">
        <w:t xml:space="preserve">nahm </w:t>
      </w:r>
      <w:r w:rsidR="0012713E" w:rsidRPr="00096869">
        <w:t xml:space="preserve">auf ihrer </w:t>
      </w:r>
      <w:r w:rsidR="0012713E" w:rsidRPr="00096869">
        <w:rPr>
          <w:rFonts w:eastAsiaTheme="minorEastAsia" w:hint="eastAsia"/>
          <w:lang w:eastAsia="ja-JP"/>
        </w:rPr>
        <w:t xml:space="preserve">vierundfünfzigsten </w:t>
      </w:r>
      <w:r w:rsidR="0012713E" w:rsidRPr="00096869">
        <w:t xml:space="preserve">Tagung </w:t>
      </w:r>
      <w:r w:rsidR="00915C02" w:rsidRPr="00096869">
        <w:t xml:space="preserve">die Berichte der Europäischen Union, Deutschlands und des Vereinigten Königreichs zur Kenntnis, wonach ihre innerstaatlichen Richtlinien für Pflanzenmaterial und Daten, die bei der DUS-Prüfung verwendet werden, auch molekulare Informationen umfassen. Die TWA stellte fest, dass in der Europäischen Union der technische Fragebogen den Antragstellern die Möglichkeit bietet, Informationen auszuwählen, die vertraulich behandelt werden sollen, und dass die Richtlinie für Pflanzenmaterial bei der DUS-Prüfung online verfügbar ist, wie in Dokument TWA/54/2 berichtet. „Berichte von Mitgliedern und Beobachtern” (siehe: </w:t>
      </w:r>
      <w:hyperlink r:id="rId16" w:history="1">
        <w:r w:rsidR="000346AB" w:rsidRPr="00096869">
          <w:rPr>
            <w:rStyle w:val="Hyperlink"/>
          </w:rPr>
          <w:t>https://cpvo.europa.eu/en/cpvo-policy-status-plant-material-used-dus-testing-purposes)</w:t>
        </w:r>
      </w:hyperlink>
      <w:r w:rsidR="00915C02" w:rsidRPr="00096869">
        <w:t>.</w:t>
      </w:r>
    </w:p>
    <w:p w14:paraId="78D0B198" w14:textId="77777777" w:rsidR="000346AB" w:rsidRPr="00096869" w:rsidRDefault="000346AB" w:rsidP="00915C02">
      <w:pPr>
        <w:pStyle w:val="ListParagraph"/>
        <w:ind w:left="0"/>
        <w:jc w:val="both"/>
        <w:rPr>
          <w:rFonts w:eastAsiaTheme="minorEastAsia"/>
          <w:lang w:eastAsia="ja-JP"/>
        </w:rPr>
      </w:pPr>
    </w:p>
    <w:p w14:paraId="660E98AF" w14:textId="77777777" w:rsidR="000346AB" w:rsidRPr="00096869" w:rsidRDefault="000346AB" w:rsidP="00915C02">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r>
      <w:r w:rsidR="00915C02" w:rsidRPr="00096869">
        <w:t>Die TWA nahm die Berichte Brasiliens und Kanadas zur Kenntnis, wonach es in diesen Ländern keine spezifischen Richtlinien hinsichtlich der Vertraulichkeit molekularer Informationen über Pflanzenmaterial und Daten, die bei der DUS-Prüfung verwendet werden, gibt. Die TWA stellte fest, dass Brasilien und Kanada von den Antragstellern keine DNA-basierten Informationen anfordern.</w:t>
      </w:r>
    </w:p>
    <w:p w14:paraId="16606114" w14:textId="77777777" w:rsidR="000346AB" w:rsidRPr="00096869" w:rsidRDefault="000346AB" w:rsidP="00915C02">
      <w:pPr>
        <w:pStyle w:val="ListParagraph"/>
        <w:ind w:left="0"/>
        <w:jc w:val="both"/>
        <w:rPr>
          <w:rFonts w:eastAsiaTheme="minorEastAsia"/>
          <w:lang w:eastAsia="ja-JP"/>
        </w:rPr>
      </w:pPr>
    </w:p>
    <w:p w14:paraId="7B5E65A7" w14:textId="655FF190" w:rsidR="0012713E" w:rsidRPr="00096869" w:rsidRDefault="000346AB" w:rsidP="00915C02">
      <w:pPr>
        <w:pStyle w:val="ListParagraph"/>
        <w:ind w:left="0"/>
        <w:jc w:val="both"/>
      </w:pPr>
      <w:r w:rsidRPr="00096869">
        <w:fldChar w:fldCharType="begin"/>
      </w:r>
      <w:r w:rsidRPr="00096869">
        <w:instrText xml:space="preserve"> AUTONUM  </w:instrText>
      </w:r>
      <w:r w:rsidRPr="00096869">
        <w:fldChar w:fldCharType="end"/>
      </w:r>
      <w:r w:rsidRPr="00096869">
        <w:tab/>
      </w:r>
      <w:r w:rsidR="00915C02" w:rsidRPr="00096869">
        <w:t>Die TWA erörterte die Möglichkeit, eine Umfrage unter den UPOV-Mitgliedern durchzuführen, um über bestehende Richtlinien zur Vertraulichkeit molekularer Informationen zu berichten. Die TWA kam überein, dass weitere Diskussionen über den Umfang und die Ziele einer Umfrage erforderlich seien, beispielsweise um relevante Szenarien für eine verstärkte Beteiligung an den Diskussionen zu ermitteln.</w:t>
      </w:r>
    </w:p>
    <w:p w14:paraId="6F6EA91B" w14:textId="77777777" w:rsidR="0012713E" w:rsidRPr="00096869" w:rsidRDefault="0012713E" w:rsidP="0012713E"/>
    <w:p w14:paraId="68C550E5" w14:textId="7447B533" w:rsidR="00B52114" w:rsidRPr="00096869" w:rsidRDefault="0012713E" w:rsidP="00B52114">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r>
      <w:r w:rsidR="0EDE8B78" w:rsidRPr="00096869">
        <w:rPr>
          <w:rFonts w:eastAsiaTheme="minorEastAsia"/>
          <w:lang w:eastAsia="ja-JP"/>
        </w:rPr>
        <w:t xml:space="preserve">Die </w:t>
      </w:r>
      <w:r w:rsidR="0EDE8B78" w:rsidRPr="00096869">
        <w:t>TWF</w:t>
      </w:r>
      <w:r w:rsidRPr="00096869">
        <w:rPr>
          <w:rStyle w:val="FootnoteReference"/>
        </w:rPr>
        <w:footnoteReference w:id="15"/>
      </w:r>
      <w:r w:rsidR="0EDE8B78" w:rsidRPr="00096869">
        <w:t xml:space="preserve"> </w:t>
      </w:r>
      <w:r w:rsidR="0EDE8B78" w:rsidRPr="00096869">
        <w:rPr>
          <w:rFonts w:eastAsiaTheme="minorEastAsia"/>
          <w:lang w:eastAsia="ja-JP"/>
        </w:rPr>
        <w:t xml:space="preserve">stellte </w:t>
      </w:r>
      <w:r w:rsidR="0EDE8B78" w:rsidRPr="00096869">
        <w:t xml:space="preserve">auf ihrer </w:t>
      </w:r>
      <w:r w:rsidR="0EDE8B78" w:rsidRPr="00096869">
        <w:rPr>
          <w:rFonts w:eastAsiaTheme="minorEastAsia"/>
          <w:lang w:eastAsia="ja-JP"/>
        </w:rPr>
        <w:t xml:space="preserve">sechsundfünfzigsten </w:t>
      </w:r>
      <w:r w:rsidR="0EDE8B78" w:rsidRPr="00096869">
        <w:t xml:space="preserve">Tagung </w:t>
      </w:r>
      <w:r w:rsidR="0EDE8B78" w:rsidRPr="00096869">
        <w:rPr>
          <w:rFonts w:eastAsiaTheme="minorEastAsia"/>
          <w:lang w:eastAsia="ja-JP"/>
        </w:rPr>
        <w:t>fest</w:t>
      </w:r>
      <w:r w:rsidR="0EDE8B78" w:rsidRPr="00096869">
        <w:t>,</w:t>
      </w:r>
      <w:r w:rsidR="0EDE8B78" w:rsidRPr="00096869">
        <w:rPr>
          <w:rFonts w:eastAsiaTheme="minorEastAsia"/>
          <w:lang w:eastAsia="ja-JP"/>
        </w:rPr>
        <w:t xml:space="preserve"> </w:t>
      </w:r>
      <w:r w:rsidR="5CE26707" w:rsidRPr="00096869">
        <w:rPr>
          <w:rFonts w:eastAsiaTheme="minorEastAsia"/>
          <w:lang w:eastAsia="ja-JP"/>
        </w:rPr>
        <w:t>dass die UPOV-Mitglieder und Beobachter aufgefordert wurden, auf den TWP-Tagungen im Jahr 2025 Beispiele für Richtlinien zur Vertraulichkeit und zum Zugang zu molekularen Daten vorzulegen.</w:t>
      </w:r>
    </w:p>
    <w:p w14:paraId="40566C3F" w14:textId="77777777" w:rsidR="00695D23" w:rsidRPr="00096869" w:rsidRDefault="00695D23" w:rsidP="009F76CF">
      <w:pPr>
        <w:pStyle w:val="ListParagraph"/>
        <w:ind w:left="0"/>
        <w:jc w:val="both"/>
        <w:rPr>
          <w:rFonts w:eastAsiaTheme="minorEastAsia"/>
          <w:lang w:eastAsia="ja-JP"/>
        </w:rPr>
      </w:pPr>
    </w:p>
    <w:bookmarkStart w:id="20" w:name="_Toc460313637"/>
    <w:p w14:paraId="43BA9895" w14:textId="74444695" w:rsidR="00FA16FA" w:rsidRPr="00096869" w:rsidRDefault="00EF4B00" w:rsidP="00D2172E">
      <w:pPr>
        <w:tabs>
          <w:tab w:val="left" w:pos="5387"/>
          <w:tab w:val="left" w:pos="5954"/>
        </w:tabs>
        <w:ind w:left="4820"/>
        <w:rPr>
          <w:i/>
          <w:snapToGrid w:val="0"/>
          <w:lang w:eastAsia="ja-JP"/>
        </w:rPr>
      </w:pPr>
      <w:r w:rsidRPr="00096869">
        <w:rPr>
          <w:i/>
          <w:snapToGrid w:val="0"/>
          <w:lang w:eastAsia="ja-JP"/>
        </w:rPr>
        <w:fldChar w:fldCharType="begin"/>
      </w:r>
      <w:r w:rsidRPr="00096869">
        <w:rPr>
          <w:i/>
          <w:snapToGrid w:val="0"/>
          <w:lang w:eastAsia="ja-JP"/>
        </w:rPr>
        <w:instrText xml:space="preserve"> AUTONUM  </w:instrText>
      </w:r>
      <w:r w:rsidRPr="00096869">
        <w:rPr>
          <w:i/>
          <w:snapToGrid w:val="0"/>
          <w:lang w:eastAsia="ja-JP"/>
        </w:rPr>
        <w:fldChar w:fldCharType="end"/>
      </w:r>
      <w:r w:rsidRPr="00096869">
        <w:rPr>
          <w:i/>
          <w:snapToGrid w:val="0"/>
          <w:lang w:eastAsia="ja-JP"/>
        </w:rPr>
        <w:tab/>
      </w:r>
      <w:r w:rsidR="00FA16FA" w:rsidRPr="00096869">
        <w:rPr>
          <w:i/>
          <w:snapToGrid w:val="0"/>
          <w:lang w:eastAsia="ja-JP"/>
        </w:rPr>
        <w:t>Der</w:t>
      </w:r>
      <w:r w:rsidRPr="00096869">
        <w:rPr>
          <w:i/>
          <w:snapToGrid w:val="0"/>
          <w:lang w:eastAsia="ja-JP"/>
        </w:rPr>
        <w:t xml:space="preserve"> TC wird gebeten</w:t>
      </w:r>
      <w:r w:rsidR="00FD1193">
        <w:rPr>
          <w:i/>
          <w:snapToGrid w:val="0"/>
          <w:lang w:eastAsia="ja-JP"/>
        </w:rPr>
        <w:t>:</w:t>
      </w:r>
    </w:p>
    <w:p w14:paraId="6091C00E" w14:textId="77777777" w:rsidR="00FA16FA" w:rsidRPr="00096869" w:rsidRDefault="00FA16FA" w:rsidP="00D2172E">
      <w:pPr>
        <w:tabs>
          <w:tab w:val="left" w:pos="5387"/>
          <w:tab w:val="left" w:pos="5954"/>
        </w:tabs>
        <w:ind w:left="4820"/>
        <w:rPr>
          <w:i/>
          <w:snapToGrid w:val="0"/>
          <w:lang w:eastAsia="ja-JP"/>
        </w:rPr>
      </w:pPr>
    </w:p>
    <w:p w14:paraId="6B1344C0" w14:textId="73182E1B" w:rsidR="00B43354" w:rsidRPr="00096869" w:rsidRDefault="009D5FF3" w:rsidP="00DA7220">
      <w:pPr>
        <w:pStyle w:val="ListParagraph"/>
        <w:numPr>
          <w:ilvl w:val="0"/>
          <w:numId w:val="46"/>
        </w:numPr>
        <w:tabs>
          <w:tab w:val="left" w:pos="5387"/>
          <w:tab w:val="left" w:pos="5954"/>
        </w:tabs>
        <w:ind w:left="4820" w:firstLine="567"/>
        <w:jc w:val="both"/>
        <w:rPr>
          <w:i/>
          <w:snapToGrid w:val="0"/>
          <w:lang w:eastAsia="ja-JP"/>
        </w:rPr>
      </w:pPr>
      <w:r w:rsidRPr="00096869">
        <w:rPr>
          <w:i/>
          <w:snapToGrid w:val="0"/>
          <w:lang w:eastAsia="ja-JP"/>
        </w:rPr>
        <w:t xml:space="preserve">die Diskussionen </w:t>
      </w:r>
      <w:r w:rsidR="00EE21CC" w:rsidRPr="00096869">
        <w:rPr>
          <w:rFonts w:hint="eastAsia"/>
          <w:i/>
          <w:snapToGrid w:val="0"/>
          <w:lang w:eastAsia="ja-JP"/>
        </w:rPr>
        <w:t xml:space="preserve">über </w:t>
      </w:r>
      <w:r w:rsidR="00EE21CC" w:rsidRPr="00096869">
        <w:rPr>
          <w:i/>
          <w:snapToGrid w:val="0"/>
          <w:lang w:eastAsia="ja-JP"/>
        </w:rPr>
        <w:t xml:space="preserve">die Vertraulichkeit und das Eigentum an molekularen Informationen </w:t>
      </w:r>
      <w:r w:rsidR="001A1382" w:rsidRPr="00096869">
        <w:rPr>
          <w:rFonts w:hint="eastAsia"/>
          <w:i/>
          <w:snapToGrid w:val="0"/>
          <w:lang w:eastAsia="ja-JP"/>
        </w:rPr>
        <w:t xml:space="preserve">auf </w:t>
      </w:r>
      <w:r w:rsidR="001A1382" w:rsidRPr="00096869">
        <w:rPr>
          <w:i/>
          <w:snapToGrid w:val="0"/>
          <w:lang w:eastAsia="ja-JP"/>
        </w:rPr>
        <w:t xml:space="preserve">den </w:t>
      </w:r>
      <w:r w:rsidR="001A1382" w:rsidRPr="00096869">
        <w:rPr>
          <w:rFonts w:hint="eastAsia"/>
          <w:i/>
          <w:snapToGrid w:val="0"/>
          <w:lang w:eastAsia="ja-JP"/>
        </w:rPr>
        <w:t xml:space="preserve">TWP-Tagungen im Jahr 2025 </w:t>
      </w:r>
      <w:r w:rsidRPr="00096869">
        <w:rPr>
          <w:i/>
          <w:snapToGrid w:val="0"/>
          <w:lang w:eastAsia="ja-JP"/>
        </w:rPr>
        <w:t>zur Kenntnis zu nehmen</w:t>
      </w:r>
      <w:r w:rsidR="00FA16FA" w:rsidRPr="00096869">
        <w:rPr>
          <w:i/>
          <w:snapToGrid w:val="0"/>
          <w:lang w:eastAsia="ja-JP"/>
        </w:rPr>
        <w:t>;</w:t>
      </w:r>
    </w:p>
    <w:p w14:paraId="078C98DB" w14:textId="77777777" w:rsidR="00B43354" w:rsidRPr="00096869" w:rsidRDefault="00B43354" w:rsidP="00DA7220">
      <w:pPr>
        <w:tabs>
          <w:tab w:val="left" w:pos="5387"/>
          <w:tab w:val="left" w:pos="5954"/>
        </w:tabs>
        <w:ind w:left="4820" w:firstLine="567"/>
        <w:rPr>
          <w:i/>
          <w:snapToGrid w:val="0"/>
          <w:lang w:eastAsia="ja-JP"/>
        </w:rPr>
      </w:pPr>
    </w:p>
    <w:p w14:paraId="057BC4BF" w14:textId="4C5DBEF7" w:rsidR="00DA7220" w:rsidRPr="00096869" w:rsidRDefault="00DA7220" w:rsidP="00DA7220">
      <w:pPr>
        <w:pStyle w:val="ListParagraph"/>
        <w:numPr>
          <w:ilvl w:val="0"/>
          <w:numId w:val="46"/>
        </w:numPr>
        <w:tabs>
          <w:tab w:val="left" w:pos="5387"/>
          <w:tab w:val="left" w:pos="5954"/>
        </w:tabs>
        <w:ind w:left="4820" w:firstLine="567"/>
        <w:jc w:val="both"/>
        <w:rPr>
          <w:i/>
          <w:snapToGrid w:val="0"/>
          <w:lang w:eastAsia="ja-JP"/>
        </w:rPr>
      </w:pPr>
      <w:r w:rsidRPr="00096869">
        <w:rPr>
          <w:i/>
        </w:rPr>
        <w:t>die von der Europäischen Union auf der TWA vorgestellte „Politik zum Status von Pflanzenmaterial, das zu DUS-Prüfungszwecken eingereicht wird” zur Kenntnis zu nehmen, wie in Absatz 29 dieses Dokuments dargelegt</w:t>
      </w:r>
      <w:r w:rsidRPr="00096869">
        <w:rPr>
          <w:i/>
          <w:snapToGrid w:val="0"/>
          <w:lang w:eastAsia="ja-JP"/>
        </w:rPr>
        <w:t>;</w:t>
      </w:r>
    </w:p>
    <w:p w14:paraId="2556A792" w14:textId="77777777" w:rsidR="00DA7220" w:rsidRPr="00096869" w:rsidRDefault="00DA7220" w:rsidP="00DA7220">
      <w:pPr>
        <w:tabs>
          <w:tab w:val="left" w:pos="5387"/>
          <w:tab w:val="left" w:pos="5954"/>
        </w:tabs>
        <w:ind w:left="4820" w:firstLine="567"/>
        <w:rPr>
          <w:i/>
          <w:snapToGrid w:val="0"/>
          <w:lang w:eastAsia="ja-JP"/>
        </w:rPr>
      </w:pPr>
    </w:p>
    <w:p w14:paraId="1291124E" w14:textId="77777777" w:rsidR="00DA7220" w:rsidRPr="00096869" w:rsidRDefault="004C0FB6" w:rsidP="00DA7220">
      <w:pPr>
        <w:pStyle w:val="ListParagraph"/>
        <w:numPr>
          <w:ilvl w:val="0"/>
          <w:numId w:val="46"/>
        </w:numPr>
        <w:tabs>
          <w:tab w:val="left" w:pos="5387"/>
          <w:tab w:val="left" w:pos="5954"/>
        </w:tabs>
        <w:ind w:left="4820" w:firstLine="567"/>
        <w:jc w:val="both"/>
        <w:rPr>
          <w:i/>
        </w:rPr>
      </w:pPr>
      <w:r w:rsidRPr="00096869">
        <w:rPr>
          <w:i/>
        </w:rPr>
        <w:t xml:space="preserve">zu erwägen, </w:t>
      </w:r>
      <w:r w:rsidR="00110DC3" w:rsidRPr="00096869">
        <w:rPr>
          <w:i/>
        </w:rPr>
        <w:t xml:space="preserve">die TWP </w:t>
      </w:r>
      <w:r w:rsidR="000C75DB" w:rsidRPr="00096869">
        <w:rPr>
          <w:i/>
        </w:rPr>
        <w:t xml:space="preserve">einzuladen, </w:t>
      </w:r>
      <w:r w:rsidR="003238DE" w:rsidRPr="00096869">
        <w:rPr>
          <w:i/>
        </w:rPr>
        <w:t xml:space="preserve">künftige Diskussionen </w:t>
      </w:r>
      <w:r w:rsidR="0044240F" w:rsidRPr="00096869">
        <w:rPr>
          <w:rFonts w:hint="eastAsia"/>
          <w:i/>
          <w:snapToGrid w:val="0"/>
          <w:lang w:eastAsia="ja-JP"/>
        </w:rPr>
        <w:t xml:space="preserve">über </w:t>
      </w:r>
      <w:r w:rsidR="0044240F" w:rsidRPr="00096869">
        <w:rPr>
          <w:i/>
          <w:snapToGrid w:val="0"/>
          <w:lang w:eastAsia="ja-JP"/>
        </w:rPr>
        <w:t xml:space="preserve">die Vertraulichkeit und das Eigentum an molekularen Informationen </w:t>
      </w:r>
      <w:r w:rsidR="00B7479D" w:rsidRPr="00096869">
        <w:rPr>
          <w:i/>
        </w:rPr>
        <w:t xml:space="preserve">auf der Grundlage </w:t>
      </w:r>
      <w:r w:rsidR="000733EC" w:rsidRPr="00096869">
        <w:rPr>
          <w:i/>
        </w:rPr>
        <w:t xml:space="preserve">konkreter Fälle und spezifischer Situationen </w:t>
      </w:r>
      <w:r w:rsidR="00832DD2" w:rsidRPr="00096869">
        <w:rPr>
          <w:i/>
        </w:rPr>
        <w:t>zu organisieren</w:t>
      </w:r>
      <w:r w:rsidR="00C16AE1" w:rsidRPr="00096869">
        <w:rPr>
          <w:i/>
        </w:rPr>
        <w:t xml:space="preserve">; </w:t>
      </w:r>
      <w:r w:rsidR="00DA7220" w:rsidRPr="00096869">
        <w:rPr>
          <w:i/>
        </w:rPr>
        <w:t>und</w:t>
      </w:r>
    </w:p>
    <w:p w14:paraId="6277EB30" w14:textId="77777777" w:rsidR="00DA7220" w:rsidRPr="00096869" w:rsidRDefault="00DA7220" w:rsidP="00DA7220">
      <w:pPr>
        <w:pStyle w:val="ListParagraph"/>
        <w:tabs>
          <w:tab w:val="left" w:pos="5387"/>
          <w:tab w:val="left" w:pos="5954"/>
        </w:tabs>
        <w:ind w:left="5387"/>
        <w:jc w:val="both"/>
        <w:rPr>
          <w:i/>
        </w:rPr>
      </w:pPr>
    </w:p>
    <w:p w14:paraId="0820E63B" w14:textId="48CF159D" w:rsidR="000733EC" w:rsidRPr="00096869" w:rsidRDefault="00DA7220" w:rsidP="00B65947">
      <w:pPr>
        <w:pStyle w:val="ListParagraph"/>
        <w:numPr>
          <w:ilvl w:val="0"/>
          <w:numId w:val="46"/>
        </w:numPr>
        <w:tabs>
          <w:tab w:val="left" w:pos="5387"/>
          <w:tab w:val="left" w:pos="5954"/>
        </w:tabs>
        <w:ind w:left="4820" w:firstLine="567"/>
        <w:jc w:val="both"/>
        <w:rPr>
          <w:i/>
        </w:rPr>
      </w:pPr>
      <w:bookmarkStart w:id="21" w:name="_Hlk209621520"/>
      <w:r w:rsidRPr="00096869">
        <w:rPr>
          <w:i/>
        </w:rPr>
        <w:t>zu erwägen, die TWP einzuladen</w:t>
      </w:r>
      <w:r w:rsidR="00B65947" w:rsidRPr="00096869">
        <w:rPr>
          <w:i/>
        </w:rPr>
        <w:t>, eine Zusammenarbeit bei der Nutzung molekularer Informationen zu erörtern, beispielsweise auf den Tagungen der TWO (</w:t>
      </w:r>
      <w:r w:rsidRPr="00096869">
        <w:rPr>
          <w:i/>
        </w:rPr>
        <w:t>gemeinsame Entwicklung molekularer Marker</w:t>
      </w:r>
      <w:r w:rsidR="00B65947" w:rsidRPr="00096869">
        <w:rPr>
          <w:i/>
        </w:rPr>
        <w:t>) und der TWV (</w:t>
      </w:r>
      <w:r w:rsidRPr="00096869">
        <w:rPr>
          <w:i/>
        </w:rPr>
        <w:t xml:space="preserve">Verwaltung von Sortensammlungen </w:t>
      </w:r>
      <w:r w:rsidR="00B65947" w:rsidRPr="00096869">
        <w:rPr>
          <w:i/>
        </w:rPr>
        <w:t>und Sortenidentifizierung) im Jahr</w:t>
      </w:r>
      <w:r w:rsidR="000B540A">
        <w:rPr>
          <w:i/>
        </w:rPr>
        <w:t> </w:t>
      </w:r>
      <w:r w:rsidR="00B65947" w:rsidRPr="00096869">
        <w:rPr>
          <w:i/>
        </w:rPr>
        <w:t>2025</w:t>
      </w:r>
      <w:r w:rsidR="00AA7EF7" w:rsidRPr="00096869">
        <w:rPr>
          <w:i/>
        </w:rPr>
        <w:t xml:space="preserve">. </w:t>
      </w:r>
      <w:bookmarkEnd w:id="21"/>
    </w:p>
    <w:p w14:paraId="0F20EC14" w14:textId="77777777" w:rsidR="003012FA" w:rsidRPr="00096869" w:rsidRDefault="003012FA" w:rsidP="00EF4B00">
      <w:pPr>
        <w:rPr>
          <w:snapToGrid w:val="0"/>
          <w:lang w:eastAsia="ja-JP"/>
        </w:rPr>
      </w:pPr>
    </w:p>
    <w:p w14:paraId="2A66AE87" w14:textId="77777777" w:rsidR="00FE38C7" w:rsidRPr="00096869" w:rsidRDefault="00FE38C7" w:rsidP="00EF4B00">
      <w:pPr>
        <w:rPr>
          <w:snapToGrid w:val="0"/>
          <w:lang w:eastAsia="ja-JP"/>
        </w:rPr>
      </w:pPr>
    </w:p>
    <w:p w14:paraId="44F2CED1" w14:textId="77777777" w:rsidR="00FE38C7" w:rsidRPr="00096869" w:rsidRDefault="00FE38C7" w:rsidP="00EF4B00">
      <w:pPr>
        <w:rPr>
          <w:snapToGrid w:val="0"/>
          <w:lang w:eastAsia="ja-JP"/>
        </w:rPr>
      </w:pPr>
    </w:p>
    <w:p w14:paraId="15A37244" w14:textId="6FDA7B9D" w:rsidR="00825360" w:rsidRPr="00096869" w:rsidRDefault="00311464" w:rsidP="00E45D45">
      <w:pPr>
        <w:pStyle w:val="Heading1"/>
        <w:keepLines/>
        <w:rPr>
          <w:snapToGrid w:val="0"/>
          <w:lang w:val="de-DE" w:eastAsia="ja-JP"/>
        </w:rPr>
      </w:pPr>
      <w:bookmarkStart w:id="22" w:name="_Toc210667567"/>
      <w:r w:rsidRPr="00096869">
        <w:rPr>
          <w:snapToGrid w:val="0"/>
          <w:lang w:val="de-DE" w:eastAsia="ja-JP"/>
        </w:rPr>
        <w:lastRenderedPageBreak/>
        <w:t>ZUSAMMENARBEIT ZWISCHEN INTERNATIONALEN ORGANISATIONEN</w:t>
      </w:r>
      <w:bookmarkEnd w:id="22"/>
    </w:p>
    <w:p w14:paraId="29E9EBBA" w14:textId="77777777" w:rsidR="00311464" w:rsidRPr="00096869" w:rsidRDefault="00311464" w:rsidP="00E45D45">
      <w:pPr>
        <w:keepNext/>
        <w:keepLines/>
        <w:rPr>
          <w:snapToGrid w:val="0"/>
          <w:lang w:eastAsia="ja-JP"/>
        </w:rPr>
      </w:pPr>
    </w:p>
    <w:p w14:paraId="3548DC72" w14:textId="483C02FC" w:rsidR="006F66D1" w:rsidRPr="00096869" w:rsidRDefault="006F66D1" w:rsidP="00EF24D5">
      <w:pPr>
        <w:pStyle w:val="Heading2"/>
        <w:rPr>
          <w:lang w:val="de-DE"/>
        </w:rPr>
      </w:pPr>
      <w:bookmarkStart w:id="23" w:name="_Toc210667568"/>
      <w:r w:rsidRPr="00096869">
        <w:rPr>
          <w:lang w:val="de-DE"/>
        </w:rPr>
        <w:t>Hintergrund</w:t>
      </w:r>
      <w:bookmarkEnd w:id="23"/>
    </w:p>
    <w:p w14:paraId="035B7785" w14:textId="77777777" w:rsidR="006F66D1" w:rsidRPr="00096869" w:rsidRDefault="006F66D1" w:rsidP="00E45D45">
      <w:pPr>
        <w:keepNext/>
        <w:keepLines/>
        <w:rPr>
          <w:snapToGrid w:val="0"/>
          <w:lang w:eastAsia="ja-JP"/>
        </w:rPr>
      </w:pPr>
    </w:p>
    <w:p w14:paraId="4B0DD088" w14:textId="7A54BB6F" w:rsidR="009E25B1" w:rsidRPr="00096869" w:rsidRDefault="008D0B9F" w:rsidP="00E45D45">
      <w:pPr>
        <w:pStyle w:val="ListParagraph"/>
        <w:keepNext/>
        <w:keepLines/>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r>
      <w:r w:rsidR="000300DE" w:rsidRPr="00096869">
        <w:rPr>
          <w:rFonts w:eastAsiaTheme="minorEastAsia" w:hint="eastAsia"/>
          <w:lang w:eastAsia="ja-JP"/>
        </w:rPr>
        <w:t xml:space="preserve">Der </w:t>
      </w:r>
      <w:r w:rsidRPr="00096869">
        <w:t>TC</w:t>
      </w:r>
      <w:r w:rsidRPr="00096869">
        <w:rPr>
          <w:rStyle w:val="FootnoteReference"/>
        </w:rPr>
        <w:footnoteReference w:id="16"/>
      </w:r>
      <w:r w:rsidRPr="00096869">
        <w:t xml:space="preserve"> </w:t>
      </w:r>
      <w:r w:rsidR="009E25B1" w:rsidRPr="00096869">
        <w:t>hat auf seiner siebenundfünfzigsten Tagung vereinbart, folgende Themen für einen künftigen gemeinsamen Workshop von UPOV, OECD und ISTA vorzuschlagen:</w:t>
      </w:r>
    </w:p>
    <w:p w14:paraId="7D5E5635" w14:textId="77777777" w:rsidR="009E25B1" w:rsidRPr="00096869" w:rsidRDefault="009E25B1" w:rsidP="00AA5620">
      <w:pPr>
        <w:pStyle w:val="ListParagraph"/>
        <w:ind w:left="0"/>
        <w:jc w:val="both"/>
        <w:rPr>
          <w:rFonts w:eastAsiaTheme="minorEastAsia"/>
          <w:lang w:eastAsia="ja-JP"/>
        </w:rPr>
      </w:pPr>
    </w:p>
    <w:p w14:paraId="6C05D8CE" w14:textId="5B17778E" w:rsidR="009E25B1" w:rsidRPr="00096869" w:rsidRDefault="009E25B1" w:rsidP="00AA5620">
      <w:pPr>
        <w:pStyle w:val="ListParagraph"/>
        <w:numPr>
          <w:ilvl w:val="0"/>
          <w:numId w:val="20"/>
        </w:numPr>
        <w:ind w:left="1134" w:hanging="567"/>
        <w:jc w:val="both"/>
      </w:pPr>
      <w:r w:rsidRPr="00096869">
        <w:t>Bereitstellung von Informationen über die Verwendung molekularer Verfahren in jeder Organisation;</w:t>
      </w:r>
    </w:p>
    <w:p w14:paraId="6463D26D" w14:textId="2C88CACB" w:rsidR="009E25B1" w:rsidRPr="00096869" w:rsidRDefault="009E25B1" w:rsidP="00AA5620">
      <w:pPr>
        <w:pStyle w:val="ListParagraph"/>
        <w:numPr>
          <w:ilvl w:val="0"/>
          <w:numId w:val="20"/>
        </w:numPr>
        <w:ind w:left="1134" w:hanging="567"/>
        <w:jc w:val="both"/>
      </w:pPr>
      <w:r w:rsidRPr="00096869">
        <w:t>Verfahren zur Genehmigung biochemischer und molekularer Methoden in jeder Organisation; und</w:t>
      </w:r>
    </w:p>
    <w:p w14:paraId="39052F3F" w14:textId="29FBB215" w:rsidR="008D0B9F" w:rsidRPr="00096869" w:rsidRDefault="009E25B1" w:rsidP="00AA5620">
      <w:pPr>
        <w:pStyle w:val="ListParagraph"/>
        <w:numPr>
          <w:ilvl w:val="0"/>
          <w:numId w:val="20"/>
        </w:numPr>
        <w:ind w:left="1134" w:hanging="567"/>
        <w:jc w:val="both"/>
      </w:pPr>
      <w:r w:rsidRPr="00096869">
        <w:t>Möglichkeiten zur Harmonisierung von Begriffen, Definitionen und Methoden zwischen UPOV, OECD und ISTA.</w:t>
      </w:r>
    </w:p>
    <w:p w14:paraId="4F5442A0" w14:textId="77777777" w:rsidR="008D0B9F" w:rsidRPr="00096869" w:rsidRDefault="008D0B9F" w:rsidP="00AA5620">
      <w:pPr>
        <w:rPr>
          <w:snapToGrid w:val="0"/>
          <w:lang w:eastAsia="ja-JP"/>
        </w:rPr>
      </w:pPr>
    </w:p>
    <w:p w14:paraId="2B6D06E7" w14:textId="77777777" w:rsidR="008D0B9F" w:rsidRPr="00096869" w:rsidRDefault="008D0B9F" w:rsidP="00AA5620">
      <w:pPr>
        <w:rPr>
          <w:snapToGrid w:val="0"/>
          <w:lang w:eastAsia="ja-JP"/>
        </w:rPr>
      </w:pPr>
    </w:p>
    <w:p w14:paraId="64751580" w14:textId="0F22FB86" w:rsidR="00D675E7" w:rsidRPr="00096869" w:rsidRDefault="00D675E7" w:rsidP="00AF5629">
      <w:pPr>
        <w:pStyle w:val="Heading2"/>
        <w:rPr>
          <w:snapToGrid w:val="0"/>
          <w:lang w:val="de-DE" w:eastAsia="ja-JP"/>
        </w:rPr>
      </w:pPr>
      <w:bookmarkStart w:id="24" w:name="_Toc210667569"/>
      <w:r w:rsidRPr="00096869">
        <w:rPr>
          <w:lang w:val="de-DE"/>
        </w:rPr>
        <w:t>Harmonisierung von Begriffen, Definitionen und Methoden zwischen UPOV, OECD und ISTA</w:t>
      </w:r>
      <w:bookmarkEnd w:id="24"/>
    </w:p>
    <w:p w14:paraId="3543D5C9" w14:textId="77777777" w:rsidR="00D675E7" w:rsidRPr="00096869" w:rsidRDefault="00D675E7" w:rsidP="00D856D9">
      <w:pPr>
        <w:keepNext/>
        <w:keepLines/>
        <w:rPr>
          <w:snapToGrid w:val="0"/>
          <w:lang w:eastAsia="ja-JP"/>
        </w:rPr>
      </w:pPr>
    </w:p>
    <w:p w14:paraId="59A20E5F" w14:textId="033DF718" w:rsidR="00F2781E" w:rsidRPr="00096869" w:rsidRDefault="00B63F38" w:rsidP="001F298F">
      <w:pPr>
        <w:pStyle w:val="ListParagraph"/>
        <w:ind w:left="0"/>
        <w:jc w:val="both"/>
        <w:rPr>
          <w:rFonts w:eastAsiaTheme="minorEastAsia"/>
          <w:lang w:eastAsia="ja-JP"/>
        </w:rPr>
      </w:pPr>
      <w:r w:rsidRPr="00096869">
        <w:fldChar w:fldCharType="begin"/>
      </w:r>
      <w:r w:rsidRPr="00096869">
        <w:instrText xml:space="preserve"> AUTONUM  </w:instrText>
      </w:r>
      <w:r w:rsidRPr="00096869">
        <w:fldChar w:fldCharType="end"/>
      </w:r>
      <w:r w:rsidRPr="00096869">
        <w:tab/>
        <w:t>D</w:t>
      </w:r>
      <w:r w:rsidR="00FD1193">
        <w:t>ie</w:t>
      </w:r>
      <w:r w:rsidRPr="00096869">
        <w:t xml:space="preserve"> </w:t>
      </w:r>
      <w:r w:rsidR="00E3484E" w:rsidRPr="00096869">
        <w:rPr>
          <w:rFonts w:eastAsiaTheme="minorEastAsia" w:hint="eastAsia"/>
          <w:lang w:eastAsia="ja-JP"/>
        </w:rPr>
        <w:t>TWM</w:t>
      </w:r>
      <w:r w:rsidRPr="00096869">
        <w:rPr>
          <w:rStyle w:val="FootnoteReference"/>
        </w:rPr>
        <w:footnoteReference w:id="17"/>
      </w:r>
      <w:r w:rsidR="00064944" w:rsidRPr="00096869">
        <w:t xml:space="preserve"> hat </w:t>
      </w:r>
      <w:r w:rsidRPr="00096869">
        <w:t xml:space="preserve">auf seiner </w:t>
      </w:r>
      <w:r w:rsidR="00E3484E" w:rsidRPr="00096869">
        <w:rPr>
          <w:rFonts w:eastAsiaTheme="minorEastAsia" w:hint="eastAsia"/>
          <w:lang w:eastAsia="ja-JP"/>
        </w:rPr>
        <w:t xml:space="preserve">dritten </w:t>
      </w:r>
      <w:r w:rsidRPr="00096869">
        <w:t xml:space="preserve">Tagung </w:t>
      </w:r>
      <w:r w:rsidR="00064944" w:rsidRPr="00096869">
        <w:t>mögliche gemeinsame Aktivitäten mit der OECD und der ISTA sowie die mögliche Harmonisierung</w:t>
      </w:r>
      <w:bookmarkStart w:id="25" w:name="_Hlk201678787"/>
      <w:r w:rsidR="00064944" w:rsidRPr="00096869">
        <w:t xml:space="preserve"> von Begriffen, Definitionen und Methoden im Zusammenhang mit molekularen Verfahren</w:t>
      </w:r>
      <w:bookmarkEnd w:id="25"/>
      <w:r w:rsidR="00064944" w:rsidRPr="00096869">
        <w:t xml:space="preserve"> erörtert. </w:t>
      </w:r>
      <w:r w:rsidR="00FD1193">
        <w:t>Die TW</w:t>
      </w:r>
      <w:r w:rsidR="00064944" w:rsidRPr="00096869">
        <w:t xml:space="preserve">M kam überein, den Experten aus Frankreich zu bitten, die Diskussionen zur Organisation relevanter Informationen über Begriffe und Definitionen </w:t>
      </w:r>
      <w:r w:rsidR="00361889" w:rsidRPr="00096869">
        <w:t>zu koordinieren</w:t>
      </w:r>
      <w:r w:rsidR="00064944" w:rsidRPr="00096869">
        <w:t xml:space="preserve">. </w:t>
      </w:r>
      <w:r w:rsidR="00FD1193">
        <w:t>Die TW</w:t>
      </w:r>
      <w:r w:rsidR="00064944" w:rsidRPr="00096869">
        <w:t xml:space="preserve">M nahm das Interesse der Sachverständigen aus Argentinien, China, Deutschland, den Niederlanden (Königreich), dem Vereinigten Königreich, CIOPORA und ISF zur Kenntnis, sich an dieser Aufgabe zu beteiligen. </w:t>
      </w:r>
    </w:p>
    <w:p w14:paraId="72D34751" w14:textId="77777777" w:rsidR="00F2781E" w:rsidRPr="00096869" w:rsidRDefault="00F2781E" w:rsidP="00064944">
      <w:pPr>
        <w:pStyle w:val="ListParagraph"/>
        <w:ind w:left="0"/>
        <w:jc w:val="both"/>
        <w:rPr>
          <w:rFonts w:eastAsiaTheme="minorEastAsia"/>
          <w:lang w:eastAsia="ja-JP"/>
        </w:rPr>
      </w:pPr>
    </w:p>
    <w:p w14:paraId="35A2259C" w14:textId="4DE13A4C" w:rsidR="0001494C" w:rsidRPr="00096869" w:rsidRDefault="0001494C" w:rsidP="0001494C">
      <w:r w:rsidRPr="00096869">
        <w:fldChar w:fldCharType="begin"/>
      </w:r>
      <w:r w:rsidRPr="00096869">
        <w:instrText xml:space="preserve"> AUTONUM  </w:instrText>
      </w:r>
      <w:r w:rsidRPr="00096869">
        <w:fldChar w:fldCharType="end"/>
      </w:r>
      <w:r w:rsidRPr="00096869">
        <w:tab/>
      </w:r>
      <w:r w:rsidR="00064944" w:rsidRPr="00096869">
        <w:t>D</w:t>
      </w:r>
      <w:r w:rsidR="00FD1193">
        <w:t>ie</w:t>
      </w:r>
      <w:r w:rsidR="00064944" w:rsidRPr="00096869">
        <w:t xml:space="preserve"> TWM nahm den Bericht des Vertreters der OECD zur Kenntnis, wonach die Saatgutprogramme der OECD die Zusammenarbeit mit der UPOV im Hinblick auf eine mögliche Harmonisierung von Definitionen und Begriffen bereits befürwortet hätten.</w:t>
      </w:r>
    </w:p>
    <w:p w14:paraId="3E1F556F" w14:textId="77777777" w:rsidR="00257D41" w:rsidRPr="00096869" w:rsidRDefault="00257D41" w:rsidP="0001494C"/>
    <w:p w14:paraId="584A3239" w14:textId="2A7EE10A" w:rsidR="006F3491" w:rsidRPr="00096869" w:rsidRDefault="00D856D9" w:rsidP="00CD197C">
      <w:pPr>
        <w:tabs>
          <w:tab w:val="left" w:pos="5387"/>
          <w:tab w:val="left" w:pos="6237"/>
        </w:tabs>
        <w:ind w:left="4820"/>
        <w:rPr>
          <w:i/>
          <w:iCs/>
        </w:rPr>
      </w:pPr>
      <w:r w:rsidRPr="00096869">
        <w:rPr>
          <w:i/>
          <w:iCs/>
        </w:rPr>
        <w:fldChar w:fldCharType="begin"/>
      </w:r>
      <w:r w:rsidRPr="00096869">
        <w:rPr>
          <w:i/>
          <w:iCs/>
        </w:rPr>
        <w:instrText xml:space="preserve"> AUTONUM  </w:instrText>
      </w:r>
      <w:r w:rsidRPr="00096869">
        <w:rPr>
          <w:i/>
          <w:iCs/>
        </w:rPr>
        <w:fldChar w:fldCharType="end"/>
      </w:r>
      <w:r w:rsidRPr="00096869">
        <w:rPr>
          <w:i/>
          <w:iCs/>
        </w:rPr>
        <w:tab/>
      </w:r>
      <w:r w:rsidR="006F3491" w:rsidRPr="00096869">
        <w:rPr>
          <w:i/>
          <w:iCs/>
        </w:rPr>
        <w:t>Der</w:t>
      </w:r>
      <w:r w:rsidRPr="00096869">
        <w:rPr>
          <w:i/>
          <w:iCs/>
        </w:rPr>
        <w:t xml:space="preserve"> TC wird gebeten</w:t>
      </w:r>
    </w:p>
    <w:p w14:paraId="51A93B1C" w14:textId="77777777" w:rsidR="006F3491" w:rsidRPr="00096869" w:rsidRDefault="006F3491" w:rsidP="00CD197C">
      <w:pPr>
        <w:tabs>
          <w:tab w:val="left" w:pos="5387"/>
          <w:tab w:val="left" w:pos="6237"/>
        </w:tabs>
        <w:ind w:left="4820"/>
        <w:rPr>
          <w:i/>
          <w:iCs/>
        </w:rPr>
      </w:pPr>
    </w:p>
    <w:p w14:paraId="411EB28D" w14:textId="145DA3C2" w:rsidR="00D856D9" w:rsidRPr="00096869" w:rsidRDefault="00CD197C" w:rsidP="005972A1">
      <w:pPr>
        <w:tabs>
          <w:tab w:val="left" w:pos="5387"/>
          <w:tab w:val="left" w:pos="5954"/>
        </w:tabs>
        <w:ind w:left="4820"/>
        <w:rPr>
          <w:i/>
          <w:iCs/>
        </w:rPr>
      </w:pPr>
      <w:r w:rsidRPr="00096869">
        <w:rPr>
          <w:i/>
          <w:iCs/>
        </w:rPr>
        <w:tab/>
      </w:r>
      <w:r w:rsidR="006F3491" w:rsidRPr="00096869">
        <w:rPr>
          <w:i/>
          <w:iCs/>
        </w:rPr>
        <w:t>(a)</w:t>
      </w:r>
      <w:r w:rsidR="006F3491" w:rsidRPr="00096869">
        <w:rPr>
          <w:i/>
          <w:iCs/>
        </w:rPr>
        <w:tab/>
      </w:r>
      <w:r w:rsidR="00A748EB" w:rsidRPr="00096869">
        <w:rPr>
          <w:i/>
          <w:iCs/>
        </w:rPr>
        <w:t>zu erwägen</w:t>
      </w:r>
      <w:r w:rsidR="002A4C99" w:rsidRPr="00096869">
        <w:rPr>
          <w:i/>
          <w:iCs/>
        </w:rPr>
        <w:t xml:space="preserve">, </w:t>
      </w:r>
      <w:r w:rsidR="00D52ECB" w:rsidRPr="00096869">
        <w:rPr>
          <w:i/>
          <w:iCs/>
        </w:rPr>
        <w:t xml:space="preserve">Frankreich </w:t>
      </w:r>
      <w:r w:rsidR="002A4C99" w:rsidRPr="00096869">
        <w:rPr>
          <w:i/>
          <w:iCs/>
        </w:rPr>
        <w:t xml:space="preserve">in </w:t>
      </w:r>
      <w:r w:rsidR="00865A4D" w:rsidRPr="00096869">
        <w:rPr>
          <w:i/>
          <w:iCs/>
        </w:rPr>
        <w:t>Zusammenarbeit mit Argentinien, China, Deutschland, den Niederlanden (Königreich), dem Vereinigten Königreich, CIOPORA und ISF zu</w:t>
      </w:r>
      <w:r w:rsidR="00A748EB" w:rsidRPr="00096869">
        <w:rPr>
          <w:i/>
          <w:iCs/>
        </w:rPr>
        <w:t xml:space="preserve"> ersuchen</w:t>
      </w:r>
      <w:r w:rsidR="00361889" w:rsidRPr="00096869">
        <w:rPr>
          <w:i/>
          <w:iCs/>
        </w:rPr>
        <w:t xml:space="preserve">, </w:t>
      </w:r>
      <w:r w:rsidR="00A40CBB" w:rsidRPr="00096869">
        <w:rPr>
          <w:i/>
          <w:iCs/>
        </w:rPr>
        <w:t xml:space="preserve">Informationen </w:t>
      </w:r>
      <w:r w:rsidR="00640E10" w:rsidRPr="00096869">
        <w:rPr>
          <w:i/>
          <w:iCs/>
        </w:rPr>
        <w:t xml:space="preserve">über Begriffe und Definitionen </w:t>
      </w:r>
      <w:r w:rsidR="00F320EE" w:rsidRPr="00096869">
        <w:rPr>
          <w:i/>
          <w:iCs/>
        </w:rPr>
        <w:t>zu molekularen Verfahren</w:t>
      </w:r>
      <w:r w:rsidR="009112CA" w:rsidRPr="00096869">
        <w:rPr>
          <w:i/>
          <w:iCs/>
        </w:rPr>
        <w:t>,</w:t>
      </w:r>
      <w:r w:rsidR="00F320EE" w:rsidRPr="00096869">
        <w:rPr>
          <w:i/>
          <w:iCs/>
        </w:rPr>
        <w:t xml:space="preserve"> die bei der UPOV verwendet werden</w:t>
      </w:r>
      <w:r w:rsidR="009112CA" w:rsidRPr="00096869">
        <w:rPr>
          <w:i/>
          <w:iCs/>
        </w:rPr>
        <w:t xml:space="preserve">, </w:t>
      </w:r>
      <w:r w:rsidR="00A40CBB" w:rsidRPr="00096869">
        <w:rPr>
          <w:i/>
          <w:iCs/>
        </w:rPr>
        <w:t>zu organisieren</w:t>
      </w:r>
      <w:r w:rsidR="009112CA" w:rsidRPr="00096869">
        <w:rPr>
          <w:i/>
          <w:iCs/>
        </w:rPr>
        <w:t xml:space="preserve">, damit </w:t>
      </w:r>
      <w:r w:rsidR="002D369F" w:rsidRPr="00096869">
        <w:rPr>
          <w:i/>
          <w:iCs/>
        </w:rPr>
        <w:t xml:space="preserve">diese 2026 </w:t>
      </w:r>
      <w:r w:rsidR="00BD4CF6">
        <w:rPr>
          <w:i/>
          <w:iCs/>
        </w:rPr>
        <w:t>von</w:t>
      </w:r>
      <w:r w:rsidR="009112CA" w:rsidRPr="00096869">
        <w:rPr>
          <w:i/>
          <w:iCs/>
        </w:rPr>
        <w:t xml:space="preserve"> TWM </w:t>
      </w:r>
      <w:r w:rsidR="002D369F" w:rsidRPr="00096869">
        <w:rPr>
          <w:i/>
          <w:iCs/>
        </w:rPr>
        <w:t xml:space="preserve">und vom TC </w:t>
      </w:r>
      <w:r w:rsidR="009112CA" w:rsidRPr="00096869">
        <w:rPr>
          <w:i/>
          <w:iCs/>
        </w:rPr>
        <w:t xml:space="preserve">geprüft werden </w:t>
      </w:r>
      <w:r w:rsidR="002D369F" w:rsidRPr="00096869">
        <w:rPr>
          <w:i/>
          <w:iCs/>
        </w:rPr>
        <w:t>können; und</w:t>
      </w:r>
    </w:p>
    <w:p w14:paraId="1B7B5C0F" w14:textId="3E6B326D" w:rsidR="002D369F" w:rsidRPr="00096869" w:rsidRDefault="002D369F" w:rsidP="00CD197C">
      <w:pPr>
        <w:tabs>
          <w:tab w:val="left" w:pos="5387"/>
          <w:tab w:val="left" w:pos="6237"/>
        </w:tabs>
        <w:ind w:left="4820"/>
        <w:rPr>
          <w:i/>
          <w:iCs/>
        </w:rPr>
      </w:pPr>
    </w:p>
    <w:p w14:paraId="36C6CA10" w14:textId="47A99D92" w:rsidR="002D369F" w:rsidRPr="00096869" w:rsidRDefault="00CD197C" w:rsidP="00CD197C">
      <w:pPr>
        <w:tabs>
          <w:tab w:val="left" w:pos="5387"/>
          <w:tab w:val="left" w:pos="5954"/>
        </w:tabs>
        <w:ind w:left="4820"/>
        <w:rPr>
          <w:i/>
          <w:iCs/>
        </w:rPr>
      </w:pPr>
      <w:r w:rsidRPr="00096869">
        <w:rPr>
          <w:i/>
          <w:iCs/>
        </w:rPr>
        <w:tab/>
      </w:r>
      <w:r w:rsidR="002D369F" w:rsidRPr="00096869">
        <w:rPr>
          <w:i/>
          <w:iCs/>
        </w:rPr>
        <w:t>(b)</w:t>
      </w:r>
      <w:r w:rsidR="002D369F" w:rsidRPr="00096869">
        <w:rPr>
          <w:i/>
          <w:iCs/>
        </w:rPr>
        <w:tab/>
      </w:r>
      <w:r w:rsidR="005972A1" w:rsidRPr="00096869">
        <w:rPr>
          <w:i/>
          <w:iCs/>
        </w:rPr>
        <w:t>zur Kenntnis zu nehmen, dass die OECD-Saatgutregelungen die Zusammenarbeit mit der UPOV im Hinblick auf eine mögliche Harmonisierung von Definitionen und Begriffen gebilligt haben.</w:t>
      </w:r>
    </w:p>
    <w:p w14:paraId="1ABCE205" w14:textId="77777777" w:rsidR="00D856D9" w:rsidRPr="00096869" w:rsidRDefault="00D856D9" w:rsidP="0001494C"/>
    <w:p w14:paraId="5E361452" w14:textId="77777777" w:rsidR="00CF2609" w:rsidRPr="00096869" w:rsidRDefault="00CF2609" w:rsidP="001F298F">
      <w:pPr>
        <w:rPr>
          <w:snapToGrid w:val="0"/>
          <w:lang w:eastAsia="ja-JP"/>
        </w:rPr>
      </w:pPr>
    </w:p>
    <w:p w14:paraId="5BB67E8E" w14:textId="77777777" w:rsidR="00CF2609" w:rsidRPr="00096869" w:rsidRDefault="00CF2609" w:rsidP="00EF24D5">
      <w:pPr>
        <w:pStyle w:val="Heading2"/>
        <w:rPr>
          <w:snapToGrid w:val="0"/>
          <w:lang w:val="de-DE"/>
        </w:rPr>
      </w:pPr>
      <w:bookmarkStart w:id="26" w:name="_Hlk208420603"/>
      <w:bookmarkStart w:id="27" w:name="_Toc210667570"/>
      <w:r w:rsidRPr="00096869">
        <w:rPr>
          <w:snapToGrid w:val="0"/>
          <w:lang w:val="de-DE"/>
        </w:rPr>
        <w:t>Aktualisierung der Liste der pro Kultur verwendeten molekularen Marker</w:t>
      </w:r>
      <w:bookmarkEnd w:id="27"/>
    </w:p>
    <w:bookmarkEnd w:id="26"/>
    <w:p w14:paraId="6A704C9A" w14:textId="77777777" w:rsidR="00475A2F" w:rsidRPr="00096869" w:rsidRDefault="00475A2F" w:rsidP="004C120A">
      <w:pPr>
        <w:keepLines/>
        <w:rPr>
          <w:snapToGrid w:val="0"/>
          <w:lang w:eastAsia="ja-JP"/>
        </w:rPr>
      </w:pPr>
    </w:p>
    <w:p w14:paraId="67C4AC8E" w14:textId="3F43E4B8" w:rsidR="009C1407" w:rsidRPr="00096869" w:rsidRDefault="009C1407" w:rsidP="001F298F">
      <w:pPr>
        <w:rPr>
          <w:lang w:eastAsia="ja-JP"/>
        </w:rPr>
      </w:pPr>
      <w:r w:rsidRPr="00096869">
        <w:fldChar w:fldCharType="begin"/>
      </w:r>
      <w:r w:rsidRPr="00096869">
        <w:instrText xml:space="preserve"> AUTONUM  </w:instrText>
      </w:r>
      <w:r w:rsidRPr="00096869">
        <w:fldChar w:fldCharType="end"/>
      </w:r>
      <w:r w:rsidRPr="00096869">
        <w:tab/>
      </w:r>
      <w:r w:rsidR="00FD1193">
        <w:t>Die TW</w:t>
      </w:r>
      <w:r w:rsidRPr="00096869">
        <w:t xml:space="preserve">M erinnerte daran, dass die Ergebnisse der Umfrage unter den UPOV-Mitgliedern zur Verwendung molekularer Marker pro Kulturpflanze als Tabelle auf der Webseite des Technischen Ausschusses auf seiner achtundfünfzigsten Tagung verfügbar sind (siehe: </w:t>
      </w:r>
      <w:hyperlink r:id="rId17" w:history="1">
        <w:r w:rsidRPr="00096869">
          <w:rPr>
            <w:rStyle w:val="Hyperlink"/>
          </w:rPr>
          <w:t>https://www.upov.int/meetings/en/doc_details.jsp?meeting_id=67786&amp;doc_id=586962</w:t>
        </w:r>
      </w:hyperlink>
      <w:r w:rsidRPr="00096869">
        <w:t>).</w:t>
      </w:r>
    </w:p>
    <w:p w14:paraId="77E329BD" w14:textId="77777777" w:rsidR="00CF2609" w:rsidRPr="00096869" w:rsidRDefault="00CF2609" w:rsidP="00CF2609">
      <w:pPr>
        <w:rPr>
          <w:snapToGrid w:val="0"/>
          <w:lang w:eastAsia="ja-JP"/>
        </w:rPr>
      </w:pPr>
    </w:p>
    <w:p w14:paraId="60C54067" w14:textId="7D61C887" w:rsidR="00CF2609" w:rsidRPr="00096869" w:rsidRDefault="00CF2609" w:rsidP="00CF2609">
      <w:pPr>
        <w:rPr>
          <w:snapToGrid w:val="0"/>
          <w:lang w:eastAsia="ja-JP"/>
        </w:rPr>
      </w:pPr>
      <w:r w:rsidRPr="00096869">
        <w:fldChar w:fldCharType="begin"/>
      </w:r>
      <w:r w:rsidRPr="00096869">
        <w:instrText xml:space="preserve"> AUTONUM  </w:instrText>
      </w:r>
      <w:r w:rsidRPr="00096869">
        <w:fldChar w:fldCharType="end"/>
      </w:r>
      <w:r w:rsidRPr="00096869">
        <w:tab/>
      </w:r>
      <w:r w:rsidR="00FD1193">
        <w:rPr>
          <w:rFonts w:hint="eastAsia"/>
          <w:lang w:eastAsia="ja-JP"/>
        </w:rPr>
        <w:t>Die TW</w:t>
      </w:r>
      <w:r w:rsidRPr="00096869">
        <w:t>M</w:t>
      </w:r>
      <w:r w:rsidRPr="00096869">
        <w:rPr>
          <w:rStyle w:val="FootnoteReference"/>
        </w:rPr>
        <w:footnoteReference w:id="18"/>
      </w:r>
      <w:r w:rsidR="00B377BF">
        <w:t>,</w:t>
      </w:r>
      <w:r w:rsidRPr="00096869">
        <w:t xml:space="preserve"> begrüßte den Vorschlag der Niederlande (Königreich), die Aktualisierung der Liste der pro Kultur verwendeten molekularen Marker zu </w:t>
      </w:r>
      <w:r w:rsidR="00361889" w:rsidRPr="00096869">
        <w:t>koordinieren</w:t>
      </w:r>
      <w:r w:rsidRPr="00096869">
        <w:t>, über den dem Technischen Ausschuss auf seiner achtundfünfzigsten Tagung berichtet worden war</w:t>
      </w:r>
      <w:r w:rsidRPr="00096869">
        <w:rPr>
          <w:rFonts w:hint="eastAsia"/>
          <w:lang w:eastAsia="ja-JP"/>
        </w:rPr>
        <w:t>.</w:t>
      </w:r>
    </w:p>
    <w:p w14:paraId="35F67DA0" w14:textId="77777777" w:rsidR="00BD40C6" w:rsidRPr="00096869" w:rsidRDefault="00BD40C6" w:rsidP="00BD40C6">
      <w:pPr>
        <w:rPr>
          <w:lang w:eastAsia="ja-JP"/>
        </w:rPr>
      </w:pPr>
    </w:p>
    <w:p w14:paraId="4C3E394B" w14:textId="17DD52A1" w:rsidR="00BD40C6" w:rsidRPr="00096869" w:rsidRDefault="00BD40C6" w:rsidP="00711294">
      <w:pPr>
        <w:pStyle w:val="DecisionParagraphs"/>
        <w:keepLines/>
        <w:rPr>
          <w:lang w:eastAsia="ja-JP"/>
        </w:rPr>
      </w:pPr>
      <w:r w:rsidRPr="00096869">
        <w:rPr>
          <w:lang w:eastAsia="ja-JP"/>
        </w:rPr>
        <w:lastRenderedPageBreak/>
        <w:fldChar w:fldCharType="begin"/>
      </w:r>
      <w:r w:rsidRPr="00096869">
        <w:rPr>
          <w:lang w:eastAsia="ja-JP"/>
        </w:rPr>
        <w:instrText xml:space="preserve"> AUTONUM  </w:instrText>
      </w:r>
      <w:r w:rsidRPr="00096869">
        <w:rPr>
          <w:lang w:eastAsia="ja-JP"/>
        </w:rPr>
        <w:fldChar w:fldCharType="end"/>
      </w:r>
      <w:r w:rsidRPr="00096869">
        <w:rPr>
          <w:lang w:eastAsia="ja-JP"/>
        </w:rPr>
        <w:tab/>
        <w:t>Der TC wird ersucht, zu erwägen, die Niederlande (Königreich</w:t>
      </w:r>
      <w:r w:rsidR="00711294">
        <w:rPr>
          <w:lang w:eastAsia="ja-JP"/>
        </w:rPr>
        <w:t xml:space="preserve"> der</w:t>
      </w:r>
      <w:r w:rsidRPr="00096869">
        <w:rPr>
          <w:lang w:eastAsia="ja-JP"/>
        </w:rPr>
        <w:t xml:space="preserve">) zu bitten, die Aktualisierung der von der UPOV erstellten und auf der Webseite der </w:t>
      </w:r>
      <w:r w:rsidR="001F298F" w:rsidRPr="00096869">
        <w:rPr>
          <w:lang w:eastAsia="ja-JP"/>
        </w:rPr>
        <w:t xml:space="preserve">achtundfünfzigsten </w:t>
      </w:r>
      <w:r w:rsidRPr="00096869">
        <w:rPr>
          <w:lang w:eastAsia="ja-JP"/>
        </w:rPr>
        <w:t xml:space="preserve">Tagung des TC verfügbaren Liste der pro Kultur verwendeten molekularen Marker </w:t>
      </w:r>
      <w:r w:rsidR="00361889" w:rsidRPr="00096869">
        <w:rPr>
          <w:lang w:eastAsia="ja-JP"/>
        </w:rPr>
        <w:t>zu koordinieren</w:t>
      </w:r>
      <w:r w:rsidRPr="00096869">
        <w:rPr>
          <w:lang w:eastAsia="ja-JP"/>
        </w:rPr>
        <w:t xml:space="preserve">. </w:t>
      </w:r>
    </w:p>
    <w:p w14:paraId="1B151BED" w14:textId="77777777" w:rsidR="00CF2609" w:rsidRPr="00096869" w:rsidRDefault="00CF2609" w:rsidP="00CF2609">
      <w:pPr>
        <w:rPr>
          <w:snapToGrid w:val="0"/>
          <w:lang w:eastAsia="ja-JP"/>
        </w:rPr>
      </w:pPr>
    </w:p>
    <w:p w14:paraId="7A72C894" w14:textId="77777777" w:rsidR="00D8658B" w:rsidRPr="00096869" w:rsidRDefault="00D8658B" w:rsidP="00650FB2">
      <w:pPr>
        <w:pStyle w:val="ListParagraph"/>
        <w:tabs>
          <w:tab w:val="left" w:pos="567"/>
        </w:tabs>
        <w:ind w:left="0"/>
        <w:jc w:val="both"/>
        <w:rPr>
          <w:rFonts w:eastAsiaTheme="minorEastAsia"/>
          <w:lang w:eastAsia="ja-JP"/>
        </w:rPr>
      </w:pPr>
    </w:p>
    <w:p w14:paraId="09654555" w14:textId="2C61F37C" w:rsidR="00773ED0" w:rsidRPr="00096869" w:rsidRDefault="0035048E" w:rsidP="00AF5629">
      <w:pPr>
        <w:pStyle w:val="Heading2"/>
        <w:rPr>
          <w:lang w:val="de-DE" w:eastAsia="ja-JP"/>
        </w:rPr>
      </w:pPr>
      <w:bookmarkStart w:id="28" w:name="_Toc210667571"/>
      <w:r w:rsidRPr="00096869">
        <w:rPr>
          <w:lang w:val="de-DE"/>
        </w:rPr>
        <w:t>Gemeinsame Sätze molekularer Marker für die Sortenidentifizierung</w:t>
      </w:r>
      <w:bookmarkEnd w:id="28"/>
    </w:p>
    <w:p w14:paraId="50592673" w14:textId="77777777" w:rsidR="00773ED0" w:rsidRPr="00096869" w:rsidRDefault="00773ED0" w:rsidP="00A00571">
      <w:pPr>
        <w:pStyle w:val="ListParagraph"/>
        <w:keepNext/>
        <w:tabs>
          <w:tab w:val="left" w:pos="567"/>
        </w:tabs>
        <w:ind w:left="0"/>
        <w:jc w:val="both"/>
        <w:rPr>
          <w:rFonts w:eastAsiaTheme="minorEastAsia"/>
          <w:lang w:eastAsia="ja-JP"/>
        </w:rPr>
      </w:pPr>
    </w:p>
    <w:p w14:paraId="0FBA0A2C" w14:textId="0D59DE81" w:rsidR="00F37B93" w:rsidRPr="00096869" w:rsidRDefault="00F37B93" w:rsidP="00F37B93">
      <w:pPr>
        <w:pStyle w:val="Heading3"/>
        <w:rPr>
          <w:lang w:val="de-DE" w:eastAsia="ja-JP"/>
        </w:rPr>
      </w:pPr>
      <w:bookmarkStart w:id="29" w:name="_Toc210667572"/>
      <w:r w:rsidRPr="00096869">
        <w:rPr>
          <w:lang w:val="de-DE" w:eastAsia="ja-JP"/>
        </w:rPr>
        <w:t>Horizontale Überwachung</w:t>
      </w:r>
      <w:bookmarkEnd w:id="29"/>
    </w:p>
    <w:p w14:paraId="2DCC6C7E" w14:textId="77777777" w:rsidR="00F37B93" w:rsidRPr="00096869" w:rsidRDefault="00F37B93" w:rsidP="00A00571">
      <w:pPr>
        <w:pStyle w:val="ListParagraph"/>
        <w:keepNext/>
        <w:tabs>
          <w:tab w:val="left" w:pos="567"/>
        </w:tabs>
        <w:ind w:left="0"/>
        <w:jc w:val="both"/>
        <w:rPr>
          <w:rFonts w:eastAsiaTheme="minorEastAsia"/>
          <w:lang w:eastAsia="ja-JP"/>
        </w:rPr>
      </w:pPr>
    </w:p>
    <w:p w14:paraId="5526299C" w14:textId="103A1135" w:rsidR="00F37B93" w:rsidRPr="00096869" w:rsidRDefault="00EA4921" w:rsidP="00FE38C7">
      <w:r w:rsidRPr="00096869">
        <w:fldChar w:fldCharType="begin"/>
      </w:r>
      <w:r w:rsidRPr="00096869">
        <w:instrText xml:space="preserve"> AUTONUM  </w:instrText>
      </w:r>
      <w:r w:rsidRPr="00096869">
        <w:fldChar w:fldCharType="end"/>
      </w:r>
      <w:r w:rsidRPr="00096869">
        <w:tab/>
      </w:r>
      <w:r w:rsidR="00361889" w:rsidRPr="00096869">
        <w:t xml:space="preserve">Die im Strategischen Geschäftsplan (SBP) der UPOV für 2026-2029 (Dokument C/59/14) zusammengefasste Horizontanalyse der UPOV hat gezeigt, dass </w:t>
      </w:r>
      <w:r w:rsidR="00C94359" w:rsidRPr="00096869">
        <w:t>die Sortenidentifizierung</w:t>
      </w:r>
      <w:r w:rsidR="00361889" w:rsidRPr="00096869">
        <w:t xml:space="preserve"> zunehmend auf DNA-Analysen basiert</w:t>
      </w:r>
      <w:r w:rsidR="00C94359" w:rsidRPr="00096869">
        <w:t xml:space="preserve">. Darin wird </w:t>
      </w:r>
      <w:r w:rsidR="00361889" w:rsidRPr="00096869">
        <w:t xml:space="preserve">die UPOV </w:t>
      </w:r>
      <w:r w:rsidR="00C94359" w:rsidRPr="00096869">
        <w:t xml:space="preserve">auch </w:t>
      </w:r>
      <w:r w:rsidR="00361889" w:rsidRPr="00096869">
        <w:t xml:space="preserve">aufgefordert, Standards in diesem Bereich zu entwickeln und Möglichkeiten für das Datenmanagement und die Zusammenarbeit bei datenwissenschaftlichen Aktivitäten zu prüfen.  </w:t>
      </w:r>
    </w:p>
    <w:p w14:paraId="792BB336" w14:textId="77777777" w:rsidR="00F37B93" w:rsidRPr="00096869" w:rsidRDefault="00F37B93" w:rsidP="00F37B93"/>
    <w:p w14:paraId="094C606C" w14:textId="70E4F5BF" w:rsidR="00F37B93" w:rsidRPr="00096869" w:rsidRDefault="00F37B93" w:rsidP="00F37B93">
      <w:pPr>
        <w:pStyle w:val="Heading3"/>
        <w:rPr>
          <w:lang w:val="de-DE"/>
        </w:rPr>
      </w:pPr>
      <w:bookmarkStart w:id="30" w:name="_Toc210667573"/>
      <w:r w:rsidRPr="00096869">
        <w:rPr>
          <w:lang w:val="de-DE"/>
        </w:rPr>
        <w:t>Entwicklungen in der Technischen Arbeitsgruppe für Prüfverfahren und -techniken</w:t>
      </w:r>
      <w:bookmarkEnd w:id="30"/>
    </w:p>
    <w:p w14:paraId="19CA48EC" w14:textId="77777777" w:rsidR="00F37B93" w:rsidRPr="00096869" w:rsidRDefault="00F37B93" w:rsidP="00F37B93"/>
    <w:p w14:paraId="494A1816" w14:textId="60EE10F1" w:rsidR="00752016" w:rsidRPr="00096869" w:rsidRDefault="00F37B93" w:rsidP="00BF7C58">
      <w:r w:rsidRPr="00096869">
        <w:fldChar w:fldCharType="begin"/>
      </w:r>
      <w:r w:rsidRPr="00096869">
        <w:instrText xml:space="preserve"> AUTONUM  </w:instrText>
      </w:r>
      <w:r w:rsidRPr="00096869">
        <w:fldChar w:fldCharType="end"/>
      </w:r>
      <w:r w:rsidRPr="00096869">
        <w:tab/>
      </w:r>
      <w:r w:rsidR="00064944" w:rsidRPr="00096869">
        <w:t>Die TW</w:t>
      </w:r>
      <w:r w:rsidR="00711294">
        <w:t>M</w:t>
      </w:r>
      <w:r w:rsidR="0035048E" w:rsidRPr="00096869">
        <w:rPr>
          <w:rStyle w:val="FootnoteReference"/>
        </w:rPr>
        <w:footnoteReference w:id="19"/>
      </w:r>
      <w:r w:rsidR="00B377BF">
        <w:t>,</w:t>
      </w:r>
      <w:r w:rsidR="00064944" w:rsidRPr="00096869">
        <w:t xml:space="preserve"> erörterte die Festlegung gemeinsamer Sätze molekularer Marker für die Sortenidentifizierung und kam überein, die UPOV, die OECD und die ISTA einzuladen, die Herausforderungen und Chancen dieser Initiative weiter zu prüfen, wie z. B. Kulturpflanzen, Umfang der Harmonisierung (z. B. regional, global) und Aspekte im Zusammenhang mit molekularen Markern. Die TWM kam überein, dass die Zusammenarbeit mit Züchtern die Auswahl von Markersätzen erleichtern könnte, die diese Züchtungsprogramme repräsentieren.</w:t>
      </w:r>
    </w:p>
    <w:p w14:paraId="42A6E392" w14:textId="77777777" w:rsidR="00646FDE" w:rsidRPr="00096869" w:rsidRDefault="00646FDE" w:rsidP="0001494C"/>
    <w:p w14:paraId="517CB2F5" w14:textId="64747AAC" w:rsidR="00752016" w:rsidRPr="00096869" w:rsidRDefault="00752016" w:rsidP="0001494C">
      <w:pPr>
        <w:rPr>
          <w:lang w:eastAsia="ja-JP"/>
        </w:rPr>
      </w:pPr>
      <w:r w:rsidRPr="00096869">
        <w:rPr>
          <w:lang w:eastAsia="ja-JP"/>
        </w:rPr>
        <w:fldChar w:fldCharType="begin"/>
      </w:r>
      <w:r w:rsidRPr="00096869">
        <w:rPr>
          <w:lang w:eastAsia="ja-JP"/>
        </w:rPr>
        <w:instrText xml:space="preserve"> AUTONUM  </w:instrText>
      </w:r>
      <w:r w:rsidRPr="00096869">
        <w:rPr>
          <w:lang w:eastAsia="ja-JP"/>
        </w:rPr>
        <w:fldChar w:fldCharType="end"/>
      </w:r>
      <w:r w:rsidRPr="00096869">
        <w:rPr>
          <w:lang w:eastAsia="ja-JP"/>
        </w:rPr>
        <w:tab/>
      </w:r>
      <w:r w:rsidR="00C1212B" w:rsidRPr="00096869">
        <w:rPr>
          <w:lang w:eastAsia="ja-JP"/>
        </w:rPr>
        <w:t xml:space="preserve">Im Anschluss an die </w:t>
      </w:r>
      <w:r w:rsidR="00B377BF">
        <w:rPr>
          <w:lang w:eastAsia="ja-JP"/>
        </w:rPr>
        <w:t>Tagung</w:t>
      </w:r>
      <w:r w:rsidR="00C1212B" w:rsidRPr="00096869">
        <w:rPr>
          <w:lang w:eastAsia="ja-JP"/>
        </w:rPr>
        <w:t xml:space="preserve"> de</w:t>
      </w:r>
      <w:r w:rsidR="00711294">
        <w:rPr>
          <w:lang w:eastAsia="ja-JP"/>
        </w:rPr>
        <w:t>r</w:t>
      </w:r>
      <w:r w:rsidR="00C1212B" w:rsidRPr="00096869">
        <w:rPr>
          <w:lang w:eastAsia="ja-JP"/>
        </w:rPr>
        <w:t xml:space="preserve"> TWM </w:t>
      </w:r>
      <w:r w:rsidR="00F82AE5" w:rsidRPr="00096869">
        <w:rPr>
          <w:lang w:eastAsia="ja-JP"/>
        </w:rPr>
        <w:t xml:space="preserve">genehmigte </w:t>
      </w:r>
      <w:r w:rsidR="0013452A" w:rsidRPr="00096869">
        <w:rPr>
          <w:lang w:eastAsia="ja-JP"/>
        </w:rPr>
        <w:t>die Jahresversammlung der OECD-Saatgutregelungen</w:t>
      </w:r>
      <w:r w:rsidR="001D2593" w:rsidRPr="00096869">
        <w:rPr>
          <w:lang w:eastAsia="ja-JP"/>
        </w:rPr>
        <w:t xml:space="preserve">, </w:t>
      </w:r>
      <w:r w:rsidR="008C3929" w:rsidRPr="00096869">
        <w:rPr>
          <w:lang w:eastAsia="ja-JP"/>
        </w:rPr>
        <w:t xml:space="preserve">dass die OECD-Saatgutregelungen mit der ISTA und der UPOV zusammenarbeiten, um mit der Arbeit an der Festlegung gemeinsamer Sätze molekularer Marker für die Sortenidentifizierung zu beginnen. </w:t>
      </w:r>
      <w:r w:rsidR="00873F5B" w:rsidRPr="00096869">
        <w:rPr>
          <w:lang w:eastAsia="ja-JP"/>
        </w:rPr>
        <w:t xml:space="preserve">Die OECD-Saatgutregelungen </w:t>
      </w:r>
      <w:r w:rsidR="00F024D6" w:rsidRPr="00096869">
        <w:rPr>
          <w:lang w:eastAsia="ja-JP"/>
        </w:rPr>
        <w:t>kamen überein, die nationalen benannten Behörden (</w:t>
      </w:r>
      <w:r w:rsidR="00E57E20" w:rsidRPr="00096869">
        <w:rPr>
          <w:lang w:eastAsia="ja-JP"/>
        </w:rPr>
        <w:t>NDAs</w:t>
      </w:r>
      <w:r w:rsidR="00F024D6" w:rsidRPr="00096869">
        <w:rPr>
          <w:lang w:eastAsia="ja-JP"/>
        </w:rPr>
        <w:t>) aufzufordern</w:t>
      </w:r>
      <w:r w:rsidR="00E57E20" w:rsidRPr="00096869">
        <w:rPr>
          <w:lang w:eastAsia="ja-JP"/>
        </w:rPr>
        <w:t xml:space="preserve">, </w:t>
      </w:r>
      <w:r w:rsidR="00332065" w:rsidRPr="00096869">
        <w:rPr>
          <w:lang w:eastAsia="ja-JP"/>
        </w:rPr>
        <w:t xml:space="preserve">die Namen von </w:t>
      </w:r>
      <w:r w:rsidR="00E57E20" w:rsidRPr="00096869">
        <w:rPr>
          <w:lang w:eastAsia="ja-JP"/>
        </w:rPr>
        <w:t>Sachverständigen zu nennen, die mit der Arbeit an diesem Thema beginnen sollen</w:t>
      </w:r>
      <w:r w:rsidR="00A07516" w:rsidRPr="00096869">
        <w:rPr>
          <w:rStyle w:val="FootnoteReference"/>
          <w:lang w:eastAsia="ja-JP"/>
        </w:rPr>
        <w:t xml:space="preserve"> </w:t>
      </w:r>
      <w:r w:rsidR="00A07516" w:rsidRPr="00096869">
        <w:rPr>
          <w:rStyle w:val="FootnoteReference"/>
          <w:lang w:eastAsia="ja-JP"/>
        </w:rPr>
        <w:footnoteReference w:id="20"/>
      </w:r>
    </w:p>
    <w:p w14:paraId="0D8CC3FB" w14:textId="77777777" w:rsidR="00B63F38" w:rsidRPr="00096869" w:rsidRDefault="00B63F38" w:rsidP="00EF4B00">
      <w:pPr>
        <w:rPr>
          <w:snapToGrid w:val="0"/>
          <w:lang w:eastAsia="ja-JP"/>
        </w:rPr>
      </w:pPr>
    </w:p>
    <w:p w14:paraId="754791A4" w14:textId="606741C0" w:rsidR="00726D57" w:rsidRPr="00096869" w:rsidRDefault="002E5282" w:rsidP="00711294">
      <w:pPr>
        <w:pStyle w:val="DecisionParagraphs"/>
        <w:rPr>
          <w:snapToGrid w:val="0"/>
          <w:lang w:eastAsia="ja-JP"/>
        </w:rPr>
      </w:pPr>
      <w:r w:rsidRPr="00096869">
        <w:rPr>
          <w:snapToGrid w:val="0"/>
          <w:lang w:eastAsia="ja-JP"/>
        </w:rPr>
        <w:fldChar w:fldCharType="begin"/>
      </w:r>
      <w:r w:rsidRPr="00096869">
        <w:rPr>
          <w:snapToGrid w:val="0"/>
          <w:lang w:eastAsia="ja-JP"/>
        </w:rPr>
        <w:instrText xml:space="preserve"> AUTONUM  </w:instrText>
      </w:r>
      <w:r w:rsidRPr="00096869">
        <w:rPr>
          <w:snapToGrid w:val="0"/>
          <w:lang w:eastAsia="ja-JP"/>
        </w:rPr>
        <w:fldChar w:fldCharType="end"/>
      </w:r>
      <w:r w:rsidRPr="00096869">
        <w:rPr>
          <w:snapToGrid w:val="0"/>
          <w:lang w:eastAsia="ja-JP"/>
        </w:rPr>
        <w:tab/>
        <w:t xml:space="preserve">Der TC </w:t>
      </w:r>
      <w:r w:rsidR="00361889" w:rsidRPr="00096869">
        <w:rPr>
          <w:snapToGrid w:val="0"/>
          <w:lang w:eastAsia="ja-JP"/>
        </w:rPr>
        <w:t xml:space="preserve">und der CAJ werden </w:t>
      </w:r>
      <w:r w:rsidRPr="00096869">
        <w:rPr>
          <w:snapToGrid w:val="0"/>
          <w:lang w:eastAsia="ja-JP"/>
        </w:rPr>
        <w:t>gebeten</w:t>
      </w:r>
      <w:r w:rsidR="00726D57" w:rsidRPr="00096869">
        <w:rPr>
          <w:snapToGrid w:val="0"/>
          <w:lang w:eastAsia="ja-JP"/>
        </w:rPr>
        <w:t>:</w:t>
      </w:r>
    </w:p>
    <w:p w14:paraId="23D02233" w14:textId="77777777" w:rsidR="00726D57" w:rsidRPr="00096869" w:rsidRDefault="00726D57" w:rsidP="00711294">
      <w:pPr>
        <w:pStyle w:val="DecisionParagraphs"/>
        <w:rPr>
          <w:snapToGrid w:val="0"/>
          <w:lang w:eastAsia="ja-JP"/>
        </w:rPr>
      </w:pPr>
    </w:p>
    <w:p w14:paraId="2CC2A13D" w14:textId="1A2A9CB9" w:rsidR="00AA6936" w:rsidRPr="00096869" w:rsidRDefault="00726D57" w:rsidP="00711294">
      <w:pPr>
        <w:pStyle w:val="DecisionParagraphs"/>
        <w:rPr>
          <w:snapToGrid w:val="0"/>
          <w:lang w:eastAsia="ja-JP"/>
        </w:rPr>
      </w:pPr>
      <w:r w:rsidRPr="00096869">
        <w:rPr>
          <w:snapToGrid w:val="0"/>
          <w:lang w:eastAsia="ja-JP"/>
        </w:rPr>
        <w:tab/>
        <w:t>(a)</w:t>
      </w:r>
      <w:r w:rsidRPr="00096869">
        <w:rPr>
          <w:snapToGrid w:val="0"/>
          <w:lang w:eastAsia="ja-JP"/>
        </w:rPr>
        <w:tab/>
      </w:r>
      <w:r w:rsidR="00361889" w:rsidRPr="00096869">
        <w:rPr>
          <w:snapToGrid w:val="0"/>
          <w:lang w:eastAsia="ja-JP"/>
        </w:rPr>
        <w:t xml:space="preserve">die Zusammenarbeit </w:t>
      </w:r>
      <w:r w:rsidR="00CF689F" w:rsidRPr="00096869">
        <w:rPr>
          <w:snapToGrid w:val="0"/>
          <w:lang w:eastAsia="ja-JP"/>
        </w:rPr>
        <w:t xml:space="preserve">mit der OECD und der ISTA zur </w:t>
      </w:r>
      <w:r w:rsidR="00DC3382" w:rsidRPr="00096869">
        <w:rPr>
          <w:rFonts w:hint="eastAsia"/>
          <w:lang w:eastAsia="ja-JP"/>
        </w:rPr>
        <w:t xml:space="preserve">Festlegung gemeinsamer Sätze </w:t>
      </w:r>
      <w:r w:rsidR="00DC3382" w:rsidRPr="00096869">
        <w:t xml:space="preserve">molekularer Marker für die Sortenidentifizierung </w:t>
      </w:r>
      <w:r w:rsidR="00361889" w:rsidRPr="00096869">
        <w:rPr>
          <w:snapToGrid w:val="0"/>
          <w:lang w:eastAsia="ja-JP"/>
        </w:rPr>
        <w:t>zu unterstützen</w:t>
      </w:r>
      <w:r w:rsidRPr="00096869">
        <w:rPr>
          <w:snapToGrid w:val="0"/>
          <w:lang w:eastAsia="ja-JP"/>
        </w:rPr>
        <w:t xml:space="preserve">; </w:t>
      </w:r>
    </w:p>
    <w:p w14:paraId="0DE974D9" w14:textId="77777777" w:rsidR="00AA6936" w:rsidRPr="00096869" w:rsidRDefault="00AA6936" w:rsidP="00711294">
      <w:pPr>
        <w:pStyle w:val="DecisionParagraphs"/>
        <w:rPr>
          <w:snapToGrid w:val="0"/>
          <w:lang w:eastAsia="ja-JP"/>
        </w:rPr>
      </w:pPr>
    </w:p>
    <w:p w14:paraId="44A495CF" w14:textId="6FCB2C16" w:rsidR="00DC3382" w:rsidRPr="00096869" w:rsidRDefault="00AA6936" w:rsidP="00711294">
      <w:pPr>
        <w:pStyle w:val="DecisionParagraphs"/>
        <w:rPr>
          <w:snapToGrid w:val="0"/>
          <w:lang w:eastAsia="ja-JP"/>
        </w:rPr>
      </w:pPr>
      <w:r w:rsidRPr="00096869">
        <w:rPr>
          <w:snapToGrid w:val="0"/>
          <w:lang w:eastAsia="ja-JP"/>
        </w:rPr>
        <w:tab/>
        <w:t>(b)</w:t>
      </w:r>
      <w:r w:rsidRPr="00096869">
        <w:rPr>
          <w:snapToGrid w:val="0"/>
          <w:lang w:eastAsia="ja-JP"/>
        </w:rPr>
        <w:tab/>
        <w:t xml:space="preserve">zu prüfen, ob </w:t>
      </w:r>
      <w:r w:rsidR="00361889" w:rsidRPr="00096869">
        <w:rPr>
          <w:snapToGrid w:val="0"/>
          <w:lang w:eastAsia="ja-JP"/>
        </w:rPr>
        <w:t xml:space="preserve">ein </w:t>
      </w:r>
      <w:r w:rsidR="00FF4213" w:rsidRPr="00096869">
        <w:rPr>
          <w:snapToGrid w:val="0"/>
          <w:lang w:eastAsia="ja-JP"/>
        </w:rPr>
        <w:t>Experte und/oder interessierte Experten ausgewählt</w:t>
      </w:r>
      <w:r w:rsidRPr="00096869">
        <w:rPr>
          <w:snapToGrid w:val="0"/>
          <w:lang w:eastAsia="ja-JP"/>
        </w:rPr>
        <w:t xml:space="preserve"> werden sollen, </w:t>
      </w:r>
      <w:r w:rsidR="00FF4213" w:rsidRPr="00096869">
        <w:rPr>
          <w:snapToGrid w:val="0"/>
          <w:lang w:eastAsia="ja-JP"/>
        </w:rPr>
        <w:t xml:space="preserve">um </w:t>
      </w:r>
      <w:r w:rsidR="00F470DB" w:rsidRPr="00096869">
        <w:rPr>
          <w:snapToGrid w:val="0"/>
          <w:lang w:eastAsia="ja-JP"/>
        </w:rPr>
        <w:t xml:space="preserve">die Arbeit zu diesem Thema </w:t>
      </w:r>
      <w:r w:rsidR="00361889" w:rsidRPr="00096869">
        <w:rPr>
          <w:snapToGrid w:val="0"/>
          <w:lang w:eastAsia="ja-JP"/>
        </w:rPr>
        <w:t>zu koordinieren</w:t>
      </w:r>
      <w:r w:rsidR="00F470DB" w:rsidRPr="00096869">
        <w:rPr>
          <w:snapToGrid w:val="0"/>
          <w:lang w:eastAsia="ja-JP"/>
        </w:rPr>
        <w:t xml:space="preserve">; </w:t>
      </w:r>
      <w:r w:rsidR="00726D57" w:rsidRPr="00096869">
        <w:rPr>
          <w:snapToGrid w:val="0"/>
          <w:lang w:eastAsia="ja-JP"/>
        </w:rPr>
        <w:t>und</w:t>
      </w:r>
    </w:p>
    <w:p w14:paraId="33426E8B" w14:textId="77777777" w:rsidR="00726D57" w:rsidRPr="00096869" w:rsidRDefault="00726D57" w:rsidP="00711294">
      <w:pPr>
        <w:pStyle w:val="DecisionParagraphs"/>
        <w:rPr>
          <w:snapToGrid w:val="0"/>
          <w:lang w:eastAsia="ja-JP"/>
        </w:rPr>
      </w:pPr>
    </w:p>
    <w:p w14:paraId="7075F582" w14:textId="70A6CDEC" w:rsidR="00726D57" w:rsidRPr="00096869" w:rsidRDefault="00726D57" w:rsidP="00711294">
      <w:pPr>
        <w:pStyle w:val="DecisionParagraphs"/>
        <w:rPr>
          <w:snapToGrid w:val="0"/>
          <w:lang w:eastAsia="ja-JP"/>
        </w:rPr>
      </w:pPr>
      <w:r w:rsidRPr="00096869">
        <w:rPr>
          <w:snapToGrid w:val="0"/>
          <w:lang w:eastAsia="ja-JP"/>
        </w:rPr>
        <w:tab/>
        <w:t>(</w:t>
      </w:r>
      <w:r w:rsidR="00F470DB" w:rsidRPr="00096869">
        <w:rPr>
          <w:snapToGrid w:val="0"/>
          <w:lang w:eastAsia="ja-JP"/>
        </w:rPr>
        <w:t>c</w:t>
      </w:r>
      <w:r w:rsidRPr="00096869">
        <w:rPr>
          <w:snapToGrid w:val="0"/>
          <w:lang w:eastAsia="ja-JP"/>
        </w:rPr>
        <w:t>)</w:t>
      </w:r>
      <w:r w:rsidRPr="00096869">
        <w:rPr>
          <w:snapToGrid w:val="0"/>
          <w:lang w:eastAsia="ja-JP"/>
        </w:rPr>
        <w:tab/>
        <w:t>zur Kenntnis nehmen</w:t>
      </w:r>
      <w:r w:rsidR="00AA6936" w:rsidRPr="00096869">
        <w:rPr>
          <w:snapToGrid w:val="0"/>
          <w:lang w:eastAsia="ja-JP"/>
        </w:rPr>
        <w:t>,</w:t>
      </w:r>
      <w:r w:rsidRPr="00096869">
        <w:rPr>
          <w:snapToGrid w:val="0"/>
          <w:lang w:eastAsia="ja-JP"/>
        </w:rPr>
        <w:t xml:space="preserve"> dass </w:t>
      </w:r>
      <w:r w:rsidR="0090265A" w:rsidRPr="00096869">
        <w:rPr>
          <w:snapToGrid w:val="0"/>
          <w:lang w:eastAsia="ja-JP"/>
        </w:rPr>
        <w:t xml:space="preserve">die OECD </w:t>
      </w:r>
      <w:r w:rsidR="00AA6936" w:rsidRPr="00096869">
        <w:rPr>
          <w:snapToGrid w:val="0"/>
          <w:lang w:eastAsia="ja-JP"/>
        </w:rPr>
        <w:t xml:space="preserve">in Zusammenarbeit mit der ISTA und der UPOV </w:t>
      </w:r>
      <w:r w:rsidR="0090265A" w:rsidRPr="00096869">
        <w:rPr>
          <w:snapToGrid w:val="0"/>
          <w:lang w:eastAsia="ja-JP"/>
        </w:rPr>
        <w:t xml:space="preserve">den </w:t>
      </w:r>
      <w:r w:rsidR="00AA6936" w:rsidRPr="00096869">
        <w:rPr>
          <w:snapToGrid w:val="0"/>
          <w:lang w:eastAsia="ja-JP"/>
        </w:rPr>
        <w:t xml:space="preserve">Beginn der Arbeiten </w:t>
      </w:r>
      <w:r w:rsidR="00F470DB" w:rsidRPr="00096869">
        <w:rPr>
          <w:snapToGrid w:val="0"/>
          <w:lang w:eastAsia="ja-JP"/>
        </w:rPr>
        <w:t xml:space="preserve">zur Festlegung </w:t>
      </w:r>
      <w:r w:rsidR="00AA6936" w:rsidRPr="00096869">
        <w:rPr>
          <w:snapToGrid w:val="0"/>
          <w:lang w:eastAsia="ja-JP"/>
        </w:rPr>
        <w:t xml:space="preserve">gemeinsamer Sätze molekularer Marker für die Sortenidentifizierung </w:t>
      </w:r>
      <w:r w:rsidR="0090265A" w:rsidRPr="00096869">
        <w:rPr>
          <w:snapToGrid w:val="0"/>
          <w:lang w:eastAsia="ja-JP"/>
        </w:rPr>
        <w:t>genehmigt hat</w:t>
      </w:r>
      <w:r w:rsidR="00AA6936" w:rsidRPr="00096869">
        <w:rPr>
          <w:snapToGrid w:val="0"/>
          <w:lang w:eastAsia="ja-JP"/>
        </w:rPr>
        <w:t>.</w:t>
      </w:r>
    </w:p>
    <w:p w14:paraId="05D549FA" w14:textId="77777777" w:rsidR="00AA6936" w:rsidRPr="00096869" w:rsidRDefault="00AA6936" w:rsidP="00FE38C7"/>
    <w:p w14:paraId="782BDC71" w14:textId="77777777" w:rsidR="006B2C85" w:rsidRPr="00096869" w:rsidRDefault="006B2C85" w:rsidP="006B2C85">
      <w:pPr>
        <w:pStyle w:val="ListParagraph"/>
        <w:ind w:left="0"/>
        <w:jc w:val="both"/>
        <w:rPr>
          <w:rFonts w:eastAsiaTheme="minorEastAsia"/>
          <w:lang w:eastAsia="ja-JP"/>
        </w:rPr>
      </w:pPr>
    </w:p>
    <w:p w14:paraId="45B4CC6B" w14:textId="2916AB67" w:rsidR="006B2C85" w:rsidRPr="00096869" w:rsidRDefault="006B2C85" w:rsidP="00AF5629">
      <w:pPr>
        <w:pStyle w:val="Heading2"/>
        <w:rPr>
          <w:lang w:val="de-DE" w:eastAsia="ja-JP"/>
        </w:rPr>
      </w:pPr>
      <w:bookmarkStart w:id="31" w:name="_Toc210667574"/>
      <w:r w:rsidRPr="00096869">
        <w:rPr>
          <w:lang w:val="de-DE"/>
        </w:rPr>
        <w:t>Informationen über die Verwendung molekularer Verfahren in den einzelnen Organisationen</w:t>
      </w:r>
      <w:r w:rsidR="00792A2B" w:rsidRPr="00096869">
        <w:rPr>
          <w:lang w:val="de-DE"/>
        </w:rPr>
        <w:t xml:space="preserve">: </w:t>
      </w:r>
      <w:r w:rsidR="00E52427" w:rsidRPr="00096869">
        <w:rPr>
          <w:lang w:val="de-DE"/>
        </w:rPr>
        <w:t xml:space="preserve">mögliche </w:t>
      </w:r>
      <w:r w:rsidR="00792A2B" w:rsidRPr="00096869">
        <w:rPr>
          <w:lang w:val="de-DE"/>
        </w:rPr>
        <w:t>gemeinsame Sitzung</w:t>
      </w:r>
      <w:bookmarkEnd w:id="31"/>
      <w:r w:rsidR="00792A2B" w:rsidRPr="00096869">
        <w:rPr>
          <w:lang w:val="de-DE"/>
        </w:rPr>
        <w:t xml:space="preserve"> </w:t>
      </w:r>
    </w:p>
    <w:p w14:paraId="4412F7F7" w14:textId="77777777" w:rsidR="006B2C85" w:rsidRPr="00096869" w:rsidRDefault="006B2C85" w:rsidP="006B2C85">
      <w:pPr>
        <w:pStyle w:val="ListParagraph"/>
        <w:ind w:left="0"/>
        <w:jc w:val="both"/>
        <w:rPr>
          <w:rFonts w:eastAsiaTheme="minorEastAsia"/>
          <w:lang w:eastAsia="ja-JP"/>
        </w:rPr>
      </w:pPr>
    </w:p>
    <w:p w14:paraId="26BFA96E" w14:textId="32F3E461" w:rsidR="006B2C85" w:rsidRPr="00096869" w:rsidRDefault="006B2C85" w:rsidP="006B2C85">
      <w:pPr>
        <w:rPr>
          <w:lang w:eastAsia="ja-JP"/>
        </w:rPr>
      </w:pPr>
      <w:r w:rsidRPr="00096869">
        <w:fldChar w:fldCharType="begin"/>
      </w:r>
      <w:r w:rsidRPr="00096869">
        <w:instrText xml:space="preserve"> AUTONUM  </w:instrText>
      </w:r>
      <w:r w:rsidRPr="00096869">
        <w:fldChar w:fldCharType="end"/>
      </w:r>
      <w:r w:rsidRPr="00096869">
        <w:tab/>
      </w:r>
      <w:r w:rsidR="00FD1193">
        <w:t>Die TW</w:t>
      </w:r>
      <w:r w:rsidRPr="00096869">
        <w:t xml:space="preserve">M erörterte die Möglichkeit einer gemeinsamen Sitzung mit Teilnehmern aus dem TWM, den OECD-Saatgutregelungen und dem ISTA-Sortenausschuss, um die Zusammenarbeit bei der Verwendung molekularer Marker für die Zwecke der einzelnen Organisationen zu erörtern. </w:t>
      </w:r>
      <w:r w:rsidR="00FD1193">
        <w:t>Die TW</w:t>
      </w:r>
      <w:r w:rsidRPr="00096869">
        <w:t>M kam überein, dass die Organisation einer gemeinsamen Sitzung mit Sachverständigen aus den drei Organisationen besondere Vorkehrungen erfordern würde und von der UPOV, der OECD und der ISTA weiter erörtert werden sollte.</w:t>
      </w:r>
    </w:p>
    <w:p w14:paraId="21D3AD9D" w14:textId="77777777" w:rsidR="006B2C85" w:rsidRPr="00096869" w:rsidRDefault="006B2C85" w:rsidP="006B2C85">
      <w:pPr>
        <w:pStyle w:val="ListParagraph"/>
        <w:ind w:left="0"/>
        <w:jc w:val="both"/>
        <w:rPr>
          <w:rFonts w:eastAsiaTheme="minorEastAsia"/>
          <w:lang w:eastAsia="ja-JP"/>
        </w:rPr>
      </w:pPr>
    </w:p>
    <w:p w14:paraId="50B832E8" w14:textId="2EBB0C24" w:rsidR="006B2C85" w:rsidRPr="00096869" w:rsidRDefault="006B2C85" w:rsidP="006B2C85">
      <w:pPr>
        <w:pStyle w:val="ListParagraph"/>
        <w:ind w:left="0"/>
        <w:jc w:val="both"/>
      </w:pPr>
      <w:r w:rsidRPr="00096869">
        <w:rPr>
          <w:rFonts w:eastAsiaTheme="minorEastAsia"/>
          <w:lang w:eastAsia="ja-JP"/>
        </w:rPr>
        <w:lastRenderedPageBreak/>
        <w:fldChar w:fldCharType="begin"/>
      </w:r>
      <w:r w:rsidRPr="00096869">
        <w:instrText xml:space="preserve"> AUTONUM  </w:instrText>
      </w:r>
      <w:r w:rsidRPr="00096869">
        <w:rPr>
          <w:rFonts w:eastAsiaTheme="minorEastAsia"/>
          <w:lang w:eastAsia="ja-JP"/>
        </w:rPr>
        <w:fldChar w:fldCharType="end"/>
      </w:r>
      <w:r w:rsidRPr="00096869">
        <w:rPr>
          <w:rFonts w:eastAsiaTheme="minorEastAsia"/>
          <w:lang w:eastAsia="ja-JP"/>
        </w:rPr>
        <w:tab/>
        <w:t xml:space="preserve">Der TC </w:t>
      </w:r>
      <w:r w:rsidR="00C94359" w:rsidRPr="00096869">
        <w:rPr>
          <w:rFonts w:eastAsiaTheme="minorEastAsia"/>
          <w:lang w:eastAsia="ja-JP"/>
        </w:rPr>
        <w:t xml:space="preserve">und der CAJ </w:t>
      </w:r>
      <w:r w:rsidRPr="00096869">
        <w:rPr>
          <w:rFonts w:eastAsiaTheme="minorEastAsia"/>
          <w:lang w:eastAsia="ja-JP"/>
        </w:rPr>
        <w:t xml:space="preserve">möchten möglicherweise </w:t>
      </w:r>
      <w:r w:rsidR="00C94359" w:rsidRPr="00096869">
        <w:rPr>
          <w:rFonts w:eastAsiaTheme="minorEastAsia"/>
          <w:lang w:eastAsia="ja-JP"/>
        </w:rPr>
        <w:t xml:space="preserve">die Organisation </w:t>
      </w:r>
      <w:r w:rsidRPr="00096869">
        <w:rPr>
          <w:rFonts w:eastAsiaTheme="minorEastAsia"/>
          <w:lang w:eastAsia="ja-JP"/>
        </w:rPr>
        <w:t xml:space="preserve">einer </w:t>
      </w:r>
      <w:r w:rsidRPr="00096869">
        <w:t xml:space="preserve">gemeinsamen Sitzung mit Teilnehmern aus der UPOV, den OECD-Saatgutregelungen und dem ISTA-Sortenausschuss </w:t>
      </w:r>
      <w:r w:rsidR="00C94359" w:rsidRPr="00096869">
        <w:rPr>
          <w:rFonts w:eastAsiaTheme="minorEastAsia"/>
          <w:lang w:eastAsia="ja-JP"/>
        </w:rPr>
        <w:t>befürworten</w:t>
      </w:r>
      <w:r w:rsidRPr="00096869">
        <w:t xml:space="preserve">, um die Zusammenarbeit bei der Verwendung molekularer Marker für die Zwecke jeder Organisation zu erörtern.  Im Falle einer positiven Entscheidung würden die Vorkehrungen für die gemeinsame Sitzung der OECD und der ISTA zur Prüfung vorgelegt.  Die künftigen Gastgeber </w:t>
      </w:r>
      <w:r w:rsidR="00FD1193">
        <w:t>die TW</w:t>
      </w:r>
      <w:r w:rsidRPr="00096869">
        <w:t>M-</w:t>
      </w:r>
      <w:r w:rsidR="00B377BF">
        <w:t>Tagung</w:t>
      </w:r>
      <w:r w:rsidRPr="00096869">
        <w:t xml:space="preserve">en könnten ebenfalls in dieser Angelegenheit konsultiert werden. </w:t>
      </w:r>
    </w:p>
    <w:p w14:paraId="4585C413" w14:textId="77777777" w:rsidR="006B2C85" w:rsidRPr="00096869" w:rsidRDefault="006B2C85" w:rsidP="006B2C85">
      <w:pPr>
        <w:pStyle w:val="ListParagraph"/>
        <w:ind w:left="0"/>
        <w:jc w:val="both"/>
        <w:rPr>
          <w:rFonts w:eastAsiaTheme="minorEastAsia"/>
          <w:lang w:eastAsia="ja-JP"/>
        </w:rPr>
      </w:pPr>
    </w:p>
    <w:p w14:paraId="37BFE5EB" w14:textId="49F96AD3" w:rsidR="006B2C85" w:rsidRPr="00096869" w:rsidRDefault="006B2C85" w:rsidP="006B2C85">
      <w:pPr>
        <w:pStyle w:val="ListParagraph"/>
        <w:keepNext/>
        <w:keepLines/>
        <w:tabs>
          <w:tab w:val="left" w:pos="5387"/>
        </w:tabs>
        <w:ind w:left="4820"/>
        <w:jc w:val="both"/>
        <w:rPr>
          <w:rFonts w:eastAsiaTheme="minorEastAsia"/>
          <w:i/>
          <w:iCs/>
          <w:lang w:eastAsia="ja-JP"/>
        </w:rPr>
      </w:pPr>
      <w:r w:rsidRPr="00096869">
        <w:rPr>
          <w:rFonts w:eastAsiaTheme="minorEastAsia"/>
          <w:i/>
          <w:iCs/>
          <w:lang w:eastAsia="ja-JP"/>
        </w:rPr>
        <w:fldChar w:fldCharType="begin"/>
      </w:r>
      <w:r w:rsidRPr="00096869">
        <w:instrText xml:space="preserve"> AUTONUM  </w:instrText>
      </w:r>
      <w:r w:rsidRPr="00096869">
        <w:rPr>
          <w:rFonts w:eastAsiaTheme="minorEastAsia"/>
          <w:i/>
          <w:iCs/>
          <w:lang w:eastAsia="ja-JP"/>
        </w:rPr>
        <w:fldChar w:fldCharType="end"/>
      </w:r>
      <w:r w:rsidRPr="00096869">
        <w:rPr>
          <w:rFonts w:eastAsiaTheme="minorEastAsia"/>
          <w:i/>
          <w:iCs/>
          <w:lang w:eastAsia="ja-JP"/>
        </w:rPr>
        <w:tab/>
        <w:t xml:space="preserve">Der TC </w:t>
      </w:r>
      <w:r w:rsidR="00C94359" w:rsidRPr="00096869">
        <w:rPr>
          <w:rFonts w:eastAsiaTheme="minorEastAsia"/>
          <w:i/>
          <w:iCs/>
          <w:lang w:eastAsia="ja-JP"/>
        </w:rPr>
        <w:t xml:space="preserve">und der CAJ werden </w:t>
      </w:r>
      <w:r w:rsidRPr="00096869">
        <w:rPr>
          <w:rFonts w:eastAsiaTheme="minorEastAsia"/>
          <w:i/>
          <w:iCs/>
          <w:lang w:eastAsia="ja-JP"/>
        </w:rPr>
        <w:t xml:space="preserve">gebeten, die </w:t>
      </w:r>
      <w:r w:rsidR="00C94359" w:rsidRPr="00096869">
        <w:rPr>
          <w:rFonts w:eastAsiaTheme="minorEastAsia"/>
          <w:i/>
          <w:iCs/>
          <w:lang w:eastAsia="ja-JP"/>
        </w:rPr>
        <w:t xml:space="preserve">Organisation </w:t>
      </w:r>
      <w:r w:rsidRPr="00096869">
        <w:rPr>
          <w:rFonts w:eastAsiaTheme="minorEastAsia"/>
          <w:i/>
          <w:iCs/>
          <w:lang w:eastAsia="ja-JP"/>
        </w:rPr>
        <w:t xml:space="preserve">einer gemeinsamen Sitzung mit Teilnehmern der UPOV, der OECD-Saatgutregelungen und des ISTA-Sortenausschusses </w:t>
      </w:r>
      <w:r w:rsidR="00C94359" w:rsidRPr="00096869">
        <w:rPr>
          <w:rFonts w:eastAsiaTheme="minorEastAsia"/>
          <w:i/>
          <w:iCs/>
          <w:lang w:eastAsia="ja-JP"/>
        </w:rPr>
        <w:t xml:space="preserve">zu billigen, </w:t>
      </w:r>
      <w:r w:rsidRPr="00096869">
        <w:rPr>
          <w:rFonts w:eastAsiaTheme="minorEastAsia"/>
          <w:i/>
          <w:iCs/>
          <w:lang w:eastAsia="ja-JP"/>
        </w:rPr>
        <w:t xml:space="preserve">um die Zusammenarbeit bei der Verwendung molekularer Marker für die Zwecke der einzelnen Organisationen zu erörtern. </w:t>
      </w:r>
    </w:p>
    <w:p w14:paraId="57E43A1E" w14:textId="77777777" w:rsidR="006B2C85" w:rsidRPr="00096869" w:rsidRDefault="006B2C85" w:rsidP="00FE38C7"/>
    <w:p w14:paraId="1D74746F" w14:textId="77777777" w:rsidR="00BF7C58" w:rsidRPr="00096869" w:rsidRDefault="00BF7C58" w:rsidP="00FE38C7"/>
    <w:p w14:paraId="68752683" w14:textId="77777777" w:rsidR="00A00571" w:rsidRPr="00096869" w:rsidRDefault="00A00571" w:rsidP="00FE38C7"/>
    <w:p w14:paraId="38D9EA8D" w14:textId="77777777" w:rsidR="00EF4B00" w:rsidRPr="00096869" w:rsidRDefault="00EF4B00" w:rsidP="00975B88">
      <w:pPr>
        <w:pStyle w:val="Heading1"/>
        <w:rPr>
          <w:snapToGrid w:val="0"/>
          <w:lang w:val="de-DE" w:eastAsia="ja-JP"/>
        </w:rPr>
      </w:pPr>
      <w:bookmarkStart w:id="32" w:name="_Toc177773948"/>
      <w:bookmarkStart w:id="33" w:name="_Toc210667575"/>
      <w:r w:rsidRPr="00096869">
        <w:rPr>
          <w:snapToGrid w:val="0"/>
          <w:lang w:val="de-DE" w:eastAsia="ja-JP"/>
        </w:rPr>
        <w:t>Zur Information</w:t>
      </w:r>
      <w:bookmarkEnd w:id="32"/>
      <w:bookmarkEnd w:id="33"/>
    </w:p>
    <w:bookmarkEnd w:id="20"/>
    <w:p w14:paraId="41B95F77" w14:textId="77777777" w:rsidR="00EF4B00" w:rsidRPr="00096869" w:rsidRDefault="00EF4B00" w:rsidP="00975B88">
      <w:pPr>
        <w:keepNext/>
        <w:jc w:val="left"/>
      </w:pPr>
    </w:p>
    <w:p w14:paraId="4F60587D" w14:textId="5374922A" w:rsidR="00EF4B00" w:rsidRPr="00096869" w:rsidRDefault="00A33FD0" w:rsidP="00825360">
      <w:r w:rsidRPr="00096869">
        <w:fldChar w:fldCharType="begin"/>
      </w:r>
      <w:r w:rsidRPr="00096869">
        <w:instrText xml:space="preserve"> AUTONUM  </w:instrText>
      </w:r>
      <w:r w:rsidRPr="00096869">
        <w:fldChar w:fldCharType="end"/>
      </w:r>
      <w:r w:rsidRPr="00096869">
        <w:tab/>
      </w:r>
      <w:r w:rsidR="00FD1193">
        <w:t>Die TW</w:t>
      </w:r>
      <w:r w:rsidRPr="00096869">
        <w:t xml:space="preserve">M hielt </w:t>
      </w:r>
      <w:r w:rsidR="00311749">
        <w:t>ihre</w:t>
      </w:r>
      <w:r w:rsidRPr="00096869">
        <w:t xml:space="preserve"> </w:t>
      </w:r>
      <w:r w:rsidR="00487C3A" w:rsidRPr="00096869">
        <w:rPr>
          <w:rFonts w:hint="eastAsia"/>
          <w:lang w:eastAsia="ja-JP"/>
        </w:rPr>
        <w:t xml:space="preserve">dritte </w:t>
      </w:r>
      <w:r w:rsidRPr="00096869">
        <w:t>Tagung vom 28. April bis 1.</w:t>
      </w:r>
      <w:r w:rsidR="00487C3A" w:rsidRPr="00096869">
        <w:rPr>
          <w:rFonts w:hint="eastAsia"/>
          <w:lang w:eastAsia="ja-JP"/>
        </w:rPr>
        <w:t xml:space="preserve"> Mai</w:t>
      </w:r>
      <w:r w:rsidR="006A3BDC" w:rsidRPr="00096869">
        <w:rPr>
          <w:rFonts w:hint="eastAsia"/>
          <w:lang w:eastAsia="ja-JP"/>
        </w:rPr>
        <w:t xml:space="preserve"> 2025 </w:t>
      </w:r>
      <w:r w:rsidR="00487C3A" w:rsidRPr="00096869">
        <w:rPr>
          <w:rFonts w:hint="eastAsia"/>
          <w:lang w:eastAsia="ja-JP"/>
        </w:rPr>
        <w:t>in Peking, China</w:t>
      </w:r>
      <w:r w:rsidRPr="00096869">
        <w:t xml:space="preserve">, ab. </w:t>
      </w:r>
      <w:r w:rsidR="00825360" w:rsidRPr="00096869">
        <w:t xml:space="preserve">In </w:t>
      </w:r>
      <w:r w:rsidRPr="00096869">
        <w:t>den folgenden Abschnitten wird über die Entwicklungen im Bereich der molekularen Verfahren berichtet.</w:t>
      </w:r>
    </w:p>
    <w:p w14:paraId="0E6C8259" w14:textId="77777777" w:rsidR="00A33FD0" w:rsidRPr="00096869" w:rsidRDefault="00A33FD0" w:rsidP="00EF4B00"/>
    <w:p w14:paraId="5617DE68" w14:textId="77777777" w:rsidR="00E65203" w:rsidRPr="00096869" w:rsidRDefault="00E65203" w:rsidP="003127BF">
      <w:pPr>
        <w:pStyle w:val="Heading2"/>
        <w:keepLines/>
        <w:rPr>
          <w:lang w:val="de-DE"/>
        </w:rPr>
      </w:pPr>
      <w:bookmarkStart w:id="34" w:name="_Toc210667576"/>
      <w:r w:rsidRPr="00096869">
        <w:rPr>
          <w:lang w:val="de-DE"/>
        </w:rPr>
        <w:t>Neueste Entwicklungen bei molekularen Techniken und Bioinformatik</w:t>
      </w:r>
      <w:bookmarkEnd w:id="34"/>
    </w:p>
    <w:p w14:paraId="6CBC0D3A" w14:textId="77777777" w:rsidR="00E65203" w:rsidRPr="00096869" w:rsidRDefault="00E65203" w:rsidP="003127BF">
      <w:pPr>
        <w:keepNext/>
        <w:keepLines/>
      </w:pPr>
    </w:p>
    <w:p w14:paraId="055454EC" w14:textId="77777777" w:rsidR="00E65203" w:rsidRPr="00096869" w:rsidRDefault="00E65203" w:rsidP="003127BF">
      <w:pPr>
        <w:pStyle w:val="Heading3"/>
        <w:keepLines/>
        <w:rPr>
          <w:lang w:val="de-DE"/>
        </w:rPr>
      </w:pPr>
      <w:bookmarkStart w:id="35" w:name="_Toc210667577"/>
      <w:r w:rsidRPr="00096869">
        <w:rPr>
          <w:lang w:val="de-DE"/>
        </w:rPr>
        <w:t>Datenwissenschaftliche Aktivitäten bei Naktuinbouw zur Genotypisierung und Phänotypisierung: ein Update</w:t>
      </w:r>
      <w:bookmarkEnd w:id="35"/>
    </w:p>
    <w:p w14:paraId="0F4A961D" w14:textId="77777777" w:rsidR="00E65203" w:rsidRPr="00096869" w:rsidRDefault="00E65203" w:rsidP="003127BF">
      <w:pPr>
        <w:keepNext/>
        <w:keepLines/>
      </w:pPr>
    </w:p>
    <w:p w14:paraId="3B6D88BD" w14:textId="4CAF1D0D" w:rsidR="00E65203" w:rsidRPr="00096869" w:rsidRDefault="00BF7C58" w:rsidP="00BF7C58">
      <w:pPr>
        <w:ind w:left="11"/>
      </w:pPr>
      <w:r w:rsidRPr="00096869">
        <w:fldChar w:fldCharType="begin"/>
      </w:r>
      <w:r w:rsidRPr="00096869">
        <w:instrText xml:space="preserve"> AUTONUM  </w:instrText>
      </w:r>
      <w:r w:rsidRPr="00096869">
        <w:fldChar w:fldCharType="end"/>
      </w:r>
      <w:r w:rsidRPr="00096869">
        <w:tab/>
      </w:r>
      <w:r w:rsidR="00E65203" w:rsidRPr="00096869">
        <w:t>Die TWM hörte einen Vortrag von Frau Sanchari Sircar</w:t>
      </w:r>
      <w:bookmarkStart w:id="36" w:name="_Hlk195532544"/>
      <w:r w:rsidR="00E65203" w:rsidRPr="00096869">
        <w:rPr>
          <w:rFonts w:hint="eastAsia"/>
          <w:lang w:eastAsia="ja-JP"/>
        </w:rPr>
        <w:t xml:space="preserve"> (</w:t>
      </w:r>
      <w:bookmarkStart w:id="37" w:name="_Hlk195537397"/>
      <w:r w:rsidR="00E65203" w:rsidRPr="00096869">
        <w:rPr>
          <w:lang w:eastAsia="ja-JP"/>
        </w:rPr>
        <w:t xml:space="preserve"> Niederlande (Königreich der)</w:t>
      </w:r>
      <w:bookmarkEnd w:id="37"/>
      <w:r w:rsidR="00E65203" w:rsidRPr="00096869">
        <w:rPr>
          <w:rFonts w:hint="eastAsia"/>
          <w:lang w:eastAsia="ja-JP"/>
        </w:rPr>
        <w:t xml:space="preserve"> )</w:t>
      </w:r>
      <w:bookmarkEnd w:id="36"/>
      <w:r w:rsidR="00E65203" w:rsidRPr="00096869">
        <w:t xml:space="preserve"> zum Thema „Datenwissenschaftliche Aktivitäten bei Naktuinbouw im Hinblick auf Genotypisierung und Phänotypisierung: ein Update”, </w:t>
      </w:r>
      <w:r w:rsidR="00E65203" w:rsidRPr="00096869">
        <w:rPr>
          <w:rFonts w:cs="Arial"/>
          <w:iCs/>
        </w:rPr>
        <w:t xml:space="preserve">dessen Kopie in Dokument </w:t>
      </w:r>
      <w:r w:rsidR="00E65203" w:rsidRPr="00096869">
        <w:rPr>
          <w:rFonts w:hint="eastAsia"/>
          <w:lang w:eastAsia="ja-JP"/>
        </w:rPr>
        <w:t>TWM/3/16</w:t>
      </w:r>
      <w:r w:rsidR="00E65203" w:rsidRPr="00096869">
        <w:rPr>
          <w:rFonts w:cs="Arial"/>
          <w:iCs/>
        </w:rPr>
        <w:t xml:space="preserve"> enthalten ist</w:t>
      </w:r>
      <w:r w:rsidR="00E65203" w:rsidRPr="00096869">
        <w:t xml:space="preserve">. </w:t>
      </w:r>
    </w:p>
    <w:p w14:paraId="742388F5" w14:textId="77777777" w:rsidR="00E65203" w:rsidRPr="00096869" w:rsidRDefault="00E65203" w:rsidP="00E65203">
      <w:pPr>
        <w:pStyle w:val="ListParagraph"/>
        <w:ind w:left="0"/>
        <w:jc w:val="both"/>
      </w:pPr>
    </w:p>
    <w:p w14:paraId="124A1817" w14:textId="29AB8ED1"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M nahm die Entwicklung von Software bei Naktuinbouw und die Einladung zur Zusammenarbeit bei datenwissenschaftlichen Aktivitäten, einschließlich Bildanalyse und Phänotypisierung, Workflow-Entwicklungen, künstlicher Intelligenz und anderen Kooperationsbemühungen, zur Kenntnis.</w:t>
      </w:r>
    </w:p>
    <w:p w14:paraId="3F8AF236" w14:textId="77777777" w:rsidR="00E65203" w:rsidRPr="00096869" w:rsidRDefault="00E65203" w:rsidP="00E65203"/>
    <w:p w14:paraId="507AE2E0" w14:textId="77777777" w:rsidR="00E65203" w:rsidRPr="00096869" w:rsidRDefault="00E65203" w:rsidP="00EF24D5">
      <w:pPr>
        <w:pStyle w:val="Heading2"/>
        <w:rPr>
          <w:lang w:val="de-DE"/>
        </w:rPr>
      </w:pPr>
      <w:bookmarkStart w:id="38" w:name="_Toc210667578"/>
      <w:r w:rsidRPr="00096869">
        <w:rPr>
          <w:lang w:val="de-DE"/>
        </w:rPr>
        <w:t>Zusammenarbeit zwischen internationalen Organisationen</w:t>
      </w:r>
      <w:bookmarkEnd w:id="38"/>
    </w:p>
    <w:p w14:paraId="155E7C60" w14:textId="77777777" w:rsidR="00E65203" w:rsidRPr="00096869" w:rsidRDefault="00E65203" w:rsidP="00E65203"/>
    <w:p w14:paraId="64D62FE9" w14:textId="77777777" w:rsidR="00E65203" w:rsidRPr="00096869" w:rsidRDefault="00E65203" w:rsidP="00EF24D5">
      <w:pPr>
        <w:pStyle w:val="Heading3"/>
        <w:rPr>
          <w:lang w:val="de-DE"/>
        </w:rPr>
      </w:pPr>
      <w:bookmarkStart w:id="39" w:name="_Toc210667579"/>
      <w:r w:rsidRPr="00096869">
        <w:rPr>
          <w:lang w:val="de-DE"/>
        </w:rPr>
        <w:t>ISTA</w:t>
      </w:r>
      <w:bookmarkEnd w:id="39"/>
    </w:p>
    <w:p w14:paraId="07F8F0F7" w14:textId="77777777" w:rsidR="00E65203" w:rsidRPr="00096869" w:rsidRDefault="00E65203" w:rsidP="00E65203"/>
    <w:p w14:paraId="7440D5BF" w14:textId="5A45AC31"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M hörte einen Vortrag von Frau Ana Vicario</w:t>
      </w:r>
      <w:r w:rsidR="00E65203" w:rsidRPr="00096869">
        <w:rPr>
          <w:rFonts w:hint="eastAsia"/>
          <w:lang w:eastAsia="ja-JP"/>
        </w:rPr>
        <w:t xml:space="preserve">, </w:t>
      </w:r>
      <w:r w:rsidR="00E65203" w:rsidRPr="00096869">
        <w:rPr>
          <w:lang w:eastAsia="ja-JP"/>
        </w:rPr>
        <w:t>International Seed Testing Association (ISTA)</w:t>
      </w:r>
      <w:r w:rsidR="00E65203" w:rsidRPr="00096869">
        <w:t xml:space="preserve">, zum Thema </w:t>
      </w:r>
      <w:r w:rsidR="00E65203" w:rsidRPr="00096869">
        <w:rPr>
          <w:lang w:eastAsia="ja-JP"/>
        </w:rPr>
        <w:t xml:space="preserve">„Aktuelles von der ISTA zur Verwendung von Techniken zur Sortenidentifizierung und </w:t>
      </w:r>
      <w:r w:rsidR="00E65203" w:rsidRPr="00096869">
        <w:t xml:space="preserve">-überprüfung”, </w:t>
      </w:r>
      <w:r w:rsidR="00E65203" w:rsidRPr="00096869">
        <w:rPr>
          <w:rFonts w:cs="Arial"/>
          <w:iCs/>
        </w:rPr>
        <w:t xml:space="preserve">dessen Kopie in Dokument </w:t>
      </w:r>
      <w:r w:rsidR="00E65203" w:rsidRPr="00096869">
        <w:rPr>
          <w:rFonts w:hint="eastAsia"/>
          <w:lang w:eastAsia="ja-JP"/>
        </w:rPr>
        <w:t>TWM/3/25</w:t>
      </w:r>
      <w:r w:rsidR="00E65203" w:rsidRPr="00096869">
        <w:rPr>
          <w:rFonts w:cs="Arial"/>
          <w:iCs/>
        </w:rPr>
        <w:t xml:space="preserve"> enthalten ist</w:t>
      </w:r>
      <w:r w:rsidR="00E65203" w:rsidRPr="00096869">
        <w:t>.</w:t>
      </w:r>
    </w:p>
    <w:p w14:paraId="7654EC0E" w14:textId="77777777" w:rsidR="00E65203" w:rsidRPr="00096869" w:rsidRDefault="00E65203" w:rsidP="00E65203">
      <w:pPr>
        <w:pStyle w:val="ListParagraph"/>
        <w:ind w:left="0"/>
        <w:jc w:val="both"/>
      </w:pPr>
    </w:p>
    <w:p w14:paraId="32F0D60A" w14:textId="60EEAD3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stellte fest, dass die zur Erkennung mehrjähriger Typen in einjährigem Weidelgras ausgewählten Marker nicht unbedingt mit morphologischen Merkmalen in Verbindung standen und auf Sorten aus verschiedenen Ländern basierten. </w:t>
      </w:r>
      <w:r w:rsidR="00FD1193">
        <w:t>Die TW</w:t>
      </w:r>
      <w:r w:rsidR="00E65203" w:rsidRPr="00096869">
        <w:t xml:space="preserve">M </w:t>
      </w:r>
      <w:r w:rsidR="00E65203" w:rsidRPr="00096869">
        <w:rPr>
          <w:lang w:eastAsia="ja-JP"/>
        </w:rPr>
        <w:t>stellte fest, dass die im Rahmen des Projekts identifizierten Marker in den ISTA-Regeln veröffentlicht werden würden.</w:t>
      </w:r>
    </w:p>
    <w:p w14:paraId="5C500856" w14:textId="77777777" w:rsidR="00E65203" w:rsidRPr="00096869" w:rsidRDefault="00E65203" w:rsidP="00E65203">
      <w:pPr>
        <w:pStyle w:val="ListParagraph"/>
      </w:pPr>
    </w:p>
    <w:p w14:paraId="055CA8C2" w14:textId="1E91567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stellte fest, dass das zur Unterstützung der </w:t>
      </w:r>
      <w:r w:rsidR="00E65203" w:rsidRPr="00096869">
        <w:rPr>
          <w:rFonts w:hint="eastAsia"/>
          <w:lang w:eastAsia="ja-JP"/>
        </w:rPr>
        <w:t xml:space="preserve">Sortenidentifizierung </w:t>
      </w:r>
      <w:r w:rsidR="00E65203" w:rsidRPr="00096869">
        <w:t xml:space="preserve">verwendete neuronale Netzwerk eine proprietäre Software sei. </w:t>
      </w:r>
    </w:p>
    <w:p w14:paraId="2097F002" w14:textId="77777777" w:rsidR="00E65203" w:rsidRPr="00096869" w:rsidRDefault="00E65203" w:rsidP="00E65203"/>
    <w:p w14:paraId="7FDF36F1" w14:textId="77777777" w:rsidR="00E65203" w:rsidRPr="00096869" w:rsidRDefault="00E65203" w:rsidP="00EF24D5">
      <w:pPr>
        <w:pStyle w:val="Heading3"/>
        <w:rPr>
          <w:lang w:val="de-DE"/>
        </w:rPr>
      </w:pPr>
      <w:bookmarkStart w:id="40" w:name="_Toc210667580"/>
      <w:r w:rsidRPr="00096869">
        <w:rPr>
          <w:lang w:val="de-DE"/>
        </w:rPr>
        <w:t>OECD</w:t>
      </w:r>
      <w:bookmarkEnd w:id="40"/>
    </w:p>
    <w:p w14:paraId="314BC0ED" w14:textId="77777777" w:rsidR="00E65203" w:rsidRPr="00096869" w:rsidRDefault="00E65203" w:rsidP="00E65203">
      <w:pPr>
        <w:pStyle w:val="ListParagraph"/>
        <w:keepNext/>
        <w:ind w:left="0"/>
        <w:jc w:val="both"/>
      </w:pPr>
    </w:p>
    <w:p w14:paraId="423503DD" w14:textId="1668B390" w:rsidR="00E65203" w:rsidRPr="00096869" w:rsidRDefault="00BF7C58" w:rsidP="00BF7C58">
      <w:pPr>
        <w:keepNext/>
      </w:pPr>
      <w:r w:rsidRPr="00096869">
        <w:fldChar w:fldCharType="begin"/>
      </w:r>
      <w:r w:rsidRPr="00096869">
        <w:instrText xml:space="preserve"> AUTONUM  </w:instrText>
      </w:r>
      <w:r w:rsidRPr="00096869">
        <w:fldChar w:fldCharType="end"/>
      </w:r>
      <w:r w:rsidRPr="00096869">
        <w:tab/>
      </w:r>
      <w:r w:rsidR="00FD1193">
        <w:t>Die TW</w:t>
      </w:r>
      <w:r w:rsidR="00E65203" w:rsidRPr="00096869">
        <w:t>M hörte einen Vortrag von Herrn Csaba Gaspar</w:t>
      </w:r>
      <w:r w:rsidR="00E65203" w:rsidRPr="00096869">
        <w:rPr>
          <w:rFonts w:hint="eastAsia"/>
          <w:lang w:eastAsia="ja-JP"/>
        </w:rPr>
        <w:t xml:space="preserve">, </w:t>
      </w:r>
      <w:r w:rsidR="00E65203" w:rsidRPr="00096869">
        <w:rPr>
          <w:lang w:eastAsia="ja-JP"/>
        </w:rPr>
        <w:t>Organisation für wirtschaftliche Zusammenarbeit und Entwicklung (OECD)</w:t>
      </w:r>
      <w:r w:rsidR="00E65203" w:rsidRPr="00096869">
        <w:t xml:space="preserve">, zum Thema </w:t>
      </w:r>
      <w:r w:rsidR="00E65203" w:rsidRPr="00096869">
        <w:rPr>
          <w:lang w:eastAsia="ja-JP"/>
        </w:rPr>
        <w:t>„Neueste Entwicklungen bei der Anwendung der BMT im Rahmen der OECD</w:t>
      </w:r>
      <w:r w:rsidR="00E65203" w:rsidRPr="00096869">
        <w:t xml:space="preserve">-Saatgutregelungen”, </w:t>
      </w:r>
      <w:r w:rsidR="00E65203" w:rsidRPr="00096869">
        <w:rPr>
          <w:rFonts w:cs="Arial"/>
          <w:iCs/>
        </w:rPr>
        <w:t xml:space="preserve">der in Dokument </w:t>
      </w:r>
      <w:r w:rsidR="00E65203" w:rsidRPr="00096869">
        <w:rPr>
          <w:rFonts w:hint="eastAsia"/>
          <w:lang w:eastAsia="ja-JP"/>
        </w:rPr>
        <w:t>TWM/3/26</w:t>
      </w:r>
      <w:r w:rsidR="00E65203" w:rsidRPr="00096869">
        <w:rPr>
          <w:rFonts w:cs="Arial"/>
          <w:iCs/>
        </w:rPr>
        <w:t xml:space="preserve"> wiedergegeben ist</w:t>
      </w:r>
      <w:r w:rsidR="00E65203" w:rsidRPr="00096869">
        <w:t>.</w:t>
      </w:r>
    </w:p>
    <w:p w14:paraId="60805204" w14:textId="77777777" w:rsidR="00E65203" w:rsidRPr="00096869" w:rsidRDefault="00E65203" w:rsidP="00E65203">
      <w:pPr>
        <w:pStyle w:val="ListParagraph"/>
        <w:ind w:left="0"/>
        <w:jc w:val="both"/>
        <w:rPr>
          <w:rFonts w:eastAsiaTheme="minorEastAsia"/>
          <w:lang w:eastAsia="ja-JP"/>
        </w:rPr>
      </w:pPr>
    </w:p>
    <w:p w14:paraId="35D754AC" w14:textId="77777777" w:rsidR="00E65203" w:rsidRPr="00096869" w:rsidRDefault="00E65203" w:rsidP="00EF24D5">
      <w:pPr>
        <w:pStyle w:val="Heading2"/>
        <w:rPr>
          <w:lang w:val="de-DE"/>
        </w:rPr>
      </w:pPr>
      <w:bookmarkStart w:id="41" w:name="_Toc210667581"/>
      <w:r w:rsidRPr="00096869">
        <w:rPr>
          <w:lang w:val="de-DE"/>
        </w:rPr>
        <w:t>Bericht über die Arbeit an molekularen Verfahren im Zusammenhang mit der DUS-Prüfung</w:t>
      </w:r>
      <w:bookmarkEnd w:id="41"/>
    </w:p>
    <w:p w14:paraId="7BA9A33E" w14:textId="77777777" w:rsidR="00E65203" w:rsidRPr="00096869" w:rsidRDefault="00E65203" w:rsidP="00E65203">
      <w:pPr>
        <w:pStyle w:val="ListParagraph"/>
        <w:ind w:left="0"/>
        <w:jc w:val="both"/>
        <w:rPr>
          <w:rFonts w:eastAsiaTheme="minorEastAsia"/>
          <w:lang w:eastAsia="ja-JP"/>
        </w:rPr>
      </w:pPr>
    </w:p>
    <w:p w14:paraId="35E874B0" w14:textId="77777777" w:rsidR="00E65203" w:rsidRPr="00096869" w:rsidRDefault="00E65203" w:rsidP="00EF24D5">
      <w:pPr>
        <w:pStyle w:val="Heading3"/>
        <w:rPr>
          <w:lang w:val="de-DE"/>
        </w:rPr>
      </w:pPr>
      <w:bookmarkStart w:id="42" w:name="_Toc210667582"/>
      <w:r w:rsidRPr="00096869">
        <w:rPr>
          <w:lang w:val="de-DE"/>
        </w:rPr>
        <w:t>Neueste Entwicklungen bei merkmalspezifischen molekularen Markern bei Naktuinbouw: Aufruf zum Wissensaustausch</w:t>
      </w:r>
      <w:bookmarkEnd w:id="42"/>
    </w:p>
    <w:p w14:paraId="31D164D2" w14:textId="77777777" w:rsidR="00E65203" w:rsidRPr="00096869" w:rsidRDefault="00E65203" w:rsidP="00E65203"/>
    <w:p w14:paraId="4915A0CF" w14:textId="7F7E81C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Frau Claire Kamei </w:t>
      </w:r>
      <w:r w:rsidR="00E65203" w:rsidRPr="00096869">
        <w:rPr>
          <w:lang w:eastAsia="ja-JP"/>
        </w:rPr>
        <w:t>(Königreich der Niederlande</w:t>
      </w:r>
      <w:r w:rsidR="00E65203" w:rsidRPr="00096869">
        <w:rPr>
          <w:rFonts w:hint="eastAsia"/>
          <w:lang w:eastAsia="ja-JP"/>
        </w:rPr>
        <w:t xml:space="preserve">) </w:t>
      </w:r>
      <w:r w:rsidR="00E65203" w:rsidRPr="00096869">
        <w:t xml:space="preserve">über „Neueste Entwicklungen bei merkmalspezifischen molekularen Markern bei Naktuinbouw: Aufruf zum Wissensaustausch”, </w:t>
      </w:r>
      <w:r w:rsidR="00E65203" w:rsidRPr="00096869">
        <w:rPr>
          <w:rFonts w:cs="Arial"/>
          <w:iCs/>
        </w:rPr>
        <w:t xml:space="preserve">der in Dokument </w:t>
      </w:r>
      <w:r w:rsidR="00E65203" w:rsidRPr="00096869">
        <w:rPr>
          <w:rFonts w:hint="eastAsia"/>
          <w:lang w:eastAsia="ja-JP"/>
        </w:rPr>
        <w:t>TWM/3/7</w:t>
      </w:r>
      <w:r w:rsidR="00E65203" w:rsidRPr="00096869">
        <w:rPr>
          <w:rFonts w:cs="Arial"/>
          <w:iCs/>
        </w:rPr>
        <w:t xml:space="preserve"> wiedergegeben ist</w:t>
      </w:r>
      <w:r w:rsidR="00E65203" w:rsidRPr="00096869">
        <w:t xml:space="preserve">.  </w:t>
      </w:r>
    </w:p>
    <w:p w14:paraId="5DC6FAD7" w14:textId="77777777" w:rsidR="00E65203" w:rsidRPr="00096869" w:rsidRDefault="00E65203" w:rsidP="00E65203">
      <w:pPr>
        <w:pStyle w:val="ListParagraph"/>
        <w:ind w:left="0"/>
        <w:jc w:val="both"/>
      </w:pPr>
    </w:p>
    <w:p w14:paraId="3591FB8C" w14:textId="33DAD730"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rFonts w:hint="eastAsia"/>
          <w:lang w:eastAsia="ja-JP"/>
        </w:rPr>
        <w:t xml:space="preserve">zur Kenntnis, dass </w:t>
      </w:r>
      <w:r w:rsidR="00E65203" w:rsidRPr="00096869">
        <w:rPr>
          <w:lang w:eastAsia="ja-JP"/>
        </w:rPr>
        <w:t>Naktuinbouw ein Projekt zur Auswahl molekularer Marker für Salat initiiert habe und dass interessierte Sachverständige sich wegen möglicher Partnerschaften an den Sachverständigen aus den Niederlande (</w:t>
      </w:r>
      <w:r w:rsidR="00E65203" w:rsidRPr="00096869">
        <w:rPr>
          <w:rFonts w:hint="eastAsia"/>
          <w:lang w:eastAsia="ja-JP"/>
        </w:rPr>
        <w:t>Königreich</w:t>
      </w:r>
      <w:r w:rsidR="00E65203" w:rsidRPr="00096869">
        <w:rPr>
          <w:lang w:eastAsia="ja-JP"/>
        </w:rPr>
        <w:t>) wenden sollten.</w:t>
      </w:r>
    </w:p>
    <w:p w14:paraId="3C6C03D9" w14:textId="77777777" w:rsidR="00E65203" w:rsidRPr="00096869" w:rsidRDefault="00E65203" w:rsidP="00E65203">
      <w:pPr>
        <w:pStyle w:val="ListParagraph"/>
        <w:ind w:left="0"/>
        <w:jc w:val="both"/>
      </w:pPr>
    </w:p>
    <w:p w14:paraId="16DC7B72" w14:textId="131E9E29"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rPr>
          <w:lang w:eastAsia="ja-JP"/>
        </w:rPr>
        <w:t>Die TW</w:t>
      </w:r>
      <w:r w:rsidR="00E65203" w:rsidRPr="00096869">
        <w:rPr>
          <w:lang w:eastAsia="ja-JP"/>
        </w:rPr>
        <w:t xml:space="preserve">M </w:t>
      </w:r>
      <w:r w:rsidR="00E65203" w:rsidRPr="00096869">
        <w:t xml:space="preserve">kam überein, dass die Organisationen eine Bündelung ihrer Ressourcen zur Unterstützung gemeinsamer Projekte in Betracht ziehen sollten. </w:t>
      </w:r>
      <w:r w:rsidR="00FD1193">
        <w:t>Die TW</w:t>
      </w:r>
      <w:r w:rsidR="00E65203" w:rsidRPr="00096869">
        <w:t xml:space="preserve">M prüfte Möglichkeiten, Informationen über von UPOV-Mitgliedern und Beobachtern entwickelte Projekte zur Verfügung zu stellen, und </w:t>
      </w:r>
      <w:r w:rsidR="00E65203" w:rsidRPr="00096869">
        <w:rPr>
          <w:lang w:eastAsia="ja-JP"/>
        </w:rPr>
        <w:t>kam überein, dass diese vor jeder TWM-</w:t>
      </w:r>
      <w:r w:rsidR="00B377BF">
        <w:rPr>
          <w:lang w:eastAsia="ja-JP"/>
        </w:rPr>
        <w:t>Tagung</w:t>
      </w:r>
      <w:r w:rsidR="00E65203" w:rsidRPr="00096869">
        <w:rPr>
          <w:lang w:eastAsia="ja-JP"/>
        </w:rPr>
        <w:t xml:space="preserve"> zur Aufnahme in das Dokument </w:t>
      </w:r>
      <w:r w:rsidR="00E65203" w:rsidRPr="00096869">
        <w:t xml:space="preserve">TWM/3/2 „Berichte der Mitglieder und Beobachter über Entwicklungen im Sortenschutz“ </w:t>
      </w:r>
      <w:r w:rsidR="00E65203" w:rsidRPr="00096869">
        <w:rPr>
          <w:lang w:eastAsia="ja-JP"/>
        </w:rPr>
        <w:t>vorgelegt werden könnten</w:t>
      </w:r>
      <w:r w:rsidR="00E65203" w:rsidRPr="00096869">
        <w:t>.</w:t>
      </w:r>
    </w:p>
    <w:p w14:paraId="23786F33" w14:textId="77777777" w:rsidR="00E65203" w:rsidRPr="00096869" w:rsidRDefault="00E65203" w:rsidP="00E65203">
      <w:pPr>
        <w:pStyle w:val="ListParagraph"/>
        <w:ind w:left="0"/>
        <w:jc w:val="both"/>
      </w:pPr>
    </w:p>
    <w:p w14:paraId="5E4EC680" w14:textId="3D828ADF"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M begrüßte den Vorschlag der Niederlande (</w:t>
      </w:r>
      <w:r w:rsidR="00E65203" w:rsidRPr="00096869">
        <w:rPr>
          <w:rFonts w:hint="eastAsia"/>
          <w:lang w:eastAsia="ja-JP"/>
        </w:rPr>
        <w:t>Königreich</w:t>
      </w:r>
      <w:r w:rsidR="00E65203" w:rsidRPr="00096869">
        <w:t xml:space="preserve">), die Aktualisierung der Liste der pro Kultur verwendeten molekularen Marker zu leiten, die dem Technischen Ausschuss auf seiner achtundfünfzigsten Tagung vorgelegt worden war (abrufbar unter: </w:t>
      </w:r>
      <w:hyperlink r:id="rId18" w:history="1">
        <w:r w:rsidR="00E65203" w:rsidRPr="00096869">
          <w:rPr>
            <w:rStyle w:val="Hyperlink"/>
          </w:rPr>
          <w:t>https://www.upov.int/meetings/en/doc_details.jsp?meeting_id=67786&amp;doc_id=586962</w:t>
        </w:r>
      </w:hyperlink>
      <w:r w:rsidR="00E65203" w:rsidRPr="00096869">
        <w:t>).</w:t>
      </w:r>
    </w:p>
    <w:p w14:paraId="0F220793" w14:textId="77777777" w:rsidR="00E65203" w:rsidRPr="00096869" w:rsidRDefault="00E65203" w:rsidP="00E65203">
      <w:pPr>
        <w:pStyle w:val="ListParagraph"/>
        <w:ind w:left="0"/>
        <w:jc w:val="both"/>
        <w:rPr>
          <w:rFonts w:eastAsiaTheme="minorEastAsia"/>
          <w:lang w:eastAsia="ja-JP"/>
        </w:rPr>
      </w:pPr>
    </w:p>
    <w:p w14:paraId="27895B89" w14:textId="77777777" w:rsidR="00E65203" w:rsidRPr="00096869" w:rsidRDefault="00E65203" w:rsidP="00EF24D5">
      <w:pPr>
        <w:pStyle w:val="Heading3"/>
        <w:rPr>
          <w:lang w:val="de-DE"/>
        </w:rPr>
      </w:pPr>
      <w:bookmarkStart w:id="43" w:name="_Toc210667583"/>
      <w:r w:rsidRPr="00096869">
        <w:rPr>
          <w:lang w:val="de-DE"/>
        </w:rPr>
        <w:t>Der Einsatz biomolekularer Verfahren bei der DUS-Prüfung – eine Fallstudie zu Gerste</w:t>
      </w:r>
      <w:bookmarkEnd w:id="43"/>
    </w:p>
    <w:p w14:paraId="5B895509" w14:textId="77777777" w:rsidR="00E65203" w:rsidRPr="00096869" w:rsidRDefault="00E65203" w:rsidP="00E65203"/>
    <w:p w14:paraId="3E9011F0" w14:textId="7BEA3A0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Frau Vanessa MacMillan (Vereinigtes Königreich) zum Thema „Die Verwendung biomolekularer Verfahren bei der DUS-Prüfung – eine Fallstudie zu Gerste”, </w:t>
      </w:r>
      <w:r w:rsidR="00E65203" w:rsidRPr="00096869">
        <w:rPr>
          <w:rFonts w:cs="Arial"/>
          <w:iCs/>
        </w:rPr>
        <w:t xml:space="preserve">der in Dokument </w:t>
      </w:r>
      <w:r w:rsidR="00E65203" w:rsidRPr="00096869">
        <w:rPr>
          <w:rFonts w:hint="eastAsia"/>
          <w:lang w:eastAsia="ja-JP"/>
        </w:rPr>
        <w:t>TWM/3/20</w:t>
      </w:r>
      <w:r w:rsidR="00E65203" w:rsidRPr="00096869">
        <w:rPr>
          <w:rFonts w:cs="Arial"/>
          <w:iCs/>
        </w:rPr>
        <w:t xml:space="preserve"> wiedergegeben ist</w:t>
      </w:r>
      <w:r w:rsidR="00E65203" w:rsidRPr="00096869">
        <w:t xml:space="preserve">.  </w:t>
      </w:r>
    </w:p>
    <w:p w14:paraId="380CEB98" w14:textId="77777777" w:rsidR="00E65203" w:rsidRPr="00096869" w:rsidRDefault="00E65203" w:rsidP="00E65203">
      <w:pPr>
        <w:pStyle w:val="ListParagraph"/>
        <w:ind w:left="0"/>
        <w:jc w:val="both"/>
      </w:pPr>
    </w:p>
    <w:p w14:paraId="62B70407" w14:textId="2566484B"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lang w:eastAsia="ja-JP"/>
        </w:rPr>
        <w:t xml:space="preserve">den in dem Dokument enthaltenen Bericht </w:t>
      </w:r>
      <w:r w:rsidR="00E65203" w:rsidRPr="00096869">
        <w:t xml:space="preserve">zur Kenntnis </w:t>
      </w:r>
      <w:r w:rsidR="00E65203" w:rsidRPr="00096869">
        <w:rPr>
          <w:lang w:eastAsia="ja-JP"/>
        </w:rPr>
        <w:t>und bat die Sachverständige aus dem Vereinigten Königreich, auf der vierten Tagung des TWM über die Fortschritte zu berichten</w:t>
      </w:r>
      <w:r w:rsidR="00E65203" w:rsidRPr="00096869">
        <w:rPr>
          <w:rFonts w:hint="eastAsia"/>
          <w:lang w:eastAsia="ja-JP"/>
        </w:rPr>
        <w:t xml:space="preserve">.  </w:t>
      </w:r>
    </w:p>
    <w:p w14:paraId="22226A45" w14:textId="77777777" w:rsidR="00E65203" w:rsidRPr="00096869" w:rsidRDefault="00E65203" w:rsidP="00E65203">
      <w:pPr>
        <w:pStyle w:val="ListParagraph"/>
        <w:ind w:left="0"/>
        <w:jc w:val="both"/>
      </w:pPr>
    </w:p>
    <w:p w14:paraId="1D5397DC" w14:textId="77777777" w:rsidR="00E65203" w:rsidRPr="00096869" w:rsidRDefault="00E65203" w:rsidP="00EF24D5">
      <w:pPr>
        <w:pStyle w:val="Heading3"/>
        <w:rPr>
          <w:lang w:val="de-DE"/>
        </w:rPr>
      </w:pPr>
      <w:bookmarkStart w:id="44" w:name="_Toc210667584"/>
      <w:r w:rsidRPr="00096869">
        <w:rPr>
          <w:lang w:val="de-DE"/>
        </w:rPr>
        <w:t>Künstliche Intelligenz und molekulare Marker bei Beerenobst: ein Proof of Concept</w:t>
      </w:r>
      <w:bookmarkEnd w:id="44"/>
    </w:p>
    <w:p w14:paraId="2AF58EA4" w14:textId="77777777" w:rsidR="00E65203" w:rsidRPr="00096869" w:rsidRDefault="00E65203" w:rsidP="00E65203"/>
    <w:p w14:paraId="296DFA81" w14:textId="1E01A88E"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Frau Margaret Wallace </w:t>
      </w:r>
      <w:r w:rsidR="00E65203" w:rsidRPr="00096869">
        <w:rPr>
          <w:rFonts w:hint="eastAsia"/>
          <w:lang w:eastAsia="ja-JP"/>
        </w:rPr>
        <w:t>(</w:t>
      </w:r>
      <w:r w:rsidR="00E65203" w:rsidRPr="00096869">
        <w:rPr>
          <w:lang w:eastAsia="ja-JP"/>
        </w:rPr>
        <w:t>Vereinigtes Königreich</w:t>
      </w:r>
      <w:r w:rsidR="00E65203" w:rsidRPr="00096869">
        <w:rPr>
          <w:rFonts w:hint="eastAsia"/>
          <w:lang w:eastAsia="ja-JP"/>
        </w:rPr>
        <w:t xml:space="preserve">) </w:t>
      </w:r>
      <w:r w:rsidR="00E65203" w:rsidRPr="00096869">
        <w:t xml:space="preserve">zum Thema „Künstliche Intelligenz und molekulare Marker bei Beerenobst: ein Proof of Concept”, </w:t>
      </w:r>
      <w:r w:rsidR="00E65203" w:rsidRPr="00096869">
        <w:rPr>
          <w:rFonts w:cs="Arial"/>
          <w:iCs/>
        </w:rPr>
        <w:t xml:space="preserve">der in Dokument </w:t>
      </w:r>
      <w:r w:rsidR="00E65203" w:rsidRPr="00096869">
        <w:rPr>
          <w:rFonts w:hint="eastAsia"/>
          <w:lang w:eastAsia="ja-JP"/>
        </w:rPr>
        <w:t>TWM/3/24</w:t>
      </w:r>
      <w:r w:rsidR="00E65203" w:rsidRPr="00096869">
        <w:rPr>
          <w:rFonts w:cs="Arial"/>
          <w:iCs/>
        </w:rPr>
        <w:t xml:space="preserve"> wiedergegeben ist</w:t>
      </w:r>
      <w:r w:rsidR="00E65203" w:rsidRPr="00096869">
        <w:t xml:space="preserve">.  </w:t>
      </w:r>
    </w:p>
    <w:p w14:paraId="7B2FE0EE" w14:textId="77777777" w:rsidR="00E65203" w:rsidRPr="00096869" w:rsidRDefault="00E65203" w:rsidP="00E65203">
      <w:pPr>
        <w:pStyle w:val="ListParagraph"/>
        <w:ind w:left="0"/>
        <w:jc w:val="both"/>
      </w:pPr>
    </w:p>
    <w:p w14:paraId="76D501E5" w14:textId="53B09314"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rFonts w:hint="eastAsia"/>
          <w:lang w:eastAsia="ja-JP"/>
        </w:rPr>
        <w:t xml:space="preserve">die Fortschritte bei </w:t>
      </w:r>
      <w:r w:rsidR="00E65203" w:rsidRPr="00096869">
        <w:rPr>
          <w:lang w:eastAsia="ja-JP"/>
        </w:rPr>
        <w:t xml:space="preserve">der </w:t>
      </w:r>
      <w:r w:rsidR="00E65203" w:rsidRPr="00096869">
        <w:rPr>
          <w:rFonts w:hint="eastAsia"/>
          <w:lang w:eastAsia="ja-JP"/>
        </w:rPr>
        <w:t xml:space="preserve">genetischen Vorhersage morphologischer Merkmale wie dem </w:t>
      </w:r>
      <w:r w:rsidR="00E65203" w:rsidRPr="00096869">
        <w:rPr>
          <w:lang w:eastAsia="ja-JP"/>
        </w:rPr>
        <w:t xml:space="preserve">Vorhandensein </w:t>
      </w:r>
      <w:r w:rsidR="00E65203" w:rsidRPr="00096869">
        <w:rPr>
          <w:rFonts w:hint="eastAsia"/>
          <w:lang w:eastAsia="ja-JP"/>
        </w:rPr>
        <w:t xml:space="preserve">von Stacheln bei </w:t>
      </w:r>
      <w:r w:rsidR="00E65203" w:rsidRPr="00096869">
        <w:rPr>
          <w:lang w:eastAsia="ja-JP"/>
        </w:rPr>
        <w:t xml:space="preserve">Himbeeren </w:t>
      </w:r>
      <w:r w:rsidR="00E65203" w:rsidRPr="00096869">
        <w:t>zur Kenntnis</w:t>
      </w:r>
      <w:r w:rsidR="00E65203" w:rsidRPr="00096869">
        <w:rPr>
          <w:rFonts w:hint="eastAsia"/>
          <w:lang w:eastAsia="ja-JP"/>
        </w:rPr>
        <w:t xml:space="preserve">. </w:t>
      </w:r>
      <w:r w:rsidR="00FD1193">
        <w:rPr>
          <w:rFonts w:hint="eastAsia"/>
          <w:lang w:eastAsia="ja-JP"/>
        </w:rPr>
        <w:t>Die TW</w:t>
      </w:r>
      <w:r w:rsidR="00E65203" w:rsidRPr="00096869">
        <w:rPr>
          <w:rFonts w:hint="eastAsia"/>
          <w:lang w:eastAsia="ja-JP"/>
        </w:rPr>
        <w:t xml:space="preserve">M </w:t>
      </w:r>
      <w:r w:rsidR="00E65203" w:rsidRPr="00096869">
        <w:rPr>
          <w:lang w:eastAsia="ja-JP"/>
        </w:rPr>
        <w:t xml:space="preserve">erörterte </w:t>
      </w:r>
      <w:r w:rsidR="00E65203" w:rsidRPr="00096869">
        <w:rPr>
          <w:rFonts w:hint="eastAsia"/>
          <w:lang w:eastAsia="ja-JP"/>
        </w:rPr>
        <w:t>Faktoren im Zusammenhang mit der genetischen Vorhersage morphologischer Merkmale, da diese mit den in der Proof-of-Concept-Studie vorgestellten Ergebnissen in Zusammenhang standen.</w:t>
      </w:r>
    </w:p>
    <w:p w14:paraId="64B69CB5" w14:textId="77777777" w:rsidR="00E65203" w:rsidRPr="00096869" w:rsidRDefault="00E65203" w:rsidP="00E65203">
      <w:pPr>
        <w:pStyle w:val="ListParagraph"/>
      </w:pPr>
    </w:p>
    <w:p w14:paraId="4CA6C8F5" w14:textId="77777777" w:rsidR="00E65203" w:rsidRPr="00096869" w:rsidRDefault="00E65203" w:rsidP="00EF24D5">
      <w:pPr>
        <w:pStyle w:val="Heading3"/>
        <w:rPr>
          <w:lang w:val="de-DE"/>
        </w:rPr>
      </w:pPr>
      <w:bookmarkStart w:id="45" w:name="_Toc210667585"/>
      <w:r w:rsidRPr="00096869">
        <w:rPr>
          <w:lang w:val="de-DE"/>
        </w:rPr>
        <w:t>Kann ein besseres Verständnis der genetischen Architektur der DUS-Merkmale von Weizen dazu beitragen, die DUS-Verfahren zu straffen?</w:t>
      </w:r>
      <w:bookmarkEnd w:id="45"/>
    </w:p>
    <w:p w14:paraId="35784CDA" w14:textId="77777777" w:rsidR="00E65203" w:rsidRPr="00096869" w:rsidRDefault="00E65203" w:rsidP="00E65203"/>
    <w:p w14:paraId="6329059C" w14:textId="0A60EFE8"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Frau Camila Zanella (Vereinigtes Königreich) zum Thema „Kann ein besseres Verständnis der genetischen Architektur der DUS-Merkmale von Weizen zur Straffung der DUS-Verfahren beitragen?“, </w:t>
      </w:r>
      <w:r w:rsidR="00E65203" w:rsidRPr="00096869">
        <w:rPr>
          <w:rFonts w:cs="Arial"/>
          <w:iCs/>
        </w:rPr>
        <w:t xml:space="preserve">der in Dokument </w:t>
      </w:r>
      <w:r w:rsidR="00E65203" w:rsidRPr="00096869">
        <w:rPr>
          <w:rFonts w:hint="eastAsia"/>
          <w:lang w:eastAsia="ja-JP"/>
        </w:rPr>
        <w:t>TWM/3/22</w:t>
      </w:r>
      <w:r w:rsidR="00E65203" w:rsidRPr="00096869">
        <w:rPr>
          <w:rFonts w:cs="Arial"/>
          <w:iCs/>
        </w:rPr>
        <w:t xml:space="preserve"> wiedergegeben ist</w:t>
      </w:r>
      <w:r w:rsidR="00E65203" w:rsidRPr="00096869">
        <w:t xml:space="preserve">.  </w:t>
      </w:r>
    </w:p>
    <w:p w14:paraId="37C91747" w14:textId="77777777" w:rsidR="00E65203" w:rsidRPr="00096869" w:rsidRDefault="00E65203" w:rsidP="00E65203">
      <w:pPr>
        <w:pStyle w:val="ListParagraph"/>
        <w:ind w:left="0"/>
        <w:jc w:val="both"/>
      </w:pPr>
    </w:p>
    <w:p w14:paraId="388EBDF5" w14:textId="0CF4796C"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w:t>
      </w:r>
      <w:r w:rsidR="00E65203" w:rsidRPr="00096869">
        <w:rPr>
          <w:lang w:eastAsia="ja-JP"/>
        </w:rPr>
        <w:t>prüfte die Anforderungen für die Einführung molekularer Marker in die routinemäßige Sortenprüfung und kam überein, dass diese gleichzeitig die Effizienz für die Prüfungsbehörde steigern und den Antragstellern zugutekommen sollten</w:t>
      </w:r>
      <w:r w:rsidR="00E65203" w:rsidRPr="00096869">
        <w:rPr>
          <w:rFonts w:hint="eastAsia"/>
          <w:lang w:eastAsia="ja-JP"/>
        </w:rPr>
        <w:t>.</w:t>
      </w:r>
    </w:p>
    <w:p w14:paraId="571A3E90" w14:textId="77777777" w:rsidR="00E65203" w:rsidRPr="00096869" w:rsidRDefault="00E65203" w:rsidP="00E65203">
      <w:pPr>
        <w:pStyle w:val="ListParagraph"/>
        <w:ind w:left="0"/>
        <w:jc w:val="both"/>
      </w:pPr>
    </w:p>
    <w:p w14:paraId="24DEFCFF" w14:textId="77777777" w:rsidR="00E65203" w:rsidRPr="00096869" w:rsidRDefault="00E65203" w:rsidP="00EF24D5">
      <w:pPr>
        <w:pStyle w:val="Heading3"/>
        <w:rPr>
          <w:lang w:val="de-DE"/>
        </w:rPr>
      </w:pPr>
      <w:bookmarkStart w:id="46" w:name="_Toc210667586"/>
      <w:r w:rsidRPr="00096869">
        <w:rPr>
          <w:lang w:val="de-DE"/>
        </w:rPr>
        <w:t>Genomische Vorhersage für das Management von Sortenbeständen bei Weizen</w:t>
      </w:r>
      <w:bookmarkEnd w:id="46"/>
    </w:p>
    <w:p w14:paraId="199C7E95" w14:textId="77777777" w:rsidR="00E65203" w:rsidRPr="00096869" w:rsidRDefault="00E65203" w:rsidP="00E65203"/>
    <w:p w14:paraId="23B0D998" w14:textId="2E71932E"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Herrn Adrian Roberts (Vereinigtes Königreich) zum Thema „Genomische Vorhersage für das Management von Sortenbeständen bei Weizen”, </w:t>
      </w:r>
      <w:r w:rsidR="00E65203" w:rsidRPr="00096869">
        <w:rPr>
          <w:rFonts w:cs="Arial"/>
          <w:iCs/>
        </w:rPr>
        <w:t xml:space="preserve">der in Dokument </w:t>
      </w:r>
      <w:r w:rsidR="00E65203" w:rsidRPr="00096869">
        <w:rPr>
          <w:rFonts w:hint="eastAsia"/>
          <w:lang w:eastAsia="ja-JP"/>
        </w:rPr>
        <w:t>TWM/3/6</w:t>
      </w:r>
      <w:r w:rsidR="00E65203" w:rsidRPr="00096869">
        <w:rPr>
          <w:rFonts w:cs="Arial"/>
          <w:iCs/>
        </w:rPr>
        <w:t xml:space="preserve"> wiedergegeben ist</w:t>
      </w:r>
      <w:r w:rsidR="00E65203" w:rsidRPr="00096869">
        <w:t xml:space="preserve">.  </w:t>
      </w:r>
    </w:p>
    <w:p w14:paraId="5298704A" w14:textId="77777777" w:rsidR="00E65203" w:rsidRPr="00096869" w:rsidRDefault="00E65203" w:rsidP="00E65203">
      <w:pPr>
        <w:pStyle w:val="ListParagraph"/>
        <w:ind w:left="0"/>
        <w:jc w:val="both"/>
      </w:pPr>
    </w:p>
    <w:p w14:paraId="3D189914" w14:textId="02F99DB7"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Die TWM stellte fest</w:t>
      </w:r>
      <w:r w:rsidR="00E65203" w:rsidRPr="00096869">
        <w:rPr>
          <w:rFonts w:hint="eastAsia"/>
          <w:lang w:eastAsia="ja-JP"/>
        </w:rPr>
        <w:t xml:space="preserve">, dass </w:t>
      </w:r>
      <w:r w:rsidR="00E65203" w:rsidRPr="00096869">
        <w:rPr>
          <w:lang w:eastAsia="ja-JP"/>
        </w:rPr>
        <w:t>Anpassungen erforderlich sind, damit die Methode mit Notizen (ordinalen Daten) anstelle von tatsächlichen Messungen funktioniert, und bat den Experten aus dem Vereinigten Königreich, auf der vierten Tagung der TWM über die Fortschritte zu berichten</w:t>
      </w:r>
      <w:r w:rsidR="00E65203" w:rsidRPr="00096869">
        <w:rPr>
          <w:rFonts w:hint="eastAsia"/>
          <w:lang w:eastAsia="ja-JP"/>
        </w:rPr>
        <w:t xml:space="preserve">.  </w:t>
      </w:r>
    </w:p>
    <w:p w14:paraId="73B57811" w14:textId="77777777" w:rsidR="00E65203" w:rsidRPr="00096869" w:rsidRDefault="00E65203" w:rsidP="00E65203"/>
    <w:p w14:paraId="13CC2248" w14:textId="77777777" w:rsidR="00E65203" w:rsidRPr="00096869" w:rsidRDefault="00E65203" w:rsidP="00EF24D5">
      <w:pPr>
        <w:pStyle w:val="Heading3"/>
        <w:rPr>
          <w:lang w:val="de-DE"/>
        </w:rPr>
      </w:pPr>
      <w:bookmarkStart w:id="47" w:name="_Toc210667587"/>
      <w:r w:rsidRPr="00096869">
        <w:rPr>
          <w:lang w:val="de-DE"/>
        </w:rPr>
        <w:t>COYD-GP-Kriterium für die verbesserte Unterscheidbarkeit bei fremdbestäubten landwirtschaftlichen Pflanzen</w:t>
      </w:r>
      <w:bookmarkEnd w:id="47"/>
    </w:p>
    <w:p w14:paraId="194BF29C" w14:textId="77777777" w:rsidR="00E65203" w:rsidRPr="00096869" w:rsidRDefault="00E65203" w:rsidP="00E65203"/>
    <w:p w14:paraId="11A704F8" w14:textId="6588B539"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Herrn Adrian Roberts </w:t>
      </w:r>
      <w:r w:rsidR="00E65203" w:rsidRPr="00096869">
        <w:rPr>
          <w:rFonts w:hint="eastAsia"/>
          <w:lang w:eastAsia="ja-JP"/>
        </w:rPr>
        <w:t>(</w:t>
      </w:r>
      <w:r w:rsidR="00E65203" w:rsidRPr="00096869">
        <w:rPr>
          <w:lang w:eastAsia="ja-JP"/>
        </w:rPr>
        <w:t>Vereinigtes Königreich</w:t>
      </w:r>
      <w:r w:rsidR="00E65203" w:rsidRPr="00096869">
        <w:rPr>
          <w:rFonts w:hint="eastAsia"/>
          <w:lang w:eastAsia="ja-JP"/>
        </w:rPr>
        <w:t xml:space="preserve">) </w:t>
      </w:r>
      <w:r w:rsidR="00E65203" w:rsidRPr="00096869">
        <w:t xml:space="preserve">zum Thema „COYD-GP-kriterium für die Unterscheidbarkeit von fremdbestäubten landwirtschaftlichen Kulturpflanzen“, </w:t>
      </w:r>
      <w:r w:rsidR="00E65203" w:rsidRPr="00096869">
        <w:rPr>
          <w:rFonts w:cs="Arial"/>
          <w:iCs/>
        </w:rPr>
        <w:t xml:space="preserve">der in Dokument </w:t>
      </w:r>
      <w:r w:rsidR="00E65203" w:rsidRPr="00096869">
        <w:rPr>
          <w:rFonts w:hint="eastAsia"/>
          <w:lang w:eastAsia="ja-JP"/>
        </w:rPr>
        <w:t>TWM/3/4</w:t>
      </w:r>
      <w:r w:rsidR="00E65203" w:rsidRPr="00096869">
        <w:rPr>
          <w:rFonts w:cs="Arial"/>
          <w:iCs/>
        </w:rPr>
        <w:t xml:space="preserve"> wiedergegeben ist</w:t>
      </w:r>
      <w:r w:rsidR="00E65203" w:rsidRPr="00096869">
        <w:t xml:space="preserve">.  </w:t>
      </w:r>
    </w:p>
    <w:p w14:paraId="4F765DB5" w14:textId="77777777" w:rsidR="00E65203" w:rsidRPr="00096869" w:rsidRDefault="00E65203" w:rsidP="00E65203">
      <w:pPr>
        <w:pStyle w:val="ListParagraph"/>
        <w:ind w:left="0"/>
        <w:jc w:val="both"/>
      </w:pPr>
    </w:p>
    <w:p w14:paraId="0AF5CAC4" w14:textId="654887C7" w:rsidR="00E65203" w:rsidRPr="00096869" w:rsidRDefault="00BF7C58" w:rsidP="00BF7C58">
      <w:r w:rsidRPr="00096869">
        <w:lastRenderedPageBreak/>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rFonts w:hint="eastAsia"/>
          <w:lang w:eastAsia="ja-JP"/>
        </w:rPr>
        <w:t xml:space="preserve">zur Kenntnis, dass </w:t>
      </w:r>
      <w:r w:rsidR="00E65203" w:rsidRPr="00096869">
        <w:rPr>
          <w:lang w:eastAsia="ja-JP"/>
        </w:rPr>
        <w:t xml:space="preserve">die Effizienzsteigerung der neuen Methode COYD-GP für die Unterscheidbarkeitsprüfung für jedes Merkmal berechnet worden war, und kam überein, dass weitere Untersuchungen zur Gesamteffizienzsteigerung erforderlich seien. </w:t>
      </w:r>
      <w:r w:rsidR="00FD1193">
        <w:rPr>
          <w:lang w:eastAsia="ja-JP"/>
        </w:rPr>
        <w:t>Die TW</w:t>
      </w:r>
      <w:r w:rsidR="00E65203" w:rsidRPr="00096869">
        <w:rPr>
          <w:lang w:eastAsia="ja-JP"/>
        </w:rPr>
        <w:t>M bat den Sachverständigen aus dem Vereinigten Königreich, auf der vierten Tagung des TWM über die Entwicklungen zu berichten.</w:t>
      </w:r>
    </w:p>
    <w:p w14:paraId="127064CC" w14:textId="77777777" w:rsidR="00E65203" w:rsidRPr="00096869" w:rsidRDefault="00E65203" w:rsidP="00E65203">
      <w:pPr>
        <w:pStyle w:val="ListParagraph"/>
        <w:ind w:left="0"/>
        <w:jc w:val="both"/>
      </w:pPr>
    </w:p>
    <w:p w14:paraId="7CD7A44C" w14:textId="77777777" w:rsidR="00E65203" w:rsidRPr="00096869" w:rsidRDefault="00E65203" w:rsidP="00EF24D5">
      <w:pPr>
        <w:pStyle w:val="Heading3"/>
        <w:rPr>
          <w:lang w:val="de-DE"/>
        </w:rPr>
      </w:pPr>
      <w:bookmarkStart w:id="48" w:name="_Toc210667588"/>
      <w:r w:rsidRPr="00096869">
        <w:rPr>
          <w:lang w:val="de-DE"/>
        </w:rPr>
        <w:t>Forschungs- und Entwicklungsaktivitäten des Gemeinschaftlichen Sortenamtes (CPVO)</w:t>
      </w:r>
      <w:bookmarkEnd w:id="48"/>
    </w:p>
    <w:p w14:paraId="77C6EEAB" w14:textId="77777777" w:rsidR="00E65203" w:rsidRPr="00096869" w:rsidRDefault="00E65203" w:rsidP="00E65203">
      <w:pPr>
        <w:keepNext/>
      </w:pPr>
    </w:p>
    <w:p w14:paraId="25BF0817" w14:textId="19EE0292" w:rsidR="00E65203" w:rsidRPr="00096869" w:rsidRDefault="00BF7C58" w:rsidP="00BF7C58">
      <w:pPr>
        <w:keepNext/>
      </w:pPr>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Frau Cecile Collonnier </w:t>
      </w:r>
      <w:r w:rsidR="00E65203" w:rsidRPr="00096869">
        <w:rPr>
          <w:lang w:eastAsia="ja-JP"/>
        </w:rPr>
        <w:t xml:space="preserve">vom Gemeinschaftlichen Sortenamt (CPVO) </w:t>
      </w:r>
      <w:r w:rsidR="00E65203" w:rsidRPr="00096869">
        <w:t xml:space="preserve">über „Forschungs- und Entwicklungsaktivitäten des CPVO”, </w:t>
      </w:r>
      <w:r w:rsidR="00E65203" w:rsidRPr="00096869">
        <w:rPr>
          <w:rFonts w:cs="Arial"/>
          <w:iCs/>
        </w:rPr>
        <w:t xml:space="preserve">der in Dokument </w:t>
      </w:r>
      <w:r w:rsidR="00E65203" w:rsidRPr="00096869">
        <w:rPr>
          <w:rFonts w:hint="eastAsia"/>
          <w:lang w:eastAsia="ja-JP"/>
        </w:rPr>
        <w:t>TWM/3/15</w:t>
      </w:r>
      <w:r w:rsidR="00E65203" w:rsidRPr="00096869">
        <w:rPr>
          <w:rFonts w:cs="Arial"/>
          <w:iCs/>
        </w:rPr>
        <w:t xml:space="preserve"> wiedergegeben ist</w:t>
      </w:r>
      <w:r w:rsidR="00E65203" w:rsidRPr="00096869">
        <w:t xml:space="preserve">.  </w:t>
      </w:r>
    </w:p>
    <w:p w14:paraId="2CA61879" w14:textId="77777777" w:rsidR="00E65203" w:rsidRPr="00096869" w:rsidRDefault="00E65203" w:rsidP="00E65203">
      <w:pPr>
        <w:pStyle w:val="ListParagraph"/>
        <w:ind w:left="0"/>
        <w:jc w:val="both"/>
      </w:pPr>
    </w:p>
    <w:p w14:paraId="7B05A3AF" w14:textId="4FBE6EB4"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lang w:eastAsia="ja-JP"/>
        </w:rPr>
        <w:t xml:space="preserve">den Bericht über kürzlich abgeschlossene und laufende Projekte, die vom CPVO kofinanziert wurden, </w:t>
      </w:r>
      <w:r w:rsidR="00E65203" w:rsidRPr="00096869">
        <w:t>zur Kenntnis</w:t>
      </w:r>
      <w:r w:rsidR="00E65203" w:rsidRPr="00096869">
        <w:rPr>
          <w:lang w:eastAsia="ja-JP"/>
        </w:rPr>
        <w:t xml:space="preserve">. </w:t>
      </w:r>
      <w:r w:rsidR="00FD1193">
        <w:rPr>
          <w:lang w:eastAsia="ja-JP"/>
        </w:rPr>
        <w:t>Die TW</w:t>
      </w:r>
      <w:r w:rsidR="00E65203" w:rsidRPr="00096869">
        <w:rPr>
          <w:lang w:eastAsia="ja-JP"/>
        </w:rPr>
        <w:t xml:space="preserve">M stellte fest, dass die im Rahmen der Projekte ausgewählten molekularen Marker öffentlich zugänglich sind, und nahm das Angebot </w:t>
      </w:r>
      <w:r w:rsidR="00E65203" w:rsidRPr="00096869">
        <w:t xml:space="preserve">Chinas zum Austausch einer Auswahl von KASP-Markern </w:t>
      </w:r>
      <w:r w:rsidR="00E65203" w:rsidRPr="00096869">
        <w:rPr>
          <w:lang w:eastAsia="ja-JP"/>
        </w:rPr>
        <w:t>zur Kenntnis</w:t>
      </w:r>
      <w:r w:rsidR="00E65203" w:rsidRPr="00096869">
        <w:t>.</w:t>
      </w:r>
    </w:p>
    <w:p w14:paraId="22656697" w14:textId="77777777" w:rsidR="00E65203" w:rsidRPr="00096869" w:rsidRDefault="00E65203" w:rsidP="00E65203"/>
    <w:p w14:paraId="271D65A1" w14:textId="77777777" w:rsidR="00E65203" w:rsidRPr="00096869" w:rsidRDefault="00E65203" w:rsidP="00EF24D5">
      <w:pPr>
        <w:pStyle w:val="Heading2"/>
        <w:rPr>
          <w:lang w:val="de-DE"/>
        </w:rPr>
      </w:pPr>
      <w:bookmarkStart w:id="49" w:name="_Toc210667589"/>
      <w:r w:rsidRPr="00096869">
        <w:rPr>
          <w:lang w:val="de-DE"/>
        </w:rPr>
        <w:t>Methoden zur Analyse molekularer Daten, Verwaltung von Datenbanken und Austausch von Daten und Material</w:t>
      </w:r>
      <w:bookmarkEnd w:id="49"/>
    </w:p>
    <w:p w14:paraId="2DD0A2DD" w14:textId="77777777" w:rsidR="00E65203" w:rsidRPr="00096869" w:rsidRDefault="00E65203" w:rsidP="00E65203"/>
    <w:p w14:paraId="3804B5CD" w14:textId="77777777" w:rsidR="00E65203" w:rsidRPr="00096869" w:rsidRDefault="00E65203" w:rsidP="00EF24D5">
      <w:pPr>
        <w:pStyle w:val="Heading3"/>
        <w:rPr>
          <w:lang w:val="de-DE"/>
        </w:rPr>
      </w:pPr>
      <w:bookmarkStart w:id="50" w:name="_Toc210667590"/>
      <w:r w:rsidRPr="00096869">
        <w:rPr>
          <w:lang w:val="de-DE"/>
        </w:rPr>
        <w:t>Nutzung von Markern für Haplotyp-Tag-Polymorphismen bei Kulturpflanzen zur Identifizierung von Stammbäumen</w:t>
      </w:r>
      <w:bookmarkEnd w:id="50"/>
    </w:p>
    <w:p w14:paraId="27BF582F" w14:textId="77777777" w:rsidR="00E65203" w:rsidRPr="00096869" w:rsidRDefault="00E65203" w:rsidP="00E65203"/>
    <w:p w14:paraId="72A6CD53" w14:textId="7EF998CB"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Herrn Yikun Zhao, China, zum Thema „Nutzung von Markern für Haplotyp-Tag-Polymorphismen (HTP) in Kulturpflanzen zur Identifizierung von Stammbäumen“, </w:t>
      </w:r>
      <w:r w:rsidR="00E65203" w:rsidRPr="00096869">
        <w:rPr>
          <w:rFonts w:cs="Arial"/>
          <w:iCs/>
        </w:rPr>
        <w:t xml:space="preserve">dessen Kopie in Dokument </w:t>
      </w:r>
      <w:r w:rsidR="00E65203" w:rsidRPr="00096869">
        <w:rPr>
          <w:lang w:eastAsia="ja-JP"/>
        </w:rPr>
        <w:t>TWM/3/10</w:t>
      </w:r>
      <w:r w:rsidR="00E65203" w:rsidRPr="00096869">
        <w:rPr>
          <w:rFonts w:cs="Arial"/>
          <w:iCs/>
        </w:rPr>
        <w:t xml:space="preserve"> enthalten ist</w:t>
      </w:r>
      <w:r w:rsidR="00E65203" w:rsidRPr="00096869">
        <w:t xml:space="preserve">.  </w:t>
      </w:r>
    </w:p>
    <w:p w14:paraId="041FE995" w14:textId="77777777" w:rsidR="00E65203" w:rsidRPr="00096869" w:rsidRDefault="00E65203" w:rsidP="00E65203">
      <w:pPr>
        <w:pStyle w:val="ListParagraph"/>
        <w:ind w:left="0"/>
        <w:jc w:val="both"/>
      </w:pPr>
    </w:p>
    <w:p w14:paraId="5750B97E" w14:textId="0D531D50"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rPr>
          <w:lang w:eastAsia="ja-JP"/>
        </w:rPr>
        <w:t xml:space="preserve">Die TWM erörterte die Nützlichkeit von HTP-Markern für die Identifizierung von Stammbäumen bei Mais-Dreiweghybriden und deren mögliche Verwendung für Sojabohnen. Die TWM erörterte die statistischen Methoden zur Bewertung der Zuverlässigkeit der Methode und nahm die korrekte Identifizierung von 94 % der Proben in den durchgeführten Tests zur Kenntnis. </w:t>
      </w:r>
      <w:r w:rsidR="00FD1193">
        <w:t>Die TW</w:t>
      </w:r>
      <w:r w:rsidR="00E65203" w:rsidRPr="00096869">
        <w:t xml:space="preserve">M </w:t>
      </w:r>
      <w:r w:rsidR="00E65203" w:rsidRPr="00096869">
        <w:rPr>
          <w:lang w:eastAsia="ja-JP"/>
        </w:rPr>
        <w:t xml:space="preserve">stellte fest, dass HTP-Marker möglicherweise für die Bewertung von im Wesentlichen abgeleiteten Sorten (EDVs) verwendet werden könnten. </w:t>
      </w:r>
      <w:r w:rsidR="00FD1193">
        <w:rPr>
          <w:lang w:eastAsia="ja-JP"/>
        </w:rPr>
        <w:t>Die TW</w:t>
      </w:r>
      <w:r w:rsidR="00E65203" w:rsidRPr="00096869">
        <w:rPr>
          <w:lang w:eastAsia="ja-JP"/>
        </w:rPr>
        <w:t>M kam überein, den Experten aus China einzuladen, um auf seiner vierten Tagung über die Entwicklungen zu berichten.</w:t>
      </w:r>
    </w:p>
    <w:p w14:paraId="4EE8F1BC" w14:textId="77777777" w:rsidR="00E65203" w:rsidRPr="00096869" w:rsidRDefault="00E65203" w:rsidP="00E65203">
      <w:pPr>
        <w:pStyle w:val="ListParagraph"/>
        <w:ind w:left="0"/>
        <w:jc w:val="both"/>
      </w:pPr>
    </w:p>
    <w:p w14:paraId="598EA6C4" w14:textId="77777777" w:rsidR="00E65203" w:rsidRPr="00096869" w:rsidRDefault="00E65203" w:rsidP="00EF24D5">
      <w:pPr>
        <w:pStyle w:val="Heading3"/>
        <w:keepLines/>
        <w:rPr>
          <w:lang w:val="de-DE"/>
        </w:rPr>
      </w:pPr>
      <w:bookmarkStart w:id="51" w:name="_Toc210667591"/>
      <w:r w:rsidRPr="00096869">
        <w:rPr>
          <w:lang w:val="de-DE"/>
        </w:rPr>
        <w:t>PAD – ein Algorithmus zur Nachkommen-Vorfahren-Erkennung auf der Grundlage genetischer Profile</w:t>
      </w:r>
      <w:bookmarkEnd w:id="51"/>
    </w:p>
    <w:p w14:paraId="50A09581" w14:textId="77777777" w:rsidR="00E65203" w:rsidRPr="00096869" w:rsidRDefault="00E65203" w:rsidP="00EF24D5">
      <w:pPr>
        <w:keepNext/>
        <w:keepLines/>
      </w:pPr>
    </w:p>
    <w:p w14:paraId="3B9449B5" w14:textId="7E4C3DF7" w:rsidR="00E65203" w:rsidRPr="00096869" w:rsidRDefault="00BF7C58" w:rsidP="00BF7C58">
      <w:pPr>
        <w:keepNext/>
        <w:keepLines/>
      </w:pPr>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Herrn Emerson Limberger, International Seed Federation (ISF), zum Thema „PAD – ein Algorithmus zur Nachkommen-Vorfahren-Erkennung auf der Grundlage genetischer Profile”, </w:t>
      </w:r>
      <w:r w:rsidR="00E65203" w:rsidRPr="00096869">
        <w:rPr>
          <w:rFonts w:cs="Arial"/>
          <w:iCs/>
        </w:rPr>
        <w:t xml:space="preserve">dessen Kopie in Dokument </w:t>
      </w:r>
      <w:r w:rsidR="00E65203" w:rsidRPr="00096869">
        <w:rPr>
          <w:rFonts w:hint="eastAsia"/>
          <w:lang w:eastAsia="ja-JP"/>
        </w:rPr>
        <w:t>TWM/3/17</w:t>
      </w:r>
      <w:r w:rsidR="00E65203" w:rsidRPr="00096869">
        <w:rPr>
          <w:rFonts w:cs="Arial"/>
          <w:iCs/>
        </w:rPr>
        <w:t xml:space="preserve"> enthalten ist</w:t>
      </w:r>
      <w:r w:rsidR="00E65203" w:rsidRPr="00096869">
        <w:t xml:space="preserve">.  </w:t>
      </w:r>
    </w:p>
    <w:p w14:paraId="42DC8869" w14:textId="77777777" w:rsidR="00E65203" w:rsidRPr="00096869" w:rsidRDefault="00E65203" w:rsidP="00E65203">
      <w:pPr>
        <w:pStyle w:val="ListParagraph"/>
        <w:ind w:left="0"/>
        <w:jc w:val="both"/>
      </w:pPr>
    </w:p>
    <w:p w14:paraId="2169EDF3" w14:textId="36F464D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stellte fest, dass MNP-Marker bessere Ergebnisse liefern würden, aber in </w:t>
      </w:r>
      <w:r w:rsidR="00E65203" w:rsidRPr="00096869">
        <w:rPr>
          <w:rFonts w:hint="eastAsia"/>
          <w:lang w:eastAsia="ja-JP"/>
        </w:rPr>
        <w:t xml:space="preserve">Ermangelung </w:t>
      </w:r>
      <w:r w:rsidR="00E65203" w:rsidRPr="00096869">
        <w:t xml:space="preserve">von MNP-Markern könnten genetische Marker auf der Grundlage von Rekombinationsblöcken als Alternative verwendet werden, obwohl weitere Tests erforderlich seien. </w:t>
      </w:r>
      <w:r w:rsidR="00FD1193">
        <w:t>Die TW</w:t>
      </w:r>
      <w:r w:rsidR="00E65203" w:rsidRPr="00096869">
        <w:t>M nahm zur Kenntnis, dass eine Testversion des Algorithmus für interessierte Sachverständige zur Verfügung gestellt werden würde.</w:t>
      </w:r>
    </w:p>
    <w:p w14:paraId="77DA59E4" w14:textId="77777777" w:rsidR="00E65203" w:rsidRPr="00096869" w:rsidRDefault="00E65203" w:rsidP="00E65203"/>
    <w:p w14:paraId="0EB77F22" w14:textId="77777777" w:rsidR="00E65203" w:rsidRPr="00096869" w:rsidRDefault="00E65203" w:rsidP="00EF24D5">
      <w:pPr>
        <w:pStyle w:val="Heading3"/>
        <w:rPr>
          <w:lang w:val="de-DE"/>
        </w:rPr>
      </w:pPr>
      <w:bookmarkStart w:id="52" w:name="_Toc210667592"/>
      <w:r w:rsidRPr="00096869">
        <w:rPr>
          <w:lang w:val="de-DE"/>
        </w:rPr>
        <w:t>DurdusTools: Aktueller Stand und Verwendung bei der DUS-Prüfung</w:t>
      </w:r>
      <w:bookmarkEnd w:id="52"/>
    </w:p>
    <w:p w14:paraId="30950635" w14:textId="77777777" w:rsidR="00E65203" w:rsidRPr="00096869" w:rsidRDefault="00E65203" w:rsidP="00E65203"/>
    <w:p w14:paraId="601BE456" w14:textId="7C3A2594"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M hörte einen Vortrag von Frau Alexandra Ribarits (</w:t>
      </w:r>
      <w:r w:rsidR="00E65203" w:rsidRPr="00096869">
        <w:rPr>
          <w:rFonts w:hint="eastAsia"/>
          <w:lang w:eastAsia="ja-JP"/>
        </w:rPr>
        <w:t>Österreich</w:t>
      </w:r>
      <w:r w:rsidR="00E65203" w:rsidRPr="00096869">
        <w:t xml:space="preserve">) zum Thema „DurdusTools: Aktueller Stand und Verwendung bei der DUS-Prüfung”, </w:t>
      </w:r>
      <w:r w:rsidR="00E65203" w:rsidRPr="00096869">
        <w:rPr>
          <w:rFonts w:cs="Arial"/>
          <w:iCs/>
        </w:rPr>
        <w:t xml:space="preserve">dessen Kopie in Dokument </w:t>
      </w:r>
      <w:r w:rsidR="00E65203" w:rsidRPr="00096869">
        <w:rPr>
          <w:rFonts w:hint="eastAsia"/>
          <w:lang w:eastAsia="ja-JP"/>
        </w:rPr>
        <w:t>TWM/3/21</w:t>
      </w:r>
      <w:r w:rsidR="00E65203" w:rsidRPr="00096869">
        <w:rPr>
          <w:rFonts w:cs="Arial"/>
          <w:iCs/>
        </w:rPr>
        <w:t xml:space="preserve"> enthalten ist</w:t>
      </w:r>
      <w:r w:rsidR="00E65203" w:rsidRPr="00096869">
        <w:t xml:space="preserve">. </w:t>
      </w:r>
    </w:p>
    <w:p w14:paraId="2913A337" w14:textId="77777777" w:rsidR="00E65203" w:rsidRPr="00096869" w:rsidRDefault="00E65203" w:rsidP="00E65203">
      <w:pPr>
        <w:pStyle w:val="ListParagraph"/>
        <w:ind w:left="0"/>
        <w:jc w:val="both"/>
      </w:pPr>
    </w:p>
    <w:p w14:paraId="71694500" w14:textId="7099EE4C"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rPr>
          <w:lang w:eastAsia="ja-JP"/>
        </w:rPr>
        <w:t>Die TW</w:t>
      </w:r>
      <w:r w:rsidR="00E65203" w:rsidRPr="00096869">
        <w:rPr>
          <w:lang w:eastAsia="ja-JP"/>
        </w:rPr>
        <w:t xml:space="preserve">M nahm zur Kenntnis, dass </w:t>
      </w:r>
      <w:r w:rsidR="00E65203" w:rsidRPr="00096869">
        <w:t xml:space="preserve">DurdusTools </w:t>
      </w:r>
      <w:r w:rsidR="00E65203" w:rsidRPr="00096869">
        <w:rPr>
          <w:lang w:eastAsia="ja-JP"/>
        </w:rPr>
        <w:t xml:space="preserve">seit 2024 zur Berechnung genetischer Distanzen zur Unterstützung der routinemäßigen DUS-Prüfung durch die beteiligten Behörden eingesetzt wird. </w:t>
      </w:r>
      <w:r w:rsidR="00FD1193">
        <w:rPr>
          <w:lang w:eastAsia="ja-JP"/>
        </w:rPr>
        <w:t>Die TW</w:t>
      </w:r>
      <w:r w:rsidR="00E65203" w:rsidRPr="00096869">
        <w:rPr>
          <w:lang w:eastAsia="ja-JP"/>
        </w:rPr>
        <w:t>M stellte fest, dass die beteiligten Behörden die Betriebskosten, einschließlich der Datenbankpflege und der Erzeugung molekularer Daten, tragen.</w:t>
      </w:r>
    </w:p>
    <w:p w14:paraId="6E8910E6" w14:textId="77777777" w:rsidR="00E65203" w:rsidRPr="00096869" w:rsidRDefault="00E65203" w:rsidP="00E65203">
      <w:pPr>
        <w:pStyle w:val="ListParagraph"/>
        <w:ind w:left="0"/>
        <w:jc w:val="both"/>
      </w:pPr>
    </w:p>
    <w:p w14:paraId="1B5A4A28" w14:textId="77777777" w:rsidR="00E65203" w:rsidRPr="00096869" w:rsidRDefault="00E65203" w:rsidP="00EF24D5">
      <w:pPr>
        <w:pStyle w:val="Heading3"/>
        <w:rPr>
          <w:lang w:val="de-DE"/>
        </w:rPr>
      </w:pPr>
      <w:bookmarkStart w:id="53" w:name="_Toc210667593"/>
      <w:r w:rsidRPr="00096869">
        <w:rPr>
          <w:lang w:val="de-DE"/>
        </w:rPr>
        <w:t>Entwicklung von DUS-Phänotypisierungsinstrumenten für und mit Prüfungsämtern: gewonnene Erfahrungen</w:t>
      </w:r>
      <w:bookmarkEnd w:id="53"/>
    </w:p>
    <w:p w14:paraId="71DBAB15" w14:textId="77777777" w:rsidR="00E65203" w:rsidRPr="00096869" w:rsidRDefault="00E65203" w:rsidP="00E65203"/>
    <w:p w14:paraId="133F3A92" w14:textId="2ECACF13"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Herrn Joseph Peller </w:t>
      </w:r>
      <w:r w:rsidR="00E65203" w:rsidRPr="00096869">
        <w:rPr>
          <w:lang w:eastAsia="ja-JP"/>
        </w:rPr>
        <w:t>(Niederlande (Königreich)</w:t>
      </w:r>
      <w:r w:rsidR="00E65203" w:rsidRPr="00096869">
        <w:rPr>
          <w:rFonts w:hint="eastAsia"/>
          <w:lang w:eastAsia="ja-JP"/>
        </w:rPr>
        <w:t xml:space="preserve">) </w:t>
      </w:r>
      <w:r w:rsidR="00E65203" w:rsidRPr="00096869">
        <w:t xml:space="preserve">über die „Entwicklung von DUS-Phänotypisierungswerkzeugen für und mit Prüfungsämtern: gewonnene Erfahrungen”, </w:t>
      </w:r>
      <w:r w:rsidR="00E65203" w:rsidRPr="00096869">
        <w:rPr>
          <w:rFonts w:cs="Arial"/>
          <w:iCs/>
        </w:rPr>
        <w:t xml:space="preserve">der in Dokument </w:t>
      </w:r>
      <w:r w:rsidR="00E65203" w:rsidRPr="00096869">
        <w:rPr>
          <w:rFonts w:hint="eastAsia"/>
          <w:lang w:eastAsia="ja-JP"/>
        </w:rPr>
        <w:t>TWM/3/27</w:t>
      </w:r>
      <w:r w:rsidR="00E65203" w:rsidRPr="00096869">
        <w:rPr>
          <w:rFonts w:cs="Arial"/>
          <w:iCs/>
        </w:rPr>
        <w:t xml:space="preserve"> wiedergegeben ist</w:t>
      </w:r>
      <w:r w:rsidR="00E65203" w:rsidRPr="00096869">
        <w:t xml:space="preserve">.  </w:t>
      </w:r>
    </w:p>
    <w:p w14:paraId="7BB6A2EA" w14:textId="77777777" w:rsidR="00E65203" w:rsidRPr="00096869" w:rsidRDefault="00E65203" w:rsidP="00E65203">
      <w:pPr>
        <w:rPr>
          <w:rFonts w:eastAsia="Times New Roman"/>
          <w:kern w:val="2"/>
        </w:rPr>
      </w:pPr>
    </w:p>
    <w:p w14:paraId="2894EDD6" w14:textId="5EB4999D"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w:t>
      </w:r>
      <w:r w:rsidR="00E65203" w:rsidRPr="00096869">
        <w:rPr>
          <w:rFonts w:eastAsia="Times New Roman"/>
          <w:kern w:val="2"/>
        </w:rPr>
        <w:t xml:space="preserve">zur Kenntnis, dass ein Prototyp einer Mobiltelefonanwendung zur Bewertung des Volumen- und Formverhältnisses von Früchten anhand von Bildern, die aus der Vogelperspektive aufgenommen wurden, verfügbar ist.  </w:t>
      </w:r>
      <w:r w:rsidR="00FD1193">
        <w:rPr>
          <w:lang w:eastAsia="ja-JP"/>
        </w:rPr>
        <w:t>Die TW</w:t>
      </w:r>
      <w:r w:rsidR="00E65203" w:rsidRPr="00096869">
        <w:rPr>
          <w:lang w:eastAsia="ja-JP"/>
        </w:rPr>
        <w:t>M nahm zur Kenntnis</w:t>
      </w:r>
      <w:r w:rsidR="00E65203" w:rsidRPr="00096869">
        <w:rPr>
          <w:rFonts w:eastAsia="Times New Roman"/>
          <w:kern w:val="2"/>
        </w:rPr>
        <w:t xml:space="preserve">, dass der Programmcode für die Anwendung Open Source ist und auf GitHub verfügbar ist.  </w:t>
      </w:r>
      <w:r w:rsidR="00FD1193">
        <w:rPr>
          <w:rFonts w:eastAsia="Times New Roman"/>
          <w:kern w:val="2"/>
        </w:rPr>
        <w:t>Die TW</w:t>
      </w:r>
      <w:r w:rsidR="00E65203" w:rsidRPr="00096869">
        <w:rPr>
          <w:rFonts w:eastAsia="Times New Roman"/>
          <w:kern w:val="2"/>
        </w:rPr>
        <w:t xml:space="preserve">M nahm die Einladung zur Zusammenarbeit </w:t>
      </w:r>
      <w:r w:rsidR="00E65203" w:rsidRPr="00096869">
        <w:rPr>
          <w:rFonts w:eastAsia="Times New Roman"/>
          <w:kern w:val="2"/>
        </w:rPr>
        <w:lastRenderedPageBreak/>
        <w:t xml:space="preserve">bei der Weiterentwicklung der Anwendung zur Kenntnis, insbesondere zur Stabilisierung der Mobiltelefon-Schnittstelle. Die Anwendung und eine Anleitung sind verfügbar unter: </w:t>
      </w:r>
      <w:hyperlink r:id="rId19" w:history="1">
        <w:r w:rsidR="00E65203" w:rsidRPr="00096869">
          <w:rPr>
            <w:rFonts w:eastAsia="Times New Roman"/>
            <w:color w:val="0000FF"/>
            <w:kern w:val="2"/>
            <w:u w:val="single"/>
          </w:rPr>
          <w:t>https://play.google.com/store/apps/details?id=com.wur.invite.morph_app&amp;hl=en-US)</w:t>
        </w:r>
      </w:hyperlink>
      <w:r w:rsidR="00E65203" w:rsidRPr="00096869">
        <w:rPr>
          <w:rFonts w:eastAsia="Times New Roman"/>
          <w:kern w:val="2"/>
        </w:rPr>
        <w:t xml:space="preserve">.  </w:t>
      </w:r>
    </w:p>
    <w:p w14:paraId="7474E3E9" w14:textId="77777777" w:rsidR="00E65203" w:rsidRPr="00096869" w:rsidRDefault="00E65203" w:rsidP="00E65203">
      <w:pPr>
        <w:rPr>
          <w:rFonts w:eastAsia="Times New Roman"/>
          <w:kern w:val="2"/>
        </w:rPr>
      </w:pPr>
    </w:p>
    <w:p w14:paraId="43585230" w14:textId="3A6234D0"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rPr>
          <w:rFonts w:eastAsia="Times New Roman"/>
          <w:kern w:val="2"/>
        </w:rPr>
        <w:t>D</w:t>
      </w:r>
      <w:r w:rsidR="0016673F">
        <w:rPr>
          <w:rFonts w:eastAsia="Times New Roman"/>
          <w:kern w:val="2"/>
        </w:rPr>
        <w:t>ie</w:t>
      </w:r>
      <w:r w:rsidR="00E65203" w:rsidRPr="00096869">
        <w:rPr>
          <w:rFonts w:eastAsia="Times New Roman"/>
          <w:kern w:val="2"/>
        </w:rPr>
        <w:t xml:space="preserve"> TWM war sich einig, dass Anwendungen für Handheld-Geräte wichtig sind, um die Effizienz der DUS-Prüfung zu steigern. </w:t>
      </w:r>
    </w:p>
    <w:p w14:paraId="2E55CEAF" w14:textId="77777777" w:rsidR="00E65203" w:rsidRPr="00096869" w:rsidRDefault="00E65203" w:rsidP="00E65203">
      <w:pPr>
        <w:pStyle w:val="ListParagraph"/>
        <w:ind w:left="0"/>
        <w:jc w:val="both"/>
      </w:pPr>
    </w:p>
    <w:p w14:paraId="2CE6E1D9" w14:textId="77777777" w:rsidR="00E65203" w:rsidRPr="00096869" w:rsidRDefault="00E65203" w:rsidP="00EF24D5">
      <w:pPr>
        <w:pStyle w:val="Heading3"/>
        <w:rPr>
          <w:lang w:val="de-DE"/>
        </w:rPr>
      </w:pPr>
      <w:bookmarkStart w:id="54" w:name="_Toc210667594"/>
      <w:r w:rsidRPr="00096869">
        <w:rPr>
          <w:lang w:val="de-DE"/>
        </w:rPr>
        <w:t>Phänotypisierungskonzept zur Stärkung der Sortenschutzkette durch kombinierten Einsatz von IA und KI</w:t>
      </w:r>
      <w:bookmarkEnd w:id="54"/>
    </w:p>
    <w:p w14:paraId="3073063E" w14:textId="77777777" w:rsidR="00E65203" w:rsidRPr="00096869" w:rsidRDefault="00E65203" w:rsidP="00E65203">
      <w:pPr>
        <w:keepNext/>
      </w:pPr>
    </w:p>
    <w:p w14:paraId="47C34C25" w14:textId="39D01139" w:rsidR="00E65203" w:rsidRPr="00096869" w:rsidRDefault="00BF7C58" w:rsidP="00BF7C58">
      <w:pPr>
        <w:keepNext/>
      </w:pPr>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Herrn Zsolt Szani, Ungarn, zum Thema „Phenotypisierungskonzept zur Stärkung der Sortenschutzkette durch den kombinierten Einsatz von Bildanalyse und künstlicher Intelligenz (IA&amp;AI)”, </w:t>
      </w:r>
      <w:r w:rsidR="00E65203" w:rsidRPr="00096869">
        <w:rPr>
          <w:rFonts w:cs="Arial"/>
          <w:iCs/>
        </w:rPr>
        <w:t xml:space="preserve">dessen Kopie in Dokument </w:t>
      </w:r>
      <w:r w:rsidR="00E65203" w:rsidRPr="00096869">
        <w:rPr>
          <w:rFonts w:hint="eastAsia"/>
          <w:lang w:eastAsia="ja-JP"/>
        </w:rPr>
        <w:t>TWM/3/28</w:t>
      </w:r>
      <w:r w:rsidR="00E65203" w:rsidRPr="00096869">
        <w:rPr>
          <w:rFonts w:cs="Arial"/>
          <w:iCs/>
        </w:rPr>
        <w:t xml:space="preserve"> enthalten ist</w:t>
      </w:r>
      <w:r w:rsidR="00E65203" w:rsidRPr="00096869">
        <w:t xml:space="preserve">.  </w:t>
      </w:r>
    </w:p>
    <w:p w14:paraId="2A4CF631" w14:textId="77777777" w:rsidR="00E65203" w:rsidRPr="00096869" w:rsidRDefault="00E65203" w:rsidP="00E65203">
      <w:pPr>
        <w:pStyle w:val="ListParagraph"/>
        <w:ind w:left="0"/>
        <w:jc w:val="both"/>
      </w:pPr>
    </w:p>
    <w:p w14:paraId="658D8BF7" w14:textId="0B60AB7C" w:rsidR="00E65203" w:rsidRPr="00096869" w:rsidRDefault="00BF7C58" w:rsidP="00BF7C58">
      <w:pPr>
        <w:rPr>
          <w:lang w:eastAsia="ja-JP"/>
        </w:rPr>
      </w:pPr>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w:t>
      </w:r>
      <w:r w:rsidR="00E65203" w:rsidRPr="00096869">
        <w:rPr>
          <w:lang w:eastAsia="ja-JP"/>
        </w:rPr>
        <w:t xml:space="preserve">befasste sich mit der Verwendung von Algorithmen für die Bildanalyse und kam überein, dass diese beschrieben und validiert werden sollten. </w:t>
      </w:r>
      <w:r w:rsidR="00FD1193">
        <w:rPr>
          <w:lang w:eastAsia="ja-JP"/>
        </w:rPr>
        <w:t>Die TW</w:t>
      </w:r>
      <w:r w:rsidR="00E65203" w:rsidRPr="00096869">
        <w:rPr>
          <w:lang w:eastAsia="ja-JP"/>
        </w:rPr>
        <w:t xml:space="preserve">M war sich einig, dass die Einführung von Phänotypisierungswerkzeugen in die Sortenprüfung eine ausreichende Menge an </w:t>
      </w:r>
      <w:r w:rsidR="00E65203" w:rsidRPr="00096869">
        <w:rPr>
          <w:rFonts w:hint="eastAsia"/>
          <w:lang w:eastAsia="ja-JP"/>
        </w:rPr>
        <w:t xml:space="preserve">Sortendaten </w:t>
      </w:r>
      <w:r w:rsidR="00E65203" w:rsidRPr="00096869">
        <w:rPr>
          <w:lang w:eastAsia="ja-JP"/>
        </w:rPr>
        <w:t>für das Training der Algorithmen und die Validierung der generierten Analysen erfordert.</w:t>
      </w:r>
    </w:p>
    <w:p w14:paraId="023F7E97" w14:textId="77777777" w:rsidR="00E65203" w:rsidRPr="00096869" w:rsidRDefault="00E65203" w:rsidP="00E65203">
      <w:pPr>
        <w:pStyle w:val="ListParagraph"/>
        <w:ind w:left="0"/>
        <w:jc w:val="both"/>
      </w:pPr>
    </w:p>
    <w:p w14:paraId="58E823FF" w14:textId="77777777" w:rsidR="00E65203" w:rsidRPr="00096869" w:rsidRDefault="00E65203" w:rsidP="00EF24D5">
      <w:pPr>
        <w:pStyle w:val="Heading3"/>
        <w:rPr>
          <w:lang w:val="de-DE"/>
        </w:rPr>
      </w:pPr>
      <w:bookmarkStart w:id="55" w:name="_Toc210667595"/>
      <w:r w:rsidRPr="00096869">
        <w:rPr>
          <w:lang w:val="de-DE"/>
        </w:rPr>
        <w:t>Verwendung von DNA-Datenbanken bei Naktuinbouw zur Verbesserung der DUS-Arbeit</w:t>
      </w:r>
      <w:bookmarkEnd w:id="55"/>
    </w:p>
    <w:p w14:paraId="5CB9CFDE" w14:textId="77777777" w:rsidR="00E65203" w:rsidRPr="00096869" w:rsidRDefault="00E65203" w:rsidP="00E65203"/>
    <w:p w14:paraId="5F686D82" w14:textId="7A934AEA"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Frau Cécile Marchenay </w:t>
      </w:r>
      <w:r w:rsidR="00E65203" w:rsidRPr="00096869">
        <w:rPr>
          <w:lang w:eastAsia="ja-JP"/>
        </w:rPr>
        <w:t>(Niederlande (Königreich)</w:t>
      </w:r>
      <w:r w:rsidR="00E65203" w:rsidRPr="00096869">
        <w:rPr>
          <w:rFonts w:hint="eastAsia"/>
          <w:lang w:eastAsia="ja-JP"/>
        </w:rPr>
        <w:t xml:space="preserve">) </w:t>
      </w:r>
      <w:r w:rsidR="00E65203" w:rsidRPr="00096869">
        <w:t xml:space="preserve">zum Thema „Einsatz von DNA-Datenbanken bei Naktuinbouw zur Verbesserung der DUS-Arbeit”, </w:t>
      </w:r>
      <w:r w:rsidR="00E65203" w:rsidRPr="00096869">
        <w:rPr>
          <w:rFonts w:cs="Arial"/>
          <w:iCs/>
        </w:rPr>
        <w:t xml:space="preserve">der in Dokument </w:t>
      </w:r>
      <w:r w:rsidR="00E65203" w:rsidRPr="00096869">
        <w:rPr>
          <w:rFonts w:hint="eastAsia"/>
          <w:lang w:eastAsia="ja-JP"/>
        </w:rPr>
        <w:t>TWM/3/8</w:t>
      </w:r>
      <w:r w:rsidR="00E65203" w:rsidRPr="00096869">
        <w:rPr>
          <w:rFonts w:cs="Arial"/>
          <w:iCs/>
        </w:rPr>
        <w:t xml:space="preserve"> wiedergegeben ist</w:t>
      </w:r>
      <w:r w:rsidR="00E65203" w:rsidRPr="00096869">
        <w:t>.</w:t>
      </w:r>
    </w:p>
    <w:p w14:paraId="443E09B7" w14:textId="50CDDF8D" w:rsidR="00E65203" w:rsidRPr="00096869" w:rsidRDefault="00E65203" w:rsidP="00E65203">
      <w:pPr>
        <w:pStyle w:val="ListParagraph"/>
        <w:ind w:left="0"/>
        <w:jc w:val="both"/>
      </w:pPr>
    </w:p>
    <w:p w14:paraId="1B078421" w14:textId="2C278CDF"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erörterte die Herausforderungen und Chancen der Verwendung von DNA-basierten Informationen als Grundlage für die Optimierung von Sortensammlungen und die Organisation von Anbauversuchen. </w:t>
      </w:r>
      <w:r w:rsidR="00FD1193">
        <w:t>Die TW</w:t>
      </w:r>
      <w:r w:rsidR="00E65203" w:rsidRPr="00096869">
        <w:t xml:space="preserve">M erörterte die Verwendung von DNA-basierten Informationen zur Verringerung der Anzahl der Anbauzyklen für Pflanzen, die normalerweise in zwei Anbauversuchen geprüft würden.  </w:t>
      </w:r>
    </w:p>
    <w:p w14:paraId="0A64A6E1" w14:textId="77777777" w:rsidR="00E65203" w:rsidRPr="00096869" w:rsidRDefault="00E65203" w:rsidP="00E65203">
      <w:pPr>
        <w:pStyle w:val="ListParagraph"/>
        <w:ind w:left="0"/>
        <w:jc w:val="both"/>
      </w:pPr>
    </w:p>
    <w:p w14:paraId="5262C4C1" w14:textId="77777777" w:rsidR="00E65203" w:rsidRPr="00096869" w:rsidRDefault="00E65203" w:rsidP="00EF24D5">
      <w:pPr>
        <w:pStyle w:val="Heading3"/>
        <w:rPr>
          <w:lang w:val="de-DE"/>
        </w:rPr>
      </w:pPr>
      <w:bookmarkStart w:id="56" w:name="_Toc210667596"/>
      <w:r w:rsidRPr="00096869">
        <w:rPr>
          <w:lang w:val="de-DE"/>
        </w:rPr>
        <w:t>Gemeinsame molekulare Datenbank</w:t>
      </w:r>
      <w:bookmarkEnd w:id="56"/>
    </w:p>
    <w:p w14:paraId="3222F0BD" w14:textId="77777777" w:rsidR="00E65203" w:rsidRPr="00096869" w:rsidRDefault="00E65203" w:rsidP="00E65203"/>
    <w:p w14:paraId="017A4739" w14:textId="26A3293A"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Herrn Rene Mathis </w:t>
      </w:r>
      <w:r w:rsidR="00E65203" w:rsidRPr="00096869">
        <w:rPr>
          <w:lang w:eastAsia="ja-JP"/>
        </w:rPr>
        <w:t>(</w:t>
      </w:r>
      <w:r w:rsidR="00E65203" w:rsidRPr="00096869">
        <w:rPr>
          <w:rFonts w:hint="eastAsia"/>
          <w:lang w:eastAsia="ja-JP"/>
        </w:rPr>
        <w:t xml:space="preserve">Frankreich) </w:t>
      </w:r>
      <w:r w:rsidR="00E65203" w:rsidRPr="00096869">
        <w:t xml:space="preserve">zum Thema „Gemeinsame molekulare Datenbank”, </w:t>
      </w:r>
      <w:r w:rsidR="00E65203" w:rsidRPr="00096869">
        <w:rPr>
          <w:rFonts w:cs="Arial"/>
          <w:iCs/>
        </w:rPr>
        <w:t xml:space="preserve">dessen Kopie in Dokument </w:t>
      </w:r>
      <w:r w:rsidR="00E65203" w:rsidRPr="00096869">
        <w:rPr>
          <w:rFonts w:hint="eastAsia"/>
          <w:lang w:eastAsia="ja-JP"/>
        </w:rPr>
        <w:t>TWM/3/23</w:t>
      </w:r>
      <w:r w:rsidR="00E65203" w:rsidRPr="00096869">
        <w:rPr>
          <w:rFonts w:cs="Arial"/>
          <w:iCs/>
        </w:rPr>
        <w:t xml:space="preserve"> enthalten ist</w:t>
      </w:r>
      <w:r w:rsidR="00E65203" w:rsidRPr="00096869">
        <w:t xml:space="preserve">.  </w:t>
      </w:r>
    </w:p>
    <w:p w14:paraId="4B0B10E6" w14:textId="77777777" w:rsidR="00E65203" w:rsidRPr="00096869" w:rsidRDefault="00E65203" w:rsidP="00E65203">
      <w:pPr>
        <w:pStyle w:val="ListParagraph"/>
        <w:ind w:left="0"/>
        <w:jc w:val="both"/>
      </w:pPr>
    </w:p>
    <w:p w14:paraId="0294346E" w14:textId="6F2C11CA"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rPr>
          <w:lang w:eastAsia="ja-JP"/>
        </w:rPr>
        <w:t>D</w:t>
      </w:r>
      <w:r w:rsidR="0075267E">
        <w:rPr>
          <w:lang w:eastAsia="ja-JP"/>
        </w:rPr>
        <w:t>ie</w:t>
      </w:r>
      <w:r w:rsidR="00E65203" w:rsidRPr="00096869">
        <w:rPr>
          <w:lang w:eastAsia="ja-JP"/>
        </w:rPr>
        <w:t xml:space="preserve"> TWM war sich über die Nützlichkeit gemeinsamer Datenbanken einig und </w:t>
      </w:r>
      <w:r w:rsidR="00E65203" w:rsidRPr="00096869">
        <w:t xml:space="preserve">nahm </w:t>
      </w:r>
      <w:r w:rsidR="00E65203" w:rsidRPr="00096869">
        <w:rPr>
          <w:lang w:eastAsia="ja-JP"/>
        </w:rPr>
        <w:t xml:space="preserve">die Pläne für gemeinsame Datenbanken in der Europäischen Union </w:t>
      </w:r>
      <w:r w:rsidR="00E65203" w:rsidRPr="00096869">
        <w:t>zur Kenntnis</w:t>
      </w:r>
      <w:r w:rsidR="00E65203" w:rsidRPr="00096869">
        <w:rPr>
          <w:lang w:eastAsia="ja-JP"/>
        </w:rPr>
        <w:t xml:space="preserve">. </w:t>
      </w:r>
    </w:p>
    <w:p w14:paraId="593B0C23" w14:textId="6A57DF79" w:rsidR="00E65203" w:rsidRPr="00096869" w:rsidRDefault="00E65203" w:rsidP="00DC2B85">
      <w:pPr>
        <w:pStyle w:val="ListParagraph"/>
        <w:ind w:left="0"/>
        <w:jc w:val="both"/>
        <w:rPr>
          <w:rFonts w:eastAsiaTheme="minorEastAsia"/>
          <w:lang w:eastAsia="ja-JP"/>
        </w:rPr>
      </w:pPr>
    </w:p>
    <w:p w14:paraId="494D7993" w14:textId="77777777" w:rsidR="00E65203" w:rsidRPr="00096869" w:rsidRDefault="00E65203" w:rsidP="00EF24D5">
      <w:pPr>
        <w:pStyle w:val="Heading2"/>
        <w:rPr>
          <w:lang w:val="de-DE"/>
        </w:rPr>
      </w:pPr>
      <w:bookmarkStart w:id="57" w:name="_Toc210667597"/>
      <w:r w:rsidRPr="00096869">
        <w:rPr>
          <w:lang w:val="de-DE"/>
        </w:rPr>
        <w:t>Verwendung molekularer Verfahren bei der Prüfung der wesentlichen Ableitung</w:t>
      </w:r>
      <w:bookmarkEnd w:id="57"/>
    </w:p>
    <w:p w14:paraId="3C3DD498" w14:textId="77777777" w:rsidR="00E65203" w:rsidRPr="00096869" w:rsidRDefault="00E65203" w:rsidP="00E65203"/>
    <w:p w14:paraId="2B119D0B" w14:textId="77777777" w:rsidR="00E65203" w:rsidRPr="00096869" w:rsidRDefault="00E65203" w:rsidP="00EF24D5">
      <w:pPr>
        <w:pStyle w:val="Heading3"/>
        <w:rPr>
          <w:lang w:val="de-DE"/>
        </w:rPr>
      </w:pPr>
      <w:bookmarkStart w:id="58" w:name="_Hlk198890312"/>
      <w:bookmarkStart w:id="59" w:name="_Toc210667598"/>
      <w:r w:rsidRPr="00096869">
        <w:rPr>
          <w:lang w:val="de-DE"/>
        </w:rPr>
        <w:t>Erforschungs</w:t>
      </w:r>
      <w:bookmarkEnd w:id="58"/>
      <w:r w:rsidRPr="00096869">
        <w:rPr>
          <w:lang w:val="de-DE"/>
        </w:rPr>
        <w:t xml:space="preserve"> en von Identifizierungstechniken auf der Grundlage von SNP-Markern für im Wesentlichen abgeleitete Weizensorten</w:t>
      </w:r>
      <w:bookmarkEnd w:id="59"/>
    </w:p>
    <w:p w14:paraId="5DC26FF5" w14:textId="77777777" w:rsidR="00E65203" w:rsidRPr="00096869" w:rsidRDefault="00E65203" w:rsidP="00E65203"/>
    <w:p w14:paraId="074DF65B" w14:textId="31CDD97A"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Frau Binshuang Pang </w:t>
      </w:r>
      <w:r w:rsidR="00E65203" w:rsidRPr="00096869">
        <w:rPr>
          <w:lang w:eastAsia="ja-JP"/>
        </w:rPr>
        <w:t>(</w:t>
      </w:r>
      <w:r w:rsidR="00E65203" w:rsidRPr="00096869">
        <w:rPr>
          <w:rFonts w:hint="eastAsia"/>
          <w:lang w:eastAsia="ja-JP"/>
        </w:rPr>
        <w:t xml:space="preserve">China) </w:t>
      </w:r>
      <w:r w:rsidR="00E65203" w:rsidRPr="00096869">
        <w:t xml:space="preserve">zum Thema „Erforschung von Identifizierungstechniken auf der Grundlage von SNP-Markern für im Wesentlichen abgeleitete Weizensorten”, </w:t>
      </w:r>
      <w:r w:rsidR="00E65203" w:rsidRPr="00096869">
        <w:rPr>
          <w:rFonts w:cs="Arial"/>
          <w:iCs/>
        </w:rPr>
        <w:t xml:space="preserve">der in Dokument </w:t>
      </w:r>
      <w:r w:rsidR="00E65203" w:rsidRPr="00096869">
        <w:rPr>
          <w:rFonts w:hint="eastAsia"/>
          <w:lang w:eastAsia="ja-JP"/>
        </w:rPr>
        <w:t>TWM/3/11</w:t>
      </w:r>
      <w:r w:rsidR="00E65203" w:rsidRPr="00096869">
        <w:rPr>
          <w:rFonts w:cs="Arial"/>
          <w:iCs/>
        </w:rPr>
        <w:t xml:space="preserve"> enthalten ist</w:t>
      </w:r>
      <w:r w:rsidR="00E65203" w:rsidRPr="00096869">
        <w:t>.</w:t>
      </w:r>
    </w:p>
    <w:p w14:paraId="54F0A732" w14:textId="77777777" w:rsidR="00E65203" w:rsidRPr="00096869" w:rsidRDefault="00E65203" w:rsidP="00E65203">
      <w:pPr>
        <w:pStyle w:val="ListParagraph"/>
        <w:ind w:left="0"/>
        <w:jc w:val="both"/>
      </w:pPr>
    </w:p>
    <w:p w14:paraId="2F4B1476" w14:textId="05EABA50"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nahm die Methode zur Festlegung eines Schwellenwerts von 92 % für die vorherrschende Ableitung unter Verwendung von </w:t>
      </w:r>
      <w:r w:rsidR="00E65203" w:rsidRPr="00096869">
        <w:rPr>
          <w:rFonts w:hint="eastAsia"/>
          <w:lang w:eastAsia="ja-JP"/>
        </w:rPr>
        <w:t>mindestens</w:t>
      </w:r>
      <w:r w:rsidR="00E65203" w:rsidRPr="00096869">
        <w:t xml:space="preserve"> 20 000 </w:t>
      </w:r>
      <w:r w:rsidR="00E65203" w:rsidRPr="00096869">
        <w:rPr>
          <w:rFonts w:hint="eastAsia"/>
          <w:lang w:eastAsia="ja-JP"/>
        </w:rPr>
        <w:t xml:space="preserve">SNPs </w:t>
      </w:r>
      <w:r w:rsidR="00E65203" w:rsidRPr="00096869">
        <w:t>und allgemein bekannten im Wesentlichen abgeleiteten Sorten (EDV) als Grundlage für die Analyse zur Kenntnis.</w:t>
      </w:r>
    </w:p>
    <w:p w14:paraId="6E5CD0E6" w14:textId="77777777" w:rsidR="00E65203" w:rsidRPr="00096869" w:rsidRDefault="00E65203" w:rsidP="00E65203">
      <w:pPr>
        <w:pStyle w:val="ListParagraph"/>
        <w:ind w:left="0"/>
        <w:jc w:val="both"/>
      </w:pPr>
    </w:p>
    <w:p w14:paraId="79C7062E" w14:textId="73B08257"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stimmte </w:t>
      </w:r>
      <w:r w:rsidR="00E65203" w:rsidRPr="00096869">
        <w:rPr>
          <w:rFonts w:hint="eastAsia"/>
          <w:lang w:eastAsia="ja-JP"/>
        </w:rPr>
        <w:t xml:space="preserve">zu, dass </w:t>
      </w:r>
      <w:r w:rsidR="00E65203" w:rsidRPr="00096869">
        <w:t xml:space="preserve">die verwendete Sortenauswahlmethode und ihr Stammbaum wichtige Elemente für die Bewertung der wesentlichen Ableitung sind. Die TWM erinnerte an die UPOV-Leitlinien in Dokument UPOV/EXN/EDV/3, wonach ein hoher Grad an Ähnlichkeit allein nicht automatisch bedeutet, dass eine Sorte überwiegend abgeleitet ist, wie beispielsweise im Fall der konvergenten Züchtung.  </w:t>
      </w:r>
    </w:p>
    <w:p w14:paraId="63451203" w14:textId="77777777" w:rsidR="00E65203" w:rsidRPr="00096869" w:rsidRDefault="00E65203" w:rsidP="00E65203">
      <w:pPr>
        <w:pStyle w:val="ListParagraph"/>
        <w:ind w:left="0"/>
        <w:jc w:val="both"/>
      </w:pPr>
    </w:p>
    <w:p w14:paraId="6BD0EE4E" w14:textId="5486D1EA"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t>Die TW</w:t>
      </w:r>
      <w:r w:rsidR="00E65203" w:rsidRPr="00096869">
        <w:t>M stellte fest, dass es sich bei der in der Präsentation beschriebenen Methode um eine Neukalibrierung eines zuvor mit SSR-Markern festgelegten Schwellenwerts unter Verwendung von SNPs handelte.</w:t>
      </w:r>
    </w:p>
    <w:p w14:paraId="495311C8" w14:textId="77777777" w:rsidR="00E65203" w:rsidRPr="00096869" w:rsidRDefault="00E65203" w:rsidP="00E65203">
      <w:pPr>
        <w:pStyle w:val="ListParagraph"/>
        <w:ind w:left="0"/>
        <w:jc w:val="both"/>
      </w:pPr>
    </w:p>
    <w:p w14:paraId="12DE11C8" w14:textId="3892645B" w:rsidR="00E65203" w:rsidRPr="00096869" w:rsidRDefault="00E65203" w:rsidP="00EF24D5">
      <w:pPr>
        <w:pStyle w:val="Heading3"/>
        <w:rPr>
          <w:lang w:val="de-DE"/>
        </w:rPr>
      </w:pPr>
      <w:bookmarkStart w:id="60" w:name="_Toc210667599"/>
      <w:r w:rsidRPr="00096869">
        <w:rPr>
          <w:lang w:val="de-DE"/>
        </w:rPr>
        <w:lastRenderedPageBreak/>
        <w:t>Entwicklung eines Schwellenwerts für im Wesentlichen abgeleitete Sorten (EDV) bei Sojabohnen</w:t>
      </w:r>
      <w:bookmarkEnd w:id="60"/>
    </w:p>
    <w:p w14:paraId="6C5CDD40" w14:textId="77777777" w:rsidR="00E65203" w:rsidRPr="00096869" w:rsidRDefault="00E65203" w:rsidP="00E65203">
      <w:pPr>
        <w:keepNext/>
      </w:pPr>
    </w:p>
    <w:p w14:paraId="41A0D7E9" w14:textId="6FF974A9" w:rsidR="00E65203" w:rsidRPr="00096869" w:rsidRDefault="00BF7C58" w:rsidP="00BF7C58">
      <w:pPr>
        <w:keepNext/>
      </w:pPr>
      <w:r w:rsidRPr="00096869">
        <w:fldChar w:fldCharType="begin"/>
      </w:r>
      <w:r w:rsidRPr="00096869">
        <w:instrText xml:space="preserve"> AUTONUM  </w:instrText>
      </w:r>
      <w:r w:rsidRPr="00096869">
        <w:fldChar w:fldCharType="end"/>
      </w:r>
      <w:r w:rsidRPr="00096869">
        <w:tab/>
      </w:r>
      <w:r w:rsidR="00FD1193">
        <w:t>Die TW</w:t>
      </w:r>
      <w:r w:rsidR="00E65203" w:rsidRPr="00096869">
        <w:t xml:space="preserve">M hörte einen Vortrag von Herrn Barry Nelson, International Seed Federation (ISF), zum Thema „Entwicklung eines Schwellenwerts für im Wesentlichen abgeleitete Sorten (EDV) bei Sojabohnen”, </w:t>
      </w:r>
      <w:r w:rsidR="00E65203" w:rsidRPr="00096869">
        <w:rPr>
          <w:rFonts w:cs="Arial"/>
          <w:iCs/>
        </w:rPr>
        <w:t xml:space="preserve">dessen Kopie in Dokument </w:t>
      </w:r>
      <w:r w:rsidR="00E65203" w:rsidRPr="00096869">
        <w:rPr>
          <w:rFonts w:hint="eastAsia"/>
          <w:lang w:eastAsia="ja-JP"/>
        </w:rPr>
        <w:t>TWM/3/9</w:t>
      </w:r>
      <w:r w:rsidR="00E65203" w:rsidRPr="00096869">
        <w:rPr>
          <w:rFonts w:cs="Arial"/>
          <w:iCs/>
        </w:rPr>
        <w:t xml:space="preserve"> enthalten ist</w:t>
      </w:r>
      <w:r w:rsidR="00E65203" w:rsidRPr="00096869">
        <w:t xml:space="preserve">. </w:t>
      </w:r>
    </w:p>
    <w:p w14:paraId="5287E2A1" w14:textId="77777777" w:rsidR="00E65203" w:rsidRPr="00096869" w:rsidRDefault="00E65203" w:rsidP="00E65203">
      <w:pPr>
        <w:pStyle w:val="ListParagraph"/>
        <w:ind w:left="0"/>
        <w:jc w:val="both"/>
      </w:pPr>
    </w:p>
    <w:p w14:paraId="420E244A" w14:textId="67CF6FC5" w:rsidR="00E65203" w:rsidRPr="00096869" w:rsidRDefault="00BF7C58" w:rsidP="00BF7C58">
      <w:r w:rsidRPr="00096869">
        <w:fldChar w:fldCharType="begin"/>
      </w:r>
      <w:r w:rsidRPr="00096869">
        <w:instrText xml:space="preserve"> AUTONUM  </w:instrText>
      </w:r>
      <w:r w:rsidRPr="00096869">
        <w:fldChar w:fldCharType="end"/>
      </w:r>
      <w:r w:rsidRPr="00096869">
        <w:tab/>
      </w:r>
      <w:r w:rsidR="0075267E">
        <w:t>Die TWM</w:t>
      </w:r>
      <w:r w:rsidR="00E65203" w:rsidRPr="00096869">
        <w:t xml:space="preserve"> stellte fest, dass der vorläufige Schwellenwert von den an der Studie beteiligten Züchtern entsprechend ihren aktuellen Sojabohnen-Entwicklungsprogrammen bewertet werden würde;  wenn Einigung über den Schwellenwert erzielt würde, würde er den zuständigen Saatgutverbänden zur Zustimmung und möglichen Übernahme vorgelegt werden.  </w:t>
      </w:r>
    </w:p>
    <w:p w14:paraId="3392F0A4" w14:textId="77777777" w:rsidR="00E65203" w:rsidRPr="00096869" w:rsidRDefault="00E65203" w:rsidP="00E65203">
      <w:pPr>
        <w:pStyle w:val="ListParagraph"/>
        <w:ind w:left="0"/>
        <w:jc w:val="both"/>
      </w:pPr>
    </w:p>
    <w:p w14:paraId="2726A18A" w14:textId="4C1B7FA4"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war sich einig, dass die Beiträge der Züchter für die Festlegung von Schwellenwerten und die Vermeidung von Streitigkeiten über EDV wichtig sind. Die TWM kam überein, dass die Einführung eines Schwellenwerts eine Prüfung der Sortenabstammung und der Bewertung der übrigen Kriterien für die Feststellung der wesentlichen Ableitung erfordern würde. </w:t>
      </w:r>
    </w:p>
    <w:p w14:paraId="100FFC6F" w14:textId="77777777" w:rsidR="00E65203" w:rsidRPr="00096869" w:rsidRDefault="00E65203" w:rsidP="00E65203"/>
    <w:p w14:paraId="5053E4DF" w14:textId="77777777" w:rsidR="00E65203" w:rsidRPr="00096869" w:rsidRDefault="00E65203" w:rsidP="00733A63">
      <w:pPr>
        <w:pStyle w:val="Heading2"/>
        <w:rPr>
          <w:lang w:val="de-DE"/>
        </w:rPr>
      </w:pPr>
      <w:bookmarkStart w:id="61" w:name="_Toc210667600"/>
      <w:r w:rsidRPr="00096869">
        <w:rPr>
          <w:lang w:val="de-DE"/>
        </w:rPr>
        <w:t>Einsatz molekularer Techniken zur Durchsetzung</w:t>
      </w:r>
      <w:bookmarkEnd w:id="61"/>
    </w:p>
    <w:p w14:paraId="3D8021D8" w14:textId="77777777" w:rsidR="00E65203" w:rsidRPr="00096869" w:rsidRDefault="00E65203" w:rsidP="00E65203"/>
    <w:p w14:paraId="779F2558" w14:textId="77777777" w:rsidR="00E65203" w:rsidRPr="00096869" w:rsidRDefault="00E65203" w:rsidP="00EF24D5">
      <w:pPr>
        <w:pStyle w:val="Heading3"/>
        <w:rPr>
          <w:lang w:val="de-DE"/>
        </w:rPr>
      </w:pPr>
      <w:bookmarkStart w:id="62" w:name="_Toc210667601"/>
      <w:r w:rsidRPr="00096869">
        <w:rPr>
          <w:lang w:val="de-DE"/>
        </w:rPr>
        <w:t>Einsatz von DNA-Techniken zur Durchsetzung von Sortenschutzrechten (PBR) in Peru</w:t>
      </w:r>
      <w:bookmarkEnd w:id="62"/>
    </w:p>
    <w:p w14:paraId="2F68A4EB" w14:textId="77777777" w:rsidR="00E65203" w:rsidRPr="00096869" w:rsidRDefault="00E65203" w:rsidP="00E65203"/>
    <w:p w14:paraId="5C8BA043" w14:textId="419CD96A"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Die TWM hörte einen Vortrag von Herrn Diego F. Ortega Sanabria (</w:t>
      </w:r>
      <w:r w:rsidR="00E65203" w:rsidRPr="00096869">
        <w:rPr>
          <w:rFonts w:hint="eastAsia"/>
          <w:lang w:eastAsia="ja-JP"/>
        </w:rPr>
        <w:t>Peru</w:t>
      </w:r>
      <w:r w:rsidR="00E65203" w:rsidRPr="00096869">
        <w:t xml:space="preserve">) zum Thema „Einsatz von DNA-Techniken zur Durchsetzung von Sortenschutzrechten (PBR) in Peru”, </w:t>
      </w:r>
      <w:r w:rsidR="00E65203" w:rsidRPr="00096869">
        <w:rPr>
          <w:rFonts w:cs="Arial"/>
          <w:iCs/>
        </w:rPr>
        <w:t xml:space="preserve">dessen Kopie in Dokument </w:t>
      </w:r>
      <w:r w:rsidR="00E65203" w:rsidRPr="00096869">
        <w:rPr>
          <w:rFonts w:hint="eastAsia"/>
          <w:lang w:eastAsia="ja-JP"/>
        </w:rPr>
        <w:t>TWM/3/3</w:t>
      </w:r>
      <w:r w:rsidR="00E65203" w:rsidRPr="00096869">
        <w:rPr>
          <w:rFonts w:cs="Arial"/>
          <w:iCs/>
        </w:rPr>
        <w:t xml:space="preserve"> enthalten ist</w:t>
      </w:r>
      <w:r w:rsidR="00E65203" w:rsidRPr="00096869">
        <w:t xml:space="preserve">. </w:t>
      </w:r>
    </w:p>
    <w:p w14:paraId="739022D2" w14:textId="77777777" w:rsidR="00E65203" w:rsidRPr="00096869" w:rsidRDefault="00E65203" w:rsidP="00E65203">
      <w:pPr>
        <w:pStyle w:val="ListParagraph"/>
        <w:ind w:left="0"/>
        <w:jc w:val="both"/>
      </w:pPr>
    </w:p>
    <w:p w14:paraId="7B94D57C" w14:textId="62BC6D09" w:rsidR="00E65203" w:rsidRPr="00096869" w:rsidRDefault="00BF7C58" w:rsidP="00BF7C58">
      <w:pPr>
        <w:ind w:left="-3"/>
        <w:rPr>
          <w:lang w:eastAsia="ja-JP"/>
        </w:rPr>
      </w:pPr>
      <w:r w:rsidRPr="00096869">
        <w:fldChar w:fldCharType="begin"/>
      </w:r>
      <w:r w:rsidRPr="00096869">
        <w:instrText xml:space="preserve"> AUTONUM  </w:instrText>
      </w:r>
      <w:r w:rsidRPr="00096869">
        <w:fldChar w:fldCharType="end"/>
      </w:r>
      <w:r w:rsidRPr="00096869">
        <w:tab/>
      </w:r>
      <w:r w:rsidR="00FD1193">
        <w:rPr>
          <w:lang w:eastAsia="ja-JP"/>
        </w:rPr>
        <w:t>Die TW</w:t>
      </w:r>
      <w:r w:rsidR="00E65203" w:rsidRPr="00096869">
        <w:rPr>
          <w:lang w:eastAsia="ja-JP"/>
        </w:rPr>
        <w:t xml:space="preserve">M nahm die Verfahren in Peru für </w:t>
      </w:r>
      <w:r w:rsidR="00E65203" w:rsidRPr="00096869">
        <w:rPr>
          <w:rFonts w:hint="eastAsia"/>
          <w:lang w:eastAsia="ja-JP"/>
        </w:rPr>
        <w:t xml:space="preserve">Feldbesichtigungen </w:t>
      </w:r>
      <w:r w:rsidR="00E65203" w:rsidRPr="00096869">
        <w:rPr>
          <w:lang w:eastAsia="ja-JP"/>
        </w:rPr>
        <w:t xml:space="preserve">bei Verletzungsfällen  zur Kenntnis, einschließlich der Rolle der Verwaltungsbehörde bei der Durchführung von Feldbesichtigungen und der Existenz von Leitlinien für DNA-basierte Informationen.  </w:t>
      </w:r>
      <w:r w:rsidR="00FD1193">
        <w:rPr>
          <w:lang w:eastAsia="ja-JP"/>
        </w:rPr>
        <w:t>Die TW</w:t>
      </w:r>
      <w:r w:rsidR="00E65203" w:rsidRPr="00096869">
        <w:rPr>
          <w:lang w:eastAsia="ja-JP"/>
        </w:rPr>
        <w:t xml:space="preserve">M stellte fest, dass in Peru der Kläger die Spezifität der Marker nachweisen muss, die zur Identifizierung der geschützten Sorte verwendet werden sollen.  </w:t>
      </w:r>
    </w:p>
    <w:p w14:paraId="17CEF85A" w14:textId="77777777" w:rsidR="00E65203" w:rsidRPr="00096869" w:rsidRDefault="00E65203" w:rsidP="00E65203">
      <w:pPr>
        <w:ind w:left="-3"/>
        <w:rPr>
          <w:lang w:eastAsia="ja-JP"/>
        </w:rPr>
      </w:pPr>
    </w:p>
    <w:p w14:paraId="7A1A435F" w14:textId="6B308F85" w:rsidR="00E65203" w:rsidRPr="00096869" w:rsidRDefault="00BF7C58" w:rsidP="00BF7C58">
      <w:pPr>
        <w:ind w:left="-3"/>
      </w:pPr>
      <w:r w:rsidRPr="00096869">
        <w:fldChar w:fldCharType="begin"/>
      </w:r>
      <w:r w:rsidRPr="00096869">
        <w:instrText xml:space="preserve"> AUTONUM  </w:instrText>
      </w:r>
      <w:r w:rsidRPr="00096869">
        <w:fldChar w:fldCharType="end"/>
      </w:r>
      <w:r w:rsidRPr="00096869">
        <w:tab/>
      </w:r>
      <w:r w:rsidR="00FD1193">
        <w:rPr>
          <w:lang w:eastAsia="ja-JP"/>
        </w:rPr>
        <w:t>Die TW</w:t>
      </w:r>
      <w:r w:rsidR="00E65203" w:rsidRPr="00096869">
        <w:rPr>
          <w:lang w:eastAsia="ja-JP"/>
        </w:rPr>
        <w:t xml:space="preserve">M nahm die gemeldeten Herausforderungen im Zusammenhang mit der Durchsetzung bei exportierten Früchten aufgrund des Zeitaufwands für die Sortenidentifizierung zur Kenntnis. </w:t>
      </w:r>
      <w:r w:rsidR="00FD1193">
        <w:rPr>
          <w:lang w:eastAsia="ja-JP"/>
        </w:rPr>
        <w:t>Die TW</w:t>
      </w:r>
      <w:r w:rsidR="00E65203" w:rsidRPr="00096869">
        <w:rPr>
          <w:lang w:eastAsia="ja-JP"/>
        </w:rPr>
        <w:t>M kam überein, dass es wichtig sei, die Zusammenarbeit zwischen den Behörden der UPOV-Mitglieder in Durchsetzungsfragen zu verstärken.</w:t>
      </w:r>
    </w:p>
    <w:p w14:paraId="5C9799EF" w14:textId="77777777" w:rsidR="00E65203" w:rsidRPr="00096869" w:rsidRDefault="00E65203" w:rsidP="00E65203">
      <w:pPr>
        <w:pStyle w:val="ListParagraph"/>
        <w:ind w:left="0"/>
        <w:jc w:val="both"/>
      </w:pPr>
    </w:p>
    <w:p w14:paraId="3EF93A92" w14:textId="77777777" w:rsidR="00E65203" w:rsidRPr="00096869" w:rsidRDefault="00E65203" w:rsidP="00EF24D5">
      <w:pPr>
        <w:pStyle w:val="Heading3"/>
        <w:rPr>
          <w:lang w:val="de-DE"/>
        </w:rPr>
      </w:pPr>
      <w:bookmarkStart w:id="63" w:name="_Toc210667602"/>
      <w:r w:rsidRPr="00096869">
        <w:rPr>
          <w:lang w:val="de-DE"/>
        </w:rPr>
        <w:t>Verwendung molekularer Marker als Instrument zur Durchsetzung des Sortenschutzrechts (PBR) für Sojabohnen in Uruguay</w:t>
      </w:r>
      <w:bookmarkEnd w:id="63"/>
    </w:p>
    <w:p w14:paraId="7A48B738" w14:textId="77777777" w:rsidR="00E65203" w:rsidRPr="00096869" w:rsidRDefault="00E65203" w:rsidP="00E65203">
      <w:pPr>
        <w:pStyle w:val="ListParagraph"/>
        <w:ind w:left="0"/>
        <w:jc w:val="both"/>
      </w:pPr>
    </w:p>
    <w:p w14:paraId="52A9EAC9" w14:textId="23DBB592"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t xml:space="preserve">Die TWM hörte einen Vortrag von Frau Vanessa Sosa und Frau Pilar Zorilla </w:t>
      </w:r>
      <w:r w:rsidR="00E65203" w:rsidRPr="00096869">
        <w:rPr>
          <w:lang w:eastAsia="ja-JP"/>
        </w:rPr>
        <w:t>(</w:t>
      </w:r>
      <w:r w:rsidR="00E65203" w:rsidRPr="00096869">
        <w:rPr>
          <w:rFonts w:hint="eastAsia"/>
          <w:lang w:eastAsia="ja-JP"/>
        </w:rPr>
        <w:t xml:space="preserve">Uruguay) </w:t>
      </w:r>
      <w:r w:rsidR="00E65203" w:rsidRPr="00096869">
        <w:rPr>
          <w:lang w:eastAsia="ja-JP"/>
        </w:rPr>
        <w:t xml:space="preserve">sowie Herrn Diego Risso (Seed Association of the Americas) </w:t>
      </w:r>
      <w:r w:rsidR="00E65203" w:rsidRPr="00096869">
        <w:t xml:space="preserve">zum Thema „Verwendung molekularer Marker als Instrument zur Durchsetzung des Sortenschutzrechts (PBR) für Sojabohnen in Uruguay”, </w:t>
      </w:r>
      <w:r w:rsidR="00E65203" w:rsidRPr="00096869">
        <w:rPr>
          <w:rFonts w:cs="Arial"/>
          <w:iCs/>
        </w:rPr>
        <w:t xml:space="preserve">dessen Kopie als Addendum zum Dokument </w:t>
      </w:r>
      <w:r w:rsidR="00E65203" w:rsidRPr="00096869">
        <w:rPr>
          <w:rFonts w:hint="eastAsia"/>
          <w:lang w:eastAsia="ja-JP"/>
        </w:rPr>
        <w:t>TWM/3/18</w:t>
      </w:r>
      <w:r w:rsidR="00E65203" w:rsidRPr="00096869">
        <w:rPr>
          <w:rFonts w:cs="Arial"/>
          <w:iCs/>
        </w:rPr>
        <w:t xml:space="preserve"> zur Verfügung gestellt wird</w:t>
      </w:r>
      <w:r w:rsidR="00E65203" w:rsidRPr="00096869">
        <w:t>.</w:t>
      </w:r>
    </w:p>
    <w:p w14:paraId="5BA0FC35" w14:textId="77777777" w:rsidR="00E65203" w:rsidRPr="00096869" w:rsidRDefault="00E65203" w:rsidP="00E65203">
      <w:pPr>
        <w:pStyle w:val="ListParagraph"/>
        <w:ind w:left="0"/>
        <w:jc w:val="both"/>
      </w:pPr>
    </w:p>
    <w:p w14:paraId="49F85944" w14:textId="2CEBF5EB" w:rsidR="00E65203" w:rsidRPr="00096869" w:rsidRDefault="00BF7C58" w:rsidP="00BF7C58">
      <w:r w:rsidRPr="00096869">
        <w:fldChar w:fldCharType="begin"/>
      </w:r>
      <w:r w:rsidRPr="00096869">
        <w:instrText xml:space="preserve"> AUTONUM  </w:instrText>
      </w:r>
      <w:r w:rsidRPr="00096869">
        <w:fldChar w:fldCharType="end"/>
      </w:r>
      <w:r w:rsidRPr="00096869">
        <w:tab/>
      </w:r>
      <w:r w:rsidR="00E65203" w:rsidRPr="00096869">
        <w:rPr>
          <w:lang w:eastAsia="ja-JP"/>
        </w:rPr>
        <w:t xml:space="preserve">Die TWM nahm zur Kenntnis, dass in Uruguay der Züchterverband und das Nationale Saatgutinstitut Feldinspektionen durchführen. Die TWM stellte fest, dass das Verfahren zur Sortenidentifizierung in einigen Fällen bis zu zwei Tage dauern kann. </w:t>
      </w:r>
      <w:r w:rsidR="00E65203" w:rsidRPr="00096869">
        <w:t xml:space="preserve">Die TWM stellte fest, </w:t>
      </w:r>
      <w:r w:rsidR="00E65203" w:rsidRPr="00096869">
        <w:rPr>
          <w:lang w:eastAsia="ja-JP"/>
        </w:rPr>
        <w:t>dass die Bußgelder für Verstöße in Uruguay auf dem Wert des geernteten Materials basieren und als wirksame Maßnahme angesehen werden.</w:t>
      </w:r>
    </w:p>
    <w:p w14:paraId="578561A4" w14:textId="77777777" w:rsidR="00E65203" w:rsidRPr="00096869" w:rsidRDefault="00E65203" w:rsidP="00E65203">
      <w:pPr>
        <w:pStyle w:val="ListParagraph"/>
        <w:ind w:left="0"/>
        <w:jc w:val="both"/>
      </w:pPr>
    </w:p>
    <w:p w14:paraId="32FFA58C" w14:textId="09D5B2EF" w:rsidR="00E65203" w:rsidRPr="00096869" w:rsidRDefault="00BF7C58" w:rsidP="00BF7C58">
      <w:r w:rsidRPr="00096869">
        <w:fldChar w:fldCharType="begin"/>
      </w:r>
      <w:r w:rsidRPr="00096869">
        <w:instrText xml:space="preserve"> AUTONUM  </w:instrText>
      </w:r>
      <w:r w:rsidRPr="00096869">
        <w:fldChar w:fldCharType="end"/>
      </w:r>
      <w:r w:rsidRPr="00096869">
        <w:tab/>
      </w:r>
      <w:r w:rsidR="00FD1193">
        <w:rPr>
          <w:lang w:eastAsia="ja-JP"/>
        </w:rPr>
        <w:t>Die TW</w:t>
      </w:r>
      <w:r w:rsidR="00E65203" w:rsidRPr="00096869">
        <w:rPr>
          <w:lang w:eastAsia="ja-JP"/>
        </w:rPr>
        <w:t xml:space="preserve">M </w:t>
      </w:r>
      <w:r w:rsidR="00E65203" w:rsidRPr="00096869">
        <w:rPr>
          <w:rFonts w:hint="eastAsia"/>
          <w:lang w:eastAsia="ja-JP"/>
        </w:rPr>
        <w:t>stellte fest</w:t>
      </w:r>
      <w:r w:rsidR="00E65203" w:rsidRPr="00096869">
        <w:rPr>
          <w:lang w:eastAsia="ja-JP"/>
        </w:rPr>
        <w:t xml:space="preserve">, dass die Bildanalyse auch für die Sortenidentifizierung unter Verwendung von Saatgut geschützter Sorten verwendet wurde. </w:t>
      </w:r>
    </w:p>
    <w:p w14:paraId="3D54CAEA" w14:textId="77777777" w:rsidR="00F37B93" w:rsidRPr="00096869" w:rsidRDefault="00F37B93" w:rsidP="00F37B93"/>
    <w:p w14:paraId="7BE78A14" w14:textId="77777777" w:rsidR="00F37B93" w:rsidRPr="00096869" w:rsidRDefault="00F37B93" w:rsidP="00F37B93"/>
    <w:p w14:paraId="7EFA2FD3" w14:textId="77777777" w:rsidR="00F37B93" w:rsidRPr="00096869" w:rsidRDefault="00F37B93" w:rsidP="00F37B93"/>
    <w:p w14:paraId="4839E0EE" w14:textId="5CE127AE" w:rsidR="00EF4B00" w:rsidRPr="00096869" w:rsidRDefault="00F16D33" w:rsidP="003127BF">
      <w:pPr>
        <w:jc w:val="right"/>
      </w:pPr>
      <w:r w:rsidRPr="00096869">
        <w:t>[</w:t>
      </w:r>
      <w:r w:rsidR="00595FE4">
        <w:t>Anlage</w:t>
      </w:r>
      <w:r w:rsidRPr="00096869">
        <w:t xml:space="preserve"> folgt]</w:t>
      </w:r>
    </w:p>
    <w:p w14:paraId="40A56936" w14:textId="77777777" w:rsidR="00550FF9" w:rsidRPr="00096869" w:rsidRDefault="00550FF9" w:rsidP="00EF4B00">
      <w:pPr>
        <w:sectPr w:rsidR="00550FF9" w:rsidRPr="00096869" w:rsidSect="001D3885">
          <w:headerReference w:type="default" r:id="rId20"/>
          <w:footerReference w:type="even" r:id="rId21"/>
          <w:footerReference w:type="default" r:id="rId22"/>
          <w:footerReference w:type="first" r:id="rId23"/>
          <w:pgSz w:w="11907" w:h="16840" w:code="9"/>
          <w:pgMar w:top="510" w:right="1134" w:bottom="709" w:left="1134" w:header="510" w:footer="680" w:gutter="0"/>
          <w:pgNumType w:start="1"/>
          <w:cols w:space="720"/>
          <w:titlePg/>
        </w:sectPr>
      </w:pPr>
    </w:p>
    <w:p w14:paraId="039ED3C5" w14:textId="77777777" w:rsidR="00D52685" w:rsidRPr="00096869" w:rsidRDefault="00D52685" w:rsidP="00D52685">
      <w:pPr>
        <w:spacing w:before="600" w:after="240"/>
        <w:jc w:val="left"/>
        <w:rPr>
          <w:rFonts w:eastAsia="Times New Roman"/>
          <w:b/>
          <w:caps/>
        </w:rPr>
      </w:pPr>
      <w:bookmarkStart w:id="64" w:name="_Hlk190367062"/>
      <w:r w:rsidRPr="00096869">
        <w:rPr>
          <w:rFonts w:eastAsia="Times New Roman"/>
          <w:b/>
          <w:bCs/>
          <w:caps/>
        </w:rPr>
        <w:lastRenderedPageBreak/>
        <w:t>Leitlinien für die Validierung eines neuen protokolls für merkmalspezifische molekulare Marker als alternative Methode für die Beobachtung</w:t>
      </w:r>
    </w:p>
    <w:p w14:paraId="7F2ED21A" w14:textId="77777777" w:rsidR="00D52685" w:rsidRPr="00096869" w:rsidRDefault="00D52685" w:rsidP="00D52685">
      <w:pPr>
        <w:spacing w:after="240"/>
        <w:jc w:val="left"/>
        <w:rPr>
          <w:rFonts w:eastAsia="Times New Roman"/>
          <w:i/>
          <w:iCs/>
        </w:rPr>
      </w:pPr>
      <w:bookmarkStart w:id="65" w:name="Prepared"/>
      <w:bookmarkEnd w:id="65"/>
      <w:bookmarkEnd w:id="64"/>
      <w:r w:rsidRPr="00096869">
        <w:rPr>
          <w:rFonts w:eastAsia="Times New Roman"/>
          <w:i/>
          <w:iCs/>
        </w:rPr>
        <w:t>Von Experten aus Frankreich, Italien und den Niederlanden erstelltes Dokument</w:t>
      </w:r>
    </w:p>
    <w:p w14:paraId="4F6657C3" w14:textId="0D5DDE48" w:rsidR="00D52685" w:rsidRPr="00096869" w:rsidRDefault="00D52685" w:rsidP="002C5C3B">
      <w:pPr>
        <w:spacing w:after="480"/>
        <w:jc w:val="left"/>
        <w:rPr>
          <w:i/>
          <w:iCs/>
          <w:color w:val="A6A6A6" w:themeColor="background1" w:themeShade="A6"/>
          <w:lang w:eastAsia="ja-JP"/>
        </w:rPr>
      </w:pPr>
      <w:r w:rsidRPr="00096869">
        <w:rPr>
          <w:rFonts w:eastAsia="Times New Roman"/>
          <w:i/>
          <w:iCs/>
          <w:color w:val="A6A6A6" w:themeColor="background1" w:themeShade="A6"/>
        </w:rPr>
        <w:t>Haftungsausschluss: Dieses Dokument gibt nicht die Politik oder Leitlinien der UPOV wieder.</w:t>
      </w:r>
    </w:p>
    <w:p w14:paraId="1B9A3378" w14:textId="21ABF10F" w:rsidR="00D52685" w:rsidRPr="00096869" w:rsidRDefault="00D52685" w:rsidP="00D52685">
      <w:pPr>
        <w:spacing w:after="120"/>
      </w:pPr>
      <w:bookmarkStart w:id="66" w:name="_Toc189576551"/>
      <w:r w:rsidRPr="00096869">
        <w:rPr>
          <w:u w:val="single"/>
        </w:rPr>
        <w:t>Inhaltsverzeichnis</w:t>
      </w:r>
      <w:r w:rsidRPr="00096869">
        <w:t>:</w:t>
      </w:r>
    </w:p>
    <w:p w14:paraId="535A4F6C" w14:textId="11841A47" w:rsidR="00B23A70" w:rsidRPr="00096869" w:rsidRDefault="00AF5629">
      <w:pPr>
        <w:pStyle w:val="TOC1"/>
        <w:rPr>
          <w:rFonts w:asciiTheme="minorHAnsi" w:hAnsiTheme="minorHAnsi" w:cstheme="minorBidi"/>
          <w:caps w:val="0"/>
          <w:kern w:val="2"/>
          <w:sz w:val="24"/>
          <w:szCs w:val="24"/>
          <w:lang w:eastAsia="en-GB"/>
          <w14:ligatures w14:val="standardContextual"/>
        </w:rPr>
      </w:pPr>
      <w:r w:rsidRPr="00096869">
        <w:rPr>
          <w:rFonts w:cs="Arial"/>
          <w:lang w:eastAsia="fr-FR"/>
        </w:rPr>
        <w:fldChar w:fldCharType="begin"/>
      </w:r>
      <w:r w:rsidRPr="00096869">
        <w:rPr>
          <w:rFonts w:cs="Arial"/>
          <w:lang w:eastAsia="fr-FR"/>
        </w:rPr>
        <w:instrText xml:space="preserve"> TOC \u \t "Heading 1 Annex,1,Heading 2 Annex,2,Heading 3 Annex,3" </w:instrText>
      </w:r>
      <w:r w:rsidRPr="00096869">
        <w:rPr>
          <w:rFonts w:cs="Arial"/>
          <w:lang w:eastAsia="fr-FR"/>
        </w:rPr>
        <w:fldChar w:fldCharType="separate"/>
      </w:r>
      <w:r w:rsidR="00B23A70" w:rsidRPr="00096869">
        <w:t>I.</w:t>
      </w:r>
      <w:r w:rsidR="00B23A70" w:rsidRPr="00096869">
        <w:rPr>
          <w:rFonts w:asciiTheme="minorHAnsi" w:hAnsiTheme="minorHAnsi" w:cstheme="minorBidi"/>
          <w:caps w:val="0"/>
          <w:kern w:val="2"/>
          <w:sz w:val="24"/>
          <w:szCs w:val="24"/>
          <w:lang w:eastAsia="en-GB"/>
          <w14:ligatures w14:val="standardContextual"/>
        </w:rPr>
        <w:tab/>
      </w:r>
      <w:r w:rsidR="00B23A70" w:rsidRPr="00096869">
        <w:t>Ziele dieser Leitlinien</w:t>
      </w:r>
      <w:r w:rsidR="00B23A70" w:rsidRPr="00096869">
        <w:tab/>
      </w:r>
      <w:r w:rsidR="00B23A70" w:rsidRPr="00096869">
        <w:fldChar w:fldCharType="begin"/>
      </w:r>
      <w:r w:rsidR="00B23A70" w:rsidRPr="00096869">
        <w:instrText xml:space="preserve"> PAGEREF _Toc210139331 \h </w:instrText>
      </w:r>
      <w:r w:rsidR="00B23A70" w:rsidRPr="00096869">
        <w:fldChar w:fldCharType="separate"/>
      </w:r>
      <w:r w:rsidR="00B23A70" w:rsidRPr="00096869">
        <w:t>2</w:t>
      </w:r>
      <w:r w:rsidR="00B23A70" w:rsidRPr="00096869">
        <w:fldChar w:fldCharType="end"/>
      </w:r>
    </w:p>
    <w:p w14:paraId="4AA5C3A4" w14:textId="15BCC0E2"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II.</w:t>
      </w:r>
      <w:r w:rsidRPr="00096869">
        <w:rPr>
          <w:rFonts w:asciiTheme="minorHAnsi" w:hAnsiTheme="minorHAnsi" w:cstheme="minorBidi"/>
          <w:caps w:val="0"/>
          <w:kern w:val="2"/>
          <w:sz w:val="24"/>
          <w:szCs w:val="24"/>
          <w:lang w:eastAsia="en-GB"/>
          <w14:ligatures w14:val="standardContextual"/>
        </w:rPr>
        <w:tab/>
      </w:r>
      <w:r w:rsidRPr="00096869">
        <w:t>Geltungsbereich dieser Leitlinien</w:t>
      </w:r>
      <w:r w:rsidRPr="00096869">
        <w:tab/>
      </w:r>
      <w:r w:rsidRPr="00096869">
        <w:fldChar w:fldCharType="begin"/>
      </w:r>
      <w:r w:rsidRPr="00096869">
        <w:instrText xml:space="preserve"> PAGEREF _Toc210139332 \h </w:instrText>
      </w:r>
      <w:r w:rsidRPr="00096869">
        <w:fldChar w:fldCharType="separate"/>
      </w:r>
      <w:r w:rsidRPr="00096869">
        <w:t>2</w:t>
      </w:r>
      <w:r w:rsidRPr="00096869">
        <w:fldChar w:fldCharType="end"/>
      </w:r>
    </w:p>
    <w:p w14:paraId="544F4983" w14:textId="0EDFB3F1"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III.</w:t>
      </w:r>
      <w:r w:rsidRPr="00096869">
        <w:rPr>
          <w:rFonts w:asciiTheme="minorHAnsi" w:hAnsiTheme="minorHAnsi" w:cstheme="minorBidi"/>
          <w:caps w:val="0"/>
          <w:kern w:val="2"/>
          <w:sz w:val="24"/>
          <w:szCs w:val="24"/>
          <w:lang w:eastAsia="en-GB"/>
          <w14:ligatures w14:val="standardContextual"/>
        </w:rPr>
        <w:tab/>
      </w:r>
      <w:r w:rsidRPr="00096869">
        <w:t>Leistungskriterien für ein neues Protokoll auf Basis molekularer Marker</w:t>
      </w:r>
      <w:r w:rsidRPr="00096869">
        <w:tab/>
      </w:r>
      <w:r w:rsidRPr="00096869">
        <w:fldChar w:fldCharType="begin"/>
      </w:r>
      <w:r w:rsidRPr="00096869">
        <w:instrText xml:space="preserve"> PAGEREF _Toc210139333 \h </w:instrText>
      </w:r>
      <w:r w:rsidRPr="00096869">
        <w:fldChar w:fldCharType="separate"/>
      </w:r>
      <w:r w:rsidRPr="00096869">
        <w:t>2</w:t>
      </w:r>
      <w:r w:rsidRPr="00096869">
        <w:fldChar w:fldCharType="end"/>
      </w:r>
    </w:p>
    <w:p w14:paraId="00C405C1" w14:textId="1DDC47BC" w:rsidR="00B23A70" w:rsidRPr="00096869" w:rsidRDefault="00B23A70">
      <w:pPr>
        <w:pStyle w:val="TOC2"/>
        <w:rPr>
          <w:rFonts w:asciiTheme="minorHAnsi" w:hAnsiTheme="minorHAnsi" w:cstheme="minorBidi"/>
          <w:kern w:val="2"/>
          <w:sz w:val="24"/>
          <w:szCs w:val="24"/>
          <w:lang w:eastAsia="en-GB"/>
          <w14:ligatures w14:val="standardContextual"/>
        </w:rPr>
      </w:pPr>
      <w:r w:rsidRPr="00096869">
        <w:t>Spezifität</w:t>
      </w:r>
      <w:r w:rsidRPr="00096869">
        <w:tab/>
      </w:r>
      <w:r w:rsidRPr="00096869">
        <w:fldChar w:fldCharType="begin"/>
      </w:r>
      <w:r w:rsidRPr="00096869">
        <w:instrText xml:space="preserve"> PAGEREF _Toc210139334 \h </w:instrText>
      </w:r>
      <w:r w:rsidRPr="00096869">
        <w:fldChar w:fldCharType="separate"/>
      </w:r>
      <w:r w:rsidRPr="00096869">
        <w:t>2</w:t>
      </w:r>
      <w:r w:rsidRPr="00096869">
        <w:fldChar w:fldCharType="end"/>
      </w:r>
    </w:p>
    <w:p w14:paraId="7B1D6473" w14:textId="153D0273"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Definition</w:t>
      </w:r>
      <w:r w:rsidRPr="00096869">
        <w:rPr>
          <w:lang w:val="de-DE"/>
        </w:rPr>
        <w:tab/>
      </w:r>
      <w:r w:rsidRPr="00096869">
        <w:rPr>
          <w:lang w:val="de-DE"/>
        </w:rPr>
        <w:fldChar w:fldCharType="begin"/>
      </w:r>
      <w:r w:rsidRPr="00096869">
        <w:rPr>
          <w:lang w:val="de-DE"/>
        </w:rPr>
        <w:instrText xml:space="preserve"> PAGEREF _Toc210139335 \h </w:instrText>
      </w:r>
      <w:r w:rsidRPr="00096869">
        <w:rPr>
          <w:lang w:val="de-DE"/>
        </w:rPr>
      </w:r>
      <w:r w:rsidRPr="00096869">
        <w:rPr>
          <w:lang w:val="de-DE"/>
        </w:rPr>
        <w:fldChar w:fldCharType="separate"/>
      </w:r>
      <w:r w:rsidRPr="00096869">
        <w:rPr>
          <w:lang w:val="de-DE"/>
        </w:rPr>
        <w:t>2</w:t>
      </w:r>
      <w:r w:rsidRPr="00096869">
        <w:rPr>
          <w:lang w:val="de-DE"/>
        </w:rPr>
        <w:fldChar w:fldCharType="end"/>
      </w:r>
    </w:p>
    <w:p w14:paraId="31A3777B" w14:textId="1DD65D02"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Anforderung</w:t>
      </w:r>
      <w:r w:rsidRPr="00096869">
        <w:rPr>
          <w:lang w:val="de-DE"/>
        </w:rPr>
        <w:tab/>
      </w:r>
      <w:r w:rsidRPr="00096869">
        <w:rPr>
          <w:lang w:val="de-DE"/>
        </w:rPr>
        <w:fldChar w:fldCharType="begin"/>
      </w:r>
      <w:r w:rsidRPr="00096869">
        <w:rPr>
          <w:lang w:val="de-DE"/>
        </w:rPr>
        <w:instrText xml:space="preserve"> PAGEREF _Toc210139336 \h </w:instrText>
      </w:r>
      <w:r w:rsidRPr="00096869">
        <w:rPr>
          <w:lang w:val="de-DE"/>
        </w:rPr>
      </w:r>
      <w:r w:rsidRPr="00096869">
        <w:rPr>
          <w:lang w:val="de-DE"/>
        </w:rPr>
        <w:fldChar w:fldCharType="separate"/>
      </w:r>
      <w:r w:rsidRPr="00096869">
        <w:rPr>
          <w:lang w:val="de-DE"/>
        </w:rPr>
        <w:t>2</w:t>
      </w:r>
      <w:r w:rsidRPr="00096869">
        <w:rPr>
          <w:lang w:val="de-DE"/>
        </w:rPr>
        <w:fldChar w:fldCharType="end"/>
      </w:r>
    </w:p>
    <w:p w14:paraId="672B77AF" w14:textId="7385B65D"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Wie wird es bewertet?</w:t>
      </w:r>
      <w:r w:rsidRPr="00096869">
        <w:rPr>
          <w:lang w:val="de-DE"/>
        </w:rPr>
        <w:tab/>
      </w:r>
      <w:r w:rsidRPr="00096869">
        <w:rPr>
          <w:lang w:val="de-DE"/>
        </w:rPr>
        <w:fldChar w:fldCharType="begin"/>
      </w:r>
      <w:r w:rsidRPr="00096869">
        <w:rPr>
          <w:lang w:val="de-DE"/>
        </w:rPr>
        <w:instrText xml:space="preserve"> PAGEREF _Toc210139337 \h </w:instrText>
      </w:r>
      <w:r w:rsidRPr="00096869">
        <w:rPr>
          <w:lang w:val="de-DE"/>
        </w:rPr>
      </w:r>
      <w:r w:rsidRPr="00096869">
        <w:rPr>
          <w:lang w:val="de-DE"/>
        </w:rPr>
        <w:fldChar w:fldCharType="separate"/>
      </w:r>
      <w:r w:rsidRPr="00096869">
        <w:rPr>
          <w:lang w:val="de-DE"/>
        </w:rPr>
        <w:t>2</w:t>
      </w:r>
      <w:r w:rsidRPr="00096869">
        <w:rPr>
          <w:lang w:val="de-DE"/>
        </w:rPr>
        <w:fldChar w:fldCharType="end"/>
      </w:r>
    </w:p>
    <w:p w14:paraId="099B51CA" w14:textId="29706D6B" w:rsidR="00B23A70" w:rsidRPr="00096869" w:rsidRDefault="00B23A70">
      <w:pPr>
        <w:pStyle w:val="TOC2"/>
        <w:rPr>
          <w:rFonts w:asciiTheme="minorHAnsi" w:hAnsiTheme="minorHAnsi" w:cstheme="minorBidi"/>
          <w:kern w:val="2"/>
          <w:sz w:val="24"/>
          <w:szCs w:val="24"/>
          <w:lang w:eastAsia="en-GB"/>
          <w14:ligatures w14:val="standardContextual"/>
        </w:rPr>
      </w:pPr>
      <w:r w:rsidRPr="00096869">
        <w:t>Empfindlichkeit und Nachweisgrenze</w:t>
      </w:r>
      <w:r w:rsidRPr="00096869">
        <w:tab/>
      </w:r>
      <w:r w:rsidRPr="00096869">
        <w:fldChar w:fldCharType="begin"/>
      </w:r>
      <w:r w:rsidRPr="00096869">
        <w:instrText xml:space="preserve"> PAGEREF _Toc210139338 \h </w:instrText>
      </w:r>
      <w:r w:rsidRPr="00096869">
        <w:fldChar w:fldCharType="separate"/>
      </w:r>
      <w:r w:rsidRPr="00096869">
        <w:t>2</w:t>
      </w:r>
      <w:r w:rsidRPr="00096869">
        <w:fldChar w:fldCharType="end"/>
      </w:r>
    </w:p>
    <w:p w14:paraId="269D645D" w14:textId="1616FEA9"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Definition</w:t>
      </w:r>
      <w:r w:rsidRPr="00096869">
        <w:rPr>
          <w:lang w:val="de-DE"/>
        </w:rPr>
        <w:tab/>
      </w:r>
      <w:r w:rsidRPr="00096869">
        <w:rPr>
          <w:lang w:val="de-DE"/>
        </w:rPr>
        <w:fldChar w:fldCharType="begin"/>
      </w:r>
      <w:r w:rsidRPr="00096869">
        <w:rPr>
          <w:lang w:val="de-DE"/>
        </w:rPr>
        <w:instrText xml:space="preserve"> PAGEREF _Toc210139339 \h </w:instrText>
      </w:r>
      <w:r w:rsidRPr="00096869">
        <w:rPr>
          <w:lang w:val="de-DE"/>
        </w:rPr>
      </w:r>
      <w:r w:rsidRPr="00096869">
        <w:rPr>
          <w:lang w:val="de-DE"/>
        </w:rPr>
        <w:fldChar w:fldCharType="separate"/>
      </w:r>
      <w:r w:rsidRPr="00096869">
        <w:rPr>
          <w:lang w:val="de-DE"/>
        </w:rPr>
        <w:t>2</w:t>
      </w:r>
      <w:r w:rsidRPr="00096869">
        <w:rPr>
          <w:lang w:val="de-DE"/>
        </w:rPr>
        <w:fldChar w:fldCharType="end"/>
      </w:r>
    </w:p>
    <w:p w14:paraId="7F1FFD2D" w14:textId="72BA7E8F"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Anforderung</w:t>
      </w:r>
      <w:r w:rsidRPr="00096869">
        <w:rPr>
          <w:lang w:val="de-DE"/>
        </w:rPr>
        <w:tab/>
      </w:r>
      <w:r w:rsidRPr="00096869">
        <w:rPr>
          <w:lang w:val="de-DE"/>
        </w:rPr>
        <w:fldChar w:fldCharType="begin"/>
      </w:r>
      <w:r w:rsidRPr="00096869">
        <w:rPr>
          <w:lang w:val="de-DE"/>
        </w:rPr>
        <w:instrText xml:space="preserve"> PAGEREF _Toc210139340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0940ACCC" w14:textId="54453CFD"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Wie ist sie zu bewerten?</w:t>
      </w:r>
      <w:r w:rsidRPr="00096869">
        <w:rPr>
          <w:lang w:val="de-DE"/>
        </w:rPr>
        <w:tab/>
      </w:r>
      <w:r w:rsidRPr="00096869">
        <w:rPr>
          <w:lang w:val="de-DE"/>
        </w:rPr>
        <w:fldChar w:fldCharType="begin"/>
      </w:r>
      <w:r w:rsidRPr="00096869">
        <w:rPr>
          <w:lang w:val="de-DE"/>
        </w:rPr>
        <w:instrText xml:space="preserve"> PAGEREF _Toc210139341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1131D4EB" w14:textId="12C6F852" w:rsidR="00B23A70" w:rsidRPr="00096869" w:rsidRDefault="00B23A70">
      <w:pPr>
        <w:pStyle w:val="TOC2"/>
        <w:rPr>
          <w:rFonts w:asciiTheme="minorHAnsi" w:hAnsiTheme="minorHAnsi" w:cstheme="minorBidi"/>
          <w:kern w:val="2"/>
          <w:sz w:val="24"/>
          <w:szCs w:val="24"/>
          <w:lang w:eastAsia="en-GB"/>
          <w14:ligatures w14:val="standardContextual"/>
        </w:rPr>
      </w:pPr>
      <w:r w:rsidRPr="00096869">
        <w:t>Wiederholbarkeit</w:t>
      </w:r>
      <w:r w:rsidRPr="00096869">
        <w:tab/>
      </w:r>
      <w:r w:rsidRPr="00096869">
        <w:fldChar w:fldCharType="begin"/>
      </w:r>
      <w:r w:rsidRPr="00096869">
        <w:instrText xml:space="preserve"> PAGEREF _Toc210139342 \h </w:instrText>
      </w:r>
      <w:r w:rsidRPr="00096869">
        <w:fldChar w:fldCharType="separate"/>
      </w:r>
      <w:r w:rsidRPr="00096869">
        <w:t>3</w:t>
      </w:r>
      <w:r w:rsidRPr="00096869">
        <w:fldChar w:fldCharType="end"/>
      </w:r>
    </w:p>
    <w:p w14:paraId="3FC207CC" w14:textId="53C4A67A"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Definition (basierend auf ISO 16 577:2016; Verweis auf UPOV/INF/17)</w:t>
      </w:r>
      <w:r w:rsidRPr="00096869">
        <w:rPr>
          <w:lang w:val="de-DE"/>
        </w:rPr>
        <w:tab/>
      </w:r>
      <w:r w:rsidRPr="00096869">
        <w:rPr>
          <w:lang w:val="de-DE"/>
        </w:rPr>
        <w:fldChar w:fldCharType="begin"/>
      </w:r>
      <w:r w:rsidRPr="00096869">
        <w:rPr>
          <w:lang w:val="de-DE"/>
        </w:rPr>
        <w:instrText xml:space="preserve"> PAGEREF _Toc210139343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11B20171" w14:textId="65AA00CD"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Anforderung</w:t>
      </w:r>
      <w:r w:rsidRPr="00096869">
        <w:rPr>
          <w:lang w:val="de-DE"/>
        </w:rPr>
        <w:tab/>
      </w:r>
      <w:r w:rsidRPr="00096869">
        <w:rPr>
          <w:lang w:val="de-DE"/>
        </w:rPr>
        <w:fldChar w:fldCharType="begin"/>
      </w:r>
      <w:r w:rsidRPr="00096869">
        <w:rPr>
          <w:lang w:val="de-DE"/>
        </w:rPr>
        <w:instrText xml:space="preserve"> PAGEREF _Toc210139344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74EE07D7" w14:textId="49A4EF9C"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Wie ist sie zu bewerten?</w:t>
      </w:r>
      <w:r w:rsidRPr="00096869">
        <w:rPr>
          <w:lang w:val="de-DE"/>
        </w:rPr>
        <w:tab/>
      </w:r>
      <w:r w:rsidRPr="00096869">
        <w:rPr>
          <w:lang w:val="de-DE"/>
        </w:rPr>
        <w:fldChar w:fldCharType="begin"/>
      </w:r>
      <w:r w:rsidRPr="00096869">
        <w:rPr>
          <w:lang w:val="de-DE"/>
        </w:rPr>
        <w:instrText xml:space="preserve"> PAGEREF _Toc210139345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6AAFC15B" w14:textId="3EDB37A5" w:rsidR="00B23A70" w:rsidRPr="00096869" w:rsidRDefault="00B23A70">
      <w:pPr>
        <w:pStyle w:val="TOC2"/>
        <w:rPr>
          <w:rFonts w:asciiTheme="minorHAnsi" w:hAnsiTheme="minorHAnsi" w:cstheme="minorBidi"/>
          <w:kern w:val="2"/>
          <w:sz w:val="24"/>
          <w:szCs w:val="24"/>
          <w:lang w:eastAsia="en-GB"/>
          <w14:ligatures w14:val="standardContextual"/>
        </w:rPr>
      </w:pPr>
      <w:r w:rsidRPr="00096869">
        <w:t>Reproduzierbarkeit</w:t>
      </w:r>
      <w:r w:rsidRPr="00096869">
        <w:tab/>
      </w:r>
      <w:r w:rsidRPr="00096869">
        <w:fldChar w:fldCharType="begin"/>
      </w:r>
      <w:r w:rsidRPr="00096869">
        <w:instrText xml:space="preserve"> PAGEREF _Toc210139346 \h </w:instrText>
      </w:r>
      <w:r w:rsidRPr="00096869">
        <w:fldChar w:fldCharType="separate"/>
      </w:r>
      <w:r w:rsidRPr="00096869">
        <w:t>3</w:t>
      </w:r>
      <w:r w:rsidRPr="00096869">
        <w:fldChar w:fldCharType="end"/>
      </w:r>
    </w:p>
    <w:p w14:paraId="7399C2CE" w14:textId="43264551"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Definition (basierend auf ISO 16 577:2016; Verweis auf UPOV/INF/17)</w:t>
      </w:r>
      <w:r w:rsidRPr="00096869">
        <w:rPr>
          <w:lang w:val="de-DE"/>
        </w:rPr>
        <w:tab/>
      </w:r>
      <w:r w:rsidRPr="00096869">
        <w:rPr>
          <w:lang w:val="de-DE"/>
        </w:rPr>
        <w:fldChar w:fldCharType="begin"/>
      </w:r>
      <w:r w:rsidRPr="00096869">
        <w:rPr>
          <w:lang w:val="de-DE"/>
        </w:rPr>
        <w:instrText xml:space="preserve"> PAGEREF _Toc210139347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6CD3579D" w14:textId="1C0CAB85"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Anforderung</w:t>
      </w:r>
      <w:r w:rsidRPr="00096869">
        <w:rPr>
          <w:lang w:val="de-DE"/>
        </w:rPr>
        <w:tab/>
      </w:r>
      <w:r w:rsidRPr="00096869">
        <w:rPr>
          <w:lang w:val="de-DE"/>
        </w:rPr>
        <w:fldChar w:fldCharType="begin"/>
      </w:r>
      <w:r w:rsidRPr="00096869">
        <w:rPr>
          <w:lang w:val="de-DE"/>
        </w:rPr>
        <w:instrText xml:space="preserve"> PAGEREF _Toc210139348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02D508C4" w14:textId="427644EB"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Wie ist sie zu bewerten?</w:t>
      </w:r>
      <w:r w:rsidRPr="00096869">
        <w:rPr>
          <w:lang w:val="de-DE"/>
        </w:rPr>
        <w:tab/>
      </w:r>
      <w:r w:rsidRPr="00096869">
        <w:rPr>
          <w:lang w:val="de-DE"/>
        </w:rPr>
        <w:fldChar w:fldCharType="begin"/>
      </w:r>
      <w:r w:rsidRPr="00096869">
        <w:rPr>
          <w:lang w:val="de-DE"/>
        </w:rPr>
        <w:instrText xml:space="preserve"> PAGEREF _Toc210139349 \h </w:instrText>
      </w:r>
      <w:r w:rsidRPr="00096869">
        <w:rPr>
          <w:lang w:val="de-DE"/>
        </w:rPr>
      </w:r>
      <w:r w:rsidRPr="00096869">
        <w:rPr>
          <w:lang w:val="de-DE"/>
        </w:rPr>
        <w:fldChar w:fldCharType="separate"/>
      </w:r>
      <w:r w:rsidRPr="00096869">
        <w:rPr>
          <w:lang w:val="de-DE"/>
        </w:rPr>
        <w:t>3</w:t>
      </w:r>
      <w:r w:rsidRPr="00096869">
        <w:rPr>
          <w:lang w:val="de-DE"/>
        </w:rPr>
        <w:fldChar w:fldCharType="end"/>
      </w:r>
    </w:p>
    <w:p w14:paraId="41BDFBE1" w14:textId="5A626BCE" w:rsidR="00B23A70" w:rsidRPr="00096869" w:rsidRDefault="00B23A70">
      <w:pPr>
        <w:pStyle w:val="TOC2"/>
        <w:rPr>
          <w:rFonts w:asciiTheme="minorHAnsi" w:hAnsiTheme="minorHAnsi" w:cstheme="minorBidi"/>
          <w:kern w:val="2"/>
          <w:sz w:val="24"/>
          <w:szCs w:val="24"/>
          <w:lang w:eastAsia="en-GB"/>
          <w14:ligatures w14:val="standardContextual"/>
        </w:rPr>
      </w:pPr>
      <w:r w:rsidRPr="00096869">
        <w:t>Robustheit</w:t>
      </w:r>
      <w:r w:rsidRPr="00096869">
        <w:tab/>
      </w:r>
      <w:r w:rsidRPr="00096869">
        <w:fldChar w:fldCharType="begin"/>
      </w:r>
      <w:r w:rsidRPr="00096869">
        <w:instrText xml:space="preserve"> PAGEREF _Toc210139350 \h </w:instrText>
      </w:r>
      <w:r w:rsidRPr="00096869">
        <w:fldChar w:fldCharType="separate"/>
      </w:r>
      <w:r w:rsidRPr="00096869">
        <w:t>4</w:t>
      </w:r>
      <w:r w:rsidRPr="00096869">
        <w:fldChar w:fldCharType="end"/>
      </w:r>
    </w:p>
    <w:p w14:paraId="3074B4D1" w14:textId="6C5E5C5D"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Definition (basierend auf ISO 16 577:2016; Verweis auf UPOV/INF/17)</w:t>
      </w:r>
      <w:r w:rsidRPr="00096869">
        <w:rPr>
          <w:lang w:val="de-DE"/>
        </w:rPr>
        <w:tab/>
      </w:r>
      <w:r w:rsidRPr="00096869">
        <w:rPr>
          <w:lang w:val="de-DE"/>
        </w:rPr>
        <w:fldChar w:fldCharType="begin"/>
      </w:r>
      <w:r w:rsidRPr="00096869">
        <w:rPr>
          <w:lang w:val="de-DE"/>
        </w:rPr>
        <w:instrText xml:space="preserve"> PAGEREF _Toc210139351 \h </w:instrText>
      </w:r>
      <w:r w:rsidRPr="00096869">
        <w:rPr>
          <w:lang w:val="de-DE"/>
        </w:rPr>
      </w:r>
      <w:r w:rsidRPr="00096869">
        <w:rPr>
          <w:lang w:val="de-DE"/>
        </w:rPr>
        <w:fldChar w:fldCharType="separate"/>
      </w:r>
      <w:r w:rsidRPr="00096869">
        <w:rPr>
          <w:lang w:val="de-DE"/>
        </w:rPr>
        <w:t>4</w:t>
      </w:r>
      <w:r w:rsidRPr="00096869">
        <w:rPr>
          <w:lang w:val="de-DE"/>
        </w:rPr>
        <w:fldChar w:fldCharType="end"/>
      </w:r>
    </w:p>
    <w:p w14:paraId="08498AC0" w14:textId="53BD7598"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Anforderung</w:t>
      </w:r>
      <w:r w:rsidRPr="00096869">
        <w:rPr>
          <w:lang w:val="de-DE"/>
        </w:rPr>
        <w:tab/>
      </w:r>
      <w:r w:rsidRPr="00096869">
        <w:rPr>
          <w:lang w:val="de-DE"/>
        </w:rPr>
        <w:fldChar w:fldCharType="begin"/>
      </w:r>
      <w:r w:rsidRPr="00096869">
        <w:rPr>
          <w:lang w:val="de-DE"/>
        </w:rPr>
        <w:instrText xml:space="preserve"> PAGEREF _Toc210139352 \h </w:instrText>
      </w:r>
      <w:r w:rsidRPr="00096869">
        <w:rPr>
          <w:lang w:val="de-DE"/>
        </w:rPr>
      </w:r>
      <w:r w:rsidRPr="00096869">
        <w:rPr>
          <w:lang w:val="de-DE"/>
        </w:rPr>
        <w:fldChar w:fldCharType="separate"/>
      </w:r>
      <w:r w:rsidRPr="00096869">
        <w:rPr>
          <w:lang w:val="de-DE"/>
        </w:rPr>
        <w:t>4</w:t>
      </w:r>
      <w:r w:rsidRPr="00096869">
        <w:rPr>
          <w:lang w:val="de-DE"/>
        </w:rPr>
        <w:fldChar w:fldCharType="end"/>
      </w:r>
    </w:p>
    <w:p w14:paraId="085C8C8B" w14:textId="2A16F5FC" w:rsidR="00B23A70" w:rsidRPr="00096869" w:rsidRDefault="00B23A70">
      <w:pPr>
        <w:pStyle w:val="TOC3"/>
        <w:rPr>
          <w:rFonts w:asciiTheme="minorHAnsi" w:hAnsiTheme="minorHAnsi" w:cstheme="minorBidi"/>
          <w:i w:val="0"/>
          <w:kern w:val="2"/>
          <w:sz w:val="24"/>
          <w:szCs w:val="24"/>
          <w:lang w:val="de-DE" w:eastAsia="en-GB"/>
          <w14:ligatures w14:val="standardContextual"/>
        </w:rPr>
      </w:pPr>
      <w:r w:rsidRPr="00096869">
        <w:rPr>
          <w:lang w:val="de-DE"/>
        </w:rPr>
        <w:t>Wie ist sie zu bewerten?</w:t>
      </w:r>
      <w:r w:rsidRPr="00096869">
        <w:rPr>
          <w:lang w:val="de-DE"/>
        </w:rPr>
        <w:tab/>
      </w:r>
      <w:r w:rsidRPr="00096869">
        <w:rPr>
          <w:lang w:val="de-DE"/>
        </w:rPr>
        <w:fldChar w:fldCharType="begin"/>
      </w:r>
      <w:r w:rsidRPr="00096869">
        <w:rPr>
          <w:lang w:val="de-DE"/>
        </w:rPr>
        <w:instrText xml:space="preserve"> PAGEREF _Toc210139353 \h </w:instrText>
      </w:r>
      <w:r w:rsidRPr="00096869">
        <w:rPr>
          <w:lang w:val="de-DE"/>
        </w:rPr>
      </w:r>
      <w:r w:rsidRPr="00096869">
        <w:rPr>
          <w:lang w:val="de-DE"/>
        </w:rPr>
        <w:fldChar w:fldCharType="separate"/>
      </w:r>
      <w:r w:rsidRPr="00096869">
        <w:rPr>
          <w:lang w:val="de-DE"/>
        </w:rPr>
        <w:t>4</w:t>
      </w:r>
      <w:r w:rsidRPr="00096869">
        <w:rPr>
          <w:lang w:val="de-DE"/>
        </w:rPr>
        <w:fldChar w:fldCharType="end"/>
      </w:r>
    </w:p>
    <w:p w14:paraId="61886B17" w14:textId="49C54CDC"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IV.</w:t>
      </w:r>
      <w:r w:rsidRPr="00096869">
        <w:rPr>
          <w:rFonts w:asciiTheme="minorHAnsi" w:hAnsiTheme="minorHAnsi" w:cstheme="minorBidi"/>
          <w:caps w:val="0"/>
          <w:kern w:val="2"/>
          <w:sz w:val="24"/>
          <w:szCs w:val="24"/>
          <w:lang w:eastAsia="en-GB"/>
          <w14:ligatures w14:val="standardContextual"/>
        </w:rPr>
        <w:tab/>
      </w:r>
      <w:r w:rsidRPr="00096869">
        <w:t>Validierungsbericht</w:t>
      </w:r>
      <w:r w:rsidRPr="00096869">
        <w:tab/>
      </w:r>
      <w:r w:rsidRPr="00096869">
        <w:fldChar w:fldCharType="begin"/>
      </w:r>
      <w:r w:rsidRPr="00096869">
        <w:instrText xml:space="preserve"> PAGEREF _Toc210139354 \h </w:instrText>
      </w:r>
      <w:r w:rsidRPr="00096869">
        <w:fldChar w:fldCharType="separate"/>
      </w:r>
      <w:r w:rsidRPr="00096869">
        <w:t>4</w:t>
      </w:r>
      <w:r w:rsidRPr="00096869">
        <w:fldChar w:fldCharType="end"/>
      </w:r>
    </w:p>
    <w:p w14:paraId="49812CD8" w14:textId="12D38CC1" w:rsidR="00B23A70" w:rsidRPr="00096869" w:rsidRDefault="00B23A70">
      <w:pPr>
        <w:pStyle w:val="TOC2"/>
        <w:rPr>
          <w:rFonts w:asciiTheme="minorHAnsi" w:hAnsiTheme="minorHAnsi" w:cstheme="minorBidi"/>
          <w:kern w:val="2"/>
          <w:sz w:val="24"/>
          <w:szCs w:val="24"/>
          <w:lang w:eastAsia="en-GB"/>
          <w14:ligatures w14:val="standardContextual"/>
        </w:rPr>
      </w:pPr>
      <w:r w:rsidRPr="00096869">
        <w:t>Inhalt des Validierungsberichts</w:t>
      </w:r>
      <w:r w:rsidRPr="00096869">
        <w:tab/>
      </w:r>
      <w:r w:rsidRPr="00096869">
        <w:fldChar w:fldCharType="begin"/>
      </w:r>
      <w:r w:rsidRPr="00096869">
        <w:instrText xml:space="preserve"> PAGEREF _Toc210139355 \h </w:instrText>
      </w:r>
      <w:r w:rsidRPr="00096869">
        <w:fldChar w:fldCharType="separate"/>
      </w:r>
      <w:r w:rsidRPr="00096869">
        <w:t>4</w:t>
      </w:r>
      <w:r w:rsidRPr="00096869">
        <w:fldChar w:fldCharType="end"/>
      </w:r>
    </w:p>
    <w:p w14:paraId="7BA22BFD" w14:textId="11C9DC19" w:rsidR="00B23A70" w:rsidRPr="00096869" w:rsidRDefault="00B23A70">
      <w:pPr>
        <w:pStyle w:val="TOC2"/>
        <w:rPr>
          <w:rFonts w:asciiTheme="minorHAnsi" w:hAnsiTheme="minorHAnsi" w:cstheme="minorBidi"/>
          <w:kern w:val="2"/>
          <w:sz w:val="24"/>
          <w:szCs w:val="24"/>
          <w:lang w:eastAsia="en-GB"/>
          <w14:ligatures w14:val="standardContextual"/>
        </w:rPr>
      </w:pPr>
      <w:r w:rsidRPr="00096869">
        <w:t>Öffentlichkeit</w:t>
      </w:r>
      <w:r w:rsidRPr="00096869">
        <w:tab/>
      </w:r>
      <w:r w:rsidRPr="00096869">
        <w:fldChar w:fldCharType="begin"/>
      </w:r>
      <w:r w:rsidRPr="00096869">
        <w:instrText xml:space="preserve"> PAGEREF _Toc210139356 \h </w:instrText>
      </w:r>
      <w:r w:rsidRPr="00096869">
        <w:fldChar w:fldCharType="separate"/>
      </w:r>
      <w:r w:rsidRPr="00096869">
        <w:t>4</w:t>
      </w:r>
      <w:r w:rsidRPr="00096869">
        <w:fldChar w:fldCharType="end"/>
      </w:r>
    </w:p>
    <w:p w14:paraId="177E7ABB" w14:textId="06AEC612"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V.</w:t>
      </w:r>
      <w:r w:rsidRPr="00096869">
        <w:rPr>
          <w:rFonts w:asciiTheme="minorHAnsi" w:hAnsiTheme="minorHAnsi" w:cstheme="minorBidi"/>
          <w:caps w:val="0"/>
          <w:kern w:val="2"/>
          <w:sz w:val="24"/>
          <w:szCs w:val="24"/>
          <w:lang w:eastAsia="en-GB"/>
          <w14:ligatures w14:val="standardContextual"/>
        </w:rPr>
        <w:tab/>
      </w:r>
      <w:r w:rsidRPr="00096869">
        <w:t>Standardprotokoll für merkmalspezifische molekulare Marker</w:t>
      </w:r>
      <w:r w:rsidRPr="00096869">
        <w:tab/>
      </w:r>
      <w:r w:rsidRPr="00096869">
        <w:fldChar w:fldCharType="begin"/>
      </w:r>
      <w:r w:rsidRPr="00096869">
        <w:instrText xml:space="preserve"> PAGEREF _Toc210139357 \h </w:instrText>
      </w:r>
      <w:r w:rsidRPr="00096869">
        <w:fldChar w:fldCharType="separate"/>
      </w:r>
      <w:r w:rsidRPr="00096869">
        <w:t>4</w:t>
      </w:r>
      <w:r w:rsidRPr="00096869">
        <w:fldChar w:fldCharType="end"/>
      </w:r>
    </w:p>
    <w:p w14:paraId="6A37081C" w14:textId="38E93DDE"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VI.</w:t>
      </w:r>
      <w:r w:rsidRPr="00096869">
        <w:rPr>
          <w:rFonts w:asciiTheme="minorHAnsi" w:hAnsiTheme="minorHAnsi" w:cstheme="minorBidi"/>
          <w:caps w:val="0"/>
          <w:kern w:val="2"/>
          <w:sz w:val="24"/>
          <w:szCs w:val="24"/>
          <w:lang w:eastAsia="en-GB"/>
          <w14:ligatures w14:val="standardContextual"/>
        </w:rPr>
        <w:tab/>
      </w:r>
      <w:r w:rsidRPr="00096869">
        <w:t>Nachuntersuchung nach der Zulassung</w:t>
      </w:r>
      <w:r w:rsidRPr="00096869">
        <w:tab/>
      </w:r>
      <w:r w:rsidRPr="00096869">
        <w:fldChar w:fldCharType="begin"/>
      </w:r>
      <w:r w:rsidRPr="00096869">
        <w:instrText xml:space="preserve"> PAGEREF _Toc210139358 \h </w:instrText>
      </w:r>
      <w:r w:rsidRPr="00096869">
        <w:fldChar w:fldCharType="separate"/>
      </w:r>
      <w:r w:rsidRPr="00096869">
        <w:t>7</w:t>
      </w:r>
      <w:r w:rsidRPr="00096869">
        <w:fldChar w:fldCharType="end"/>
      </w:r>
    </w:p>
    <w:p w14:paraId="5C3F1281" w14:textId="38D74890" w:rsidR="00B23A70" w:rsidRPr="00096869" w:rsidRDefault="00B23A70">
      <w:pPr>
        <w:pStyle w:val="TOC1"/>
        <w:rPr>
          <w:rFonts w:asciiTheme="minorHAnsi" w:hAnsiTheme="minorHAnsi" w:cstheme="minorBidi"/>
          <w:caps w:val="0"/>
          <w:kern w:val="2"/>
          <w:sz w:val="24"/>
          <w:szCs w:val="24"/>
          <w:lang w:eastAsia="en-GB"/>
          <w14:ligatures w14:val="standardContextual"/>
        </w:rPr>
      </w:pPr>
      <w:r w:rsidRPr="00096869">
        <w:t>VII.</w:t>
      </w:r>
      <w:r w:rsidRPr="00096869">
        <w:rPr>
          <w:rFonts w:asciiTheme="minorHAnsi" w:hAnsiTheme="minorHAnsi" w:cstheme="minorBidi"/>
          <w:caps w:val="0"/>
          <w:kern w:val="2"/>
          <w:sz w:val="24"/>
          <w:szCs w:val="24"/>
          <w:lang w:eastAsia="en-GB"/>
          <w14:ligatures w14:val="standardContextual"/>
        </w:rPr>
        <w:tab/>
      </w:r>
      <w:r w:rsidRPr="00096869">
        <w:t>LITERATUR</w:t>
      </w:r>
      <w:r w:rsidRPr="00096869">
        <w:tab/>
      </w:r>
      <w:r w:rsidRPr="00096869">
        <w:fldChar w:fldCharType="begin"/>
      </w:r>
      <w:r w:rsidRPr="00096869">
        <w:instrText xml:space="preserve"> PAGEREF _Toc210139359 \h </w:instrText>
      </w:r>
      <w:r w:rsidRPr="00096869">
        <w:fldChar w:fldCharType="separate"/>
      </w:r>
      <w:r w:rsidRPr="00096869">
        <w:t>7</w:t>
      </w:r>
      <w:r w:rsidRPr="00096869">
        <w:fldChar w:fldCharType="end"/>
      </w:r>
    </w:p>
    <w:p w14:paraId="3F14DA8C" w14:textId="7AB5D41F" w:rsidR="00D52685" w:rsidRPr="00096869" w:rsidRDefault="00AF5629" w:rsidP="00D52685">
      <w:pPr>
        <w:rPr>
          <w:rFonts w:cs="Arial"/>
          <w:lang w:eastAsia="fr-FR"/>
        </w:rPr>
      </w:pPr>
      <w:r w:rsidRPr="00096869">
        <w:rPr>
          <w:rFonts w:cs="Arial"/>
          <w:lang w:eastAsia="fr-FR"/>
        </w:rPr>
        <w:fldChar w:fldCharType="end"/>
      </w:r>
    </w:p>
    <w:p w14:paraId="74DF8BDE" w14:textId="77777777" w:rsidR="00D52685" w:rsidRPr="00096869" w:rsidRDefault="00D52685" w:rsidP="00D52685">
      <w:pPr>
        <w:keepNext/>
        <w:outlineLvl w:val="0"/>
        <w:rPr>
          <w:caps/>
          <w:lang w:eastAsia="ja-JP"/>
        </w:rPr>
      </w:pPr>
    </w:p>
    <w:p w14:paraId="2441B9F8" w14:textId="62DDDFCC" w:rsidR="00D52685" w:rsidRPr="00096869" w:rsidRDefault="00D52685" w:rsidP="00D52685">
      <w:pPr>
        <w:keepNext/>
        <w:outlineLvl w:val="0"/>
        <w:rPr>
          <w:rFonts w:eastAsia="Times New Roman"/>
          <w:caps/>
        </w:rPr>
      </w:pPr>
      <w:r w:rsidRPr="00096869">
        <w:rPr>
          <w:rFonts w:eastAsia="Times New Roman"/>
          <w:caps/>
        </w:rPr>
        <w:t>Zugehörige Dokumente</w:t>
      </w:r>
      <w:bookmarkEnd w:id="66"/>
    </w:p>
    <w:p w14:paraId="088828AD" w14:textId="77777777" w:rsidR="00D52685" w:rsidRPr="00096869" w:rsidRDefault="00D52685" w:rsidP="00D52685">
      <w:pPr>
        <w:rPr>
          <w:rFonts w:eastAsia="Times New Roman" w:cs="Arial"/>
          <w:lang w:eastAsia="fr-FR"/>
        </w:rPr>
      </w:pPr>
    </w:p>
    <w:p w14:paraId="6A8D368F"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TG/1/3:</w:t>
      </w:r>
      <w:r w:rsidRPr="00096869">
        <w:rPr>
          <w:rFonts w:eastAsia="Calibri" w:cs="Arial"/>
        </w:rPr>
        <w:tab/>
        <w:t>Allgemeine Einführung in die Prüfung der Unterscheidbarkeit, Homogenität und Beständigkeit sowie die Entwicklung harmonisierter Beschreibungen neuer Pflanzensorten</w:t>
      </w:r>
    </w:p>
    <w:p w14:paraId="4672F141"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TG/44:</w:t>
      </w:r>
      <w:r w:rsidRPr="00096869">
        <w:rPr>
          <w:rFonts w:eastAsia="Calibri" w:cs="Arial"/>
        </w:rPr>
        <w:tab/>
        <w:t>Richtlinien für die Durchführung von Prüfungen auf Unterscheidbarkeit, Homogenität und Beständigkeit bei Tomaten</w:t>
      </w:r>
    </w:p>
    <w:p w14:paraId="429E1445"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TGP/9:</w:t>
      </w:r>
      <w:r w:rsidRPr="00096869">
        <w:rPr>
          <w:rFonts w:eastAsia="Calibri" w:cs="Arial"/>
        </w:rPr>
        <w:tab/>
        <w:t>Prüfung der Unterscheidbarkeit</w:t>
      </w:r>
    </w:p>
    <w:p w14:paraId="457C63BF"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TGP/10:</w:t>
      </w:r>
      <w:r w:rsidRPr="00096869">
        <w:rPr>
          <w:rFonts w:eastAsia="Calibri" w:cs="Arial"/>
        </w:rPr>
        <w:tab/>
        <w:t>Prüfung der Homogenität</w:t>
      </w:r>
    </w:p>
    <w:p w14:paraId="500B7791"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TGP/12:</w:t>
      </w:r>
      <w:r w:rsidRPr="00096869">
        <w:rPr>
          <w:rFonts w:eastAsia="Calibri" w:cs="Arial"/>
        </w:rPr>
        <w:tab/>
        <w:t>Leitlinien zu bestimmten physiologischen Merkmalen</w:t>
      </w:r>
    </w:p>
    <w:p w14:paraId="62F6E611" w14:textId="77777777" w:rsidR="00D52685" w:rsidRPr="00096869" w:rsidRDefault="00D52685" w:rsidP="00D52685">
      <w:pPr>
        <w:numPr>
          <w:ilvl w:val="0"/>
          <w:numId w:val="16"/>
        </w:numPr>
        <w:tabs>
          <w:tab w:val="left" w:pos="567"/>
        </w:tabs>
        <w:spacing w:after="60"/>
        <w:ind w:left="2268" w:hanging="1911"/>
        <w:rPr>
          <w:rFonts w:eastAsia="Calibri" w:cs="Arial"/>
          <w:b/>
          <w:bCs/>
        </w:rPr>
      </w:pPr>
      <w:r w:rsidRPr="00096869">
        <w:rPr>
          <w:rFonts w:eastAsia="Calibri" w:cs="Arial"/>
        </w:rPr>
        <w:t>TGP/15:</w:t>
      </w:r>
      <w:r w:rsidRPr="00096869">
        <w:rPr>
          <w:rFonts w:eastAsia="Calibri" w:cs="Arial"/>
        </w:rPr>
        <w:tab/>
        <w:t>Anleitung zur Verwendung biochemischer und molekularer Marker bei der Prüfung der Unterscheidbarkeit, Homogenität und Beständigkeit (DUS)</w:t>
      </w:r>
    </w:p>
    <w:p w14:paraId="34E505B3" w14:textId="77777777" w:rsidR="00D52685" w:rsidRPr="00096869" w:rsidRDefault="00D52685" w:rsidP="00D52685">
      <w:pPr>
        <w:numPr>
          <w:ilvl w:val="0"/>
          <w:numId w:val="16"/>
        </w:numPr>
        <w:tabs>
          <w:tab w:val="left" w:pos="567"/>
        </w:tabs>
        <w:spacing w:after="60"/>
        <w:ind w:left="2268" w:hanging="1911"/>
        <w:rPr>
          <w:rFonts w:eastAsia="Calibri" w:cs="Arial"/>
        </w:rPr>
      </w:pPr>
      <w:r w:rsidRPr="00096869">
        <w:rPr>
          <w:rFonts w:eastAsia="Calibri" w:cs="Arial"/>
        </w:rPr>
        <w:t>UPOV/INF/17</w:t>
      </w:r>
      <w:r w:rsidRPr="00096869">
        <w:rPr>
          <w:rFonts w:eastAsia="Calibri" w:cs="Arial"/>
        </w:rPr>
        <w:tab/>
        <w:t xml:space="preserve">Richtlinien für die Erstellung von DNA-Profilen: Auswahl molekularer Marker und Aufbau von Datenbanken </w:t>
      </w:r>
    </w:p>
    <w:p w14:paraId="5118709A" w14:textId="77777777" w:rsidR="00D52685" w:rsidRPr="00096869" w:rsidRDefault="00D52685" w:rsidP="00D52685">
      <w:pPr>
        <w:numPr>
          <w:ilvl w:val="0"/>
          <w:numId w:val="16"/>
        </w:numPr>
        <w:tabs>
          <w:tab w:val="left" w:pos="567"/>
        </w:tabs>
        <w:spacing w:after="60"/>
        <w:ind w:left="2268" w:hanging="1911"/>
        <w:rPr>
          <w:rFonts w:eastAsia="Calibri" w:cs="Arial"/>
          <w:b/>
          <w:bCs/>
        </w:rPr>
      </w:pPr>
      <w:r w:rsidRPr="00096869">
        <w:rPr>
          <w:rFonts w:eastAsia="Calibri" w:cs="Arial"/>
        </w:rPr>
        <w:t>UPOV/INF/18</w:t>
      </w:r>
      <w:r w:rsidRPr="00096869">
        <w:rPr>
          <w:rFonts w:eastAsia="Calibri" w:cs="Arial"/>
        </w:rPr>
        <w:tab/>
        <w:t>Mögliche Verwendung molekularer Marker bei der Prüfung der Unterscheidbarkeit, Homogenität und Beständigkeit (DUS)</w:t>
      </w:r>
    </w:p>
    <w:p w14:paraId="16EF0F89" w14:textId="53C765A7" w:rsidR="0077577B" w:rsidRPr="002C5C3B" w:rsidRDefault="00D52685" w:rsidP="005E48AF">
      <w:pPr>
        <w:numPr>
          <w:ilvl w:val="0"/>
          <w:numId w:val="16"/>
        </w:numPr>
        <w:tabs>
          <w:tab w:val="left" w:pos="567"/>
        </w:tabs>
        <w:spacing w:after="200" w:line="276" w:lineRule="auto"/>
        <w:ind w:left="2268" w:hanging="1911"/>
        <w:contextualSpacing/>
        <w:jc w:val="left"/>
        <w:rPr>
          <w:rFonts w:eastAsia="Calibri"/>
        </w:rPr>
      </w:pPr>
      <w:r w:rsidRPr="002C5C3B">
        <w:rPr>
          <w:rFonts w:eastAsia="Calibri" w:cs="Arial"/>
        </w:rPr>
        <w:t>TWV/54/7 + Add</w:t>
      </w:r>
      <w:r w:rsidRPr="002C5C3B">
        <w:rPr>
          <w:rFonts w:eastAsia="Calibri" w:cs="Arial"/>
        </w:rPr>
        <w:tab/>
        <w:t>Verwendung molekularer Verfahren bei der DUS-Prüfung</w:t>
      </w:r>
      <w:r w:rsidR="0077577B" w:rsidRPr="002C5C3B">
        <w:rPr>
          <w:rFonts w:eastAsia="Calibri"/>
        </w:rPr>
        <w:br w:type="page"/>
      </w:r>
    </w:p>
    <w:p w14:paraId="15827AA1" w14:textId="77777777" w:rsidR="00D52685" w:rsidRPr="00096869" w:rsidRDefault="00D52685" w:rsidP="0077577B">
      <w:pPr>
        <w:pStyle w:val="Heading1Annex"/>
        <w:rPr>
          <w:lang w:val="de-DE"/>
        </w:rPr>
      </w:pPr>
      <w:bookmarkStart w:id="67" w:name="_Toc189576552"/>
      <w:bookmarkStart w:id="68" w:name="_Toc210139331"/>
      <w:r w:rsidRPr="00096869">
        <w:rPr>
          <w:lang w:val="de-DE"/>
        </w:rPr>
        <w:lastRenderedPageBreak/>
        <w:t>I.</w:t>
      </w:r>
      <w:r w:rsidRPr="00096869">
        <w:rPr>
          <w:lang w:val="de-DE"/>
        </w:rPr>
        <w:tab/>
        <w:t>Ziele dieser Richtlinien</w:t>
      </w:r>
      <w:bookmarkEnd w:id="67"/>
      <w:bookmarkEnd w:id="68"/>
    </w:p>
    <w:p w14:paraId="49A7413D" w14:textId="77777777" w:rsidR="00D52685" w:rsidRPr="00096869" w:rsidRDefault="00D52685" w:rsidP="00D52685">
      <w:pPr>
        <w:keepNext/>
        <w:rPr>
          <w:lang w:eastAsia="ja-JP"/>
        </w:rPr>
      </w:pPr>
    </w:p>
    <w:p w14:paraId="307E9754" w14:textId="4616A4F3" w:rsidR="00D52685" w:rsidRPr="00096869" w:rsidRDefault="00DC4B65" w:rsidP="00D52685">
      <w:pPr>
        <w:rPr>
          <w:rFonts w:eastAsia="Times New Roman"/>
          <w:lang w:eastAsia="fr-FR"/>
        </w:rPr>
      </w:pPr>
      <w:r w:rsidRPr="00096869">
        <w:rPr>
          <w:rFonts w:hint="eastAsia"/>
          <w:lang w:eastAsia="ja-JP"/>
        </w:rPr>
        <w:t>1.</w:t>
      </w:r>
      <w:r w:rsidRPr="00096869">
        <w:rPr>
          <w:rFonts w:eastAsia="Times New Roman"/>
          <w:lang w:eastAsia="fr-FR"/>
        </w:rPr>
        <w:tab/>
      </w:r>
      <w:r w:rsidR="00D52685" w:rsidRPr="00096869">
        <w:rPr>
          <w:rFonts w:eastAsia="Times New Roman"/>
          <w:lang w:eastAsia="fr-FR"/>
        </w:rPr>
        <w:t>Der Zweck dieser Richtlinien besteht darin, die in der Allgemeinen Einführung (Dokument TG/1/3) und den zugehörigen TGP-Dokumenten enthaltenen Grundsätze in detaillierte praktische Leitlinien für die harmonisierte Validierung einer neuen Methode auf der Grundlage merkmalspezifischer molekularer Marker vor ihrer Verwendung als alternatives Verfahren zu konkretisieren. Die für die Validierung erforderlichen Leistungskriterien werden beschrieben und Leitlinien für ihre Bewertung gegeben. Diese Richtlinien beschreiben auch ein Standardprotokoll mit obligatorischen und optionalen Kapiteln. Die Überprüfung nach der Anerkennung wird ebenfalls beschrieben.</w:t>
      </w:r>
    </w:p>
    <w:p w14:paraId="03804703" w14:textId="77777777" w:rsidR="00D52685" w:rsidRPr="00096869" w:rsidRDefault="00D52685" w:rsidP="00D52685">
      <w:pPr>
        <w:rPr>
          <w:rFonts w:eastAsia="Times New Roman"/>
          <w:lang w:eastAsia="fr-FR"/>
        </w:rPr>
      </w:pPr>
    </w:p>
    <w:p w14:paraId="6B30FB3B" w14:textId="129772C5" w:rsidR="00D52685" w:rsidRPr="00096869" w:rsidRDefault="00DC4B65" w:rsidP="00D52685">
      <w:pPr>
        <w:rPr>
          <w:rFonts w:eastAsia="Times New Roman"/>
          <w:lang w:eastAsia="fr-FR"/>
        </w:rPr>
      </w:pPr>
      <w:r w:rsidRPr="00096869">
        <w:rPr>
          <w:rFonts w:hint="eastAsia"/>
          <w:lang w:eastAsia="ja-JP"/>
        </w:rPr>
        <w:t>2.</w:t>
      </w:r>
      <w:r w:rsidR="00D52685" w:rsidRPr="00096869">
        <w:rPr>
          <w:rFonts w:eastAsia="Times New Roman"/>
          <w:lang w:eastAsia="fr-FR"/>
        </w:rPr>
        <w:tab/>
        <w:t>Wird eine andere Technik verwendet, muss das Labor seine Methode im Vergleich zur Referenzmethode validieren (um nachzuweisen, dass die alternative Technik zu denselben Ergebnissen führt).</w:t>
      </w:r>
    </w:p>
    <w:p w14:paraId="5122E8AA" w14:textId="77777777" w:rsidR="00D52685" w:rsidRPr="00096869" w:rsidRDefault="00D52685" w:rsidP="00D52685">
      <w:pPr>
        <w:rPr>
          <w:rFonts w:eastAsia="Times New Roman"/>
          <w:lang w:eastAsia="fr-FR"/>
        </w:rPr>
      </w:pPr>
    </w:p>
    <w:p w14:paraId="4344A0B1" w14:textId="77777777" w:rsidR="00D52685" w:rsidRPr="00096869" w:rsidRDefault="00D52685" w:rsidP="00D52685">
      <w:pPr>
        <w:rPr>
          <w:rFonts w:eastAsia="Times New Roman"/>
          <w:lang w:eastAsia="fr-FR"/>
        </w:rPr>
      </w:pPr>
    </w:p>
    <w:p w14:paraId="3AD58576" w14:textId="77777777" w:rsidR="00D52685" w:rsidRPr="00096869" w:rsidRDefault="00D52685" w:rsidP="0077577B">
      <w:pPr>
        <w:pStyle w:val="Heading1Annex"/>
        <w:rPr>
          <w:lang w:val="de-DE"/>
        </w:rPr>
      </w:pPr>
      <w:bookmarkStart w:id="69" w:name="_Toc189576553"/>
      <w:bookmarkStart w:id="70" w:name="_Toc210139332"/>
      <w:r w:rsidRPr="00096869">
        <w:rPr>
          <w:lang w:val="de-DE"/>
        </w:rPr>
        <w:t>II.</w:t>
      </w:r>
      <w:r w:rsidRPr="00096869">
        <w:rPr>
          <w:lang w:val="de-DE"/>
        </w:rPr>
        <w:tab/>
        <w:t>Geltungsbereich dieser Leitlinien</w:t>
      </w:r>
      <w:bookmarkEnd w:id="69"/>
      <w:bookmarkEnd w:id="70"/>
    </w:p>
    <w:p w14:paraId="2C6DCD92" w14:textId="77777777" w:rsidR="00D52685" w:rsidRPr="00096869" w:rsidRDefault="00D52685" w:rsidP="00D52685">
      <w:pPr>
        <w:rPr>
          <w:rFonts w:eastAsia="Times New Roman"/>
          <w:lang w:eastAsia="fr-FR"/>
        </w:rPr>
      </w:pPr>
    </w:p>
    <w:p w14:paraId="0B741B61" w14:textId="77777777" w:rsidR="00D52685" w:rsidRPr="00096869" w:rsidRDefault="00D52685" w:rsidP="00592AD3">
      <w:pPr>
        <w:ind w:left="567"/>
        <w:rPr>
          <w:rFonts w:eastAsia="Times New Roman"/>
          <w:lang w:eastAsia="fr-FR"/>
        </w:rPr>
      </w:pPr>
      <w:r w:rsidRPr="00096869">
        <w:rPr>
          <w:rFonts w:eastAsia="Times New Roman"/>
          <w:lang w:eastAsia="fr-FR"/>
        </w:rPr>
        <w:t>Alle Kulturpflanzen</w:t>
      </w:r>
    </w:p>
    <w:p w14:paraId="004B1AB4" w14:textId="77777777" w:rsidR="00D52685" w:rsidRPr="00096869" w:rsidRDefault="00D52685" w:rsidP="00592AD3">
      <w:pPr>
        <w:ind w:left="567"/>
        <w:rPr>
          <w:rFonts w:eastAsia="Times New Roman"/>
          <w:lang w:eastAsia="fr-FR"/>
        </w:rPr>
      </w:pPr>
      <w:r w:rsidRPr="00096869">
        <w:rPr>
          <w:rFonts w:eastAsia="Times New Roman"/>
          <w:lang w:eastAsia="fr-FR"/>
        </w:rPr>
        <w:t>Merkmalspezifische molekulare Marker</w:t>
      </w:r>
    </w:p>
    <w:p w14:paraId="5C4C2349" w14:textId="77777777" w:rsidR="00D52685" w:rsidRPr="00096869" w:rsidRDefault="00D52685" w:rsidP="00592AD3">
      <w:pPr>
        <w:ind w:left="567"/>
        <w:rPr>
          <w:rFonts w:eastAsia="Times New Roman"/>
          <w:lang w:eastAsia="fr-FR"/>
        </w:rPr>
      </w:pPr>
      <w:r w:rsidRPr="00096869">
        <w:rPr>
          <w:rFonts w:eastAsia="Times New Roman"/>
          <w:lang w:eastAsia="fr-FR"/>
        </w:rPr>
        <w:t>Zur Prüfung der Unterscheidbarkeit, Homogenität und Beständigkeit (DUS).</w:t>
      </w:r>
    </w:p>
    <w:p w14:paraId="6FF294B0" w14:textId="77777777" w:rsidR="00D52685" w:rsidRPr="00096869" w:rsidRDefault="00D52685" w:rsidP="00D52685">
      <w:pPr>
        <w:rPr>
          <w:rFonts w:eastAsia="Times New Roman"/>
          <w:lang w:eastAsia="fr-FR"/>
        </w:rPr>
      </w:pPr>
    </w:p>
    <w:p w14:paraId="483F251D" w14:textId="77777777" w:rsidR="00D52685" w:rsidRPr="00096869" w:rsidRDefault="00D52685" w:rsidP="00D52685">
      <w:pPr>
        <w:rPr>
          <w:rFonts w:eastAsia="Times New Roman"/>
          <w:lang w:eastAsia="fr-FR"/>
        </w:rPr>
      </w:pPr>
    </w:p>
    <w:p w14:paraId="397FA912" w14:textId="77777777" w:rsidR="00D52685" w:rsidRPr="00096869" w:rsidRDefault="00D52685" w:rsidP="0077577B">
      <w:pPr>
        <w:pStyle w:val="Heading1Annex"/>
        <w:rPr>
          <w:lang w:val="de-DE"/>
        </w:rPr>
      </w:pPr>
      <w:bookmarkStart w:id="71" w:name="_Toc189576554"/>
      <w:bookmarkStart w:id="72" w:name="_Toc210139333"/>
      <w:r w:rsidRPr="00096869">
        <w:rPr>
          <w:lang w:val="de-DE"/>
        </w:rPr>
        <w:t>III.</w:t>
      </w:r>
      <w:r w:rsidRPr="00096869">
        <w:rPr>
          <w:lang w:val="de-DE"/>
        </w:rPr>
        <w:tab/>
        <w:t>Leistungskriterien für ein neues molekularmarkerbasiertes Protokoll</w:t>
      </w:r>
      <w:bookmarkEnd w:id="71"/>
      <w:bookmarkEnd w:id="72"/>
    </w:p>
    <w:p w14:paraId="7185E1B7" w14:textId="77777777" w:rsidR="00D52685" w:rsidRPr="00096869" w:rsidRDefault="00D52685" w:rsidP="00D52685">
      <w:pPr>
        <w:rPr>
          <w:rFonts w:eastAsia="Times New Roman"/>
          <w:lang w:eastAsia="fr-FR"/>
        </w:rPr>
      </w:pPr>
    </w:p>
    <w:p w14:paraId="383122F1" w14:textId="77777777" w:rsidR="00D52685" w:rsidRPr="00096869" w:rsidRDefault="00D52685" w:rsidP="0077577B">
      <w:pPr>
        <w:pStyle w:val="Heading2Annex"/>
        <w:rPr>
          <w:lang w:val="de-DE"/>
        </w:rPr>
      </w:pPr>
      <w:bookmarkStart w:id="73" w:name="_Toc189576555"/>
      <w:bookmarkStart w:id="74" w:name="_Toc210139334"/>
      <w:r w:rsidRPr="00096869">
        <w:rPr>
          <w:lang w:val="de-DE"/>
        </w:rPr>
        <w:t>Spezifität</w:t>
      </w:r>
      <w:bookmarkEnd w:id="73"/>
      <w:bookmarkEnd w:id="74"/>
    </w:p>
    <w:p w14:paraId="50163BF6" w14:textId="77777777" w:rsidR="00D52685" w:rsidRPr="00096869" w:rsidRDefault="00D52685" w:rsidP="00D52685">
      <w:pPr>
        <w:rPr>
          <w:rFonts w:eastAsia="Times New Roman"/>
          <w:lang w:eastAsia="fr-FR"/>
        </w:rPr>
      </w:pPr>
    </w:p>
    <w:p w14:paraId="00071FFE" w14:textId="77777777" w:rsidR="00D52685" w:rsidRPr="00096869" w:rsidRDefault="00D52685" w:rsidP="0077577B">
      <w:pPr>
        <w:pStyle w:val="Heading3Annex"/>
        <w:rPr>
          <w:lang w:val="de-DE"/>
        </w:rPr>
      </w:pPr>
      <w:bookmarkStart w:id="75" w:name="_Toc189576556"/>
      <w:bookmarkStart w:id="76" w:name="_Toc210139335"/>
      <w:r w:rsidRPr="00096869">
        <w:rPr>
          <w:lang w:val="de-DE"/>
        </w:rPr>
        <w:t>Definition</w:t>
      </w:r>
      <w:bookmarkEnd w:id="75"/>
      <w:bookmarkEnd w:id="76"/>
    </w:p>
    <w:p w14:paraId="2C62FBA9" w14:textId="77777777" w:rsidR="00D52685" w:rsidRPr="00096869" w:rsidRDefault="00D52685" w:rsidP="00D52685">
      <w:pPr>
        <w:rPr>
          <w:rFonts w:eastAsia="Times New Roman"/>
          <w:u w:val="single"/>
          <w:lang w:eastAsia="fr-FR"/>
        </w:rPr>
      </w:pPr>
    </w:p>
    <w:p w14:paraId="6C5D5890" w14:textId="1D54BE45" w:rsidR="00D52685" w:rsidRPr="00096869" w:rsidRDefault="00DC4B65" w:rsidP="00D52685">
      <w:pPr>
        <w:rPr>
          <w:rFonts w:eastAsia="Times New Roman"/>
          <w:lang w:eastAsia="fr-FR"/>
        </w:rPr>
      </w:pPr>
      <w:r w:rsidRPr="00096869">
        <w:rPr>
          <w:rFonts w:hint="eastAsia"/>
          <w:lang w:eastAsia="ja-JP"/>
        </w:rPr>
        <w:t>3.</w:t>
      </w:r>
      <w:r w:rsidR="00D52685" w:rsidRPr="00096869">
        <w:rPr>
          <w:rFonts w:eastAsia="Times New Roman"/>
          <w:lang w:eastAsia="fr-FR"/>
        </w:rPr>
        <w:tab/>
        <w:t xml:space="preserve">Korrelation zwischen Genotyp und Phänotyp, </w:t>
      </w:r>
      <w:r w:rsidR="00D52685" w:rsidRPr="00096869">
        <w:rPr>
          <w:rFonts w:eastAsia="Times New Roman"/>
          <w:i/>
          <w:iCs/>
          <w:lang w:eastAsia="fr-FR"/>
        </w:rPr>
        <w:t xml:space="preserve">d. h. </w:t>
      </w:r>
      <w:r w:rsidR="00D52685" w:rsidRPr="00096869">
        <w:rPr>
          <w:rFonts w:eastAsia="Times New Roman"/>
          <w:lang w:eastAsia="fr-FR"/>
        </w:rPr>
        <w:t>Zuverlässigkeit der Verbindung zwischen Marker und Merkmal.</w:t>
      </w:r>
    </w:p>
    <w:p w14:paraId="541B6F71" w14:textId="77777777" w:rsidR="00D52685" w:rsidRPr="00096869" w:rsidRDefault="00D52685" w:rsidP="00D52685">
      <w:pPr>
        <w:rPr>
          <w:rFonts w:eastAsia="Times New Roman"/>
          <w:lang w:eastAsia="fr-FR"/>
        </w:rPr>
      </w:pPr>
    </w:p>
    <w:p w14:paraId="3B8F27E1" w14:textId="77777777" w:rsidR="00D52685" w:rsidRPr="00096869" w:rsidRDefault="00D52685" w:rsidP="0077577B">
      <w:pPr>
        <w:pStyle w:val="Heading3Annex"/>
        <w:rPr>
          <w:lang w:val="de-DE"/>
        </w:rPr>
      </w:pPr>
      <w:bookmarkStart w:id="77" w:name="_Toc189576557"/>
      <w:bookmarkStart w:id="78" w:name="_Toc210139336"/>
      <w:r w:rsidRPr="00096869">
        <w:rPr>
          <w:lang w:val="de-DE"/>
        </w:rPr>
        <w:t>Anforderung</w:t>
      </w:r>
      <w:bookmarkEnd w:id="77"/>
      <w:bookmarkEnd w:id="78"/>
    </w:p>
    <w:p w14:paraId="7DF9B6CE" w14:textId="77777777" w:rsidR="00D52685" w:rsidRPr="00096869" w:rsidRDefault="00D52685" w:rsidP="00D52685">
      <w:pPr>
        <w:rPr>
          <w:rFonts w:eastAsia="Times New Roman"/>
          <w:u w:val="single"/>
          <w:lang w:eastAsia="fr-FR"/>
        </w:rPr>
      </w:pPr>
    </w:p>
    <w:p w14:paraId="6FE6F565" w14:textId="75846EC4" w:rsidR="00D52685" w:rsidRPr="00096869" w:rsidRDefault="00DC4B65" w:rsidP="00D52685">
      <w:pPr>
        <w:rPr>
          <w:rFonts w:eastAsia="Times New Roman"/>
          <w:lang w:eastAsia="fr-FR"/>
        </w:rPr>
      </w:pPr>
      <w:r w:rsidRPr="00096869">
        <w:rPr>
          <w:rFonts w:hint="eastAsia"/>
          <w:lang w:eastAsia="ja-JP"/>
        </w:rPr>
        <w:t>4.</w:t>
      </w:r>
      <w:r w:rsidR="00D52685" w:rsidRPr="00096869">
        <w:rPr>
          <w:rFonts w:eastAsia="Times New Roman"/>
          <w:lang w:eastAsia="fr-FR"/>
        </w:rPr>
        <w:tab/>
        <w:t>Grundsätzlich 100 % Korrelation zwischen Genotyp und Phänotyp. Liegt die Korrelation unter 100 %, sollten Folgeuntersuchungen durchgeführt werden, um die Zuverlässigkeit der Ergebnisse sicherzustellen. In diesem Fall kann eine Entscheidungsregel angewendet werden. Eine Korrelation von weniger als 100 % kann durch andere genetische Faktoren verursacht werden.</w:t>
      </w:r>
    </w:p>
    <w:p w14:paraId="0A610793" w14:textId="77777777" w:rsidR="00D52685" w:rsidRPr="00096869" w:rsidRDefault="00D52685" w:rsidP="00D52685">
      <w:pPr>
        <w:rPr>
          <w:lang w:eastAsia="ja-JP"/>
        </w:rPr>
      </w:pPr>
    </w:p>
    <w:p w14:paraId="476C4AD3" w14:textId="1CE8C057" w:rsidR="00D52685" w:rsidRPr="00096869" w:rsidRDefault="00D52685" w:rsidP="0077577B">
      <w:pPr>
        <w:pStyle w:val="Heading3Annex"/>
        <w:rPr>
          <w:lang w:val="de-DE"/>
        </w:rPr>
      </w:pPr>
      <w:bookmarkStart w:id="79" w:name="_Toc210139337"/>
      <w:r w:rsidRPr="00096869">
        <w:rPr>
          <w:lang w:val="de-DE"/>
        </w:rPr>
        <w:t>Wie wird dies bewertet?</w:t>
      </w:r>
      <w:bookmarkEnd w:id="79"/>
    </w:p>
    <w:p w14:paraId="207F51E0" w14:textId="77777777" w:rsidR="00D52685" w:rsidRPr="00096869" w:rsidRDefault="00D52685" w:rsidP="00D52685">
      <w:pPr>
        <w:rPr>
          <w:rFonts w:eastAsia="Times New Roman"/>
          <w:u w:val="single"/>
          <w:lang w:eastAsia="fr-FR"/>
        </w:rPr>
      </w:pPr>
    </w:p>
    <w:p w14:paraId="4F74D451" w14:textId="206E1350" w:rsidR="00D52685" w:rsidRPr="00096869" w:rsidRDefault="00DC4B65" w:rsidP="00D52685">
      <w:pPr>
        <w:rPr>
          <w:rFonts w:eastAsia="Times New Roman"/>
          <w:lang w:eastAsia="fr-FR"/>
        </w:rPr>
      </w:pPr>
      <w:r w:rsidRPr="00096869">
        <w:rPr>
          <w:rFonts w:hint="eastAsia"/>
          <w:lang w:eastAsia="ja-JP"/>
        </w:rPr>
        <w:t>5.</w:t>
      </w:r>
      <w:r w:rsidR="00D52685" w:rsidRPr="00096869">
        <w:rPr>
          <w:rFonts w:eastAsia="Times New Roman"/>
          <w:lang w:eastAsia="fr-FR"/>
        </w:rPr>
        <w:tab/>
        <w:t xml:space="preserve">Anzahl der Sorten: Um mit der Markerauswahl zu beginnen, ist eine angemessene Anzahl von Sorten (Entwicklungsset) erforderlich, die die Vielfalt innerhalb der Gruppe/Kultur/Art/des Typs, für die die Marker als Unterscheidungsmerkmal dienen sollen, bestmöglich widerspiegelt. </w:t>
      </w:r>
    </w:p>
    <w:p w14:paraId="50020E60" w14:textId="77777777" w:rsidR="00D52685" w:rsidRPr="00096869" w:rsidRDefault="00D52685" w:rsidP="00D52685">
      <w:pPr>
        <w:rPr>
          <w:rFonts w:eastAsia="Times New Roman"/>
          <w:lang w:eastAsia="fr-FR"/>
        </w:rPr>
      </w:pPr>
    </w:p>
    <w:p w14:paraId="79EE68BD" w14:textId="0F553387" w:rsidR="00D52685" w:rsidRPr="00096869" w:rsidRDefault="00DC4B65" w:rsidP="00D52685">
      <w:pPr>
        <w:keepLines/>
        <w:rPr>
          <w:rFonts w:eastAsia="Times New Roman"/>
          <w:lang w:eastAsia="fr-FR"/>
        </w:rPr>
      </w:pPr>
      <w:r w:rsidRPr="00096869">
        <w:rPr>
          <w:rFonts w:hint="eastAsia"/>
          <w:lang w:eastAsia="ja-JP"/>
        </w:rPr>
        <w:t>6.</w:t>
      </w:r>
      <w:r w:rsidR="00D52685" w:rsidRPr="00096869">
        <w:rPr>
          <w:rFonts w:eastAsia="Times New Roman"/>
          <w:lang w:eastAsia="fr-FR"/>
        </w:rPr>
        <w:tab/>
        <w:t>Die Sorten sollten die verschiedenen Ausprägungszustände (sofern bekannt, Sorten mit heterozygotem und homozygotem Zustand) repräsentieren, die von verschiedenen Pflanzenzüchtern stammen und einen unterschiedlichen genetischen Hintergrund der Eigenschaft sowie unterschiedliche Typen aufweisen. Wenn verfügbar, sollten Sorten verwendet werden, die hinsichtlich des interessierenden Merkmals phänotypisch gut charakterisiert sind.</w:t>
      </w:r>
    </w:p>
    <w:p w14:paraId="4A352221" w14:textId="77777777" w:rsidR="00D52685" w:rsidRPr="00096869" w:rsidRDefault="00D52685" w:rsidP="00D52685">
      <w:pPr>
        <w:rPr>
          <w:rFonts w:eastAsia="Times New Roman"/>
          <w:lang w:eastAsia="fr-FR"/>
        </w:rPr>
      </w:pPr>
    </w:p>
    <w:p w14:paraId="736B3569" w14:textId="3F05D4BD" w:rsidR="00D52685" w:rsidRPr="00096869" w:rsidRDefault="00DC4B65" w:rsidP="00D52685">
      <w:pPr>
        <w:rPr>
          <w:rFonts w:eastAsia="Times New Roman"/>
          <w:lang w:eastAsia="fr-FR"/>
        </w:rPr>
      </w:pPr>
      <w:r w:rsidRPr="00096869">
        <w:rPr>
          <w:rFonts w:hint="eastAsia"/>
          <w:lang w:eastAsia="ja-JP"/>
        </w:rPr>
        <w:t>7.</w:t>
      </w:r>
      <w:r w:rsidR="00D52685" w:rsidRPr="00096869">
        <w:rPr>
          <w:rFonts w:eastAsia="Times New Roman"/>
          <w:lang w:eastAsia="fr-FR"/>
        </w:rPr>
        <w:tab/>
        <w:t>Anzahl der Pflanzen pro Sorte: Mindestens eine Pflanze pro Sorte, wenn die verfügbaren Sorten phänotypisch gut charakterisiert sind. Ist dies nicht der Fall, sollte die Anzahl der Pflanzen derjenigen entsprechen, die für die morphologische Beobachtung in den UPOV-Prüfungsrichtlinien beschrieben ist.</w:t>
      </w:r>
    </w:p>
    <w:p w14:paraId="72ECECC9" w14:textId="77777777" w:rsidR="00D52685" w:rsidRPr="00096869" w:rsidRDefault="00D52685" w:rsidP="00D52685">
      <w:pPr>
        <w:rPr>
          <w:rFonts w:eastAsia="Times New Roman"/>
          <w:lang w:eastAsia="fr-FR"/>
        </w:rPr>
      </w:pPr>
    </w:p>
    <w:p w14:paraId="0644CDBD" w14:textId="3D221B85" w:rsidR="00D52685" w:rsidRPr="00096869" w:rsidRDefault="00DC4B65" w:rsidP="00D52685">
      <w:pPr>
        <w:rPr>
          <w:rFonts w:eastAsia="Times New Roman"/>
          <w:lang w:eastAsia="fr-FR"/>
        </w:rPr>
      </w:pPr>
      <w:r w:rsidRPr="00096869">
        <w:rPr>
          <w:rFonts w:hint="eastAsia"/>
          <w:lang w:eastAsia="ja-JP"/>
        </w:rPr>
        <w:t>8.</w:t>
      </w:r>
      <w:r w:rsidR="00D52685" w:rsidRPr="00096869">
        <w:rPr>
          <w:rFonts w:eastAsia="Times New Roman"/>
          <w:lang w:eastAsia="fr-FR"/>
        </w:rPr>
        <w:tab/>
        <w:t>Die Spezifität kann innerhalb eines Labors bewertet werden.</w:t>
      </w:r>
    </w:p>
    <w:p w14:paraId="189582BC" w14:textId="77777777" w:rsidR="00D52685" w:rsidRPr="00096869" w:rsidRDefault="00D52685" w:rsidP="00D52685">
      <w:pPr>
        <w:rPr>
          <w:rFonts w:eastAsia="Times New Roman"/>
          <w:lang w:eastAsia="fr-FR"/>
        </w:rPr>
      </w:pPr>
    </w:p>
    <w:p w14:paraId="3AC52D2E" w14:textId="77777777" w:rsidR="00D52685" w:rsidRPr="00096869" w:rsidRDefault="00D52685" w:rsidP="0077577B">
      <w:pPr>
        <w:pStyle w:val="Heading2Annex"/>
        <w:rPr>
          <w:lang w:val="de-DE"/>
        </w:rPr>
      </w:pPr>
      <w:bookmarkStart w:id="80" w:name="_Toc189576558"/>
      <w:bookmarkStart w:id="81" w:name="_Toc210139338"/>
      <w:r w:rsidRPr="00096869">
        <w:rPr>
          <w:lang w:val="de-DE"/>
        </w:rPr>
        <w:t>Empfindlichkeit und Nachweisgrenze</w:t>
      </w:r>
      <w:bookmarkEnd w:id="80"/>
      <w:bookmarkEnd w:id="81"/>
    </w:p>
    <w:p w14:paraId="3963111B" w14:textId="77777777" w:rsidR="00D52685" w:rsidRPr="00096869" w:rsidRDefault="00D52685" w:rsidP="00D52685">
      <w:pPr>
        <w:rPr>
          <w:rFonts w:eastAsia="Times New Roman"/>
          <w:lang w:eastAsia="fr-FR"/>
        </w:rPr>
      </w:pPr>
    </w:p>
    <w:p w14:paraId="28941905" w14:textId="77777777" w:rsidR="00D52685" w:rsidRPr="00096869" w:rsidRDefault="00D52685" w:rsidP="0077577B">
      <w:pPr>
        <w:pStyle w:val="Heading3Annex"/>
        <w:rPr>
          <w:lang w:val="de-DE"/>
        </w:rPr>
      </w:pPr>
      <w:bookmarkStart w:id="82" w:name="_Toc189576559"/>
      <w:bookmarkStart w:id="83" w:name="_Toc210139339"/>
      <w:r w:rsidRPr="00096869">
        <w:rPr>
          <w:lang w:val="de-DE"/>
        </w:rPr>
        <w:t>Definition</w:t>
      </w:r>
      <w:bookmarkEnd w:id="82"/>
      <w:bookmarkEnd w:id="83"/>
    </w:p>
    <w:p w14:paraId="549090FC" w14:textId="77777777" w:rsidR="00D52685" w:rsidRPr="00096869" w:rsidRDefault="00D52685" w:rsidP="00D52685">
      <w:pPr>
        <w:rPr>
          <w:rFonts w:eastAsia="Times New Roman"/>
          <w:u w:val="single"/>
          <w:lang w:eastAsia="fr-FR"/>
        </w:rPr>
      </w:pPr>
    </w:p>
    <w:p w14:paraId="4916E7EA" w14:textId="07E5C0F1" w:rsidR="00D52685" w:rsidRPr="00096869" w:rsidRDefault="00DC4B65" w:rsidP="00D52685">
      <w:pPr>
        <w:rPr>
          <w:rFonts w:eastAsia="Times New Roman"/>
          <w:lang w:eastAsia="fr-FR"/>
        </w:rPr>
      </w:pPr>
      <w:r w:rsidRPr="00096869">
        <w:rPr>
          <w:rFonts w:hint="eastAsia"/>
          <w:lang w:eastAsia="ja-JP"/>
        </w:rPr>
        <w:t>9.</w:t>
      </w:r>
      <w:r w:rsidR="00D52685" w:rsidRPr="00096869">
        <w:rPr>
          <w:rFonts w:eastAsia="Times New Roman"/>
          <w:lang w:eastAsia="fr-FR"/>
        </w:rPr>
        <w:tab/>
        <w:t>Die Nachweisgrenze ist definiert als die minimale Menge des Zielstoffs, die zuverlässig nachgewiesen werden kann.</w:t>
      </w:r>
    </w:p>
    <w:p w14:paraId="0ECBEA15" w14:textId="77777777" w:rsidR="00D52685" w:rsidRPr="00096869" w:rsidRDefault="00D52685" w:rsidP="00D52685">
      <w:pPr>
        <w:rPr>
          <w:rFonts w:eastAsia="Times New Roman"/>
          <w:lang w:eastAsia="fr-FR"/>
        </w:rPr>
      </w:pPr>
    </w:p>
    <w:p w14:paraId="3FDFD496" w14:textId="3E43D41C" w:rsidR="00D52685" w:rsidRPr="00096869" w:rsidRDefault="00DC4B65" w:rsidP="00D52685">
      <w:pPr>
        <w:rPr>
          <w:rFonts w:eastAsia="Times New Roman"/>
          <w:lang w:eastAsia="fr-FR"/>
        </w:rPr>
      </w:pPr>
      <w:r w:rsidRPr="00096869">
        <w:rPr>
          <w:rFonts w:hint="eastAsia"/>
          <w:lang w:eastAsia="ja-JP"/>
        </w:rPr>
        <w:lastRenderedPageBreak/>
        <w:t>10.</w:t>
      </w:r>
      <w:r w:rsidR="00D52685" w:rsidRPr="00096869">
        <w:rPr>
          <w:rFonts w:eastAsia="Times New Roman"/>
          <w:lang w:eastAsia="fr-FR"/>
        </w:rPr>
        <w:tab/>
        <w:t>Bei Analysen von Sammelproben (</w:t>
      </w:r>
      <w:r w:rsidR="00D52685" w:rsidRPr="00096869">
        <w:rPr>
          <w:rFonts w:eastAsia="Times New Roman"/>
          <w:i/>
          <w:iCs/>
          <w:lang w:eastAsia="fr-FR"/>
        </w:rPr>
        <w:t xml:space="preserve">z. B. </w:t>
      </w:r>
      <w:r w:rsidR="00D52685" w:rsidRPr="00096869">
        <w:rPr>
          <w:rFonts w:eastAsia="Times New Roman"/>
          <w:lang w:eastAsia="fr-FR"/>
        </w:rPr>
        <w:t>einer Gruppe verschiedener Pflanzen derselben Sorte) ist die Empfindlichkeit von entscheidender Bedeutung und muss bewertet werden. Bei der Verwendung an einzelnen Pflanzen ist die Menge des Zielstoffs nicht entscheidend, sodass dieses Leistungskriterium optional ist.</w:t>
      </w:r>
    </w:p>
    <w:p w14:paraId="08EB57BC" w14:textId="77777777" w:rsidR="00D52685" w:rsidRPr="00096869" w:rsidRDefault="00D52685" w:rsidP="00D52685">
      <w:pPr>
        <w:rPr>
          <w:rFonts w:eastAsia="Times New Roman"/>
          <w:lang w:eastAsia="fr-FR"/>
        </w:rPr>
      </w:pPr>
    </w:p>
    <w:p w14:paraId="47918796" w14:textId="77777777" w:rsidR="00D52685" w:rsidRPr="00096869" w:rsidRDefault="00D52685" w:rsidP="0077577B">
      <w:pPr>
        <w:pStyle w:val="Heading3Annex"/>
        <w:rPr>
          <w:lang w:val="de-DE"/>
        </w:rPr>
      </w:pPr>
      <w:bookmarkStart w:id="84" w:name="_Toc189576560"/>
      <w:bookmarkStart w:id="85" w:name="_Toc210139340"/>
      <w:r w:rsidRPr="00096869">
        <w:rPr>
          <w:lang w:val="de-DE"/>
        </w:rPr>
        <w:t>Anforderung</w:t>
      </w:r>
      <w:bookmarkEnd w:id="84"/>
      <w:bookmarkEnd w:id="85"/>
    </w:p>
    <w:p w14:paraId="350B597D" w14:textId="77777777" w:rsidR="00D52685" w:rsidRPr="00096869" w:rsidRDefault="00D52685" w:rsidP="00D52685">
      <w:pPr>
        <w:rPr>
          <w:rFonts w:eastAsia="Times New Roman"/>
          <w:lang w:eastAsia="fr-FR"/>
        </w:rPr>
      </w:pPr>
    </w:p>
    <w:p w14:paraId="0F74DBA4" w14:textId="7C02216C" w:rsidR="00D52685" w:rsidRPr="00096869" w:rsidRDefault="00DC4B65" w:rsidP="00D52685">
      <w:pPr>
        <w:rPr>
          <w:rFonts w:eastAsia="Times New Roman"/>
          <w:lang w:eastAsia="fr-FR"/>
        </w:rPr>
      </w:pPr>
      <w:r w:rsidRPr="00096869">
        <w:rPr>
          <w:rFonts w:hint="eastAsia"/>
          <w:lang w:eastAsia="ja-JP"/>
        </w:rPr>
        <w:t>11.</w:t>
      </w:r>
      <w:r w:rsidR="00D52685" w:rsidRPr="00096869">
        <w:rPr>
          <w:rFonts w:eastAsia="Times New Roman"/>
          <w:lang w:eastAsia="fr-FR"/>
        </w:rPr>
        <w:tab/>
        <w:t>Im Falle des Pools wäre die Anforderung, mindestens einen Abweicher im Pool nachzuweisen.</w:t>
      </w:r>
    </w:p>
    <w:p w14:paraId="111AE425" w14:textId="77777777" w:rsidR="00D52685" w:rsidRPr="00096869" w:rsidRDefault="00D52685" w:rsidP="00D52685">
      <w:pPr>
        <w:rPr>
          <w:rFonts w:eastAsia="Times New Roman"/>
          <w:lang w:eastAsia="fr-FR"/>
        </w:rPr>
      </w:pPr>
    </w:p>
    <w:p w14:paraId="4FAF1072" w14:textId="77777777" w:rsidR="00D52685" w:rsidRPr="00096869" w:rsidRDefault="00D52685" w:rsidP="0077577B">
      <w:pPr>
        <w:pStyle w:val="Heading3Annex"/>
        <w:rPr>
          <w:lang w:val="de-DE"/>
        </w:rPr>
      </w:pPr>
      <w:bookmarkStart w:id="86" w:name="_Toc189576561"/>
      <w:bookmarkStart w:id="87" w:name="_Toc210139341"/>
      <w:r w:rsidRPr="00096869">
        <w:rPr>
          <w:lang w:val="de-DE"/>
        </w:rPr>
        <w:t>Wie ist dies zu bewerten?</w:t>
      </w:r>
      <w:bookmarkEnd w:id="86"/>
      <w:bookmarkEnd w:id="87"/>
    </w:p>
    <w:p w14:paraId="0A16B750" w14:textId="77777777" w:rsidR="00D52685" w:rsidRPr="00096869" w:rsidRDefault="00D52685" w:rsidP="00D52685">
      <w:pPr>
        <w:rPr>
          <w:rFonts w:eastAsia="Times New Roman"/>
          <w:lang w:eastAsia="fr-FR"/>
        </w:rPr>
      </w:pPr>
    </w:p>
    <w:p w14:paraId="24833FFF" w14:textId="266E8F02" w:rsidR="00D52685" w:rsidRPr="00096869" w:rsidRDefault="00DC4B65" w:rsidP="00D52685">
      <w:pPr>
        <w:rPr>
          <w:rFonts w:eastAsia="Times New Roman"/>
          <w:lang w:eastAsia="fr-FR"/>
        </w:rPr>
      </w:pPr>
      <w:r w:rsidRPr="00096869">
        <w:rPr>
          <w:rFonts w:hint="eastAsia"/>
          <w:lang w:eastAsia="ja-JP"/>
        </w:rPr>
        <w:t>12.</w:t>
      </w:r>
      <w:r w:rsidR="00D52685" w:rsidRPr="00096869">
        <w:rPr>
          <w:rFonts w:eastAsia="Times New Roman"/>
          <w:lang w:eastAsia="fr-FR"/>
        </w:rPr>
        <w:tab/>
        <w:t xml:space="preserve">Verwendung künstlicher Proben, indem ein Abweicher in einen Pool gemischt wird, um die Empfindlichkeit der Erkennung zu überprüfen. </w:t>
      </w:r>
    </w:p>
    <w:p w14:paraId="5A3ADB7F" w14:textId="77777777" w:rsidR="00D52685" w:rsidRPr="00096869" w:rsidRDefault="00D52685" w:rsidP="00D52685">
      <w:pPr>
        <w:rPr>
          <w:rFonts w:eastAsia="Times New Roman"/>
          <w:lang w:eastAsia="fr-FR"/>
        </w:rPr>
      </w:pPr>
    </w:p>
    <w:p w14:paraId="1F038A61" w14:textId="77777777" w:rsidR="00D52685" w:rsidRPr="00096869" w:rsidRDefault="00D52685" w:rsidP="0077577B">
      <w:pPr>
        <w:pStyle w:val="Heading2Annex"/>
        <w:rPr>
          <w:lang w:val="de-DE"/>
        </w:rPr>
      </w:pPr>
      <w:bookmarkStart w:id="88" w:name="_Toc189576562"/>
      <w:bookmarkStart w:id="89" w:name="_Toc210139342"/>
      <w:r w:rsidRPr="00096869">
        <w:rPr>
          <w:lang w:val="de-DE"/>
        </w:rPr>
        <w:t>Wiederholbarkeit</w:t>
      </w:r>
      <w:bookmarkEnd w:id="88"/>
      <w:bookmarkEnd w:id="89"/>
    </w:p>
    <w:p w14:paraId="65E06CA6" w14:textId="77777777" w:rsidR="00D52685" w:rsidRPr="00096869" w:rsidRDefault="00D52685" w:rsidP="00D52685">
      <w:pPr>
        <w:keepNext/>
        <w:rPr>
          <w:rFonts w:eastAsia="Times New Roman"/>
          <w:lang w:eastAsia="fr-FR"/>
        </w:rPr>
      </w:pPr>
    </w:p>
    <w:p w14:paraId="6DB50C18" w14:textId="77777777" w:rsidR="00D52685" w:rsidRPr="00096869" w:rsidRDefault="00D52685" w:rsidP="0077577B">
      <w:pPr>
        <w:pStyle w:val="Heading3Annex"/>
        <w:rPr>
          <w:lang w:val="de-DE"/>
        </w:rPr>
      </w:pPr>
      <w:bookmarkStart w:id="90" w:name="_Toc189576563"/>
      <w:bookmarkStart w:id="91" w:name="_Toc210139343"/>
      <w:r w:rsidRPr="00096869">
        <w:rPr>
          <w:lang w:val="de-DE"/>
        </w:rPr>
        <w:t>Definition (basierend auf ISO 16 577:2016; Verweis auf UPOV/INF/17)</w:t>
      </w:r>
      <w:bookmarkEnd w:id="90"/>
      <w:bookmarkEnd w:id="91"/>
    </w:p>
    <w:p w14:paraId="559DF538" w14:textId="77777777" w:rsidR="00D52685" w:rsidRPr="00096869" w:rsidRDefault="00D52685" w:rsidP="00D52685">
      <w:pPr>
        <w:rPr>
          <w:rFonts w:eastAsia="Times New Roman"/>
          <w:lang w:eastAsia="fr-FR"/>
        </w:rPr>
      </w:pPr>
    </w:p>
    <w:p w14:paraId="27D552F7" w14:textId="18B1766C" w:rsidR="00D52685" w:rsidRPr="00096869" w:rsidRDefault="00DC4B65" w:rsidP="00D52685">
      <w:pPr>
        <w:rPr>
          <w:rFonts w:eastAsia="Times New Roman"/>
          <w:lang w:eastAsia="fr-FR"/>
        </w:rPr>
      </w:pPr>
      <w:r w:rsidRPr="00096869">
        <w:rPr>
          <w:rFonts w:hint="eastAsia"/>
          <w:lang w:eastAsia="ja-JP"/>
        </w:rPr>
        <w:t>13.</w:t>
      </w:r>
      <w:r w:rsidR="00D52685" w:rsidRPr="00096869">
        <w:rPr>
          <w:rFonts w:eastAsia="Times New Roman"/>
          <w:lang w:eastAsia="fr-FR"/>
        </w:rPr>
        <w:tab/>
      </w:r>
      <w:r w:rsidR="00D52685" w:rsidRPr="00096869">
        <w:rPr>
          <w:rFonts w:eastAsia="Times New Roman"/>
          <w:i/>
          <w:iCs/>
          <w:lang w:eastAsia="fr-FR"/>
        </w:rPr>
        <w:t>„Wiederholbarkeit: Wenn mit derselben Methode, an identischen Testobjekten, im selben Labor, vom selben Bediener und unter Verwendung derselben Ausrüstung innerhalb kurzer Zeitintervalle identische Testergebnisse erzielt werden.“</w:t>
      </w:r>
    </w:p>
    <w:p w14:paraId="3DDC9D9B" w14:textId="77777777" w:rsidR="00D52685" w:rsidRPr="00096869" w:rsidRDefault="00D52685" w:rsidP="00D52685">
      <w:pPr>
        <w:rPr>
          <w:rFonts w:eastAsia="Times New Roman"/>
          <w:lang w:eastAsia="fr-FR"/>
        </w:rPr>
      </w:pPr>
    </w:p>
    <w:p w14:paraId="53970EE9" w14:textId="3603105F" w:rsidR="00D52685" w:rsidRPr="00096869" w:rsidRDefault="00DC4B65" w:rsidP="00D52685">
      <w:pPr>
        <w:rPr>
          <w:rFonts w:eastAsia="Times New Roman"/>
          <w:lang w:eastAsia="fr-FR"/>
        </w:rPr>
      </w:pPr>
      <w:r w:rsidRPr="00096869">
        <w:rPr>
          <w:rFonts w:hint="eastAsia"/>
          <w:lang w:eastAsia="ja-JP"/>
        </w:rPr>
        <w:t>14.</w:t>
      </w:r>
      <w:r w:rsidR="00D52685" w:rsidRPr="00096869">
        <w:rPr>
          <w:rFonts w:eastAsia="Times New Roman"/>
          <w:lang w:eastAsia="fr-FR"/>
        </w:rPr>
        <w:tab/>
        <w:t xml:space="preserve">Bei qualitativen Methoden entspricht die Übereinstimmung der Wiederholbarkeit quantitativer Methoden (Langton </w:t>
      </w:r>
      <w:r w:rsidR="00D52685" w:rsidRPr="00096869">
        <w:rPr>
          <w:rFonts w:eastAsia="Times New Roman"/>
          <w:i/>
          <w:iCs/>
          <w:lang w:eastAsia="fr-FR"/>
        </w:rPr>
        <w:t>et al</w:t>
      </w:r>
      <w:r w:rsidR="00D52685" w:rsidRPr="00096869">
        <w:rPr>
          <w:rFonts w:eastAsia="Times New Roman"/>
          <w:lang w:eastAsia="fr-FR"/>
        </w:rPr>
        <w:t>., 2002).</w:t>
      </w:r>
    </w:p>
    <w:p w14:paraId="6523E50C" w14:textId="77777777" w:rsidR="00D52685" w:rsidRPr="00096869" w:rsidRDefault="00D52685" w:rsidP="00D52685">
      <w:pPr>
        <w:rPr>
          <w:rFonts w:eastAsia="Times New Roman"/>
          <w:u w:val="single"/>
          <w:lang w:eastAsia="fr-FR"/>
        </w:rPr>
      </w:pPr>
    </w:p>
    <w:p w14:paraId="2D16E67C" w14:textId="77777777" w:rsidR="00D52685" w:rsidRPr="00096869" w:rsidRDefault="00D52685" w:rsidP="0077577B">
      <w:pPr>
        <w:pStyle w:val="Heading3Annex"/>
        <w:rPr>
          <w:lang w:val="de-DE"/>
        </w:rPr>
      </w:pPr>
      <w:bookmarkStart w:id="92" w:name="_Toc189576564"/>
      <w:bookmarkStart w:id="93" w:name="_Toc210139344"/>
      <w:r w:rsidRPr="00096869">
        <w:rPr>
          <w:lang w:val="de-DE"/>
        </w:rPr>
        <w:t>Anforderung</w:t>
      </w:r>
      <w:bookmarkEnd w:id="92"/>
      <w:bookmarkEnd w:id="93"/>
    </w:p>
    <w:p w14:paraId="6294F6D1" w14:textId="77777777" w:rsidR="00D52685" w:rsidRPr="00096869" w:rsidRDefault="00D52685" w:rsidP="00D52685">
      <w:pPr>
        <w:rPr>
          <w:rFonts w:eastAsia="Times New Roman"/>
          <w:lang w:eastAsia="fr-FR"/>
        </w:rPr>
      </w:pPr>
    </w:p>
    <w:p w14:paraId="07CD8C9E" w14:textId="09CE33E1" w:rsidR="00D52685" w:rsidRPr="00096869" w:rsidRDefault="00DC4B65" w:rsidP="00D52685">
      <w:pPr>
        <w:rPr>
          <w:rFonts w:eastAsia="Times New Roman"/>
          <w:lang w:eastAsia="fr-FR"/>
        </w:rPr>
      </w:pPr>
      <w:r w:rsidRPr="00096869">
        <w:rPr>
          <w:rFonts w:hint="eastAsia"/>
          <w:lang w:eastAsia="ja-JP"/>
        </w:rPr>
        <w:t>15.</w:t>
      </w:r>
      <w:r w:rsidR="00D52685" w:rsidRPr="00096869">
        <w:rPr>
          <w:rFonts w:eastAsia="Times New Roman"/>
          <w:lang w:eastAsia="fr-FR"/>
        </w:rPr>
        <w:tab/>
        <w:t xml:space="preserve">Idealerweise 100 %, eine Leistung von ≥90 % wird allgemein akzeptiert. Wenn die Wiederholbarkeit der Referenzmethode veröffentlicht ist, sollte die Wiederholbarkeit der alternativen Methode mindestens gleichwertig sein. </w:t>
      </w:r>
    </w:p>
    <w:p w14:paraId="739830F5" w14:textId="77777777" w:rsidR="00D52685" w:rsidRPr="00096869" w:rsidRDefault="00D52685" w:rsidP="00D52685">
      <w:pPr>
        <w:rPr>
          <w:rFonts w:eastAsia="Times New Roman"/>
          <w:lang w:eastAsia="fr-FR"/>
        </w:rPr>
      </w:pPr>
    </w:p>
    <w:p w14:paraId="309B239C" w14:textId="77777777" w:rsidR="00D52685" w:rsidRPr="00096869" w:rsidRDefault="00D52685" w:rsidP="0077577B">
      <w:pPr>
        <w:pStyle w:val="Heading3Annex"/>
        <w:rPr>
          <w:lang w:val="de-DE"/>
        </w:rPr>
      </w:pPr>
      <w:bookmarkStart w:id="94" w:name="_Toc189576565"/>
      <w:bookmarkStart w:id="95" w:name="_Toc210139345"/>
      <w:r w:rsidRPr="00096869">
        <w:rPr>
          <w:lang w:val="de-DE"/>
        </w:rPr>
        <w:t>Wie wird sie bewertet?</w:t>
      </w:r>
      <w:bookmarkEnd w:id="94"/>
      <w:bookmarkEnd w:id="95"/>
    </w:p>
    <w:p w14:paraId="4AB1F435" w14:textId="77777777" w:rsidR="00D52685" w:rsidRPr="00096869" w:rsidRDefault="00D52685" w:rsidP="00D52685">
      <w:pPr>
        <w:rPr>
          <w:rFonts w:eastAsia="Times New Roman"/>
          <w:lang w:eastAsia="fr-FR"/>
        </w:rPr>
      </w:pPr>
    </w:p>
    <w:p w14:paraId="27F27B9C" w14:textId="740E378E" w:rsidR="00D52685" w:rsidRPr="00096869" w:rsidRDefault="00DC4B65" w:rsidP="00D52685">
      <w:pPr>
        <w:rPr>
          <w:rFonts w:eastAsia="Times New Roman"/>
          <w:lang w:eastAsia="fr-FR"/>
        </w:rPr>
      </w:pPr>
      <w:r w:rsidRPr="00096869">
        <w:rPr>
          <w:rFonts w:hint="eastAsia"/>
          <w:lang w:eastAsia="ja-JP"/>
        </w:rPr>
        <w:t>16.</w:t>
      </w:r>
      <w:r w:rsidR="00D52685" w:rsidRPr="00096869">
        <w:rPr>
          <w:rFonts w:eastAsia="Times New Roman"/>
          <w:lang w:eastAsia="fr-FR"/>
        </w:rPr>
        <w:tab/>
        <w:t>Die Wiederholbarkeit kann innerhalb eines Labors bewertet werden.</w:t>
      </w:r>
    </w:p>
    <w:p w14:paraId="1C7CC7CC" w14:textId="77777777" w:rsidR="00D52685" w:rsidRPr="00096869" w:rsidRDefault="00D52685" w:rsidP="00D52685">
      <w:pPr>
        <w:rPr>
          <w:rFonts w:eastAsia="Times New Roman"/>
          <w:lang w:eastAsia="fr-FR"/>
        </w:rPr>
      </w:pPr>
    </w:p>
    <w:p w14:paraId="7A099275" w14:textId="34566D93" w:rsidR="00D52685" w:rsidRPr="00096869" w:rsidRDefault="00DC4B65" w:rsidP="00D52685">
      <w:pPr>
        <w:rPr>
          <w:rFonts w:eastAsia="Times New Roman"/>
          <w:lang w:eastAsia="fr-FR"/>
        </w:rPr>
      </w:pPr>
      <w:r w:rsidRPr="00096869">
        <w:rPr>
          <w:rFonts w:hint="eastAsia"/>
          <w:lang w:eastAsia="ja-JP"/>
        </w:rPr>
        <w:t>17.</w:t>
      </w:r>
      <w:r w:rsidR="00D52685" w:rsidRPr="00096869">
        <w:rPr>
          <w:rFonts w:eastAsia="Times New Roman"/>
          <w:lang w:eastAsia="fr-FR"/>
        </w:rPr>
        <w:tab/>
        <w:t>Mindestens drei technische Replikate aus derselben Pflanze (drei unabhängige DNA-Extraktionen). Mindestens alle erwarteten Genotypen sollten berücksichtigt werden.</w:t>
      </w:r>
    </w:p>
    <w:p w14:paraId="5C4478EE" w14:textId="77777777" w:rsidR="00D52685" w:rsidRPr="00096869" w:rsidRDefault="00D52685" w:rsidP="00D52685">
      <w:pPr>
        <w:rPr>
          <w:rFonts w:eastAsia="Times New Roman"/>
          <w:lang w:eastAsia="fr-FR"/>
        </w:rPr>
      </w:pPr>
    </w:p>
    <w:p w14:paraId="49E027FD" w14:textId="77777777" w:rsidR="00D52685" w:rsidRPr="00096869" w:rsidRDefault="00D52685" w:rsidP="0077577B">
      <w:pPr>
        <w:pStyle w:val="Heading2Annex"/>
        <w:rPr>
          <w:lang w:val="de-DE"/>
        </w:rPr>
      </w:pPr>
      <w:bookmarkStart w:id="96" w:name="_Toc189576566"/>
      <w:bookmarkStart w:id="97" w:name="_Toc210139346"/>
      <w:r w:rsidRPr="00096869">
        <w:rPr>
          <w:lang w:val="de-DE"/>
        </w:rPr>
        <w:t>Reproduzierbarkeit</w:t>
      </w:r>
      <w:bookmarkEnd w:id="96"/>
      <w:bookmarkEnd w:id="97"/>
    </w:p>
    <w:p w14:paraId="376AF378" w14:textId="77777777" w:rsidR="00D52685" w:rsidRPr="00096869" w:rsidRDefault="00D52685" w:rsidP="00D52685">
      <w:pPr>
        <w:rPr>
          <w:rFonts w:eastAsia="Times New Roman"/>
          <w:lang w:eastAsia="fr-FR"/>
        </w:rPr>
      </w:pPr>
    </w:p>
    <w:p w14:paraId="1D0B2547" w14:textId="77777777" w:rsidR="00D52685" w:rsidRPr="00096869" w:rsidRDefault="00D52685" w:rsidP="0077577B">
      <w:pPr>
        <w:pStyle w:val="Heading3Annex"/>
        <w:rPr>
          <w:lang w:val="de-DE"/>
        </w:rPr>
      </w:pPr>
      <w:bookmarkStart w:id="98" w:name="_Toc189576567"/>
      <w:bookmarkStart w:id="99" w:name="_Toc210139347"/>
      <w:r w:rsidRPr="00096869">
        <w:rPr>
          <w:lang w:val="de-DE"/>
        </w:rPr>
        <w:t>Definition (basierend auf ISO 16 577:2016; Verweis auf UPOV/INF/17)</w:t>
      </w:r>
      <w:bookmarkEnd w:id="98"/>
      <w:bookmarkEnd w:id="99"/>
    </w:p>
    <w:p w14:paraId="4FA1D0BC" w14:textId="77777777" w:rsidR="00D52685" w:rsidRPr="00096869" w:rsidRDefault="00D52685" w:rsidP="00D52685">
      <w:pPr>
        <w:rPr>
          <w:rFonts w:eastAsia="Times New Roman"/>
          <w:lang w:eastAsia="fr-FR"/>
        </w:rPr>
      </w:pPr>
    </w:p>
    <w:p w14:paraId="0DD1A221" w14:textId="25676429" w:rsidR="00D52685" w:rsidRPr="00096869" w:rsidRDefault="00DC4B65" w:rsidP="00D52685">
      <w:pPr>
        <w:rPr>
          <w:rFonts w:eastAsia="Times New Roman"/>
          <w:lang w:eastAsia="fr-FR"/>
        </w:rPr>
      </w:pPr>
      <w:r w:rsidRPr="00096869">
        <w:rPr>
          <w:rFonts w:hint="eastAsia"/>
          <w:lang w:eastAsia="ja-JP"/>
        </w:rPr>
        <w:t>18.</w:t>
      </w:r>
      <w:r w:rsidR="00D52685" w:rsidRPr="00096869">
        <w:rPr>
          <w:rFonts w:eastAsia="Times New Roman"/>
          <w:lang w:eastAsia="fr-FR"/>
        </w:rPr>
        <w:tab/>
        <w:t>„</w:t>
      </w:r>
      <w:r w:rsidR="00D52685" w:rsidRPr="00096869">
        <w:rPr>
          <w:rFonts w:eastAsia="Times New Roman"/>
          <w:i/>
          <w:iCs/>
          <w:lang w:eastAsia="fr-FR"/>
        </w:rPr>
        <w:t xml:space="preserve">Reproduzierbarkeit; wenn Testergebnisse mit derselben Methode, an identischen Testobjekten, innerhalb desselben Labors oder zwischen verschiedenen Labors, mit verschiedenen Bedienern und unter Verwendung unterschiedlicher </w:t>
      </w:r>
      <w:r w:rsidR="00D52685" w:rsidRPr="00096869">
        <w:rPr>
          <w:rFonts w:eastAsia="Times New Roman"/>
          <w:lang w:eastAsia="fr-FR"/>
        </w:rPr>
        <w:t xml:space="preserve">Geräte“ zu unterschiedlichen Zeitpunkten </w:t>
      </w:r>
      <w:r w:rsidR="00D52685" w:rsidRPr="00096869">
        <w:rPr>
          <w:rFonts w:eastAsia="Times New Roman"/>
          <w:i/>
          <w:iCs/>
          <w:lang w:eastAsia="fr-FR"/>
        </w:rPr>
        <w:t>erzielt werden</w:t>
      </w:r>
      <w:r w:rsidR="00D52685" w:rsidRPr="00096869">
        <w:rPr>
          <w:rFonts w:eastAsia="Times New Roman"/>
          <w:lang w:eastAsia="fr-FR"/>
        </w:rPr>
        <w:t>.</w:t>
      </w:r>
    </w:p>
    <w:p w14:paraId="3E4579B2" w14:textId="77777777" w:rsidR="00D52685" w:rsidRPr="00096869" w:rsidRDefault="00D52685" w:rsidP="00D52685">
      <w:pPr>
        <w:rPr>
          <w:rFonts w:eastAsia="Times New Roman"/>
          <w:lang w:eastAsia="fr-FR"/>
        </w:rPr>
      </w:pPr>
    </w:p>
    <w:p w14:paraId="0A5A73DD" w14:textId="52AED652" w:rsidR="00D52685" w:rsidRPr="00096869" w:rsidRDefault="00DC4B65" w:rsidP="00D52685">
      <w:pPr>
        <w:rPr>
          <w:rFonts w:eastAsia="Times New Roman"/>
          <w:lang w:eastAsia="fr-FR"/>
        </w:rPr>
      </w:pPr>
      <w:r w:rsidRPr="00096869">
        <w:rPr>
          <w:rFonts w:hint="eastAsia"/>
          <w:lang w:eastAsia="ja-JP"/>
        </w:rPr>
        <w:t>19.</w:t>
      </w:r>
      <w:r w:rsidR="00D52685" w:rsidRPr="00096869">
        <w:rPr>
          <w:rFonts w:eastAsia="Times New Roman"/>
          <w:lang w:eastAsia="fr-FR"/>
        </w:rPr>
        <w:tab/>
        <w:t xml:space="preserve">Bei qualitativen Methoden entspricht die Übereinstimmung der Reproduzierbarkeit quantitativer Methoden (Langton </w:t>
      </w:r>
      <w:r w:rsidR="00D52685" w:rsidRPr="00096869">
        <w:rPr>
          <w:rFonts w:eastAsia="Times New Roman"/>
          <w:i/>
          <w:iCs/>
          <w:lang w:eastAsia="fr-FR"/>
        </w:rPr>
        <w:t>et al</w:t>
      </w:r>
      <w:r w:rsidR="00D52685" w:rsidRPr="00096869">
        <w:rPr>
          <w:rFonts w:eastAsia="Times New Roman"/>
          <w:lang w:eastAsia="fr-FR"/>
        </w:rPr>
        <w:t>., 2002).</w:t>
      </w:r>
    </w:p>
    <w:p w14:paraId="4B1BA2BA" w14:textId="77777777" w:rsidR="00D52685" w:rsidRPr="00096869" w:rsidRDefault="00D52685" w:rsidP="00D52685">
      <w:pPr>
        <w:rPr>
          <w:rFonts w:eastAsia="Times New Roman"/>
          <w:u w:val="single"/>
          <w:lang w:eastAsia="fr-FR"/>
        </w:rPr>
      </w:pPr>
    </w:p>
    <w:p w14:paraId="7E3E914F" w14:textId="77777777" w:rsidR="00D52685" w:rsidRPr="00096869" w:rsidRDefault="00D52685" w:rsidP="0077577B">
      <w:pPr>
        <w:pStyle w:val="Heading3Annex"/>
        <w:rPr>
          <w:lang w:val="de-DE"/>
        </w:rPr>
      </w:pPr>
      <w:bookmarkStart w:id="100" w:name="_Toc189576568"/>
      <w:bookmarkStart w:id="101" w:name="_Toc210139348"/>
      <w:r w:rsidRPr="00096869">
        <w:rPr>
          <w:lang w:val="de-DE"/>
        </w:rPr>
        <w:t>Anforderung</w:t>
      </w:r>
      <w:bookmarkEnd w:id="100"/>
      <w:bookmarkEnd w:id="101"/>
    </w:p>
    <w:p w14:paraId="41597870" w14:textId="77777777" w:rsidR="00D52685" w:rsidRPr="00096869" w:rsidRDefault="00D52685" w:rsidP="00D52685">
      <w:pPr>
        <w:keepNext/>
        <w:rPr>
          <w:rFonts w:eastAsia="Times New Roman"/>
          <w:lang w:eastAsia="fr-FR"/>
        </w:rPr>
      </w:pPr>
    </w:p>
    <w:p w14:paraId="206E3A87" w14:textId="599F585A" w:rsidR="00D52685" w:rsidRPr="00096869" w:rsidRDefault="00DC4B65" w:rsidP="00D52685">
      <w:pPr>
        <w:keepNext/>
        <w:rPr>
          <w:rFonts w:eastAsia="Times New Roman"/>
          <w:lang w:eastAsia="fr-FR"/>
        </w:rPr>
      </w:pPr>
      <w:r w:rsidRPr="00096869">
        <w:rPr>
          <w:rFonts w:hint="eastAsia"/>
          <w:lang w:eastAsia="ja-JP"/>
        </w:rPr>
        <w:t>20.</w:t>
      </w:r>
      <w:r w:rsidR="00D52685" w:rsidRPr="00096869">
        <w:rPr>
          <w:rFonts w:eastAsia="Times New Roman"/>
          <w:lang w:eastAsia="fr-FR"/>
        </w:rPr>
        <w:tab/>
        <w:t xml:space="preserve">Idealerweise 100 %, eine Leistung von ≥90 % wird allgemein akzeptiert. Wenn die Reproduzierbarkeit der Referenzmethode veröffentlicht ist, sollte die Reproduzierbarkeit der alternativen Methode mindestens gleichwertig sein. </w:t>
      </w:r>
    </w:p>
    <w:p w14:paraId="3FC81EB7" w14:textId="77777777" w:rsidR="00D52685" w:rsidRPr="00096869" w:rsidRDefault="00D52685" w:rsidP="00D52685">
      <w:pPr>
        <w:rPr>
          <w:rFonts w:eastAsia="Times New Roman"/>
          <w:lang w:eastAsia="fr-FR"/>
        </w:rPr>
      </w:pPr>
    </w:p>
    <w:p w14:paraId="7B4F2BDE" w14:textId="77777777" w:rsidR="00D52685" w:rsidRPr="00096869" w:rsidRDefault="00D52685" w:rsidP="0077577B">
      <w:pPr>
        <w:pStyle w:val="Heading3Annex"/>
        <w:rPr>
          <w:lang w:val="de-DE"/>
        </w:rPr>
      </w:pPr>
      <w:bookmarkStart w:id="102" w:name="_Toc189576569"/>
      <w:bookmarkStart w:id="103" w:name="_Toc210139349"/>
      <w:r w:rsidRPr="00096869">
        <w:rPr>
          <w:lang w:val="de-DE"/>
        </w:rPr>
        <w:t>Wie wird sie bewertet?</w:t>
      </w:r>
      <w:bookmarkEnd w:id="102"/>
      <w:bookmarkEnd w:id="103"/>
    </w:p>
    <w:p w14:paraId="2752D83D" w14:textId="77777777" w:rsidR="00D52685" w:rsidRPr="00096869" w:rsidRDefault="00D52685" w:rsidP="00D52685">
      <w:pPr>
        <w:rPr>
          <w:rFonts w:eastAsia="Times New Roman"/>
          <w:lang w:eastAsia="fr-FR"/>
        </w:rPr>
      </w:pPr>
    </w:p>
    <w:p w14:paraId="303E67EA" w14:textId="5A7BF9B2" w:rsidR="00D52685" w:rsidRPr="00096869" w:rsidRDefault="00DC4B65" w:rsidP="00592AD3">
      <w:pPr>
        <w:rPr>
          <w:lang w:eastAsia="fr-FR"/>
        </w:rPr>
      </w:pPr>
      <w:r w:rsidRPr="00096869">
        <w:rPr>
          <w:rFonts w:hint="eastAsia"/>
          <w:lang w:eastAsia="ja-JP"/>
        </w:rPr>
        <w:t>21.</w:t>
      </w:r>
      <w:r w:rsidR="00D52685" w:rsidRPr="00096869">
        <w:rPr>
          <w:lang w:eastAsia="fr-FR"/>
        </w:rPr>
        <w:tab/>
        <w:t>Die Reproduzierbarkeit sollte zwischen verschiedenen Laboratorien durch eine laborübergreifende Validierungsstudie (Ringversuch) mit kodierten Proben bekannter Genotypen bewertet werden. Alle zu erwartenden Genotypen sollten einbezogen werden.</w:t>
      </w:r>
    </w:p>
    <w:p w14:paraId="5479FBE8" w14:textId="77777777" w:rsidR="00592AD3" w:rsidRPr="00096869" w:rsidRDefault="00592AD3" w:rsidP="00592AD3">
      <w:pPr>
        <w:rPr>
          <w:lang w:eastAsia="fr-FR"/>
        </w:rPr>
      </w:pPr>
    </w:p>
    <w:p w14:paraId="652547FC" w14:textId="7E7B346A" w:rsidR="00D52685" w:rsidRPr="00096869" w:rsidRDefault="00DC4B65" w:rsidP="00592AD3">
      <w:pPr>
        <w:rPr>
          <w:lang w:eastAsia="fr-FR"/>
        </w:rPr>
      </w:pPr>
      <w:r w:rsidRPr="00096869">
        <w:rPr>
          <w:rFonts w:hint="eastAsia"/>
          <w:lang w:eastAsia="ja-JP"/>
        </w:rPr>
        <w:t>22.</w:t>
      </w:r>
      <w:r w:rsidR="00D52685" w:rsidRPr="00096869">
        <w:rPr>
          <w:lang w:eastAsia="fr-FR"/>
        </w:rPr>
        <w:tab/>
      </w:r>
      <w:r w:rsidR="00D52685" w:rsidRPr="00096869">
        <w:rPr>
          <w:rFonts w:ascii="Segoe UI" w:hAnsi="Segoe UI" w:cs="Segoe UI"/>
          <w:sz w:val="18"/>
          <w:szCs w:val="18"/>
          <w:lang w:eastAsia="nl-NL"/>
        </w:rPr>
        <w:t>Der</w:t>
      </w:r>
      <w:r w:rsidR="00D52685" w:rsidRPr="00096869">
        <w:rPr>
          <w:lang w:eastAsia="fr-FR"/>
        </w:rPr>
        <w:t xml:space="preserve"> Ringversuch sollte mindestens drei verschiedene Laboratorien umfassen, darunter mindestens zwei verschiedene Prüfungsämter (</w:t>
      </w:r>
      <w:r w:rsidR="00D52685" w:rsidRPr="00096869">
        <w:rPr>
          <w:i/>
          <w:iCs/>
          <w:lang w:eastAsia="fr-FR"/>
        </w:rPr>
        <w:t xml:space="preserve">z. B. </w:t>
      </w:r>
      <w:r w:rsidR="00D52685" w:rsidRPr="00096869">
        <w:rPr>
          <w:lang w:eastAsia="fr-FR"/>
        </w:rPr>
        <w:t xml:space="preserve">waren im </w:t>
      </w:r>
      <w:r w:rsidR="00D52685" w:rsidRPr="00096869">
        <w:rPr>
          <w:lang w:eastAsia="nl-NL"/>
        </w:rPr>
        <w:t>EU-Projekt</w:t>
      </w:r>
      <w:r w:rsidR="00D52685" w:rsidRPr="00096869">
        <w:rPr>
          <w:lang w:eastAsia="fr-FR"/>
        </w:rPr>
        <w:t xml:space="preserve"> INVITE</w:t>
      </w:r>
      <w:r w:rsidR="00D52685" w:rsidRPr="00096869">
        <w:rPr>
          <w:color w:val="333333"/>
          <w:shd w:val="clear" w:color="auto" w:fill="FFFFFF"/>
          <w:lang w:eastAsia="nl-NL"/>
        </w:rPr>
        <w:t xml:space="preserve"> 817970 </w:t>
      </w:r>
      <w:r w:rsidR="00D52685" w:rsidRPr="00096869">
        <w:rPr>
          <w:lang w:eastAsia="nl-NL"/>
        </w:rPr>
        <w:t>DOI</w:t>
      </w:r>
      <w:hyperlink r:id="rId24" w:history="1">
        <w:r w:rsidR="00D52685" w:rsidRPr="00096869">
          <w:rPr>
            <w:rFonts w:ascii="Segoe UI" w:hAnsi="Segoe UI" w:cs="Segoe UI"/>
            <w:color w:val="0000FF"/>
            <w:sz w:val="18"/>
            <w:szCs w:val="18"/>
            <w:u w:val="single"/>
            <w:lang w:eastAsia="nl-NL"/>
          </w:rPr>
          <w:t xml:space="preserve"> 10.3030/817970</w:t>
        </w:r>
      </w:hyperlink>
      <w:r w:rsidR="00D52685" w:rsidRPr="00096869">
        <w:rPr>
          <w:lang w:eastAsia="fr-FR"/>
        </w:rPr>
        <w:t xml:space="preserve"> drei Prüfungsämter an der Validierungsprüfung beteiligt). Wenn möglich, sollten erfahrene Laboratorien beteiligt </w:t>
      </w:r>
      <w:r w:rsidR="00D52685" w:rsidRPr="00096869">
        <w:rPr>
          <w:lang w:eastAsia="fr-FR"/>
        </w:rPr>
        <w:lastRenderedPageBreak/>
        <w:t>sein, die mit der Art und der Technik vertraut sind. Ist dies nicht der Fall, kann vor dem Ringversuch eine Schulung mit nicht kodierten Proben organisiert werden. Die Laboratorien können auf freiwilliger Basis an einem Ringversuch teilnehmen. Wenn sich keine Freiwilligen finden, ist eine laborinterne Reproduzierbarkeitsbewertung mit verschiedenen Bedienern möglich.</w:t>
      </w:r>
    </w:p>
    <w:p w14:paraId="36793252" w14:textId="77777777" w:rsidR="00592AD3" w:rsidRPr="00096869" w:rsidRDefault="00592AD3" w:rsidP="00592AD3">
      <w:pPr>
        <w:rPr>
          <w:lang w:eastAsia="nl-NL"/>
        </w:rPr>
      </w:pPr>
    </w:p>
    <w:p w14:paraId="62476F6D" w14:textId="6639BC12" w:rsidR="00D52685" w:rsidRPr="00096869" w:rsidRDefault="00DC4B65" w:rsidP="00D52685">
      <w:pPr>
        <w:rPr>
          <w:rFonts w:eastAsia="Times New Roman"/>
          <w:lang w:eastAsia="fr-FR"/>
        </w:rPr>
      </w:pPr>
      <w:r w:rsidRPr="00096869">
        <w:rPr>
          <w:rFonts w:hint="eastAsia"/>
          <w:lang w:eastAsia="ja-JP"/>
        </w:rPr>
        <w:t>23.</w:t>
      </w:r>
      <w:r w:rsidR="00D52685" w:rsidRPr="00096869">
        <w:rPr>
          <w:rFonts w:eastAsia="Times New Roman"/>
          <w:lang w:eastAsia="fr-FR"/>
        </w:rPr>
        <w:tab/>
        <w:t xml:space="preserve">Alle Laboratorien müssen das zu validierende Protokoll befolgen. Im Protokoll können vom Validierungsteam obligatorische und optionale Teile definiert werden. </w:t>
      </w:r>
      <w:r w:rsidR="00BD1333" w:rsidRPr="00096869">
        <w:rPr>
          <w:rFonts w:eastAsia="Times New Roman"/>
          <w:highlight w:val="lightGray"/>
          <w:u w:val="single"/>
          <w:lang w:eastAsia="fr-FR"/>
        </w:rPr>
        <w:t>Die Laboratorien können auf freiwilliger Basis an einem Ringversuch teilnehmen. Falls sich keine Freiwilligen finden, kann die Reproduzierbarkeit innerhalb eines Laboratoriums bestimmt werden</w:t>
      </w:r>
      <w:r w:rsidR="00BD1333" w:rsidRPr="00096869">
        <w:rPr>
          <w:rFonts w:eastAsia="Times New Roman"/>
          <w:highlight w:val="lightGray"/>
          <w:lang w:eastAsia="fr-FR"/>
        </w:rPr>
        <w:t>.</w:t>
      </w:r>
    </w:p>
    <w:p w14:paraId="698AA37A" w14:textId="77777777" w:rsidR="00D52685" w:rsidRPr="00096869" w:rsidRDefault="00D52685" w:rsidP="00D52685">
      <w:pPr>
        <w:rPr>
          <w:rFonts w:eastAsia="Times New Roman"/>
          <w:lang w:eastAsia="fr-FR"/>
        </w:rPr>
      </w:pPr>
    </w:p>
    <w:p w14:paraId="06AE7B55" w14:textId="4F01BF84" w:rsidR="00D52685" w:rsidRPr="00096869" w:rsidRDefault="00DC4B65" w:rsidP="00592AD3">
      <w:pPr>
        <w:keepNext/>
        <w:rPr>
          <w:rFonts w:eastAsia="Times New Roman"/>
          <w:lang w:eastAsia="fr-FR"/>
        </w:rPr>
      </w:pPr>
      <w:r w:rsidRPr="00096869">
        <w:rPr>
          <w:rFonts w:hint="eastAsia"/>
          <w:lang w:eastAsia="ja-JP"/>
        </w:rPr>
        <w:t>24.</w:t>
      </w:r>
      <w:r w:rsidR="00D52685" w:rsidRPr="00096869">
        <w:rPr>
          <w:rFonts w:eastAsia="Times New Roman"/>
          <w:lang w:eastAsia="fr-FR"/>
        </w:rPr>
        <w:tab/>
        <w:t>Anzahl der Sorten: Es müssen mindestens alle erwarteten Genotypen enthalten sein.</w:t>
      </w:r>
    </w:p>
    <w:p w14:paraId="6EBE1097" w14:textId="77777777" w:rsidR="00D52685" w:rsidRPr="00096869" w:rsidRDefault="00D52685" w:rsidP="00592AD3">
      <w:pPr>
        <w:keepNext/>
        <w:rPr>
          <w:rFonts w:eastAsia="Times New Roman" w:cs="Arial"/>
          <w:lang w:eastAsia="fr-FR"/>
        </w:rPr>
      </w:pPr>
    </w:p>
    <w:p w14:paraId="0C8F7136" w14:textId="02C77E3E" w:rsidR="00D52685" w:rsidRPr="00096869" w:rsidRDefault="00DC4B65" w:rsidP="00D52685">
      <w:pPr>
        <w:rPr>
          <w:rFonts w:eastAsia="Times New Roman" w:cs="Arial"/>
          <w:lang w:eastAsia="fr-FR"/>
        </w:rPr>
      </w:pPr>
      <w:r w:rsidRPr="00096869">
        <w:rPr>
          <w:rFonts w:cs="Arial" w:hint="eastAsia"/>
          <w:lang w:eastAsia="ja-JP"/>
        </w:rPr>
        <w:t>25.</w:t>
      </w:r>
      <w:r w:rsidR="00D52685" w:rsidRPr="00096869">
        <w:rPr>
          <w:rFonts w:eastAsia="Times New Roman" w:cs="Arial"/>
          <w:lang w:eastAsia="fr-FR"/>
        </w:rPr>
        <w:tab/>
        <w:t xml:space="preserve">Es können Leitlinien/Normen für Laborvergleichsprüfungen befolgt werden: ISO 13495 </w:t>
      </w:r>
      <w:r w:rsidR="00D52685" w:rsidRPr="00096869">
        <w:rPr>
          <w:rFonts w:eastAsia="Times New Roman" w:cs="Arial"/>
          <w:i/>
          <w:iCs/>
          <w:lang w:eastAsia="fr-FR"/>
        </w:rPr>
        <w:t xml:space="preserve">Lebensmittel – Grundsätze für die Auswahl und Kriterien für die Validierung von Methoden zur Sortenidentifizierung unter Verwendung spezifischer Nukleinsäuren, </w:t>
      </w:r>
      <w:r w:rsidR="00D52685" w:rsidRPr="00096869">
        <w:rPr>
          <w:rFonts w:eastAsia="Times New Roman" w:cs="Arial"/>
          <w:lang w:eastAsia="fr-FR"/>
        </w:rPr>
        <w:t xml:space="preserve">ISO 17043 </w:t>
      </w:r>
      <w:r w:rsidR="00D52685" w:rsidRPr="00096869">
        <w:rPr>
          <w:rFonts w:eastAsia="Times New Roman" w:cs="Arial"/>
          <w:i/>
          <w:iCs/>
          <w:lang w:eastAsia="fr-FR"/>
        </w:rPr>
        <w:t xml:space="preserve">Konformitätsbewertung – Allgemeine Anforderungen an Eignungsprüfungen, </w:t>
      </w:r>
      <w:r w:rsidR="00D52685" w:rsidRPr="00096869">
        <w:rPr>
          <w:rFonts w:eastAsia="Times New Roman" w:cs="Arial"/>
          <w:lang w:eastAsia="fr-FR"/>
        </w:rPr>
        <w:t xml:space="preserve">EPPO pm7-122-2 </w:t>
      </w:r>
      <w:r w:rsidR="00D52685" w:rsidRPr="00096869">
        <w:rPr>
          <w:rFonts w:eastAsia="Times New Roman" w:cs="Arial"/>
          <w:i/>
          <w:iCs/>
          <w:lang w:eastAsia="fr-FR"/>
        </w:rPr>
        <w:t xml:space="preserve">Leitlinien für die Organisation von Ringversuchen durch Pflanzenschutzdiagnoselabors, </w:t>
      </w:r>
      <w:r w:rsidR="00D52685" w:rsidRPr="00096869">
        <w:rPr>
          <w:rFonts w:eastAsia="Times New Roman" w:cs="Arial"/>
          <w:lang w:eastAsia="fr-FR"/>
        </w:rPr>
        <w:t xml:space="preserve">ISTA </w:t>
      </w:r>
      <w:r w:rsidR="00D52685" w:rsidRPr="00096869">
        <w:rPr>
          <w:rFonts w:eastAsia="Times New Roman" w:cs="Arial"/>
          <w:i/>
          <w:iCs/>
          <w:lang w:eastAsia="fr-FR"/>
        </w:rPr>
        <w:t xml:space="preserve">TCOM-P-10 – Validierung von Methoden zur Saatgutgesundheit und Organisation und Analyse von Ringversuchen (CT) </w:t>
      </w:r>
      <w:r w:rsidR="00D52685" w:rsidRPr="00096869">
        <w:rPr>
          <w:rFonts w:eastAsia="Times New Roman" w:cs="Arial"/>
          <w:lang w:eastAsia="fr-FR"/>
        </w:rPr>
        <w:t>... Das Validierungsteam kann in seinem Bericht auf die folgenden Leitlinien verweisen.</w:t>
      </w:r>
    </w:p>
    <w:p w14:paraId="75F6DDEF" w14:textId="77777777" w:rsidR="00D52685" w:rsidRPr="00096869" w:rsidRDefault="00D52685" w:rsidP="00D52685">
      <w:pPr>
        <w:rPr>
          <w:rFonts w:eastAsia="Times New Roman"/>
          <w:lang w:eastAsia="fr-FR"/>
        </w:rPr>
      </w:pPr>
    </w:p>
    <w:p w14:paraId="1AAD184E" w14:textId="77777777" w:rsidR="00D52685" w:rsidRPr="00096869" w:rsidRDefault="00D52685" w:rsidP="0077577B">
      <w:pPr>
        <w:pStyle w:val="Heading2Annex"/>
        <w:rPr>
          <w:lang w:val="de-DE"/>
        </w:rPr>
      </w:pPr>
      <w:bookmarkStart w:id="104" w:name="_Toc189576570"/>
      <w:bookmarkStart w:id="105" w:name="_Toc210139350"/>
      <w:r w:rsidRPr="00096869">
        <w:rPr>
          <w:lang w:val="de-DE"/>
        </w:rPr>
        <w:t>Robustheit</w:t>
      </w:r>
      <w:bookmarkEnd w:id="104"/>
      <w:bookmarkEnd w:id="105"/>
    </w:p>
    <w:p w14:paraId="7D8A3330" w14:textId="77777777" w:rsidR="00D52685" w:rsidRPr="00096869" w:rsidRDefault="00D52685" w:rsidP="00D52685">
      <w:pPr>
        <w:rPr>
          <w:rFonts w:eastAsia="Times New Roman"/>
          <w:lang w:eastAsia="fr-FR"/>
        </w:rPr>
      </w:pPr>
    </w:p>
    <w:p w14:paraId="39DAA3E3" w14:textId="77777777" w:rsidR="00D52685" w:rsidRPr="00096869" w:rsidRDefault="00D52685" w:rsidP="0077577B">
      <w:pPr>
        <w:pStyle w:val="Heading3Annex"/>
        <w:rPr>
          <w:lang w:val="de-DE"/>
        </w:rPr>
      </w:pPr>
      <w:bookmarkStart w:id="106" w:name="_Toc189576571"/>
      <w:bookmarkStart w:id="107" w:name="_Toc210139351"/>
      <w:r w:rsidRPr="00096869">
        <w:rPr>
          <w:lang w:val="de-DE"/>
        </w:rPr>
        <w:t>Definition</w:t>
      </w:r>
      <w:bookmarkEnd w:id="106"/>
      <w:r w:rsidRPr="00096869">
        <w:rPr>
          <w:lang w:val="de-DE"/>
        </w:rPr>
        <w:t xml:space="preserve"> (basierend auf ISO 16 577:2016; Verweis auf UPOV/INF/17)</w:t>
      </w:r>
      <w:bookmarkEnd w:id="107"/>
    </w:p>
    <w:p w14:paraId="13CE013A" w14:textId="77777777" w:rsidR="00D52685" w:rsidRPr="00096869" w:rsidRDefault="00D52685" w:rsidP="00D52685">
      <w:pPr>
        <w:rPr>
          <w:rFonts w:eastAsia="Times New Roman"/>
          <w:highlight w:val="yellow"/>
          <w:lang w:eastAsia="fr-FR"/>
        </w:rPr>
      </w:pPr>
    </w:p>
    <w:p w14:paraId="6111C5AA" w14:textId="45373135" w:rsidR="00D52685" w:rsidRPr="00096869" w:rsidRDefault="00DC4B65" w:rsidP="00D52685">
      <w:pPr>
        <w:rPr>
          <w:rFonts w:eastAsia="Times New Roman"/>
          <w:lang w:eastAsia="fr-FR"/>
        </w:rPr>
      </w:pPr>
      <w:r w:rsidRPr="00096869">
        <w:rPr>
          <w:rFonts w:hint="eastAsia"/>
          <w:lang w:eastAsia="ja-JP"/>
        </w:rPr>
        <w:t>26.</w:t>
      </w:r>
      <w:r w:rsidR="00D52685" w:rsidRPr="00096869">
        <w:rPr>
          <w:rFonts w:eastAsia="Times New Roman"/>
          <w:lang w:eastAsia="fr-FR"/>
        </w:rPr>
        <w:tab/>
      </w:r>
      <w:r w:rsidR="00D52685" w:rsidRPr="00096869">
        <w:rPr>
          <w:rFonts w:eastAsia="Times New Roman"/>
          <w:i/>
          <w:iCs/>
          <w:lang w:eastAsia="fr-FR"/>
        </w:rPr>
        <w:t xml:space="preserve">„Robustheit; ein Maß für die Fähigkeit, durch kleine, aber absichtliche Abweichungen von den in den Verfahrensparametern beschriebenen Versuchsbedingungen unbeeinträchtigt zu bleiben, und ein Hinweis auf die Zuverlässigkeit bei normaler Verwendung“ </w:t>
      </w:r>
      <w:r w:rsidR="00D52685" w:rsidRPr="00096869">
        <w:rPr>
          <w:rFonts w:eastAsia="Times New Roman"/>
          <w:lang w:eastAsia="fr-FR"/>
        </w:rPr>
        <w:t>(</w:t>
      </w:r>
      <w:r w:rsidR="00D52685" w:rsidRPr="00096869">
        <w:rPr>
          <w:rFonts w:eastAsia="Times New Roman"/>
          <w:i/>
          <w:iCs/>
          <w:lang w:eastAsia="fr-FR"/>
        </w:rPr>
        <w:t xml:space="preserve">z. B. </w:t>
      </w:r>
      <w:r w:rsidR="00D52685" w:rsidRPr="00096869">
        <w:rPr>
          <w:rFonts w:eastAsia="Times New Roman"/>
          <w:lang w:eastAsia="fr-FR"/>
        </w:rPr>
        <w:t>Änderung der DNA-Extraktionsmethode oder Änderung des Echtzeitgeräts).</w:t>
      </w:r>
    </w:p>
    <w:p w14:paraId="01D9026C" w14:textId="77777777" w:rsidR="00D52685" w:rsidRPr="00096869" w:rsidRDefault="00D52685" w:rsidP="00D52685">
      <w:pPr>
        <w:rPr>
          <w:rFonts w:eastAsia="Times New Roman"/>
          <w:lang w:eastAsia="fr-FR"/>
        </w:rPr>
      </w:pPr>
    </w:p>
    <w:p w14:paraId="7D3E9FC7" w14:textId="77777777" w:rsidR="00D52685" w:rsidRPr="00096869" w:rsidRDefault="00D52685" w:rsidP="0077577B">
      <w:pPr>
        <w:pStyle w:val="Heading3Annex"/>
        <w:rPr>
          <w:lang w:val="de-DE"/>
        </w:rPr>
      </w:pPr>
      <w:bookmarkStart w:id="108" w:name="_Toc189576572"/>
      <w:bookmarkStart w:id="109" w:name="_Toc210139352"/>
      <w:r w:rsidRPr="00096869">
        <w:rPr>
          <w:lang w:val="de-DE"/>
        </w:rPr>
        <w:t>Anforderung</w:t>
      </w:r>
      <w:bookmarkEnd w:id="108"/>
      <w:bookmarkEnd w:id="109"/>
    </w:p>
    <w:p w14:paraId="66849E7D" w14:textId="77777777" w:rsidR="00D52685" w:rsidRPr="00096869" w:rsidRDefault="00D52685" w:rsidP="00D52685">
      <w:pPr>
        <w:rPr>
          <w:rFonts w:eastAsia="Times New Roman"/>
          <w:lang w:eastAsia="fr-FR"/>
        </w:rPr>
      </w:pPr>
    </w:p>
    <w:p w14:paraId="08C1024C" w14:textId="61833338" w:rsidR="00D52685" w:rsidRPr="00096869" w:rsidRDefault="00DC4B65" w:rsidP="00D52685">
      <w:pPr>
        <w:rPr>
          <w:rFonts w:eastAsia="Times New Roman"/>
          <w:lang w:eastAsia="fr-FR"/>
        </w:rPr>
      </w:pPr>
      <w:r w:rsidRPr="00096869">
        <w:rPr>
          <w:rFonts w:hint="eastAsia"/>
          <w:lang w:eastAsia="ja-JP"/>
        </w:rPr>
        <w:t>27.</w:t>
      </w:r>
      <w:r w:rsidR="00D52685" w:rsidRPr="00096869">
        <w:rPr>
          <w:rFonts w:eastAsia="Times New Roman"/>
          <w:lang w:eastAsia="fr-FR"/>
        </w:rPr>
        <w:tab/>
        <w:t>Idealerweise 100 %; liegt der Wert darunter, bedeutet dies, dass die Methode gegenüber einer Änderung eines Parameters nicht robust ist, was im Protokoll als obligatorischer Schritt angegeben werden sollte (</w:t>
      </w:r>
      <w:r w:rsidR="00D52685" w:rsidRPr="00096869">
        <w:rPr>
          <w:rFonts w:eastAsia="Times New Roman"/>
          <w:i/>
          <w:iCs/>
          <w:lang w:eastAsia="fr-FR"/>
        </w:rPr>
        <w:t xml:space="preserve">z. B. </w:t>
      </w:r>
      <w:r w:rsidR="00D52685" w:rsidRPr="00096869">
        <w:rPr>
          <w:rFonts w:eastAsia="Times New Roman"/>
          <w:lang w:eastAsia="fr-FR"/>
        </w:rPr>
        <w:t>eine Änderung des Mastermixes, die kritisch wäre).</w:t>
      </w:r>
    </w:p>
    <w:p w14:paraId="6F81CBC3" w14:textId="77777777" w:rsidR="00D52685" w:rsidRPr="00096869" w:rsidRDefault="00D52685" w:rsidP="00D52685">
      <w:pPr>
        <w:rPr>
          <w:rFonts w:eastAsia="Times New Roman"/>
          <w:lang w:eastAsia="fr-FR"/>
        </w:rPr>
      </w:pPr>
    </w:p>
    <w:p w14:paraId="6172F3D8" w14:textId="77777777" w:rsidR="00D52685" w:rsidRPr="00096869" w:rsidRDefault="00D52685" w:rsidP="0077577B">
      <w:pPr>
        <w:pStyle w:val="Heading3Annex"/>
        <w:rPr>
          <w:lang w:val="de-DE"/>
        </w:rPr>
      </w:pPr>
      <w:bookmarkStart w:id="110" w:name="_Toc189576573"/>
      <w:bookmarkStart w:id="111" w:name="_Toc210139353"/>
      <w:r w:rsidRPr="00096869">
        <w:rPr>
          <w:lang w:val="de-DE"/>
        </w:rPr>
        <w:t>Wie wird dies bewertet?</w:t>
      </w:r>
      <w:bookmarkEnd w:id="110"/>
      <w:bookmarkEnd w:id="111"/>
    </w:p>
    <w:p w14:paraId="120196FD" w14:textId="77777777" w:rsidR="00D52685" w:rsidRPr="00096869" w:rsidRDefault="00D52685" w:rsidP="00D52685">
      <w:pPr>
        <w:rPr>
          <w:rFonts w:eastAsia="Times New Roman"/>
          <w:lang w:eastAsia="fr-FR"/>
        </w:rPr>
      </w:pPr>
    </w:p>
    <w:p w14:paraId="620A2281" w14:textId="0373AD56" w:rsidR="00D52685" w:rsidRPr="00096869" w:rsidRDefault="00DC4B65" w:rsidP="00D52685">
      <w:pPr>
        <w:rPr>
          <w:rFonts w:eastAsia="Times New Roman"/>
          <w:lang w:eastAsia="fr-FR"/>
        </w:rPr>
      </w:pPr>
      <w:r w:rsidRPr="00096869">
        <w:rPr>
          <w:rFonts w:hint="eastAsia"/>
          <w:lang w:eastAsia="ja-JP"/>
        </w:rPr>
        <w:t>28.</w:t>
      </w:r>
      <w:r w:rsidR="00D52685" w:rsidRPr="00096869">
        <w:rPr>
          <w:rFonts w:eastAsia="Times New Roman"/>
          <w:lang w:eastAsia="fr-FR"/>
        </w:rPr>
        <w:tab/>
        <w:t xml:space="preserve">Die Bewertung ist optional, und die Robustheit wird teilweise während des Ringversuchs (Reproduzierbarkeit) bewertet (unterschiedliche Labore, Geräte, Maschinen, </w:t>
      </w:r>
      <w:r w:rsidR="00D52685" w:rsidRPr="00096869">
        <w:rPr>
          <w:rFonts w:eastAsia="Times New Roman"/>
          <w:strike/>
          <w:highlight w:val="lightGray"/>
          <w:lang w:eastAsia="fr-FR"/>
        </w:rPr>
        <w:t xml:space="preserve">Personen </w:t>
      </w:r>
      <w:r w:rsidR="00D52685" w:rsidRPr="00096869">
        <w:rPr>
          <w:rFonts w:eastAsia="Times New Roman"/>
          <w:lang w:eastAsia="fr-FR"/>
        </w:rPr>
        <w:t>usw.).</w:t>
      </w:r>
    </w:p>
    <w:p w14:paraId="39DA8A5A" w14:textId="77777777" w:rsidR="00D52685" w:rsidRPr="00096869" w:rsidRDefault="00D52685" w:rsidP="00D52685">
      <w:pPr>
        <w:rPr>
          <w:rFonts w:eastAsia="Times New Roman"/>
          <w:lang w:eastAsia="fr-FR"/>
        </w:rPr>
      </w:pPr>
    </w:p>
    <w:p w14:paraId="0FFA7038" w14:textId="77777777" w:rsidR="00D52685" w:rsidRPr="00096869" w:rsidRDefault="00D52685" w:rsidP="00D52685">
      <w:pPr>
        <w:rPr>
          <w:rFonts w:eastAsia="Times New Roman"/>
          <w:lang w:eastAsia="fr-FR"/>
        </w:rPr>
      </w:pPr>
    </w:p>
    <w:p w14:paraId="15AFDFCD" w14:textId="77777777" w:rsidR="00D52685" w:rsidRPr="00096869" w:rsidRDefault="00D52685" w:rsidP="0077577B">
      <w:pPr>
        <w:pStyle w:val="Heading1Annex"/>
        <w:rPr>
          <w:lang w:val="de-DE"/>
        </w:rPr>
      </w:pPr>
      <w:bookmarkStart w:id="112" w:name="_Toc189576574"/>
      <w:bookmarkStart w:id="113" w:name="_Toc210139354"/>
      <w:r w:rsidRPr="00096869">
        <w:rPr>
          <w:lang w:val="de-DE"/>
        </w:rPr>
        <w:t>IV.</w:t>
      </w:r>
      <w:r w:rsidRPr="00096869">
        <w:rPr>
          <w:lang w:val="de-DE"/>
        </w:rPr>
        <w:tab/>
        <w:t>Validierungsbericht</w:t>
      </w:r>
      <w:bookmarkEnd w:id="112"/>
      <w:bookmarkEnd w:id="113"/>
    </w:p>
    <w:p w14:paraId="17296B94" w14:textId="77777777" w:rsidR="00D52685" w:rsidRPr="00096869" w:rsidRDefault="00D52685" w:rsidP="00D52685">
      <w:pPr>
        <w:rPr>
          <w:rFonts w:eastAsia="Times New Roman"/>
          <w:lang w:eastAsia="fr-FR"/>
        </w:rPr>
      </w:pPr>
    </w:p>
    <w:p w14:paraId="2B10D7C5" w14:textId="7DD2CDEC" w:rsidR="00D52685" w:rsidRPr="00096869" w:rsidRDefault="00DC4B65" w:rsidP="00D52685">
      <w:pPr>
        <w:rPr>
          <w:rFonts w:eastAsia="Arial"/>
        </w:rPr>
      </w:pPr>
      <w:r w:rsidRPr="00096869">
        <w:rPr>
          <w:rFonts w:hint="eastAsia"/>
          <w:szCs w:val="24"/>
          <w:lang w:eastAsia="ja-JP"/>
        </w:rPr>
        <w:t>29.</w:t>
      </w:r>
      <w:r w:rsidR="00D52685" w:rsidRPr="00096869">
        <w:rPr>
          <w:rFonts w:eastAsia="Times New Roman"/>
          <w:szCs w:val="24"/>
          <w:lang w:eastAsia="fr-FR"/>
        </w:rPr>
        <w:tab/>
        <w:t xml:space="preserve">Der Validierungsbericht </w:t>
      </w:r>
      <w:r w:rsidR="00D52685" w:rsidRPr="00096869">
        <w:rPr>
          <w:rFonts w:eastAsia="Arial"/>
        </w:rPr>
        <w:t xml:space="preserve">und die Ergebnisse müssen von zwei (vorzugsweise drei, wenn die Reproduzierbarkeit innerhalb eines Labors durchgeführt wurde) der zuständigen Stellen begutachtet werden. </w:t>
      </w:r>
      <w:r w:rsidR="00D52685" w:rsidRPr="00096869">
        <w:rPr>
          <w:rFonts w:eastAsia="Arial"/>
          <w:highlight w:val="lightGray"/>
          <w:u w:val="single"/>
        </w:rPr>
        <w:t xml:space="preserve">Die Begutachtung erfolgt auf freiwilliger Basis, sollte jedoch vorzugsweise von einem Labor </w:t>
      </w:r>
      <w:r w:rsidR="008B3FE8" w:rsidRPr="00096869">
        <w:rPr>
          <w:rFonts w:hint="eastAsia"/>
          <w:highlight w:val="lightGray"/>
          <w:u w:val="single"/>
          <w:lang w:eastAsia="ja-JP"/>
        </w:rPr>
        <w:t xml:space="preserve">durchgeführt werden, </w:t>
      </w:r>
      <w:r w:rsidR="00D52685" w:rsidRPr="00096869">
        <w:rPr>
          <w:rFonts w:eastAsia="Arial"/>
          <w:highlight w:val="lightGray"/>
          <w:u w:val="single"/>
        </w:rPr>
        <w:t>das mit der Art und der Methode vertraut ist.</w:t>
      </w:r>
    </w:p>
    <w:p w14:paraId="40327396" w14:textId="77777777" w:rsidR="00D52685" w:rsidRPr="00096869" w:rsidRDefault="00D52685" w:rsidP="00D52685">
      <w:pPr>
        <w:rPr>
          <w:rFonts w:eastAsia="Arial"/>
        </w:rPr>
      </w:pPr>
    </w:p>
    <w:p w14:paraId="6A892538" w14:textId="34166105" w:rsidR="00D52685" w:rsidRPr="00096869" w:rsidRDefault="00DC4B65" w:rsidP="00D52685">
      <w:pPr>
        <w:rPr>
          <w:rFonts w:eastAsia="Arial"/>
        </w:rPr>
      </w:pPr>
      <w:r w:rsidRPr="00096869">
        <w:rPr>
          <w:rFonts w:hint="eastAsia"/>
          <w:lang w:eastAsia="ja-JP"/>
        </w:rPr>
        <w:t>30.</w:t>
      </w:r>
      <w:r w:rsidR="00D52685" w:rsidRPr="00096869">
        <w:rPr>
          <w:rFonts w:eastAsia="Arial"/>
        </w:rPr>
        <w:tab/>
        <w:t>Während des Begutachtungsprozesses können die Gutachter in Absprache mit dem Validierungsteam zusätzliche Validierungsdaten anfordern.</w:t>
      </w:r>
    </w:p>
    <w:p w14:paraId="2A65CC7B" w14:textId="77777777" w:rsidR="00D52685" w:rsidRPr="00096869" w:rsidRDefault="00D52685" w:rsidP="00D52685">
      <w:pPr>
        <w:rPr>
          <w:rFonts w:eastAsia="Times New Roman"/>
          <w:szCs w:val="24"/>
          <w:u w:val="single"/>
          <w:lang w:eastAsia="fr-FR"/>
        </w:rPr>
      </w:pPr>
    </w:p>
    <w:p w14:paraId="1E625D2F" w14:textId="77777777" w:rsidR="00D52685" w:rsidRPr="00096869" w:rsidRDefault="00D52685" w:rsidP="0077577B">
      <w:pPr>
        <w:pStyle w:val="Heading2Annex"/>
        <w:rPr>
          <w:lang w:val="de-DE"/>
        </w:rPr>
      </w:pPr>
      <w:bookmarkStart w:id="114" w:name="_Toc210139355"/>
      <w:r w:rsidRPr="00096869">
        <w:rPr>
          <w:lang w:val="de-DE"/>
        </w:rPr>
        <w:t>Inhalt des Validierungsberichts</w:t>
      </w:r>
      <w:bookmarkEnd w:id="114"/>
    </w:p>
    <w:p w14:paraId="3E9D8707" w14:textId="77777777" w:rsidR="00D52685" w:rsidRPr="00096869" w:rsidRDefault="00D52685" w:rsidP="00D52685">
      <w:pPr>
        <w:keepNext/>
        <w:rPr>
          <w:rFonts w:eastAsia="Times New Roman"/>
          <w:u w:val="single"/>
          <w:lang w:eastAsia="fr-FR"/>
        </w:rPr>
      </w:pPr>
    </w:p>
    <w:p w14:paraId="3C51DECD" w14:textId="77777777" w:rsidR="00D52685" w:rsidRPr="00096869" w:rsidRDefault="00D52685" w:rsidP="00D52685">
      <w:pPr>
        <w:keepNext/>
        <w:numPr>
          <w:ilvl w:val="0"/>
          <w:numId w:val="15"/>
        </w:numPr>
        <w:spacing w:after="200" w:line="276" w:lineRule="auto"/>
        <w:contextualSpacing/>
        <w:rPr>
          <w:rFonts w:eastAsia="Calibri" w:cs="Arial"/>
        </w:rPr>
      </w:pPr>
      <w:r w:rsidRPr="00096869">
        <w:rPr>
          <w:rFonts w:eastAsia="Calibri" w:cs="Arial"/>
        </w:rPr>
        <w:t>Rohdaten, die während der verschiedenen Schritte des Validierungsprozesses generiert wurden</w:t>
      </w:r>
    </w:p>
    <w:p w14:paraId="2BDD2E59" w14:textId="77777777" w:rsidR="00D52685" w:rsidRPr="00096869" w:rsidRDefault="00D52685" w:rsidP="00D52685">
      <w:pPr>
        <w:keepNext/>
        <w:numPr>
          <w:ilvl w:val="0"/>
          <w:numId w:val="15"/>
        </w:numPr>
        <w:spacing w:after="200" w:line="276" w:lineRule="auto"/>
        <w:contextualSpacing/>
        <w:rPr>
          <w:rFonts w:eastAsia="Calibri" w:cs="Arial"/>
        </w:rPr>
      </w:pPr>
      <w:r w:rsidRPr="00096869">
        <w:rPr>
          <w:rFonts w:eastAsia="Calibri" w:cs="Arial"/>
        </w:rPr>
        <w:t>Detailliertes Protokoll mit definierten optionalen und obligatorischen Schritten</w:t>
      </w:r>
    </w:p>
    <w:p w14:paraId="5F47D7EF" w14:textId="77777777" w:rsidR="00D52685" w:rsidRPr="00096869" w:rsidRDefault="00D52685" w:rsidP="00D52685">
      <w:pPr>
        <w:keepNext/>
        <w:numPr>
          <w:ilvl w:val="0"/>
          <w:numId w:val="15"/>
        </w:numPr>
        <w:spacing w:after="200" w:line="276" w:lineRule="auto"/>
        <w:contextualSpacing/>
        <w:rPr>
          <w:rFonts w:eastAsia="Calibri" w:cs="Arial"/>
        </w:rPr>
      </w:pPr>
      <w:r w:rsidRPr="00096869">
        <w:rPr>
          <w:rFonts w:eastAsia="Calibri" w:cs="Arial"/>
        </w:rPr>
        <w:t>Bewertung der Leistungskriterien</w:t>
      </w:r>
    </w:p>
    <w:p w14:paraId="6233D03A" w14:textId="77777777" w:rsidR="00D52685" w:rsidRPr="00096869" w:rsidRDefault="00D52685" w:rsidP="00D52685">
      <w:pPr>
        <w:numPr>
          <w:ilvl w:val="0"/>
          <w:numId w:val="15"/>
        </w:numPr>
        <w:spacing w:after="200" w:line="276" w:lineRule="auto"/>
        <w:contextualSpacing/>
        <w:rPr>
          <w:rFonts w:eastAsia="Calibri" w:cs="Arial"/>
        </w:rPr>
      </w:pPr>
      <w:r w:rsidRPr="00096869">
        <w:rPr>
          <w:rFonts w:eastAsia="Calibri" w:cs="Arial"/>
        </w:rPr>
        <w:t>Schlussfolgerung</w:t>
      </w:r>
    </w:p>
    <w:p w14:paraId="78C82A31" w14:textId="77777777" w:rsidR="00D52685" w:rsidRPr="00096869" w:rsidRDefault="00D52685" w:rsidP="00D52685">
      <w:pPr>
        <w:rPr>
          <w:rFonts w:eastAsia="Calibri"/>
        </w:rPr>
      </w:pPr>
    </w:p>
    <w:p w14:paraId="320793EF" w14:textId="77777777" w:rsidR="00D52685" w:rsidRPr="00096869" w:rsidRDefault="00D52685" w:rsidP="0077577B">
      <w:pPr>
        <w:pStyle w:val="Heading2Annex"/>
        <w:rPr>
          <w:lang w:val="de-DE"/>
        </w:rPr>
      </w:pPr>
      <w:bookmarkStart w:id="115" w:name="_Toc210139356"/>
      <w:r w:rsidRPr="00096869">
        <w:rPr>
          <w:lang w:val="de-DE"/>
        </w:rPr>
        <w:t>Öffentlichkeit</w:t>
      </w:r>
      <w:bookmarkEnd w:id="115"/>
    </w:p>
    <w:p w14:paraId="67C314A9" w14:textId="77777777" w:rsidR="00D52685" w:rsidRPr="00096869" w:rsidRDefault="00D52685" w:rsidP="00D52685">
      <w:pPr>
        <w:keepNext/>
        <w:rPr>
          <w:rFonts w:eastAsia="Times New Roman"/>
          <w:lang w:eastAsia="fr-FR"/>
        </w:rPr>
      </w:pPr>
    </w:p>
    <w:p w14:paraId="41FC7342" w14:textId="5CB5CB1C" w:rsidR="00D52685" w:rsidRPr="00096869" w:rsidRDefault="00DC4B65" w:rsidP="00D52685">
      <w:pPr>
        <w:rPr>
          <w:rFonts w:eastAsia="Times New Roman"/>
          <w:lang w:eastAsia="fr-FR"/>
        </w:rPr>
      </w:pPr>
      <w:r w:rsidRPr="00096869">
        <w:rPr>
          <w:rFonts w:hint="eastAsia"/>
          <w:lang w:eastAsia="ja-JP"/>
        </w:rPr>
        <w:t>31.</w:t>
      </w:r>
      <w:r w:rsidR="00D52685" w:rsidRPr="00096869">
        <w:rPr>
          <w:rFonts w:eastAsia="Times New Roman"/>
          <w:lang w:eastAsia="fr-FR"/>
        </w:rPr>
        <w:tab/>
        <w:t xml:space="preserve">Der Validierungsbericht sollte auf Anfrage verfügbar sein. Im neuen Protokoll sollte der Validierungsprozess unter Angabe der Kontaktstelle für die Prüfung erwähnt werden. In bestimmten Fällen, </w:t>
      </w:r>
      <w:r w:rsidR="00D52685" w:rsidRPr="00096869">
        <w:rPr>
          <w:rFonts w:eastAsia="Times New Roman"/>
          <w:i/>
          <w:lang w:eastAsia="fr-FR"/>
        </w:rPr>
        <w:t xml:space="preserve">z. B. </w:t>
      </w:r>
      <w:r w:rsidR="00D52685" w:rsidRPr="00096869">
        <w:rPr>
          <w:rFonts w:eastAsia="Times New Roman"/>
          <w:lang w:eastAsia="fr-FR"/>
        </w:rPr>
        <w:t xml:space="preserve">bei einem „Geschäftsgeheimnisprotokoll“ (zytoplasmatische männliche Sterilität bei Kohl), konnten das </w:t>
      </w:r>
      <w:r w:rsidR="00D52685" w:rsidRPr="00096869">
        <w:rPr>
          <w:rFonts w:eastAsia="Times New Roman"/>
          <w:lang w:eastAsia="fr-FR"/>
        </w:rPr>
        <w:lastRenderedPageBreak/>
        <w:t xml:space="preserve">Protokoll und der Validierungsbericht </w:t>
      </w:r>
      <w:r w:rsidR="00D52685" w:rsidRPr="00096869">
        <w:rPr>
          <w:rFonts w:eastAsia="Times New Roman"/>
          <w:strike/>
          <w:highlight w:val="lightGray"/>
          <w:lang w:eastAsia="fr-FR"/>
        </w:rPr>
        <w:t xml:space="preserve">nicht </w:t>
      </w:r>
      <w:r w:rsidR="002B61CD" w:rsidRPr="00096869">
        <w:rPr>
          <w:rFonts w:eastAsia="Times New Roman"/>
          <w:highlight w:val="lightGray"/>
          <w:u w:val="single"/>
          <w:lang w:eastAsia="fr-FR"/>
        </w:rPr>
        <w:t xml:space="preserve">nur </w:t>
      </w:r>
      <w:r w:rsidR="00D52685" w:rsidRPr="00096869">
        <w:rPr>
          <w:rFonts w:eastAsia="Times New Roman"/>
          <w:strike/>
          <w:highlight w:val="lightGray"/>
          <w:lang w:eastAsia="fr-FR"/>
        </w:rPr>
        <w:t xml:space="preserve">außerhalb der </w:t>
      </w:r>
      <w:r w:rsidR="00F73C17" w:rsidRPr="00F73C17">
        <w:rPr>
          <w:rFonts w:eastAsia="Times New Roman"/>
          <w:highlight w:val="lightGray"/>
          <w:u w:val="single"/>
          <w:lang w:eastAsia="fr-FR"/>
        </w:rPr>
        <w:t>zwischen</w:t>
      </w:r>
      <w:r w:rsidR="00F73C17">
        <w:rPr>
          <w:rFonts w:eastAsia="Times New Roman"/>
          <w:u w:val="single"/>
          <w:lang w:eastAsia="fr-FR"/>
        </w:rPr>
        <w:t xml:space="preserve"> </w:t>
      </w:r>
      <w:r w:rsidR="00D52685" w:rsidRPr="00096869">
        <w:rPr>
          <w:rFonts w:eastAsia="Times New Roman"/>
          <w:lang w:eastAsia="fr-FR"/>
        </w:rPr>
        <w:t>Prüfungsstellen weitergegeben werden.</w:t>
      </w:r>
    </w:p>
    <w:p w14:paraId="0CDE78FB" w14:textId="77777777" w:rsidR="00D52685" w:rsidRPr="00096869" w:rsidRDefault="00D52685" w:rsidP="00D52685">
      <w:pPr>
        <w:rPr>
          <w:rFonts w:eastAsia="Times New Roman"/>
          <w:lang w:eastAsia="fr-FR"/>
        </w:rPr>
      </w:pPr>
    </w:p>
    <w:p w14:paraId="71D76716" w14:textId="77777777" w:rsidR="0077577B" w:rsidRPr="00096869" w:rsidRDefault="0077577B" w:rsidP="00D52685">
      <w:pPr>
        <w:rPr>
          <w:rFonts w:eastAsia="Times New Roman"/>
          <w:lang w:eastAsia="fr-FR"/>
        </w:rPr>
      </w:pPr>
    </w:p>
    <w:p w14:paraId="4DD3EC08" w14:textId="5035954A" w:rsidR="00D52685" w:rsidRPr="00096869" w:rsidRDefault="00D52685" w:rsidP="0077577B">
      <w:pPr>
        <w:pStyle w:val="Heading1Annex"/>
        <w:rPr>
          <w:lang w:val="de-DE"/>
        </w:rPr>
      </w:pPr>
      <w:bookmarkStart w:id="116" w:name="_Toc210139357"/>
      <w:bookmarkStart w:id="117" w:name="_Toc189576575"/>
      <w:r w:rsidRPr="00096869">
        <w:rPr>
          <w:lang w:val="de-DE"/>
        </w:rPr>
        <w:t>V.</w:t>
      </w:r>
      <w:r w:rsidRPr="00096869">
        <w:rPr>
          <w:lang w:val="de-DE"/>
        </w:rPr>
        <w:tab/>
        <w:t>Standardprotokoll für die charakteristikspezifische molekulare Marker</w:t>
      </w:r>
      <w:bookmarkEnd w:id="116"/>
      <w:r w:rsidRPr="00096869">
        <w:rPr>
          <w:lang w:val="de-DE"/>
        </w:rPr>
        <w:t xml:space="preserve"> </w:t>
      </w:r>
      <w:bookmarkEnd w:id="117"/>
    </w:p>
    <w:p w14:paraId="5612C73F" w14:textId="77777777" w:rsidR="00D52685" w:rsidRPr="00096869" w:rsidRDefault="00D52685" w:rsidP="00D52685">
      <w:pPr>
        <w:rPr>
          <w:rFonts w:eastAsia="Times New Roman"/>
          <w:lang w:eastAsia="fr-FR"/>
        </w:rPr>
      </w:pPr>
    </w:p>
    <w:p w14:paraId="29729BA6" w14:textId="10C6C6E1" w:rsidR="00D52685" w:rsidRPr="00096869" w:rsidRDefault="00DC4B65" w:rsidP="00D52685">
      <w:pPr>
        <w:rPr>
          <w:rFonts w:eastAsia="Times New Roman"/>
          <w:lang w:eastAsia="fr-FR"/>
        </w:rPr>
      </w:pPr>
      <w:r w:rsidRPr="00096869">
        <w:rPr>
          <w:rFonts w:hint="eastAsia"/>
          <w:lang w:eastAsia="ja-JP"/>
        </w:rPr>
        <w:t>32.</w:t>
      </w:r>
      <w:r w:rsidR="00D52685" w:rsidRPr="00096869">
        <w:rPr>
          <w:rFonts w:eastAsia="Times New Roman"/>
          <w:lang w:eastAsia="fr-FR"/>
        </w:rPr>
        <w:tab/>
        <w:t>Obligatorische Elemente sind in der Spalte „wesentliche Informationen“ angegeben, die anderen Elemente können je nach Merkmalstestprotokoll verwendet werden. Wenn ein Labor ein obligatorisches Kapitel oder ein Element eines obligatorischen Kapitels anpassen/modifizieren/ändern möchte, muss es seine Methode im Vergleich zur Referenzmethode validieren (um zu zeigen, dass Sie die gleichen Ergebnisse wie die veröffentlichte Methode erzielen).</w:t>
      </w:r>
    </w:p>
    <w:p w14:paraId="2CC9E807" w14:textId="77777777" w:rsidR="00D52685" w:rsidRPr="00096869" w:rsidRDefault="00D52685" w:rsidP="00D52685">
      <w:pPr>
        <w:rPr>
          <w:rFonts w:eastAsia="Times New Roman"/>
          <w:lang w:eastAsia="fr-FR"/>
        </w:rPr>
      </w:pPr>
    </w:p>
    <w:p w14:paraId="58D71B46" w14:textId="510287EE" w:rsidR="00D52685" w:rsidRPr="00096869" w:rsidRDefault="00D52685" w:rsidP="00D52685">
      <w:pPr>
        <w:keepNext/>
        <w:jc w:val="center"/>
        <w:rPr>
          <w:rFonts w:eastAsia="Times New Roman"/>
          <w:lang w:eastAsia="fr-FR"/>
        </w:rPr>
      </w:pPr>
      <w:r w:rsidRPr="00096869">
        <w:rPr>
          <w:rFonts w:eastAsia="Calibri" w:cs="Arial"/>
        </w:rPr>
        <w:t>Tabelle 1</w:t>
      </w:r>
      <w:r w:rsidRPr="00096869">
        <w:rPr>
          <w:rFonts w:eastAsia="Times New Roman"/>
          <w:lang w:eastAsia="fr-FR"/>
        </w:rPr>
        <w:t xml:space="preserve">: Standardprotokoll für merkmalspezifische molekulare Marker </w:t>
      </w:r>
      <w:r w:rsidR="00507A37">
        <w:rPr>
          <w:rFonts w:eastAsia="Times New Roman"/>
          <w:lang w:eastAsia="fr-FR"/>
        </w:rPr>
        <w:br/>
      </w:r>
      <w:r w:rsidRPr="00096869">
        <w:rPr>
          <w:rFonts w:eastAsia="Times New Roman"/>
          <w:lang w:eastAsia="fr-FR"/>
        </w:rPr>
        <w:t xml:space="preserve">(Änderungen sind </w:t>
      </w:r>
      <w:r w:rsidRPr="00096869">
        <w:rPr>
          <w:rFonts w:eastAsia="Times New Roman"/>
          <w:highlight w:val="lightGray"/>
          <w:lang w:eastAsia="fr-FR"/>
        </w:rPr>
        <w:t>grau hervorgehoben</w:t>
      </w:r>
      <w:r w:rsidRPr="00096869">
        <w:rPr>
          <w:rFonts w:eastAsia="Times New Roman"/>
          <w:lang w:eastAsia="fr-FR"/>
        </w:rPr>
        <w:t>)</w:t>
      </w:r>
    </w:p>
    <w:p w14:paraId="4F3E3840" w14:textId="77777777" w:rsidR="00D52685" w:rsidRPr="00096869" w:rsidRDefault="00D52685" w:rsidP="00D52685">
      <w:pPr>
        <w:keepNext/>
        <w:rPr>
          <w:rFonts w:eastAsia="Times New Roman"/>
          <w:lang w:eastAsia="fr-FR"/>
        </w:rPr>
      </w:pPr>
    </w:p>
    <w:tbl>
      <w:tblPr>
        <w:tblW w:w="529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700"/>
        <w:gridCol w:w="1565"/>
        <w:gridCol w:w="2416"/>
        <w:gridCol w:w="1410"/>
        <w:gridCol w:w="3953"/>
        <w:gridCol w:w="159"/>
      </w:tblGrid>
      <w:tr w:rsidR="00D52685" w:rsidRPr="00096869" w14:paraId="2949FA35" w14:textId="77777777" w:rsidTr="00451DC9">
        <w:trPr>
          <w:gridAfter w:val="1"/>
          <w:wAfter w:w="78" w:type="pct"/>
          <w:trHeight w:val="810"/>
          <w:tblHeader/>
        </w:trPr>
        <w:tc>
          <w:tcPr>
            <w:tcW w:w="343" w:type="pct"/>
            <w:shd w:val="clear" w:color="auto" w:fill="F2F2F2" w:themeFill="background1" w:themeFillShade="F2"/>
            <w:vAlign w:val="center"/>
            <w:hideMark/>
          </w:tcPr>
          <w:p w14:paraId="2100D7B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Kapitel</w:t>
            </w:r>
          </w:p>
        </w:tc>
        <w:tc>
          <w:tcPr>
            <w:tcW w:w="767" w:type="pct"/>
            <w:shd w:val="clear" w:color="auto" w:fill="F2F2F2" w:themeFill="background1" w:themeFillShade="F2"/>
            <w:vAlign w:val="center"/>
            <w:hideMark/>
          </w:tcPr>
          <w:p w14:paraId="385FCFCF" w14:textId="6D21041A"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Elemente in einem Standardprotokoll für charakteristik</w:t>
            </w:r>
            <w:r w:rsidR="00451DC9">
              <w:rPr>
                <w:rFonts w:eastAsia="Times New Roman" w:cs="Arial"/>
                <w:color w:val="000000"/>
                <w:sz w:val="18"/>
                <w:szCs w:val="18"/>
                <w:lang w:eastAsia="nl-NL"/>
              </w:rPr>
              <w:t>-</w:t>
            </w:r>
            <w:r w:rsidRPr="00096869">
              <w:rPr>
                <w:rFonts w:eastAsia="Times New Roman" w:cs="Arial"/>
                <w:color w:val="000000"/>
                <w:sz w:val="18"/>
                <w:szCs w:val="18"/>
                <w:lang w:eastAsia="nl-NL"/>
              </w:rPr>
              <w:t>spezifische molekulare Marker</w:t>
            </w:r>
          </w:p>
        </w:tc>
        <w:tc>
          <w:tcPr>
            <w:tcW w:w="1184" w:type="pct"/>
            <w:shd w:val="clear" w:color="auto" w:fill="F2F2F2" w:themeFill="background1" w:themeFillShade="F2"/>
            <w:vAlign w:val="center"/>
            <w:hideMark/>
          </w:tcPr>
          <w:p w14:paraId="4EB4139C"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Beispiel</w:t>
            </w:r>
          </w:p>
        </w:tc>
        <w:tc>
          <w:tcPr>
            <w:tcW w:w="691" w:type="pct"/>
            <w:shd w:val="clear" w:color="auto" w:fill="F2F2F2" w:themeFill="background1" w:themeFillShade="F2"/>
            <w:vAlign w:val="center"/>
            <w:hideMark/>
          </w:tcPr>
          <w:p w14:paraId="6D613896"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Wesentliche Informationen für die Harmonisierung</w:t>
            </w:r>
          </w:p>
        </w:tc>
        <w:tc>
          <w:tcPr>
            <w:tcW w:w="1937" w:type="pct"/>
            <w:shd w:val="clear" w:color="auto" w:fill="F2F2F2" w:themeFill="background1" w:themeFillShade="F2"/>
            <w:vAlign w:val="center"/>
            <w:hideMark/>
          </w:tcPr>
          <w:p w14:paraId="45C4C86E"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Anmerkung</w:t>
            </w:r>
          </w:p>
        </w:tc>
      </w:tr>
      <w:tr w:rsidR="00D52685" w:rsidRPr="00096869" w14:paraId="75E059D9" w14:textId="77777777" w:rsidTr="00451DC9">
        <w:trPr>
          <w:gridAfter w:val="1"/>
          <w:wAfter w:w="78" w:type="pct"/>
          <w:cantSplit/>
          <w:trHeight w:val="300"/>
        </w:trPr>
        <w:tc>
          <w:tcPr>
            <w:tcW w:w="343" w:type="pct"/>
            <w:vMerge w:val="restart"/>
            <w:vAlign w:val="center"/>
            <w:hideMark/>
          </w:tcPr>
          <w:p w14:paraId="1610795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1</w:t>
            </w:r>
          </w:p>
        </w:tc>
        <w:tc>
          <w:tcPr>
            <w:tcW w:w="767" w:type="pct"/>
            <w:vMerge w:val="restart"/>
            <w:vAlign w:val="center"/>
            <w:hideMark/>
          </w:tcPr>
          <w:p w14:paraId="110C511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Merkmal</w:t>
            </w:r>
          </w:p>
        </w:tc>
        <w:tc>
          <w:tcPr>
            <w:tcW w:w="1184" w:type="pct"/>
            <w:vAlign w:val="center"/>
            <w:hideMark/>
          </w:tcPr>
          <w:p w14:paraId="208F4EE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Resistenz gegen das Tomatenmosaikvirus (ToMV)</w:t>
            </w:r>
          </w:p>
        </w:tc>
        <w:tc>
          <w:tcPr>
            <w:tcW w:w="691" w:type="pct"/>
            <w:vMerge w:val="restart"/>
            <w:vAlign w:val="center"/>
            <w:hideMark/>
          </w:tcPr>
          <w:p w14:paraId="34D19C5A"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Merge w:val="restart"/>
            <w:vAlign w:val="center"/>
            <w:hideMark/>
          </w:tcPr>
          <w:p w14:paraId="6867EC47" w14:textId="77777777" w:rsidR="00D52685" w:rsidRPr="00096869" w:rsidRDefault="00D52685" w:rsidP="00D52685">
            <w:pPr>
              <w:jc w:val="left"/>
              <w:rPr>
                <w:rFonts w:eastAsia="Times New Roman" w:cs="Arial"/>
                <w:color w:val="000000"/>
                <w:sz w:val="18"/>
                <w:szCs w:val="18"/>
                <w:lang w:eastAsia="fr-FR"/>
              </w:rPr>
            </w:pPr>
          </w:p>
        </w:tc>
      </w:tr>
      <w:tr w:rsidR="00D52685" w:rsidRPr="00096869" w14:paraId="2393EB6E" w14:textId="77777777" w:rsidTr="00451DC9">
        <w:trPr>
          <w:gridAfter w:val="1"/>
          <w:wAfter w:w="78" w:type="pct"/>
          <w:cantSplit/>
          <w:trHeight w:val="315"/>
        </w:trPr>
        <w:tc>
          <w:tcPr>
            <w:tcW w:w="343" w:type="pct"/>
            <w:vMerge/>
            <w:vAlign w:val="center"/>
            <w:hideMark/>
          </w:tcPr>
          <w:p w14:paraId="3AE3D5EA"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5192440E"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7349A2F3" w14:textId="4CBBCDEC"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iCs/>
                <w:color w:val="000000"/>
                <w:sz w:val="18"/>
                <w:szCs w:val="18"/>
                <w:lang w:eastAsia="fr-FR"/>
              </w:rPr>
              <w:t xml:space="preserve">Siehe </w:t>
            </w:r>
            <w:r w:rsidRPr="00096869">
              <w:rPr>
                <w:rFonts w:eastAsia="Times New Roman" w:cs="Arial"/>
                <w:i/>
                <w:iCs/>
                <w:strike/>
                <w:color w:val="000000"/>
                <w:sz w:val="18"/>
                <w:szCs w:val="18"/>
                <w:highlight w:val="lightGray"/>
                <w:lang w:eastAsia="fr-FR"/>
              </w:rPr>
              <w:t xml:space="preserve">TG/44/1211/rev3 </w:t>
            </w:r>
            <w:r w:rsidRPr="00096869">
              <w:rPr>
                <w:rFonts w:eastAsia="Times New Roman" w:cs="Arial"/>
                <w:i/>
                <w:iCs/>
                <w:color w:val="000000"/>
                <w:sz w:val="18"/>
                <w:szCs w:val="18"/>
                <w:lang w:eastAsia="fr-FR"/>
              </w:rPr>
              <w:t xml:space="preserve">– Ad 51: ii DNA-Markertest </w:t>
            </w:r>
          </w:p>
        </w:tc>
        <w:tc>
          <w:tcPr>
            <w:tcW w:w="691" w:type="pct"/>
            <w:vMerge/>
            <w:vAlign w:val="center"/>
            <w:hideMark/>
          </w:tcPr>
          <w:p w14:paraId="6AFD4A9F" w14:textId="77777777" w:rsidR="00D52685" w:rsidRPr="00096869" w:rsidRDefault="00D52685" w:rsidP="00D52685">
            <w:pPr>
              <w:jc w:val="left"/>
              <w:rPr>
                <w:rFonts w:eastAsia="Times New Roman" w:cs="Arial"/>
                <w:color w:val="000000"/>
                <w:sz w:val="18"/>
                <w:szCs w:val="18"/>
                <w:lang w:eastAsia="fr-FR"/>
              </w:rPr>
            </w:pPr>
          </w:p>
        </w:tc>
        <w:tc>
          <w:tcPr>
            <w:tcW w:w="1937" w:type="pct"/>
            <w:vMerge/>
            <w:vAlign w:val="center"/>
            <w:hideMark/>
          </w:tcPr>
          <w:p w14:paraId="1224A9D4" w14:textId="77777777" w:rsidR="00D52685" w:rsidRPr="00096869" w:rsidRDefault="00D52685" w:rsidP="00D52685">
            <w:pPr>
              <w:jc w:val="left"/>
              <w:rPr>
                <w:rFonts w:eastAsia="Times New Roman" w:cs="Arial"/>
                <w:color w:val="000000"/>
                <w:sz w:val="18"/>
                <w:szCs w:val="18"/>
                <w:lang w:eastAsia="fr-FR"/>
              </w:rPr>
            </w:pPr>
          </w:p>
        </w:tc>
      </w:tr>
      <w:tr w:rsidR="00D52685" w:rsidRPr="00096869" w14:paraId="340FF67C" w14:textId="77777777" w:rsidTr="00451DC9">
        <w:trPr>
          <w:gridAfter w:val="1"/>
          <w:wAfter w:w="78" w:type="pct"/>
          <w:cantSplit/>
          <w:trHeight w:val="525"/>
        </w:trPr>
        <w:tc>
          <w:tcPr>
            <w:tcW w:w="343" w:type="pct"/>
            <w:vAlign w:val="center"/>
            <w:hideMark/>
          </w:tcPr>
          <w:p w14:paraId="7CBBA46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2</w:t>
            </w:r>
          </w:p>
        </w:tc>
        <w:tc>
          <w:tcPr>
            <w:tcW w:w="767" w:type="pct"/>
            <w:vAlign w:val="center"/>
            <w:hideMark/>
          </w:tcPr>
          <w:p w14:paraId="459E6A7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Gene und Allele</w:t>
            </w:r>
          </w:p>
        </w:tc>
        <w:tc>
          <w:tcPr>
            <w:tcW w:w="1184" w:type="pct"/>
            <w:vAlign w:val="center"/>
            <w:hideMark/>
          </w:tcPr>
          <w:p w14:paraId="696744D9" w14:textId="1B16F74F"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iCs/>
                <w:color w:val="000000"/>
                <w:sz w:val="18"/>
                <w:szCs w:val="18"/>
                <w:lang w:eastAsia="fr-FR"/>
              </w:rPr>
              <w:t xml:space="preserve">Siehe </w:t>
            </w:r>
            <w:r w:rsidR="00D21487" w:rsidRPr="00096869">
              <w:rPr>
                <w:rFonts w:eastAsia="Times New Roman" w:cs="Arial"/>
                <w:i/>
                <w:iCs/>
                <w:strike/>
                <w:color w:val="000000"/>
                <w:sz w:val="18"/>
                <w:szCs w:val="18"/>
                <w:highlight w:val="lightGray"/>
                <w:lang w:eastAsia="fr-FR"/>
              </w:rPr>
              <w:t xml:space="preserve">TG/44/1211/rev3 </w:t>
            </w:r>
            <w:r w:rsidRPr="00096869">
              <w:rPr>
                <w:rFonts w:eastAsia="Times New Roman" w:cs="Arial"/>
                <w:i/>
                <w:iCs/>
                <w:color w:val="000000"/>
                <w:sz w:val="18"/>
                <w:szCs w:val="18"/>
                <w:lang w:eastAsia="fr-FR"/>
              </w:rPr>
              <w:t>– Ad 51: ii DNA-Markertest hinzufügen 2</w:t>
            </w:r>
          </w:p>
        </w:tc>
        <w:tc>
          <w:tcPr>
            <w:tcW w:w="691" w:type="pct"/>
            <w:vAlign w:val="center"/>
            <w:hideMark/>
          </w:tcPr>
          <w:p w14:paraId="39C92F1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761F912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Dominante Marker oder Marker für Vorhandensein/Fehlen müssen vermieden werden, andernfalls sollte die Robustheit bewertet werden.</w:t>
            </w:r>
          </w:p>
        </w:tc>
      </w:tr>
      <w:tr w:rsidR="00D52685" w:rsidRPr="00096869" w14:paraId="5094D7F9" w14:textId="77777777" w:rsidTr="00451DC9">
        <w:trPr>
          <w:gridAfter w:val="1"/>
          <w:wAfter w:w="78" w:type="pct"/>
          <w:cantSplit/>
          <w:trHeight w:val="510"/>
        </w:trPr>
        <w:tc>
          <w:tcPr>
            <w:tcW w:w="343" w:type="pct"/>
            <w:vMerge w:val="restart"/>
            <w:vAlign w:val="center"/>
            <w:hideMark/>
          </w:tcPr>
          <w:p w14:paraId="636FB5CE"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2.1</w:t>
            </w:r>
          </w:p>
        </w:tc>
        <w:tc>
          <w:tcPr>
            <w:tcW w:w="767" w:type="pct"/>
            <w:vMerge w:val="restart"/>
            <w:vAlign w:val="center"/>
            <w:hideMark/>
          </w:tcPr>
          <w:p w14:paraId="4F9E99F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Zielgene</w:t>
            </w:r>
          </w:p>
        </w:tc>
        <w:tc>
          <w:tcPr>
            <w:tcW w:w="1184" w:type="pct"/>
            <w:vAlign w:val="center"/>
            <w:hideMark/>
          </w:tcPr>
          <w:p w14:paraId="12859BC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Resistenzgen </w:t>
            </w:r>
            <w:r w:rsidRPr="00096869">
              <w:rPr>
                <w:rFonts w:eastAsia="Times New Roman" w:cs="Arial"/>
                <w:i/>
                <w:color w:val="000000"/>
                <w:sz w:val="18"/>
                <w:szCs w:val="18"/>
                <w:lang w:eastAsia="nl-NL"/>
              </w:rPr>
              <w:t>Tm2</w:t>
            </w:r>
          </w:p>
        </w:tc>
        <w:tc>
          <w:tcPr>
            <w:tcW w:w="691" w:type="pct"/>
            <w:vMerge w:val="restart"/>
            <w:vAlign w:val="center"/>
            <w:hideMark/>
          </w:tcPr>
          <w:p w14:paraId="2AB6159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2666CB6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a) Datei(en) mit den DNA-Sequenzinformationen (Reihenfolge der Nukleotide) </w:t>
            </w:r>
          </w:p>
        </w:tc>
      </w:tr>
      <w:tr w:rsidR="00D52685" w:rsidRPr="00096869" w14:paraId="4993AD7B" w14:textId="77777777" w:rsidTr="00451DC9">
        <w:trPr>
          <w:gridAfter w:val="1"/>
          <w:wAfter w:w="78" w:type="pct"/>
          <w:cantSplit/>
          <w:trHeight w:val="510"/>
        </w:trPr>
        <w:tc>
          <w:tcPr>
            <w:tcW w:w="343" w:type="pct"/>
            <w:vMerge/>
            <w:vAlign w:val="center"/>
            <w:hideMark/>
          </w:tcPr>
          <w:p w14:paraId="792E4AD6"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7FF9FCB5"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3460AD7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fr-FR"/>
              </w:rPr>
              <w:t>Arens, P. et al (2010)</w:t>
            </w:r>
          </w:p>
        </w:tc>
        <w:tc>
          <w:tcPr>
            <w:tcW w:w="691" w:type="pct"/>
            <w:vMerge/>
            <w:vAlign w:val="center"/>
            <w:hideMark/>
          </w:tcPr>
          <w:p w14:paraId="7BEB2529"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06FD96E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b) Verweis auf DNA-Informationen in öffentlichen Datenbanken (wie GeneBank)</w:t>
            </w:r>
          </w:p>
        </w:tc>
      </w:tr>
      <w:tr w:rsidR="00D52685" w:rsidRPr="00096869" w14:paraId="6B6522EB" w14:textId="77777777" w:rsidTr="00451DC9">
        <w:trPr>
          <w:gridAfter w:val="1"/>
          <w:wAfter w:w="78" w:type="pct"/>
          <w:cantSplit/>
          <w:trHeight w:val="765"/>
        </w:trPr>
        <w:tc>
          <w:tcPr>
            <w:tcW w:w="343" w:type="pct"/>
            <w:vMerge/>
            <w:vAlign w:val="center"/>
            <w:hideMark/>
          </w:tcPr>
          <w:p w14:paraId="4173280B"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79D3F819"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53E1C992" w14:textId="77777777" w:rsidR="00D52685" w:rsidRPr="00096869" w:rsidRDefault="00D52685" w:rsidP="00D52685">
            <w:pPr>
              <w:jc w:val="left"/>
              <w:rPr>
                <w:rFonts w:eastAsia="Times New Roman" w:cs="Arial"/>
                <w:i/>
                <w:iCs/>
                <w:color w:val="000000"/>
                <w:sz w:val="18"/>
                <w:szCs w:val="18"/>
                <w:lang w:eastAsia="fr-FR"/>
              </w:rPr>
            </w:pPr>
          </w:p>
        </w:tc>
        <w:tc>
          <w:tcPr>
            <w:tcW w:w="691" w:type="pct"/>
            <w:vMerge/>
            <w:vAlign w:val="center"/>
            <w:hideMark/>
          </w:tcPr>
          <w:p w14:paraId="17FED4DC"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2638C83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c) Verweis auf (wissenschaftliche) Veröffentlichungen, in denen die DNA-Sequenzinformationen der Ausprägungsstufen des Merkmals offengelegt werden.</w:t>
            </w:r>
          </w:p>
        </w:tc>
      </w:tr>
      <w:tr w:rsidR="00D52685" w:rsidRPr="00096869" w14:paraId="6D887419" w14:textId="77777777" w:rsidTr="00451DC9">
        <w:trPr>
          <w:gridAfter w:val="1"/>
          <w:wAfter w:w="78" w:type="pct"/>
          <w:cantSplit/>
          <w:trHeight w:val="525"/>
        </w:trPr>
        <w:tc>
          <w:tcPr>
            <w:tcW w:w="343" w:type="pct"/>
            <w:vMerge/>
            <w:vAlign w:val="center"/>
            <w:hideMark/>
          </w:tcPr>
          <w:p w14:paraId="21F97BC5"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7B0E0BB4" w14:textId="77777777" w:rsidR="00D52685" w:rsidRPr="00096869" w:rsidRDefault="00D52685" w:rsidP="00D52685">
            <w:pPr>
              <w:jc w:val="left"/>
              <w:rPr>
                <w:rFonts w:eastAsia="Times New Roman" w:cs="Arial"/>
                <w:color w:val="000000"/>
                <w:sz w:val="18"/>
                <w:szCs w:val="18"/>
                <w:lang w:eastAsia="fr-FR"/>
              </w:rPr>
            </w:pPr>
          </w:p>
        </w:tc>
        <w:tc>
          <w:tcPr>
            <w:tcW w:w="1184" w:type="pct"/>
            <w:hideMark/>
          </w:tcPr>
          <w:p w14:paraId="64E4021B"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1A31C09E"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01B73C1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d) Verweis auf eine bestimmte Position in der veröffentlichten Referenzgenomversion.</w:t>
            </w:r>
          </w:p>
        </w:tc>
      </w:tr>
      <w:tr w:rsidR="00D52685" w:rsidRPr="00096869" w14:paraId="39D85085" w14:textId="77777777" w:rsidTr="00451DC9">
        <w:trPr>
          <w:gridAfter w:val="1"/>
          <w:wAfter w:w="78" w:type="pct"/>
          <w:cantSplit/>
          <w:trHeight w:val="510"/>
        </w:trPr>
        <w:tc>
          <w:tcPr>
            <w:tcW w:w="343" w:type="pct"/>
            <w:vMerge w:val="restart"/>
            <w:vAlign w:val="center"/>
            <w:hideMark/>
          </w:tcPr>
          <w:p w14:paraId="26DAE31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2.2</w:t>
            </w:r>
          </w:p>
        </w:tc>
        <w:tc>
          <w:tcPr>
            <w:tcW w:w="767" w:type="pct"/>
            <w:vMerge w:val="restart"/>
            <w:vAlign w:val="center"/>
            <w:hideMark/>
          </w:tcPr>
          <w:p w14:paraId="3645B0A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Allel, das dem Ausprägungszustand 1 entspricht </w:t>
            </w:r>
          </w:p>
        </w:tc>
        <w:tc>
          <w:tcPr>
            <w:tcW w:w="1184" w:type="pct"/>
            <w:vAlign w:val="center"/>
            <w:hideMark/>
          </w:tcPr>
          <w:p w14:paraId="2A9700B0" w14:textId="77777777" w:rsidR="00D52685" w:rsidRPr="00096869" w:rsidRDefault="00D52685" w:rsidP="00D52685">
            <w:pPr>
              <w:jc w:val="left"/>
              <w:rPr>
                <w:rFonts w:eastAsia="Times New Roman" w:cs="Arial"/>
                <w:i/>
                <w:color w:val="000000"/>
                <w:sz w:val="18"/>
                <w:szCs w:val="18"/>
                <w:lang w:eastAsia="fr-FR"/>
              </w:rPr>
            </w:pPr>
            <w:r w:rsidRPr="00096869">
              <w:rPr>
                <w:rFonts w:eastAsia="Times New Roman" w:cs="Arial"/>
                <w:i/>
                <w:color w:val="000000"/>
                <w:sz w:val="18"/>
                <w:szCs w:val="18"/>
                <w:lang w:eastAsia="nl-NL"/>
              </w:rPr>
              <w:t>tm2</w:t>
            </w:r>
          </w:p>
        </w:tc>
        <w:tc>
          <w:tcPr>
            <w:tcW w:w="691" w:type="pct"/>
            <w:vMerge w:val="restart"/>
            <w:vAlign w:val="center"/>
            <w:hideMark/>
          </w:tcPr>
          <w:p w14:paraId="7E0229B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340834A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a) Datei(en) mit den DNA-Sequenzinformationen (Reihenfolge der Nukleotide) </w:t>
            </w:r>
          </w:p>
        </w:tc>
      </w:tr>
      <w:tr w:rsidR="00D52685" w:rsidRPr="00096869" w14:paraId="5FBAC9C9" w14:textId="77777777" w:rsidTr="00451DC9">
        <w:trPr>
          <w:gridAfter w:val="1"/>
          <w:wAfter w:w="78" w:type="pct"/>
          <w:cantSplit/>
          <w:trHeight w:val="510"/>
        </w:trPr>
        <w:tc>
          <w:tcPr>
            <w:tcW w:w="343" w:type="pct"/>
            <w:vMerge/>
            <w:vAlign w:val="center"/>
            <w:hideMark/>
          </w:tcPr>
          <w:p w14:paraId="3A95C918"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1F508233"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6E9FA841"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fr-FR"/>
              </w:rPr>
              <w:t>Arens, P. et al (2010)</w:t>
            </w:r>
          </w:p>
        </w:tc>
        <w:tc>
          <w:tcPr>
            <w:tcW w:w="691" w:type="pct"/>
            <w:vMerge/>
            <w:vAlign w:val="center"/>
            <w:hideMark/>
          </w:tcPr>
          <w:p w14:paraId="7E06BB9F"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6358C64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b) Verweis auf DNA-Informationen in öffentlichen Datenbanken (wie GeneBank)</w:t>
            </w:r>
          </w:p>
        </w:tc>
      </w:tr>
      <w:tr w:rsidR="00D52685" w:rsidRPr="00096869" w14:paraId="50A8DD70" w14:textId="77777777" w:rsidTr="00451DC9">
        <w:trPr>
          <w:gridAfter w:val="1"/>
          <w:wAfter w:w="78" w:type="pct"/>
          <w:cantSplit/>
          <w:trHeight w:val="765"/>
        </w:trPr>
        <w:tc>
          <w:tcPr>
            <w:tcW w:w="343" w:type="pct"/>
            <w:vMerge/>
            <w:vAlign w:val="center"/>
            <w:hideMark/>
          </w:tcPr>
          <w:p w14:paraId="1BDC0EDF"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6433353C"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1B8E2FCB"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38CC2EED"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0C310C1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c) Verweis auf (wissenschaftliche) Veröffentlichungen, in denen die DNA-Sequenzinformationen der Ausprägungsstufen des Merkmals offengelegt werden.</w:t>
            </w:r>
          </w:p>
        </w:tc>
      </w:tr>
      <w:tr w:rsidR="00D52685" w:rsidRPr="00096869" w14:paraId="20FC4373" w14:textId="77777777" w:rsidTr="00451DC9">
        <w:trPr>
          <w:gridAfter w:val="1"/>
          <w:wAfter w:w="78" w:type="pct"/>
          <w:cantSplit/>
          <w:trHeight w:val="1035"/>
        </w:trPr>
        <w:tc>
          <w:tcPr>
            <w:tcW w:w="343" w:type="pct"/>
            <w:vMerge/>
            <w:vAlign w:val="center"/>
            <w:hideMark/>
          </w:tcPr>
          <w:p w14:paraId="7943F5CA"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3F3939FF" w14:textId="77777777" w:rsidR="00D52685" w:rsidRPr="00096869" w:rsidRDefault="00D52685" w:rsidP="00D52685">
            <w:pPr>
              <w:jc w:val="left"/>
              <w:rPr>
                <w:rFonts w:eastAsia="Times New Roman" w:cs="Arial"/>
                <w:color w:val="000000"/>
                <w:sz w:val="18"/>
                <w:szCs w:val="18"/>
                <w:lang w:eastAsia="fr-FR"/>
              </w:rPr>
            </w:pPr>
          </w:p>
        </w:tc>
        <w:tc>
          <w:tcPr>
            <w:tcW w:w="1184" w:type="pct"/>
            <w:hideMark/>
          </w:tcPr>
          <w:p w14:paraId="1172CFF8"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7CA118E2"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4B44945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d) Verweis auf eine bestimmte Position in der veröffentlichten Referenzgenomversion in Kombination mit dem SNP oder INDEL, das für den Expressionszustand verantwortlich ist.</w:t>
            </w:r>
          </w:p>
        </w:tc>
      </w:tr>
      <w:tr w:rsidR="00D52685" w:rsidRPr="00096869" w14:paraId="316FC3F6" w14:textId="77777777" w:rsidTr="00451DC9">
        <w:trPr>
          <w:gridAfter w:val="1"/>
          <w:wAfter w:w="78" w:type="pct"/>
          <w:cantSplit/>
          <w:trHeight w:val="510"/>
        </w:trPr>
        <w:tc>
          <w:tcPr>
            <w:tcW w:w="343" w:type="pct"/>
            <w:vMerge w:val="restart"/>
            <w:vAlign w:val="center"/>
            <w:hideMark/>
          </w:tcPr>
          <w:p w14:paraId="08B444D5"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lastRenderedPageBreak/>
              <w:t>2.3</w:t>
            </w:r>
          </w:p>
        </w:tc>
        <w:tc>
          <w:tcPr>
            <w:tcW w:w="767" w:type="pct"/>
            <w:vMerge w:val="restart"/>
            <w:vAlign w:val="center"/>
            <w:hideMark/>
          </w:tcPr>
          <w:p w14:paraId="06C15FBF"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Allel, das dem Expressionszustand n entspricht </w:t>
            </w:r>
          </w:p>
        </w:tc>
        <w:tc>
          <w:tcPr>
            <w:tcW w:w="1184" w:type="pct"/>
            <w:vAlign w:val="center"/>
            <w:hideMark/>
          </w:tcPr>
          <w:p w14:paraId="4382D6FD"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i/>
                <w:color w:val="000000"/>
                <w:sz w:val="18"/>
                <w:szCs w:val="18"/>
                <w:lang w:eastAsia="nl-NL"/>
              </w:rPr>
              <w:t xml:space="preserve">Tm2 </w:t>
            </w:r>
            <w:r w:rsidRPr="00096869">
              <w:rPr>
                <w:rFonts w:eastAsia="Times New Roman" w:cs="Arial"/>
                <w:color w:val="000000"/>
                <w:sz w:val="18"/>
                <w:szCs w:val="18"/>
                <w:lang w:eastAsia="nl-NL"/>
              </w:rPr>
              <w:t xml:space="preserve">und </w:t>
            </w:r>
            <w:r w:rsidRPr="00096869">
              <w:rPr>
                <w:rFonts w:eastAsia="Times New Roman" w:cs="Arial"/>
                <w:i/>
                <w:color w:val="000000"/>
                <w:sz w:val="18"/>
                <w:szCs w:val="18"/>
                <w:lang w:eastAsia="nl-NL"/>
              </w:rPr>
              <w:t>Tm2</w:t>
            </w:r>
            <w:r w:rsidRPr="00096869">
              <w:rPr>
                <w:rFonts w:eastAsia="Times New Roman" w:cs="Arial"/>
                <w:color w:val="000000"/>
                <w:sz w:val="18"/>
                <w:szCs w:val="18"/>
                <w:vertAlign w:val="superscript"/>
                <w:lang w:eastAsia="nl-NL"/>
              </w:rPr>
              <w:t>2</w:t>
            </w:r>
          </w:p>
        </w:tc>
        <w:tc>
          <w:tcPr>
            <w:tcW w:w="691" w:type="pct"/>
            <w:vMerge w:val="restart"/>
            <w:vAlign w:val="center"/>
            <w:hideMark/>
          </w:tcPr>
          <w:p w14:paraId="0D7E6F05"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4675D4C1"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a) Datei(en) mit den DNA-Sequenzinformationen (Reihenfolge der Nukleotide) </w:t>
            </w:r>
          </w:p>
        </w:tc>
      </w:tr>
      <w:tr w:rsidR="00D52685" w:rsidRPr="00096869" w14:paraId="391ED4AA" w14:textId="77777777" w:rsidTr="00451DC9">
        <w:trPr>
          <w:gridAfter w:val="1"/>
          <w:wAfter w:w="78" w:type="pct"/>
          <w:cantSplit/>
          <w:trHeight w:val="510"/>
        </w:trPr>
        <w:tc>
          <w:tcPr>
            <w:tcW w:w="343" w:type="pct"/>
            <w:vMerge/>
            <w:vAlign w:val="center"/>
            <w:hideMark/>
          </w:tcPr>
          <w:p w14:paraId="27BD71A9" w14:textId="77777777" w:rsidR="00D52685" w:rsidRPr="00096869" w:rsidRDefault="00D52685" w:rsidP="00D52685">
            <w:pPr>
              <w:keepNext/>
              <w:jc w:val="left"/>
              <w:rPr>
                <w:rFonts w:eastAsia="Times New Roman" w:cs="Arial"/>
                <w:color w:val="000000"/>
                <w:sz w:val="18"/>
                <w:szCs w:val="18"/>
                <w:lang w:eastAsia="fr-FR"/>
              </w:rPr>
            </w:pPr>
          </w:p>
        </w:tc>
        <w:tc>
          <w:tcPr>
            <w:tcW w:w="767" w:type="pct"/>
            <w:vMerge/>
            <w:vAlign w:val="center"/>
            <w:hideMark/>
          </w:tcPr>
          <w:p w14:paraId="29BE2A33" w14:textId="77777777" w:rsidR="00D52685" w:rsidRPr="00096869" w:rsidRDefault="00D52685" w:rsidP="00D52685">
            <w:pPr>
              <w:keepNext/>
              <w:jc w:val="left"/>
              <w:rPr>
                <w:rFonts w:eastAsia="Times New Roman" w:cs="Arial"/>
                <w:color w:val="000000"/>
                <w:sz w:val="18"/>
                <w:szCs w:val="18"/>
                <w:lang w:eastAsia="fr-FR"/>
              </w:rPr>
            </w:pPr>
          </w:p>
        </w:tc>
        <w:tc>
          <w:tcPr>
            <w:tcW w:w="1184" w:type="pct"/>
            <w:vAlign w:val="center"/>
            <w:hideMark/>
          </w:tcPr>
          <w:p w14:paraId="7F65BD24"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fr-FR"/>
              </w:rPr>
              <w:t>Arens, P. et al (2010)</w:t>
            </w:r>
          </w:p>
        </w:tc>
        <w:tc>
          <w:tcPr>
            <w:tcW w:w="691" w:type="pct"/>
            <w:vMerge/>
            <w:vAlign w:val="center"/>
            <w:hideMark/>
          </w:tcPr>
          <w:p w14:paraId="7D160D61" w14:textId="77777777" w:rsidR="00D52685" w:rsidRPr="00096869" w:rsidRDefault="00D52685" w:rsidP="00D52685">
            <w:pPr>
              <w:keepNext/>
              <w:jc w:val="left"/>
              <w:rPr>
                <w:rFonts w:eastAsia="Times New Roman" w:cs="Arial"/>
                <w:color w:val="000000"/>
                <w:sz w:val="18"/>
                <w:szCs w:val="18"/>
                <w:lang w:eastAsia="fr-FR"/>
              </w:rPr>
            </w:pPr>
          </w:p>
        </w:tc>
        <w:tc>
          <w:tcPr>
            <w:tcW w:w="1937" w:type="pct"/>
            <w:vAlign w:val="center"/>
            <w:hideMark/>
          </w:tcPr>
          <w:p w14:paraId="520C3374"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b) Verweis auf DNA-Informationen in öffentlichen Datenbanken (wie GeneBank)</w:t>
            </w:r>
          </w:p>
        </w:tc>
      </w:tr>
      <w:tr w:rsidR="00D52685" w:rsidRPr="00096869" w14:paraId="62C89C4F" w14:textId="77777777" w:rsidTr="00451DC9">
        <w:trPr>
          <w:gridAfter w:val="1"/>
          <w:wAfter w:w="78" w:type="pct"/>
          <w:cantSplit/>
          <w:trHeight w:val="765"/>
        </w:trPr>
        <w:tc>
          <w:tcPr>
            <w:tcW w:w="343" w:type="pct"/>
            <w:vMerge/>
            <w:vAlign w:val="center"/>
            <w:hideMark/>
          </w:tcPr>
          <w:p w14:paraId="6ED14A55" w14:textId="77777777" w:rsidR="00D52685" w:rsidRPr="00096869" w:rsidRDefault="00D52685" w:rsidP="00D52685">
            <w:pPr>
              <w:keepNext/>
              <w:jc w:val="left"/>
              <w:rPr>
                <w:rFonts w:eastAsia="Times New Roman" w:cs="Arial"/>
                <w:color w:val="000000"/>
                <w:sz w:val="18"/>
                <w:szCs w:val="18"/>
                <w:lang w:eastAsia="fr-FR"/>
              </w:rPr>
            </w:pPr>
          </w:p>
        </w:tc>
        <w:tc>
          <w:tcPr>
            <w:tcW w:w="767" w:type="pct"/>
            <w:vMerge/>
            <w:vAlign w:val="center"/>
            <w:hideMark/>
          </w:tcPr>
          <w:p w14:paraId="6E1D9124" w14:textId="77777777" w:rsidR="00D52685" w:rsidRPr="00096869" w:rsidRDefault="00D52685" w:rsidP="00D52685">
            <w:pPr>
              <w:keepNext/>
              <w:jc w:val="left"/>
              <w:rPr>
                <w:rFonts w:eastAsia="Times New Roman" w:cs="Arial"/>
                <w:color w:val="000000"/>
                <w:sz w:val="18"/>
                <w:szCs w:val="18"/>
                <w:lang w:eastAsia="fr-FR"/>
              </w:rPr>
            </w:pPr>
          </w:p>
        </w:tc>
        <w:tc>
          <w:tcPr>
            <w:tcW w:w="1184" w:type="pct"/>
            <w:vAlign w:val="center"/>
            <w:hideMark/>
          </w:tcPr>
          <w:p w14:paraId="7F56126D" w14:textId="77777777" w:rsidR="00D52685" w:rsidRPr="00096869" w:rsidRDefault="00D52685" w:rsidP="00D52685">
            <w:pPr>
              <w:keepNext/>
              <w:jc w:val="left"/>
              <w:rPr>
                <w:rFonts w:eastAsia="Times New Roman" w:cs="Arial"/>
                <w:color w:val="000000"/>
                <w:sz w:val="18"/>
                <w:szCs w:val="18"/>
                <w:lang w:eastAsia="nl-NL"/>
              </w:rPr>
            </w:pPr>
          </w:p>
          <w:p w14:paraId="240DE5A5" w14:textId="77777777" w:rsidR="00D52685" w:rsidRPr="00096869" w:rsidRDefault="00D52685" w:rsidP="00D52685">
            <w:pPr>
              <w:keepNext/>
              <w:jc w:val="left"/>
              <w:rPr>
                <w:rFonts w:eastAsia="Times New Roman" w:cs="Arial"/>
                <w:color w:val="000000"/>
                <w:sz w:val="18"/>
                <w:szCs w:val="18"/>
                <w:lang w:eastAsia="fr-FR"/>
              </w:rPr>
            </w:pPr>
          </w:p>
        </w:tc>
        <w:tc>
          <w:tcPr>
            <w:tcW w:w="691" w:type="pct"/>
            <w:vMerge/>
            <w:vAlign w:val="center"/>
            <w:hideMark/>
          </w:tcPr>
          <w:p w14:paraId="442FC322" w14:textId="77777777" w:rsidR="00D52685" w:rsidRPr="00096869" w:rsidRDefault="00D52685" w:rsidP="00D52685">
            <w:pPr>
              <w:keepNext/>
              <w:jc w:val="left"/>
              <w:rPr>
                <w:rFonts w:eastAsia="Times New Roman" w:cs="Arial"/>
                <w:color w:val="000000"/>
                <w:sz w:val="18"/>
                <w:szCs w:val="18"/>
                <w:lang w:eastAsia="fr-FR"/>
              </w:rPr>
            </w:pPr>
          </w:p>
        </w:tc>
        <w:tc>
          <w:tcPr>
            <w:tcW w:w="1937" w:type="pct"/>
            <w:vAlign w:val="center"/>
            <w:hideMark/>
          </w:tcPr>
          <w:p w14:paraId="775DC12C"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c) Verweis auf (wissenschaftliche) Veröffentlichungen, in denen die DNA-Sequenzinformationen zu den Ausprägungszuständen des Merkmals offengelegt werden.</w:t>
            </w:r>
          </w:p>
        </w:tc>
      </w:tr>
      <w:tr w:rsidR="00D52685" w:rsidRPr="00096869" w14:paraId="7010C98F" w14:textId="77777777" w:rsidTr="00451DC9">
        <w:trPr>
          <w:gridAfter w:val="1"/>
          <w:wAfter w:w="78" w:type="pct"/>
          <w:cantSplit/>
          <w:trHeight w:val="1035"/>
        </w:trPr>
        <w:tc>
          <w:tcPr>
            <w:tcW w:w="343" w:type="pct"/>
            <w:vMerge/>
            <w:vAlign w:val="center"/>
            <w:hideMark/>
          </w:tcPr>
          <w:p w14:paraId="45216F1F"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2EB0CBBC"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4F84AC1C"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2FCB8C95"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2EDD04E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d) Verweis auf eine bestimmte Position in der veröffentlichten Referenzgenomversion in Kombination mit dem SNP oder INDEL, das für den Expressionszustand verantwortlich ist.</w:t>
            </w:r>
          </w:p>
        </w:tc>
      </w:tr>
      <w:tr w:rsidR="00D52685" w:rsidRPr="00096869" w14:paraId="329C6F59" w14:textId="77777777" w:rsidTr="00451DC9">
        <w:trPr>
          <w:gridAfter w:val="1"/>
          <w:wAfter w:w="78" w:type="pct"/>
          <w:cantSplit/>
          <w:trHeight w:val="780"/>
        </w:trPr>
        <w:tc>
          <w:tcPr>
            <w:tcW w:w="343" w:type="pct"/>
            <w:vAlign w:val="center"/>
            <w:hideMark/>
          </w:tcPr>
          <w:p w14:paraId="4F11580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3</w:t>
            </w:r>
          </w:p>
        </w:tc>
        <w:tc>
          <w:tcPr>
            <w:tcW w:w="767" w:type="pct"/>
            <w:vAlign w:val="center"/>
            <w:hideMark/>
          </w:tcPr>
          <w:p w14:paraId="676ADFB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Primer (und Sonden)</w:t>
            </w:r>
          </w:p>
        </w:tc>
        <w:tc>
          <w:tcPr>
            <w:tcW w:w="1184" w:type="pct"/>
            <w:vAlign w:val="center"/>
            <w:hideMark/>
          </w:tcPr>
          <w:p w14:paraId="0A15E4F3" w14:textId="77777777"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iCs/>
                <w:color w:val="000000"/>
                <w:sz w:val="18"/>
                <w:szCs w:val="18"/>
                <w:lang w:eastAsia="fr-FR"/>
              </w:rPr>
              <w:t>Siehe TG/44/11/rev3 – Ad 51: ii DNA-Markertest hinzufügen 3, 3.1 und 3.2</w:t>
            </w:r>
          </w:p>
        </w:tc>
        <w:tc>
          <w:tcPr>
            <w:tcW w:w="691" w:type="pct"/>
            <w:vAlign w:val="center"/>
            <w:hideMark/>
          </w:tcPr>
          <w:p w14:paraId="04FCF3D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7723C729"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Primer- und Sondensequenzen, Verweis auf Zugänge und Sequenzen in öffentlichen Datenbanken (Genbank-Nummern), Literatur</w:t>
            </w:r>
          </w:p>
        </w:tc>
      </w:tr>
      <w:tr w:rsidR="00D52685" w:rsidRPr="00096869" w14:paraId="5AC20C0C" w14:textId="77777777" w:rsidTr="00451DC9">
        <w:trPr>
          <w:gridAfter w:val="1"/>
          <w:wAfter w:w="78" w:type="pct"/>
          <w:cantSplit/>
          <w:trHeight w:val="525"/>
        </w:trPr>
        <w:tc>
          <w:tcPr>
            <w:tcW w:w="343" w:type="pct"/>
            <w:vAlign w:val="center"/>
            <w:hideMark/>
          </w:tcPr>
          <w:p w14:paraId="3668821F"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3.1</w:t>
            </w:r>
          </w:p>
        </w:tc>
        <w:tc>
          <w:tcPr>
            <w:tcW w:w="767" w:type="pct"/>
            <w:vAlign w:val="center"/>
            <w:hideMark/>
          </w:tcPr>
          <w:p w14:paraId="6254C27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Primer (und Sonden) zum Nachweis des Allels „9“</w:t>
            </w:r>
          </w:p>
        </w:tc>
        <w:tc>
          <w:tcPr>
            <w:tcW w:w="1184" w:type="pct"/>
            <w:vAlign w:val="center"/>
            <w:hideMark/>
          </w:tcPr>
          <w:p w14:paraId="68B53BF3" w14:textId="77777777" w:rsidR="00D52685" w:rsidRPr="00096869" w:rsidRDefault="00D52685" w:rsidP="00D52685">
            <w:pPr>
              <w:jc w:val="left"/>
              <w:rPr>
                <w:rFonts w:eastAsia="Times New Roman" w:cs="Arial"/>
                <w:color w:val="000000"/>
                <w:sz w:val="18"/>
                <w:szCs w:val="18"/>
                <w:lang w:eastAsia="fr-FR"/>
              </w:rPr>
            </w:pPr>
          </w:p>
        </w:tc>
        <w:tc>
          <w:tcPr>
            <w:tcW w:w="691" w:type="pct"/>
            <w:vAlign w:val="center"/>
            <w:hideMark/>
          </w:tcPr>
          <w:p w14:paraId="0BC9C8A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5722527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Primersequenzen, die dem Allel/den Allelen für die Expression „9” (Resistenz) entsprechen</w:t>
            </w:r>
          </w:p>
        </w:tc>
      </w:tr>
      <w:tr w:rsidR="00D52685" w:rsidRPr="00096869" w14:paraId="3E995A45" w14:textId="77777777" w:rsidTr="00451DC9">
        <w:trPr>
          <w:gridAfter w:val="1"/>
          <w:wAfter w:w="78" w:type="pct"/>
          <w:cantSplit/>
          <w:trHeight w:val="525"/>
        </w:trPr>
        <w:tc>
          <w:tcPr>
            <w:tcW w:w="343" w:type="pct"/>
            <w:vAlign w:val="center"/>
            <w:hideMark/>
          </w:tcPr>
          <w:p w14:paraId="61551561"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3.2</w:t>
            </w:r>
          </w:p>
        </w:tc>
        <w:tc>
          <w:tcPr>
            <w:tcW w:w="767" w:type="pct"/>
            <w:vAlign w:val="center"/>
            <w:hideMark/>
          </w:tcPr>
          <w:p w14:paraId="18220F1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Primer (und Sonden) zum Nachweis des Allels „1“</w:t>
            </w:r>
          </w:p>
        </w:tc>
        <w:tc>
          <w:tcPr>
            <w:tcW w:w="1184" w:type="pct"/>
            <w:vAlign w:val="center"/>
            <w:hideMark/>
          </w:tcPr>
          <w:p w14:paraId="6DA9D1ED" w14:textId="77777777" w:rsidR="00D52685" w:rsidRPr="00096869" w:rsidRDefault="00D52685" w:rsidP="00D52685">
            <w:pPr>
              <w:jc w:val="left"/>
              <w:rPr>
                <w:rFonts w:eastAsia="Times New Roman" w:cs="Arial"/>
                <w:color w:val="000000"/>
                <w:sz w:val="18"/>
                <w:szCs w:val="18"/>
                <w:lang w:eastAsia="fr-FR"/>
              </w:rPr>
            </w:pPr>
          </w:p>
        </w:tc>
        <w:tc>
          <w:tcPr>
            <w:tcW w:w="691" w:type="pct"/>
            <w:vAlign w:val="center"/>
            <w:hideMark/>
          </w:tcPr>
          <w:p w14:paraId="26E7528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1354FDC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Primersequenzen, die den Allelen für die Expression „1“ (Anfälligkeit) entsprechen</w:t>
            </w:r>
          </w:p>
        </w:tc>
      </w:tr>
      <w:tr w:rsidR="00D52685" w:rsidRPr="00096869" w14:paraId="46D20EF1" w14:textId="77777777" w:rsidTr="00451DC9">
        <w:trPr>
          <w:gridAfter w:val="1"/>
          <w:wAfter w:w="78" w:type="pct"/>
          <w:cantSplit/>
          <w:trHeight w:val="525"/>
        </w:trPr>
        <w:tc>
          <w:tcPr>
            <w:tcW w:w="343" w:type="pct"/>
            <w:vAlign w:val="center"/>
            <w:hideMark/>
          </w:tcPr>
          <w:p w14:paraId="1C28D6C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3.3</w:t>
            </w:r>
          </w:p>
        </w:tc>
        <w:tc>
          <w:tcPr>
            <w:tcW w:w="767" w:type="pct"/>
            <w:vAlign w:val="center"/>
            <w:hideMark/>
          </w:tcPr>
          <w:p w14:paraId="65C404E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Primer (und Sonden) zum Nachweis des Allels „x“</w:t>
            </w:r>
          </w:p>
        </w:tc>
        <w:tc>
          <w:tcPr>
            <w:tcW w:w="1184" w:type="pct"/>
            <w:vAlign w:val="center"/>
            <w:hideMark/>
          </w:tcPr>
          <w:p w14:paraId="2BFCFABF" w14:textId="77777777" w:rsidR="00D52685" w:rsidRPr="00096869" w:rsidRDefault="00D52685" w:rsidP="00D52685">
            <w:pPr>
              <w:jc w:val="left"/>
              <w:rPr>
                <w:rFonts w:eastAsia="Times New Roman" w:cs="Arial"/>
                <w:color w:val="000000"/>
                <w:sz w:val="18"/>
                <w:szCs w:val="18"/>
                <w:lang w:eastAsia="fr-FR"/>
              </w:rPr>
            </w:pPr>
          </w:p>
        </w:tc>
        <w:tc>
          <w:tcPr>
            <w:tcW w:w="691" w:type="pct"/>
            <w:vAlign w:val="center"/>
            <w:hideMark/>
          </w:tcPr>
          <w:p w14:paraId="232C2949"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70389C5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Primersequenzen, die den Allelen für die Expression „x“ entsprechen </w:t>
            </w:r>
          </w:p>
        </w:tc>
      </w:tr>
      <w:tr w:rsidR="00D52685" w:rsidRPr="00096869" w14:paraId="7D26617B" w14:textId="77777777" w:rsidTr="00451DC9">
        <w:trPr>
          <w:gridAfter w:val="1"/>
          <w:wAfter w:w="78" w:type="pct"/>
          <w:cantSplit/>
          <w:trHeight w:val="315"/>
        </w:trPr>
        <w:tc>
          <w:tcPr>
            <w:tcW w:w="343" w:type="pct"/>
            <w:vAlign w:val="center"/>
            <w:hideMark/>
          </w:tcPr>
          <w:p w14:paraId="039417E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4</w:t>
            </w:r>
          </w:p>
        </w:tc>
        <w:tc>
          <w:tcPr>
            <w:tcW w:w="767" w:type="pct"/>
            <w:vAlign w:val="center"/>
            <w:hideMark/>
          </w:tcPr>
          <w:p w14:paraId="6364F4E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Format des Tests</w:t>
            </w:r>
          </w:p>
        </w:tc>
        <w:tc>
          <w:tcPr>
            <w:tcW w:w="1184" w:type="pct"/>
            <w:vAlign w:val="center"/>
            <w:hideMark/>
          </w:tcPr>
          <w:p w14:paraId="3313CD15" w14:textId="77777777" w:rsidR="00D52685" w:rsidRPr="00096869" w:rsidRDefault="00D52685" w:rsidP="00D52685">
            <w:pPr>
              <w:jc w:val="left"/>
              <w:rPr>
                <w:rFonts w:eastAsia="Times New Roman" w:cs="Arial"/>
                <w:color w:val="000000"/>
                <w:sz w:val="18"/>
                <w:szCs w:val="18"/>
                <w:lang w:eastAsia="fr-FR"/>
              </w:rPr>
            </w:pPr>
          </w:p>
        </w:tc>
        <w:tc>
          <w:tcPr>
            <w:tcW w:w="691" w:type="pct"/>
            <w:vAlign w:val="center"/>
            <w:hideMark/>
          </w:tcPr>
          <w:p w14:paraId="19AF7AF1"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7C0C40FF" w14:textId="77777777" w:rsidR="00D52685" w:rsidRPr="00096869" w:rsidRDefault="00D52685" w:rsidP="00D52685">
            <w:pPr>
              <w:jc w:val="left"/>
              <w:rPr>
                <w:rFonts w:eastAsia="Times New Roman" w:cs="Arial"/>
                <w:color w:val="000000"/>
                <w:sz w:val="18"/>
                <w:szCs w:val="18"/>
                <w:lang w:eastAsia="fr-FR"/>
              </w:rPr>
            </w:pPr>
          </w:p>
        </w:tc>
      </w:tr>
      <w:tr w:rsidR="00D52685" w:rsidRPr="00096869" w14:paraId="4829C467" w14:textId="77777777" w:rsidTr="00451DC9">
        <w:trPr>
          <w:gridAfter w:val="1"/>
          <w:wAfter w:w="78" w:type="pct"/>
          <w:cantSplit/>
          <w:trHeight w:val="1725"/>
        </w:trPr>
        <w:tc>
          <w:tcPr>
            <w:tcW w:w="343" w:type="pct"/>
            <w:vAlign w:val="center"/>
            <w:hideMark/>
          </w:tcPr>
          <w:p w14:paraId="4476ACC9"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4.1</w:t>
            </w:r>
          </w:p>
        </w:tc>
        <w:tc>
          <w:tcPr>
            <w:tcW w:w="767" w:type="pct"/>
            <w:vAlign w:val="center"/>
            <w:hideMark/>
          </w:tcPr>
          <w:p w14:paraId="17CF73AA"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Anzahl der Pflanzen pro Genotyp</w:t>
            </w:r>
          </w:p>
        </w:tc>
        <w:tc>
          <w:tcPr>
            <w:tcW w:w="1184" w:type="pct"/>
            <w:vAlign w:val="center"/>
            <w:hideMark/>
          </w:tcPr>
          <w:p w14:paraId="0C94EFA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≥20</w:t>
            </w:r>
          </w:p>
        </w:tc>
        <w:tc>
          <w:tcPr>
            <w:tcW w:w="691" w:type="pct"/>
            <w:vAlign w:val="center"/>
            <w:hideMark/>
          </w:tcPr>
          <w:p w14:paraId="48BB1B5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4D1560A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Erforderliche Mindestanzahl einzelner Pflanzen: Die Prüfung des Markers wird an derselben Anzahl einzelner Pflanzen durchgeführt, wobei dieselben Kriterien für Unterscheidbarkeit, Homogenität und Beständigkeit gelten wie bei der Prüfung des Merkmals durch eine Beobachtungsprüfung (Dokumente TGP/9 und TGP/10).</w:t>
            </w:r>
          </w:p>
        </w:tc>
      </w:tr>
      <w:tr w:rsidR="00D52685" w:rsidRPr="00096869" w14:paraId="40117CF9" w14:textId="77777777" w:rsidTr="00451DC9">
        <w:trPr>
          <w:gridAfter w:val="1"/>
          <w:wAfter w:w="78" w:type="pct"/>
          <w:cantSplit/>
          <w:trHeight w:val="3000"/>
        </w:trPr>
        <w:tc>
          <w:tcPr>
            <w:tcW w:w="343" w:type="pct"/>
            <w:vAlign w:val="center"/>
            <w:hideMark/>
          </w:tcPr>
          <w:p w14:paraId="0560862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4.2</w:t>
            </w:r>
          </w:p>
        </w:tc>
        <w:tc>
          <w:tcPr>
            <w:tcW w:w="767" w:type="pct"/>
            <w:vAlign w:val="center"/>
            <w:hideMark/>
          </w:tcPr>
          <w:p w14:paraId="63082F4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Kontrollsorten</w:t>
            </w:r>
          </w:p>
        </w:tc>
        <w:tc>
          <w:tcPr>
            <w:tcW w:w="1184" w:type="pct"/>
            <w:vAlign w:val="center"/>
            <w:hideMark/>
          </w:tcPr>
          <w:p w14:paraId="4C09D8AF" w14:textId="77777777"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iCs/>
                <w:color w:val="000000"/>
                <w:sz w:val="18"/>
                <w:szCs w:val="18"/>
                <w:lang w:eastAsia="fr-FR"/>
              </w:rPr>
              <w:t>Siehe TG/44/11/rev3 – Ad 51: ii DNA-Markertest hinzufügen 4.2</w:t>
            </w:r>
          </w:p>
        </w:tc>
        <w:tc>
          <w:tcPr>
            <w:tcW w:w="691" w:type="pct"/>
            <w:vAlign w:val="center"/>
            <w:hideMark/>
          </w:tcPr>
          <w:p w14:paraId="30CA860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JA</w:t>
            </w:r>
          </w:p>
        </w:tc>
        <w:tc>
          <w:tcPr>
            <w:tcW w:w="1937" w:type="pct"/>
            <w:vAlign w:val="center"/>
            <w:hideMark/>
          </w:tcPr>
          <w:p w14:paraId="64843C7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Kontrollsorten (wie im Beobachtungstest) als Standards, die alle relevanten Allelkombinationen repräsentieren. Beispielsweise homozygot für das Allel, das dem Expressionszustand 9 (vorhanden) entspricht, homozygot für das Allel, das dem Expressionszustand 1 (nicht vorhanden) entspricht, und heterozygot (beide Allele sind in einem Diploiden vorhanden) entsprechend entweder der Resistenz, Anfälligkeit oder intermediären Resistenz der Sorte (abhängig von der Genfunktion; dominant – rezessiv). DNA-Kontrollen können direkt verwendet werden.</w:t>
            </w:r>
          </w:p>
        </w:tc>
      </w:tr>
      <w:tr w:rsidR="00D52685" w:rsidRPr="00096869" w14:paraId="74DDF8DA" w14:textId="77777777" w:rsidTr="00451DC9">
        <w:trPr>
          <w:gridAfter w:val="1"/>
          <w:wAfter w:w="78" w:type="pct"/>
          <w:cantSplit/>
          <w:trHeight w:val="1770"/>
        </w:trPr>
        <w:tc>
          <w:tcPr>
            <w:tcW w:w="343" w:type="pct"/>
          </w:tcPr>
          <w:p w14:paraId="79F43611"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nl-NL"/>
              </w:rPr>
              <w:t>4.3</w:t>
            </w:r>
          </w:p>
        </w:tc>
        <w:tc>
          <w:tcPr>
            <w:tcW w:w="767" w:type="pct"/>
          </w:tcPr>
          <w:p w14:paraId="28CB33AC"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Prozesskontrollen</w:t>
            </w:r>
          </w:p>
        </w:tc>
        <w:tc>
          <w:tcPr>
            <w:tcW w:w="1184" w:type="pct"/>
          </w:tcPr>
          <w:p w14:paraId="168A0CF4" w14:textId="77777777"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sz w:val="18"/>
                <w:szCs w:val="18"/>
              </w:rPr>
              <w:t>z. B. für die Extraktion verwendeter Puffer; ein Marker, der auf das Cytochrom-Oxidase-Gen abzielt, als interner Amplifikationsmarker</w:t>
            </w:r>
          </w:p>
        </w:tc>
        <w:tc>
          <w:tcPr>
            <w:tcW w:w="691" w:type="pct"/>
          </w:tcPr>
          <w:p w14:paraId="491F9A59"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JA</w:t>
            </w:r>
          </w:p>
        </w:tc>
        <w:tc>
          <w:tcPr>
            <w:tcW w:w="1937" w:type="pct"/>
          </w:tcPr>
          <w:p w14:paraId="5C711A87" w14:textId="77777777" w:rsidR="00D52685" w:rsidRPr="00096869"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096869">
              <w:rPr>
                <w:rFonts w:eastAsia="Calibri" w:cs="Arial"/>
                <w:color w:val="000000" w:themeColor="text1"/>
                <w:sz w:val="18"/>
                <w:szCs w:val="18"/>
                <w:lang w:eastAsia="nl-NL"/>
              </w:rPr>
              <w:t>Negative Prozesskontrolle(n)</w:t>
            </w:r>
          </w:p>
          <w:p w14:paraId="7A1390D8" w14:textId="77777777" w:rsidR="00D52685" w:rsidRPr="00096869"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096869">
              <w:rPr>
                <w:rFonts w:eastAsia="Calibri" w:cs="Arial"/>
                <w:color w:val="000000" w:themeColor="text1"/>
                <w:sz w:val="18"/>
                <w:szCs w:val="18"/>
                <w:lang w:eastAsia="nl-NL"/>
              </w:rPr>
              <w:t>Positive DNA-Kontrolle(n), die als Kontrollvarianten dienen können</w:t>
            </w:r>
          </w:p>
          <w:p w14:paraId="5BA8AC92" w14:textId="77777777" w:rsidR="00D52685" w:rsidRPr="00096869"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096869">
              <w:rPr>
                <w:rFonts w:eastAsia="Calibri" w:cs="Arial"/>
                <w:color w:val="000000" w:themeColor="text1"/>
                <w:sz w:val="18"/>
                <w:szCs w:val="18"/>
                <w:lang w:eastAsia="nl-NL"/>
              </w:rPr>
              <w:t xml:space="preserve"> Interne Amplifikationskontrolle im Falle eines Markers für Anwesenheit/Abwesenheit</w:t>
            </w:r>
          </w:p>
          <w:p w14:paraId="70F151D9" w14:textId="77777777" w:rsidR="00D52685" w:rsidRPr="00096869" w:rsidRDefault="00D52685" w:rsidP="00D52685">
            <w:pPr>
              <w:ind w:left="360"/>
              <w:jc w:val="left"/>
              <w:rPr>
                <w:rFonts w:eastAsia="Times New Roman" w:cs="Arial"/>
                <w:color w:val="000000"/>
                <w:sz w:val="18"/>
                <w:szCs w:val="18"/>
                <w:lang w:eastAsia="nl-NL"/>
              </w:rPr>
            </w:pPr>
          </w:p>
        </w:tc>
      </w:tr>
      <w:tr w:rsidR="00D52685" w:rsidRPr="00096869" w14:paraId="6B12A2CB" w14:textId="77777777" w:rsidTr="00451DC9">
        <w:trPr>
          <w:gridAfter w:val="1"/>
          <w:wAfter w:w="78" w:type="pct"/>
          <w:cantSplit/>
          <w:trHeight w:val="510"/>
        </w:trPr>
        <w:tc>
          <w:tcPr>
            <w:tcW w:w="343" w:type="pct"/>
            <w:vMerge w:val="restart"/>
            <w:vAlign w:val="center"/>
            <w:hideMark/>
          </w:tcPr>
          <w:p w14:paraId="02A0A954"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lastRenderedPageBreak/>
              <w:t>5</w:t>
            </w:r>
          </w:p>
        </w:tc>
        <w:tc>
          <w:tcPr>
            <w:tcW w:w="767" w:type="pct"/>
            <w:vMerge w:val="restart"/>
            <w:vAlign w:val="center"/>
            <w:hideMark/>
          </w:tcPr>
          <w:p w14:paraId="688C9ECE"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Vorbereitungen</w:t>
            </w:r>
          </w:p>
        </w:tc>
        <w:tc>
          <w:tcPr>
            <w:tcW w:w="1184" w:type="pct"/>
            <w:vMerge w:val="restart"/>
            <w:vAlign w:val="center"/>
            <w:hideMark/>
          </w:tcPr>
          <w:p w14:paraId="75B533E1"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 z</w:t>
            </w:r>
            <w:r w:rsidRPr="00096869">
              <w:rPr>
                <w:rFonts w:eastAsia="Times New Roman" w:cs="Arial"/>
                <w:i/>
                <w:color w:val="000000"/>
                <w:sz w:val="18"/>
                <w:szCs w:val="18"/>
                <w:lang w:eastAsia="nl-NL"/>
              </w:rPr>
              <w:t xml:space="preserve">. B. </w:t>
            </w:r>
            <w:r w:rsidRPr="00096869">
              <w:rPr>
                <w:rFonts w:eastAsia="Times New Roman" w:cs="Arial"/>
                <w:color w:val="000000"/>
                <w:sz w:val="18"/>
                <w:szCs w:val="18"/>
                <w:lang w:eastAsia="nl-NL"/>
              </w:rPr>
              <w:t>Probenahme von 4 Tage alten Keimlingen, gefolgt von DNA-Extraktion unter Verwendung der CTAB-Methode</w:t>
            </w:r>
          </w:p>
        </w:tc>
        <w:tc>
          <w:tcPr>
            <w:tcW w:w="691" w:type="pct"/>
            <w:vMerge w:val="restart"/>
            <w:vAlign w:val="center"/>
            <w:hideMark/>
          </w:tcPr>
          <w:p w14:paraId="439436EC"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NEIN</w:t>
            </w:r>
          </w:p>
        </w:tc>
        <w:tc>
          <w:tcPr>
            <w:tcW w:w="1937" w:type="pct"/>
            <w:vAlign w:val="center"/>
            <w:hideMark/>
          </w:tcPr>
          <w:p w14:paraId="280BE31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Je nach verwendeter Methode. Nicht in der Testrichtlinie enthalten. Detaillierte Protokolle können als Beispiel im Anhang bereitgestellt werden oder sind auf Anfrage bei der Organisation erhältlich, die den Marker entwickelt hat.</w:t>
            </w:r>
          </w:p>
        </w:tc>
      </w:tr>
      <w:tr w:rsidR="00D52685" w:rsidRPr="00096869" w14:paraId="6BF79411" w14:textId="77777777" w:rsidTr="00451DC9">
        <w:trPr>
          <w:gridAfter w:val="1"/>
          <w:wAfter w:w="78" w:type="pct"/>
          <w:cantSplit/>
          <w:trHeight w:val="50"/>
        </w:trPr>
        <w:tc>
          <w:tcPr>
            <w:tcW w:w="343" w:type="pct"/>
            <w:vMerge/>
            <w:vAlign w:val="center"/>
            <w:hideMark/>
          </w:tcPr>
          <w:p w14:paraId="44FC389C"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1B14A40C" w14:textId="77777777" w:rsidR="00D52685" w:rsidRPr="00096869" w:rsidRDefault="00D52685" w:rsidP="00D52685">
            <w:pPr>
              <w:jc w:val="left"/>
              <w:rPr>
                <w:rFonts w:eastAsia="Times New Roman" w:cs="Arial"/>
                <w:color w:val="000000"/>
                <w:sz w:val="18"/>
                <w:szCs w:val="18"/>
                <w:lang w:eastAsia="fr-FR"/>
              </w:rPr>
            </w:pPr>
          </w:p>
        </w:tc>
        <w:tc>
          <w:tcPr>
            <w:tcW w:w="1184" w:type="pct"/>
            <w:vMerge/>
            <w:vAlign w:val="center"/>
            <w:hideMark/>
          </w:tcPr>
          <w:p w14:paraId="01E61F01"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74401724" w14:textId="77777777" w:rsidR="00D52685" w:rsidRPr="00096869" w:rsidRDefault="00D52685" w:rsidP="00D52685">
            <w:pPr>
              <w:jc w:val="left"/>
              <w:rPr>
                <w:rFonts w:eastAsia="Times New Roman" w:cs="Arial"/>
                <w:color w:val="000000"/>
                <w:sz w:val="18"/>
                <w:szCs w:val="18"/>
                <w:lang w:eastAsia="fr-FR"/>
              </w:rPr>
            </w:pPr>
          </w:p>
        </w:tc>
        <w:tc>
          <w:tcPr>
            <w:tcW w:w="1937" w:type="pct"/>
            <w:vAlign w:val="center"/>
            <w:hideMark/>
          </w:tcPr>
          <w:p w14:paraId="59C4BF9B" w14:textId="77777777" w:rsidR="00D52685" w:rsidRPr="00096869" w:rsidRDefault="00D52685" w:rsidP="00D52685">
            <w:pPr>
              <w:jc w:val="left"/>
              <w:rPr>
                <w:rFonts w:eastAsia="Times New Roman" w:cs="Arial"/>
                <w:color w:val="000000"/>
                <w:sz w:val="18"/>
                <w:szCs w:val="18"/>
                <w:lang w:eastAsia="fr-FR"/>
              </w:rPr>
            </w:pPr>
          </w:p>
        </w:tc>
      </w:tr>
      <w:tr w:rsidR="00D52685" w:rsidRPr="00096869" w14:paraId="0BD44695" w14:textId="77777777" w:rsidTr="00451DC9">
        <w:trPr>
          <w:gridAfter w:val="1"/>
          <w:wAfter w:w="78" w:type="pct"/>
          <w:cantSplit/>
          <w:trHeight w:val="510"/>
        </w:trPr>
        <w:tc>
          <w:tcPr>
            <w:tcW w:w="343" w:type="pct"/>
            <w:vMerge w:val="restart"/>
            <w:vAlign w:val="center"/>
            <w:hideMark/>
          </w:tcPr>
          <w:p w14:paraId="13F84C8F"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6</w:t>
            </w:r>
          </w:p>
        </w:tc>
        <w:tc>
          <w:tcPr>
            <w:tcW w:w="767" w:type="pct"/>
            <w:vMerge w:val="restart"/>
            <w:vAlign w:val="center"/>
            <w:hideMark/>
          </w:tcPr>
          <w:p w14:paraId="379DD18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Technik der Methode</w:t>
            </w:r>
          </w:p>
        </w:tc>
        <w:tc>
          <w:tcPr>
            <w:tcW w:w="1184" w:type="pct"/>
            <w:vAlign w:val="center"/>
            <w:hideMark/>
          </w:tcPr>
          <w:p w14:paraId="3C7B2D9C"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i/>
                <w:color w:val="000000" w:themeColor="text1"/>
                <w:sz w:val="18"/>
                <w:szCs w:val="18"/>
                <w:lang w:eastAsia="nl-NL"/>
              </w:rPr>
              <w:t xml:space="preserve">z. B. </w:t>
            </w:r>
            <w:r w:rsidRPr="00096869">
              <w:rPr>
                <w:rFonts w:eastAsia="Times New Roman" w:cs="Arial"/>
                <w:color w:val="000000" w:themeColor="text1"/>
                <w:sz w:val="18"/>
                <w:szCs w:val="18"/>
                <w:lang w:eastAsia="nl-NL"/>
              </w:rPr>
              <w:t xml:space="preserve">konventionelle PCR, TETRA-ARMS, qPCR, KASP, Amplikonsequenzierung </w:t>
            </w:r>
          </w:p>
        </w:tc>
        <w:tc>
          <w:tcPr>
            <w:tcW w:w="691" w:type="pct"/>
            <w:vMerge w:val="restart"/>
            <w:vAlign w:val="center"/>
            <w:hideMark/>
          </w:tcPr>
          <w:p w14:paraId="5C919B2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nl-NL"/>
              </w:rPr>
              <w:t>JA</w:t>
            </w:r>
          </w:p>
        </w:tc>
        <w:tc>
          <w:tcPr>
            <w:tcW w:w="1937" w:type="pct"/>
            <w:vMerge w:val="restart"/>
            <w:vAlign w:val="center"/>
            <w:hideMark/>
          </w:tcPr>
          <w:p w14:paraId="58FA0D1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 xml:space="preserve">. </w:t>
            </w:r>
          </w:p>
        </w:tc>
      </w:tr>
      <w:tr w:rsidR="00D52685" w:rsidRPr="00096869" w14:paraId="549DA130" w14:textId="77777777" w:rsidTr="00451DC9">
        <w:trPr>
          <w:gridAfter w:val="1"/>
          <w:wAfter w:w="78" w:type="pct"/>
          <w:cantSplit/>
          <w:trHeight w:val="525"/>
        </w:trPr>
        <w:tc>
          <w:tcPr>
            <w:tcW w:w="343" w:type="pct"/>
            <w:vMerge/>
            <w:vAlign w:val="center"/>
            <w:hideMark/>
          </w:tcPr>
          <w:p w14:paraId="69A469D7"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637D4148" w14:textId="77777777" w:rsidR="00D52685" w:rsidRPr="00096869" w:rsidRDefault="00D52685" w:rsidP="00D52685">
            <w:pPr>
              <w:jc w:val="left"/>
              <w:rPr>
                <w:rFonts w:eastAsia="Times New Roman" w:cs="Arial"/>
                <w:color w:val="000000"/>
                <w:sz w:val="18"/>
                <w:szCs w:val="18"/>
                <w:lang w:eastAsia="fr-FR"/>
              </w:rPr>
            </w:pPr>
          </w:p>
        </w:tc>
        <w:tc>
          <w:tcPr>
            <w:tcW w:w="1184" w:type="pct"/>
            <w:vAlign w:val="center"/>
            <w:hideMark/>
          </w:tcPr>
          <w:p w14:paraId="573E61BD" w14:textId="77777777" w:rsidR="00D52685" w:rsidRPr="00096869" w:rsidRDefault="00D52685" w:rsidP="00D52685">
            <w:pPr>
              <w:jc w:val="left"/>
              <w:rPr>
                <w:rFonts w:eastAsia="Times New Roman" w:cs="Arial"/>
                <w:i/>
                <w:iCs/>
                <w:color w:val="000000"/>
                <w:sz w:val="18"/>
                <w:szCs w:val="18"/>
                <w:lang w:eastAsia="fr-FR"/>
              </w:rPr>
            </w:pPr>
            <w:r w:rsidRPr="00096869">
              <w:rPr>
                <w:rFonts w:eastAsia="Times New Roman" w:cs="Arial"/>
                <w:i/>
                <w:color w:val="000000" w:themeColor="text1"/>
                <w:sz w:val="18"/>
                <w:szCs w:val="18"/>
                <w:lang w:eastAsia="fr-FR"/>
              </w:rPr>
              <w:t>Siehe TG/44/11/rev3 – Ad 51: ii DNA-Markertest hinzufügen 6</w:t>
            </w:r>
          </w:p>
        </w:tc>
        <w:tc>
          <w:tcPr>
            <w:tcW w:w="691" w:type="pct"/>
            <w:vMerge/>
            <w:vAlign w:val="center"/>
            <w:hideMark/>
          </w:tcPr>
          <w:p w14:paraId="0F386FCC" w14:textId="77777777" w:rsidR="00D52685" w:rsidRPr="00096869" w:rsidRDefault="00D52685" w:rsidP="00D52685">
            <w:pPr>
              <w:jc w:val="left"/>
              <w:rPr>
                <w:rFonts w:eastAsia="Times New Roman" w:cs="Arial"/>
                <w:color w:val="000000"/>
                <w:sz w:val="18"/>
                <w:szCs w:val="18"/>
                <w:lang w:eastAsia="fr-FR"/>
              </w:rPr>
            </w:pPr>
          </w:p>
        </w:tc>
        <w:tc>
          <w:tcPr>
            <w:tcW w:w="1937" w:type="pct"/>
            <w:vMerge/>
            <w:vAlign w:val="center"/>
            <w:hideMark/>
          </w:tcPr>
          <w:p w14:paraId="03259A50" w14:textId="77777777" w:rsidR="00D52685" w:rsidRPr="00096869" w:rsidRDefault="00D52685" w:rsidP="00D52685">
            <w:pPr>
              <w:jc w:val="left"/>
              <w:rPr>
                <w:rFonts w:eastAsia="Times New Roman" w:cs="Arial"/>
                <w:color w:val="000000"/>
                <w:sz w:val="18"/>
                <w:szCs w:val="18"/>
                <w:lang w:eastAsia="fr-FR"/>
              </w:rPr>
            </w:pPr>
          </w:p>
        </w:tc>
      </w:tr>
      <w:tr w:rsidR="00D52685" w:rsidRPr="00096869" w14:paraId="3866CB4D" w14:textId="77777777" w:rsidTr="00451DC9">
        <w:trPr>
          <w:gridAfter w:val="1"/>
          <w:wAfter w:w="78" w:type="pct"/>
          <w:cantSplit/>
          <w:trHeight w:val="300"/>
        </w:trPr>
        <w:tc>
          <w:tcPr>
            <w:tcW w:w="343" w:type="pct"/>
            <w:vMerge w:val="restart"/>
            <w:vAlign w:val="center"/>
            <w:hideMark/>
          </w:tcPr>
          <w:p w14:paraId="3E3D9C2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6.1</w:t>
            </w:r>
          </w:p>
        </w:tc>
        <w:tc>
          <w:tcPr>
            <w:tcW w:w="767" w:type="pct"/>
            <w:vMerge w:val="restart"/>
            <w:vAlign w:val="center"/>
            <w:hideMark/>
          </w:tcPr>
          <w:p w14:paraId="5C9BB23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Besondere Bedingungen</w:t>
            </w:r>
          </w:p>
        </w:tc>
        <w:tc>
          <w:tcPr>
            <w:tcW w:w="1184" w:type="pct"/>
            <w:vMerge w:val="restart"/>
            <w:vAlign w:val="center"/>
            <w:hideMark/>
          </w:tcPr>
          <w:p w14:paraId="5C100CF1"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i/>
                <w:color w:val="000000"/>
                <w:sz w:val="18"/>
                <w:szCs w:val="18"/>
                <w:lang w:eastAsia="nl-NL"/>
              </w:rPr>
              <w:t xml:space="preserve">z. B. </w:t>
            </w:r>
            <w:r w:rsidRPr="00096869">
              <w:rPr>
                <w:rFonts w:eastAsia="Times New Roman" w:cs="Arial"/>
                <w:color w:val="000000"/>
                <w:sz w:val="18"/>
                <w:szCs w:val="18"/>
                <w:lang w:eastAsia="nl-NL"/>
              </w:rPr>
              <w:t xml:space="preserve">PCR-Protokoll mit Beschreibung von Primer, Enzym, dNTP-Konzentrationen, PCR-Zyklus-Schema </w:t>
            </w:r>
          </w:p>
        </w:tc>
        <w:tc>
          <w:tcPr>
            <w:tcW w:w="691" w:type="pct"/>
            <w:vMerge w:val="restart"/>
            <w:vAlign w:val="center"/>
            <w:hideMark/>
          </w:tcPr>
          <w:p w14:paraId="6ECD5F27"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NEIN</w:t>
            </w:r>
          </w:p>
        </w:tc>
        <w:tc>
          <w:tcPr>
            <w:tcW w:w="1937" w:type="pct"/>
            <w:vMerge w:val="restart"/>
            <w:vAlign w:val="center"/>
            <w:hideMark/>
          </w:tcPr>
          <w:p w14:paraId="57C840B2"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Je nach verwendeter Methode. Nicht in den Testrichtlinien enthalten. Detaillierte Protokolle können als Beispiel im Anhang bereitgestellt werden oder sind auf Anfrage bei dem Institut erhältlich, das den Marker entwickelt hat.</w:t>
            </w:r>
          </w:p>
        </w:tc>
      </w:tr>
      <w:tr w:rsidR="00D52685" w:rsidRPr="00096869" w14:paraId="5F0B8011" w14:textId="77777777" w:rsidTr="00451DC9">
        <w:trPr>
          <w:cantSplit/>
          <w:trHeight w:val="1005"/>
        </w:trPr>
        <w:tc>
          <w:tcPr>
            <w:tcW w:w="343" w:type="pct"/>
            <w:vMerge/>
            <w:vAlign w:val="center"/>
            <w:hideMark/>
          </w:tcPr>
          <w:p w14:paraId="5A920C42"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2FED1E2A" w14:textId="77777777" w:rsidR="00D52685" w:rsidRPr="00096869" w:rsidRDefault="00D52685" w:rsidP="00D52685">
            <w:pPr>
              <w:jc w:val="left"/>
              <w:rPr>
                <w:rFonts w:eastAsia="Times New Roman" w:cs="Arial"/>
                <w:color w:val="000000"/>
                <w:sz w:val="18"/>
                <w:szCs w:val="18"/>
                <w:lang w:eastAsia="fr-FR"/>
              </w:rPr>
            </w:pPr>
          </w:p>
        </w:tc>
        <w:tc>
          <w:tcPr>
            <w:tcW w:w="1184" w:type="pct"/>
            <w:vMerge/>
            <w:vAlign w:val="center"/>
            <w:hideMark/>
          </w:tcPr>
          <w:p w14:paraId="36AAF119"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56F01CA1" w14:textId="77777777" w:rsidR="00D52685" w:rsidRPr="00096869" w:rsidRDefault="00D52685" w:rsidP="00D52685">
            <w:pPr>
              <w:jc w:val="left"/>
              <w:rPr>
                <w:rFonts w:eastAsia="Times New Roman" w:cs="Arial"/>
                <w:color w:val="000000"/>
                <w:sz w:val="18"/>
                <w:szCs w:val="18"/>
                <w:lang w:eastAsia="fr-FR"/>
              </w:rPr>
            </w:pPr>
          </w:p>
        </w:tc>
        <w:tc>
          <w:tcPr>
            <w:tcW w:w="1937" w:type="pct"/>
            <w:vMerge/>
            <w:vAlign w:val="center"/>
            <w:hideMark/>
          </w:tcPr>
          <w:p w14:paraId="54873071" w14:textId="77777777" w:rsidR="00D52685" w:rsidRPr="00096869" w:rsidRDefault="00D52685" w:rsidP="00D52685">
            <w:pPr>
              <w:jc w:val="left"/>
              <w:rPr>
                <w:rFonts w:eastAsia="Times New Roman" w:cs="Arial"/>
                <w:color w:val="000000"/>
                <w:sz w:val="18"/>
                <w:szCs w:val="18"/>
                <w:lang w:eastAsia="fr-FR"/>
              </w:rPr>
            </w:pPr>
          </w:p>
        </w:tc>
        <w:tc>
          <w:tcPr>
            <w:tcW w:w="78" w:type="pct"/>
            <w:noWrap/>
            <w:vAlign w:val="bottom"/>
            <w:hideMark/>
          </w:tcPr>
          <w:p w14:paraId="615A44BA" w14:textId="77777777" w:rsidR="00D52685" w:rsidRPr="00096869" w:rsidRDefault="00D52685" w:rsidP="00D52685">
            <w:pPr>
              <w:rPr>
                <w:rFonts w:eastAsia="Times New Roman" w:cs="Arial"/>
                <w:color w:val="000000"/>
                <w:lang w:eastAsia="fr-FR"/>
              </w:rPr>
            </w:pPr>
          </w:p>
        </w:tc>
      </w:tr>
      <w:tr w:rsidR="00D52685" w:rsidRPr="00096869" w14:paraId="34659FBE" w14:textId="77777777" w:rsidTr="00451DC9">
        <w:trPr>
          <w:cantSplit/>
          <w:trHeight w:val="300"/>
        </w:trPr>
        <w:tc>
          <w:tcPr>
            <w:tcW w:w="343" w:type="pct"/>
            <w:vMerge w:val="restart"/>
            <w:vAlign w:val="center"/>
            <w:hideMark/>
          </w:tcPr>
          <w:p w14:paraId="573CE69D"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6.2</w:t>
            </w:r>
          </w:p>
        </w:tc>
        <w:tc>
          <w:tcPr>
            <w:tcW w:w="767" w:type="pct"/>
            <w:vMerge w:val="restart"/>
            <w:vAlign w:val="center"/>
            <w:hideMark/>
          </w:tcPr>
          <w:p w14:paraId="5667F817"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Spezielle Hardware oder Infrastruktur</w:t>
            </w:r>
          </w:p>
        </w:tc>
        <w:tc>
          <w:tcPr>
            <w:tcW w:w="1184" w:type="pct"/>
            <w:vMerge w:val="restart"/>
            <w:vAlign w:val="center"/>
            <w:hideMark/>
          </w:tcPr>
          <w:p w14:paraId="6DA56923"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i/>
                <w:color w:val="000000"/>
                <w:sz w:val="18"/>
                <w:szCs w:val="18"/>
                <w:lang w:eastAsia="nl-NL"/>
              </w:rPr>
              <w:t xml:space="preserve">z. B. </w:t>
            </w:r>
            <w:r w:rsidRPr="00096869">
              <w:rPr>
                <w:rFonts w:eastAsia="Times New Roman" w:cs="Arial"/>
                <w:color w:val="000000"/>
                <w:sz w:val="18"/>
                <w:szCs w:val="18"/>
                <w:lang w:eastAsia="nl-NL"/>
              </w:rPr>
              <w:t xml:space="preserve">Maschinen, kommerzielle Kits, Hersteller von Komponenten, Chargennummern von Chemikalien </w:t>
            </w:r>
          </w:p>
        </w:tc>
        <w:tc>
          <w:tcPr>
            <w:tcW w:w="691" w:type="pct"/>
            <w:vMerge w:val="restart"/>
            <w:vAlign w:val="center"/>
            <w:hideMark/>
          </w:tcPr>
          <w:p w14:paraId="7DBF5B4C"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NEIN</w:t>
            </w:r>
          </w:p>
        </w:tc>
        <w:tc>
          <w:tcPr>
            <w:tcW w:w="1937" w:type="pct"/>
            <w:vMerge w:val="restart"/>
            <w:vAlign w:val="center"/>
            <w:hideMark/>
          </w:tcPr>
          <w:p w14:paraId="311E6EEB" w14:textId="77777777" w:rsidR="00D52685" w:rsidRPr="00096869" w:rsidRDefault="00D52685" w:rsidP="00D52685">
            <w:pPr>
              <w:keepNext/>
              <w:jc w:val="left"/>
              <w:rPr>
                <w:rFonts w:eastAsia="Times New Roman" w:cs="Arial"/>
                <w:color w:val="000000"/>
                <w:sz w:val="18"/>
                <w:szCs w:val="18"/>
                <w:lang w:eastAsia="fr-FR"/>
              </w:rPr>
            </w:pPr>
            <w:r w:rsidRPr="00096869">
              <w:rPr>
                <w:rFonts w:eastAsia="Times New Roman" w:cs="Arial"/>
                <w:color w:val="000000"/>
                <w:sz w:val="18"/>
                <w:szCs w:val="18"/>
                <w:lang w:eastAsia="nl-NL"/>
              </w:rPr>
              <w:t>Je nach verwendeter Methode. Nicht in den Testrichtlinien enthalten. Detaillierte Protokolle können als Beispiel im Anhang bereitgestellt werden oder sind auf Anfrage bei dem Institut erhältlich, das den Marker entwickelt hat.</w:t>
            </w:r>
          </w:p>
        </w:tc>
        <w:tc>
          <w:tcPr>
            <w:tcW w:w="78" w:type="pct"/>
            <w:vAlign w:val="center"/>
            <w:hideMark/>
          </w:tcPr>
          <w:p w14:paraId="7791EE08" w14:textId="77777777" w:rsidR="00D52685" w:rsidRPr="00096869" w:rsidRDefault="00D52685" w:rsidP="00D52685">
            <w:pPr>
              <w:keepNext/>
              <w:rPr>
                <w:rFonts w:ascii="Times New Roman" w:eastAsia="Times New Roman" w:hAnsi="Times New Roman"/>
                <w:lang w:eastAsia="fr-FR"/>
              </w:rPr>
            </w:pPr>
          </w:p>
        </w:tc>
      </w:tr>
      <w:tr w:rsidR="00D52685" w:rsidRPr="00096869" w14:paraId="5EF8C19F" w14:textId="77777777" w:rsidTr="00451DC9">
        <w:trPr>
          <w:cantSplit/>
          <w:trHeight w:val="1005"/>
        </w:trPr>
        <w:tc>
          <w:tcPr>
            <w:tcW w:w="343" w:type="pct"/>
            <w:vMerge/>
            <w:vAlign w:val="center"/>
            <w:hideMark/>
          </w:tcPr>
          <w:p w14:paraId="39AE1929"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67080B44" w14:textId="77777777" w:rsidR="00D52685" w:rsidRPr="00096869" w:rsidRDefault="00D52685" w:rsidP="00D52685">
            <w:pPr>
              <w:jc w:val="left"/>
              <w:rPr>
                <w:rFonts w:eastAsia="Times New Roman" w:cs="Arial"/>
                <w:color w:val="000000"/>
                <w:sz w:val="18"/>
                <w:szCs w:val="18"/>
                <w:lang w:eastAsia="fr-FR"/>
              </w:rPr>
            </w:pPr>
          </w:p>
        </w:tc>
        <w:tc>
          <w:tcPr>
            <w:tcW w:w="1184" w:type="pct"/>
            <w:vMerge/>
            <w:vAlign w:val="center"/>
            <w:hideMark/>
          </w:tcPr>
          <w:p w14:paraId="3AA51395"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69ED19D6" w14:textId="77777777" w:rsidR="00D52685" w:rsidRPr="00096869" w:rsidRDefault="00D52685" w:rsidP="00D52685">
            <w:pPr>
              <w:jc w:val="left"/>
              <w:rPr>
                <w:rFonts w:eastAsia="Times New Roman" w:cs="Arial"/>
                <w:color w:val="000000"/>
                <w:sz w:val="18"/>
                <w:szCs w:val="18"/>
                <w:lang w:eastAsia="fr-FR"/>
              </w:rPr>
            </w:pPr>
          </w:p>
        </w:tc>
        <w:tc>
          <w:tcPr>
            <w:tcW w:w="1937" w:type="pct"/>
            <w:vMerge/>
            <w:vAlign w:val="center"/>
            <w:hideMark/>
          </w:tcPr>
          <w:p w14:paraId="4805175C" w14:textId="77777777" w:rsidR="00D52685" w:rsidRPr="00096869" w:rsidRDefault="00D52685" w:rsidP="00D52685">
            <w:pPr>
              <w:jc w:val="left"/>
              <w:rPr>
                <w:rFonts w:eastAsia="Times New Roman" w:cs="Arial"/>
                <w:color w:val="000000"/>
                <w:sz w:val="18"/>
                <w:szCs w:val="18"/>
                <w:lang w:eastAsia="fr-FR"/>
              </w:rPr>
            </w:pPr>
          </w:p>
        </w:tc>
        <w:tc>
          <w:tcPr>
            <w:tcW w:w="78" w:type="pct"/>
            <w:noWrap/>
            <w:vAlign w:val="bottom"/>
            <w:hideMark/>
          </w:tcPr>
          <w:p w14:paraId="065DFE7D" w14:textId="77777777" w:rsidR="00D52685" w:rsidRPr="00096869" w:rsidRDefault="00D52685" w:rsidP="00D52685">
            <w:pPr>
              <w:rPr>
                <w:rFonts w:eastAsia="Times New Roman" w:cs="Arial"/>
                <w:color w:val="000000"/>
                <w:lang w:eastAsia="fr-FR"/>
              </w:rPr>
            </w:pPr>
          </w:p>
        </w:tc>
      </w:tr>
      <w:tr w:rsidR="00D52685" w:rsidRPr="00096869" w14:paraId="0911E5F5" w14:textId="77777777" w:rsidTr="00451DC9">
        <w:trPr>
          <w:cantSplit/>
          <w:trHeight w:val="300"/>
        </w:trPr>
        <w:tc>
          <w:tcPr>
            <w:tcW w:w="343" w:type="pct"/>
            <w:vMerge w:val="restart"/>
            <w:vAlign w:val="center"/>
            <w:hideMark/>
          </w:tcPr>
          <w:p w14:paraId="0828E428"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7</w:t>
            </w:r>
          </w:p>
        </w:tc>
        <w:tc>
          <w:tcPr>
            <w:tcW w:w="767" w:type="pct"/>
            <w:vMerge w:val="restart"/>
            <w:vAlign w:val="center"/>
            <w:hideMark/>
          </w:tcPr>
          <w:p w14:paraId="23C57B85"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Beobachtungen</w:t>
            </w:r>
          </w:p>
        </w:tc>
        <w:tc>
          <w:tcPr>
            <w:tcW w:w="1184" w:type="pct"/>
            <w:vMerge w:val="restart"/>
            <w:vAlign w:val="center"/>
            <w:hideMark/>
          </w:tcPr>
          <w:p w14:paraId="6A205E8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i/>
                <w:color w:val="000000"/>
                <w:sz w:val="18"/>
                <w:szCs w:val="18"/>
                <w:lang w:eastAsia="nl-NL"/>
              </w:rPr>
              <w:t xml:space="preserve">z. B. </w:t>
            </w:r>
            <w:r w:rsidRPr="00096869">
              <w:rPr>
                <w:rFonts w:eastAsia="Times New Roman" w:cs="Arial"/>
                <w:color w:val="000000"/>
                <w:sz w:val="18"/>
                <w:szCs w:val="18"/>
                <w:lang w:eastAsia="nl-NL"/>
              </w:rPr>
              <w:t xml:space="preserve">Banden auf Agarosegel (konventionelle PCR), Ct-Werte (qPCR) Variantenbestimmung auf der Grundlage von Sequenzierungsdaten </w:t>
            </w:r>
          </w:p>
        </w:tc>
        <w:tc>
          <w:tcPr>
            <w:tcW w:w="691" w:type="pct"/>
            <w:vMerge w:val="restart"/>
            <w:vAlign w:val="center"/>
            <w:hideMark/>
          </w:tcPr>
          <w:p w14:paraId="76D655C0"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NEIN</w:t>
            </w:r>
          </w:p>
        </w:tc>
        <w:tc>
          <w:tcPr>
            <w:tcW w:w="1937" w:type="pct"/>
            <w:vMerge w:val="restart"/>
            <w:vAlign w:val="center"/>
            <w:hideMark/>
          </w:tcPr>
          <w:p w14:paraId="17A48D41"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nl-NL"/>
              </w:rPr>
              <w:t>Je nach verwendeter Methode. Nicht in den Testrichtlinien enthalten. Detaillierte Protokolle können als Beispiel im Anhang bereitgestellt werden oder sind auf Anfrage bei dem Institut erhältlich, das den Marker entwickelt hat.</w:t>
            </w:r>
          </w:p>
        </w:tc>
        <w:tc>
          <w:tcPr>
            <w:tcW w:w="78" w:type="pct"/>
            <w:vAlign w:val="center"/>
            <w:hideMark/>
          </w:tcPr>
          <w:p w14:paraId="1ECBBCAC" w14:textId="77777777" w:rsidR="00D52685" w:rsidRPr="00096869" w:rsidRDefault="00D52685" w:rsidP="00D52685">
            <w:pPr>
              <w:rPr>
                <w:rFonts w:ascii="Times New Roman" w:eastAsia="Times New Roman" w:hAnsi="Times New Roman"/>
                <w:lang w:eastAsia="fr-FR"/>
              </w:rPr>
            </w:pPr>
          </w:p>
        </w:tc>
      </w:tr>
      <w:tr w:rsidR="00D52685" w:rsidRPr="00096869" w14:paraId="28A1C2C1" w14:textId="77777777" w:rsidTr="00451DC9">
        <w:trPr>
          <w:cantSplit/>
          <w:trHeight w:val="945"/>
        </w:trPr>
        <w:tc>
          <w:tcPr>
            <w:tcW w:w="343" w:type="pct"/>
            <w:vMerge/>
            <w:vAlign w:val="center"/>
            <w:hideMark/>
          </w:tcPr>
          <w:p w14:paraId="0EAFA8D2" w14:textId="77777777" w:rsidR="00D52685" w:rsidRPr="00096869" w:rsidRDefault="00D52685" w:rsidP="00D52685">
            <w:pPr>
              <w:jc w:val="left"/>
              <w:rPr>
                <w:rFonts w:eastAsia="Times New Roman" w:cs="Arial"/>
                <w:color w:val="000000"/>
                <w:sz w:val="18"/>
                <w:szCs w:val="18"/>
                <w:lang w:eastAsia="fr-FR"/>
              </w:rPr>
            </w:pPr>
          </w:p>
        </w:tc>
        <w:tc>
          <w:tcPr>
            <w:tcW w:w="767" w:type="pct"/>
            <w:vMerge/>
            <w:vAlign w:val="center"/>
            <w:hideMark/>
          </w:tcPr>
          <w:p w14:paraId="03EC3857" w14:textId="77777777" w:rsidR="00D52685" w:rsidRPr="00096869" w:rsidRDefault="00D52685" w:rsidP="00D52685">
            <w:pPr>
              <w:jc w:val="left"/>
              <w:rPr>
                <w:rFonts w:eastAsia="Times New Roman" w:cs="Arial"/>
                <w:color w:val="000000"/>
                <w:sz w:val="18"/>
                <w:szCs w:val="18"/>
                <w:lang w:eastAsia="fr-FR"/>
              </w:rPr>
            </w:pPr>
          </w:p>
        </w:tc>
        <w:tc>
          <w:tcPr>
            <w:tcW w:w="1184" w:type="pct"/>
            <w:vMerge/>
            <w:vAlign w:val="center"/>
            <w:hideMark/>
          </w:tcPr>
          <w:p w14:paraId="183A0FFD" w14:textId="77777777" w:rsidR="00D52685" w:rsidRPr="00096869" w:rsidRDefault="00D52685" w:rsidP="00D52685">
            <w:pPr>
              <w:jc w:val="left"/>
              <w:rPr>
                <w:rFonts w:eastAsia="Times New Roman" w:cs="Arial"/>
                <w:color w:val="000000"/>
                <w:sz w:val="18"/>
                <w:szCs w:val="18"/>
                <w:lang w:eastAsia="fr-FR"/>
              </w:rPr>
            </w:pPr>
          </w:p>
        </w:tc>
        <w:tc>
          <w:tcPr>
            <w:tcW w:w="691" w:type="pct"/>
            <w:vMerge/>
            <w:vAlign w:val="center"/>
            <w:hideMark/>
          </w:tcPr>
          <w:p w14:paraId="06842119" w14:textId="77777777" w:rsidR="00D52685" w:rsidRPr="00096869" w:rsidRDefault="00D52685" w:rsidP="00D52685">
            <w:pPr>
              <w:jc w:val="left"/>
              <w:rPr>
                <w:rFonts w:eastAsia="Times New Roman" w:cs="Arial"/>
                <w:color w:val="000000"/>
                <w:sz w:val="18"/>
                <w:szCs w:val="18"/>
                <w:lang w:eastAsia="fr-FR"/>
              </w:rPr>
            </w:pPr>
          </w:p>
        </w:tc>
        <w:tc>
          <w:tcPr>
            <w:tcW w:w="1937" w:type="pct"/>
            <w:vMerge/>
            <w:vAlign w:val="center"/>
            <w:hideMark/>
          </w:tcPr>
          <w:p w14:paraId="15F67ACD" w14:textId="77777777" w:rsidR="00D52685" w:rsidRPr="00096869" w:rsidRDefault="00D52685" w:rsidP="00D52685">
            <w:pPr>
              <w:jc w:val="left"/>
              <w:rPr>
                <w:rFonts w:eastAsia="Times New Roman" w:cs="Arial"/>
                <w:color w:val="000000"/>
                <w:sz w:val="18"/>
                <w:szCs w:val="18"/>
                <w:lang w:eastAsia="fr-FR"/>
              </w:rPr>
            </w:pPr>
          </w:p>
        </w:tc>
        <w:tc>
          <w:tcPr>
            <w:tcW w:w="78" w:type="pct"/>
            <w:noWrap/>
            <w:vAlign w:val="bottom"/>
            <w:hideMark/>
          </w:tcPr>
          <w:p w14:paraId="2BD1BF39" w14:textId="77777777" w:rsidR="00D52685" w:rsidRPr="00096869" w:rsidRDefault="00D52685" w:rsidP="00D52685">
            <w:pPr>
              <w:rPr>
                <w:rFonts w:eastAsia="Times New Roman" w:cs="Arial"/>
                <w:color w:val="000000"/>
                <w:lang w:eastAsia="fr-FR"/>
              </w:rPr>
            </w:pPr>
          </w:p>
        </w:tc>
      </w:tr>
      <w:tr w:rsidR="00D52685" w:rsidRPr="00096869" w14:paraId="09DE84D1" w14:textId="77777777" w:rsidTr="00451DC9">
        <w:trPr>
          <w:cantSplit/>
          <w:trHeight w:val="300"/>
        </w:trPr>
        <w:tc>
          <w:tcPr>
            <w:tcW w:w="343" w:type="pct"/>
            <w:vAlign w:val="center"/>
          </w:tcPr>
          <w:p w14:paraId="60B91FCE"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7.1</w:t>
            </w:r>
          </w:p>
        </w:tc>
        <w:tc>
          <w:tcPr>
            <w:tcW w:w="767" w:type="pct"/>
            <w:vAlign w:val="center"/>
          </w:tcPr>
          <w:p w14:paraId="39061CCB"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Gültigkeit der Ergebnisse</w:t>
            </w:r>
          </w:p>
        </w:tc>
        <w:tc>
          <w:tcPr>
            <w:tcW w:w="1184" w:type="pct"/>
            <w:vAlign w:val="center"/>
          </w:tcPr>
          <w:p w14:paraId="3A8B745C"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i/>
                <w:color w:val="000000" w:themeColor="text1"/>
                <w:sz w:val="18"/>
                <w:szCs w:val="18"/>
                <w:lang w:eastAsia="fr-FR"/>
              </w:rPr>
              <w:t xml:space="preserve">z. B. </w:t>
            </w:r>
            <w:r w:rsidRPr="00096869">
              <w:rPr>
                <w:rFonts w:eastAsia="Times New Roman" w:cs="Arial"/>
                <w:color w:val="000000" w:themeColor="text1"/>
                <w:sz w:val="18"/>
                <w:szCs w:val="18"/>
                <w:lang w:eastAsia="fr-FR"/>
              </w:rPr>
              <w:t>für qPCR: Überprüfen Sie, ob typische exponentielle Amplifikationskurven vorliegen. Überprüfen Sie, ob die Kontrollen wie erwartet ausfallen (Negativkontrollen = kein Signal; Positivkontrollen = zeigen erwartete Signale für alle Fluorophore).</w:t>
            </w:r>
          </w:p>
        </w:tc>
        <w:tc>
          <w:tcPr>
            <w:tcW w:w="691" w:type="pct"/>
            <w:vAlign w:val="center"/>
          </w:tcPr>
          <w:p w14:paraId="12FBB462"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JA</w:t>
            </w:r>
          </w:p>
        </w:tc>
        <w:tc>
          <w:tcPr>
            <w:tcW w:w="1937" w:type="pct"/>
            <w:vAlign w:val="center"/>
          </w:tcPr>
          <w:p w14:paraId="5D43C79A"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themeColor="text1"/>
                <w:sz w:val="18"/>
                <w:szCs w:val="18"/>
                <w:lang w:eastAsia="nl-NL"/>
              </w:rPr>
              <w:t xml:space="preserve">Je nach verwendeter Methode. </w:t>
            </w:r>
          </w:p>
        </w:tc>
        <w:tc>
          <w:tcPr>
            <w:tcW w:w="78" w:type="pct"/>
            <w:vAlign w:val="center"/>
          </w:tcPr>
          <w:p w14:paraId="0C4D3B09" w14:textId="77777777" w:rsidR="00D52685" w:rsidRPr="00096869" w:rsidRDefault="00D52685" w:rsidP="00D52685">
            <w:pPr>
              <w:rPr>
                <w:rFonts w:ascii="Times New Roman" w:eastAsia="Times New Roman" w:hAnsi="Times New Roman"/>
                <w:lang w:eastAsia="fr-FR"/>
              </w:rPr>
            </w:pPr>
          </w:p>
        </w:tc>
      </w:tr>
      <w:tr w:rsidR="00D52685" w:rsidRPr="00096869" w14:paraId="3392CE77" w14:textId="77777777" w:rsidTr="00451DC9">
        <w:trPr>
          <w:cantSplit/>
          <w:trHeight w:val="300"/>
        </w:trPr>
        <w:tc>
          <w:tcPr>
            <w:tcW w:w="343" w:type="pct"/>
            <w:vAlign w:val="center"/>
          </w:tcPr>
          <w:p w14:paraId="3899F069" w14:textId="77777777" w:rsidR="00D52685" w:rsidRPr="00096869" w:rsidRDefault="00D52685" w:rsidP="00D52685">
            <w:pPr>
              <w:jc w:val="left"/>
              <w:rPr>
                <w:rFonts w:eastAsia="Times New Roman" w:cs="Arial"/>
                <w:color w:val="000000"/>
                <w:sz w:val="18"/>
                <w:szCs w:val="18"/>
                <w:highlight w:val="lightGray"/>
                <w:lang w:eastAsia="nl-NL"/>
              </w:rPr>
            </w:pPr>
            <w:r w:rsidRPr="00096869">
              <w:rPr>
                <w:rFonts w:eastAsia="Times New Roman" w:cs="Arial"/>
                <w:color w:val="000000"/>
                <w:sz w:val="18"/>
                <w:szCs w:val="18"/>
                <w:lang w:eastAsia="nl-NL"/>
              </w:rPr>
              <w:t>8</w:t>
            </w:r>
          </w:p>
        </w:tc>
        <w:tc>
          <w:tcPr>
            <w:tcW w:w="767" w:type="pct"/>
            <w:vAlign w:val="center"/>
          </w:tcPr>
          <w:p w14:paraId="04A8C59D" w14:textId="77777777" w:rsidR="00D52685" w:rsidRPr="00096869" w:rsidRDefault="00D52685" w:rsidP="00D52685">
            <w:pPr>
              <w:jc w:val="left"/>
              <w:rPr>
                <w:rFonts w:eastAsia="Times New Roman" w:cs="Arial"/>
                <w:color w:val="000000"/>
                <w:sz w:val="18"/>
                <w:szCs w:val="18"/>
                <w:highlight w:val="lightGray"/>
                <w:lang w:eastAsia="nl-NL"/>
              </w:rPr>
            </w:pPr>
            <w:r w:rsidRPr="00096869">
              <w:rPr>
                <w:rFonts w:eastAsia="Times New Roman" w:cs="Arial"/>
                <w:color w:val="000000"/>
                <w:sz w:val="18"/>
                <w:szCs w:val="18"/>
                <w:lang w:eastAsia="nl-NL"/>
              </w:rPr>
              <w:t>Interpretation der Testergebnisse</w:t>
            </w:r>
          </w:p>
        </w:tc>
        <w:tc>
          <w:tcPr>
            <w:tcW w:w="1184" w:type="pct"/>
            <w:vAlign w:val="center"/>
          </w:tcPr>
          <w:p w14:paraId="59B1C6DD" w14:textId="77777777" w:rsidR="00D52685" w:rsidRPr="00096869" w:rsidRDefault="00D52685" w:rsidP="00D52685">
            <w:pPr>
              <w:jc w:val="left"/>
              <w:rPr>
                <w:rFonts w:eastAsia="Times New Roman" w:cs="Arial"/>
                <w:color w:val="000000"/>
                <w:sz w:val="18"/>
                <w:szCs w:val="18"/>
                <w:highlight w:val="lightGray"/>
                <w:lang w:eastAsia="fr-FR"/>
              </w:rPr>
            </w:pPr>
            <w:r w:rsidRPr="00096869">
              <w:rPr>
                <w:rFonts w:eastAsia="Times New Roman" w:cs="Arial"/>
                <w:i/>
                <w:iCs/>
                <w:color w:val="000000"/>
                <w:sz w:val="18"/>
                <w:szCs w:val="18"/>
                <w:lang w:eastAsia="fr-FR"/>
              </w:rPr>
              <w:t>Siehe TG/44/11/rev3 – Ad 51: ii DNA-Markertest hinzufügen 8</w:t>
            </w:r>
          </w:p>
        </w:tc>
        <w:tc>
          <w:tcPr>
            <w:tcW w:w="691" w:type="pct"/>
            <w:vAlign w:val="center"/>
          </w:tcPr>
          <w:p w14:paraId="1426FA48" w14:textId="77777777" w:rsidR="00D52685" w:rsidRPr="00096869" w:rsidRDefault="00D52685" w:rsidP="00D52685">
            <w:pPr>
              <w:jc w:val="left"/>
              <w:rPr>
                <w:rFonts w:eastAsia="Times New Roman" w:cs="Arial"/>
                <w:color w:val="000000"/>
                <w:sz w:val="18"/>
                <w:szCs w:val="18"/>
                <w:highlight w:val="lightGray"/>
                <w:lang w:eastAsia="nl-NL"/>
              </w:rPr>
            </w:pPr>
            <w:r w:rsidRPr="00096869">
              <w:rPr>
                <w:rFonts w:eastAsia="Times New Roman" w:cs="Arial"/>
                <w:color w:val="000000"/>
                <w:sz w:val="18"/>
                <w:szCs w:val="18"/>
                <w:lang w:eastAsia="nl-NL"/>
              </w:rPr>
              <w:t>JA</w:t>
            </w:r>
          </w:p>
        </w:tc>
        <w:tc>
          <w:tcPr>
            <w:tcW w:w="1937" w:type="pct"/>
            <w:vAlign w:val="center"/>
          </w:tcPr>
          <w:p w14:paraId="365C6882"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nl-NL"/>
              </w:rPr>
              <w:t>Beziehung zwischen Allelen und Ausprägungen (mit Anmerkungen)</w:t>
            </w:r>
          </w:p>
          <w:p w14:paraId="12222097" w14:textId="77777777" w:rsidR="00D52685" w:rsidRPr="00096869" w:rsidRDefault="00D52685" w:rsidP="00D52685">
            <w:pPr>
              <w:jc w:val="left"/>
              <w:rPr>
                <w:rFonts w:eastAsia="Times New Roman" w:cs="Arial"/>
                <w:color w:val="000000"/>
                <w:sz w:val="18"/>
                <w:szCs w:val="18"/>
                <w:lang w:eastAsia="nl-NL"/>
              </w:rPr>
            </w:pPr>
          </w:p>
          <w:p w14:paraId="424900C5"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nl-NL"/>
              </w:rPr>
              <w:t xml:space="preserve">Falls das Ergebnis des DNA-Markertests die Angaben im technischen Fragebogen nicht bestätigt, sollte ein Feldversuch oder Bioassay durchgeführt werden, </w:t>
            </w:r>
            <w:r w:rsidRPr="00096869">
              <w:rPr>
                <w:rFonts w:eastAsia="Times New Roman" w:cs="Arial"/>
                <w:strike/>
                <w:color w:val="000000"/>
                <w:sz w:val="18"/>
                <w:szCs w:val="18"/>
                <w:highlight w:val="lightGray"/>
                <w:lang w:eastAsia="nl-NL"/>
              </w:rPr>
              <w:t>um die Richtigkeit der Angaben im technischen Fragebogen zu überprüfen</w:t>
            </w:r>
            <w:r w:rsidRPr="00096869">
              <w:rPr>
                <w:rFonts w:eastAsia="Times New Roman" w:cs="Arial"/>
                <w:color w:val="000000"/>
                <w:sz w:val="18"/>
                <w:szCs w:val="18"/>
                <w:highlight w:val="lightGray"/>
                <w:lang w:eastAsia="nl-NL"/>
              </w:rPr>
              <w:t>.</w:t>
            </w:r>
          </w:p>
        </w:tc>
        <w:tc>
          <w:tcPr>
            <w:tcW w:w="78" w:type="pct"/>
            <w:vAlign w:val="center"/>
          </w:tcPr>
          <w:p w14:paraId="05AF5D16" w14:textId="77777777" w:rsidR="00D52685" w:rsidRPr="00096869" w:rsidRDefault="00D52685" w:rsidP="00D52685">
            <w:pPr>
              <w:rPr>
                <w:rFonts w:ascii="Times New Roman" w:eastAsia="Times New Roman" w:hAnsi="Times New Roman"/>
                <w:lang w:eastAsia="fr-FR"/>
              </w:rPr>
            </w:pPr>
          </w:p>
        </w:tc>
      </w:tr>
      <w:tr w:rsidR="00D52685" w:rsidRPr="00096869" w14:paraId="49BDB119" w14:textId="77777777" w:rsidTr="00451DC9">
        <w:trPr>
          <w:cantSplit/>
          <w:trHeight w:val="300"/>
        </w:trPr>
        <w:tc>
          <w:tcPr>
            <w:tcW w:w="343" w:type="pct"/>
            <w:vAlign w:val="center"/>
          </w:tcPr>
          <w:p w14:paraId="22076AEC"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fr-FR"/>
              </w:rPr>
              <w:t>9</w:t>
            </w:r>
          </w:p>
        </w:tc>
        <w:tc>
          <w:tcPr>
            <w:tcW w:w="767" w:type="pct"/>
            <w:vAlign w:val="center"/>
          </w:tcPr>
          <w:p w14:paraId="119DA259"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fr-FR"/>
              </w:rPr>
              <w:t xml:space="preserve">Validierung der Methode </w:t>
            </w:r>
          </w:p>
        </w:tc>
        <w:tc>
          <w:tcPr>
            <w:tcW w:w="1184" w:type="pct"/>
            <w:vAlign w:val="center"/>
          </w:tcPr>
          <w:p w14:paraId="6769F62A"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sz w:val="18"/>
                <w:szCs w:val="18"/>
                <w:lang w:eastAsia="fr-FR"/>
              </w:rPr>
              <w:t xml:space="preserve">Dieses Protokoll wurde durch einen Ringversuch mit verschiedenen Laboratorien validiert. </w:t>
            </w:r>
          </w:p>
        </w:tc>
        <w:tc>
          <w:tcPr>
            <w:tcW w:w="691" w:type="pct"/>
            <w:vAlign w:val="center"/>
          </w:tcPr>
          <w:p w14:paraId="67158E2F"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nl-NL"/>
              </w:rPr>
              <w:t xml:space="preserve"> JA</w:t>
            </w:r>
          </w:p>
        </w:tc>
        <w:tc>
          <w:tcPr>
            <w:tcW w:w="1937" w:type="pct"/>
            <w:vAlign w:val="center"/>
          </w:tcPr>
          <w:p w14:paraId="40FC949D" w14:textId="77777777" w:rsidR="00D52685" w:rsidRPr="00096869" w:rsidRDefault="00D52685" w:rsidP="00D52685">
            <w:pPr>
              <w:jc w:val="left"/>
              <w:rPr>
                <w:rFonts w:eastAsia="Times New Roman" w:cs="Arial"/>
                <w:color w:val="000000"/>
                <w:sz w:val="18"/>
                <w:szCs w:val="18"/>
                <w:lang w:eastAsia="nl-NL"/>
              </w:rPr>
            </w:pPr>
            <w:r w:rsidRPr="00096869">
              <w:rPr>
                <w:rFonts w:eastAsia="Times New Roman" w:cs="Arial"/>
                <w:color w:val="000000"/>
                <w:sz w:val="18"/>
                <w:szCs w:val="18"/>
                <w:lang w:eastAsia="fr-FR"/>
              </w:rPr>
              <w:t>(</w:t>
            </w:r>
            <w:r w:rsidRPr="00096869">
              <w:rPr>
                <w:rFonts w:eastAsia="Times New Roman" w:cs="Arial"/>
                <w:i/>
                <w:color w:val="000000"/>
                <w:sz w:val="18"/>
                <w:szCs w:val="18"/>
                <w:lang w:eastAsia="fr-FR"/>
              </w:rPr>
              <w:t xml:space="preserve">z. B. </w:t>
            </w:r>
            <w:r w:rsidRPr="00096869">
              <w:rPr>
                <w:rFonts w:eastAsia="Times New Roman" w:cs="Arial"/>
                <w:color w:val="000000"/>
                <w:sz w:val="18"/>
                <w:szCs w:val="18"/>
                <w:lang w:eastAsia="fr-FR"/>
              </w:rPr>
              <w:t xml:space="preserve">Laborvergleichstest INVITE 2024 </w:t>
            </w:r>
            <w:r w:rsidRPr="00096869">
              <w:rPr>
                <w:rFonts w:ascii="Segoe UI" w:eastAsia="Times New Roman" w:hAnsi="Segoe UI" w:cs="Arial"/>
                <w:color w:val="333333"/>
                <w:sz w:val="18"/>
                <w:szCs w:val="18"/>
                <w:shd w:val="clear" w:color="auto" w:fill="FFFFFF"/>
              </w:rPr>
              <w:t xml:space="preserve"> 817970 </w:t>
            </w:r>
            <w:r w:rsidRPr="00096869">
              <w:rPr>
                <w:rFonts w:ascii="Segoe UI" w:eastAsia="Times New Roman" w:hAnsi="Segoe UI" w:cs="Arial"/>
                <w:sz w:val="18"/>
                <w:szCs w:val="18"/>
              </w:rPr>
              <w:t>DOI</w:t>
            </w:r>
            <w:hyperlink r:id="rId25" w:history="1">
              <w:r w:rsidRPr="00096869">
                <w:rPr>
                  <w:rFonts w:ascii="Segoe UI" w:eastAsia="Times New Roman" w:hAnsi="Segoe UI" w:cs="Arial"/>
                  <w:color w:val="0000FF"/>
                  <w:sz w:val="18"/>
                  <w:szCs w:val="18"/>
                  <w:u w:val="single"/>
                </w:rPr>
                <w:t xml:space="preserve"> 10.3030/817970</w:t>
              </w:r>
            </w:hyperlink>
            <w:r w:rsidRPr="00096869">
              <w:rPr>
                <w:rFonts w:eastAsia="Times New Roman" w:cs="Arial"/>
                <w:sz w:val="18"/>
                <w:szCs w:val="18"/>
              </w:rPr>
              <w:t>)</w:t>
            </w:r>
          </w:p>
        </w:tc>
        <w:tc>
          <w:tcPr>
            <w:tcW w:w="78" w:type="pct"/>
            <w:vAlign w:val="center"/>
          </w:tcPr>
          <w:p w14:paraId="34DE2852" w14:textId="77777777" w:rsidR="00D52685" w:rsidRPr="00096869" w:rsidRDefault="00D52685" w:rsidP="00D52685">
            <w:pPr>
              <w:rPr>
                <w:rFonts w:ascii="Times New Roman" w:eastAsia="Times New Roman" w:hAnsi="Times New Roman"/>
                <w:lang w:eastAsia="fr-FR"/>
              </w:rPr>
            </w:pPr>
          </w:p>
        </w:tc>
      </w:tr>
      <w:tr w:rsidR="00D52685" w:rsidRPr="00096869" w14:paraId="6F6E3FFF" w14:textId="77777777" w:rsidTr="00451DC9">
        <w:trPr>
          <w:cantSplit/>
          <w:trHeight w:val="300"/>
        </w:trPr>
        <w:tc>
          <w:tcPr>
            <w:tcW w:w="343" w:type="pct"/>
            <w:vMerge w:val="restart"/>
            <w:vAlign w:val="center"/>
          </w:tcPr>
          <w:p w14:paraId="0D3FE7B9"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fr-FR"/>
              </w:rPr>
              <w:t>9.1</w:t>
            </w:r>
          </w:p>
        </w:tc>
        <w:tc>
          <w:tcPr>
            <w:tcW w:w="767" w:type="pct"/>
            <w:vMerge w:val="restart"/>
            <w:vAlign w:val="center"/>
          </w:tcPr>
          <w:p w14:paraId="67A95D4D"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fr-FR"/>
              </w:rPr>
              <w:t>Kontakt Prüfungsamt</w:t>
            </w:r>
          </w:p>
        </w:tc>
        <w:tc>
          <w:tcPr>
            <w:tcW w:w="1184" w:type="pct"/>
            <w:vMerge w:val="restart"/>
            <w:vAlign w:val="center"/>
          </w:tcPr>
          <w:p w14:paraId="676D3C8B"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i/>
                <w:color w:val="000000" w:themeColor="text1"/>
                <w:sz w:val="18"/>
                <w:szCs w:val="18"/>
                <w:lang w:eastAsia="fr-FR"/>
              </w:rPr>
              <w:t xml:space="preserve">z. B. </w:t>
            </w:r>
            <w:r w:rsidRPr="00096869">
              <w:rPr>
                <w:rFonts w:eastAsia="Times New Roman" w:cs="Arial"/>
                <w:color w:val="000000" w:themeColor="text1"/>
                <w:sz w:val="18"/>
                <w:szCs w:val="18"/>
                <w:lang w:eastAsia="fr-FR"/>
              </w:rPr>
              <w:t>Naktuinbouw</w:t>
            </w:r>
          </w:p>
        </w:tc>
        <w:tc>
          <w:tcPr>
            <w:tcW w:w="691" w:type="pct"/>
            <w:vMerge w:val="restart"/>
            <w:vAlign w:val="center"/>
          </w:tcPr>
          <w:p w14:paraId="64B89E13"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fr-FR"/>
              </w:rPr>
              <w:t>JA</w:t>
            </w:r>
          </w:p>
        </w:tc>
        <w:tc>
          <w:tcPr>
            <w:tcW w:w="1937" w:type="pct"/>
            <w:vMerge w:val="restart"/>
            <w:vAlign w:val="center"/>
          </w:tcPr>
          <w:p w14:paraId="1995293A" w14:textId="77777777" w:rsidR="00D52685" w:rsidRPr="00096869" w:rsidRDefault="00D52685" w:rsidP="00D52685">
            <w:pPr>
              <w:jc w:val="left"/>
              <w:rPr>
                <w:rFonts w:eastAsia="Times New Roman" w:cs="Arial"/>
                <w:color w:val="000000"/>
                <w:sz w:val="18"/>
                <w:szCs w:val="18"/>
                <w:lang w:eastAsia="fr-FR"/>
              </w:rPr>
            </w:pPr>
            <w:r w:rsidRPr="00096869">
              <w:rPr>
                <w:rFonts w:eastAsia="Times New Roman" w:cs="Arial"/>
                <w:color w:val="000000" w:themeColor="text1"/>
                <w:sz w:val="18"/>
                <w:szCs w:val="18"/>
                <w:lang w:eastAsia="fr-FR"/>
              </w:rPr>
              <w:t>Kontaktdaten des Instituts, das dieses Protokoll entwickelt hat, Name der Dienststelle.</w:t>
            </w:r>
          </w:p>
        </w:tc>
        <w:tc>
          <w:tcPr>
            <w:tcW w:w="78" w:type="pct"/>
            <w:vAlign w:val="center"/>
            <w:hideMark/>
          </w:tcPr>
          <w:p w14:paraId="0A5B663F" w14:textId="77777777" w:rsidR="00D52685" w:rsidRPr="00096869" w:rsidRDefault="00D52685" w:rsidP="00D52685">
            <w:pPr>
              <w:rPr>
                <w:rFonts w:ascii="Times New Roman" w:eastAsia="Times New Roman" w:hAnsi="Times New Roman"/>
                <w:lang w:eastAsia="fr-FR"/>
              </w:rPr>
            </w:pPr>
          </w:p>
        </w:tc>
      </w:tr>
      <w:tr w:rsidR="00D52685" w:rsidRPr="00096869" w14:paraId="7A17199C" w14:textId="77777777" w:rsidTr="00451DC9">
        <w:trPr>
          <w:trHeight w:val="300"/>
        </w:trPr>
        <w:tc>
          <w:tcPr>
            <w:tcW w:w="343" w:type="pct"/>
            <w:vMerge/>
            <w:vAlign w:val="center"/>
          </w:tcPr>
          <w:p w14:paraId="739A13EB" w14:textId="77777777" w:rsidR="00D52685" w:rsidRPr="00096869" w:rsidRDefault="00D52685" w:rsidP="00D52685">
            <w:pPr>
              <w:rPr>
                <w:rFonts w:eastAsia="Times New Roman" w:cs="Arial"/>
                <w:color w:val="000000"/>
                <w:sz w:val="18"/>
                <w:szCs w:val="18"/>
                <w:lang w:eastAsia="nl-NL"/>
              </w:rPr>
            </w:pPr>
          </w:p>
        </w:tc>
        <w:tc>
          <w:tcPr>
            <w:tcW w:w="767" w:type="pct"/>
            <w:vMerge/>
            <w:vAlign w:val="center"/>
          </w:tcPr>
          <w:p w14:paraId="78FB08FE" w14:textId="77777777" w:rsidR="00D52685" w:rsidRPr="00096869" w:rsidRDefault="00D52685" w:rsidP="00D52685">
            <w:pPr>
              <w:rPr>
                <w:rFonts w:eastAsia="Times New Roman" w:cs="Arial"/>
                <w:color w:val="000000"/>
                <w:sz w:val="18"/>
                <w:szCs w:val="18"/>
                <w:lang w:eastAsia="nl-NL"/>
              </w:rPr>
            </w:pPr>
          </w:p>
        </w:tc>
        <w:tc>
          <w:tcPr>
            <w:tcW w:w="1184" w:type="pct"/>
            <w:vMerge/>
            <w:vAlign w:val="center"/>
          </w:tcPr>
          <w:p w14:paraId="5194E465" w14:textId="77777777" w:rsidR="00D52685" w:rsidRPr="00096869" w:rsidRDefault="00D52685" w:rsidP="00D52685">
            <w:pPr>
              <w:rPr>
                <w:rFonts w:eastAsia="Times New Roman" w:cs="Arial"/>
                <w:i/>
                <w:iCs/>
                <w:color w:val="000000"/>
                <w:sz w:val="18"/>
                <w:szCs w:val="18"/>
                <w:lang w:eastAsia="fr-FR"/>
              </w:rPr>
            </w:pPr>
          </w:p>
        </w:tc>
        <w:tc>
          <w:tcPr>
            <w:tcW w:w="691" w:type="pct"/>
            <w:vMerge/>
            <w:vAlign w:val="center"/>
          </w:tcPr>
          <w:p w14:paraId="580AD4BA" w14:textId="77777777" w:rsidR="00D52685" w:rsidRPr="00096869" w:rsidRDefault="00D52685" w:rsidP="00D52685">
            <w:pPr>
              <w:rPr>
                <w:rFonts w:eastAsia="Times New Roman" w:cs="Arial"/>
                <w:color w:val="000000"/>
                <w:sz w:val="18"/>
                <w:szCs w:val="18"/>
                <w:lang w:eastAsia="nl-NL"/>
              </w:rPr>
            </w:pPr>
          </w:p>
        </w:tc>
        <w:tc>
          <w:tcPr>
            <w:tcW w:w="1937" w:type="pct"/>
            <w:vMerge/>
            <w:vAlign w:val="center"/>
          </w:tcPr>
          <w:p w14:paraId="328FBBD6" w14:textId="77777777" w:rsidR="00D52685" w:rsidRPr="00096869" w:rsidRDefault="00D52685" w:rsidP="00D52685">
            <w:pPr>
              <w:rPr>
                <w:rFonts w:eastAsia="Times New Roman" w:cs="Arial"/>
                <w:color w:val="000000"/>
                <w:sz w:val="18"/>
                <w:szCs w:val="18"/>
                <w:lang w:eastAsia="nl-NL"/>
              </w:rPr>
            </w:pPr>
          </w:p>
        </w:tc>
        <w:tc>
          <w:tcPr>
            <w:tcW w:w="78" w:type="pct"/>
            <w:vAlign w:val="center"/>
          </w:tcPr>
          <w:p w14:paraId="4F25D988" w14:textId="77777777" w:rsidR="00D52685" w:rsidRPr="00096869" w:rsidRDefault="00D52685" w:rsidP="00D52685">
            <w:pPr>
              <w:rPr>
                <w:rFonts w:ascii="Times New Roman" w:eastAsia="Times New Roman" w:hAnsi="Times New Roman"/>
                <w:lang w:eastAsia="fr-FR"/>
              </w:rPr>
            </w:pPr>
          </w:p>
        </w:tc>
      </w:tr>
      <w:tr w:rsidR="00D52685" w:rsidRPr="00096869" w14:paraId="27FE4647" w14:textId="77777777" w:rsidTr="00451DC9">
        <w:trPr>
          <w:trHeight w:val="315"/>
        </w:trPr>
        <w:tc>
          <w:tcPr>
            <w:tcW w:w="343" w:type="pct"/>
            <w:vMerge/>
            <w:vAlign w:val="center"/>
          </w:tcPr>
          <w:p w14:paraId="633E6264" w14:textId="77777777" w:rsidR="00D52685" w:rsidRPr="00096869" w:rsidRDefault="00D52685" w:rsidP="00D52685">
            <w:pPr>
              <w:rPr>
                <w:rFonts w:eastAsia="Times New Roman" w:cs="Arial"/>
                <w:color w:val="000000"/>
                <w:sz w:val="18"/>
                <w:szCs w:val="18"/>
                <w:lang w:eastAsia="fr-FR"/>
              </w:rPr>
            </w:pPr>
          </w:p>
        </w:tc>
        <w:tc>
          <w:tcPr>
            <w:tcW w:w="767" w:type="pct"/>
            <w:vMerge/>
            <w:vAlign w:val="center"/>
          </w:tcPr>
          <w:p w14:paraId="6B5185BF" w14:textId="77777777" w:rsidR="00D52685" w:rsidRPr="00096869" w:rsidRDefault="00D52685" w:rsidP="00D52685">
            <w:pPr>
              <w:rPr>
                <w:rFonts w:eastAsia="Times New Roman" w:cs="Arial"/>
                <w:color w:val="000000"/>
                <w:sz w:val="18"/>
                <w:szCs w:val="18"/>
                <w:lang w:eastAsia="fr-FR"/>
              </w:rPr>
            </w:pPr>
          </w:p>
        </w:tc>
        <w:tc>
          <w:tcPr>
            <w:tcW w:w="1184" w:type="pct"/>
            <w:vMerge/>
            <w:vAlign w:val="center"/>
          </w:tcPr>
          <w:p w14:paraId="3184CE0C" w14:textId="77777777" w:rsidR="00D52685" w:rsidRPr="00096869" w:rsidRDefault="00D52685" w:rsidP="00D52685">
            <w:pPr>
              <w:rPr>
                <w:rFonts w:eastAsia="Times New Roman" w:cs="Arial"/>
                <w:i/>
                <w:iCs/>
                <w:color w:val="000000"/>
                <w:sz w:val="18"/>
                <w:szCs w:val="18"/>
                <w:lang w:eastAsia="fr-FR"/>
              </w:rPr>
            </w:pPr>
          </w:p>
        </w:tc>
        <w:tc>
          <w:tcPr>
            <w:tcW w:w="691" w:type="pct"/>
            <w:vMerge/>
            <w:vAlign w:val="center"/>
          </w:tcPr>
          <w:p w14:paraId="4EE17E4C" w14:textId="77777777" w:rsidR="00D52685" w:rsidRPr="00096869" w:rsidRDefault="00D52685" w:rsidP="00D52685">
            <w:pPr>
              <w:rPr>
                <w:rFonts w:eastAsia="Times New Roman" w:cs="Arial"/>
                <w:color w:val="000000"/>
                <w:sz w:val="18"/>
                <w:szCs w:val="18"/>
                <w:lang w:eastAsia="fr-FR"/>
              </w:rPr>
            </w:pPr>
          </w:p>
        </w:tc>
        <w:tc>
          <w:tcPr>
            <w:tcW w:w="1937" w:type="pct"/>
            <w:vMerge/>
            <w:vAlign w:val="center"/>
          </w:tcPr>
          <w:p w14:paraId="3BB6FE94" w14:textId="77777777" w:rsidR="00D52685" w:rsidRPr="00096869" w:rsidRDefault="00D52685" w:rsidP="00D52685">
            <w:pPr>
              <w:rPr>
                <w:rFonts w:eastAsia="Times New Roman" w:cs="Arial"/>
                <w:color w:val="000000"/>
                <w:sz w:val="18"/>
                <w:szCs w:val="18"/>
                <w:lang w:eastAsia="fr-FR"/>
              </w:rPr>
            </w:pPr>
          </w:p>
        </w:tc>
        <w:tc>
          <w:tcPr>
            <w:tcW w:w="78" w:type="pct"/>
            <w:noWrap/>
            <w:vAlign w:val="bottom"/>
            <w:hideMark/>
          </w:tcPr>
          <w:p w14:paraId="76514CDA" w14:textId="77777777" w:rsidR="00D52685" w:rsidRPr="00096869" w:rsidRDefault="00D52685" w:rsidP="00D52685">
            <w:pPr>
              <w:rPr>
                <w:rFonts w:eastAsia="Times New Roman" w:cs="Arial"/>
                <w:color w:val="000000"/>
                <w:lang w:eastAsia="fr-FR"/>
              </w:rPr>
            </w:pPr>
          </w:p>
        </w:tc>
      </w:tr>
    </w:tbl>
    <w:p w14:paraId="60DAC7AA" w14:textId="77777777" w:rsidR="00D52685" w:rsidRPr="00096869" w:rsidRDefault="00D52685" w:rsidP="00D52685">
      <w:pPr>
        <w:rPr>
          <w:rFonts w:eastAsia="Times New Roman"/>
          <w:lang w:eastAsia="fr-FR"/>
        </w:rPr>
      </w:pPr>
    </w:p>
    <w:p w14:paraId="442AB59A" w14:textId="77777777" w:rsidR="00D52685" w:rsidRPr="00096869" w:rsidRDefault="00D52685" w:rsidP="00D52685">
      <w:pPr>
        <w:rPr>
          <w:rFonts w:eastAsia="Times New Roman"/>
          <w:lang w:eastAsia="fr-FR"/>
        </w:rPr>
      </w:pPr>
    </w:p>
    <w:p w14:paraId="35859D8D" w14:textId="77777777" w:rsidR="00D52685" w:rsidRPr="00096869" w:rsidRDefault="00D52685" w:rsidP="0077577B">
      <w:pPr>
        <w:pStyle w:val="Heading1Annex"/>
        <w:rPr>
          <w:lang w:val="de-DE"/>
        </w:rPr>
      </w:pPr>
      <w:bookmarkStart w:id="118" w:name="_Toc189576576"/>
      <w:bookmarkStart w:id="119" w:name="_Toc210139358"/>
      <w:r w:rsidRPr="00096869">
        <w:rPr>
          <w:lang w:val="de-DE"/>
        </w:rPr>
        <w:lastRenderedPageBreak/>
        <w:t>VI.</w:t>
      </w:r>
      <w:r w:rsidRPr="00096869">
        <w:rPr>
          <w:lang w:val="de-DE"/>
        </w:rPr>
        <w:tab/>
        <w:t>Nachuntersuchung nach der Zulassung</w:t>
      </w:r>
      <w:bookmarkEnd w:id="118"/>
      <w:bookmarkEnd w:id="119"/>
    </w:p>
    <w:p w14:paraId="61FA046F" w14:textId="77777777" w:rsidR="00D52685" w:rsidRPr="00096869" w:rsidRDefault="00D52685" w:rsidP="00D52685">
      <w:pPr>
        <w:keepNext/>
        <w:rPr>
          <w:rFonts w:eastAsia="Times New Roman"/>
          <w:lang w:eastAsia="fr-FR"/>
        </w:rPr>
      </w:pPr>
    </w:p>
    <w:p w14:paraId="4F890AD6" w14:textId="078302A8" w:rsidR="00D52685" w:rsidRPr="00096869" w:rsidRDefault="00DC4B65" w:rsidP="00D52685">
      <w:pPr>
        <w:rPr>
          <w:rFonts w:eastAsia="Times New Roman"/>
          <w:lang w:eastAsia="fr-FR"/>
        </w:rPr>
      </w:pPr>
      <w:r w:rsidRPr="00096869">
        <w:rPr>
          <w:rFonts w:hint="eastAsia"/>
          <w:lang w:eastAsia="ja-JP"/>
        </w:rPr>
        <w:t>33.</w:t>
      </w:r>
      <w:r w:rsidR="00D52685" w:rsidRPr="00096869">
        <w:rPr>
          <w:rFonts w:eastAsia="Times New Roman"/>
          <w:lang w:eastAsia="fr-FR"/>
        </w:rPr>
        <w:tab/>
        <w:t xml:space="preserve">Die Validierung des Markers ist nicht endgültig, da neue genetische Merkmale auf dem Markt auftreten können. Es handelt sich um einen kontinuierlichen Bewertungsprozess. Die Spezifität sollte nach der Validierungsannahme mindestens während des ersten Jahres mit Hilfe paralleler Tests (Markertest und Bioassay) unter Verwendung der Beobachtungsmethode neu bewertet werden. </w:t>
      </w:r>
    </w:p>
    <w:p w14:paraId="57719EE3" w14:textId="77777777" w:rsidR="00D52685" w:rsidRPr="00096869" w:rsidRDefault="00D52685" w:rsidP="00D52685">
      <w:pPr>
        <w:rPr>
          <w:rFonts w:eastAsia="Times New Roman"/>
          <w:lang w:eastAsia="fr-FR"/>
        </w:rPr>
      </w:pPr>
    </w:p>
    <w:p w14:paraId="3CE960ED" w14:textId="13556EE3" w:rsidR="00D52685" w:rsidRPr="00096869" w:rsidRDefault="00DC4B65" w:rsidP="00D52685">
      <w:pPr>
        <w:rPr>
          <w:rFonts w:eastAsia="Times New Roman"/>
          <w:lang w:eastAsia="fr-FR"/>
        </w:rPr>
      </w:pPr>
      <w:r w:rsidRPr="00096869">
        <w:rPr>
          <w:rFonts w:hint="eastAsia"/>
          <w:lang w:eastAsia="ja-JP"/>
        </w:rPr>
        <w:t>34.</w:t>
      </w:r>
      <w:r w:rsidR="00D52685" w:rsidRPr="00096869">
        <w:rPr>
          <w:rFonts w:eastAsia="Times New Roman"/>
          <w:lang w:eastAsia="fr-FR"/>
        </w:rPr>
        <w:tab/>
        <w:t>Nach dem ersten Jahr der Annahme des Protokolls müssen morphologische Kontrollen an etwa 10 % der neuen Sorten durchgeführt werden.</w:t>
      </w:r>
    </w:p>
    <w:p w14:paraId="6038449B" w14:textId="77777777" w:rsidR="00D52685" w:rsidRPr="00096869" w:rsidRDefault="00D52685" w:rsidP="00D52685">
      <w:pPr>
        <w:jc w:val="left"/>
        <w:rPr>
          <w:rFonts w:eastAsia="Times New Roman"/>
        </w:rPr>
      </w:pPr>
    </w:p>
    <w:p w14:paraId="425408FA" w14:textId="77777777" w:rsidR="00BF7C58" w:rsidRPr="00096869" w:rsidRDefault="00BF7C58" w:rsidP="00D52685">
      <w:pPr>
        <w:jc w:val="left"/>
        <w:rPr>
          <w:rFonts w:eastAsia="Times New Roman"/>
        </w:rPr>
      </w:pPr>
    </w:p>
    <w:p w14:paraId="69ACC659" w14:textId="77777777" w:rsidR="00D52685" w:rsidRPr="00096869" w:rsidRDefault="00D52685" w:rsidP="0077577B">
      <w:pPr>
        <w:pStyle w:val="Heading1Annex"/>
        <w:rPr>
          <w:lang w:val="de-DE"/>
        </w:rPr>
      </w:pPr>
      <w:bookmarkStart w:id="120" w:name="_Toc210139359"/>
      <w:r w:rsidRPr="00096869">
        <w:rPr>
          <w:lang w:val="de-DE"/>
        </w:rPr>
        <w:t>VII.</w:t>
      </w:r>
      <w:r w:rsidRPr="00096869">
        <w:rPr>
          <w:lang w:val="de-DE"/>
        </w:rPr>
        <w:tab/>
        <w:t>LITERATUR</w:t>
      </w:r>
      <w:bookmarkEnd w:id="120"/>
    </w:p>
    <w:p w14:paraId="24422E95" w14:textId="77777777" w:rsidR="00D52685" w:rsidRPr="00096869" w:rsidRDefault="00D52685" w:rsidP="00D52685">
      <w:pPr>
        <w:jc w:val="left"/>
        <w:rPr>
          <w:rFonts w:eastAsia="Times New Roman"/>
        </w:rPr>
      </w:pPr>
    </w:p>
    <w:p w14:paraId="1A01D356" w14:textId="77777777" w:rsidR="00D52685" w:rsidRPr="00096869" w:rsidRDefault="00D52685" w:rsidP="00D52685">
      <w:pPr>
        <w:rPr>
          <w:rFonts w:eastAsia="Times New Roman"/>
        </w:rPr>
      </w:pPr>
      <w:r w:rsidRPr="00096869">
        <w:rPr>
          <w:rFonts w:eastAsia="Times New Roman"/>
        </w:rPr>
        <w:t xml:space="preserve">Arens P., Mansilla C., Deinum D., Cavellini L., Moretti A., Rolland S., van der Schoot H., Calvache D., Ponz F., Collonnier C., Mathis R., Smilde D., Caranta C.; Vosman B., 2010: Entwicklung und Bewertung robuster molekularer Marker, die mit der Krankheitsresistenz von Tomaten in Verbindung stehen, für die Prüfung der Unterscheidbarkeit, Homogenität und Beständigkeit. </w:t>
      </w:r>
    </w:p>
    <w:p w14:paraId="53154F7A" w14:textId="77777777" w:rsidR="00D52685" w:rsidRPr="00096869" w:rsidRDefault="00D52685" w:rsidP="00D52685">
      <w:pPr>
        <w:jc w:val="left"/>
        <w:rPr>
          <w:rFonts w:eastAsia="Times New Roman"/>
        </w:rPr>
      </w:pPr>
      <w:r w:rsidRPr="00096869">
        <w:rPr>
          <w:rFonts w:eastAsia="Times New Roman"/>
        </w:rPr>
        <w:t>Theoretische und angewandte Genetik 120(3). S. 655-64</w:t>
      </w:r>
    </w:p>
    <w:p w14:paraId="7396CEDD" w14:textId="77777777" w:rsidR="00D52685" w:rsidRPr="00096869" w:rsidRDefault="00D52685" w:rsidP="00D52685">
      <w:pPr>
        <w:rPr>
          <w:rFonts w:eastAsia="Times New Roman"/>
        </w:rPr>
      </w:pPr>
    </w:p>
    <w:p w14:paraId="7B8AE26D" w14:textId="77777777" w:rsidR="00D52685" w:rsidRPr="00096869" w:rsidRDefault="00D52685" w:rsidP="00D52685">
      <w:pPr>
        <w:rPr>
          <w:rFonts w:eastAsia="Times New Roman"/>
        </w:rPr>
      </w:pPr>
      <w:r w:rsidRPr="00096869">
        <w:rPr>
          <w:rFonts w:eastAsia="Times New Roman"/>
        </w:rPr>
        <w:t>Langton, S.D., Chevennement, R., Nagelkerke, N. und Lombard, B. (2002). Analyse gemeinsamer Versuche für qualitative mikrobiologische Methoden: Übereinstimmung und Konkordanz. International Journal of Food Microbiology, 79, 175-181</w:t>
      </w:r>
    </w:p>
    <w:p w14:paraId="339E95E3" w14:textId="77777777" w:rsidR="00550FF9" w:rsidRPr="00096869" w:rsidRDefault="00550FF9" w:rsidP="00550FF9">
      <w:pPr>
        <w:jc w:val="left"/>
      </w:pPr>
    </w:p>
    <w:p w14:paraId="3FB988CA" w14:textId="77777777" w:rsidR="00EF4B00" w:rsidRPr="00096869" w:rsidRDefault="00EF4B00" w:rsidP="00EF4B00"/>
    <w:p w14:paraId="465282EF" w14:textId="77777777" w:rsidR="003D7A73" w:rsidRPr="00096869" w:rsidRDefault="003D7A73" w:rsidP="00EF4B00"/>
    <w:p w14:paraId="530048DF" w14:textId="373F1515" w:rsidR="003D7A73" w:rsidRPr="00096869" w:rsidRDefault="003D7A73" w:rsidP="003D7A73">
      <w:pPr>
        <w:jc w:val="right"/>
      </w:pPr>
      <w:r w:rsidRPr="00096869">
        <w:t>[Ende de</w:t>
      </w:r>
      <w:r w:rsidR="00595FE4">
        <w:t>r</w:t>
      </w:r>
      <w:r w:rsidRPr="00096869">
        <w:t xml:space="preserve"> </w:t>
      </w:r>
      <w:r w:rsidR="00595FE4">
        <w:t xml:space="preserve">Anlage </w:t>
      </w:r>
      <w:r w:rsidRPr="00096869">
        <w:t>und des Dokuments]</w:t>
      </w:r>
    </w:p>
    <w:sectPr w:rsidR="003D7A73" w:rsidRPr="00096869" w:rsidSect="0077577B">
      <w:headerReference w:type="default" r:id="rId26"/>
      <w:headerReference w:type="first" r:id="rId27"/>
      <w:pgSz w:w="11907" w:h="16840" w:code="9"/>
      <w:pgMar w:top="510" w:right="1134" w:bottom="709" w:left="1134" w:header="510" w:footer="5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330F" w14:textId="77777777" w:rsidR="00506A9E" w:rsidRPr="00096869" w:rsidRDefault="00506A9E" w:rsidP="006655D3">
      <w:r w:rsidRPr="00096869">
        <w:separator/>
      </w:r>
    </w:p>
    <w:p w14:paraId="127F7907" w14:textId="77777777" w:rsidR="00506A9E" w:rsidRPr="00096869" w:rsidRDefault="00506A9E" w:rsidP="006655D3"/>
    <w:p w14:paraId="3F52CC52" w14:textId="77777777" w:rsidR="00506A9E" w:rsidRPr="00096869" w:rsidRDefault="00506A9E" w:rsidP="006655D3"/>
    <w:p w14:paraId="66754A44" w14:textId="77777777" w:rsidR="00506A9E" w:rsidRPr="00096869" w:rsidRDefault="00506A9E"/>
  </w:endnote>
  <w:endnote w:type="continuationSeparator" w:id="0">
    <w:p w14:paraId="210B1BC3" w14:textId="77777777" w:rsidR="00506A9E" w:rsidRPr="00096869" w:rsidRDefault="00506A9E" w:rsidP="006655D3">
      <w:r w:rsidRPr="00096869">
        <w:separator/>
      </w:r>
    </w:p>
    <w:p w14:paraId="4234BE8A" w14:textId="77777777" w:rsidR="00506A9E" w:rsidRPr="00096869" w:rsidRDefault="00506A9E">
      <w:pPr>
        <w:pStyle w:val="Footer"/>
        <w:spacing w:after="60"/>
        <w:rPr>
          <w:sz w:val="18"/>
          <w:lang w:val="de-DE"/>
        </w:rPr>
      </w:pPr>
      <w:r w:rsidRPr="00096869">
        <w:rPr>
          <w:sz w:val="18"/>
          <w:lang w:val="de-DE"/>
        </w:rPr>
        <w:t>[Fortsetzung der Anmerkung von der vorherigen Seite]</w:t>
      </w:r>
    </w:p>
    <w:p w14:paraId="7C7E7E89" w14:textId="77777777" w:rsidR="00506A9E" w:rsidRPr="00096869" w:rsidRDefault="00506A9E" w:rsidP="006655D3"/>
    <w:p w14:paraId="1BC935C6" w14:textId="77777777" w:rsidR="00506A9E" w:rsidRPr="00096869" w:rsidRDefault="00506A9E" w:rsidP="006655D3"/>
    <w:p w14:paraId="1120A4E8" w14:textId="77777777" w:rsidR="00506A9E" w:rsidRPr="00096869" w:rsidRDefault="00506A9E"/>
  </w:endnote>
  <w:endnote w:type="continuationNotice" w:id="1">
    <w:p w14:paraId="6CF817F8" w14:textId="77777777" w:rsidR="00506A9E" w:rsidRPr="00096869" w:rsidRDefault="00506A9E" w:rsidP="006655D3">
      <w:r w:rsidRPr="00096869">
        <w:t xml:space="preserve">[Fortsetzung </w:t>
      </w:r>
      <w:r w:rsidRPr="00096869">
        <w:t>der Anmerkung auf der nächsten Seite]</w:t>
      </w:r>
    </w:p>
    <w:p w14:paraId="04BC69CD" w14:textId="77777777" w:rsidR="00506A9E" w:rsidRPr="00096869" w:rsidRDefault="00506A9E" w:rsidP="006655D3"/>
    <w:p w14:paraId="4B3395BE" w14:textId="77777777" w:rsidR="00506A9E" w:rsidRPr="00096869" w:rsidRDefault="00506A9E" w:rsidP="006655D3"/>
    <w:p w14:paraId="150483AD" w14:textId="77777777" w:rsidR="00506A9E" w:rsidRPr="00096869" w:rsidRDefault="0050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3D0" w14:textId="4B02B252" w:rsidR="00441A8C" w:rsidRPr="00096869" w:rsidRDefault="00441A8C">
    <w:pPr>
      <w:pStyle w:val="Footer"/>
      <w:rPr>
        <w:lang w:val="de-DE"/>
      </w:rPr>
    </w:pPr>
    <w:r w:rsidRPr="00096869">
      <w:rPr>
        <w:lang w:val="de-DE"/>
      </w:rPr>
      <mc:AlternateContent>
        <mc:Choice Requires="wps">
          <w:drawing>
            <wp:anchor distT="0" distB="0" distL="0" distR="0" simplePos="0" relativeHeight="251658241" behindDoc="0" locked="0" layoutInCell="1" allowOverlap="1" wp14:anchorId="417FCA55" wp14:editId="0E8A0F40">
              <wp:simplePos x="635" y="635"/>
              <wp:positionH relativeFrom="page">
                <wp:align>center</wp:align>
              </wp:positionH>
              <wp:positionV relativeFrom="page">
                <wp:align>bottom</wp:align>
              </wp:positionV>
              <wp:extent cx="1714500" cy="342900"/>
              <wp:effectExtent l="0" t="0" r="0" b="0"/>
              <wp:wrapNone/>
              <wp:docPr id="118886604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CE73ED2" w14:textId="7E61F1E6" w:rsidR="00441A8C" w:rsidRPr="00096869" w:rsidRDefault="00441A8C" w:rsidP="00441A8C">
                          <w:pPr>
                            <w:rPr>
                              <w:rFonts w:ascii="Aptos" w:eastAsia="Aptos" w:hAnsi="Aptos" w:cs="Aptos"/>
                              <w:color w:val="000000"/>
                            </w:rPr>
                          </w:pPr>
                          <w:r w:rsidRPr="00096869">
                            <w:rPr>
                              <w:rFonts w:ascii="Aptos" w:eastAsia="Aptos" w:hAnsi="Aptos" w:cs="Aptos"/>
                              <w:color w:val="000000"/>
                            </w:rPr>
                            <w:t xml:space="preserve">WIPO NUR FÜR DIENSTLICHE ZWECKE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FCA5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6CE73ED2" w14:textId="7E61F1E6" w:rsidR="00441A8C" w:rsidRPr="00096869" w:rsidRDefault="00441A8C" w:rsidP="00441A8C">
                    <w:pPr>
                      <w:rPr>
                        <w:rFonts w:ascii="Aptos" w:eastAsia="Aptos" w:hAnsi="Aptos" w:cs="Aptos"/>
                        <w:color w:val="000000"/>
                      </w:rPr>
                    </w:pPr>
                    <w:r w:rsidRPr="00096869">
                      <w:rPr>
                        <w:rFonts w:ascii="Aptos" w:eastAsia="Aptos" w:hAnsi="Aptos" w:cs="Aptos"/>
                        <w:color w:val="000000"/>
                      </w:rPr>
                      <w:t xml:space="preserve">WIPO NUR FÜR DIENSTLICHE ZWECKE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4D0" w14:textId="4AF84BC2" w:rsidR="00441A8C" w:rsidRPr="00096869" w:rsidRDefault="00441A8C">
    <w:pPr>
      <w:pStyle w:val="Footer"/>
      <w:rPr>
        <w:lang w:val="de-DE"/>
      </w:rPr>
    </w:pPr>
    <w:r w:rsidRPr="00096869">
      <w:rPr>
        <w:lang w:val="de-DE"/>
      </w:rPr>
      <mc:AlternateContent>
        <mc:Choice Requires="wps">
          <w:drawing>
            <wp:anchor distT="0" distB="0" distL="0" distR="0" simplePos="0" relativeHeight="251658242" behindDoc="0" locked="0" layoutInCell="1" allowOverlap="1" wp14:anchorId="327F29AB" wp14:editId="4A2ACB0D">
              <wp:simplePos x="635" y="635"/>
              <wp:positionH relativeFrom="page">
                <wp:align>center</wp:align>
              </wp:positionH>
              <wp:positionV relativeFrom="page">
                <wp:align>bottom</wp:align>
              </wp:positionV>
              <wp:extent cx="1714500" cy="342900"/>
              <wp:effectExtent l="0" t="0" r="0" b="0"/>
              <wp:wrapNone/>
              <wp:docPr id="22777230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3B477B8" w14:textId="44F7AF26" w:rsidR="00441A8C" w:rsidRPr="00096869"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F29AB"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63B477B8" w14:textId="44F7AF26" w:rsidR="00441A8C" w:rsidRPr="00096869" w:rsidRDefault="00441A8C" w:rsidP="00441A8C">
                    <w:pPr>
                      <w:rPr>
                        <w:rFonts w:ascii="Aptos" w:eastAsia="Aptos" w:hAnsi="Aptos" w:cs="Aptos"/>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019D" w14:textId="3892D320" w:rsidR="00441A8C" w:rsidRPr="00096869" w:rsidRDefault="00441A8C">
    <w:pPr>
      <w:pStyle w:val="Footer"/>
      <w:rPr>
        <w:lang w:val="de-DE"/>
      </w:rPr>
    </w:pPr>
    <w:r w:rsidRPr="00096869">
      <w:rPr>
        <w:lang w:val="de-DE"/>
      </w:rPr>
      <mc:AlternateContent>
        <mc:Choice Requires="wps">
          <w:drawing>
            <wp:anchor distT="0" distB="0" distL="0" distR="0" simplePos="0" relativeHeight="251658240" behindDoc="0" locked="0" layoutInCell="1" allowOverlap="1" wp14:anchorId="73BA486A" wp14:editId="3B4C063A">
              <wp:simplePos x="635" y="635"/>
              <wp:positionH relativeFrom="page">
                <wp:align>center</wp:align>
              </wp:positionH>
              <wp:positionV relativeFrom="page">
                <wp:align>bottom</wp:align>
              </wp:positionV>
              <wp:extent cx="1714500" cy="342900"/>
              <wp:effectExtent l="0" t="0" r="0" b="0"/>
              <wp:wrapNone/>
              <wp:docPr id="188076087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C89C6FA" w14:textId="1C9FF1FE" w:rsidR="00441A8C" w:rsidRPr="00096869" w:rsidRDefault="00441A8C" w:rsidP="00441A8C">
                          <w:pPr>
                            <w:rPr>
                              <w:rFonts w:ascii="Aptos" w:eastAsia="Aptos" w:hAnsi="Aptos" w:cs="Aptos"/>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A486A"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SzDQ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V8tnY/haqI02FMCzcO7lqqPRa+PAokDZM3ZJq&#10;wwMd2kBXcjghzmrAX6/ZYzwRT17OOlJMyS1JmjPzw9JCorhGgCPYJjC9zhM9dt/eAulwSk/CyQTp&#10;FgYzQo3QPpOel7EQuYSVVK7k2xHehkG69B6kWi5TEOnIibC2Gydj6khX5PKpfxboToQHWtU9jHIS&#10;xQveh9h407vlPhD7aSmR2oHIE+OkwbTW03uJIv/zP0VdXvXiN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P0ZRLMNAgAAHQQA&#10;AA4AAAAAAAAAAAAAAAAALgIAAGRycy9lMm9Eb2MueG1sUEsBAi0AFAAGAAgAAAAhADZgj2baAAAA&#10;BAEAAA8AAAAAAAAAAAAAAAAAZwQAAGRycy9kb3ducmV2LnhtbFBLBQYAAAAABAAEAPMAAABuBQAA&#10;AAA=&#10;" filled="f" stroked="f">
              <v:textbox style="mso-fit-shape-to-text:t" inset="0,0,0,15pt">
                <w:txbxContent>
                  <w:p w14:paraId="0C89C6FA" w14:textId="1C9FF1FE" w:rsidR="00441A8C" w:rsidRPr="00096869" w:rsidRDefault="00441A8C" w:rsidP="00441A8C">
                    <w:pPr>
                      <w:rPr>
                        <w:rFonts w:ascii="Aptos" w:eastAsia="Aptos" w:hAnsi="Aptos" w:cs="Aptos"/>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1C70" w14:textId="77777777" w:rsidR="00506A9E" w:rsidRPr="00096869" w:rsidRDefault="00506A9E" w:rsidP="006655D3">
      <w:r w:rsidRPr="00096869">
        <w:separator/>
      </w:r>
    </w:p>
  </w:footnote>
  <w:footnote w:type="continuationSeparator" w:id="0">
    <w:p w14:paraId="5E5B254D" w14:textId="77777777" w:rsidR="00506A9E" w:rsidRPr="00096869" w:rsidRDefault="00506A9E" w:rsidP="006655D3">
      <w:r w:rsidRPr="00096869">
        <w:separator/>
      </w:r>
    </w:p>
    <w:p w14:paraId="69B2E871" w14:textId="77777777" w:rsidR="00506A9E" w:rsidRPr="00096869" w:rsidRDefault="00506A9E"/>
  </w:footnote>
  <w:footnote w:type="continuationNotice" w:id="1">
    <w:p w14:paraId="0D9B938B" w14:textId="77777777" w:rsidR="00506A9E" w:rsidRPr="00096869" w:rsidRDefault="00506A9E" w:rsidP="00AB530F">
      <w:pPr>
        <w:pStyle w:val="Footer"/>
        <w:rPr>
          <w:lang w:val="de-DE"/>
        </w:rPr>
      </w:pPr>
    </w:p>
    <w:p w14:paraId="2477F8CA" w14:textId="77777777" w:rsidR="00506A9E" w:rsidRPr="00096869" w:rsidRDefault="00506A9E"/>
  </w:footnote>
  <w:footnote w:id="2">
    <w:p w14:paraId="1DE810F6" w14:textId="4DE7CCD3" w:rsidR="001576C8" w:rsidRPr="00096869" w:rsidRDefault="001576C8" w:rsidP="001576C8">
      <w:pPr>
        <w:pStyle w:val="FootnoteText"/>
        <w:rPr>
          <w:lang w:val="de-DE"/>
        </w:rPr>
      </w:pPr>
      <w:r w:rsidRPr="00096869">
        <w:rPr>
          <w:rStyle w:val="FootnoteReference"/>
          <w:lang w:val="de-DE"/>
        </w:rPr>
        <w:footnoteRef/>
      </w:r>
      <w:r w:rsidRPr="00096869">
        <w:rPr>
          <w:lang w:val="de-DE"/>
        </w:rPr>
        <w:t xml:space="preserve"> TC</w:t>
      </w:r>
      <w:r w:rsidR="00405700" w:rsidRPr="00096869">
        <w:rPr>
          <w:rFonts w:hint="eastAsia"/>
          <w:lang w:val="de-DE" w:eastAsia="ja-JP"/>
        </w:rPr>
        <w:t xml:space="preserve">, sechzigste </w:t>
      </w:r>
      <w:r w:rsidRPr="00096869">
        <w:rPr>
          <w:lang w:val="de-DE"/>
        </w:rPr>
        <w:t xml:space="preserve">Tagung, abgehalten </w:t>
      </w:r>
      <w:r w:rsidR="004101A6" w:rsidRPr="00096869">
        <w:rPr>
          <w:rFonts w:hint="eastAsia"/>
          <w:lang w:val="de-DE" w:eastAsia="ja-JP"/>
        </w:rPr>
        <w:t xml:space="preserve">in Genf </w:t>
      </w:r>
      <w:r w:rsidRPr="00096869">
        <w:rPr>
          <w:lang w:val="de-DE"/>
        </w:rPr>
        <w:t>vom</w:t>
      </w:r>
      <w:r w:rsidR="004101A6" w:rsidRPr="00096869">
        <w:rPr>
          <w:rFonts w:hint="eastAsia"/>
          <w:lang w:val="de-DE" w:eastAsia="ja-JP"/>
        </w:rPr>
        <w:t xml:space="preserve"> 21. </w:t>
      </w:r>
      <w:r w:rsidRPr="00096869">
        <w:rPr>
          <w:lang w:val="de-DE"/>
        </w:rPr>
        <w:t>bis</w:t>
      </w:r>
      <w:r w:rsidR="004101A6" w:rsidRPr="00096869">
        <w:rPr>
          <w:rFonts w:hint="eastAsia"/>
          <w:lang w:val="de-DE" w:eastAsia="ja-JP"/>
        </w:rPr>
        <w:t xml:space="preserve"> 22. Oktober</w:t>
      </w:r>
      <w:r w:rsidRPr="00096869">
        <w:rPr>
          <w:lang w:val="de-DE"/>
        </w:rPr>
        <w:t xml:space="preserve"> 2024. </w:t>
      </w:r>
      <w:r w:rsidR="009B03FA" w:rsidRPr="00096869">
        <w:rPr>
          <w:rFonts w:hint="eastAsia"/>
          <w:lang w:val="de-DE" w:eastAsia="ja-JP"/>
        </w:rPr>
        <w:t xml:space="preserve">Siehe Dokument TC/60/8 </w:t>
      </w:r>
      <w:r w:rsidR="009B03FA" w:rsidRPr="00096869">
        <w:rPr>
          <w:lang w:val="de-DE" w:eastAsia="ja-JP"/>
        </w:rPr>
        <w:t xml:space="preserve">„Bericht“, </w:t>
      </w:r>
      <w:r w:rsidR="009B03FA" w:rsidRPr="00096869">
        <w:rPr>
          <w:rFonts w:hint="eastAsia"/>
          <w:lang w:val="de-DE" w:eastAsia="ja-JP"/>
        </w:rPr>
        <w:t>Absätze 51</w:t>
      </w:r>
    </w:p>
  </w:footnote>
  <w:footnote w:id="3">
    <w:p w14:paraId="2EF65F53" w14:textId="77777777" w:rsidR="00951044" w:rsidRPr="00096869" w:rsidRDefault="00951044" w:rsidP="00951044">
      <w:pPr>
        <w:pStyle w:val="FootnoteText"/>
        <w:rPr>
          <w:lang w:val="de-DE"/>
        </w:rPr>
      </w:pPr>
      <w:r w:rsidRPr="00096869">
        <w:rPr>
          <w:rStyle w:val="FootnoteReference"/>
          <w:lang w:val="de-DE"/>
        </w:rPr>
        <w:footnoteRef/>
      </w:r>
      <w:r w:rsidRPr="00096869">
        <w:rPr>
          <w:lang w:val="de-DE"/>
        </w:rPr>
        <w:t xml:space="preserve"> </w:t>
      </w:r>
      <w:r w:rsidRPr="00096869">
        <w:rPr>
          <w:lang w:val="de-DE"/>
        </w:rPr>
        <w:t>TWO</w:t>
      </w:r>
      <w:r w:rsidRPr="00096869">
        <w:rPr>
          <w:rFonts w:hint="eastAsia"/>
          <w:lang w:val="de-DE" w:eastAsia="ja-JP"/>
        </w:rPr>
        <w:t xml:space="preserve">, </w:t>
      </w:r>
      <w:r w:rsidRPr="00096869">
        <w:rPr>
          <w:rFonts w:hint="eastAsia"/>
          <w:lang w:val="de-DE" w:eastAsia="ja-JP"/>
        </w:rPr>
        <w:t xml:space="preserve">siebenundfünfzigste </w:t>
      </w:r>
      <w:r w:rsidRPr="00096869">
        <w:rPr>
          <w:lang w:val="de-DE"/>
        </w:rPr>
        <w:t xml:space="preserve">Tagung, abgehalten </w:t>
      </w:r>
      <w:r w:rsidRPr="00096869">
        <w:rPr>
          <w:rFonts w:hint="eastAsia"/>
          <w:lang w:val="de-DE" w:eastAsia="ja-JP"/>
        </w:rPr>
        <w:t xml:space="preserve">in </w:t>
      </w:r>
      <w:r w:rsidRPr="00096869">
        <w:rPr>
          <w:lang w:val="de-DE" w:eastAsia="ja-JP"/>
        </w:rPr>
        <w:t xml:space="preserve">Roelofarendsveen, Königreich der Niederlande, </w:t>
      </w:r>
      <w:r w:rsidRPr="00096869">
        <w:rPr>
          <w:lang w:val="de-DE"/>
        </w:rPr>
        <w:t>vom</w:t>
      </w:r>
      <w:r w:rsidRPr="00096869">
        <w:rPr>
          <w:rFonts w:hint="eastAsia"/>
          <w:lang w:val="de-DE" w:eastAsia="ja-JP"/>
        </w:rPr>
        <w:t xml:space="preserve"> 31. März </w:t>
      </w:r>
      <w:r w:rsidRPr="00096869">
        <w:rPr>
          <w:lang w:val="de-DE"/>
        </w:rPr>
        <w:t>bis</w:t>
      </w:r>
      <w:r w:rsidRPr="00096869">
        <w:rPr>
          <w:rFonts w:hint="eastAsia"/>
          <w:lang w:val="de-DE" w:eastAsia="ja-JP"/>
        </w:rPr>
        <w:t xml:space="preserve"> 3. April</w:t>
      </w:r>
      <w:r w:rsidRPr="00096869">
        <w:rPr>
          <w:lang w:val="de-DE"/>
        </w:rPr>
        <w:t xml:space="preserve"> 2025</w:t>
      </w:r>
      <w:r w:rsidRPr="00096869">
        <w:rPr>
          <w:rFonts w:hint="eastAsia"/>
          <w:lang w:val="de-DE" w:eastAsia="ja-JP"/>
        </w:rPr>
        <w:t xml:space="preserve">. </w:t>
      </w:r>
      <w:r w:rsidRPr="00096869">
        <w:rPr>
          <w:lang w:val="de-DE"/>
        </w:rPr>
        <w:t xml:space="preserve">Siehe Dokument </w:t>
      </w:r>
      <w:r w:rsidRPr="00096869">
        <w:rPr>
          <w:rFonts w:hint="eastAsia"/>
          <w:lang w:val="de-DE" w:eastAsia="ja-JP"/>
        </w:rPr>
        <w:t xml:space="preserve">TWO/57/10 </w:t>
      </w:r>
      <w:r w:rsidRPr="00096869">
        <w:rPr>
          <w:lang w:val="de-DE"/>
        </w:rPr>
        <w:t>„Bericht“, Absätze</w:t>
      </w:r>
      <w:r w:rsidRPr="00096869">
        <w:rPr>
          <w:rFonts w:hint="eastAsia"/>
          <w:lang w:val="de-DE" w:eastAsia="ja-JP"/>
        </w:rPr>
        <w:t xml:space="preserve"> 22 </w:t>
      </w:r>
      <w:r w:rsidRPr="00096869">
        <w:rPr>
          <w:lang w:val="de-DE"/>
        </w:rPr>
        <w:t>bis</w:t>
      </w:r>
      <w:r w:rsidRPr="00096869">
        <w:rPr>
          <w:rFonts w:hint="eastAsia"/>
          <w:lang w:val="de-DE" w:eastAsia="ja-JP"/>
        </w:rPr>
        <w:t xml:space="preserve"> 23.</w:t>
      </w:r>
    </w:p>
  </w:footnote>
  <w:footnote w:id="4">
    <w:p w14:paraId="302941B0" w14:textId="25AEEBF1" w:rsidR="007E36E5" w:rsidRPr="00096869" w:rsidRDefault="007E36E5" w:rsidP="007E36E5">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TWM</w:t>
      </w:r>
      <w:r w:rsidRPr="00096869">
        <w:rPr>
          <w:rFonts w:hint="eastAsia"/>
          <w:spacing w:val="-2"/>
          <w:lang w:val="de-DE" w:eastAsia="ja-JP"/>
        </w:rPr>
        <w:t xml:space="preserve">, dritte </w:t>
      </w:r>
      <w:r w:rsidR="00B377BF">
        <w:rPr>
          <w:spacing w:val="-2"/>
          <w:lang w:val="de-DE"/>
        </w:rPr>
        <w:t>Tagung</w:t>
      </w:r>
      <w:r w:rsidRPr="00096869">
        <w:rPr>
          <w:spacing w:val="-2"/>
          <w:lang w:val="de-DE"/>
        </w:rPr>
        <w:t xml:space="preserve">, abgehalten </w:t>
      </w:r>
      <w:r w:rsidRPr="00096869">
        <w:rPr>
          <w:rFonts w:hint="eastAsia"/>
          <w:spacing w:val="-2"/>
          <w:lang w:val="de-DE" w:eastAsia="ja-JP"/>
        </w:rPr>
        <w:t xml:space="preserve">in Peking, China, </w:t>
      </w:r>
      <w:r w:rsidRPr="00096869">
        <w:rPr>
          <w:spacing w:val="-2"/>
          <w:lang w:val="de-DE"/>
        </w:rPr>
        <w:t>vom 28. April bis</w:t>
      </w:r>
      <w:r w:rsidRPr="00096869">
        <w:rPr>
          <w:rFonts w:hint="eastAsia"/>
          <w:spacing w:val="-2"/>
          <w:lang w:val="de-DE" w:eastAsia="ja-JP"/>
        </w:rPr>
        <w:t xml:space="preserve"> 1. Mai</w:t>
      </w:r>
      <w:r w:rsidRPr="00096869">
        <w:rPr>
          <w:spacing w:val="-2"/>
          <w:lang w:val="de-DE"/>
        </w:rPr>
        <w:t xml:space="preserve"> 2025</w:t>
      </w:r>
      <w:r w:rsidRPr="00096869">
        <w:rPr>
          <w:rFonts w:hint="eastAsia"/>
          <w:spacing w:val="-2"/>
          <w:lang w:val="de-DE" w:eastAsia="ja-JP"/>
        </w:rPr>
        <w:t xml:space="preserve">. </w:t>
      </w:r>
      <w:r w:rsidRPr="00096869">
        <w:rPr>
          <w:spacing w:val="-2"/>
          <w:lang w:val="de-DE"/>
        </w:rPr>
        <w:t xml:space="preserve">Siehe Dokument </w:t>
      </w:r>
      <w:r w:rsidRPr="00096869">
        <w:rPr>
          <w:rFonts w:hint="eastAsia"/>
          <w:spacing w:val="-2"/>
          <w:lang w:val="de-DE" w:eastAsia="ja-JP"/>
        </w:rPr>
        <w:t xml:space="preserve">TWM/3/29 </w:t>
      </w:r>
      <w:r w:rsidRPr="00096869">
        <w:rPr>
          <w:spacing w:val="-2"/>
          <w:lang w:val="de-DE"/>
        </w:rPr>
        <w:t>„Bericht”, Absätze</w:t>
      </w:r>
      <w:r w:rsidRPr="00096869">
        <w:rPr>
          <w:rFonts w:hint="eastAsia"/>
          <w:spacing w:val="-2"/>
          <w:lang w:val="de-DE" w:eastAsia="ja-JP"/>
        </w:rPr>
        <w:t xml:space="preserve"> 29 </w:t>
      </w:r>
      <w:r w:rsidRPr="00096869">
        <w:rPr>
          <w:spacing w:val="-2"/>
          <w:lang w:val="de-DE"/>
        </w:rPr>
        <w:t>bis</w:t>
      </w:r>
      <w:r w:rsidRPr="00096869">
        <w:rPr>
          <w:rFonts w:hint="eastAsia"/>
          <w:spacing w:val="-2"/>
          <w:lang w:val="de-DE" w:eastAsia="ja-JP"/>
        </w:rPr>
        <w:t xml:space="preserve"> 31.</w:t>
      </w:r>
    </w:p>
  </w:footnote>
  <w:footnote w:id="5">
    <w:p w14:paraId="70F0AF2C" w14:textId="77777777" w:rsidR="00E95E7F" w:rsidRPr="00096869" w:rsidRDefault="00E95E7F" w:rsidP="00E95E7F">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TWV</w:t>
      </w:r>
      <w:r w:rsidRPr="00096869">
        <w:rPr>
          <w:rFonts w:hint="eastAsia"/>
          <w:spacing w:val="-2"/>
          <w:lang w:val="de-DE" w:eastAsia="ja-JP"/>
        </w:rPr>
        <w:t xml:space="preserve">, neunundfünfzigste </w:t>
      </w:r>
      <w:r w:rsidRPr="00096869">
        <w:rPr>
          <w:spacing w:val="-2"/>
          <w:lang w:val="de-DE"/>
        </w:rPr>
        <w:t xml:space="preserve">Tagung, abgehalten </w:t>
      </w:r>
      <w:r w:rsidRPr="00096869">
        <w:rPr>
          <w:rFonts w:hint="eastAsia"/>
          <w:spacing w:val="-2"/>
          <w:lang w:val="de-DE" w:eastAsia="ja-JP"/>
        </w:rPr>
        <w:t xml:space="preserve">auf elektronischem Wege </w:t>
      </w:r>
      <w:r w:rsidRPr="00096869">
        <w:rPr>
          <w:spacing w:val="-2"/>
          <w:lang w:val="de-DE"/>
        </w:rPr>
        <w:t>vom 5. bis 8</w:t>
      </w:r>
      <w:r w:rsidRPr="00096869">
        <w:rPr>
          <w:rFonts w:hint="eastAsia"/>
          <w:spacing w:val="-2"/>
          <w:lang w:val="de-DE" w:eastAsia="ja-JP"/>
        </w:rPr>
        <w:t>. Mai</w:t>
      </w:r>
      <w:r w:rsidRPr="00096869">
        <w:rPr>
          <w:spacing w:val="-2"/>
          <w:lang w:val="de-DE"/>
        </w:rPr>
        <w:t xml:space="preserve"> 2025</w:t>
      </w:r>
      <w:r w:rsidRPr="00096869">
        <w:rPr>
          <w:rFonts w:hint="eastAsia"/>
          <w:spacing w:val="-2"/>
          <w:lang w:val="de-DE" w:eastAsia="ja-JP"/>
        </w:rPr>
        <w:t xml:space="preserve">. </w:t>
      </w:r>
      <w:r w:rsidRPr="00096869">
        <w:rPr>
          <w:spacing w:val="-2"/>
          <w:lang w:val="de-DE"/>
        </w:rPr>
        <w:t>Siehe Dokument TWV/59/19 „Bericht“, Absätze</w:t>
      </w:r>
      <w:r w:rsidRPr="00096869">
        <w:rPr>
          <w:rFonts w:hint="eastAsia"/>
          <w:spacing w:val="-2"/>
          <w:lang w:val="de-DE" w:eastAsia="ja-JP"/>
        </w:rPr>
        <w:t xml:space="preserve"> 25 </w:t>
      </w:r>
      <w:r w:rsidRPr="00096869">
        <w:rPr>
          <w:spacing w:val="-2"/>
          <w:lang w:val="de-DE"/>
        </w:rPr>
        <w:t>bis</w:t>
      </w:r>
      <w:r w:rsidRPr="00096869">
        <w:rPr>
          <w:rFonts w:hint="eastAsia"/>
          <w:spacing w:val="-2"/>
          <w:lang w:val="de-DE" w:eastAsia="ja-JP"/>
        </w:rPr>
        <w:t xml:space="preserve"> 26.</w:t>
      </w:r>
    </w:p>
  </w:footnote>
  <w:footnote w:id="6">
    <w:p w14:paraId="509C3AE5" w14:textId="77777777" w:rsidR="00E95E7F" w:rsidRPr="00096869" w:rsidRDefault="00E95E7F" w:rsidP="00E95E7F">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TWA</w:t>
      </w:r>
      <w:r w:rsidRPr="00096869">
        <w:rPr>
          <w:rFonts w:hint="eastAsia"/>
          <w:spacing w:val="-2"/>
          <w:lang w:val="de-DE" w:eastAsia="ja-JP"/>
        </w:rPr>
        <w:t xml:space="preserve">, vierundfünfzigste </w:t>
      </w:r>
      <w:r w:rsidRPr="00096869">
        <w:rPr>
          <w:spacing w:val="-2"/>
          <w:lang w:val="de-DE"/>
        </w:rPr>
        <w:t xml:space="preserve">Tagung, abgehalten in </w:t>
      </w:r>
      <w:r w:rsidRPr="00096869">
        <w:rPr>
          <w:rFonts w:hint="eastAsia"/>
          <w:spacing w:val="-2"/>
          <w:lang w:val="de-DE" w:eastAsia="ja-JP"/>
        </w:rPr>
        <w:t xml:space="preserve">Arusha, Vereinigte Republik Tansania, </w:t>
      </w:r>
      <w:r w:rsidRPr="00096869">
        <w:rPr>
          <w:spacing w:val="-2"/>
          <w:lang w:val="de-DE"/>
        </w:rPr>
        <w:t>vom</w:t>
      </w:r>
      <w:r w:rsidRPr="00096869">
        <w:rPr>
          <w:rFonts w:hint="eastAsia"/>
          <w:spacing w:val="-2"/>
          <w:lang w:val="de-DE" w:eastAsia="ja-JP"/>
        </w:rPr>
        <w:t xml:space="preserve"> 19. </w:t>
      </w:r>
      <w:r w:rsidRPr="00096869">
        <w:rPr>
          <w:spacing w:val="-2"/>
          <w:lang w:val="de-DE"/>
        </w:rPr>
        <w:t>bis</w:t>
      </w:r>
      <w:r w:rsidRPr="00096869">
        <w:rPr>
          <w:rFonts w:hint="eastAsia"/>
          <w:spacing w:val="-2"/>
          <w:lang w:val="de-DE" w:eastAsia="ja-JP"/>
        </w:rPr>
        <w:t xml:space="preserve"> 22. Mai</w:t>
      </w:r>
      <w:r w:rsidRPr="00096869">
        <w:rPr>
          <w:spacing w:val="-2"/>
          <w:lang w:val="de-DE"/>
        </w:rPr>
        <w:t xml:space="preserve"> 2025</w:t>
      </w:r>
      <w:r w:rsidRPr="00096869">
        <w:rPr>
          <w:rFonts w:hint="eastAsia"/>
          <w:spacing w:val="-2"/>
          <w:lang w:val="de-DE" w:eastAsia="ja-JP"/>
        </w:rPr>
        <w:t xml:space="preserve">. </w:t>
      </w:r>
      <w:r w:rsidRPr="00096869">
        <w:rPr>
          <w:spacing w:val="-2"/>
          <w:lang w:val="de-DE"/>
        </w:rPr>
        <w:t>Siehe Dokument TWA/54/7 „Bericht“, Absätze</w:t>
      </w:r>
      <w:r w:rsidRPr="00096869">
        <w:rPr>
          <w:rFonts w:hint="eastAsia"/>
          <w:spacing w:val="-2"/>
          <w:lang w:val="de-DE" w:eastAsia="ja-JP"/>
        </w:rPr>
        <w:t xml:space="preserve"> 13 </w:t>
      </w:r>
      <w:r w:rsidRPr="00096869">
        <w:rPr>
          <w:spacing w:val="-2"/>
          <w:lang w:val="de-DE"/>
        </w:rPr>
        <w:t>bis</w:t>
      </w:r>
      <w:r w:rsidRPr="00096869">
        <w:rPr>
          <w:rFonts w:hint="eastAsia"/>
          <w:spacing w:val="-2"/>
          <w:lang w:val="de-DE" w:eastAsia="ja-JP"/>
        </w:rPr>
        <w:t xml:space="preserve"> 16.</w:t>
      </w:r>
    </w:p>
  </w:footnote>
  <w:footnote w:id="7">
    <w:p w14:paraId="1451F2EC" w14:textId="719D0C43" w:rsidR="006E2D2D" w:rsidRPr="00096869" w:rsidRDefault="006E2D2D" w:rsidP="006E2D2D">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TWF</w:t>
      </w:r>
      <w:r w:rsidRPr="00096869">
        <w:rPr>
          <w:rFonts w:hint="eastAsia"/>
          <w:spacing w:val="-2"/>
          <w:lang w:val="de-DE" w:eastAsia="ja-JP"/>
        </w:rPr>
        <w:t xml:space="preserve">, </w:t>
      </w:r>
      <w:r w:rsidR="00B377BF">
        <w:rPr>
          <w:spacing w:val="-2"/>
          <w:lang w:val="de-DE" w:eastAsia="ja-JP"/>
        </w:rPr>
        <w:t>sechs</w:t>
      </w:r>
      <w:r w:rsidR="00B377BF" w:rsidRPr="00096869">
        <w:rPr>
          <w:rFonts w:hint="eastAsia"/>
          <w:spacing w:val="-2"/>
          <w:lang w:val="de-DE" w:eastAsia="ja-JP"/>
        </w:rPr>
        <w:t xml:space="preserve">undfünfzigste </w:t>
      </w:r>
      <w:r w:rsidRPr="00096869">
        <w:rPr>
          <w:spacing w:val="-2"/>
          <w:lang w:val="de-DE"/>
        </w:rPr>
        <w:t>Tagung, vom</w:t>
      </w:r>
      <w:r w:rsidRPr="00096869">
        <w:rPr>
          <w:rFonts w:hint="eastAsia"/>
          <w:spacing w:val="-2"/>
          <w:lang w:val="de-DE" w:eastAsia="ja-JP"/>
        </w:rPr>
        <w:t xml:space="preserve"> 23. </w:t>
      </w:r>
      <w:r w:rsidRPr="00096869">
        <w:rPr>
          <w:spacing w:val="-2"/>
          <w:lang w:val="de-DE"/>
        </w:rPr>
        <w:t>bis</w:t>
      </w:r>
      <w:r w:rsidRPr="00096869">
        <w:rPr>
          <w:rFonts w:hint="eastAsia"/>
          <w:spacing w:val="-2"/>
          <w:lang w:val="de-DE" w:eastAsia="ja-JP"/>
        </w:rPr>
        <w:t xml:space="preserve"> 26. Juni</w:t>
      </w:r>
      <w:r w:rsidRPr="00096869">
        <w:rPr>
          <w:spacing w:val="-2"/>
          <w:lang w:val="de-DE"/>
        </w:rPr>
        <w:t xml:space="preserve"> 2025 in Bursa, Türkiye</w:t>
      </w:r>
      <w:r w:rsidRPr="00096869">
        <w:rPr>
          <w:rFonts w:hint="eastAsia"/>
          <w:spacing w:val="-2"/>
          <w:lang w:val="de-DE" w:eastAsia="ja-JP"/>
        </w:rPr>
        <w:t xml:space="preserve">. </w:t>
      </w:r>
      <w:r w:rsidRPr="00096869">
        <w:rPr>
          <w:spacing w:val="-2"/>
          <w:lang w:val="de-DE"/>
        </w:rPr>
        <w:t>Siehe Dokument TWF/56/7 „Bericht“, Absätze</w:t>
      </w:r>
      <w:r w:rsidRPr="00096869">
        <w:rPr>
          <w:rFonts w:hint="eastAsia"/>
          <w:spacing w:val="-2"/>
          <w:lang w:val="de-DE" w:eastAsia="ja-JP"/>
        </w:rPr>
        <w:t xml:space="preserve"> 32 </w:t>
      </w:r>
      <w:r w:rsidRPr="00096869">
        <w:rPr>
          <w:spacing w:val="-2"/>
          <w:lang w:val="de-DE"/>
        </w:rPr>
        <w:t>bis</w:t>
      </w:r>
      <w:r w:rsidRPr="00096869">
        <w:rPr>
          <w:rFonts w:hint="eastAsia"/>
          <w:spacing w:val="-2"/>
          <w:lang w:val="de-DE" w:eastAsia="ja-JP"/>
        </w:rPr>
        <w:t xml:space="preserve"> 36.</w:t>
      </w:r>
    </w:p>
  </w:footnote>
  <w:footnote w:id="8">
    <w:p w14:paraId="588E3C4C" w14:textId="3E0F2AB9" w:rsidR="002A29A3" w:rsidRPr="00096869" w:rsidRDefault="002A29A3" w:rsidP="002A29A3">
      <w:pPr>
        <w:pStyle w:val="FootnoteText"/>
        <w:rPr>
          <w:lang w:val="de-DE"/>
        </w:rPr>
      </w:pPr>
      <w:r w:rsidRPr="00096869">
        <w:rPr>
          <w:rStyle w:val="FootnoteReference"/>
          <w:lang w:val="de-DE"/>
        </w:rPr>
        <w:footnoteRef/>
      </w:r>
      <w:r w:rsidRPr="00096869">
        <w:rPr>
          <w:lang w:val="de-DE"/>
        </w:rPr>
        <w:t xml:space="preserve"> </w:t>
      </w:r>
      <w:r w:rsidRPr="00B377BF">
        <w:rPr>
          <w:spacing w:val="-2"/>
          <w:lang w:val="de-DE"/>
        </w:rPr>
        <w:t xml:space="preserve">TC, </w:t>
      </w:r>
      <w:r w:rsidRPr="00B377BF">
        <w:rPr>
          <w:spacing w:val="-2"/>
          <w:lang w:val="de-DE"/>
        </w:rPr>
        <w:t xml:space="preserve">achtundfünfzigste Tagung, abgehalten in Genf vom 24. </w:t>
      </w:r>
      <w:r w:rsidRPr="00B377BF">
        <w:rPr>
          <w:rFonts w:hint="eastAsia"/>
          <w:spacing w:val="-2"/>
          <w:lang w:val="de-DE" w:eastAsia="ja-JP"/>
        </w:rPr>
        <w:t>bis</w:t>
      </w:r>
      <w:r w:rsidRPr="00B377BF">
        <w:rPr>
          <w:spacing w:val="-2"/>
          <w:lang w:val="de-DE"/>
        </w:rPr>
        <w:t xml:space="preserve"> 25. Oktober 2022. Siehe Dokument TC/58/31 „Bericht“, Absätze 48 bis</w:t>
      </w:r>
      <w:r w:rsidR="00B377BF" w:rsidRPr="00B377BF">
        <w:rPr>
          <w:spacing w:val="-2"/>
          <w:lang w:val="de-DE"/>
        </w:rPr>
        <w:t> </w:t>
      </w:r>
      <w:r w:rsidRPr="00B377BF">
        <w:rPr>
          <w:spacing w:val="-2"/>
          <w:lang w:val="de-DE"/>
        </w:rPr>
        <w:t>50.</w:t>
      </w:r>
    </w:p>
  </w:footnote>
  <w:footnote w:id="9">
    <w:p w14:paraId="7A5B00BB" w14:textId="248B85AB" w:rsidR="00CE1599" w:rsidRPr="00096869" w:rsidRDefault="00CE1599" w:rsidP="00CE1599">
      <w:pPr>
        <w:pStyle w:val="FootnoteText"/>
        <w:rPr>
          <w:lang w:val="de-DE"/>
        </w:rPr>
      </w:pPr>
      <w:r w:rsidRPr="00096869">
        <w:rPr>
          <w:rStyle w:val="FootnoteReference"/>
          <w:lang w:val="de-DE"/>
        </w:rPr>
        <w:footnoteRef/>
      </w:r>
      <w:r w:rsidRPr="00096869">
        <w:rPr>
          <w:lang w:val="de-DE"/>
        </w:rPr>
        <w:t xml:space="preserve"> </w:t>
      </w:r>
      <w:r w:rsidRPr="00096869">
        <w:rPr>
          <w:lang w:val="de-DE"/>
        </w:rPr>
        <w:t xml:space="preserve">TC, </w:t>
      </w:r>
      <w:r w:rsidR="00B377BF">
        <w:rPr>
          <w:lang w:val="de-DE"/>
        </w:rPr>
        <w:t>neun</w:t>
      </w:r>
      <w:r w:rsidR="00B377BF" w:rsidRPr="00B377BF">
        <w:rPr>
          <w:spacing w:val="-2"/>
          <w:lang w:val="de-DE"/>
        </w:rPr>
        <w:t>undfünfzigste</w:t>
      </w:r>
      <w:r w:rsidRPr="00096869">
        <w:rPr>
          <w:lang w:val="de-DE"/>
        </w:rPr>
        <w:t xml:space="preserve">. Tagung, abgehalten in Genf vom 23. </w:t>
      </w:r>
      <w:r w:rsidRPr="00096869">
        <w:rPr>
          <w:rFonts w:hint="eastAsia"/>
          <w:lang w:val="de-DE" w:eastAsia="ja-JP"/>
        </w:rPr>
        <w:t>bis</w:t>
      </w:r>
      <w:r w:rsidRPr="00096869">
        <w:rPr>
          <w:lang w:val="de-DE"/>
        </w:rPr>
        <w:t xml:space="preserve"> 24. Oktober 2023.</w:t>
      </w:r>
    </w:p>
  </w:footnote>
  <w:footnote w:id="10">
    <w:p w14:paraId="1E5F073A" w14:textId="334D9A99" w:rsidR="002D2C7C" w:rsidRPr="00096869" w:rsidRDefault="002D2C7C" w:rsidP="002D2C7C">
      <w:pPr>
        <w:pStyle w:val="FootnoteText"/>
        <w:rPr>
          <w:lang w:val="de-DE"/>
        </w:rPr>
      </w:pPr>
      <w:r w:rsidRPr="00096869">
        <w:rPr>
          <w:rStyle w:val="FootnoteReference"/>
          <w:lang w:val="de-DE"/>
        </w:rPr>
        <w:footnoteRef/>
      </w:r>
      <w:r w:rsidRPr="00096869">
        <w:rPr>
          <w:lang w:val="de-DE"/>
        </w:rPr>
        <w:t xml:space="preserve"> </w:t>
      </w:r>
      <w:r w:rsidRPr="00096869">
        <w:rPr>
          <w:lang w:val="de-DE"/>
        </w:rPr>
        <w:t>TC,</w:t>
      </w:r>
      <w:r w:rsidRPr="00096869">
        <w:rPr>
          <w:rFonts w:hint="eastAsia"/>
          <w:lang w:val="de-DE" w:eastAsia="ja-JP"/>
        </w:rPr>
        <w:t xml:space="preserve"> </w:t>
      </w:r>
      <w:r w:rsidR="00B377BF">
        <w:rPr>
          <w:lang w:val="de-DE" w:eastAsia="ja-JP"/>
        </w:rPr>
        <w:t>sechzigste</w:t>
      </w:r>
      <w:r w:rsidRPr="00096869">
        <w:rPr>
          <w:rFonts w:hint="eastAsia"/>
          <w:lang w:val="de-DE" w:eastAsia="ja-JP"/>
        </w:rPr>
        <w:t xml:space="preserve"> </w:t>
      </w:r>
      <w:r w:rsidRPr="00096869">
        <w:rPr>
          <w:lang w:val="de-DE"/>
        </w:rPr>
        <w:t xml:space="preserve">Tagung, abgehalten in Genf vom 21. </w:t>
      </w:r>
      <w:r w:rsidRPr="00096869">
        <w:rPr>
          <w:rFonts w:hint="eastAsia"/>
          <w:lang w:val="de-DE" w:eastAsia="ja-JP"/>
        </w:rPr>
        <w:t>bis</w:t>
      </w:r>
      <w:r w:rsidRPr="00096869">
        <w:rPr>
          <w:lang w:val="de-DE"/>
        </w:rPr>
        <w:t xml:space="preserve"> 22</w:t>
      </w:r>
      <w:r w:rsidRPr="00096869">
        <w:rPr>
          <w:rFonts w:hint="eastAsia"/>
          <w:lang w:val="de-DE" w:eastAsia="ja-JP"/>
        </w:rPr>
        <w:t xml:space="preserve">. </w:t>
      </w:r>
      <w:r w:rsidRPr="00096869">
        <w:rPr>
          <w:lang w:val="de-DE"/>
        </w:rPr>
        <w:t>Oktober 2024</w:t>
      </w:r>
      <w:r w:rsidRPr="00096869">
        <w:rPr>
          <w:rFonts w:hint="eastAsia"/>
          <w:lang w:val="de-DE" w:eastAsia="ja-JP"/>
        </w:rPr>
        <w:t>.</w:t>
      </w:r>
    </w:p>
  </w:footnote>
  <w:footnote w:id="11">
    <w:p w14:paraId="6BDF8AF5" w14:textId="5F5DE29B" w:rsidR="00C161BF" w:rsidRPr="00096869" w:rsidRDefault="00C161BF" w:rsidP="00C161BF">
      <w:pPr>
        <w:pStyle w:val="FootnoteText"/>
        <w:rPr>
          <w:lang w:val="de-DE"/>
        </w:rPr>
      </w:pPr>
      <w:r w:rsidRPr="00096869">
        <w:rPr>
          <w:rStyle w:val="FootnoteReference"/>
          <w:lang w:val="de-DE"/>
        </w:rPr>
        <w:footnoteRef/>
      </w:r>
      <w:r w:rsidRPr="00096869">
        <w:rPr>
          <w:lang w:val="de-DE"/>
        </w:rPr>
        <w:t xml:space="preserve"> </w:t>
      </w:r>
      <w:r w:rsidRPr="00096869">
        <w:rPr>
          <w:lang w:val="de-DE"/>
        </w:rPr>
        <w:t>TWO</w:t>
      </w:r>
      <w:r w:rsidRPr="00096869">
        <w:rPr>
          <w:rFonts w:hint="eastAsia"/>
          <w:lang w:val="de-DE" w:eastAsia="ja-JP"/>
        </w:rPr>
        <w:t xml:space="preserve">, siebenundfünfzigste </w:t>
      </w:r>
      <w:r w:rsidRPr="00096869">
        <w:rPr>
          <w:lang w:val="de-DE"/>
        </w:rPr>
        <w:t>Tagung, vom</w:t>
      </w:r>
      <w:r w:rsidRPr="00096869">
        <w:rPr>
          <w:rFonts w:hint="eastAsia"/>
          <w:lang w:val="de-DE" w:eastAsia="ja-JP"/>
        </w:rPr>
        <w:t xml:space="preserve"> 31. März </w:t>
      </w:r>
      <w:r w:rsidRPr="00096869">
        <w:rPr>
          <w:lang w:val="de-DE"/>
        </w:rPr>
        <w:t>bis</w:t>
      </w:r>
      <w:r w:rsidRPr="00096869">
        <w:rPr>
          <w:rFonts w:hint="eastAsia"/>
          <w:lang w:val="de-DE" w:eastAsia="ja-JP"/>
        </w:rPr>
        <w:t xml:space="preserve"> 3. April</w:t>
      </w:r>
      <w:r w:rsidRPr="00096869">
        <w:rPr>
          <w:lang w:val="de-DE"/>
        </w:rPr>
        <w:t xml:space="preserve"> 2025 </w:t>
      </w:r>
      <w:r w:rsidRPr="00096869">
        <w:rPr>
          <w:rFonts w:hint="eastAsia"/>
          <w:lang w:val="de-DE" w:eastAsia="ja-JP"/>
        </w:rPr>
        <w:t xml:space="preserve">in </w:t>
      </w:r>
      <w:r w:rsidRPr="00096869">
        <w:rPr>
          <w:lang w:val="de-DE" w:eastAsia="ja-JP"/>
        </w:rPr>
        <w:t>Roelofarendsveen, Königreich der Niederlande</w:t>
      </w:r>
      <w:r w:rsidRPr="00096869">
        <w:rPr>
          <w:rFonts w:hint="eastAsia"/>
          <w:lang w:val="de-DE" w:eastAsia="ja-JP"/>
        </w:rPr>
        <w:t xml:space="preserve">. </w:t>
      </w:r>
      <w:r w:rsidRPr="00096869">
        <w:rPr>
          <w:lang w:val="de-DE"/>
        </w:rPr>
        <w:t xml:space="preserve">Siehe Dokument </w:t>
      </w:r>
      <w:r w:rsidRPr="00096869">
        <w:rPr>
          <w:rFonts w:hint="eastAsia"/>
          <w:lang w:val="de-DE" w:eastAsia="ja-JP"/>
        </w:rPr>
        <w:t xml:space="preserve">TWO/57/10 </w:t>
      </w:r>
      <w:r w:rsidRPr="00096869">
        <w:rPr>
          <w:lang w:val="de-DE"/>
        </w:rPr>
        <w:t>„Bericht“, Absätze</w:t>
      </w:r>
      <w:r w:rsidRPr="00096869">
        <w:rPr>
          <w:rFonts w:hint="eastAsia"/>
          <w:lang w:val="de-DE" w:eastAsia="ja-JP"/>
        </w:rPr>
        <w:t xml:space="preserve"> 24 </w:t>
      </w:r>
      <w:r w:rsidRPr="00096869">
        <w:rPr>
          <w:lang w:val="de-DE"/>
        </w:rPr>
        <w:t>bis</w:t>
      </w:r>
      <w:r w:rsidRPr="00096869">
        <w:rPr>
          <w:rFonts w:hint="eastAsia"/>
          <w:lang w:val="de-DE" w:eastAsia="ja-JP"/>
        </w:rPr>
        <w:t xml:space="preserve"> 27</w:t>
      </w:r>
      <w:r w:rsidR="00F03F6E" w:rsidRPr="00096869">
        <w:rPr>
          <w:rFonts w:hint="eastAsia"/>
          <w:lang w:val="de-DE" w:eastAsia="ja-JP"/>
        </w:rPr>
        <w:t>.</w:t>
      </w:r>
    </w:p>
  </w:footnote>
  <w:footnote w:id="12">
    <w:p w14:paraId="0AAEB1AB" w14:textId="3BF69E95" w:rsidR="00A655A8" w:rsidRPr="00096869" w:rsidRDefault="00A655A8" w:rsidP="008A52E0">
      <w:pPr>
        <w:pStyle w:val="FootnoteText"/>
        <w:rPr>
          <w:lang w:val="de-DE"/>
        </w:rPr>
      </w:pPr>
      <w:r w:rsidRPr="00096869">
        <w:rPr>
          <w:rStyle w:val="FootnoteReference"/>
          <w:lang w:val="de-DE"/>
        </w:rPr>
        <w:footnoteRef/>
      </w:r>
      <w:bookmarkStart w:id="19" w:name="_Hlk198887361"/>
      <w:r w:rsidRPr="00096869">
        <w:rPr>
          <w:lang w:val="de-DE"/>
        </w:rPr>
        <w:t xml:space="preserve"> </w:t>
      </w:r>
      <w:r w:rsidRPr="00096869">
        <w:rPr>
          <w:lang w:val="de-DE"/>
        </w:rPr>
        <w:t xml:space="preserve">TWM, </w:t>
      </w:r>
      <w:r w:rsidR="00173C8F" w:rsidRPr="00096869">
        <w:rPr>
          <w:lang w:val="de-DE" w:eastAsia="ja-JP"/>
        </w:rPr>
        <w:t xml:space="preserve">dritte Tagung, vom 28. April bis 1. Mai 2025 in Peking, China. Siehe Dokument </w:t>
      </w:r>
      <w:r w:rsidR="000320D1" w:rsidRPr="00096869">
        <w:rPr>
          <w:rFonts w:hint="eastAsia"/>
          <w:lang w:val="de-DE" w:eastAsia="ja-JP"/>
        </w:rPr>
        <w:t xml:space="preserve">TWM/3/29 </w:t>
      </w:r>
      <w:r w:rsidR="00173C8F" w:rsidRPr="00096869">
        <w:rPr>
          <w:lang w:val="de-DE" w:eastAsia="ja-JP"/>
        </w:rPr>
        <w:t>„Bericht“, Absätze</w:t>
      </w:r>
      <w:r w:rsidR="00173C8F" w:rsidRPr="00096869">
        <w:rPr>
          <w:rFonts w:hint="eastAsia"/>
          <w:lang w:val="de-DE" w:eastAsia="ja-JP"/>
        </w:rPr>
        <w:t xml:space="preserve"> 63 </w:t>
      </w:r>
      <w:r w:rsidR="00173C8F" w:rsidRPr="00096869">
        <w:rPr>
          <w:lang w:val="de-DE" w:eastAsia="ja-JP"/>
        </w:rPr>
        <w:t>bis</w:t>
      </w:r>
      <w:r w:rsidR="000320D1" w:rsidRPr="00096869">
        <w:rPr>
          <w:rFonts w:hint="eastAsia"/>
          <w:lang w:val="de-DE" w:eastAsia="ja-JP"/>
        </w:rPr>
        <w:t xml:space="preserve"> 64.</w:t>
      </w:r>
      <w:bookmarkEnd w:id="19"/>
    </w:p>
  </w:footnote>
  <w:footnote w:id="13">
    <w:p w14:paraId="5DB9BB8B" w14:textId="47D4CBDD" w:rsidR="003F18BE" w:rsidRPr="00096869" w:rsidRDefault="003F18BE" w:rsidP="003F18BE">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TWV</w:t>
      </w:r>
      <w:r w:rsidRPr="00096869">
        <w:rPr>
          <w:rFonts w:hint="eastAsia"/>
          <w:spacing w:val="-2"/>
          <w:lang w:val="de-DE" w:eastAsia="ja-JP"/>
        </w:rPr>
        <w:t xml:space="preserve">, neunundfünfzigste </w:t>
      </w:r>
      <w:r w:rsidRPr="00096869">
        <w:rPr>
          <w:spacing w:val="-2"/>
          <w:lang w:val="de-DE"/>
        </w:rPr>
        <w:t xml:space="preserve">Tagung, abgehalten </w:t>
      </w:r>
      <w:r w:rsidRPr="00096869">
        <w:rPr>
          <w:rFonts w:hint="eastAsia"/>
          <w:spacing w:val="-2"/>
          <w:lang w:val="de-DE" w:eastAsia="ja-JP"/>
        </w:rPr>
        <w:t xml:space="preserve">auf elektronischem Wege </w:t>
      </w:r>
      <w:r w:rsidRPr="00096869">
        <w:rPr>
          <w:spacing w:val="-2"/>
          <w:lang w:val="de-DE"/>
        </w:rPr>
        <w:t>vom 5. bis 8</w:t>
      </w:r>
      <w:r w:rsidRPr="00096869">
        <w:rPr>
          <w:rFonts w:hint="eastAsia"/>
          <w:spacing w:val="-2"/>
          <w:lang w:val="de-DE" w:eastAsia="ja-JP"/>
        </w:rPr>
        <w:t>. Mai</w:t>
      </w:r>
      <w:r w:rsidRPr="00096869">
        <w:rPr>
          <w:spacing w:val="-2"/>
          <w:lang w:val="de-DE"/>
        </w:rPr>
        <w:t xml:space="preserve"> 2025</w:t>
      </w:r>
      <w:r w:rsidRPr="00096869">
        <w:rPr>
          <w:rFonts w:hint="eastAsia"/>
          <w:spacing w:val="-2"/>
          <w:lang w:val="de-DE" w:eastAsia="ja-JP"/>
        </w:rPr>
        <w:t xml:space="preserve">. </w:t>
      </w:r>
      <w:r w:rsidRPr="00096869">
        <w:rPr>
          <w:spacing w:val="-2"/>
          <w:lang w:val="de-DE"/>
        </w:rPr>
        <w:t>Siehe Dokument TWV/59/19 „Bericht“, Absätze</w:t>
      </w:r>
      <w:r w:rsidRPr="00096869">
        <w:rPr>
          <w:rFonts w:hint="eastAsia"/>
          <w:spacing w:val="-2"/>
          <w:lang w:val="de-DE" w:eastAsia="ja-JP"/>
        </w:rPr>
        <w:t xml:space="preserve"> 27 </w:t>
      </w:r>
      <w:r w:rsidRPr="00096869">
        <w:rPr>
          <w:spacing w:val="-2"/>
          <w:lang w:val="de-DE"/>
        </w:rPr>
        <w:t>bis</w:t>
      </w:r>
      <w:r w:rsidR="00BC6C1D" w:rsidRPr="00096869">
        <w:rPr>
          <w:rFonts w:hint="eastAsia"/>
          <w:spacing w:val="-2"/>
          <w:lang w:val="de-DE" w:eastAsia="ja-JP"/>
        </w:rPr>
        <w:t xml:space="preserve"> 32.</w:t>
      </w:r>
    </w:p>
  </w:footnote>
  <w:footnote w:id="14">
    <w:p w14:paraId="3FB9D152" w14:textId="78A26835" w:rsidR="0012713E" w:rsidRPr="00096869" w:rsidRDefault="0012713E" w:rsidP="0012713E">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TWA</w:t>
      </w:r>
      <w:r w:rsidRPr="00096869">
        <w:rPr>
          <w:rFonts w:hint="eastAsia"/>
          <w:spacing w:val="-2"/>
          <w:lang w:val="de-DE" w:eastAsia="ja-JP"/>
        </w:rPr>
        <w:t xml:space="preserve">, vierundfünfzigste </w:t>
      </w:r>
      <w:r w:rsidRPr="00096869">
        <w:rPr>
          <w:spacing w:val="-2"/>
          <w:lang w:val="de-DE"/>
        </w:rPr>
        <w:t xml:space="preserve">Tagung, abgehalten in </w:t>
      </w:r>
      <w:r w:rsidRPr="00096869">
        <w:rPr>
          <w:rFonts w:hint="eastAsia"/>
          <w:spacing w:val="-2"/>
          <w:lang w:val="de-DE" w:eastAsia="ja-JP"/>
        </w:rPr>
        <w:t xml:space="preserve">Arusha, Vereinigte Republik Tansania, </w:t>
      </w:r>
      <w:r w:rsidRPr="00096869">
        <w:rPr>
          <w:spacing w:val="-2"/>
          <w:lang w:val="de-DE"/>
        </w:rPr>
        <w:t>vom</w:t>
      </w:r>
      <w:r w:rsidRPr="00096869">
        <w:rPr>
          <w:rFonts w:hint="eastAsia"/>
          <w:spacing w:val="-2"/>
          <w:lang w:val="de-DE" w:eastAsia="ja-JP"/>
        </w:rPr>
        <w:t xml:space="preserve"> 19. </w:t>
      </w:r>
      <w:r w:rsidRPr="00096869">
        <w:rPr>
          <w:spacing w:val="-2"/>
          <w:lang w:val="de-DE"/>
        </w:rPr>
        <w:t>bis</w:t>
      </w:r>
      <w:r w:rsidRPr="00096869">
        <w:rPr>
          <w:rFonts w:hint="eastAsia"/>
          <w:spacing w:val="-2"/>
          <w:lang w:val="de-DE" w:eastAsia="ja-JP"/>
        </w:rPr>
        <w:t xml:space="preserve"> 22. Mai</w:t>
      </w:r>
      <w:r w:rsidRPr="00096869">
        <w:rPr>
          <w:spacing w:val="-2"/>
          <w:lang w:val="de-DE"/>
        </w:rPr>
        <w:t xml:space="preserve"> 2025</w:t>
      </w:r>
      <w:r w:rsidRPr="00096869">
        <w:rPr>
          <w:rFonts w:hint="eastAsia"/>
          <w:spacing w:val="-2"/>
          <w:lang w:val="de-DE" w:eastAsia="ja-JP"/>
        </w:rPr>
        <w:t xml:space="preserve">. </w:t>
      </w:r>
      <w:r w:rsidRPr="00096869">
        <w:rPr>
          <w:spacing w:val="-2"/>
          <w:lang w:val="de-DE"/>
        </w:rPr>
        <w:t>Siehe Dokument TWA/54/7 „Bericht“, Absätze</w:t>
      </w:r>
      <w:r w:rsidR="000346AB" w:rsidRPr="00096869">
        <w:rPr>
          <w:rFonts w:hint="eastAsia"/>
          <w:spacing w:val="-2"/>
          <w:lang w:val="de-DE" w:eastAsia="ja-JP"/>
        </w:rPr>
        <w:t xml:space="preserve"> 17 </w:t>
      </w:r>
      <w:r w:rsidRPr="00096869">
        <w:rPr>
          <w:spacing w:val="-2"/>
          <w:lang w:val="de-DE"/>
        </w:rPr>
        <w:t>bis</w:t>
      </w:r>
      <w:r w:rsidR="000346AB" w:rsidRPr="00096869">
        <w:rPr>
          <w:rFonts w:hint="eastAsia"/>
          <w:spacing w:val="-2"/>
          <w:lang w:val="de-DE" w:eastAsia="ja-JP"/>
        </w:rPr>
        <w:t xml:space="preserve"> 21.</w:t>
      </w:r>
    </w:p>
  </w:footnote>
  <w:footnote w:id="15">
    <w:p w14:paraId="56A006A9" w14:textId="329CF799" w:rsidR="0012713E" w:rsidRPr="00096869" w:rsidRDefault="0012713E" w:rsidP="0012713E">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TWF</w:t>
      </w:r>
      <w:r w:rsidRPr="00096869">
        <w:rPr>
          <w:rFonts w:hint="eastAsia"/>
          <w:spacing w:val="-2"/>
          <w:lang w:val="de-DE" w:eastAsia="ja-JP"/>
        </w:rPr>
        <w:t xml:space="preserve">, </w:t>
      </w:r>
      <w:r w:rsidR="00B377BF">
        <w:rPr>
          <w:spacing w:val="-2"/>
          <w:lang w:val="de-DE" w:eastAsia="ja-JP"/>
        </w:rPr>
        <w:t>sechs</w:t>
      </w:r>
      <w:r w:rsidR="00B377BF" w:rsidRPr="00096869">
        <w:rPr>
          <w:rFonts w:hint="eastAsia"/>
          <w:spacing w:val="-2"/>
          <w:lang w:val="de-DE" w:eastAsia="ja-JP"/>
        </w:rPr>
        <w:t xml:space="preserve">undfünfzigste </w:t>
      </w:r>
      <w:r w:rsidRPr="00096869">
        <w:rPr>
          <w:spacing w:val="-2"/>
          <w:lang w:val="de-DE"/>
        </w:rPr>
        <w:t>Tagung, vom</w:t>
      </w:r>
      <w:r w:rsidRPr="00096869">
        <w:rPr>
          <w:rFonts w:hint="eastAsia"/>
          <w:spacing w:val="-2"/>
          <w:lang w:val="de-DE" w:eastAsia="ja-JP"/>
        </w:rPr>
        <w:t xml:space="preserve"> 23. </w:t>
      </w:r>
      <w:r w:rsidRPr="00096869">
        <w:rPr>
          <w:spacing w:val="-2"/>
          <w:lang w:val="de-DE"/>
        </w:rPr>
        <w:t>bis</w:t>
      </w:r>
      <w:r w:rsidRPr="00096869">
        <w:rPr>
          <w:rFonts w:hint="eastAsia"/>
          <w:spacing w:val="-2"/>
          <w:lang w:val="de-DE" w:eastAsia="ja-JP"/>
        </w:rPr>
        <w:t xml:space="preserve"> 26. Juni</w:t>
      </w:r>
      <w:r w:rsidRPr="00096869">
        <w:rPr>
          <w:spacing w:val="-2"/>
          <w:lang w:val="de-DE"/>
        </w:rPr>
        <w:t xml:space="preserve"> 2025 in Bursa, Türkiye</w:t>
      </w:r>
      <w:r w:rsidRPr="00096869">
        <w:rPr>
          <w:rFonts w:hint="eastAsia"/>
          <w:spacing w:val="-2"/>
          <w:lang w:val="de-DE" w:eastAsia="ja-JP"/>
        </w:rPr>
        <w:t xml:space="preserve">. </w:t>
      </w:r>
      <w:r w:rsidRPr="00096869">
        <w:rPr>
          <w:spacing w:val="-2"/>
          <w:lang w:val="de-DE"/>
        </w:rPr>
        <w:t>Siehe Dokument TWF/56/7 „Bericht“, Absätze</w:t>
      </w:r>
      <w:r w:rsidR="00B52114" w:rsidRPr="00096869">
        <w:rPr>
          <w:rFonts w:hint="eastAsia"/>
          <w:spacing w:val="-2"/>
          <w:lang w:val="de-DE" w:eastAsia="ja-JP"/>
        </w:rPr>
        <w:t xml:space="preserve"> 37 </w:t>
      </w:r>
      <w:r w:rsidRPr="00096869">
        <w:rPr>
          <w:spacing w:val="-2"/>
          <w:lang w:val="de-DE"/>
        </w:rPr>
        <w:t>bis</w:t>
      </w:r>
      <w:r w:rsidR="00B52114" w:rsidRPr="00096869">
        <w:rPr>
          <w:rFonts w:hint="eastAsia"/>
          <w:spacing w:val="-2"/>
          <w:lang w:val="de-DE" w:eastAsia="ja-JP"/>
        </w:rPr>
        <w:t xml:space="preserve"> 38.</w:t>
      </w:r>
    </w:p>
  </w:footnote>
  <w:footnote w:id="16">
    <w:p w14:paraId="16F25E54" w14:textId="3F6F0C60" w:rsidR="008D0B9F" w:rsidRPr="00096869" w:rsidRDefault="008D0B9F" w:rsidP="008D0B9F">
      <w:pPr>
        <w:pStyle w:val="FootnoteText"/>
        <w:rPr>
          <w:lang w:val="de-DE"/>
        </w:rPr>
      </w:pPr>
      <w:r w:rsidRPr="00096869">
        <w:rPr>
          <w:rStyle w:val="FootnoteReference"/>
          <w:lang w:val="de-DE"/>
        </w:rPr>
        <w:footnoteRef/>
      </w:r>
      <w:r w:rsidR="00A66DD1" w:rsidRPr="00096869">
        <w:rPr>
          <w:spacing w:val="-2"/>
          <w:lang w:val="de-DE"/>
        </w:rPr>
        <w:t xml:space="preserve"> </w:t>
      </w:r>
      <w:r w:rsidR="00A66DD1" w:rsidRPr="00096869">
        <w:rPr>
          <w:spacing w:val="-2"/>
          <w:lang w:val="de-DE"/>
        </w:rPr>
        <w:t xml:space="preserve">TC, </w:t>
      </w:r>
      <w:r w:rsidR="00B377BF">
        <w:rPr>
          <w:spacing w:val="-2"/>
          <w:lang w:val="de-DE"/>
        </w:rPr>
        <w:t>sieben</w:t>
      </w:r>
      <w:r w:rsidR="00B377BF" w:rsidRPr="00096869">
        <w:rPr>
          <w:rFonts w:hint="eastAsia"/>
          <w:spacing w:val="-2"/>
          <w:lang w:val="de-DE" w:eastAsia="ja-JP"/>
        </w:rPr>
        <w:t xml:space="preserve">undfünfzigste </w:t>
      </w:r>
      <w:r w:rsidR="00A66DD1" w:rsidRPr="00096869">
        <w:rPr>
          <w:spacing w:val="-2"/>
          <w:lang w:val="de-DE"/>
        </w:rPr>
        <w:t xml:space="preserve">Tagung, abgehalten in Genf vom 25. </w:t>
      </w:r>
      <w:r w:rsidR="00825147" w:rsidRPr="00096869">
        <w:rPr>
          <w:rFonts w:hint="eastAsia"/>
          <w:spacing w:val="-2"/>
          <w:lang w:val="de-DE" w:eastAsia="ja-JP"/>
        </w:rPr>
        <w:t>bis</w:t>
      </w:r>
      <w:r w:rsidR="00A66DD1" w:rsidRPr="00096869">
        <w:rPr>
          <w:spacing w:val="-2"/>
          <w:lang w:val="de-DE"/>
        </w:rPr>
        <w:t xml:space="preserve"> 26</w:t>
      </w:r>
      <w:r w:rsidR="00001225" w:rsidRPr="00096869">
        <w:rPr>
          <w:rFonts w:hint="eastAsia"/>
          <w:spacing w:val="-2"/>
          <w:lang w:val="de-DE" w:eastAsia="ja-JP"/>
        </w:rPr>
        <w:t xml:space="preserve">. </w:t>
      </w:r>
      <w:r w:rsidR="00A66DD1" w:rsidRPr="00096869">
        <w:rPr>
          <w:spacing w:val="-2"/>
          <w:lang w:val="de-DE"/>
        </w:rPr>
        <w:t>Oktober 2021</w:t>
      </w:r>
      <w:r w:rsidR="00107461" w:rsidRPr="00096869">
        <w:rPr>
          <w:rFonts w:hint="eastAsia"/>
          <w:spacing w:val="-2"/>
          <w:lang w:val="de-DE" w:eastAsia="ja-JP"/>
        </w:rPr>
        <w:t>.</w:t>
      </w:r>
    </w:p>
  </w:footnote>
  <w:footnote w:id="17">
    <w:p w14:paraId="27FF64D4" w14:textId="7BDBE6AB" w:rsidR="00B63F38" w:rsidRPr="00096869" w:rsidRDefault="00B63F38" w:rsidP="00B63F38">
      <w:pPr>
        <w:pStyle w:val="FootnoteText"/>
        <w:rPr>
          <w:lang w:val="de-DE"/>
        </w:rPr>
      </w:pPr>
      <w:r w:rsidRPr="00096869">
        <w:rPr>
          <w:rStyle w:val="FootnoteReference"/>
          <w:lang w:val="de-DE"/>
        </w:rPr>
        <w:footnoteRef/>
      </w:r>
      <w:r w:rsidR="00E3484E" w:rsidRPr="00096869">
        <w:rPr>
          <w:spacing w:val="-2"/>
          <w:lang w:val="de-DE"/>
        </w:rPr>
        <w:t xml:space="preserve"> </w:t>
      </w:r>
      <w:r w:rsidR="00E3484E" w:rsidRPr="00096869">
        <w:rPr>
          <w:spacing w:val="-2"/>
          <w:lang w:val="de-DE"/>
        </w:rPr>
        <w:t>TWM, dritte Tagung, abgehalten in Peking, China, vom 28. April bis 1. Mai 2025. Siehe Dokument TWM/3/29 „Bericht“, Absätze</w:t>
      </w:r>
      <w:r w:rsidR="0019155A" w:rsidRPr="00096869">
        <w:rPr>
          <w:rFonts w:hint="eastAsia"/>
          <w:spacing w:val="-2"/>
          <w:lang w:val="de-DE" w:eastAsia="ja-JP"/>
        </w:rPr>
        <w:t xml:space="preserve"> 20 </w:t>
      </w:r>
      <w:r w:rsidR="00E3484E" w:rsidRPr="00096869">
        <w:rPr>
          <w:spacing w:val="-2"/>
          <w:lang w:val="de-DE"/>
        </w:rPr>
        <w:t>bis</w:t>
      </w:r>
      <w:r w:rsidR="0019155A" w:rsidRPr="00096869">
        <w:rPr>
          <w:rFonts w:hint="eastAsia"/>
          <w:spacing w:val="-2"/>
          <w:lang w:val="de-DE" w:eastAsia="ja-JP"/>
        </w:rPr>
        <w:t xml:space="preserve"> 28.</w:t>
      </w:r>
    </w:p>
  </w:footnote>
  <w:footnote w:id="18">
    <w:p w14:paraId="15EDE158" w14:textId="4F53CCC6" w:rsidR="00CF2609" w:rsidRPr="00096869" w:rsidRDefault="00CF2609" w:rsidP="00CF2609">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 xml:space="preserve">TWM, dritte </w:t>
      </w:r>
      <w:r w:rsidR="00B377BF">
        <w:rPr>
          <w:spacing w:val="-2"/>
          <w:lang w:val="de-DE"/>
        </w:rPr>
        <w:t>Tagung</w:t>
      </w:r>
      <w:r w:rsidRPr="00096869">
        <w:rPr>
          <w:spacing w:val="-2"/>
          <w:lang w:val="de-DE"/>
        </w:rPr>
        <w:t>, abgehalten in Peking, China, vom 28. April bis 1. Mai 2025. Siehe Dokument TWM/3/29 „Bericht“, Absätze</w:t>
      </w:r>
      <w:r w:rsidRPr="00096869">
        <w:rPr>
          <w:rFonts w:hint="eastAsia"/>
          <w:spacing w:val="-2"/>
          <w:lang w:val="de-DE" w:eastAsia="ja-JP"/>
        </w:rPr>
        <w:t xml:space="preserve"> 35.</w:t>
      </w:r>
    </w:p>
  </w:footnote>
  <w:footnote w:id="19">
    <w:p w14:paraId="34506994" w14:textId="27652A57" w:rsidR="0035048E" w:rsidRPr="00096869" w:rsidRDefault="0035048E">
      <w:pPr>
        <w:pStyle w:val="FootnoteText"/>
        <w:rPr>
          <w:lang w:val="de-DE"/>
        </w:rPr>
      </w:pPr>
      <w:r w:rsidRPr="00096869">
        <w:rPr>
          <w:rStyle w:val="FootnoteReference"/>
          <w:lang w:val="de-DE"/>
        </w:rPr>
        <w:footnoteRef/>
      </w:r>
      <w:r w:rsidRPr="00096869">
        <w:rPr>
          <w:spacing w:val="-2"/>
          <w:lang w:val="de-DE"/>
        </w:rPr>
        <w:t xml:space="preserve"> </w:t>
      </w:r>
      <w:r w:rsidRPr="00096869">
        <w:rPr>
          <w:spacing w:val="-2"/>
          <w:lang w:val="de-DE"/>
        </w:rPr>
        <w:t xml:space="preserve">TWM, dritte </w:t>
      </w:r>
      <w:r w:rsidR="00B377BF">
        <w:rPr>
          <w:spacing w:val="-2"/>
          <w:lang w:val="de-DE"/>
        </w:rPr>
        <w:t>Tagung</w:t>
      </w:r>
      <w:r w:rsidRPr="00096869">
        <w:rPr>
          <w:spacing w:val="-2"/>
          <w:lang w:val="de-DE"/>
        </w:rPr>
        <w:t>, abgehalten in Peking, China, vom 28. April bis 1. Mai 2025. Siehe Dokument TWM/3/29 „Bericht”, Absatz 28.</w:t>
      </w:r>
    </w:p>
  </w:footnote>
  <w:footnote w:id="20">
    <w:p w14:paraId="3DFCCC84" w14:textId="77777777" w:rsidR="00A07516" w:rsidRDefault="00A07516" w:rsidP="00A07516">
      <w:pPr>
        <w:pStyle w:val="FootnoteText"/>
      </w:pPr>
      <w:r w:rsidRPr="00096869">
        <w:rPr>
          <w:rStyle w:val="FootnoteReference"/>
          <w:lang w:val="de-DE"/>
        </w:rPr>
        <w:footnoteRef/>
      </w:r>
      <w:r w:rsidRPr="00096869">
        <w:rPr>
          <w:lang w:val="de-DE"/>
        </w:rPr>
        <w:t xml:space="preserve"> </w:t>
      </w:r>
      <w:r w:rsidRPr="00096869">
        <w:rPr>
          <w:lang w:val="de-DE"/>
        </w:rPr>
        <w:t>Jahresversammlung der OECD-Saatgutprogramme, 12. bis 13. Juni 2025. Siehe Dokument „Bestätigung der Ergebnisse”.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E0C3" w14:textId="4D91C466" w:rsidR="0004198B" w:rsidRPr="00096869" w:rsidRDefault="00096869" w:rsidP="00EB048E">
    <w:pPr>
      <w:pStyle w:val="Header"/>
      <w:rPr>
        <w:rStyle w:val="PageNumber"/>
        <w:lang w:val="de-DE"/>
      </w:rPr>
    </w:pPr>
    <w:r w:rsidRPr="00096869">
      <w:rPr>
        <w:rStyle w:val="PageNumber"/>
        <w:lang w:val="de-DE"/>
      </w:rPr>
      <w:t>SESSIONS/2025</w:t>
    </w:r>
    <w:r w:rsidR="002A12E1" w:rsidRPr="00096869">
      <w:rPr>
        <w:rStyle w:val="PageNumber"/>
        <w:lang w:val="de-DE"/>
      </w:rPr>
      <w:t>/6</w:t>
    </w:r>
  </w:p>
  <w:p w14:paraId="757C8FAC" w14:textId="77777777" w:rsidR="0004198B" w:rsidRPr="00096869" w:rsidRDefault="0004198B" w:rsidP="00EB048E">
    <w:pPr>
      <w:pStyle w:val="Header"/>
      <w:rPr>
        <w:lang w:val="de-DE"/>
      </w:rPr>
    </w:pPr>
    <w:r w:rsidRPr="00096869">
      <w:rPr>
        <w:lang w:val="de-DE"/>
      </w:rPr>
      <w:t xml:space="preserve">Seite </w:t>
    </w:r>
    <w:r w:rsidRPr="00096869">
      <w:rPr>
        <w:rStyle w:val="PageNumber"/>
        <w:lang w:val="de-DE"/>
      </w:rPr>
      <w:fldChar w:fldCharType="begin"/>
    </w:r>
    <w:r w:rsidRPr="00096869">
      <w:rPr>
        <w:rStyle w:val="PageNumber"/>
        <w:lang w:val="de-DE"/>
      </w:rPr>
      <w:instrText xml:space="preserve"> PAGE </w:instrText>
    </w:r>
    <w:r w:rsidRPr="00096869">
      <w:rPr>
        <w:rStyle w:val="PageNumber"/>
        <w:lang w:val="de-DE"/>
      </w:rPr>
      <w:fldChar w:fldCharType="separate"/>
    </w:r>
    <w:r w:rsidR="00EF49B5" w:rsidRPr="00096869">
      <w:rPr>
        <w:rStyle w:val="PageNumber"/>
        <w:lang w:val="de-DE"/>
      </w:rPr>
      <w:t>2</w:t>
    </w:r>
    <w:r w:rsidRPr="00096869">
      <w:rPr>
        <w:rStyle w:val="PageNumber"/>
        <w:lang w:val="de-DE"/>
      </w:rPr>
      <w:fldChar w:fldCharType="end"/>
    </w:r>
  </w:p>
  <w:p w14:paraId="46A0BCFC" w14:textId="77777777" w:rsidR="0004198B" w:rsidRPr="00096869"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6C33" w14:textId="03627B8C" w:rsidR="00550FF9" w:rsidRPr="00096869" w:rsidRDefault="00B377BF" w:rsidP="00EB048E">
    <w:pPr>
      <w:pStyle w:val="Header"/>
      <w:rPr>
        <w:rStyle w:val="PageNumber"/>
        <w:lang w:val="de-DE"/>
      </w:rPr>
    </w:pPr>
    <w:r>
      <w:rPr>
        <w:rStyle w:val="PageNumber"/>
        <w:lang w:val="de-DE"/>
      </w:rPr>
      <w:t>SESSIONS</w:t>
    </w:r>
    <w:r w:rsidR="00550FF9" w:rsidRPr="00096869">
      <w:rPr>
        <w:rStyle w:val="PageNumber"/>
        <w:lang w:val="de-DE"/>
      </w:rPr>
      <w:t>/202</w:t>
    </w:r>
    <w:r>
      <w:rPr>
        <w:rStyle w:val="PageNumber"/>
        <w:lang w:val="de-DE"/>
      </w:rPr>
      <w:t>5</w:t>
    </w:r>
    <w:r w:rsidR="00550FF9" w:rsidRPr="00096869">
      <w:rPr>
        <w:rStyle w:val="PageNumber"/>
        <w:lang w:val="de-DE"/>
      </w:rPr>
      <w:t>/6</w:t>
    </w:r>
  </w:p>
  <w:p w14:paraId="2F93ACBB" w14:textId="7E500B6D" w:rsidR="00550FF9" w:rsidRPr="00096869" w:rsidRDefault="00B377BF" w:rsidP="00EB048E">
    <w:pPr>
      <w:pStyle w:val="Header"/>
      <w:rPr>
        <w:lang w:val="de-DE"/>
      </w:rPr>
    </w:pPr>
    <w:r>
      <w:rPr>
        <w:lang w:val="de-DE"/>
      </w:rPr>
      <w:t>Anlage</w:t>
    </w:r>
    <w:r w:rsidR="00550FF9" w:rsidRPr="00096869">
      <w:rPr>
        <w:lang w:val="de-DE"/>
      </w:rPr>
      <w:t xml:space="preserve">, Seite </w:t>
    </w:r>
    <w:r w:rsidR="00550FF9" w:rsidRPr="00096869">
      <w:rPr>
        <w:rStyle w:val="PageNumber"/>
        <w:lang w:val="de-DE"/>
      </w:rPr>
      <w:fldChar w:fldCharType="begin"/>
    </w:r>
    <w:r w:rsidR="00550FF9" w:rsidRPr="00096869">
      <w:rPr>
        <w:rStyle w:val="PageNumber"/>
        <w:lang w:val="de-DE"/>
      </w:rPr>
      <w:instrText xml:space="preserve"> PAGE </w:instrText>
    </w:r>
    <w:r w:rsidR="00550FF9" w:rsidRPr="00096869">
      <w:rPr>
        <w:rStyle w:val="PageNumber"/>
        <w:lang w:val="de-DE"/>
      </w:rPr>
      <w:fldChar w:fldCharType="separate"/>
    </w:r>
    <w:r w:rsidR="00550FF9" w:rsidRPr="00096869">
      <w:rPr>
        <w:rStyle w:val="PageNumber"/>
        <w:lang w:val="de-DE"/>
      </w:rPr>
      <w:t>2</w:t>
    </w:r>
    <w:r w:rsidR="00550FF9" w:rsidRPr="00096869">
      <w:rPr>
        <w:rStyle w:val="PageNumber"/>
        <w:lang w:val="de-DE"/>
      </w:rPr>
      <w:fldChar w:fldCharType="end"/>
    </w:r>
  </w:p>
  <w:p w14:paraId="4F56515B" w14:textId="77777777" w:rsidR="00550FF9" w:rsidRPr="00096869" w:rsidRDefault="00550FF9" w:rsidP="006655D3"/>
  <w:p w14:paraId="0D1CDE71" w14:textId="77777777" w:rsidR="001E2051" w:rsidRPr="00096869" w:rsidRDefault="001E2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377" w14:textId="575DA51E" w:rsidR="00550FF9" w:rsidRPr="00096869" w:rsidRDefault="00B377BF" w:rsidP="00550FF9">
    <w:pPr>
      <w:pStyle w:val="Header"/>
      <w:rPr>
        <w:rStyle w:val="PageNumber"/>
        <w:lang w:val="de-DE"/>
      </w:rPr>
    </w:pPr>
    <w:r>
      <w:rPr>
        <w:rStyle w:val="PageNumber"/>
        <w:lang w:val="de-DE"/>
      </w:rPr>
      <w:t>SESSIONES/2025</w:t>
    </w:r>
    <w:r w:rsidR="00550FF9" w:rsidRPr="00096869">
      <w:rPr>
        <w:rStyle w:val="PageNumber"/>
        <w:lang w:val="de-DE"/>
      </w:rPr>
      <w:t>/6</w:t>
    </w:r>
  </w:p>
  <w:p w14:paraId="3C5FC7EA" w14:textId="2DD73E5C" w:rsidR="00550FF9" w:rsidRPr="00096869" w:rsidRDefault="00550FF9" w:rsidP="00550FF9">
    <w:pPr>
      <w:pStyle w:val="Header"/>
      <w:rPr>
        <w:lang w:val="de-DE"/>
      </w:rPr>
    </w:pPr>
  </w:p>
  <w:p w14:paraId="3602BF50" w14:textId="64B23117" w:rsidR="00550FF9" w:rsidRPr="00096869" w:rsidRDefault="00B377BF" w:rsidP="0004198B">
    <w:pPr>
      <w:pStyle w:val="Header"/>
      <w:rPr>
        <w:lang w:val="de-DE"/>
      </w:rPr>
    </w:pPr>
    <w:r>
      <w:rPr>
        <w:lang w:val="de-DE"/>
      </w:rPr>
      <w:t>ANLAGE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D5F"/>
    <w:multiLevelType w:val="hybridMultilevel"/>
    <w:tmpl w:val="BF688754"/>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FDD"/>
    <w:multiLevelType w:val="hybridMultilevel"/>
    <w:tmpl w:val="30C0A312"/>
    <w:lvl w:ilvl="0" w:tplc="D316845A">
      <w:start w:val="1"/>
      <w:numFmt w:val="lowerLetter"/>
      <w:lvlText w:val="(%1)"/>
      <w:lvlJc w:val="left"/>
      <w:pPr>
        <w:ind w:left="7732" w:hanging="360"/>
      </w:pPr>
      <w:rPr>
        <w:rFonts w:hint="default"/>
      </w:rPr>
    </w:lvl>
    <w:lvl w:ilvl="1" w:tplc="04090019" w:tentative="1">
      <w:start w:val="1"/>
      <w:numFmt w:val="lowerLetter"/>
      <w:lvlText w:val="%2."/>
      <w:lvlJc w:val="left"/>
      <w:pPr>
        <w:ind w:left="6260" w:hanging="360"/>
      </w:pPr>
    </w:lvl>
    <w:lvl w:ilvl="2" w:tplc="0409001B" w:tentative="1">
      <w:start w:val="1"/>
      <w:numFmt w:val="lowerRoman"/>
      <w:lvlText w:val="%3."/>
      <w:lvlJc w:val="right"/>
      <w:pPr>
        <w:ind w:left="6980" w:hanging="180"/>
      </w:pPr>
    </w:lvl>
    <w:lvl w:ilvl="3" w:tplc="0409000F" w:tentative="1">
      <w:start w:val="1"/>
      <w:numFmt w:val="decimal"/>
      <w:lvlText w:val="%4."/>
      <w:lvlJc w:val="left"/>
      <w:pPr>
        <w:ind w:left="7700" w:hanging="360"/>
      </w:pPr>
    </w:lvl>
    <w:lvl w:ilvl="4" w:tplc="04090019" w:tentative="1">
      <w:start w:val="1"/>
      <w:numFmt w:val="lowerLetter"/>
      <w:lvlText w:val="%5."/>
      <w:lvlJc w:val="left"/>
      <w:pPr>
        <w:ind w:left="8420" w:hanging="360"/>
      </w:pPr>
    </w:lvl>
    <w:lvl w:ilvl="5" w:tplc="0409001B" w:tentative="1">
      <w:start w:val="1"/>
      <w:numFmt w:val="lowerRoman"/>
      <w:lvlText w:val="%6."/>
      <w:lvlJc w:val="right"/>
      <w:pPr>
        <w:ind w:left="9140" w:hanging="180"/>
      </w:pPr>
    </w:lvl>
    <w:lvl w:ilvl="6" w:tplc="0409000F" w:tentative="1">
      <w:start w:val="1"/>
      <w:numFmt w:val="decimal"/>
      <w:lvlText w:val="%7."/>
      <w:lvlJc w:val="left"/>
      <w:pPr>
        <w:ind w:left="9860" w:hanging="360"/>
      </w:pPr>
    </w:lvl>
    <w:lvl w:ilvl="7" w:tplc="04090019" w:tentative="1">
      <w:start w:val="1"/>
      <w:numFmt w:val="lowerLetter"/>
      <w:lvlText w:val="%8."/>
      <w:lvlJc w:val="left"/>
      <w:pPr>
        <w:ind w:left="10580" w:hanging="360"/>
      </w:pPr>
    </w:lvl>
    <w:lvl w:ilvl="8" w:tplc="0409001B" w:tentative="1">
      <w:start w:val="1"/>
      <w:numFmt w:val="lowerRoman"/>
      <w:lvlText w:val="%9."/>
      <w:lvlJc w:val="right"/>
      <w:pPr>
        <w:ind w:left="11300" w:hanging="180"/>
      </w:pPr>
    </w:lvl>
  </w:abstractNum>
  <w:abstractNum w:abstractNumId="2"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940B5"/>
    <w:multiLevelType w:val="hybridMultilevel"/>
    <w:tmpl w:val="38C2D7C4"/>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0737"/>
    <w:multiLevelType w:val="hybridMultilevel"/>
    <w:tmpl w:val="23722A68"/>
    <w:lvl w:ilvl="0" w:tplc="619C1EB4">
      <w:start w:val="1"/>
      <w:numFmt w:val="lowerRoman"/>
      <w:lvlText w:val="(%1)"/>
      <w:lvlJc w:val="left"/>
      <w:pPr>
        <w:ind w:left="3617" w:hanging="360"/>
      </w:pPr>
      <w:rPr>
        <w:rFonts w:hint="default"/>
      </w:rPr>
    </w:lvl>
    <w:lvl w:ilvl="1" w:tplc="04090019">
      <w:start w:val="1"/>
      <w:numFmt w:val="lowerLetter"/>
      <w:lvlText w:val="%2."/>
      <w:lvlJc w:val="left"/>
      <w:pPr>
        <w:ind w:left="3704" w:hanging="360"/>
      </w:pPr>
    </w:lvl>
    <w:lvl w:ilvl="2" w:tplc="0409001B" w:tentative="1">
      <w:start w:val="1"/>
      <w:numFmt w:val="lowerRoman"/>
      <w:lvlText w:val="%3."/>
      <w:lvlJc w:val="right"/>
      <w:pPr>
        <w:ind w:left="4424" w:hanging="180"/>
      </w:pPr>
    </w:lvl>
    <w:lvl w:ilvl="3" w:tplc="0409000F" w:tentative="1">
      <w:start w:val="1"/>
      <w:numFmt w:val="decimal"/>
      <w:lvlText w:val="%4."/>
      <w:lvlJc w:val="left"/>
      <w:pPr>
        <w:ind w:left="5144" w:hanging="360"/>
      </w:pPr>
    </w:lvl>
    <w:lvl w:ilvl="4" w:tplc="04090019" w:tentative="1">
      <w:start w:val="1"/>
      <w:numFmt w:val="lowerLetter"/>
      <w:lvlText w:val="%5."/>
      <w:lvlJc w:val="left"/>
      <w:pPr>
        <w:ind w:left="5864" w:hanging="360"/>
      </w:pPr>
    </w:lvl>
    <w:lvl w:ilvl="5" w:tplc="0409001B" w:tentative="1">
      <w:start w:val="1"/>
      <w:numFmt w:val="lowerRoman"/>
      <w:lvlText w:val="%6."/>
      <w:lvlJc w:val="right"/>
      <w:pPr>
        <w:ind w:left="6584" w:hanging="180"/>
      </w:pPr>
    </w:lvl>
    <w:lvl w:ilvl="6" w:tplc="0409000F" w:tentative="1">
      <w:start w:val="1"/>
      <w:numFmt w:val="decimal"/>
      <w:lvlText w:val="%7."/>
      <w:lvlJc w:val="left"/>
      <w:pPr>
        <w:ind w:left="7304" w:hanging="360"/>
      </w:pPr>
    </w:lvl>
    <w:lvl w:ilvl="7" w:tplc="04090019" w:tentative="1">
      <w:start w:val="1"/>
      <w:numFmt w:val="lowerLetter"/>
      <w:lvlText w:val="%8."/>
      <w:lvlJc w:val="left"/>
      <w:pPr>
        <w:ind w:left="8024" w:hanging="360"/>
      </w:pPr>
    </w:lvl>
    <w:lvl w:ilvl="8" w:tplc="0409001B" w:tentative="1">
      <w:start w:val="1"/>
      <w:numFmt w:val="lowerRoman"/>
      <w:lvlText w:val="%9."/>
      <w:lvlJc w:val="right"/>
      <w:pPr>
        <w:ind w:left="8744" w:hanging="180"/>
      </w:pPr>
    </w:lvl>
  </w:abstractNum>
  <w:abstractNum w:abstractNumId="5" w15:restartNumberingAfterBreak="0">
    <w:nsid w:val="12E479A8"/>
    <w:multiLevelType w:val="hybridMultilevel"/>
    <w:tmpl w:val="9F867802"/>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572F2"/>
    <w:multiLevelType w:val="hybridMultilevel"/>
    <w:tmpl w:val="5F30261E"/>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10F0F"/>
    <w:multiLevelType w:val="hybridMultilevel"/>
    <w:tmpl w:val="B10EEDB6"/>
    <w:lvl w:ilvl="0" w:tplc="B59C8E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DA1B03"/>
    <w:multiLevelType w:val="multilevel"/>
    <w:tmpl w:val="FD9E35BC"/>
    <w:lvl w:ilvl="0">
      <w:start w:val="76"/>
      <w:numFmt w:val="decimal"/>
      <w:lvlText w:val="%1."/>
      <w:lvlJc w:val="left"/>
      <w:pPr>
        <w:ind w:left="643"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198"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692" w:hanging="1440"/>
      </w:pPr>
      <w:rPr>
        <w:rFonts w:hint="default"/>
      </w:rPr>
    </w:lvl>
    <w:lvl w:ilvl="8">
      <w:start w:val="1"/>
      <w:numFmt w:val="decimal"/>
      <w:lvlText w:val="%1.%2.%3.%4.%5.%6.%7.%8.%9"/>
      <w:lvlJc w:val="left"/>
      <w:pPr>
        <w:ind w:left="6619" w:hanging="1800"/>
      </w:pPr>
      <w:rPr>
        <w:rFonts w:hint="default"/>
      </w:rPr>
    </w:lvl>
  </w:abstractNum>
  <w:abstractNum w:abstractNumId="10" w15:restartNumberingAfterBreak="0">
    <w:nsid w:val="18442C53"/>
    <w:multiLevelType w:val="hybridMultilevel"/>
    <w:tmpl w:val="3DD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D2F17"/>
    <w:multiLevelType w:val="hybridMultilevel"/>
    <w:tmpl w:val="F9EA1182"/>
    <w:lvl w:ilvl="0" w:tplc="132CD72A">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C331171"/>
    <w:multiLevelType w:val="hybridMultilevel"/>
    <w:tmpl w:val="8C401B9A"/>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469F0"/>
    <w:multiLevelType w:val="multilevel"/>
    <w:tmpl w:val="F9FE3962"/>
    <w:lvl w:ilvl="0">
      <w:start w:val="1"/>
      <w:numFmt w:val="decimal"/>
      <w:lvlText w:val="%1."/>
      <w:lvlJc w:val="left"/>
      <w:pPr>
        <w:ind w:left="720" w:hanging="360"/>
      </w:pPr>
      <w:rPr>
        <w:i w:val="0"/>
        <w:iCs/>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38F655F"/>
    <w:multiLevelType w:val="hybridMultilevel"/>
    <w:tmpl w:val="F10638D8"/>
    <w:lvl w:ilvl="0" w:tplc="9D46F8E4">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29F42C76"/>
    <w:multiLevelType w:val="hybridMultilevel"/>
    <w:tmpl w:val="C4A69530"/>
    <w:lvl w:ilvl="0" w:tplc="473C44DA">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CA159F6"/>
    <w:multiLevelType w:val="hybridMultilevel"/>
    <w:tmpl w:val="D8A27B5A"/>
    <w:lvl w:ilvl="0" w:tplc="E7BCA674">
      <w:start w:val="29"/>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77B29"/>
    <w:multiLevelType w:val="hybridMultilevel"/>
    <w:tmpl w:val="31FE252C"/>
    <w:lvl w:ilvl="0" w:tplc="3CE20842">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C0F35"/>
    <w:multiLevelType w:val="hybridMultilevel"/>
    <w:tmpl w:val="0DDC2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F7A37"/>
    <w:multiLevelType w:val="hybridMultilevel"/>
    <w:tmpl w:val="E3863DBA"/>
    <w:lvl w:ilvl="0" w:tplc="D00E4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F0FDE"/>
    <w:multiLevelType w:val="hybridMultilevel"/>
    <w:tmpl w:val="F632A1FA"/>
    <w:lvl w:ilvl="0" w:tplc="D02CC792">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44BA"/>
    <w:multiLevelType w:val="multilevel"/>
    <w:tmpl w:val="C67E5D5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176382"/>
    <w:multiLevelType w:val="hybridMultilevel"/>
    <w:tmpl w:val="0B10DD5A"/>
    <w:lvl w:ilvl="0" w:tplc="15F6FA9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0058BA"/>
    <w:multiLevelType w:val="hybridMultilevel"/>
    <w:tmpl w:val="547A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1C5907"/>
    <w:multiLevelType w:val="hybridMultilevel"/>
    <w:tmpl w:val="A6F0F198"/>
    <w:lvl w:ilvl="0" w:tplc="52EA5E6A">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264F1"/>
    <w:multiLevelType w:val="hybridMultilevel"/>
    <w:tmpl w:val="EC368690"/>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F2081"/>
    <w:multiLevelType w:val="hybridMultilevel"/>
    <w:tmpl w:val="5B72938E"/>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F5964"/>
    <w:multiLevelType w:val="hybridMultilevel"/>
    <w:tmpl w:val="4282F72A"/>
    <w:lvl w:ilvl="0" w:tplc="36DAD95C">
      <w:start w:val="47"/>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3B4B"/>
    <w:multiLevelType w:val="hybridMultilevel"/>
    <w:tmpl w:val="DF86C034"/>
    <w:lvl w:ilvl="0" w:tplc="CCBE4B30">
      <w:start w:val="41"/>
      <w:numFmt w:val="decimal"/>
      <w:lvlText w:val="%1."/>
      <w:lvlJc w:val="left"/>
      <w:pPr>
        <w:ind w:left="129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26B13"/>
    <w:multiLevelType w:val="hybridMultilevel"/>
    <w:tmpl w:val="020E3D4C"/>
    <w:lvl w:ilvl="0" w:tplc="3CA85E3E">
      <w:start w:val="2"/>
      <w:numFmt w:val="bullet"/>
      <w:lvlText w:val="-"/>
      <w:lvlJc w:val="left"/>
      <w:pPr>
        <w:ind w:left="1287" w:hanging="360"/>
      </w:pPr>
      <w:rPr>
        <w:rFonts w:ascii="Arial" w:eastAsia="MS Mincho"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DB1711D"/>
    <w:multiLevelType w:val="hybridMultilevel"/>
    <w:tmpl w:val="484CD79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0A11C9C"/>
    <w:multiLevelType w:val="hybridMultilevel"/>
    <w:tmpl w:val="763ECAFA"/>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677810">
    <w:abstractNumId w:val="25"/>
  </w:num>
  <w:num w:numId="2" w16cid:durableId="400761307">
    <w:abstractNumId w:val="21"/>
  </w:num>
  <w:num w:numId="3" w16cid:durableId="2101874822">
    <w:abstractNumId w:val="13"/>
  </w:num>
  <w:num w:numId="4" w16cid:durableId="408501716">
    <w:abstractNumId w:val="4"/>
  </w:num>
  <w:num w:numId="5" w16cid:durableId="937522431">
    <w:abstractNumId w:val="9"/>
  </w:num>
  <w:num w:numId="6" w16cid:durableId="484014185">
    <w:abstractNumId w:val="11"/>
  </w:num>
  <w:num w:numId="7" w16cid:durableId="1027028850">
    <w:abstractNumId w:val="11"/>
    <w:lvlOverride w:ilvl="0">
      <w:startOverride w:val="1"/>
    </w:lvlOverride>
  </w:num>
  <w:num w:numId="8" w16cid:durableId="748161896">
    <w:abstractNumId w:val="11"/>
    <w:lvlOverride w:ilvl="0">
      <w:startOverride w:val="1"/>
    </w:lvlOverride>
  </w:num>
  <w:num w:numId="9" w16cid:durableId="1246569638">
    <w:abstractNumId w:val="11"/>
    <w:lvlOverride w:ilvl="0">
      <w:startOverride w:val="1"/>
    </w:lvlOverride>
  </w:num>
  <w:num w:numId="10" w16cid:durableId="730927524">
    <w:abstractNumId w:val="11"/>
    <w:lvlOverride w:ilvl="0">
      <w:startOverride w:val="1"/>
    </w:lvlOverride>
  </w:num>
  <w:num w:numId="11" w16cid:durableId="1772823668">
    <w:abstractNumId w:val="4"/>
    <w:lvlOverride w:ilvl="0">
      <w:startOverride w:val="1"/>
    </w:lvlOverride>
  </w:num>
  <w:num w:numId="12" w16cid:durableId="1272204577">
    <w:abstractNumId w:val="11"/>
    <w:lvlOverride w:ilvl="0">
      <w:startOverride w:val="1"/>
    </w:lvlOverride>
  </w:num>
  <w:num w:numId="13" w16cid:durableId="1515454636">
    <w:abstractNumId w:val="11"/>
    <w:lvlOverride w:ilvl="0">
      <w:startOverride w:val="1"/>
    </w:lvlOverride>
  </w:num>
  <w:num w:numId="14" w16cid:durableId="465464437">
    <w:abstractNumId w:val="11"/>
    <w:lvlOverride w:ilvl="0">
      <w:startOverride w:val="1"/>
    </w:lvlOverride>
  </w:num>
  <w:num w:numId="15" w16cid:durableId="1802335823">
    <w:abstractNumId w:val="2"/>
  </w:num>
  <w:num w:numId="16" w16cid:durableId="14625678">
    <w:abstractNumId w:val="8"/>
  </w:num>
  <w:num w:numId="17" w16cid:durableId="532770014">
    <w:abstractNumId w:val="6"/>
  </w:num>
  <w:num w:numId="18" w16cid:durableId="1126849963">
    <w:abstractNumId w:val="16"/>
  </w:num>
  <w:num w:numId="19" w16cid:durableId="1938708738">
    <w:abstractNumId w:val="23"/>
  </w:num>
  <w:num w:numId="20" w16cid:durableId="938828387">
    <w:abstractNumId w:val="5"/>
  </w:num>
  <w:num w:numId="21" w16cid:durableId="1515991896">
    <w:abstractNumId w:val="31"/>
  </w:num>
  <w:num w:numId="22" w16cid:durableId="1793865248">
    <w:abstractNumId w:val="29"/>
  </w:num>
  <w:num w:numId="23" w16cid:durableId="1899050148">
    <w:abstractNumId w:val="19"/>
  </w:num>
  <w:num w:numId="24" w16cid:durableId="1829856298">
    <w:abstractNumId w:val="28"/>
  </w:num>
  <w:num w:numId="25" w16cid:durableId="1475292000">
    <w:abstractNumId w:val="15"/>
  </w:num>
  <w:num w:numId="26" w16cid:durableId="418718097">
    <w:abstractNumId w:val="27"/>
  </w:num>
  <w:num w:numId="27" w16cid:durableId="1905876233">
    <w:abstractNumId w:val="15"/>
    <w:lvlOverride w:ilvl="0">
      <w:startOverride w:val="1"/>
    </w:lvlOverride>
  </w:num>
  <w:num w:numId="28" w16cid:durableId="1128475455">
    <w:abstractNumId w:val="15"/>
    <w:lvlOverride w:ilvl="0">
      <w:startOverride w:val="2"/>
    </w:lvlOverride>
  </w:num>
  <w:num w:numId="29" w16cid:durableId="967013536">
    <w:abstractNumId w:val="30"/>
  </w:num>
  <w:num w:numId="30" w16cid:durableId="1535456979">
    <w:abstractNumId w:val="15"/>
    <w:lvlOverride w:ilvl="0">
      <w:startOverride w:val="2"/>
    </w:lvlOverride>
  </w:num>
  <w:num w:numId="31" w16cid:durableId="1705521657">
    <w:abstractNumId w:val="20"/>
  </w:num>
  <w:num w:numId="32" w16cid:durableId="2042780483">
    <w:abstractNumId w:val="15"/>
    <w:lvlOverride w:ilvl="0">
      <w:startOverride w:val="2"/>
    </w:lvlOverride>
  </w:num>
  <w:num w:numId="33" w16cid:durableId="1923835561">
    <w:abstractNumId w:val="17"/>
  </w:num>
  <w:num w:numId="34" w16cid:durableId="1716351571">
    <w:abstractNumId w:val="24"/>
  </w:num>
  <w:num w:numId="35" w16cid:durableId="815300399">
    <w:abstractNumId w:val="19"/>
    <w:lvlOverride w:ilvl="0">
      <w:startOverride w:val="1"/>
    </w:lvlOverride>
  </w:num>
  <w:num w:numId="36" w16cid:durableId="1672023006">
    <w:abstractNumId w:val="19"/>
    <w:lvlOverride w:ilvl="0">
      <w:startOverride w:val="1"/>
    </w:lvlOverride>
  </w:num>
  <w:num w:numId="37" w16cid:durableId="1953244152">
    <w:abstractNumId w:val="12"/>
  </w:num>
  <w:num w:numId="38" w16cid:durableId="1158376455">
    <w:abstractNumId w:val="22"/>
  </w:num>
  <w:num w:numId="39" w16cid:durableId="77404864">
    <w:abstractNumId w:val="22"/>
    <w:lvlOverride w:ilvl="0">
      <w:startOverride w:val="1"/>
    </w:lvlOverride>
  </w:num>
  <w:num w:numId="40" w16cid:durableId="315883774">
    <w:abstractNumId w:val="18"/>
  </w:num>
  <w:num w:numId="41" w16cid:durableId="1844275654">
    <w:abstractNumId w:val="7"/>
  </w:num>
  <w:num w:numId="42" w16cid:durableId="381172685">
    <w:abstractNumId w:val="26"/>
  </w:num>
  <w:num w:numId="43" w16cid:durableId="1433474779">
    <w:abstractNumId w:val="0"/>
  </w:num>
  <w:num w:numId="44" w16cid:durableId="1876044072">
    <w:abstractNumId w:val="10"/>
  </w:num>
  <w:num w:numId="45" w16cid:durableId="648823072">
    <w:abstractNumId w:val="3"/>
  </w:num>
  <w:num w:numId="46" w16cid:durableId="1087115865">
    <w:abstractNumId w:val="1"/>
  </w:num>
  <w:num w:numId="47" w16cid:durableId="17551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CA"/>
    <w:rsid w:val="00001225"/>
    <w:rsid w:val="000025FB"/>
    <w:rsid w:val="00003913"/>
    <w:rsid w:val="00005CE9"/>
    <w:rsid w:val="00010CF3"/>
    <w:rsid w:val="00011E27"/>
    <w:rsid w:val="00012D24"/>
    <w:rsid w:val="000148BC"/>
    <w:rsid w:val="0001494C"/>
    <w:rsid w:val="000222AF"/>
    <w:rsid w:val="000230FE"/>
    <w:rsid w:val="00024AB8"/>
    <w:rsid w:val="000271AF"/>
    <w:rsid w:val="000300DE"/>
    <w:rsid w:val="00030854"/>
    <w:rsid w:val="000320D1"/>
    <w:rsid w:val="000346AB"/>
    <w:rsid w:val="0003579E"/>
    <w:rsid w:val="00035884"/>
    <w:rsid w:val="00035DDA"/>
    <w:rsid w:val="00036028"/>
    <w:rsid w:val="0003662F"/>
    <w:rsid w:val="0004198B"/>
    <w:rsid w:val="00043781"/>
    <w:rsid w:val="00044642"/>
    <w:rsid w:val="000446B9"/>
    <w:rsid w:val="000465DE"/>
    <w:rsid w:val="00046B8C"/>
    <w:rsid w:val="0004795C"/>
    <w:rsid w:val="00047CF1"/>
    <w:rsid w:val="00047E21"/>
    <w:rsid w:val="00050514"/>
    <w:rsid w:val="00050E16"/>
    <w:rsid w:val="00051ADC"/>
    <w:rsid w:val="00055E73"/>
    <w:rsid w:val="00057B88"/>
    <w:rsid w:val="000604D6"/>
    <w:rsid w:val="00060F09"/>
    <w:rsid w:val="0006133B"/>
    <w:rsid w:val="00064944"/>
    <w:rsid w:val="0006562C"/>
    <w:rsid w:val="00066D43"/>
    <w:rsid w:val="00071409"/>
    <w:rsid w:val="00071903"/>
    <w:rsid w:val="00071B4A"/>
    <w:rsid w:val="00072B66"/>
    <w:rsid w:val="000733EC"/>
    <w:rsid w:val="000809D7"/>
    <w:rsid w:val="00081996"/>
    <w:rsid w:val="00081B61"/>
    <w:rsid w:val="00085505"/>
    <w:rsid w:val="00086156"/>
    <w:rsid w:val="00090551"/>
    <w:rsid w:val="00096869"/>
    <w:rsid w:val="000A0A16"/>
    <w:rsid w:val="000A1A3F"/>
    <w:rsid w:val="000A267E"/>
    <w:rsid w:val="000A33B8"/>
    <w:rsid w:val="000A4310"/>
    <w:rsid w:val="000A4770"/>
    <w:rsid w:val="000A5916"/>
    <w:rsid w:val="000A6090"/>
    <w:rsid w:val="000A67F8"/>
    <w:rsid w:val="000B17C9"/>
    <w:rsid w:val="000B540A"/>
    <w:rsid w:val="000B5600"/>
    <w:rsid w:val="000B714A"/>
    <w:rsid w:val="000C0FD4"/>
    <w:rsid w:val="000C211C"/>
    <w:rsid w:val="000C22CC"/>
    <w:rsid w:val="000C4ABD"/>
    <w:rsid w:val="000C4E25"/>
    <w:rsid w:val="000C7021"/>
    <w:rsid w:val="000C75DB"/>
    <w:rsid w:val="000D2C46"/>
    <w:rsid w:val="000D5FE9"/>
    <w:rsid w:val="000D6BBC"/>
    <w:rsid w:val="000D7780"/>
    <w:rsid w:val="000E00AC"/>
    <w:rsid w:val="000E0474"/>
    <w:rsid w:val="000E2D6A"/>
    <w:rsid w:val="000E4974"/>
    <w:rsid w:val="000E5A79"/>
    <w:rsid w:val="000E62E5"/>
    <w:rsid w:val="000E636A"/>
    <w:rsid w:val="000F0487"/>
    <w:rsid w:val="000F2F11"/>
    <w:rsid w:val="000F44A5"/>
    <w:rsid w:val="000F52A5"/>
    <w:rsid w:val="000F538B"/>
    <w:rsid w:val="000F6BBA"/>
    <w:rsid w:val="0010001A"/>
    <w:rsid w:val="00100A5F"/>
    <w:rsid w:val="00101639"/>
    <w:rsid w:val="001057FB"/>
    <w:rsid w:val="00105929"/>
    <w:rsid w:val="00107461"/>
    <w:rsid w:val="001074F3"/>
    <w:rsid w:val="00107851"/>
    <w:rsid w:val="00107CD3"/>
    <w:rsid w:val="00107F6D"/>
    <w:rsid w:val="00110AC8"/>
    <w:rsid w:val="00110BED"/>
    <w:rsid w:val="00110C36"/>
    <w:rsid w:val="00110C4D"/>
    <w:rsid w:val="00110DC3"/>
    <w:rsid w:val="001110C5"/>
    <w:rsid w:val="00111359"/>
    <w:rsid w:val="001131D5"/>
    <w:rsid w:val="00114547"/>
    <w:rsid w:val="00115C10"/>
    <w:rsid w:val="001160C8"/>
    <w:rsid w:val="00116E11"/>
    <w:rsid w:val="0011734E"/>
    <w:rsid w:val="0012007F"/>
    <w:rsid w:val="00120291"/>
    <w:rsid w:val="00122553"/>
    <w:rsid w:val="00122C95"/>
    <w:rsid w:val="00123959"/>
    <w:rsid w:val="00124B80"/>
    <w:rsid w:val="00124F48"/>
    <w:rsid w:val="00125A34"/>
    <w:rsid w:val="00125CB1"/>
    <w:rsid w:val="00126679"/>
    <w:rsid w:val="00126B74"/>
    <w:rsid w:val="0012713E"/>
    <w:rsid w:val="00130945"/>
    <w:rsid w:val="00131AC1"/>
    <w:rsid w:val="00132FC5"/>
    <w:rsid w:val="00133695"/>
    <w:rsid w:val="0013452A"/>
    <w:rsid w:val="00135F06"/>
    <w:rsid w:val="00136277"/>
    <w:rsid w:val="00141DB8"/>
    <w:rsid w:val="0014382F"/>
    <w:rsid w:val="00143B09"/>
    <w:rsid w:val="001440A0"/>
    <w:rsid w:val="0014464E"/>
    <w:rsid w:val="0014482F"/>
    <w:rsid w:val="0014520E"/>
    <w:rsid w:val="0014552D"/>
    <w:rsid w:val="00145B4D"/>
    <w:rsid w:val="00145CA2"/>
    <w:rsid w:val="001479BD"/>
    <w:rsid w:val="00153980"/>
    <w:rsid w:val="00154B12"/>
    <w:rsid w:val="0015556F"/>
    <w:rsid w:val="001576C8"/>
    <w:rsid w:val="00163EEF"/>
    <w:rsid w:val="001650EA"/>
    <w:rsid w:val="00165994"/>
    <w:rsid w:val="00165DF3"/>
    <w:rsid w:val="0016673F"/>
    <w:rsid w:val="00172084"/>
    <w:rsid w:val="00172360"/>
    <w:rsid w:val="00173741"/>
    <w:rsid w:val="00173B6D"/>
    <w:rsid w:val="00173C8F"/>
    <w:rsid w:val="0017474A"/>
    <w:rsid w:val="001758C6"/>
    <w:rsid w:val="001764F8"/>
    <w:rsid w:val="00176FD4"/>
    <w:rsid w:val="00181B8C"/>
    <w:rsid w:val="00182356"/>
    <w:rsid w:val="00182B99"/>
    <w:rsid w:val="00182D22"/>
    <w:rsid w:val="001844E8"/>
    <w:rsid w:val="001862A6"/>
    <w:rsid w:val="0019155A"/>
    <w:rsid w:val="00192639"/>
    <w:rsid w:val="0019267D"/>
    <w:rsid w:val="001946ED"/>
    <w:rsid w:val="001949D0"/>
    <w:rsid w:val="00196FC5"/>
    <w:rsid w:val="001A0DD8"/>
    <w:rsid w:val="001A1382"/>
    <w:rsid w:val="001A1B0D"/>
    <w:rsid w:val="001A621F"/>
    <w:rsid w:val="001A63A4"/>
    <w:rsid w:val="001B0E7D"/>
    <w:rsid w:val="001B2365"/>
    <w:rsid w:val="001B2E98"/>
    <w:rsid w:val="001B3715"/>
    <w:rsid w:val="001B49F9"/>
    <w:rsid w:val="001B721A"/>
    <w:rsid w:val="001B7A9E"/>
    <w:rsid w:val="001C0955"/>
    <w:rsid w:val="001C1009"/>
    <w:rsid w:val="001C1525"/>
    <w:rsid w:val="001C1CD0"/>
    <w:rsid w:val="001C3B54"/>
    <w:rsid w:val="001C4D2A"/>
    <w:rsid w:val="001C7987"/>
    <w:rsid w:val="001D080E"/>
    <w:rsid w:val="001D1BAC"/>
    <w:rsid w:val="001D2593"/>
    <w:rsid w:val="001D332A"/>
    <w:rsid w:val="001D3885"/>
    <w:rsid w:val="001D3A36"/>
    <w:rsid w:val="001D41B4"/>
    <w:rsid w:val="001D42B6"/>
    <w:rsid w:val="001D71DF"/>
    <w:rsid w:val="001D736D"/>
    <w:rsid w:val="001E093B"/>
    <w:rsid w:val="001E2051"/>
    <w:rsid w:val="001E26DD"/>
    <w:rsid w:val="001E29C4"/>
    <w:rsid w:val="001E629A"/>
    <w:rsid w:val="001F1740"/>
    <w:rsid w:val="001F298F"/>
    <w:rsid w:val="001F2C27"/>
    <w:rsid w:val="001F357C"/>
    <w:rsid w:val="002010C6"/>
    <w:rsid w:val="00202982"/>
    <w:rsid w:val="00203631"/>
    <w:rsid w:val="00205CAF"/>
    <w:rsid w:val="00210B35"/>
    <w:rsid w:val="0021273E"/>
    <w:rsid w:val="0021332C"/>
    <w:rsid w:val="00213982"/>
    <w:rsid w:val="002140B8"/>
    <w:rsid w:val="0021556A"/>
    <w:rsid w:val="00217760"/>
    <w:rsid w:val="00220C27"/>
    <w:rsid w:val="00221BB8"/>
    <w:rsid w:val="00222D6D"/>
    <w:rsid w:val="00223F3E"/>
    <w:rsid w:val="00224395"/>
    <w:rsid w:val="00226B9A"/>
    <w:rsid w:val="00227B1C"/>
    <w:rsid w:val="00233C38"/>
    <w:rsid w:val="00235763"/>
    <w:rsid w:val="00235ABA"/>
    <w:rsid w:val="00240F17"/>
    <w:rsid w:val="00241B61"/>
    <w:rsid w:val="002439E9"/>
    <w:rsid w:val="0024416D"/>
    <w:rsid w:val="00244976"/>
    <w:rsid w:val="00245273"/>
    <w:rsid w:val="002516C3"/>
    <w:rsid w:val="00251D2C"/>
    <w:rsid w:val="00251E2A"/>
    <w:rsid w:val="0025439E"/>
    <w:rsid w:val="0025596F"/>
    <w:rsid w:val="00257D41"/>
    <w:rsid w:val="00257F3C"/>
    <w:rsid w:val="00260887"/>
    <w:rsid w:val="002629C3"/>
    <w:rsid w:val="00263789"/>
    <w:rsid w:val="00265782"/>
    <w:rsid w:val="00265E0F"/>
    <w:rsid w:val="00267D23"/>
    <w:rsid w:val="002709DB"/>
    <w:rsid w:val="00270BD7"/>
    <w:rsid w:val="00271911"/>
    <w:rsid w:val="002721F9"/>
    <w:rsid w:val="00272BAB"/>
    <w:rsid w:val="00273187"/>
    <w:rsid w:val="002800A0"/>
    <w:rsid w:val="002801B3"/>
    <w:rsid w:val="00281060"/>
    <w:rsid w:val="0028168A"/>
    <w:rsid w:val="002829E4"/>
    <w:rsid w:val="00284360"/>
    <w:rsid w:val="00285BD0"/>
    <w:rsid w:val="00287F52"/>
    <w:rsid w:val="00290373"/>
    <w:rsid w:val="00291EBF"/>
    <w:rsid w:val="00292C38"/>
    <w:rsid w:val="00292EF7"/>
    <w:rsid w:val="002940E8"/>
    <w:rsid w:val="00294751"/>
    <w:rsid w:val="00294986"/>
    <w:rsid w:val="00295B22"/>
    <w:rsid w:val="00296F12"/>
    <w:rsid w:val="00297B41"/>
    <w:rsid w:val="002A0E18"/>
    <w:rsid w:val="002A12E1"/>
    <w:rsid w:val="002A29A3"/>
    <w:rsid w:val="002A4C99"/>
    <w:rsid w:val="002A546D"/>
    <w:rsid w:val="002A6E50"/>
    <w:rsid w:val="002A78BA"/>
    <w:rsid w:val="002B0C00"/>
    <w:rsid w:val="002B0D5B"/>
    <w:rsid w:val="002B38CA"/>
    <w:rsid w:val="002B4298"/>
    <w:rsid w:val="002B4F38"/>
    <w:rsid w:val="002B61CD"/>
    <w:rsid w:val="002B62B0"/>
    <w:rsid w:val="002B681B"/>
    <w:rsid w:val="002B7A36"/>
    <w:rsid w:val="002B7F26"/>
    <w:rsid w:val="002C131E"/>
    <w:rsid w:val="002C1649"/>
    <w:rsid w:val="002C22A2"/>
    <w:rsid w:val="002C256A"/>
    <w:rsid w:val="002C317F"/>
    <w:rsid w:val="002C40A1"/>
    <w:rsid w:val="002C5C3B"/>
    <w:rsid w:val="002C5E60"/>
    <w:rsid w:val="002C78B3"/>
    <w:rsid w:val="002D0AA1"/>
    <w:rsid w:val="002D2C7C"/>
    <w:rsid w:val="002D2D96"/>
    <w:rsid w:val="002D369F"/>
    <w:rsid w:val="002D5226"/>
    <w:rsid w:val="002D5AC9"/>
    <w:rsid w:val="002E00AC"/>
    <w:rsid w:val="002E19F6"/>
    <w:rsid w:val="002E5282"/>
    <w:rsid w:val="002E70C9"/>
    <w:rsid w:val="002F0351"/>
    <w:rsid w:val="002F04B1"/>
    <w:rsid w:val="002F242E"/>
    <w:rsid w:val="002F2CAA"/>
    <w:rsid w:val="002F3119"/>
    <w:rsid w:val="002F3898"/>
    <w:rsid w:val="002F3B82"/>
    <w:rsid w:val="002F4E52"/>
    <w:rsid w:val="002F4F15"/>
    <w:rsid w:val="002F74E3"/>
    <w:rsid w:val="002F74FC"/>
    <w:rsid w:val="00300AEA"/>
    <w:rsid w:val="003012FA"/>
    <w:rsid w:val="00303952"/>
    <w:rsid w:val="00305A7F"/>
    <w:rsid w:val="0030673D"/>
    <w:rsid w:val="00307CA9"/>
    <w:rsid w:val="00310DD2"/>
    <w:rsid w:val="00311464"/>
    <w:rsid w:val="00311749"/>
    <w:rsid w:val="003127BF"/>
    <w:rsid w:val="003138C6"/>
    <w:rsid w:val="00313BFE"/>
    <w:rsid w:val="00314144"/>
    <w:rsid w:val="0031427C"/>
    <w:rsid w:val="003152FE"/>
    <w:rsid w:val="00315540"/>
    <w:rsid w:val="003238DE"/>
    <w:rsid w:val="00324AC9"/>
    <w:rsid w:val="00324FFF"/>
    <w:rsid w:val="00325FC9"/>
    <w:rsid w:val="00327436"/>
    <w:rsid w:val="00327494"/>
    <w:rsid w:val="00332065"/>
    <w:rsid w:val="00334E44"/>
    <w:rsid w:val="00342001"/>
    <w:rsid w:val="00343E88"/>
    <w:rsid w:val="003445B5"/>
    <w:rsid w:val="00344BD6"/>
    <w:rsid w:val="00344E2E"/>
    <w:rsid w:val="0035048E"/>
    <w:rsid w:val="003524C5"/>
    <w:rsid w:val="003524FA"/>
    <w:rsid w:val="003532B5"/>
    <w:rsid w:val="00353CEA"/>
    <w:rsid w:val="0035528D"/>
    <w:rsid w:val="00356FB2"/>
    <w:rsid w:val="00361821"/>
    <w:rsid w:val="00361889"/>
    <w:rsid w:val="003619ED"/>
    <w:rsid w:val="00361E9E"/>
    <w:rsid w:val="00362980"/>
    <w:rsid w:val="0036318B"/>
    <w:rsid w:val="003633F8"/>
    <w:rsid w:val="003674BD"/>
    <w:rsid w:val="003679B0"/>
    <w:rsid w:val="00370AC7"/>
    <w:rsid w:val="00370E64"/>
    <w:rsid w:val="00371D06"/>
    <w:rsid w:val="0037411B"/>
    <w:rsid w:val="003743DA"/>
    <w:rsid w:val="0037470A"/>
    <w:rsid w:val="003753EE"/>
    <w:rsid w:val="003816C7"/>
    <w:rsid w:val="0038246F"/>
    <w:rsid w:val="00383D5A"/>
    <w:rsid w:val="0039176E"/>
    <w:rsid w:val="00392435"/>
    <w:rsid w:val="00392676"/>
    <w:rsid w:val="00393E94"/>
    <w:rsid w:val="003956E8"/>
    <w:rsid w:val="00395C92"/>
    <w:rsid w:val="003A0835"/>
    <w:rsid w:val="003A2DA4"/>
    <w:rsid w:val="003A3516"/>
    <w:rsid w:val="003A429E"/>
    <w:rsid w:val="003A471F"/>
    <w:rsid w:val="003A5735"/>
    <w:rsid w:val="003A5AAF"/>
    <w:rsid w:val="003A6F72"/>
    <w:rsid w:val="003A7741"/>
    <w:rsid w:val="003B1549"/>
    <w:rsid w:val="003B2B31"/>
    <w:rsid w:val="003B700A"/>
    <w:rsid w:val="003B7AA2"/>
    <w:rsid w:val="003C1A61"/>
    <w:rsid w:val="003C1A95"/>
    <w:rsid w:val="003C2A29"/>
    <w:rsid w:val="003C4763"/>
    <w:rsid w:val="003C4D6A"/>
    <w:rsid w:val="003C4DFE"/>
    <w:rsid w:val="003C6ABA"/>
    <w:rsid w:val="003C7FBE"/>
    <w:rsid w:val="003D180A"/>
    <w:rsid w:val="003D1917"/>
    <w:rsid w:val="003D227C"/>
    <w:rsid w:val="003D289F"/>
    <w:rsid w:val="003D2B4D"/>
    <w:rsid w:val="003D3189"/>
    <w:rsid w:val="003D345A"/>
    <w:rsid w:val="003D43A1"/>
    <w:rsid w:val="003D4631"/>
    <w:rsid w:val="003D5706"/>
    <w:rsid w:val="003D5A4B"/>
    <w:rsid w:val="003D5D38"/>
    <w:rsid w:val="003D6319"/>
    <w:rsid w:val="003D7A73"/>
    <w:rsid w:val="003E0592"/>
    <w:rsid w:val="003E3646"/>
    <w:rsid w:val="003E5381"/>
    <w:rsid w:val="003E5C6A"/>
    <w:rsid w:val="003F18BE"/>
    <w:rsid w:val="003F1BA1"/>
    <w:rsid w:val="003F2673"/>
    <w:rsid w:val="003F37F5"/>
    <w:rsid w:val="004000B8"/>
    <w:rsid w:val="00402208"/>
    <w:rsid w:val="00404431"/>
    <w:rsid w:val="00405700"/>
    <w:rsid w:val="00406659"/>
    <w:rsid w:val="00407828"/>
    <w:rsid w:val="004101A6"/>
    <w:rsid w:val="00411805"/>
    <w:rsid w:val="004153C2"/>
    <w:rsid w:val="004216D0"/>
    <w:rsid w:val="0042184A"/>
    <w:rsid w:val="00421DAF"/>
    <w:rsid w:val="00423B19"/>
    <w:rsid w:val="00424819"/>
    <w:rsid w:val="00425BA1"/>
    <w:rsid w:val="0042675A"/>
    <w:rsid w:val="00426911"/>
    <w:rsid w:val="004322FB"/>
    <w:rsid w:val="00432C7D"/>
    <w:rsid w:val="00434A77"/>
    <w:rsid w:val="00434F38"/>
    <w:rsid w:val="00440043"/>
    <w:rsid w:val="00440730"/>
    <w:rsid w:val="00441A8C"/>
    <w:rsid w:val="004420EC"/>
    <w:rsid w:val="0044240F"/>
    <w:rsid w:val="00444A88"/>
    <w:rsid w:val="004515E3"/>
    <w:rsid w:val="00451DC9"/>
    <w:rsid w:val="0045299F"/>
    <w:rsid w:val="004543F5"/>
    <w:rsid w:val="00454749"/>
    <w:rsid w:val="0045550C"/>
    <w:rsid w:val="00456A49"/>
    <w:rsid w:val="004601C9"/>
    <w:rsid w:val="00461438"/>
    <w:rsid w:val="0046299F"/>
    <w:rsid w:val="00464AE1"/>
    <w:rsid w:val="0046537A"/>
    <w:rsid w:val="00465ABE"/>
    <w:rsid w:val="00470586"/>
    <w:rsid w:val="00470990"/>
    <w:rsid w:val="00471342"/>
    <w:rsid w:val="0047169D"/>
    <w:rsid w:val="00471AF6"/>
    <w:rsid w:val="00472388"/>
    <w:rsid w:val="00472ACC"/>
    <w:rsid w:val="00472B51"/>
    <w:rsid w:val="004730C8"/>
    <w:rsid w:val="00473F56"/>
    <w:rsid w:val="004745CD"/>
    <w:rsid w:val="00474DA4"/>
    <w:rsid w:val="00475810"/>
    <w:rsid w:val="00475A2F"/>
    <w:rsid w:val="00475AB0"/>
    <w:rsid w:val="004767D6"/>
    <w:rsid w:val="00476B4D"/>
    <w:rsid w:val="004777B2"/>
    <w:rsid w:val="004805B3"/>
    <w:rsid w:val="004805FA"/>
    <w:rsid w:val="00481656"/>
    <w:rsid w:val="00485129"/>
    <w:rsid w:val="0048716E"/>
    <w:rsid w:val="00487C3A"/>
    <w:rsid w:val="00487C4A"/>
    <w:rsid w:val="00490B73"/>
    <w:rsid w:val="0049206E"/>
    <w:rsid w:val="004935D2"/>
    <w:rsid w:val="00493995"/>
    <w:rsid w:val="004954D4"/>
    <w:rsid w:val="00495FDB"/>
    <w:rsid w:val="004A0FFD"/>
    <w:rsid w:val="004A1ED5"/>
    <w:rsid w:val="004A2823"/>
    <w:rsid w:val="004A4889"/>
    <w:rsid w:val="004A622D"/>
    <w:rsid w:val="004A683A"/>
    <w:rsid w:val="004A6C71"/>
    <w:rsid w:val="004B01D5"/>
    <w:rsid w:val="004B1215"/>
    <w:rsid w:val="004C0FB6"/>
    <w:rsid w:val="004C120A"/>
    <w:rsid w:val="004C26EE"/>
    <w:rsid w:val="004C3564"/>
    <w:rsid w:val="004C4EE8"/>
    <w:rsid w:val="004D03AB"/>
    <w:rsid w:val="004D047D"/>
    <w:rsid w:val="004D217B"/>
    <w:rsid w:val="004D2C46"/>
    <w:rsid w:val="004D3CC7"/>
    <w:rsid w:val="004D3EE1"/>
    <w:rsid w:val="004D3FA3"/>
    <w:rsid w:val="004D46E0"/>
    <w:rsid w:val="004E1C5B"/>
    <w:rsid w:val="004E1F5A"/>
    <w:rsid w:val="004E38C5"/>
    <w:rsid w:val="004E76CD"/>
    <w:rsid w:val="004F1E9E"/>
    <w:rsid w:val="004F2420"/>
    <w:rsid w:val="004F305A"/>
    <w:rsid w:val="004F477C"/>
    <w:rsid w:val="004F4E5F"/>
    <w:rsid w:val="004F5DA8"/>
    <w:rsid w:val="00501680"/>
    <w:rsid w:val="00504359"/>
    <w:rsid w:val="00506A9E"/>
    <w:rsid w:val="00506FC9"/>
    <w:rsid w:val="00506FF1"/>
    <w:rsid w:val="00507A37"/>
    <w:rsid w:val="00512164"/>
    <w:rsid w:val="00512B0D"/>
    <w:rsid w:val="00515759"/>
    <w:rsid w:val="00515FCE"/>
    <w:rsid w:val="00520297"/>
    <w:rsid w:val="005205DE"/>
    <w:rsid w:val="00521806"/>
    <w:rsid w:val="00522128"/>
    <w:rsid w:val="00522B11"/>
    <w:rsid w:val="00522B64"/>
    <w:rsid w:val="00522CFF"/>
    <w:rsid w:val="00524F4D"/>
    <w:rsid w:val="00526738"/>
    <w:rsid w:val="00530B03"/>
    <w:rsid w:val="00530DD3"/>
    <w:rsid w:val="00532259"/>
    <w:rsid w:val="0053261C"/>
    <w:rsid w:val="00533444"/>
    <w:rsid w:val="005337F8"/>
    <w:rsid w:val="005338F9"/>
    <w:rsid w:val="00533933"/>
    <w:rsid w:val="00534295"/>
    <w:rsid w:val="005362A5"/>
    <w:rsid w:val="00537E91"/>
    <w:rsid w:val="005409C7"/>
    <w:rsid w:val="00540A88"/>
    <w:rsid w:val="005419DB"/>
    <w:rsid w:val="00542736"/>
    <w:rsid w:val="0054281C"/>
    <w:rsid w:val="00544205"/>
    <w:rsid w:val="00544280"/>
    <w:rsid w:val="00544581"/>
    <w:rsid w:val="00546C17"/>
    <w:rsid w:val="00547554"/>
    <w:rsid w:val="00550FF9"/>
    <w:rsid w:val="00551D2C"/>
    <w:rsid w:val="0055268D"/>
    <w:rsid w:val="0055351F"/>
    <w:rsid w:val="0055465C"/>
    <w:rsid w:val="00556675"/>
    <w:rsid w:val="00560089"/>
    <w:rsid w:val="005612DD"/>
    <w:rsid w:val="0056173A"/>
    <w:rsid w:val="005656A6"/>
    <w:rsid w:val="00571065"/>
    <w:rsid w:val="00572817"/>
    <w:rsid w:val="005728B1"/>
    <w:rsid w:val="00573061"/>
    <w:rsid w:val="00573F07"/>
    <w:rsid w:val="0057480B"/>
    <w:rsid w:val="005751C4"/>
    <w:rsid w:val="00575DE2"/>
    <w:rsid w:val="00576BE4"/>
    <w:rsid w:val="005779DB"/>
    <w:rsid w:val="00577F8E"/>
    <w:rsid w:val="00582869"/>
    <w:rsid w:val="0058500B"/>
    <w:rsid w:val="0058621D"/>
    <w:rsid w:val="00591BAE"/>
    <w:rsid w:val="00592AD3"/>
    <w:rsid w:val="00595A50"/>
    <w:rsid w:val="00595FE4"/>
    <w:rsid w:val="00596380"/>
    <w:rsid w:val="005963F0"/>
    <w:rsid w:val="005972A1"/>
    <w:rsid w:val="005972FA"/>
    <w:rsid w:val="005A0B93"/>
    <w:rsid w:val="005A3CCA"/>
    <w:rsid w:val="005A400A"/>
    <w:rsid w:val="005A5ACE"/>
    <w:rsid w:val="005A61CB"/>
    <w:rsid w:val="005B1F18"/>
    <w:rsid w:val="005B269D"/>
    <w:rsid w:val="005B333F"/>
    <w:rsid w:val="005B4904"/>
    <w:rsid w:val="005B5A0A"/>
    <w:rsid w:val="005B6C70"/>
    <w:rsid w:val="005B74C2"/>
    <w:rsid w:val="005C0078"/>
    <w:rsid w:val="005C0FB5"/>
    <w:rsid w:val="005C297B"/>
    <w:rsid w:val="005C29E4"/>
    <w:rsid w:val="005C30C9"/>
    <w:rsid w:val="005C3343"/>
    <w:rsid w:val="005C6042"/>
    <w:rsid w:val="005D165A"/>
    <w:rsid w:val="005D1C40"/>
    <w:rsid w:val="005D33F5"/>
    <w:rsid w:val="005D4129"/>
    <w:rsid w:val="005D55E5"/>
    <w:rsid w:val="005D7F77"/>
    <w:rsid w:val="005E1862"/>
    <w:rsid w:val="005E2395"/>
    <w:rsid w:val="005E5546"/>
    <w:rsid w:val="005F0A13"/>
    <w:rsid w:val="005F0B8B"/>
    <w:rsid w:val="005F30EF"/>
    <w:rsid w:val="005F37CE"/>
    <w:rsid w:val="005F5AEF"/>
    <w:rsid w:val="005F6CA8"/>
    <w:rsid w:val="005F73D3"/>
    <w:rsid w:val="005F7B92"/>
    <w:rsid w:val="00600EC5"/>
    <w:rsid w:val="006010EF"/>
    <w:rsid w:val="0060242D"/>
    <w:rsid w:val="0060311C"/>
    <w:rsid w:val="00604707"/>
    <w:rsid w:val="00606919"/>
    <w:rsid w:val="006076D1"/>
    <w:rsid w:val="00612379"/>
    <w:rsid w:val="00612C35"/>
    <w:rsid w:val="00613450"/>
    <w:rsid w:val="006153B6"/>
    <w:rsid w:val="0061555F"/>
    <w:rsid w:val="00622B7E"/>
    <w:rsid w:val="00623817"/>
    <w:rsid w:val="006245ED"/>
    <w:rsid w:val="006255E8"/>
    <w:rsid w:val="00630462"/>
    <w:rsid w:val="00631C28"/>
    <w:rsid w:val="006345F6"/>
    <w:rsid w:val="00636CA6"/>
    <w:rsid w:val="0063724C"/>
    <w:rsid w:val="00637BCF"/>
    <w:rsid w:val="00640E10"/>
    <w:rsid w:val="00641200"/>
    <w:rsid w:val="00642CE6"/>
    <w:rsid w:val="00642CEF"/>
    <w:rsid w:val="00643623"/>
    <w:rsid w:val="00644FB1"/>
    <w:rsid w:val="00645CA8"/>
    <w:rsid w:val="00646BF3"/>
    <w:rsid w:val="00646FDE"/>
    <w:rsid w:val="0064783F"/>
    <w:rsid w:val="0065031E"/>
    <w:rsid w:val="00650A61"/>
    <w:rsid w:val="00650BCB"/>
    <w:rsid w:val="00650FB2"/>
    <w:rsid w:val="00652348"/>
    <w:rsid w:val="00653C19"/>
    <w:rsid w:val="00653E0E"/>
    <w:rsid w:val="00657F4A"/>
    <w:rsid w:val="00657FCA"/>
    <w:rsid w:val="00662FC4"/>
    <w:rsid w:val="006639AA"/>
    <w:rsid w:val="006655D3"/>
    <w:rsid w:val="00666976"/>
    <w:rsid w:val="0066701E"/>
    <w:rsid w:val="006671EB"/>
    <w:rsid w:val="00667404"/>
    <w:rsid w:val="00671E8A"/>
    <w:rsid w:val="00673FBF"/>
    <w:rsid w:val="00675087"/>
    <w:rsid w:val="00675D1F"/>
    <w:rsid w:val="00676E2A"/>
    <w:rsid w:val="00676EFE"/>
    <w:rsid w:val="006779DC"/>
    <w:rsid w:val="0068095B"/>
    <w:rsid w:val="00681443"/>
    <w:rsid w:val="00683842"/>
    <w:rsid w:val="0068528F"/>
    <w:rsid w:val="006868F8"/>
    <w:rsid w:val="00687EB4"/>
    <w:rsid w:val="00690900"/>
    <w:rsid w:val="0069298B"/>
    <w:rsid w:val="0069391E"/>
    <w:rsid w:val="00695C56"/>
    <w:rsid w:val="00695D23"/>
    <w:rsid w:val="006971FC"/>
    <w:rsid w:val="006A1613"/>
    <w:rsid w:val="006A263B"/>
    <w:rsid w:val="006A3BDC"/>
    <w:rsid w:val="006A5CDE"/>
    <w:rsid w:val="006A6182"/>
    <w:rsid w:val="006A644A"/>
    <w:rsid w:val="006B17D2"/>
    <w:rsid w:val="006B2C85"/>
    <w:rsid w:val="006C03E6"/>
    <w:rsid w:val="006C0785"/>
    <w:rsid w:val="006C224E"/>
    <w:rsid w:val="006C3F6E"/>
    <w:rsid w:val="006C5E05"/>
    <w:rsid w:val="006C7330"/>
    <w:rsid w:val="006D0B09"/>
    <w:rsid w:val="006D0BDB"/>
    <w:rsid w:val="006D1194"/>
    <w:rsid w:val="006D3882"/>
    <w:rsid w:val="006D4149"/>
    <w:rsid w:val="006D4AAC"/>
    <w:rsid w:val="006D74B6"/>
    <w:rsid w:val="006D780A"/>
    <w:rsid w:val="006D7B49"/>
    <w:rsid w:val="006E0B11"/>
    <w:rsid w:val="006E2D2D"/>
    <w:rsid w:val="006E36AA"/>
    <w:rsid w:val="006E3774"/>
    <w:rsid w:val="006E4B3B"/>
    <w:rsid w:val="006E4B7F"/>
    <w:rsid w:val="006E4C6D"/>
    <w:rsid w:val="006E4F4F"/>
    <w:rsid w:val="006E5114"/>
    <w:rsid w:val="006E7ACD"/>
    <w:rsid w:val="006F0437"/>
    <w:rsid w:val="006F04E7"/>
    <w:rsid w:val="006F3491"/>
    <w:rsid w:val="006F66D1"/>
    <w:rsid w:val="006F79A0"/>
    <w:rsid w:val="006F7D96"/>
    <w:rsid w:val="00700E80"/>
    <w:rsid w:val="00702901"/>
    <w:rsid w:val="007052B8"/>
    <w:rsid w:val="00705887"/>
    <w:rsid w:val="007068DA"/>
    <w:rsid w:val="00711294"/>
    <w:rsid w:val="0071271E"/>
    <w:rsid w:val="00713D4D"/>
    <w:rsid w:val="00714D7F"/>
    <w:rsid w:val="00714E18"/>
    <w:rsid w:val="00714E2F"/>
    <w:rsid w:val="007154FD"/>
    <w:rsid w:val="0072016D"/>
    <w:rsid w:val="00720AB3"/>
    <w:rsid w:val="00726D57"/>
    <w:rsid w:val="00731381"/>
    <w:rsid w:val="00732DEC"/>
    <w:rsid w:val="00733877"/>
    <w:rsid w:val="00733A63"/>
    <w:rsid w:val="007359DF"/>
    <w:rsid w:val="00735BD5"/>
    <w:rsid w:val="007370C3"/>
    <w:rsid w:val="00742BD3"/>
    <w:rsid w:val="00742BD6"/>
    <w:rsid w:val="007451EC"/>
    <w:rsid w:val="0074558C"/>
    <w:rsid w:val="00747D33"/>
    <w:rsid w:val="0075057A"/>
    <w:rsid w:val="00751613"/>
    <w:rsid w:val="00752016"/>
    <w:rsid w:val="007523FB"/>
    <w:rsid w:val="0075267E"/>
    <w:rsid w:val="00752DC0"/>
    <w:rsid w:val="00752F0F"/>
    <w:rsid w:val="00753EE9"/>
    <w:rsid w:val="007546B2"/>
    <w:rsid w:val="007556F6"/>
    <w:rsid w:val="007558F4"/>
    <w:rsid w:val="007578C5"/>
    <w:rsid w:val="00760EEF"/>
    <w:rsid w:val="00761064"/>
    <w:rsid w:val="00762E8C"/>
    <w:rsid w:val="00763C99"/>
    <w:rsid w:val="007722B5"/>
    <w:rsid w:val="00773832"/>
    <w:rsid w:val="00773ED0"/>
    <w:rsid w:val="0077577B"/>
    <w:rsid w:val="00777EE5"/>
    <w:rsid w:val="00781B8B"/>
    <w:rsid w:val="00784836"/>
    <w:rsid w:val="00784BBE"/>
    <w:rsid w:val="0078529E"/>
    <w:rsid w:val="007861CD"/>
    <w:rsid w:val="00786778"/>
    <w:rsid w:val="0079023E"/>
    <w:rsid w:val="00790EBF"/>
    <w:rsid w:val="007915EA"/>
    <w:rsid w:val="00792A2B"/>
    <w:rsid w:val="007955AE"/>
    <w:rsid w:val="00795BFF"/>
    <w:rsid w:val="007960A1"/>
    <w:rsid w:val="007A0D7E"/>
    <w:rsid w:val="007A2854"/>
    <w:rsid w:val="007A3B9D"/>
    <w:rsid w:val="007A7FCA"/>
    <w:rsid w:val="007B2604"/>
    <w:rsid w:val="007B317A"/>
    <w:rsid w:val="007B6664"/>
    <w:rsid w:val="007B6D37"/>
    <w:rsid w:val="007B73A9"/>
    <w:rsid w:val="007C01EB"/>
    <w:rsid w:val="007C0689"/>
    <w:rsid w:val="007C1D92"/>
    <w:rsid w:val="007C28FB"/>
    <w:rsid w:val="007C2A57"/>
    <w:rsid w:val="007C4CB9"/>
    <w:rsid w:val="007C6C55"/>
    <w:rsid w:val="007C7012"/>
    <w:rsid w:val="007D0461"/>
    <w:rsid w:val="007D0883"/>
    <w:rsid w:val="007D0B9D"/>
    <w:rsid w:val="007D19B0"/>
    <w:rsid w:val="007D2C3E"/>
    <w:rsid w:val="007D3293"/>
    <w:rsid w:val="007D46BF"/>
    <w:rsid w:val="007D744C"/>
    <w:rsid w:val="007D762E"/>
    <w:rsid w:val="007E05E5"/>
    <w:rsid w:val="007E1602"/>
    <w:rsid w:val="007E2BB2"/>
    <w:rsid w:val="007E36E5"/>
    <w:rsid w:val="007E4687"/>
    <w:rsid w:val="007F1318"/>
    <w:rsid w:val="007F1DBF"/>
    <w:rsid w:val="007F3BBD"/>
    <w:rsid w:val="007F4487"/>
    <w:rsid w:val="007F498F"/>
    <w:rsid w:val="007F4A57"/>
    <w:rsid w:val="007F4AA5"/>
    <w:rsid w:val="007F58E5"/>
    <w:rsid w:val="007F5FA2"/>
    <w:rsid w:val="007F6BAB"/>
    <w:rsid w:val="007F72C4"/>
    <w:rsid w:val="007F7701"/>
    <w:rsid w:val="00800686"/>
    <w:rsid w:val="0080077B"/>
    <w:rsid w:val="00800D00"/>
    <w:rsid w:val="00802749"/>
    <w:rsid w:val="0080468C"/>
    <w:rsid w:val="0080679D"/>
    <w:rsid w:val="00807505"/>
    <w:rsid w:val="00807671"/>
    <w:rsid w:val="0081000F"/>
    <w:rsid w:val="008108B0"/>
    <w:rsid w:val="00811B20"/>
    <w:rsid w:val="00812609"/>
    <w:rsid w:val="008129D3"/>
    <w:rsid w:val="00813914"/>
    <w:rsid w:val="00814FF1"/>
    <w:rsid w:val="008211B5"/>
    <w:rsid w:val="0082296E"/>
    <w:rsid w:val="00824099"/>
    <w:rsid w:val="00824188"/>
    <w:rsid w:val="0082434F"/>
    <w:rsid w:val="0082493F"/>
    <w:rsid w:val="00825147"/>
    <w:rsid w:val="00825360"/>
    <w:rsid w:val="008261BF"/>
    <w:rsid w:val="008313AE"/>
    <w:rsid w:val="00831868"/>
    <w:rsid w:val="008318BF"/>
    <w:rsid w:val="00832960"/>
    <w:rsid w:val="00832DD2"/>
    <w:rsid w:val="00833141"/>
    <w:rsid w:val="00834D62"/>
    <w:rsid w:val="008375C0"/>
    <w:rsid w:val="0084006D"/>
    <w:rsid w:val="00843455"/>
    <w:rsid w:val="008441D1"/>
    <w:rsid w:val="00844AFF"/>
    <w:rsid w:val="00845148"/>
    <w:rsid w:val="00845306"/>
    <w:rsid w:val="00846D7C"/>
    <w:rsid w:val="00847509"/>
    <w:rsid w:val="00850960"/>
    <w:rsid w:val="008518DD"/>
    <w:rsid w:val="008520D3"/>
    <w:rsid w:val="008529A3"/>
    <w:rsid w:val="008534C1"/>
    <w:rsid w:val="00853E9D"/>
    <w:rsid w:val="00854A65"/>
    <w:rsid w:val="00855888"/>
    <w:rsid w:val="00857BDD"/>
    <w:rsid w:val="00860743"/>
    <w:rsid w:val="00863194"/>
    <w:rsid w:val="00864F74"/>
    <w:rsid w:val="00865A4D"/>
    <w:rsid w:val="00867156"/>
    <w:rsid w:val="00867AC1"/>
    <w:rsid w:val="00870B29"/>
    <w:rsid w:val="008732FE"/>
    <w:rsid w:val="00873F5B"/>
    <w:rsid w:val="008744E8"/>
    <w:rsid w:val="00874D30"/>
    <w:rsid w:val="008751DE"/>
    <w:rsid w:val="008773FF"/>
    <w:rsid w:val="008801D0"/>
    <w:rsid w:val="00881720"/>
    <w:rsid w:val="00882559"/>
    <w:rsid w:val="00882BE8"/>
    <w:rsid w:val="00884600"/>
    <w:rsid w:val="008864D3"/>
    <w:rsid w:val="00886E5D"/>
    <w:rsid w:val="00887232"/>
    <w:rsid w:val="0088732A"/>
    <w:rsid w:val="0088748D"/>
    <w:rsid w:val="00887594"/>
    <w:rsid w:val="0088784C"/>
    <w:rsid w:val="008902B6"/>
    <w:rsid w:val="00890B81"/>
    <w:rsid w:val="00890DF8"/>
    <w:rsid w:val="00892001"/>
    <w:rsid w:val="008950F1"/>
    <w:rsid w:val="00895393"/>
    <w:rsid w:val="00895431"/>
    <w:rsid w:val="0089621A"/>
    <w:rsid w:val="008A0ADE"/>
    <w:rsid w:val="008A13D6"/>
    <w:rsid w:val="008A1A19"/>
    <w:rsid w:val="008A22E1"/>
    <w:rsid w:val="008A3D22"/>
    <w:rsid w:val="008A4C42"/>
    <w:rsid w:val="008A52E0"/>
    <w:rsid w:val="008A5709"/>
    <w:rsid w:val="008A743F"/>
    <w:rsid w:val="008A7BE8"/>
    <w:rsid w:val="008A7BEE"/>
    <w:rsid w:val="008B34E7"/>
    <w:rsid w:val="008B3FE8"/>
    <w:rsid w:val="008B4286"/>
    <w:rsid w:val="008B5FBB"/>
    <w:rsid w:val="008B6969"/>
    <w:rsid w:val="008C0970"/>
    <w:rsid w:val="008C14E1"/>
    <w:rsid w:val="008C1675"/>
    <w:rsid w:val="008C2174"/>
    <w:rsid w:val="008C31C8"/>
    <w:rsid w:val="008C37A5"/>
    <w:rsid w:val="008C3929"/>
    <w:rsid w:val="008C4AAE"/>
    <w:rsid w:val="008C5C23"/>
    <w:rsid w:val="008C63BD"/>
    <w:rsid w:val="008D0B9F"/>
    <w:rsid w:val="008D0BC5"/>
    <w:rsid w:val="008D2CF7"/>
    <w:rsid w:val="008D2D25"/>
    <w:rsid w:val="008D4285"/>
    <w:rsid w:val="008D4A28"/>
    <w:rsid w:val="008D6514"/>
    <w:rsid w:val="008D74F8"/>
    <w:rsid w:val="008D7E0C"/>
    <w:rsid w:val="008D7E12"/>
    <w:rsid w:val="008E07B0"/>
    <w:rsid w:val="008E41E4"/>
    <w:rsid w:val="008E4C3D"/>
    <w:rsid w:val="008E6220"/>
    <w:rsid w:val="008F163D"/>
    <w:rsid w:val="008F2B43"/>
    <w:rsid w:val="008F32FF"/>
    <w:rsid w:val="008F512A"/>
    <w:rsid w:val="008F64F2"/>
    <w:rsid w:val="008F6E67"/>
    <w:rsid w:val="008F6F97"/>
    <w:rsid w:val="008F7B4A"/>
    <w:rsid w:val="00900C26"/>
    <w:rsid w:val="00901880"/>
    <w:rsid w:val="0090197F"/>
    <w:rsid w:val="0090265A"/>
    <w:rsid w:val="00903264"/>
    <w:rsid w:val="0090346B"/>
    <w:rsid w:val="0090508A"/>
    <w:rsid w:val="00906DDC"/>
    <w:rsid w:val="00910C1E"/>
    <w:rsid w:val="009112CA"/>
    <w:rsid w:val="0091222B"/>
    <w:rsid w:val="00915C02"/>
    <w:rsid w:val="0091603E"/>
    <w:rsid w:val="00916F22"/>
    <w:rsid w:val="00917967"/>
    <w:rsid w:val="00921232"/>
    <w:rsid w:val="00921B4E"/>
    <w:rsid w:val="0092328D"/>
    <w:rsid w:val="00925CD1"/>
    <w:rsid w:val="0092781C"/>
    <w:rsid w:val="00927F33"/>
    <w:rsid w:val="00930097"/>
    <w:rsid w:val="00930D0E"/>
    <w:rsid w:val="009331AA"/>
    <w:rsid w:val="00934E09"/>
    <w:rsid w:val="009353F9"/>
    <w:rsid w:val="00936253"/>
    <w:rsid w:val="00940700"/>
    <w:rsid w:val="00940D46"/>
    <w:rsid w:val="00940E2B"/>
    <w:rsid w:val="009413F1"/>
    <w:rsid w:val="00943F68"/>
    <w:rsid w:val="00945BA3"/>
    <w:rsid w:val="00946401"/>
    <w:rsid w:val="00946C0D"/>
    <w:rsid w:val="00946D69"/>
    <w:rsid w:val="00950632"/>
    <w:rsid w:val="00951044"/>
    <w:rsid w:val="0095105D"/>
    <w:rsid w:val="009517C7"/>
    <w:rsid w:val="00952DD4"/>
    <w:rsid w:val="009543F6"/>
    <w:rsid w:val="009561F4"/>
    <w:rsid w:val="00957521"/>
    <w:rsid w:val="00960466"/>
    <w:rsid w:val="00962BD8"/>
    <w:rsid w:val="00965AE7"/>
    <w:rsid w:val="00965E0F"/>
    <w:rsid w:val="009669BC"/>
    <w:rsid w:val="00970EA0"/>
    <w:rsid w:val="00970FED"/>
    <w:rsid w:val="00971032"/>
    <w:rsid w:val="00974746"/>
    <w:rsid w:val="0097485B"/>
    <w:rsid w:val="00975B88"/>
    <w:rsid w:val="009765A7"/>
    <w:rsid w:val="0097706E"/>
    <w:rsid w:val="0098110F"/>
    <w:rsid w:val="009834A3"/>
    <w:rsid w:val="00983F89"/>
    <w:rsid w:val="00984070"/>
    <w:rsid w:val="009847C1"/>
    <w:rsid w:val="009848D7"/>
    <w:rsid w:val="00984AF4"/>
    <w:rsid w:val="00986E0C"/>
    <w:rsid w:val="0098754F"/>
    <w:rsid w:val="009905F0"/>
    <w:rsid w:val="009906B3"/>
    <w:rsid w:val="0099218F"/>
    <w:rsid w:val="00992616"/>
    <w:rsid w:val="00992D82"/>
    <w:rsid w:val="00997029"/>
    <w:rsid w:val="009A00D9"/>
    <w:rsid w:val="009A0109"/>
    <w:rsid w:val="009A070B"/>
    <w:rsid w:val="009A1C20"/>
    <w:rsid w:val="009A26EE"/>
    <w:rsid w:val="009A4E71"/>
    <w:rsid w:val="009A5BEC"/>
    <w:rsid w:val="009A7339"/>
    <w:rsid w:val="009A796B"/>
    <w:rsid w:val="009A7E1A"/>
    <w:rsid w:val="009B0366"/>
    <w:rsid w:val="009B03FA"/>
    <w:rsid w:val="009B0BC5"/>
    <w:rsid w:val="009B1AED"/>
    <w:rsid w:val="009B1C2C"/>
    <w:rsid w:val="009B23AC"/>
    <w:rsid w:val="009B4181"/>
    <w:rsid w:val="009B440E"/>
    <w:rsid w:val="009B44C7"/>
    <w:rsid w:val="009B7AF7"/>
    <w:rsid w:val="009C1313"/>
    <w:rsid w:val="009C1407"/>
    <w:rsid w:val="009C3D5D"/>
    <w:rsid w:val="009C44C2"/>
    <w:rsid w:val="009C71BB"/>
    <w:rsid w:val="009C7353"/>
    <w:rsid w:val="009D0402"/>
    <w:rsid w:val="009D2E02"/>
    <w:rsid w:val="009D3CBE"/>
    <w:rsid w:val="009D5FF3"/>
    <w:rsid w:val="009D690D"/>
    <w:rsid w:val="009D7047"/>
    <w:rsid w:val="009E1109"/>
    <w:rsid w:val="009E25B1"/>
    <w:rsid w:val="009E30EF"/>
    <w:rsid w:val="009E4D9F"/>
    <w:rsid w:val="009E5911"/>
    <w:rsid w:val="009E65B6"/>
    <w:rsid w:val="009F036B"/>
    <w:rsid w:val="009F0607"/>
    <w:rsid w:val="009F0A51"/>
    <w:rsid w:val="009F3FA7"/>
    <w:rsid w:val="009F4EF8"/>
    <w:rsid w:val="009F5096"/>
    <w:rsid w:val="009F5435"/>
    <w:rsid w:val="009F696E"/>
    <w:rsid w:val="009F6D86"/>
    <w:rsid w:val="009F76CF"/>
    <w:rsid w:val="009F77CF"/>
    <w:rsid w:val="009F7B9C"/>
    <w:rsid w:val="00A00571"/>
    <w:rsid w:val="00A02C6D"/>
    <w:rsid w:val="00A060A9"/>
    <w:rsid w:val="00A063DA"/>
    <w:rsid w:val="00A07516"/>
    <w:rsid w:val="00A07627"/>
    <w:rsid w:val="00A11577"/>
    <w:rsid w:val="00A1714A"/>
    <w:rsid w:val="00A20C9A"/>
    <w:rsid w:val="00A21829"/>
    <w:rsid w:val="00A2240A"/>
    <w:rsid w:val="00A239AB"/>
    <w:rsid w:val="00A24C10"/>
    <w:rsid w:val="00A26088"/>
    <w:rsid w:val="00A26BA4"/>
    <w:rsid w:val="00A27817"/>
    <w:rsid w:val="00A32BD8"/>
    <w:rsid w:val="00A3394F"/>
    <w:rsid w:val="00A33FD0"/>
    <w:rsid w:val="00A36972"/>
    <w:rsid w:val="00A40CBB"/>
    <w:rsid w:val="00A41782"/>
    <w:rsid w:val="00A42AC3"/>
    <w:rsid w:val="00A430CF"/>
    <w:rsid w:val="00A43BA5"/>
    <w:rsid w:val="00A477C8"/>
    <w:rsid w:val="00A47C5C"/>
    <w:rsid w:val="00A51C56"/>
    <w:rsid w:val="00A54309"/>
    <w:rsid w:val="00A55F6E"/>
    <w:rsid w:val="00A56E3B"/>
    <w:rsid w:val="00A610A9"/>
    <w:rsid w:val="00A61E95"/>
    <w:rsid w:val="00A62C60"/>
    <w:rsid w:val="00A6494D"/>
    <w:rsid w:val="00A64978"/>
    <w:rsid w:val="00A655A8"/>
    <w:rsid w:val="00A66274"/>
    <w:rsid w:val="00A66DD1"/>
    <w:rsid w:val="00A71069"/>
    <w:rsid w:val="00A7217D"/>
    <w:rsid w:val="00A7229D"/>
    <w:rsid w:val="00A74630"/>
    <w:rsid w:val="00A7475B"/>
    <w:rsid w:val="00A748EB"/>
    <w:rsid w:val="00A74AF8"/>
    <w:rsid w:val="00A808CA"/>
    <w:rsid w:val="00A80F2A"/>
    <w:rsid w:val="00A81216"/>
    <w:rsid w:val="00A82132"/>
    <w:rsid w:val="00A83A48"/>
    <w:rsid w:val="00A84782"/>
    <w:rsid w:val="00A848CC"/>
    <w:rsid w:val="00A84F7D"/>
    <w:rsid w:val="00A859F9"/>
    <w:rsid w:val="00A90491"/>
    <w:rsid w:val="00A920CC"/>
    <w:rsid w:val="00A92701"/>
    <w:rsid w:val="00A92EB6"/>
    <w:rsid w:val="00A93AB7"/>
    <w:rsid w:val="00A95D32"/>
    <w:rsid w:val="00A96C33"/>
    <w:rsid w:val="00A96D6A"/>
    <w:rsid w:val="00AA00C5"/>
    <w:rsid w:val="00AA13A2"/>
    <w:rsid w:val="00AA25D7"/>
    <w:rsid w:val="00AA3024"/>
    <w:rsid w:val="00AA3CE0"/>
    <w:rsid w:val="00AA4E7E"/>
    <w:rsid w:val="00AA5303"/>
    <w:rsid w:val="00AA5620"/>
    <w:rsid w:val="00AA580B"/>
    <w:rsid w:val="00AA6936"/>
    <w:rsid w:val="00AA69DD"/>
    <w:rsid w:val="00AA7EF7"/>
    <w:rsid w:val="00AB2B93"/>
    <w:rsid w:val="00AB530F"/>
    <w:rsid w:val="00AB54D6"/>
    <w:rsid w:val="00AB5644"/>
    <w:rsid w:val="00AB5B02"/>
    <w:rsid w:val="00AB5DE2"/>
    <w:rsid w:val="00AB7E5B"/>
    <w:rsid w:val="00AC2883"/>
    <w:rsid w:val="00AC2EA1"/>
    <w:rsid w:val="00AC348D"/>
    <w:rsid w:val="00AC4BE5"/>
    <w:rsid w:val="00AD05AA"/>
    <w:rsid w:val="00AD1EEE"/>
    <w:rsid w:val="00AD3527"/>
    <w:rsid w:val="00AD3753"/>
    <w:rsid w:val="00AD3E1D"/>
    <w:rsid w:val="00AD3F12"/>
    <w:rsid w:val="00AD431F"/>
    <w:rsid w:val="00AD4605"/>
    <w:rsid w:val="00AD4721"/>
    <w:rsid w:val="00AD63EB"/>
    <w:rsid w:val="00AE0EF1"/>
    <w:rsid w:val="00AE1052"/>
    <w:rsid w:val="00AE2937"/>
    <w:rsid w:val="00AE2BF9"/>
    <w:rsid w:val="00AE7553"/>
    <w:rsid w:val="00AF510C"/>
    <w:rsid w:val="00AF5629"/>
    <w:rsid w:val="00AF646F"/>
    <w:rsid w:val="00AF7C82"/>
    <w:rsid w:val="00B001D3"/>
    <w:rsid w:val="00B015DA"/>
    <w:rsid w:val="00B01CD5"/>
    <w:rsid w:val="00B01E60"/>
    <w:rsid w:val="00B01EAD"/>
    <w:rsid w:val="00B047D9"/>
    <w:rsid w:val="00B04EAF"/>
    <w:rsid w:val="00B04FEE"/>
    <w:rsid w:val="00B07301"/>
    <w:rsid w:val="00B11F3E"/>
    <w:rsid w:val="00B13218"/>
    <w:rsid w:val="00B1511A"/>
    <w:rsid w:val="00B17649"/>
    <w:rsid w:val="00B17997"/>
    <w:rsid w:val="00B17ED9"/>
    <w:rsid w:val="00B20F05"/>
    <w:rsid w:val="00B21BB3"/>
    <w:rsid w:val="00B224DE"/>
    <w:rsid w:val="00B22A08"/>
    <w:rsid w:val="00B22ED6"/>
    <w:rsid w:val="00B236B7"/>
    <w:rsid w:val="00B23A70"/>
    <w:rsid w:val="00B2430A"/>
    <w:rsid w:val="00B324D4"/>
    <w:rsid w:val="00B3260D"/>
    <w:rsid w:val="00B33E9C"/>
    <w:rsid w:val="00B34A6E"/>
    <w:rsid w:val="00B34C57"/>
    <w:rsid w:val="00B34FEB"/>
    <w:rsid w:val="00B352C1"/>
    <w:rsid w:val="00B377BF"/>
    <w:rsid w:val="00B3794E"/>
    <w:rsid w:val="00B40D4F"/>
    <w:rsid w:val="00B42CC2"/>
    <w:rsid w:val="00B43354"/>
    <w:rsid w:val="00B4392D"/>
    <w:rsid w:val="00B43A2A"/>
    <w:rsid w:val="00B45100"/>
    <w:rsid w:val="00B46575"/>
    <w:rsid w:val="00B47541"/>
    <w:rsid w:val="00B4760D"/>
    <w:rsid w:val="00B514DB"/>
    <w:rsid w:val="00B52114"/>
    <w:rsid w:val="00B52CE1"/>
    <w:rsid w:val="00B52D4B"/>
    <w:rsid w:val="00B57573"/>
    <w:rsid w:val="00B606EB"/>
    <w:rsid w:val="00B61777"/>
    <w:rsid w:val="00B622E6"/>
    <w:rsid w:val="00B62F56"/>
    <w:rsid w:val="00B63542"/>
    <w:rsid w:val="00B63F38"/>
    <w:rsid w:val="00B64F5E"/>
    <w:rsid w:val="00B65947"/>
    <w:rsid w:val="00B668C3"/>
    <w:rsid w:val="00B66ECE"/>
    <w:rsid w:val="00B70EFA"/>
    <w:rsid w:val="00B70F5C"/>
    <w:rsid w:val="00B7199D"/>
    <w:rsid w:val="00B72F57"/>
    <w:rsid w:val="00B73C40"/>
    <w:rsid w:val="00B7479D"/>
    <w:rsid w:val="00B74B71"/>
    <w:rsid w:val="00B74D30"/>
    <w:rsid w:val="00B76036"/>
    <w:rsid w:val="00B767CC"/>
    <w:rsid w:val="00B770FD"/>
    <w:rsid w:val="00B83D02"/>
    <w:rsid w:val="00B83E82"/>
    <w:rsid w:val="00B84BBD"/>
    <w:rsid w:val="00B91BD8"/>
    <w:rsid w:val="00B91C8B"/>
    <w:rsid w:val="00B92695"/>
    <w:rsid w:val="00B948B3"/>
    <w:rsid w:val="00B95B29"/>
    <w:rsid w:val="00BA1D85"/>
    <w:rsid w:val="00BA2810"/>
    <w:rsid w:val="00BA43FB"/>
    <w:rsid w:val="00BA65A2"/>
    <w:rsid w:val="00BB0116"/>
    <w:rsid w:val="00BB186A"/>
    <w:rsid w:val="00BB3227"/>
    <w:rsid w:val="00BB3FBC"/>
    <w:rsid w:val="00BB4EF6"/>
    <w:rsid w:val="00BC127D"/>
    <w:rsid w:val="00BC1FE6"/>
    <w:rsid w:val="00BC35C3"/>
    <w:rsid w:val="00BC54F0"/>
    <w:rsid w:val="00BC6103"/>
    <w:rsid w:val="00BC66E8"/>
    <w:rsid w:val="00BC6C1D"/>
    <w:rsid w:val="00BC7769"/>
    <w:rsid w:val="00BD1333"/>
    <w:rsid w:val="00BD40C6"/>
    <w:rsid w:val="00BD475B"/>
    <w:rsid w:val="00BD4CF6"/>
    <w:rsid w:val="00BD5CF7"/>
    <w:rsid w:val="00BD5DAA"/>
    <w:rsid w:val="00BD722D"/>
    <w:rsid w:val="00BD7BC4"/>
    <w:rsid w:val="00BE00E7"/>
    <w:rsid w:val="00BE25D0"/>
    <w:rsid w:val="00BE54E1"/>
    <w:rsid w:val="00BE5683"/>
    <w:rsid w:val="00BE6A55"/>
    <w:rsid w:val="00BF05D4"/>
    <w:rsid w:val="00BF5F4C"/>
    <w:rsid w:val="00BF7C58"/>
    <w:rsid w:val="00C01088"/>
    <w:rsid w:val="00C011F7"/>
    <w:rsid w:val="00C039B2"/>
    <w:rsid w:val="00C047FC"/>
    <w:rsid w:val="00C04FC4"/>
    <w:rsid w:val="00C061B6"/>
    <w:rsid w:val="00C07061"/>
    <w:rsid w:val="00C0753C"/>
    <w:rsid w:val="00C1212B"/>
    <w:rsid w:val="00C12F14"/>
    <w:rsid w:val="00C13791"/>
    <w:rsid w:val="00C13A89"/>
    <w:rsid w:val="00C14398"/>
    <w:rsid w:val="00C1570F"/>
    <w:rsid w:val="00C159EC"/>
    <w:rsid w:val="00C161BF"/>
    <w:rsid w:val="00C167EE"/>
    <w:rsid w:val="00C16AE1"/>
    <w:rsid w:val="00C211B0"/>
    <w:rsid w:val="00C243EE"/>
    <w:rsid w:val="00C2446C"/>
    <w:rsid w:val="00C264ED"/>
    <w:rsid w:val="00C27E72"/>
    <w:rsid w:val="00C3093B"/>
    <w:rsid w:val="00C331DD"/>
    <w:rsid w:val="00C3424E"/>
    <w:rsid w:val="00C3565D"/>
    <w:rsid w:val="00C36992"/>
    <w:rsid w:val="00C36AE5"/>
    <w:rsid w:val="00C40583"/>
    <w:rsid w:val="00C41F17"/>
    <w:rsid w:val="00C42632"/>
    <w:rsid w:val="00C51358"/>
    <w:rsid w:val="00C527FA"/>
    <w:rsid w:val="00C5280D"/>
    <w:rsid w:val="00C52BCE"/>
    <w:rsid w:val="00C52DA5"/>
    <w:rsid w:val="00C52DAE"/>
    <w:rsid w:val="00C53D7F"/>
    <w:rsid w:val="00C53EB3"/>
    <w:rsid w:val="00C5460C"/>
    <w:rsid w:val="00C56AA6"/>
    <w:rsid w:val="00C570EB"/>
    <w:rsid w:val="00C5791C"/>
    <w:rsid w:val="00C612E0"/>
    <w:rsid w:val="00C6321D"/>
    <w:rsid w:val="00C64319"/>
    <w:rsid w:val="00C64C5F"/>
    <w:rsid w:val="00C64D52"/>
    <w:rsid w:val="00C66290"/>
    <w:rsid w:val="00C67438"/>
    <w:rsid w:val="00C70CF4"/>
    <w:rsid w:val="00C72B7A"/>
    <w:rsid w:val="00C75454"/>
    <w:rsid w:val="00C76AD0"/>
    <w:rsid w:val="00C819A0"/>
    <w:rsid w:val="00C8345B"/>
    <w:rsid w:val="00C91E94"/>
    <w:rsid w:val="00C924B0"/>
    <w:rsid w:val="00C93F66"/>
    <w:rsid w:val="00C94359"/>
    <w:rsid w:val="00C973F2"/>
    <w:rsid w:val="00CA0644"/>
    <w:rsid w:val="00CA10CB"/>
    <w:rsid w:val="00CA1F55"/>
    <w:rsid w:val="00CA226E"/>
    <w:rsid w:val="00CA304C"/>
    <w:rsid w:val="00CA31C1"/>
    <w:rsid w:val="00CA3846"/>
    <w:rsid w:val="00CA3AD1"/>
    <w:rsid w:val="00CA5C5B"/>
    <w:rsid w:val="00CA6678"/>
    <w:rsid w:val="00CA6E8F"/>
    <w:rsid w:val="00CA774A"/>
    <w:rsid w:val="00CB0DEE"/>
    <w:rsid w:val="00CB1A1F"/>
    <w:rsid w:val="00CB2690"/>
    <w:rsid w:val="00CB411A"/>
    <w:rsid w:val="00CB4921"/>
    <w:rsid w:val="00CC11B0"/>
    <w:rsid w:val="00CC1D66"/>
    <w:rsid w:val="00CC1E29"/>
    <w:rsid w:val="00CC2841"/>
    <w:rsid w:val="00CC5F84"/>
    <w:rsid w:val="00CC62D8"/>
    <w:rsid w:val="00CC729A"/>
    <w:rsid w:val="00CD0D1F"/>
    <w:rsid w:val="00CD197C"/>
    <w:rsid w:val="00CD52E6"/>
    <w:rsid w:val="00CD6AE6"/>
    <w:rsid w:val="00CD74E3"/>
    <w:rsid w:val="00CE11AE"/>
    <w:rsid w:val="00CE1218"/>
    <w:rsid w:val="00CE12C2"/>
    <w:rsid w:val="00CE1599"/>
    <w:rsid w:val="00CE357F"/>
    <w:rsid w:val="00CE4D85"/>
    <w:rsid w:val="00CE55DB"/>
    <w:rsid w:val="00CE6618"/>
    <w:rsid w:val="00CE6908"/>
    <w:rsid w:val="00CE6FEE"/>
    <w:rsid w:val="00CE7A59"/>
    <w:rsid w:val="00CE7ED7"/>
    <w:rsid w:val="00CF1330"/>
    <w:rsid w:val="00CF1F2B"/>
    <w:rsid w:val="00CF2609"/>
    <w:rsid w:val="00CF2DF4"/>
    <w:rsid w:val="00CF38BA"/>
    <w:rsid w:val="00CF5F61"/>
    <w:rsid w:val="00CF61FF"/>
    <w:rsid w:val="00CF689F"/>
    <w:rsid w:val="00CF68E1"/>
    <w:rsid w:val="00CF7E36"/>
    <w:rsid w:val="00D00CE3"/>
    <w:rsid w:val="00D00F56"/>
    <w:rsid w:val="00D02E24"/>
    <w:rsid w:val="00D1289F"/>
    <w:rsid w:val="00D14C85"/>
    <w:rsid w:val="00D14E7C"/>
    <w:rsid w:val="00D153DE"/>
    <w:rsid w:val="00D16288"/>
    <w:rsid w:val="00D173BC"/>
    <w:rsid w:val="00D21487"/>
    <w:rsid w:val="00D2172E"/>
    <w:rsid w:val="00D2250B"/>
    <w:rsid w:val="00D248B8"/>
    <w:rsid w:val="00D24A50"/>
    <w:rsid w:val="00D31443"/>
    <w:rsid w:val="00D315CD"/>
    <w:rsid w:val="00D317D8"/>
    <w:rsid w:val="00D324EA"/>
    <w:rsid w:val="00D33B7C"/>
    <w:rsid w:val="00D33C99"/>
    <w:rsid w:val="00D3529B"/>
    <w:rsid w:val="00D3708D"/>
    <w:rsid w:val="00D37270"/>
    <w:rsid w:val="00D40426"/>
    <w:rsid w:val="00D4053D"/>
    <w:rsid w:val="00D413EF"/>
    <w:rsid w:val="00D41F59"/>
    <w:rsid w:val="00D43671"/>
    <w:rsid w:val="00D43C0B"/>
    <w:rsid w:val="00D43CD1"/>
    <w:rsid w:val="00D447A6"/>
    <w:rsid w:val="00D44989"/>
    <w:rsid w:val="00D449F7"/>
    <w:rsid w:val="00D44D89"/>
    <w:rsid w:val="00D45477"/>
    <w:rsid w:val="00D4696F"/>
    <w:rsid w:val="00D47783"/>
    <w:rsid w:val="00D50B77"/>
    <w:rsid w:val="00D52685"/>
    <w:rsid w:val="00D52ECB"/>
    <w:rsid w:val="00D52F5C"/>
    <w:rsid w:val="00D56635"/>
    <w:rsid w:val="00D57C8A"/>
    <w:rsid w:val="00D57C96"/>
    <w:rsid w:val="00D57D18"/>
    <w:rsid w:val="00D60D7E"/>
    <w:rsid w:val="00D632F1"/>
    <w:rsid w:val="00D63E32"/>
    <w:rsid w:val="00D65B8E"/>
    <w:rsid w:val="00D675E7"/>
    <w:rsid w:val="00D70E65"/>
    <w:rsid w:val="00D71BED"/>
    <w:rsid w:val="00D71C59"/>
    <w:rsid w:val="00D72D2E"/>
    <w:rsid w:val="00D72E27"/>
    <w:rsid w:val="00D75462"/>
    <w:rsid w:val="00D755D6"/>
    <w:rsid w:val="00D84B87"/>
    <w:rsid w:val="00D856D9"/>
    <w:rsid w:val="00D8658B"/>
    <w:rsid w:val="00D91203"/>
    <w:rsid w:val="00D914FE"/>
    <w:rsid w:val="00D9352F"/>
    <w:rsid w:val="00D94460"/>
    <w:rsid w:val="00D94AE4"/>
    <w:rsid w:val="00D95174"/>
    <w:rsid w:val="00D97864"/>
    <w:rsid w:val="00DA1F61"/>
    <w:rsid w:val="00DA4973"/>
    <w:rsid w:val="00DA6F36"/>
    <w:rsid w:val="00DA7220"/>
    <w:rsid w:val="00DA7C1A"/>
    <w:rsid w:val="00DA7CE0"/>
    <w:rsid w:val="00DB0627"/>
    <w:rsid w:val="00DB26D0"/>
    <w:rsid w:val="00DB2D3C"/>
    <w:rsid w:val="00DB596E"/>
    <w:rsid w:val="00DB651B"/>
    <w:rsid w:val="00DB7773"/>
    <w:rsid w:val="00DC00EA"/>
    <w:rsid w:val="00DC1ACD"/>
    <w:rsid w:val="00DC2B85"/>
    <w:rsid w:val="00DC3382"/>
    <w:rsid w:val="00DC3802"/>
    <w:rsid w:val="00DC3CD5"/>
    <w:rsid w:val="00DC4AB7"/>
    <w:rsid w:val="00DC4B65"/>
    <w:rsid w:val="00DC4D1B"/>
    <w:rsid w:val="00DC51CA"/>
    <w:rsid w:val="00DD0E4B"/>
    <w:rsid w:val="00DD1446"/>
    <w:rsid w:val="00DD2834"/>
    <w:rsid w:val="00DD43E0"/>
    <w:rsid w:val="00DD6208"/>
    <w:rsid w:val="00DE23D7"/>
    <w:rsid w:val="00DE272C"/>
    <w:rsid w:val="00DE4BB5"/>
    <w:rsid w:val="00DE5C7B"/>
    <w:rsid w:val="00DF0A78"/>
    <w:rsid w:val="00DF0F78"/>
    <w:rsid w:val="00DF113D"/>
    <w:rsid w:val="00DF156E"/>
    <w:rsid w:val="00DF29B7"/>
    <w:rsid w:val="00DF378E"/>
    <w:rsid w:val="00DF3D64"/>
    <w:rsid w:val="00DF7042"/>
    <w:rsid w:val="00DF7E99"/>
    <w:rsid w:val="00E0025C"/>
    <w:rsid w:val="00E0070C"/>
    <w:rsid w:val="00E00944"/>
    <w:rsid w:val="00E00EF4"/>
    <w:rsid w:val="00E027D2"/>
    <w:rsid w:val="00E028F6"/>
    <w:rsid w:val="00E035E4"/>
    <w:rsid w:val="00E0390B"/>
    <w:rsid w:val="00E046C3"/>
    <w:rsid w:val="00E04A16"/>
    <w:rsid w:val="00E07439"/>
    <w:rsid w:val="00E07D87"/>
    <w:rsid w:val="00E1009D"/>
    <w:rsid w:val="00E10DA2"/>
    <w:rsid w:val="00E116A4"/>
    <w:rsid w:val="00E11A64"/>
    <w:rsid w:val="00E14A4A"/>
    <w:rsid w:val="00E1599F"/>
    <w:rsid w:val="00E203B4"/>
    <w:rsid w:val="00E20F65"/>
    <w:rsid w:val="00E21CB7"/>
    <w:rsid w:val="00E21D39"/>
    <w:rsid w:val="00E22647"/>
    <w:rsid w:val="00E249C8"/>
    <w:rsid w:val="00E259F7"/>
    <w:rsid w:val="00E264A8"/>
    <w:rsid w:val="00E32F7E"/>
    <w:rsid w:val="00E33B89"/>
    <w:rsid w:val="00E33F47"/>
    <w:rsid w:val="00E3484E"/>
    <w:rsid w:val="00E35AD3"/>
    <w:rsid w:val="00E37133"/>
    <w:rsid w:val="00E4062A"/>
    <w:rsid w:val="00E40E09"/>
    <w:rsid w:val="00E4323C"/>
    <w:rsid w:val="00E43C04"/>
    <w:rsid w:val="00E44C4F"/>
    <w:rsid w:val="00E45D45"/>
    <w:rsid w:val="00E45EAC"/>
    <w:rsid w:val="00E52427"/>
    <w:rsid w:val="00E5267B"/>
    <w:rsid w:val="00E54443"/>
    <w:rsid w:val="00E559F0"/>
    <w:rsid w:val="00E561BF"/>
    <w:rsid w:val="00E56F86"/>
    <w:rsid w:val="00E57D0C"/>
    <w:rsid w:val="00E57E20"/>
    <w:rsid w:val="00E60968"/>
    <w:rsid w:val="00E63C0E"/>
    <w:rsid w:val="00E6458C"/>
    <w:rsid w:val="00E64B51"/>
    <w:rsid w:val="00E65203"/>
    <w:rsid w:val="00E65627"/>
    <w:rsid w:val="00E6765B"/>
    <w:rsid w:val="00E70303"/>
    <w:rsid w:val="00E70E86"/>
    <w:rsid w:val="00E72D49"/>
    <w:rsid w:val="00E73D53"/>
    <w:rsid w:val="00E74BF8"/>
    <w:rsid w:val="00E7593C"/>
    <w:rsid w:val="00E75B60"/>
    <w:rsid w:val="00E7678A"/>
    <w:rsid w:val="00E804DA"/>
    <w:rsid w:val="00E809AC"/>
    <w:rsid w:val="00E82896"/>
    <w:rsid w:val="00E862FC"/>
    <w:rsid w:val="00E87AB9"/>
    <w:rsid w:val="00E91CCF"/>
    <w:rsid w:val="00E929BB"/>
    <w:rsid w:val="00E92EBD"/>
    <w:rsid w:val="00E935F1"/>
    <w:rsid w:val="00E93F0D"/>
    <w:rsid w:val="00E94A81"/>
    <w:rsid w:val="00E95E7F"/>
    <w:rsid w:val="00E96D40"/>
    <w:rsid w:val="00EA1FFB"/>
    <w:rsid w:val="00EA428C"/>
    <w:rsid w:val="00EA4921"/>
    <w:rsid w:val="00EA4E4D"/>
    <w:rsid w:val="00EA7051"/>
    <w:rsid w:val="00EB048E"/>
    <w:rsid w:val="00EB0981"/>
    <w:rsid w:val="00EB105A"/>
    <w:rsid w:val="00EB11E1"/>
    <w:rsid w:val="00EB2B9A"/>
    <w:rsid w:val="00EB445E"/>
    <w:rsid w:val="00EB48DE"/>
    <w:rsid w:val="00EB4E9C"/>
    <w:rsid w:val="00EB5A96"/>
    <w:rsid w:val="00EB6270"/>
    <w:rsid w:val="00EC1D8C"/>
    <w:rsid w:val="00EC2E94"/>
    <w:rsid w:val="00EC318D"/>
    <w:rsid w:val="00EC33A0"/>
    <w:rsid w:val="00EC40C6"/>
    <w:rsid w:val="00ED04E5"/>
    <w:rsid w:val="00ED1C54"/>
    <w:rsid w:val="00ED2395"/>
    <w:rsid w:val="00ED2FBB"/>
    <w:rsid w:val="00ED3925"/>
    <w:rsid w:val="00ED6749"/>
    <w:rsid w:val="00ED7072"/>
    <w:rsid w:val="00ED7E51"/>
    <w:rsid w:val="00EE0E99"/>
    <w:rsid w:val="00EE21CC"/>
    <w:rsid w:val="00EE3009"/>
    <w:rsid w:val="00EE34DF"/>
    <w:rsid w:val="00EE37A0"/>
    <w:rsid w:val="00EE4CA7"/>
    <w:rsid w:val="00EE5ED7"/>
    <w:rsid w:val="00EE6B94"/>
    <w:rsid w:val="00EE76DF"/>
    <w:rsid w:val="00EF1618"/>
    <w:rsid w:val="00EF24D5"/>
    <w:rsid w:val="00EF2F89"/>
    <w:rsid w:val="00EF3377"/>
    <w:rsid w:val="00EF443F"/>
    <w:rsid w:val="00EF49B5"/>
    <w:rsid w:val="00EF4B00"/>
    <w:rsid w:val="00EF64C1"/>
    <w:rsid w:val="00EF6D30"/>
    <w:rsid w:val="00EF7893"/>
    <w:rsid w:val="00F0038B"/>
    <w:rsid w:val="00F024D6"/>
    <w:rsid w:val="00F02756"/>
    <w:rsid w:val="00F033F7"/>
    <w:rsid w:val="00F03E98"/>
    <w:rsid w:val="00F03F6E"/>
    <w:rsid w:val="00F04856"/>
    <w:rsid w:val="00F05AE4"/>
    <w:rsid w:val="00F05E2B"/>
    <w:rsid w:val="00F05ED3"/>
    <w:rsid w:val="00F06EB5"/>
    <w:rsid w:val="00F07B06"/>
    <w:rsid w:val="00F07BAF"/>
    <w:rsid w:val="00F1019D"/>
    <w:rsid w:val="00F10A34"/>
    <w:rsid w:val="00F10B8A"/>
    <w:rsid w:val="00F1237A"/>
    <w:rsid w:val="00F1282A"/>
    <w:rsid w:val="00F1319A"/>
    <w:rsid w:val="00F13840"/>
    <w:rsid w:val="00F158F2"/>
    <w:rsid w:val="00F16285"/>
    <w:rsid w:val="00F16D33"/>
    <w:rsid w:val="00F21B88"/>
    <w:rsid w:val="00F22CBD"/>
    <w:rsid w:val="00F26C83"/>
    <w:rsid w:val="00F272F1"/>
    <w:rsid w:val="00F27569"/>
    <w:rsid w:val="00F27767"/>
    <w:rsid w:val="00F2781E"/>
    <w:rsid w:val="00F31175"/>
    <w:rsid w:val="00F31412"/>
    <w:rsid w:val="00F31A2E"/>
    <w:rsid w:val="00F31FF7"/>
    <w:rsid w:val="00F320EE"/>
    <w:rsid w:val="00F32994"/>
    <w:rsid w:val="00F32ABD"/>
    <w:rsid w:val="00F34F9D"/>
    <w:rsid w:val="00F3524B"/>
    <w:rsid w:val="00F35BA4"/>
    <w:rsid w:val="00F37B93"/>
    <w:rsid w:val="00F418A1"/>
    <w:rsid w:val="00F41F9F"/>
    <w:rsid w:val="00F42327"/>
    <w:rsid w:val="00F43350"/>
    <w:rsid w:val="00F44615"/>
    <w:rsid w:val="00F45372"/>
    <w:rsid w:val="00F46168"/>
    <w:rsid w:val="00F470DB"/>
    <w:rsid w:val="00F47B12"/>
    <w:rsid w:val="00F509D3"/>
    <w:rsid w:val="00F50B23"/>
    <w:rsid w:val="00F515A1"/>
    <w:rsid w:val="00F5283A"/>
    <w:rsid w:val="00F5305E"/>
    <w:rsid w:val="00F5327D"/>
    <w:rsid w:val="00F545B6"/>
    <w:rsid w:val="00F560F7"/>
    <w:rsid w:val="00F6206A"/>
    <w:rsid w:val="00F62132"/>
    <w:rsid w:val="00F62A67"/>
    <w:rsid w:val="00F62B0A"/>
    <w:rsid w:val="00F6334D"/>
    <w:rsid w:val="00F63599"/>
    <w:rsid w:val="00F6446D"/>
    <w:rsid w:val="00F6462C"/>
    <w:rsid w:val="00F647BF"/>
    <w:rsid w:val="00F6626A"/>
    <w:rsid w:val="00F672A7"/>
    <w:rsid w:val="00F706A6"/>
    <w:rsid w:val="00F71781"/>
    <w:rsid w:val="00F71851"/>
    <w:rsid w:val="00F71BF9"/>
    <w:rsid w:val="00F7281B"/>
    <w:rsid w:val="00F73C17"/>
    <w:rsid w:val="00F81ABC"/>
    <w:rsid w:val="00F8242D"/>
    <w:rsid w:val="00F82AE5"/>
    <w:rsid w:val="00F84259"/>
    <w:rsid w:val="00F844E3"/>
    <w:rsid w:val="00F862AE"/>
    <w:rsid w:val="00F9020B"/>
    <w:rsid w:val="00F9202D"/>
    <w:rsid w:val="00F937A7"/>
    <w:rsid w:val="00F94824"/>
    <w:rsid w:val="00F9705D"/>
    <w:rsid w:val="00FA0089"/>
    <w:rsid w:val="00FA16FA"/>
    <w:rsid w:val="00FA19CC"/>
    <w:rsid w:val="00FA1C4F"/>
    <w:rsid w:val="00FA22A4"/>
    <w:rsid w:val="00FA22AE"/>
    <w:rsid w:val="00FA2AB3"/>
    <w:rsid w:val="00FA2B4C"/>
    <w:rsid w:val="00FA2C58"/>
    <w:rsid w:val="00FA32A4"/>
    <w:rsid w:val="00FA49AB"/>
    <w:rsid w:val="00FA5FE2"/>
    <w:rsid w:val="00FB1364"/>
    <w:rsid w:val="00FB352A"/>
    <w:rsid w:val="00FB7DC3"/>
    <w:rsid w:val="00FC07ED"/>
    <w:rsid w:val="00FC1B6E"/>
    <w:rsid w:val="00FC3365"/>
    <w:rsid w:val="00FC468D"/>
    <w:rsid w:val="00FC5EAD"/>
    <w:rsid w:val="00FC5FD0"/>
    <w:rsid w:val="00FD0DFB"/>
    <w:rsid w:val="00FD1193"/>
    <w:rsid w:val="00FD31CE"/>
    <w:rsid w:val="00FD4C97"/>
    <w:rsid w:val="00FD6EC6"/>
    <w:rsid w:val="00FD741B"/>
    <w:rsid w:val="00FE14EE"/>
    <w:rsid w:val="00FE16B5"/>
    <w:rsid w:val="00FE21AF"/>
    <w:rsid w:val="00FE3532"/>
    <w:rsid w:val="00FE38C7"/>
    <w:rsid w:val="00FE39C7"/>
    <w:rsid w:val="00FE39FA"/>
    <w:rsid w:val="00FE6528"/>
    <w:rsid w:val="00FE6662"/>
    <w:rsid w:val="00FF041A"/>
    <w:rsid w:val="00FF1AD6"/>
    <w:rsid w:val="00FF2307"/>
    <w:rsid w:val="00FF4213"/>
    <w:rsid w:val="00FF4D07"/>
    <w:rsid w:val="00FF5779"/>
    <w:rsid w:val="00FF66C8"/>
    <w:rsid w:val="0327EC69"/>
    <w:rsid w:val="04907425"/>
    <w:rsid w:val="05A256E5"/>
    <w:rsid w:val="067423C1"/>
    <w:rsid w:val="07A35934"/>
    <w:rsid w:val="08291739"/>
    <w:rsid w:val="09A70763"/>
    <w:rsid w:val="0A73A534"/>
    <w:rsid w:val="0B83FF05"/>
    <w:rsid w:val="0BB76CD5"/>
    <w:rsid w:val="0C4A5536"/>
    <w:rsid w:val="0D7DA81F"/>
    <w:rsid w:val="0E51548B"/>
    <w:rsid w:val="0EDE8B78"/>
    <w:rsid w:val="1018819F"/>
    <w:rsid w:val="11E466DA"/>
    <w:rsid w:val="11FBD274"/>
    <w:rsid w:val="124D122D"/>
    <w:rsid w:val="143FBD6E"/>
    <w:rsid w:val="147A8731"/>
    <w:rsid w:val="15507C9C"/>
    <w:rsid w:val="167BE5C6"/>
    <w:rsid w:val="1A3DB0EE"/>
    <w:rsid w:val="1A7E7AF3"/>
    <w:rsid w:val="1B45E346"/>
    <w:rsid w:val="1BF7B9BC"/>
    <w:rsid w:val="1BFAE721"/>
    <w:rsid w:val="1DA84C0D"/>
    <w:rsid w:val="1DC319AE"/>
    <w:rsid w:val="20908E12"/>
    <w:rsid w:val="21644E8B"/>
    <w:rsid w:val="21CC9125"/>
    <w:rsid w:val="22BDC0BB"/>
    <w:rsid w:val="22C7B696"/>
    <w:rsid w:val="240DB7C5"/>
    <w:rsid w:val="271CD8F8"/>
    <w:rsid w:val="27DF6945"/>
    <w:rsid w:val="28E066D8"/>
    <w:rsid w:val="2974E5D7"/>
    <w:rsid w:val="29AB2BBA"/>
    <w:rsid w:val="29F2D928"/>
    <w:rsid w:val="2A486FAE"/>
    <w:rsid w:val="2ABAC2E9"/>
    <w:rsid w:val="2AF58345"/>
    <w:rsid w:val="2B399CD9"/>
    <w:rsid w:val="2B7D9FCB"/>
    <w:rsid w:val="2C7CFC64"/>
    <w:rsid w:val="2D44A7F9"/>
    <w:rsid w:val="2DC34A72"/>
    <w:rsid w:val="30388049"/>
    <w:rsid w:val="30AF2D42"/>
    <w:rsid w:val="3386983C"/>
    <w:rsid w:val="341AD705"/>
    <w:rsid w:val="34250D52"/>
    <w:rsid w:val="3697F629"/>
    <w:rsid w:val="3766A127"/>
    <w:rsid w:val="38AAEF73"/>
    <w:rsid w:val="399A97CB"/>
    <w:rsid w:val="3CD29307"/>
    <w:rsid w:val="3DAF4DD3"/>
    <w:rsid w:val="41B617F2"/>
    <w:rsid w:val="422650DD"/>
    <w:rsid w:val="42FD59A9"/>
    <w:rsid w:val="44A5A4CD"/>
    <w:rsid w:val="464547AA"/>
    <w:rsid w:val="474BF2F3"/>
    <w:rsid w:val="47C3426A"/>
    <w:rsid w:val="48BC0F87"/>
    <w:rsid w:val="48E7E8B3"/>
    <w:rsid w:val="49597D24"/>
    <w:rsid w:val="496D6919"/>
    <w:rsid w:val="4B87349A"/>
    <w:rsid w:val="4C8ADCF3"/>
    <w:rsid w:val="4CA284CF"/>
    <w:rsid w:val="4D15AABC"/>
    <w:rsid w:val="4F0F013D"/>
    <w:rsid w:val="4F516C91"/>
    <w:rsid w:val="4FC5053E"/>
    <w:rsid w:val="4FED2B58"/>
    <w:rsid w:val="51511B75"/>
    <w:rsid w:val="53313B9A"/>
    <w:rsid w:val="569EB7E5"/>
    <w:rsid w:val="57124D38"/>
    <w:rsid w:val="572B9A5D"/>
    <w:rsid w:val="57944C7F"/>
    <w:rsid w:val="59C012EC"/>
    <w:rsid w:val="5AE50338"/>
    <w:rsid w:val="5AE98DCF"/>
    <w:rsid w:val="5C847E0C"/>
    <w:rsid w:val="5CE26707"/>
    <w:rsid w:val="5DF21CBA"/>
    <w:rsid w:val="5EAC83CA"/>
    <w:rsid w:val="607A1097"/>
    <w:rsid w:val="60EE8A6D"/>
    <w:rsid w:val="612A13EE"/>
    <w:rsid w:val="620537F8"/>
    <w:rsid w:val="639FA41D"/>
    <w:rsid w:val="653BBB11"/>
    <w:rsid w:val="685EFEB5"/>
    <w:rsid w:val="6A90069F"/>
    <w:rsid w:val="6CD56267"/>
    <w:rsid w:val="6D114DA3"/>
    <w:rsid w:val="6D2E54D7"/>
    <w:rsid w:val="6DA62762"/>
    <w:rsid w:val="6DCF412A"/>
    <w:rsid w:val="6EDBA7DD"/>
    <w:rsid w:val="71476734"/>
    <w:rsid w:val="71652829"/>
    <w:rsid w:val="72015946"/>
    <w:rsid w:val="724A7DC9"/>
    <w:rsid w:val="74DE63C0"/>
    <w:rsid w:val="76609421"/>
    <w:rsid w:val="77BC0B46"/>
    <w:rsid w:val="77C10F92"/>
    <w:rsid w:val="78BA0C10"/>
    <w:rsid w:val="78CA7419"/>
    <w:rsid w:val="792A03DA"/>
    <w:rsid w:val="79DBD532"/>
    <w:rsid w:val="79DDFC26"/>
    <w:rsid w:val="7A1E3E31"/>
    <w:rsid w:val="7A6888A1"/>
    <w:rsid w:val="7AC588ED"/>
    <w:rsid w:val="7ADBEA66"/>
    <w:rsid w:val="7FC9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3824"/>
  <w15:docId w15:val="{676C6B3B-3DB6-40A1-B520-2A363D8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EF24D5"/>
    <w:pPr>
      <w:keepNext/>
      <w:jc w:val="both"/>
      <w:outlineLvl w:val="1"/>
    </w:pPr>
    <w:rPr>
      <w:rFonts w:ascii="Arial" w:hAnsi="Arial"/>
      <w:u w:val="single"/>
    </w:rPr>
  </w:style>
  <w:style w:type="paragraph" w:styleId="Heading3">
    <w:name w:val="heading 3"/>
    <w:next w:val="Normal"/>
    <w:link w:val="Heading3Char"/>
    <w:autoRedefine/>
    <w:qFormat/>
    <w:rsid w:val="003127BF"/>
    <w:pPr>
      <w:keepNext/>
      <w:tabs>
        <w:tab w:val="left" w:pos="720"/>
      </w:tabs>
      <w:jc w:val="both"/>
      <w:outlineLvl w:val="2"/>
    </w:pPr>
    <w:rPr>
      <w:rFonts w:ascii="Arial" w:hAnsi="Arial"/>
      <w:i/>
    </w:rPr>
  </w:style>
  <w:style w:type="paragraph" w:styleId="Heading4">
    <w:name w:val="heading 4"/>
    <w:next w:val="Normal"/>
    <w:autoRedefine/>
    <w:qFormat/>
    <w:rsid w:val="00E52427"/>
    <w:pPr>
      <w:keepNext/>
      <w:ind w:left="567"/>
      <w:jc w:val="both"/>
      <w:outlineLvl w:val="3"/>
    </w:pPr>
    <w:rPr>
      <w:rFonts w:ascii="Arial" w:hAnsi="Arial"/>
      <w:spacing w:val="-2"/>
      <w:sz w:val="18"/>
      <w:szCs w:val="18"/>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8A52E0"/>
    <w:pPr>
      <w:spacing w:before="60"/>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C3093B"/>
    <w:pPr>
      <w:tabs>
        <w:tab w:val="right" w:leader="dot" w:pos="9639"/>
      </w:tabs>
      <w:spacing w:after="60"/>
      <w:ind w:left="568" w:right="284" w:hanging="284"/>
      <w:contextualSpacing/>
      <w:jc w:val="left"/>
    </w:pPr>
    <w:rPr>
      <w:sz w:val="18"/>
    </w:rPr>
  </w:style>
  <w:style w:type="paragraph" w:styleId="TOC3">
    <w:name w:val="toc 3"/>
    <w:next w:val="Normal"/>
    <w:autoRedefine/>
    <w:uiPriority w:val="39"/>
    <w:rsid w:val="00733A63"/>
    <w:pPr>
      <w:tabs>
        <w:tab w:val="right" w:leader="dot" w:pos="9639"/>
      </w:tabs>
      <w:spacing w:after="60"/>
      <w:ind w:left="851" w:right="567"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C211B0"/>
    <w:pPr>
      <w:tabs>
        <w:tab w:val="right" w:leader="dot" w:pos="9639"/>
      </w:tabs>
      <w:spacing w:before="60" w:after="60"/>
      <w:ind w:left="567" w:right="567" w:hanging="567"/>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FootnoteTextChar">
    <w:name w:val="Footnote Text Char"/>
    <w:basedOn w:val="DefaultParagraphFont"/>
    <w:link w:val="FootnoteText"/>
    <w:rsid w:val="008A52E0"/>
    <w:rPr>
      <w:rFonts w:ascii="Arial" w:hAnsi="Arial"/>
      <w:sz w:val="16"/>
    </w:rPr>
  </w:style>
  <w:style w:type="character" w:customStyle="1" w:styleId="Heading3Char">
    <w:name w:val="Heading 3 Char"/>
    <w:basedOn w:val="DefaultParagraphFont"/>
    <w:link w:val="Heading3"/>
    <w:rsid w:val="00EF24D5"/>
    <w:rPr>
      <w:rFonts w:ascii="Arial" w:hAnsi="Arial"/>
      <w:i/>
    </w:rPr>
  </w:style>
  <w:style w:type="paragraph" w:styleId="BodyTextIndent">
    <w:name w:val="Body Text Indent"/>
    <w:basedOn w:val="Normal"/>
    <w:link w:val="BodyTextIndentChar"/>
    <w:rsid w:val="00EF4B00"/>
    <w:pPr>
      <w:ind w:left="567"/>
      <w:jc w:val="left"/>
    </w:pPr>
    <w:rPr>
      <w:rFonts w:eastAsiaTheme="minorHAnsi" w:cs="Calibri"/>
      <w:szCs w:val="22"/>
      <w:lang w:val="es-ES_tradnl"/>
      <w14:ligatures w14:val="standardContextual"/>
    </w:rPr>
  </w:style>
  <w:style w:type="character" w:customStyle="1" w:styleId="BodyTextIndentChar">
    <w:name w:val="Body Text Indent Char"/>
    <w:basedOn w:val="DefaultParagraphFont"/>
    <w:link w:val="BodyTextIndent"/>
    <w:rsid w:val="00EF4B00"/>
    <w:rPr>
      <w:rFonts w:ascii="Arial" w:eastAsiaTheme="minorHAnsi" w:hAnsi="Arial" w:cs="Calibri"/>
      <w:szCs w:val="22"/>
      <w:lang w:val="es-ES_tradnl"/>
      <w14:ligatures w14:val="standardContextual"/>
    </w:rPr>
  </w:style>
  <w:style w:type="paragraph" w:styleId="ListParagraph">
    <w:name w:val="List Paragraph"/>
    <w:aliases w:val="auto_list_(i),List Paragraph1"/>
    <w:basedOn w:val="Normal"/>
    <w:link w:val="ListParagraphChar"/>
    <w:uiPriority w:val="34"/>
    <w:qFormat/>
    <w:rsid w:val="00EF4B00"/>
    <w:pPr>
      <w:ind w:left="720"/>
      <w:contextualSpacing/>
      <w:jc w:val="left"/>
    </w:pPr>
    <w:rPr>
      <w:rFonts w:eastAsiaTheme="minorHAnsi" w:cs="Calibri"/>
      <w:szCs w:val="22"/>
      <w14:ligatures w14:val="standardContextual"/>
    </w:rPr>
  </w:style>
  <w:style w:type="character" w:customStyle="1" w:styleId="ListParagraphChar">
    <w:name w:val="List Paragraph Char"/>
    <w:aliases w:val="auto_list_(i) Char,List Paragraph1 Char"/>
    <w:basedOn w:val="DefaultParagraphFont"/>
    <w:link w:val="ListParagraph"/>
    <w:uiPriority w:val="34"/>
    <w:rsid w:val="00EF4B00"/>
    <w:rPr>
      <w:rFonts w:ascii="Arial" w:eastAsiaTheme="minorHAnsi" w:hAnsi="Arial" w:cs="Calibri"/>
      <w:szCs w:val="22"/>
      <w14:ligatures w14:val="standardContextual"/>
    </w:rPr>
  </w:style>
  <w:style w:type="character" w:customStyle="1" w:styleId="pldetailsChar">
    <w:name w:val="pldetails Char"/>
    <w:link w:val="pldetails"/>
    <w:locked/>
    <w:rsid w:val="009C1313"/>
    <w:rPr>
      <w:rFonts w:ascii="Arial" w:hAnsi="Arial"/>
      <w:noProof/>
      <w:snapToGrid w:val="0"/>
    </w:rPr>
  </w:style>
  <w:style w:type="paragraph" w:styleId="Revision">
    <w:name w:val="Revision"/>
    <w:hidden/>
    <w:uiPriority w:val="99"/>
    <w:semiHidden/>
    <w:rsid w:val="00110AC8"/>
    <w:rPr>
      <w:rFonts w:ascii="Arial" w:hAnsi="Arial"/>
    </w:rPr>
  </w:style>
  <w:style w:type="paragraph" w:customStyle="1" w:styleId="Heading1Annex">
    <w:name w:val="Heading 1 Annex"/>
    <w:basedOn w:val="Heading1"/>
    <w:next w:val="Normal"/>
    <w:qFormat/>
    <w:rsid w:val="00A21829"/>
    <w:rPr>
      <w:lang w:eastAsia="fr-FR"/>
    </w:rPr>
  </w:style>
  <w:style w:type="paragraph" w:customStyle="1" w:styleId="Heading2Annex">
    <w:name w:val="Heading 2 Annex"/>
    <w:basedOn w:val="Heading2"/>
    <w:qFormat/>
    <w:rsid w:val="00FE6528"/>
    <w:rPr>
      <w:lang w:eastAsia="fr-FR"/>
    </w:rPr>
  </w:style>
  <w:style w:type="paragraph" w:customStyle="1" w:styleId="Heading3Annex">
    <w:name w:val="Heading 3 Annex"/>
    <w:basedOn w:val="Heading3"/>
    <w:qFormat/>
    <w:rsid w:val="00FE6528"/>
    <w:rPr>
      <w:lang w:eastAsia="fr-FR"/>
    </w:rPr>
  </w:style>
  <w:style w:type="character" w:styleId="UnresolvedMention">
    <w:name w:val="Unresolved Mention"/>
    <w:basedOn w:val="DefaultParagraphFont"/>
    <w:uiPriority w:val="99"/>
    <w:semiHidden/>
    <w:unhideWhenUsed/>
    <w:rsid w:val="0001494C"/>
    <w:rPr>
      <w:color w:val="605E5C"/>
      <w:shd w:val="clear" w:color="auto" w:fill="E1DFDD"/>
    </w:rPr>
  </w:style>
  <w:style w:type="character" w:styleId="CommentReference">
    <w:name w:val="annotation reference"/>
    <w:basedOn w:val="DefaultParagraphFont"/>
    <w:semiHidden/>
    <w:unhideWhenUsed/>
    <w:rsid w:val="00921232"/>
    <w:rPr>
      <w:sz w:val="16"/>
      <w:szCs w:val="16"/>
    </w:rPr>
  </w:style>
  <w:style w:type="paragraph" w:styleId="CommentText">
    <w:name w:val="annotation text"/>
    <w:basedOn w:val="Normal"/>
    <w:link w:val="CommentTextChar"/>
    <w:unhideWhenUsed/>
    <w:rsid w:val="00921232"/>
  </w:style>
  <w:style w:type="character" w:customStyle="1" w:styleId="CommentTextChar">
    <w:name w:val="Comment Text Char"/>
    <w:basedOn w:val="DefaultParagraphFont"/>
    <w:link w:val="CommentText"/>
    <w:rsid w:val="00921232"/>
    <w:rPr>
      <w:rFonts w:ascii="Arial" w:hAnsi="Arial"/>
    </w:rPr>
  </w:style>
  <w:style w:type="paragraph" w:styleId="CommentSubject">
    <w:name w:val="annotation subject"/>
    <w:basedOn w:val="CommentText"/>
    <w:next w:val="CommentText"/>
    <w:link w:val="CommentSubjectChar"/>
    <w:semiHidden/>
    <w:unhideWhenUsed/>
    <w:rsid w:val="00921232"/>
    <w:rPr>
      <w:b/>
      <w:bCs/>
    </w:rPr>
  </w:style>
  <w:style w:type="character" w:customStyle="1" w:styleId="CommentSubjectChar">
    <w:name w:val="Comment Subject Char"/>
    <w:basedOn w:val="CommentTextChar"/>
    <w:link w:val="CommentSubject"/>
    <w:semiHidden/>
    <w:rsid w:val="00921232"/>
    <w:rPr>
      <w:rFonts w:ascii="Arial" w:hAnsi="Arial"/>
      <w:b/>
      <w:bCs/>
    </w:rPr>
  </w:style>
  <w:style w:type="character" w:styleId="Mention">
    <w:name w:val="Mention"/>
    <w:basedOn w:val="DefaultParagraphFont"/>
    <w:uiPriority w:val="99"/>
    <w:unhideWhenUsed/>
    <w:rsid w:val="003C2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1380">
      <w:bodyDiv w:val="1"/>
      <w:marLeft w:val="0"/>
      <w:marRight w:val="0"/>
      <w:marTop w:val="0"/>
      <w:marBottom w:val="0"/>
      <w:divBdr>
        <w:top w:val="none" w:sz="0" w:space="0" w:color="auto"/>
        <w:left w:val="none" w:sz="0" w:space="0" w:color="auto"/>
        <w:bottom w:val="none" w:sz="0" w:space="0" w:color="auto"/>
        <w:right w:val="none" w:sz="0" w:space="0" w:color="auto"/>
      </w:divBdr>
    </w:div>
    <w:div w:id="1298955907">
      <w:bodyDiv w:val="1"/>
      <w:marLeft w:val="0"/>
      <w:marRight w:val="0"/>
      <w:marTop w:val="0"/>
      <w:marBottom w:val="0"/>
      <w:divBdr>
        <w:top w:val="none" w:sz="0" w:space="0" w:color="auto"/>
        <w:left w:val="none" w:sz="0" w:space="0" w:color="auto"/>
        <w:bottom w:val="none" w:sz="0" w:space="0" w:color="auto"/>
        <w:right w:val="none" w:sz="0" w:space="0" w:color="auto"/>
      </w:divBdr>
    </w:div>
    <w:div w:id="178974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ov.int/edocs/mdocs/upov/en/tc_55/tc_55_7.pdf" TargetMode="External"/><Relationship Id="rId18" Type="http://schemas.openxmlformats.org/officeDocument/2006/relationships/hyperlink" Target="https://www.upov.int/meetings/en/doc_details.jsp?meeting_id=67786&amp;doc_id=5869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vo.europa.eu/en/cpvo-policy-status-plant-material-used-dus-testing-purposes" TargetMode="External"/><Relationship Id="rId17" Type="http://schemas.openxmlformats.org/officeDocument/2006/relationships/hyperlink" Target="https://www.upov.int/meetings/en/doc_details.jsp?meeting_id=67786&amp;doc_id=586962" TargetMode="External"/><Relationship Id="rId25" Type="http://schemas.openxmlformats.org/officeDocument/2006/relationships/hyperlink" Target="https://doi.org/10.3030/817970" TargetMode="Externa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030/817970" TargetMode="External"/><Relationship Id="rId5" Type="http://schemas.openxmlformats.org/officeDocument/2006/relationships/numbering" Target="numbering.xml"/><Relationship Id="rId15" Type="http://schemas.openxmlformats.org/officeDocument/2006/relationships/hyperlink" Target="https://www.upov.int/edocs/tgpdocs/en/tgp_5_section_1.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y.google.com/store/apps/details?id=com.wur.invite.morph_app&amp;hl=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infdocs/en/upov_inf_15.pdf" TargetMode="External"/><Relationship Id="rId22" Type="http://schemas.openxmlformats.org/officeDocument/2006/relationships/footer" Target="footer2.xm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4\templates\routing_slip_with_doc_SESSIONS_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5902601C100489B1F49B37D492AF5" ma:contentTypeVersion="3" ma:contentTypeDescription="Create a new document." ma:contentTypeScope="" ma:versionID="154ce688bf457e80fb1b2822bc60b085">
  <xsd:schema xmlns:xsd="http://www.w3.org/2001/XMLSchema" xmlns:xs="http://www.w3.org/2001/XMLSchema" xmlns:p="http://schemas.microsoft.com/office/2006/metadata/properties" xmlns:ns2="185ede89-064b-44e6-abc2-21e41e6af941" targetNamespace="http://schemas.microsoft.com/office/2006/metadata/properties" ma:root="true" ma:fieldsID="2e8b7abcf56edb438094a138cc2a90c8" ns2:_="">
    <xsd:import namespace="185ede89-064b-44e6-abc2-21e41e6af9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de89-064b-44e6-abc2-21e41e6af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FC862-1DEB-4AA8-8CE2-4A5A44732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1EB87C-D112-4C07-B029-C8E77623FB20}">
  <ds:schemaRefs>
    <ds:schemaRef ds:uri="http://schemas.microsoft.com/sharepoint/v3/contenttype/forms"/>
  </ds:schemaRefs>
</ds:datastoreItem>
</file>

<file path=customXml/itemProps3.xml><?xml version="1.0" encoding="utf-8"?>
<ds:datastoreItem xmlns:ds="http://schemas.openxmlformats.org/officeDocument/2006/customXml" ds:itemID="{6B646C0E-9B12-44F0-9142-FA3D1895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de89-064b-44e6-abc2-21e41e6a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routing_slip_with_doc_SESSIONS_2024.dotm</Template>
  <TotalTime>26</TotalTime>
  <Pages>21</Pages>
  <Words>10651</Words>
  <Characters>57626</Characters>
  <Application>Microsoft Office Word</Application>
  <DocSecurity>0</DocSecurity>
  <Lines>1557</Lines>
  <Paragraphs>620</Paragraphs>
  <ScaleCrop>false</ScaleCrop>
  <HeadingPairs>
    <vt:vector size="2" baseType="variant">
      <vt:variant>
        <vt:lpstr>Title</vt:lpstr>
      </vt:variant>
      <vt:variant>
        <vt:i4>1</vt:i4>
      </vt:variant>
    </vt:vector>
  </HeadingPairs>
  <TitlesOfParts>
    <vt:vector size="1" baseType="lpstr">
      <vt:lpstr>SESSIONS/2025/6</vt:lpstr>
    </vt:vector>
  </TitlesOfParts>
  <Company>UPOV</Company>
  <LinksUpToDate>false</LinksUpToDate>
  <CharactersWithSpaces>67657</CharactersWithSpaces>
  <SharedDoc>false</SharedDoc>
  <HLinks>
    <vt:vector size="228" baseType="variant">
      <vt:variant>
        <vt:i4>2752610</vt:i4>
      </vt:variant>
      <vt:variant>
        <vt:i4>379</vt:i4>
      </vt:variant>
      <vt:variant>
        <vt:i4>0</vt:i4>
      </vt:variant>
      <vt:variant>
        <vt:i4>5</vt:i4>
      </vt:variant>
      <vt:variant>
        <vt:lpwstr>https://doi.org/10.3030/817970</vt:lpwstr>
      </vt:variant>
      <vt:variant>
        <vt:lpwstr/>
      </vt:variant>
      <vt:variant>
        <vt:i4>2752610</vt:i4>
      </vt:variant>
      <vt:variant>
        <vt:i4>376</vt:i4>
      </vt:variant>
      <vt:variant>
        <vt:i4>0</vt:i4>
      </vt:variant>
      <vt:variant>
        <vt:i4>5</vt:i4>
      </vt:variant>
      <vt:variant>
        <vt:lpwstr>https://doi.org/10.3030/817970</vt:lpwstr>
      </vt:variant>
      <vt:variant>
        <vt:lpwstr/>
      </vt:variant>
      <vt:variant>
        <vt:i4>1769530</vt:i4>
      </vt:variant>
      <vt:variant>
        <vt:i4>369</vt:i4>
      </vt:variant>
      <vt:variant>
        <vt:i4>0</vt:i4>
      </vt:variant>
      <vt:variant>
        <vt:i4>5</vt:i4>
      </vt:variant>
      <vt:variant>
        <vt:lpwstr/>
      </vt:variant>
      <vt:variant>
        <vt:lpwstr>_Toc189576576</vt:lpwstr>
      </vt:variant>
      <vt:variant>
        <vt:i4>1769530</vt:i4>
      </vt:variant>
      <vt:variant>
        <vt:i4>363</vt:i4>
      </vt:variant>
      <vt:variant>
        <vt:i4>0</vt:i4>
      </vt:variant>
      <vt:variant>
        <vt:i4>5</vt:i4>
      </vt:variant>
      <vt:variant>
        <vt:lpwstr/>
      </vt:variant>
      <vt:variant>
        <vt:lpwstr>_Toc189576575</vt:lpwstr>
      </vt:variant>
      <vt:variant>
        <vt:i4>1769530</vt:i4>
      </vt:variant>
      <vt:variant>
        <vt:i4>357</vt:i4>
      </vt:variant>
      <vt:variant>
        <vt:i4>0</vt:i4>
      </vt:variant>
      <vt:variant>
        <vt:i4>5</vt:i4>
      </vt:variant>
      <vt:variant>
        <vt:lpwstr/>
      </vt:variant>
      <vt:variant>
        <vt:lpwstr>_Toc189576574</vt:lpwstr>
      </vt:variant>
      <vt:variant>
        <vt:i4>1769530</vt:i4>
      </vt:variant>
      <vt:variant>
        <vt:i4>351</vt:i4>
      </vt:variant>
      <vt:variant>
        <vt:i4>0</vt:i4>
      </vt:variant>
      <vt:variant>
        <vt:i4>5</vt:i4>
      </vt:variant>
      <vt:variant>
        <vt:lpwstr/>
      </vt:variant>
      <vt:variant>
        <vt:lpwstr>_Toc189576573</vt:lpwstr>
      </vt:variant>
      <vt:variant>
        <vt:i4>1769530</vt:i4>
      </vt:variant>
      <vt:variant>
        <vt:i4>345</vt:i4>
      </vt:variant>
      <vt:variant>
        <vt:i4>0</vt:i4>
      </vt:variant>
      <vt:variant>
        <vt:i4>5</vt:i4>
      </vt:variant>
      <vt:variant>
        <vt:lpwstr/>
      </vt:variant>
      <vt:variant>
        <vt:lpwstr>_Toc189576572</vt:lpwstr>
      </vt:variant>
      <vt:variant>
        <vt:i4>1769530</vt:i4>
      </vt:variant>
      <vt:variant>
        <vt:i4>339</vt:i4>
      </vt:variant>
      <vt:variant>
        <vt:i4>0</vt:i4>
      </vt:variant>
      <vt:variant>
        <vt:i4>5</vt:i4>
      </vt:variant>
      <vt:variant>
        <vt:lpwstr/>
      </vt:variant>
      <vt:variant>
        <vt:lpwstr>_Toc189576571</vt:lpwstr>
      </vt:variant>
      <vt:variant>
        <vt:i4>1769530</vt:i4>
      </vt:variant>
      <vt:variant>
        <vt:i4>333</vt:i4>
      </vt:variant>
      <vt:variant>
        <vt:i4>0</vt:i4>
      </vt:variant>
      <vt:variant>
        <vt:i4>5</vt:i4>
      </vt:variant>
      <vt:variant>
        <vt:lpwstr/>
      </vt:variant>
      <vt:variant>
        <vt:lpwstr>_Toc189576570</vt:lpwstr>
      </vt:variant>
      <vt:variant>
        <vt:i4>1703994</vt:i4>
      </vt:variant>
      <vt:variant>
        <vt:i4>327</vt:i4>
      </vt:variant>
      <vt:variant>
        <vt:i4>0</vt:i4>
      </vt:variant>
      <vt:variant>
        <vt:i4>5</vt:i4>
      </vt:variant>
      <vt:variant>
        <vt:lpwstr/>
      </vt:variant>
      <vt:variant>
        <vt:lpwstr>_Toc189576569</vt:lpwstr>
      </vt:variant>
      <vt:variant>
        <vt:i4>1703994</vt:i4>
      </vt:variant>
      <vt:variant>
        <vt:i4>321</vt:i4>
      </vt:variant>
      <vt:variant>
        <vt:i4>0</vt:i4>
      </vt:variant>
      <vt:variant>
        <vt:i4>5</vt:i4>
      </vt:variant>
      <vt:variant>
        <vt:lpwstr/>
      </vt:variant>
      <vt:variant>
        <vt:lpwstr>_Toc189576568</vt:lpwstr>
      </vt:variant>
      <vt:variant>
        <vt:i4>1703994</vt:i4>
      </vt:variant>
      <vt:variant>
        <vt:i4>315</vt:i4>
      </vt:variant>
      <vt:variant>
        <vt:i4>0</vt:i4>
      </vt:variant>
      <vt:variant>
        <vt:i4>5</vt:i4>
      </vt:variant>
      <vt:variant>
        <vt:lpwstr/>
      </vt:variant>
      <vt:variant>
        <vt:lpwstr>_Toc189576567</vt:lpwstr>
      </vt:variant>
      <vt:variant>
        <vt:i4>1703994</vt:i4>
      </vt:variant>
      <vt:variant>
        <vt:i4>309</vt:i4>
      </vt:variant>
      <vt:variant>
        <vt:i4>0</vt:i4>
      </vt:variant>
      <vt:variant>
        <vt:i4>5</vt:i4>
      </vt:variant>
      <vt:variant>
        <vt:lpwstr/>
      </vt:variant>
      <vt:variant>
        <vt:lpwstr>_Toc189576566</vt:lpwstr>
      </vt:variant>
      <vt:variant>
        <vt:i4>1703994</vt:i4>
      </vt:variant>
      <vt:variant>
        <vt:i4>303</vt:i4>
      </vt:variant>
      <vt:variant>
        <vt:i4>0</vt:i4>
      </vt:variant>
      <vt:variant>
        <vt:i4>5</vt:i4>
      </vt:variant>
      <vt:variant>
        <vt:lpwstr/>
      </vt:variant>
      <vt:variant>
        <vt:lpwstr>_Toc189576565</vt:lpwstr>
      </vt:variant>
      <vt:variant>
        <vt:i4>1703994</vt:i4>
      </vt:variant>
      <vt:variant>
        <vt:i4>297</vt:i4>
      </vt:variant>
      <vt:variant>
        <vt:i4>0</vt:i4>
      </vt:variant>
      <vt:variant>
        <vt:i4>5</vt:i4>
      </vt:variant>
      <vt:variant>
        <vt:lpwstr/>
      </vt:variant>
      <vt:variant>
        <vt:lpwstr>_Toc189576564</vt:lpwstr>
      </vt:variant>
      <vt:variant>
        <vt:i4>1703994</vt:i4>
      </vt:variant>
      <vt:variant>
        <vt:i4>291</vt:i4>
      </vt:variant>
      <vt:variant>
        <vt:i4>0</vt:i4>
      </vt:variant>
      <vt:variant>
        <vt:i4>5</vt:i4>
      </vt:variant>
      <vt:variant>
        <vt:lpwstr/>
      </vt:variant>
      <vt:variant>
        <vt:lpwstr>_Toc189576563</vt:lpwstr>
      </vt:variant>
      <vt:variant>
        <vt:i4>1703994</vt:i4>
      </vt:variant>
      <vt:variant>
        <vt:i4>285</vt:i4>
      </vt:variant>
      <vt:variant>
        <vt:i4>0</vt:i4>
      </vt:variant>
      <vt:variant>
        <vt:i4>5</vt:i4>
      </vt:variant>
      <vt:variant>
        <vt:lpwstr/>
      </vt:variant>
      <vt:variant>
        <vt:lpwstr>_Toc189576562</vt:lpwstr>
      </vt:variant>
      <vt:variant>
        <vt:i4>1703994</vt:i4>
      </vt:variant>
      <vt:variant>
        <vt:i4>279</vt:i4>
      </vt:variant>
      <vt:variant>
        <vt:i4>0</vt:i4>
      </vt:variant>
      <vt:variant>
        <vt:i4>5</vt:i4>
      </vt:variant>
      <vt:variant>
        <vt:lpwstr/>
      </vt:variant>
      <vt:variant>
        <vt:lpwstr>_Toc189576561</vt:lpwstr>
      </vt:variant>
      <vt:variant>
        <vt:i4>1703994</vt:i4>
      </vt:variant>
      <vt:variant>
        <vt:i4>273</vt:i4>
      </vt:variant>
      <vt:variant>
        <vt:i4>0</vt:i4>
      </vt:variant>
      <vt:variant>
        <vt:i4>5</vt:i4>
      </vt:variant>
      <vt:variant>
        <vt:lpwstr/>
      </vt:variant>
      <vt:variant>
        <vt:lpwstr>_Toc189576560</vt:lpwstr>
      </vt:variant>
      <vt:variant>
        <vt:i4>1638458</vt:i4>
      </vt:variant>
      <vt:variant>
        <vt:i4>267</vt:i4>
      </vt:variant>
      <vt:variant>
        <vt:i4>0</vt:i4>
      </vt:variant>
      <vt:variant>
        <vt:i4>5</vt:i4>
      </vt:variant>
      <vt:variant>
        <vt:lpwstr/>
      </vt:variant>
      <vt:variant>
        <vt:lpwstr>_Toc189576559</vt:lpwstr>
      </vt:variant>
      <vt:variant>
        <vt:i4>1638458</vt:i4>
      </vt:variant>
      <vt:variant>
        <vt:i4>261</vt:i4>
      </vt:variant>
      <vt:variant>
        <vt:i4>0</vt:i4>
      </vt:variant>
      <vt:variant>
        <vt:i4>5</vt:i4>
      </vt:variant>
      <vt:variant>
        <vt:lpwstr/>
      </vt:variant>
      <vt:variant>
        <vt:lpwstr>_Toc189576558</vt:lpwstr>
      </vt:variant>
      <vt:variant>
        <vt:i4>1638458</vt:i4>
      </vt:variant>
      <vt:variant>
        <vt:i4>255</vt:i4>
      </vt:variant>
      <vt:variant>
        <vt:i4>0</vt:i4>
      </vt:variant>
      <vt:variant>
        <vt:i4>5</vt:i4>
      </vt:variant>
      <vt:variant>
        <vt:lpwstr/>
      </vt:variant>
      <vt:variant>
        <vt:lpwstr>_Toc189576557</vt:lpwstr>
      </vt:variant>
      <vt:variant>
        <vt:i4>1638458</vt:i4>
      </vt:variant>
      <vt:variant>
        <vt:i4>249</vt:i4>
      </vt:variant>
      <vt:variant>
        <vt:i4>0</vt:i4>
      </vt:variant>
      <vt:variant>
        <vt:i4>5</vt:i4>
      </vt:variant>
      <vt:variant>
        <vt:lpwstr/>
      </vt:variant>
      <vt:variant>
        <vt:lpwstr>_Toc189576556</vt:lpwstr>
      </vt:variant>
      <vt:variant>
        <vt:i4>1638458</vt:i4>
      </vt:variant>
      <vt:variant>
        <vt:i4>243</vt:i4>
      </vt:variant>
      <vt:variant>
        <vt:i4>0</vt:i4>
      </vt:variant>
      <vt:variant>
        <vt:i4>5</vt:i4>
      </vt:variant>
      <vt:variant>
        <vt:lpwstr/>
      </vt:variant>
      <vt:variant>
        <vt:lpwstr>_Toc189576555</vt:lpwstr>
      </vt:variant>
      <vt:variant>
        <vt:i4>1638458</vt:i4>
      </vt:variant>
      <vt:variant>
        <vt:i4>237</vt:i4>
      </vt:variant>
      <vt:variant>
        <vt:i4>0</vt:i4>
      </vt:variant>
      <vt:variant>
        <vt:i4>5</vt:i4>
      </vt:variant>
      <vt:variant>
        <vt:lpwstr/>
      </vt:variant>
      <vt:variant>
        <vt:lpwstr>_Toc189576554</vt:lpwstr>
      </vt:variant>
      <vt:variant>
        <vt:i4>1638458</vt:i4>
      </vt:variant>
      <vt:variant>
        <vt:i4>231</vt:i4>
      </vt:variant>
      <vt:variant>
        <vt:i4>0</vt:i4>
      </vt:variant>
      <vt:variant>
        <vt:i4>5</vt:i4>
      </vt:variant>
      <vt:variant>
        <vt:lpwstr/>
      </vt:variant>
      <vt:variant>
        <vt:lpwstr>_Toc189576553</vt:lpwstr>
      </vt:variant>
      <vt:variant>
        <vt:i4>1638458</vt:i4>
      </vt:variant>
      <vt:variant>
        <vt:i4>225</vt:i4>
      </vt:variant>
      <vt:variant>
        <vt:i4>0</vt:i4>
      </vt:variant>
      <vt:variant>
        <vt:i4>5</vt:i4>
      </vt:variant>
      <vt:variant>
        <vt:lpwstr/>
      </vt:variant>
      <vt:variant>
        <vt:lpwstr>_Toc189576552</vt:lpwstr>
      </vt:variant>
      <vt:variant>
        <vt:i4>1638458</vt:i4>
      </vt:variant>
      <vt:variant>
        <vt:i4>219</vt:i4>
      </vt:variant>
      <vt:variant>
        <vt:i4>0</vt:i4>
      </vt:variant>
      <vt:variant>
        <vt:i4>5</vt:i4>
      </vt:variant>
      <vt:variant>
        <vt:lpwstr/>
      </vt:variant>
      <vt:variant>
        <vt:lpwstr>_Toc189576551</vt:lpwstr>
      </vt:variant>
      <vt:variant>
        <vt:i4>2752532</vt:i4>
      </vt:variant>
      <vt:variant>
        <vt:i4>214</vt:i4>
      </vt:variant>
      <vt:variant>
        <vt:i4>0</vt:i4>
      </vt:variant>
      <vt:variant>
        <vt:i4>5</vt:i4>
      </vt:variant>
      <vt:variant>
        <vt:lpwstr>https://play.google.com/store/apps/details?id=com.wur.invite.morph_app&amp;hl=en-US</vt:lpwstr>
      </vt:variant>
      <vt:variant>
        <vt:lpwstr/>
      </vt:variant>
      <vt:variant>
        <vt:i4>1638504</vt:i4>
      </vt:variant>
      <vt:variant>
        <vt:i4>211</vt:i4>
      </vt:variant>
      <vt:variant>
        <vt:i4>0</vt:i4>
      </vt:variant>
      <vt:variant>
        <vt:i4>5</vt:i4>
      </vt:variant>
      <vt:variant>
        <vt:lpwstr>https://www.upov.int/meetings/en/doc_details.jsp?meeting_id=67786&amp;doc_id=586962</vt:lpwstr>
      </vt:variant>
      <vt:variant>
        <vt:lpwstr/>
      </vt:variant>
      <vt:variant>
        <vt:i4>1638504</vt:i4>
      </vt:variant>
      <vt:variant>
        <vt:i4>202</vt:i4>
      </vt:variant>
      <vt:variant>
        <vt:i4>0</vt:i4>
      </vt:variant>
      <vt:variant>
        <vt:i4>5</vt:i4>
      </vt:variant>
      <vt:variant>
        <vt:lpwstr>https://www.upov.int/meetings/en/doc_details.jsp?meeting_id=67786&amp;doc_id=586962</vt:lpwstr>
      </vt:variant>
      <vt:variant>
        <vt:lpwstr/>
      </vt:variant>
      <vt:variant>
        <vt:i4>1638504</vt:i4>
      </vt:variant>
      <vt:variant>
        <vt:i4>173</vt:i4>
      </vt:variant>
      <vt:variant>
        <vt:i4>0</vt:i4>
      </vt:variant>
      <vt:variant>
        <vt:i4>5</vt:i4>
      </vt:variant>
      <vt:variant>
        <vt:lpwstr>https://www.upov.int/meetings/en/doc_details.jsp?meeting_id=67786&amp;doc_id=586962</vt:lpwstr>
      </vt:variant>
      <vt:variant>
        <vt:lpwstr/>
      </vt:variant>
      <vt:variant>
        <vt:i4>327750</vt:i4>
      </vt:variant>
      <vt:variant>
        <vt:i4>156</vt:i4>
      </vt:variant>
      <vt:variant>
        <vt:i4>0</vt:i4>
      </vt:variant>
      <vt:variant>
        <vt:i4>5</vt:i4>
      </vt:variant>
      <vt:variant>
        <vt:lpwstr>https://cpvo.europa.eu/en/cpvo-policy-status-plant-material-used-dus-testing-purposes</vt:lpwstr>
      </vt:variant>
      <vt:variant>
        <vt:lpwstr/>
      </vt:variant>
      <vt:variant>
        <vt:i4>7602267</vt:i4>
      </vt:variant>
      <vt:variant>
        <vt:i4>149</vt:i4>
      </vt:variant>
      <vt:variant>
        <vt:i4>0</vt:i4>
      </vt:variant>
      <vt:variant>
        <vt:i4>5</vt:i4>
      </vt:variant>
      <vt:variant>
        <vt:lpwstr>https://www.upov.int/edocs/tgpdocs/en/tgp_5_section_1.pdf</vt:lpwstr>
      </vt:variant>
      <vt:variant>
        <vt:lpwstr/>
      </vt:variant>
      <vt:variant>
        <vt:i4>65540</vt:i4>
      </vt:variant>
      <vt:variant>
        <vt:i4>146</vt:i4>
      </vt:variant>
      <vt:variant>
        <vt:i4>0</vt:i4>
      </vt:variant>
      <vt:variant>
        <vt:i4>5</vt:i4>
      </vt:variant>
      <vt:variant>
        <vt:lpwstr>https://www.upov.int/edocs/infdocs/en/upov_inf_15.pdf</vt:lpwstr>
      </vt:variant>
      <vt:variant>
        <vt:lpwstr/>
      </vt:variant>
      <vt:variant>
        <vt:i4>327750</vt:i4>
      </vt:variant>
      <vt:variant>
        <vt:i4>135</vt:i4>
      </vt:variant>
      <vt:variant>
        <vt:i4>0</vt:i4>
      </vt:variant>
      <vt:variant>
        <vt:i4>5</vt:i4>
      </vt:variant>
      <vt:variant>
        <vt:lpwstr>https://cpvo.europa.eu/en/cpvo-policy-status-plant-material-used-dus-testing-purposes</vt:lpwstr>
      </vt:variant>
      <vt:variant>
        <vt:lpwstr/>
      </vt:variant>
      <vt:variant>
        <vt:i4>2162755</vt:i4>
      </vt:variant>
      <vt:variant>
        <vt:i4>116</vt:i4>
      </vt:variant>
      <vt:variant>
        <vt:i4>0</vt:i4>
      </vt:variant>
      <vt:variant>
        <vt:i4>5</vt:i4>
      </vt:variant>
      <vt:variant>
        <vt:lpwstr>https://www.upov.int/edocs/mdocs/upov/en/tc_55/tc_55_7.pdf</vt:lpwstr>
      </vt:variant>
      <vt:variant>
        <vt:lpwstr/>
      </vt:variant>
      <vt:variant>
        <vt:i4>6488131</vt:i4>
      </vt:variant>
      <vt:variant>
        <vt:i4>4</vt:i4>
      </vt:variant>
      <vt:variant>
        <vt:i4>0</vt:i4>
      </vt:variant>
      <vt:variant>
        <vt:i4>5</vt:i4>
      </vt:variant>
      <vt:variant>
        <vt:lpwstr>https://www.upov.int/edocs/tgpdocs/en/tgp_15.pdf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SESSIONS/2025/6</dc:title>
  <dc:creator>SANCHEZ VIZCAINO GOMEZ Rosa Maria</dc:creator>
  <cp:keywords>, docId:3CF589B1FBA56B953246925113E77B4F</cp:keywords>
  <cp:lastModifiedBy>SANCHEZ VIZCAINO GOMEZ Rosa Maria</cp:lastModifiedBy>
  <cp:revision>26</cp:revision>
  <cp:lastPrinted>2025-07-21T16:08:00Z</cp:lastPrinted>
  <dcterms:created xsi:type="dcterms:W3CDTF">2025-10-06T12:36:00Z</dcterms:created>
  <dcterms:modified xsi:type="dcterms:W3CDTF">2025-10-06T16:25:00Z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0x010100A6D5902601C100489B1F49B37D492AF5</vt:lpwstr>
  </property>
  <property fmtid="{D5CDD505-2E9C-101B-9397-08002B2CF9AE}" pid="3" name="ClassificationContentMarkingFooterShapeIds">
    <vt:lpwstr>701a222f,46dca7f8,d938790</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2025-08-13T11:48:55Z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70f1b218-f72a-4676-b3ad-a332e7aae2a1</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