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0522" w14:paraId="34D15C34" w14:textId="77777777" w:rsidTr="00EB4E9C">
        <w:tc>
          <w:tcPr>
            <w:tcW w:w="6522" w:type="dxa"/>
          </w:tcPr>
          <w:p w14:paraId="68B5370E" w14:textId="77777777" w:rsidR="00DC3802" w:rsidRPr="00350522" w:rsidRDefault="00DC3802" w:rsidP="00AC2883">
            <w:r w:rsidRPr="00350522">
              <w:rPr>
                <w:noProof/>
              </w:rPr>
              <w:drawing>
                <wp:inline distT="0" distB="0" distL="0" distR="0" wp14:anchorId="050E1812" wp14:editId="08BE2A6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0E0B3A" w14:textId="61D594A4" w:rsidR="00731616" w:rsidRDefault="00BB430B">
            <w:pPr>
              <w:pStyle w:val="Lettrine"/>
            </w:pPr>
            <w:r>
              <w:t>G</w:t>
            </w:r>
          </w:p>
        </w:tc>
      </w:tr>
      <w:tr w:rsidR="00DC3802" w:rsidRPr="00766FEE" w14:paraId="4D36D977" w14:textId="77777777" w:rsidTr="00645CA8">
        <w:trPr>
          <w:trHeight w:val="219"/>
        </w:trPr>
        <w:tc>
          <w:tcPr>
            <w:tcW w:w="6522" w:type="dxa"/>
          </w:tcPr>
          <w:p w14:paraId="5ECB1034" w14:textId="77777777" w:rsidR="00731616" w:rsidRPr="009536B8" w:rsidRDefault="00F15524">
            <w:pPr>
              <w:pStyle w:val="upove"/>
              <w:rPr>
                <w:lang w:val="de-DE"/>
              </w:rPr>
            </w:pPr>
            <w:r w:rsidRPr="009536B8">
              <w:rPr>
                <w:lang w:val="de-DE"/>
              </w:rPr>
              <w:t>Internationaler Verband zum Schutz von Pflanzenzüchtungen</w:t>
            </w:r>
          </w:p>
        </w:tc>
        <w:tc>
          <w:tcPr>
            <w:tcW w:w="3117" w:type="dxa"/>
          </w:tcPr>
          <w:p w14:paraId="2F398883" w14:textId="77777777" w:rsidR="00DC3802" w:rsidRPr="009536B8" w:rsidRDefault="00DC3802" w:rsidP="00DA4973">
            <w:pPr>
              <w:rPr>
                <w:lang w:val="de-DE"/>
              </w:rPr>
            </w:pPr>
          </w:p>
        </w:tc>
      </w:tr>
    </w:tbl>
    <w:p w14:paraId="4C4175D5" w14:textId="77777777" w:rsidR="00DC3802" w:rsidRPr="009536B8" w:rsidRDefault="00DC3802" w:rsidP="00DC3802">
      <w:pPr>
        <w:rPr>
          <w:lang w:val="de-DE"/>
        </w:rPr>
      </w:pPr>
    </w:p>
    <w:p w14:paraId="065250C9" w14:textId="77777777" w:rsidR="003D0839" w:rsidRPr="009536B8"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766FEE" w14:paraId="086F397F" w14:textId="77777777" w:rsidTr="00507C08">
        <w:tc>
          <w:tcPr>
            <w:tcW w:w="6512" w:type="dxa"/>
          </w:tcPr>
          <w:p w14:paraId="1EF1F1C8" w14:textId="77777777" w:rsidR="00731616" w:rsidRPr="009536B8" w:rsidRDefault="00F15524">
            <w:pPr>
              <w:pStyle w:val="Sessiontc"/>
              <w:spacing w:line="240" w:lineRule="auto"/>
              <w:rPr>
                <w:lang w:val="de-DE"/>
              </w:rPr>
            </w:pPr>
            <w:r w:rsidRPr="009536B8">
              <w:rPr>
                <w:lang w:val="de-DE"/>
              </w:rPr>
              <w:t>Technischer Ausschuss</w:t>
            </w:r>
          </w:p>
          <w:p w14:paraId="42D5596D" w14:textId="59B440B4" w:rsidR="00731616" w:rsidRDefault="00E81BE2">
            <w:pPr>
              <w:pStyle w:val="Sessiontcplacedate"/>
              <w:rPr>
                <w:sz w:val="22"/>
              </w:rPr>
            </w:pPr>
            <w:r w:rsidRPr="009536B8">
              <w:rPr>
                <w:lang w:val="de-DE"/>
              </w:rPr>
              <w:t xml:space="preserve">Neunundfünfzigste </w:t>
            </w:r>
            <w:r w:rsidR="00F15524" w:rsidRPr="009536B8">
              <w:rPr>
                <w:lang w:val="de-DE"/>
              </w:rPr>
              <w:t xml:space="preserve">Tagung </w:t>
            </w:r>
            <w:r w:rsidR="00F15524" w:rsidRPr="009536B8">
              <w:rPr>
                <w:lang w:val="de-DE"/>
              </w:rPr>
              <w:br/>
              <w:t xml:space="preserve">Genf, </w:t>
            </w:r>
            <w:r w:rsidRPr="009536B8">
              <w:rPr>
                <w:lang w:val="de-DE"/>
              </w:rPr>
              <w:t xml:space="preserve">23. </w:t>
            </w:r>
            <w:r w:rsidR="00F15524" w:rsidRPr="009536B8">
              <w:rPr>
                <w:lang w:val="de-DE"/>
              </w:rPr>
              <w:t xml:space="preserve">und </w:t>
            </w:r>
            <w:r w:rsidRPr="009536B8">
              <w:rPr>
                <w:lang w:val="de-DE"/>
              </w:rPr>
              <w:t>24</w:t>
            </w:r>
            <w:r w:rsidR="00F15524" w:rsidRPr="009536B8">
              <w:rPr>
                <w:lang w:val="de-DE"/>
              </w:rPr>
              <w:t xml:space="preserve">. </w:t>
            </w:r>
            <w:r w:rsidR="00F15524" w:rsidRPr="00B10D0E">
              <w:rPr>
                <w:lang w:val="de-DE"/>
              </w:rPr>
              <w:t>Oktober</w:t>
            </w:r>
            <w:r w:rsidR="00F15524" w:rsidRPr="00350522">
              <w:t xml:space="preserve"> </w:t>
            </w:r>
            <w:r w:rsidRPr="00350522">
              <w:t>2023</w:t>
            </w:r>
          </w:p>
        </w:tc>
        <w:tc>
          <w:tcPr>
            <w:tcW w:w="3127" w:type="dxa"/>
          </w:tcPr>
          <w:p w14:paraId="0DD4874A" w14:textId="77777777" w:rsidR="00731616" w:rsidRPr="00B10D0E" w:rsidRDefault="00913553">
            <w:pPr>
              <w:pStyle w:val="Doccode"/>
              <w:rPr>
                <w:lang w:val="de-DE"/>
              </w:rPr>
            </w:pPr>
            <w:r w:rsidRPr="00B10D0E">
              <w:rPr>
                <w:lang w:val="de-DE"/>
              </w:rPr>
              <w:t>TC/59/3</w:t>
            </w:r>
          </w:p>
          <w:p w14:paraId="2D56C972" w14:textId="77777777" w:rsidR="00731616" w:rsidRPr="00B10D0E" w:rsidRDefault="00F15524">
            <w:pPr>
              <w:pStyle w:val="Docoriginal"/>
              <w:rPr>
                <w:lang w:val="de-DE"/>
              </w:rPr>
            </w:pPr>
            <w:r w:rsidRPr="00B10D0E">
              <w:rPr>
                <w:lang w:val="de-DE"/>
              </w:rPr>
              <w:t>Original:</w:t>
            </w:r>
            <w:r w:rsidRPr="00B10D0E">
              <w:rPr>
                <w:b w:val="0"/>
                <w:spacing w:val="0"/>
                <w:lang w:val="de-DE"/>
              </w:rPr>
              <w:t xml:space="preserve">  Englisch</w:t>
            </w:r>
          </w:p>
          <w:p w14:paraId="757AF0A7" w14:textId="77777777" w:rsidR="00731616" w:rsidRPr="00B10D0E" w:rsidRDefault="00F15524">
            <w:pPr>
              <w:pStyle w:val="Docoriginal"/>
              <w:rPr>
                <w:lang w:val="de-DE"/>
              </w:rPr>
            </w:pPr>
            <w:r w:rsidRPr="00B10D0E">
              <w:rPr>
                <w:lang w:val="de-DE"/>
              </w:rPr>
              <w:t xml:space="preserve">Datum:  </w:t>
            </w:r>
            <w:r w:rsidR="00413B4E" w:rsidRPr="00B10D0E">
              <w:rPr>
                <w:b w:val="0"/>
                <w:spacing w:val="0"/>
                <w:lang w:val="de-DE"/>
              </w:rPr>
              <w:t>6</w:t>
            </w:r>
            <w:r w:rsidRPr="00B10D0E">
              <w:rPr>
                <w:b w:val="0"/>
                <w:spacing w:val="0"/>
                <w:lang w:val="de-DE"/>
              </w:rPr>
              <w:t xml:space="preserve">. </w:t>
            </w:r>
            <w:r w:rsidR="00B17CD7" w:rsidRPr="00B10D0E">
              <w:rPr>
                <w:b w:val="0"/>
                <w:spacing w:val="0"/>
                <w:lang w:val="de-DE"/>
              </w:rPr>
              <w:t xml:space="preserve">September </w:t>
            </w:r>
            <w:r w:rsidR="00E81BE2" w:rsidRPr="00B10D0E">
              <w:rPr>
                <w:b w:val="0"/>
                <w:spacing w:val="0"/>
                <w:lang w:val="de-DE"/>
              </w:rPr>
              <w:t>2023</w:t>
            </w:r>
          </w:p>
        </w:tc>
      </w:tr>
    </w:tbl>
    <w:p w14:paraId="2DFD764F" w14:textId="22BCBA95" w:rsidR="00731616" w:rsidRPr="009536B8" w:rsidRDefault="00296433">
      <w:pPr>
        <w:pStyle w:val="Titleofdoc0"/>
        <w:rPr>
          <w:lang w:val="de-DE"/>
        </w:rPr>
      </w:pPr>
      <w:r>
        <w:rPr>
          <w:lang w:val="de-DE"/>
        </w:rPr>
        <w:t>Fragen</w:t>
      </w:r>
      <w:r w:rsidR="00F15524" w:rsidRPr="009536B8">
        <w:rPr>
          <w:lang w:val="de-DE"/>
        </w:rPr>
        <w:t xml:space="preserve">, die </w:t>
      </w:r>
      <w:r w:rsidRPr="00296433">
        <w:rPr>
          <w:lang w:val="de-DE"/>
        </w:rPr>
        <w:t>von den Technischen Arbeitsgruppen aufgeworfen wurden</w:t>
      </w:r>
    </w:p>
    <w:p w14:paraId="6FB07EE0" w14:textId="77777777" w:rsidR="00731616" w:rsidRPr="009536B8" w:rsidRDefault="00F15524">
      <w:pPr>
        <w:pStyle w:val="preparedby1"/>
        <w:jc w:val="left"/>
        <w:rPr>
          <w:lang w:val="de-DE"/>
        </w:rPr>
      </w:pPr>
      <w:r w:rsidRPr="009536B8">
        <w:rPr>
          <w:lang w:val="de-DE"/>
        </w:rPr>
        <w:t>Vom Verbandsbüro erstelltes Dokument</w:t>
      </w:r>
    </w:p>
    <w:p w14:paraId="4300B0DB" w14:textId="1EF603DF" w:rsidR="00BB430B" w:rsidRPr="009536B8" w:rsidRDefault="00BB430B">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6429E626" w14:textId="5EFF3B68" w:rsidR="00731616" w:rsidRPr="009536B8" w:rsidRDefault="00E257C9">
      <w:pPr>
        <w:keepNext/>
        <w:outlineLvl w:val="0"/>
        <w:rPr>
          <w:caps/>
          <w:lang w:val="de-DE"/>
        </w:rPr>
      </w:pPr>
      <w:bookmarkStart w:id="0" w:name="_Toc145580792"/>
      <w:r>
        <w:rPr>
          <w:caps/>
          <w:lang w:val="de-DE"/>
        </w:rPr>
        <w:t>Zusammen</w:t>
      </w:r>
      <w:r w:rsidRPr="009536B8">
        <w:rPr>
          <w:caps/>
          <w:lang w:val="de-DE"/>
        </w:rPr>
        <w:t>FASSUNG</w:t>
      </w:r>
      <w:bookmarkEnd w:id="0"/>
    </w:p>
    <w:p w14:paraId="366F39CA" w14:textId="77777777" w:rsidR="00372918" w:rsidRPr="009536B8" w:rsidRDefault="00372918" w:rsidP="00372918">
      <w:pPr>
        <w:rPr>
          <w:color w:val="000000"/>
          <w:lang w:val="de-DE"/>
        </w:rPr>
      </w:pPr>
    </w:p>
    <w:p w14:paraId="6408C921" w14:textId="60578330" w:rsidR="00731616" w:rsidRPr="009536B8" w:rsidRDefault="00F15524">
      <w:pPr>
        <w:rPr>
          <w:color w:val="000000"/>
          <w:lang w:val="de-DE"/>
        </w:rPr>
      </w:pPr>
      <w:r w:rsidRPr="00372918">
        <w:rPr>
          <w:color w:val="000000"/>
        </w:rPr>
        <w:fldChar w:fldCharType="begin"/>
      </w:r>
      <w:r w:rsidRPr="009536B8">
        <w:rPr>
          <w:color w:val="000000"/>
          <w:lang w:val="de-DE"/>
        </w:rPr>
        <w:instrText xml:space="preserve"> AUTONUM  </w:instrText>
      </w:r>
      <w:r w:rsidRPr="00372918">
        <w:rPr>
          <w:color w:val="000000"/>
        </w:rPr>
        <w:fldChar w:fldCharType="end"/>
      </w:r>
      <w:r w:rsidRPr="009536B8">
        <w:rPr>
          <w:color w:val="000000"/>
          <w:lang w:val="de-DE"/>
        </w:rPr>
        <w:tab/>
        <w:t xml:space="preserve">Dieses Dokument </w:t>
      </w:r>
      <w:r w:rsidR="00522D47" w:rsidRPr="009536B8">
        <w:rPr>
          <w:color w:val="000000"/>
          <w:lang w:val="de-DE"/>
        </w:rPr>
        <w:t>fasst</w:t>
      </w:r>
      <w:r w:rsidRPr="009536B8">
        <w:rPr>
          <w:color w:val="000000"/>
          <w:lang w:val="de-DE"/>
        </w:rPr>
        <w:t xml:space="preserve"> Angelegenheiten zusammen, die nicht ausdrücklich durch spezifische Tagesordnungspunkte auf den Tagungen 2023 der </w:t>
      </w:r>
      <w:r w:rsidRPr="009536B8">
        <w:rPr>
          <w:rFonts w:eastAsia="PMingLiU"/>
          <w:szCs w:val="24"/>
          <w:lang w:val="de-DE"/>
        </w:rPr>
        <w:t>Technischen Arbeitsgruppe für Gemüsearten (TWV)</w:t>
      </w:r>
      <w:r w:rsidRPr="00372918">
        <w:rPr>
          <w:rFonts w:eastAsia="PMingLiU"/>
          <w:szCs w:val="24"/>
          <w:vertAlign w:val="superscript"/>
        </w:rPr>
        <w:footnoteReference w:id="2"/>
      </w:r>
      <w:r w:rsidRPr="009536B8">
        <w:rPr>
          <w:rFonts w:eastAsia="PMingLiU"/>
          <w:szCs w:val="24"/>
          <w:lang w:val="de-DE"/>
        </w:rPr>
        <w:t xml:space="preserve"> , der Technischen Arbeitsgruppe für landwirtschaftliche Arten (TWA)</w:t>
      </w:r>
      <w:r w:rsidRPr="00372918">
        <w:rPr>
          <w:rFonts w:eastAsia="PMingLiU"/>
          <w:szCs w:val="24"/>
          <w:vertAlign w:val="superscript"/>
        </w:rPr>
        <w:footnoteReference w:id="3"/>
      </w:r>
      <w:r w:rsidRPr="009536B8">
        <w:rPr>
          <w:rFonts w:eastAsia="PMingLiU"/>
          <w:szCs w:val="24"/>
          <w:lang w:val="de-DE"/>
        </w:rPr>
        <w:t xml:space="preserve"> , der Technischen Arbeitsgruppe für Zierpflanzen und forstliche Baumarten (TWO)</w:t>
      </w:r>
      <w:r w:rsidRPr="00372918">
        <w:rPr>
          <w:rFonts w:eastAsia="PMingLiU"/>
          <w:szCs w:val="24"/>
          <w:vertAlign w:val="superscript"/>
        </w:rPr>
        <w:footnoteReference w:id="4"/>
      </w:r>
      <w:r w:rsidRPr="009536B8">
        <w:rPr>
          <w:rFonts w:eastAsia="PMingLiU"/>
          <w:szCs w:val="24"/>
          <w:lang w:val="de-DE"/>
        </w:rPr>
        <w:t xml:space="preserve"> und der Technischen Arbeitsgruppe für Obstarten </w:t>
      </w:r>
      <w:r w:rsidRPr="009536B8">
        <w:rPr>
          <w:color w:val="000000"/>
          <w:lang w:val="de-DE"/>
        </w:rPr>
        <w:t>(TWF)</w:t>
      </w:r>
      <w:r w:rsidRPr="00372918">
        <w:rPr>
          <w:color w:val="000000"/>
          <w:vertAlign w:val="superscript"/>
        </w:rPr>
        <w:footnoteReference w:id="5"/>
      </w:r>
      <w:r w:rsidRPr="009536B8">
        <w:rPr>
          <w:color w:val="000000"/>
          <w:lang w:val="de-DE"/>
        </w:rPr>
        <w:t xml:space="preserve"> behandelt werden.  </w:t>
      </w:r>
    </w:p>
    <w:p w14:paraId="4018F385" w14:textId="77777777" w:rsidR="00372918" w:rsidRPr="009536B8" w:rsidRDefault="00372918" w:rsidP="00372918">
      <w:pPr>
        <w:rPr>
          <w:color w:val="000000"/>
          <w:lang w:val="de-DE"/>
        </w:rPr>
      </w:pPr>
    </w:p>
    <w:p w14:paraId="18430AD0" w14:textId="3A08E7AB" w:rsidR="00731616" w:rsidRPr="009536B8" w:rsidRDefault="00F15524">
      <w:pPr>
        <w:rPr>
          <w:lang w:val="de-DE"/>
        </w:rPr>
      </w:pPr>
      <w:r w:rsidRPr="00372918">
        <w:rPr>
          <w:color w:val="000000"/>
        </w:rPr>
        <w:fldChar w:fldCharType="begin"/>
      </w:r>
      <w:r w:rsidRPr="009536B8">
        <w:rPr>
          <w:color w:val="000000"/>
          <w:lang w:val="de-DE"/>
        </w:rPr>
        <w:instrText xml:space="preserve"> AUTONUM  </w:instrText>
      </w:r>
      <w:r w:rsidRPr="00372918">
        <w:rPr>
          <w:color w:val="000000"/>
        </w:rPr>
        <w:fldChar w:fldCharType="end"/>
      </w:r>
      <w:r w:rsidRPr="009536B8">
        <w:rPr>
          <w:color w:val="000000"/>
          <w:lang w:val="de-DE"/>
        </w:rPr>
        <w:tab/>
        <w:t xml:space="preserve">Dieses Dokument ist </w:t>
      </w:r>
      <w:r w:rsidRPr="009536B8">
        <w:rPr>
          <w:lang w:val="de-DE"/>
        </w:rPr>
        <w:t xml:space="preserve">in zwei Abschnitte gegliedert.  Der erste Abschnitt, "Fragen zur Information und für eine etwaige vom Technischen </w:t>
      </w:r>
      <w:r w:rsidR="00522D47" w:rsidRPr="009536B8">
        <w:rPr>
          <w:lang w:val="de-DE"/>
        </w:rPr>
        <w:t>Ausschuss</w:t>
      </w:r>
      <w:r w:rsidRPr="009536B8">
        <w:rPr>
          <w:lang w:val="de-DE"/>
        </w:rPr>
        <w:t xml:space="preserve"> (TC) zu treffende Entscheidung</w:t>
      </w:r>
      <w:r w:rsidRPr="009536B8">
        <w:rPr>
          <w:caps/>
          <w:lang w:val="de-DE"/>
        </w:rPr>
        <w:t xml:space="preserve">", </w:t>
      </w:r>
      <w:r w:rsidRPr="009536B8">
        <w:rPr>
          <w:lang w:val="de-DE"/>
        </w:rPr>
        <w:t xml:space="preserve">zeigt Fragen auf, die eine vom TC zu treffende Entscheidung erfordern könnten.  Das Verbandsbüro (Büro) hat Aspekte, in denen der TC möglicherweise eine Entscheidung zu treffen wünscht, durch die Einführung eines vorgeschlagenen Entscheidungsabsatzes hervorgehoben.  Der zweite Abschnitt, "Angelegenheiten zur Information", ist zur Information des </w:t>
      </w:r>
      <w:r w:rsidRPr="009536B8">
        <w:rPr>
          <w:color w:val="000000"/>
          <w:lang w:val="de-DE"/>
        </w:rPr>
        <w:t xml:space="preserve">TC </w:t>
      </w:r>
      <w:r w:rsidRPr="009536B8">
        <w:rPr>
          <w:lang w:val="de-DE"/>
        </w:rPr>
        <w:t>vorgesehen, erfordert jedoch in diesem Stadium keine Entscheidungen.</w:t>
      </w:r>
    </w:p>
    <w:p w14:paraId="5F028AB4" w14:textId="77777777" w:rsidR="00372918" w:rsidRPr="009536B8" w:rsidRDefault="00372918" w:rsidP="00372918">
      <w:pPr>
        <w:tabs>
          <w:tab w:val="left" w:pos="567"/>
          <w:tab w:val="left" w:pos="1701"/>
        </w:tabs>
        <w:ind w:left="1695" w:hanging="1695"/>
        <w:rPr>
          <w:rFonts w:eastAsia="PMingLiU"/>
          <w:szCs w:val="24"/>
          <w:lang w:val="de-DE"/>
        </w:rPr>
      </w:pPr>
    </w:p>
    <w:p w14:paraId="7F8FFD9E" w14:textId="02AC54EE" w:rsidR="00731616" w:rsidRPr="009536B8" w:rsidRDefault="00F15524">
      <w:pPr>
        <w:tabs>
          <w:tab w:val="left" w:pos="567"/>
        </w:tabs>
        <w:rPr>
          <w:lang w:val="de-DE"/>
        </w:rPr>
      </w:pPr>
      <w:r w:rsidRPr="00372918">
        <w:fldChar w:fldCharType="begin"/>
      </w:r>
      <w:r w:rsidRPr="009536B8">
        <w:rPr>
          <w:lang w:val="de-DE"/>
        </w:rPr>
        <w:instrText xml:space="preserve"> AUTONUM  </w:instrText>
      </w:r>
      <w:r w:rsidRPr="00372918">
        <w:fldChar w:fldCharType="end"/>
      </w:r>
      <w:r w:rsidRPr="009536B8">
        <w:rPr>
          <w:lang w:val="de-DE"/>
        </w:rPr>
        <w:tab/>
        <w:t xml:space="preserve">Der TC wird </w:t>
      </w:r>
      <w:r w:rsidR="00C864E3">
        <w:rPr>
          <w:lang w:val="de-DE"/>
        </w:rPr>
        <w:t>ersucht</w:t>
      </w:r>
      <w:r w:rsidR="00C864E3" w:rsidRPr="009536B8">
        <w:rPr>
          <w:lang w:val="de-DE"/>
        </w:rPr>
        <w:t xml:space="preserve"> </w:t>
      </w:r>
    </w:p>
    <w:p w14:paraId="52019B9F" w14:textId="77777777" w:rsidR="00372918" w:rsidRPr="009536B8" w:rsidRDefault="00372918" w:rsidP="00372918">
      <w:pPr>
        <w:tabs>
          <w:tab w:val="left" w:pos="567"/>
        </w:tabs>
        <w:rPr>
          <w:lang w:val="de-DE"/>
        </w:rPr>
      </w:pPr>
    </w:p>
    <w:p w14:paraId="22BBFB1B" w14:textId="2842DEB7" w:rsidR="00731616" w:rsidRPr="009536B8" w:rsidRDefault="00F15524">
      <w:pPr>
        <w:tabs>
          <w:tab w:val="left" w:pos="567"/>
        </w:tabs>
        <w:rPr>
          <w:lang w:val="de-DE" w:eastAsia="fr-FR"/>
        </w:rPr>
      </w:pPr>
      <w:r w:rsidRPr="009536B8">
        <w:rPr>
          <w:lang w:val="de-DE"/>
        </w:rPr>
        <w:t xml:space="preserve">(a) </w:t>
      </w:r>
      <w:r w:rsidRPr="009536B8">
        <w:rPr>
          <w:lang w:val="de-DE"/>
        </w:rPr>
        <w:tab/>
        <w:t xml:space="preserve">den Vorschlag zur Unterstützung des </w:t>
      </w:r>
      <w:r w:rsidRPr="009536B8">
        <w:rPr>
          <w:lang w:val="de-DE" w:eastAsia="fr-FR"/>
        </w:rPr>
        <w:t xml:space="preserve">Informationsaustauschs über </w:t>
      </w:r>
      <w:proofErr w:type="spellStart"/>
      <w:r w:rsidRPr="009536B8">
        <w:rPr>
          <w:lang w:val="de-DE" w:eastAsia="fr-FR"/>
        </w:rPr>
        <w:t>Mutantensorten</w:t>
      </w:r>
      <w:proofErr w:type="spellEnd"/>
      <w:r w:rsidRPr="009536B8">
        <w:rPr>
          <w:lang w:val="de-DE" w:eastAsia="fr-FR"/>
        </w:rPr>
        <w:t xml:space="preserve"> von Äpfeln, wie in den </w:t>
      </w:r>
      <w:r w:rsidRPr="00B10D0E">
        <w:rPr>
          <w:lang w:val="de-DE" w:eastAsia="fr-FR"/>
        </w:rPr>
        <w:t xml:space="preserve">Absätzen 6 bis 10 </w:t>
      </w:r>
      <w:r w:rsidRPr="009536B8">
        <w:rPr>
          <w:lang w:val="de-DE" w:eastAsia="fr-FR"/>
        </w:rPr>
        <w:t xml:space="preserve">dieses Dokuments dargelegt, </w:t>
      </w:r>
      <w:r w:rsidRPr="009536B8">
        <w:rPr>
          <w:lang w:val="de-DE"/>
        </w:rPr>
        <w:t xml:space="preserve">prüfen </w:t>
      </w:r>
      <w:r w:rsidRPr="009536B8">
        <w:rPr>
          <w:lang w:val="de-DE" w:eastAsia="fr-FR"/>
        </w:rPr>
        <w:t>und</w:t>
      </w:r>
    </w:p>
    <w:p w14:paraId="209CF435" w14:textId="77777777" w:rsidR="00372918" w:rsidRPr="009536B8" w:rsidRDefault="00372918" w:rsidP="00372918">
      <w:pPr>
        <w:tabs>
          <w:tab w:val="left" w:pos="567"/>
        </w:tabs>
        <w:rPr>
          <w:lang w:val="de-DE"/>
        </w:rPr>
      </w:pPr>
    </w:p>
    <w:p w14:paraId="40514DFA" w14:textId="77777777" w:rsidR="00731616" w:rsidRPr="009536B8" w:rsidRDefault="00F15524">
      <w:pPr>
        <w:tabs>
          <w:tab w:val="left" w:pos="567"/>
        </w:tabs>
        <w:rPr>
          <w:lang w:val="de-DE"/>
        </w:rPr>
      </w:pPr>
      <w:r w:rsidRPr="009536B8">
        <w:rPr>
          <w:lang w:val="de-DE"/>
        </w:rPr>
        <w:t xml:space="preserve">(b) </w:t>
      </w:r>
      <w:r w:rsidRPr="009536B8">
        <w:rPr>
          <w:lang w:val="de-DE"/>
        </w:rPr>
        <w:tab/>
        <w:t>die Entwicklungen in den TWP zur Kenntnis nehmen:</w:t>
      </w:r>
    </w:p>
    <w:p w14:paraId="0A29368E" w14:textId="77777777" w:rsidR="00372918" w:rsidRPr="009536B8" w:rsidRDefault="00372918" w:rsidP="00372918">
      <w:pPr>
        <w:tabs>
          <w:tab w:val="left" w:pos="567"/>
        </w:tabs>
        <w:rPr>
          <w:lang w:val="de-DE"/>
        </w:rPr>
      </w:pPr>
    </w:p>
    <w:p w14:paraId="6A1EAB0B" w14:textId="77777777" w:rsidR="00731616" w:rsidRPr="009536B8" w:rsidRDefault="00F15524">
      <w:pPr>
        <w:tabs>
          <w:tab w:val="left" w:pos="1701"/>
        </w:tabs>
        <w:ind w:left="1134" w:hanging="567"/>
        <w:rPr>
          <w:lang w:val="de-DE"/>
        </w:rPr>
      </w:pPr>
      <w:r w:rsidRPr="009536B8">
        <w:rPr>
          <w:lang w:val="de-DE"/>
        </w:rPr>
        <w:t xml:space="preserve">(i) </w:t>
      </w:r>
      <w:r w:rsidRPr="009536B8">
        <w:rPr>
          <w:lang w:val="de-DE"/>
        </w:rPr>
        <w:tab/>
        <w:t>Beurteilung der Unterscheidbarkeit bei Krankheitsresistenzmerkmalen;</w:t>
      </w:r>
    </w:p>
    <w:p w14:paraId="3594AD72" w14:textId="77777777" w:rsidR="00731616" w:rsidRPr="009536B8" w:rsidRDefault="00F15524">
      <w:pPr>
        <w:tabs>
          <w:tab w:val="left" w:pos="1701"/>
        </w:tabs>
        <w:ind w:left="1134" w:hanging="567"/>
        <w:rPr>
          <w:lang w:val="de-DE"/>
        </w:rPr>
      </w:pPr>
      <w:r w:rsidRPr="009536B8">
        <w:rPr>
          <w:lang w:val="de-DE"/>
        </w:rPr>
        <w:t xml:space="preserve">(ii) </w:t>
      </w:r>
      <w:r w:rsidRPr="009536B8">
        <w:rPr>
          <w:lang w:val="de-DE"/>
        </w:rPr>
        <w:tab/>
        <w:t>Neue Technologien bei der DUS-Prüfung;</w:t>
      </w:r>
    </w:p>
    <w:p w14:paraId="23CED033" w14:textId="77777777" w:rsidR="00731616" w:rsidRPr="009536B8" w:rsidRDefault="00F15524">
      <w:pPr>
        <w:tabs>
          <w:tab w:val="left" w:pos="1701"/>
        </w:tabs>
        <w:ind w:left="1134" w:hanging="567"/>
        <w:rPr>
          <w:lang w:val="de-DE"/>
        </w:rPr>
      </w:pPr>
      <w:r w:rsidRPr="009536B8">
        <w:rPr>
          <w:lang w:val="de-DE"/>
        </w:rPr>
        <w:t xml:space="preserve">(iii) </w:t>
      </w:r>
      <w:r w:rsidRPr="009536B8">
        <w:rPr>
          <w:lang w:val="de-DE"/>
        </w:rPr>
        <w:tab/>
        <w:t>Bildanalyse von Gemüsekulturen;</w:t>
      </w:r>
    </w:p>
    <w:p w14:paraId="5015E993" w14:textId="77777777" w:rsidR="00731616" w:rsidRPr="009536B8" w:rsidRDefault="00F15524">
      <w:pPr>
        <w:tabs>
          <w:tab w:val="left" w:pos="1701"/>
        </w:tabs>
        <w:ind w:left="1134" w:hanging="567"/>
        <w:rPr>
          <w:lang w:val="de-DE"/>
        </w:rPr>
      </w:pPr>
      <w:r w:rsidRPr="009536B8">
        <w:rPr>
          <w:lang w:val="de-DE"/>
        </w:rPr>
        <w:t xml:space="preserve">(iv) </w:t>
      </w:r>
      <w:r w:rsidRPr="009536B8">
        <w:rPr>
          <w:lang w:val="de-DE"/>
        </w:rPr>
        <w:tab/>
        <w:t>DUSCEL-Software für die statistische Analyse; und</w:t>
      </w:r>
    </w:p>
    <w:p w14:paraId="73AE9D51" w14:textId="77777777" w:rsidR="00731616" w:rsidRPr="009536B8" w:rsidRDefault="00F15524">
      <w:pPr>
        <w:tabs>
          <w:tab w:val="left" w:pos="1701"/>
        </w:tabs>
        <w:ind w:left="1134" w:hanging="567"/>
        <w:rPr>
          <w:lang w:val="de-DE"/>
        </w:rPr>
      </w:pPr>
      <w:r w:rsidRPr="009536B8">
        <w:rPr>
          <w:lang w:val="de-DE"/>
        </w:rPr>
        <w:t xml:space="preserve">(v) </w:t>
      </w:r>
      <w:r w:rsidRPr="009536B8">
        <w:rPr>
          <w:lang w:val="de-DE"/>
        </w:rPr>
        <w:tab/>
        <w:t>Erfahrungen mit neuen Arten und Sorten.</w:t>
      </w:r>
    </w:p>
    <w:p w14:paraId="0CD6225E" w14:textId="77777777" w:rsidR="00731616" w:rsidRPr="009536B8" w:rsidRDefault="00F15524">
      <w:pPr>
        <w:tabs>
          <w:tab w:val="left" w:pos="1701"/>
        </w:tabs>
        <w:ind w:left="1134" w:hanging="567"/>
        <w:rPr>
          <w:lang w:val="de-DE"/>
        </w:rPr>
      </w:pPr>
      <w:r w:rsidRPr="009536B8">
        <w:rPr>
          <w:lang w:val="de-DE"/>
        </w:rPr>
        <w:t xml:space="preserve">(vi) </w:t>
      </w:r>
      <w:r w:rsidRPr="009536B8">
        <w:rPr>
          <w:lang w:val="de-DE"/>
        </w:rPr>
        <w:tab/>
        <w:t>Ziersorten von landwirtschaftlichen Kulturen, Obst- und Gemüsekulturen</w:t>
      </w:r>
    </w:p>
    <w:p w14:paraId="0DF12008" w14:textId="77777777" w:rsidR="00372918" w:rsidRPr="009536B8" w:rsidRDefault="00372918" w:rsidP="00372918">
      <w:pPr>
        <w:tabs>
          <w:tab w:val="left" w:pos="1701"/>
        </w:tabs>
        <w:rPr>
          <w:rFonts w:cs="Arial"/>
          <w:lang w:val="de-DE"/>
        </w:rPr>
      </w:pPr>
    </w:p>
    <w:p w14:paraId="76668900" w14:textId="77777777" w:rsidR="00731616" w:rsidRPr="009536B8" w:rsidRDefault="00F15524">
      <w:pPr>
        <w:keepNext/>
        <w:rPr>
          <w:color w:val="000000"/>
          <w:lang w:val="de-DE"/>
        </w:rPr>
      </w:pPr>
      <w:r w:rsidRPr="00372918">
        <w:rPr>
          <w:color w:val="000000"/>
        </w:rPr>
        <w:fldChar w:fldCharType="begin"/>
      </w:r>
      <w:r w:rsidRPr="009536B8">
        <w:rPr>
          <w:color w:val="000000"/>
          <w:lang w:val="de-DE"/>
        </w:rPr>
        <w:instrText xml:space="preserve"> AUTONUM  </w:instrText>
      </w:r>
      <w:r w:rsidRPr="00372918">
        <w:rPr>
          <w:color w:val="000000"/>
        </w:rPr>
        <w:fldChar w:fldCharType="end"/>
      </w:r>
      <w:r w:rsidRPr="009536B8">
        <w:rPr>
          <w:color w:val="000000"/>
          <w:lang w:val="de-DE"/>
        </w:rPr>
        <w:tab/>
        <w:t>In diesem Dokument werden die folgenden Abkürzungen verwendet:</w:t>
      </w:r>
    </w:p>
    <w:p w14:paraId="56A2CABF" w14:textId="77777777" w:rsidR="00372918" w:rsidRPr="009536B8" w:rsidRDefault="00372918" w:rsidP="00372918">
      <w:pPr>
        <w:keepNext/>
        <w:ind w:left="1692" w:hanging="1125"/>
        <w:jc w:val="left"/>
        <w:rPr>
          <w:color w:val="000000"/>
          <w:lang w:val="de-DE"/>
        </w:rPr>
      </w:pPr>
    </w:p>
    <w:p w14:paraId="3E48E411" w14:textId="77777777" w:rsidR="00731616" w:rsidRPr="009536B8" w:rsidRDefault="00F15524">
      <w:pPr>
        <w:keepNext/>
        <w:tabs>
          <w:tab w:val="left" w:pos="567"/>
          <w:tab w:val="left" w:pos="1701"/>
        </w:tabs>
        <w:rPr>
          <w:lang w:val="de-DE"/>
        </w:rPr>
      </w:pPr>
      <w:r w:rsidRPr="009536B8">
        <w:rPr>
          <w:lang w:val="de-DE"/>
        </w:rPr>
        <w:tab/>
        <w:t>TC:</w:t>
      </w:r>
      <w:r w:rsidRPr="009536B8">
        <w:rPr>
          <w:lang w:val="de-DE"/>
        </w:rPr>
        <w:tab/>
        <w:t>Technischer Ausschuss</w:t>
      </w:r>
    </w:p>
    <w:p w14:paraId="0D62427C" w14:textId="77777777" w:rsidR="00731616" w:rsidRPr="009536B8" w:rsidRDefault="00F15524">
      <w:pPr>
        <w:keepNext/>
        <w:tabs>
          <w:tab w:val="left" w:pos="567"/>
          <w:tab w:val="left" w:pos="1701"/>
        </w:tabs>
        <w:rPr>
          <w:rFonts w:eastAsia="PMingLiU"/>
          <w:szCs w:val="24"/>
          <w:lang w:val="de-DE"/>
        </w:rPr>
      </w:pPr>
      <w:r w:rsidRPr="009536B8">
        <w:rPr>
          <w:rFonts w:eastAsia="PMingLiU"/>
          <w:szCs w:val="24"/>
          <w:lang w:val="de-DE"/>
        </w:rPr>
        <w:tab/>
        <w:t>TWA:</w:t>
      </w:r>
      <w:r w:rsidRPr="009536B8">
        <w:rPr>
          <w:rFonts w:eastAsia="PMingLiU"/>
          <w:szCs w:val="24"/>
          <w:lang w:val="de-DE"/>
        </w:rPr>
        <w:tab/>
        <w:t>Technische Arbeitsgruppe für landwirtschaftliche Kulturpflanzen</w:t>
      </w:r>
    </w:p>
    <w:p w14:paraId="0D9D4E84" w14:textId="77777777" w:rsidR="00731616" w:rsidRPr="009536B8" w:rsidRDefault="00F15524">
      <w:pPr>
        <w:tabs>
          <w:tab w:val="left" w:pos="567"/>
          <w:tab w:val="left" w:pos="1701"/>
        </w:tabs>
        <w:rPr>
          <w:rFonts w:eastAsia="PMingLiU"/>
          <w:szCs w:val="24"/>
          <w:lang w:val="de-DE"/>
        </w:rPr>
      </w:pPr>
      <w:r w:rsidRPr="009536B8">
        <w:rPr>
          <w:rFonts w:eastAsia="PMingLiU"/>
          <w:szCs w:val="24"/>
          <w:lang w:val="de-DE"/>
        </w:rPr>
        <w:tab/>
        <w:t xml:space="preserve">TWF: </w:t>
      </w:r>
      <w:r w:rsidRPr="009536B8">
        <w:rPr>
          <w:rFonts w:eastAsia="PMingLiU"/>
          <w:szCs w:val="24"/>
          <w:lang w:val="de-DE"/>
        </w:rPr>
        <w:tab/>
        <w:t>Technische Arbeitsgruppe für Obstarten</w:t>
      </w:r>
    </w:p>
    <w:p w14:paraId="66D9CBA8" w14:textId="77777777" w:rsidR="00731616" w:rsidRPr="009536B8" w:rsidRDefault="00F15524">
      <w:pPr>
        <w:tabs>
          <w:tab w:val="left" w:pos="567"/>
          <w:tab w:val="left" w:pos="1701"/>
        </w:tabs>
        <w:rPr>
          <w:rFonts w:eastAsia="PMingLiU"/>
          <w:szCs w:val="24"/>
          <w:lang w:val="de-DE"/>
        </w:rPr>
      </w:pPr>
      <w:r w:rsidRPr="009536B8">
        <w:rPr>
          <w:rFonts w:eastAsia="PMingLiU"/>
          <w:szCs w:val="24"/>
          <w:lang w:val="de-DE"/>
        </w:rPr>
        <w:tab/>
        <w:t>TWO:</w:t>
      </w:r>
      <w:r w:rsidRPr="009536B8">
        <w:rPr>
          <w:rFonts w:eastAsia="PMingLiU"/>
          <w:szCs w:val="24"/>
          <w:lang w:val="de-DE"/>
        </w:rPr>
        <w:tab/>
        <w:t>Technische Arbeitsgruppe für Zierpflanzen und forstliche Baumarten</w:t>
      </w:r>
    </w:p>
    <w:p w14:paraId="4C66E497" w14:textId="77777777" w:rsidR="00731616" w:rsidRPr="009536B8" w:rsidRDefault="00F15524">
      <w:pPr>
        <w:tabs>
          <w:tab w:val="left" w:pos="567"/>
          <w:tab w:val="left" w:pos="1701"/>
        </w:tabs>
        <w:rPr>
          <w:rFonts w:eastAsia="PMingLiU"/>
          <w:szCs w:val="24"/>
          <w:lang w:val="de-DE"/>
        </w:rPr>
      </w:pPr>
      <w:r w:rsidRPr="009536B8">
        <w:rPr>
          <w:rFonts w:eastAsia="PMingLiU"/>
          <w:szCs w:val="24"/>
          <w:lang w:val="de-DE"/>
        </w:rPr>
        <w:tab/>
        <w:t>TWP:</w:t>
      </w:r>
      <w:r w:rsidRPr="009536B8">
        <w:rPr>
          <w:rFonts w:eastAsia="PMingLiU"/>
          <w:szCs w:val="24"/>
          <w:lang w:val="de-DE"/>
        </w:rPr>
        <w:tab/>
        <w:t>Technische Arbeitsgruppen</w:t>
      </w:r>
    </w:p>
    <w:p w14:paraId="225C58A9" w14:textId="77777777" w:rsidR="00731616" w:rsidRPr="009536B8" w:rsidRDefault="00F15524">
      <w:pPr>
        <w:tabs>
          <w:tab w:val="left" w:pos="567"/>
          <w:tab w:val="left" w:pos="1701"/>
        </w:tabs>
        <w:rPr>
          <w:rFonts w:eastAsia="PMingLiU"/>
          <w:szCs w:val="24"/>
          <w:lang w:val="de-DE"/>
        </w:rPr>
      </w:pPr>
      <w:r w:rsidRPr="009536B8">
        <w:rPr>
          <w:rFonts w:eastAsia="PMingLiU"/>
          <w:szCs w:val="24"/>
          <w:lang w:val="de-DE"/>
        </w:rPr>
        <w:lastRenderedPageBreak/>
        <w:tab/>
        <w:t>TWV:</w:t>
      </w:r>
      <w:r w:rsidRPr="009536B8">
        <w:rPr>
          <w:rFonts w:eastAsia="PMingLiU"/>
          <w:szCs w:val="24"/>
          <w:lang w:val="de-DE"/>
        </w:rPr>
        <w:tab/>
        <w:t>Technische Arbeitsgruppe für Gemüse</w:t>
      </w:r>
    </w:p>
    <w:p w14:paraId="4BC22323" w14:textId="77777777" w:rsidR="00372918" w:rsidRPr="009536B8" w:rsidRDefault="00372918" w:rsidP="00372918">
      <w:pPr>
        <w:rPr>
          <w:highlight w:val="cyan"/>
          <w:lang w:val="de-DE"/>
        </w:rPr>
      </w:pPr>
    </w:p>
    <w:p w14:paraId="71CAC416" w14:textId="77777777" w:rsidR="00731616" w:rsidRPr="009536B8" w:rsidRDefault="00F15524">
      <w:pPr>
        <w:keepNext/>
        <w:rPr>
          <w:lang w:val="de-DE"/>
        </w:rPr>
      </w:pPr>
      <w:r w:rsidRPr="00372918">
        <w:rPr>
          <w:color w:val="000000"/>
        </w:rPr>
        <w:fldChar w:fldCharType="begin"/>
      </w:r>
      <w:r w:rsidRPr="009536B8">
        <w:rPr>
          <w:color w:val="000000"/>
          <w:lang w:val="de-DE"/>
        </w:rPr>
        <w:instrText xml:space="preserve"> AUTONUM  </w:instrText>
      </w:r>
      <w:r w:rsidRPr="00372918">
        <w:rPr>
          <w:color w:val="000000"/>
        </w:rPr>
        <w:fldChar w:fldCharType="end"/>
      </w:r>
      <w:r w:rsidRPr="009536B8">
        <w:rPr>
          <w:color w:val="000000"/>
          <w:lang w:val="de-DE"/>
        </w:rPr>
        <w:tab/>
      </w:r>
      <w:r w:rsidRPr="009536B8">
        <w:rPr>
          <w:lang w:val="de-DE"/>
        </w:rPr>
        <w:t>Der Aufbau dieses Dokuments ist wie folgt:</w:t>
      </w:r>
    </w:p>
    <w:p w14:paraId="0AD1800C" w14:textId="77777777" w:rsidR="00372918" w:rsidRPr="009536B8" w:rsidRDefault="00372918" w:rsidP="0083189F">
      <w:pPr>
        <w:keepNext/>
        <w:rPr>
          <w:lang w:val="de-DE"/>
        </w:rPr>
      </w:pPr>
    </w:p>
    <w:p w14:paraId="018DCAA6" w14:textId="7CEB65B0" w:rsidR="00B10D0E" w:rsidRPr="00B10D0E" w:rsidRDefault="00F15524">
      <w:pPr>
        <w:pStyle w:val="TOC1"/>
        <w:rPr>
          <w:rFonts w:asciiTheme="minorHAnsi" w:eastAsiaTheme="minorEastAsia" w:hAnsiTheme="minorHAnsi" w:cstheme="minorBidi"/>
          <w:caps w:val="0"/>
          <w:noProof/>
          <w:sz w:val="22"/>
          <w:szCs w:val="22"/>
          <w:lang w:val="de-DE" w:eastAsia="en-GB"/>
        </w:rPr>
      </w:pPr>
      <w:r>
        <w:rPr>
          <w:rFonts w:eastAsia="MS Mincho" w:cs="Arial"/>
          <w:caps w:val="0"/>
          <w:noProof/>
          <w:lang w:eastAsia="ja-JP"/>
        </w:rPr>
        <w:fldChar w:fldCharType="begin"/>
      </w:r>
      <w:r w:rsidRPr="00B10D0E">
        <w:rPr>
          <w:rFonts w:eastAsia="MS Mincho" w:cs="Arial"/>
          <w:noProof/>
          <w:lang w:val="de-DE" w:eastAsia="ja-JP"/>
        </w:rPr>
        <w:instrText xml:space="preserve"> TOC \o "1-3" \u </w:instrText>
      </w:r>
      <w:r>
        <w:rPr>
          <w:rFonts w:eastAsia="MS Mincho" w:cs="Arial"/>
          <w:caps w:val="0"/>
          <w:noProof/>
          <w:lang w:eastAsia="ja-JP"/>
        </w:rPr>
        <w:fldChar w:fldCharType="separate"/>
      </w:r>
      <w:r w:rsidR="00B10D0E" w:rsidRPr="00870F21">
        <w:rPr>
          <w:noProof/>
          <w:lang w:val="de-DE"/>
        </w:rPr>
        <w:t>ZusammenFASSUNG</w:t>
      </w:r>
      <w:r w:rsidR="00B10D0E" w:rsidRPr="00B10D0E">
        <w:rPr>
          <w:noProof/>
          <w:lang w:val="de-DE"/>
        </w:rPr>
        <w:tab/>
      </w:r>
      <w:r w:rsidR="00B10D0E">
        <w:rPr>
          <w:noProof/>
        </w:rPr>
        <w:fldChar w:fldCharType="begin"/>
      </w:r>
      <w:r w:rsidR="00B10D0E" w:rsidRPr="00B10D0E">
        <w:rPr>
          <w:noProof/>
          <w:lang w:val="de-DE"/>
        </w:rPr>
        <w:instrText xml:space="preserve"> PAGEREF _Toc145580792 \h </w:instrText>
      </w:r>
      <w:r w:rsidR="00B10D0E">
        <w:rPr>
          <w:noProof/>
        </w:rPr>
      </w:r>
      <w:r w:rsidR="00B10D0E">
        <w:rPr>
          <w:noProof/>
        </w:rPr>
        <w:fldChar w:fldCharType="separate"/>
      </w:r>
      <w:r w:rsidR="00B10D0E" w:rsidRPr="00B10D0E">
        <w:rPr>
          <w:noProof/>
          <w:lang w:val="de-DE"/>
        </w:rPr>
        <w:t>1</w:t>
      </w:r>
      <w:r w:rsidR="00B10D0E">
        <w:rPr>
          <w:noProof/>
        </w:rPr>
        <w:fldChar w:fldCharType="end"/>
      </w:r>
    </w:p>
    <w:p w14:paraId="37A3F81B" w14:textId="0F8242D8" w:rsidR="00B10D0E" w:rsidRPr="00B10D0E" w:rsidRDefault="00B10D0E">
      <w:pPr>
        <w:pStyle w:val="TOC1"/>
        <w:rPr>
          <w:rFonts w:asciiTheme="minorHAnsi" w:eastAsiaTheme="minorEastAsia" w:hAnsiTheme="minorHAnsi" w:cstheme="minorBidi"/>
          <w:caps w:val="0"/>
          <w:noProof/>
          <w:sz w:val="22"/>
          <w:szCs w:val="22"/>
          <w:lang w:val="de-DE" w:eastAsia="en-GB"/>
        </w:rPr>
      </w:pPr>
      <w:r w:rsidRPr="00870F21">
        <w:rPr>
          <w:noProof/>
          <w:lang w:val="de-DE"/>
        </w:rPr>
        <w:t>Fragen zur Information und für eine mögliche Entscheidung des Technischen Ausschusses (TC)</w:t>
      </w:r>
      <w:r w:rsidRPr="00B10D0E">
        <w:rPr>
          <w:noProof/>
          <w:lang w:val="de-DE"/>
        </w:rPr>
        <w:tab/>
      </w:r>
      <w:r>
        <w:rPr>
          <w:noProof/>
        </w:rPr>
        <w:fldChar w:fldCharType="begin"/>
      </w:r>
      <w:r w:rsidRPr="00B10D0E">
        <w:rPr>
          <w:noProof/>
          <w:lang w:val="de-DE"/>
        </w:rPr>
        <w:instrText xml:space="preserve"> PAGEREF _Toc145580793 \h </w:instrText>
      </w:r>
      <w:r>
        <w:rPr>
          <w:noProof/>
        </w:rPr>
      </w:r>
      <w:r>
        <w:rPr>
          <w:noProof/>
        </w:rPr>
        <w:fldChar w:fldCharType="separate"/>
      </w:r>
      <w:r w:rsidRPr="00B10D0E">
        <w:rPr>
          <w:noProof/>
          <w:lang w:val="de-DE"/>
        </w:rPr>
        <w:t>2</w:t>
      </w:r>
      <w:r>
        <w:rPr>
          <w:noProof/>
        </w:rPr>
        <w:fldChar w:fldCharType="end"/>
      </w:r>
    </w:p>
    <w:p w14:paraId="2871E752" w14:textId="262A6A71" w:rsidR="00B10D0E" w:rsidRPr="00B10D0E" w:rsidRDefault="00B10D0E">
      <w:pPr>
        <w:pStyle w:val="TOC2"/>
        <w:rPr>
          <w:rFonts w:asciiTheme="minorHAnsi" w:eastAsiaTheme="minorEastAsia" w:hAnsiTheme="minorHAnsi" w:cstheme="minorBidi"/>
          <w:noProof/>
          <w:sz w:val="22"/>
          <w:szCs w:val="22"/>
          <w:lang w:val="de-DE" w:eastAsia="en-GB"/>
        </w:rPr>
      </w:pPr>
      <w:r w:rsidRPr="00870F21">
        <w:rPr>
          <w:noProof/>
          <w:lang w:val="de-DE"/>
        </w:rPr>
        <w:t>Informationen über Mutantensorten von Apfel, die für die DUS-Prüfung nützlich sind</w:t>
      </w:r>
      <w:r w:rsidRPr="00B10D0E">
        <w:rPr>
          <w:noProof/>
          <w:lang w:val="de-DE"/>
        </w:rPr>
        <w:tab/>
      </w:r>
      <w:r>
        <w:rPr>
          <w:noProof/>
        </w:rPr>
        <w:fldChar w:fldCharType="begin"/>
      </w:r>
      <w:r w:rsidRPr="00B10D0E">
        <w:rPr>
          <w:noProof/>
          <w:lang w:val="de-DE"/>
        </w:rPr>
        <w:instrText xml:space="preserve"> PAGEREF _Toc145580794 \h </w:instrText>
      </w:r>
      <w:r>
        <w:rPr>
          <w:noProof/>
        </w:rPr>
      </w:r>
      <w:r>
        <w:rPr>
          <w:noProof/>
        </w:rPr>
        <w:fldChar w:fldCharType="separate"/>
      </w:r>
      <w:r w:rsidRPr="00B10D0E">
        <w:rPr>
          <w:noProof/>
          <w:lang w:val="de-DE"/>
        </w:rPr>
        <w:t>2</w:t>
      </w:r>
      <w:r>
        <w:rPr>
          <w:noProof/>
        </w:rPr>
        <w:fldChar w:fldCharType="end"/>
      </w:r>
    </w:p>
    <w:p w14:paraId="34C40CFB" w14:textId="635B558F" w:rsidR="00B10D0E" w:rsidRPr="00B10D0E" w:rsidRDefault="00B10D0E">
      <w:pPr>
        <w:pStyle w:val="TOC1"/>
        <w:rPr>
          <w:rFonts w:asciiTheme="minorHAnsi" w:eastAsiaTheme="minorEastAsia" w:hAnsiTheme="minorHAnsi" w:cstheme="minorBidi"/>
          <w:caps w:val="0"/>
          <w:noProof/>
          <w:sz w:val="22"/>
          <w:szCs w:val="22"/>
          <w:lang w:val="de-DE" w:eastAsia="en-GB"/>
        </w:rPr>
      </w:pPr>
      <w:r w:rsidRPr="00870F21">
        <w:rPr>
          <w:noProof/>
          <w:lang w:val="de-DE"/>
        </w:rPr>
        <w:t>Fragen zur Information</w:t>
      </w:r>
      <w:r w:rsidRPr="00B10D0E">
        <w:rPr>
          <w:noProof/>
          <w:lang w:val="de-DE"/>
        </w:rPr>
        <w:tab/>
      </w:r>
      <w:r>
        <w:rPr>
          <w:noProof/>
        </w:rPr>
        <w:fldChar w:fldCharType="begin"/>
      </w:r>
      <w:r w:rsidRPr="00B10D0E">
        <w:rPr>
          <w:noProof/>
          <w:lang w:val="de-DE"/>
        </w:rPr>
        <w:instrText xml:space="preserve"> PAGEREF _Toc145580795 \h </w:instrText>
      </w:r>
      <w:r>
        <w:rPr>
          <w:noProof/>
        </w:rPr>
      </w:r>
      <w:r>
        <w:rPr>
          <w:noProof/>
        </w:rPr>
        <w:fldChar w:fldCharType="separate"/>
      </w:r>
      <w:r w:rsidRPr="00B10D0E">
        <w:rPr>
          <w:noProof/>
          <w:lang w:val="de-DE"/>
        </w:rPr>
        <w:t>3</w:t>
      </w:r>
      <w:r>
        <w:rPr>
          <w:noProof/>
        </w:rPr>
        <w:fldChar w:fldCharType="end"/>
      </w:r>
    </w:p>
    <w:p w14:paraId="6032CB01" w14:textId="3A88C6E0" w:rsidR="00B10D0E" w:rsidRPr="00B10D0E" w:rsidRDefault="00B10D0E">
      <w:pPr>
        <w:pStyle w:val="TOC2"/>
        <w:rPr>
          <w:rFonts w:asciiTheme="minorHAnsi" w:eastAsiaTheme="minorEastAsia" w:hAnsiTheme="minorHAnsi" w:cstheme="minorBidi"/>
          <w:noProof/>
          <w:sz w:val="22"/>
          <w:szCs w:val="22"/>
          <w:lang w:val="de-DE" w:eastAsia="en-GB"/>
        </w:rPr>
      </w:pPr>
      <w:r w:rsidRPr="00870F21">
        <w:rPr>
          <w:rFonts w:eastAsia="MS Mincho"/>
          <w:noProof/>
          <w:lang w:val="de-DE"/>
        </w:rPr>
        <w:t>Bewertung der Unterscheidbarkeit bei Krankheitsresistenzmerkmalen</w:t>
      </w:r>
      <w:r w:rsidRPr="00B10D0E">
        <w:rPr>
          <w:noProof/>
          <w:lang w:val="de-DE"/>
        </w:rPr>
        <w:tab/>
      </w:r>
      <w:r>
        <w:rPr>
          <w:noProof/>
        </w:rPr>
        <w:fldChar w:fldCharType="begin"/>
      </w:r>
      <w:r w:rsidRPr="00B10D0E">
        <w:rPr>
          <w:noProof/>
          <w:lang w:val="de-DE"/>
        </w:rPr>
        <w:instrText xml:space="preserve"> PAGEREF _Toc145580796 \h </w:instrText>
      </w:r>
      <w:r>
        <w:rPr>
          <w:noProof/>
        </w:rPr>
      </w:r>
      <w:r>
        <w:rPr>
          <w:noProof/>
        </w:rPr>
        <w:fldChar w:fldCharType="separate"/>
      </w:r>
      <w:r w:rsidRPr="00B10D0E">
        <w:rPr>
          <w:noProof/>
          <w:lang w:val="de-DE"/>
        </w:rPr>
        <w:t>3</w:t>
      </w:r>
      <w:r>
        <w:rPr>
          <w:noProof/>
        </w:rPr>
        <w:fldChar w:fldCharType="end"/>
      </w:r>
    </w:p>
    <w:p w14:paraId="17A2CCB1" w14:textId="4E85B1BE" w:rsidR="00B10D0E" w:rsidRPr="00B10D0E" w:rsidRDefault="00B10D0E">
      <w:pPr>
        <w:pStyle w:val="TOC3"/>
        <w:rPr>
          <w:rFonts w:asciiTheme="minorHAnsi" w:eastAsiaTheme="minorEastAsia" w:hAnsiTheme="minorHAnsi" w:cstheme="minorBidi"/>
          <w:noProof/>
          <w:sz w:val="22"/>
          <w:szCs w:val="22"/>
          <w:lang w:val="de-DE" w:eastAsia="en-GB"/>
        </w:rPr>
      </w:pPr>
      <w:r w:rsidRPr="00870F21">
        <w:rPr>
          <w:noProof/>
          <w:lang w:val="de-DE"/>
        </w:rPr>
        <w:t>Unterscheidbarkeit auf der Grundlage eines Unterschieds von einer Note für Krankheit</w:t>
      </w:r>
      <w:r w:rsidRPr="00B10D0E">
        <w:rPr>
          <w:noProof/>
          <w:lang w:val="de-DE"/>
        </w:rPr>
        <w:tab/>
      </w:r>
      <w:r>
        <w:rPr>
          <w:noProof/>
        </w:rPr>
        <w:fldChar w:fldCharType="begin"/>
      </w:r>
      <w:r w:rsidRPr="00B10D0E">
        <w:rPr>
          <w:noProof/>
          <w:lang w:val="de-DE"/>
        </w:rPr>
        <w:instrText xml:space="preserve"> PAGEREF _Toc145580797 \h </w:instrText>
      </w:r>
      <w:r>
        <w:rPr>
          <w:noProof/>
        </w:rPr>
      </w:r>
      <w:r>
        <w:rPr>
          <w:noProof/>
        </w:rPr>
        <w:fldChar w:fldCharType="separate"/>
      </w:r>
      <w:r w:rsidRPr="00B10D0E">
        <w:rPr>
          <w:noProof/>
          <w:lang w:val="de-DE"/>
        </w:rPr>
        <w:t>3</w:t>
      </w:r>
      <w:r>
        <w:rPr>
          <w:noProof/>
        </w:rPr>
        <w:fldChar w:fldCharType="end"/>
      </w:r>
    </w:p>
    <w:p w14:paraId="5B936848" w14:textId="75E959DC" w:rsidR="00B10D0E" w:rsidRPr="00B10D0E" w:rsidRDefault="00B10D0E">
      <w:pPr>
        <w:pStyle w:val="TOC3"/>
        <w:rPr>
          <w:rFonts w:asciiTheme="minorHAnsi" w:eastAsiaTheme="minorEastAsia" w:hAnsiTheme="minorHAnsi" w:cstheme="minorBidi"/>
          <w:noProof/>
          <w:sz w:val="22"/>
          <w:szCs w:val="22"/>
          <w:lang w:val="de-DE" w:eastAsia="en-GB"/>
        </w:rPr>
      </w:pPr>
      <w:r w:rsidRPr="00870F21">
        <w:rPr>
          <w:noProof/>
          <w:lang w:val="de-DE"/>
        </w:rPr>
        <w:t>Quantitatives Krankheitsresistenzmerkmal mit nur zwei Ausprägungsstufen</w:t>
      </w:r>
      <w:r w:rsidRPr="00B10D0E">
        <w:rPr>
          <w:noProof/>
          <w:lang w:val="de-DE"/>
        </w:rPr>
        <w:tab/>
      </w:r>
      <w:r>
        <w:rPr>
          <w:noProof/>
        </w:rPr>
        <w:fldChar w:fldCharType="begin"/>
      </w:r>
      <w:r w:rsidRPr="00B10D0E">
        <w:rPr>
          <w:noProof/>
          <w:lang w:val="de-DE"/>
        </w:rPr>
        <w:instrText xml:space="preserve"> PAGEREF _Toc145580798 \h </w:instrText>
      </w:r>
      <w:r>
        <w:rPr>
          <w:noProof/>
        </w:rPr>
      </w:r>
      <w:r>
        <w:rPr>
          <w:noProof/>
        </w:rPr>
        <w:fldChar w:fldCharType="separate"/>
      </w:r>
      <w:r w:rsidRPr="00B10D0E">
        <w:rPr>
          <w:noProof/>
          <w:lang w:val="de-DE"/>
        </w:rPr>
        <w:t>3</w:t>
      </w:r>
      <w:r>
        <w:rPr>
          <w:noProof/>
        </w:rPr>
        <w:fldChar w:fldCharType="end"/>
      </w:r>
    </w:p>
    <w:p w14:paraId="41148506" w14:textId="7C9DAA78" w:rsidR="00B10D0E" w:rsidRPr="00B10D0E" w:rsidRDefault="00B10D0E">
      <w:pPr>
        <w:pStyle w:val="TOC2"/>
        <w:rPr>
          <w:rFonts w:asciiTheme="minorHAnsi" w:eastAsiaTheme="minorEastAsia" w:hAnsiTheme="minorHAnsi" w:cstheme="minorBidi"/>
          <w:noProof/>
          <w:sz w:val="22"/>
          <w:szCs w:val="22"/>
          <w:lang w:val="de-DE" w:eastAsia="en-GB"/>
        </w:rPr>
      </w:pPr>
      <w:r w:rsidRPr="00870F21">
        <w:rPr>
          <w:rFonts w:eastAsia="MS Mincho"/>
          <w:noProof/>
          <w:lang w:val="de-DE"/>
        </w:rPr>
        <w:t>Neue Technologien bei der DUS-Prüfung</w:t>
      </w:r>
      <w:r w:rsidRPr="00B10D0E">
        <w:rPr>
          <w:noProof/>
          <w:lang w:val="de-DE"/>
        </w:rPr>
        <w:tab/>
      </w:r>
      <w:r>
        <w:rPr>
          <w:noProof/>
        </w:rPr>
        <w:fldChar w:fldCharType="begin"/>
      </w:r>
      <w:r w:rsidRPr="00B10D0E">
        <w:rPr>
          <w:noProof/>
          <w:lang w:val="de-DE"/>
        </w:rPr>
        <w:instrText xml:space="preserve"> PAGEREF _Toc145580799 \h </w:instrText>
      </w:r>
      <w:r>
        <w:rPr>
          <w:noProof/>
        </w:rPr>
      </w:r>
      <w:r>
        <w:rPr>
          <w:noProof/>
        </w:rPr>
        <w:fldChar w:fldCharType="separate"/>
      </w:r>
      <w:r w:rsidRPr="00B10D0E">
        <w:rPr>
          <w:noProof/>
          <w:lang w:val="de-DE"/>
        </w:rPr>
        <w:t>3</w:t>
      </w:r>
      <w:r>
        <w:rPr>
          <w:noProof/>
        </w:rPr>
        <w:fldChar w:fldCharType="end"/>
      </w:r>
    </w:p>
    <w:p w14:paraId="4B3FFC1D" w14:textId="49B32791" w:rsidR="00B10D0E" w:rsidRPr="00B10D0E" w:rsidRDefault="00B10D0E">
      <w:pPr>
        <w:pStyle w:val="TOC2"/>
        <w:rPr>
          <w:rFonts w:asciiTheme="minorHAnsi" w:eastAsiaTheme="minorEastAsia" w:hAnsiTheme="minorHAnsi" w:cstheme="minorBidi"/>
          <w:noProof/>
          <w:sz w:val="22"/>
          <w:szCs w:val="22"/>
          <w:lang w:val="de-DE" w:eastAsia="en-GB"/>
        </w:rPr>
      </w:pPr>
      <w:r w:rsidRPr="00870F21">
        <w:rPr>
          <w:rFonts w:eastAsia="MS Mincho"/>
          <w:noProof/>
          <w:lang w:val="de-DE"/>
        </w:rPr>
        <w:t>Bildanalyse von Gemüsekulturen</w:t>
      </w:r>
      <w:r w:rsidRPr="00B10D0E">
        <w:rPr>
          <w:noProof/>
          <w:lang w:val="de-DE"/>
        </w:rPr>
        <w:tab/>
      </w:r>
      <w:r>
        <w:rPr>
          <w:noProof/>
        </w:rPr>
        <w:fldChar w:fldCharType="begin"/>
      </w:r>
      <w:r w:rsidRPr="00B10D0E">
        <w:rPr>
          <w:noProof/>
          <w:lang w:val="de-DE"/>
        </w:rPr>
        <w:instrText xml:space="preserve"> PAGEREF _Toc145580800 \h </w:instrText>
      </w:r>
      <w:r>
        <w:rPr>
          <w:noProof/>
        </w:rPr>
      </w:r>
      <w:r>
        <w:rPr>
          <w:noProof/>
        </w:rPr>
        <w:fldChar w:fldCharType="separate"/>
      </w:r>
      <w:r w:rsidRPr="00B10D0E">
        <w:rPr>
          <w:noProof/>
          <w:lang w:val="de-DE"/>
        </w:rPr>
        <w:t>4</w:t>
      </w:r>
      <w:r>
        <w:rPr>
          <w:noProof/>
        </w:rPr>
        <w:fldChar w:fldCharType="end"/>
      </w:r>
    </w:p>
    <w:p w14:paraId="70B7C291" w14:textId="49AB92E8" w:rsidR="00B10D0E" w:rsidRPr="00B10D0E" w:rsidRDefault="00B10D0E">
      <w:pPr>
        <w:pStyle w:val="TOC2"/>
        <w:rPr>
          <w:rFonts w:asciiTheme="minorHAnsi" w:eastAsiaTheme="minorEastAsia" w:hAnsiTheme="minorHAnsi" w:cstheme="minorBidi"/>
          <w:noProof/>
          <w:sz w:val="22"/>
          <w:szCs w:val="22"/>
          <w:lang w:val="de-DE" w:eastAsia="en-GB"/>
        </w:rPr>
      </w:pPr>
      <w:r w:rsidRPr="00870F21">
        <w:rPr>
          <w:rFonts w:eastAsia="MS Mincho"/>
          <w:noProof/>
          <w:lang w:val="de-DE"/>
        </w:rPr>
        <w:t>DUSCEL-Software für statistische Analysen</w:t>
      </w:r>
      <w:r w:rsidRPr="00B10D0E">
        <w:rPr>
          <w:noProof/>
          <w:lang w:val="de-DE"/>
        </w:rPr>
        <w:tab/>
      </w:r>
      <w:r>
        <w:rPr>
          <w:noProof/>
        </w:rPr>
        <w:fldChar w:fldCharType="begin"/>
      </w:r>
      <w:r w:rsidRPr="00B10D0E">
        <w:rPr>
          <w:noProof/>
          <w:lang w:val="de-DE"/>
        </w:rPr>
        <w:instrText xml:space="preserve"> PAGEREF _Toc145580801 \h </w:instrText>
      </w:r>
      <w:r>
        <w:rPr>
          <w:noProof/>
        </w:rPr>
      </w:r>
      <w:r>
        <w:rPr>
          <w:noProof/>
        </w:rPr>
        <w:fldChar w:fldCharType="separate"/>
      </w:r>
      <w:r w:rsidRPr="00B10D0E">
        <w:rPr>
          <w:noProof/>
          <w:lang w:val="de-DE"/>
        </w:rPr>
        <w:t>4</w:t>
      </w:r>
      <w:r>
        <w:rPr>
          <w:noProof/>
        </w:rPr>
        <w:fldChar w:fldCharType="end"/>
      </w:r>
    </w:p>
    <w:p w14:paraId="54B0334E" w14:textId="1CA1D315" w:rsidR="00B10D0E" w:rsidRPr="00B10D0E" w:rsidRDefault="00B10D0E">
      <w:pPr>
        <w:pStyle w:val="TOC2"/>
        <w:rPr>
          <w:rFonts w:asciiTheme="minorHAnsi" w:eastAsiaTheme="minorEastAsia" w:hAnsiTheme="minorHAnsi" w:cstheme="minorBidi"/>
          <w:noProof/>
          <w:sz w:val="22"/>
          <w:szCs w:val="22"/>
          <w:lang w:val="de-DE" w:eastAsia="en-GB"/>
        </w:rPr>
      </w:pPr>
      <w:r w:rsidRPr="00870F21">
        <w:rPr>
          <w:rFonts w:eastAsia="MS Mincho"/>
          <w:noProof/>
          <w:lang w:val="de-DE"/>
        </w:rPr>
        <w:t>Erfahrungen mit neuen Arten und Sorten</w:t>
      </w:r>
      <w:r w:rsidRPr="00B10D0E">
        <w:rPr>
          <w:noProof/>
          <w:lang w:val="de-DE"/>
        </w:rPr>
        <w:tab/>
      </w:r>
      <w:r>
        <w:rPr>
          <w:noProof/>
        </w:rPr>
        <w:fldChar w:fldCharType="begin"/>
      </w:r>
      <w:r w:rsidRPr="00B10D0E">
        <w:rPr>
          <w:noProof/>
          <w:lang w:val="de-DE"/>
        </w:rPr>
        <w:instrText xml:space="preserve"> PAGEREF _Toc145580802 \h </w:instrText>
      </w:r>
      <w:r>
        <w:rPr>
          <w:noProof/>
        </w:rPr>
      </w:r>
      <w:r>
        <w:rPr>
          <w:noProof/>
        </w:rPr>
        <w:fldChar w:fldCharType="separate"/>
      </w:r>
      <w:r w:rsidRPr="00B10D0E">
        <w:rPr>
          <w:noProof/>
          <w:lang w:val="de-DE"/>
        </w:rPr>
        <w:t>4</w:t>
      </w:r>
      <w:r>
        <w:rPr>
          <w:noProof/>
        </w:rPr>
        <w:fldChar w:fldCharType="end"/>
      </w:r>
    </w:p>
    <w:p w14:paraId="06AD1048" w14:textId="48EB1A55" w:rsidR="00B10D0E" w:rsidRPr="00B10D0E" w:rsidRDefault="00B10D0E">
      <w:pPr>
        <w:pStyle w:val="TOC3"/>
        <w:rPr>
          <w:rFonts w:asciiTheme="minorHAnsi" w:eastAsiaTheme="minorEastAsia" w:hAnsiTheme="minorHAnsi" w:cstheme="minorBidi"/>
          <w:noProof/>
          <w:sz w:val="22"/>
          <w:szCs w:val="22"/>
          <w:lang w:val="de-DE" w:eastAsia="en-GB"/>
        </w:rPr>
      </w:pPr>
      <w:r w:rsidRPr="00870F21">
        <w:rPr>
          <w:noProof/>
          <w:lang w:val="de-DE"/>
        </w:rPr>
        <w:t>Hanf/Cannabis</w:t>
      </w:r>
      <w:r w:rsidRPr="00B10D0E">
        <w:rPr>
          <w:noProof/>
          <w:lang w:val="de-DE"/>
        </w:rPr>
        <w:tab/>
      </w:r>
      <w:r>
        <w:rPr>
          <w:noProof/>
        </w:rPr>
        <w:fldChar w:fldCharType="begin"/>
      </w:r>
      <w:r w:rsidRPr="00B10D0E">
        <w:rPr>
          <w:noProof/>
          <w:lang w:val="de-DE"/>
        </w:rPr>
        <w:instrText xml:space="preserve"> PAGEREF _Toc145580803 \h </w:instrText>
      </w:r>
      <w:r>
        <w:rPr>
          <w:noProof/>
        </w:rPr>
      </w:r>
      <w:r>
        <w:rPr>
          <w:noProof/>
        </w:rPr>
        <w:fldChar w:fldCharType="separate"/>
      </w:r>
      <w:r w:rsidRPr="00B10D0E">
        <w:rPr>
          <w:noProof/>
          <w:lang w:val="de-DE"/>
        </w:rPr>
        <w:t>4</w:t>
      </w:r>
      <w:r>
        <w:rPr>
          <w:noProof/>
        </w:rPr>
        <w:fldChar w:fldCharType="end"/>
      </w:r>
    </w:p>
    <w:p w14:paraId="38563E92" w14:textId="3325BE9E" w:rsidR="00B10D0E" w:rsidRPr="00B10D0E" w:rsidRDefault="00B10D0E">
      <w:pPr>
        <w:pStyle w:val="TOC3"/>
        <w:rPr>
          <w:rFonts w:asciiTheme="minorHAnsi" w:eastAsiaTheme="minorEastAsia" w:hAnsiTheme="minorHAnsi" w:cstheme="minorBidi"/>
          <w:noProof/>
          <w:sz w:val="22"/>
          <w:szCs w:val="22"/>
          <w:lang w:val="de-DE" w:eastAsia="en-GB"/>
        </w:rPr>
      </w:pPr>
      <w:r w:rsidRPr="00870F21">
        <w:rPr>
          <w:noProof/>
          <w:lang w:val="de-DE"/>
        </w:rPr>
        <w:t>Vegetativ vermehrte Sorten</w:t>
      </w:r>
      <w:r w:rsidRPr="00B10D0E">
        <w:rPr>
          <w:noProof/>
          <w:lang w:val="de-DE"/>
        </w:rPr>
        <w:tab/>
      </w:r>
      <w:r>
        <w:rPr>
          <w:noProof/>
        </w:rPr>
        <w:fldChar w:fldCharType="begin"/>
      </w:r>
      <w:r w:rsidRPr="00B10D0E">
        <w:rPr>
          <w:noProof/>
          <w:lang w:val="de-DE"/>
        </w:rPr>
        <w:instrText xml:space="preserve"> PAGEREF _Toc145580804 \h </w:instrText>
      </w:r>
      <w:r>
        <w:rPr>
          <w:noProof/>
        </w:rPr>
      </w:r>
      <w:r>
        <w:rPr>
          <w:noProof/>
        </w:rPr>
        <w:fldChar w:fldCharType="separate"/>
      </w:r>
      <w:r w:rsidRPr="00B10D0E">
        <w:rPr>
          <w:noProof/>
          <w:lang w:val="de-DE"/>
        </w:rPr>
        <w:t>4</w:t>
      </w:r>
      <w:r>
        <w:rPr>
          <w:noProof/>
        </w:rPr>
        <w:fldChar w:fldCharType="end"/>
      </w:r>
    </w:p>
    <w:p w14:paraId="5FAB4B84" w14:textId="2FED8D73" w:rsidR="00B10D0E" w:rsidRPr="00B10D0E" w:rsidRDefault="00B10D0E">
      <w:pPr>
        <w:pStyle w:val="TOC3"/>
        <w:rPr>
          <w:rFonts w:asciiTheme="minorHAnsi" w:eastAsiaTheme="minorEastAsia" w:hAnsiTheme="minorHAnsi" w:cstheme="minorBidi"/>
          <w:noProof/>
          <w:sz w:val="22"/>
          <w:szCs w:val="22"/>
          <w:lang w:val="de-DE" w:eastAsia="en-GB"/>
        </w:rPr>
      </w:pPr>
      <w:r w:rsidRPr="00870F21">
        <w:rPr>
          <w:noProof/>
          <w:lang w:val="de-DE"/>
        </w:rPr>
        <w:t>Lotus (Nelumbo)</w:t>
      </w:r>
      <w:r w:rsidRPr="00B10D0E">
        <w:rPr>
          <w:noProof/>
          <w:lang w:val="de-DE"/>
        </w:rPr>
        <w:tab/>
      </w:r>
      <w:r>
        <w:rPr>
          <w:noProof/>
        </w:rPr>
        <w:fldChar w:fldCharType="begin"/>
      </w:r>
      <w:r w:rsidRPr="00B10D0E">
        <w:rPr>
          <w:noProof/>
          <w:lang w:val="de-DE"/>
        </w:rPr>
        <w:instrText xml:space="preserve"> PAGEREF _Toc145580805 \h </w:instrText>
      </w:r>
      <w:r>
        <w:rPr>
          <w:noProof/>
        </w:rPr>
      </w:r>
      <w:r>
        <w:rPr>
          <w:noProof/>
        </w:rPr>
        <w:fldChar w:fldCharType="separate"/>
      </w:r>
      <w:r w:rsidRPr="00B10D0E">
        <w:rPr>
          <w:noProof/>
          <w:lang w:val="de-DE"/>
        </w:rPr>
        <w:t>4</w:t>
      </w:r>
      <w:r>
        <w:rPr>
          <w:noProof/>
        </w:rPr>
        <w:fldChar w:fldCharType="end"/>
      </w:r>
    </w:p>
    <w:p w14:paraId="497CF70C" w14:textId="178BBD4F" w:rsidR="00B10D0E" w:rsidRPr="00B10D0E" w:rsidRDefault="00B10D0E">
      <w:pPr>
        <w:pStyle w:val="TOC2"/>
        <w:rPr>
          <w:rFonts w:asciiTheme="minorHAnsi" w:eastAsiaTheme="minorEastAsia" w:hAnsiTheme="minorHAnsi" w:cstheme="minorBidi"/>
          <w:noProof/>
          <w:sz w:val="22"/>
          <w:szCs w:val="22"/>
          <w:lang w:val="de-DE" w:eastAsia="en-GB"/>
        </w:rPr>
      </w:pPr>
      <w:r w:rsidRPr="00870F21">
        <w:rPr>
          <w:rFonts w:eastAsia="MS Mincho"/>
          <w:noProof/>
          <w:lang w:val="de-DE"/>
        </w:rPr>
        <w:t>Ziersorten von landwirtschaftlichen Kulturen, Obst- und Gemüsekulturen</w:t>
      </w:r>
      <w:r w:rsidRPr="00B10D0E">
        <w:rPr>
          <w:noProof/>
          <w:lang w:val="de-DE"/>
        </w:rPr>
        <w:tab/>
      </w:r>
      <w:r>
        <w:rPr>
          <w:noProof/>
        </w:rPr>
        <w:fldChar w:fldCharType="begin"/>
      </w:r>
      <w:r w:rsidRPr="00B10D0E">
        <w:rPr>
          <w:noProof/>
          <w:lang w:val="de-DE"/>
        </w:rPr>
        <w:instrText xml:space="preserve"> PAGEREF _Toc145580806 \h </w:instrText>
      </w:r>
      <w:r>
        <w:rPr>
          <w:noProof/>
        </w:rPr>
      </w:r>
      <w:r>
        <w:rPr>
          <w:noProof/>
        </w:rPr>
        <w:fldChar w:fldCharType="separate"/>
      </w:r>
      <w:r w:rsidRPr="00B10D0E">
        <w:rPr>
          <w:noProof/>
          <w:lang w:val="de-DE"/>
        </w:rPr>
        <w:t>5</w:t>
      </w:r>
      <w:r>
        <w:rPr>
          <w:noProof/>
        </w:rPr>
        <w:fldChar w:fldCharType="end"/>
      </w:r>
    </w:p>
    <w:p w14:paraId="0CC10065" w14:textId="5A1E5702" w:rsidR="00731616" w:rsidRPr="00B10D0E" w:rsidRDefault="00F15524">
      <w:pPr>
        <w:keepNext/>
        <w:rPr>
          <w:rFonts w:ascii="Calibri" w:hAnsi="Calibri"/>
          <w:noProof/>
          <w:sz w:val="22"/>
          <w:szCs w:val="22"/>
          <w:lang w:val="de-DE"/>
        </w:rPr>
      </w:pPr>
      <w:r>
        <w:rPr>
          <w:rFonts w:eastAsia="MS Mincho" w:cs="Arial"/>
          <w:caps/>
          <w:noProof/>
          <w:lang w:eastAsia="ja-JP"/>
        </w:rPr>
        <w:fldChar w:fldCharType="end"/>
      </w:r>
      <w:r w:rsidR="00372918" w:rsidRPr="00372918">
        <w:rPr>
          <w:caps/>
          <w:sz w:val="18"/>
        </w:rPr>
        <w:fldChar w:fldCharType="begin"/>
      </w:r>
      <w:r w:rsidR="00372918" w:rsidRPr="00B10D0E">
        <w:rPr>
          <w:lang w:val="de-DE"/>
        </w:rPr>
        <w:instrText xml:space="preserve"> TOC \o "1-3" \h \z \u </w:instrText>
      </w:r>
      <w:r w:rsidR="00372918" w:rsidRPr="00372918">
        <w:rPr>
          <w:caps/>
          <w:sz w:val="18"/>
        </w:rPr>
        <w:fldChar w:fldCharType="separate"/>
      </w:r>
    </w:p>
    <w:p w14:paraId="6338D68A" w14:textId="77777777" w:rsidR="00372918" w:rsidRPr="00B10D0E" w:rsidRDefault="00372918" w:rsidP="00372918">
      <w:pPr>
        <w:tabs>
          <w:tab w:val="left" w:pos="567"/>
        </w:tabs>
        <w:rPr>
          <w:rFonts w:cs="Arial"/>
          <w:lang w:val="de-DE"/>
        </w:rPr>
      </w:pPr>
      <w:r w:rsidRPr="00372918">
        <w:fldChar w:fldCharType="end"/>
      </w:r>
    </w:p>
    <w:p w14:paraId="168B60A6" w14:textId="77777777" w:rsidR="00731616" w:rsidRPr="009536B8" w:rsidRDefault="00F15524">
      <w:pPr>
        <w:keepNext/>
        <w:outlineLvl w:val="0"/>
        <w:rPr>
          <w:rFonts w:eastAsia="PMingLiU"/>
          <w:caps/>
          <w:szCs w:val="24"/>
          <w:lang w:val="de-DE"/>
        </w:rPr>
      </w:pPr>
      <w:bookmarkStart w:id="1" w:name="_Toc441497828"/>
      <w:bookmarkStart w:id="2" w:name="_Toc527377892"/>
      <w:bookmarkStart w:id="3" w:name="_Toc20505078"/>
      <w:bookmarkStart w:id="4" w:name="_Toc145580793"/>
      <w:r w:rsidRPr="009536B8">
        <w:rPr>
          <w:caps/>
          <w:lang w:val="de-DE"/>
        </w:rPr>
        <w:t>Fragen zur Information und für eine mögliche Entscheidung des Technischen Ausschusses (TC)</w:t>
      </w:r>
      <w:bookmarkEnd w:id="1"/>
      <w:bookmarkEnd w:id="2"/>
      <w:bookmarkEnd w:id="3"/>
      <w:bookmarkEnd w:id="4"/>
    </w:p>
    <w:p w14:paraId="7C078516" w14:textId="77777777" w:rsidR="00372918" w:rsidRPr="009536B8" w:rsidRDefault="00372918" w:rsidP="00372918">
      <w:pPr>
        <w:rPr>
          <w:lang w:val="de-DE"/>
        </w:rPr>
      </w:pPr>
    </w:p>
    <w:p w14:paraId="47899374" w14:textId="77777777" w:rsidR="00731616" w:rsidRPr="009536B8" w:rsidRDefault="00F15524">
      <w:pPr>
        <w:pStyle w:val="Heading2"/>
        <w:rPr>
          <w:lang w:val="de-DE"/>
        </w:rPr>
      </w:pPr>
      <w:bookmarkStart w:id="5" w:name="_Toc145580794"/>
      <w:r w:rsidRPr="009536B8">
        <w:rPr>
          <w:lang w:val="de-DE"/>
        </w:rPr>
        <w:t xml:space="preserve">Informationen über </w:t>
      </w:r>
      <w:proofErr w:type="spellStart"/>
      <w:r w:rsidRPr="009536B8">
        <w:rPr>
          <w:lang w:val="de-DE"/>
        </w:rPr>
        <w:t>Mutantensorten</w:t>
      </w:r>
      <w:proofErr w:type="spellEnd"/>
      <w:r w:rsidRPr="009536B8">
        <w:rPr>
          <w:lang w:val="de-DE"/>
        </w:rPr>
        <w:t xml:space="preserve"> von Apfel, die für die DUS-Prüfung nützlich sind</w:t>
      </w:r>
      <w:bookmarkEnd w:id="5"/>
    </w:p>
    <w:p w14:paraId="03EAA9BA" w14:textId="77777777" w:rsidR="00372918" w:rsidRPr="009536B8" w:rsidRDefault="00372918" w:rsidP="00372918">
      <w:pPr>
        <w:rPr>
          <w:lang w:val="de-DE"/>
        </w:rPr>
      </w:pPr>
    </w:p>
    <w:p w14:paraId="5C7DFD37" w14:textId="77777777" w:rsidR="00731616" w:rsidRPr="009536B8" w:rsidRDefault="00F15524">
      <w:pPr>
        <w:rPr>
          <w:lang w:val="de-DE"/>
        </w:rPr>
      </w:pPr>
      <w:r w:rsidRPr="00372918">
        <w:fldChar w:fldCharType="begin"/>
      </w:r>
      <w:r w:rsidRPr="009536B8">
        <w:rPr>
          <w:lang w:val="de-DE"/>
        </w:rPr>
        <w:instrText xml:space="preserve"> AUTONUM  </w:instrText>
      </w:r>
      <w:r w:rsidRPr="00372918">
        <w:fldChar w:fldCharType="end"/>
      </w:r>
      <w:r w:rsidRPr="009536B8">
        <w:rPr>
          <w:lang w:val="de-DE"/>
        </w:rPr>
        <w:tab/>
        <w:t>Die TWF</w:t>
      </w:r>
      <w:r w:rsidRPr="00372918">
        <w:rPr>
          <w:color w:val="000000"/>
          <w:vertAlign w:val="superscript"/>
        </w:rPr>
        <w:footnoteReference w:id="6"/>
      </w:r>
      <w:r w:rsidRPr="009536B8">
        <w:rPr>
          <w:lang w:val="de-DE"/>
        </w:rPr>
        <w:t xml:space="preserve"> prüfte das Dokument TWF/54/6, das von einem Sachverständigen der Europäischen Union vorgelegt wurde (vergleiche Dokument TWF/54/13 "Bericht", Absätze 21 bis 25).</w:t>
      </w:r>
    </w:p>
    <w:p w14:paraId="68680D1B" w14:textId="77777777" w:rsidR="00372918" w:rsidRPr="009536B8" w:rsidRDefault="00372918" w:rsidP="00372918">
      <w:pPr>
        <w:rPr>
          <w:lang w:val="de-DE"/>
        </w:rPr>
      </w:pPr>
    </w:p>
    <w:p w14:paraId="7ACBB4C0" w14:textId="77777777" w:rsidR="00731616" w:rsidRPr="009536B8" w:rsidRDefault="00F15524">
      <w:pPr>
        <w:rPr>
          <w:rFonts w:eastAsia="Cambria"/>
          <w:lang w:val="de-DE"/>
        </w:rPr>
      </w:pPr>
      <w:r w:rsidRPr="00372918">
        <w:fldChar w:fldCharType="begin"/>
      </w:r>
      <w:r w:rsidRPr="009536B8">
        <w:rPr>
          <w:lang w:val="de-DE"/>
        </w:rPr>
        <w:instrText xml:space="preserve"> AUTONUM  </w:instrText>
      </w:r>
      <w:r w:rsidRPr="00372918">
        <w:fldChar w:fldCharType="end"/>
      </w:r>
      <w:r w:rsidRPr="009536B8">
        <w:rPr>
          <w:lang w:val="de-DE"/>
        </w:rPr>
        <w:tab/>
      </w:r>
      <w:r w:rsidRPr="009536B8">
        <w:rPr>
          <w:lang w:val="de-DE" w:eastAsia="fr-FR"/>
        </w:rPr>
        <w:t xml:space="preserve">Die TWF nahm den früheren Informationsaustausch über Anträge und eingetragene Sorten in einigen Apfelmutationsgruppen </w:t>
      </w:r>
      <w:r w:rsidRPr="009536B8">
        <w:rPr>
          <w:rFonts w:eastAsia="Cambria"/>
          <w:lang w:val="de-DE"/>
        </w:rPr>
        <w:t xml:space="preserve">mittels einer Tabelle zur </w:t>
      </w:r>
      <w:r w:rsidRPr="009536B8">
        <w:rPr>
          <w:lang w:val="de-DE" w:eastAsia="fr-FR"/>
        </w:rPr>
        <w:t>Kenntnis</w:t>
      </w:r>
      <w:r w:rsidRPr="009536B8">
        <w:rPr>
          <w:rFonts w:eastAsia="Cambria"/>
          <w:lang w:val="de-DE"/>
        </w:rPr>
        <w:t>, die per E-Mail an TWF-Sachverständige verbreitet wurde.</w:t>
      </w:r>
    </w:p>
    <w:p w14:paraId="73E211D3" w14:textId="77777777" w:rsidR="00372918" w:rsidRPr="009536B8" w:rsidRDefault="00372918" w:rsidP="00372918">
      <w:pPr>
        <w:rPr>
          <w:rFonts w:eastAsia="Cambria"/>
          <w:lang w:val="de-DE"/>
        </w:rPr>
      </w:pPr>
    </w:p>
    <w:p w14:paraId="42D2B108" w14:textId="77777777" w:rsidR="00731616" w:rsidRPr="009536B8" w:rsidRDefault="00F15524">
      <w:pPr>
        <w:rPr>
          <w:rFonts w:eastAsia="Cambria"/>
          <w:lang w:val="de-DE"/>
        </w:rPr>
      </w:pPr>
      <w:r w:rsidRPr="00372918">
        <w:rPr>
          <w:rFonts w:eastAsia="Cambria"/>
        </w:rPr>
        <w:fldChar w:fldCharType="begin"/>
      </w:r>
      <w:r w:rsidRPr="009536B8">
        <w:rPr>
          <w:rFonts w:eastAsia="Cambria"/>
          <w:lang w:val="de-DE"/>
        </w:rPr>
        <w:instrText xml:space="preserve"> AUTONUM  </w:instrText>
      </w:r>
      <w:r w:rsidRPr="00372918">
        <w:rPr>
          <w:rFonts w:eastAsia="Cambria"/>
        </w:rPr>
        <w:fldChar w:fldCharType="end"/>
      </w:r>
      <w:r w:rsidRPr="009536B8">
        <w:rPr>
          <w:rFonts w:eastAsia="Cambria"/>
          <w:lang w:val="de-DE"/>
        </w:rPr>
        <w:tab/>
        <w:t xml:space="preserve">Die TWF vereinbarte, die Behörden aufzufordern, bei der Einreichung eines Antrags für eine </w:t>
      </w:r>
      <w:proofErr w:type="spellStart"/>
      <w:r w:rsidRPr="009536B8">
        <w:rPr>
          <w:rFonts w:eastAsia="Cambria"/>
          <w:lang w:val="de-DE"/>
        </w:rPr>
        <w:t>Mutantensorte</w:t>
      </w:r>
      <w:proofErr w:type="spellEnd"/>
      <w:r w:rsidRPr="009536B8">
        <w:rPr>
          <w:rFonts w:eastAsia="Cambria"/>
          <w:lang w:val="de-DE"/>
        </w:rPr>
        <w:t xml:space="preserve"> von Apfel die folgenden Informationen zu erteilen, einschließlich der Muttersorte oder der Sortengruppe: </w:t>
      </w:r>
    </w:p>
    <w:p w14:paraId="27DE509B" w14:textId="77777777" w:rsidR="00372918" w:rsidRPr="009536B8" w:rsidRDefault="00372918" w:rsidP="00372918">
      <w:pPr>
        <w:rPr>
          <w:rFonts w:eastAsia="Cambria"/>
          <w:lang w:val="de-DE"/>
        </w:rPr>
      </w:pPr>
    </w:p>
    <w:p w14:paraId="16C715D7" w14:textId="77777777" w:rsidR="00731616" w:rsidRDefault="00F15524">
      <w:pPr>
        <w:numPr>
          <w:ilvl w:val="0"/>
          <w:numId w:val="2"/>
        </w:numPr>
        <w:ind w:left="1134" w:hanging="567"/>
        <w:contextualSpacing/>
        <w:rPr>
          <w:rFonts w:eastAsia="MS Mincho" w:cs="Arial"/>
          <w:lang w:eastAsia="en-GB"/>
        </w:rPr>
      </w:pPr>
      <w:r w:rsidRPr="00372918">
        <w:rPr>
          <w:rFonts w:eastAsia="MS Mincho" w:cs="Arial"/>
          <w:lang w:eastAsia="en-GB"/>
        </w:rPr>
        <w:t>Land</w:t>
      </w:r>
    </w:p>
    <w:p w14:paraId="6E9D902D" w14:textId="77777777" w:rsidR="00731616" w:rsidRDefault="00F15524">
      <w:pPr>
        <w:numPr>
          <w:ilvl w:val="0"/>
          <w:numId w:val="2"/>
        </w:numPr>
        <w:ind w:left="1134" w:hanging="567"/>
        <w:contextualSpacing/>
        <w:rPr>
          <w:rFonts w:eastAsia="MS Mincho" w:cs="Arial"/>
          <w:lang w:eastAsia="en-GB"/>
        </w:rPr>
      </w:pPr>
      <w:proofErr w:type="spellStart"/>
      <w:r w:rsidRPr="00372918">
        <w:rPr>
          <w:rFonts w:eastAsia="MS Mincho" w:cs="Arial"/>
          <w:lang w:eastAsia="en-GB"/>
        </w:rPr>
        <w:t>Referenz</w:t>
      </w:r>
      <w:proofErr w:type="spellEnd"/>
      <w:r w:rsidRPr="00372918">
        <w:rPr>
          <w:rFonts w:eastAsia="MS Mincho" w:cs="Arial"/>
          <w:lang w:eastAsia="en-GB"/>
        </w:rPr>
        <w:t xml:space="preserve"> des </w:t>
      </w:r>
      <w:proofErr w:type="spellStart"/>
      <w:r w:rsidRPr="00372918">
        <w:rPr>
          <w:rFonts w:eastAsia="MS Mincho" w:cs="Arial"/>
          <w:lang w:eastAsia="en-GB"/>
        </w:rPr>
        <w:t>Züchters</w:t>
      </w:r>
      <w:proofErr w:type="spellEnd"/>
    </w:p>
    <w:p w14:paraId="2DB0FB98" w14:textId="77777777" w:rsidR="00731616" w:rsidRDefault="00F15524">
      <w:pPr>
        <w:numPr>
          <w:ilvl w:val="0"/>
          <w:numId w:val="2"/>
        </w:numPr>
        <w:ind w:left="1134" w:hanging="567"/>
        <w:contextualSpacing/>
        <w:rPr>
          <w:rFonts w:eastAsia="MS Mincho" w:cs="Arial"/>
          <w:lang w:eastAsia="en-GB"/>
        </w:rPr>
      </w:pPr>
      <w:proofErr w:type="spellStart"/>
      <w:r w:rsidRPr="00372918">
        <w:rPr>
          <w:rFonts w:eastAsia="MS Mincho" w:cs="Arial"/>
          <w:lang w:eastAsia="en-GB"/>
        </w:rPr>
        <w:t>Stückelung</w:t>
      </w:r>
      <w:proofErr w:type="spellEnd"/>
      <w:r w:rsidRPr="00372918">
        <w:rPr>
          <w:rFonts w:eastAsia="MS Mincho" w:cs="Arial"/>
          <w:lang w:eastAsia="en-GB"/>
        </w:rPr>
        <w:t xml:space="preserve"> </w:t>
      </w:r>
    </w:p>
    <w:p w14:paraId="79B0C9C3" w14:textId="77777777" w:rsidR="00731616" w:rsidRDefault="00F15524">
      <w:pPr>
        <w:numPr>
          <w:ilvl w:val="0"/>
          <w:numId w:val="2"/>
        </w:numPr>
        <w:ind w:left="1134" w:hanging="567"/>
        <w:contextualSpacing/>
        <w:rPr>
          <w:rFonts w:eastAsia="MS Mincho" w:cs="Arial"/>
          <w:lang w:eastAsia="en-GB"/>
        </w:rPr>
      </w:pPr>
      <w:proofErr w:type="spellStart"/>
      <w:r w:rsidRPr="00372918">
        <w:rPr>
          <w:rFonts w:eastAsia="MS Mincho" w:cs="Arial"/>
          <w:lang w:eastAsia="en-GB"/>
        </w:rPr>
        <w:t>Eltern</w:t>
      </w:r>
      <w:proofErr w:type="spellEnd"/>
      <w:r w:rsidRPr="00372918">
        <w:rPr>
          <w:rFonts w:eastAsia="MS Mincho" w:cs="Arial"/>
          <w:lang w:eastAsia="en-GB"/>
        </w:rPr>
        <w:t xml:space="preserve"> </w:t>
      </w:r>
      <w:proofErr w:type="spellStart"/>
      <w:r w:rsidRPr="00372918">
        <w:rPr>
          <w:rFonts w:eastAsia="MS Mincho" w:cs="Arial"/>
          <w:lang w:eastAsia="en-GB"/>
        </w:rPr>
        <w:t>Sorte</w:t>
      </w:r>
      <w:proofErr w:type="spellEnd"/>
      <w:r w:rsidRPr="00372918">
        <w:rPr>
          <w:rFonts w:eastAsia="MS Mincho" w:cs="Arial"/>
          <w:lang w:eastAsia="en-GB"/>
        </w:rPr>
        <w:t xml:space="preserve"> </w:t>
      </w:r>
      <w:proofErr w:type="spellStart"/>
      <w:r w:rsidRPr="00372918">
        <w:rPr>
          <w:rFonts w:eastAsia="MS Mincho" w:cs="Arial"/>
          <w:lang w:eastAsia="en-GB"/>
        </w:rPr>
        <w:t>oder</w:t>
      </w:r>
      <w:proofErr w:type="spellEnd"/>
      <w:r w:rsidRPr="00372918">
        <w:rPr>
          <w:rFonts w:eastAsia="MS Mincho" w:cs="Arial"/>
          <w:lang w:eastAsia="en-GB"/>
        </w:rPr>
        <w:t xml:space="preserve"> Gruppe</w:t>
      </w:r>
    </w:p>
    <w:p w14:paraId="0E392BFD" w14:textId="77777777" w:rsidR="00731616" w:rsidRDefault="00F15524">
      <w:pPr>
        <w:numPr>
          <w:ilvl w:val="0"/>
          <w:numId w:val="2"/>
        </w:numPr>
        <w:ind w:left="1134" w:hanging="567"/>
        <w:contextualSpacing/>
        <w:rPr>
          <w:rFonts w:eastAsia="MS Mincho" w:cs="Arial"/>
          <w:lang w:eastAsia="en-GB"/>
        </w:rPr>
      </w:pPr>
      <w:r w:rsidRPr="00372918">
        <w:rPr>
          <w:rFonts w:eastAsia="MS Mincho" w:cs="Arial"/>
          <w:lang w:eastAsia="en-GB"/>
        </w:rPr>
        <w:t xml:space="preserve">Art des </w:t>
      </w:r>
      <w:proofErr w:type="spellStart"/>
      <w:r w:rsidRPr="00372918">
        <w:rPr>
          <w:rFonts w:eastAsia="MS Mincho" w:cs="Arial"/>
          <w:lang w:eastAsia="en-GB"/>
        </w:rPr>
        <w:t>Verfahrens</w:t>
      </w:r>
      <w:proofErr w:type="spellEnd"/>
      <w:r w:rsidRPr="00372918">
        <w:rPr>
          <w:rFonts w:eastAsia="MS Mincho" w:cs="Arial"/>
          <w:lang w:eastAsia="en-GB"/>
        </w:rPr>
        <w:t xml:space="preserve">: </w:t>
      </w:r>
      <w:proofErr w:type="spellStart"/>
      <w:r w:rsidRPr="00372918">
        <w:rPr>
          <w:rFonts w:eastAsia="MS Mincho" w:cs="Arial"/>
          <w:lang w:eastAsia="en-GB"/>
        </w:rPr>
        <w:t>Züchterrecht</w:t>
      </w:r>
      <w:proofErr w:type="spellEnd"/>
      <w:r w:rsidRPr="00372918">
        <w:rPr>
          <w:rFonts w:eastAsia="MS Mincho" w:cs="Arial"/>
          <w:lang w:eastAsia="en-GB"/>
        </w:rPr>
        <w:t>/</w:t>
      </w:r>
      <w:proofErr w:type="spellStart"/>
      <w:r w:rsidRPr="00372918">
        <w:rPr>
          <w:rFonts w:eastAsia="MS Mincho" w:cs="Arial"/>
          <w:lang w:eastAsia="en-GB"/>
        </w:rPr>
        <w:t>Sonstiges</w:t>
      </w:r>
      <w:proofErr w:type="spellEnd"/>
    </w:p>
    <w:p w14:paraId="42593CFC" w14:textId="77777777" w:rsidR="00731616" w:rsidRPr="009536B8" w:rsidRDefault="00F15524">
      <w:pPr>
        <w:numPr>
          <w:ilvl w:val="0"/>
          <w:numId w:val="2"/>
        </w:numPr>
        <w:ind w:left="1134" w:hanging="567"/>
        <w:contextualSpacing/>
        <w:rPr>
          <w:rFonts w:eastAsia="MS Mincho" w:cs="Arial"/>
          <w:lang w:val="de-DE" w:eastAsia="en-GB"/>
        </w:rPr>
      </w:pPr>
      <w:r w:rsidRPr="009536B8">
        <w:rPr>
          <w:rFonts w:eastAsia="MS Mincho" w:cs="Arial"/>
          <w:lang w:val="de-DE" w:eastAsia="en-GB"/>
        </w:rPr>
        <w:t>Status der Sorte: beantragt/eingetragen/zurückgewiesen/beendet</w:t>
      </w:r>
    </w:p>
    <w:p w14:paraId="74857299" w14:textId="77777777" w:rsidR="00731616" w:rsidRPr="009536B8" w:rsidRDefault="00F15524">
      <w:pPr>
        <w:numPr>
          <w:ilvl w:val="0"/>
          <w:numId w:val="2"/>
        </w:numPr>
        <w:ind w:left="1134" w:hanging="567"/>
        <w:contextualSpacing/>
        <w:rPr>
          <w:rFonts w:eastAsia="MS Mincho" w:cs="Arial"/>
          <w:lang w:val="de-DE" w:eastAsia="en-GB"/>
        </w:rPr>
      </w:pPr>
      <w:r w:rsidRPr="009536B8">
        <w:rPr>
          <w:rFonts w:eastAsia="MS Mincho" w:cs="Arial"/>
          <w:lang w:val="de-DE" w:eastAsia="en-GB"/>
        </w:rPr>
        <w:t>Datum der Anmeldung (falls zutreffend)</w:t>
      </w:r>
    </w:p>
    <w:p w14:paraId="3E8A5CBB" w14:textId="77777777" w:rsidR="00731616" w:rsidRPr="009536B8" w:rsidRDefault="00F15524">
      <w:pPr>
        <w:numPr>
          <w:ilvl w:val="0"/>
          <w:numId w:val="2"/>
        </w:numPr>
        <w:ind w:left="1134" w:hanging="567"/>
        <w:contextualSpacing/>
        <w:rPr>
          <w:rFonts w:eastAsia="MS Mincho" w:cs="Arial"/>
          <w:lang w:val="de-DE" w:eastAsia="en-GB"/>
        </w:rPr>
      </w:pPr>
      <w:r w:rsidRPr="009536B8">
        <w:rPr>
          <w:rFonts w:eastAsia="MS Mincho" w:cs="Arial"/>
          <w:lang w:val="de-DE" w:eastAsia="en-GB"/>
        </w:rPr>
        <w:t>Datum der Zuteilung (falls zutreffend)</w:t>
      </w:r>
    </w:p>
    <w:p w14:paraId="5D14433B" w14:textId="77777777" w:rsidR="00731616" w:rsidRDefault="00F15524">
      <w:pPr>
        <w:numPr>
          <w:ilvl w:val="0"/>
          <w:numId w:val="2"/>
        </w:numPr>
        <w:ind w:left="1134" w:hanging="567"/>
        <w:contextualSpacing/>
        <w:rPr>
          <w:rFonts w:eastAsia="MS Mincho" w:cs="Arial"/>
          <w:lang w:eastAsia="en-GB"/>
        </w:rPr>
      </w:pPr>
      <w:r w:rsidRPr="00372918">
        <w:rPr>
          <w:rFonts w:eastAsia="MS Mincho" w:cs="Arial"/>
          <w:lang w:eastAsia="en-GB"/>
        </w:rPr>
        <w:t xml:space="preserve">Name des </w:t>
      </w:r>
      <w:proofErr w:type="spellStart"/>
      <w:r w:rsidRPr="00372918">
        <w:rPr>
          <w:rFonts w:eastAsia="MS Mincho" w:cs="Arial"/>
          <w:lang w:eastAsia="en-GB"/>
        </w:rPr>
        <w:t>Titelinhabers</w:t>
      </w:r>
      <w:proofErr w:type="spellEnd"/>
    </w:p>
    <w:p w14:paraId="6D640B58" w14:textId="77777777" w:rsidR="00731616" w:rsidRDefault="00F15524">
      <w:pPr>
        <w:numPr>
          <w:ilvl w:val="0"/>
          <w:numId w:val="2"/>
        </w:numPr>
        <w:ind w:left="1134" w:hanging="567"/>
        <w:contextualSpacing/>
        <w:rPr>
          <w:rFonts w:eastAsia="MS Mincho" w:cs="Arial"/>
          <w:lang w:eastAsia="en-GB"/>
        </w:rPr>
      </w:pPr>
      <w:proofErr w:type="spellStart"/>
      <w:r w:rsidRPr="00372918">
        <w:rPr>
          <w:rFonts w:eastAsia="MS Mincho" w:cs="Arial"/>
          <w:lang w:eastAsia="en-GB"/>
        </w:rPr>
        <w:t>Kommerzielle</w:t>
      </w:r>
      <w:proofErr w:type="spellEnd"/>
      <w:r w:rsidRPr="00372918">
        <w:rPr>
          <w:rFonts w:eastAsia="MS Mincho" w:cs="Arial"/>
          <w:lang w:eastAsia="en-GB"/>
        </w:rPr>
        <w:t xml:space="preserve"> </w:t>
      </w:r>
      <w:proofErr w:type="spellStart"/>
      <w:r w:rsidRPr="00372918">
        <w:rPr>
          <w:rFonts w:eastAsia="MS Mincho" w:cs="Arial"/>
          <w:lang w:eastAsia="en-GB"/>
        </w:rPr>
        <w:t>Synonyme</w:t>
      </w:r>
      <w:proofErr w:type="spellEnd"/>
    </w:p>
    <w:p w14:paraId="321411CD" w14:textId="77777777" w:rsidR="00372918" w:rsidRPr="00372918" w:rsidRDefault="00372918" w:rsidP="00372918">
      <w:pPr>
        <w:rPr>
          <w:rFonts w:eastAsia="Cambria"/>
        </w:rPr>
      </w:pPr>
    </w:p>
    <w:p w14:paraId="46FBAF6D" w14:textId="6ADD6F1B" w:rsidR="00731616" w:rsidRPr="009536B8" w:rsidRDefault="00F15524">
      <w:pPr>
        <w:rPr>
          <w:rFonts w:eastAsia="Cambria"/>
          <w:lang w:val="de-DE"/>
        </w:rPr>
      </w:pPr>
      <w:r w:rsidRPr="00372918">
        <w:rPr>
          <w:rFonts w:eastAsia="Cambria"/>
        </w:rPr>
        <w:fldChar w:fldCharType="begin"/>
      </w:r>
      <w:r w:rsidRPr="009536B8">
        <w:rPr>
          <w:rFonts w:eastAsia="Cambria"/>
          <w:lang w:val="de-DE"/>
        </w:rPr>
        <w:instrText xml:space="preserve"> AUTONUM  </w:instrText>
      </w:r>
      <w:r w:rsidRPr="00372918">
        <w:rPr>
          <w:rFonts w:eastAsia="Cambria"/>
        </w:rPr>
        <w:fldChar w:fldCharType="end"/>
      </w:r>
      <w:r w:rsidRPr="009536B8">
        <w:rPr>
          <w:rFonts w:eastAsia="Cambria"/>
          <w:lang w:val="de-DE"/>
        </w:rPr>
        <w:tab/>
        <w:t xml:space="preserve">Die TWF vereinbarte, </w:t>
      </w:r>
      <w:r w:rsidR="00522D47" w:rsidRPr="009536B8">
        <w:rPr>
          <w:rFonts w:eastAsia="Cambria"/>
          <w:lang w:val="de-DE"/>
        </w:rPr>
        <w:t>dass</w:t>
      </w:r>
      <w:r w:rsidRPr="009536B8">
        <w:rPr>
          <w:rFonts w:eastAsia="Cambria"/>
          <w:lang w:val="de-DE"/>
        </w:rPr>
        <w:t xml:space="preserve"> alle Informationen über Abstammung oder Sortengruppen als vertrauliche Informationen behandelt und nicht außerhalb der teilnehmenden Sortenschutzämter zugänglich gemacht werden sollten. Die TWF räumte ein, </w:t>
      </w:r>
      <w:r w:rsidR="00522D47" w:rsidRPr="009536B8">
        <w:rPr>
          <w:rFonts w:eastAsia="Cambria"/>
          <w:lang w:val="de-DE"/>
        </w:rPr>
        <w:t>dass</w:t>
      </w:r>
      <w:r w:rsidRPr="009536B8">
        <w:rPr>
          <w:rFonts w:eastAsia="Cambria"/>
          <w:lang w:val="de-DE"/>
        </w:rPr>
        <w:t xml:space="preserve"> nicht alle Behörden in der Lage sein würden, Informationen aufgrund von Einschränkungen bei der Offenlegung von Informationen über Abstammung oder Sortengruppen einzureichen, bevor die Informationen öffentlich zugänglich sind. </w:t>
      </w:r>
    </w:p>
    <w:p w14:paraId="4085CD27" w14:textId="77777777" w:rsidR="00372918" w:rsidRPr="009536B8" w:rsidRDefault="00372918" w:rsidP="00372918">
      <w:pPr>
        <w:rPr>
          <w:rFonts w:eastAsia="Cambria"/>
          <w:lang w:val="de-DE"/>
        </w:rPr>
      </w:pPr>
    </w:p>
    <w:p w14:paraId="681C21DD" w14:textId="27D675E1" w:rsidR="00731616" w:rsidRPr="009536B8" w:rsidRDefault="00F15524">
      <w:pPr>
        <w:keepLines/>
        <w:contextualSpacing/>
        <w:rPr>
          <w:rFonts w:eastAsia="Cambria" w:cs="Arial"/>
          <w:lang w:val="de-DE"/>
        </w:rPr>
      </w:pPr>
      <w:r w:rsidRPr="00372918">
        <w:rPr>
          <w:rFonts w:eastAsia="Cambria" w:cs="Arial"/>
        </w:rPr>
        <w:lastRenderedPageBreak/>
        <w:fldChar w:fldCharType="begin"/>
      </w:r>
      <w:r w:rsidRPr="009536B8">
        <w:rPr>
          <w:rFonts w:eastAsia="Cambria" w:cs="Arial"/>
          <w:lang w:val="de-DE"/>
        </w:rPr>
        <w:instrText xml:space="preserve"> AUTONUM  </w:instrText>
      </w:r>
      <w:r w:rsidRPr="00372918">
        <w:rPr>
          <w:rFonts w:eastAsia="Cambria" w:cs="Arial"/>
        </w:rPr>
        <w:fldChar w:fldCharType="end"/>
      </w:r>
      <w:r w:rsidRPr="009536B8">
        <w:rPr>
          <w:rFonts w:eastAsia="Cambria" w:cs="Arial"/>
          <w:lang w:val="de-DE"/>
        </w:rPr>
        <w:tab/>
        <w:t xml:space="preserve">Die TWF prüfte Optionen für die Bereitstellung der Informationen über </w:t>
      </w:r>
      <w:proofErr w:type="spellStart"/>
      <w:r w:rsidRPr="009536B8">
        <w:rPr>
          <w:rFonts w:eastAsia="Cambria" w:cs="Arial"/>
          <w:lang w:val="de-DE"/>
        </w:rPr>
        <w:t>Mutantensorten</w:t>
      </w:r>
      <w:proofErr w:type="spellEnd"/>
      <w:r w:rsidRPr="009536B8">
        <w:rPr>
          <w:rFonts w:eastAsia="Cambria" w:cs="Arial"/>
          <w:lang w:val="de-DE"/>
        </w:rPr>
        <w:t xml:space="preserve"> von Apfel und vereinbarte, </w:t>
      </w:r>
      <w:r w:rsidR="00522D47" w:rsidRPr="009536B8">
        <w:rPr>
          <w:rFonts w:eastAsia="Cambria" w:cs="Arial"/>
          <w:lang w:val="de-DE"/>
        </w:rPr>
        <w:t>dass</w:t>
      </w:r>
      <w:r w:rsidRPr="009536B8">
        <w:rPr>
          <w:rFonts w:eastAsia="Cambria" w:cs="Arial"/>
          <w:lang w:val="de-DE"/>
        </w:rPr>
        <w:t xml:space="preserve"> ein eingeschränkter Bereich auf der UPOV-Website vorzuziehen sei.  </w:t>
      </w:r>
      <w:r w:rsidRPr="009536B8">
        <w:rPr>
          <w:rFonts w:eastAsia="MS Mincho" w:cs="Arial"/>
          <w:lang w:val="de-DE"/>
        </w:rPr>
        <w:t xml:space="preserve">Die TWF vereinbarte, das Verbandsbüro zu ersuchen, Möglichkeiten zu prüfen, um eine bearbeitbare Version der Tabelle auf der UPOV-Website für die Einreichung von Daten zur Verfügung zu stellen (z. B. "SharePoint").  Die </w:t>
      </w:r>
      <w:r w:rsidRPr="009536B8">
        <w:rPr>
          <w:rFonts w:eastAsia="Cambria" w:cs="Arial"/>
          <w:lang w:val="de-DE"/>
        </w:rPr>
        <w:t xml:space="preserve">TWF vereinbarte, </w:t>
      </w:r>
      <w:r w:rsidR="00522D47" w:rsidRPr="009536B8">
        <w:rPr>
          <w:rFonts w:eastAsia="Cambria" w:cs="Arial"/>
          <w:lang w:val="de-DE"/>
        </w:rPr>
        <w:t>dass</w:t>
      </w:r>
      <w:r w:rsidRPr="009536B8">
        <w:rPr>
          <w:rFonts w:eastAsia="Cambria" w:cs="Arial"/>
          <w:lang w:val="de-DE"/>
        </w:rPr>
        <w:t xml:space="preserve"> der eingeschränkte Bereich auf der Website auch das Hochladen von technischen Fragebögen oder Sortenbeschreibungen ermöglichen sollte. </w:t>
      </w:r>
    </w:p>
    <w:p w14:paraId="1A4C0D2E" w14:textId="77777777" w:rsidR="00372918" w:rsidRPr="009536B8" w:rsidRDefault="00372918" w:rsidP="00372918">
      <w:pPr>
        <w:rPr>
          <w:lang w:val="de-DE"/>
        </w:rPr>
      </w:pPr>
    </w:p>
    <w:p w14:paraId="72A254C8" w14:textId="47F5505D" w:rsidR="00731616" w:rsidRPr="009536B8" w:rsidRDefault="00F15524">
      <w:pPr>
        <w:keepNext/>
        <w:keepLines/>
        <w:tabs>
          <w:tab w:val="left" w:pos="5387"/>
        </w:tabs>
        <w:ind w:left="4820"/>
        <w:rPr>
          <w:i/>
          <w:lang w:val="de-DE" w:eastAsia="fr-FR"/>
        </w:rPr>
      </w:pPr>
      <w:r w:rsidRPr="00372918">
        <w:rPr>
          <w:i/>
        </w:rPr>
        <w:fldChar w:fldCharType="begin"/>
      </w:r>
      <w:r w:rsidRPr="009536B8">
        <w:rPr>
          <w:i/>
          <w:lang w:val="de-DE"/>
        </w:rPr>
        <w:instrText xml:space="preserve"> AUTONUM  </w:instrText>
      </w:r>
      <w:r w:rsidRPr="00372918">
        <w:rPr>
          <w:i/>
        </w:rPr>
        <w:fldChar w:fldCharType="end"/>
      </w:r>
      <w:r w:rsidRPr="009536B8">
        <w:rPr>
          <w:i/>
          <w:lang w:val="de-DE"/>
        </w:rPr>
        <w:tab/>
        <w:t xml:space="preserve">Der TC wird ersucht, den Vorschlag zu prüfen, den </w:t>
      </w:r>
      <w:r w:rsidRPr="009536B8">
        <w:rPr>
          <w:i/>
          <w:lang w:val="de-DE" w:eastAsia="fr-FR"/>
        </w:rPr>
        <w:t xml:space="preserve">Informationsaustausch über </w:t>
      </w:r>
      <w:proofErr w:type="spellStart"/>
      <w:r w:rsidRPr="009536B8">
        <w:rPr>
          <w:i/>
          <w:lang w:val="de-DE" w:eastAsia="fr-FR"/>
        </w:rPr>
        <w:t>Mutantensorten</w:t>
      </w:r>
      <w:proofErr w:type="spellEnd"/>
      <w:r w:rsidRPr="009536B8">
        <w:rPr>
          <w:i/>
          <w:lang w:val="de-DE" w:eastAsia="fr-FR"/>
        </w:rPr>
        <w:t xml:space="preserve"> von Apfel zu</w:t>
      </w:r>
      <w:r w:rsidR="00C864E3">
        <w:rPr>
          <w:i/>
          <w:lang w:val="de-DE" w:eastAsia="fr-FR"/>
        </w:rPr>
        <w:t xml:space="preserve"> </w:t>
      </w:r>
      <w:r w:rsidRPr="009536B8">
        <w:rPr>
          <w:i/>
          <w:lang w:val="de-DE"/>
        </w:rPr>
        <w:t>unterstützen</w:t>
      </w:r>
      <w:r w:rsidRPr="009536B8">
        <w:rPr>
          <w:i/>
          <w:lang w:val="de-DE" w:eastAsia="fr-FR"/>
        </w:rPr>
        <w:t xml:space="preserve">, wie in den </w:t>
      </w:r>
      <w:r w:rsidRPr="00120751">
        <w:rPr>
          <w:i/>
          <w:lang w:val="de-DE" w:eastAsia="fr-FR"/>
        </w:rPr>
        <w:t xml:space="preserve">Absätzen 6 bis 10 </w:t>
      </w:r>
      <w:r w:rsidRPr="009536B8">
        <w:rPr>
          <w:i/>
          <w:lang w:val="de-DE" w:eastAsia="fr-FR"/>
        </w:rPr>
        <w:t>dieses Dokuments dargelegt.</w:t>
      </w:r>
    </w:p>
    <w:p w14:paraId="589B69E7" w14:textId="77777777" w:rsidR="00D62C7A" w:rsidRPr="009536B8" w:rsidRDefault="00D62C7A" w:rsidP="00BF1B0A">
      <w:pPr>
        <w:rPr>
          <w:lang w:val="de-DE"/>
        </w:rPr>
      </w:pPr>
    </w:p>
    <w:p w14:paraId="5D3A9676" w14:textId="77777777" w:rsidR="00804AEC" w:rsidRPr="009536B8" w:rsidRDefault="00804AEC" w:rsidP="00804AEC">
      <w:pPr>
        <w:rPr>
          <w:lang w:val="de-DE"/>
        </w:rPr>
      </w:pPr>
    </w:p>
    <w:p w14:paraId="2BAB1B03" w14:textId="77777777" w:rsidR="00731616" w:rsidRPr="009536B8" w:rsidRDefault="00F15524">
      <w:pPr>
        <w:keepNext/>
        <w:outlineLvl w:val="0"/>
        <w:rPr>
          <w:caps/>
          <w:lang w:val="de-DE"/>
        </w:rPr>
      </w:pPr>
      <w:bookmarkStart w:id="6" w:name="_Toc441497830"/>
      <w:bookmarkStart w:id="7" w:name="_Toc527377899"/>
      <w:bookmarkStart w:id="8" w:name="_Toc20505079"/>
      <w:bookmarkStart w:id="9" w:name="_Toc141461052"/>
      <w:bookmarkStart w:id="10" w:name="_Toc141461212"/>
      <w:bookmarkStart w:id="11" w:name="_Toc145580795"/>
      <w:r w:rsidRPr="009536B8">
        <w:rPr>
          <w:caps/>
          <w:lang w:val="de-DE"/>
        </w:rPr>
        <w:t>Fragen zur Information</w:t>
      </w:r>
      <w:bookmarkEnd w:id="6"/>
      <w:bookmarkEnd w:id="7"/>
      <w:bookmarkEnd w:id="8"/>
      <w:bookmarkEnd w:id="9"/>
      <w:bookmarkEnd w:id="10"/>
      <w:bookmarkEnd w:id="11"/>
    </w:p>
    <w:p w14:paraId="5E381C60" w14:textId="77777777" w:rsidR="00BF1B0A" w:rsidRPr="009536B8" w:rsidRDefault="00BF1B0A" w:rsidP="00BF1B0A">
      <w:pPr>
        <w:jc w:val="left"/>
        <w:rPr>
          <w:lang w:val="de-DE"/>
        </w:rPr>
      </w:pPr>
    </w:p>
    <w:p w14:paraId="29A58A5C" w14:textId="77777777" w:rsidR="00731616" w:rsidRPr="009536B8" w:rsidRDefault="00F15524">
      <w:pPr>
        <w:pStyle w:val="Heading2"/>
        <w:rPr>
          <w:highlight w:val="cyan"/>
          <w:lang w:val="de-DE"/>
        </w:rPr>
      </w:pPr>
      <w:bookmarkStart w:id="12" w:name="_Toc141461053"/>
      <w:bookmarkStart w:id="13" w:name="_Toc141461213"/>
      <w:bookmarkStart w:id="14" w:name="_Toc145580796"/>
      <w:r w:rsidRPr="009536B8">
        <w:rPr>
          <w:rFonts w:eastAsia="MS Mincho"/>
          <w:lang w:val="de-DE"/>
        </w:rPr>
        <w:t>Bewertung der Unterscheidbarkeit bei Krankheitsresistenzmerkmalen</w:t>
      </w:r>
      <w:bookmarkEnd w:id="12"/>
      <w:bookmarkEnd w:id="13"/>
      <w:bookmarkEnd w:id="14"/>
    </w:p>
    <w:p w14:paraId="4EB9AC16" w14:textId="77777777" w:rsidR="00BF1B0A" w:rsidRPr="009536B8" w:rsidRDefault="00BF1B0A" w:rsidP="00BF1B0A">
      <w:pPr>
        <w:pStyle w:val="Heading2"/>
        <w:rPr>
          <w:highlight w:val="cyan"/>
          <w:lang w:val="de-DE"/>
        </w:rPr>
      </w:pPr>
    </w:p>
    <w:p w14:paraId="440B9877" w14:textId="77777777" w:rsidR="00731616" w:rsidRPr="009536B8" w:rsidRDefault="00F15524">
      <w:pPr>
        <w:pStyle w:val="Heading3"/>
        <w:rPr>
          <w:highlight w:val="cyan"/>
          <w:lang w:val="de-DE"/>
        </w:rPr>
      </w:pPr>
      <w:bookmarkStart w:id="15" w:name="_Toc141461054"/>
      <w:bookmarkStart w:id="16" w:name="_Toc141461214"/>
      <w:bookmarkStart w:id="17" w:name="_Toc145580797"/>
      <w:r w:rsidRPr="009536B8">
        <w:rPr>
          <w:lang w:val="de-DE"/>
        </w:rPr>
        <w:t>Unterscheidbarkeit auf der Grundlage eines Unterschieds von einer Note für Krankheit</w:t>
      </w:r>
      <w:bookmarkEnd w:id="15"/>
      <w:bookmarkEnd w:id="16"/>
      <w:bookmarkEnd w:id="17"/>
    </w:p>
    <w:p w14:paraId="0BE4EA38" w14:textId="77777777" w:rsidR="00F37B39" w:rsidRPr="009536B8" w:rsidRDefault="00F37B39" w:rsidP="00F37B39">
      <w:pPr>
        <w:rPr>
          <w:highlight w:val="cyan"/>
          <w:lang w:val="de-DE"/>
        </w:rPr>
      </w:pPr>
    </w:p>
    <w:p w14:paraId="67FA29C7"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prüfte das Dokument </w:t>
      </w:r>
      <w:r w:rsidRPr="009536B8">
        <w:rPr>
          <w:rFonts w:eastAsia="MS Mincho"/>
          <w:lang w:val="de-DE"/>
        </w:rPr>
        <w:t>TWV/57/10 (vergleiche Dokument TWV/57/26 "Bericht", Absätze 17 bis 28).</w:t>
      </w:r>
    </w:p>
    <w:p w14:paraId="0321A36B" w14:textId="77777777" w:rsidR="00BF1B0A" w:rsidRPr="009536B8" w:rsidRDefault="00BF1B0A" w:rsidP="00BF1B0A">
      <w:pPr>
        <w:jc w:val="left"/>
        <w:rPr>
          <w:lang w:val="de-DE"/>
        </w:rPr>
      </w:pPr>
    </w:p>
    <w:p w14:paraId="3C86F778"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prüfte die Kriterien für Krankheitsresistenzmerkmale in den UPOV-Prüfungsrichtlinien, wie in Dokument </w:t>
      </w:r>
      <w:r w:rsidRPr="009536B8">
        <w:rPr>
          <w:rFonts w:eastAsia="MS Mincho"/>
          <w:lang w:val="de-DE"/>
        </w:rPr>
        <w:t xml:space="preserve">TWV/57/10, </w:t>
      </w:r>
      <w:r w:rsidRPr="009536B8">
        <w:rPr>
          <w:lang w:val="de-DE"/>
        </w:rPr>
        <w:t>Absatz 11, dargelegt.</w:t>
      </w:r>
    </w:p>
    <w:p w14:paraId="20D087E5" w14:textId="77777777" w:rsidR="00BF1B0A" w:rsidRPr="009536B8" w:rsidRDefault="00BF1B0A" w:rsidP="00BF1B0A">
      <w:pPr>
        <w:rPr>
          <w:lang w:val="de-DE"/>
        </w:rPr>
      </w:pPr>
    </w:p>
    <w:p w14:paraId="7AFA29BD" w14:textId="3B3BEB75" w:rsidR="00731616" w:rsidRPr="009536B8" w:rsidRDefault="00F15524">
      <w:pPr>
        <w:rPr>
          <w:color w:val="000000" w:themeColor="text1"/>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vereinbarte, </w:t>
      </w:r>
      <w:r w:rsidR="00522D47" w:rsidRPr="009536B8">
        <w:rPr>
          <w:lang w:val="de-DE"/>
        </w:rPr>
        <w:t>dass</w:t>
      </w:r>
      <w:r w:rsidRPr="009536B8">
        <w:rPr>
          <w:lang w:val="de-DE"/>
        </w:rPr>
        <w:t xml:space="preserve"> die </w:t>
      </w:r>
      <w:r w:rsidRPr="009536B8">
        <w:rPr>
          <w:color w:val="000000" w:themeColor="text1"/>
          <w:lang w:val="de-DE"/>
        </w:rPr>
        <w:t xml:space="preserve">Standardskalen der Noten für quantitative (QN) Merkmale gegebenenfalls für Krankheitsresistenzmerkmale verwendet werden sollten, wie die </w:t>
      </w:r>
      <w:r w:rsidR="00522D47" w:rsidRPr="009536B8">
        <w:rPr>
          <w:color w:val="000000" w:themeColor="text1"/>
          <w:lang w:val="de-DE"/>
        </w:rPr>
        <w:t>zusammengefasste</w:t>
      </w:r>
      <w:r w:rsidRPr="009536B8">
        <w:rPr>
          <w:color w:val="000000" w:themeColor="text1"/>
          <w:lang w:val="de-DE"/>
        </w:rPr>
        <w:t xml:space="preserve"> Skala (Noten 1-3) im folgenden Beispiel: "Resistenz gegen Krankheit 'x'" mit den Ausprägungsstufen "fehlend oder gering", Note 1; "mittel", Note 2; und "hoch", Note 3. </w:t>
      </w:r>
      <w:bookmarkStart w:id="18" w:name="_Hlk130399650"/>
    </w:p>
    <w:p w14:paraId="6A2037C9" w14:textId="77777777" w:rsidR="00BF1B0A" w:rsidRPr="009536B8" w:rsidRDefault="00BF1B0A" w:rsidP="00BF1B0A">
      <w:pPr>
        <w:tabs>
          <w:tab w:val="left" w:pos="567"/>
        </w:tabs>
        <w:contextualSpacing/>
        <w:rPr>
          <w:color w:val="000000" w:themeColor="text1"/>
          <w:lang w:val="de-DE"/>
        </w:rPr>
      </w:pPr>
    </w:p>
    <w:p w14:paraId="71090B3C" w14:textId="0CBE2D2F" w:rsidR="00731616" w:rsidRPr="009536B8" w:rsidRDefault="00F15524">
      <w:pPr>
        <w:tabs>
          <w:tab w:val="left" w:pos="567"/>
        </w:tabs>
        <w:contextualSpacing/>
        <w:rPr>
          <w:lang w:val="de-DE"/>
        </w:rPr>
      </w:pPr>
      <w:r w:rsidRPr="00350522">
        <w:rPr>
          <w:color w:val="000000" w:themeColor="text1"/>
        </w:rPr>
        <w:fldChar w:fldCharType="begin"/>
      </w:r>
      <w:r w:rsidRPr="009536B8">
        <w:rPr>
          <w:color w:val="000000" w:themeColor="text1"/>
          <w:lang w:val="de-DE"/>
        </w:rPr>
        <w:instrText xml:space="preserve"> AUTONUM  </w:instrText>
      </w:r>
      <w:r w:rsidRPr="00350522">
        <w:rPr>
          <w:color w:val="000000" w:themeColor="text1"/>
        </w:rPr>
        <w:fldChar w:fldCharType="end"/>
      </w:r>
      <w:r w:rsidRPr="009536B8">
        <w:rPr>
          <w:color w:val="000000" w:themeColor="text1"/>
          <w:lang w:val="de-DE"/>
        </w:rPr>
        <w:tab/>
        <w:t xml:space="preserve">Die TWV prüfte die Beurteilung der Unterscheidbarkeit auf der Grundlage eines Unterschieds von einer Note für Krankheitsresistenzmerkmale unter Verwendung einer verdichteten quantitativen Skala von drei Noten (Noten 1-3).  Die TWV erinnerte daran, </w:t>
      </w:r>
      <w:r w:rsidR="00522D47" w:rsidRPr="009536B8">
        <w:rPr>
          <w:color w:val="000000" w:themeColor="text1"/>
          <w:lang w:val="de-DE"/>
        </w:rPr>
        <w:t>dass</w:t>
      </w:r>
      <w:r w:rsidRPr="009536B8">
        <w:rPr>
          <w:color w:val="000000" w:themeColor="text1"/>
          <w:lang w:val="de-DE"/>
        </w:rPr>
        <w:t xml:space="preserve"> bei einem Seite-an-Seite-Vergleich "</w:t>
      </w:r>
      <w:r w:rsidRPr="009536B8">
        <w:rPr>
          <w:lang w:val="de-DE"/>
        </w:rPr>
        <w:t xml:space="preserve">ein Unterschied zwischen zwei Sorten annehmbar ist, sobald er visuell </w:t>
      </w:r>
      <w:r w:rsidR="00522D47" w:rsidRPr="009536B8">
        <w:rPr>
          <w:lang w:val="de-DE"/>
        </w:rPr>
        <w:t>erfasst</w:t>
      </w:r>
      <w:r w:rsidRPr="009536B8">
        <w:rPr>
          <w:lang w:val="de-DE"/>
        </w:rPr>
        <w:t xml:space="preserve"> werden kann und gemessen werden könnte, obwohl eine solche Messung unpraktisch sein oder einen unangemessenen Aufwand erfordern könnte", wie in Dokument TG/1/3 "Allgemeine Einführung", Abschnitt 5.5.2.2.2 dargelegt.  </w:t>
      </w:r>
    </w:p>
    <w:p w14:paraId="0300E840" w14:textId="77777777" w:rsidR="00BF1B0A" w:rsidRPr="009536B8" w:rsidRDefault="00BF1B0A" w:rsidP="00BF1B0A">
      <w:pPr>
        <w:tabs>
          <w:tab w:val="left" w:pos="567"/>
        </w:tabs>
        <w:contextualSpacing/>
        <w:rPr>
          <w:lang w:val="de-DE"/>
        </w:rPr>
      </w:pPr>
    </w:p>
    <w:p w14:paraId="54DA7EA5" w14:textId="5DD80DB1" w:rsidR="00731616" w:rsidRPr="009536B8" w:rsidRDefault="00F15524">
      <w:pPr>
        <w:tabs>
          <w:tab w:val="left" w:pos="567"/>
        </w:tabs>
        <w:contextualSpacing/>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erinnerte daran, </w:t>
      </w:r>
      <w:r w:rsidR="00522D47" w:rsidRPr="009536B8">
        <w:rPr>
          <w:lang w:val="de-DE"/>
        </w:rPr>
        <w:t>dass</w:t>
      </w:r>
      <w:r w:rsidRPr="009536B8">
        <w:rPr>
          <w:lang w:val="de-DE"/>
        </w:rPr>
        <w:t xml:space="preserve"> bei visuellen Seite-an-Seite-Vergleichen, </w:t>
      </w:r>
      <w:r w:rsidRPr="009536B8">
        <w:rPr>
          <w:color w:val="000000" w:themeColor="text1"/>
          <w:lang w:val="de-DE"/>
        </w:rPr>
        <w:t>"</w:t>
      </w:r>
      <w:r w:rsidRPr="009536B8">
        <w:rPr>
          <w:lang w:val="de-DE"/>
        </w:rPr>
        <w:t xml:space="preserve">wenn der Vergleich auf der </w:t>
      </w:r>
      <w:r w:rsidR="00122D63" w:rsidRPr="009536B8">
        <w:rPr>
          <w:lang w:val="de-DE"/>
        </w:rPr>
        <w:t xml:space="preserve">Ebene der </w:t>
      </w:r>
      <w:r w:rsidR="00522D47" w:rsidRPr="009536B8">
        <w:rPr>
          <w:lang w:val="de-DE"/>
        </w:rPr>
        <w:t>Messwerte</w:t>
      </w:r>
      <w:r w:rsidR="00122D63" w:rsidRPr="009536B8">
        <w:rPr>
          <w:lang w:val="de-DE"/>
        </w:rPr>
        <w:t xml:space="preserve"> (MG, </w:t>
      </w:r>
      <w:r w:rsidRPr="009536B8">
        <w:rPr>
          <w:lang w:val="de-DE"/>
        </w:rPr>
        <w:t>Mittelwert der MS) durchgeführt wird, ein Unterschied von weniger als zwei Noten einen deutlichen Unterschied darstellen könnte", wie in Dokument TGP/9 "Prüfung der Unterscheidbarkeit", Abschnitt 5.2.3.2.3.3, dargelegt</w:t>
      </w:r>
      <w:r w:rsidRPr="009536B8">
        <w:rPr>
          <w:color w:val="000000" w:themeColor="text1"/>
          <w:lang w:val="de-DE"/>
        </w:rPr>
        <w:t>.</w:t>
      </w:r>
    </w:p>
    <w:p w14:paraId="5D395DE7" w14:textId="77777777" w:rsidR="00BF1B0A" w:rsidRPr="009536B8" w:rsidRDefault="00BF1B0A" w:rsidP="00BF1B0A">
      <w:pPr>
        <w:tabs>
          <w:tab w:val="left" w:pos="567"/>
        </w:tabs>
        <w:contextualSpacing/>
        <w:rPr>
          <w:lang w:val="de-DE"/>
        </w:rPr>
      </w:pPr>
    </w:p>
    <w:p w14:paraId="7CD44F37" w14:textId="4492226E" w:rsidR="00731616" w:rsidRPr="009536B8" w:rsidRDefault="00F15524">
      <w:pPr>
        <w:tabs>
          <w:tab w:val="left" w:pos="567"/>
        </w:tabs>
        <w:contextualSpacing/>
        <w:rPr>
          <w:color w:val="000000" w:themeColor="text1"/>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nahm zur Kenntnis, </w:t>
      </w:r>
      <w:r w:rsidR="00522D47" w:rsidRPr="009536B8">
        <w:rPr>
          <w:lang w:val="de-DE"/>
        </w:rPr>
        <w:t>dass</w:t>
      </w:r>
      <w:r w:rsidRPr="009536B8">
        <w:rPr>
          <w:lang w:val="de-DE"/>
        </w:rPr>
        <w:t xml:space="preserve"> für die Prüfung der Unterscheidbarkeit von Krankheitsresistenzmerkmalen statistische Verfahren angewandt wurden, und erinnerte daran, </w:t>
      </w:r>
      <w:proofErr w:type="spellStart"/>
      <w:r w:rsidRPr="009536B8">
        <w:rPr>
          <w:lang w:val="de-DE"/>
        </w:rPr>
        <w:t>daß</w:t>
      </w:r>
      <w:proofErr w:type="spellEnd"/>
      <w:r w:rsidRPr="009536B8">
        <w:rPr>
          <w:lang w:val="de-DE"/>
        </w:rPr>
        <w:t xml:space="preserve"> "[...] zwei Sorten, die sich für ein oder mehrere quantitative Merkmale als deutlich unterschiedlich erweisen, als unterscheidbar angesehen werden können" (vergleiche Dokument </w:t>
      </w:r>
      <w:r w:rsidRPr="009536B8">
        <w:rPr>
          <w:color w:val="000000" w:themeColor="text1"/>
          <w:lang w:val="de-DE"/>
        </w:rPr>
        <w:t xml:space="preserve">TGP/9 "Prüfung der Unterscheidbarkeit", Abschnitt </w:t>
      </w:r>
      <w:r w:rsidRPr="009536B8">
        <w:rPr>
          <w:lang w:val="de-DE"/>
        </w:rPr>
        <w:t>5.2.4.5.3).</w:t>
      </w:r>
    </w:p>
    <w:p w14:paraId="77EFEB2F" w14:textId="77777777" w:rsidR="00BF1B0A" w:rsidRPr="009536B8" w:rsidRDefault="00BF1B0A" w:rsidP="00BF1B0A">
      <w:pPr>
        <w:tabs>
          <w:tab w:val="left" w:pos="567"/>
        </w:tabs>
        <w:contextualSpacing/>
        <w:rPr>
          <w:color w:val="000000" w:themeColor="text1"/>
          <w:lang w:val="de-DE"/>
        </w:rPr>
      </w:pPr>
    </w:p>
    <w:p w14:paraId="4A1E742B" w14:textId="77777777" w:rsidR="00731616" w:rsidRPr="009536B8" w:rsidRDefault="00F15524">
      <w:pPr>
        <w:pStyle w:val="Heading3"/>
        <w:rPr>
          <w:lang w:val="de-DE"/>
        </w:rPr>
      </w:pPr>
      <w:bookmarkStart w:id="19" w:name="_Toc141461055"/>
      <w:bookmarkStart w:id="20" w:name="_Toc141461215"/>
      <w:bookmarkStart w:id="21" w:name="_Toc145580798"/>
      <w:r w:rsidRPr="009536B8">
        <w:rPr>
          <w:lang w:val="de-DE"/>
        </w:rPr>
        <w:t>Quantitatives Krankheitsresistenzmerkmal mit nur zwei Ausprägungsstufen</w:t>
      </w:r>
      <w:bookmarkEnd w:id="19"/>
      <w:bookmarkEnd w:id="20"/>
      <w:bookmarkEnd w:id="21"/>
    </w:p>
    <w:p w14:paraId="0D5B6679" w14:textId="77777777" w:rsidR="00FF2F34" w:rsidRPr="009536B8" w:rsidRDefault="00FF2F34" w:rsidP="00BF1B0A">
      <w:pPr>
        <w:tabs>
          <w:tab w:val="left" w:pos="567"/>
        </w:tabs>
        <w:contextualSpacing/>
        <w:rPr>
          <w:color w:val="000000" w:themeColor="text1"/>
          <w:lang w:val="de-DE"/>
        </w:rPr>
      </w:pPr>
    </w:p>
    <w:p w14:paraId="0676E310" w14:textId="353FBBB7" w:rsidR="00731616" w:rsidRPr="009536B8" w:rsidRDefault="00F15524">
      <w:pPr>
        <w:tabs>
          <w:tab w:val="left" w:pos="567"/>
        </w:tabs>
        <w:contextualSpacing/>
        <w:rPr>
          <w:rFonts w:cs="Arial"/>
          <w:color w:val="000000" w:themeColor="text1"/>
          <w:lang w:val="de-DE"/>
        </w:rPr>
      </w:pPr>
      <w:r w:rsidRPr="00350522">
        <w:rPr>
          <w:color w:val="000000" w:themeColor="text1"/>
        </w:rPr>
        <w:fldChar w:fldCharType="begin"/>
      </w:r>
      <w:r w:rsidRPr="009536B8">
        <w:rPr>
          <w:color w:val="000000" w:themeColor="text1"/>
          <w:lang w:val="de-DE"/>
        </w:rPr>
        <w:instrText xml:space="preserve"> AUTONUM  </w:instrText>
      </w:r>
      <w:r w:rsidRPr="00350522">
        <w:rPr>
          <w:color w:val="000000" w:themeColor="text1"/>
        </w:rPr>
        <w:fldChar w:fldCharType="end"/>
      </w:r>
      <w:r w:rsidRPr="009536B8">
        <w:rPr>
          <w:color w:val="000000" w:themeColor="text1"/>
          <w:lang w:val="de-DE"/>
        </w:rPr>
        <w:tab/>
        <w:t xml:space="preserve">Die TWV stimmte zu, </w:t>
      </w:r>
      <w:r w:rsidR="00522D47" w:rsidRPr="009536B8">
        <w:rPr>
          <w:color w:val="000000" w:themeColor="text1"/>
          <w:lang w:val="de-DE"/>
        </w:rPr>
        <w:t>dass</w:t>
      </w:r>
      <w:r w:rsidRPr="009536B8">
        <w:rPr>
          <w:color w:val="000000" w:themeColor="text1"/>
          <w:lang w:val="de-DE"/>
        </w:rPr>
        <w:t xml:space="preserve"> es bestimmte </w:t>
      </w:r>
      <w:r w:rsidRPr="009536B8">
        <w:rPr>
          <w:lang w:val="de-DE"/>
        </w:rPr>
        <w:t xml:space="preserve">quantitative </w:t>
      </w:r>
      <w:r w:rsidRPr="009536B8">
        <w:rPr>
          <w:color w:val="000000" w:themeColor="text1"/>
          <w:lang w:val="de-DE"/>
        </w:rPr>
        <w:t xml:space="preserve">(QN) </w:t>
      </w:r>
      <w:r w:rsidRPr="009536B8">
        <w:rPr>
          <w:lang w:val="de-DE"/>
        </w:rPr>
        <w:t xml:space="preserve">Krankheitsresistenzmerkmale gebe, bei denen es aufgrund des </w:t>
      </w:r>
      <w:r w:rsidRPr="009536B8">
        <w:rPr>
          <w:color w:val="000000" w:themeColor="text1"/>
          <w:lang w:val="de-DE"/>
        </w:rPr>
        <w:t xml:space="preserve">Einflusses der Prüfungsbedingungen und des Mangels an Informationen über den genetischen Hintergrund nicht möglich sei, verschiedene Resistenzniveaus gemäß den QN-Ausprägungsstufen zu beschreiben. </w:t>
      </w:r>
      <w:r w:rsidRPr="009536B8">
        <w:rPr>
          <w:rFonts w:cs="Arial"/>
          <w:color w:val="000000" w:themeColor="text1"/>
          <w:lang w:val="de-DE"/>
        </w:rPr>
        <w:t xml:space="preserve"> </w:t>
      </w:r>
    </w:p>
    <w:p w14:paraId="19F18BA5" w14:textId="77777777" w:rsidR="00BF1B0A" w:rsidRPr="009536B8" w:rsidRDefault="00BF1B0A" w:rsidP="00BF1B0A">
      <w:pPr>
        <w:tabs>
          <w:tab w:val="left" w:pos="567"/>
        </w:tabs>
        <w:contextualSpacing/>
        <w:rPr>
          <w:rFonts w:cs="Arial"/>
          <w:color w:val="000000" w:themeColor="text1"/>
          <w:lang w:val="de-DE"/>
        </w:rPr>
      </w:pPr>
    </w:p>
    <w:p w14:paraId="62870092" w14:textId="69112894" w:rsidR="00731616" w:rsidRPr="009536B8" w:rsidRDefault="00F15524">
      <w:pPr>
        <w:tabs>
          <w:tab w:val="left" w:pos="567"/>
        </w:tabs>
        <w:contextualSpacing/>
        <w:rPr>
          <w:color w:val="000000" w:themeColor="text1"/>
          <w:lang w:val="de-DE"/>
        </w:rPr>
      </w:pPr>
      <w:r w:rsidRPr="00350522">
        <w:rPr>
          <w:rFonts w:cs="Arial"/>
          <w:color w:val="000000" w:themeColor="text1"/>
        </w:rPr>
        <w:fldChar w:fldCharType="begin"/>
      </w:r>
      <w:r w:rsidRPr="009536B8">
        <w:rPr>
          <w:rFonts w:cs="Arial"/>
          <w:color w:val="000000" w:themeColor="text1"/>
          <w:lang w:val="de-DE"/>
        </w:rPr>
        <w:instrText xml:space="preserve"> AUTONUM  </w:instrText>
      </w:r>
      <w:r w:rsidRPr="00350522">
        <w:rPr>
          <w:rFonts w:cs="Arial"/>
          <w:color w:val="000000" w:themeColor="text1"/>
        </w:rPr>
        <w:fldChar w:fldCharType="end"/>
      </w:r>
      <w:r w:rsidRPr="009536B8">
        <w:rPr>
          <w:rFonts w:cs="Arial"/>
          <w:color w:val="000000" w:themeColor="text1"/>
          <w:lang w:val="de-DE"/>
        </w:rPr>
        <w:tab/>
        <w:t xml:space="preserve">Die TWV vereinbarte, die Sachverständigen aus Frankreich und den Niederlanden zu ersuchen, mit Unterstützung der Europäischen Union, Japans und der Züchterorganisationen einen Vorschlag für einen besonderen Typ eines quantitativen Krankheitsresistenzmerkmals mit nur zwei Ausprägungsstufen auszuarbeiten.  Die TWV vereinbarte, </w:t>
      </w:r>
      <w:r w:rsidR="00522D47" w:rsidRPr="009536B8">
        <w:rPr>
          <w:rFonts w:cs="Arial"/>
          <w:color w:val="000000" w:themeColor="text1"/>
          <w:lang w:val="de-DE"/>
        </w:rPr>
        <w:t>dass</w:t>
      </w:r>
      <w:r w:rsidRPr="009536B8">
        <w:rPr>
          <w:rFonts w:cs="Arial"/>
          <w:color w:val="000000" w:themeColor="text1"/>
          <w:lang w:val="de-DE"/>
        </w:rPr>
        <w:t xml:space="preserve"> der Vorschlag mit einer Erläuterung zu den Kriterien für die Verwendung dieses Merkmalstyps auf der achtundfünfzigsten Tagung der TWV vorgelegt werden soll.</w:t>
      </w:r>
      <w:bookmarkEnd w:id="18"/>
    </w:p>
    <w:p w14:paraId="702DD3C0" w14:textId="77777777" w:rsidR="00D62C7A" w:rsidRPr="009536B8" w:rsidRDefault="00D62C7A" w:rsidP="00901942">
      <w:pPr>
        <w:rPr>
          <w:lang w:val="de-DE"/>
        </w:rPr>
      </w:pPr>
    </w:p>
    <w:p w14:paraId="2921707A" w14:textId="77777777" w:rsidR="00731616" w:rsidRPr="009536B8" w:rsidRDefault="00F15524" w:rsidP="00120751">
      <w:pPr>
        <w:pStyle w:val="Heading2"/>
        <w:rPr>
          <w:lang w:val="de-DE"/>
        </w:rPr>
      </w:pPr>
      <w:bookmarkStart w:id="22" w:name="_Toc141461058"/>
      <w:bookmarkStart w:id="23" w:name="_Toc141461217"/>
      <w:bookmarkStart w:id="24" w:name="_Toc145580799"/>
      <w:r w:rsidRPr="009536B8">
        <w:rPr>
          <w:rFonts w:eastAsia="MS Mincho"/>
          <w:lang w:val="de-DE"/>
        </w:rPr>
        <w:lastRenderedPageBreak/>
        <w:t>Neue Technologien bei der DUS-Prüfung</w:t>
      </w:r>
      <w:bookmarkEnd w:id="22"/>
      <w:bookmarkEnd w:id="23"/>
      <w:bookmarkEnd w:id="24"/>
    </w:p>
    <w:p w14:paraId="02E4B863" w14:textId="77777777" w:rsidR="00901942" w:rsidRPr="009536B8" w:rsidRDefault="00901942" w:rsidP="00120751">
      <w:pPr>
        <w:keepNext/>
        <w:rPr>
          <w:lang w:val="de-DE"/>
        </w:rPr>
      </w:pPr>
    </w:p>
    <w:p w14:paraId="1B826D0F" w14:textId="77777777" w:rsidR="00731616" w:rsidRPr="009536B8" w:rsidRDefault="00F15524" w:rsidP="00120751">
      <w:pPr>
        <w:keepNext/>
        <w:rPr>
          <w:rFonts w:eastAsia="MS Mincho"/>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TWA hörte ein Referat eines Sachverständigen aus Dänemark über "Drohnenbilder in der DUS-Prüfung von Winterweizen".  Eine Kopie des Referats ist in Anlage I des Dokuments </w:t>
      </w:r>
      <w:r w:rsidRPr="009536B8">
        <w:rPr>
          <w:rFonts w:eastAsia="MS Mincho"/>
          <w:lang w:val="de-DE"/>
        </w:rPr>
        <w:t xml:space="preserve">TWA/52/7 </w:t>
      </w:r>
      <w:r w:rsidRPr="009536B8">
        <w:rPr>
          <w:lang w:val="de-DE"/>
        </w:rPr>
        <w:tab/>
        <w:t>wiedergegeben</w:t>
      </w:r>
      <w:r w:rsidRPr="009536B8">
        <w:rPr>
          <w:rFonts w:eastAsia="MS Mincho"/>
          <w:lang w:val="de-DE"/>
        </w:rPr>
        <w:t xml:space="preserve">.  </w:t>
      </w:r>
      <w:r w:rsidRPr="009536B8">
        <w:rPr>
          <w:lang w:val="de-DE"/>
        </w:rPr>
        <w:t>Die TWA nahm die berichtete Arbeit zur Kenntnis und vereinbarte, den Sachverständigen aus Dänemark zu ersuchen, auf ihrer dreiundfünfzigsten Tagung über die Entwicklungen zu berichten (vergleiche Dokument TWA/52/11 "Bericht", Absätze 22 bis 26).</w:t>
      </w:r>
    </w:p>
    <w:p w14:paraId="759E89AD" w14:textId="77777777" w:rsidR="00901942" w:rsidRPr="009536B8" w:rsidRDefault="00901942" w:rsidP="00901942">
      <w:pPr>
        <w:rPr>
          <w:rFonts w:eastAsia="MS Mincho"/>
          <w:lang w:val="de-DE"/>
        </w:rPr>
      </w:pPr>
    </w:p>
    <w:p w14:paraId="5E14AFA7"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TWA hörte ein Referat über "UAV-basierte </w:t>
      </w:r>
      <w:proofErr w:type="spellStart"/>
      <w:r w:rsidRPr="009536B8">
        <w:rPr>
          <w:lang w:val="de-DE"/>
        </w:rPr>
        <w:t>Feldphänotypisierung</w:t>
      </w:r>
      <w:proofErr w:type="spellEnd"/>
      <w:r w:rsidRPr="009536B8">
        <w:rPr>
          <w:lang w:val="de-DE"/>
        </w:rPr>
        <w:t xml:space="preserve"> in der landwirtschaftlichen DUS-Prüfung im Vereinigten Königreich" von einem Sachverständigen aus dem Vereinigten Königreich.  Eine Kopie des Referats ist in Anlage II des Dokuments </w:t>
      </w:r>
      <w:r w:rsidRPr="009536B8">
        <w:rPr>
          <w:rFonts w:eastAsia="MS Mincho"/>
          <w:lang w:val="de-DE"/>
        </w:rPr>
        <w:t xml:space="preserve">TWA/52/7 </w:t>
      </w:r>
      <w:r w:rsidRPr="009536B8">
        <w:rPr>
          <w:lang w:val="de-DE"/>
        </w:rPr>
        <w:tab/>
        <w:t>wiedergegeben</w:t>
      </w:r>
      <w:r w:rsidRPr="009536B8">
        <w:rPr>
          <w:rFonts w:eastAsia="MS Mincho"/>
          <w:lang w:val="de-DE"/>
        </w:rPr>
        <w:t xml:space="preserve">.  </w:t>
      </w:r>
      <w:r w:rsidRPr="009536B8">
        <w:rPr>
          <w:lang w:val="de-DE"/>
        </w:rPr>
        <w:t>Die TWA nahm die berichtete Arbeit zur Kenntnis und vereinbarte, den Sachverständigen aus dem Vereinigten Königreich zu ersuchen, auf ihrer dreiundfünfzigsten Tagung über die Entwicklungen zu berichten.</w:t>
      </w:r>
    </w:p>
    <w:p w14:paraId="5AA3729B" w14:textId="77777777" w:rsidR="00901942" w:rsidRPr="009536B8" w:rsidRDefault="00901942" w:rsidP="00901942">
      <w:pPr>
        <w:rPr>
          <w:lang w:val="de-DE"/>
        </w:rPr>
      </w:pPr>
    </w:p>
    <w:p w14:paraId="4B709573"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TWA hörte ein Referat über "Bildanalyse für </w:t>
      </w:r>
      <w:proofErr w:type="spellStart"/>
      <w:r w:rsidRPr="009536B8">
        <w:rPr>
          <w:lang w:val="de-DE"/>
        </w:rPr>
        <w:t>Maisähre</w:t>
      </w:r>
      <w:proofErr w:type="spellEnd"/>
      <w:r w:rsidRPr="009536B8">
        <w:rPr>
          <w:lang w:val="de-DE"/>
        </w:rPr>
        <w:t xml:space="preserve"> und -korn" von einem Sachverständigen aus China.  Eine Kopie des Referats ist in der Anlage des Dokuments </w:t>
      </w:r>
      <w:r w:rsidRPr="009536B8">
        <w:rPr>
          <w:rFonts w:eastAsia="MS Mincho"/>
          <w:lang w:val="de-DE"/>
        </w:rPr>
        <w:t xml:space="preserve">TWA/52/7 Add. </w:t>
      </w:r>
      <w:r w:rsidRPr="009536B8">
        <w:rPr>
          <w:lang w:val="de-DE"/>
        </w:rPr>
        <w:tab/>
        <w:t>wiedergegeben.  Die TWA nahm die berichtete Arbeit zur Kenntnis und vereinbarte, den Sachverständigen aus China einzuladen, auf ihrer dreiundfünfzigsten Tagung über die Entwicklungen zu berichten.</w:t>
      </w:r>
    </w:p>
    <w:p w14:paraId="39224142" w14:textId="77777777" w:rsidR="00901942" w:rsidRPr="009536B8" w:rsidRDefault="00901942" w:rsidP="00901942">
      <w:pPr>
        <w:rPr>
          <w:lang w:val="de-DE"/>
        </w:rPr>
      </w:pPr>
    </w:p>
    <w:p w14:paraId="722E4AB4" w14:textId="119DC9D8" w:rsidR="00731616" w:rsidRPr="009536B8" w:rsidRDefault="00F15524">
      <w:pPr>
        <w:pStyle w:val="CommentText"/>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TWA vereinbarte, </w:t>
      </w:r>
      <w:r w:rsidR="00522D47" w:rsidRPr="009536B8">
        <w:rPr>
          <w:lang w:val="de-DE"/>
        </w:rPr>
        <w:t>dass</w:t>
      </w:r>
      <w:r w:rsidRPr="009536B8">
        <w:rPr>
          <w:lang w:val="de-DE"/>
        </w:rPr>
        <w:t xml:space="preserve"> es wichtig sei, Berichte über die Verwendung neuer Technologien bei der DUS-Prüfung landwirtschaftlicher Arten zu erhalten, um das </w:t>
      </w:r>
      <w:r w:rsidR="00522D47" w:rsidRPr="009536B8">
        <w:rPr>
          <w:lang w:val="de-DE"/>
        </w:rPr>
        <w:t>Bewusstsein</w:t>
      </w:r>
      <w:r w:rsidRPr="009536B8">
        <w:rPr>
          <w:lang w:val="de-DE"/>
        </w:rPr>
        <w:t xml:space="preserve"> für Entwicklungen zu schärfen und die mit neuen Technologien verbundenen Einschränkungen und Herausforderungen zu prüfen.</w:t>
      </w:r>
    </w:p>
    <w:p w14:paraId="74F4D166" w14:textId="77777777" w:rsidR="00901942" w:rsidRPr="009536B8" w:rsidRDefault="00901942" w:rsidP="00901942">
      <w:pPr>
        <w:rPr>
          <w:lang w:val="de-DE"/>
        </w:rPr>
      </w:pPr>
    </w:p>
    <w:p w14:paraId="6F12398D"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Die TWA vereinbarte, die künftige Veranstaltung eines Webinars für TWP über die Bildanalyse bei der DUS-Prüfung vorzuschlagen.</w:t>
      </w:r>
    </w:p>
    <w:p w14:paraId="2936CE09" w14:textId="77777777" w:rsidR="00E938D2" w:rsidRPr="009536B8" w:rsidRDefault="00E938D2" w:rsidP="00E938D2">
      <w:pPr>
        <w:rPr>
          <w:lang w:val="de-DE"/>
        </w:rPr>
      </w:pPr>
    </w:p>
    <w:p w14:paraId="368AF3D4" w14:textId="77777777" w:rsidR="00731616" w:rsidRPr="009536B8" w:rsidRDefault="00F15524">
      <w:pPr>
        <w:pStyle w:val="Heading2"/>
        <w:rPr>
          <w:lang w:val="de-DE"/>
        </w:rPr>
      </w:pPr>
      <w:bookmarkStart w:id="25" w:name="_Toc141461059"/>
      <w:bookmarkStart w:id="26" w:name="_Toc141461218"/>
      <w:bookmarkStart w:id="27" w:name="_Toc145580800"/>
      <w:r w:rsidRPr="009536B8">
        <w:rPr>
          <w:rFonts w:eastAsia="MS Mincho"/>
          <w:lang w:val="de-DE"/>
        </w:rPr>
        <w:t>Bildanalyse von Gemüsekulturen</w:t>
      </w:r>
      <w:bookmarkEnd w:id="25"/>
      <w:bookmarkEnd w:id="26"/>
      <w:bookmarkEnd w:id="27"/>
    </w:p>
    <w:p w14:paraId="0BB8ED93" w14:textId="77777777" w:rsidR="00E938D2" w:rsidRPr="009536B8" w:rsidRDefault="00E938D2" w:rsidP="00E938D2">
      <w:pPr>
        <w:jc w:val="left"/>
        <w:rPr>
          <w:lang w:val="de-DE"/>
        </w:rPr>
      </w:pPr>
    </w:p>
    <w:p w14:paraId="507EE6E9"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hörte ein Referat über "Bildanalyse für Tomatenfrüchte" von einem Sachverständigen aus China. Eine Kopie des Referats ist in Dokument </w:t>
      </w:r>
      <w:r w:rsidRPr="009536B8">
        <w:rPr>
          <w:rFonts w:eastAsia="MS Mincho"/>
          <w:lang w:val="de-DE"/>
        </w:rPr>
        <w:t xml:space="preserve">TWV/57/24 </w:t>
      </w:r>
      <w:r w:rsidRPr="009536B8">
        <w:rPr>
          <w:lang w:val="de-DE"/>
        </w:rPr>
        <w:tab/>
        <w:t xml:space="preserve">enthalten </w:t>
      </w:r>
      <w:r w:rsidRPr="009536B8">
        <w:rPr>
          <w:rFonts w:eastAsia="MS Mincho"/>
          <w:lang w:val="de-DE"/>
        </w:rPr>
        <w:t>(vergleiche Dokument TWV/57/26 "Bericht", Absätze 29 und 30).</w:t>
      </w:r>
    </w:p>
    <w:p w14:paraId="2F6D4F90" w14:textId="77777777" w:rsidR="00E938D2" w:rsidRPr="009536B8" w:rsidRDefault="00E938D2" w:rsidP="00E938D2">
      <w:pPr>
        <w:rPr>
          <w:lang w:val="de-DE"/>
        </w:rPr>
      </w:pPr>
    </w:p>
    <w:p w14:paraId="0F9215C4" w14:textId="3BED47AC"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TWV erinnerte daran, </w:t>
      </w:r>
      <w:r w:rsidR="00522D47" w:rsidRPr="009536B8">
        <w:rPr>
          <w:lang w:val="de-DE"/>
        </w:rPr>
        <w:t>dass</w:t>
      </w:r>
      <w:r w:rsidRPr="009536B8">
        <w:rPr>
          <w:lang w:val="de-DE"/>
        </w:rPr>
        <w:t xml:space="preserve"> das Dokument TGP/8, Abschnitt 11 "Prüfung von Merkmalen mittels Bildanalyse" vorsehe, </w:t>
      </w:r>
      <w:r w:rsidR="00522D47" w:rsidRPr="009536B8">
        <w:rPr>
          <w:lang w:val="de-DE"/>
        </w:rPr>
        <w:t>dass</w:t>
      </w:r>
      <w:r w:rsidRPr="009536B8">
        <w:rPr>
          <w:lang w:val="de-DE"/>
        </w:rPr>
        <w:t xml:space="preserve"> "Merkmale, die mittels Bildanalyse geprüft werden können, gegebenenfalls auch durch visuelle Erfassung und/oder manuelle Messung geprüft werden können sollten".  Die TWV vereinbarte, </w:t>
      </w:r>
      <w:r w:rsidR="00522D47" w:rsidRPr="009536B8">
        <w:rPr>
          <w:lang w:val="de-DE"/>
        </w:rPr>
        <w:t>dass</w:t>
      </w:r>
      <w:r w:rsidRPr="009536B8">
        <w:rPr>
          <w:lang w:val="de-DE"/>
        </w:rPr>
        <w:t xml:space="preserve"> die Bildanalyse für die Automatisierung der Prüfung gemessener Merkmale und zur Unterstützung der Analyse einer großen Anzahl von Sorten zweckmäßig sei.  </w:t>
      </w:r>
    </w:p>
    <w:p w14:paraId="7259BA7F" w14:textId="77777777" w:rsidR="00E938D2" w:rsidRPr="009536B8" w:rsidRDefault="00E938D2" w:rsidP="00E938D2">
      <w:pPr>
        <w:rPr>
          <w:lang w:val="de-DE"/>
        </w:rPr>
      </w:pPr>
    </w:p>
    <w:p w14:paraId="7754801C" w14:textId="77777777" w:rsidR="00731616" w:rsidRPr="009536B8" w:rsidRDefault="00F15524">
      <w:pPr>
        <w:pStyle w:val="Heading2"/>
        <w:rPr>
          <w:lang w:val="de-DE"/>
        </w:rPr>
      </w:pPr>
      <w:bookmarkStart w:id="28" w:name="_Toc141461060"/>
      <w:bookmarkStart w:id="29" w:name="_Toc141461219"/>
      <w:bookmarkStart w:id="30" w:name="_Toc145580801"/>
      <w:r w:rsidRPr="009536B8">
        <w:rPr>
          <w:rFonts w:eastAsia="MS Mincho"/>
          <w:lang w:val="de-DE"/>
        </w:rPr>
        <w:t>DUSCEL-Software für statistische Analysen</w:t>
      </w:r>
      <w:bookmarkEnd w:id="28"/>
      <w:bookmarkEnd w:id="29"/>
      <w:bookmarkEnd w:id="30"/>
    </w:p>
    <w:p w14:paraId="7FC3BA9D" w14:textId="77777777" w:rsidR="00E938D2" w:rsidRPr="009536B8" w:rsidRDefault="00E938D2" w:rsidP="00E938D2">
      <w:pPr>
        <w:rPr>
          <w:lang w:val="de-DE"/>
        </w:rPr>
      </w:pPr>
    </w:p>
    <w:p w14:paraId="12DB1066"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Die TWA hörte ein Referat über "Entwicklung einer Software für statistische Analysen: DUSCEL4.5" von einem Sachverständigen aus China.  Eine Kopie des Referats ist in Dokument TWA/52/5 enthalten (vergleiche Dokument TWA/52/11 "Bericht", Absätze 20 und 21).</w:t>
      </w:r>
    </w:p>
    <w:p w14:paraId="7910DA2A" w14:textId="77777777" w:rsidR="00E938D2" w:rsidRPr="009536B8" w:rsidRDefault="00E938D2" w:rsidP="00E938D2">
      <w:pPr>
        <w:rPr>
          <w:lang w:val="de-DE"/>
        </w:rPr>
      </w:pPr>
    </w:p>
    <w:p w14:paraId="168E778B"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Die TWA nahm die weitere Entwicklung der Software zur Kenntnis, einschließlich der Kalibrierungsarbeiten für die Bildanalyse der Farbmerkmale.</w:t>
      </w:r>
    </w:p>
    <w:p w14:paraId="728CD3C1" w14:textId="77777777" w:rsidR="00901942" w:rsidRPr="009536B8" w:rsidRDefault="00901942" w:rsidP="00901942">
      <w:pPr>
        <w:rPr>
          <w:lang w:val="de-DE"/>
        </w:rPr>
      </w:pPr>
    </w:p>
    <w:p w14:paraId="1FA47F2A" w14:textId="77777777" w:rsidR="00731616" w:rsidRPr="009536B8" w:rsidRDefault="00F15524">
      <w:pPr>
        <w:pStyle w:val="Heading2"/>
        <w:rPr>
          <w:lang w:val="de-DE"/>
        </w:rPr>
      </w:pPr>
      <w:bookmarkStart w:id="31" w:name="_Toc141461061"/>
      <w:bookmarkStart w:id="32" w:name="_Toc141461220"/>
      <w:bookmarkStart w:id="33" w:name="_Toc145580802"/>
      <w:r w:rsidRPr="009536B8">
        <w:rPr>
          <w:rFonts w:eastAsia="MS Mincho"/>
          <w:lang w:val="de-DE"/>
        </w:rPr>
        <w:t>Erfahrungen mit neuen Arten und Sorten</w:t>
      </w:r>
      <w:bookmarkEnd w:id="31"/>
      <w:bookmarkEnd w:id="32"/>
      <w:bookmarkEnd w:id="33"/>
    </w:p>
    <w:p w14:paraId="04AF1F0A" w14:textId="77777777" w:rsidR="00901942" w:rsidRPr="009536B8" w:rsidRDefault="00901942" w:rsidP="00901942">
      <w:pPr>
        <w:rPr>
          <w:lang w:val="de-DE"/>
        </w:rPr>
      </w:pPr>
    </w:p>
    <w:p w14:paraId="4D467FA0" w14:textId="77777777" w:rsidR="00731616" w:rsidRPr="009536B8" w:rsidRDefault="00F15524">
      <w:pPr>
        <w:pStyle w:val="Heading3"/>
        <w:rPr>
          <w:lang w:val="de-DE"/>
        </w:rPr>
      </w:pPr>
      <w:bookmarkStart w:id="34" w:name="_Toc141461062"/>
      <w:bookmarkStart w:id="35" w:name="_Toc141461221"/>
      <w:bookmarkStart w:id="36" w:name="_Toc145580803"/>
      <w:r w:rsidRPr="009536B8">
        <w:rPr>
          <w:lang w:val="de-DE"/>
        </w:rPr>
        <w:t>Hanf/Cannabis</w:t>
      </w:r>
      <w:bookmarkEnd w:id="34"/>
      <w:bookmarkEnd w:id="35"/>
      <w:bookmarkEnd w:id="36"/>
    </w:p>
    <w:p w14:paraId="249AF16C" w14:textId="77777777" w:rsidR="00454CCD" w:rsidRPr="009536B8" w:rsidRDefault="00454CCD" w:rsidP="00901942">
      <w:pPr>
        <w:rPr>
          <w:lang w:val="de-DE"/>
        </w:rPr>
      </w:pPr>
    </w:p>
    <w:p w14:paraId="672C7CF8"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TWA hörte ein Referat "TG Hanf/Cannabis" von einem Sachverständigen aus den Niederlanden.  Eine Kopie des Referats ist in der Anlage des Dokuments </w:t>
      </w:r>
      <w:r w:rsidRPr="009536B8">
        <w:rPr>
          <w:rFonts w:eastAsia="MS Mincho"/>
          <w:lang w:val="de-DE"/>
        </w:rPr>
        <w:t xml:space="preserve">TWA/52/9 </w:t>
      </w:r>
      <w:r w:rsidRPr="009536B8">
        <w:rPr>
          <w:lang w:val="de-DE"/>
        </w:rPr>
        <w:tab/>
        <w:t>enthalten (vergleiche Dokument TWA/52/11 "Bericht", Absatz 40)</w:t>
      </w:r>
      <w:r w:rsidRPr="009536B8">
        <w:rPr>
          <w:rFonts w:eastAsia="MS Mincho"/>
          <w:lang w:val="de-DE"/>
        </w:rPr>
        <w:t>.</w:t>
      </w:r>
    </w:p>
    <w:p w14:paraId="30C333E6" w14:textId="77777777" w:rsidR="00114381" w:rsidRPr="009536B8" w:rsidRDefault="00114381" w:rsidP="00114381">
      <w:pPr>
        <w:rPr>
          <w:lang w:val="de-DE"/>
        </w:rPr>
      </w:pPr>
    </w:p>
    <w:p w14:paraId="4BAAD76B" w14:textId="77777777" w:rsidR="00731616" w:rsidRPr="009536B8" w:rsidRDefault="00F15524">
      <w:pPr>
        <w:pStyle w:val="Heading3"/>
        <w:rPr>
          <w:lang w:val="de-DE"/>
        </w:rPr>
      </w:pPr>
      <w:bookmarkStart w:id="37" w:name="_Toc141461063"/>
      <w:bookmarkStart w:id="38" w:name="_Toc141461222"/>
      <w:bookmarkStart w:id="39" w:name="_Toc145580804"/>
      <w:r w:rsidRPr="009536B8">
        <w:rPr>
          <w:lang w:val="de-DE"/>
        </w:rPr>
        <w:t>Vegetativ vermehrte Sorten</w:t>
      </w:r>
      <w:bookmarkEnd w:id="37"/>
      <w:bookmarkEnd w:id="38"/>
      <w:bookmarkEnd w:id="39"/>
    </w:p>
    <w:p w14:paraId="74170E0B" w14:textId="77777777" w:rsidR="00454CCD" w:rsidRPr="009536B8" w:rsidRDefault="00454CCD" w:rsidP="00114381">
      <w:pPr>
        <w:rPr>
          <w:lang w:val="de-DE"/>
        </w:rPr>
      </w:pPr>
    </w:p>
    <w:p w14:paraId="3382A499" w14:textId="77777777"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Die TWF hörte ein Referat über das "US-Sortenschutzamt" von einem Sachverständigen aus den Vereinigten Staaten von Amerika.  Eine Kopie des Referats ist in Dokument TWF/54/5 enthalten (vergleiche Dokument TWF/54/13 "Bericht", Absatz 38).</w:t>
      </w:r>
    </w:p>
    <w:p w14:paraId="35F14AF0" w14:textId="77777777" w:rsidR="00A72F82" w:rsidRPr="009536B8" w:rsidRDefault="00A72F82" w:rsidP="00A72F82">
      <w:pPr>
        <w:rPr>
          <w:lang w:val="de-DE"/>
        </w:rPr>
      </w:pPr>
    </w:p>
    <w:p w14:paraId="04D4AC5D" w14:textId="77777777" w:rsidR="00731616" w:rsidRPr="009536B8" w:rsidRDefault="00F15524" w:rsidP="00120751">
      <w:pPr>
        <w:pStyle w:val="Heading3"/>
        <w:rPr>
          <w:lang w:val="de-DE"/>
        </w:rPr>
      </w:pPr>
      <w:bookmarkStart w:id="40" w:name="_Toc141461064"/>
      <w:bookmarkStart w:id="41" w:name="_Toc141461223"/>
      <w:bookmarkStart w:id="42" w:name="_Toc145580805"/>
      <w:r w:rsidRPr="009536B8">
        <w:rPr>
          <w:lang w:val="de-DE"/>
        </w:rPr>
        <w:lastRenderedPageBreak/>
        <w:t>Lotus (</w:t>
      </w:r>
      <w:proofErr w:type="spellStart"/>
      <w:r w:rsidRPr="009536B8">
        <w:rPr>
          <w:lang w:val="de-DE"/>
        </w:rPr>
        <w:t>Nelumbo</w:t>
      </w:r>
      <w:proofErr w:type="spellEnd"/>
      <w:r w:rsidRPr="009536B8">
        <w:rPr>
          <w:lang w:val="de-DE"/>
        </w:rPr>
        <w:t>)</w:t>
      </w:r>
      <w:bookmarkEnd w:id="40"/>
      <w:bookmarkEnd w:id="41"/>
      <w:bookmarkEnd w:id="42"/>
    </w:p>
    <w:p w14:paraId="6DE510B9" w14:textId="77777777" w:rsidR="00454CCD" w:rsidRPr="009536B8" w:rsidRDefault="00454CCD" w:rsidP="00120751">
      <w:pPr>
        <w:keepNext/>
        <w:rPr>
          <w:lang w:val="de-DE"/>
        </w:rPr>
      </w:pPr>
    </w:p>
    <w:p w14:paraId="07BF781B" w14:textId="77777777" w:rsidR="00731616" w:rsidRPr="009536B8" w:rsidRDefault="00F15524" w:rsidP="00120751">
      <w:pPr>
        <w:keepNext/>
        <w:rPr>
          <w:lang w:val="de-DE"/>
        </w:rPr>
      </w:pPr>
      <w:r w:rsidRPr="00350522">
        <w:fldChar w:fldCharType="begin"/>
      </w:r>
      <w:r w:rsidRPr="009536B8">
        <w:rPr>
          <w:lang w:val="de-DE"/>
        </w:rPr>
        <w:instrText xml:space="preserve"> AUTONUM  </w:instrText>
      </w:r>
      <w:r w:rsidRPr="00350522">
        <w:fldChar w:fldCharType="end"/>
      </w:r>
      <w:r w:rsidRPr="009536B8">
        <w:rPr>
          <w:lang w:val="de-DE"/>
        </w:rPr>
        <w:tab/>
        <w:t>Die TWO erhielt einen Bericht über Lotus (</w:t>
      </w:r>
      <w:proofErr w:type="spellStart"/>
      <w:r w:rsidRPr="009536B8">
        <w:rPr>
          <w:i/>
          <w:lang w:val="de-DE"/>
        </w:rPr>
        <w:t>Nelumbo</w:t>
      </w:r>
      <w:proofErr w:type="spellEnd"/>
      <w:r w:rsidRPr="009536B8">
        <w:rPr>
          <w:i/>
          <w:lang w:val="de-DE"/>
        </w:rPr>
        <w:t xml:space="preserve"> </w:t>
      </w:r>
      <w:proofErr w:type="spellStart"/>
      <w:r w:rsidRPr="009536B8">
        <w:rPr>
          <w:lang w:val="de-DE"/>
        </w:rPr>
        <w:t>Adans</w:t>
      </w:r>
      <w:proofErr w:type="spellEnd"/>
      <w:r w:rsidRPr="009536B8">
        <w:rPr>
          <w:lang w:val="de-DE"/>
        </w:rPr>
        <w:t xml:space="preserve">.) von einem Sachverständigen aus China. Eine Kopie des Referats werde in Dokument TWO/55/3 wiedergegeben </w:t>
      </w:r>
      <w:r w:rsidRPr="009536B8">
        <w:rPr>
          <w:rFonts w:eastAsia="MS Mincho"/>
          <w:lang w:val="de-DE"/>
        </w:rPr>
        <w:t>(vergleiche Dokument TWO/55/11 "Bericht", Absatz 42)</w:t>
      </w:r>
      <w:r w:rsidRPr="009536B8">
        <w:rPr>
          <w:rFonts w:cs="Arial"/>
          <w:lang w:val="de-DE"/>
        </w:rPr>
        <w:t>.</w:t>
      </w:r>
    </w:p>
    <w:p w14:paraId="576F50B1" w14:textId="77777777" w:rsidR="00AD6CF4" w:rsidRPr="009536B8" w:rsidRDefault="00AD6CF4" w:rsidP="00AD6CF4">
      <w:pPr>
        <w:tabs>
          <w:tab w:val="left" w:pos="567"/>
          <w:tab w:val="left" w:pos="1134"/>
          <w:tab w:val="left" w:pos="5387"/>
          <w:tab w:val="left" w:pos="5954"/>
        </w:tabs>
        <w:rPr>
          <w:lang w:val="de-DE"/>
        </w:rPr>
      </w:pPr>
    </w:p>
    <w:p w14:paraId="64776892" w14:textId="77777777" w:rsidR="00731616" w:rsidRPr="009536B8" w:rsidRDefault="00F15524">
      <w:pPr>
        <w:pStyle w:val="Heading2"/>
        <w:rPr>
          <w:rFonts w:eastAsia="MS Mincho"/>
          <w:lang w:val="de-DE"/>
        </w:rPr>
      </w:pPr>
      <w:bookmarkStart w:id="43" w:name="_Toc145580806"/>
      <w:bookmarkStart w:id="44" w:name="_Toc141444833"/>
      <w:bookmarkStart w:id="45" w:name="_Toc144401938"/>
      <w:r w:rsidRPr="009536B8">
        <w:rPr>
          <w:rFonts w:eastAsia="MS Mincho"/>
          <w:lang w:val="de-DE"/>
        </w:rPr>
        <w:t>Ziersorten von landwirtschaftlichen Kulturen, Obst- und Gemüsekulturen</w:t>
      </w:r>
      <w:bookmarkEnd w:id="43"/>
      <w:r w:rsidRPr="009536B8">
        <w:rPr>
          <w:rFonts w:eastAsia="MS Mincho"/>
          <w:lang w:val="de-DE"/>
        </w:rPr>
        <w:t xml:space="preserve"> </w:t>
      </w:r>
      <w:bookmarkEnd w:id="44"/>
      <w:bookmarkEnd w:id="45"/>
    </w:p>
    <w:p w14:paraId="53F393D0" w14:textId="77777777" w:rsidR="00AD6CF4" w:rsidRPr="009536B8" w:rsidRDefault="00AD6CF4" w:rsidP="002078DF">
      <w:pPr>
        <w:keepNext/>
        <w:rPr>
          <w:lang w:val="de-DE"/>
        </w:rPr>
      </w:pPr>
    </w:p>
    <w:p w14:paraId="427A662F" w14:textId="77777777" w:rsidR="00731616" w:rsidRPr="009536B8" w:rsidRDefault="00F15524">
      <w:pPr>
        <w:keepNext/>
        <w:rPr>
          <w:rFonts w:eastAsia="MS Mincho"/>
          <w:lang w:val="de-DE"/>
        </w:rPr>
      </w:pPr>
      <w:r w:rsidRPr="00350522">
        <w:rPr>
          <w:rFonts w:eastAsia="MS Mincho"/>
        </w:rPr>
        <w:fldChar w:fldCharType="begin"/>
      </w:r>
      <w:r w:rsidRPr="009536B8">
        <w:rPr>
          <w:rFonts w:eastAsia="MS Mincho"/>
          <w:lang w:val="de-DE"/>
        </w:rPr>
        <w:instrText xml:space="preserve"> AUTONUM  </w:instrText>
      </w:r>
      <w:r w:rsidRPr="00350522">
        <w:rPr>
          <w:rFonts w:eastAsia="MS Mincho"/>
        </w:rPr>
        <w:fldChar w:fldCharType="end"/>
      </w:r>
      <w:r w:rsidRPr="009536B8">
        <w:rPr>
          <w:rFonts w:eastAsia="MS Mincho"/>
          <w:lang w:val="de-DE"/>
        </w:rPr>
        <w:tab/>
        <w:t>Die TWO hörte auf ihrer fünfundfünfzigsten Tagung</w:t>
      </w:r>
      <w:r>
        <w:rPr>
          <w:rStyle w:val="FootnoteReference"/>
          <w:rFonts w:eastAsia="MS Mincho"/>
        </w:rPr>
        <w:footnoteReference w:id="7"/>
      </w:r>
      <w:r w:rsidRPr="009536B8">
        <w:rPr>
          <w:rFonts w:eastAsia="MS Mincho"/>
          <w:lang w:val="de-DE"/>
        </w:rPr>
        <w:t xml:space="preserve"> ein Referat </w:t>
      </w:r>
      <w:r w:rsidRPr="009536B8">
        <w:rPr>
          <w:lang w:val="de-DE"/>
        </w:rPr>
        <w:t xml:space="preserve">eines Sachverständigen aus dem Vereinigten Königreich </w:t>
      </w:r>
      <w:r w:rsidRPr="009536B8">
        <w:rPr>
          <w:rFonts w:eastAsia="MS Mincho"/>
          <w:lang w:val="de-DE"/>
        </w:rPr>
        <w:t>über "</w:t>
      </w:r>
      <w:r w:rsidRPr="009536B8">
        <w:rPr>
          <w:lang w:val="de-DE"/>
        </w:rPr>
        <w:t xml:space="preserve">Prüfungen von Ziersorten landwirtschaftlicher Arten sowie von Obst- und Gemüsearten - eine britische Perspektive".  Eine Kopie des Referats ist in Dokument </w:t>
      </w:r>
      <w:r w:rsidRPr="009536B8">
        <w:rPr>
          <w:rFonts w:eastAsia="MS Mincho"/>
          <w:lang w:val="de-DE"/>
        </w:rPr>
        <w:t xml:space="preserve">TWO/55/5 </w:t>
      </w:r>
      <w:r w:rsidRPr="009536B8">
        <w:rPr>
          <w:lang w:val="de-DE"/>
        </w:rPr>
        <w:t xml:space="preserve">enthalten </w:t>
      </w:r>
      <w:r w:rsidRPr="009536B8">
        <w:rPr>
          <w:rFonts w:eastAsia="MS Mincho"/>
          <w:lang w:val="de-DE"/>
        </w:rPr>
        <w:t xml:space="preserve">(vergleiche Dokument TWO/55/11 "Bericht", Absätze 14 bis 20).    </w:t>
      </w:r>
    </w:p>
    <w:p w14:paraId="6CAEE7D2" w14:textId="77777777" w:rsidR="00AD6CF4" w:rsidRPr="009536B8" w:rsidRDefault="00AD6CF4" w:rsidP="00AD6CF4">
      <w:pPr>
        <w:rPr>
          <w:rFonts w:eastAsia="MS Mincho"/>
          <w:lang w:val="de-DE"/>
        </w:rPr>
      </w:pPr>
    </w:p>
    <w:p w14:paraId="0D005FD3" w14:textId="77777777" w:rsidR="00731616" w:rsidRPr="009536B8" w:rsidRDefault="00F15524">
      <w:pPr>
        <w:rPr>
          <w:rFonts w:eastAsia="MS Mincho"/>
          <w:lang w:val="de-DE"/>
        </w:rPr>
      </w:pPr>
      <w:r w:rsidRPr="00350522">
        <w:rPr>
          <w:rFonts w:eastAsia="MS Mincho"/>
        </w:rPr>
        <w:fldChar w:fldCharType="begin"/>
      </w:r>
      <w:r w:rsidRPr="009536B8">
        <w:rPr>
          <w:rFonts w:eastAsia="MS Mincho"/>
          <w:lang w:val="de-DE"/>
        </w:rPr>
        <w:instrText xml:space="preserve"> AUTONUM  </w:instrText>
      </w:r>
      <w:r w:rsidRPr="00350522">
        <w:rPr>
          <w:rFonts w:eastAsia="MS Mincho"/>
        </w:rPr>
        <w:fldChar w:fldCharType="end"/>
      </w:r>
      <w:r w:rsidRPr="009536B8">
        <w:rPr>
          <w:rFonts w:eastAsia="MS Mincho"/>
          <w:lang w:val="de-DE"/>
        </w:rPr>
        <w:tab/>
        <w:t xml:space="preserve">Die TWO hörte ein Referat </w:t>
      </w:r>
      <w:r w:rsidRPr="009536B8">
        <w:rPr>
          <w:lang w:val="de-DE"/>
        </w:rPr>
        <w:t xml:space="preserve">eines Sachverständigen aus Frankreich </w:t>
      </w:r>
      <w:r w:rsidRPr="009536B8">
        <w:rPr>
          <w:rFonts w:eastAsia="MS Mincho"/>
          <w:lang w:val="de-DE"/>
        </w:rPr>
        <w:tab/>
        <w:t>über "</w:t>
      </w:r>
      <w:r w:rsidRPr="009536B8">
        <w:rPr>
          <w:lang w:val="de-DE"/>
        </w:rPr>
        <w:t xml:space="preserve">Ziersorten von landwirtschaftlichen Pflanzen, Obst- und Gemüsearten".  Eine Kopie des Referats ist in Dokument </w:t>
      </w:r>
      <w:r w:rsidRPr="009536B8">
        <w:rPr>
          <w:rFonts w:eastAsia="MS Mincho"/>
          <w:lang w:val="de-DE"/>
        </w:rPr>
        <w:t>TWO/55/5 Add.</w:t>
      </w:r>
    </w:p>
    <w:p w14:paraId="6268D0EE" w14:textId="77777777" w:rsidR="00AD6CF4" w:rsidRPr="009536B8" w:rsidRDefault="00AD6CF4" w:rsidP="00AD6CF4">
      <w:pPr>
        <w:rPr>
          <w:rFonts w:eastAsia="MS Mincho"/>
          <w:lang w:val="de-DE"/>
        </w:rPr>
      </w:pPr>
    </w:p>
    <w:p w14:paraId="6A242BE6" w14:textId="68CF92DB" w:rsidR="00731616" w:rsidRPr="009536B8" w:rsidRDefault="00F15524">
      <w:pPr>
        <w:rPr>
          <w:lang w:val="de-DE"/>
        </w:rPr>
      </w:pPr>
      <w:r w:rsidRPr="00350522">
        <w:rPr>
          <w:rFonts w:eastAsia="MS Mincho"/>
        </w:rPr>
        <w:fldChar w:fldCharType="begin"/>
      </w:r>
      <w:r w:rsidRPr="009536B8">
        <w:rPr>
          <w:rFonts w:eastAsia="MS Mincho"/>
          <w:lang w:val="de-DE"/>
        </w:rPr>
        <w:instrText xml:space="preserve"> AUTONUM  </w:instrText>
      </w:r>
      <w:r w:rsidRPr="00350522">
        <w:rPr>
          <w:rFonts w:eastAsia="MS Mincho"/>
        </w:rPr>
        <w:fldChar w:fldCharType="end"/>
      </w:r>
      <w:r w:rsidRPr="009536B8">
        <w:rPr>
          <w:rFonts w:eastAsia="MS Mincho"/>
          <w:lang w:val="de-DE"/>
        </w:rPr>
        <w:tab/>
        <w:t xml:space="preserve">Die TWO vereinbarte zu empfehlen, </w:t>
      </w:r>
      <w:r w:rsidR="00522D47" w:rsidRPr="009536B8">
        <w:rPr>
          <w:rFonts w:eastAsia="MS Mincho"/>
          <w:lang w:val="de-DE"/>
        </w:rPr>
        <w:t>dass</w:t>
      </w:r>
      <w:r w:rsidRPr="009536B8">
        <w:rPr>
          <w:rFonts w:eastAsia="MS Mincho"/>
          <w:lang w:val="de-DE"/>
        </w:rPr>
        <w:t xml:space="preserve"> die Verfasser von Prüfungsrichtlinien es vermeiden sollten, Ziersorten ausdrücklich vom Geltungsbereich der Prüfungsrichtlinien auszuschließen.  Die TWO vereinbarte, </w:t>
      </w:r>
      <w:r w:rsidR="00522D47" w:rsidRPr="009536B8">
        <w:rPr>
          <w:rFonts w:eastAsia="MS Mincho"/>
          <w:lang w:val="de-DE"/>
        </w:rPr>
        <w:t>dass</w:t>
      </w:r>
      <w:r w:rsidRPr="009536B8">
        <w:rPr>
          <w:rFonts w:eastAsia="MS Mincho"/>
          <w:lang w:val="de-DE"/>
        </w:rPr>
        <w:t xml:space="preserve"> Situationen, in denen Ziersorten anderer Pflanzensektoren vorhanden sind, mit der Aufnahme des Standardwortlauts über die </w:t>
      </w:r>
      <w:r w:rsidRPr="009536B8">
        <w:rPr>
          <w:lang w:val="de-DE"/>
        </w:rPr>
        <w:t xml:space="preserve">"Erfassung von Sortentypen in Prüfungsrichtlinien" wie folgt </w:t>
      </w:r>
      <w:r w:rsidRPr="009536B8">
        <w:rPr>
          <w:rFonts w:eastAsia="MS Mincho"/>
          <w:lang w:val="de-DE"/>
        </w:rPr>
        <w:tab/>
        <w:t xml:space="preserve">behandelt werden sollten (vergleiche Dokument TGP/7 "Erstellung von Prüfungsrichtlinien, </w:t>
      </w:r>
      <w:r w:rsidRPr="009536B8">
        <w:rPr>
          <w:lang w:val="de-DE"/>
        </w:rPr>
        <w:t>ASW 0):</w:t>
      </w:r>
    </w:p>
    <w:p w14:paraId="08B516E9" w14:textId="77777777" w:rsidR="00AD6CF4" w:rsidRPr="009536B8" w:rsidRDefault="00AD6CF4" w:rsidP="00AD6CF4">
      <w:pPr>
        <w:rPr>
          <w:lang w:val="de-DE"/>
        </w:rPr>
      </w:pPr>
    </w:p>
    <w:p w14:paraId="263CA1E4" w14:textId="77777777" w:rsidR="00731616" w:rsidRPr="009536B8" w:rsidRDefault="00F15524">
      <w:pPr>
        <w:ind w:left="567" w:right="567"/>
        <w:rPr>
          <w:rFonts w:eastAsia="MS Mincho"/>
          <w:lang w:val="de-DE"/>
        </w:rPr>
      </w:pPr>
      <w:r w:rsidRPr="009536B8">
        <w:rPr>
          <w:lang w:val="de-DE"/>
        </w:rPr>
        <w:t>"Insbesondere bei Ziersorten kann es notwendig sein, zusätzliche Merkmale oder zusätzliche Ausprägungsstufen zu den in der Merkmalstabelle aufgeführten zu verwenden, um die Unterscheidbarkeit, die Homogenität und die Beständigkeit zu prüfen.</w:t>
      </w:r>
    </w:p>
    <w:p w14:paraId="7F1B78F9" w14:textId="77777777" w:rsidR="00AD6CF4" w:rsidRPr="009536B8" w:rsidRDefault="00AD6CF4" w:rsidP="00AD6CF4">
      <w:pPr>
        <w:rPr>
          <w:rFonts w:eastAsia="MS Mincho"/>
          <w:lang w:val="de-DE"/>
        </w:rPr>
      </w:pPr>
    </w:p>
    <w:p w14:paraId="5BFCDDCB" w14:textId="7B457EBD" w:rsidR="00731616" w:rsidRPr="009536B8" w:rsidRDefault="00F15524">
      <w:pPr>
        <w:rPr>
          <w:lang w:val="de-DE"/>
        </w:rPr>
      </w:pPr>
      <w:r w:rsidRPr="00350522">
        <w:fldChar w:fldCharType="begin"/>
      </w:r>
      <w:r w:rsidRPr="009536B8">
        <w:rPr>
          <w:lang w:val="de-DE"/>
        </w:rPr>
        <w:instrText xml:space="preserve"> AUTONUM  </w:instrText>
      </w:r>
      <w:r w:rsidRPr="00350522">
        <w:fldChar w:fldCharType="end"/>
      </w:r>
      <w:r w:rsidRPr="009536B8">
        <w:rPr>
          <w:lang w:val="de-DE"/>
        </w:rPr>
        <w:tab/>
        <w:t xml:space="preserve">Die TWO erinnerte daran, </w:t>
      </w:r>
      <w:r w:rsidR="00522D47" w:rsidRPr="009536B8">
        <w:rPr>
          <w:lang w:val="de-DE"/>
        </w:rPr>
        <w:t>dass</w:t>
      </w:r>
      <w:r w:rsidRPr="009536B8">
        <w:rPr>
          <w:lang w:val="de-DE"/>
        </w:rPr>
        <w:t xml:space="preserve"> diese Formulierung zu keinen besonderen </w:t>
      </w:r>
      <w:r w:rsidR="00522D47" w:rsidRPr="009536B8">
        <w:rPr>
          <w:lang w:val="de-DE"/>
        </w:rPr>
        <w:t>Schlussfolgerungen</w:t>
      </w:r>
      <w:r w:rsidRPr="009536B8">
        <w:rPr>
          <w:lang w:val="de-DE"/>
        </w:rPr>
        <w:t xml:space="preserve"> darüber führen sollte, ob andere Sortentypen von der Erstellung getrennter Prüfungsrichtlinien </w:t>
      </w:r>
      <w:r w:rsidR="00522D47" w:rsidRPr="009536B8">
        <w:rPr>
          <w:lang w:val="de-DE"/>
        </w:rPr>
        <w:t>erfasst</w:t>
      </w:r>
      <w:r w:rsidRPr="009536B8">
        <w:rPr>
          <w:lang w:val="de-DE"/>
        </w:rPr>
        <w:t xml:space="preserve"> werden sollten oder nicht, da dies von Fall zu Fall geprüft werden </w:t>
      </w:r>
      <w:r w:rsidR="00522D47" w:rsidRPr="009536B8">
        <w:rPr>
          <w:lang w:val="de-DE"/>
        </w:rPr>
        <w:t>müsste</w:t>
      </w:r>
      <w:r w:rsidRPr="009536B8">
        <w:rPr>
          <w:lang w:val="de-DE"/>
        </w:rPr>
        <w:t>.</w:t>
      </w:r>
    </w:p>
    <w:p w14:paraId="0ED59FF9" w14:textId="77777777" w:rsidR="00AD6CF4" w:rsidRPr="009536B8" w:rsidRDefault="00AD6CF4" w:rsidP="00AD6CF4">
      <w:pPr>
        <w:rPr>
          <w:rFonts w:eastAsia="MS Mincho"/>
          <w:lang w:val="de-DE"/>
        </w:rPr>
      </w:pPr>
    </w:p>
    <w:p w14:paraId="3466C429" w14:textId="341C0409" w:rsidR="00731616" w:rsidRPr="009536B8" w:rsidRDefault="00F15524">
      <w:pPr>
        <w:rPr>
          <w:rFonts w:eastAsia="MS Mincho"/>
          <w:lang w:val="de-DE"/>
        </w:rPr>
      </w:pPr>
      <w:r w:rsidRPr="00350522">
        <w:rPr>
          <w:rFonts w:eastAsia="MS Mincho"/>
        </w:rPr>
        <w:fldChar w:fldCharType="begin"/>
      </w:r>
      <w:r w:rsidRPr="009536B8">
        <w:rPr>
          <w:rFonts w:eastAsia="MS Mincho"/>
          <w:lang w:val="de-DE"/>
        </w:rPr>
        <w:instrText xml:space="preserve"> AUTONUM  </w:instrText>
      </w:r>
      <w:r w:rsidRPr="00350522">
        <w:rPr>
          <w:rFonts w:eastAsia="MS Mincho"/>
        </w:rPr>
        <w:fldChar w:fldCharType="end"/>
      </w:r>
      <w:r w:rsidRPr="009536B8">
        <w:rPr>
          <w:rFonts w:eastAsia="MS Mincho"/>
          <w:lang w:val="de-DE"/>
        </w:rPr>
        <w:tab/>
        <w:t xml:space="preserve">Die TWO vereinbarte, </w:t>
      </w:r>
      <w:r w:rsidR="00522D47" w:rsidRPr="009536B8">
        <w:rPr>
          <w:rFonts w:eastAsia="MS Mincho"/>
          <w:lang w:val="de-DE"/>
        </w:rPr>
        <w:t>dass</w:t>
      </w:r>
      <w:r w:rsidRPr="009536B8">
        <w:rPr>
          <w:rFonts w:eastAsia="MS Mincho"/>
          <w:lang w:val="de-DE"/>
        </w:rPr>
        <w:t xml:space="preserve"> die für andere Pflanzensektoren erstellten Prüfungsrichtlinien einen geeigneten Ausgangspunkt für die Prüfung von Ziersorten darstellten, gefolgt von einer Beurteilung des Bedarfs an zusätzlichen Merkmalen oder Ausprägungsstufen.  </w:t>
      </w:r>
    </w:p>
    <w:p w14:paraId="65803547" w14:textId="77777777" w:rsidR="00AD6CF4" w:rsidRPr="009536B8" w:rsidRDefault="00AD6CF4" w:rsidP="00AD6CF4">
      <w:pPr>
        <w:rPr>
          <w:rFonts w:eastAsia="MS Mincho"/>
          <w:lang w:val="de-DE"/>
        </w:rPr>
      </w:pPr>
    </w:p>
    <w:p w14:paraId="0288E393" w14:textId="0C07F5C0" w:rsidR="00731616" w:rsidRPr="009536B8" w:rsidRDefault="00F15524">
      <w:pPr>
        <w:rPr>
          <w:rFonts w:eastAsia="MS Mincho"/>
          <w:lang w:val="de-DE"/>
        </w:rPr>
      </w:pPr>
      <w:r w:rsidRPr="00350522">
        <w:rPr>
          <w:rFonts w:eastAsia="MS Mincho"/>
        </w:rPr>
        <w:fldChar w:fldCharType="begin"/>
      </w:r>
      <w:r w:rsidRPr="009536B8">
        <w:rPr>
          <w:rFonts w:eastAsia="MS Mincho"/>
          <w:lang w:val="de-DE"/>
        </w:rPr>
        <w:instrText xml:space="preserve"> AUTONUM  </w:instrText>
      </w:r>
      <w:r w:rsidRPr="00350522">
        <w:rPr>
          <w:rFonts w:eastAsia="MS Mincho"/>
        </w:rPr>
        <w:fldChar w:fldCharType="end"/>
      </w:r>
      <w:r w:rsidRPr="009536B8">
        <w:rPr>
          <w:rFonts w:eastAsia="MS Mincho"/>
          <w:lang w:val="de-DE"/>
        </w:rPr>
        <w:tab/>
        <w:t xml:space="preserve">Die TWO prüfte das in Dokument TWO/55/5 dargelegte Beispiel der DUS-Prüfung von Ziersorten von Süßkartoffel.  Die TWO nahm zur Kenntnis, </w:t>
      </w:r>
      <w:r w:rsidR="00522D47" w:rsidRPr="009536B8">
        <w:rPr>
          <w:rFonts w:eastAsia="MS Mincho"/>
          <w:lang w:val="de-DE"/>
        </w:rPr>
        <w:t>dass</w:t>
      </w:r>
      <w:r w:rsidRPr="009536B8">
        <w:rPr>
          <w:rFonts w:eastAsia="MS Mincho"/>
          <w:lang w:val="de-DE"/>
        </w:rPr>
        <w:t xml:space="preserve"> die in den Prüfungsrichtlinien angegebenen Wurzelmerkmale aufgrund der schwachen Wurzelentwicklung der geprüften Ziersorten nicht </w:t>
      </w:r>
      <w:r w:rsidR="00522D47" w:rsidRPr="009536B8">
        <w:rPr>
          <w:rFonts w:eastAsia="MS Mincho"/>
          <w:lang w:val="de-DE"/>
        </w:rPr>
        <w:t>erfasst</w:t>
      </w:r>
      <w:r w:rsidRPr="009536B8">
        <w:rPr>
          <w:rFonts w:eastAsia="MS Mincho"/>
          <w:lang w:val="de-DE"/>
        </w:rPr>
        <w:t xml:space="preserve"> werden könnten.  Die TWO vereinbarte, </w:t>
      </w:r>
      <w:r w:rsidR="00522D47" w:rsidRPr="009536B8">
        <w:rPr>
          <w:rFonts w:eastAsia="MS Mincho"/>
          <w:lang w:val="de-DE"/>
        </w:rPr>
        <w:t>dass</w:t>
      </w:r>
      <w:r w:rsidRPr="009536B8">
        <w:rPr>
          <w:rFonts w:eastAsia="MS Mincho"/>
          <w:lang w:val="de-DE"/>
        </w:rPr>
        <w:t xml:space="preserve"> die Verwendung von für andere Pflanzensektoren entwickelten Prüfungsrichtlinien für die Prüfung von Ziersorten zu ähnlichen Situationen führen könnte, in denen bestimmte Merkmale nicht </w:t>
      </w:r>
      <w:r w:rsidR="00522D47" w:rsidRPr="009536B8">
        <w:rPr>
          <w:rFonts w:eastAsia="MS Mincho"/>
          <w:lang w:val="de-DE"/>
        </w:rPr>
        <w:t>erfasst</w:t>
      </w:r>
      <w:r w:rsidRPr="009536B8">
        <w:rPr>
          <w:rFonts w:eastAsia="MS Mincho"/>
          <w:lang w:val="de-DE"/>
        </w:rPr>
        <w:t xml:space="preserve"> werden könnten. </w:t>
      </w:r>
    </w:p>
    <w:p w14:paraId="588F3EC4" w14:textId="77777777" w:rsidR="00AD6CF4" w:rsidRPr="009536B8" w:rsidRDefault="00AD6CF4" w:rsidP="00AD6CF4">
      <w:pPr>
        <w:rPr>
          <w:rFonts w:eastAsia="MS Mincho"/>
          <w:lang w:val="de-DE"/>
        </w:rPr>
      </w:pPr>
    </w:p>
    <w:p w14:paraId="0A67C02C" w14:textId="77777777" w:rsidR="00731616" w:rsidRPr="009536B8" w:rsidRDefault="00F15524">
      <w:pPr>
        <w:rPr>
          <w:rFonts w:eastAsia="MS Mincho"/>
          <w:lang w:val="de-DE"/>
        </w:rPr>
      </w:pPr>
      <w:r w:rsidRPr="00350522">
        <w:rPr>
          <w:rFonts w:eastAsia="MS Mincho"/>
        </w:rPr>
        <w:fldChar w:fldCharType="begin"/>
      </w:r>
      <w:r w:rsidRPr="009536B8">
        <w:rPr>
          <w:rFonts w:eastAsia="MS Mincho"/>
          <w:lang w:val="de-DE"/>
        </w:rPr>
        <w:instrText xml:space="preserve"> AUTONUM  </w:instrText>
      </w:r>
      <w:r w:rsidRPr="00350522">
        <w:rPr>
          <w:rFonts w:eastAsia="MS Mincho"/>
        </w:rPr>
        <w:fldChar w:fldCharType="end"/>
      </w:r>
      <w:r w:rsidRPr="009536B8">
        <w:rPr>
          <w:rFonts w:eastAsia="MS Mincho"/>
          <w:lang w:val="de-DE"/>
        </w:rPr>
        <w:tab/>
        <w:t xml:space="preserve">Die TWO vereinbarte, auf jeder Tagung die Liste der in anderen TWP in Ausarbeitung befindlichen Prüfungsrichtlinien zu prüfen, falls Interesse an der Prüfung von Ziersorten besteht, und gegebenenfalls beteiligte Sachverständige bereitzustellen. </w:t>
      </w:r>
    </w:p>
    <w:p w14:paraId="49440FBB" w14:textId="77777777" w:rsidR="00AD6CF4" w:rsidRPr="009536B8" w:rsidRDefault="00AD6CF4" w:rsidP="00AD6CF4">
      <w:pPr>
        <w:rPr>
          <w:rFonts w:eastAsia="MS Mincho"/>
          <w:lang w:val="de-DE"/>
        </w:rPr>
      </w:pPr>
    </w:p>
    <w:p w14:paraId="531C582B" w14:textId="77777777" w:rsidR="00AD6CF4" w:rsidRPr="009536B8" w:rsidRDefault="00AD6CF4" w:rsidP="00445B73">
      <w:pPr>
        <w:rPr>
          <w:lang w:val="de-DE"/>
        </w:rPr>
      </w:pPr>
    </w:p>
    <w:p w14:paraId="016F3E4B" w14:textId="77777777" w:rsidR="009A78BB" w:rsidRPr="009536B8" w:rsidRDefault="009A78BB" w:rsidP="00445B73">
      <w:pPr>
        <w:rPr>
          <w:lang w:val="de-DE"/>
        </w:rPr>
      </w:pPr>
    </w:p>
    <w:p w14:paraId="23B58077" w14:textId="77777777" w:rsidR="00731616" w:rsidRDefault="00F15524">
      <w:pPr>
        <w:jc w:val="right"/>
      </w:pPr>
      <w:r w:rsidRPr="009536B8">
        <w:rPr>
          <w:lang w:val="de-DE"/>
        </w:rPr>
        <w:t xml:space="preserve"> </w:t>
      </w:r>
      <w:r w:rsidRPr="00350522">
        <w:t xml:space="preserve">[Ende des </w:t>
      </w:r>
      <w:proofErr w:type="spellStart"/>
      <w:r w:rsidRPr="00350522">
        <w:t>Dokuments</w:t>
      </w:r>
      <w:proofErr w:type="spellEnd"/>
      <w:r w:rsidRPr="00350522">
        <w:t>]</w:t>
      </w:r>
    </w:p>
    <w:sectPr w:rsidR="00731616"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C30A7" w14:textId="77777777" w:rsidR="00507C08" w:rsidRDefault="00507C08" w:rsidP="006655D3">
      <w:r>
        <w:separator/>
      </w:r>
    </w:p>
    <w:p w14:paraId="71F36F13" w14:textId="77777777" w:rsidR="00507C08" w:rsidRDefault="00507C08" w:rsidP="006655D3"/>
    <w:p w14:paraId="22F92823" w14:textId="77777777" w:rsidR="00507C08" w:rsidRDefault="00507C08" w:rsidP="006655D3"/>
  </w:endnote>
  <w:endnote w:type="continuationSeparator" w:id="0">
    <w:p w14:paraId="5B9EF09C" w14:textId="77777777" w:rsidR="00507C08" w:rsidRDefault="00507C08" w:rsidP="006655D3">
      <w:r>
        <w:separator/>
      </w:r>
    </w:p>
    <w:p w14:paraId="7B816929" w14:textId="77777777" w:rsidR="00731616" w:rsidRDefault="00F15524">
      <w:pPr>
        <w:pStyle w:val="Footer"/>
        <w:spacing w:after="60"/>
        <w:rPr>
          <w:sz w:val="18"/>
          <w:lang w:val="fr-FR"/>
        </w:rPr>
      </w:pPr>
      <w:r w:rsidRPr="00294751">
        <w:rPr>
          <w:sz w:val="18"/>
          <w:lang w:val="fr-FR"/>
        </w:rPr>
        <w:t>(Suite de la note de la page précédente)</w:t>
      </w:r>
    </w:p>
    <w:p w14:paraId="2EAC3797" w14:textId="77777777" w:rsidR="00507C08" w:rsidRPr="00294751" w:rsidRDefault="00507C08" w:rsidP="006655D3">
      <w:pPr>
        <w:rPr>
          <w:lang w:val="fr-FR"/>
        </w:rPr>
      </w:pPr>
    </w:p>
    <w:p w14:paraId="1FDD72B3" w14:textId="77777777" w:rsidR="00507C08" w:rsidRPr="00294751" w:rsidRDefault="00507C08" w:rsidP="006655D3">
      <w:pPr>
        <w:rPr>
          <w:lang w:val="fr-FR"/>
        </w:rPr>
      </w:pPr>
    </w:p>
  </w:endnote>
  <w:endnote w:type="continuationNotice" w:id="1">
    <w:p w14:paraId="6967D401" w14:textId="77777777" w:rsidR="00731616" w:rsidRDefault="00F15524">
      <w:pPr>
        <w:rPr>
          <w:lang w:val="fr-FR"/>
        </w:rPr>
      </w:pPr>
      <w:r w:rsidRPr="00294751">
        <w:rPr>
          <w:lang w:val="fr-FR"/>
        </w:rPr>
        <w:t>[Suite de la note page suivante]</w:t>
      </w:r>
    </w:p>
    <w:p w14:paraId="4F3D0FF7" w14:textId="77777777" w:rsidR="00507C08" w:rsidRPr="00294751" w:rsidRDefault="00507C08" w:rsidP="006655D3">
      <w:pPr>
        <w:rPr>
          <w:lang w:val="fr-FR"/>
        </w:rPr>
      </w:pPr>
    </w:p>
    <w:p w14:paraId="749A5C41" w14:textId="77777777" w:rsidR="00507C08" w:rsidRPr="00294751" w:rsidRDefault="00507C0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0BBA" w14:textId="77777777" w:rsidR="00507C08" w:rsidRDefault="00507C08" w:rsidP="006655D3">
      <w:r>
        <w:separator/>
      </w:r>
    </w:p>
  </w:footnote>
  <w:footnote w:type="continuationSeparator" w:id="0">
    <w:p w14:paraId="5878CB3D" w14:textId="77777777" w:rsidR="00507C08" w:rsidRDefault="00507C08" w:rsidP="006655D3">
      <w:r>
        <w:separator/>
      </w:r>
    </w:p>
  </w:footnote>
  <w:footnote w:type="continuationNotice" w:id="1">
    <w:p w14:paraId="4FADF816" w14:textId="77777777" w:rsidR="00507C08" w:rsidRPr="00AB530F" w:rsidRDefault="00507C08" w:rsidP="00AB530F">
      <w:pPr>
        <w:pStyle w:val="Footer"/>
      </w:pPr>
    </w:p>
  </w:footnote>
  <w:footnote w:id="2">
    <w:p w14:paraId="2A91AD29" w14:textId="77777777" w:rsidR="00731616" w:rsidRPr="00B10D0E" w:rsidRDefault="00F15524">
      <w:pPr>
        <w:pStyle w:val="FootnoteText"/>
        <w:rPr>
          <w:lang w:val="de-DE"/>
        </w:rPr>
      </w:pPr>
      <w:r>
        <w:rPr>
          <w:rStyle w:val="FootnoteReference"/>
        </w:rPr>
        <w:footnoteRef/>
      </w:r>
      <w:r w:rsidRPr="009536B8">
        <w:rPr>
          <w:lang w:val="de-DE"/>
        </w:rPr>
        <w:t xml:space="preserve"> auf seiner siebenundfünfzigsten Tagung, die vom 1. bis 5. </w:t>
      </w:r>
      <w:r w:rsidRPr="00B10D0E">
        <w:rPr>
          <w:lang w:val="de-DE"/>
        </w:rPr>
        <w:t>Mai 2023 in Antalya, Türkei, stattfindet.</w:t>
      </w:r>
    </w:p>
  </w:footnote>
  <w:footnote w:id="3">
    <w:p w14:paraId="31ACB87D" w14:textId="77777777" w:rsidR="00731616" w:rsidRPr="00B10D0E" w:rsidRDefault="00F15524">
      <w:pPr>
        <w:pStyle w:val="FootnoteText"/>
        <w:rPr>
          <w:lang w:val="de-DE"/>
        </w:rPr>
      </w:pPr>
      <w:r>
        <w:rPr>
          <w:rStyle w:val="FootnoteReference"/>
        </w:rPr>
        <w:footnoteRef/>
      </w:r>
      <w:r w:rsidRPr="009536B8">
        <w:rPr>
          <w:lang w:val="de-DE"/>
        </w:rPr>
        <w:t xml:space="preserve"> auf seiner zweiundfünfzigsten Tagung, die vom 22. bis 26. </w:t>
      </w:r>
      <w:r w:rsidRPr="00B10D0E">
        <w:rPr>
          <w:lang w:val="de-DE"/>
        </w:rPr>
        <w:t>Mai 2023 auf elektronischem Wege stattfindet.</w:t>
      </w:r>
    </w:p>
  </w:footnote>
  <w:footnote w:id="4">
    <w:p w14:paraId="4A2E6EE6" w14:textId="77777777" w:rsidR="00731616" w:rsidRPr="00B10D0E" w:rsidRDefault="00F15524">
      <w:pPr>
        <w:pStyle w:val="FootnoteText"/>
        <w:rPr>
          <w:lang w:val="de-DE"/>
        </w:rPr>
      </w:pPr>
      <w:r>
        <w:rPr>
          <w:rStyle w:val="FootnoteReference"/>
        </w:rPr>
        <w:footnoteRef/>
      </w:r>
      <w:r w:rsidRPr="009536B8">
        <w:rPr>
          <w:lang w:val="de-DE"/>
        </w:rPr>
        <w:t xml:space="preserve"> auf seiner fünfundfünfzigsten Tagung, die vom 12. bis 16. </w:t>
      </w:r>
      <w:r w:rsidRPr="00B10D0E">
        <w:rPr>
          <w:lang w:val="de-DE"/>
        </w:rPr>
        <w:t>Juni 2023 auf elektronischem Wege stattfindet.</w:t>
      </w:r>
    </w:p>
  </w:footnote>
  <w:footnote w:id="5">
    <w:p w14:paraId="72613F13" w14:textId="77777777" w:rsidR="00731616" w:rsidRPr="00B10D0E" w:rsidRDefault="00F15524">
      <w:pPr>
        <w:pStyle w:val="FootnoteText"/>
        <w:rPr>
          <w:lang w:val="de-DE"/>
        </w:rPr>
      </w:pPr>
      <w:r>
        <w:rPr>
          <w:rStyle w:val="FootnoteReference"/>
        </w:rPr>
        <w:footnoteRef/>
      </w:r>
      <w:r w:rsidRPr="009536B8">
        <w:rPr>
          <w:lang w:val="de-DE"/>
        </w:rPr>
        <w:t xml:space="preserve"> auf seiner vierundfünfzigsten Tagung, die vom 3. bis 7. </w:t>
      </w:r>
      <w:r w:rsidRPr="00B10D0E">
        <w:rPr>
          <w:lang w:val="de-DE"/>
        </w:rPr>
        <w:t>Juli 2023 in Nimes, Frankreich, stattfindet</w:t>
      </w:r>
    </w:p>
  </w:footnote>
  <w:footnote w:id="6">
    <w:p w14:paraId="17BDADB9" w14:textId="77777777" w:rsidR="00731616" w:rsidRPr="00B10D0E" w:rsidRDefault="00F15524">
      <w:pPr>
        <w:pStyle w:val="FootnoteText"/>
        <w:rPr>
          <w:lang w:val="de-DE"/>
        </w:rPr>
      </w:pPr>
      <w:r>
        <w:rPr>
          <w:rStyle w:val="FootnoteReference"/>
        </w:rPr>
        <w:footnoteRef/>
      </w:r>
      <w:r w:rsidRPr="009536B8">
        <w:rPr>
          <w:lang w:val="de-DE"/>
        </w:rPr>
        <w:t xml:space="preserve"> auf seiner vierundfünfzigsten Tagung, die vom 3. bis 7. </w:t>
      </w:r>
      <w:r w:rsidRPr="00B10D0E">
        <w:rPr>
          <w:lang w:val="de-DE"/>
        </w:rPr>
        <w:t>Juli 2023 in Nimes, Frankreich, stattfindet</w:t>
      </w:r>
    </w:p>
  </w:footnote>
  <w:footnote w:id="7">
    <w:p w14:paraId="62BE4262" w14:textId="77777777" w:rsidR="00731616" w:rsidRPr="009536B8" w:rsidRDefault="00F15524">
      <w:pPr>
        <w:pStyle w:val="FootnoteText"/>
        <w:rPr>
          <w:lang w:val="de-DE"/>
        </w:rPr>
      </w:pPr>
      <w:r>
        <w:rPr>
          <w:rStyle w:val="FootnoteReference"/>
        </w:rPr>
        <w:footnoteRef/>
      </w:r>
      <w:r w:rsidRPr="009536B8">
        <w:rPr>
          <w:rFonts w:eastAsia="MS Mincho"/>
          <w:lang w:val="de-DE"/>
        </w:rPr>
        <w:t xml:space="preserve"> die vom 12. bis 16. Juni 2023 auf elektronischem Wege stattfindet.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2099" w14:textId="77777777" w:rsidR="00731616" w:rsidRDefault="00F15524">
    <w:pPr>
      <w:pStyle w:val="Header"/>
      <w:rPr>
        <w:rStyle w:val="PageNumber"/>
        <w:lang w:val="en-US"/>
      </w:rPr>
    </w:pPr>
    <w:r>
      <w:rPr>
        <w:rStyle w:val="PageNumber"/>
        <w:lang w:val="en-US"/>
      </w:rPr>
      <w:t>TC/59/3</w:t>
    </w:r>
  </w:p>
  <w:p w14:paraId="6EFF7DD2" w14:textId="77777777" w:rsidR="00731616" w:rsidRDefault="00F15524">
    <w:pPr>
      <w:pStyle w:val="Header"/>
      <w:rPr>
        <w:lang w:val="en-US"/>
      </w:rPr>
    </w:pPr>
    <w:proofErr w:type="spellStart"/>
    <w:r w:rsidRPr="00C5280D">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189F">
      <w:rPr>
        <w:rStyle w:val="PageNumber"/>
        <w:noProof/>
        <w:lang w:val="en-US"/>
      </w:rPr>
      <w:t>4</w:t>
    </w:r>
    <w:r w:rsidRPr="00C5280D">
      <w:rPr>
        <w:rStyle w:val="PageNumber"/>
        <w:lang w:val="en-US"/>
      </w:rPr>
      <w:fldChar w:fldCharType="end"/>
    </w:r>
  </w:p>
  <w:p w14:paraId="5A8AE563" w14:textId="77777777" w:rsidR="00507C08" w:rsidRPr="00C5280D" w:rsidRDefault="00507C08"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00FE" w14:textId="77777777" w:rsidR="00507C08" w:rsidRPr="0004198B" w:rsidRDefault="00507C08"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53E"/>
    <w:multiLevelType w:val="hybridMultilevel"/>
    <w:tmpl w:val="F4866BFE"/>
    <w:lvl w:ilvl="0" w:tplc="545A88D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2118593788">
    <w:abstractNumId w:val="1"/>
  </w:num>
  <w:num w:numId="2" w16cid:durableId="461117863">
    <w:abstractNumId w:val="3"/>
  </w:num>
  <w:num w:numId="3" w16cid:durableId="925186975">
    <w:abstractNumId w:val="0"/>
  </w:num>
  <w:num w:numId="4" w16cid:durableId="190101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5B59"/>
    <w:rsid w:val="00024AB8"/>
    <w:rsid w:val="00030854"/>
    <w:rsid w:val="00036028"/>
    <w:rsid w:val="0004198B"/>
    <w:rsid w:val="00044642"/>
    <w:rsid w:val="000446B9"/>
    <w:rsid w:val="00047E21"/>
    <w:rsid w:val="00050E16"/>
    <w:rsid w:val="00085505"/>
    <w:rsid w:val="000A5667"/>
    <w:rsid w:val="000C4E25"/>
    <w:rsid w:val="000C7021"/>
    <w:rsid w:val="000D6BBC"/>
    <w:rsid w:val="000D7780"/>
    <w:rsid w:val="000E636A"/>
    <w:rsid w:val="000F2F11"/>
    <w:rsid w:val="00100A5F"/>
    <w:rsid w:val="00105929"/>
    <w:rsid w:val="00110BED"/>
    <w:rsid w:val="00110C36"/>
    <w:rsid w:val="001131D5"/>
    <w:rsid w:val="00114381"/>
    <w:rsid w:val="00114547"/>
    <w:rsid w:val="00120751"/>
    <w:rsid w:val="00122D63"/>
    <w:rsid w:val="00141DB8"/>
    <w:rsid w:val="0014420C"/>
    <w:rsid w:val="001671B1"/>
    <w:rsid w:val="00172084"/>
    <w:rsid w:val="0017474A"/>
    <w:rsid w:val="001758C6"/>
    <w:rsid w:val="00182B99"/>
    <w:rsid w:val="001B650F"/>
    <w:rsid w:val="001C1525"/>
    <w:rsid w:val="002078DF"/>
    <w:rsid w:val="0021332C"/>
    <w:rsid w:val="00213982"/>
    <w:rsid w:val="0024416D"/>
    <w:rsid w:val="00253176"/>
    <w:rsid w:val="00271911"/>
    <w:rsid w:val="00273187"/>
    <w:rsid w:val="00274F1A"/>
    <w:rsid w:val="002800A0"/>
    <w:rsid w:val="002801B3"/>
    <w:rsid w:val="00281060"/>
    <w:rsid w:val="00284050"/>
    <w:rsid w:val="00285BD0"/>
    <w:rsid w:val="002940E8"/>
    <w:rsid w:val="00294751"/>
    <w:rsid w:val="00296433"/>
    <w:rsid w:val="002A6E50"/>
    <w:rsid w:val="002B4298"/>
    <w:rsid w:val="002B7A36"/>
    <w:rsid w:val="002C10D1"/>
    <w:rsid w:val="002C256A"/>
    <w:rsid w:val="002D5226"/>
    <w:rsid w:val="002E4DBD"/>
    <w:rsid w:val="00305A7F"/>
    <w:rsid w:val="003152FE"/>
    <w:rsid w:val="00327436"/>
    <w:rsid w:val="00342FEC"/>
    <w:rsid w:val="00344BD6"/>
    <w:rsid w:val="00350522"/>
    <w:rsid w:val="0035528D"/>
    <w:rsid w:val="00361821"/>
    <w:rsid w:val="00361E9E"/>
    <w:rsid w:val="00372918"/>
    <w:rsid w:val="003753EE"/>
    <w:rsid w:val="003969E5"/>
    <w:rsid w:val="003A0835"/>
    <w:rsid w:val="003A5AAF"/>
    <w:rsid w:val="003B700A"/>
    <w:rsid w:val="003C7FBE"/>
    <w:rsid w:val="003D0839"/>
    <w:rsid w:val="003D227C"/>
    <w:rsid w:val="003D2B4D"/>
    <w:rsid w:val="003F37F5"/>
    <w:rsid w:val="003F645F"/>
    <w:rsid w:val="00413B4E"/>
    <w:rsid w:val="00444A88"/>
    <w:rsid w:val="00445B73"/>
    <w:rsid w:val="00454CCD"/>
    <w:rsid w:val="00474DA4"/>
    <w:rsid w:val="00476B4D"/>
    <w:rsid w:val="004805FA"/>
    <w:rsid w:val="004935D2"/>
    <w:rsid w:val="00496EE6"/>
    <w:rsid w:val="004B1215"/>
    <w:rsid w:val="004D047D"/>
    <w:rsid w:val="004D1334"/>
    <w:rsid w:val="004F1E9E"/>
    <w:rsid w:val="004F305A"/>
    <w:rsid w:val="00507C08"/>
    <w:rsid w:val="00512164"/>
    <w:rsid w:val="00520297"/>
    <w:rsid w:val="00522D47"/>
    <w:rsid w:val="005338F9"/>
    <w:rsid w:val="0054281C"/>
    <w:rsid w:val="00544581"/>
    <w:rsid w:val="0055268D"/>
    <w:rsid w:val="00575DE2"/>
    <w:rsid w:val="00576BE4"/>
    <w:rsid w:val="005779DB"/>
    <w:rsid w:val="00581447"/>
    <w:rsid w:val="00594B53"/>
    <w:rsid w:val="005A2A67"/>
    <w:rsid w:val="005A400A"/>
    <w:rsid w:val="005B269D"/>
    <w:rsid w:val="005F7B92"/>
    <w:rsid w:val="006053EE"/>
    <w:rsid w:val="00612379"/>
    <w:rsid w:val="006153B6"/>
    <w:rsid w:val="0061555F"/>
    <w:rsid w:val="006229B7"/>
    <w:rsid w:val="006245ED"/>
    <w:rsid w:val="00636CA6"/>
    <w:rsid w:val="006404F7"/>
    <w:rsid w:val="00641200"/>
    <w:rsid w:val="00645CA8"/>
    <w:rsid w:val="00647E8C"/>
    <w:rsid w:val="006655D3"/>
    <w:rsid w:val="00667404"/>
    <w:rsid w:val="00687EB4"/>
    <w:rsid w:val="00695C56"/>
    <w:rsid w:val="006A5CDE"/>
    <w:rsid w:val="006A644A"/>
    <w:rsid w:val="006A7772"/>
    <w:rsid w:val="006B053C"/>
    <w:rsid w:val="006B17D2"/>
    <w:rsid w:val="006C224E"/>
    <w:rsid w:val="006D780A"/>
    <w:rsid w:val="006E1E47"/>
    <w:rsid w:val="00700DDA"/>
    <w:rsid w:val="00710B5E"/>
    <w:rsid w:val="0071271E"/>
    <w:rsid w:val="00731616"/>
    <w:rsid w:val="00732DEC"/>
    <w:rsid w:val="00735BD5"/>
    <w:rsid w:val="007451EC"/>
    <w:rsid w:val="00751613"/>
    <w:rsid w:val="00753EE9"/>
    <w:rsid w:val="007556F6"/>
    <w:rsid w:val="00760EEF"/>
    <w:rsid w:val="00766FEE"/>
    <w:rsid w:val="00777EE5"/>
    <w:rsid w:val="00784836"/>
    <w:rsid w:val="007875B0"/>
    <w:rsid w:val="0079023E"/>
    <w:rsid w:val="007A2854"/>
    <w:rsid w:val="007A2C97"/>
    <w:rsid w:val="007C1D92"/>
    <w:rsid w:val="007C4CB9"/>
    <w:rsid w:val="007D0B9D"/>
    <w:rsid w:val="007D19B0"/>
    <w:rsid w:val="007E6DE2"/>
    <w:rsid w:val="007F498F"/>
    <w:rsid w:val="00804AEC"/>
    <w:rsid w:val="0080679D"/>
    <w:rsid w:val="008108B0"/>
    <w:rsid w:val="00811B20"/>
    <w:rsid w:val="00812609"/>
    <w:rsid w:val="008211B5"/>
    <w:rsid w:val="0082296E"/>
    <w:rsid w:val="00823C2E"/>
    <w:rsid w:val="00824099"/>
    <w:rsid w:val="0083189F"/>
    <w:rsid w:val="00846D7C"/>
    <w:rsid w:val="00867AC1"/>
    <w:rsid w:val="008751DE"/>
    <w:rsid w:val="00890DF8"/>
    <w:rsid w:val="00893F9F"/>
    <w:rsid w:val="008A0ADE"/>
    <w:rsid w:val="008A743F"/>
    <w:rsid w:val="008C0970"/>
    <w:rsid w:val="008D02AC"/>
    <w:rsid w:val="008D0BC5"/>
    <w:rsid w:val="008D2CF7"/>
    <w:rsid w:val="00900C26"/>
    <w:rsid w:val="00901791"/>
    <w:rsid w:val="00901942"/>
    <w:rsid w:val="0090197F"/>
    <w:rsid w:val="00903264"/>
    <w:rsid w:val="0090404E"/>
    <w:rsid w:val="00904B56"/>
    <w:rsid w:val="00906DDC"/>
    <w:rsid w:val="00913553"/>
    <w:rsid w:val="00914A66"/>
    <w:rsid w:val="00921C3F"/>
    <w:rsid w:val="0092478F"/>
    <w:rsid w:val="00934E09"/>
    <w:rsid w:val="00936253"/>
    <w:rsid w:val="00940D46"/>
    <w:rsid w:val="009413F1"/>
    <w:rsid w:val="00952DD4"/>
    <w:rsid w:val="009536B8"/>
    <w:rsid w:val="009561F4"/>
    <w:rsid w:val="00965AE7"/>
    <w:rsid w:val="00970FED"/>
    <w:rsid w:val="00985E41"/>
    <w:rsid w:val="00990799"/>
    <w:rsid w:val="00992D82"/>
    <w:rsid w:val="00997029"/>
    <w:rsid w:val="009A7339"/>
    <w:rsid w:val="009A78BB"/>
    <w:rsid w:val="009B440E"/>
    <w:rsid w:val="009D690D"/>
    <w:rsid w:val="009E65B6"/>
    <w:rsid w:val="009F0A51"/>
    <w:rsid w:val="009F0B7F"/>
    <w:rsid w:val="009F44A5"/>
    <w:rsid w:val="009F77CF"/>
    <w:rsid w:val="00A12795"/>
    <w:rsid w:val="00A24C10"/>
    <w:rsid w:val="00A273D0"/>
    <w:rsid w:val="00A42AC3"/>
    <w:rsid w:val="00A430CF"/>
    <w:rsid w:val="00A54309"/>
    <w:rsid w:val="00A55168"/>
    <w:rsid w:val="00A610A9"/>
    <w:rsid w:val="00A72F82"/>
    <w:rsid w:val="00A80F2A"/>
    <w:rsid w:val="00A96C33"/>
    <w:rsid w:val="00AB2B93"/>
    <w:rsid w:val="00AB530F"/>
    <w:rsid w:val="00AB7E5B"/>
    <w:rsid w:val="00AC2883"/>
    <w:rsid w:val="00AD6CF4"/>
    <w:rsid w:val="00AE0EF1"/>
    <w:rsid w:val="00AE2937"/>
    <w:rsid w:val="00B01755"/>
    <w:rsid w:val="00B07301"/>
    <w:rsid w:val="00B10D0E"/>
    <w:rsid w:val="00B11F3E"/>
    <w:rsid w:val="00B17CD7"/>
    <w:rsid w:val="00B224DE"/>
    <w:rsid w:val="00B324D4"/>
    <w:rsid w:val="00B46575"/>
    <w:rsid w:val="00B61777"/>
    <w:rsid w:val="00B622E6"/>
    <w:rsid w:val="00B83E82"/>
    <w:rsid w:val="00B84BBD"/>
    <w:rsid w:val="00BA43FB"/>
    <w:rsid w:val="00BB26DB"/>
    <w:rsid w:val="00BB430B"/>
    <w:rsid w:val="00BC127D"/>
    <w:rsid w:val="00BC1FE6"/>
    <w:rsid w:val="00BF1B0A"/>
    <w:rsid w:val="00C061B6"/>
    <w:rsid w:val="00C236D0"/>
    <w:rsid w:val="00C24005"/>
    <w:rsid w:val="00C2446C"/>
    <w:rsid w:val="00C36AE5"/>
    <w:rsid w:val="00C41F17"/>
    <w:rsid w:val="00C527FA"/>
    <w:rsid w:val="00C5280D"/>
    <w:rsid w:val="00C53EB3"/>
    <w:rsid w:val="00C5791C"/>
    <w:rsid w:val="00C66290"/>
    <w:rsid w:val="00C72B7A"/>
    <w:rsid w:val="00C864E3"/>
    <w:rsid w:val="00C9015E"/>
    <w:rsid w:val="00C973F2"/>
    <w:rsid w:val="00CA304C"/>
    <w:rsid w:val="00CA774A"/>
    <w:rsid w:val="00CB4921"/>
    <w:rsid w:val="00CC11B0"/>
    <w:rsid w:val="00CC2841"/>
    <w:rsid w:val="00CF1330"/>
    <w:rsid w:val="00CF7E36"/>
    <w:rsid w:val="00D3708D"/>
    <w:rsid w:val="00D40426"/>
    <w:rsid w:val="00D4447E"/>
    <w:rsid w:val="00D57C96"/>
    <w:rsid w:val="00D57D18"/>
    <w:rsid w:val="00D62C7A"/>
    <w:rsid w:val="00D70E65"/>
    <w:rsid w:val="00D91203"/>
    <w:rsid w:val="00D95174"/>
    <w:rsid w:val="00DA4973"/>
    <w:rsid w:val="00DA6F36"/>
    <w:rsid w:val="00DB596E"/>
    <w:rsid w:val="00DB7773"/>
    <w:rsid w:val="00DC00EA"/>
    <w:rsid w:val="00DC0B4F"/>
    <w:rsid w:val="00DC3802"/>
    <w:rsid w:val="00DD6208"/>
    <w:rsid w:val="00DF7E99"/>
    <w:rsid w:val="00E07D87"/>
    <w:rsid w:val="00E249C8"/>
    <w:rsid w:val="00E257C9"/>
    <w:rsid w:val="00E32F7E"/>
    <w:rsid w:val="00E5267B"/>
    <w:rsid w:val="00E559F0"/>
    <w:rsid w:val="00E63C0E"/>
    <w:rsid w:val="00E72D49"/>
    <w:rsid w:val="00E7593C"/>
    <w:rsid w:val="00E7678A"/>
    <w:rsid w:val="00E81BE2"/>
    <w:rsid w:val="00E935F1"/>
    <w:rsid w:val="00E938D2"/>
    <w:rsid w:val="00E94A81"/>
    <w:rsid w:val="00EA1FFB"/>
    <w:rsid w:val="00EB048E"/>
    <w:rsid w:val="00EB4E9C"/>
    <w:rsid w:val="00EC634B"/>
    <w:rsid w:val="00EE34DF"/>
    <w:rsid w:val="00EF2F89"/>
    <w:rsid w:val="00F03E98"/>
    <w:rsid w:val="00F056A3"/>
    <w:rsid w:val="00F11635"/>
    <w:rsid w:val="00F1237A"/>
    <w:rsid w:val="00F12AD9"/>
    <w:rsid w:val="00F14665"/>
    <w:rsid w:val="00F15524"/>
    <w:rsid w:val="00F22CBD"/>
    <w:rsid w:val="00F272F1"/>
    <w:rsid w:val="00F31412"/>
    <w:rsid w:val="00F37B39"/>
    <w:rsid w:val="00F45372"/>
    <w:rsid w:val="00F560F7"/>
    <w:rsid w:val="00F6334D"/>
    <w:rsid w:val="00F63599"/>
    <w:rsid w:val="00F71781"/>
    <w:rsid w:val="00FA49AB"/>
    <w:rsid w:val="00FA49CC"/>
    <w:rsid w:val="00FC5FD0"/>
    <w:rsid w:val="00FE39C7"/>
    <w:rsid w:val="00FF2F34"/>
    <w:rsid w:val="00FF4D07"/>
    <w:rsid w:val="00FF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C748718"/>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F14665"/>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F1466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9015E"/>
    <w:rPr>
      <w:rFonts w:ascii="Arial" w:hAnsi="Arial"/>
      <w:caps/>
    </w:rPr>
  </w:style>
  <w:style w:type="character" w:customStyle="1" w:styleId="Heading2Char">
    <w:name w:val="Heading 2 Char"/>
    <w:basedOn w:val="DefaultParagraphFont"/>
    <w:link w:val="Heading2"/>
    <w:rsid w:val="00C9015E"/>
    <w:rPr>
      <w:rFonts w:ascii="Arial" w:hAnsi="Arial"/>
      <w:u w:val="single"/>
    </w:rPr>
  </w:style>
  <w:style w:type="character" w:customStyle="1" w:styleId="FootnoteTextChar">
    <w:name w:val="Footnote Text Char"/>
    <w:basedOn w:val="DefaultParagraphFont"/>
    <w:link w:val="FootnoteText"/>
    <w:rsid w:val="00C9015E"/>
    <w:rPr>
      <w:rFonts w:ascii="Arial" w:hAnsi="Arial"/>
      <w:sz w:val="16"/>
    </w:rPr>
  </w:style>
  <w:style w:type="paragraph" w:styleId="CommentText">
    <w:name w:val="annotation text"/>
    <w:basedOn w:val="Normal"/>
    <w:link w:val="CommentTextChar"/>
    <w:semiHidden/>
    <w:unhideWhenUsed/>
    <w:rsid w:val="00901942"/>
  </w:style>
  <w:style w:type="character" w:customStyle="1" w:styleId="CommentTextChar">
    <w:name w:val="Comment Text Char"/>
    <w:basedOn w:val="DefaultParagraphFont"/>
    <w:link w:val="CommentText"/>
    <w:semiHidden/>
    <w:rsid w:val="00901942"/>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253176"/>
    <w:rPr>
      <w:rFonts w:ascii="Arial" w:eastAsia="MS Mincho" w:hAnsi="Arial" w:cs="Arial"/>
    </w:rPr>
  </w:style>
  <w:style w:type="paragraph" w:styleId="ListParagraph">
    <w:name w:val="List Paragraph"/>
    <w:aliases w:val="auto_list_(i),List Paragraph1"/>
    <w:basedOn w:val="Normal"/>
    <w:link w:val="ListParagraphChar"/>
    <w:uiPriority w:val="34"/>
    <w:qFormat/>
    <w:rsid w:val="00253176"/>
    <w:pPr>
      <w:ind w:left="720"/>
      <w:contextualSpacing/>
    </w:pPr>
    <w:rPr>
      <w:rFonts w:eastAsia="MS Mincho" w:cs="Arial"/>
    </w:rPr>
  </w:style>
  <w:style w:type="paragraph" w:styleId="Revision">
    <w:name w:val="Revision"/>
    <w:hidden/>
    <w:uiPriority w:val="99"/>
    <w:semiHidden/>
    <w:rsid w:val="00BB430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314">
      <w:bodyDiv w:val="1"/>
      <w:marLeft w:val="0"/>
      <w:marRight w:val="0"/>
      <w:marTop w:val="0"/>
      <w:marBottom w:val="0"/>
      <w:divBdr>
        <w:top w:val="none" w:sz="0" w:space="0" w:color="auto"/>
        <w:left w:val="none" w:sz="0" w:space="0" w:color="auto"/>
        <w:bottom w:val="none" w:sz="0" w:space="0" w:color="auto"/>
        <w:right w:val="none" w:sz="0" w:space="0" w:color="auto"/>
      </w:divBdr>
    </w:div>
    <w:div w:id="690181545">
      <w:bodyDiv w:val="1"/>
      <w:marLeft w:val="0"/>
      <w:marRight w:val="0"/>
      <w:marTop w:val="0"/>
      <w:marBottom w:val="0"/>
      <w:divBdr>
        <w:top w:val="none" w:sz="0" w:space="0" w:color="auto"/>
        <w:left w:val="none" w:sz="0" w:space="0" w:color="auto"/>
        <w:bottom w:val="none" w:sz="0" w:space="0" w:color="auto"/>
        <w:right w:val="none" w:sz="0" w:space="0" w:color="auto"/>
      </w:divBdr>
    </w:div>
    <w:div w:id="1182666680">
      <w:bodyDiv w:val="1"/>
      <w:marLeft w:val="0"/>
      <w:marRight w:val="0"/>
      <w:marTop w:val="0"/>
      <w:marBottom w:val="0"/>
      <w:divBdr>
        <w:top w:val="none" w:sz="0" w:space="0" w:color="auto"/>
        <w:left w:val="none" w:sz="0" w:space="0" w:color="auto"/>
        <w:bottom w:val="none" w:sz="0" w:space="0" w:color="auto"/>
        <w:right w:val="none" w:sz="0" w:space="0" w:color="auto"/>
      </w:divBdr>
    </w:div>
    <w:div w:id="1381399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ED30-7061-4D26-899D-4279BD2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5</Pages>
  <Words>1937</Words>
  <Characters>14086</Characters>
  <Application>Microsoft Office Word</Application>
  <DocSecurity>0</DocSecurity>
  <Lines>306</Lines>
  <Paragraphs>127</Paragraphs>
  <ScaleCrop>false</ScaleCrop>
  <HeadingPairs>
    <vt:vector size="2" baseType="variant">
      <vt:variant>
        <vt:lpstr>Title</vt:lpstr>
      </vt:variant>
      <vt:variant>
        <vt:i4>1</vt:i4>
      </vt:variant>
    </vt:vector>
  </HeadingPairs>
  <TitlesOfParts>
    <vt:vector size="1" baseType="lpstr">
      <vt:lpstr>TC/59/3</vt:lpstr>
    </vt:vector>
  </TitlesOfParts>
  <Company>UPOV</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TC/59/3</dc:title>
  <dc:creator>MAY Jessica</dc:creator>
  <cp:keywords>, docId:E197B51C2D942B3A1D488771BA1EEED6</cp:keywords>
  <cp:lastModifiedBy>MAY Jessica</cp:lastModifiedBy>
  <cp:revision>11</cp:revision>
  <cp:lastPrinted>2016-11-22T15:41:00Z</cp:lastPrinted>
  <dcterms:created xsi:type="dcterms:W3CDTF">2023-09-14T08:13:00Z</dcterms:created>
  <dcterms:modified xsi:type="dcterms:W3CDTF">2023-09-14T09:02:00Z</dcterms:modified>
</cp:coreProperties>
</file>