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95558" w:rsidRPr="005B2395" w14:paraId="6FF2F305" w14:textId="77777777" w:rsidTr="003A6CC8">
        <w:tc>
          <w:tcPr>
            <w:tcW w:w="6522" w:type="dxa"/>
          </w:tcPr>
          <w:p w14:paraId="22E5A8ED" w14:textId="77777777" w:rsidR="00E95558" w:rsidRPr="005B2395" w:rsidRDefault="00E95558" w:rsidP="003A6CC8">
            <w:pPr>
              <w:rPr>
                <w:lang w:val="de-DE"/>
              </w:rPr>
            </w:pPr>
            <w:r w:rsidRPr="005B2395">
              <w:rPr>
                <w:noProof/>
              </w:rPr>
              <w:drawing>
                <wp:inline distT="0" distB="0" distL="0" distR="0" wp14:anchorId="02BAFED3" wp14:editId="5ACEA26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F8E44D1" w14:textId="77777777" w:rsidR="00E95558" w:rsidRPr="005B2395" w:rsidRDefault="00E95558" w:rsidP="003A6CC8">
            <w:pPr>
              <w:pStyle w:val="Lettrine"/>
              <w:rPr>
                <w:lang w:val="de-DE"/>
              </w:rPr>
            </w:pPr>
            <w:r w:rsidRPr="005B2395">
              <w:rPr>
                <w:lang w:val="de-DE"/>
              </w:rPr>
              <w:t>G</w:t>
            </w:r>
          </w:p>
        </w:tc>
      </w:tr>
      <w:tr w:rsidR="00E95558" w:rsidRPr="00F06A46" w14:paraId="32E81E69" w14:textId="77777777" w:rsidTr="003A6CC8">
        <w:trPr>
          <w:trHeight w:val="219"/>
        </w:trPr>
        <w:tc>
          <w:tcPr>
            <w:tcW w:w="6522" w:type="dxa"/>
          </w:tcPr>
          <w:p w14:paraId="5661F2A3" w14:textId="77777777" w:rsidR="00E95558" w:rsidRPr="005B2395" w:rsidRDefault="00E95558" w:rsidP="003A6CC8">
            <w:pPr>
              <w:pStyle w:val="upove"/>
              <w:rPr>
                <w:lang w:val="de-DE"/>
              </w:rPr>
            </w:pPr>
            <w:r w:rsidRPr="005B2395">
              <w:rPr>
                <w:lang w:val="de-DE"/>
              </w:rPr>
              <w:t>Internationaler Verband zum Schutz von Pflanzenzüchtungen</w:t>
            </w:r>
          </w:p>
        </w:tc>
        <w:tc>
          <w:tcPr>
            <w:tcW w:w="3117" w:type="dxa"/>
          </w:tcPr>
          <w:p w14:paraId="06A63FBE" w14:textId="77777777" w:rsidR="00E95558" w:rsidRPr="005B2395" w:rsidRDefault="00E95558" w:rsidP="003A6CC8">
            <w:pPr>
              <w:rPr>
                <w:lang w:val="de-DE"/>
              </w:rPr>
            </w:pPr>
          </w:p>
        </w:tc>
      </w:tr>
    </w:tbl>
    <w:p w14:paraId="0DE37970" w14:textId="77777777" w:rsidR="00E95558" w:rsidRPr="005B2395" w:rsidRDefault="00E95558" w:rsidP="00E95558">
      <w:pPr>
        <w:rPr>
          <w:lang w:val="de-DE"/>
        </w:rPr>
      </w:pPr>
    </w:p>
    <w:p w14:paraId="6AB6889D" w14:textId="77777777" w:rsidR="00E95558" w:rsidRPr="005B2395" w:rsidRDefault="00E95558" w:rsidP="00E95558">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1"/>
        <w:gridCol w:w="3128"/>
      </w:tblGrid>
      <w:tr w:rsidR="00E95558" w:rsidRPr="00F06A46" w14:paraId="195FC62D" w14:textId="77777777" w:rsidTr="003A6CC8">
        <w:tc>
          <w:tcPr>
            <w:tcW w:w="6511" w:type="dxa"/>
          </w:tcPr>
          <w:p w14:paraId="77A3E173" w14:textId="77777777" w:rsidR="00E95558" w:rsidRPr="005B2395" w:rsidRDefault="00E95558" w:rsidP="003A6CC8">
            <w:pPr>
              <w:pStyle w:val="Sessiontc"/>
              <w:spacing w:line="240" w:lineRule="auto"/>
              <w:rPr>
                <w:lang w:val="de-DE"/>
              </w:rPr>
            </w:pPr>
            <w:r w:rsidRPr="005B2395">
              <w:rPr>
                <w:lang w:val="de-DE"/>
              </w:rPr>
              <w:t>Technischer Ausschuss</w:t>
            </w:r>
          </w:p>
          <w:p w14:paraId="650CE0A0" w14:textId="77777777" w:rsidR="00E95558" w:rsidRPr="005B2395" w:rsidRDefault="00E95558" w:rsidP="003A6CC8">
            <w:pPr>
              <w:pStyle w:val="Sessiontcplacedate"/>
              <w:rPr>
                <w:sz w:val="22"/>
                <w:lang w:val="de-DE"/>
              </w:rPr>
            </w:pPr>
            <w:r w:rsidRPr="005B2395">
              <w:rPr>
                <w:lang w:val="de-DE"/>
              </w:rPr>
              <w:t>Siebenundfünfzigste Tagung</w:t>
            </w:r>
            <w:r w:rsidRPr="005B2395">
              <w:rPr>
                <w:lang w:val="de-DE"/>
              </w:rPr>
              <w:br/>
              <w:t>Genf, 24. und 25. Oktober 2022</w:t>
            </w:r>
          </w:p>
        </w:tc>
        <w:tc>
          <w:tcPr>
            <w:tcW w:w="3128" w:type="dxa"/>
          </w:tcPr>
          <w:p w14:paraId="3A125109" w14:textId="77777777" w:rsidR="00E95558" w:rsidRPr="005B2395" w:rsidRDefault="00E95558" w:rsidP="003A6CC8">
            <w:pPr>
              <w:pStyle w:val="Doccode"/>
              <w:rPr>
                <w:lang w:val="de-DE"/>
              </w:rPr>
            </w:pPr>
            <w:r w:rsidRPr="005B2395">
              <w:rPr>
                <w:lang w:val="de-DE"/>
              </w:rPr>
              <w:t>TC/58/7</w:t>
            </w:r>
          </w:p>
          <w:p w14:paraId="6BBBAA39" w14:textId="77777777" w:rsidR="00E95558" w:rsidRPr="005B2395" w:rsidRDefault="00E95558" w:rsidP="003A6CC8">
            <w:pPr>
              <w:pStyle w:val="Docoriginal"/>
              <w:rPr>
                <w:lang w:val="de-DE"/>
              </w:rPr>
            </w:pPr>
            <w:r w:rsidRPr="005B2395">
              <w:rPr>
                <w:lang w:val="de-DE"/>
              </w:rPr>
              <w:t>Original:</w:t>
            </w:r>
            <w:r w:rsidRPr="005B2395">
              <w:rPr>
                <w:b w:val="0"/>
                <w:spacing w:val="0"/>
                <w:lang w:val="de-DE"/>
              </w:rPr>
              <w:t xml:space="preserve">  englisch</w:t>
            </w:r>
          </w:p>
          <w:p w14:paraId="197E3263" w14:textId="77777777" w:rsidR="00E95558" w:rsidRPr="005B2395" w:rsidRDefault="00E95558" w:rsidP="003A6CC8">
            <w:pPr>
              <w:pStyle w:val="Docoriginal"/>
              <w:rPr>
                <w:lang w:val="de-DE"/>
              </w:rPr>
            </w:pPr>
            <w:r w:rsidRPr="005B2395">
              <w:rPr>
                <w:lang w:val="de-DE"/>
              </w:rPr>
              <w:t xml:space="preserve">Datum:  </w:t>
            </w:r>
            <w:r w:rsidRPr="005B2395">
              <w:rPr>
                <w:b w:val="0"/>
                <w:bCs w:val="0"/>
                <w:lang w:val="de-DE"/>
              </w:rPr>
              <w:t>6.</w:t>
            </w:r>
            <w:r w:rsidRPr="005B2395">
              <w:rPr>
                <w:lang w:val="de-DE"/>
              </w:rPr>
              <w:t xml:space="preserve"> </w:t>
            </w:r>
            <w:r w:rsidRPr="005B2395">
              <w:rPr>
                <w:b w:val="0"/>
                <w:spacing w:val="0"/>
                <w:lang w:val="de-DE"/>
              </w:rPr>
              <w:t>Oktober 2022</w:t>
            </w:r>
          </w:p>
        </w:tc>
      </w:tr>
    </w:tbl>
    <w:p w14:paraId="0A426765" w14:textId="77777777" w:rsidR="00E95558" w:rsidRPr="005B2395" w:rsidRDefault="00E95558" w:rsidP="00E95558">
      <w:pPr>
        <w:pStyle w:val="Titleofdoc0"/>
        <w:rPr>
          <w:lang w:val="de-DE"/>
        </w:rPr>
      </w:pPr>
      <w:r w:rsidRPr="005B2395">
        <w:rPr>
          <w:lang w:val="de-DE"/>
        </w:rPr>
        <w:t>MOLEKULARE VERFAHREN</w:t>
      </w:r>
    </w:p>
    <w:p w14:paraId="30854643" w14:textId="77777777" w:rsidR="00E95558" w:rsidRPr="005B2395" w:rsidRDefault="00E95558" w:rsidP="00E95558">
      <w:pPr>
        <w:pStyle w:val="preparedby1"/>
        <w:jc w:val="left"/>
        <w:rPr>
          <w:lang w:val="de-DE"/>
        </w:rPr>
      </w:pPr>
      <w:bookmarkStart w:id="0" w:name="Prepared"/>
      <w:bookmarkEnd w:id="0"/>
      <w:r w:rsidRPr="005B2395">
        <w:rPr>
          <w:lang w:val="de-DE"/>
        </w:rPr>
        <w:t>Vom Verbandsbüro erstelltes Dokument</w:t>
      </w:r>
    </w:p>
    <w:p w14:paraId="03E55781" w14:textId="77777777" w:rsidR="00E95558" w:rsidRPr="005B2395" w:rsidRDefault="00E95558" w:rsidP="00E95558">
      <w:pPr>
        <w:pStyle w:val="Disclaimer"/>
        <w:rPr>
          <w:lang w:val="de-DE"/>
        </w:rPr>
      </w:pPr>
      <w:bookmarkStart w:id="1" w:name="_Toc115825470"/>
      <w:r w:rsidRPr="005B2395">
        <w:rPr>
          <w:lang w:val="de-DE"/>
        </w:rPr>
        <w:t>Haftungsausschluss: dieses Dokument gibt nicht die Grundsätze oder eine Anleitung der UPOV wieder</w:t>
      </w:r>
    </w:p>
    <w:p w14:paraId="105A9734" w14:textId="77777777" w:rsidR="00E95558" w:rsidRPr="005B2395" w:rsidRDefault="00E95558" w:rsidP="00E95558">
      <w:pPr>
        <w:pStyle w:val="Heading1"/>
        <w:rPr>
          <w:snapToGrid w:val="0"/>
          <w:lang w:val="de-DE" w:eastAsia="ja-JP"/>
        </w:rPr>
      </w:pPr>
      <w:bookmarkStart w:id="2" w:name="_Toc116156830"/>
      <w:bookmarkEnd w:id="1"/>
      <w:r w:rsidRPr="005B2395">
        <w:rPr>
          <w:snapToGrid w:val="0"/>
          <w:lang w:val="de-DE" w:eastAsia="ja-JP"/>
        </w:rPr>
        <w:t>ZUSAMMENfassung</w:t>
      </w:r>
      <w:bookmarkEnd w:id="2"/>
    </w:p>
    <w:p w14:paraId="7E67673A" w14:textId="77777777" w:rsidR="00E95558" w:rsidRPr="005B2395" w:rsidRDefault="00E95558" w:rsidP="00E95558">
      <w:pPr>
        <w:rPr>
          <w:lang w:val="de-DE" w:eastAsia="ja-JP"/>
        </w:rPr>
      </w:pPr>
    </w:p>
    <w:p w14:paraId="5FF004E5" w14:textId="2CF694AC"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Zweck dieses Dokuments ist es, über die Entwicklungen betreffend molekulare Verfahren zu berichten und den TC zu ersuchen, Vorschläge zu prüfen betreffend</w:t>
      </w:r>
      <w:r w:rsidRPr="005B2395">
        <w:rPr>
          <w:snapToGrid w:val="0"/>
          <w:lang w:val="de-DE"/>
        </w:rPr>
        <w:t xml:space="preserve"> 1) die Zusammenarbeit zwischen internationalen Organisationen</w:t>
      </w:r>
      <w:r w:rsidR="005B2395" w:rsidRPr="005B2395">
        <w:rPr>
          <w:snapToGrid w:val="0"/>
          <w:lang w:val="de-DE"/>
        </w:rPr>
        <w:t>,</w:t>
      </w:r>
      <w:r w:rsidRPr="005B2395">
        <w:rPr>
          <w:snapToGrid w:val="0"/>
          <w:lang w:val="de-DE"/>
        </w:rPr>
        <w:t xml:space="preserve"> 2) Tagungen zur Erleichterung der Zusammenarbeit im Zusammenhang mit der Zusammenarbeit bei der Verwendung molekularer Verfahren und 3) </w:t>
      </w:r>
      <w:r w:rsidRPr="005B2395">
        <w:rPr>
          <w:lang w:val="de-DE"/>
        </w:rPr>
        <w:t xml:space="preserve">Vertraulichkeit von, Eigentum an und Zugang zu molekularen Daten. </w:t>
      </w:r>
    </w:p>
    <w:p w14:paraId="15F8A387" w14:textId="77777777" w:rsidR="00E95558" w:rsidRPr="005B2395" w:rsidRDefault="00E95558" w:rsidP="00E95558">
      <w:pPr>
        <w:rPr>
          <w:lang w:val="de-DE"/>
        </w:rPr>
      </w:pPr>
    </w:p>
    <w:p w14:paraId="7EA63FD1" w14:textId="77777777" w:rsidR="00E95558" w:rsidRPr="005B2395" w:rsidRDefault="00E95558" w:rsidP="00E95558">
      <w:pPr>
        <w:tabs>
          <w:tab w:val="left" w:pos="567"/>
          <w:tab w:val="left" w:pos="1134"/>
          <w:tab w:val="left" w:pos="5387"/>
          <w:tab w:val="left" w:pos="5954"/>
        </w:tabs>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Der TC wird ersucht:</w:t>
      </w:r>
    </w:p>
    <w:p w14:paraId="4AEB2398" w14:textId="77777777" w:rsidR="00E95558" w:rsidRPr="005B2395" w:rsidRDefault="00E95558" w:rsidP="00E95558">
      <w:pPr>
        <w:keepNext/>
        <w:keepLines/>
        <w:tabs>
          <w:tab w:val="left" w:pos="567"/>
          <w:tab w:val="left" w:pos="1134"/>
          <w:tab w:val="left" w:pos="5387"/>
          <w:tab w:val="left" w:pos="5954"/>
        </w:tabs>
        <w:rPr>
          <w:lang w:val="de-DE"/>
        </w:rPr>
      </w:pPr>
    </w:p>
    <w:p w14:paraId="39C162FF" w14:textId="77777777" w:rsidR="00E95558" w:rsidRPr="005B2395" w:rsidRDefault="00E95558" w:rsidP="00E95558">
      <w:pPr>
        <w:keepNext/>
        <w:keepLines/>
        <w:tabs>
          <w:tab w:val="left" w:pos="540"/>
          <w:tab w:val="left" w:pos="567"/>
        </w:tabs>
        <w:ind w:firstLine="540"/>
        <w:rPr>
          <w:lang w:val="de-DE"/>
        </w:rPr>
      </w:pPr>
      <w:r w:rsidRPr="005B2395">
        <w:rPr>
          <w:lang w:val="de-DE"/>
        </w:rPr>
        <w:t>a)</w:t>
      </w:r>
      <w:r w:rsidRPr="005B2395">
        <w:rPr>
          <w:lang w:val="de-DE"/>
        </w:rPr>
        <w:tab/>
        <w:t xml:space="preserve">die Ergebnisse der Befragungen zur Verwendung molekularer Markerverfahren nach Pflanze durch Mitglieder, wie in der Anlage dieses Dokuments dargelegt, zur Kenntnis zu nehmen; </w:t>
      </w:r>
    </w:p>
    <w:p w14:paraId="4AFFB63D" w14:textId="77777777" w:rsidR="00E95558" w:rsidRPr="005B2395" w:rsidRDefault="00E95558" w:rsidP="00E95558">
      <w:pPr>
        <w:keepNext/>
        <w:keepLines/>
        <w:tabs>
          <w:tab w:val="left" w:pos="540"/>
          <w:tab w:val="left" w:pos="567"/>
        </w:tabs>
        <w:ind w:firstLine="540"/>
        <w:rPr>
          <w:lang w:val="de-DE"/>
        </w:rPr>
      </w:pPr>
    </w:p>
    <w:p w14:paraId="4EFF27B0" w14:textId="77777777" w:rsidR="00E95558" w:rsidRPr="005B2395" w:rsidRDefault="00E95558" w:rsidP="00E95558">
      <w:pPr>
        <w:keepNext/>
        <w:keepLines/>
        <w:tabs>
          <w:tab w:val="left" w:pos="540"/>
          <w:tab w:val="left" w:pos="567"/>
        </w:tabs>
        <w:ind w:firstLine="540"/>
        <w:rPr>
          <w:lang w:val="de-DE"/>
        </w:rPr>
      </w:pPr>
      <w:r w:rsidRPr="005B2395">
        <w:rPr>
          <w:lang w:val="de-DE"/>
        </w:rPr>
        <w:t>b)</w:t>
      </w:r>
      <w:r w:rsidRPr="005B2395">
        <w:rPr>
          <w:lang w:val="de-DE"/>
        </w:rPr>
        <w:tab/>
        <w:t>den Entwurf eines gemeinsamen Dokuments zur Erläuterung der wesentlichen Besonderheiten der Systeme von OECD, UPOV und ISTA zur Kenntnis zu nehmen;</w:t>
      </w:r>
    </w:p>
    <w:p w14:paraId="2DA26980" w14:textId="77777777" w:rsidR="00E95558" w:rsidRPr="005B2395" w:rsidRDefault="00E95558" w:rsidP="00E95558">
      <w:pPr>
        <w:keepNext/>
        <w:keepLines/>
        <w:tabs>
          <w:tab w:val="left" w:pos="540"/>
          <w:tab w:val="left" w:pos="567"/>
        </w:tabs>
        <w:ind w:firstLine="540"/>
        <w:rPr>
          <w:lang w:val="de-DE"/>
        </w:rPr>
      </w:pPr>
    </w:p>
    <w:p w14:paraId="4AB60FD1" w14:textId="77777777" w:rsidR="00E95558" w:rsidRPr="005B2395" w:rsidRDefault="00E95558" w:rsidP="00E95558">
      <w:pPr>
        <w:keepNext/>
        <w:keepLines/>
        <w:tabs>
          <w:tab w:val="left" w:pos="540"/>
          <w:tab w:val="left" w:pos="567"/>
        </w:tabs>
        <w:ind w:firstLine="540"/>
        <w:rPr>
          <w:lang w:val="de-DE"/>
        </w:rPr>
      </w:pPr>
      <w:r w:rsidRPr="005B2395">
        <w:rPr>
          <w:lang w:val="de-DE"/>
        </w:rPr>
        <w:t>c)</w:t>
      </w:r>
      <w:r w:rsidRPr="005B2395">
        <w:rPr>
          <w:lang w:val="de-DE"/>
        </w:rPr>
        <w:tab/>
        <w:t>die vom TC für eine künftige gemeinsame Arbeitstagung von UPOV/OECD/ISTA vorgeschlagenen Themen, wie in Absatz 17 dieses Dokuments dargelegt, zur Kenntnis zu nehmen;</w:t>
      </w:r>
    </w:p>
    <w:p w14:paraId="4589A73B" w14:textId="77777777" w:rsidR="00E95558" w:rsidRPr="005B2395" w:rsidRDefault="00E95558" w:rsidP="00E95558">
      <w:pPr>
        <w:keepNext/>
        <w:keepLines/>
        <w:tabs>
          <w:tab w:val="left" w:pos="540"/>
          <w:tab w:val="left" w:pos="567"/>
        </w:tabs>
        <w:ind w:firstLine="540"/>
        <w:rPr>
          <w:lang w:val="de-DE"/>
        </w:rPr>
      </w:pPr>
      <w:r w:rsidRPr="005B2395">
        <w:rPr>
          <w:lang w:val="de-DE"/>
        </w:rPr>
        <w:t xml:space="preserve"> </w:t>
      </w:r>
    </w:p>
    <w:p w14:paraId="4CE16843" w14:textId="77777777" w:rsidR="00E95558" w:rsidRPr="005B2395" w:rsidRDefault="00E95558" w:rsidP="00E95558">
      <w:pPr>
        <w:keepNext/>
        <w:keepLines/>
        <w:tabs>
          <w:tab w:val="left" w:pos="540"/>
          <w:tab w:val="left" w:pos="567"/>
        </w:tabs>
        <w:ind w:firstLine="540"/>
        <w:rPr>
          <w:lang w:val="de-DE"/>
        </w:rPr>
      </w:pPr>
      <w:r w:rsidRPr="005B2395">
        <w:rPr>
          <w:lang w:val="de-DE"/>
        </w:rPr>
        <w:t>d)</w:t>
      </w:r>
      <w:r w:rsidRPr="005B2395">
        <w:rPr>
          <w:lang w:val="de-DE"/>
        </w:rPr>
        <w:tab/>
        <w:t>die Informationen von OECD und ISTA zur Kenntnis zu nehmen, wonach es derzeit keine bedeutenden Entwicklungen zu erörtern gibt und es besser wäre, frühestens im Jahr 2023 eine gemeinsame Arbeitstagung zu planen;</w:t>
      </w:r>
    </w:p>
    <w:p w14:paraId="7E69A668" w14:textId="77777777" w:rsidR="00E95558" w:rsidRPr="005B2395" w:rsidRDefault="00E95558" w:rsidP="00E95558">
      <w:pPr>
        <w:keepNext/>
        <w:keepLines/>
        <w:tabs>
          <w:tab w:val="left" w:pos="540"/>
          <w:tab w:val="left" w:pos="567"/>
          <w:tab w:val="left" w:pos="1134"/>
          <w:tab w:val="left" w:pos="5387"/>
        </w:tabs>
        <w:ind w:firstLine="540"/>
        <w:rPr>
          <w:lang w:val="de-DE"/>
        </w:rPr>
      </w:pPr>
    </w:p>
    <w:p w14:paraId="3621DC58" w14:textId="77777777" w:rsidR="00E95558" w:rsidRPr="005B2395" w:rsidRDefault="00E95558" w:rsidP="00E95558">
      <w:pPr>
        <w:keepNext/>
        <w:keepLines/>
        <w:tabs>
          <w:tab w:val="left" w:pos="540"/>
          <w:tab w:val="left" w:pos="567"/>
          <w:tab w:val="left" w:pos="1134"/>
          <w:tab w:val="left" w:pos="5387"/>
        </w:tabs>
        <w:ind w:firstLine="540"/>
        <w:rPr>
          <w:lang w:val="de-DE"/>
        </w:rPr>
      </w:pPr>
      <w:r w:rsidRPr="005B2395">
        <w:rPr>
          <w:lang w:val="de-DE"/>
        </w:rPr>
        <w:t>e)</w:t>
      </w:r>
      <w:r w:rsidRPr="005B2395">
        <w:rPr>
          <w:lang w:val="de-DE"/>
        </w:rPr>
        <w:tab/>
        <w:t>zu prüfen, ob die TWP um Bildung von Erörterungsgruppen ersucht werden sollen, um den Teilnehmern die Möglichkeit zu bieten, Informationen über ihre Arbeit auszutauschen und Bereiche für eine Zusammenarbeit betreffend die Verwendung biochemischer und molekularer Verfahren bei der DUS-Prüfung zu sondieren;</w:t>
      </w:r>
    </w:p>
    <w:p w14:paraId="4C0ED97C" w14:textId="77777777" w:rsidR="00E95558" w:rsidRPr="005B2395" w:rsidRDefault="00E95558" w:rsidP="00E95558">
      <w:pPr>
        <w:keepNext/>
        <w:keepLines/>
        <w:tabs>
          <w:tab w:val="left" w:pos="540"/>
          <w:tab w:val="left" w:pos="567"/>
          <w:tab w:val="left" w:pos="1134"/>
          <w:tab w:val="left" w:pos="5387"/>
        </w:tabs>
        <w:ind w:firstLine="540"/>
        <w:rPr>
          <w:lang w:val="de-DE"/>
        </w:rPr>
      </w:pPr>
    </w:p>
    <w:p w14:paraId="70BA48C1" w14:textId="77777777" w:rsidR="00E95558" w:rsidRPr="005B2395" w:rsidRDefault="00E95558" w:rsidP="00E95558">
      <w:pPr>
        <w:keepNext/>
        <w:keepLines/>
        <w:tabs>
          <w:tab w:val="left" w:pos="540"/>
          <w:tab w:val="left" w:pos="567"/>
          <w:tab w:val="left" w:pos="1134"/>
          <w:tab w:val="left" w:pos="5387"/>
        </w:tabs>
        <w:ind w:firstLine="540"/>
        <w:rPr>
          <w:lang w:val="de-DE"/>
        </w:rPr>
      </w:pPr>
      <w:r w:rsidRPr="005B2395">
        <w:rPr>
          <w:lang w:val="de-DE"/>
        </w:rPr>
        <w:t>f)</w:t>
      </w:r>
      <w:r w:rsidRPr="005B2395">
        <w:rPr>
          <w:lang w:val="de-DE"/>
        </w:rPr>
        <w:tab/>
        <w:t xml:space="preserve">die Erörterungen in den TWP auf ihren Tagungen im Jahr 2022 zu „Vertraulichkeit von und Eigentum an molekularen Informationen“ zur Kenntnis zu nehmen; </w:t>
      </w:r>
    </w:p>
    <w:p w14:paraId="358604BB" w14:textId="77777777" w:rsidR="00E95558" w:rsidRPr="005B2395" w:rsidRDefault="00E95558" w:rsidP="00E95558">
      <w:pPr>
        <w:keepNext/>
        <w:keepLines/>
        <w:tabs>
          <w:tab w:val="left" w:pos="540"/>
          <w:tab w:val="left" w:pos="567"/>
          <w:tab w:val="left" w:pos="1134"/>
          <w:tab w:val="left" w:pos="5387"/>
        </w:tabs>
        <w:ind w:firstLine="540"/>
        <w:rPr>
          <w:lang w:val="de-DE"/>
        </w:rPr>
      </w:pPr>
    </w:p>
    <w:p w14:paraId="71705412" w14:textId="77777777" w:rsidR="00E95558" w:rsidRPr="005B2395" w:rsidRDefault="00E95558" w:rsidP="00E95558">
      <w:pPr>
        <w:keepNext/>
        <w:keepLines/>
        <w:tabs>
          <w:tab w:val="left" w:pos="540"/>
          <w:tab w:val="left" w:pos="567"/>
          <w:tab w:val="left" w:pos="1134"/>
          <w:tab w:val="left" w:pos="5387"/>
        </w:tabs>
        <w:ind w:firstLine="540"/>
        <w:rPr>
          <w:lang w:val="de-DE"/>
        </w:rPr>
      </w:pPr>
      <w:r w:rsidRPr="005B2395">
        <w:rPr>
          <w:lang w:val="de-DE"/>
        </w:rPr>
        <w:t xml:space="preserve">g) </w:t>
      </w:r>
      <w:r w:rsidRPr="005B2395">
        <w:rPr>
          <w:lang w:val="de-DE"/>
        </w:rPr>
        <w:tab/>
        <w:t>die von den Züchterorganisationen in der TWM geäußerten Bedenken zur Kenntnis zu nehmen, dass die für die Prüfung einer Sorte bereitgestellten molekularen Informationen nicht ohne die Zustimmung des Züchters an Dritte außerhalb der Behörde, bei der der Antrag eingegangen ist, weitergegeben werden sollten;</w:t>
      </w:r>
    </w:p>
    <w:p w14:paraId="7D562415" w14:textId="77777777" w:rsidR="00E95558" w:rsidRPr="005B2395" w:rsidRDefault="00E95558" w:rsidP="00E95558">
      <w:pPr>
        <w:keepNext/>
        <w:keepLines/>
        <w:tabs>
          <w:tab w:val="left" w:pos="540"/>
          <w:tab w:val="left" w:pos="567"/>
          <w:tab w:val="left" w:pos="1134"/>
          <w:tab w:val="left" w:pos="5387"/>
        </w:tabs>
        <w:ind w:firstLine="540"/>
        <w:rPr>
          <w:lang w:val="de-DE"/>
        </w:rPr>
      </w:pPr>
    </w:p>
    <w:p w14:paraId="6CB3290B" w14:textId="64A3322B" w:rsidR="00E95558" w:rsidRPr="005B2395" w:rsidRDefault="00E95558" w:rsidP="00E95558">
      <w:pPr>
        <w:keepNext/>
        <w:keepLines/>
        <w:tabs>
          <w:tab w:val="left" w:pos="540"/>
          <w:tab w:val="left" w:pos="567"/>
          <w:tab w:val="left" w:pos="1134"/>
          <w:tab w:val="left" w:pos="5387"/>
        </w:tabs>
        <w:ind w:firstLine="540"/>
        <w:rPr>
          <w:lang w:val="de-DE"/>
        </w:rPr>
      </w:pPr>
      <w:r w:rsidRPr="005B2395">
        <w:rPr>
          <w:lang w:val="de-DE"/>
        </w:rPr>
        <w:t>h)</w:t>
      </w:r>
      <w:r w:rsidRPr="005B2395">
        <w:rPr>
          <w:lang w:val="de-DE"/>
        </w:rPr>
        <w:tab/>
        <w:t xml:space="preserve">zu prüfen, ob die Mitglieder </w:t>
      </w:r>
      <w:r w:rsidR="005B2395">
        <w:rPr>
          <w:lang w:val="de-DE"/>
        </w:rPr>
        <w:t>ersucht werden sollen</w:t>
      </w:r>
      <w:r w:rsidRPr="005B2395">
        <w:rPr>
          <w:lang w:val="de-DE"/>
        </w:rPr>
        <w:t>, Informationen über die Art und den Zweck der verwendeten und/oder weitergegebenen molekularen Informationen zu erteilen; und</w:t>
      </w:r>
    </w:p>
    <w:p w14:paraId="303A8F19" w14:textId="77777777" w:rsidR="00E95558" w:rsidRPr="005B2395" w:rsidRDefault="00E95558" w:rsidP="00E95558">
      <w:pPr>
        <w:keepNext/>
        <w:keepLines/>
        <w:tabs>
          <w:tab w:val="left" w:pos="540"/>
          <w:tab w:val="left" w:pos="567"/>
          <w:tab w:val="left" w:pos="1134"/>
          <w:tab w:val="left" w:pos="5387"/>
        </w:tabs>
        <w:ind w:firstLine="540"/>
        <w:rPr>
          <w:lang w:val="de-DE"/>
        </w:rPr>
      </w:pPr>
    </w:p>
    <w:p w14:paraId="51906E8C" w14:textId="3BD160C1" w:rsidR="00E95558" w:rsidRPr="005B2395" w:rsidRDefault="00E95558" w:rsidP="00E95558">
      <w:pPr>
        <w:keepNext/>
        <w:keepLines/>
        <w:tabs>
          <w:tab w:val="left" w:pos="540"/>
          <w:tab w:val="left" w:pos="567"/>
          <w:tab w:val="left" w:pos="1134"/>
          <w:tab w:val="left" w:pos="5387"/>
        </w:tabs>
        <w:ind w:firstLine="540"/>
        <w:rPr>
          <w:lang w:val="de-DE"/>
        </w:rPr>
      </w:pPr>
      <w:r w:rsidRPr="005B2395">
        <w:rPr>
          <w:lang w:val="de-DE"/>
        </w:rPr>
        <w:t>i)</w:t>
      </w:r>
      <w:r w:rsidRPr="005B2395">
        <w:rPr>
          <w:lang w:val="de-DE"/>
        </w:rPr>
        <w:tab/>
        <w:t xml:space="preserve">zu prüfen, ob die Mitglieder und Beobachter </w:t>
      </w:r>
      <w:r w:rsidR="005B2395">
        <w:rPr>
          <w:lang w:val="de-DE"/>
        </w:rPr>
        <w:t>ersucht werden sollen</w:t>
      </w:r>
      <w:r w:rsidRPr="005B2395">
        <w:rPr>
          <w:lang w:val="de-DE"/>
        </w:rPr>
        <w:t>, auf den Tagungen der TWP im Jahr 2023 über die bestehenden Richtlinien zur Vertraulichkeit von molekularen Informationen zu berichten.</w:t>
      </w:r>
    </w:p>
    <w:p w14:paraId="2CEDE11A" w14:textId="77777777" w:rsidR="00E95558" w:rsidRPr="005B2395" w:rsidRDefault="00E95558" w:rsidP="00E95558">
      <w:pPr>
        <w:jc w:val="left"/>
        <w:rPr>
          <w:lang w:val="de-DE"/>
        </w:rPr>
      </w:pPr>
      <w:r w:rsidRPr="005B2395">
        <w:rPr>
          <w:lang w:val="de-DE"/>
        </w:rPr>
        <w:br w:type="page"/>
      </w:r>
    </w:p>
    <w:p w14:paraId="3CE18008" w14:textId="77777777" w:rsidR="00E95558" w:rsidRPr="005B2395" w:rsidRDefault="00E95558" w:rsidP="00E95558">
      <w:pPr>
        <w:rPr>
          <w:lang w:val="de-DE"/>
        </w:rPr>
      </w:pPr>
      <w:r w:rsidRPr="005B2395">
        <w:rPr>
          <w:lang w:val="de-DE"/>
        </w:rPr>
        <w:lastRenderedPageBreak/>
        <w:fldChar w:fldCharType="begin"/>
      </w:r>
      <w:r w:rsidRPr="005B2395">
        <w:rPr>
          <w:lang w:val="de-DE"/>
        </w:rPr>
        <w:instrText xml:space="preserve"> AUTONUM  </w:instrText>
      </w:r>
      <w:r w:rsidRPr="005B2395">
        <w:rPr>
          <w:lang w:val="de-DE"/>
        </w:rPr>
        <w:fldChar w:fldCharType="end"/>
      </w:r>
      <w:r w:rsidRPr="005B2395">
        <w:rPr>
          <w:lang w:val="de-DE"/>
        </w:rPr>
        <w:tab/>
        <w:t>In diesem Dokument werden folgende Abkürzungen verwendet:</w:t>
      </w:r>
    </w:p>
    <w:p w14:paraId="31F987BA" w14:textId="77777777" w:rsidR="00E95558" w:rsidRPr="005B2395" w:rsidRDefault="00E95558" w:rsidP="00E95558">
      <w:pPr>
        <w:rPr>
          <w:lang w:val="de-DE"/>
        </w:rPr>
      </w:pPr>
    </w:p>
    <w:p w14:paraId="4CD8B5B9" w14:textId="77777777" w:rsidR="00E95558" w:rsidRPr="005B2395" w:rsidRDefault="00E95558" w:rsidP="00E95558">
      <w:pPr>
        <w:keepNext/>
        <w:tabs>
          <w:tab w:val="left" w:pos="567"/>
        </w:tabs>
        <w:ind w:left="1701" w:hanging="1134"/>
        <w:rPr>
          <w:sz w:val="18"/>
          <w:lang w:val="de-DE"/>
        </w:rPr>
      </w:pPr>
      <w:r w:rsidRPr="005B2395">
        <w:rPr>
          <w:sz w:val="18"/>
          <w:lang w:val="de-DE"/>
        </w:rPr>
        <w:t>BMT:</w:t>
      </w:r>
      <w:r w:rsidRPr="005B2395">
        <w:rPr>
          <w:sz w:val="18"/>
          <w:lang w:val="de-DE"/>
        </w:rPr>
        <w:tab/>
        <w:t xml:space="preserve">Arbeitsgruppe für biochemische und molekulare Verfahren und insbesondere für DNS-Profilierungsverfahren </w:t>
      </w:r>
    </w:p>
    <w:p w14:paraId="30C05B2A" w14:textId="77777777" w:rsidR="00E95558" w:rsidRPr="005B2395" w:rsidRDefault="00E95558" w:rsidP="00E95558">
      <w:pPr>
        <w:ind w:left="1701" w:hanging="1134"/>
        <w:rPr>
          <w:rFonts w:cs="Arial"/>
          <w:snapToGrid w:val="0"/>
          <w:sz w:val="18"/>
          <w:szCs w:val="24"/>
          <w:lang w:val="de-DE" w:eastAsia="ja-JP"/>
        </w:rPr>
      </w:pPr>
      <w:r w:rsidRPr="005B2395">
        <w:rPr>
          <w:rFonts w:eastAsia="PMingLiU" w:cs="Arial"/>
          <w:snapToGrid w:val="0"/>
          <w:sz w:val="18"/>
          <w:szCs w:val="24"/>
          <w:lang w:val="de-DE" w:eastAsia="fr-FR"/>
        </w:rPr>
        <w:t xml:space="preserve">ISTA: </w:t>
      </w:r>
      <w:r w:rsidRPr="005B2395">
        <w:rPr>
          <w:rFonts w:eastAsia="PMingLiU" w:cs="Arial"/>
          <w:snapToGrid w:val="0"/>
          <w:sz w:val="18"/>
          <w:szCs w:val="24"/>
          <w:lang w:val="de-DE" w:eastAsia="fr-FR"/>
        </w:rPr>
        <w:tab/>
        <w:t>Internationale Vereinigung für Saatgutprüfung</w:t>
      </w:r>
    </w:p>
    <w:p w14:paraId="5E7635BE" w14:textId="77777777" w:rsidR="00E95558" w:rsidRPr="005B2395" w:rsidRDefault="00E95558" w:rsidP="00E95558">
      <w:pPr>
        <w:ind w:left="1701" w:hanging="1134"/>
        <w:rPr>
          <w:rFonts w:eastAsia="PMingLiU" w:cs="Arial"/>
          <w:snapToGrid w:val="0"/>
          <w:sz w:val="18"/>
          <w:szCs w:val="24"/>
          <w:lang w:val="de-DE"/>
        </w:rPr>
      </w:pPr>
      <w:r w:rsidRPr="005B2395">
        <w:rPr>
          <w:rFonts w:eastAsia="PMingLiU" w:cs="Arial"/>
          <w:sz w:val="18"/>
          <w:szCs w:val="24"/>
          <w:lang w:val="de-DE"/>
        </w:rPr>
        <w:t>OECD:</w:t>
      </w:r>
      <w:r w:rsidRPr="005B2395">
        <w:rPr>
          <w:rFonts w:eastAsia="PMingLiU" w:cs="Arial"/>
          <w:sz w:val="18"/>
          <w:szCs w:val="24"/>
          <w:lang w:val="de-DE"/>
        </w:rPr>
        <w:tab/>
      </w:r>
      <w:r w:rsidRPr="005B2395">
        <w:rPr>
          <w:rFonts w:eastAsia="PMingLiU" w:cs="Arial"/>
          <w:snapToGrid w:val="0"/>
          <w:sz w:val="18"/>
          <w:szCs w:val="24"/>
          <w:lang w:val="de-DE"/>
        </w:rPr>
        <w:t>Organisation für wirtschaftliche Zusammenarbeit und Entwicklung</w:t>
      </w:r>
    </w:p>
    <w:p w14:paraId="77F8B1E8" w14:textId="77777777" w:rsidR="00E95558" w:rsidRPr="005B2395" w:rsidRDefault="00E95558" w:rsidP="00E95558">
      <w:pPr>
        <w:keepNext/>
        <w:tabs>
          <w:tab w:val="left" w:pos="567"/>
        </w:tabs>
        <w:ind w:left="1701" w:hanging="1134"/>
        <w:rPr>
          <w:sz w:val="18"/>
          <w:lang w:val="de-DE"/>
        </w:rPr>
      </w:pPr>
      <w:r w:rsidRPr="005B2395">
        <w:rPr>
          <w:sz w:val="18"/>
          <w:lang w:val="de-DE"/>
        </w:rPr>
        <w:t>TC:</w:t>
      </w:r>
      <w:r w:rsidRPr="005B2395">
        <w:rPr>
          <w:sz w:val="18"/>
          <w:lang w:val="de-DE"/>
        </w:rPr>
        <w:tab/>
        <w:t>Technischer Ausschuss</w:t>
      </w:r>
    </w:p>
    <w:p w14:paraId="1ACE031A" w14:textId="77777777" w:rsidR="00E95558" w:rsidRPr="005B2395" w:rsidRDefault="00E95558" w:rsidP="00E95558">
      <w:pPr>
        <w:ind w:left="1701" w:hanging="1134"/>
        <w:rPr>
          <w:rFonts w:eastAsia="PMingLiU" w:cs="Arial"/>
          <w:sz w:val="18"/>
          <w:szCs w:val="24"/>
          <w:lang w:val="de-DE"/>
        </w:rPr>
      </w:pPr>
      <w:r w:rsidRPr="005B2395">
        <w:rPr>
          <w:rFonts w:eastAsia="PMingLiU" w:cs="Arial"/>
          <w:sz w:val="18"/>
          <w:szCs w:val="24"/>
          <w:lang w:val="de-DE"/>
        </w:rPr>
        <w:t>TWA:</w:t>
      </w:r>
      <w:r w:rsidRPr="005B2395">
        <w:rPr>
          <w:rFonts w:eastAsia="PMingLiU" w:cs="Arial"/>
          <w:sz w:val="18"/>
          <w:szCs w:val="24"/>
          <w:lang w:val="de-DE"/>
        </w:rPr>
        <w:tab/>
        <w:t>Technische Arbeitsgruppe für landwirtschaftliche Arten</w:t>
      </w:r>
    </w:p>
    <w:p w14:paraId="6C59AC9F" w14:textId="77777777" w:rsidR="00E95558" w:rsidRPr="005B2395" w:rsidRDefault="00E95558" w:rsidP="00E95558">
      <w:pPr>
        <w:ind w:left="1701" w:hanging="1134"/>
        <w:rPr>
          <w:rFonts w:eastAsia="PMingLiU" w:cs="Arial"/>
          <w:sz w:val="18"/>
          <w:szCs w:val="24"/>
          <w:lang w:val="de-DE"/>
        </w:rPr>
      </w:pPr>
      <w:r w:rsidRPr="005B2395">
        <w:rPr>
          <w:rFonts w:eastAsia="PMingLiU" w:cs="Arial"/>
          <w:sz w:val="18"/>
          <w:szCs w:val="24"/>
          <w:lang w:val="de-DE"/>
        </w:rPr>
        <w:t>TWF:</w:t>
      </w:r>
      <w:r w:rsidRPr="005B2395">
        <w:rPr>
          <w:rFonts w:eastAsia="PMingLiU" w:cs="Arial"/>
          <w:sz w:val="18"/>
          <w:szCs w:val="24"/>
          <w:lang w:val="de-DE"/>
        </w:rPr>
        <w:tab/>
        <w:t>Technische Arbeitsgruppe für Obstarten</w:t>
      </w:r>
    </w:p>
    <w:p w14:paraId="47404819" w14:textId="77777777" w:rsidR="00E95558" w:rsidRPr="005B2395" w:rsidRDefault="00E95558" w:rsidP="00E95558">
      <w:pPr>
        <w:ind w:left="1701" w:hanging="1134"/>
        <w:rPr>
          <w:rFonts w:eastAsia="PMingLiU" w:cs="Arial"/>
          <w:sz w:val="18"/>
          <w:szCs w:val="24"/>
          <w:lang w:val="de-DE"/>
        </w:rPr>
      </w:pPr>
      <w:r w:rsidRPr="005B2395">
        <w:rPr>
          <w:rFonts w:eastAsia="PMingLiU" w:cs="Arial"/>
          <w:sz w:val="18"/>
          <w:szCs w:val="24"/>
          <w:lang w:val="de-DE"/>
        </w:rPr>
        <w:t>TWM:</w:t>
      </w:r>
      <w:r w:rsidRPr="005B2395">
        <w:rPr>
          <w:rFonts w:eastAsia="PMingLiU" w:cs="Arial"/>
          <w:sz w:val="18"/>
          <w:szCs w:val="24"/>
          <w:lang w:val="de-DE"/>
        </w:rPr>
        <w:tab/>
        <w:t>Technische Arbeitsgruppe für Prüfmethoden und -techniken</w:t>
      </w:r>
    </w:p>
    <w:p w14:paraId="081AB623" w14:textId="77777777" w:rsidR="00E95558" w:rsidRPr="005B2395" w:rsidRDefault="00E95558" w:rsidP="00E95558">
      <w:pPr>
        <w:ind w:left="1701" w:hanging="1134"/>
        <w:rPr>
          <w:rFonts w:eastAsia="PMingLiU" w:cs="Arial"/>
          <w:sz w:val="18"/>
          <w:szCs w:val="24"/>
          <w:lang w:val="de-DE"/>
        </w:rPr>
      </w:pPr>
      <w:r w:rsidRPr="005B2395">
        <w:rPr>
          <w:rFonts w:eastAsia="PMingLiU" w:cs="Arial"/>
          <w:sz w:val="18"/>
          <w:szCs w:val="24"/>
          <w:lang w:val="de-DE"/>
        </w:rPr>
        <w:t>TWO:</w:t>
      </w:r>
      <w:r w:rsidRPr="005B2395">
        <w:rPr>
          <w:rFonts w:eastAsia="PMingLiU" w:cs="Arial"/>
          <w:sz w:val="18"/>
          <w:szCs w:val="24"/>
          <w:lang w:val="de-DE"/>
        </w:rPr>
        <w:tab/>
        <w:t>Technische Arbeitsgruppe für Zierpflanzen und forstliche Baumarten</w:t>
      </w:r>
    </w:p>
    <w:p w14:paraId="03CA0208" w14:textId="77777777" w:rsidR="00E95558" w:rsidRPr="005B2395" w:rsidRDefault="00E95558" w:rsidP="00E95558">
      <w:pPr>
        <w:ind w:left="1701" w:hanging="1134"/>
        <w:rPr>
          <w:rFonts w:eastAsia="PMingLiU" w:cs="Arial"/>
          <w:sz w:val="18"/>
          <w:szCs w:val="24"/>
          <w:lang w:val="de-DE"/>
        </w:rPr>
      </w:pPr>
      <w:r w:rsidRPr="005B2395">
        <w:rPr>
          <w:rFonts w:eastAsia="PMingLiU" w:cs="Arial"/>
          <w:sz w:val="18"/>
          <w:szCs w:val="24"/>
          <w:lang w:val="de-DE"/>
        </w:rPr>
        <w:t>TWP:</w:t>
      </w:r>
      <w:r w:rsidRPr="005B2395">
        <w:rPr>
          <w:rFonts w:eastAsia="PMingLiU" w:cs="Arial"/>
          <w:sz w:val="18"/>
          <w:szCs w:val="24"/>
          <w:lang w:val="de-DE"/>
        </w:rPr>
        <w:tab/>
        <w:t>Technische Arbeitsgruppen</w:t>
      </w:r>
    </w:p>
    <w:p w14:paraId="77BCB1EA" w14:textId="77777777" w:rsidR="00E95558" w:rsidRPr="005B2395" w:rsidRDefault="00E95558" w:rsidP="00E95558">
      <w:pPr>
        <w:ind w:left="1701" w:hanging="1134"/>
        <w:rPr>
          <w:rFonts w:eastAsia="PMingLiU" w:cs="Arial"/>
          <w:sz w:val="18"/>
          <w:szCs w:val="24"/>
          <w:lang w:val="de-DE"/>
        </w:rPr>
      </w:pPr>
      <w:r w:rsidRPr="005B2395">
        <w:rPr>
          <w:rFonts w:eastAsia="PMingLiU" w:cs="Arial"/>
          <w:sz w:val="18"/>
          <w:szCs w:val="24"/>
          <w:lang w:val="de-DE"/>
        </w:rPr>
        <w:t>TWV:</w:t>
      </w:r>
      <w:r w:rsidRPr="005B2395">
        <w:rPr>
          <w:rFonts w:eastAsia="PMingLiU" w:cs="Arial"/>
          <w:sz w:val="18"/>
          <w:szCs w:val="24"/>
          <w:lang w:val="de-DE"/>
        </w:rPr>
        <w:tab/>
        <w:t>Technische Arbeitsgruppe für Gemüsearten</w:t>
      </w:r>
    </w:p>
    <w:p w14:paraId="1D024303" w14:textId="77777777" w:rsidR="00E95558" w:rsidRPr="005B2395" w:rsidRDefault="00E95558" w:rsidP="00E95558">
      <w:pPr>
        <w:jc w:val="left"/>
        <w:rPr>
          <w:rFonts w:cs="Arial"/>
          <w:snapToGrid w:val="0"/>
          <w:sz w:val="18"/>
          <w:szCs w:val="24"/>
          <w:lang w:val="de-DE" w:eastAsia="ja-JP"/>
        </w:rPr>
      </w:pPr>
    </w:p>
    <w:p w14:paraId="7AD19E3B" w14:textId="77777777" w:rsidR="00E95558" w:rsidRPr="005B2395" w:rsidRDefault="00E95558" w:rsidP="00E95558">
      <w:pPr>
        <w:jc w:val="left"/>
        <w:rPr>
          <w:rFonts w:cs="Arial"/>
          <w:snapToGrid w:val="0"/>
          <w:sz w:val="18"/>
          <w:szCs w:val="24"/>
          <w:lang w:val="de-DE" w:eastAsia="ja-JP"/>
        </w:rPr>
      </w:pPr>
    </w:p>
    <w:p w14:paraId="56B03CF6" w14:textId="77777777" w:rsidR="00E95558" w:rsidRPr="005B2395" w:rsidRDefault="00E95558" w:rsidP="00E95558">
      <w:pPr>
        <w:keepNext/>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Der Aufbau dieses Dokuments ist wie folgt:</w:t>
      </w:r>
    </w:p>
    <w:sdt>
      <w:sdtPr>
        <w:rPr>
          <w:smallCaps/>
          <w:lang w:val="de-DE"/>
        </w:rPr>
        <w:id w:val="-1800911247"/>
        <w:docPartObj>
          <w:docPartGallery w:val="Table of Contents"/>
          <w:docPartUnique/>
        </w:docPartObj>
      </w:sdtPr>
      <w:sdtEndPr>
        <w:rPr>
          <w:smallCaps w:val="0"/>
        </w:rPr>
      </w:sdtEndPr>
      <w:sdtContent>
        <w:p w14:paraId="421F8933" w14:textId="77777777" w:rsidR="00E95558" w:rsidRPr="005B2395" w:rsidRDefault="00E95558" w:rsidP="00E95558">
          <w:pPr>
            <w:keepNext/>
            <w:rPr>
              <w:rFonts w:cs="Arial"/>
              <w:b/>
              <w:lang w:val="de-DE"/>
            </w:rPr>
          </w:pPr>
        </w:p>
        <w:p w14:paraId="4EDF4F94" w14:textId="77777777" w:rsidR="00E95558" w:rsidRPr="005B2395" w:rsidRDefault="00E95558" w:rsidP="00E95558">
          <w:pPr>
            <w:pStyle w:val="TOC1"/>
            <w:rPr>
              <w:rFonts w:asciiTheme="minorHAnsi" w:eastAsiaTheme="minorEastAsia" w:hAnsiTheme="minorHAnsi" w:cstheme="minorBidi"/>
              <w:caps w:val="0"/>
              <w:noProof/>
              <w:sz w:val="24"/>
              <w:szCs w:val="24"/>
              <w:lang w:val="de-DE" w:eastAsia="de-DE"/>
            </w:rPr>
          </w:pPr>
          <w:r w:rsidRPr="005B2395">
            <w:rPr>
              <w:rFonts w:cs="Arial"/>
              <w:sz w:val="20"/>
              <w:szCs w:val="18"/>
              <w:lang w:val="de-DE"/>
            </w:rPr>
            <w:fldChar w:fldCharType="begin"/>
          </w:r>
          <w:r w:rsidRPr="005B2395">
            <w:rPr>
              <w:szCs w:val="18"/>
              <w:lang w:val="de-DE"/>
            </w:rPr>
            <w:instrText xml:space="preserve"> TOC \o "1-3" \h \z \u </w:instrText>
          </w:r>
          <w:r w:rsidRPr="005B2395">
            <w:rPr>
              <w:rFonts w:cs="Arial"/>
              <w:sz w:val="20"/>
              <w:szCs w:val="18"/>
              <w:lang w:val="de-DE"/>
            </w:rPr>
            <w:fldChar w:fldCharType="separate"/>
          </w:r>
          <w:hyperlink w:anchor="_Toc116156830" w:history="1">
            <w:r w:rsidRPr="005B2395">
              <w:rPr>
                <w:rStyle w:val="Hyperlink"/>
                <w:noProof/>
                <w:snapToGrid w:val="0"/>
                <w:lang w:val="de-DE" w:eastAsia="ja-JP"/>
              </w:rPr>
              <w:t>ZUSAMMENfassung</w:t>
            </w:r>
            <w:r w:rsidRPr="005B2395">
              <w:rPr>
                <w:noProof/>
                <w:webHidden/>
              </w:rPr>
              <w:tab/>
            </w:r>
            <w:r w:rsidRPr="005B2395">
              <w:rPr>
                <w:noProof/>
                <w:webHidden/>
              </w:rPr>
              <w:fldChar w:fldCharType="begin"/>
            </w:r>
            <w:r w:rsidRPr="005B2395">
              <w:rPr>
                <w:noProof/>
                <w:webHidden/>
              </w:rPr>
              <w:instrText xml:space="preserve"> PAGEREF _Toc116156830 \h </w:instrText>
            </w:r>
            <w:r w:rsidRPr="005B2395">
              <w:rPr>
                <w:noProof/>
                <w:webHidden/>
              </w:rPr>
            </w:r>
            <w:r w:rsidRPr="005B2395">
              <w:rPr>
                <w:noProof/>
                <w:webHidden/>
              </w:rPr>
              <w:fldChar w:fldCharType="separate"/>
            </w:r>
            <w:r w:rsidRPr="005B2395">
              <w:rPr>
                <w:noProof/>
                <w:webHidden/>
              </w:rPr>
              <w:t>1</w:t>
            </w:r>
            <w:r w:rsidRPr="005B2395">
              <w:rPr>
                <w:noProof/>
                <w:webHidden/>
              </w:rPr>
              <w:fldChar w:fldCharType="end"/>
            </w:r>
          </w:hyperlink>
        </w:p>
        <w:p w14:paraId="67FCC9BD" w14:textId="77777777" w:rsidR="00E95558" w:rsidRPr="005B2395" w:rsidRDefault="00D6204B" w:rsidP="00E95558">
          <w:pPr>
            <w:pStyle w:val="TOC1"/>
            <w:rPr>
              <w:rFonts w:asciiTheme="minorHAnsi" w:eastAsiaTheme="minorEastAsia" w:hAnsiTheme="minorHAnsi" w:cstheme="minorBidi"/>
              <w:caps w:val="0"/>
              <w:noProof/>
              <w:sz w:val="24"/>
              <w:szCs w:val="24"/>
              <w:lang w:val="de-DE" w:eastAsia="de-DE"/>
            </w:rPr>
          </w:pPr>
          <w:hyperlink w:anchor="_Toc116156831" w:history="1">
            <w:r w:rsidR="00E95558" w:rsidRPr="005B2395">
              <w:rPr>
                <w:rStyle w:val="Hyperlink"/>
                <w:noProof/>
                <w:lang w:val="de-DE" w:eastAsia="ja-JP"/>
              </w:rPr>
              <w:t>Zusammenarbeit zwischen internationalen Organisationen</w:t>
            </w:r>
            <w:r w:rsidR="00E95558" w:rsidRPr="005B2395">
              <w:rPr>
                <w:noProof/>
                <w:webHidden/>
              </w:rPr>
              <w:tab/>
            </w:r>
            <w:r w:rsidR="00E95558" w:rsidRPr="005B2395">
              <w:rPr>
                <w:noProof/>
                <w:webHidden/>
              </w:rPr>
              <w:fldChar w:fldCharType="begin"/>
            </w:r>
            <w:r w:rsidR="00E95558" w:rsidRPr="005B2395">
              <w:rPr>
                <w:noProof/>
                <w:webHidden/>
              </w:rPr>
              <w:instrText xml:space="preserve"> PAGEREF _Toc116156831 \h </w:instrText>
            </w:r>
            <w:r w:rsidR="00E95558" w:rsidRPr="005B2395">
              <w:rPr>
                <w:noProof/>
                <w:webHidden/>
              </w:rPr>
            </w:r>
            <w:r w:rsidR="00E95558" w:rsidRPr="005B2395">
              <w:rPr>
                <w:noProof/>
                <w:webHidden/>
              </w:rPr>
              <w:fldChar w:fldCharType="separate"/>
            </w:r>
            <w:r w:rsidR="00E95558" w:rsidRPr="005B2395">
              <w:rPr>
                <w:noProof/>
                <w:webHidden/>
              </w:rPr>
              <w:t>2</w:t>
            </w:r>
            <w:r w:rsidR="00E95558" w:rsidRPr="005B2395">
              <w:rPr>
                <w:noProof/>
                <w:webHidden/>
              </w:rPr>
              <w:fldChar w:fldCharType="end"/>
            </w:r>
          </w:hyperlink>
        </w:p>
        <w:p w14:paraId="67D443DB" w14:textId="77777777" w:rsidR="00E95558" w:rsidRPr="005B2395" w:rsidRDefault="00D6204B" w:rsidP="00E95558">
          <w:pPr>
            <w:pStyle w:val="TOC2"/>
            <w:rPr>
              <w:rFonts w:asciiTheme="minorHAnsi" w:eastAsiaTheme="minorEastAsia" w:hAnsiTheme="minorHAnsi" w:cstheme="minorBidi"/>
              <w:noProof/>
              <w:sz w:val="24"/>
              <w:szCs w:val="24"/>
              <w:lang w:val="de-DE" w:eastAsia="de-DE"/>
            </w:rPr>
          </w:pPr>
          <w:hyperlink w:anchor="_Toc116156832" w:history="1">
            <w:r w:rsidR="00E95558" w:rsidRPr="005B2395">
              <w:rPr>
                <w:rStyle w:val="Hyperlink"/>
                <w:noProof/>
                <w:lang w:val="de-DE"/>
              </w:rPr>
              <w:t>Hintergrund</w:t>
            </w:r>
            <w:r w:rsidR="00E95558" w:rsidRPr="005B2395">
              <w:rPr>
                <w:noProof/>
                <w:webHidden/>
              </w:rPr>
              <w:tab/>
            </w:r>
            <w:r w:rsidR="00E95558" w:rsidRPr="005B2395">
              <w:rPr>
                <w:noProof/>
                <w:webHidden/>
              </w:rPr>
              <w:fldChar w:fldCharType="begin"/>
            </w:r>
            <w:r w:rsidR="00E95558" w:rsidRPr="005B2395">
              <w:rPr>
                <w:noProof/>
                <w:webHidden/>
              </w:rPr>
              <w:instrText xml:space="preserve"> PAGEREF _Toc116156832 \h </w:instrText>
            </w:r>
            <w:r w:rsidR="00E95558" w:rsidRPr="005B2395">
              <w:rPr>
                <w:noProof/>
                <w:webHidden/>
              </w:rPr>
            </w:r>
            <w:r w:rsidR="00E95558" w:rsidRPr="005B2395">
              <w:rPr>
                <w:noProof/>
                <w:webHidden/>
              </w:rPr>
              <w:fldChar w:fldCharType="separate"/>
            </w:r>
            <w:r w:rsidR="00E95558" w:rsidRPr="005B2395">
              <w:rPr>
                <w:noProof/>
                <w:webHidden/>
              </w:rPr>
              <w:t>2</w:t>
            </w:r>
            <w:r w:rsidR="00E95558" w:rsidRPr="005B2395">
              <w:rPr>
                <w:noProof/>
                <w:webHidden/>
              </w:rPr>
              <w:fldChar w:fldCharType="end"/>
            </w:r>
          </w:hyperlink>
        </w:p>
        <w:p w14:paraId="553C0D7C" w14:textId="77777777" w:rsidR="00E95558" w:rsidRPr="005B2395" w:rsidRDefault="00D6204B" w:rsidP="00E95558">
          <w:pPr>
            <w:pStyle w:val="TOC2"/>
            <w:rPr>
              <w:rFonts w:asciiTheme="minorHAnsi" w:eastAsiaTheme="minorEastAsia" w:hAnsiTheme="minorHAnsi" w:cstheme="minorBidi"/>
              <w:noProof/>
              <w:sz w:val="24"/>
              <w:szCs w:val="24"/>
              <w:lang w:val="de-DE" w:eastAsia="de-DE"/>
            </w:rPr>
          </w:pPr>
          <w:hyperlink w:anchor="_Toc116156833" w:history="1">
            <w:r w:rsidR="00E95558" w:rsidRPr="005B2395">
              <w:rPr>
                <w:rStyle w:val="Hyperlink"/>
                <w:noProof/>
                <w:lang w:val="de-DE"/>
              </w:rPr>
              <w:t>Bestandsaufnahme zur Verwendung molekularer Markerverfahren nach Pflanze</w:t>
            </w:r>
            <w:r w:rsidR="00E95558" w:rsidRPr="005B2395">
              <w:rPr>
                <w:noProof/>
                <w:webHidden/>
              </w:rPr>
              <w:tab/>
            </w:r>
            <w:r w:rsidR="00E95558" w:rsidRPr="005B2395">
              <w:rPr>
                <w:noProof/>
                <w:webHidden/>
              </w:rPr>
              <w:fldChar w:fldCharType="begin"/>
            </w:r>
            <w:r w:rsidR="00E95558" w:rsidRPr="005B2395">
              <w:rPr>
                <w:noProof/>
                <w:webHidden/>
              </w:rPr>
              <w:instrText xml:space="preserve"> PAGEREF _Toc116156833 \h </w:instrText>
            </w:r>
            <w:r w:rsidR="00E95558" w:rsidRPr="005B2395">
              <w:rPr>
                <w:noProof/>
                <w:webHidden/>
              </w:rPr>
            </w:r>
            <w:r w:rsidR="00E95558" w:rsidRPr="005B2395">
              <w:rPr>
                <w:noProof/>
                <w:webHidden/>
              </w:rPr>
              <w:fldChar w:fldCharType="separate"/>
            </w:r>
            <w:r w:rsidR="00E95558" w:rsidRPr="005B2395">
              <w:rPr>
                <w:noProof/>
                <w:webHidden/>
              </w:rPr>
              <w:t>3</w:t>
            </w:r>
            <w:r w:rsidR="00E95558" w:rsidRPr="005B2395">
              <w:rPr>
                <w:noProof/>
                <w:webHidden/>
              </w:rPr>
              <w:fldChar w:fldCharType="end"/>
            </w:r>
          </w:hyperlink>
        </w:p>
        <w:p w14:paraId="7BDE4195" w14:textId="77777777" w:rsidR="00E95558" w:rsidRPr="005B2395" w:rsidRDefault="00D6204B" w:rsidP="00E95558">
          <w:pPr>
            <w:pStyle w:val="TOC2"/>
            <w:rPr>
              <w:rFonts w:asciiTheme="minorHAnsi" w:eastAsiaTheme="minorEastAsia" w:hAnsiTheme="minorHAnsi" w:cstheme="minorBidi"/>
              <w:noProof/>
              <w:sz w:val="24"/>
              <w:szCs w:val="24"/>
              <w:lang w:val="de-DE" w:eastAsia="de-DE"/>
            </w:rPr>
          </w:pPr>
          <w:hyperlink w:anchor="_Toc116156834" w:history="1">
            <w:r w:rsidR="00E95558" w:rsidRPr="005B2395">
              <w:rPr>
                <w:rStyle w:val="Hyperlink"/>
                <w:noProof/>
                <w:lang w:val="de-DE"/>
              </w:rPr>
              <w:t>Gemeinsames Dokument zur Erläuterung der wesentlichen Besonderheiten der Systeme von OECD, UPOV und ISTA</w:t>
            </w:r>
            <w:r w:rsidR="00E95558" w:rsidRPr="005B2395">
              <w:rPr>
                <w:noProof/>
                <w:webHidden/>
              </w:rPr>
              <w:tab/>
            </w:r>
            <w:r w:rsidR="00E95558" w:rsidRPr="005B2395">
              <w:rPr>
                <w:noProof/>
                <w:webHidden/>
              </w:rPr>
              <w:fldChar w:fldCharType="begin"/>
            </w:r>
            <w:r w:rsidR="00E95558" w:rsidRPr="005B2395">
              <w:rPr>
                <w:noProof/>
                <w:webHidden/>
              </w:rPr>
              <w:instrText xml:space="preserve"> PAGEREF _Toc116156834 \h </w:instrText>
            </w:r>
            <w:r w:rsidR="00E95558" w:rsidRPr="005B2395">
              <w:rPr>
                <w:noProof/>
                <w:webHidden/>
              </w:rPr>
            </w:r>
            <w:r w:rsidR="00E95558" w:rsidRPr="005B2395">
              <w:rPr>
                <w:noProof/>
                <w:webHidden/>
              </w:rPr>
              <w:fldChar w:fldCharType="separate"/>
            </w:r>
            <w:r w:rsidR="00E95558" w:rsidRPr="005B2395">
              <w:rPr>
                <w:noProof/>
                <w:webHidden/>
              </w:rPr>
              <w:t>4</w:t>
            </w:r>
            <w:r w:rsidR="00E95558" w:rsidRPr="005B2395">
              <w:rPr>
                <w:noProof/>
                <w:webHidden/>
              </w:rPr>
              <w:fldChar w:fldCharType="end"/>
            </w:r>
          </w:hyperlink>
        </w:p>
        <w:p w14:paraId="1886F4C8" w14:textId="77777777" w:rsidR="00E95558" w:rsidRPr="005B2395" w:rsidRDefault="00D6204B" w:rsidP="00E95558">
          <w:pPr>
            <w:pStyle w:val="TOC3"/>
            <w:rPr>
              <w:rFonts w:asciiTheme="minorHAnsi" w:eastAsiaTheme="minorEastAsia" w:hAnsiTheme="minorHAnsi" w:cstheme="minorBidi"/>
              <w:noProof/>
              <w:sz w:val="24"/>
              <w:szCs w:val="24"/>
              <w:lang w:val="de-DE" w:eastAsia="de-DE"/>
            </w:rPr>
          </w:pPr>
          <w:hyperlink w:anchor="_Toc116156835" w:history="1">
            <w:r w:rsidR="00E95558" w:rsidRPr="005B2395">
              <w:rPr>
                <w:rStyle w:val="Hyperlink"/>
                <w:noProof/>
                <w:lang w:val="de-DE"/>
              </w:rPr>
              <w:t>Hintergrund</w:t>
            </w:r>
            <w:r w:rsidR="00E95558" w:rsidRPr="005B2395">
              <w:rPr>
                <w:noProof/>
                <w:webHidden/>
              </w:rPr>
              <w:tab/>
            </w:r>
            <w:r w:rsidR="00E95558" w:rsidRPr="005B2395">
              <w:rPr>
                <w:noProof/>
                <w:webHidden/>
              </w:rPr>
              <w:fldChar w:fldCharType="begin"/>
            </w:r>
            <w:r w:rsidR="00E95558" w:rsidRPr="005B2395">
              <w:rPr>
                <w:noProof/>
                <w:webHidden/>
              </w:rPr>
              <w:instrText xml:space="preserve"> PAGEREF _Toc116156835 \h </w:instrText>
            </w:r>
            <w:r w:rsidR="00E95558" w:rsidRPr="005B2395">
              <w:rPr>
                <w:noProof/>
                <w:webHidden/>
              </w:rPr>
            </w:r>
            <w:r w:rsidR="00E95558" w:rsidRPr="005B2395">
              <w:rPr>
                <w:noProof/>
                <w:webHidden/>
              </w:rPr>
              <w:fldChar w:fldCharType="separate"/>
            </w:r>
            <w:r w:rsidR="00E95558" w:rsidRPr="005B2395">
              <w:rPr>
                <w:noProof/>
                <w:webHidden/>
              </w:rPr>
              <w:t>4</w:t>
            </w:r>
            <w:r w:rsidR="00E95558" w:rsidRPr="005B2395">
              <w:rPr>
                <w:noProof/>
                <w:webHidden/>
              </w:rPr>
              <w:fldChar w:fldCharType="end"/>
            </w:r>
          </w:hyperlink>
        </w:p>
        <w:p w14:paraId="0C6955AE" w14:textId="77777777" w:rsidR="00E95558" w:rsidRPr="005B2395" w:rsidRDefault="00D6204B" w:rsidP="00E95558">
          <w:pPr>
            <w:pStyle w:val="TOC3"/>
            <w:rPr>
              <w:rFonts w:asciiTheme="minorHAnsi" w:eastAsiaTheme="minorEastAsia" w:hAnsiTheme="minorHAnsi" w:cstheme="minorBidi"/>
              <w:noProof/>
              <w:sz w:val="24"/>
              <w:szCs w:val="24"/>
              <w:lang w:val="de-DE" w:eastAsia="de-DE"/>
            </w:rPr>
          </w:pPr>
          <w:hyperlink w:anchor="_Toc116156836" w:history="1">
            <w:r w:rsidR="00E95558" w:rsidRPr="005B2395">
              <w:rPr>
                <w:rStyle w:val="Hyperlink"/>
                <w:noProof/>
                <w:lang w:val="de-DE"/>
              </w:rPr>
              <w:t>Entwurf eines gemeinsamen Dokuments</w:t>
            </w:r>
            <w:r w:rsidR="00E95558" w:rsidRPr="005B2395">
              <w:rPr>
                <w:noProof/>
                <w:webHidden/>
              </w:rPr>
              <w:tab/>
            </w:r>
            <w:r w:rsidR="00E95558" w:rsidRPr="005B2395">
              <w:rPr>
                <w:noProof/>
                <w:webHidden/>
              </w:rPr>
              <w:fldChar w:fldCharType="begin"/>
            </w:r>
            <w:r w:rsidR="00E95558" w:rsidRPr="005B2395">
              <w:rPr>
                <w:noProof/>
                <w:webHidden/>
              </w:rPr>
              <w:instrText xml:space="preserve"> PAGEREF _Toc116156836 \h </w:instrText>
            </w:r>
            <w:r w:rsidR="00E95558" w:rsidRPr="005B2395">
              <w:rPr>
                <w:noProof/>
                <w:webHidden/>
              </w:rPr>
            </w:r>
            <w:r w:rsidR="00E95558" w:rsidRPr="005B2395">
              <w:rPr>
                <w:noProof/>
                <w:webHidden/>
              </w:rPr>
              <w:fldChar w:fldCharType="separate"/>
            </w:r>
            <w:r w:rsidR="00E95558" w:rsidRPr="005B2395">
              <w:rPr>
                <w:noProof/>
                <w:webHidden/>
              </w:rPr>
              <w:t>4</w:t>
            </w:r>
            <w:r w:rsidR="00E95558" w:rsidRPr="005B2395">
              <w:rPr>
                <w:noProof/>
                <w:webHidden/>
              </w:rPr>
              <w:fldChar w:fldCharType="end"/>
            </w:r>
          </w:hyperlink>
        </w:p>
        <w:p w14:paraId="4008B074" w14:textId="77777777" w:rsidR="00E95558" w:rsidRPr="005B2395" w:rsidRDefault="00D6204B" w:rsidP="00E95558">
          <w:pPr>
            <w:pStyle w:val="TOC2"/>
            <w:rPr>
              <w:rFonts w:asciiTheme="minorHAnsi" w:eastAsiaTheme="minorEastAsia" w:hAnsiTheme="minorHAnsi" w:cstheme="minorBidi"/>
              <w:noProof/>
              <w:sz w:val="24"/>
              <w:szCs w:val="24"/>
              <w:lang w:val="de-DE" w:eastAsia="de-DE"/>
            </w:rPr>
          </w:pPr>
          <w:hyperlink w:anchor="_Toc116156837" w:history="1">
            <w:r w:rsidR="00E95558" w:rsidRPr="005B2395">
              <w:rPr>
                <w:rStyle w:val="Hyperlink"/>
                <w:noProof/>
                <w:lang w:val="de-DE"/>
              </w:rPr>
              <w:t>Listen möglicher gemeinsamer Initiativen mit OECD und ISTA hinsichtlich molekularer Verfahren</w:t>
            </w:r>
            <w:r w:rsidR="00E95558" w:rsidRPr="005B2395">
              <w:rPr>
                <w:noProof/>
                <w:webHidden/>
              </w:rPr>
              <w:tab/>
            </w:r>
            <w:r w:rsidR="00E95558" w:rsidRPr="005B2395">
              <w:rPr>
                <w:noProof/>
                <w:webHidden/>
              </w:rPr>
              <w:fldChar w:fldCharType="begin"/>
            </w:r>
            <w:r w:rsidR="00E95558" w:rsidRPr="005B2395">
              <w:rPr>
                <w:noProof/>
                <w:webHidden/>
              </w:rPr>
              <w:instrText xml:space="preserve"> PAGEREF _Toc116156837 \h </w:instrText>
            </w:r>
            <w:r w:rsidR="00E95558" w:rsidRPr="005B2395">
              <w:rPr>
                <w:noProof/>
                <w:webHidden/>
              </w:rPr>
            </w:r>
            <w:r w:rsidR="00E95558" w:rsidRPr="005B2395">
              <w:rPr>
                <w:noProof/>
                <w:webHidden/>
              </w:rPr>
              <w:fldChar w:fldCharType="separate"/>
            </w:r>
            <w:r w:rsidR="00E95558" w:rsidRPr="005B2395">
              <w:rPr>
                <w:noProof/>
                <w:webHidden/>
              </w:rPr>
              <w:t>4</w:t>
            </w:r>
            <w:r w:rsidR="00E95558" w:rsidRPr="005B2395">
              <w:rPr>
                <w:noProof/>
                <w:webHidden/>
              </w:rPr>
              <w:fldChar w:fldCharType="end"/>
            </w:r>
          </w:hyperlink>
        </w:p>
        <w:p w14:paraId="28662D7B" w14:textId="77777777" w:rsidR="00E95558" w:rsidRPr="005B2395" w:rsidRDefault="00D6204B" w:rsidP="00E95558">
          <w:pPr>
            <w:pStyle w:val="TOC2"/>
            <w:rPr>
              <w:rFonts w:asciiTheme="minorHAnsi" w:eastAsiaTheme="minorEastAsia" w:hAnsiTheme="minorHAnsi" w:cstheme="minorBidi"/>
              <w:noProof/>
              <w:sz w:val="24"/>
              <w:szCs w:val="24"/>
              <w:lang w:val="de-DE" w:eastAsia="de-DE"/>
            </w:rPr>
          </w:pPr>
          <w:hyperlink w:anchor="_Toc116156838" w:history="1">
            <w:r w:rsidR="00E95558" w:rsidRPr="005B2395">
              <w:rPr>
                <w:rStyle w:val="Hyperlink"/>
                <w:noProof/>
                <w:lang w:val="de-DE"/>
              </w:rPr>
              <w:t>Internationale Vereinigung für Saatgutprüfung</w:t>
            </w:r>
            <w:r w:rsidR="00E95558" w:rsidRPr="005B2395">
              <w:rPr>
                <w:noProof/>
                <w:webHidden/>
              </w:rPr>
              <w:tab/>
            </w:r>
            <w:r w:rsidR="00E95558" w:rsidRPr="005B2395">
              <w:rPr>
                <w:noProof/>
                <w:webHidden/>
              </w:rPr>
              <w:fldChar w:fldCharType="begin"/>
            </w:r>
            <w:r w:rsidR="00E95558" w:rsidRPr="005B2395">
              <w:rPr>
                <w:noProof/>
                <w:webHidden/>
              </w:rPr>
              <w:instrText xml:space="preserve"> PAGEREF _Toc116156838 \h </w:instrText>
            </w:r>
            <w:r w:rsidR="00E95558" w:rsidRPr="005B2395">
              <w:rPr>
                <w:noProof/>
                <w:webHidden/>
              </w:rPr>
            </w:r>
            <w:r w:rsidR="00E95558" w:rsidRPr="005B2395">
              <w:rPr>
                <w:noProof/>
                <w:webHidden/>
              </w:rPr>
              <w:fldChar w:fldCharType="separate"/>
            </w:r>
            <w:r w:rsidR="00E95558" w:rsidRPr="005B2395">
              <w:rPr>
                <w:noProof/>
                <w:webHidden/>
              </w:rPr>
              <w:t>4</w:t>
            </w:r>
            <w:r w:rsidR="00E95558" w:rsidRPr="005B2395">
              <w:rPr>
                <w:noProof/>
                <w:webHidden/>
              </w:rPr>
              <w:fldChar w:fldCharType="end"/>
            </w:r>
          </w:hyperlink>
        </w:p>
        <w:p w14:paraId="72EB8B44" w14:textId="77777777" w:rsidR="00E95558" w:rsidRPr="005B2395" w:rsidRDefault="00D6204B" w:rsidP="00E95558">
          <w:pPr>
            <w:pStyle w:val="TOC2"/>
            <w:rPr>
              <w:rFonts w:asciiTheme="minorHAnsi" w:eastAsiaTheme="minorEastAsia" w:hAnsiTheme="minorHAnsi" w:cstheme="minorBidi"/>
              <w:noProof/>
              <w:sz w:val="24"/>
              <w:szCs w:val="24"/>
              <w:lang w:val="de-DE" w:eastAsia="de-DE"/>
            </w:rPr>
          </w:pPr>
          <w:hyperlink w:anchor="_Toc116156839" w:history="1">
            <w:r w:rsidR="00E95558" w:rsidRPr="005B2395">
              <w:rPr>
                <w:rStyle w:val="Hyperlink"/>
                <w:noProof/>
                <w:lang w:val="de-DE"/>
              </w:rPr>
              <w:t xml:space="preserve">Organisation für wirtschaftliche Zusammenarbeit </w:t>
            </w:r>
            <w:r w:rsidR="00E95558" w:rsidRPr="005B2395">
              <w:rPr>
                <w:rStyle w:val="Hyperlink"/>
                <w:rFonts w:cs="Arial"/>
                <w:noProof/>
                <w:lang w:val="de-DE"/>
              </w:rPr>
              <w:t>und Entwicklung</w:t>
            </w:r>
            <w:r w:rsidR="00E95558" w:rsidRPr="005B2395">
              <w:rPr>
                <w:noProof/>
                <w:webHidden/>
              </w:rPr>
              <w:tab/>
            </w:r>
            <w:r w:rsidR="00E95558" w:rsidRPr="005B2395">
              <w:rPr>
                <w:noProof/>
                <w:webHidden/>
              </w:rPr>
              <w:fldChar w:fldCharType="begin"/>
            </w:r>
            <w:r w:rsidR="00E95558" w:rsidRPr="005B2395">
              <w:rPr>
                <w:noProof/>
                <w:webHidden/>
              </w:rPr>
              <w:instrText xml:space="preserve"> PAGEREF _Toc116156839 \h </w:instrText>
            </w:r>
            <w:r w:rsidR="00E95558" w:rsidRPr="005B2395">
              <w:rPr>
                <w:noProof/>
                <w:webHidden/>
              </w:rPr>
            </w:r>
            <w:r w:rsidR="00E95558" w:rsidRPr="005B2395">
              <w:rPr>
                <w:noProof/>
                <w:webHidden/>
              </w:rPr>
              <w:fldChar w:fldCharType="separate"/>
            </w:r>
            <w:r w:rsidR="00E95558" w:rsidRPr="005B2395">
              <w:rPr>
                <w:noProof/>
                <w:webHidden/>
              </w:rPr>
              <w:t>5</w:t>
            </w:r>
            <w:r w:rsidR="00E95558" w:rsidRPr="005B2395">
              <w:rPr>
                <w:noProof/>
                <w:webHidden/>
              </w:rPr>
              <w:fldChar w:fldCharType="end"/>
            </w:r>
          </w:hyperlink>
        </w:p>
        <w:p w14:paraId="514AA9C3" w14:textId="77777777" w:rsidR="00E95558" w:rsidRPr="005B2395" w:rsidRDefault="00D6204B" w:rsidP="00E95558">
          <w:pPr>
            <w:pStyle w:val="TOC1"/>
            <w:rPr>
              <w:rFonts w:asciiTheme="minorHAnsi" w:eastAsiaTheme="minorEastAsia" w:hAnsiTheme="minorHAnsi" w:cstheme="minorBidi"/>
              <w:caps w:val="0"/>
              <w:noProof/>
              <w:sz w:val="24"/>
              <w:szCs w:val="24"/>
              <w:lang w:val="de-DE" w:eastAsia="de-DE"/>
            </w:rPr>
          </w:pPr>
          <w:hyperlink w:anchor="_Toc116156840" w:history="1">
            <w:r w:rsidR="00E95558" w:rsidRPr="005B2395">
              <w:rPr>
                <w:rStyle w:val="Hyperlink"/>
                <w:noProof/>
                <w:snapToGrid w:val="0"/>
                <w:lang w:val="de-DE"/>
              </w:rPr>
              <w:t>TAGung zur Erleichterung der Zusammenarbeit IM ZUSAMMENHANG MIT der Verwendung molekularer Verfahren</w:t>
            </w:r>
            <w:r w:rsidR="00E95558" w:rsidRPr="005B2395">
              <w:rPr>
                <w:noProof/>
                <w:webHidden/>
              </w:rPr>
              <w:tab/>
            </w:r>
            <w:r w:rsidR="00E95558" w:rsidRPr="005B2395">
              <w:rPr>
                <w:noProof/>
                <w:webHidden/>
              </w:rPr>
              <w:fldChar w:fldCharType="begin"/>
            </w:r>
            <w:r w:rsidR="00E95558" w:rsidRPr="005B2395">
              <w:rPr>
                <w:noProof/>
                <w:webHidden/>
              </w:rPr>
              <w:instrText xml:space="preserve"> PAGEREF _Toc116156840 \h </w:instrText>
            </w:r>
            <w:r w:rsidR="00E95558" w:rsidRPr="005B2395">
              <w:rPr>
                <w:noProof/>
                <w:webHidden/>
              </w:rPr>
            </w:r>
            <w:r w:rsidR="00E95558" w:rsidRPr="005B2395">
              <w:rPr>
                <w:noProof/>
                <w:webHidden/>
              </w:rPr>
              <w:fldChar w:fldCharType="separate"/>
            </w:r>
            <w:r w:rsidR="00E95558" w:rsidRPr="005B2395">
              <w:rPr>
                <w:noProof/>
                <w:webHidden/>
              </w:rPr>
              <w:t>5</w:t>
            </w:r>
            <w:r w:rsidR="00E95558" w:rsidRPr="005B2395">
              <w:rPr>
                <w:noProof/>
                <w:webHidden/>
              </w:rPr>
              <w:fldChar w:fldCharType="end"/>
            </w:r>
          </w:hyperlink>
        </w:p>
        <w:p w14:paraId="385F73A2" w14:textId="77777777" w:rsidR="00E95558" w:rsidRPr="005B2395" w:rsidRDefault="00D6204B" w:rsidP="00E95558">
          <w:pPr>
            <w:pStyle w:val="TOC2"/>
            <w:rPr>
              <w:rFonts w:asciiTheme="minorHAnsi" w:eastAsiaTheme="minorEastAsia" w:hAnsiTheme="minorHAnsi" w:cstheme="minorBidi"/>
              <w:noProof/>
              <w:sz w:val="24"/>
              <w:szCs w:val="24"/>
              <w:lang w:val="de-DE" w:eastAsia="de-DE"/>
            </w:rPr>
          </w:pPr>
          <w:hyperlink w:anchor="_Toc116156841" w:history="1">
            <w:r w:rsidR="00E95558" w:rsidRPr="005B2395">
              <w:rPr>
                <w:rStyle w:val="Hyperlink"/>
                <w:noProof/>
                <w:lang w:val="de-DE"/>
              </w:rPr>
              <w:t>Technische Arbeitsgruppen (TWP)</w:t>
            </w:r>
            <w:r w:rsidR="00E95558" w:rsidRPr="005B2395">
              <w:rPr>
                <w:noProof/>
                <w:webHidden/>
              </w:rPr>
              <w:tab/>
            </w:r>
            <w:r w:rsidR="00E95558" w:rsidRPr="005B2395">
              <w:rPr>
                <w:noProof/>
                <w:webHidden/>
              </w:rPr>
              <w:fldChar w:fldCharType="begin"/>
            </w:r>
            <w:r w:rsidR="00E95558" w:rsidRPr="005B2395">
              <w:rPr>
                <w:noProof/>
                <w:webHidden/>
              </w:rPr>
              <w:instrText xml:space="preserve"> PAGEREF _Toc116156841 \h </w:instrText>
            </w:r>
            <w:r w:rsidR="00E95558" w:rsidRPr="005B2395">
              <w:rPr>
                <w:noProof/>
                <w:webHidden/>
              </w:rPr>
            </w:r>
            <w:r w:rsidR="00E95558" w:rsidRPr="005B2395">
              <w:rPr>
                <w:noProof/>
                <w:webHidden/>
              </w:rPr>
              <w:fldChar w:fldCharType="separate"/>
            </w:r>
            <w:r w:rsidR="00E95558" w:rsidRPr="005B2395">
              <w:rPr>
                <w:noProof/>
                <w:webHidden/>
              </w:rPr>
              <w:t>5</w:t>
            </w:r>
            <w:r w:rsidR="00E95558" w:rsidRPr="005B2395">
              <w:rPr>
                <w:noProof/>
                <w:webHidden/>
              </w:rPr>
              <w:fldChar w:fldCharType="end"/>
            </w:r>
          </w:hyperlink>
        </w:p>
        <w:p w14:paraId="40E3E6DE" w14:textId="77777777" w:rsidR="00E95558" w:rsidRPr="005B2395" w:rsidRDefault="00D6204B" w:rsidP="00E95558">
          <w:pPr>
            <w:pStyle w:val="TOC1"/>
            <w:rPr>
              <w:lang w:val="de-DE"/>
            </w:rPr>
          </w:pPr>
          <w:hyperlink w:anchor="_Toc116156842" w:history="1">
            <w:r w:rsidR="00E95558" w:rsidRPr="005B2395">
              <w:rPr>
                <w:rStyle w:val="Hyperlink"/>
                <w:noProof/>
                <w:lang w:val="de-DE"/>
              </w:rPr>
              <w:t>Vertraulichkeit VON und Eigentum an molekularen Informationen</w:t>
            </w:r>
            <w:r w:rsidR="00E95558" w:rsidRPr="005B2395">
              <w:rPr>
                <w:noProof/>
                <w:webHidden/>
              </w:rPr>
              <w:tab/>
            </w:r>
            <w:r w:rsidR="00E95558" w:rsidRPr="005B2395">
              <w:rPr>
                <w:noProof/>
                <w:webHidden/>
              </w:rPr>
              <w:fldChar w:fldCharType="begin"/>
            </w:r>
            <w:r w:rsidR="00E95558" w:rsidRPr="005B2395">
              <w:rPr>
                <w:noProof/>
                <w:webHidden/>
              </w:rPr>
              <w:instrText xml:space="preserve"> PAGEREF _Toc116156842 \h </w:instrText>
            </w:r>
            <w:r w:rsidR="00E95558" w:rsidRPr="005B2395">
              <w:rPr>
                <w:noProof/>
                <w:webHidden/>
              </w:rPr>
            </w:r>
            <w:r w:rsidR="00E95558" w:rsidRPr="005B2395">
              <w:rPr>
                <w:noProof/>
                <w:webHidden/>
              </w:rPr>
              <w:fldChar w:fldCharType="separate"/>
            </w:r>
            <w:r w:rsidR="00E95558" w:rsidRPr="005B2395">
              <w:rPr>
                <w:noProof/>
                <w:webHidden/>
              </w:rPr>
              <w:t>7</w:t>
            </w:r>
            <w:r w:rsidR="00E95558" w:rsidRPr="005B2395">
              <w:rPr>
                <w:noProof/>
                <w:webHidden/>
              </w:rPr>
              <w:fldChar w:fldCharType="end"/>
            </w:r>
          </w:hyperlink>
          <w:r w:rsidR="00E95558" w:rsidRPr="005B2395">
            <w:rPr>
              <w:lang w:val="de-DE"/>
            </w:rPr>
            <w:fldChar w:fldCharType="end"/>
          </w:r>
        </w:p>
        <w:p w14:paraId="021CA466" w14:textId="77777777" w:rsidR="00E95558" w:rsidRPr="005B2395" w:rsidRDefault="00D6204B" w:rsidP="00E95558">
          <w:pPr>
            <w:rPr>
              <w:lang w:val="de-DE"/>
            </w:rPr>
          </w:pPr>
        </w:p>
      </w:sdtContent>
    </w:sdt>
    <w:bookmarkStart w:id="3" w:name="_Toc460313637" w:displacedByCustomXml="prev"/>
    <w:bookmarkStart w:id="4" w:name="_Toc410822402" w:displacedByCustomXml="prev"/>
    <w:bookmarkStart w:id="5" w:name="_Toc410822806" w:displacedByCustomXml="prev"/>
    <w:bookmarkStart w:id="6" w:name="_Toc410823313" w:displacedByCustomXml="prev"/>
    <w:bookmarkStart w:id="7" w:name="_Toc410899581" w:displacedByCustomXml="prev"/>
    <w:p w14:paraId="1FDB970D" w14:textId="77777777" w:rsidR="00E95558" w:rsidRPr="005B2395" w:rsidRDefault="00E95558" w:rsidP="00E95558">
      <w:pPr>
        <w:spacing w:before="60" w:after="120"/>
        <w:ind w:left="1134" w:hanging="1134"/>
        <w:rPr>
          <w:snapToGrid w:val="0"/>
          <w:sz w:val="18"/>
          <w:szCs w:val="18"/>
          <w:lang w:val="de-DE" w:eastAsia="ja-JP"/>
        </w:rPr>
      </w:pPr>
      <w:r w:rsidRPr="005B2395">
        <w:rPr>
          <w:snapToGrid w:val="0"/>
          <w:sz w:val="18"/>
          <w:szCs w:val="18"/>
          <w:lang w:val="de-DE" w:eastAsia="ja-JP"/>
        </w:rPr>
        <w:t xml:space="preserve">ANLAGE </w:t>
      </w:r>
      <w:r w:rsidRPr="005B2395">
        <w:rPr>
          <w:snapToGrid w:val="0"/>
          <w:sz w:val="18"/>
          <w:szCs w:val="18"/>
          <w:lang w:val="de-DE" w:eastAsia="ja-JP"/>
        </w:rPr>
        <w:tab/>
        <w:t>BEFRAGUNG ZUR VERWENDUNG MOLEKULARER MARKERVERFAHREN NACH PFLANZE</w:t>
      </w:r>
    </w:p>
    <w:p w14:paraId="463E97D4" w14:textId="77777777" w:rsidR="00E95558" w:rsidRPr="005B2395" w:rsidRDefault="00E95558" w:rsidP="00E95558">
      <w:pPr>
        <w:rPr>
          <w:snapToGrid w:val="0"/>
          <w:lang w:val="de-DE" w:eastAsia="ja-JP"/>
        </w:rPr>
      </w:pPr>
    </w:p>
    <w:p w14:paraId="6A538325" w14:textId="77777777" w:rsidR="00E95558" w:rsidRPr="005B2395" w:rsidRDefault="00E95558" w:rsidP="00E95558">
      <w:pPr>
        <w:rPr>
          <w:snapToGrid w:val="0"/>
          <w:lang w:val="de-DE" w:eastAsia="ja-JP"/>
        </w:rPr>
      </w:pPr>
    </w:p>
    <w:p w14:paraId="20DB0832" w14:textId="77777777" w:rsidR="00E95558" w:rsidRPr="005B2395" w:rsidRDefault="00E95558" w:rsidP="00E95558">
      <w:pPr>
        <w:pStyle w:val="Heading1"/>
        <w:rPr>
          <w:lang w:val="de-DE" w:eastAsia="ja-JP"/>
        </w:rPr>
      </w:pPr>
      <w:bookmarkStart w:id="8" w:name="_Toc525647214"/>
      <w:bookmarkStart w:id="9" w:name="_Toc526175654"/>
      <w:bookmarkStart w:id="10" w:name="_Toc116156831"/>
      <w:r w:rsidRPr="005B2395">
        <w:rPr>
          <w:lang w:val="de-DE" w:eastAsia="ja-JP"/>
        </w:rPr>
        <w:t>Zusammenarbeit zwischen internationalen Organisationen</w:t>
      </w:r>
      <w:bookmarkEnd w:id="8"/>
      <w:bookmarkEnd w:id="9"/>
      <w:bookmarkEnd w:id="10"/>
    </w:p>
    <w:p w14:paraId="0DD63345" w14:textId="77777777" w:rsidR="00E95558" w:rsidRPr="005B2395" w:rsidRDefault="00E95558" w:rsidP="00E95558">
      <w:pPr>
        <w:keepNext/>
        <w:rPr>
          <w:rFonts w:cs="Arial"/>
          <w:iCs/>
          <w:lang w:val="de-DE"/>
        </w:rPr>
      </w:pPr>
    </w:p>
    <w:p w14:paraId="6D798E05" w14:textId="77777777" w:rsidR="00E95558" w:rsidRPr="005B2395" w:rsidRDefault="00E95558" w:rsidP="00E95558">
      <w:pPr>
        <w:pStyle w:val="Heading2"/>
        <w:rPr>
          <w:lang w:val="de-DE"/>
        </w:rPr>
      </w:pPr>
      <w:bookmarkStart w:id="11" w:name="_Toc116156832"/>
      <w:r w:rsidRPr="005B2395">
        <w:rPr>
          <w:lang w:val="de-DE"/>
        </w:rPr>
        <w:t>Hintergrund</w:t>
      </w:r>
      <w:bookmarkEnd w:id="11"/>
    </w:p>
    <w:p w14:paraId="6B4A393E" w14:textId="77777777" w:rsidR="00E95558" w:rsidRPr="005B2395" w:rsidRDefault="00E95558" w:rsidP="00E95558">
      <w:pPr>
        <w:rPr>
          <w:lang w:val="de-DE"/>
        </w:rPr>
      </w:pPr>
    </w:p>
    <w:p w14:paraId="1983013A" w14:textId="77777777" w:rsidR="00E95558" w:rsidRPr="005B2395" w:rsidRDefault="00E95558" w:rsidP="00E95558">
      <w:pPr>
        <w:rPr>
          <w:rFonts w:eastAsiaTheme="minorEastAsia"/>
          <w:lang w:val="de-DE" w:eastAsia="ja-JP"/>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r>
      <w:r w:rsidRPr="005B2395">
        <w:rPr>
          <w:rFonts w:eastAsiaTheme="minorEastAsia"/>
          <w:lang w:val="de-DE" w:eastAsia="ja-JP"/>
        </w:rPr>
        <w:t xml:space="preserve">Der Hintergrund zu dieser Angelegenheit ist in den Dokumenten TC/57/8 </w:t>
      </w:r>
      <w:r w:rsidRPr="005B2395">
        <w:rPr>
          <w:lang w:val="de-DE" w:eastAsia="ja-JP"/>
        </w:rPr>
        <w:t xml:space="preserve">„Molekulare Verfahren“ und TC/57/8 Add. </w:t>
      </w:r>
      <w:r w:rsidRPr="005B2395">
        <w:rPr>
          <w:rFonts w:eastAsiaTheme="minorEastAsia"/>
          <w:lang w:val="de-DE" w:eastAsia="ja-JP"/>
        </w:rPr>
        <w:t>„Ergänzung zu molekularen Verfahren“ dargelegt.</w:t>
      </w:r>
    </w:p>
    <w:p w14:paraId="51D2D1BB" w14:textId="77777777" w:rsidR="00E95558" w:rsidRPr="005B2395" w:rsidRDefault="00E95558" w:rsidP="00E95558">
      <w:pPr>
        <w:rPr>
          <w:rFonts w:eastAsiaTheme="minorEastAsia"/>
          <w:lang w:val="de-DE" w:eastAsia="ja-JP"/>
        </w:rPr>
      </w:pPr>
    </w:p>
    <w:p w14:paraId="1FC4CD99" w14:textId="77777777" w:rsidR="00E95558" w:rsidRPr="005B2395" w:rsidRDefault="00E95558" w:rsidP="00E95558">
      <w:pPr>
        <w:rPr>
          <w:rFonts w:eastAsiaTheme="minorEastAsia"/>
          <w:lang w:val="de-DE" w:eastAsia="ja-JP"/>
        </w:rPr>
      </w:pPr>
      <w:r w:rsidRPr="005B2395">
        <w:rPr>
          <w:rFonts w:eastAsiaTheme="minorEastAsia"/>
          <w:lang w:val="de-DE" w:eastAsia="ja-JP"/>
        </w:rPr>
        <w:fldChar w:fldCharType="begin"/>
      </w:r>
      <w:r w:rsidRPr="005B2395">
        <w:rPr>
          <w:rFonts w:eastAsiaTheme="minorEastAsia"/>
          <w:lang w:val="de-DE" w:eastAsia="ja-JP"/>
        </w:rPr>
        <w:instrText xml:space="preserve"> AUTONUM  </w:instrText>
      </w:r>
      <w:r w:rsidRPr="005B2395">
        <w:rPr>
          <w:rFonts w:eastAsiaTheme="minorEastAsia"/>
          <w:lang w:val="de-DE" w:eastAsia="ja-JP"/>
        </w:rPr>
        <w:fldChar w:fldCharType="end"/>
      </w:r>
      <w:r w:rsidRPr="005B2395">
        <w:rPr>
          <w:rFonts w:eastAsiaTheme="minorEastAsia"/>
          <w:lang w:val="de-DE" w:eastAsia="ja-JP"/>
        </w:rPr>
        <w:tab/>
        <w:t>Der TC vereinbarte auf seiner vierundfünfzigsten Tagung</w:t>
      </w:r>
      <w:r w:rsidRPr="005B2395">
        <w:rPr>
          <w:rStyle w:val="FootnoteReference"/>
          <w:rFonts w:eastAsiaTheme="minorEastAsia"/>
          <w:lang w:eastAsia="ja-JP"/>
        </w:rPr>
        <w:footnoteReference w:id="1"/>
      </w:r>
      <w:r w:rsidRPr="005B2395">
        <w:rPr>
          <w:rFonts w:eastAsiaTheme="minorEastAsia"/>
          <w:lang w:val="de-DE" w:eastAsia="ja-JP"/>
        </w:rPr>
        <w:t xml:space="preserve">, dass UPOV und OECD Fortschritte bei den zuvor vom TC vereinbarten Angelegenheiten erzielen sollten, nämlich (vergleiche Dokument TC/54/31 „Bericht“, Absätze 267 bis 271): </w:t>
      </w:r>
    </w:p>
    <w:p w14:paraId="5C10382D" w14:textId="77777777" w:rsidR="00E95558" w:rsidRPr="005B2395" w:rsidRDefault="00E95558" w:rsidP="00E95558">
      <w:pPr>
        <w:rPr>
          <w:rFonts w:eastAsiaTheme="minorEastAsia"/>
          <w:lang w:val="de-DE" w:eastAsia="ja-JP"/>
        </w:rPr>
      </w:pPr>
    </w:p>
    <w:p w14:paraId="75480F21" w14:textId="77777777" w:rsidR="00E95558" w:rsidRPr="005B2395" w:rsidRDefault="00E95558" w:rsidP="00E95558">
      <w:pPr>
        <w:ind w:firstLine="567"/>
        <w:rPr>
          <w:rFonts w:eastAsiaTheme="minorEastAsia"/>
          <w:lang w:val="de-DE" w:eastAsia="ja-JP"/>
        </w:rPr>
      </w:pPr>
      <w:r w:rsidRPr="005B2395">
        <w:rPr>
          <w:rFonts w:eastAsiaTheme="minorEastAsia"/>
          <w:lang w:val="de-DE" w:eastAsia="ja-JP"/>
        </w:rPr>
        <w:t>a)</w:t>
      </w:r>
      <w:r w:rsidRPr="005B2395">
        <w:rPr>
          <w:rFonts w:eastAsiaTheme="minorEastAsia"/>
          <w:lang w:val="de-DE" w:eastAsia="ja-JP"/>
        </w:rPr>
        <w:tab/>
        <w:t xml:space="preserve"> ein gemeinsames Dokument zur Erläuterung der wesentlichen Besonderheiten der Systeme von OECD, UPOV und ISTA zu erarbeiten; </w:t>
      </w:r>
    </w:p>
    <w:p w14:paraId="68795DB2" w14:textId="77777777" w:rsidR="00E95558" w:rsidRPr="005B2395" w:rsidRDefault="00E95558" w:rsidP="00E95558">
      <w:pPr>
        <w:ind w:firstLine="567"/>
        <w:rPr>
          <w:rFonts w:eastAsiaTheme="minorEastAsia"/>
          <w:lang w:val="de-DE" w:eastAsia="ja-JP"/>
        </w:rPr>
      </w:pPr>
    </w:p>
    <w:p w14:paraId="130C677C" w14:textId="77777777" w:rsidR="00E95558" w:rsidRPr="005B2395" w:rsidRDefault="00E95558" w:rsidP="00E95558">
      <w:pPr>
        <w:ind w:firstLine="567"/>
        <w:rPr>
          <w:rFonts w:eastAsiaTheme="minorEastAsia"/>
          <w:lang w:val="de-DE" w:eastAsia="ja-JP"/>
        </w:rPr>
      </w:pPr>
      <w:r w:rsidRPr="005B2395">
        <w:rPr>
          <w:rFonts w:eastAsiaTheme="minorEastAsia"/>
          <w:lang w:val="de-DE" w:eastAsia="ja-JP"/>
        </w:rPr>
        <w:t>b)</w:t>
      </w:r>
      <w:r w:rsidRPr="005B2395">
        <w:rPr>
          <w:rFonts w:eastAsiaTheme="minorEastAsia"/>
          <w:lang w:val="de-DE" w:eastAsia="ja-JP"/>
        </w:rPr>
        <w:tab/>
        <w:t xml:space="preserve">vorbehaltlich der Billigung durch den Rat und in Abstimmung mit OECD und ISTA eine Bestandsaufnahme zur Verwendung molekularer Markerverfahren nach Pflanze im Hinblick auf die Ausarbeitung eines gemeinsamen Dokuments von OECD, UPOV und ISTA mit diesen Informationen in einem ähnlichen Format wie das UPOV-Dokument UPOV/INF/16, „Austauschbare Software“, zu erarbeiten; und </w:t>
      </w:r>
    </w:p>
    <w:p w14:paraId="5DEAB026" w14:textId="77777777" w:rsidR="00E95558" w:rsidRPr="005B2395" w:rsidRDefault="00E95558" w:rsidP="00E95558">
      <w:pPr>
        <w:ind w:firstLine="567"/>
        <w:rPr>
          <w:rFonts w:eastAsiaTheme="minorEastAsia"/>
          <w:lang w:val="de-DE" w:eastAsia="ja-JP"/>
        </w:rPr>
      </w:pPr>
    </w:p>
    <w:p w14:paraId="0F74932D" w14:textId="77777777" w:rsidR="00E95558" w:rsidRPr="005B2395" w:rsidRDefault="00E95558" w:rsidP="00E95558">
      <w:pPr>
        <w:ind w:firstLine="567"/>
        <w:rPr>
          <w:rFonts w:eastAsiaTheme="minorEastAsia"/>
          <w:lang w:val="de-DE" w:eastAsia="ja-JP"/>
        </w:rPr>
      </w:pPr>
      <w:r w:rsidRPr="005B2395">
        <w:rPr>
          <w:rFonts w:eastAsiaTheme="minorEastAsia"/>
          <w:lang w:val="de-DE" w:eastAsia="ja-JP"/>
        </w:rPr>
        <w:t>c)</w:t>
      </w:r>
      <w:r w:rsidRPr="005B2395">
        <w:rPr>
          <w:rFonts w:eastAsiaTheme="minorEastAsia"/>
          <w:lang w:val="de-DE" w:eastAsia="ja-JP"/>
        </w:rPr>
        <w:tab/>
        <w:t xml:space="preserve">dass die BMT Listen möglicher gemeinsamer Initiativen mit der OECD und der ISTA hinsichtlich molekularer Verfahren zur Prüfung durch den TC erstellen solle. </w:t>
      </w:r>
    </w:p>
    <w:p w14:paraId="063ED202" w14:textId="77777777" w:rsidR="00E95558" w:rsidRPr="005B2395" w:rsidRDefault="00E95558" w:rsidP="00E95558">
      <w:pPr>
        <w:rPr>
          <w:rFonts w:eastAsiaTheme="minorEastAsia"/>
          <w:lang w:val="de-DE" w:eastAsia="ja-JP"/>
        </w:rPr>
      </w:pPr>
    </w:p>
    <w:p w14:paraId="330B5418" w14:textId="77777777" w:rsidR="00E95558" w:rsidRPr="005B2395" w:rsidRDefault="00E95558" w:rsidP="00E95558">
      <w:pPr>
        <w:rPr>
          <w:rFonts w:eastAsiaTheme="minorEastAsia"/>
          <w:lang w:val="de-DE" w:eastAsia="ja-JP"/>
        </w:rPr>
      </w:pPr>
      <w:r w:rsidRPr="005B2395">
        <w:rPr>
          <w:rFonts w:eastAsiaTheme="minorEastAsia"/>
          <w:lang w:val="de-DE" w:eastAsia="ja-JP"/>
        </w:rPr>
        <w:fldChar w:fldCharType="begin"/>
      </w:r>
      <w:r w:rsidRPr="005B2395">
        <w:rPr>
          <w:rFonts w:eastAsiaTheme="minorEastAsia"/>
          <w:lang w:val="de-DE" w:eastAsia="ja-JP"/>
        </w:rPr>
        <w:instrText xml:space="preserve"> AUTONUM  </w:instrText>
      </w:r>
      <w:r w:rsidRPr="005B2395">
        <w:rPr>
          <w:rFonts w:eastAsiaTheme="minorEastAsia"/>
          <w:lang w:val="de-DE" w:eastAsia="ja-JP"/>
        </w:rPr>
        <w:fldChar w:fldCharType="end"/>
      </w:r>
      <w:r w:rsidRPr="005B2395">
        <w:rPr>
          <w:rFonts w:eastAsiaTheme="minorEastAsia"/>
          <w:lang w:val="de-DE" w:eastAsia="ja-JP"/>
        </w:rPr>
        <w:tab/>
        <w:t xml:space="preserve">Der TC vereinbarte auf seiner vierundfünfzigsten Tagung, die ISTA zu ersuchen, den Initiativen beizutreten, sobald sie dazu in der Lage sei. </w:t>
      </w:r>
    </w:p>
    <w:p w14:paraId="54A5ED7E" w14:textId="77777777" w:rsidR="00E95558" w:rsidRPr="005B2395" w:rsidRDefault="00E95558" w:rsidP="00E95558">
      <w:pPr>
        <w:keepNext/>
        <w:keepLines/>
        <w:rPr>
          <w:lang w:val="de-DE"/>
        </w:rPr>
      </w:pPr>
      <w:r w:rsidRPr="005B2395">
        <w:rPr>
          <w:lang w:val="de-DE"/>
        </w:rPr>
        <w:lastRenderedPageBreak/>
        <w:fldChar w:fldCharType="begin"/>
      </w:r>
      <w:r w:rsidRPr="005B2395">
        <w:rPr>
          <w:lang w:val="de-DE"/>
        </w:rPr>
        <w:instrText xml:space="preserve"> AUTONUM  </w:instrText>
      </w:r>
      <w:r w:rsidRPr="005B2395">
        <w:rPr>
          <w:lang w:val="de-DE"/>
        </w:rPr>
        <w:fldChar w:fldCharType="end"/>
      </w:r>
      <w:r w:rsidRPr="005B2395">
        <w:rPr>
          <w:lang w:val="de-DE"/>
        </w:rPr>
        <w:tab/>
        <w:t>Die TWV</w:t>
      </w:r>
      <w:r w:rsidRPr="005B2395">
        <w:rPr>
          <w:vertAlign w:val="superscript"/>
          <w:lang w:val="de-DE"/>
        </w:rPr>
        <w:footnoteReference w:id="2"/>
      </w:r>
      <w:r w:rsidRPr="005B2395">
        <w:rPr>
          <w:lang w:val="de-DE"/>
        </w:rPr>
        <w:t xml:space="preserve"> , die TWA</w:t>
      </w:r>
      <w:r w:rsidRPr="005B2395">
        <w:rPr>
          <w:vertAlign w:val="superscript"/>
          <w:lang w:val="de-DE"/>
        </w:rPr>
        <w:footnoteReference w:id="3"/>
      </w:r>
      <w:r w:rsidRPr="005B2395">
        <w:rPr>
          <w:lang w:val="de-DE"/>
        </w:rPr>
        <w:t xml:space="preserve"> , die TWO</w:t>
      </w:r>
      <w:r w:rsidRPr="005B2395">
        <w:rPr>
          <w:vertAlign w:val="superscript"/>
          <w:lang w:val="de-DE"/>
        </w:rPr>
        <w:footnoteReference w:id="4"/>
      </w:r>
      <w:r w:rsidRPr="005B2395">
        <w:rPr>
          <w:lang w:val="de-DE"/>
        </w:rPr>
        <w:t xml:space="preserve"> , die TWF</w:t>
      </w:r>
      <w:r w:rsidRPr="005B2395">
        <w:rPr>
          <w:vertAlign w:val="superscript"/>
          <w:lang w:val="de-DE"/>
        </w:rPr>
        <w:footnoteReference w:id="5"/>
      </w:r>
      <w:r w:rsidRPr="005B2395">
        <w:rPr>
          <w:lang w:val="de-DE"/>
        </w:rPr>
        <w:t xml:space="preserve"> und die </w:t>
      </w:r>
      <w:r w:rsidRPr="005B2395">
        <w:rPr>
          <w:snapToGrid w:val="0"/>
          <w:lang w:val="de-DE"/>
        </w:rPr>
        <w:t>TWM</w:t>
      </w:r>
      <w:r w:rsidRPr="005B2395">
        <w:rPr>
          <w:snapToGrid w:val="0"/>
          <w:vertAlign w:val="superscript"/>
          <w:lang w:val="de-DE"/>
        </w:rPr>
        <w:footnoteReference w:id="6"/>
      </w:r>
      <w:r w:rsidRPr="005B2395">
        <w:rPr>
          <w:lang w:val="de-DE"/>
        </w:rPr>
        <w:t xml:space="preserve"> prüften auf ihren Tagungen im Jahr 2022 das Dokument TWP/6/7 „</w:t>
      </w:r>
      <w:proofErr w:type="spellStart"/>
      <w:r w:rsidRPr="005B2395">
        <w:rPr>
          <w:lang w:val="de-DE"/>
        </w:rPr>
        <w:t>Molecular</w:t>
      </w:r>
      <w:proofErr w:type="spellEnd"/>
      <w:r w:rsidRPr="005B2395">
        <w:rPr>
          <w:lang w:val="de-DE"/>
        </w:rPr>
        <w:t xml:space="preserve"> </w:t>
      </w:r>
      <w:proofErr w:type="spellStart"/>
      <w:r w:rsidRPr="005B2395">
        <w:rPr>
          <w:lang w:val="de-DE"/>
        </w:rPr>
        <w:t>Techniques</w:t>
      </w:r>
      <w:proofErr w:type="spellEnd"/>
      <w:r w:rsidRPr="005B2395">
        <w:rPr>
          <w:lang w:val="de-DE"/>
        </w:rPr>
        <w:t>“ (vergleiche Dokumente TWV/56/22 „Report“, Absätze 51 bis 59; TWA/51/11 „Report“, Absätze 71 bis 75; TWO/54/6 „Report“, Absätze 66 bis 70; TWF/53/14 „Report“, Absätze 80 bis 84; und TWM/1/26 „Report“, Absätze 70 bis 80)</w:t>
      </w:r>
      <w:r w:rsidRPr="005B2395">
        <w:rPr>
          <w:lang w:val="de-DE" w:eastAsia="ja-JP"/>
        </w:rPr>
        <w:t>.</w:t>
      </w:r>
    </w:p>
    <w:p w14:paraId="7C94CD44" w14:textId="77777777" w:rsidR="00E95558" w:rsidRPr="005B2395" w:rsidRDefault="00E95558" w:rsidP="00E95558">
      <w:pPr>
        <w:rPr>
          <w:rFonts w:eastAsiaTheme="minorEastAsia"/>
          <w:lang w:val="de-DE"/>
        </w:rPr>
      </w:pPr>
    </w:p>
    <w:p w14:paraId="7393A961" w14:textId="77777777" w:rsidR="00E95558" w:rsidRPr="005B2395" w:rsidRDefault="00E95558" w:rsidP="00E95558">
      <w:pPr>
        <w:pStyle w:val="Heading2"/>
        <w:rPr>
          <w:rFonts w:eastAsiaTheme="minorEastAsia"/>
          <w:lang w:val="de-DE"/>
        </w:rPr>
      </w:pPr>
      <w:bookmarkStart w:id="12" w:name="_Toc14980928"/>
      <w:bookmarkStart w:id="13" w:name="_Toc15059498"/>
      <w:bookmarkStart w:id="14" w:name="_Toc15295343"/>
      <w:bookmarkStart w:id="15" w:name="_Toc22564623"/>
      <w:bookmarkStart w:id="16" w:name="_Toc27663377"/>
      <w:bookmarkStart w:id="17" w:name="_Toc116156833"/>
      <w:r w:rsidRPr="005B2395">
        <w:rPr>
          <w:rFonts w:eastAsiaTheme="minorEastAsia"/>
          <w:lang w:val="de-DE"/>
        </w:rPr>
        <w:t>Bestandsaufnahme zur Verwendung molekularer Markerverfahren nach Pflanze</w:t>
      </w:r>
      <w:bookmarkEnd w:id="12"/>
      <w:bookmarkEnd w:id="13"/>
      <w:bookmarkEnd w:id="14"/>
      <w:bookmarkEnd w:id="15"/>
      <w:bookmarkEnd w:id="16"/>
      <w:bookmarkEnd w:id="17"/>
    </w:p>
    <w:p w14:paraId="02D5DBDD" w14:textId="77777777" w:rsidR="00E95558" w:rsidRPr="005B2395" w:rsidRDefault="00E95558" w:rsidP="00E95558">
      <w:pPr>
        <w:rPr>
          <w:rFonts w:eastAsiaTheme="minorEastAsia"/>
          <w:lang w:val="de-DE"/>
        </w:rPr>
      </w:pPr>
      <w:bookmarkStart w:id="18" w:name="_Toc14980927"/>
      <w:bookmarkStart w:id="19" w:name="_Toc15059497"/>
      <w:bookmarkStart w:id="20" w:name="_Toc15295342"/>
      <w:bookmarkStart w:id="21" w:name="_Toc22564625"/>
      <w:bookmarkStart w:id="22" w:name="_Toc27663379"/>
    </w:p>
    <w:p w14:paraId="616056DE" w14:textId="77777777" w:rsidR="00E95558" w:rsidRPr="005B2395" w:rsidRDefault="00E95558" w:rsidP="00E95558">
      <w:pPr>
        <w:keepNext/>
        <w:keepLines/>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Der TC ersuchte auf seiner siebenundfünfzigsten Tagung</w:t>
      </w:r>
      <w:r w:rsidRPr="005B2395">
        <w:rPr>
          <w:rStyle w:val="FootnoteReference"/>
          <w:lang w:val="de-DE"/>
        </w:rPr>
        <w:footnoteReference w:id="7"/>
      </w:r>
      <w:r w:rsidRPr="005B2395">
        <w:rPr>
          <w:lang w:val="de-DE"/>
        </w:rPr>
        <w:t xml:space="preserve"> das Verbandsbüro, die OECD über die Ergebnisse der Befragung zu unterrichten, die in Dokument TC/57/8 „Molekulare Verfahren“ dargelegt wurden, und auf seiner achtundfünfzigsten Tagung über die Entwicklungen im TC zu berichten (vergleiche Dokument TC/57/25 „Bericht“, Absatz 48). Am 13. Dezember 2021 teilte das Verbandsbüro der OECD die Ergebnisse der Befragung mit. </w:t>
      </w:r>
    </w:p>
    <w:p w14:paraId="47F17B96" w14:textId="77777777" w:rsidR="00E95558" w:rsidRPr="005B2395" w:rsidRDefault="00E95558" w:rsidP="00E95558">
      <w:pPr>
        <w:rPr>
          <w:lang w:val="de-DE"/>
        </w:rPr>
      </w:pPr>
    </w:p>
    <w:p w14:paraId="161EFA6B"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Der TC vereinbarte auf seiner siebenundfünfzigsten Tagung, die Befragung zur Verwendung molekularer Marker fortzusetzen, um Informationen von einer größeren Anzahl von Mitgliedern zu erhalten und die Gründe dafür zu untersuchen, dass Mitglieder auf die erste Befragung nicht geantwortet haben.</w:t>
      </w:r>
    </w:p>
    <w:p w14:paraId="3D7994F1" w14:textId="77777777" w:rsidR="00E95558" w:rsidRPr="005B2395" w:rsidRDefault="00E95558" w:rsidP="00E95558">
      <w:pPr>
        <w:rPr>
          <w:lang w:val="de-DE"/>
        </w:rPr>
      </w:pPr>
    </w:p>
    <w:p w14:paraId="7C53B29F" w14:textId="77777777" w:rsidR="00E95558" w:rsidRPr="005B2395" w:rsidRDefault="00E95558" w:rsidP="00E95558">
      <w:pPr>
        <w:rPr>
          <w:rFonts w:cs="Arial"/>
          <w:snapToGrid w:val="0"/>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Am 1. Februar 2022 gab das Verbandsbüro das Rundschreiben E-22/009 heraus</w:t>
      </w:r>
      <w:r w:rsidRPr="005B2395">
        <w:rPr>
          <w:rFonts w:cs="Arial"/>
          <w:snapToGrid w:val="0"/>
          <w:lang w:val="de-DE"/>
        </w:rPr>
        <w:t>, in dem die Verbandsmitglieder ersucht wurden, anzugeben, ob sie molekulare Markerverfahren verwenden, und die Befragung zu deren Verwendung fortzusetzen.</w:t>
      </w:r>
    </w:p>
    <w:p w14:paraId="31F86C22" w14:textId="77777777" w:rsidR="00E95558" w:rsidRPr="005B2395" w:rsidRDefault="00E95558" w:rsidP="00E95558">
      <w:pPr>
        <w:rPr>
          <w:rFonts w:cs="Arial"/>
          <w:snapToGrid w:val="0"/>
          <w:lang w:val="de-DE"/>
        </w:rPr>
      </w:pPr>
    </w:p>
    <w:p w14:paraId="22591D42" w14:textId="77777777" w:rsidR="00E95558" w:rsidRPr="005B2395" w:rsidRDefault="00E95558" w:rsidP="00E95558">
      <w:pPr>
        <w:rPr>
          <w:spacing w:val="-6"/>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r>
      <w:r w:rsidRPr="005B2395">
        <w:rPr>
          <w:spacing w:val="-6"/>
          <w:lang w:val="de-DE"/>
        </w:rPr>
        <w:t>Auf das Rundschreiben E-22/009 antworteten 28 Verbandsmitglieder, von denen 15 neue Antworten einreichten und 8 weitere Informationen über die Verwendung molekularer Markerverfahren bereitstellten. Die Zusammenfassung der Antworten auf die Befragungen in den Jahren 2020 und 2022 lautet wie folgt:</w:t>
      </w:r>
    </w:p>
    <w:p w14:paraId="4FC43CB3" w14:textId="77777777" w:rsidR="00E95558" w:rsidRPr="005B2395" w:rsidRDefault="00E95558" w:rsidP="00E95558">
      <w:pPr>
        <w:rPr>
          <w:lang w:val="de-DE"/>
        </w:rPr>
      </w:pPr>
    </w:p>
    <w:tbl>
      <w:tblPr>
        <w:tblStyle w:val="TableGrid"/>
        <w:tblW w:w="9634" w:type="dxa"/>
        <w:tblCellMar>
          <w:left w:w="0" w:type="dxa"/>
          <w:right w:w="0" w:type="dxa"/>
        </w:tblCellMar>
        <w:tblLook w:val="04A0" w:firstRow="1" w:lastRow="0" w:firstColumn="1" w:lastColumn="0" w:noHBand="0" w:noVBand="1"/>
      </w:tblPr>
      <w:tblGrid>
        <w:gridCol w:w="2122"/>
        <w:gridCol w:w="2551"/>
        <w:gridCol w:w="284"/>
        <w:gridCol w:w="2126"/>
        <w:gridCol w:w="2551"/>
      </w:tblGrid>
      <w:tr w:rsidR="00E95558" w:rsidRPr="00F06A46" w14:paraId="5E2B6DCD" w14:textId="77777777" w:rsidTr="003A6CC8">
        <w:tc>
          <w:tcPr>
            <w:tcW w:w="2122" w:type="dxa"/>
          </w:tcPr>
          <w:p w14:paraId="3659830F" w14:textId="77777777" w:rsidR="00E95558" w:rsidRPr="005B2395" w:rsidRDefault="00E95558" w:rsidP="003A6CC8">
            <w:pPr>
              <w:spacing w:line="260" w:lineRule="exact"/>
              <w:jc w:val="center"/>
              <w:rPr>
                <w:rFonts w:cs="Arial"/>
              </w:rPr>
            </w:pPr>
            <w:r w:rsidRPr="005B2395">
              <w:rPr>
                <w:rFonts w:cs="Arial"/>
                <w:bCs/>
                <w:color w:val="000000"/>
                <w:lang w:val="de-DE" w:eastAsia="ja-JP"/>
              </w:rPr>
              <w:t>Mitglied</w:t>
            </w:r>
          </w:p>
        </w:tc>
        <w:tc>
          <w:tcPr>
            <w:tcW w:w="2551" w:type="dxa"/>
          </w:tcPr>
          <w:p w14:paraId="23059CBC" w14:textId="77777777" w:rsidR="00E95558" w:rsidRPr="005B2395" w:rsidRDefault="00E95558" w:rsidP="003A6CC8">
            <w:pPr>
              <w:spacing w:line="260" w:lineRule="exact"/>
              <w:jc w:val="center"/>
              <w:rPr>
                <w:rFonts w:cs="Arial"/>
                <w:lang w:val="de-DE"/>
              </w:rPr>
            </w:pPr>
            <w:r w:rsidRPr="005B2395">
              <w:rPr>
                <w:rFonts w:cs="Arial"/>
                <w:bCs/>
                <w:color w:val="000000"/>
                <w:spacing w:val="-4"/>
                <w:lang w:val="de-DE" w:eastAsia="ja-JP"/>
              </w:rPr>
              <w:t>Verwendung molekularer Markerverfahren (JA/NEIN)</w:t>
            </w:r>
          </w:p>
        </w:tc>
        <w:tc>
          <w:tcPr>
            <w:tcW w:w="284" w:type="dxa"/>
            <w:vMerge w:val="restart"/>
            <w:tcBorders>
              <w:top w:val="nil"/>
              <w:bottom w:val="nil"/>
            </w:tcBorders>
          </w:tcPr>
          <w:p w14:paraId="295A9A4F" w14:textId="77777777" w:rsidR="00E95558" w:rsidRPr="005B2395" w:rsidRDefault="00E95558" w:rsidP="003A6CC8">
            <w:pPr>
              <w:spacing w:line="260" w:lineRule="exact"/>
              <w:rPr>
                <w:rFonts w:cs="Arial"/>
                <w:lang w:val="de-DE"/>
              </w:rPr>
            </w:pPr>
          </w:p>
        </w:tc>
        <w:tc>
          <w:tcPr>
            <w:tcW w:w="2126" w:type="dxa"/>
          </w:tcPr>
          <w:p w14:paraId="13DEA384" w14:textId="77777777" w:rsidR="00E95558" w:rsidRPr="005B2395" w:rsidRDefault="00E95558" w:rsidP="003A6CC8">
            <w:pPr>
              <w:spacing w:line="260" w:lineRule="exact"/>
              <w:jc w:val="center"/>
              <w:rPr>
                <w:rFonts w:cs="Arial"/>
              </w:rPr>
            </w:pPr>
            <w:r w:rsidRPr="005B2395">
              <w:rPr>
                <w:rFonts w:cs="Arial"/>
                <w:bCs/>
                <w:color w:val="000000"/>
                <w:lang w:val="de-DE" w:eastAsia="ja-JP"/>
              </w:rPr>
              <w:t>Mitglied</w:t>
            </w:r>
          </w:p>
        </w:tc>
        <w:tc>
          <w:tcPr>
            <w:tcW w:w="2551" w:type="dxa"/>
          </w:tcPr>
          <w:p w14:paraId="5F33B81F" w14:textId="77777777" w:rsidR="00E95558" w:rsidRPr="005B2395" w:rsidRDefault="00E95558" w:rsidP="003A6CC8">
            <w:pPr>
              <w:spacing w:line="260" w:lineRule="exact"/>
              <w:jc w:val="center"/>
              <w:rPr>
                <w:rFonts w:cs="Arial"/>
                <w:lang w:val="de-DE"/>
              </w:rPr>
            </w:pPr>
            <w:r w:rsidRPr="005B2395">
              <w:rPr>
                <w:rFonts w:cs="Arial"/>
                <w:bCs/>
                <w:color w:val="000000"/>
                <w:spacing w:val="-4"/>
                <w:lang w:val="de-DE" w:eastAsia="ja-JP"/>
              </w:rPr>
              <w:t>Verwendung molekularer Markerverfahren (JA/NEIN)</w:t>
            </w:r>
          </w:p>
        </w:tc>
      </w:tr>
      <w:tr w:rsidR="00E95558" w:rsidRPr="005B2395" w14:paraId="3AEAD854" w14:textId="77777777" w:rsidTr="003A6CC8">
        <w:tc>
          <w:tcPr>
            <w:tcW w:w="2122" w:type="dxa"/>
          </w:tcPr>
          <w:p w14:paraId="43204AEE" w14:textId="77777777" w:rsidR="00E95558" w:rsidRPr="005B2395" w:rsidRDefault="00E95558" w:rsidP="003A6CC8">
            <w:pPr>
              <w:spacing w:line="280" w:lineRule="exact"/>
              <w:jc w:val="center"/>
              <w:rPr>
                <w:rFonts w:cs="Arial"/>
              </w:rPr>
            </w:pPr>
            <w:r w:rsidRPr="005B2395">
              <w:rPr>
                <w:rFonts w:cs="Arial"/>
                <w:color w:val="000000"/>
                <w:lang w:val="de-DE" w:eastAsia="ja-JP"/>
              </w:rPr>
              <w:t>Argentinien</w:t>
            </w:r>
          </w:p>
        </w:tc>
        <w:tc>
          <w:tcPr>
            <w:tcW w:w="2551" w:type="dxa"/>
          </w:tcPr>
          <w:p w14:paraId="48E77729" w14:textId="77777777" w:rsidR="00E95558" w:rsidRPr="005B2395" w:rsidRDefault="00E95558" w:rsidP="003A6CC8">
            <w:pPr>
              <w:spacing w:line="280" w:lineRule="exact"/>
              <w:jc w:val="center"/>
              <w:rPr>
                <w:rFonts w:cs="Arial"/>
              </w:rPr>
            </w:pPr>
            <w:r w:rsidRPr="005B2395">
              <w:rPr>
                <w:rFonts w:cs="Arial"/>
                <w:bCs/>
                <w:color w:val="000000"/>
                <w:lang w:val="de-DE" w:eastAsia="ja-JP"/>
              </w:rPr>
              <w:t>JA</w:t>
            </w:r>
          </w:p>
        </w:tc>
        <w:tc>
          <w:tcPr>
            <w:tcW w:w="284" w:type="dxa"/>
            <w:vMerge/>
            <w:tcBorders>
              <w:bottom w:val="nil"/>
            </w:tcBorders>
          </w:tcPr>
          <w:p w14:paraId="72D32C8B" w14:textId="77777777" w:rsidR="00E95558" w:rsidRPr="005B2395" w:rsidRDefault="00E95558" w:rsidP="003A6CC8">
            <w:pPr>
              <w:spacing w:line="280" w:lineRule="exact"/>
              <w:rPr>
                <w:rFonts w:cs="Arial"/>
              </w:rPr>
            </w:pPr>
          </w:p>
        </w:tc>
        <w:tc>
          <w:tcPr>
            <w:tcW w:w="2126" w:type="dxa"/>
          </w:tcPr>
          <w:p w14:paraId="2A60C9BB" w14:textId="77777777" w:rsidR="00E95558" w:rsidRPr="005B2395" w:rsidRDefault="00E95558" w:rsidP="003A6CC8">
            <w:pPr>
              <w:spacing w:line="280" w:lineRule="exact"/>
              <w:jc w:val="center"/>
              <w:rPr>
                <w:rFonts w:cs="Arial"/>
              </w:rPr>
            </w:pPr>
            <w:r w:rsidRPr="005B2395">
              <w:rPr>
                <w:rFonts w:cs="Arial"/>
                <w:color w:val="000000"/>
                <w:lang w:val="de-DE" w:eastAsia="ja-JP"/>
              </w:rPr>
              <w:t>Neuseeland</w:t>
            </w:r>
          </w:p>
        </w:tc>
        <w:tc>
          <w:tcPr>
            <w:tcW w:w="2551" w:type="dxa"/>
          </w:tcPr>
          <w:p w14:paraId="5E27E0E0" w14:textId="77777777" w:rsidR="00E95558" w:rsidRPr="005B2395" w:rsidRDefault="00E95558" w:rsidP="003A6CC8">
            <w:pPr>
              <w:spacing w:line="280" w:lineRule="exact"/>
              <w:jc w:val="center"/>
              <w:rPr>
                <w:rFonts w:cs="Arial"/>
              </w:rPr>
            </w:pPr>
            <w:r w:rsidRPr="005B2395">
              <w:rPr>
                <w:rFonts w:cs="Arial"/>
                <w:bCs/>
                <w:color w:val="000000"/>
                <w:lang w:val="de-DE" w:eastAsia="ja-JP"/>
              </w:rPr>
              <w:t>NEIN</w:t>
            </w:r>
          </w:p>
        </w:tc>
      </w:tr>
      <w:tr w:rsidR="00E95558" w:rsidRPr="005B2395" w14:paraId="3C9FEBA6" w14:textId="77777777" w:rsidTr="003A6CC8">
        <w:tc>
          <w:tcPr>
            <w:tcW w:w="2122" w:type="dxa"/>
          </w:tcPr>
          <w:p w14:paraId="5E79D805" w14:textId="77777777" w:rsidR="00E95558" w:rsidRPr="005B2395" w:rsidRDefault="00E95558" w:rsidP="003A6CC8">
            <w:pPr>
              <w:spacing w:line="280" w:lineRule="exact"/>
              <w:jc w:val="center"/>
              <w:rPr>
                <w:rFonts w:cs="Arial"/>
              </w:rPr>
            </w:pPr>
            <w:r w:rsidRPr="005B2395">
              <w:rPr>
                <w:rFonts w:cs="Arial"/>
                <w:color w:val="000000"/>
                <w:lang w:val="de-DE" w:eastAsia="ja-JP"/>
              </w:rPr>
              <w:t>Australien</w:t>
            </w:r>
          </w:p>
        </w:tc>
        <w:tc>
          <w:tcPr>
            <w:tcW w:w="2551" w:type="dxa"/>
          </w:tcPr>
          <w:p w14:paraId="036118ED" w14:textId="77777777" w:rsidR="00E95558" w:rsidRPr="005B2395" w:rsidRDefault="00E95558" w:rsidP="003A6CC8">
            <w:pPr>
              <w:spacing w:line="280" w:lineRule="exact"/>
              <w:jc w:val="center"/>
              <w:rPr>
                <w:rFonts w:cs="Arial"/>
              </w:rPr>
            </w:pPr>
            <w:r w:rsidRPr="005B2395">
              <w:rPr>
                <w:rFonts w:cs="Arial"/>
                <w:bCs/>
                <w:color w:val="000000"/>
                <w:lang w:val="de-DE" w:eastAsia="ja-JP"/>
              </w:rPr>
              <w:t>NEIN</w:t>
            </w:r>
          </w:p>
        </w:tc>
        <w:tc>
          <w:tcPr>
            <w:tcW w:w="284" w:type="dxa"/>
            <w:vMerge/>
            <w:tcBorders>
              <w:bottom w:val="nil"/>
            </w:tcBorders>
          </w:tcPr>
          <w:p w14:paraId="3F05FF29" w14:textId="77777777" w:rsidR="00E95558" w:rsidRPr="005B2395" w:rsidRDefault="00E95558" w:rsidP="003A6CC8">
            <w:pPr>
              <w:spacing w:line="280" w:lineRule="exact"/>
              <w:rPr>
                <w:rFonts w:cs="Arial"/>
              </w:rPr>
            </w:pPr>
          </w:p>
        </w:tc>
        <w:tc>
          <w:tcPr>
            <w:tcW w:w="2126" w:type="dxa"/>
          </w:tcPr>
          <w:p w14:paraId="641A912C" w14:textId="77777777" w:rsidR="00E95558" w:rsidRPr="005B2395" w:rsidRDefault="00E95558" w:rsidP="003A6CC8">
            <w:pPr>
              <w:spacing w:line="280" w:lineRule="exact"/>
              <w:jc w:val="center"/>
              <w:rPr>
                <w:rFonts w:cs="Arial"/>
              </w:rPr>
            </w:pPr>
            <w:r w:rsidRPr="005B2395">
              <w:rPr>
                <w:rFonts w:cs="Arial"/>
                <w:color w:val="000000"/>
                <w:lang w:val="de-DE" w:eastAsia="ja-JP"/>
              </w:rPr>
              <w:t>Niederlande</w:t>
            </w:r>
          </w:p>
        </w:tc>
        <w:tc>
          <w:tcPr>
            <w:tcW w:w="2551" w:type="dxa"/>
          </w:tcPr>
          <w:p w14:paraId="6A40378C" w14:textId="77777777" w:rsidR="00E95558" w:rsidRPr="005B2395" w:rsidRDefault="00E95558" w:rsidP="003A6CC8">
            <w:pPr>
              <w:spacing w:line="280" w:lineRule="exact"/>
              <w:jc w:val="center"/>
              <w:rPr>
                <w:rFonts w:cs="Arial"/>
              </w:rPr>
            </w:pPr>
            <w:r w:rsidRPr="005B2395">
              <w:rPr>
                <w:rFonts w:cs="Arial"/>
                <w:bCs/>
                <w:color w:val="000000"/>
                <w:lang w:val="de-DE" w:eastAsia="ja-JP"/>
              </w:rPr>
              <w:t>JA</w:t>
            </w:r>
          </w:p>
        </w:tc>
      </w:tr>
      <w:tr w:rsidR="00E95558" w:rsidRPr="005B2395" w14:paraId="516ABA56" w14:textId="77777777" w:rsidTr="003A6CC8">
        <w:tc>
          <w:tcPr>
            <w:tcW w:w="2122" w:type="dxa"/>
          </w:tcPr>
          <w:p w14:paraId="5E200776" w14:textId="77777777" w:rsidR="00E95558" w:rsidRPr="005B2395" w:rsidRDefault="00E95558" w:rsidP="003A6CC8">
            <w:pPr>
              <w:spacing w:line="280" w:lineRule="exact"/>
              <w:jc w:val="center"/>
              <w:rPr>
                <w:rFonts w:cs="Arial"/>
              </w:rPr>
            </w:pPr>
            <w:r w:rsidRPr="005B2395">
              <w:rPr>
                <w:rFonts w:cs="Arial"/>
                <w:color w:val="000000"/>
                <w:lang w:val="de-DE" w:eastAsia="ja-JP"/>
              </w:rPr>
              <w:t>Belgien</w:t>
            </w:r>
          </w:p>
        </w:tc>
        <w:tc>
          <w:tcPr>
            <w:tcW w:w="2551" w:type="dxa"/>
          </w:tcPr>
          <w:p w14:paraId="0DCB10A3" w14:textId="77777777" w:rsidR="00E95558" w:rsidRPr="005B2395" w:rsidRDefault="00E95558" w:rsidP="003A6CC8">
            <w:pPr>
              <w:spacing w:line="280" w:lineRule="exact"/>
              <w:jc w:val="center"/>
              <w:rPr>
                <w:rFonts w:cs="Arial"/>
              </w:rPr>
            </w:pPr>
            <w:r w:rsidRPr="005B2395">
              <w:rPr>
                <w:rFonts w:cs="Arial"/>
                <w:bCs/>
                <w:color w:val="000000"/>
                <w:lang w:val="de-DE" w:eastAsia="ja-JP"/>
              </w:rPr>
              <w:t>NEIN</w:t>
            </w:r>
          </w:p>
        </w:tc>
        <w:tc>
          <w:tcPr>
            <w:tcW w:w="284" w:type="dxa"/>
            <w:vMerge/>
            <w:tcBorders>
              <w:bottom w:val="nil"/>
            </w:tcBorders>
          </w:tcPr>
          <w:p w14:paraId="4249FDBA" w14:textId="77777777" w:rsidR="00E95558" w:rsidRPr="005B2395" w:rsidRDefault="00E95558" w:rsidP="003A6CC8">
            <w:pPr>
              <w:spacing w:line="280" w:lineRule="exact"/>
              <w:rPr>
                <w:rFonts w:cs="Arial"/>
              </w:rPr>
            </w:pPr>
          </w:p>
        </w:tc>
        <w:tc>
          <w:tcPr>
            <w:tcW w:w="2126" w:type="dxa"/>
          </w:tcPr>
          <w:p w14:paraId="2B97B179" w14:textId="77777777" w:rsidR="00E95558" w:rsidRPr="005B2395" w:rsidRDefault="00E95558" w:rsidP="003A6CC8">
            <w:pPr>
              <w:spacing w:line="280" w:lineRule="exact"/>
              <w:jc w:val="center"/>
              <w:rPr>
                <w:rFonts w:cs="Arial"/>
              </w:rPr>
            </w:pPr>
            <w:r w:rsidRPr="005B2395">
              <w:rPr>
                <w:rFonts w:cs="Arial"/>
                <w:color w:val="000000"/>
                <w:lang w:val="de-DE" w:eastAsia="ja-JP"/>
              </w:rPr>
              <w:t>Norwegen</w:t>
            </w:r>
          </w:p>
        </w:tc>
        <w:tc>
          <w:tcPr>
            <w:tcW w:w="2551" w:type="dxa"/>
          </w:tcPr>
          <w:p w14:paraId="75802DD2" w14:textId="77777777" w:rsidR="00E95558" w:rsidRPr="005B2395" w:rsidRDefault="00E95558" w:rsidP="003A6CC8">
            <w:pPr>
              <w:spacing w:line="280" w:lineRule="exact"/>
              <w:jc w:val="center"/>
              <w:rPr>
                <w:rFonts w:cs="Arial"/>
              </w:rPr>
            </w:pPr>
            <w:r w:rsidRPr="005B2395">
              <w:rPr>
                <w:rFonts w:cs="Arial"/>
                <w:bCs/>
                <w:color w:val="000000"/>
                <w:lang w:val="de-DE" w:eastAsia="ja-JP"/>
              </w:rPr>
              <w:t>NEIN</w:t>
            </w:r>
          </w:p>
        </w:tc>
      </w:tr>
      <w:tr w:rsidR="00E95558" w:rsidRPr="005B2395" w14:paraId="28AE73A3" w14:textId="77777777" w:rsidTr="003A6CC8">
        <w:tc>
          <w:tcPr>
            <w:tcW w:w="2122" w:type="dxa"/>
          </w:tcPr>
          <w:p w14:paraId="067B6890" w14:textId="77777777" w:rsidR="00E95558" w:rsidRPr="005B2395" w:rsidRDefault="00E95558" w:rsidP="003A6CC8">
            <w:pPr>
              <w:spacing w:line="280" w:lineRule="exact"/>
              <w:jc w:val="center"/>
              <w:rPr>
                <w:rFonts w:cs="Arial"/>
              </w:rPr>
            </w:pPr>
            <w:r w:rsidRPr="005B2395">
              <w:rPr>
                <w:rFonts w:cs="Arial"/>
                <w:color w:val="000000"/>
                <w:lang w:val="de-DE" w:eastAsia="ja-JP"/>
              </w:rPr>
              <w:t>Bolivien</w:t>
            </w:r>
          </w:p>
        </w:tc>
        <w:tc>
          <w:tcPr>
            <w:tcW w:w="2551" w:type="dxa"/>
          </w:tcPr>
          <w:p w14:paraId="4766FE54" w14:textId="77777777" w:rsidR="00E95558" w:rsidRPr="005B2395" w:rsidRDefault="00E95558" w:rsidP="003A6CC8">
            <w:pPr>
              <w:spacing w:line="280" w:lineRule="exact"/>
              <w:jc w:val="center"/>
              <w:rPr>
                <w:rFonts w:cs="Arial"/>
              </w:rPr>
            </w:pPr>
            <w:r w:rsidRPr="005B2395">
              <w:rPr>
                <w:rFonts w:cs="Arial"/>
                <w:bCs/>
                <w:color w:val="000000"/>
                <w:lang w:val="de-DE" w:eastAsia="ja-JP"/>
              </w:rPr>
              <w:t>NEIN</w:t>
            </w:r>
          </w:p>
        </w:tc>
        <w:tc>
          <w:tcPr>
            <w:tcW w:w="284" w:type="dxa"/>
            <w:vMerge/>
            <w:tcBorders>
              <w:bottom w:val="nil"/>
            </w:tcBorders>
          </w:tcPr>
          <w:p w14:paraId="5537C830" w14:textId="77777777" w:rsidR="00E95558" w:rsidRPr="005B2395" w:rsidRDefault="00E95558" w:rsidP="003A6CC8">
            <w:pPr>
              <w:spacing w:line="280" w:lineRule="exact"/>
              <w:rPr>
                <w:rFonts w:cs="Arial"/>
              </w:rPr>
            </w:pPr>
          </w:p>
        </w:tc>
        <w:tc>
          <w:tcPr>
            <w:tcW w:w="2126" w:type="dxa"/>
          </w:tcPr>
          <w:p w14:paraId="5807B3F3" w14:textId="77777777" w:rsidR="00E95558" w:rsidRPr="005B2395" w:rsidRDefault="00E95558" w:rsidP="003A6CC8">
            <w:pPr>
              <w:spacing w:line="280" w:lineRule="exact"/>
              <w:jc w:val="center"/>
              <w:rPr>
                <w:rFonts w:cs="Arial"/>
              </w:rPr>
            </w:pPr>
            <w:r w:rsidRPr="005B2395">
              <w:rPr>
                <w:rFonts w:cs="Arial"/>
                <w:color w:val="000000"/>
                <w:lang w:val="de-DE" w:eastAsia="ja-JP"/>
              </w:rPr>
              <w:t>Österreich</w:t>
            </w:r>
          </w:p>
        </w:tc>
        <w:tc>
          <w:tcPr>
            <w:tcW w:w="2551" w:type="dxa"/>
          </w:tcPr>
          <w:p w14:paraId="3A8F5B4D" w14:textId="77777777" w:rsidR="00E95558" w:rsidRPr="005B2395" w:rsidRDefault="00E95558" w:rsidP="003A6CC8">
            <w:pPr>
              <w:spacing w:line="280" w:lineRule="exact"/>
              <w:jc w:val="center"/>
              <w:rPr>
                <w:rFonts w:cs="Arial"/>
              </w:rPr>
            </w:pPr>
            <w:r w:rsidRPr="005B2395">
              <w:rPr>
                <w:rFonts w:cs="Arial"/>
                <w:bCs/>
                <w:color w:val="000000"/>
                <w:lang w:val="de-DE" w:eastAsia="ja-JP"/>
              </w:rPr>
              <w:t>JA</w:t>
            </w:r>
          </w:p>
        </w:tc>
      </w:tr>
      <w:tr w:rsidR="00E95558" w:rsidRPr="005B2395" w14:paraId="121F4000" w14:textId="77777777" w:rsidTr="003A6CC8">
        <w:tc>
          <w:tcPr>
            <w:tcW w:w="2122" w:type="dxa"/>
          </w:tcPr>
          <w:p w14:paraId="479705D0" w14:textId="77777777" w:rsidR="00E95558" w:rsidRPr="005B2395" w:rsidRDefault="00E95558" w:rsidP="003A6CC8">
            <w:pPr>
              <w:spacing w:line="280" w:lineRule="exact"/>
              <w:jc w:val="center"/>
              <w:rPr>
                <w:rFonts w:cs="Arial"/>
              </w:rPr>
            </w:pPr>
            <w:r w:rsidRPr="005B2395">
              <w:rPr>
                <w:rFonts w:cs="Arial"/>
                <w:color w:val="000000"/>
                <w:lang w:val="de-DE" w:eastAsia="ja-JP"/>
              </w:rPr>
              <w:t>Brasilien</w:t>
            </w:r>
          </w:p>
        </w:tc>
        <w:tc>
          <w:tcPr>
            <w:tcW w:w="2551" w:type="dxa"/>
          </w:tcPr>
          <w:p w14:paraId="07C6CEFD" w14:textId="77777777" w:rsidR="00E95558" w:rsidRPr="005B2395" w:rsidRDefault="00E95558" w:rsidP="003A6CC8">
            <w:pPr>
              <w:spacing w:line="280" w:lineRule="exact"/>
              <w:jc w:val="center"/>
              <w:rPr>
                <w:rFonts w:cs="Arial"/>
              </w:rPr>
            </w:pPr>
            <w:r w:rsidRPr="005B2395">
              <w:rPr>
                <w:rFonts w:cs="Arial"/>
                <w:bCs/>
                <w:color w:val="000000"/>
                <w:lang w:val="de-DE" w:eastAsia="ja-JP"/>
              </w:rPr>
              <w:t>JA</w:t>
            </w:r>
          </w:p>
        </w:tc>
        <w:tc>
          <w:tcPr>
            <w:tcW w:w="284" w:type="dxa"/>
            <w:vMerge/>
            <w:tcBorders>
              <w:bottom w:val="nil"/>
            </w:tcBorders>
          </w:tcPr>
          <w:p w14:paraId="70FF6BE4" w14:textId="77777777" w:rsidR="00E95558" w:rsidRPr="005B2395" w:rsidRDefault="00E95558" w:rsidP="003A6CC8">
            <w:pPr>
              <w:spacing w:line="280" w:lineRule="exact"/>
              <w:rPr>
                <w:rFonts w:cs="Arial"/>
              </w:rPr>
            </w:pPr>
          </w:p>
        </w:tc>
        <w:tc>
          <w:tcPr>
            <w:tcW w:w="2126" w:type="dxa"/>
          </w:tcPr>
          <w:p w14:paraId="11DAFB93" w14:textId="77777777" w:rsidR="00E95558" w:rsidRPr="005B2395" w:rsidRDefault="00E95558" w:rsidP="003A6CC8">
            <w:pPr>
              <w:spacing w:line="280" w:lineRule="exact"/>
              <w:jc w:val="center"/>
              <w:rPr>
                <w:rFonts w:cs="Arial"/>
              </w:rPr>
            </w:pPr>
            <w:r w:rsidRPr="005B2395">
              <w:rPr>
                <w:rFonts w:cs="Arial"/>
                <w:color w:val="000000"/>
                <w:lang w:val="de-DE" w:eastAsia="ja-JP"/>
              </w:rPr>
              <w:t>Panama</w:t>
            </w:r>
          </w:p>
        </w:tc>
        <w:tc>
          <w:tcPr>
            <w:tcW w:w="2551" w:type="dxa"/>
          </w:tcPr>
          <w:p w14:paraId="18F1DFB1" w14:textId="77777777" w:rsidR="00E95558" w:rsidRPr="005B2395" w:rsidRDefault="00E95558" w:rsidP="003A6CC8">
            <w:pPr>
              <w:spacing w:line="280" w:lineRule="exact"/>
              <w:jc w:val="center"/>
              <w:rPr>
                <w:rFonts w:cs="Arial"/>
              </w:rPr>
            </w:pPr>
            <w:r w:rsidRPr="005B2395">
              <w:rPr>
                <w:rFonts w:cs="Arial"/>
                <w:bCs/>
                <w:color w:val="000000"/>
                <w:lang w:val="de-DE" w:eastAsia="ja-JP"/>
              </w:rPr>
              <w:t>NEIN</w:t>
            </w:r>
          </w:p>
        </w:tc>
      </w:tr>
      <w:tr w:rsidR="00E95558" w:rsidRPr="005B2395" w14:paraId="2620EE53" w14:textId="77777777" w:rsidTr="003A6CC8">
        <w:tc>
          <w:tcPr>
            <w:tcW w:w="2122" w:type="dxa"/>
          </w:tcPr>
          <w:p w14:paraId="53E70A67" w14:textId="77777777" w:rsidR="00E95558" w:rsidRPr="005B2395" w:rsidRDefault="00E95558" w:rsidP="003A6CC8">
            <w:pPr>
              <w:spacing w:line="280" w:lineRule="exact"/>
              <w:jc w:val="center"/>
              <w:rPr>
                <w:rFonts w:cs="Arial"/>
              </w:rPr>
            </w:pPr>
            <w:r w:rsidRPr="005B2395">
              <w:rPr>
                <w:rFonts w:cs="Arial"/>
                <w:color w:val="000000"/>
                <w:lang w:val="de-DE" w:eastAsia="ja-JP"/>
              </w:rPr>
              <w:t>China</w:t>
            </w:r>
          </w:p>
        </w:tc>
        <w:tc>
          <w:tcPr>
            <w:tcW w:w="2551" w:type="dxa"/>
          </w:tcPr>
          <w:p w14:paraId="6186F96B" w14:textId="77777777" w:rsidR="00E95558" w:rsidRPr="005B2395" w:rsidRDefault="00E95558" w:rsidP="003A6CC8">
            <w:pPr>
              <w:spacing w:line="280" w:lineRule="exact"/>
              <w:jc w:val="center"/>
              <w:rPr>
                <w:rFonts w:cs="Arial"/>
              </w:rPr>
            </w:pPr>
            <w:r w:rsidRPr="005B2395">
              <w:rPr>
                <w:rFonts w:cs="Arial"/>
                <w:bCs/>
                <w:color w:val="000000"/>
                <w:lang w:val="de-DE" w:eastAsia="ja-JP"/>
              </w:rPr>
              <w:t>JA</w:t>
            </w:r>
          </w:p>
        </w:tc>
        <w:tc>
          <w:tcPr>
            <w:tcW w:w="284" w:type="dxa"/>
            <w:vMerge/>
            <w:tcBorders>
              <w:bottom w:val="nil"/>
            </w:tcBorders>
          </w:tcPr>
          <w:p w14:paraId="121B5C35" w14:textId="77777777" w:rsidR="00E95558" w:rsidRPr="005B2395" w:rsidRDefault="00E95558" w:rsidP="003A6CC8">
            <w:pPr>
              <w:spacing w:line="280" w:lineRule="exact"/>
              <w:rPr>
                <w:rFonts w:cs="Arial"/>
              </w:rPr>
            </w:pPr>
          </w:p>
        </w:tc>
        <w:tc>
          <w:tcPr>
            <w:tcW w:w="2126" w:type="dxa"/>
          </w:tcPr>
          <w:p w14:paraId="3EAD2B08" w14:textId="77777777" w:rsidR="00E95558" w:rsidRPr="005B2395" w:rsidRDefault="00E95558" w:rsidP="003A6CC8">
            <w:pPr>
              <w:spacing w:line="280" w:lineRule="exact"/>
              <w:jc w:val="center"/>
              <w:rPr>
                <w:rFonts w:cs="Arial"/>
              </w:rPr>
            </w:pPr>
            <w:r w:rsidRPr="005B2395">
              <w:rPr>
                <w:rFonts w:cs="Arial"/>
                <w:color w:val="000000"/>
                <w:lang w:val="de-DE" w:eastAsia="ja-JP"/>
              </w:rPr>
              <w:t>Peru</w:t>
            </w:r>
          </w:p>
        </w:tc>
        <w:tc>
          <w:tcPr>
            <w:tcW w:w="2551" w:type="dxa"/>
          </w:tcPr>
          <w:p w14:paraId="14589A37" w14:textId="77777777" w:rsidR="00E95558" w:rsidRPr="005B2395" w:rsidRDefault="00E95558" w:rsidP="003A6CC8">
            <w:pPr>
              <w:spacing w:line="280" w:lineRule="exact"/>
              <w:jc w:val="center"/>
              <w:rPr>
                <w:rFonts w:cs="Arial"/>
              </w:rPr>
            </w:pPr>
            <w:r w:rsidRPr="005B2395">
              <w:rPr>
                <w:rFonts w:cs="Arial"/>
                <w:bCs/>
                <w:color w:val="000000"/>
                <w:lang w:val="de-DE" w:eastAsia="ja-JP"/>
              </w:rPr>
              <w:t>NEIN</w:t>
            </w:r>
          </w:p>
        </w:tc>
      </w:tr>
      <w:tr w:rsidR="00E95558" w:rsidRPr="005B2395" w14:paraId="3E1B6141" w14:textId="77777777" w:rsidTr="003A6CC8">
        <w:tc>
          <w:tcPr>
            <w:tcW w:w="2122" w:type="dxa"/>
          </w:tcPr>
          <w:p w14:paraId="58639E6C" w14:textId="77777777" w:rsidR="00E95558" w:rsidRPr="005B2395" w:rsidRDefault="00E95558" w:rsidP="003A6CC8">
            <w:pPr>
              <w:spacing w:line="280" w:lineRule="exact"/>
              <w:jc w:val="center"/>
              <w:rPr>
                <w:rFonts w:cs="Arial"/>
              </w:rPr>
            </w:pPr>
            <w:r w:rsidRPr="005B2395">
              <w:rPr>
                <w:rFonts w:cs="Arial"/>
                <w:color w:val="000000"/>
                <w:lang w:val="de-DE" w:eastAsia="ja-JP"/>
              </w:rPr>
              <w:t>Deutschland</w:t>
            </w:r>
          </w:p>
        </w:tc>
        <w:tc>
          <w:tcPr>
            <w:tcW w:w="2551" w:type="dxa"/>
          </w:tcPr>
          <w:p w14:paraId="00C17EE3" w14:textId="77777777" w:rsidR="00E95558" w:rsidRPr="005B2395" w:rsidRDefault="00E95558" w:rsidP="003A6CC8">
            <w:pPr>
              <w:spacing w:line="280" w:lineRule="exact"/>
              <w:jc w:val="center"/>
              <w:rPr>
                <w:rFonts w:cs="Arial"/>
              </w:rPr>
            </w:pPr>
            <w:r w:rsidRPr="005B2395">
              <w:rPr>
                <w:rFonts w:cs="Arial"/>
                <w:bCs/>
                <w:color w:val="000000"/>
                <w:lang w:val="de-DE" w:eastAsia="ja-JP"/>
              </w:rPr>
              <w:t>JA</w:t>
            </w:r>
          </w:p>
        </w:tc>
        <w:tc>
          <w:tcPr>
            <w:tcW w:w="284" w:type="dxa"/>
            <w:vMerge/>
            <w:tcBorders>
              <w:bottom w:val="nil"/>
            </w:tcBorders>
          </w:tcPr>
          <w:p w14:paraId="1A2D824A" w14:textId="77777777" w:rsidR="00E95558" w:rsidRPr="005B2395" w:rsidRDefault="00E95558" w:rsidP="003A6CC8">
            <w:pPr>
              <w:spacing w:line="280" w:lineRule="exact"/>
              <w:rPr>
                <w:rFonts w:cs="Arial"/>
              </w:rPr>
            </w:pPr>
          </w:p>
        </w:tc>
        <w:tc>
          <w:tcPr>
            <w:tcW w:w="2126" w:type="dxa"/>
          </w:tcPr>
          <w:p w14:paraId="5EEC10B9" w14:textId="77777777" w:rsidR="00E95558" w:rsidRPr="005B2395" w:rsidRDefault="00E95558" w:rsidP="003A6CC8">
            <w:pPr>
              <w:spacing w:line="280" w:lineRule="exact"/>
              <w:jc w:val="center"/>
              <w:rPr>
                <w:rFonts w:cs="Arial"/>
              </w:rPr>
            </w:pPr>
            <w:r w:rsidRPr="005B2395">
              <w:rPr>
                <w:rFonts w:cs="Arial"/>
                <w:color w:val="000000"/>
                <w:lang w:val="de-DE" w:eastAsia="ja-JP"/>
              </w:rPr>
              <w:t>Polen</w:t>
            </w:r>
          </w:p>
        </w:tc>
        <w:tc>
          <w:tcPr>
            <w:tcW w:w="2551" w:type="dxa"/>
          </w:tcPr>
          <w:p w14:paraId="214A6542" w14:textId="77777777" w:rsidR="00E95558" w:rsidRPr="005B2395" w:rsidRDefault="00E95558" w:rsidP="003A6CC8">
            <w:pPr>
              <w:spacing w:line="280" w:lineRule="exact"/>
              <w:jc w:val="center"/>
              <w:rPr>
                <w:rFonts w:cs="Arial"/>
              </w:rPr>
            </w:pPr>
            <w:r w:rsidRPr="005B2395">
              <w:rPr>
                <w:rFonts w:cs="Arial"/>
                <w:bCs/>
                <w:color w:val="000000"/>
                <w:lang w:val="de-DE" w:eastAsia="ja-JP"/>
              </w:rPr>
              <w:t>NEIN</w:t>
            </w:r>
          </w:p>
        </w:tc>
      </w:tr>
      <w:tr w:rsidR="00E95558" w:rsidRPr="005B2395" w14:paraId="1F73CEB4" w14:textId="77777777" w:rsidTr="003A6CC8">
        <w:tc>
          <w:tcPr>
            <w:tcW w:w="2122" w:type="dxa"/>
          </w:tcPr>
          <w:p w14:paraId="3B6ED102" w14:textId="77777777" w:rsidR="00E95558" w:rsidRPr="005B2395" w:rsidRDefault="00E95558" w:rsidP="003A6CC8">
            <w:pPr>
              <w:spacing w:line="280" w:lineRule="exact"/>
              <w:jc w:val="center"/>
              <w:rPr>
                <w:rFonts w:cs="Arial"/>
              </w:rPr>
            </w:pPr>
            <w:r w:rsidRPr="005B2395">
              <w:rPr>
                <w:rFonts w:cs="Arial"/>
                <w:color w:val="000000"/>
                <w:lang w:val="de-DE" w:eastAsia="ja-JP"/>
              </w:rPr>
              <w:t>Estland</w:t>
            </w:r>
          </w:p>
        </w:tc>
        <w:tc>
          <w:tcPr>
            <w:tcW w:w="2551" w:type="dxa"/>
          </w:tcPr>
          <w:p w14:paraId="2554FDC3" w14:textId="77777777" w:rsidR="00E95558" w:rsidRPr="005B2395" w:rsidRDefault="00E95558" w:rsidP="003A6CC8">
            <w:pPr>
              <w:spacing w:line="280" w:lineRule="exact"/>
              <w:jc w:val="center"/>
              <w:rPr>
                <w:rFonts w:cs="Arial"/>
              </w:rPr>
            </w:pPr>
            <w:r w:rsidRPr="005B2395">
              <w:rPr>
                <w:rFonts w:cs="Arial"/>
                <w:bCs/>
                <w:color w:val="000000"/>
                <w:lang w:val="de-DE" w:eastAsia="ja-JP"/>
              </w:rPr>
              <w:t>JA</w:t>
            </w:r>
          </w:p>
        </w:tc>
        <w:tc>
          <w:tcPr>
            <w:tcW w:w="284" w:type="dxa"/>
            <w:vMerge/>
            <w:tcBorders>
              <w:bottom w:val="nil"/>
            </w:tcBorders>
          </w:tcPr>
          <w:p w14:paraId="4897F8FB" w14:textId="77777777" w:rsidR="00E95558" w:rsidRPr="005B2395" w:rsidRDefault="00E95558" w:rsidP="003A6CC8">
            <w:pPr>
              <w:spacing w:line="280" w:lineRule="exact"/>
              <w:rPr>
                <w:rFonts w:cs="Arial"/>
              </w:rPr>
            </w:pPr>
          </w:p>
        </w:tc>
        <w:tc>
          <w:tcPr>
            <w:tcW w:w="2126" w:type="dxa"/>
          </w:tcPr>
          <w:p w14:paraId="0937988B" w14:textId="77777777" w:rsidR="00E95558" w:rsidRPr="005B2395" w:rsidRDefault="00E95558" w:rsidP="003A6CC8">
            <w:pPr>
              <w:spacing w:line="280" w:lineRule="exact"/>
              <w:jc w:val="center"/>
              <w:rPr>
                <w:rFonts w:cs="Arial"/>
              </w:rPr>
            </w:pPr>
            <w:r w:rsidRPr="005B2395">
              <w:rPr>
                <w:rFonts w:cs="Arial"/>
                <w:color w:val="000000"/>
                <w:lang w:val="de-DE" w:eastAsia="ja-JP"/>
              </w:rPr>
              <w:t>Rumänien</w:t>
            </w:r>
          </w:p>
        </w:tc>
        <w:tc>
          <w:tcPr>
            <w:tcW w:w="2551" w:type="dxa"/>
          </w:tcPr>
          <w:p w14:paraId="34E3BA6E" w14:textId="77777777" w:rsidR="00E95558" w:rsidRPr="005B2395" w:rsidRDefault="00E95558" w:rsidP="003A6CC8">
            <w:pPr>
              <w:spacing w:line="280" w:lineRule="exact"/>
              <w:jc w:val="center"/>
              <w:rPr>
                <w:rFonts w:cs="Arial"/>
              </w:rPr>
            </w:pPr>
            <w:r w:rsidRPr="005B2395">
              <w:rPr>
                <w:rFonts w:cs="Arial"/>
                <w:bCs/>
                <w:color w:val="000000"/>
                <w:lang w:val="de-DE" w:eastAsia="ja-JP"/>
              </w:rPr>
              <w:t>NEIN</w:t>
            </w:r>
          </w:p>
        </w:tc>
      </w:tr>
      <w:tr w:rsidR="00E95558" w:rsidRPr="005B2395" w14:paraId="23D4C786" w14:textId="77777777" w:rsidTr="003A6CC8">
        <w:tc>
          <w:tcPr>
            <w:tcW w:w="2122" w:type="dxa"/>
          </w:tcPr>
          <w:p w14:paraId="38CD8078" w14:textId="77777777" w:rsidR="00E95558" w:rsidRPr="005B2395" w:rsidRDefault="00E95558" w:rsidP="003A6CC8">
            <w:pPr>
              <w:spacing w:line="280" w:lineRule="exact"/>
              <w:jc w:val="center"/>
              <w:rPr>
                <w:rFonts w:cs="Arial"/>
              </w:rPr>
            </w:pPr>
            <w:r w:rsidRPr="005B2395">
              <w:rPr>
                <w:rFonts w:cs="Arial"/>
                <w:color w:val="000000"/>
                <w:lang w:val="de-DE" w:eastAsia="ja-JP"/>
              </w:rPr>
              <w:t>Europäische Union</w:t>
            </w:r>
          </w:p>
        </w:tc>
        <w:tc>
          <w:tcPr>
            <w:tcW w:w="2551" w:type="dxa"/>
          </w:tcPr>
          <w:p w14:paraId="3EC65476" w14:textId="77777777" w:rsidR="00E95558" w:rsidRPr="005B2395" w:rsidRDefault="00E95558" w:rsidP="003A6CC8">
            <w:pPr>
              <w:spacing w:line="280" w:lineRule="exact"/>
              <w:jc w:val="center"/>
              <w:rPr>
                <w:rFonts w:cs="Arial"/>
              </w:rPr>
            </w:pPr>
            <w:r w:rsidRPr="005B2395">
              <w:rPr>
                <w:rFonts w:cs="Arial"/>
                <w:bCs/>
                <w:color w:val="000000"/>
                <w:lang w:val="de-DE" w:eastAsia="ja-JP"/>
              </w:rPr>
              <w:t>JA</w:t>
            </w:r>
          </w:p>
        </w:tc>
        <w:tc>
          <w:tcPr>
            <w:tcW w:w="284" w:type="dxa"/>
            <w:vMerge/>
            <w:tcBorders>
              <w:bottom w:val="nil"/>
            </w:tcBorders>
          </w:tcPr>
          <w:p w14:paraId="59A2F6AD" w14:textId="77777777" w:rsidR="00E95558" w:rsidRPr="005B2395" w:rsidRDefault="00E95558" w:rsidP="003A6CC8">
            <w:pPr>
              <w:spacing w:line="280" w:lineRule="exact"/>
              <w:rPr>
                <w:rFonts w:cs="Arial"/>
              </w:rPr>
            </w:pPr>
          </w:p>
        </w:tc>
        <w:tc>
          <w:tcPr>
            <w:tcW w:w="2126" w:type="dxa"/>
          </w:tcPr>
          <w:p w14:paraId="5BDE3372" w14:textId="77777777" w:rsidR="00E95558" w:rsidRPr="005B2395" w:rsidRDefault="00E95558" w:rsidP="003A6CC8">
            <w:pPr>
              <w:spacing w:line="280" w:lineRule="exact"/>
              <w:jc w:val="center"/>
              <w:rPr>
                <w:rFonts w:cs="Arial"/>
              </w:rPr>
            </w:pPr>
            <w:r w:rsidRPr="005B2395">
              <w:rPr>
                <w:rFonts w:cs="Arial"/>
                <w:color w:val="000000"/>
                <w:lang w:val="de-DE" w:eastAsia="ja-JP"/>
              </w:rPr>
              <w:t>Russische Föderation</w:t>
            </w:r>
          </w:p>
        </w:tc>
        <w:tc>
          <w:tcPr>
            <w:tcW w:w="2551" w:type="dxa"/>
          </w:tcPr>
          <w:p w14:paraId="76688C21" w14:textId="77777777" w:rsidR="00E95558" w:rsidRPr="005B2395" w:rsidRDefault="00E95558" w:rsidP="003A6CC8">
            <w:pPr>
              <w:spacing w:line="280" w:lineRule="exact"/>
              <w:jc w:val="center"/>
              <w:rPr>
                <w:rFonts w:cs="Arial"/>
              </w:rPr>
            </w:pPr>
            <w:r w:rsidRPr="005B2395">
              <w:rPr>
                <w:rFonts w:cs="Arial"/>
                <w:bCs/>
                <w:color w:val="000000"/>
                <w:lang w:val="de-DE" w:eastAsia="ja-JP"/>
              </w:rPr>
              <w:t>NEIN</w:t>
            </w:r>
          </w:p>
        </w:tc>
      </w:tr>
      <w:tr w:rsidR="00E95558" w:rsidRPr="005B2395" w14:paraId="052DB31A" w14:textId="77777777" w:rsidTr="003A6CC8">
        <w:tc>
          <w:tcPr>
            <w:tcW w:w="2122" w:type="dxa"/>
          </w:tcPr>
          <w:p w14:paraId="34F72B22" w14:textId="77777777" w:rsidR="00E95558" w:rsidRPr="005B2395" w:rsidRDefault="00E95558" w:rsidP="003A6CC8">
            <w:pPr>
              <w:spacing w:line="280" w:lineRule="exact"/>
              <w:jc w:val="center"/>
              <w:rPr>
                <w:rFonts w:cs="Arial"/>
              </w:rPr>
            </w:pPr>
            <w:r w:rsidRPr="005B2395">
              <w:rPr>
                <w:rFonts w:cs="Arial"/>
                <w:color w:val="000000"/>
                <w:lang w:val="de-DE" w:eastAsia="ja-JP"/>
              </w:rPr>
              <w:t>Frankreich</w:t>
            </w:r>
          </w:p>
        </w:tc>
        <w:tc>
          <w:tcPr>
            <w:tcW w:w="2551" w:type="dxa"/>
          </w:tcPr>
          <w:p w14:paraId="093E8DD3" w14:textId="77777777" w:rsidR="00E95558" w:rsidRPr="005B2395" w:rsidRDefault="00E95558" w:rsidP="003A6CC8">
            <w:pPr>
              <w:spacing w:line="280" w:lineRule="exact"/>
              <w:jc w:val="center"/>
              <w:rPr>
                <w:rFonts w:cs="Arial"/>
              </w:rPr>
            </w:pPr>
            <w:r w:rsidRPr="005B2395">
              <w:rPr>
                <w:rFonts w:cs="Arial"/>
                <w:bCs/>
                <w:color w:val="000000"/>
                <w:lang w:val="de-DE" w:eastAsia="ja-JP"/>
              </w:rPr>
              <w:t>JA</w:t>
            </w:r>
          </w:p>
        </w:tc>
        <w:tc>
          <w:tcPr>
            <w:tcW w:w="284" w:type="dxa"/>
            <w:vMerge/>
            <w:tcBorders>
              <w:bottom w:val="nil"/>
            </w:tcBorders>
          </w:tcPr>
          <w:p w14:paraId="3FD37C4B" w14:textId="77777777" w:rsidR="00E95558" w:rsidRPr="005B2395" w:rsidRDefault="00E95558" w:rsidP="003A6CC8">
            <w:pPr>
              <w:spacing w:line="280" w:lineRule="exact"/>
              <w:rPr>
                <w:rFonts w:cs="Arial"/>
              </w:rPr>
            </w:pPr>
          </w:p>
        </w:tc>
        <w:tc>
          <w:tcPr>
            <w:tcW w:w="2126" w:type="dxa"/>
          </w:tcPr>
          <w:p w14:paraId="2F541C45" w14:textId="77777777" w:rsidR="00E95558" w:rsidRPr="005B2395" w:rsidRDefault="00E95558" w:rsidP="003A6CC8">
            <w:pPr>
              <w:spacing w:line="280" w:lineRule="exact"/>
              <w:jc w:val="center"/>
              <w:rPr>
                <w:rFonts w:cs="Arial"/>
              </w:rPr>
            </w:pPr>
            <w:r w:rsidRPr="005B2395">
              <w:rPr>
                <w:rFonts w:cs="Arial"/>
                <w:color w:val="000000"/>
                <w:lang w:val="de-DE" w:eastAsia="ja-JP"/>
              </w:rPr>
              <w:t>Simbabwe</w:t>
            </w:r>
          </w:p>
        </w:tc>
        <w:tc>
          <w:tcPr>
            <w:tcW w:w="2551" w:type="dxa"/>
          </w:tcPr>
          <w:p w14:paraId="48CD406F" w14:textId="77777777" w:rsidR="00E95558" w:rsidRPr="005B2395" w:rsidRDefault="00E95558" w:rsidP="003A6CC8">
            <w:pPr>
              <w:spacing w:line="280" w:lineRule="exact"/>
              <w:jc w:val="center"/>
              <w:rPr>
                <w:rFonts w:cs="Arial"/>
              </w:rPr>
            </w:pPr>
            <w:r w:rsidRPr="005B2395">
              <w:rPr>
                <w:rFonts w:cs="Arial"/>
                <w:bCs/>
                <w:color w:val="000000"/>
                <w:lang w:val="de-DE" w:eastAsia="ja-JP"/>
              </w:rPr>
              <w:t>NEIN</w:t>
            </w:r>
          </w:p>
        </w:tc>
      </w:tr>
      <w:tr w:rsidR="00E95558" w:rsidRPr="005B2395" w14:paraId="632FB5A8" w14:textId="77777777" w:rsidTr="003A6CC8">
        <w:tc>
          <w:tcPr>
            <w:tcW w:w="2122" w:type="dxa"/>
          </w:tcPr>
          <w:p w14:paraId="453C9894" w14:textId="77777777" w:rsidR="00E95558" w:rsidRPr="005B2395" w:rsidRDefault="00E95558" w:rsidP="003A6CC8">
            <w:pPr>
              <w:spacing w:line="280" w:lineRule="exact"/>
              <w:jc w:val="center"/>
              <w:rPr>
                <w:rFonts w:cs="Arial"/>
              </w:rPr>
            </w:pPr>
            <w:r w:rsidRPr="005B2395">
              <w:rPr>
                <w:rFonts w:cs="Arial"/>
                <w:color w:val="000000"/>
                <w:lang w:val="de-DE" w:eastAsia="ja-JP"/>
              </w:rPr>
              <w:t>Irland</w:t>
            </w:r>
          </w:p>
        </w:tc>
        <w:tc>
          <w:tcPr>
            <w:tcW w:w="2551" w:type="dxa"/>
          </w:tcPr>
          <w:p w14:paraId="40B63F15" w14:textId="77777777" w:rsidR="00E95558" w:rsidRPr="005B2395" w:rsidRDefault="00E95558" w:rsidP="003A6CC8">
            <w:pPr>
              <w:spacing w:line="280" w:lineRule="exact"/>
              <w:jc w:val="center"/>
              <w:rPr>
                <w:rFonts w:cs="Arial"/>
              </w:rPr>
            </w:pPr>
            <w:r w:rsidRPr="005B2395">
              <w:rPr>
                <w:rFonts w:cs="Arial"/>
                <w:bCs/>
                <w:color w:val="000000"/>
                <w:lang w:val="de-DE" w:eastAsia="ja-JP"/>
              </w:rPr>
              <w:t>JA</w:t>
            </w:r>
          </w:p>
        </w:tc>
        <w:tc>
          <w:tcPr>
            <w:tcW w:w="284" w:type="dxa"/>
            <w:vMerge/>
            <w:tcBorders>
              <w:bottom w:val="nil"/>
            </w:tcBorders>
          </w:tcPr>
          <w:p w14:paraId="2A9ECFE3" w14:textId="77777777" w:rsidR="00E95558" w:rsidRPr="005B2395" w:rsidRDefault="00E95558" w:rsidP="003A6CC8">
            <w:pPr>
              <w:spacing w:line="280" w:lineRule="exact"/>
              <w:rPr>
                <w:rFonts w:cs="Arial"/>
              </w:rPr>
            </w:pPr>
          </w:p>
        </w:tc>
        <w:tc>
          <w:tcPr>
            <w:tcW w:w="2126" w:type="dxa"/>
          </w:tcPr>
          <w:p w14:paraId="299A0757" w14:textId="77777777" w:rsidR="00E95558" w:rsidRPr="005B2395" w:rsidRDefault="00E95558" w:rsidP="003A6CC8">
            <w:pPr>
              <w:spacing w:line="280" w:lineRule="exact"/>
              <w:jc w:val="center"/>
              <w:rPr>
                <w:rFonts w:cs="Arial"/>
              </w:rPr>
            </w:pPr>
            <w:r w:rsidRPr="005B2395">
              <w:rPr>
                <w:rFonts w:cs="Arial"/>
                <w:color w:val="000000"/>
                <w:lang w:val="de-DE" w:eastAsia="ja-JP"/>
              </w:rPr>
              <w:t>Slowakei</w:t>
            </w:r>
          </w:p>
        </w:tc>
        <w:tc>
          <w:tcPr>
            <w:tcW w:w="2551" w:type="dxa"/>
          </w:tcPr>
          <w:p w14:paraId="15186036" w14:textId="77777777" w:rsidR="00E95558" w:rsidRPr="005B2395" w:rsidRDefault="00E95558" w:rsidP="003A6CC8">
            <w:pPr>
              <w:spacing w:line="280" w:lineRule="exact"/>
              <w:jc w:val="center"/>
              <w:rPr>
                <w:rFonts w:cs="Arial"/>
              </w:rPr>
            </w:pPr>
            <w:r w:rsidRPr="005B2395">
              <w:rPr>
                <w:rFonts w:cs="Arial"/>
                <w:bCs/>
                <w:color w:val="000000"/>
                <w:lang w:val="de-DE" w:eastAsia="ja-JP"/>
              </w:rPr>
              <w:t>JA</w:t>
            </w:r>
          </w:p>
        </w:tc>
      </w:tr>
      <w:tr w:rsidR="00E95558" w:rsidRPr="005B2395" w14:paraId="6464135E" w14:textId="77777777" w:rsidTr="003A6CC8">
        <w:tc>
          <w:tcPr>
            <w:tcW w:w="2122" w:type="dxa"/>
          </w:tcPr>
          <w:p w14:paraId="3858D728" w14:textId="77777777" w:rsidR="00E95558" w:rsidRPr="005B2395" w:rsidRDefault="00E95558" w:rsidP="003A6CC8">
            <w:pPr>
              <w:spacing w:line="280" w:lineRule="exact"/>
              <w:jc w:val="center"/>
              <w:rPr>
                <w:rFonts w:cs="Arial"/>
              </w:rPr>
            </w:pPr>
            <w:r w:rsidRPr="005B2395">
              <w:rPr>
                <w:rFonts w:cs="Arial"/>
                <w:color w:val="000000"/>
                <w:lang w:val="de-DE" w:eastAsia="ja-JP"/>
              </w:rPr>
              <w:t>Israel</w:t>
            </w:r>
          </w:p>
        </w:tc>
        <w:tc>
          <w:tcPr>
            <w:tcW w:w="2551" w:type="dxa"/>
          </w:tcPr>
          <w:p w14:paraId="4342ED4D" w14:textId="77777777" w:rsidR="00E95558" w:rsidRPr="005B2395" w:rsidRDefault="00E95558" w:rsidP="003A6CC8">
            <w:pPr>
              <w:spacing w:line="280" w:lineRule="exact"/>
              <w:jc w:val="center"/>
              <w:rPr>
                <w:rFonts w:cs="Arial"/>
              </w:rPr>
            </w:pPr>
            <w:r w:rsidRPr="005B2395">
              <w:rPr>
                <w:rFonts w:cs="Arial"/>
                <w:bCs/>
                <w:color w:val="000000"/>
                <w:lang w:val="de-DE" w:eastAsia="ja-JP"/>
              </w:rPr>
              <w:t>NEIN</w:t>
            </w:r>
          </w:p>
        </w:tc>
        <w:tc>
          <w:tcPr>
            <w:tcW w:w="284" w:type="dxa"/>
            <w:vMerge/>
            <w:tcBorders>
              <w:bottom w:val="nil"/>
            </w:tcBorders>
          </w:tcPr>
          <w:p w14:paraId="79967FA8" w14:textId="77777777" w:rsidR="00E95558" w:rsidRPr="005B2395" w:rsidRDefault="00E95558" w:rsidP="003A6CC8">
            <w:pPr>
              <w:spacing w:line="280" w:lineRule="exact"/>
              <w:rPr>
                <w:rFonts w:cs="Arial"/>
              </w:rPr>
            </w:pPr>
          </w:p>
        </w:tc>
        <w:tc>
          <w:tcPr>
            <w:tcW w:w="2126" w:type="dxa"/>
          </w:tcPr>
          <w:p w14:paraId="1DAC4453" w14:textId="77777777" w:rsidR="00E95558" w:rsidRPr="005B2395" w:rsidRDefault="00E95558" w:rsidP="003A6CC8">
            <w:pPr>
              <w:spacing w:line="280" w:lineRule="exact"/>
              <w:jc w:val="center"/>
              <w:rPr>
                <w:rFonts w:cs="Arial"/>
              </w:rPr>
            </w:pPr>
            <w:r w:rsidRPr="005B2395">
              <w:rPr>
                <w:rFonts w:cs="Arial"/>
                <w:color w:val="000000"/>
                <w:lang w:val="de-DE" w:eastAsia="ja-JP"/>
              </w:rPr>
              <w:t>Spanien</w:t>
            </w:r>
          </w:p>
        </w:tc>
        <w:tc>
          <w:tcPr>
            <w:tcW w:w="2551" w:type="dxa"/>
          </w:tcPr>
          <w:p w14:paraId="74C5D407" w14:textId="77777777" w:rsidR="00E95558" w:rsidRPr="005B2395" w:rsidRDefault="00E95558" w:rsidP="003A6CC8">
            <w:pPr>
              <w:spacing w:line="280" w:lineRule="exact"/>
              <w:jc w:val="center"/>
              <w:rPr>
                <w:rFonts w:cs="Arial"/>
              </w:rPr>
            </w:pPr>
            <w:r w:rsidRPr="005B2395">
              <w:rPr>
                <w:rFonts w:cs="Arial"/>
                <w:bCs/>
                <w:color w:val="000000"/>
                <w:lang w:val="de-DE" w:eastAsia="ja-JP"/>
              </w:rPr>
              <w:t>JA</w:t>
            </w:r>
          </w:p>
        </w:tc>
      </w:tr>
      <w:tr w:rsidR="00E95558" w:rsidRPr="005B2395" w14:paraId="19AA4686" w14:textId="77777777" w:rsidTr="003A6CC8">
        <w:tc>
          <w:tcPr>
            <w:tcW w:w="2122" w:type="dxa"/>
          </w:tcPr>
          <w:p w14:paraId="6E47DCAE" w14:textId="77777777" w:rsidR="00E95558" w:rsidRPr="005B2395" w:rsidRDefault="00E95558" w:rsidP="003A6CC8">
            <w:pPr>
              <w:spacing w:line="280" w:lineRule="exact"/>
              <w:jc w:val="center"/>
              <w:rPr>
                <w:rFonts w:cs="Arial"/>
              </w:rPr>
            </w:pPr>
            <w:r w:rsidRPr="005B2395">
              <w:rPr>
                <w:rFonts w:cs="Arial"/>
                <w:color w:val="000000"/>
                <w:lang w:val="de-DE" w:eastAsia="ja-JP"/>
              </w:rPr>
              <w:t>Italien</w:t>
            </w:r>
          </w:p>
        </w:tc>
        <w:tc>
          <w:tcPr>
            <w:tcW w:w="2551" w:type="dxa"/>
          </w:tcPr>
          <w:p w14:paraId="55E9EFC1" w14:textId="77777777" w:rsidR="00E95558" w:rsidRPr="005B2395" w:rsidRDefault="00E95558" w:rsidP="003A6CC8">
            <w:pPr>
              <w:spacing w:line="280" w:lineRule="exact"/>
              <w:jc w:val="center"/>
              <w:rPr>
                <w:rFonts w:cs="Arial"/>
              </w:rPr>
            </w:pPr>
            <w:r w:rsidRPr="005B2395">
              <w:rPr>
                <w:rFonts w:cs="Arial"/>
                <w:bCs/>
                <w:color w:val="000000"/>
                <w:lang w:val="de-DE" w:eastAsia="ja-JP"/>
              </w:rPr>
              <w:t>JA</w:t>
            </w:r>
          </w:p>
        </w:tc>
        <w:tc>
          <w:tcPr>
            <w:tcW w:w="284" w:type="dxa"/>
            <w:vMerge/>
            <w:tcBorders>
              <w:bottom w:val="nil"/>
            </w:tcBorders>
          </w:tcPr>
          <w:p w14:paraId="0A9F925D" w14:textId="77777777" w:rsidR="00E95558" w:rsidRPr="005B2395" w:rsidRDefault="00E95558" w:rsidP="003A6CC8">
            <w:pPr>
              <w:spacing w:line="280" w:lineRule="exact"/>
              <w:rPr>
                <w:rFonts w:cs="Arial"/>
              </w:rPr>
            </w:pPr>
          </w:p>
        </w:tc>
        <w:tc>
          <w:tcPr>
            <w:tcW w:w="2126" w:type="dxa"/>
          </w:tcPr>
          <w:p w14:paraId="26BEA5B2" w14:textId="77777777" w:rsidR="00E95558" w:rsidRPr="005B2395" w:rsidRDefault="00E95558" w:rsidP="003A6CC8">
            <w:pPr>
              <w:spacing w:line="280" w:lineRule="exact"/>
              <w:jc w:val="center"/>
              <w:rPr>
                <w:rFonts w:cs="Arial"/>
              </w:rPr>
            </w:pPr>
            <w:r w:rsidRPr="005B2395">
              <w:rPr>
                <w:rFonts w:cs="Arial"/>
                <w:color w:val="000000"/>
                <w:lang w:val="de-DE" w:eastAsia="ja-JP"/>
              </w:rPr>
              <w:t>Tschechische Republik</w:t>
            </w:r>
          </w:p>
        </w:tc>
        <w:tc>
          <w:tcPr>
            <w:tcW w:w="2551" w:type="dxa"/>
          </w:tcPr>
          <w:p w14:paraId="7AE76212" w14:textId="77777777" w:rsidR="00E95558" w:rsidRPr="005B2395" w:rsidRDefault="00E95558" w:rsidP="003A6CC8">
            <w:pPr>
              <w:spacing w:line="280" w:lineRule="exact"/>
              <w:jc w:val="center"/>
              <w:rPr>
                <w:rFonts w:cs="Arial"/>
              </w:rPr>
            </w:pPr>
            <w:r w:rsidRPr="005B2395">
              <w:rPr>
                <w:rFonts w:cs="Arial"/>
                <w:bCs/>
                <w:color w:val="000000"/>
                <w:lang w:val="de-DE" w:eastAsia="ja-JP"/>
              </w:rPr>
              <w:t>JA</w:t>
            </w:r>
          </w:p>
        </w:tc>
      </w:tr>
      <w:tr w:rsidR="00E95558" w:rsidRPr="005B2395" w14:paraId="5913E3BE" w14:textId="77777777" w:rsidTr="003A6CC8">
        <w:tc>
          <w:tcPr>
            <w:tcW w:w="2122" w:type="dxa"/>
          </w:tcPr>
          <w:p w14:paraId="3460516E" w14:textId="77777777" w:rsidR="00E95558" w:rsidRPr="005B2395" w:rsidRDefault="00E95558" w:rsidP="003A6CC8">
            <w:pPr>
              <w:spacing w:line="280" w:lineRule="exact"/>
              <w:jc w:val="center"/>
              <w:rPr>
                <w:rFonts w:cs="Arial"/>
              </w:rPr>
            </w:pPr>
            <w:r w:rsidRPr="005B2395">
              <w:rPr>
                <w:rFonts w:cs="Arial"/>
                <w:color w:val="000000"/>
                <w:lang w:val="de-DE" w:eastAsia="ja-JP"/>
              </w:rPr>
              <w:t>Japan</w:t>
            </w:r>
          </w:p>
        </w:tc>
        <w:tc>
          <w:tcPr>
            <w:tcW w:w="2551" w:type="dxa"/>
          </w:tcPr>
          <w:p w14:paraId="6E20BF20" w14:textId="77777777" w:rsidR="00E95558" w:rsidRPr="005B2395" w:rsidRDefault="00E95558" w:rsidP="003A6CC8">
            <w:pPr>
              <w:spacing w:line="280" w:lineRule="exact"/>
              <w:jc w:val="center"/>
              <w:rPr>
                <w:rFonts w:cs="Arial"/>
              </w:rPr>
            </w:pPr>
            <w:r w:rsidRPr="005B2395">
              <w:rPr>
                <w:rFonts w:cs="Arial"/>
                <w:bCs/>
                <w:color w:val="000000"/>
                <w:lang w:val="de-DE" w:eastAsia="ja-JP"/>
              </w:rPr>
              <w:t>JA</w:t>
            </w:r>
          </w:p>
        </w:tc>
        <w:tc>
          <w:tcPr>
            <w:tcW w:w="284" w:type="dxa"/>
            <w:vMerge/>
            <w:tcBorders>
              <w:bottom w:val="nil"/>
            </w:tcBorders>
          </w:tcPr>
          <w:p w14:paraId="79512A7A" w14:textId="77777777" w:rsidR="00E95558" w:rsidRPr="005B2395" w:rsidRDefault="00E95558" w:rsidP="003A6CC8">
            <w:pPr>
              <w:spacing w:line="280" w:lineRule="exact"/>
              <w:rPr>
                <w:rFonts w:cs="Arial"/>
              </w:rPr>
            </w:pPr>
          </w:p>
        </w:tc>
        <w:tc>
          <w:tcPr>
            <w:tcW w:w="2126" w:type="dxa"/>
          </w:tcPr>
          <w:p w14:paraId="39D79444" w14:textId="77777777" w:rsidR="00E95558" w:rsidRPr="005B2395" w:rsidRDefault="00E95558" w:rsidP="003A6CC8">
            <w:pPr>
              <w:spacing w:line="280" w:lineRule="exact"/>
              <w:jc w:val="center"/>
              <w:rPr>
                <w:rFonts w:cs="Arial"/>
              </w:rPr>
            </w:pPr>
            <w:r w:rsidRPr="005B2395">
              <w:rPr>
                <w:rFonts w:cs="Arial"/>
                <w:color w:val="000000"/>
                <w:lang w:val="de-DE" w:eastAsia="ja-JP"/>
              </w:rPr>
              <w:t>Ukraine</w:t>
            </w:r>
          </w:p>
        </w:tc>
        <w:tc>
          <w:tcPr>
            <w:tcW w:w="2551" w:type="dxa"/>
          </w:tcPr>
          <w:p w14:paraId="1E5FB79E" w14:textId="77777777" w:rsidR="00E95558" w:rsidRPr="005B2395" w:rsidRDefault="00E95558" w:rsidP="003A6CC8">
            <w:pPr>
              <w:spacing w:line="280" w:lineRule="exact"/>
              <w:jc w:val="center"/>
              <w:rPr>
                <w:rFonts w:cs="Arial"/>
              </w:rPr>
            </w:pPr>
            <w:r w:rsidRPr="005B2395">
              <w:rPr>
                <w:rFonts w:cs="Arial"/>
                <w:bCs/>
                <w:color w:val="000000"/>
                <w:lang w:val="de-DE" w:eastAsia="ja-JP"/>
              </w:rPr>
              <w:t>JA</w:t>
            </w:r>
          </w:p>
        </w:tc>
      </w:tr>
      <w:tr w:rsidR="00E95558" w:rsidRPr="005B2395" w14:paraId="3EE4F1D2" w14:textId="77777777" w:rsidTr="003A6CC8">
        <w:tc>
          <w:tcPr>
            <w:tcW w:w="2122" w:type="dxa"/>
          </w:tcPr>
          <w:p w14:paraId="6B14C477" w14:textId="77777777" w:rsidR="00E95558" w:rsidRPr="005B2395" w:rsidRDefault="00E95558" w:rsidP="003A6CC8">
            <w:pPr>
              <w:spacing w:line="280" w:lineRule="exact"/>
              <w:jc w:val="center"/>
              <w:rPr>
                <w:rFonts w:cs="Arial"/>
              </w:rPr>
            </w:pPr>
            <w:r w:rsidRPr="005B2395">
              <w:rPr>
                <w:rFonts w:cs="Arial"/>
                <w:color w:val="000000"/>
                <w:lang w:val="de-DE" w:eastAsia="ja-JP"/>
              </w:rPr>
              <w:t>Jordanien</w:t>
            </w:r>
          </w:p>
        </w:tc>
        <w:tc>
          <w:tcPr>
            <w:tcW w:w="2551" w:type="dxa"/>
          </w:tcPr>
          <w:p w14:paraId="16C1FE45" w14:textId="77777777" w:rsidR="00E95558" w:rsidRPr="005B2395" w:rsidRDefault="00E95558" w:rsidP="003A6CC8">
            <w:pPr>
              <w:spacing w:line="280" w:lineRule="exact"/>
              <w:jc w:val="center"/>
              <w:rPr>
                <w:rFonts w:cs="Arial"/>
              </w:rPr>
            </w:pPr>
            <w:r w:rsidRPr="005B2395">
              <w:rPr>
                <w:rFonts w:cs="Arial"/>
                <w:bCs/>
                <w:color w:val="000000"/>
                <w:lang w:val="de-DE" w:eastAsia="ja-JP"/>
              </w:rPr>
              <w:t>JA</w:t>
            </w:r>
          </w:p>
        </w:tc>
        <w:tc>
          <w:tcPr>
            <w:tcW w:w="284" w:type="dxa"/>
            <w:vMerge/>
            <w:tcBorders>
              <w:bottom w:val="nil"/>
            </w:tcBorders>
          </w:tcPr>
          <w:p w14:paraId="2B446C6B" w14:textId="77777777" w:rsidR="00E95558" w:rsidRPr="005B2395" w:rsidRDefault="00E95558" w:rsidP="003A6CC8">
            <w:pPr>
              <w:spacing w:line="280" w:lineRule="exact"/>
              <w:rPr>
                <w:rFonts w:cs="Arial"/>
              </w:rPr>
            </w:pPr>
          </w:p>
        </w:tc>
        <w:tc>
          <w:tcPr>
            <w:tcW w:w="2126" w:type="dxa"/>
          </w:tcPr>
          <w:p w14:paraId="7B00060E" w14:textId="77777777" w:rsidR="00E95558" w:rsidRPr="005B2395" w:rsidRDefault="00E95558" w:rsidP="003A6CC8">
            <w:pPr>
              <w:spacing w:line="280" w:lineRule="exact"/>
              <w:jc w:val="center"/>
              <w:rPr>
                <w:rFonts w:cs="Arial"/>
              </w:rPr>
            </w:pPr>
            <w:r w:rsidRPr="005B2395">
              <w:rPr>
                <w:rFonts w:cs="Arial"/>
                <w:color w:val="000000"/>
                <w:lang w:val="de-DE" w:eastAsia="ja-JP"/>
              </w:rPr>
              <w:t>Ungarn</w:t>
            </w:r>
          </w:p>
        </w:tc>
        <w:tc>
          <w:tcPr>
            <w:tcW w:w="2551" w:type="dxa"/>
          </w:tcPr>
          <w:p w14:paraId="4AF54856" w14:textId="77777777" w:rsidR="00E95558" w:rsidRPr="005B2395" w:rsidRDefault="00E95558" w:rsidP="003A6CC8">
            <w:pPr>
              <w:spacing w:line="280" w:lineRule="exact"/>
              <w:jc w:val="center"/>
              <w:rPr>
                <w:rFonts w:cs="Arial"/>
              </w:rPr>
            </w:pPr>
            <w:r w:rsidRPr="005B2395">
              <w:rPr>
                <w:rFonts w:cs="Arial"/>
                <w:bCs/>
                <w:color w:val="000000"/>
                <w:lang w:val="de-DE" w:eastAsia="ja-JP"/>
              </w:rPr>
              <w:t>JA</w:t>
            </w:r>
          </w:p>
        </w:tc>
      </w:tr>
      <w:tr w:rsidR="00E95558" w:rsidRPr="005B2395" w14:paraId="494B61C2" w14:textId="77777777" w:rsidTr="003A6CC8">
        <w:tc>
          <w:tcPr>
            <w:tcW w:w="2122" w:type="dxa"/>
          </w:tcPr>
          <w:p w14:paraId="701DD250" w14:textId="77777777" w:rsidR="00E95558" w:rsidRPr="005B2395" w:rsidRDefault="00E95558" w:rsidP="003A6CC8">
            <w:pPr>
              <w:spacing w:line="280" w:lineRule="exact"/>
              <w:jc w:val="center"/>
              <w:rPr>
                <w:rFonts w:cs="Arial"/>
              </w:rPr>
            </w:pPr>
            <w:r w:rsidRPr="005B2395">
              <w:rPr>
                <w:rFonts w:cs="Arial"/>
                <w:color w:val="000000"/>
                <w:lang w:val="de-DE" w:eastAsia="ja-JP"/>
              </w:rPr>
              <w:t>Kanada</w:t>
            </w:r>
          </w:p>
        </w:tc>
        <w:tc>
          <w:tcPr>
            <w:tcW w:w="2551" w:type="dxa"/>
          </w:tcPr>
          <w:p w14:paraId="431A3CC6" w14:textId="77777777" w:rsidR="00E95558" w:rsidRPr="005B2395" w:rsidRDefault="00E95558" w:rsidP="003A6CC8">
            <w:pPr>
              <w:spacing w:line="280" w:lineRule="exact"/>
              <w:jc w:val="center"/>
              <w:rPr>
                <w:rFonts w:cs="Arial"/>
              </w:rPr>
            </w:pPr>
            <w:r w:rsidRPr="005B2395">
              <w:rPr>
                <w:rFonts w:cs="Arial"/>
                <w:bCs/>
                <w:color w:val="000000"/>
                <w:lang w:val="de-DE" w:eastAsia="ja-JP"/>
              </w:rPr>
              <w:t>JA</w:t>
            </w:r>
          </w:p>
        </w:tc>
        <w:tc>
          <w:tcPr>
            <w:tcW w:w="284" w:type="dxa"/>
            <w:vMerge/>
            <w:tcBorders>
              <w:bottom w:val="nil"/>
            </w:tcBorders>
          </w:tcPr>
          <w:p w14:paraId="609A5F8E" w14:textId="77777777" w:rsidR="00E95558" w:rsidRPr="005B2395" w:rsidRDefault="00E95558" w:rsidP="003A6CC8">
            <w:pPr>
              <w:spacing w:line="280" w:lineRule="exact"/>
              <w:rPr>
                <w:rFonts w:cs="Arial"/>
              </w:rPr>
            </w:pPr>
          </w:p>
        </w:tc>
        <w:tc>
          <w:tcPr>
            <w:tcW w:w="2126" w:type="dxa"/>
          </w:tcPr>
          <w:p w14:paraId="1D50AC72" w14:textId="77777777" w:rsidR="00E95558" w:rsidRPr="005B2395" w:rsidRDefault="00E95558" w:rsidP="003A6CC8">
            <w:pPr>
              <w:spacing w:line="280" w:lineRule="exact"/>
              <w:jc w:val="center"/>
              <w:rPr>
                <w:rFonts w:cs="Arial"/>
              </w:rPr>
            </w:pPr>
            <w:r w:rsidRPr="005B2395">
              <w:rPr>
                <w:rFonts w:cs="Arial"/>
                <w:color w:val="000000"/>
                <w:lang w:val="de-DE" w:eastAsia="ja-JP"/>
              </w:rPr>
              <w:t>Vereinigtes Königreich</w:t>
            </w:r>
          </w:p>
        </w:tc>
        <w:tc>
          <w:tcPr>
            <w:tcW w:w="2551" w:type="dxa"/>
          </w:tcPr>
          <w:p w14:paraId="3AF44D6F" w14:textId="77777777" w:rsidR="00E95558" w:rsidRPr="005B2395" w:rsidRDefault="00E95558" w:rsidP="003A6CC8">
            <w:pPr>
              <w:spacing w:line="280" w:lineRule="exact"/>
              <w:jc w:val="center"/>
              <w:rPr>
                <w:rFonts w:cs="Arial"/>
              </w:rPr>
            </w:pPr>
            <w:r w:rsidRPr="005B2395">
              <w:rPr>
                <w:rFonts w:cs="Arial"/>
                <w:bCs/>
                <w:color w:val="000000"/>
                <w:lang w:val="de-DE" w:eastAsia="ja-JP"/>
              </w:rPr>
              <w:t>JA</w:t>
            </w:r>
          </w:p>
        </w:tc>
      </w:tr>
      <w:tr w:rsidR="00E95558" w:rsidRPr="005B2395" w14:paraId="7AD5917D" w14:textId="77777777" w:rsidTr="003A6CC8">
        <w:trPr>
          <w:trHeight w:val="254"/>
        </w:trPr>
        <w:tc>
          <w:tcPr>
            <w:tcW w:w="2122" w:type="dxa"/>
          </w:tcPr>
          <w:p w14:paraId="6BF21F6C" w14:textId="77777777" w:rsidR="00E95558" w:rsidRPr="005B2395" w:rsidRDefault="00E95558" w:rsidP="003A6CC8">
            <w:pPr>
              <w:spacing w:line="280" w:lineRule="exact"/>
              <w:jc w:val="center"/>
              <w:rPr>
                <w:rFonts w:cs="Arial"/>
              </w:rPr>
            </w:pPr>
            <w:r w:rsidRPr="005B2395">
              <w:rPr>
                <w:rFonts w:cs="Arial"/>
                <w:color w:val="000000"/>
                <w:lang w:val="de-DE" w:eastAsia="ja-JP"/>
              </w:rPr>
              <w:t>Kenia</w:t>
            </w:r>
          </w:p>
        </w:tc>
        <w:tc>
          <w:tcPr>
            <w:tcW w:w="2551" w:type="dxa"/>
          </w:tcPr>
          <w:p w14:paraId="42AC6B2B" w14:textId="77777777" w:rsidR="00E95558" w:rsidRPr="005B2395" w:rsidRDefault="00E95558" w:rsidP="003A6CC8">
            <w:pPr>
              <w:spacing w:line="280" w:lineRule="exact"/>
              <w:jc w:val="center"/>
              <w:rPr>
                <w:rFonts w:cs="Arial"/>
              </w:rPr>
            </w:pPr>
            <w:r w:rsidRPr="005B2395">
              <w:rPr>
                <w:rFonts w:cs="Arial"/>
                <w:bCs/>
                <w:color w:val="000000"/>
                <w:lang w:val="de-DE" w:eastAsia="ja-JP"/>
              </w:rPr>
              <w:t>NEIN</w:t>
            </w:r>
          </w:p>
        </w:tc>
        <w:tc>
          <w:tcPr>
            <w:tcW w:w="284" w:type="dxa"/>
            <w:vMerge/>
            <w:tcBorders>
              <w:bottom w:val="nil"/>
            </w:tcBorders>
          </w:tcPr>
          <w:p w14:paraId="6B98310D" w14:textId="77777777" w:rsidR="00E95558" w:rsidRPr="005B2395" w:rsidRDefault="00E95558" w:rsidP="003A6CC8">
            <w:pPr>
              <w:spacing w:line="280" w:lineRule="exact"/>
              <w:rPr>
                <w:rFonts w:cs="Arial"/>
              </w:rPr>
            </w:pPr>
          </w:p>
        </w:tc>
        <w:tc>
          <w:tcPr>
            <w:tcW w:w="2126" w:type="dxa"/>
            <w:vMerge w:val="restart"/>
          </w:tcPr>
          <w:p w14:paraId="489EB728" w14:textId="77777777" w:rsidR="00E95558" w:rsidRPr="005B2395" w:rsidRDefault="00E95558" w:rsidP="003A6CC8">
            <w:pPr>
              <w:spacing w:line="280" w:lineRule="exact"/>
              <w:jc w:val="center"/>
              <w:rPr>
                <w:rFonts w:cs="Arial"/>
              </w:rPr>
            </w:pPr>
            <w:r w:rsidRPr="005B2395">
              <w:rPr>
                <w:rFonts w:cs="Arial"/>
                <w:color w:val="000000"/>
                <w:lang w:val="de-DE" w:eastAsia="ja-JP"/>
              </w:rPr>
              <w:t>Vereinigte Staaten von Amerika</w:t>
            </w:r>
          </w:p>
        </w:tc>
        <w:tc>
          <w:tcPr>
            <w:tcW w:w="2551" w:type="dxa"/>
            <w:vMerge w:val="restart"/>
          </w:tcPr>
          <w:p w14:paraId="0BE5680E" w14:textId="77777777" w:rsidR="00E95558" w:rsidRPr="005B2395" w:rsidRDefault="00E95558" w:rsidP="003A6CC8">
            <w:pPr>
              <w:spacing w:line="280" w:lineRule="exact"/>
              <w:jc w:val="center"/>
              <w:rPr>
                <w:rFonts w:cs="Arial"/>
              </w:rPr>
            </w:pPr>
            <w:r w:rsidRPr="005B2395">
              <w:rPr>
                <w:rFonts w:cs="Arial"/>
                <w:bCs/>
                <w:color w:val="000000"/>
                <w:lang w:val="de-DE" w:eastAsia="ja-JP"/>
              </w:rPr>
              <w:t>NEIN</w:t>
            </w:r>
          </w:p>
        </w:tc>
      </w:tr>
      <w:tr w:rsidR="00E95558" w:rsidRPr="005B2395" w14:paraId="64145570" w14:textId="77777777" w:rsidTr="0055191C">
        <w:trPr>
          <w:trHeight w:val="196"/>
        </w:trPr>
        <w:tc>
          <w:tcPr>
            <w:tcW w:w="2122" w:type="dxa"/>
          </w:tcPr>
          <w:p w14:paraId="6E3B4F49" w14:textId="77777777" w:rsidR="00E95558" w:rsidRPr="005B2395" w:rsidRDefault="00E95558" w:rsidP="003A6CC8">
            <w:pPr>
              <w:spacing w:line="280" w:lineRule="exact"/>
              <w:jc w:val="center"/>
              <w:rPr>
                <w:rFonts w:cs="Arial"/>
                <w:color w:val="000000"/>
                <w:lang w:val="de-DE" w:eastAsia="ja-JP"/>
              </w:rPr>
            </w:pPr>
            <w:r w:rsidRPr="005B2395">
              <w:rPr>
                <w:rFonts w:cs="Arial"/>
                <w:color w:val="000000"/>
                <w:lang w:val="de-DE" w:eastAsia="ja-JP"/>
              </w:rPr>
              <w:t>Lettland</w:t>
            </w:r>
          </w:p>
        </w:tc>
        <w:tc>
          <w:tcPr>
            <w:tcW w:w="2551" w:type="dxa"/>
          </w:tcPr>
          <w:p w14:paraId="745D8C7E" w14:textId="77777777" w:rsidR="00E95558" w:rsidRPr="005B2395" w:rsidRDefault="00E95558" w:rsidP="003A6CC8">
            <w:pPr>
              <w:spacing w:line="280" w:lineRule="exact"/>
              <w:jc w:val="center"/>
              <w:rPr>
                <w:rFonts w:cs="Arial"/>
                <w:bCs/>
                <w:color w:val="000000"/>
                <w:lang w:val="de-DE" w:eastAsia="ja-JP"/>
              </w:rPr>
            </w:pPr>
            <w:r w:rsidRPr="005B2395">
              <w:rPr>
                <w:rFonts w:cs="Arial"/>
                <w:bCs/>
                <w:color w:val="000000"/>
                <w:lang w:val="de-DE" w:eastAsia="ja-JP"/>
              </w:rPr>
              <w:t>NEIN</w:t>
            </w:r>
          </w:p>
        </w:tc>
        <w:tc>
          <w:tcPr>
            <w:tcW w:w="284" w:type="dxa"/>
            <w:vMerge/>
            <w:tcBorders>
              <w:bottom w:val="nil"/>
            </w:tcBorders>
          </w:tcPr>
          <w:p w14:paraId="43E3AA0B" w14:textId="77777777" w:rsidR="00E95558" w:rsidRPr="005B2395" w:rsidRDefault="00E95558" w:rsidP="003A6CC8">
            <w:pPr>
              <w:spacing w:line="280" w:lineRule="exact"/>
              <w:rPr>
                <w:rFonts w:cs="Arial"/>
              </w:rPr>
            </w:pPr>
          </w:p>
        </w:tc>
        <w:tc>
          <w:tcPr>
            <w:tcW w:w="2126" w:type="dxa"/>
            <w:vMerge/>
            <w:tcBorders>
              <w:bottom w:val="single" w:sz="12" w:space="0" w:color="auto"/>
            </w:tcBorders>
          </w:tcPr>
          <w:p w14:paraId="0FFF53F9" w14:textId="77777777" w:rsidR="00E95558" w:rsidRPr="005B2395" w:rsidRDefault="00E95558" w:rsidP="003A6CC8">
            <w:pPr>
              <w:spacing w:line="280" w:lineRule="exact"/>
              <w:jc w:val="center"/>
              <w:rPr>
                <w:rFonts w:cs="Arial"/>
                <w:color w:val="000000"/>
                <w:lang w:val="de-DE" w:eastAsia="ja-JP"/>
              </w:rPr>
            </w:pPr>
          </w:p>
        </w:tc>
        <w:tc>
          <w:tcPr>
            <w:tcW w:w="2551" w:type="dxa"/>
            <w:vMerge/>
            <w:tcBorders>
              <w:bottom w:val="single" w:sz="12" w:space="0" w:color="auto"/>
            </w:tcBorders>
          </w:tcPr>
          <w:p w14:paraId="5145211E" w14:textId="77777777" w:rsidR="00E95558" w:rsidRPr="005B2395" w:rsidRDefault="00E95558" w:rsidP="003A6CC8">
            <w:pPr>
              <w:spacing w:line="280" w:lineRule="exact"/>
              <w:jc w:val="center"/>
              <w:rPr>
                <w:rFonts w:cs="Arial"/>
                <w:bCs/>
                <w:color w:val="000000"/>
                <w:lang w:val="de-DE" w:eastAsia="ja-JP"/>
              </w:rPr>
            </w:pPr>
          </w:p>
        </w:tc>
      </w:tr>
      <w:tr w:rsidR="00E95558" w:rsidRPr="005B2395" w14:paraId="35A3474A" w14:textId="77777777" w:rsidTr="0055191C">
        <w:tc>
          <w:tcPr>
            <w:tcW w:w="2122" w:type="dxa"/>
          </w:tcPr>
          <w:p w14:paraId="7B1E85D9" w14:textId="77777777" w:rsidR="00E95558" w:rsidRPr="005B2395" w:rsidRDefault="00E95558" w:rsidP="003A6CC8">
            <w:pPr>
              <w:spacing w:line="280" w:lineRule="exact"/>
              <w:jc w:val="center"/>
              <w:rPr>
                <w:rFonts w:cs="Arial"/>
              </w:rPr>
            </w:pPr>
            <w:r w:rsidRPr="005B2395">
              <w:rPr>
                <w:rFonts w:cs="Arial"/>
                <w:color w:val="000000"/>
                <w:lang w:val="de-DE" w:eastAsia="ja-JP"/>
              </w:rPr>
              <w:t>Litauen</w:t>
            </w:r>
          </w:p>
        </w:tc>
        <w:tc>
          <w:tcPr>
            <w:tcW w:w="2551" w:type="dxa"/>
          </w:tcPr>
          <w:p w14:paraId="5D01BFB4" w14:textId="77777777" w:rsidR="00E95558" w:rsidRPr="005B2395" w:rsidRDefault="00E95558" w:rsidP="003A6CC8">
            <w:pPr>
              <w:spacing w:line="280" w:lineRule="exact"/>
              <w:jc w:val="center"/>
              <w:rPr>
                <w:rFonts w:cs="Arial"/>
              </w:rPr>
            </w:pPr>
            <w:r w:rsidRPr="005B2395">
              <w:rPr>
                <w:rFonts w:cs="Arial"/>
                <w:bCs/>
                <w:color w:val="000000"/>
                <w:lang w:val="de-DE" w:eastAsia="ja-JP"/>
              </w:rPr>
              <w:t>NEIN</w:t>
            </w:r>
          </w:p>
        </w:tc>
        <w:tc>
          <w:tcPr>
            <w:tcW w:w="284" w:type="dxa"/>
            <w:vMerge/>
            <w:tcBorders>
              <w:bottom w:val="nil"/>
            </w:tcBorders>
          </w:tcPr>
          <w:p w14:paraId="27244F8F" w14:textId="77777777" w:rsidR="00E95558" w:rsidRPr="005B2395" w:rsidRDefault="00E95558" w:rsidP="003A6CC8">
            <w:pPr>
              <w:spacing w:line="280" w:lineRule="exact"/>
              <w:rPr>
                <w:rFonts w:cs="Arial"/>
              </w:rPr>
            </w:pPr>
          </w:p>
        </w:tc>
        <w:tc>
          <w:tcPr>
            <w:tcW w:w="2126" w:type="dxa"/>
            <w:tcBorders>
              <w:top w:val="single" w:sz="12" w:space="0" w:color="auto"/>
            </w:tcBorders>
          </w:tcPr>
          <w:p w14:paraId="370CDB65" w14:textId="77777777" w:rsidR="00E95558" w:rsidRPr="005B2395" w:rsidRDefault="00E95558" w:rsidP="003A6CC8">
            <w:pPr>
              <w:spacing w:line="280" w:lineRule="exact"/>
              <w:jc w:val="center"/>
              <w:rPr>
                <w:rFonts w:cs="Arial"/>
              </w:rPr>
            </w:pPr>
            <w:r w:rsidRPr="005B2395">
              <w:rPr>
                <w:rFonts w:cs="Arial"/>
                <w:bCs/>
                <w:color w:val="000000"/>
                <w:lang w:val="de-DE" w:eastAsia="ja-JP"/>
              </w:rPr>
              <w:t>JA</w:t>
            </w:r>
          </w:p>
        </w:tc>
        <w:tc>
          <w:tcPr>
            <w:tcW w:w="2551" w:type="dxa"/>
            <w:tcBorders>
              <w:top w:val="single" w:sz="12" w:space="0" w:color="auto"/>
            </w:tcBorders>
          </w:tcPr>
          <w:p w14:paraId="03497F3F" w14:textId="77777777" w:rsidR="00E95558" w:rsidRPr="005B2395" w:rsidRDefault="00E95558" w:rsidP="003A6CC8">
            <w:pPr>
              <w:spacing w:line="280" w:lineRule="exact"/>
              <w:jc w:val="center"/>
              <w:rPr>
                <w:rFonts w:cs="Arial"/>
              </w:rPr>
            </w:pPr>
            <w:r w:rsidRPr="005B2395">
              <w:rPr>
                <w:rFonts w:cs="Arial"/>
                <w:bCs/>
                <w:color w:val="000000"/>
                <w:lang w:val="de-DE" w:eastAsia="ja-JP"/>
              </w:rPr>
              <w:t>20</w:t>
            </w:r>
          </w:p>
        </w:tc>
      </w:tr>
      <w:tr w:rsidR="00E95558" w:rsidRPr="005B2395" w14:paraId="39DF1675" w14:textId="77777777" w:rsidTr="0055191C">
        <w:tc>
          <w:tcPr>
            <w:tcW w:w="2122" w:type="dxa"/>
          </w:tcPr>
          <w:p w14:paraId="53F2AC96" w14:textId="77777777" w:rsidR="00E95558" w:rsidRPr="005B2395" w:rsidRDefault="00E95558" w:rsidP="003A6CC8">
            <w:pPr>
              <w:spacing w:line="280" w:lineRule="exact"/>
              <w:jc w:val="center"/>
              <w:rPr>
                <w:rFonts w:cs="Arial"/>
              </w:rPr>
            </w:pPr>
            <w:r w:rsidRPr="005B2395">
              <w:rPr>
                <w:rFonts w:cs="Arial"/>
                <w:color w:val="000000"/>
                <w:lang w:val="de-DE" w:eastAsia="ja-JP"/>
              </w:rPr>
              <w:t>Mexiko</w:t>
            </w:r>
          </w:p>
        </w:tc>
        <w:tc>
          <w:tcPr>
            <w:tcW w:w="2551" w:type="dxa"/>
          </w:tcPr>
          <w:p w14:paraId="1FD3EB02" w14:textId="77777777" w:rsidR="00E95558" w:rsidRPr="005B2395" w:rsidRDefault="00E95558" w:rsidP="003A6CC8">
            <w:pPr>
              <w:spacing w:line="280" w:lineRule="exact"/>
              <w:jc w:val="center"/>
              <w:rPr>
                <w:rFonts w:cs="Arial"/>
              </w:rPr>
            </w:pPr>
            <w:r w:rsidRPr="005B2395">
              <w:rPr>
                <w:rFonts w:cs="Arial"/>
                <w:bCs/>
                <w:color w:val="000000"/>
                <w:lang w:val="de-DE" w:eastAsia="ja-JP"/>
              </w:rPr>
              <w:t>NEIN</w:t>
            </w:r>
          </w:p>
        </w:tc>
        <w:tc>
          <w:tcPr>
            <w:tcW w:w="284" w:type="dxa"/>
            <w:vMerge/>
            <w:tcBorders>
              <w:bottom w:val="nil"/>
            </w:tcBorders>
          </w:tcPr>
          <w:p w14:paraId="1FEB7083" w14:textId="77777777" w:rsidR="00E95558" w:rsidRPr="005B2395" w:rsidRDefault="00E95558" w:rsidP="003A6CC8">
            <w:pPr>
              <w:spacing w:line="280" w:lineRule="exact"/>
              <w:rPr>
                <w:rFonts w:cs="Arial"/>
              </w:rPr>
            </w:pPr>
          </w:p>
        </w:tc>
        <w:tc>
          <w:tcPr>
            <w:tcW w:w="2126" w:type="dxa"/>
            <w:tcBorders>
              <w:bottom w:val="single" w:sz="12" w:space="0" w:color="auto"/>
            </w:tcBorders>
          </w:tcPr>
          <w:p w14:paraId="264821B1" w14:textId="77777777" w:rsidR="00E95558" w:rsidRPr="005B2395" w:rsidRDefault="00E95558" w:rsidP="003A6CC8">
            <w:pPr>
              <w:spacing w:line="280" w:lineRule="exact"/>
              <w:jc w:val="center"/>
              <w:rPr>
                <w:rFonts w:cs="Arial"/>
              </w:rPr>
            </w:pPr>
            <w:r w:rsidRPr="005B2395">
              <w:rPr>
                <w:rFonts w:cs="Arial"/>
                <w:bCs/>
                <w:color w:val="000000"/>
                <w:lang w:val="de-DE" w:eastAsia="ja-JP"/>
              </w:rPr>
              <w:t>NEIN</w:t>
            </w:r>
          </w:p>
        </w:tc>
        <w:tc>
          <w:tcPr>
            <w:tcW w:w="2551" w:type="dxa"/>
            <w:tcBorders>
              <w:bottom w:val="single" w:sz="12" w:space="0" w:color="auto"/>
            </w:tcBorders>
          </w:tcPr>
          <w:p w14:paraId="38413D72" w14:textId="77777777" w:rsidR="00E95558" w:rsidRPr="005B2395" w:rsidRDefault="00E95558" w:rsidP="003A6CC8">
            <w:pPr>
              <w:spacing w:line="280" w:lineRule="exact"/>
              <w:jc w:val="center"/>
              <w:rPr>
                <w:rFonts w:cs="Arial"/>
              </w:rPr>
            </w:pPr>
            <w:r w:rsidRPr="005B2395">
              <w:rPr>
                <w:rFonts w:cs="Arial"/>
                <w:bCs/>
                <w:color w:val="000000"/>
                <w:lang w:val="de-DE" w:eastAsia="ja-JP"/>
              </w:rPr>
              <w:t>18</w:t>
            </w:r>
          </w:p>
        </w:tc>
      </w:tr>
      <w:tr w:rsidR="00E95558" w:rsidRPr="005B2395" w14:paraId="7596AB2E" w14:textId="77777777" w:rsidTr="0055191C">
        <w:tc>
          <w:tcPr>
            <w:tcW w:w="2122" w:type="dxa"/>
          </w:tcPr>
          <w:p w14:paraId="3E6D4A64" w14:textId="77777777" w:rsidR="00E95558" w:rsidRPr="005B2395" w:rsidRDefault="00E95558" w:rsidP="003A6CC8">
            <w:pPr>
              <w:spacing w:line="280" w:lineRule="exact"/>
              <w:jc w:val="center"/>
              <w:rPr>
                <w:rFonts w:cs="Arial"/>
              </w:rPr>
            </w:pPr>
            <w:r w:rsidRPr="005B2395">
              <w:rPr>
                <w:rFonts w:cs="Arial"/>
                <w:color w:val="000000"/>
                <w:lang w:val="de-DE" w:eastAsia="ja-JP"/>
              </w:rPr>
              <w:t>Moldau</w:t>
            </w:r>
          </w:p>
        </w:tc>
        <w:tc>
          <w:tcPr>
            <w:tcW w:w="2551" w:type="dxa"/>
          </w:tcPr>
          <w:p w14:paraId="01CBA78A" w14:textId="77777777" w:rsidR="00E95558" w:rsidRPr="005B2395" w:rsidRDefault="00E95558" w:rsidP="003A6CC8">
            <w:pPr>
              <w:spacing w:line="280" w:lineRule="exact"/>
              <w:jc w:val="center"/>
              <w:rPr>
                <w:rFonts w:cs="Arial"/>
              </w:rPr>
            </w:pPr>
            <w:r w:rsidRPr="005B2395">
              <w:rPr>
                <w:rFonts w:cs="Arial"/>
                <w:bCs/>
                <w:color w:val="000000"/>
                <w:lang w:val="de-DE" w:eastAsia="ja-JP"/>
              </w:rPr>
              <w:t>NEIN</w:t>
            </w:r>
          </w:p>
        </w:tc>
        <w:tc>
          <w:tcPr>
            <w:tcW w:w="284" w:type="dxa"/>
            <w:vMerge/>
            <w:tcBorders>
              <w:bottom w:val="nil"/>
              <w:right w:val="single" w:sz="2" w:space="0" w:color="auto"/>
            </w:tcBorders>
          </w:tcPr>
          <w:p w14:paraId="7CE6F800" w14:textId="77777777" w:rsidR="00E95558" w:rsidRPr="005B2395" w:rsidRDefault="00E95558" w:rsidP="003A6CC8">
            <w:pPr>
              <w:spacing w:line="280" w:lineRule="exact"/>
              <w:rPr>
                <w:rFonts w:cs="Arial"/>
              </w:rPr>
            </w:pPr>
          </w:p>
        </w:tc>
        <w:tc>
          <w:tcPr>
            <w:tcW w:w="2126" w:type="dxa"/>
            <w:tcBorders>
              <w:top w:val="single" w:sz="12" w:space="0" w:color="auto"/>
              <w:left w:val="single" w:sz="2" w:space="0" w:color="auto"/>
              <w:bottom w:val="single" w:sz="2" w:space="0" w:color="auto"/>
              <w:right w:val="single" w:sz="2" w:space="0" w:color="auto"/>
            </w:tcBorders>
          </w:tcPr>
          <w:p w14:paraId="43C511E9" w14:textId="77777777" w:rsidR="00E95558" w:rsidRPr="005B2395" w:rsidRDefault="00E95558" w:rsidP="003A6CC8">
            <w:pPr>
              <w:spacing w:line="280" w:lineRule="exact"/>
              <w:jc w:val="center"/>
              <w:rPr>
                <w:rFonts w:cs="Arial"/>
              </w:rPr>
            </w:pPr>
            <w:r w:rsidRPr="005B2395">
              <w:rPr>
                <w:rFonts w:cs="Arial"/>
                <w:bCs/>
                <w:color w:val="000000"/>
                <w:lang w:val="de-DE" w:eastAsia="ja-JP"/>
              </w:rPr>
              <w:t>GESAMT</w:t>
            </w:r>
          </w:p>
        </w:tc>
        <w:tc>
          <w:tcPr>
            <w:tcW w:w="2551" w:type="dxa"/>
            <w:tcBorders>
              <w:top w:val="single" w:sz="12" w:space="0" w:color="auto"/>
              <w:left w:val="single" w:sz="2" w:space="0" w:color="auto"/>
              <w:bottom w:val="single" w:sz="2" w:space="0" w:color="auto"/>
              <w:right w:val="single" w:sz="2" w:space="0" w:color="auto"/>
            </w:tcBorders>
          </w:tcPr>
          <w:p w14:paraId="7A4CF66D" w14:textId="77777777" w:rsidR="00E95558" w:rsidRPr="005B2395" w:rsidRDefault="00E95558" w:rsidP="003A6CC8">
            <w:pPr>
              <w:spacing w:line="280" w:lineRule="exact"/>
              <w:jc w:val="center"/>
              <w:rPr>
                <w:rFonts w:cs="Arial"/>
              </w:rPr>
            </w:pPr>
            <w:r w:rsidRPr="005B2395">
              <w:rPr>
                <w:rFonts w:cs="Arial"/>
                <w:bCs/>
                <w:color w:val="000000"/>
                <w:lang w:val="de-DE" w:eastAsia="ja-JP"/>
              </w:rPr>
              <w:t>38</w:t>
            </w:r>
          </w:p>
        </w:tc>
      </w:tr>
    </w:tbl>
    <w:p w14:paraId="30320005" w14:textId="77777777" w:rsidR="00E95558" w:rsidRPr="005B2395" w:rsidRDefault="00E95558" w:rsidP="00E95558">
      <w:pPr>
        <w:rPr>
          <w:lang w:val="de-DE"/>
        </w:rPr>
      </w:pPr>
    </w:p>
    <w:p w14:paraId="0937807C"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Die ausführlichen Ergebnisse der Befragung sind in der Anlage dieses Dokuments dargelegt.</w:t>
      </w:r>
    </w:p>
    <w:p w14:paraId="3148BF28" w14:textId="77777777" w:rsidR="00E95558" w:rsidRPr="005B2395" w:rsidRDefault="00E95558" w:rsidP="00E95558">
      <w:pPr>
        <w:rPr>
          <w:lang w:val="de-DE"/>
        </w:rPr>
      </w:pPr>
    </w:p>
    <w:p w14:paraId="4EDA3E84" w14:textId="77777777" w:rsidR="00E95558" w:rsidRPr="005B2395" w:rsidRDefault="00E95558" w:rsidP="00F06A46">
      <w:pPr>
        <w:rPr>
          <w:rFonts w:eastAsiaTheme="minorEastAsia"/>
          <w:lang w:val="de-DE"/>
        </w:rPr>
      </w:pPr>
      <w:bookmarkStart w:id="23" w:name="_GoBack"/>
      <w:bookmarkEnd w:id="23"/>
    </w:p>
    <w:p w14:paraId="259D37C1" w14:textId="77777777" w:rsidR="00E95558" w:rsidRPr="005B2395" w:rsidRDefault="00E95558" w:rsidP="00E95558">
      <w:pPr>
        <w:pStyle w:val="Heading2"/>
        <w:rPr>
          <w:rFonts w:eastAsiaTheme="minorEastAsia"/>
          <w:lang w:val="de-DE"/>
        </w:rPr>
      </w:pPr>
      <w:bookmarkStart w:id="24" w:name="_Toc116156834"/>
      <w:r w:rsidRPr="005B2395">
        <w:rPr>
          <w:rFonts w:eastAsiaTheme="minorEastAsia"/>
          <w:lang w:val="de-DE"/>
        </w:rPr>
        <w:t>Gemeinsames Dokument zur Erläuterung der wesentlichen Besonderheiten der Systeme von OECD, UPOV und ISTA</w:t>
      </w:r>
      <w:bookmarkEnd w:id="18"/>
      <w:bookmarkEnd w:id="19"/>
      <w:bookmarkEnd w:id="20"/>
      <w:bookmarkEnd w:id="21"/>
      <w:bookmarkEnd w:id="22"/>
      <w:bookmarkEnd w:id="24"/>
    </w:p>
    <w:p w14:paraId="1B70ACE0" w14:textId="77777777" w:rsidR="00E95558" w:rsidRPr="005B2395" w:rsidRDefault="00E95558" w:rsidP="00E95558">
      <w:pPr>
        <w:rPr>
          <w:lang w:val="de-DE"/>
        </w:rPr>
      </w:pPr>
      <w:bookmarkStart w:id="25" w:name="_Toc22569703"/>
    </w:p>
    <w:p w14:paraId="4CA4C4F9" w14:textId="77777777" w:rsidR="00E95558" w:rsidRPr="005B2395" w:rsidRDefault="00E95558" w:rsidP="00E95558">
      <w:pPr>
        <w:pStyle w:val="Heading3"/>
        <w:rPr>
          <w:lang w:val="de-DE"/>
        </w:rPr>
      </w:pPr>
      <w:bookmarkStart w:id="26" w:name="_Toc116156835"/>
      <w:r w:rsidRPr="005B2395">
        <w:rPr>
          <w:lang w:val="de-DE"/>
        </w:rPr>
        <w:t>Hintergrund</w:t>
      </w:r>
      <w:bookmarkEnd w:id="26"/>
    </w:p>
    <w:p w14:paraId="682555C1" w14:textId="77777777" w:rsidR="00E95558" w:rsidRPr="005B2395" w:rsidRDefault="00E95558" w:rsidP="00E95558">
      <w:pPr>
        <w:rPr>
          <w:lang w:val="de-DE"/>
        </w:rPr>
      </w:pPr>
    </w:p>
    <w:p w14:paraId="7B57AA05" w14:textId="77777777" w:rsidR="00E95558" w:rsidRPr="005B2395" w:rsidRDefault="00E95558" w:rsidP="00E95558">
      <w:pPr>
        <w:keepNext/>
        <w:rPr>
          <w:rFonts w:eastAsiaTheme="minorEastAsia"/>
          <w:iCs/>
          <w:lang w:val="de-DE"/>
        </w:rPr>
      </w:pPr>
      <w:r w:rsidRPr="005B2395">
        <w:rPr>
          <w:rFonts w:eastAsiaTheme="minorEastAsia"/>
          <w:lang w:val="de-DE"/>
        </w:rPr>
        <w:fldChar w:fldCharType="begin"/>
      </w:r>
      <w:r w:rsidRPr="005B2395">
        <w:rPr>
          <w:rFonts w:eastAsiaTheme="minorEastAsia"/>
          <w:lang w:val="de-DE"/>
        </w:rPr>
        <w:instrText xml:space="preserve"> AUTONUM  </w:instrText>
      </w:r>
      <w:r w:rsidRPr="005B2395">
        <w:rPr>
          <w:rFonts w:eastAsiaTheme="minorEastAsia"/>
          <w:lang w:val="de-DE"/>
        </w:rPr>
        <w:fldChar w:fldCharType="end"/>
      </w:r>
      <w:r w:rsidRPr="005B2395">
        <w:rPr>
          <w:rFonts w:eastAsiaTheme="minorEastAsia"/>
          <w:lang w:val="de-DE"/>
        </w:rPr>
        <w:tab/>
        <w:t>Der TC stimmte auf seiner fünfundfünfzigsten Tagung der BMT auf ihrer achtzehnten Tagung zu, dass einschlägige Elemente der Weltsaatgutpartnerschaft und die nachstehend aufgeführten FAQ zur Verwendung molekularer Verfahren bei der DUS-Prüfung für das Verbandsbüro eine geeignete Grundlage wären, ein gemeinsames Entwurfspapier zu erarbeiten, das die wesentlichen Besonderheiten der Systeme von OECD, UPOV und ISTA erläutert (vergleiche Dokument TC/55/25 „Bericht“, Absatz 182).</w:t>
      </w:r>
    </w:p>
    <w:p w14:paraId="6D228B02" w14:textId="77777777" w:rsidR="00E95558" w:rsidRPr="005B2395" w:rsidRDefault="00E95558" w:rsidP="00E95558">
      <w:pPr>
        <w:rPr>
          <w:rFonts w:eastAsiaTheme="minorEastAsia"/>
          <w:lang w:val="de-DE"/>
        </w:rPr>
      </w:pPr>
    </w:p>
    <w:p w14:paraId="613BBC0B" w14:textId="77777777" w:rsidR="00E95558" w:rsidRPr="005B2395" w:rsidRDefault="00E95558" w:rsidP="00E95558">
      <w:pPr>
        <w:pStyle w:val="Heading3"/>
        <w:rPr>
          <w:rFonts w:eastAsiaTheme="minorEastAsia"/>
          <w:lang w:val="de-DE"/>
        </w:rPr>
      </w:pPr>
      <w:bookmarkStart w:id="27" w:name="_Toc69722883"/>
      <w:bookmarkStart w:id="28" w:name="_Toc116156836"/>
      <w:r w:rsidRPr="005B2395">
        <w:rPr>
          <w:rFonts w:eastAsiaTheme="minorEastAsia"/>
          <w:lang w:val="de-DE"/>
        </w:rPr>
        <w:t>Entwurf eines gemeinsamen Dokuments</w:t>
      </w:r>
      <w:bookmarkEnd w:id="27"/>
      <w:bookmarkEnd w:id="28"/>
    </w:p>
    <w:p w14:paraId="4BA9D6A0" w14:textId="77777777" w:rsidR="00E95558" w:rsidRPr="005B2395" w:rsidRDefault="00E95558" w:rsidP="00E95558">
      <w:pPr>
        <w:keepNext/>
        <w:rPr>
          <w:rFonts w:eastAsiaTheme="minorEastAsia"/>
          <w:lang w:val="de-DE"/>
        </w:rPr>
      </w:pPr>
    </w:p>
    <w:p w14:paraId="4D9B8FCA" w14:textId="77777777" w:rsidR="00E95558" w:rsidRPr="005B2395" w:rsidRDefault="00E95558" w:rsidP="00E95558">
      <w:pPr>
        <w:keepNext/>
        <w:keepLines/>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Der TC nahm auf seiner siebenundfünfzigsten Tagung zur Kenntnis, dass er auf dem Schriftweg den Entwurf eines gemeinsamen Dokuments zur Erläuterung der wesentlichen Besonderheiten der Systeme von OECD, UPOV und ISTA gebilligt habe. Der TC ersuchte das Verbandsbüro, OECD und ISTA entsprechend zu unterrichten (vergleiche Dokument TC/57/25 „Bericht“, Absatz 52).</w:t>
      </w:r>
    </w:p>
    <w:p w14:paraId="63E82627" w14:textId="77777777" w:rsidR="00E95558" w:rsidRPr="005B2395" w:rsidRDefault="00E95558" w:rsidP="00E95558">
      <w:pPr>
        <w:keepNext/>
        <w:keepLines/>
        <w:rPr>
          <w:lang w:val="de-DE"/>
        </w:rPr>
      </w:pPr>
    </w:p>
    <w:p w14:paraId="5C0C83FA"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Am 13. Dezember 2021 übermittelte das Verbandsbüro den Entwurf des gemeinsamen Dokuments an OECD und ISTA. Über die Antworten von OECD und ISTA wird dem Technischen Ausschuss berichtet werden, sobald sie vorliegen.</w:t>
      </w:r>
    </w:p>
    <w:bookmarkEnd w:id="25"/>
    <w:p w14:paraId="672FF78B" w14:textId="77777777" w:rsidR="00E95558" w:rsidRPr="005B2395" w:rsidRDefault="00E95558" w:rsidP="00E95558">
      <w:pPr>
        <w:rPr>
          <w:rFonts w:eastAsiaTheme="minorEastAsia"/>
          <w:lang w:val="de-DE"/>
        </w:rPr>
      </w:pPr>
    </w:p>
    <w:p w14:paraId="363874A6" w14:textId="77777777" w:rsidR="00E95558" w:rsidRPr="005B2395" w:rsidRDefault="00E95558" w:rsidP="00E95558">
      <w:pPr>
        <w:pStyle w:val="Heading2"/>
        <w:rPr>
          <w:lang w:val="de-DE"/>
        </w:rPr>
      </w:pPr>
      <w:bookmarkStart w:id="29" w:name="_Toc14980929"/>
      <w:bookmarkStart w:id="30" w:name="_Toc15059500"/>
      <w:bookmarkStart w:id="31" w:name="_Toc15295345"/>
      <w:bookmarkStart w:id="32" w:name="_Toc22564624"/>
      <w:bookmarkStart w:id="33" w:name="_Toc27663378"/>
      <w:bookmarkStart w:id="34" w:name="_Toc69722878"/>
      <w:bookmarkStart w:id="35" w:name="_Toc84364038"/>
      <w:bookmarkStart w:id="36" w:name="_Toc84415953"/>
      <w:bookmarkStart w:id="37" w:name="_Toc97892770"/>
      <w:bookmarkStart w:id="38" w:name="_Toc116156837"/>
      <w:r w:rsidRPr="005B2395">
        <w:rPr>
          <w:lang w:val="de-DE"/>
        </w:rPr>
        <w:t xml:space="preserve">Listen möglicher gemeinsamer Initiativen mit OECD und ISTA </w:t>
      </w:r>
      <w:bookmarkEnd w:id="29"/>
      <w:bookmarkEnd w:id="30"/>
      <w:bookmarkEnd w:id="31"/>
      <w:bookmarkEnd w:id="32"/>
      <w:bookmarkEnd w:id="33"/>
      <w:bookmarkEnd w:id="34"/>
      <w:bookmarkEnd w:id="35"/>
      <w:bookmarkEnd w:id="36"/>
      <w:bookmarkEnd w:id="37"/>
      <w:r w:rsidRPr="005B2395">
        <w:rPr>
          <w:lang w:val="de-DE"/>
        </w:rPr>
        <w:t>hinsichtlich molekularer Verfahren</w:t>
      </w:r>
      <w:bookmarkEnd w:id="38"/>
    </w:p>
    <w:p w14:paraId="2EDFE663" w14:textId="77777777" w:rsidR="00E95558" w:rsidRPr="005B2395" w:rsidRDefault="00E95558" w:rsidP="00E95558">
      <w:pPr>
        <w:keepNext/>
        <w:jc w:val="left"/>
        <w:rPr>
          <w:lang w:val="de-DE"/>
        </w:rPr>
      </w:pPr>
    </w:p>
    <w:p w14:paraId="5E9634E3"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Der TC vereinbarte auf seiner siebenundfünfzigsten Tagung, folgende Themen für eine künftige gemeinsame Arbeitstagung von UPOV, OECD und ISTA vorzuschlagen:</w:t>
      </w:r>
    </w:p>
    <w:p w14:paraId="4377C8E6" w14:textId="77777777" w:rsidR="00E95558" w:rsidRPr="005B2395" w:rsidRDefault="00E95558" w:rsidP="00E95558">
      <w:pPr>
        <w:rPr>
          <w:lang w:val="de-DE"/>
        </w:rPr>
      </w:pPr>
    </w:p>
    <w:p w14:paraId="6562F0A0" w14:textId="77777777" w:rsidR="00E95558" w:rsidRPr="005B2395" w:rsidRDefault="00E95558" w:rsidP="00E95558">
      <w:pPr>
        <w:jc w:val="left"/>
        <w:rPr>
          <w:lang w:val="de-DE"/>
        </w:rPr>
      </w:pPr>
      <w:r w:rsidRPr="005B2395">
        <w:rPr>
          <w:lang w:val="de-DE"/>
        </w:rPr>
        <w:tab/>
        <w:t>i)</w:t>
      </w:r>
      <w:r w:rsidRPr="005B2395">
        <w:rPr>
          <w:lang w:val="de-DE"/>
        </w:rPr>
        <w:tab/>
        <w:t>Bereitstellung von Informationen über die Verwendung molekularer Verfahren in jeder Organisation;</w:t>
      </w:r>
    </w:p>
    <w:p w14:paraId="1FB6187F" w14:textId="77777777" w:rsidR="00E95558" w:rsidRPr="005B2395" w:rsidRDefault="00E95558" w:rsidP="00E95558">
      <w:pPr>
        <w:jc w:val="left"/>
        <w:rPr>
          <w:lang w:val="de-DE"/>
        </w:rPr>
      </w:pPr>
      <w:r w:rsidRPr="005B2395">
        <w:rPr>
          <w:lang w:val="de-DE"/>
        </w:rPr>
        <w:tab/>
        <w:t>ii)</w:t>
      </w:r>
      <w:r w:rsidRPr="005B2395">
        <w:rPr>
          <w:lang w:val="de-DE"/>
        </w:rPr>
        <w:tab/>
        <w:t>Verfahren für die Billigung biochemischer und molekularer Verfahren in jeder Organisation; und</w:t>
      </w:r>
    </w:p>
    <w:p w14:paraId="27D688F8" w14:textId="77777777" w:rsidR="00E95558" w:rsidRPr="005B2395" w:rsidRDefault="00E95558" w:rsidP="00E95558">
      <w:pPr>
        <w:jc w:val="left"/>
        <w:rPr>
          <w:lang w:val="de-DE"/>
        </w:rPr>
      </w:pPr>
      <w:r w:rsidRPr="005B2395">
        <w:rPr>
          <w:lang w:val="de-DE"/>
        </w:rPr>
        <w:tab/>
        <w:t>iii)</w:t>
      </w:r>
      <w:r w:rsidRPr="005B2395">
        <w:rPr>
          <w:lang w:val="de-DE"/>
        </w:rPr>
        <w:tab/>
        <w:t xml:space="preserve">Möglichkeiten zur Harmonisierung von Begriffen, Definitionen und Verfahren zwischen UPOV, OECD und ISTA. </w:t>
      </w:r>
    </w:p>
    <w:p w14:paraId="6C515AD9" w14:textId="77777777" w:rsidR="00E95558" w:rsidRPr="005B2395" w:rsidRDefault="00E95558" w:rsidP="00E95558">
      <w:pPr>
        <w:jc w:val="left"/>
        <w:rPr>
          <w:lang w:val="de-DE"/>
        </w:rPr>
      </w:pPr>
    </w:p>
    <w:p w14:paraId="08171EFC"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Der TC vereinbarte, das Verbandsbüro zu ersuchen, sich mit OECD und ISTA in Verbindung zu setzen, um geeignete Termine für eine künftige gemeinsame Arbeitstagung zu sondieren, beispielsweise in Verbindung mit der ersten Tagung der TWM im September 2022.</w:t>
      </w:r>
    </w:p>
    <w:p w14:paraId="7A0C6F9A" w14:textId="77777777" w:rsidR="00E95558" w:rsidRPr="005B2395" w:rsidRDefault="00E95558" w:rsidP="00E95558">
      <w:pPr>
        <w:keepNext/>
        <w:keepLines/>
        <w:rPr>
          <w:lang w:val="de-DE"/>
        </w:rPr>
      </w:pPr>
    </w:p>
    <w:p w14:paraId="4A2260C7"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 xml:space="preserve">Am 13. Dezember 2021 übermittelte das Verbandsbüro OECD und ISTA eine Einladung zu einer weiteren gemeinsamen Arbeitstagung zu molekularen Verfahren in Verbindung mit der ersten Tagung der TWM am 21. September 2022 auf elektronischem Wege, um die vorstehenden Themen i) bis iii) zu behandeln.  </w:t>
      </w:r>
    </w:p>
    <w:p w14:paraId="23E7999F" w14:textId="77777777" w:rsidR="00E95558" w:rsidRPr="005B2395" w:rsidRDefault="00E95558" w:rsidP="00E95558">
      <w:pPr>
        <w:rPr>
          <w:lang w:val="de-DE"/>
        </w:rPr>
      </w:pPr>
    </w:p>
    <w:p w14:paraId="06FD2EC0"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Am 15. Mai 2022 kam das Verbandsbüro am Rande des Weltsaatgutkongresses des Internationalen Saatgutverbandes mit OECD und ISTA zusammen und erörterte die Zusammenarbeit zwischen OECD, ISTA und UPOV im Zusammenhang mit der BMT. Die UPOV hatte die Idee einer gemeinsamen Arbeitstagung von OECD, ISTA und UPOV in Verbindung mit der Tagung der TWM im September 2022 aufgebracht. Es wurde vereinbart, dass es derzeit keine bedeutenden Entwicklungen zu erörtern gebe und dass es besser wäre, frühestens im Jahr 2023 eine gemeinsame Arbeitstagung zu planen.</w:t>
      </w:r>
    </w:p>
    <w:p w14:paraId="39F721E4" w14:textId="77777777" w:rsidR="00E95558" w:rsidRPr="005B2395" w:rsidRDefault="00E95558" w:rsidP="00E95558">
      <w:pPr>
        <w:rPr>
          <w:lang w:val="de-DE"/>
        </w:rPr>
      </w:pPr>
    </w:p>
    <w:p w14:paraId="58DBECC3" w14:textId="77777777" w:rsidR="00E95558" w:rsidRPr="005B2395" w:rsidRDefault="00E95558" w:rsidP="00E95558">
      <w:pPr>
        <w:pStyle w:val="Heading2"/>
        <w:rPr>
          <w:lang w:val="de-DE"/>
        </w:rPr>
      </w:pPr>
      <w:bookmarkStart w:id="39" w:name="_Toc84415956"/>
      <w:bookmarkStart w:id="40" w:name="_Toc116156838"/>
      <w:r w:rsidRPr="005B2395">
        <w:rPr>
          <w:lang w:val="de-DE"/>
        </w:rPr>
        <w:t>Internationale Vereinigung für Saatgutprüfung</w:t>
      </w:r>
      <w:bookmarkEnd w:id="39"/>
      <w:bookmarkEnd w:id="40"/>
    </w:p>
    <w:p w14:paraId="0816D2E1" w14:textId="77777777" w:rsidR="00E95558" w:rsidRPr="005B2395" w:rsidRDefault="00E95558" w:rsidP="00E95558">
      <w:pPr>
        <w:rPr>
          <w:lang w:val="de-DE"/>
        </w:rPr>
      </w:pPr>
    </w:p>
    <w:p w14:paraId="6EA4B3A3"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Die TWM hörte ein Referat von Frau Ana Laura Vicario (</w:t>
      </w:r>
      <w:r w:rsidRPr="005B2395">
        <w:rPr>
          <w:rFonts w:cs="Arial"/>
          <w:lang w:val="de-DE"/>
        </w:rPr>
        <w:t>ISTA) über „</w:t>
      </w:r>
      <w:r w:rsidRPr="005B2395">
        <w:rPr>
          <w:lang w:val="de-DE"/>
        </w:rPr>
        <w:t xml:space="preserve">ISTA </w:t>
      </w:r>
      <w:proofErr w:type="spellStart"/>
      <w:r w:rsidRPr="005B2395">
        <w:rPr>
          <w:lang w:val="de-DE"/>
        </w:rPr>
        <w:t>report</w:t>
      </w:r>
      <w:proofErr w:type="spellEnd"/>
      <w:r w:rsidRPr="005B2395">
        <w:rPr>
          <w:lang w:val="de-DE"/>
        </w:rPr>
        <w:t xml:space="preserve"> on </w:t>
      </w:r>
      <w:proofErr w:type="spellStart"/>
      <w:r w:rsidRPr="005B2395">
        <w:rPr>
          <w:lang w:val="de-DE"/>
        </w:rPr>
        <w:t>the</w:t>
      </w:r>
      <w:proofErr w:type="spellEnd"/>
      <w:r w:rsidRPr="005B2395">
        <w:rPr>
          <w:lang w:val="de-DE"/>
        </w:rPr>
        <w:t xml:space="preserve"> </w:t>
      </w:r>
      <w:proofErr w:type="spellStart"/>
      <w:r w:rsidRPr="005B2395">
        <w:rPr>
          <w:lang w:val="de-DE"/>
        </w:rPr>
        <w:t>use</w:t>
      </w:r>
      <w:proofErr w:type="spellEnd"/>
      <w:r w:rsidRPr="005B2395">
        <w:rPr>
          <w:lang w:val="de-DE"/>
        </w:rPr>
        <w:t xml:space="preserve"> </w:t>
      </w:r>
      <w:proofErr w:type="spellStart"/>
      <w:r w:rsidRPr="005B2395">
        <w:rPr>
          <w:lang w:val="de-DE"/>
        </w:rPr>
        <w:t>of</w:t>
      </w:r>
      <w:proofErr w:type="spellEnd"/>
      <w:r w:rsidRPr="005B2395">
        <w:rPr>
          <w:lang w:val="de-DE"/>
        </w:rPr>
        <w:t xml:space="preserve"> </w:t>
      </w:r>
      <w:proofErr w:type="spellStart"/>
      <w:r w:rsidRPr="005B2395">
        <w:rPr>
          <w:lang w:val="de-DE"/>
        </w:rPr>
        <w:t>molecular</w:t>
      </w:r>
      <w:proofErr w:type="spellEnd"/>
      <w:r w:rsidRPr="005B2395">
        <w:rPr>
          <w:lang w:val="de-DE"/>
        </w:rPr>
        <w:t xml:space="preserve"> </w:t>
      </w:r>
      <w:proofErr w:type="spellStart"/>
      <w:r w:rsidRPr="005B2395">
        <w:rPr>
          <w:lang w:val="de-DE"/>
        </w:rPr>
        <w:t>techniques</w:t>
      </w:r>
      <w:proofErr w:type="spellEnd"/>
      <w:r w:rsidRPr="005B2395">
        <w:rPr>
          <w:rFonts w:cs="Arial"/>
          <w:lang w:val="de-DE"/>
        </w:rPr>
        <w:t>“</w:t>
      </w:r>
      <w:r w:rsidRPr="005B2395">
        <w:rPr>
          <w:lang w:val="de-DE"/>
        </w:rPr>
        <w:t xml:space="preserve"> (Bericht der ISTA über die Verwendung molekularer Verfahren)</w:t>
      </w:r>
      <w:r w:rsidRPr="005B2395">
        <w:rPr>
          <w:rFonts w:cs="Arial"/>
          <w:iCs/>
          <w:lang w:val="de-DE"/>
        </w:rPr>
        <w:t xml:space="preserve">, von dem eine Abschrift in Dokument </w:t>
      </w:r>
      <w:r w:rsidRPr="005B2395">
        <w:rPr>
          <w:lang w:val="de-DE"/>
        </w:rPr>
        <w:t xml:space="preserve">TWM/1/23 </w:t>
      </w:r>
      <w:r w:rsidRPr="005B2395">
        <w:rPr>
          <w:rFonts w:cs="Arial"/>
          <w:iCs/>
          <w:lang w:val="de-DE"/>
        </w:rPr>
        <w:t>wiedergegeben ist</w:t>
      </w:r>
      <w:r w:rsidRPr="005B2395">
        <w:rPr>
          <w:lang w:val="de-DE"/>
        </w:rPr>
        <w:t>.</w:t>
      </w:r>
    </w:p>
    <w:p w14:paraId="3F8C735E" w14:textId="77777777" w:rsidR="00E95558" w:rsidRPr="005B2395" w:rsidRDefault="00E95558" w:rsidP="00E95558">
      <w:pPr>
        <w:rPr>
          <w:lang w:val="de-DE"/>
        </w:rPr>
      </w:pPr>
    </w:p>
    <w:p w14:paraId="0A32C06F" w14:textId="77777777" w:rsidR="00E95558" w:rsidRPr="005B2395" w:rsidRDefault="00E95558" w:rsidP="00E95558">
      <w:pPr>
        <w:rPr>
          <w:lang w:val="de-DE"/>
        </w:rPr>
      </w:pPr>
    </w:p>
    <w:p w14:paraId="580D0949" w14:textId="77777777" w:rsidR="00E95558" w:rsidRPr="005B2395" w:rsidRDefault="00E95558" w:rsidP="00E95558">
      <w:pPr>
        <w:jc w:val="left"/>
        <w:rPr>
          <w:u w:val="single"/>
          <w:lang w:val="de-DE"/>
        </w:rPr>
      </w:pPr>
      <w:bookmarkStart w:id="41" w:name="_Toc84415957"/>
      <w:bookmarkStart w:id="42" w:name="_Toc116156839"/>
      <w:r w:rsidRPr="005B2395">
        <w:rPr>
          <w:lang w:val="de-DE"/>
        </w:rPr>
        <w:br w:type="page"/>
      </w:r>
    </w:p>
    <w:p w14:paraId="072A20BF" w14:textId="77777777" w:rsidR="00E95558" w:rsidRPr="005B2395" w:rsidRDefault="00E95558" w:rsidP="00E95558">
      <w:pPr>
        <w:pStyle w:val="Heading2"/>
        <w:rPr>
          <w:rFonts w:cs="Arial"/>
          <w:lang w:val="de-DE"/>
        </w:rPr>
      </w:pPr>
      <w:r w:rsidRPr="005B2395">
        <w:rPr>
          <w:lang w:val="de-DE"/>
        </w:rPr>
        <w:t xml:space="preserve">Organisation für wirtschaftliche Zusammenarbeit </w:t>
      </w:r>
      <w:r w:rsidRPr="005B2395">
        <w:rPr>
          <w:rFonts w:cs="Arial"/>
          <w:lang w:val="de-DE"/>
        </w:rPr>
        <w:t>und Entwicklung</w:t>
      </w:r>
      <w:bookmarkEnd w:id="41"/>
      <w:bookmarkEnd w:id="42"/>
    </w:p>
    <w:p w14:paraId="7636F016" w14:textId="77777777" w:rsidR="00E95558" w:rsidRPr="005B2395" w:rsidRDefault="00E95558" w:rsidP="00E95558">
      <w:pPr>
        <w:rPr>
          <w:lang w:val="de-DE"/>
        </w:rPr>
      </w:pPr>
    </w:p>
    <w:p w14:paraId="34A57EBE"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 xml:space="preserve">Die TWM hörte ein Referat von Herrn Christophe </w:t>
      </w:r>
      <w:proofErr w:type="spellStart"/>
      <w:r w:rsidRPr="005B2395">
        <w:rPr>
          <w:lang w:val="de-DE"/>
        </w:rPr>
        <w:t>Rouillard</w:t>
      </w:r>
      <w:proofErr w:type="spellEnd"/>
      <w:r w:rsidRPr="005B2395">
        <w:rPr>
          <w:lang w:val="de-DE"/>
        </w:rPr>
        <w:t xml:space="preserve"> (OECD) </w:t>
      </w:r>
      <w:r w:rsidRPr="005B2395">
        <w:rPr>
          <w:rFonts w:cs="Arial"/>
          <w:lang w:val="de-DE"/>
        </w:rPr>
        <w:t>über „</w:t>
      </w:r>
      <w:proofErr w:type="spellStart"/>
      <w:r w:rsidRPr="005B2395">
        <w:rPr>
          <w:lang w:val="de-DE"/>
        </w:rPr>
        <w:t>Latest</w:t>
      </w:r>
      <w:proofErr w:type="spellEnd"/>
      <w:r w:rsidRPr="005B2395">
        <w:rPr>
          <w:lang w:val="de-DE"/>
        </w:rPr>
        <w:t xml:space="preserve"> </w:t>
      </w:r>
      <w:proofErr w:type="spellStart"/>
      <w:r w:rsidRPr="005B2395">
        <w:rPr>
          <w:lang w:val="de-DE"/>
        </w:rPr>
        <w:t>developments</w:t>
      </w:r>
      <w:proofErr w:type="spellEnd"/>
      <w:r w:rsidRPr="005B2395">
        <w:rPr>
          <w:lang w:val="de-DE"/>
        </w:rPr>
        <w:t xml:space="preserve"> in </w:t>
      </w:r>
      <w:proofErr w:type="spellStart"/>
      <w:r w:rsidRPr="005B2395">
        <w:rPr>
          <w:lang w:val="de-DE"/>
        </w:rPr>
        <w:t>the</w:t>
      </w:r>
      <w:proofErr w:type="spellEnd"/>
      <w:r w:rsidRPr="005B2395">
        <w:rPr>
          <w:lang w:val="de-DE"/>
        </w:rPr>
        <w:t xml:space="preserve"> </w:t>
      </w:r>
      <w:proofErr w:type="spellStart"/>
      <w:r w:rsidRPr="005B2395">
        <w:rPr>
          <w:lang w:val="de-DE"/>
        </w:rPr>
        <w:t>application</w:t>
      </w:r>
      <w:proofErr w:type="spellEnd"/>
      <w:r w:rsidRPr="005B2395">
        <w:rPr>
          <w:lang w:val="de-DE"/>
        </w:rPr>
        <w:t xml:space="preserve"> </w:t>
      </w:r>
      <w:proofErr w:type="spellStart"/>
      <w:r w:rsidRPr="005B2395">
        <w:rPr>
          <w:lang w:val="de-DE"/>
        </w:rPr>
        <w:t>of</w:t>
      </w:r>
      <w:proofErr w:type="spellEnd"/>
      <w:r w:rsidRPr="005B2395">
        <w:rPr>
          <w:lang w:val="de-DE"/>
        </w:rPr>
        <w:t xml:space="preserve"> BMT </w:t>
      </w:r>
      <w:proofErr w:type="spellStart"/>
      <w:r w:rsidRPr="005B2395">
        <w:rPr>
          <w:lang w:val="de-DE"/>
        </w:rPr>
        <w:t>under</w:t>
      </w:r>
      <w:proofErr w:type="spellEnd"/>
      <w:r w:rsidRPr="005B2395">
        <w:rPr>
          <w:lang w:val="de-DE"/>
        </w:rPr>
        <w:t xml:space="preserve"> </w:t>
      </w:r>
      <w:proofErr w:type="spellStart"/>
      <w:r w:rsidRPr="005B2395">
        <w:rPr>
          <w:lang w:val="de-DE"/>
        </w:rPr>
        <w:t>the</w:t>
      </w:r>
      <w:proofErr w:type="spellEnd"/>
      <w:r w:rsidRPr="005B2395">
        <w:rPr>
          <w:lang w:val="de-DE"/>
        </w:rPr>
        <w:t xml:space="preserve"> OECD Seed Schemes</w:t>
      </w:r>
      <w:r w:rsidRPr="005B2395">
        <w:rPr>
          <w:rFonts w:cs="Arial"/>
          <w:lang w:val="de-DE"/>
        </w:rPr>
        <w:t>“</w:t>
      </w:r>
      <w:r w:rsidRPr="005B2395">
        <w:rPr>
          <w:lang w:val="de-DE"/>
        </w:rPr>
        <w:t xml:space="preserve">  (Neueste Entwicklungen bei der Anwendung der BMT im Rahmen der OECD-Saatgutsysteme)</w:t>
      </w:r>
      <w:r w:rsidRPr="005B2395">
        <w:rPr>
          <w:rFonts w:cs="Arial"/>
          <w:iCs/>
          <w:lang w:val="de-DE"/>
        </w:rPr>
        <w:t xml:space="preserve">, von dem eine Abschrift in Dokument </w:t>
      </w:r>
      <w:r w:rsidRPr="005B2395">
        <w:rPr>
          <w:lang w:val="de-DE"/>
        </w:rPr>
        <w:t xml:space="preserve">TWM/1/24 </w:t>
      </w:r>
      <w:r w:rsidRPr="005B2395">
        <w:rPr>
          <w:rFonts w:cs="Arial"/>
          <w:iCs/>
          <w:lang w:val="de-DE"/>
        </w:rPr>
        <w:t xml:space="preserve">wiedergegeben </w:t>
      </w:r>
      <w:r w:rsidRPr="005B2395">
        <w:rPr>
          <w:lang w:val="de-DE"/>
        </w:rPr>
        <w:t>ist.</w:t>
      </w:r>
    </w:p>
    <w:p w14:paraId="4BFC1783" w14:textId="77777777" w:rsidR="00E95558" w:rsidRPr="005B2395" w:rsidRDefault="00E95558" w:rsidP="00E95558">
      <w:pPr>
        <w:rPr>
          <w:rFonts w:cs="Arial"/>
          <w:iCs/>
          <w:lang w:val="de-DE"/>
        </w:rPr>
      </w:pPr>
    </w:p>
    <w:p w14:paraId="211EEA49"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Die TWM nahm zur Kenntnis, dass die OECD die Beratungsgruppe für die BMT gebildet habe, die sich mit allen BMT-Fragen im Rahmen der Saatgutsysteme befassen soll, einschließlich Angelegenheiten in Bezug auf die Zusammenarbeit mit anderen internationalen Organisationen.</w:t>
      </w:r>
    </w:p>
    <w:p w14:paraId="3A0EC95D" w14:textId="77777777" w:rsidR="00E95558" w:rsidRPr="005B2395" w:rsidRDefault="00E95558" w:rsidP="00E95558">
      <w:pPr>
        <w:rPr>
          <w:lang w:val="de-DE"/>
        </w:rPr>
      </w:pPr>
    </w:p>
    <w:p w14:paraId="644FBC44" w14:textId="77777777" w:rsidR="00E95558" w:rsidRPr="005B2395" w:rsidRDefault="00E95558" w:rsidP="00E95558">
      <w:pPr>
        <w:pStyle w:val="DecisionParagraphs"/>
        <w:keepNext/>
        <w:keepLines/>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Der TC wird ersucht:</w:t>
      </w:r>
    </w:p>
    <w:p w14:paraId="61F6617B" w14:textId="77777777" w:rsidR="00E95558" w:rsidRPr="005B2395" w:rsidRDefault="00E95558" w:rsidP="00E95558">
      <w:pPr>
        <w:pStyle w:val="DecisionParagraphs"/>
        <w:keepNext/>
        <w:keepLines/>
        <w:rPr>
          <w:lang w:val="de-DE"/>
        </w:rPr>
      </w:pPr>
      <w:r w:rsidRPr="005B2395">
        <w:rPr>
          <w:lang w:val="de-DE"/>
        </w:rPr>
        <w:tab/>
        <w:t xml:space="preserve"> </w:t>
      </w:r>
    </w:p>
    <w:p w14:paraId="44069149" w14:textId="77777777" w:rsidR="00E95558" w:rsidRPr="005B2395" w:rsidRDefault="00E95558" w:rsidP="00E95558">
      <w:pPr>
        <w:pStyle w:val="DecisionParagraphs"/>
        <w:keepLines/>
        <w:rPr>
          <w:lang w:val="de-DE"/>
        </w:rPr>
      </w:pPr>
      <w:r w:rsidRPr="005B2395">
        <w:rPr>
          <w:lang w:val="de-DE"/>
        </w:rPr>
        <w:tab/>
        <w:t>a)</w:t>
      </w:r>
      <w:r w:rsidRPr="005B2395">
        <w:rPr>
          <w:lang w:val="de-DE"/>
        </w:rPr>
        <w:tab/>
        <w:t xml:space="preserve">die Ergebnisse der Befragungen zur Verwendung molekularer Markerverfahren nach Pflanze durch Mitglieder, wie in der Anlage dieses Dokuments dargelegt, zur Kenntnis zu nehmen; </w:t>
      </w:r>
    </w:p>
    <w:p w14:paraId="4B00830C" w14:textId="77777777" w:rsidR="00E95558" w:rsidRPr="005B2395" w:rsidRDefault="00E95558" w:rsidP="00E95558">
      <w:pPr>
        <w:pStyle w:val="DecisionParagraphs"/>
        <w:rPr>
          <w:lang w:val="de-DE"/>
        </w:rPr>
      </w:pPr>
    </w:p>
    <w:p w14:paraId="6DB041EB" w14:textId="77777777" w:rsidR="00E95558" w:rsidRPr="005B2395" w:rsidRDefault="00E95558" w:rsidP="00E95558">
      <w:pPr>
        <w:tabs>
          <w:tab w:val="left" w:pos="5387"/>
          <w:tab w:val="left" w:pos="5954"/>
        </w:tabs>
        <w:ind w:left="4820"/>
        <w:rPr>
          <w:i/>
          <w:lang w:val="de-DE"/>
        </w:rPr>
      </w:pPr>
      <w:r w:rsidRPr="005B2395">
        <w:rPr>
          <w:i/>
          <w:lang w:val="de-DE"/>
        </w:rPr>
        <w:tab/>
        <w:t>b)</w:t>
      </w:r>
      <w:r w:rsidRPr="005B2395">
        <w:rPr>
          <w:i/>
          <w:lang w:val="de-DE"/>
        </w:rPr>
        <w:tab/>
        <w:t>den Entwurf eines gemeinsamen Dokuments zur Erläuterung der wesentlichen Besonderheiten der Systeme von OECD, UPOV und ISTA zur Kenntnis zu nehmen;</w:t>
      </w:r>
    </w:p>
    <w:p w14:paraId="1DDDB70E" w14:textId="77777777" w:rsidR="00E95558" w:rsidRPr="005B2395" w:rsidRDefault="00E95558" w:rsidP="00E95558">
      <w:pPr>
        <w:tabs>
          <w:tab w:val="left" w:pos="5387"/>
          <w:tab w:val="left" w:pos="5954"/>
        </w:tabs>
        <w:ind w:left="4820"/>
        <w:rPr>
          <w:i/>
          <w:lang w:val="de-DE"/>
        </w:rPr>
      </w:pPr>
    </w:p>
    <w:p w14:paraId="5DC4501A" w14:textId="77777777" w:rsidR="00E95558" w:rsidRPr="005B2395" w:rsidRDefault="00E95558" w:rsidP="00E95558">
      <w:pPr>
        <w:tabs>
          <w:tab w:val="left" w:pos="5387"/>
          <w:tab w:val="left" w:pos="5954"/>
        </w:tabs>
        <w:ind w:left="4820"/>
        <w:rPr>
          <w:i/>
          <w:lang w:val="de-DE"/>
        </w:rPr>
      </w:pPr>
      <w:r w:rsidRPr="005B2395">
        <w:rPr>
          <w:i/>
          <w:lang w:val="de-DE"/>
        </w:rPr>
        <w:tab/>
        <w:t>c)</w:t>
      </w:r>
      <w:r w:rsidRPr="005B2395">
        <w:rPr>
          <w:i/>
          <w:lang w:val="de-DE"/>
        </w:rPr>
        <w:tab/>
        <w:t>die vom TC für eine künftige gemeinsame Arbeitstagung von UPOV/OECD/ISTA vorgeschlagenen Themen, wie in Absatz 17 dieses Dokuments dargelegt, zur Kenntnis zu nehmen; und</w:t>
      </w:r>
    </w:p>
    <w:p w14:paraId="4F41E23E" w14:textId="77777777" w:rsidR="00E95558" w:rsidRPr="005B2395" w:rsidRDefault="00E95558" w:rsidP="00E95558">
      <w:pPr>
        <w:tabs>
          <w:tab w:val="left" w:pos="5387"/>
          <w:tab w:val="left" w:pos="5954"/>
        </w:tabs>
        <w:ind w:left="4820"/>
        <w:rPr>
          <w:i/>
          <w:lang w:val="de-DE"/>
        </w:rPr>
      </w:pPr>
      <w:r w:rsidRPr="005B2395">
        <w:rPr>
          <w:i/>
          <w:lang w:val="de-DE"/>
        </w:rPr>
        <w:t xml:space="preserve"> </w:t>
      </w:r>
    </w:p>
    <w:p w14:paraId="2D913479" w14:textId="77777777" w:rsidR="00E95558" w:rsidRPr="005B2395" w:rsidRDefault="00E95558" w:rsidP="00E95558">
      <w:pPr>
        <w:tabs>
          <w:tab w:val="left" w:pos="5387"/>
          <w:tab w:val="left" w:pos="5954"/>
        </w:tabs>
        <w:ind w:left="4820"/>
        <w:rPr>
          <w:i/>
          <w:lang w:val="de-DE"/>
        </w:rPr>
      </w:pPr>
      <w:r w:rsidRPr="005B2395">
        <w:rPr>
          <w:i/>
          <w:lang w:val="de-DE"/>
        </w:rPr>
        <w:tab/>
        <w:t>d)</w:t>
      </w:r>
      <w:r w:rsidRPr="005B2395">
        <w:rPr>
          <w:i/>
          <w:lang w:val="de-DE"/>
        </w:rPr>
        <w:tab/>
        <w:t>die Informationen von OECD und ISTA zur Kenntnis zu nehmen, wonach es derzeit keine bedeutenden Entwicklungen zu erörtern gibt und es besser wäre, frühestens im Jahr 2023 eine gemeinsame Arbeitstagung zu planen.</w:t>
      </w:r>
    </w:p>
    <w:p w14:paraId="3696D887" w14:textId="77777777" w:rsidR="00E95558" w:rsidRPr="005B2395" w:rsidRDefault="00E95558" w:rsidP="00E95558">
      <w:pPr>
        <w:rPr>
          <w:lang w:val="de-DE"/>
        </w:rPr>
      </w:pPr>
    </w:p>
    <w:p w14:paraId="53FD9353" w14:textId="77777777" w:rsidR="00E95558" w:rsidRPr="005B2395" w:rsidRDefault="00E95558" w:rsidP="00E95558">
      <w:pPr>
        <w:rPr>
          <w:lang w:val="de-DE"/>
        </w:rPr>
      </w:pPr>
    </w:p>
    <w:p w14:paraId="4209C0A7" w14:textId="77777777" w:rsidR="00E95558" w:rsidRPr="005B2395" w:rsidRDefault="00E95558" w:rsidP="00E95558">
      <w:pPr>
        <w:rPr>
          <w:lang w:val="de-DE"/>
        </w:rPr>
      </w:pPr>
    </w:p>
    <w:p w14:paraId="0B3096EB" w14:textId="77777777" w:rsidR="00E95558" w:rsidRPr="005B2395" w:rsidRDefault="00E95558" w:rsidP="00E95558">
      <w:pPr>
        <w:pStyle w:val="Heading1"/>
        <w:rPr>
          <w:lang w:val="de-DE"/>
        </w:rPr>
      </w:pPr>
      <w:bookmarkStart w:id="43" w:name="_Toc69722870"/>
      <w:bookmarkStart w:id="44" w:name="_Toc84364034"/>
      <w:bookmarkStart w:id="45" w:name="_Toc84415958"/>
      <w:bookmarkStart w:id="46" w:name="_Toc97892761"/>
      <w:bookmarkStart w:id="47" w:name="_Toc116156840"/>
      <w:r w:rsidRPr="005B2395">
        <w:rPr>
          <w:snapToGrid w:val="0"/>
          <w:lang w:val="de-DE"/>
        </w:rPr>
        <w:t>TAGung zur Erleichterung der Zusammenarbeit IM ZUSAMMENHANG MIT der Verwendung molekularer Verfahren</w:t>
      </w:r>
      <w:bookmarkEnd w:id="43"/>
      <w:bookmarkEnd w:id="44"/>
      <w:bookmarkEnd w:id="45"/>
      <w:bookmarkEnd w:id="46"/>
      <w:bookmarkEnd w:id="47"/>
    </w:p>
    <w:p w14:paraId="621A7D73" w14:textId="77777777" w:rsidR="00E95558" w:rsidRPr="005B2395" w:rsidRDefault="00E95558" w:rsidP="00E95558">
      <w:pPr>
        <w:keepNext/>
        <w:rPr>
          <w:lang w:val="de-DE"/>
        </w:rPr>
      </w:pPr>
    </w:p>
    <w:p w14:paraId="2D4B9AF1" w14:textId="77777777" w:rsidR="00E95558" w:rsidRPr="005B2395" w:rsidRDefault="00E95558" w:rsidP="00E95558">
      <w:pPr>
        <w:keepNext/>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Der TC vereinbarte auf seiner vierundfünfzigsten Tagung</w:t>
      </w:r>
      <w:r w:rsidRPr="005B2395">
        <w:rPr>
          <w:rStyle w:val="FootnoteReference"/>
          <w:lang w:val="de-DE"/>
        </w:rPr>
        <w:footnoteReference w:id="8"/>
      </w:r>
      <w:r w:rsidRPr="005B2395">
        <w:rPr>
          <w:lang w:val="de-DE"/>
        </w:rPr>
        <w:t xml:space="preserve"> , dass auf jeder TWP Erörterungsgruppen für die wichtigsten Pflanzen gebildet werden sollten, um den Teilnehmern die Möglichkeit zu bieten, Informationen über ihre Arbeit auszutauschen und Bereiche für eine Zusammenarbeit zu sondieren (vergleiche Dokument TC/54/31 „Bericht“, Absatz 281).</w:t>
      </w:r>
    </w:p>
    <w:p w14:paraId="4883D42F" w14:textId="77777777" w:rsidR="00E95558" w:rsidRPr="005B2395" w:rsidRDefault="00E95558" w:rsidP="00E95558">
      <w:pPr>
        <w:keepNext/>
        <w:rPr>
          <w:lang w:val="de-DE"/>
        </w:rPr>
      </w:pPr>
    </w:p>
    <w:p w14:paraId="046FF79A" w14:textId="77777777" w:rsidR="00E95558" w:rsidRPr="005B2395" w:rsidRDefault="00E95558" w:rsidP="00E95558">
      <w:pPr>
        <w:pStyle w:val="Heading2"/>
        <w:rPr>
          <w:lang w:val="de-DE"/>
        </w:rPr>
      </w:pPr>
      <w:bookmarkStart w:id="48" w:name="_Toc84415959"/>
      <w:bookmarkStart w:id="49" w:name="_Toc97892762"/>
      <w:bookmarkStart w:id="50" w:name="_Toc116156841"/>
      <w:r w:rsidRPr="005B2395">
        <w:rPr>
          <w:lang w:val="de-DE"/>
        </w:rPr>
        <w:t>Technische Arbeitsgruppen (TWP)</w:t>
      </w:r>
      <w:bookmarkEnd w:id="48"/>
      <w:bookmarkEnd w:id="49"/>
      <w:bookmarkEnd w:id="50"/>
    </w:p>
    <w:p w14:paraId="567A9155" w14:textId="77777777" w:rsidR="00E95558" w:rsidRPr="005B2395" w:rsidRDefault="00E95558" w:rsidP="00E95558">
      <w:pPr>
        <w:keepNext/>
        <w:rPr>
          <w:lang w:val="de-DE"/>
        </w:rPr>
      </w:pPr>
    </w:p>
    <w:p w14:paraId="3726412C"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Die TWA hielt auf ihrer einundfünfzigsten Tagung</w:t>
      </w:r>
      <w:r w:rsidRPr="005B2395">
        <w:rPr>
          <w:vertAlign w:val="superscript"/>
          <w:lang w:val="de-DE"/>
        </w:rPr>
        <w:footnoteReference w:id="9"/>
      </w:r>
      <w:r w:rsidRPr="005B2395">
        <w:rPr>
          <w:lang w:val="de-DE"/>
        </w:rPr>
        <w:t xml:space="preserve"> eine Erörterungssitzung ab, um den Teilnehmern die Möglichkeit zu bieten, Informationen über ihre Arbeit bezüglich biochemischer und molekularer Verfahren auszutauschen und mögliche Bereiche für eine Zusammenarbeit zu sondieren. Die TWA prüfte, ob die UPOV die Harmonisierung und Zusammenarbeit zwischen Mitgliedern, die bei der DUS-Prüfung bereits molekulare Marker verwenden, oder die Bereitstellung von Informationen oder BMT-Diensten für andere UPOV-Mitglieder unterstützen könnte.</w:t>
      </w:r>
    </w:p>
    <w:p w14:paraId="519EFFE9" w14:textId="77777777" w:rsidR="00E95558" w:rsidRPr="005B2395" w:rsidRDefault="00E95558" w:rsidP="00E95558">
      <w:pPr>
        <w:rPr>
          <w:lang w:val="de-DE"/>
        </w:rPr>
      </w:pPr>
    </w:p>
    <w:p w14:paraId="5BCC800F"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Die TWA vereinbarte, dass die Technischen Arbeitsgruppen eine Plattform für den Austausch von Informationen über molekulare Marker bei der DUS-Prüfung seien, einschließlich Projekten, Kooperationen und Dienstleistungen, die von Mitgliedern bereitgestellt werden. Die TWA vereinbarte, dass die UPOV weiterhin Referate über die Verwendung molekularer Marker bei der DUS-Prüfung, einschließlich technischer Aspekte, Vertraulichkeit von und Zugang zu Daten, fördern sollte.</w:t>
      </w:r>
    </w:p>
    <w:p w14:paraId="4F59A74D" w14:textId="77777777" w:rsidR="00E95558" w:rsidRPr="005B2395" w:rsidRDefault="00E95558" w:rsidP="00E95558">
      <w:pPr>
        <w:rPr>
          <w:lang w:val="de-DE"/>
        </w:rPr>
      </w:pPr>
    </w:p>
    <w:p w14:paraId="3D74055F"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Die TWA hörte ein Referat über „</w:t>
      </w:r>
      <w:proofErr w:type="spellStart"/>
      <w:r w:rsidRPr="005B2395">
        <w:rPr>
          <w:lang w:val="de-DE"/>
        </w:rPr>
        <w:t>Use</w:t>
      </w:r>
      <w:proofErr w:type="spellEnd"/>
      <w:r w:rsidRPr="005B2395">
        <w:rPr>
          <w:lang w:val="de-DE"/>
        </w:rPr>
        <w:t xml:space="preserve"> </w:t>
      </w:r>
      <w:proofErr w:type="spellStart"/>
      <w:r w:rsidRPr="005B2395">
        <w:rPr>
          <w:lang w:val="de-DE"/>
        </w:rPr>
        <w:t>of</w:t>
      </w:r>
      <w:proofErr w:type="spellEnd"/>
      <w:r w:rsidRPr="005B2395">
        <w:rPr>
          <w:lang w:val="de-DE"/>
        </w:rPr>
        <w:t xml:space="preserve"> </w:t>
      </w:r>
      <w:proofErr w:type="spellStart"/>
      <w:r w:rsidRPr="005B2395">
        <w:rPr>
          <w:lang w:val="de-DE"/>
        </w:rPr>
        <w:t>molecular</w:t>
      </w:r>
      <w:proofErr w:type="spellEnd"/>
      <w:r w:rsidRPr="005B2395">
        <w:rPr>
          <w:lang w:val="de-DE"/>
        </w:rPr>
        <w:t xml:space="preserve"> </w:t>
      </w:r>
      <w:proofErr w:type="spellStart"/>
      <w:r w:rsidRPr="005B2395">
        <w:rPr>
          <w:lang w:val="de-DE"/>
        </w:rPr>
        <w:t>techniques</w:t>
      </w:r>
      <w:proofErr w:type="spellEnd"/>
      <w:r w:rsidRPr="005B2395">
        <w:rPr>
          <w:lang w:val="de-DE"/>
        </w:rPr>
        <w:t xml:space="preserve"> in DUS </w:t>
      </w:r>
      <w:proofErr w:type="spellStart"/>
      <w:r w:rsidRPr="005B2395">
        <w:rPr>
          <w:lang w:val="de-DE"/>
        </w:rPr>
        <w:t>examination</w:t>
      </w:r>
      <w:proofErr w:type="spellEnd"/>
      <w:r w:rsidRPr="005B2395">
        <w:rPr>
          <w:lang w:val="de-DE"/>
        </w:rPr>
        <w:t xml:space="preserve">: Report </w:t>
      </w:r>
      <w:proofErr w:type="spellStart"/>
      <w:r w:rsidRPr="005B2395">
        <w:rPr>
          <w:lang w:val="de-DE"/>
        </w:rPr>
        <w:t>from</w:t>
      </w:r>
      <w:proofErr w:type="spellEnd"/>
      <w:r w:rsidRPr="005B2395">
        <w:rPr>
          <w:lang w:val="de-DE"/>
        </w:rPr>
        <w:t xml:space="preserve"> </w:t>
      </w:r>
      <w:proofErr w:type="spellStart"/>
      <w:r w:rsidRPr="005B2395">
        <w:rPr>
          <w:lang w:val="de-DE"/>
        </w:rPr>
        <w:t>Argentina</w:t>
      </w:r>
      <w:proofErr w:type="spellEnd"/>
      <w:r w:rsidRPr="005B2395">
        <w:rPr>
          <w:lang w:val="de-DE"/>
        </w:rPr>
        <w:t>“ (Verwendung molekularer Verfahren bei der DUS-Prüfung: Bericht aus Argentinien) von einem Sachverständigen aus Argentinien. Eine Abschrift des Referats ist in Dokument TWA/51/4 enthalten.</w:t>
      </w:r>
    </w:p>
    <w:p w14:paraId="26FEE388" w14:textId="77777777" w:rsidR="00E95558" w:rsidRPr="005B2395" w:rsidRDefault="00E95558" w:rsidP="00E95558">
      <w:pPr>
        <w:rPr>
          <w:lang w:val="de-DE"/>
        </w:rPr>
      </w:pPr>
    </w:p>
    <w:p w14:paraId="1B6B9FF7"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Die TWA hörte ein Referat über „</w:t>
      </w:r>
      <w:proofErr w:type="spellStart"/>
      <w:r w:rsidRPr="005B2395">
        <w:rPr>
          <w:lang w:val="de-DE"/>
        </w:rPr>
        <w:t>Developing</w:t>
      </w:r>
      <w:proofErr w:type="spellEnd"/>
      <w:r w:rsidRPr="005B2395">
        <w:rPr>
          <w:lang w:val="de-DE"/>
        </w:rPr>
        <w:t xml:space="preserve"> a </w:t>
      </w:r>
      <w:proofErr w:type="spellStart"/>
      <w:r w:rsidRPr="005B2395">
        <w:rPr>
          <w:lang w:val="de-DE"/>
        </w:rPr>
        <w:t>strategy</w:t>
      </w:r>
      <w:proofErr w:type="spellEnd"/>
      <w:r w:rsidRPr="005B2395">
        <w:rPr>
          <w:lang w:val="de-DE"/>
        </w:rPr>
        <w:t xml:space="preserve"> </w:t>
      </w:r>
      <w:proofErr w:type="spellStart"/>
      <w:r w:rsidRPr="005B2395">
        <w:rPr>
          <w:lang w:val="de-DE"/>
        </w:rPr>
        <w:t>to</w:t>
      </w:r>
      <w:proofErr w:type="spellEnd"/>
      <w:r w:rsidRPr="005B2395">
        <w:rPr>
          <w:lang w:val="de-DE"/>
        </w:rPr>
        <w:t xml:space="preserve"> </w:t>
      </w:r>
      <w:proofErr w:type="spellStart"/>
      <w:r w:rsidRPr="005B2395">
        <w:rPr>
          <w:lang w:val="de-DE"/>
        </w:rPr>
        <w:t>apply</w:t>
      </w:r>
      <w:proofErr w:type="spellEnd"/>
      <w:r w:rsidRPr="005B2395">
        <w:rPr>
          <w:lang w:val="de-DE"/>
        </w:rPr>
        <w:t xml:space="preserve"> SNP </w:t>
      </w:r>
      <w:proofErr w:type="spellStart"/>
      <w:r w:rsidRPr="005B2395">
        <w:rPr>
          <w:lang w:val="de-DE"/>
        </w:rPr>
        <w:t>molecular</w:t>
      </w:r>
      <w:proofErr w:type="spellEnd"/>
      <w:r w:rsidRPr="005B2395">
        <w:rPr>
          <w:lang w:val="de-DE"/>
        </w:rPr>
        <w:t xml:space="preserve"> </w:t>
      </w:r>
      <w:proofErr w:type="spellStart"/>
      <w:r w:rsidRPr="005B2395">
        <w:rPr>
          <w:lang w:val="de-DE"/>
        </w:rPr>
        <w:t>markers</w:t>
      </w:r>
      <w:proofErr w:type="spellEnd"/>
      <w:r w:rsidRPr="005B2395">
        <w:rPr>
          <w:lang w:val="de-DE"/>
        </w:rPr>
        <w:t xml:space="preserve"> in </w:t>
      </w:r>
      <w:proofErr w:type="spellStart"/>
      <w:r w:rsidRPr="005B2395">
        <w:rPr>
          <w:lang w:val="de-DE"/>
        </w:rPr>
        <w:t>the</w:t>
      </w:r>
      <w:proofErr w:type="spellEnd"/>
      <w:r w:rsidRPr="005B2395">
        <w:rPr>
          <w:lang w:val="de-DE"/>
        </w:rPr>
        <w:t xml:space="preserve"> </w:t>
      </w:r>
      <w:proofErr w:type="spellStart"/>
      <w:r w:rsidRPr="005B2395">
        <w:rPr>
          <w:lang w:val="de-DE"/>
        </w:rPr>
        <w:t>framework</w:t>
      </w:r>
      <w:proofErr w:type="spellEnd"/>
      <w:r w:rsidRPr="005B2395">
        <w:rPr>
          <w:lang w:val="de-DE"/>
        </w:rPr>
        <w:t xml:space="preserve"> </w:t>
      </w:r>
      <w:proofErr w:type="spellStart"/>
      <w:r w:rsidRPr="005B2395">
        <w:rPr>
          <w:lang w:val="de-DE"/>
        </w:rPr>
        <w:t>of</w:t>
      </w:r>
      <w:proofErr w:type="spellEnd"/>
      <w:r w:rsidRPr="005B2395">
        <w:rPr>
          <w:lang w:val="de-DE"/>
        </w:rPr>
        <w:t xml:space="preserve"> </w:t>
      </w:r>
      <w:proofErr w:type="spellStart"/>
      <w:r w:rsidRPr="005B2395">
        <w:rPr>
          <w:lang w:val="de-DE"/>
        </w:rPr>
        <w:t>winter</w:t>
      </w:r>
      <w:proofErr w:type="spellEnd"/>
      <w:r w:rsidRPr="005B2395">
        <w:rPr>
          <w:lang w:val="de-DE"/>
        </w:rPr>
        <w:t xml:space="preserve"> </w:t>
      </w:r>
      <w:proofErr w:type="spellStart"/>
      <w:r w:rsidRPr="005B2395">
        <w:rPr>
          <w:lang w:val="de-DE"/>
        </w:rPr>
        <w:t>oilseed</w:t>
      </w:r>
      <w:proofErr w:type="spellEnd"/>
      <w:r w:rsidRPr="005B2395">
        <w:rPr>
          <w:lang w:val="de-DE"/>
        </w:rPr>
        <w:t xml:space="preserve"> </w:t>
      </w:r>
      <w:proofErr w:type="spellStart"/>
      <w:r w:rsidRPr="005B2395">
        <w:rPr>
          <w:lang w:val="de-DE"/>
        </w:rPr>
        <w:t>rape</w:t>
      </w:r>
      <w:proofErr w:type="spellEnd"/>
      <w:r w:rsidRPr="005B2395">
        <w:rPr>
          <w:lang w:val="de-DE"/>
        </w:rPr>
        <w:t xml:space="preserve"> DUS </w:t>
      </w:r>
      <w:proofErr w:type="spellStart"/>
      <w:r w:rsidRPr="005B2395">
        <w:rPr>
          <w:lang w:val="de-DE"/>
        </w:rPr>
        <w:t>testing</w:t>
      </w:r>
      <w:proofErr w:type="spellEnd"/>
      <w:r w:rsidRPr="005B2395">
        <w:rPr>
          <w:lang w:val="de-DE"/>
        </w:rPr>
        <w:t>“ (Entwicklung einer Strategie zur Verwendung molekularer SNP-Marker im Rahmen der DUS-Prüfung von Winterraps) von einem Sachverständigen aus Frankreich. Eine Abschrift des Referats ist in Dokument TWA/51/4 Add. enthalten.</w:t>
      </w:r>
    </w:p>
    <w:p w14:paraId="0AE48C1E" w14:textId="77777777" w:rsidR="00E95558" w:rsidRPr="005B2395" w:rsidRDefault="00E95558" w:rsidP="00E95558">
      <w:pPr>
        <w:jc w:val="left"/>
        <w:rPr>
          <w:lang w:val="de-DE"/>
        </w:rPr>
      </w:pPr>
    </w:p>
    <w:p w14:paraId="7CE01603"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Die TWF hörte auf ihrer dreiundfünfzigsten Tagung</w:t>
      </w:r>
      <w:r w:rsidRPr="005B2395">
        <w:rPr>
          <w:vertAlign w:val="superscript"/>
          <w:lang w:val="de-DE"/>
        </w:rPr>
        <w:footnoteReference w:id="10"/>
      </w:r>
      <w:r w:rsidRPr="005B2395">
        <w:rPr>
          <w:lang w:val="de-DE"/>
        </w:rPr>
        <w:t xml:space="preserve"> ein Referat über „</w:t>
      </w:r>
      <w:proofErr w:type="spellStart"/>
      <w:r w:rsidRPr="005B2395">
        <w:rPr>
          <w:lang w:val="de-DE"/>
        </w:rPr>
        <w:t>Application</w:t>
      </w:r>
      <w:proofErr w:type="spellEnd"/>
      <w:r w:rsidRPr="005B2395">
        <w:rPr>
          <w:lang w:val="de-DE"/>
        </w:rPr>
        <w:t xml:space="preserve"> </w:t>
      </w:r>
      <w:proofErr w:type="spellStart"/>
      <w:r w:rsidRPr="005B2395">
        <w:rPr>
          <w:lang w:val="de-DE"/>
        </w:rPr>
        <w:t>of</w:t>
      </w:r>
      <w:proofErr w:type="spellEnd"/>
      <w:r w:rsidRPr="005B2395">
        <w:rPr>
          <w:lang w:val="de-DE"/>
        </w:rPr>
        <w:t xml:space="preserve"> </w:t>
      </w:r>
      <w:proofErr w:type="spellStart"/>
      <w:r w:rsidRPr="005B2395">
        <w:rPr>
          <w:lang w:val="de-DE"/>
        </w:rPr>
        <w:t>molecular</w:t>
      </w:r>
      <w:proofErr w:type="spellEnd"/>
      <w:r w:rsidRPr="005B2395">
        <w:rPr>
          <w:lang w:val="de-DE"/>
        </w:rPr>
        <w:t xml:space="preserve"> </w:t>
      </w:r>
      <w:proofErr w:type="spellStart"/>
      <w:r w:rsidRPr="005B2395">
        <w:rPr>
          <w:lang w:val="de-DE"/>
        </w:rPr>
        <w:t>techniques</w:t>
      </w:r>
      <w:proofErr w:type="spellEnd"/>
      <w:r w:rsidRPr="005B2395">
        <w:rPr>
          <w:lang w:val="de-DE"/>
        </w:rPr>
        <w:t xml:space="preserve"> in DUS </w:t>
      </w:r>
      <w:proofErr w:type="spellStart"/>
      <w:r w:rsidRPr="005B2395">
        <w:rPr>
          <w:lang w:val="de-DE"/>
        </w:rPr>
        <w:t>testing</w:t>
      </w:r>
      <w:proofErr w:type="spellEnd"/>
      <w:r w:rsidRPr="005B2395">
        <w:rPr>
          <w:lang w:val="de-DE"/>
        </w:rPr>
        <w:t xml:space="preserve"> </w:t>
      </w:r>
      <w:proofErr w:type="spellStart"/>
      <w:r w:rsidRPr="005B2395">
        <w:rPr>
          <w:lang w:val="de-DE"/>
        </w:rPr>
        <w:t>and</w:t>
      </w:r>
      <w:proofErr w:type="spellEnd"/>
      <w:r w:rsidRPr="005B2395">
        <w:rPr>
          <w:lang w:val="de-DE"/>
        </w:rPr>
        <w:t xml:space="preserve"> PBR </w:t>
      </w:r>
      <w:proofErr w:type="spellStart"/>
      <w:r w:rsidRPr="005B2395">
        <w:rPr>
          <w:lang w:val="de-DE"/>
        </w:rPr>
        <w:t>enforcement</w:t>
      </w:r>
      <w:proofErr w:type="spellEnd"/>
      <w:r w:rsidRPr="005B2395">
        <w:rPr>
          <w:lang w:val="de-DE"/>
        </w:rPr>
        <w:t xml:space="preserve"> </w:t>
      </w:r>
      <w:proofErr w:type="spellStart"/>
      <w:r w:rsidRPr="005B2395">
        <w:rPr>
          <w:lang w:val="de-DE"/>
        </w:rPr>
        <w:t>of</w:t>
      </w:r>
      <w:proofErr w:type="spellEnd"/>
      <w:r w:rsidRPr="005B2395">
        <w:rPr>
          <w:lang w:val="de-DE"/>
        </w:rPr>
        <w:t xml:space="preserve"> </w:t>
      </w:r>
      <w:proofErr w:type="spellStart"/>
      <w:r w:rsidRPr="005B2395">
        <w:rPr>
          <w:lang w:val="de-DE"/>
        </w:rPr>
        <w:t>fruit</w:t>
      </w:r>
      <w:proofErr w:type="spellEnd"/>
      <w:r w:rsidRPr="005B2395">
        <w:rPr>
          <w:lang w:val="de-DE"/>
        </w:rPr>
        <w:t xml:space="preserve"> </w:t>
      </w:r>
      <w:proofErr w:type="spellStart"/>
      <w:r w:rsidRPr="005B2395">
        <w:rPr>
          <w:lang w:val="de-DE"/>
        </w:rPr>
        <w:t>sector</w:t>
      </w:r>
      <w:proofErr w:type="spellEnd"/>
      <w:r w:rsidRPr="005B2395">
        <w:rPr>
          <w:lang w:val="de-DE"/>
        </w:rPr>
        <w:t xml:space="preserve"> in China“ (Verwendung molekularer Verfahren bei der DUS-Prüfung und der Durchsetzung von Züchterrechten im Obstsektor in China) von einem Sachverständigen aus China. Eine Abschrift des Referats ist in Dokument TWF/53/12 enthalten.</w:t>
      </w:r>
    </w:p>
    <w:p w14:paraId="3BB97D5B" w14:textId="77777777" w:rsidR="00E95558" w:rsidRPr="005B2395" w:rsidRDefault="00E95558" w:rsidP="00E95558">
      <w:pPr>
        <w:rPr>
          <w:lang w:val="de-DE"/>
        </w:rPr>
      </w:pPr>
    </w:p>
    <w:p w14:paraId="560AE718"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Die TWF nahm zur Kenntnis, dass molekulare Marker in China als erstinstanzliches Beweismittel für die Durchsetzung von Züchterrechten verwendet werden könnten, gefolgt von einer Anbauprüfung, falls erforderlich.</w:t>
      </w:r>
    </w:p>
    <w:p w14:paraId="7B507827" w14:textId="77777777" w:rsidR="00E95558" w:rsidRPr="005B2395" w:rsidRDefault="00E95558" w:rsidP="00E95558">
      <w:pPr>
        <w:rPr>
          <w:lang w:val="de-DE"/>
        </w:rPr>
      </w:pPr>
    </w:p>
    <w:p w14:paraId="591E7AB6"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Nach dem Referat aus China führte die TWF eine offene Erörterung über die Verwendung molekularer Marker bei der DUS-Prüfung und der Sortenidentifikation. Die folgenden Aspekte wurden von den Teilnehmern erwähnt:</w:t>
      </w:r>
    </w:p>
    <w:p w14:paraId="01566C6A" w14:textId="77777777" w:rsidR="00E95558" w:rsidRPr="005B2395" w:rsidRDefault="00E95558" w:rsidP="00E95558">
      <w:pPr>
        <w:rPr>
          <w:lang w:val="de-DE"/>
        </w:rPr>
      </w:pPr>
    </w:p>
    <w:p w14:paraId="6B89DF3E" w14:textId="77777777" w:rsidR="00E95558" w:rsidRPr="005B2395" w:rsidRDefault="00E95558" w:rsidP="00E95558">
      <w:pPr>
        <w:pStyle w:val="ListParagraph"/>
        <w:numPr>
          <w:ilvl w:val="0"/>
          <w:numId w:val="10"/>
        </w:numPr>
        <w:spacing w:line="276" w:lineRule="auto"/>
        <w:ind w:left="1134" w:hanging="567"/>
        <w:rPr>
          <w:lang w:val="de-DE"/>
        </w:rPr>
      </w:pPr>
      <w:r w:rsidRPr="005B2395">
        <w:rPr>
          <w:lang w:val="de-DE"/>
        </w:rPr>
        <w:t>Möglichkeiten der Zusammenarbeit beim Aufbau gemeinsamer Datenbanken, auch für Behörden, die relativ wenige Anträge für bestimmte Pflanzen erhalten</w:t>
      </w:r>
    </w:p>
    <w:p w14:paraId="23464B55" w14:textId="77777777" w:rsidR="00E95558" w:rsidRPr="005B2395" w:rsidRDefault="00E95558" w:rsidP="00E95558">
      <w:pPr>
        <w:pStyle w:val="ListParagraph"/>
        <w:numPr>
          <w:ilvl w:val="0"/>
          <w:numId w:val="10"/>
        </w:numPr>
        <w:spacing w:line="276" w:lineRule="auto"/>
        <w:ind w:left="1134" w:hanging="567"/>
        <w:rPr>
          <w:lang w:val="de-DE"/>
        </w:rPr>
      </w:pPr>
      <w:r w:rsidRPr="005B2395">
        <w:rPr>
          <w:lang w:val="de-DE"/>
        </w:rPr>
        <w:t>Die Herkunft des Pflanzenmaterials für die DNS-Extraktion (z. B. das für die DUS-Prüfung bereitgestellte Material)</w:t>
      </w:r>
    </w:p>
    <w:p w14:paraId="5AC4B9FE" w14:textId="77777777" w:rsidR="00E95558" w:rsidRPr="005B2395" w:rsidRDefault="00E95558" w:rsidP="00E95558">
      <w:pPr>
        <w:pStyle w:val="ListParagraph"/>
        <w:numPr>
          <w:ilvl w:val="0"/>
          <w:numId w:val="10"/>
        </w:numPr>
        <w:spacing w:line="276" w:lineRule="auto"/>
        <w:ind w:left="1134" w:hanging="567"/>
        <w:rPr>
          <w:lang w:val="de-DE"/>
        </w:rPr>
      </w:pPr>
      <w:r w:rsidRPr="005B2395">
        <w:rPr>
          <w:lang w:val="de-DE"/>
        </w:rPr>
        <w:t>Auswahl von Markern für jede Pflanze je nach Verwendungszweck (z. B. für Züchterrechte und/oder Sortenidentifikation).</w:t>
      </w:r>
    </w:p>
    <w:p w14:paraId="4820355E" w14:textId="77777777" w:rsidR="00E95558" w:rsidRPr="005B2395" w:rsidRDefault="00E95558" w:rsidP="00E95558">
      <w:pPr>
        <w:pStyle w:val="ListParagraph"/>
        <w:numPr>
          <w:ilvl w:val="0"/>
          <w:numId w:val="10"/>
        </w:numPr>
        <w:spacing w:line="276" w:lineRule="auto"/>
        <w:ind w:left="1134" w:hanging="567"/>
        <w:rPr>
          <w:lang w:val="de-DE"/>
        </w:rPr>
      </w:pPr>
      <w:r w:rsidRPr="005B2395">
        <w:rPr>
          <w:lang w:val="de-DE"/>
        </w:rPr>
        <w:t>Auswahl eines oder mehrerer Labore, die in der Lage sind, qualitativ hochwertige molekulare Profile bereitzustellen (z. B. Sicherheitsbackup);</w:t>
      </w:r>
    </w:p>
    <w:p w14:paraId="16AC26CD" w14:textId="5E156E30" w:rsidR="00E95558" w:rsidRPr="005B2395" w:rsidRDefault="00E95558" w:rsidP="00E95558">
      <w:pPr>
        <w:pStyle w:val="ListParagraph"/>
        <w:numPr>
          <w:ilvl w:val="0"/>
          <w:numId w:val="10"/>
        </w:numPr>
        <w:spacing w:line="276" w:lineRule="auto"/>
        <w:ind w:left="1134" w:hanging="567"/>
        <w:rPr>
          <w:lang w:val="de-DE"/>
        </w:rPr>
      </w:pPr>
      <w:r w:rsidRPr="005B2395">
        <w:rPr>
          <w:lang w:val="de-DE"/>
        </w:rPr>
        <w:t>Hohe Kosten für die Harmonisierung der Methoden zur Erstellung von DNA-Profilen zwischen verschiedenen Labor</w:t>
      </w:r>
      <w:r w:rsidR="005B2395">
        <w:rPr>
          <w:lang w:val="de-DE"/>
        </w:rPr>
        <w:t>en</w:t>
      </w:r>
      <w:r w:rsidRPr="005B2395">
        <w:rPr>
          <w:lang w:val="de-DE"/>
        </w:rPr>
        <w:t xml:space="preserve">; </w:t>
      </w:r>
    </w:p>
    <w:p w14:paraId="65593D2B" w14:textId="77777777" w:rsidR="00E95558" w:rsidRPr="005B2395" w:rsidRDefault="00E95558" w:rsidP="00E95558">
      <w:pPr>
        <w:pStyle w:val="ListParagraph"/>
        <w:numPr>
          <w:ilvl w:val="0"/>
          <w:numId w:val="10"/>
        </w:numPr>
        <w:spacing w:line="276" w:lineRule="auto"/>
        <w:ind w:left="1134" w:hanging="567"/>
        <w:rPr>
          <w:lang w:val="de-DE"/>
        </w:rPr>
      </w:pPr>
      <w:r w:rsidRPr="005B2395">
        <w:rPr>
          <w:lang w:val="de-DE"/>
        </w:rPr>
        <w:t>Schwierigkeiten, selbst bei Laboren, die harmonisierte Methoden anwenden, die gleichen Ergebnisse zu erzielen.</w:t>
      </w:r>
    </w:p>
    <w:p w14:paraId="2B8C8B64" w14:textId="77777777" w:rsidR="00E95558" w:rsidRPr="005B2395" w:rsidRDefault="00E95558" w:rsidP="00E95558">
      <w:pPr>
        <w:rPr>
          <w:lang w:val="de-DE"/>
        </w:rPr>
      </w:pPr>
    </w:p>
    <w:p w14:paraId="49CC3CF7"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Die TWO nahm auf ihrer vierundfünfzigsten Tagung</w:t>
      </w:r>
      <w:r w:rsidRPr="005B2395">
        <w:rPr>
          <w:vertAlign w:val="superscript"/>
          <w:lang w:val="de-DE"/>
        </w:rPr>
        <w:footnoteReference w:id="11"/>
      </w:r>
      <w:r w:rsidRPr="005B2395">
        <w:rPr>
          <w:lang w:val="de-DE"/>
        </w:rPr>
        <w:t xml:space="preserve"> zur Kenntnis, dass keine Berichte über die Verwendung biochemischer und molekularer Verfahren bei der DUS-Prüfung von Zierpflanzen vorgelegt wurden.</w:t>
      </w:r>
    </w:p>
    <w:p w14:paraId="3B4BAE11" w14:textId="77777777" w:rsidR="00E95558" w:rsidRPr="005B2395" w:rsidRDefault="00E95558" w:rsidP="00E95558">
      <w:pPr>
        <w:keepNext/>
        <w:rPr>
          <w:lang w:val="de-DE"/>
        </w:rPr>
      </w:pPr>
    </w:p>
    <w:p w14:paraId="61618FF3"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 xml:space="preserve">Die </w:t>
      </w:r>
      <w:r w:rsidRPr="005B2395">
        <w:rPr>
          <w:snapToGrid w:val="0"/>
          <w:lang w:val="de-DE"/>
        </w:rPr>
        <w:t xml:space="preserve">TWM </w:t>
      </w:r>
      <w:r w:rsidRPr="005B2395">
        <w:rPr>
          <w:lang w:val="de-DE"/>
        </w:rPr>
        <w:t>hielt auf ihrer ersten Tagung</w:t>
      </w:r>
      <w:r w:rsidRPr="005B2395">
        <w:rPr>
          <w:snapToGrid w:val="0"/>
          <w:vertAlign w:val="superscript"/>
          <w:lang w:val="de-DE"/>
        </w:rPr>
        <w:footnoteReference w:id="12"/>
      </w:r>
      <w:r w:rsidRPr="005B2395">
        <w:rPr>
          <w:lang w:val="de-DE"/>
        </w:rPr>
        <w:t xml:space="preserve"> eine Erörterungssitzung ab, um den Teilnehmern die Möglichkeit zu bieten, Informationen über ihre Arbeit bezüglich biochemischer und molekularer Verfahren auszutauschen und mögliche Bereiche für eine Zusammenarbeit zu sondieren. </w:t>
      </w:r>
    </w:p>
    <w:p w14:paraId="76DC4BF2" w14:textId="77777777" w:rsidR="00E95558" w:rsidRPr="005B2395" w:rsidRDefault="00E95558" w:rsidP="00E95558">
      <w:pPr>
        <w:rPr>
          <w:lang w:val="de-DE"/>
        </w:rPr>
      </w:pPr>
    </w:p>
    <w:p w14:paraId="7C5A679D"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Die TWM vereinbarte, dass genügend Zeit für die Erörterung der Tagesordnungspunkte im künftigen Arbeitsplan für die Sitzung vorgesehen werden sollte, und vereinbarte, dass es nicht notwendig sei, eine offene Erörterungssitzung abzuhalten.</w:t>
      </w:r>
    </w:p>
    <w:p w14:paraId="3345F709" w14:textId="77777777" w:rsidR="00E95558" w:rsidRPr="005B2395" w:rsidRDefault="00E95558" w:rsidP="00E95558">
      <w:pPr>
        <w:rPr>
          <w:lang w:val="de-DE" w:eastAsia="ja-JP"/>
        </w:rPr>
      </w:pPr>
    </w:p>
    <w:p w14:paraId="1E22D7A2" w14:textId="77777777" w:rsidR="00E95558" w:rsidRPr="005B2395" w:rsidRDefault="00E95558" w:rsidP="00E95558">
      <w:pPr>
        <w:keepNext/>
        <w:keepLines/>
        <w:tabs>
          <w:tab w:val="left" w:pos="5387"/>
        </w:tabs>
        <w:ind w:left="4820" w:hanging="5"/>
        <w:rPr>
          <w:i/>
          <w:lang w:val="de-DE"/>
        </w:rPr>
      </w:pPr>
      <w:r w:rsidRPr="005B2395">
        <w:rPr>
          <w:i/>
          <w:lang w:val="de-DE"/>
        </w:rPr>
        <w:fldChar w:fldCharType="begin"/>
      </w:r>
      <w:r w:rsidRPr="005B2395">
        <w:rPr>
          <w:i/>
          <w:lang w:val="de-DE"/>
        </w:rPr>
        <w:instrText xml:space="preserve"> AUTONUM  </w:instrText>
      </w:r>
      <w:r w:rsidRPr="005B2395">
        <w:rPr>
          <w:i/>
          <w:lang w:val="de-DE"/>
        </w:rPr>
        <w:fldChar w:fldCharType="end"/>
      </w:r>
      <w:r w:rsidRPr="005B2395">
        <w:rPr>
          <w:i/>
          <w:lang w:val="de-DE"/>
        </w:rPr>
        <w:tab/>
        <w:t>Der TC wird ersucht zu prüfen, ob die TWP um Bildung von Erörterungsgruppen ersucht werden sollen, um den Teilnehmern die Möglichkeit zu bieten, Informationen über ihre Arbeit auszutauschen und Bereiche für eine Zusammenarbeit betreffend die Verwendung biochemischer und molekularer Verfahren bei der DUS-Prüfung zu sondieren.</w:t>
      </w:r>
    </w:p>
    <w:bookmarkEnd w:id="3"/>
    <w:p w14:paraId="39B720A4" w14:textId="77777777" w:rsidR="00E95558" w:rsidRPr="005B2395" w:rsidRDefault="00E95558" w:rsidP="00E95558">
      <w:pPr>
        <w:pStyle w:val="DecisionParagraphs"/>
        <w:rPr>
          <w:lang w:val="de-DE"/>
        </w:rPr>
      </w:pPr>
    </w:p>
    <w:p w14:paraId="416C15A9" w14:textId="77777777" w:rsidR="00E95558" w:rsidRPr="005B2395" w:rsidRDefault="00E95558" w:rsidP="00E95558">
      <w:pPr>
        <w:pStyle w:val="DecisionParagraphs"/>
        <w:rPr>
          <w:lang w:val="de-DE"/>
        </w:rPr>
      </w:pPr>
    </w:p>
    <w:p w14:paraId="6A87C551" w14:textId="77777777" w:rsidR="00E95558" w:rsidRPr="005B2395" w:rsidRDefault="00E95558" w:rsidP="00E95558">
      <w:pPr>
        <w:jc w:val="left"/>
        <w:rPr>
          <w:caps/>
          <w:lang w:val="de-DE"/>
        </w:rPr>
      </w:pPr>
      <w:bookmarkStart w:id="51" w:name="_Toc84413225"/>
      <w:bookmarkStart w:id="52" w:name="_Toc97892774"/>
      <w:bookmarkStart w:id="53" w:name="_Toc116156842"/>
      <w:r w:rsidRPr="005B2395">
        <w:rPr>
          <w:lang w:val="de-DE"/>
        </w:rPr>
        <w:br w:type="page"/>
      </w:r>
    </w:p>
    <w:p w14:paraId="75A994DB" w14:textId="77777777" w:rsidR="00E95558" w:rsidRPr="005B2395" w:rsidRDefault="00E95558" w:rsidP="00E95558">
      <w:pPr>
        <w:pStyle w:val="Heading1"/>
        <w:rPr>
          <w:lang w:val="de-DE"/>
        </w:rPr>
      </w:pPr>
      <w:r w:rsidRPr="005B2395">
        <w:rPr>
          <w:lang w:val="de-DE"/>
        </w:rPr>
        <w:t>Vertraulichkeit VON und Eigentum an molekularen Informationen</w:t>
      </w:r>
      <w:bookmarkEnd w:id="51"/>
      <w:bookmarkEnd w:id="52"/>
      <w:bookmarkEnd w:id="53"/>
    </w:p>
    <w:p w14:paraId="05C08D00" w14:textId="77777777" w:rsidR="00E95558" w:rsidRPr="005B2395" w:rsidRDefault="00E95558" w:rsidP="00E95558">
      <w:pPr>
        <w:rPr>
          <w:lang w:val="de-DE"/>
        </w:rPr>
      </w:pPr>
    </w:p>
    <w:p w14:paraId="46EDDACB"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Der Hintergrund dieser Angelegenheit ist in Dokument TC/57/INF/6 „Molekulare Verfahren“ dargelegt.</w:t>
      </w:r>
    </w:p>
    <w:p w14:paraId="2DEF7484" w14:textId="77777777" w:rsidR="00E95558" w:rsidRPr="005B2395" w:rsidRDefault="00E95558" w:rsidP="00E95558">
      <w:pPr>
        <w:rPr>
          <w:lang w:val="de-DE"/>
        </w:rPr>
      </w:pPr>
    </w:p>
    <w:p w14:paraId="5655AC77"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Die TWP und die BMT hörten auf ihren Tagungen im Jahre 2021 ein Referat über „</w:t>
      </w:r>
      <w:proofErr w:type="spellStart"/>
      <w:r w:rsidRPr="005B2395">
        <w:rPr>
          <w:lang w:val="de-DE"/>
        </w:rPr>
        <w:t>Confidentiality</w:t>
      </w:r>
      <w:proofErr w:type="spellEnd"/>
      <w:r w:rsidRPr="005B2395">
        <w:rPr>
          <w:lang w:val="de-DE"/>
        </w:rPr>
        <w:t xml:space="preserve"> &amp; Ownership </w:t>
      </w:r>
      <w:proofErr w:type="spellStart"/>
      <w:r w:rsidRPr="005B2395">
        <w:rPr>
          <w:lang w:val="de-DE"/>
        </w:rPr>
        <w:t>of</w:t>
      </w:r>
      <w:proofErr w:type="spellEnd"/>
      <w:r w:rsidRPr="005B2395">
        <w:rPr>
          <w:lang w:val="de-DE"/>
        </w:rPr>
        <w:t xml:space="preserve"> </w:t>
      </w:r>
      <w:proofErr w:type="spellStart"/>
      <w:r w:rsidRPr="005B2395">
        <w:rPr>
          <w:lang w:val="de-DE"/>
        </w:rPr>
        <w:t>Molecular</w:t>
      </w:r>
      <w:proofErr w:type="spellEnd"/>
      <w:r w:rsidRPr="005B2395">
        <w:rPr>
          <w:lang w:val="de-DE"/>
        </w:rPr>
        <w:t xml:space="preserve"> Information“ (Vertraulichkeit von und Eigentum an molekularen Informationen) von einem Sachverständigen im Auftrag des Afrikanischen Saatguthandelsverbandes (AFSTA), der Saatgutvereinigung für Asien und den Pazifik (APSA), der Internationalen Gemeinschaft der Züchter vegetativ vermehrbarer Zier- und Obstpflanzen (CIOPORA), </w:t>
      </w:r>
      <w:proofErr w:type="spellStart"/>
      <w:r w:rsidRPr="005B2395">
        <w:rPr>
          <w:lang w:val="de-DE"/>
        </w:rPr>
        <w:t>CropLife</w:t>
      </w:r>
      <w:proofErr w:type="spellEnd"/>
      <w:r w:rsidRPr="005B2395">
        <w:rPr>
          <w:lang w:val="de-DE"/>
        </w:rPr>
        <w:t xml:space="preserve"> International, </w:t>
      </w:r>
      <w:proofErr w:type="spellStart"/>
      <w:r w:rsidRPr="005B2395">
        <w:rPr>
          <w:lang w:val="de-DE"/>
        </w:rPr>
        <w:t>Euroseeds</w:t>
      </w:r>
      <w:proofErr w:type="spellEnd"/>
      <w:r w:rsidRPr="005B2395">
        <w:rPr>
          <w:lang w:val="de-DE"/>
        </w:rPr>
        <w:t xml:space="preserve">, des Internationalen Saatgutverbandes (ISF) und des </w:t>
      </w:r>
      <w:proofErr w:type="spellStart"/>
      <w:r w:rsidRPr="005B2395">
        <w:rPr>
          <w:i/>
          <w:iCs/>
          <w:lang w:val="de-DE"/>
        </w:rPr>
        <w:t>Seed</w:t>
      </w:r>
      <w:proofErr w:type="spellEnd"/>
      <w:r w:rsidRPr="005B2395">
        <w:rPr>
          <w:i/>
          <w:iCs/>
          <w:lang w:val="de-DE"/>
        </w:rPr>
        <w:t xml:space="preserve"> </w:t>
      </w:r>
      <w:proofErr w:type="spellStart"/>
      <w:r w:rsidRPr="005B2395">
        <w:rPr>
          <w:i/>
          <w:iCs/>
          <w:lang w:val="de-DE"/>
        </w:rPr>
        <w:t>Association</w:t>
      </w:r>
      <w:proofErr w:type="spellEnd"/>
      <w:r w:rsidRPr="005B2395">
        <w:rPr>
          <w:i/>
          <w:iCs/>
          <w:lang w:val="de-DE"/>
        </w:rPr>
        <w:t xml:space="preserve"> </w:t>
      </w:r>
      <w:proofErr w:type="spellStart"/>
      <w:r w:rsidRPr="005B2395">
        <w:rPr>
          <w:i/>
          <w:iCs/>
          <w:lang w:val="de-DE"/>
        </w:rPr>
        <w:t>of</w:t>
      </w:r>
      <w:proofErr w:type="spellEnd"/>
      <w:r w:rsidRPr="005B2395">
        <w:rPr>
          <w:i/>
          <w:iCs/>
          <w:lang w:val="de-DE"/>
        </w:rPr>
        <w:t xml:space="preserve"> </w:t>
      </w:r>
      <w:proofErr w:type="spellStart"/>
      <w:r w:rsidRPr="005B2395">
        <w:rPr>
          <w:i/>
          <w:iCs/>
          <w:lang w:val="de-DE"/>
        </w:rPr>
        <w:t>the</w:t>
      </w:r>
      <w:proofErr w:type="spellEnd"/>
      <w:r w:rsidRPr="005B2395">
        <w:rPr>
          <w:i/>
          <w:iCs/>
          <w:lang w:val="de-DE"/>
        </w:rPr>
        <w:t xml:space="preserve"> </w:t>
      </w:r>
      <w:proofErr w:type="spellStart"/>
      <w:r w:rsidRPr="005B2395">
        <w:rPr>
          <w:i/>
          <w:iCs/>
          <w:lang w:val="de-DE"/>
        </w:rPr>
        <w:t>Americas</w:t>
      </w:r>
      <w:proofErr w:type="spellEnd"/>
      <w:r w:rsidRPr="005B2395">
        <w:rPr>
          <w:lang w:val="de-DE"/>
        </w:rPr>
        <w:t xml:space="preserve"> (SAA). Die TWP und die BMT prüften den Vorschlag, das Dokument TGP/5, Abschnitt 3: Musterantragsformblatt, zu überarbeiten, um einen Antrag auf Vertraulichkeit von molekularen Informationen über Kandidatensorten wie folgt aufzunehmen:</w:t>
      </w:r>
    </w:p>
    <w:p w14:paraId="2FC63A22" w14:textId="77777777" w:rsidR="00E95558" w:rsidRPr="005B2395" w:rsidRDefault="00E95558" w:rsidP="00E95558">
      <w:pPr>
        <w:ind w:left="567" w:right="567"/>
        <w:rPr>
          <w:lang w:val="de-DE"/>
        </w:rPr>
      </w:pPr>
    </w:p>
    <w:p w14:paraId="62B0E937" w14:textId="77310B2A" w:rsidR="00E95558" w:rsidRPr="005B2395" w:rsidRDefault="00E95558" w:rsidP="00E95558">
      <w:pPr>
        <w:ind w:left="567" w:right="567"/>
        <w:rPr>
          <w:i/>
          <w:lang w:val="de-DE"/>
        </w:rPr>
      </w:pPr>
      <w:r w:rsidRPr="005B2395">
        <w:rPr>
          <w:i/>
          <w:lang w:val="de-DE"/>
        </w:rPr>
        <w:t>„Ich/Wir beantrage(n), dass die molekularen Informationen bezüglich der Sorte vertraulich bleiben und der Austausch mit einem anderen UPOV-Mitglied oder einem Prüfungsamt der Zustimmung des Antragstellers unterliegt.“</w:t>
      </w:r>
    </w:p>
    <w:p w14:paraId="37EFCC08" w14:textId="77777777" w:rsidR="00E95558" w:rsidRPr="005B2395" w:rsidRDefault="00E95558" w:rsidP="00E95558">
      <w:pPr>
        <w:rPr>
          <w:lang w:val="de-DE"/>
        </w:rPr>
      </w:pPr>
    </w:p>
    <w:p w14:paraId="05731BB6" w14:textId="77777777" w:rsidR="00E95558" w:rsidRPr="005B2395" w:rsidRDefault="00E95558" w:rsidP="00E95558">
      <w:pPr>
        <w:keepNext/>
        <w:rPr>
          <w:rFonts w:cs="Arial"/>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Die TWV</w:t>
      </w:r>
      <w:r w:rsidRPr="005B2395">
        <w:rPr>
          <w:vertAlign w:val="superscript"/>
          <w:lang w:val="de-DE"/>
        </w:rPr>
        <w:footnoteReference w:id="13"/>
      </w:r>
      <w:r w:rsidRPr="005B2395">
        <w:rPr>
          <w:lang w:val="de-DE"/>
        </w:rPr>
        <w:t xml:space="preserve"> , die TWA</w:t>
      </w:r>
      <w:r w:rsidRPr="005B2395">
        <w:rPr>
          <w:vertAlign w:val="superscript"/>
          <w:lang w:val="de-DE"/>
        </w:rPr>
        <w:footnoteReference w:id="14"/>
      </w:r>
      <w:r w:rsidRPr="005B2395">
        <w:rPr>
          <w:lang w:val="de-DE"/>
        </w:rPr>
        <w:t xml:space="preserve"> , die TWO</w:t>
      </w:r>
      <w:r w:rsidRPr="005B2395">
        <w:rPr>
          <w:vertAlign w:val="superscript"/>
          <w:lang w:val="de-DE"/>
        </w:rPr>
        <w:footnoteReference w:id="15"/>
      </w:r>
      <w:r w:rsidRPr="005B2395">
        <w:rPr>
          <w:lang w:val="de-DE"/>
        </w:rPr>
        <w:t xml:space="preserve"> , die TWF</w:t>
      </w:r>
      <w:r w:rsidRPr="005B2395">
        <w:rPr>
          <w:vertAlign w:val="superscript"/>
          <w:lang w:val="de-DE"/>
        </w:rPr>
        <w:footnoteReference w:id="16"/>
      </w:r>
      <w:r w:rsidRPr="005B2395">
        <w:rPr>
          <w:lang w:val="de-DE"/>
        </w:rPr>
        <w:t xml:space="preserve"> und die </w:t>
      </w:r>
      <w:r w:rsidRPr="005B2395">
        <w:rPr>
          <w:snapToGrid w:val="0"/>
          <w:lang w:val="de-DE"/>
        </w:rPr>
        <w:t>TWM</w:t>
      </w:r>
      <w:r w:rsidRPr="005B2395">
        <w:rPr>
          <w:snapToGrid w:val="0"/>
          <w:vertAlign w:val="superscript"/>
          <w:lang w:val="de-DE"/>
        </w:rPr>
        <w:footnoteReference w:id="17"/>
      </w:r>
      <w:r w:rsidRPr="005B2395">
        <w:rPr>
          <w:snapToGrid w:val="0"/>
          <w:lang w:val="de-DE"/>
        </w:rPr>
        <w:t xml:space="preserve"> nahmen </w:t>
      </w:r>
      <w:r w:rsidRPr="005B2395">
        <w:rPr>
          <w:lang w:val="de-DE"/>
        </w:rPr>
        <w:t xml:space="preserve">auf ihren Tagungen im Jahr 2022 </w:t>
      </w:r>
      <w:r w:rsidRPr="005B2395">
        <w:rPr>
          <w:snapToGrid w:val="0"/>
          <w:lang w:val="de-DE"/>
        </w:rPr>
        <w:t xml:space="preserve">die </w:t>
      </w:r>
      <w:r w:rsidRPr="005B2395">
        <w:rPr>
          <w:rFonts w:cs="Arial"/>
          <w:lang w:val="de-DE"/>
        </w:rPr>
        <w:t xml:space="preserve">Erörterungen der TWP und der BMT auf ihren Tagungen im Jahr 2021 über „Vertraulichkeit von und Eigentum an molekularen Informationen“ zur </w:t>
      </w:r>
      <w:r w:rsidRPr="005B2395">
        <w:rPr>
          <w:snapToGrid w:val="0"/>
          <w:lang w:val="de-DE"/>
        </w:rPr>
        <w:t xml:space="preserve">Kenntnis. </w:t>
      </w:r>
    </w:p>
    <w:p w14:paraId="2BFACF90" w14:textId="77777777" w:rsidR="00E95558" w:rsidRPr="005B2395" w:rsidRDefault="00E95558" w:rsidP="00E95558">
      <w:pPr>
        <w:rPr>
          <w:rFonts w:cs="Arial"/>
          <w:iCs/>
          <w:lang w:val="de-DE"/>
        </w:rPr>
      </w:pPr>
    </w:p>
    <w:p w14:paraId="4FF994DD" w14:textId="77777777" w:rsidR="00E95558" w:rsidRPr="005B2395" w:rsidRDefault="00E95558" w:rsidP="00E95558">
      <w:pPr>
        <w:keepNext/>
        <w:rPr>
          <w:rFonts w:cs="Arial"/>
          <w:lang w:val="de-DE"/>
        </w:rPr>
      </w:pPr>
      <w:r w:rsidRPr="005B2395">
        <w:rPr>
          <w:rFonts w:cs="Arial"/>
          <w:lang w:val="de-DE"/>
        </w:rPr>
        <w:fldChar w:fldCharType="begin"/>
      </w:r>
      <w:r w:rsidRPr="005B2395">
        <w:rPr>
          <w:rFonts w:cs="Arial"/>
          <w:lang w:val="de-DE"/>
        </w:rPr>
        <w:instrText xml:space="preserve"> AUTONUM  </w:instrText>
      </w:r>
      <w:r w:rsidRPr="005B2395">
        <w:rPr>
          <w:rFonts w:cs="Arial"/>
          <w:lang w:val="de-DE"/>
        </w:rPr>
        <w:fldChar w:fldCharType="end"/>
      </w:r>
      <w:r w:rsidRPr="005B2395">
        <w:rPr>
          <w:rFonts w:cs="Arial"/>
          <w:lang w:val="de-DE"/>
        </w:rPr>
        <w:tab/>
        <w:t xml:space="preserve">Die TWA nahm </w:t>
      </w:r>
      <w:r w:rsidRPr="005B2395">
        <w:rPr>
          <w:lang w:val="de-DE"/>
        </w:rPr>
        <w:t xml:space="preserve">auf ihrer einundfünfzigsten Tagung den </w:t>
      </w:r>
      <w:r w:rsidRPr="005B2395">
        <w:rPr>
          <w:rFonts w:cs="Arial"/>
          <w:lang w:val="de-DE"/>
        </w:rPr>
        <w:t xml:space="preserve">Bericht der vereinigten Züchterorganisationen zur Kenntnis, dass </w:t>
      </w:r>
      <w:r w:rsidRPr="005B2395">
        <w:rPr>
          <w:lang w:val="de-DE"/>
        </w:rPr>
        <w:t xml:space="preserve">eine Befragung zur Vertraulichkeit von molekularen Daten bei Pflanzenzüchtungsunternehmen in verschiedenen Organisationen durchgeführt werde. Die TWA nahm zur Kenntnis, dass der TWM auf ihrer ersten Tagung die Ergebnisse der Befragung vorgelegt werden würden. Die TWA vereinbarte, die </w:t>
      </w:r>
      <w:r w:rsidRPr="005B2395">
        <w:rPr>
          <w:rFonts w:cs="Arial"/>
          <w:lang w:val="de-DE"/>
        </w:rPr>
        <w:t xml:space="preserve">vereinigten Züchterorganisationen </w:t>
      </w:r>
      <w:r w:rsidRPr="005B2395">
        <w:rPr>
          <w:lang w:val="de-DE"/>
        </w:rPr>
        <w:t xml:space="preserve">zu ersuchen, auf ihrer zweiundfünfzigsten Tagung über die Entwicklungen zu berichten. </w:t>
      </w:r>
    </w:p>
    <w:p w14:paraId="34D0BC0D" w14:textId="77777777" w:rsidR="00E95558" w:rsidRPr="005B2395" w:rsidRDefault="00E95558" w:rsidP="00E95558">
      <w:pPr>
        <w:keepNext/>
        <w:rPr>
          <w:rFonts w:cs="Arial"/>
          <w:lang w:val="de-DE"/>
        </w:rPr>
      </w:pPr>
    </w:p>
    <w:p w14:paraId="46CB096D" w14:textId="77777777" w:rsidR="00E95558" w:rsidRPr="005B2395" w:rsidRDefault="00E95558" w:rsidP="00E95558">
      <w:pPr>
        <w:rPr>
          <w:lang w:val="de-DE"/>
        </w:rPr>
      </w:pPr>
      <w:r w:rsidRPr="005B2395">
        <w:rPr>
          <w:lang w:val="de-DE"/>
        </w:rPr>
        <w:fldChar w:fldCharType="begin"/>
      </w:r>
      <w:r w:rsidRPr="005B2395">
        <w:rPr>
          <w:lang w:val="de-DE"/>
        </w:rPr>
        <w:instrText xml:space="preserve"> AUTONUM  </w:instrText>
      </w:r>
      <w:r w:rsidRPr="005B2395">
        <w:rPr>
          <w:lang w:val="de-DE"/>
        </w:rPr>
        <w:fldChar w:fldCharType="end"/>
      </w:r>
      <w:r w:rsidRPr="005B2395">
        <w:rPr>
          <w:lang w:val="de-DE"/>
        </w:rPr>
        <w:tab/>
        <w:t xml:space="preserve">Die TWM hörte auf ihrer ersten Tagung ein Referat von Herrn </w:t>
      </w:r>
      <w:r w:rsidRPr="005B2395">
        <w:rPr>
          <w:rFonts w:cs="Arial"/>
          <w:lang w:val="de-DE"/>
        </w:rPr>
        <w:t xml:space="preserve">Marcel </w:t>
      </w:r>
      <w:proofErr w:type="spellStart"/>
      <w:r w:rsidRPr="005B2395">
        <w:rPr>
          <w:rFonts w:cs="Arial"/>
          <w:lang w:val="de-DE"/>
        </w:rPr>
        <w:t>Bruins</w:t>
      </w:r>
      <w:proofErr w:type="spellEnd"/>
      <w:r w:rsidRPr="005B2395">
        <w:rPr>
          <w:rFonts w:cs="Arial"/>
          <w:lang w:val="de-DE"/>
        </w:rPr>
        <w:t xml:space="preserve"> </w:t>
      </w:r>
      <w:r w:rsidRPr="005B2395">
        <w:rPr>
          <w:lang w:val="de-DE"/>
        </w:rPr>
        <w:t>(</w:t>
      </w:r>
      <w:proofErr w:type="spellStart"/>
      <w:r w:rsidRPr="005B2395">
        <w:rPr>
          <w:lang w:val="de-DE"/>
        </w:rPr>
        <w:t>CropLife</w:t>
      </w:r>
      <w:proofErr w:type="spellEnd"/>
      <w:r w:rsidRPr="005B2395">
        <w:rPr>
          <w:lang w:val="de-DE"/>
        </w:rPr>
        <w:t xml:space="preserve"> International) </w:t>
      </w:r>
      <w:r w:rsidRPr="005B2395">
        <w:rPr>
          <w:rFonts w:cs="Arial"/>
          <w:lang w:val="de-DE"/>
        </w:rPr>
        <w:t>über „</w:t>
      </w:r>
      <w:proofErr w:type="spellStart"/>
      <w:r w:rsidRPr="005B2395">
        <w:rPr>
          <w:lang w:val="de-DE"/>
        </w:rPr>
        <w:t>Confidentiality</w:t>
      </w:r>
      <w:proofErr w:type="spellEnd"/>
      <w:r w:rsidRPr="005B2395">
        <w:rPr>
          <w:lang w:val="de-DE"/>
        </w:rPr>
        <w:t xml:space="preserve"> </w:t>
      </w:r>
      <w:proofErr w:type="spellStart"/>
      <w:r w:rsidRPr="005B2395">
        <w:rPr>
          <w:lang w:val="de-DE"/>
        </w:rPr>
        <w:t>and</w:t>
      </w:r>
      <w:proofErr w:type="spellEnd"/>
      <w:r w:rsidRPr="005B2395">
        <w:rPr>
          <w:lang w:val="de-DE"/>
        </w:rPr>
        <w:t xml:space="preserve"> </w:t>
      </w:r>
      <w:proofErr w:type="spellStart"/>
      <w:r w:rsidRPr="005B2395">
        <w:rPr>
          <w:lang w:val="de-DE"/>
        </w:rPr>
        <w:t>ownership</w:t>
      </w:r>
      <w:proofErr w:type="spellEnd"/>
      <w:r w:rsidRPr="005B2395">
        <w:rPr>
          <w:lang w:val="de-DE"/>
        </w:rPr>
        <w:t xml:space="preserve"> </w:t>
      </w:r>
      <w:proofErr w:type="spellStart"/>
      <w:r w:rsidRPr="005B2395">
        <w:rPr>
          <w:lang w:val="de-DE"/>
        </w:rPr>
        <w:t>of</w:t>
      </w:r>
      <w:proofErr w:type="spellEnd"/>
      <w:r w:rsidRPr="005B2395">
        <w:rPr>
          <w:lang w:val="de-DE"/>
        </w:rPr>
        <w:t xml:space="preserve"> </w:t>
      </w:r>
      <w:proofErr w:type="spellStart"/>
      <w:r w:rsidRPr="005B2395">
        <w:rPr>
          <w:lang w:val="de-DE"/>
        </w:rPr>
        <w:t>molecular</w:t>
      </w:r>
      <w:proofErr w:type="spellEnd"/>
      <w:r w:rsidRPr="005B2395">
        <w:rPr>
          <w:lang w:val="de-DE"/>
        </w:rPr>
        <w:t xml:space="preserve"> </w:t>
      </w:r>
      <w:proofErr w:type="spellStart"/>
      <w:r w:rsidRPr="005B2395">
        <w:rPr>
          <w:lang w:val="de-DE"/>
        </w:rPr>
        <w:t>information</w:t>
      </w:r>
      <w:proofErr w:type="spellEnd"/>
      <w:r w:rsidRPr="005B2395">
        <w:rPr>
          <w:rFonts w:cs="Arial"/>
          <w:lang w:val="de-DE"/>
        </w:rPr>
        <w:t>“</w:t>
      </w:r>
      <w:r w:rsidRPr="005B2395">
        <w:rPr>
          <w:lang w:val="de-DE"/>
        </w:rPr>
        <w:t xml:space="preserve"> (Vertraulichkeit von und Eigentum an molekularen Informationen)</w:t>
      </w:r>
      <w:r w:rsidRPr="005B2395">
        <w:rPr>
          <w:rFonts w:cs="Arial"/>
          <w:iCs/>
          <w:lang w:val="de-DE"/>
        </w:rPr>
        <w:t xml:space="preserve">, von dem eine Abschrift in Dokument </w:t>
      </w:r>
      <w:r w:rsidRPr="005B2395">
        <w:rPr>
          <w:lang w:val="de-DE"/>
        </w:rPr>
        <w:t xml:space="preserve">TWM/1/22 </w:t>
      </w:r>
      <w:r w:rsidRPr="005B2395">
        <w:rPr>
          <w:rFonts w:cs="Arial"/>
          <w:iCs/>
          <w:lang w:val="de-DE"/>
        </w:rPr>
        <w:t>wiedergegeben ist</w:t>
      </w:r>
      <w:r w:rsidRPr="005B2395">
        <w:rPr>
          <w:lang w:val="de-DE"/>
        </w:rPr>
        <w:t>.</w:t>
      </w:r>
    </w:p>
    <w:p w14:paraId="7635781B" w14:textId="77777777" w:rsidR="00E95558" w:rsidRPr="005B2395" w:rsidRDefault="00E95558" w:rsidP="00E95558">
      <w:pPr>
        <w:rPr>
          <w:lang w:val="de-DE"/>
        </w:rPr>
      </w:pPr>
    </w:p>
    <w:p w14:paraId="7C4D9805" w14:textId="2F864165" w:rsidR="00E95558" w:rsidRPr="005B2395" w:rsidRDefault="00E95558" w:rsidP="00E95558">
      <w:pPr>
        <w:rPr>
          <w:rFonts w:cs="Arial"/>
          <w:iCs/>
          <w:lang w:val="de-DE"/>
        </w:rPr>
      </w:pPr>
      <w:r w:rsidRPr="005B2395">
        <w:rPr>
          <w:rFonts w:cs="Arial"/>
          <w:iCs/>
          <w:lang w:val="de-DE"/>
        </w:rPr>
        <w:fldChar w:fldCharType="begin"/>
      </w:r>
      <w:r w:rsidRPr="005B2395">
        <w:rPr>
          <w:rFonts w:cs="Arial"/>
          <w:iCs/>
          <w:lang w:val="de-DE"/>
        </w:rPr>
        <w:instrText xml:space="preserve"> AUTONUM  </w:instrText>
      </w:r>
      <w:r w:rsidRPr="005B2395">
        <w:rPr>
          <w:rFonts w:cs="Arial"/>
          <w:iCs/>
          <w:lang w:val="de-DE"/>
        </w:rPr>
        <w:fldChar w:fldCharType="end"/>
      </w:r>
      <w:r w:rsidRPr="005B2395">
        <w:rPr>
          <w:rFonts w:cs="Arial"/>
          <w:iCs/>
          <w:lang w:val="de-DE"/>
        </w:rPr>
        <w:tab/>
        <w:t>Die TWM nahm die von den Züchterorganisationen geäußerten Bedenken zur Kenntnis, dass die für die Prüfung einer Sorte bereitgestellten molekulare</w:t>
      </w:r>
      <w:r w:rsidR="005B2395">
        <w:rPr>
          <w:rFonts w:cs="Arial"/>
          <w:iCs/>
          <w:lang w:val="de-DE"/>
        </w:rPr>
        <w:t>n</w:t>
      </w:r>
      <w:r w:rsidRPr="005B2395">
        <w:rPr>
          <w:rFonts w:cs="Arial"/>
          <w:iCs/>
          <w:lang w:val="de-DE"/>
        </w:rPr>
        <w:t xml:space="preserve"> Informationen nicht ohne die Zustimmung des Züchters an Dritte außerhalb der Behörde, bei der der Antrag eingegangen ist, weitergegeben werden sollten. Die TWM nahm ferner die Bedenken zur Kenntnis, dass es den Züchtern an Klarheit und Informationen darüber fehle, wie molekulare Informationen verwendet und insbesondere weitergegeben würden.</w:t>
      </w:r>
    </w:p>
    <w:p w14:paraId="47CDED87" w14:textId="77777777" w:rsidR="00E95558" w:rsidRPr="005B2395" w:rsidRDefault="00E95558" w:rsidP="00E95558">
      <w:pPr>
        <w:rPr>
          <w:rFonts w:cs="Arial"/>
          <w:iCs/>
          <w:lang w:val="de-DE"/>
        </w:rPr>
      </w:pPr>
    </w:p>
    <w:p w14:paraId="421E3BAB" w14:textId="0805D47F" w:rsidR="00E95558" w:rsidRPr="005B2395" w:rsidRDefault="00E95558" w:rsidP="00E95558">
      <w:pPr>
        <w:rPr>
          <w:rFonts w:cs="Arial"/>
          <w:iCs/>
          <w:lang w:val="de-DE"/>
        </w:rPr>
      </w:pPr>
      <w:r w:rsidRPr="005B2395">
        <w:rPr>
          <w:rFonts w:cs="Arial"/>
          <w:iCs/>
          <w:lang w:val="de-DE"/>
        </w:rPr>
        <w:fldChar w:fldCharType="begin"/>
      </w:r>
      <w:r w:rsidRPr="005B2395">
        <w:rPr>
          <w:rFonts w:cs="Arial"/>
          <w:iCs/>
          <w:lang w:val="de-DE"/>
        </w:rPr>
        <w:instrText xml:space="preserve"> AUTONUM  </w:instrText>
      </w:r>
      <w:r w:rsidRPr="005B2395">
        <w:rPr>
          <w:rFonts w:cs="Arial"/>
          <w:iCs/>
          <w:lang w:val="de-DE"/>
        </w:rPr>
        <w:fldChar w:fldCharType="end"/>
      </w:r>
      <w:r w:rsidRPr="005B2395">
        <w:rPr>
          <w:rFonts w:cs="Arial"/>
          <w:iCs/>
          <w:lang w:val="de-DE"/>
        </w:rPr>
        <w:tab/>
        <w:t xml:space="preserve">Die TWM vereinbarte, dass eine weitere Klärung der Art der Informationen und des Verwendungszwecks der weiterzugebenden Daten (z. B. molekulare Abstände zwischen Sorten, </w:t>
      </w:r>
      <w:proofErr w:type="spellStart"/>
      <w:r w:rsidRPr="005B2395">
        <w:rPr>
          <w:rFonts w:cs="Arial"/>
          <w:iCs/>
          <w:lang w:val="de-DE"/>
        </w:rPr>
        <w:t>Genotypsequenzen</w:t>
      </w:r>
      <w:proofErr w:type="spellEnd"/>
      <w:r w:rsidRPr="005B2395">
        <w:rPr>
          <w:rFonts w:cs="Arial"/>
          <w:iCs/>
          <w:lang w:val="de-DE"/>
        </w:rPr>
        <w:t>), die einer Genehmigung bedürfen, erforderlich sei, bevor sie von Sortenämtern an andere Sortenämter weitergegeben w</w:t>
      </w:r>
      <w:r w:rsidR="005B2395">
        <w:rPr>
          <w:rFonts w:cs="Arial"/>
          <w:iCs/>
          <w:lang w:val="de-DE"/>
        </w:rPr>
        <w:t>ü</w:t>
      </w:r>
      <w:r w:rsidRPr="005B2395">
        <w:rPr>
          <w:rFonts w:cs="Arial"/>
          <w:iCs/>
          <w:lang w:val="de-DE"/>
        </w:rPr>
        <w:t xml:space="preserve">rden. </w:t>
      </w:r>
    </w:p>
    <w:p w14:paraId="1CE3F0FB" w14:textId="77777777" w:rsidR="00E95558" w:rsidRPr="005B2395" w:rsidRDefault="00E95558" w:rsidP="00E95558">
      <w:pPr>
        <w:rPr>
          <w:rFonts w:cs="Arial"/>
          <w:iCs/>
          <w:lang w:val="de-DE"/>
        </w:rPr>
      </w:pPr>
    </w:p>
    <w:p w14:paraId="6FA08933" w14:textId="77777777" w:rsidR="00E95558" w:rsidRPr="005B2395" w:rsidRDefault="00E95558" w:rsidP="00E95558">
      <w:pPr>
        <w:rPr>
          <w:rFonts w:cs="Arial"/>
          <w:iCs/>
          <w:lang w:val="de-DE"/>
        </w:rPr>
      </w:pPr>
      <w:r w:rsidRPr="005B2395">
        <w:rPr>
          <w:rFonts w:cs="Arial"/>
          <w:iCs/>
          <w:lang w:val="de-DE"/>
        </w:rPr>
        <w:fldChar w:fldCharType="begin"/>
      </w:r>
      <w:r w:rsidRPr="005B2395">
        <w:rPr>
          <w:rFonts w:cs="Arial"/>
          <w:iCs/>
          <w:lang w:val="de-DE"/>
        </w:rPr>
        <w:instrText xml:space="preserve"> AUTONUM  </w:instrText>
      </w:r>
      <w:r w:rsidRPr="005B2395">
        <w:rPr>
          <w:rFonts w:cs="Arial"/>
          <w:iCs/>
          <w:lang w:val="de-DE"/>
        </w:rPr>
        <w:fldChar w:fldCharType="end"/>
      </w:r>
      <w:r w:rsidRPr="005B2395">
        <w:rPr>
          <w:rFonts w:cs="Arial"/>
          <w:iCs/>
          <w:lang w:val="de-DE"/>
        </w:rPr>
        <w:tab/>
        <w:t>Die TWM vereinbarte, Mitglieder und Beobachter zu ersuchen, auf der zweiten Tagung der TWM über bestehende Richtlinien zur Vertraulichkeit von molekularen Informationen zu berichten.</w:t>
      </w:r>
    </w:p>
    <w:p w14:paraId="7CBC5652" w14:textId="77777777" w:rsidR="00E95558" w:rsidRPr="005B2395" w:rsidRDefault="00E95558" w:rsidP="00E95558">
      <w:pPr>
        <w:rPr>
          <w:rFonts w:cs="Arial"/>
          <w:iCs/>
          <w:lang w:val="de-DE"/>
        </w:rPr>
      </w:pPr>
    </w:p>
    <w:p w14:paraId="60487E19" w14:textId="77777777" w:rsidR="00E95558" w:rsidRPr="005B2395" w:rsidRDefault="00E95558" w:rsidP="00E95558">
      <w:pPr>
        <w:tabs>
          <w:tab w:val="left" w:pos="5387"/>
          <w:tab w:val="left" w:pos="5954"/>
        </w:tabs>
        <w:ind w:left="4820"/>
        <w:rPr>
          <w:i/>
          <w:lang w:val="de-DE"/>
        </w:rPr>
      </w:pPr>
      <w:r w:rsidRPr="005B2395">
        <w:rPr>
          <w:i/>
          <w:lang w:val="de-DE"/>
        </w:rPr>
        <w:fldChar w:fldCharType="begin"/>
      </w:r>
      <w:r w:rsidRPr="005B2395">
        <w:rPr>
          <w:i/>
          <w:lang w:val="de-DE"/>
        </w:rPr>
        <w:instrText xml:space="preserve"> AUTONUM  </w:instrText>
      </w:r>
      <w:r w:rsidRPr="005B2395">
        <w:rPr>
          <w:i/>
          <w:lang w:val="de-DE"/>
        </w:rPr>
        <w:fldChar w:fldCharType="end"/>
      </w:r>
      <w:r w:rsidRPr="005B2395">
        <w:rPr>
          <w:i/>
          <w:lang w:val="de-DE"/>
        </w:rPr>
        <w:tab/>
        <w:t>Der TC wird ersucht:</w:t>
      </w:r>
    </w:p>
    <w:p w14:paraId="581A7E17" w14:textId="77777777" w:rsidR="00E95558" w:rsidRPr="005B2395" w:rsidRDefault="00E95558" w:rsidP="00E95558">
      <w:pPr>
        <w:tabs>
          <w:tab w:val="left" w:pos="5387"/>
          <w:tab w:val="left" w:pos="5954"/>
        </w:tabs>
        <w:ind w:left="4820"/>
        <w:rPr>
          <w:i/>
          <w:lang w:val="de-DE"/>
        </w:rPr>
      </w:pPr>
    </w:p>
    <w:p w14:paraId="0B641F9C" w14:textId="77777777" w:rsidR="00E95558" w:rsidRPr="005B2395" w:rsidRDefault="00E95558" w:rsidP="00E95558">
      <w:pPr>
        <w:tabs>
          <w:tab w:val="left" w:pos="5387"/>
          <w:tab w:val="left" w:pos="5954"/>
        </w:tabs>
        <w:ind w:left="4820"/>
        <w:rPr>
          <w:i/>
          <w:lang w:val="de-DE"/>
        </w:rPr>
      </w:pPr>
      <w:r w:rsidRPr="005B2395">
        <w:rPr>
          <w:i/>
          <w:lang w:val="de-DE"/>
        </w:rPr>
        <w:t>a)</w:t>
      </w:r>
      <w:r w:rsidRPr="005B2395">
        <w:rPr>
          <w:i/>
          <w:lang w:val="de-DE"/>
        </w:rPr>
        <w:tab/>
        <w:t xml:space="preserve">die Erörterungen in den TWP auf ihren Tagungen im Jahr 2022 zu „Vertraulichkeit von und Eigentum an molekularen Informationen“ zur Kenntnis zu nehmen; </w:t>
      </w:r>
    </w:p>
    <w:p w14:paraId="1B1D62B0" w14:textId="77777777" w:rsidR="00E95558" w:rsidRPr="005B2395" w:rsidRDefault="00E95558" w:rsidP="00E95558">
      <w:pPr>
        <w:tabs>
          <w:tab w:val="left" w:pos="5387"/>
          <w:tab w:val="left" w:pos="5954"/>
        </w:tabs>
        <w:ind w:left="4820"/>
        <w:rPr>
          <w:i/>
          <w:lang w:val="de-DE"/>
        </w:rPr>
      </w:pPr>
    </w:p>
    <w:p w14:paraId="515FCA8F" w14:textId="77777777" w:rsidR="00E95558" w:rsidRPr="005B2395" w:rsidRDefault="00E95558" w:rsidP="00E95558">
      <w:pPr>
        <w:tabs>
          <w:tab w:val="left" w:pos="5387"/>
          <w:tab w:val="left" w:pos="5954"/>
        </w:tabs>
        <w:ind w:left="4820"/>
        <w:rPr>
          <w:rFonts w:cs="Arial"/>
          <w:i/>
          <w:iCs/>
          <w:lang w:val="de-DE"/>
        </w:rPr>
      </w:pPr>
      <w:r w:rsidRPr="005B2395">
        <w:rPr>
          <w:i/>
          <w:lang w:val="de-DE"/>
        </w:rPr>
        <w:t>b) die von den Züchterorganisationen in der TWM geäußerten Bedenken zur Kenntnis zu nehmen, dass die für die Prüfung einer Sorte bereitgestellten molekularen Informationen nicht ohne die Zustimmung des Züchters an Dritte außerhalb der Behörde, bei der der Antrag eingegangen ist, weitergegeben werden sollten</w:t>
      </w:r>
      <w:r w:rsidRPr="005B2395">
        <w:rPr>
          <w:rFonts w:cs="Arial"/>
          <w:i/>
          <w:iCs/>
          <w:lang w:val="de-DE"/>
        </w:rPr>
        <w:t>;</w:t>
      </w:r>
    </w:p>
    <w:p w14:paraId="62EABADF" w14:textId="77777777" w:rsidR="00E95558" w:rsidRPr="005B2395" w:rsidRDefault="00E95558" w:rsidP="00E95558">
      <w:pPr>
        <w:tabs>
          <w:tab w:val="left" w:pos="5387"/>
          <w:tab w:val="left" w:pos="5954"/>
        </w:tabs>
        <w:ind w:left="4820"/>
        <w:rPr>
          <w:i/>
          <w:lang w:val="de-DE"/>
        </w:rPr>
      </w:pPr>
    </w:p>
    <w:p w14:paraId="620FDE91" w14:textId="07B37059" w:rsidR="00E95558" w:rsidRPr="005B2395" w:rsidRDefault="00E95558" w:rsidP="00E95558">
      <w:pPr>
        <w:tabs>
          <w:tab w:val="left" w:pos="5387"/>
          <w:tab w:val="left" w:pos="5954"/>
        </w:tabs>
        <w:ind w:left="4820"/>
        <w:rPr>
          <w:i/>
          <w:lang w:val="de-DE"/>
        </w:rPr>
      </w:pPr>
      <w:r w:rsidRPr="005B2395">
        <w:rPr>
          <w:i/>
          <w:lang w:val="de-DE"/>
        </w:rPr>
        <w:t>c)</w:t>
      </w:r>
      <w:r w:rsidRPr="005B2395">
        <w:rPr>
          <w:i/>
          <w:lang w:val="de-DE"/>
        </w:rPr>
        <w:tab/>
        <w:t xml:space="preserve">zu prüfen, ob die Mitglieder </w:t>
      </w:r>
      <w:r w:rsidR="005B2395">
        <w:rPr>
          <w:i/>
          <w:lang w:val="de-DE"/>
        </w:rPr>
        <w:t>ersucht werden sollen</w:t>
      </w:r>
      <w:r w:rsidRPr="005B2395">
        <w:rPr>
          <w:i/>
          <w:lang w:val="de-DE"/>
        </w:rPr>
        <w:t>, Informationen über die Art und den Zweck der verwendeten und/oder weitergegebenen molekularen Informationen zu erteilen</w:t>
      </w:r>
      <w:r w:rsidRPr="005B2395">
        <w:rPr>
          <w:rFonts w:cs="Arial"/>
          <w:i/>
          <w:iCs/>
          <w:lang w:val="de-DE"/>
        </w:rPr>
        <w:t xml:space="preserve">; </w:t>
      </w:r>
      <w:r w:rsidRPr="005B2395">
        <w:rPr>
          <w:i/>
          <w:lang w:val="de-DE"/>
        </w:rPr>
        <w:t>und</w:t>
      </w:r>
    </w:p>
    <w:p w14:paraId="15DA4D8D" w14:textId="77777777" w:rsidR="00E95558" w:rsidRPr="005B2395" w:rsidRDefault="00E95558" w:rsidP="00E95558">
      <w:pPr>
        <w:tabs>
          <w:tab w:val="left" w:pos="5387"/>
          <w:tab w:val="left" w:pos="5954"/>
        </w:tabs>
        <w:ind w:left="4820"/>
        <w:rPr>
          <w:rFonts w:cs="Arial"/>
          <w:i/>
          <w:iCs/>
          <w:lang w:val="de-DE"/>
        </w:rPr>
      </w:pPr>
    </w:p>
    <w:p w14:paraId="72DDCAC6" w14:textId="552896E9" w:rsidR="00E95558" w:rsidRPr="005B2395" w:rsidRDefault="00E95558" w:rsidP="00E95558">
      <w:pPr>
        <w:tabs>
          <w:tab w:val="left" w:pos="5387"/>
          <w:tab w:val="left" w:pos="5954"/>
        </w:tabs>
        <w:ind w:left="4820"/>
        <w:rPr>
          <w:rFonts w:cs="Arial"/>
          <w:i/>
          <w:iCs/>
          <w:lang w:val="de-DE"/>
        </w:rPr>
      </w:pPr>
      <w:r w:rsidRPr="005B2395">
        <w:rPr>
          <w:rFonts w:cs="Arial"/>
          <w:i/>
          <w:iCs/>
          <w:lang w:val="de-DE"/>
        </w:rPr>
        <w:t>d)</w:t>
      </w:r>
      <w:r w:rsidRPr="005B2395">
        <w:rPr>
          <w:rFonts w:cs="Arial"/>
          <w:i/>
          <w:iCs/>
          <w:lang w:val="de-DE"/>
        </w:rPr>
        <w:tab/>
        <w:t xml:space="preserve">zu prüfen, ob die Mitglieder und Beobachter </w:t>
      </w:r>
      <w:r w:rsidR="005B2395">
        <w:rPr>
          <w:rFonts w:cs="Arial"/>
          <w:i/>
          <w:iCs/>
          <w:lang w:val="de-DE"/>
        </w:rPr>
        <w:t>ersucht werden sollen</w:t>
      </w:r>
      <w:r w:rsidRPr="005B2395">
        <w:rPr>
          <w:rFonts w:cs="Arial"/>
          <w:i/>
          <w:iCs/>
          <w:lang w:val="de-DE"/>
        </w:rPr>
        <w:t>, auf den Tagungen der TWP im Jahr 2023 über die bestehenden Richtlinien zur Vertraulichkeit von molekularen Informationen zu berichten.</w:t>
      </w:r>
    </w:p>
    <w:p w14:paraId="41B902BE" w14:textId="77777777" w:rsidR="00E95558" w:rsidRPr="005B2395" w:rsidRDefault="00E95558" w:rsidP="00E95558">
      <w:pPr>
        <w:tabs>
          <w:tab w:val="left" w:pos="5387"/>
          <w:tab w:val="left" w:pos="5954"/>
        </w:tabs>
        <w:ind w:left="4820"/>
        <w:rPr>
          <w:i/>
          <w:lang w:val="de-DE"/>
        </w:rPr>
      </w:pPr>
    </w:p>
    <w:p w14:paraId="71AB13C1" w14:textId="77777777" w:rsidR="00E95558" w:rsidRPr="005B2395" w:rsidRDefault="00E95558" w:rsidP="00E95558">
      <w:pPr>
        <w:pStyle w:val="DecisionParagraphs"/>
        <w:rPr>
          <w:lang w:val="de-DE"/>
        </w:rPr>
      </w:pPr>
    </w:p>
    <w:p w14:paraId="4B21C00F" w14:textId="77777777" w:rsidR="00E95558" w:rsidRPr="005B2395" w:rsidRDefault="00E95558" w:rsidP="00E95558">
      <w:pPr>
        <w:pStyle w:val="DecisionParagraphs"/>
        <w:rPr>
          <w:lang w:val="de-DE"/>
        </w:rPr>
      </w:pPr>
    </w:p>
    <w:p w14:paraId="68D1DD7B" w14:textId="77777777" w:rsidR="00E95558" w:rsidRPr="005B2395" w:rsidRDefault="00E95558" w:rsidP="00E95558">
      <w:pPr>
        <w:pStyle w:val="DecisionParagraphs"/>
        <w:rPr>
          <w:lang w:val="de-DE"/>
        </w:rPr>
      </w:pPr>
    </w:p>
    <w:p w14:paraId="562AB650" w14:textId="77777777" w:rsidR="00E95558" w:rsidRPr="005B2395" w:rsidRDefault="00E95558" w:rsidP="00E95558">
      <w:pPr>
        <w:pStyle w:val="DecisionParagraphs"/>
        <w:jc w:val="right"/>
        <w:rPr>
          <w:lang w:val="de-DE"/>
        </w:rPr>
        <w:sectPr w:rsidR="00E95558" w:rsidRPr="005B2395" w:rsidSect="00E95558">
          <w:headerReference w:type="default" r:id="rId8"/>
          <w:pgSz w:w="11907" w:h="16840" w:code="9"/>
          <w:pgMar w:top="510" w:right="1134" w:bottom="1134" w:left="1134" w:header="510" w:footer="680" w:gutter="0"/>
          <w:pgNumType w:start="1"/>
          <w:cols w:space="720"/>
          <w:titlePg/>
        </w:sectPr>
      </w:pPr>
      <w:r w:rsidRPr="005B2395">
        <w:rPr>
          <w:i w:val="0"/>
          <w:lang w:val="de-DE"/>
        </w:rPr>
        <w:t>[Anlage folgt]</w:t>
      </w:r>
      <w:bookmarkEnd w:id="7"/>
      <w:bookmarkEnd w:id="6"/>
      <w:bookmarkEnd w:id="5"/>
      <w:bookmarkEnd w:id="4"/>
    </w:p>
    <w:p w14:paraId="3FA0F3DA" w14:textId="77777777" w:rsidR="00E95558" w:rsidRPr="005B2395" w:rsidRDefault="00E95558" w:rsidP="00E95558">
      <w:pPr>
        <w:rPr>
          <w:lang w:val="de-DE"/>
        </w:rPr>
      </w:pPr>
    </w:p>
    <w:p w14:paraId="1CB7D567" w14:textId="77777777" w:rsidR="00E95558" w:rsidRPr="005B2395" w:rsidRDefault="00E95558" w:rsidP="00E95558">
      <w:pPr>
        <w:jc w:val="center"/>
        <w:rPr>
          <w:u w:val="single"/>
          <w:lang w:val="de-DE"/>
        </w:rPr>
      </w:pPr>
      <w:r w:rsidRPr="005B2395">
        <w:rPr>
          <w:u w:val="single"/>
          <w:lang w:val="de-DE"/>
        </w:rPr>
        <w:t>BEFRAGUNG ZUR VERWENDUNG MOLEKULARER MARKERVERFAHREN NACH PFLANZE</w:t>
      </w:r>
    </w:p>
    <w:p w14:paraId="538296C6" w14:textId="77777777" w:rsidR="00E95558" w:rsidRPr="005B2395" w:rsidRDefault="00E95558" w:rsidP="00E95558">
      <w:pPr>
        <w:rPr>
          <w:lang w:val="de-DE"/>
        </w:rPr>
      </w:pPr>
    </w:p>
    <w:p w14:paraId="53DF1946" w14:textId="77777777" w:rsidR="00E95558" w:rsidRPr="005B2395" w:rsidRDefault="00E95558" w:rsidP="00E95558">
      <w:pPr>
        <w:rPr>
          <w:rFonts w:eastAsia="Cambria"/>
          <w:lang w:val="de-DE"/>
        </w:rPr>
      </w:pPr>
    </w:p>
    <w:p w14:paraId="30D9691F" w14:textId="77777777" w:rsidR="00E95558" w:rsidRPr="005B2395" w:rsidRDefault="00E95558" w:rsidP="00E95558">
      <w:pPr>
        <w:rPr>
          <w:snapToGrid w:val="0"/>
          <w:lang w:val="de-DE"/>
        </w:rPr>
      </w:pPr>
    </w:p>
    <w:p w14:paraId="1FA2AA2C" w14:textId="77777777" w:rsidR="00E95558" w:rsidRPr="005B2395" w:rsidRDefault="00E95558" w:rsidP="00E95558">
      <w:pPr>
        <w:rPr>
          <w:snapToGrid w:val="0"/>
          <w:lang w:val="de-DE"/>
        </w:rPr>
      </w:pPr>
    </w:p>
    <w:p w14:paraId="3E6720A4" w14:textId="77777777" w:rsidR="00E95558" w:rsidRPr="005B2395" w:rsidRDefault="00E95558" w:rsidP="00E95558">
      <w:pPr>
        <w:jc w:val="center"/>
        <w:rPr>
          <w:rFonts w:cs="Arial"/>
          <w:i/>
          <w:noProof/>
          <w:u w:val="single"/>
          <w:lang w:val="de-DE"/>
        </w:rPr>
      </w:pPr>
      <w:r w:rsidRPr="005B2395">
        <w:rPr>
          <w:rFonts w:cs="Arial"/>
          <w:i/>
          <w:noProof/>
          <w:u w:val="single"/>
          <w:lang w:val="de-DE"/>
        </w:rPr>
        <w:t>Alle eingegangenen Antworten finden sich in der Excel-Tabelle</w:t>
      </w:r>
    </w:p>
    <w:p w14:paraId="155C186F" w14:textId="77777777" w:rsidR="00E95558" w:rsidRPr="005B2395" w:rsidRDefault="00E95558" w:rsidP="00E95558">
      <w:pPr>
        <w:rPr>
          <w:lang w:val="de-DE"/>
        </w:rPr>
      </w:pPr>
    </w:p>
    <w:p w14:paraId="09222089" w14:textId="77777777" w:rsidR="00E95558" w:rsidRPr="005B2395" w:rsidRDefault="00E95558" w:rsidP="00E95558">
      <w:pPr>
        <w:rPr>
          <w:u w:val="single"/>
          <w:lang w:val="de-DE"/>
        </w:rPr>
      </w:pPr>
    </w:p>
    <w:p w14:paraId="7D46E2CF" w14:textId="77777777" w:rsidR="00E95558" w:rsidRPr="005B2395" w:rsidRDefault="00E95558" w:rsidP="00E95558">
      <w:pPr>
        <w:rPr>
          <w:u w:val="single"/>
          <w:lang w:val="de-DE"/>
        </w:rPr>
      </w:pPr>
    </w:p>
    <w:p w14:paraId="23782480" w14:textId="77777777" w:rsidR="00E95558" w:rsidRPr="005B2395" w:rsidRDefault="00E95558" w:rsidP="00E95558">
      <w:pPr>
        <w:pStyle w:val="DecisionParagraphs"/>
        <w:jc w:val="right"/>
        <w:rPr>
          <w:i w:val="0"/>
          <w:lang w:val="de-DE"/>
        </w:rPr>
      </w:pPr>
      <w:r w:rsidRPr="005B2395">
        <w:rPr>
          <w:i w:val="0"/>
          <w:lang w:val="de-DE"/>
        </w:rPr>
        <w:t>[Anhang zur Anlage folgt]</w:t>
      </w:r>
    </w:p>
    <w:p w14:paraId="531CFB5F" w14:textId="77777777" w:rsidR="00E95558" w:rsidRPr="005B2395" w:rsidRDefault="00E95558" w:rsidP="00E95558">
      <w:pPr>
        <w:pStyle w:val="DecisionParagraphs"/>
        <w:rPr>
          <w:lang w:val="de-DE"/>
        </w:rPr>
      </w:pPr>
    </w:p>
    <w:p w14:paraId="19E4402F" w14:textId="77777777" w:rsidR="00E95558" w:rsidRPr="005B2395" w:rsidRDefault="00E95558" w:rsidP="00E95558">
      <w:pPr>
        <w:rPr>
          <w:u w:val="single"/>
          <w:lang w:val="de-DE"/>
        </w:rPr>
        <w:sectPr w:rsidR="00E95558" w:rsidRPr="005B2395" w:rsidSect="00EF6C3B">
          <w:headerReference w:type="default" r:id="rId9"/>
          <w:headerReference w:type="first" r:id="rId10"/>
          <w:pgSz w:w="11907" w:h="16840" w:code="9"/>
          <w:pgMar w:top="510" w:right="1134" w:bottom="1134" w:left="1134" w:header="510" w:footer="624" w:gutter="0"/>
          <w:pgNumType w:start="1"/>
          <w:cols w:space="720"/>
          <w:titlePg/>
          <w:docGrid w:linePitch="272"/>
        </w:sectPr>
      </w:pPr>
    </w:p>
    <w:p w14:paraId="647F084A" w14:textId="77777777" w:rsidR="00E95558" w:rsidRPr="005B2395" w:rsidRDefault="00E95558" w:rsidP="00E95558">
      <w:pPr>
        <w:rPr>
          <w:u w:val="single"/>
          <w:lang w:val="de-DE"/>
        </w:rPr>
      </w:pPr>
    </w:p>
    <w:p w14:paraId="786DE814" w14:textId="77777777" w:rsidR="00E95558" w:rsidRPr="005B2395" w:rsidRDefault="00E95558" w:rsidP="00E95558">
      <w:pPr>
        <w:rPr>
          <w:u w:val="single"/>
          <w:lang w:val="de-DE"/>
        </w:rPr>
      </w:pPr>
    </w:p>
    <w:p w14:paraId="2B6D485E" w14:textId="77777777" w:rsidR="00E95558" w:rsidRPr="005B2395" w:rsidRDefault="00E95558" w:rsidP="00E95558">
      <w:pPr>
        <w:rPr>
          <w:u w:val="single"/>
          <w:lang w:val="de-DE"/>
        </w:rPr>
      </w:pPr>
      <w:r w:rsidRPr="005B2395">
        <w:rPr>
          <w:u w:val="single"/>
          <w:lang w:val="de-DE"/>
        </w:rPr>
        <w:t>Antwort der Europäischen Union:</w:t>
      </w:r>
    </w:p>
    <w:p w14:paraId="1A7E16CB" w14:textId="77777777" w:rsidR="00E95558" w:rsidRPr="005B2395" w:rsidRDefault="00E95558" w:rsidP="00E95558">
      <w:pPr>
        <w:rPr>
          <w:lang w:val="de-DE"/>
        </w:rPr>
      </w:pPr>
    </w:p>
    <w:p w14:paraId="723D18A6" w14:textId="77777777" w:rsidR="00E95558" w:rsidRPr="005B2395" w:rsidRDefault="00E95558" w:rsidP="00E95558">
      <w:pPr>
        <w:rPr>
          <w:lang w:val="de-DE"/>
        </w:rPr>
      </w:pPr>
    </w:p>
    <w:p w14:paraId="2CE78D45" w14:textId="77777777" w:rsidR="00E95558" w:rsidRPr="005B2395" w:rsidRDefault="00E95558" w:rsidP="00E95558">
      <w:pPr>
        <w:jc w:val="center"/>
        <w:rPr>
          <w:rFonts w:eastAsia="Cambria"/>
          <w:lang w:val="de-DE"/>
        </w:rPr>
      </w:pPr>
      <w:r w:rsidRPr="005B2395">
        <w:rPr>
          <w:rFonts w:eastAsia="Cambria"/>
          <w:lang w:val="de-DE"/>
        </w:rPr>
        <w:t>VERWENDUNG MOLEKULARER MARKERVERFAHREN FÜR DIE DUS-PRÜFUNG IM RAHMEN DES GEMEINSCHAFTLICHEN SORTENSCHUTZES</w:t>
      </w:r>
    </w:p>
    <w:p w14:paraId="4A23585F" w14:textId="77777777" w:rsidR="00E95558" w:rsidRPr="005B2395" w:rsidRDefault="00E95558" w:rsidP="00E95558">
      <w:pPr>
        <w:rPr>
          <w:rFonts w:eastAsia="Cambria"/>
          <w:lang w:val="de-DE"/>
        </w:rPr>
      </w:pPr>
    </w:p>
    <w:p w14:paraId="49021937" w14:textId="77777777" w:rsidR="00E95558" w:rsidRPr="005B2395" w:rsidRDefault="00E95558" w:rsidP="00E95558">
      <w:pPr>
        <w:rPr>
          <w:rFonts w:eastAsia="Cambria"/>
          <w:lang w:val="de-DE"/>
        </w:rPr>
      </w:pPr>
    </w:p>
    <w:p w14:paraId="708E319D" w14:textId="77777777" w:rsidR="00E95558" w:rsidRPr="005B2395" w:rsidRDefault="00E95558" w:rsidP="00E95558">
      <w:pPr>
        <w:keepNext/>
        <w:outlineLvl w:val="1"/>
        <w:rPr>
          <w:rFonts w:eastAsia="Cambria"/>
          <w:u w:val="single"/>
          <w:lang w:val="de-DE"/>
        </w:rPr>
      </w:pPr>
      <w:bookmarkStart w:id="54" w:name="_Toc75251912"/>
      <w:bookmarkStart w:id="55" w:name="_Toc75260738"/>
      <w:bookmarkStart w:id="56" w:name="_Toc75263205"/>
      <w:bookmarkStart w:id="57" w:name="_Toc116064528"/>
      <w:bookmarkStart w:id="58" w:name="_Toc116156843"/>
      <w:r w:rsidRPr="005B2395">
        <w:rPr>
          <w:rFonts w:eastAsia="Cambria"/>
          <w:u w:val="single"/>
          <w:lang w:val="de-DE"/>
        </w:rPr>
        <w:t>Elemente des Kontexts</w:t>
      </w:r>
      <w:bookmarkEnd w:id="54"/>
      <w:bookmarkEnd w:id="55"/>
      <w:bookmarkEnd w:id="56"/>
      <w:bookmarkEnd w:id="57"/>
      <w:bookmarkEnd w:id="58"/>
    </w:p>
    <w:p w14:paraId="1A123DB0" w14:textId="77777777" w:rsidR="00E95558" w:rsidRPr="005B2395" w:rsidRDefault="00E95558" w:rsidP="00E95558">
      <w:pPr>
        <w:rPr>
          <w:rFonts w:eastAsia="Cambria"/>
          <w:lang w:val="de-DE"/>
        </w:rPr>
      </w:pPr>
    </w:p>
    <w:p w14:paraId="48D540E9" w14:textId="77777777" w:rsidR="00E95558" w:rsidRPr="005B2395" w:rsidRDefault="00E95558" w:rsidP="00E95558">
      <w:pPr>
        <w:rPr>
          <w:rFonts w:cs="Arial"/>
          <w:lang w:val="de-DE"/>
        </w:rPr>
      </w:pPr>
      <w:r w:rsidRPr="005B2395">
        <w:rPr>
          <w:rFonts w:cs="Arial"/>
          <w:lang w:val="de-DE"/>
        </w:rPr>
        <w:t>Der Technische Ausschuss (TC) der UPOV vereinbarte auf seiner fünfundfünfzigsten Tagung vom 28. und 29. Oktober 2019 in Genf, die Verbandsmitglieder zu ersuchen, eine Befragung als Grundlage für die Erstellung einer Bestandsaufnahme zur Verwendung molekularer Markerverfahren nach Pflanze in Abstimmung mit den OECD-Saatgutsystemen durchzuführen (vergleiche Dokument TC/55/25 „Bericht“, Absätze 184 und 185).</w:t>
      </w:r>
    </w:p>
    <w:p w14:paraId="3827F86C" w14:textId="77777777" w:rsidR="00E95558" w:rsidRPr="005B2395" w:rsidRDefault="00E95558" w:rsidP="00E95558">
      <w:pPr>
        <w:rPr>
          <w:rFonts w:cs="Arial"/>
          <w:lang w:val="de-DE"/>
        </w:rPr>
      </w:pPr>
    </w:p>
    <w:p w14:paraId="70720F8A" w14:textId="77777777" w:rsidR="00E95558" w:rsidRPr="005B2395" w:rsidRDefault="00E95558" w:rsidP="00E95558">
      <w:pPr>
        <w:rPr>
          <w:rFonts w:cs="Arial"/>
          <w:lang w:val="de-DE"/>
        </w:rPr>
      </w:pPr>
      <w:r w:rsidRPr="005B2395">
        <w:rPr>
          <w:rFonts w:cs="Arial"/>
          <w:lang w:val="de-DE"/>
        </w:rPr>
        <w:t xml:space="preserve">Vorbehaltlich der Billigung durch den Rat und in Abstimmung mit OECD und ISTA werden die Informationen über die von den Verbandsmitgliedern verwendeten molekularen Markerverfahren verwendet, um ein gemeinsames </w:t>
      </w:r>
      <w:r w:rsidRPr="005B2395">
        <w:rPr>
          <w:lang w:val="de-DE"/>
        </w:rPr>
        <w:t>Dokument von OECD, UPOV und ISTA</w:t>
      </w:r>
      <w:r w:rsidRPr="005B2395">
        <w:rPr>
          <w:rFonts w:cs="Arial"/>
          <w:lang w:val="de-DE"/>
        </w:rPr>
        <w:t xml:space="preserve"> mit diesen Informationen in einem ähnlichen Format wie das Dokument UPOV/INF/16 „Austauschbare Software“ zu erarbeiten.</w:t>
      </w:r>
    </w:p>
    <w:p w14:paraId="62CB05D6" w14:textId="77777777" w:rsidR="00E95558" w:rsidRPr="005B2395" w:rsidRDefault="00E95558" w:rsidP="00E95558">
      <w:pPr>
        <w:rPr>
          <w:rFonts w:cs="Arial"/>
          <w:lang w:val="de-DE"/>
        </w:rPr>
      </w:pPr>
    </w:p>
    <w:p w14:paraId="21ABC161" w14:textId="77777777" w:rsidR="00E95558" w:rsidRPr="005B2395" w:rsidRDefault="00E95558" w:rsidP="00E95558">
      <w:pPr>
        <w:rPr>
          <w:rFonts w:eastAsia="Cambria"/>
          <w:lang w:val="de-DE"/>
        </w:rPr>
      </w:pPr>
      <w:r w:rsidRPr="005B2395">
        <w:rPr>
          <w:rFonts w:cs="Arial"/>
          <w:lang w:val="de-DE"/>
        </w:rPr>
        <w:t>Das vorliegende Dokument stellt den Beitrag des CPVO zu dieser Befragung dar und beschreibt als solches die molekularen Markerverfahren, die für die DUS-Prüfung mit dem Ziel der Erteilung von gemeinschaftlichem Sortenschutz (CPVR) im Rahmen der CPVO-Politik verwendet werden können</w:t>
      </w:r>
      <w:r w:rsidRPr="005B2395">
        <w:rPr>
          <w:rFonts w:eastAsia="Cambria"/>
          <w:lang w:val="de-DE"/>
        </w:rPr>
        <w:t>.</w:t>
      </w:r>
    </w:p>
    <w:p w14:paraId="55266986" w14:textId="77777777" w:rsidR="00E95558" w:rsidRPr="005B2395" w:rsidRDefault="00E95558" w:rsidP="00E95558">
      <w:pPr>
        <w:keepNext/>
        <w:numPr>
          <w:ilvl w:val="0"/>
          <w:numId w:val="5"/>
        </w:numPr>
        <w:suppressAutoHyphens/>
        <w:spacing w:before="360" w:after="240"/>
        <w:jc w:val="left"/>
        <w:outlineLvl w:val="0"/>
        <w:rPr>
          <w:rFonts w:cs="Arial"/>
          <w:kern w:val="32"/>
          <w:szCs w:val="32"/>
          <w:lang w:val="de-DE"/>
        </w:rPr>
      </w:pPr>
      <w:bookmarkStart w:id="59" w:name="_Toc75251913"/>
      <w:bookmarkStart w:id="60" w:name="_Toc75260739"/>
      <w:bookmarkStart w:id="61" w:name="_Toc75263206"/>
      <w:bookmarkStart w:id="62" w:name="_Toc116064529"/>
      <w:bookmarkStart w:id="63" w:name="_Toc116156844"/>
      <w:r w:rsidRPr="005B2395">
        <w:rPr>
          <w:rFonts w:cs="Arial"/>
          <w:lang w:val="de-DE"/>
        </w:rPr>
        <w:t>Rechtlicher Rahmen für die Verwendung molekularer Verfahren bei der DUS-Prüfung für gemeinschaftlichen Sortenschutz</w:t>
      </w:r>
      <w:bookmarkEnd w:id="59"/>
      <w:bookmarkEnd w:id="60"/>
      <w:bookmarkEnd w:id="61"/>
      <w:bookmarkEnd w:id="62"/>
      <w:bookmarkEnd w:id="63"/>
    </w:p>
    <w:p w14:paraId="3DAB17DD" w14:textId="77777777" w:rsidR="00E95558" w:rsidRPr="005B2395" w:rsidRDefault="00E95558" w:rsidP="00E95558">
      <w:pPr>
        <w:rPr>
          <w:rFonts w:cs="Arial"/>
          <w:lang w:val="de-DE"/>
        </w:rPr>
      </w:pPr>
      <w:r w:rsidRPr="005B2395">
        <w:rPr>
          <w:rFonts w:cs="Arial"/>
          <w:lang w:val="de-DE"/>
        </w:rPr>
        <w:t>Der rechtliche Rahmen für die Durchführung der DUS-Prüfung für gemeinschaftlichen Sortenschutz umfasst die CPVO-Grundverordnung 2100/94 (BR) und ihre Durchführungsbestimmungen, die technischen Protokolle (TP) des CPVO und die von der UPOV angenommenen Anleitungsdokumente.</w:t>
      </w:r>
    </w:p>
    <w:p w14:paraId="67BF5F7C" w14:textId="77777777" w:rsidR="00E95558" w:rsidRPr="005B2395" w:rsidRDefault="00E95558" w:rsidP="00E95558">
      <w:pPr>
        <w:rPr>
          <w:rFonts w:cs="Arial"/>
          <w:lang w:val="de-DE"/>
        </w:rPr>
      </w:pPr>
    </w:p>
    <w:p w14:paraId="33BF0EF6" w14:textId="77777777" w:rsidR="00E95558" w:rsidRPr="005B2395" w:rsidRDefault="00E95558" w:rsidP="00E95558">
      <w:pPr>
        <w:rPr>
          <w:rFonts w:cs="Arial"/>
          <w:lang w:val="de-DE"/>
        </w:rPr>
      </w:pPr>
      <w:r w:rsidRPr="005B2395">
        <w:rPr>
          <w:rFonts w:cs="Arial"/>
          <w:lang w:val="de-DE"/>
        </w:rPr>
        <w:t>Das CPVO führt die DUS-Prüfung nicht selbst durch, sondern, wie in Artikel 56 (BR) festgelegt, „veranlasst die technische Prüfung [...] durch das zuständige Amt oder die zuständigen Ämter in mindestens einem der Mitgliedstaaten, denen vom Verwaltungsrat die technische Prüfung von Sorten der betreffenden Taxons übertragen wurde“.</w:t>
      </w:r>
    </w:p>
    <w:p w14:paraId="43ADB0F5" w14:textId="77777777" w:rsidR="00E95558" w:rsidRPr="005B2395" w:rsidRDefault="00E95558" w:rsidP="00E95558">
      <w:pPr>
        <w:rPr>
          <w:rFonts w:cs="Arial"/>
          <w:lang w:val="de-DE"/>
        </w:rPr>
      </w:pPr>
    </w:p>
    <w:p w14:paraId="796A8CAE" w14:textId="77777777" w:rsidR="00E95558" w:rsidRPr="005B2395" w:rsidRDefault="00E95558" w:rsidP="00E95558">
      <w:pPr>
        <w:rPr>
          <w:rFonts w:cs="Arial"/>
          <w:lang w:val="de-DE"/>
        </w:rPr>
      </w:pPr>
      <w:r w:rsidRPr="005B2395">
        <w:rPr>
          <w:rFonts w:cs="Arial"/>
          <w:lang w:val="de-DE"/>
        </w:rPr>
        <w:t>Bei der Durchführung einer technischen Prüfung „[...] bauen die Prüfungsämter bei der technischen Prüfung die Sorte an oder führen die sonst erforderlichen Untersuchungen durch“ (Artikel 56-BR). Molekulare Verfahren können somit zur Unterstützung der DUS-Prüfung durch die beauftragten Prüfungsämter verwendet werden, vorausgesetzt, dass die technische Prüfung gemäß den vom Verwaltungsrat des CPVO herausgegebenen Prüfungsrichtlinien durchgeführt wird.</w:t>
      </w:r>
    </w:p>
    <w:p w14:paraId="07A3DBB6" w14:textId="77777777" w:rsidR="00E95558" w:rsidRPr="005B2395" w:rsidRDefault="00E95558" w:rsidP="00E95558">
      <w:pPr>
        <w:rPr>
          <w:rFonts w:cs="Arial"/>
          <w:lang w:val="de-DE"/>
        </w:rPr>
      </w:pPr>
    </w:p>
    <w:p w14:paraId="34308932" w14:textId="77777777" w:rsidR="00E95558" w:rsidRPr="005B2395" w:rsidRDefault="00E95558" w:rsidP="00E95558">
      <w:pPr>
        <w:rPr>
          <w:rFonts w:cs="Arial"/>
          <w:lang w:val="de-DE"/>
        </w:rPr>
      </w:pPr>
      <w:r w:rsidRPr="005B2395">
        <w:rPr>
          <w:rFonts w:cs="Arial"/>
          <w:lang w:val="de-DE"/>
        </w:rPr>
        <w:t>Da die gleichen Richtlinien sowohl für den Sortenschutz als auch für die Eintragung in der EU verwendet werden, sind auch die Richtlinien für die Gemeinschaftlichen Kataloge (Richtlinien 2002/53/EG und 2002/55/EG des Rates) zu berücksichtigen. Dementsprechend soll die Zulassung von Sorten auf den Ergebnissen amtlicher Prüfungen, insbesondere Anbauprüfungen, beruhen, die eine für die zu beschreibende Sorte ausreichende Anzahl an Merkmalen abdecken. Daher dürfen molekulare Verfahren nur als ergänzende Hilfsmittel zusätzlich zu den Anbauprüfungen verwendet werden.</w:t>
      </w:r>
    </w:p>
    <w:p w14:paraId="450BFFDB" w14:textId="77777777" w:rsidR="00E95558" w:rsidRPr="005B2395" w:rsidRDefault="00E95558" w:rsidP="00E95558">
      <w:pPr>
        <w:rPr>
          <w:rFonts w:cs="Arial"/>
          <w:lang w:val="de-DE"/>
        </w:rPr>
      </w:pPr>
    </w:p>
    <w:p w14:paraId="78635357" w14:textId="77777777" w:rsidR="00E95558" w:rsidRPr="005B2395" w:rsidRDefault="00E95558" w:rsidP="00E95558">
      <w:pPr>
        <w:rPr>
          <w:rFonts w:cs="Arial"/>
          <w:lang w:val="de-DE"/>
        </w:rPr>
      </w:pPr>
      <w:r w:rsidRPr="005B2395">
        <w:rPr>
          <w:rFonts w:cs="Arial"/>
          <w:lang w:val="de-DE"/>
        </w:rPr>
        <w:t>Als ein UPOV-Mitglied respektiert das CPVO den vereinbarten Rahmen für die Verwendung molekularer Verfahren bei der DUS-Prüfung, wie in Dokumenten UPOV/INF/18 (vom Rat der UPOV im Jahr 2011 angenommen) und UPOV/TGP/15/3 (vom Rat der UPOV im Jahr 2020 angenommen) dargelegt. Genauer gesagt unterstützt das CPVO die Verwendung molekularer Hilfsmittel durch das Netzwerk der von ihm beauftragten Prüfungsämter gemäß den Modellen, die hinsichtlich ihrer Vereinbarkeit mit dem UPOV-Übereinkommen positiv bewertet wurden</w:t>
      </w:r>
      <w:r w:rsidRPr="005B2395">
        <w:rPr>
          <w:rFonts w:eastAsia="Cambria"/>
          <w:lang w:val="de-DE"/>
        </w:rPr>
        <w:t>.</w:t>
      </w:r>
      <w:r w:rsidRPr="005B2395">
        <w:rPr>
          <w:rFonts w:cs="Arial"/>
          <w:kern w:val="32"/>
          <w:szCs w:val="32"/>
          <w:lang w:val="de-DE"/>
        </w:rPr>
        <w:tab/>
      </w:r>
    </w:p>
    <w:p w14:paraId="15812832" w14:textId="77777777" w:rsidR="00E95558" w:rsidRPr="005B2395" w:rsidRDefault="00E95558" w:rsidP="00E95558">
      <w:pPr>
        <w:keepNext/>
        <w:numPr>
          <w:ilvl w:val="0"/>
          <w:numId w:val="5"/>
        </w:numPr>
        <w:suppressAutoHyphens/>
        <w:spacing w:before="360" w:after="240"/>
        <w:jc w:val="left"/>
        <w:outlineLvl w:val="0"/>
        <w:rPr>
          <w:rFonts w:cs="Arial"/>
          <w:kern w:val="32"/>
          <w:szCs w:val="32"/>
          <w:lang w:val="de-DE"/>
        </w:rPr>
      </w:pPr>
      <w:bookmarkStart w:id="64" w:name="_Toc75251914"/>
      <w:bookmarkStart w:id="65" w:name="_Toc75260740"/>
      <w:bookmarkStart w:id="66" w:name="_Toc75263207"/>
      <w:bookmarkStart w:id="67" w:name="_Toc116064530"/>
      <w:bookmarkStart w:id="68" w:name="_Toc116156845"/>
      <w:r w:rsidRPr="005B2395">
        <w:rPr>
          <w:rFonts w:cs="Arial"/>
          <w:lang w:val="de-DE"/>
        </w:rPr>
        <w:t>Vom CPVO unterstützte Modelle und Beispiele für die Anwendung</w:t>
      </w:r>
      <w:bookmarkEnd w:id="64"/>
      <w:bookmarkEnd w:id="65"/>
      <w:bookmarkEnd w:id="66"/>
      <w:bookmarkEnd w:id="67"/>
      <w:bookmarkEnd w:id="68"/>
    </w:p>
    <w:p w14:paraId="16EFB5BF" w14:textId="77777777" w:rsidR="00E95558" w:rsidRPr="005B2395" w:rsidRDefault="00E95558" w:rsidP="00E95558">
      <w:pPr>
        <w:keepNext/>
        <w:numPr>
          <w:ilvl w:val="1"/>
          <w:numId w:val="5"/>
        </w:numPr>
        <w:suppressAutoHyphens/>
        <w:spacing w:before="360" w:after="240"/>
        <w:jc w:val="left"/>
        <w:outlineLvl w:val="1"/>
        <w:rPr>
          <w:rFonts w:cs="Arial"/>
          <w:kern w:val="32"/>
          <w:lang w:val="de-DE"/>
        </w:rPr>
      </w:pPr>
      <w:bookmarkStart w:id="69" w:name="_Toc75251915"/>
      <w:bookmarkStart w:id="70" w:name="_Toc75260741"/>
      <w:bookmarkStart w:id="71" w:name="_Toc75263208"/>
      <w:bookmarkStart w:id="72" w:name="_Toc116064531"/>
      <w:bookmarkStart w:id="73" w:name="_Toc116156846"/>
      <w:r w:rsidRPr="005B2395">
        <w:rPr>
          <w:rFonts w:cs="Arial"/>
          <w:lang w:val="de-DE"/>
        </w:rPr>
        <w:t>Merkmalsspezifische Marker</w:t>
      </w:r>
      <w:bookmarkEnd w:id="69"/>
      <w:bookmarkEnd w:id="70"/>
      <w:bookmarkEnd w:id="71"/>
      <w:bookmarkEnd w:id="72"/>
      <w:bookmarkEnd w:id="73"/>
    </w:p>
    <w:p w14:paraId="051C20FB" w14:textId="77777777" w:rsidR="00E95558" w:rsidRPr="005B2395" w:rsidRDefault="00E95558" w:rsidP="00E95558">
      <w:pPr>
        <w:rPr>
          <w:rFonts w:eastAsia="Cambria"/>
          <w:lang w:val="de-DE"/>
        </w:rPr>
      </w:pPr>
      <w:r w:rsidRPr="005B2395">
        <w:rPr>
          <w:rFonts w:cs="Arial"/>
          <w:lang w:val="de-DE"/>
        </w:rPr>
        <w:t>Molekulare Marker können als eine Alternative zur phänotypischen Erfassung verwendet werden, als Prädiktoren für herkömmliche Merkmale, die schwierig oder umständlich zu erfassen sind, wenn ein eindeutiger Zusammenhang besteht. Sie können entweder vollständig oder teilweise mit dem Phänotyp korreliert werden. Diese Verfahren werden in die technischen Protokolle des CPVO auf der Grundlage einer Bewertung/Validierung und von Vorschlägen der Pflanzensachverständigengruppen des CPVO aufgenommen</w:t>
      </w:r>
      <w:r w:rsidRPr="005B2395">
        <w:rPr>
          <w:rFonts w:eastAsia="Cambria"/>
          <w:lang w:val="de-DE"/>
        </w:rPr>
        <w:t xml:space="preserve">. </w:t>
      </w:r>
    </w:p>
    <w:p w14:paraId="2329E054" w14:textId="77777777" w:rsidR="00E95558" w:rsidRPr="005B2395" w:rsidRDefault="00E95558" w:rsidP="00E95558">
      <w:pPr>
        <w:keepNext/>
        <w:numPr>
          <w:ilvl w:val="2"/>
          <w:numId w:val="5"/>
        </w:numPr>
        <w:suppressAutoHyphens/>
        <w:spacing w:before="360" w:after="240"/>
        <w:jc w:val="left"/>
        <w:outlineLvl w:val="2"/>
        <w:rPr>
          <w:rFonts w:eastAsia="Cambria" w:cs="Arial"/>
          <w:bCs/>
          <w:lang w:val="de-DE"/>
        </w:rPr>
      </w:pPr>
      <w:bookmarkStart w:id="74" w:name="_Toc75251916"/>
      <w:bookmarkStart w:id="75" w:name="_Toc75260742"/>
      <w:bookmarkStart w:id="76" w:name="_Toc75263209"/>
      <w:bookmarkStart w:id="77" w:name="_Toc116064532"/>
      <w:bookmarkStart w:id="78" w:name="_Toc116156847"/>
      <w:r w:rsidRPr="005B2395">
        <w:rPr>
          <w:rFonts w:cs="Arial"/>
          <w:lang w:val="de-DE"/>
        </w:rPr>
        <w:t>Marker, die zu 100% mit einer gegebenen Ausprägungsstufe des Merkmals korreliert sind</w:t>
      </w:r>
      <w:bookmarkEnd w:id="74"/>
      <w:bookmarkEnd w:id="75"/>
      <w:bookmarkEnd w:id="76"/>
      <w:bookmarkEnd w:id="77"/>
      <w:bookmarkEnd w:id="78"/>
    </w:p>
    <w:p w14:paraId="188FB143" w14:textId="77777777" w:rsidR="00E95558" w:rsidRPr="005B2395" w:rsidRDefault="00E95558" w:rsidP="00E95558">
      <w:pPr>
        <w:rPr>
          <w:rFonts w:eastAsia="Cambria"/>
          <w:lang w:val="de-DE"/>
        </w:rPr>
      </w:pPr>
      <w:r w:rsidRPr="005B2395">
        <w:rPr>
          <w:rFonts w:cs="Arial"/>
          <w:lang w:val="de-DE"/>
        </w:rPr>
        <w:t>In diesem Fall kann der Marker die phänotypische Erfassung ersetzen</w:t>
      </w:r>
      <w:r w:rsidRPr="005B2395">
        <w:rPr>
          <w:rFonts w:eastAsia="Cambria"/>
          <w:lang w:val="de-DE"/>
        </w:rPr>
        <w:t>.</w:t>
      </w:r>
    </w:p>
    <w:p w14:paraId="5B901A66" w14:textId="77777777" w:rsidR="00E95558" w:rsidRPr="005B2395" w:rsidRDefault="00E95558" w:rsidP="00E95558">
      <w:pPr>
        <w:rPr>
          <w:rFonts w:eastAsia="Cambria"/>
          <w:lang w:val="de-DE"/>
        </w:rPr>
      </w:pPr>
    </w:p>
    <w:p w14:paraId="4251AAB3" w14:textId="77777777" w:rsidR="00E95558" w:rsidRPr="005B2395" w:rsidRDefault="00E95558" w:rsidP="00E95558">
      <w:pPr>
        <w:rPr>
          <w:rFonts w:eastAsia="Cambria"/>
          <w:lang w:val="de-DE"/>
        </w:rPr>
      </w:pPr>
      <w:r w:rsidRPr="005B2395">
        <w:rPr>
          <w:rFonts w:cs="Arial"/>
          <w:lang w:val="de-DE"/>
        </w:rPr>
        <w:t>Beispiele für betroffene Merkmale</w:t>
      </w:r>
      <w:r w:rsidRPr="005B2395">
        <w:rPr>
          <w:rFonts w:eastAsia="Cambria"/>
          <w:lang w:val="de-DE"/>
        </w:rPr>
        <w:t>:</w:t>
      </w:r>
    </w:p>
    <w:p w14:paraId="520E613B" w14:textId="77777777" w:rsidR="00E95558" w:rsidRPr="005B2395" w:rsidRDefault="00E95558" w:rsidP="00E95558">
      <w:pPr>
        <w:ind w:left="567"/>
        <w:rPr>
          <w:rFonts w:eastAsia="Cambria"/>
          <w:lang w:val="de-DE"/>
        </w:rPr>
      </w:pPr>
      <w:r w:rsidRPr="005B2395">
        <w:rPr>
          <w:rFonts w:eastAsia="Cambria"/>
          <w:lang w:val="de-DE"/>
        </w:rPr>
        <w:t xml:space="preserve">- Resistenzen gegen mono- oder </w:t>
      </w:r>
      <w:proofErr w:type="spellStart"/>
      <w:r w:rsidRPr="005B2395">
        <w:rPr>
          <w:rFonts w:eastAsia="Cambria"/>
          <w:lang w:val="de-DE"/>
        </w:rPr>
        <w:t>oligogene</w:t>
      </w:r>
      <w:proofErr w:type="spellEnd"/>
      <w:r w:rsidRPr="005B2395">
        <w:rPr>
          <w:rFonts w:eastAsia="Cambria"/>
          <w:lang w:val="de-DE"/>
        </w:rPr>
        <w:t xml:space="preserve"> Krankheitsresistenzen (z. B. Krankheiten bei Gemüse, Resistenz gegen </w:t>
      </w:r>
      <w:proofErr w:type="spellStart"/>
      <w:r w:rsidRPr="005B2395">
        <w:rPr>
          <w:rFonts w:eastAsia="Cambria"/>
          <w:lang w:val="de-DE"/>
        </w:rPr>
        <w:t>Nematode</w:t>
      </w:r>
      <w:proofErr w:type="spellEnd"/>
      <w:r w:rsidRPr="005B2395">
        <w:rPr>
          <w:rFonts w:eastAsia="Cambria"/>
          <w:lang w:val="de-DE"/>
        </w:rPr>
        <w:t xml:space="preserve"> </w:t>
      </w:r>
      <w:proofErr w:type="spellStart"/>
      <w:r w:rsidRPr="005B2395">
        <w:rPr>
          <w:rFonts w:eastAsia="Cambria"/>
          <w:lang w:val="de-DE"/>
        </w:rPr>
        <w:t>Heterodera</w:t>
      </w:r>
      <w:proofErr w:type="spellEnd"/>
      <w:r w:rsidRPr="005B2395">
        <w:rPr>
          <w:rFonts w:eastAsia="Cambria"/>
          <w:lang w:val="de-DE"/>
        </w:rPr>
        <w:t xml:space="preserve"> </w:t>
      </w:r>
      <w:proofErr w:type="spellStart"/>
      <w:r w:rsidRPr="005B2395">
        <w:rPr>
          <w:rFonts w:eastAsia="Cambria"/>
          <w:lang w:val="de-DE"/>
        </w:rPr>
        <w:t>schachtii</w:t>
      </w:r>
      <w:proofErr w:type="spellEnd"/>
      <w:r w:rsidRPr="005B2395">
        <w:rPr>
          <w:rFonts w:eastAsia="Cambria"/>
          <w:lang w:val="de-DE"/>
        </w:rPr>
        <w:t xml:space="preserve"> bei Zuckerrübe)</w:t>
      </w:r>
    </w:p>
    <w:p w14:paraId="0CB4E3DC" w14:textId="77777777" w:rsidR="00E95558" w:rsidRPr="005B2395" w:rsidRDefault="00E95558" w:rsidP="00E95558">
      <w:pPr>
        <w:ind w:left="567"/>
        <w:rPr>
          <w:rFonts w:eastAsia="Cambria"/>
          <w:lang w:val="de-DE"/>
        </w:rPr>
      </w:pPr>
      <w:r w:rsidRPr="005B2395">
        <w:rPr>
          <w:rFonts w:eastAsia="Cambria"/>
          <w:lang w:val="de-DE"/>
        </w:rPr>
        <w:t>- CMS (zytoplasmatische männliche Sterilität) bei Kohl</w:t>
      </w:r>
    </w:p>
    <w:p w14:paraId="12963715" w14:textId="77777777" w:rsidR="00E95558" w:rsidRPr="005B2395" w:rsidRDefault="00E95558" w:rsidP="00E95558">
      <w:pPr>
        <w:ind w:left="567"/>
        <w:rPr>
          <w:rFonts w:eastAsia="Cambria"/>
          <w:lang w:val="de-DE"/>
        </w:rPr>
      </w:pPr>
      <w:r w:rsidRPr="005B2395">
        <w:rPr>
          <w:rFonts w:eastAsia="Cambria"/>
          <w:lang w:val="de-DE"/>
        </w:rPr>
        <w:t>- Herbizide (z.B. Sonnenblume, Raps)</w:t>
      </w:r>
    </w:p>
    <w:p w14:paraId="27CBD109" w14:textId="77777777" w:rsidR="00E95558" w:rsidRPr="005B2395" w:rsidRDefault="00E95558" w:rsidP="00E95558">
      <w:pPr>
        <w:rPr>
          <w:rFonts w:eastAsia="Cambria"/>
          <w:lang w:val="de-DE"/>
        </w:rPr>
      </w:pPr>
    </w:p>
    <w:p w14:paraId="511F06C8" w14:textId="77777777" w:rsidR="00E95558" w:rsidRPr="005B2395" w:rsidRDefault="00E95558" w:rsidP="00E95558">
      <w:pPr>
        <w:rPr>
          <w:rFonts w:eastAsia="Cambria"/>
          <w:lang w:val="de-DE"/>
        </w:rPr>
      </w:pPr>
      <w:r w:rsidRPr="005B2395">
        <w:rPr>
          <w:rFonts w:cs="Arial"/>
          <w:lang w:val="de-DE"/>
        </w:rPr>
        <w:t>Bislang wurde keiner dieser Marker in die technischen Protokolle des CPVO aufgenommen</w:t>
      </w:r>
      <w:r w:rsidRPr="005B2395">
        <w:rPr>
          <w:rFonts w:eastAsia="Cambria"/>
          <w:lang w:val="de-DE"/>
        </w:rPr>
        <w:t>.</w:t>
      </w:r>
    </w:p>
    <w:p w14:paraId="2E540F8F" w14:textId="77777777" w:rsidR="00E95558" w:rsidRPr="005B2395" w:rsidRDefault="00E95558" w:rsidP="00E95558">
      <w:pPr>
        <w:keepNext/>
        <w:numPr>
          <w:ilvl w:val="2"/>
          <w:numId w:val="5"/>
        </w:numPr>
        <w:suppressAutoHyphens/>
        <w:spacing w:before="360" w:after="240"/>
        <w:jc w:val="left"/>
        <w:outlineLvl w:val="2"/>
        <w:rPr>
          <w:rFonts w:eastAsia="Cambria" w:cs="Arial"/>
          <w:bCs/>
          <w:lang w:val="de-DE"/>
        </w:rPr>
      </w:pPr>
      <w:bookmarkStart w:id="79" w:name="_Toc75251917"/>
      <w:bookmarkStart w:id="80" w:name="_Toc75260743"/>
      <w:bookmarkStart w:id="81" w:name="_Toc75263210"/>
      <w:bookmarkStart w:id="82" w:name="_Toc116064533"/>
      <w:bookmarkStart w:id="83" w:name="_Toc116156848"/>
      <w:r w:rsidRPr="005B2395">
        <w:rPr>
          <w:rFonts w:cs="Arial"/>
          <w:lang w:val="de-DE"/>
        </w:rPr>
        <w:t>Marker, die unvollständige Informationen über die Ausprägungsstufe des Merkmals liefern</w:t>
      </w:r>
      <w:bookmarkEnd w:id="79"/>
      <w:bookmarkEnd w:id="80"/>
      <w:bookmarkEnd w:id="81"/>
      <w:bookmarkEnd w:id="82"/>
      <w:bookmarkEnd w:id="83"/>
    </w:p>
    <w:p w14:paraId="69E59FD0" w14:textId="77777777" w:rsidR="00E95558" w:rsidRPr="005B2395" w:rsidRDefault="00E95558" w:rsidP="00E95558">
      <w:pPr>
        <w:rPr>
          <w:rFonts w:eastAsia="Cambria"/>
          <w:lang w:val="de-DE"/>
        </w:rPr>
      </w:pPr>
      <w:r w:rsidRPr="005B2395">
        <w:rPr>
          <w:rFonts w:cs="Arial"/>
          <w:lang w:val="de-DE"/>
        </w:rPr>
        <w:t>In diesem Fall ist der Marker nur teilweise mit dem Merkmal gekoppelt und gibt unvollständige Informationen über die Ausprägungsstufe des Merkmals. Seine Verwendung muss in einem Bewertungsschema beschrieben werden, das genau angibt, in welchen Situationen er verwendet werden kann und wann er durch eine phänotypische Erfassung ergänzt werden muss</w:t>
      </w:r>
      <w:r w:rsidRPr="005B2395">
        <w:rPr>
          <w:rFonts w:eastAsia="Cambria"/>
          <w:lang w:val="de-DE"/>
        </w:rPr>
        <w:t>.</w:t>
      </w:r>
    </w:p>
    <w:p w14:paraId="2930D79D" w14:textId="77777777" w:rsidR="00E95558" w:rsidRPr="005B2395" w:rsidRDefault="00E95558" w:rsidP="00E95558">
      <w:pPr>
        <w:rPr>
          <w:rFonts w:eastAsia="Cambria"/>
          <w:lang w:val="de-DE"/>
        </w:rPr>
      </w:pPr>
    </w:p>
    <w:p w14:paraId="51CC6ED6" w14:textId="77777777" w:rsidR="00E95558" w:rsidRPr="005B2395" w:rsidRDefault="00E95558" w:rsidP="00E95558">
      <w:pPr>
        <w:rPr>
          <w:rFonts w:cs="Arial"/>
          <w:lang w:val="de-DE"/>
        </w:rPr>
      </w:pPr>
      <w:r w:rsidRPr="005B2395">
        <w:rPr>
          <w:rFonts w:cs="Arial"/>
          <w:lang w:val="de-DE"/>
        </w:rPr>
        <w:t>Beispiele für betroffene Merkmale: quantitative Krankheitsresistenzen bei Gemüse, wie</w:t>
      </w:r>
    </w:p>
    <w:p w14:paraId="2AC4E88D" w14:textId="77777777" w:rsidR="00E95558" w:rsidRPr="005B2395" w:rsidRDefault="00E95558" w:rsidP="00E95558">
      <w:pPr>
        <w:ind w:left="567"/>
        <w:rPr>
          <w:rFonts w:eastAsia="Cambria"/>
          <w:lang w:val="de-DE"/>
        </w:rPr>
      </w:pPr>
      <w:r w:rsidRPr="005B2395">
        <w:rPr>
          <w:rFonts w:eastAsia="Cambria"/>
          <w:lang w:val="de-DE"/>
        </w:rPr>
        <w:t>- Tomatenmosaikvirus (</w:t>
      </w:r>
      <w:proofErr w:type="spellStart"/>
      <w:r w:rsidRPr="005B2395">
        <w:rPr>
          <w:rFonts w:eastAsia="Cambria"/>
          <w:lang w:val="de-DE"/>
        </w:rPr>
        <w:t>ToMV</w:t>
      </w:r>
      <w:proofErr w:type="spellEnd"/>
      <w:r w:rsidRPr="005B2395">
        <w:rPr>
          <w:rFonts w:eastAsia="Cambria"/>
          <w:lang w:val="de-DE"/>
        </w:rPr>
        <w:t>)</w:t>
      </w:r>
    </w:p>
    <w:p w14:paraId="5F1A36C6" w14:textId="77777777" w:rsidR="00E95558" w:rsidRPr="005B2395" w:rsidRDefault="00E95558" w:rsidP="00E95558">
      <w:pPr>
        <w:ind w:left="567"/>
        <w:rPr>
          <w:rFonts w:eastAsia="Cambria"/>
          <w:lang w:val="de-DE"/>
        </w:rPr>
      </w:pPr>
      <w:r w:rsidRPr="005B2395">
        <w:rPr>
          <w:rFonts w:eastAsia="Cambria"/>
          <w:lang w:val="de-DE"/>
        </w:rPr>
        <w:t>- Tomatenbronzefleckenvirus (TSWV)</w:t>
      </w:r>
    </w:p>
    <w:p w14:paraId="0BB423B3" w14:textId="77777777" w:rsidR="00E95558" w:rsidRPr="005B2395" w:rsidRDefault="00E95558" w:rsidP="00E95558">
      <w:pPr>
        <w:rPr>
          <w:rFonts w:eastAsia="Cambria"/>
          <w:lang w:val="de-DE"/>
        </w:rPr>
      </w:pPr>
    </w:p>
    <w:p w14:paraId="18CA2E5F" w14:textId="77777777" w:rsidR="00E95558" w:rsidRPr="005B2395" w:rsidRDefault="00E95558" w:rsidP="00E95558">
      <w:pPr>
        <w:rPr>
          <w:rFonts w:eastAsia="Cambria"/>
          <w:lang w:val="de-DE"/>
        </w:rPr>
      </w:pPr>
      <w:r w:rsidRPr="005B2395">
        <w:rPr>
          <w:rFonts w:cs="Arial"/>
          <w:lang w:val="de-DE"/>
        </w:rPr>
        <w:t xml:space="preserve">Die beiden Sätze von </w:t>
      </w:r>
      <w:proofErr w:type="spellStart"/>
      <w:r w:rsidRPr="005B2395">
        <w:rPr>
          <w:rFonts w:cs="Arial"/>
          <w:lang w:val="de-DE"/>
        </w:rPr>
        <w:t>kodominanten</w:t>
      </w:r>
      <w:proofErr w:type="spellEnd"/>
      <w:r w:rsidRPr="005B2395">
        <w:rPr>
          <w:rFonts w:cs="Arial"/>
          <w:lang w:val="de-DE"/>
        </w:rPr>
        <w:t xml:space="preserve"> Markern, die für diese beiden Tomatenviren entwickelt wurden, wurden in die technischen Protokolle des CPVO für Tomate (4.4-2) und Tomatenunterlagen (1.4) als eine potentielle Alternative zu den Biotests in bestimmten Fällen aufgenommen</w:t>
      </w:r>
      <w:r w:rsidRPr="005B2395">
        <w:rPr>
          <w:rFonts w:eastAsia="Cambria"/>
          <w:lang w:val="de-DE"/>
        </w:rPr>
        <w:t>.</w:t>
      </w:r>
    </w:p>
    <w:p w14:paraId="1F61A9A9" w14:textId="77777777" w:rsidR="00E95558" w:rsidRPr="005B2395" w:rsidRDefault="00E95558" w:rsidP="00E95558">
      <w:pPr>
        <w:keepNext/>
        <w:numPr>
          <w:ilvl w:val="1"/>
          <w:numId w:val="5"/>
        </w:numPr>
        <w:suppressAutoHyphens/>
        <w:spacing w:before="360" w:after="240"/>
        <w:jc w:val="left"/>
        <w:outlineLvl w:val="1"/>
        <w:rPr>
          <w:rFonts w:cs="Arial"/>
          <w:kern w:val="32"/>
          <w:lang w:val="de-DE"/>
        </w:rPr>
      </w:pPr>
      <w:bookmarkStart w:id="84" w:name="_Toc75251918"/>
      <w:bookmarkStart w:id="85" w:name="_Toc75260744"/>
      <w:bookmarkStart w:id="86" w:name="_Toc75263211"/>
      <w:bookmarkStart w:id="87" w:name="_Toc116064534"/>
      <w:bookmarkStart w:id="88" w:name="_Toc116156849"/>
      <w:r w:rsidRPr="005B2395">
        <w:rPr>
          <w:rFonts w:cs="Arial"/>
          <w:lang w:val="de-DE"/>
        </w:rPr>
        <w:t>Verwaltung von Sortensammlungen</w:t>
      </w:r>
      <w:bookmarkEnd w:id="84"/>
      <w:bookmarkEnd w:id="85"/>
      <w:bookmarkEnd w:id="86"/>
      <w:bookmarkEnd w:id="87"/>
      <w:bookmarkEnd w:id="88"/>
    </w:p>
    <w:p w14:paraId="00B68640" w14:textId="77777777" w:rsidR="00E95558" w:rsidRPr="005B2395" w:rsidRDefault="00E95558" w:rsidP="00E95558">
      <w:pPr>
        <w:keepNext/>
        <w:numPr>
          <w:ilvl w:val="2"/>
          <w:numId w:val="5"/>
        </w:numPr>
        <w:suppressAutoHyphens/>
        <w:spacing w:before="360" w:after="240"/>
        <w:jc w:val="left"/>
        <w:outlineLvl w:val="2"/>
        <w:rPr>
          <w:rFonts w:eastAsia="Cambria" w:cs="Arial"/>
          <w:bCs/>
          <w:lang w:val="de-DE"/>
        </w:rPr>
      </w:pPr>
      <w:bookmarkStart w:id="89" w:name="_Toc75251919"/>
      <w:bookmarkStart w:id="90" w:name="_Toc75260745"/>
      <w:bookmarkStart w:id="91" w:name="_Toc75263212"/>
      <w:bookmarkStart w:id="92" w:name="_Toc116064535"/>
      <w:bookmarkStart w:id="93" w:name="_Toc116156850"/>
      <w:r w:rsidRPr="005B2395">
        <w:rPr>
          <w:rFonts w:cs="Arial"/>
          <w:lang w:val="de-DE"/>
        </w:rPr>
        <w:t>Kombination von molekularen und phänotypischen Schwellenwerten zum Ausschluss von super-unterscheidbaren Sorten aus der zweiten Anbauprüfung</w:t>
      </w:r>
      <w:bookmarkEnd w:id="89"/>
      <w:bookmarkEnd w:id="90"/>
      <w:bookmarkEnd w:id="91"/>
      <w:bookmarkEnd w:id="92"/>
      <w:bookmarkEnd w:id="93"/>
    </w:p>
    <w:p w14:paraId="7548EE28" w14:textId="77777777" w:rsidR="00E95558" w:rsidRPr="005B2395" w:rsidRDefault="00E95558" w:rsidP="00E95558">
      <w:pPr>
        <w:rPr>
          <w:rFonts w:eastAsia="Cambria"/>
          <w:lang w:val="de-DE"/>
        </w:rPr>
      </w:pPr>
      <w:r w:rsidRPr="005B2395">
        <w:rPr>
          <w:rFonts w:cs="Arial"/>
          <w:lang w:val="de-DE"/>
        </w:rPr>
        <w:t>In diesem Modell werden zwei unabhängige Schwellenwerte für die Auswahl von ähnlichen Sorten festgelegt, die in die Anbauprüfung einbezogen werden sollen. Der erste Schwellenwert basiert auf den Informationen morphologischer Merkmale und der zweite auf einem genetischen Abstand, der unter Verwendung eines Satzes von Markern berechnet wird, die über das gesamte Genom verteilt sind. Außer bei morphologisch sehr ähnlichen Sorten müssen Vergleichssorten, die die beiden Schwellenwerte überschreiten, nicht in die Anbauprüfung einbezogen werden (sie werden als „super-unterscheidbar“ betrachtet</w:t>
      </w:r>
      <w:r w:rsidRPr="005B2395">
        <w:rPr>
          <w:rFonts w:eastAsia="Cambria"/>
          <w:lang w:val="de-DE"/>
        </w:rPr>
        <w:t>).</w:t>
      </w:r>
    </w:p>
    <w:p w14:paraId="09E57B7B" w14:textId="77777777" w:rsidR="00E95558" w:rsidRPr="005B2395" w:rsidRDefault="00E95558" w:rsidP="00E95558">
      <w:pPr>
        <w:rPr>
          <w:rFonts w:eastAsia="Cambria"/>
          <w:lang w:val="de-DE"/>
        </w:rPr>
      </w:pPr>
    </w:p>
    <w:p w14:paraId="43BEE1F2" w14:textId="77777777" w:rsidR="00E95558" w:rsidRPr="005B2395" w:rsidRDefault="00E95558" w:rsidP="00E95558">
      <w:pPr>
        <w:rPr>
          <w:rFonts w:eastAsia="Cambria"/>
          <w:lang w:val="de-DE"/>
        </w:rPr>
      </w:pPr>
      <w:r w:rsidRPr="005B2395">
        <w:rPr>
          <w:rFonts w:cs="Arial"/>
          <w:lang w:val="de-DE"/>
        </w:rPr>
        <w:t>Dieses Modell wird von bestimmten beauftragten Prüfungsämtern routinemäßig für Arten wie Mais, Salat, Weizen und Gerste angewandt und wird derzeit im Rahmen von F&amp;E-Projekten, die vom CPVO mitfinanziert werden, für Raps getestet</w:t>
      </w:r>
      <w:r w:rsidRPr="005B2395">
        <w:rPr>
          <w:rFonts w:eastAsia="Cambria"/>
          <w:lang w:val="de-DE"/>
        </w:rPr>
        <w:t>.</w:t>
      </w:r>
    </w:p>
    <w:p w14:paraId="0CEEC69A" w14:textId="77777777" w:rsidR="00E95558" w:rsidRPr="005B2395" w:rsidRDefault="00E95558" w:rsidP="00E95558">
      <w:pPr>
        <w:jc w:val="left"/>
        <w:rPr>
          <w:rFonts w:eastAsia="Cambria"/>
          <w:lang w:val="de-DE"/>
        </w:rPr>
      </w:pPr>
      <w:r w:rsidRPr="005B2395">
        <w:rPr>
          <w:rFonts w:eastAsia="Cambria"/>
          <w:lang w:val="de-DE"/>
        </w:rPr>
        <w:br w:type="page"/>
      </w:r>
    </w:p>
    <w:p w14:paraId="3F45B293" w14:textId="77777777" w:rsidR="00E95558" w:rsidRPr="005B2395" w:rsidRDefault="00E95558" w:rsidP="00E95558">
      <w:pPr>
        <w:keepNext/>
        <w:numPr>
          <w:ilvl w:val="2"/>
          <w:numId w:val="5"/>
        </w:numPr>
        <w:suppressAutoHyphens/>
        <w:spacing w:before="360" w:after="240"/>
        <w:jc w:val="left"/>
        <w:outlineLvl w:val="2"/>
        <w:rPr>
          <w:rFonts w:eastAsia="Cambria" w:cs="Arial"/>
          <w:bCs/>
          <w:lang w:val="de-DE"/>
        </w:rPr>
      </w:pPr>
      <w:bookmarkStart w:id="94" w:name="_Toc116064536"/>
      <w:bookmarkStart w:id="95" w:name="_Toc116156851"/>
      <w:r w:rsidRPr="005B2395">
        <w:rPr>
          <w:rFonts w:eastAsia="Cambria" w:cs="Arial"/>
          <w:bCs/>
          <w:lang w:val="de-DE"/>
        </w:rPr>
        <w:t>Genetische Auswahl von ähnlichen Sorten für die erste Anbauprüfung</w:t>
      </w:r>
      <w:bookmarkEnd w:id="94"/>
      <w:bookmarkEnd w:id="95"/>
    </w:p>
    <w:p w14:paraId="6FE086D1" w14:textId="77777777" w:rsidR="00E95558" w:rsidRPr="005B2395" w:rsidRDefault="00E95558" w:rsidP="00E95558">
      <w:pPr>
        <w:rPr>
          <w:rFonts w:eastAsia="Cambria" w:cs="Arial"/>
          <w:bCs/>
          <w:lang w:val="de-DE"/>
        </w:rPr>
      </w:pPr>
      <w:r w:rsidRPr="005B2395">
        <w:rPr>
          <w:rFonts w:eastAsia="Cambria" w:cs="Arial"/>
          <w:bCs/>
          <w:lang w:val="de-DE"/>
        </w:rPr>
        <w:t xml:space="preserve">Die Kandidatensorte wird unter Verwendung eines definierten Satzes von Markern </w:t>
      </w:r>
      <w:proofErr w:type="spellStart"/>
      <w:r w:rsidRPr="005B2395">
        <w:rPr>
          <w:rFonts w:eastAsia="Cambria" w:cs="Arial"/>
          <w:bCs/>
          <w:lang w:val="de-DE"/>
        </w:rPr>
        <w:t>genotypisiert</w:t>
      </w:r>
      <w:proofErr w:type="spellEnd"/>
      <w:r w:rsidRPr="005B2395">
        <w:rPr>
          <w:rFonts w:eastAsia="Cambria" w:cs="Arial"/>
          <w:bCs/>
          <w:lang w:val="de-DE"/>
        </w:rPr>
        <w:t xml:space="preserve"> und ihr Profil wird mit den Sorten aus der Vergleichssammlung verglichen. Alle Vergleichssorten mit einer genetischen Ähnlichkeit zu der Kandidatensorte, die höher als ein bestimmter Prozentsatz (z. B. 80 %) ist, sind in die erste Wachstumsperiode einzubeziehen, alle anderen werden ausgeschlossen.</w:t>
      </w:r>
    </w:p>
    <w:p w14:paraId="13A102D4" w14:textId="77777777" w:rsidR="00E95558" w:rsidRPr="005B2395" w:rsidRDefault="00E95558" w:rsidP="00E95558">
      <w:pPr>
        <w:rPr>
          <w:rFonts w:eastAsia="Cambria" w:cs="Arial"/>
          <w:bCs/>
          <w:lang w:val="de-DE"/>
        </w:rPr>
      </w:pPr>
    </w:p>
    <w:p w14:paraId="22F63F15" w14:textId="77777777" w:rsidR="00E95558" w:rsidRPr="005B2395" w:rsidRDefault="00E95558" w:rsidP="00E95558">
      <w:pPr>
        <w:rPr>
          <w:rFonts w:eastAsia="Cambria" w:cs="Arial"/>
          <w:bCs/>
          <w:lang w:val="de-DE"/>
        </w:rPr>
      </w:pPr>
      <w:r w:rsidRPr="005B2395">
        <w:rPr>
          <w:rFonts w:eastAsia="Cambria" w:cs="Arial"/>
          <w:bCs/>
          <w:lang w:val="de-DE"/>
        </w:rPr>
        <w:t xml:space="preserve">Während der ersten Wachstumsperiode wird die Kandidatensorte auf Homogenität geprüft und gemäß dem technischen Protokoll morphologisch beschrieben. Ihre morphologische Beschreibung wird dann in </w:t>
      </w:r>
      <w:proofErr w:type="spellStart"/>
      <w:r w:rsidRPr="005B2395">
        <w:rPr>
          <w:rFonts w:eastAsia="Cambria" w:cs="Arial"/>
          <w:bCs/>
          <w:lang w:val="de-DE"/>
        </w:rPr>
        <w:t>silico</w:t>
      </w:r>
      <w:proofErr w:type="spellEnd"/>
      <w:r w:rsidRPr="005B2395">
        <w:rPr>
          <w:rFonts w:eastAsia="Cambria" w:cs="Arial"/>
          <w:bCs/>
          <w:lang w:val="de-DE"/>
        </w:rPr>
        <w:t xml:space="preserve"> mit den Beschreibungen aller Vergleichssorten verglichen.</w:t>
      </w:r>
    </w:p>
    <w:p w14:paraId="5BDEC7B8" w14:textId="77777777" w:rsidR="00E95558" w:rsidRPr="005B2395" w:rsidRDefault="00E95558" w:rsidP="00E95558">
      <w:pPr>
        <w:rPr>
          <w:rFonts w:eastAsia="Cambria" w:cs="Arial"/>
          <w:bCs/>
          <w:lang w:val="de-DE"/>
        </w:rPr>
      </w:pPr>
    </w:p>
    <w:p w14:paraId="0CA0B570" w14:textId="77777777" w:rsidR="00E95558" w:rsidRPr="005B2395" w:rsidRDefault="00E95558" w:rsidP="00E95558">
      <w:pPr>
        <w:rPr>
          <w:rFonts w:eastAsia="Cambria" w:cs="Arial"/>
          <w:bCs/>
          <w:i/>
          <w:iCs/>
          <w:sz w:val="16"/>
          <w:szCs w:val="16"/>
          <w:lang w:val="de-DE"/>
        </w:rPr>
      </w:pPr>
      <w:r w:rsidRPr="005B2395">
        <w:rPr>
          <w:rFonts w:eastAsia="Cambria" w:cs="Arial"/>
          <w:bCs/>
          <w:i/>
          <w:iCs/>
          <w:sz w:val="16"/>
          <w:szCs w:val="16"/>
          <w:lang w:val="de-DE"/>
        </w:rPr>
        <w:t>Anmerkung: Die morphologischen Beschreibungen der Vergleichssorten, die für den In-</w:t>
      </w:r>
      <w:proofErr w:type="spellStart"/>
      <w:r w:rsidRPr="005B2395">
        <w:rPr>
          <w:rFonts w:eastAsia="Cambria" w:cs="Arial"/>
          <w:bCs/>
          <w:i/>
          <w:iCs/>
          <w:sz w:val="16"/>
          <w:szCs w:val="16"/>
          <w:lang w:val="de-DE"/>
        </w:rPr>
        <w:t>silico</w:t>
      </w:r>
      <w:proofErr w:type="spellEnd"/>
      <w:r w:rsidRPr="005B2395">
        <w:rPr>
          <w:rFonts w:eastAsia="Cambria" w:cs="Arial"/>
          <w:bCs/>
          <w:i/>
          <w:iCs/>
          <w:sz w:val="16"/>
          <w:szCs w:val="16"/>
          <w:lang w:val="de-DE"/>
        </w:rPr>
        <w:t>-Vergleich verwendet werden, müssen auf den Erfassungen des Prüfungsamts basieren (interne Sortenbeschreibungen). Wenn die verwendeten Sortenbeschreibungen nicht intern erstellt werden, können sie nur verwendet werden, wenn die Notationsskalen zwischen den Prüfungsämtern, die sie erstellen und verwenden, harmonisiert wurden (z. B. durch Ringtests).</w:t>
      </w:r>
    </w:p>
    <w:p w14:paraId="0C5D4A21" w14:textId="77777777" w:rsidR="00E95558" w:rsidRPr="005B2395" w:rsidRDefault="00E95558" w:rsidP="00E95558">
      <w:pPr>
        <w:rPr>
          <w:rFonts w:eastAsia="Cambria" w:cs="Arial"/>
          <w:bCs/>
          <w:lang w:val="de-DE"/>
        </w:rPr>
      </w:pPr>
    </w:p>
    <w:p w14:paraId="71F18F8E" w14:textId="77777777" w:rsidR="00E95558" w:rsidRPr="005B2395" w:rsidRDefault="00E95558" w:rsidP="00E95558">
      <w:pPr>
        <w:rPr>
          <w:rFonts w:eastAsia="Cambria" w:cs="Arial"/>
          <w:bCs/>
          <w:lang w:val="de-DE"/>
        </w:rPr>
      </w:pPr>
      <w:r w:rsidRPr="005B2395">
        <w:rPr>
          <w:rFonts w:eastAsia="Cambria" w:cs="Arial"/>
          <w:bCs/>
          <w:lang w:val="de-DE"/>
        </w:rPr>
        <w:t>Die Vergleichssorten, die als morphologisch ähnlich zu der Kandidatensorte identifiziert werden, werden zum Vergleich in eine zweite Anbauprüfung einbezogen. Wenn die Sorte in der ersten Wachstumsperiode deutlich von den ähnlichen Sorten unterscheidbar ist und keine ähnlichen Sorten aufgrund der Sortenbeschreibung nach der ersten Wachstumsperiode festgestellt werden, kann nach einer Wachstumsperiode eine positive Entscheidung über die Unterscheidbarkeit getroffen werden.</w:t>
      </w:r>
    </w:p>
    <w:p w14:paraId="5B1D23EF" w14:textId="77777777" w:rsidR="00E95558" w:rsidRPr="005B2395" w:rsidRDefault="00E95558" w:rsidP="00E95558">
      <w:pPr>
        <w:rPr>
          <w:rFonts w:eastAsia="Cambria" w:cs="Arial"/>
          <w:bCs/>
          <w:lang w:val="de-DE"/>
        </w:rPr>
      </w:pPr>
    </w:p>
    <w:p w14:paraId="07F870A7" w14:textId="77777777" w:rsidR="00E95558" w:rsidRPr="005B2395" w:rsidRDefault="00E95558" w:rsidP="00E95558">
      <w:pPr>
        <w:rPr>
          <w:rFonts w:eastAsia="Cambria" w:cs="Arial"/>
          <w:bCs/>
          <w:lang w:val="de-DE"/>
        </w:rPr>
      </w:pPr>
      <w:r w:rsidRPr="005B2395">
        <w:rPr>
          <w:rFonts w:eastAsia="Cambria" w:cs="Arial"/>
          <w:bCs/>
          <w:lang w:val="de-DE"/>
        </w:rPr>
        <w:t>Dieses Modell wird von bestimmten beauftragten Prüfungsämtern für Arten wie Gartenbohne und Kartoffel angewandt. Es wird derzeit für Hartweizen getestet und soll durch vom CPVO mitfinanzierte F&amp;E-Projekte für Tomate und Hanf erforscht werden.</w:t>
      </w:r>
    </w:p>
    <w:p w14:paraId="61066E90" w14:textId="77777777" w:rsidR="00E95558" w:rsidRPr="005B2395" w:rsidRDefault="00E95558" w:rsidP="00E95558">
      <w:pPr>
        <w:rPr>
          <w:rFonts w:eastAsia="Cambria" w:cs="Arial"/>
          <w:bCs/>
          <w:lang w:val="de-DE"/>
        </w:rPr>
      </w:pPr>
    </w:p>
    <w:p w14:paraId="4ECC777C" w14:textId="77777777" w:rsidR="00E95558" w:rsidRPr="005B2395" w:rsidRDefault="00E95558" w:rsidP="00E95558">
      <w:pPr>
        <w:rPr>
          <w:rFonts w:eastAsia="Cambria" w:cs="Arial"/>
          <w:bCs/>
          <w:lang w:val="de-DE"/>
        </w:rPr>
      </w:pPr>
      <w:r w:rsidRPr="005B2395">
        <w:rPr>
          <w:rFonts w:eastAsia="Cambria" w:cs="Arial"/>
          <w:bCs/>
          <w:lang w:val="de-DE"/>
        </w:rPr>
        <w:t xml:space="preserve">Die Verfahren werden von Sortensachverständigengruppen des CPOV bewertet. </w:t>
      </w:r>
    </w:p>
    <w:p w14:paraId="15109C7A" w14:textId="77777777" w:rsidR="00E95558" w:rsidRPr="005B2395" w:rsidRDefault="00E95558" w:rsidP="00E95558">
      <w:pPr>
        <w:rPr>
          <w:rFonts w:eastAsia="Cambria" w:cs="Arial"/>
          <w:bCs/>
          <w:lang w:val="de-DE"/>
        </w:rPr>
      </w:pPr>
    </w:p>
    <w:p w14:paraId="394FB249" w14:textId="77777777" w:rsidR="00E95558" w:rsidRPr="005B2395" w:rsidRDefault="00E95558" w:rsidP="00E95558">
      <w:pPr>
        <w:pStyle w:val="ListParagraph"/>
        <w:numPr>
          <w:ilvl w:val="1"/>
          <w:numId w:val="5"/>
        </w:numPr>
        <w:rPr>
          <w:rFonts w:eastAsia="Cambria" w:cs="Arial"/>
          <w:bCs/>
          <w:lang w:val="de-DE"/>
        </w:rPr>
      </w:pPr>
      <w:r w:rsidRPr="005B2395">
        <w:rPr>
          <w:rFonts w:eastAsia="Cambria" w:cs="Arial"/>
          <w:bCs/>
          <w:lang w:val="de-DE"/>
        </w:rPr>
        <w:t>Andere Verwendungen</w:t>
      </w:r>
    </w:p>
    <w:p w14:paraId="41777CAD" w14:textId="77777777" w:rsidR="00E95558" w:rsidRPr="005B2395" w:rsidRDefault="00E95558" w:rsidP="00E95558">
      <w:pPr>
        <w:pStyle w:val="ListParagraph"/>
        <w:ind w:left="567"/>
        <w:rPr>
          <w:rFonts w:eastAsia="Cambria" w:cs="Arial"/>
          <w:bCs/>
          <w:lang w:val="de-DE"/>
        </w:rPr>
      </w:pPr>
    </w:p>
    <w:p w14:paraId="1FF6D0BE" w14:textId="77777777" w:rsidR="00E95558" w:rsidRPr="005B2395" w:rsidRDefault="00E95558" w:rsidP="00E95558">
      <w:pPr>
        <w:rPr>
          <w:rFonts w:eastAsia="Cambria" w:cs="Arial"/>
          <w:bCs/>
          <w:lang w:val="de-DE"/>
        </w:rPr>
      </w:pPr>
      <w:r w:rsidRPr="005B2395">
        <w:rPr>
          <w:rFonts w:eastAsia="Cambria" w:cs="Arial"/>
          <w:bCs/>
          <w:lang w:val="de-DE"/>
        </w:rPr>
        <w:t>2.3.1.</w:t>
      </w:r>
      <w:r w:rsidRPr="005B2395">
        <w:rPr>
          <w:rFonts w:eastAsia="Cambria" w:cs="Arial"/>
          <w:bCs/>
          <w:lang w:val="de-DE"/>
        </w:rPr>
        <w:tab/>
        <w:t>Identifizierung bei der Unterstützung bei der Erhaltung von Sortensammlungen</w:t>
      </w:r>
    </w:p>
    <w:p w14:paraId="5AB2BEF8" w14:textId="77777777" w:rsidR="00E95558" w:rsidRPr="005B2395" w:rsidRDefault="00E95558" w:rsidP="00E95558">
      <w:pPr>
        <w:rPr>
          <w:rFonts w:eastAsia="Cambria" w:cs="Arial"/>
          <w:bCs/>
          <w:lang w:val="de-DE"/>
        </w:rPr>
      </w:pPr>
    </w:p>
    <w:p w14:paraId="165527E8" w14:textId="77777777" w:rsidR="00E95558" w:rsidRPr="005B2395" w:rsidRDefault="00E95558" w:rsidP="00E95558">
      <w:pPr>
        <w:rPr>
          <w:rFonts w:eastAsia="Cambria" w:cs="Arial"/>
          <w:bCs/>
          <w:lang w:val="de-DE"/>
        </w:rPr>
      </w:pPr>
      <w:r w:rsidRPr="005B2395">
        <w:rPr>
          <w:rFonts w:eastAsia="Cambria" w:cs="Arial"/>
          <w:bCs/>
          <w:lang w:val="de-DE"/>
        </w:rPr>
        <w:t>Alle in den vorstehenden Beispielen verwendeten molekularen Marker können zu Identifikationszwecken bei der Unterstützung der Erhaltung von Vergleichssammlungen verwendet werden.</w:t>
      </w:r>
    </w:p>
    <w:p w14:paraId="5BE8B3C4" w14:textId="77777777" w:rsidR="00E95558" w:rsidRPr="005B2395" w:rsidRDefault="00E95558" w:rsidP="00E95558">
      <w:pPr>
        <w:rPr>
          <w:rFonts w:eastAsia="Cambria" w:cs="Arial"/>
          <w:bCs/>
          <w:lang w:val="de-DE"/>
        </w:rPr>
      </w:pPr>
    </w:p>
    <w:p w14:paraId="094540CC" w14:textId="77777777" w:rsidR="00E95558" w:rsidRPr="005B2395" w:rsidRDefault="00E95558" w:rsidP="00E95558">
      <w:pPr>
        <w:rPr>
          <w:rFonts w:eastAsia="Cambria" w:cs="Arial"/>
          <w:bCs/>
          <w:lang w:val="de-DE"/>
        </w:rPr>
      </w:pPr>
      <w:r w:rsidRPr="005B2395">
        <w:rPr>
          <w:rFonts w:eastAsia="Cambria" w:cs="Arial"/>
          <w:bCs/>
          <w:lang w:val="de-DE"/>
        </w:rPr>
        <w:t xml:space="preserve">Zusätzlich können auch andere molekulare Markersätze für Identifizierungszwecke von bestimmten beauftragten Prüfungsämtern für Arten wie Rose, Kirschbaum, Pfirsich, Rebe, </w:t>
      </w:r>
      <w:proofErr w:type="spellStart"/>
      <w:r w:rsidRPr="005B2395">
        <w:rPr>
          <w:rFonts w:eastAsia="Cambria" w:cs="Arial"/>
          <w:bCs/>
          <w:lang w:val="de-DE"/>
        </w:rPr>
        <w:t>Zitrus</w:t>
      </w:r>
      <w:proofErr w:type="spellEnd"/>
      <w:r w:rsidRPr="005B2395">
        <w:rPr>
          <w:rFonts w:eastAsia="Cambria" w:cs="Arial"/>
          <w:bCs/>
          <w:lang w:val="de-DE"/>
        </w:rPr>
        <w:t xml:space="preserve"> usw. verwendet werden. Diese Sätze können zwischen Prüfungsämtern harmonisiert sein (z. B. Kartoffel dank eines vom CPVO unterstützten Projekts) oder nicht. </w:t>
      </w:r>
    </w:p>
    <w:p w14:paraId="40D37660" w14:textId="77777777" w:rsidR="00E95558" w:rsidRPr="005B2395" w:rsidRDefault="00E95558" w:rsidP="00E95558">
      <w:pPr>
        <w:rPr>
          <w:rFonts w:eastAsia="Cambria" w:cs="Arial"/>
          <w:bCs/>
          <w:lang w:val="de-DE"/>
        </w:rPr>
      </w:pPr>
    </w:p>
    <w:p w14:paraId="0B71176C" w14:textId="77777777" w:rsidR="00E95558" w:rsidRPr="005B2395" w:rsidRDefault="00E95558" w:rsidP="00E95558">
      <w:pPr>
        <w:rPr>
          <w:rFonts w:eastAsia="Cambria" w:cs="Arial"/>
          <w:bCs/>
          <w:lang w:val="de-DE"/>
        </w:rPr>
      </w:pPr>
      <w:r w:rsidRPr="005B2395">
        <w:rPr>
          <w:rFonts w:eastAsia="Cambria" w:cs="Arial"/>
          <w:bCs/>
          <w:lang w:val="de-DE"/>
        </w:rPr>
        <w:t>2.3.2.</w:t>
      </w:r>
      <w:r w:rsidRPr="005B2395">
        <w:rPr>
          <w:rFonts w:eastAsia="Cambria" w:cs="Arial"/>
          <w:bCs/>
          <w:lang w:val="de-DE"/>
        </w:rPr>
        <w:tab/>
        <w:t>Erfassung von GVO (im Sinne der Richtlinie 2001/18/EG)</w:t>
      </w:r>
    </w:p>
    <w:p w14:paraId="0C9C35D9" w14:textId="77777777" w:rsidR="00E95558" w:rsidRPr="005B2395" w:rsidRDefault="00E95558" w:rsidP="00E95558">
      <w:pPr>
        <w:rPr>
          <w:rFonts w:eastAsia="Cambria" w:cs="Arial"/>
          <w:bCs/>
          <w:lang w:val="de-DE"/>
        </w:rPr>
      </w:pPr>
    </w:p>
    <w:p w14:paraId="5FCA6E5E" w14:textId="77777777" w:rsidR="00E95558" w:rsidRPr="005B2395" w:rsidRDefault="00E95558" w:rsidP="00E95558">
      <w:pPr>
        <w:rPr>
          <w:rFonts w:eastAsia="Cambria" w:cs="Arial"/>
          <w:bCs/>
          <w:lang w:val="de-DE"/>
        </w:rPr>
      </w:pPr>
      <w:r w:rsidRPr="005B2395">
        <w:rPr>
          <w:rFonts w:eastAsia="Cambria" w:cs="Arial"/>
          <w:bCs/>
          <w:lang w:val="de-DE"/>
        </w:rPr>
        <w:t>In bestimmten Fällen werden Marker von Prüfungsämtern verwendet, um Sorten zu erfassen, die mit Hilfe von Transgenese- oder gezielten Mutageneseverfahren hergestellt wurden:</w:t>
      </w:r>
    </w:p>
    <w:p w14:paraId="73F8F040" w14:textId="77777777" w:rsidR="00E95558" w:rsidRPr="005B2395" w:rsidRDefault="00E95558" w:rsidP="00E95558">
      <w:pPr>
        <w:ind w:left="567"/>
        <w:rPr>
          <w:rFonts w:eastAsia="Cambria" w:cs="Arial"/>
          <w:bCs/>
          <w:lang w:val="de-DE"/>
        </w:rPr>
      </w:pPr>
      <w:r w:rsidRPr="005B2395">
        <w:rPr>
          <w:rFonts w:eastAsia="Cambria" w:cs="Arial"/>
          <w:bCs/>
          <w:lang w:val="de-DE"/>
        </w:rPr>
        <w:t>- Bestätigung des Vorhandenseins einer deklarierten Gentransformation (klassische Transgen-Insertion oder durch Genbearbeitungstechniken ausgelöste Punktmutationen).</w:t>
      </w:r>
    </w:p>
    <w:p w14:paraId="3025BADE" w14:textId="77777777" w:rsidR="00E95558" w:rsidRPr="005B2395" w:rsidRDefault="00E95558" w:rsidP="00E95558">
      <w:pPr>
        <w:ind w:left="567"/>
        <w:rPr>
          <w:rFonts w:eastAsia="Cambria" w:cs="Arial"/>
          <w:bCs/>
          <w:lang w:val="de-DE"/>
        </w:rPr>
      </w:pPr>
      <w:r w:rsidRPr="005B2395">
        <w:rPr>
          <w:rFonts w:eastAsia="Cambria" w:cs="Arial"/>
          <w:bCs/>
          <w:lang w:val="de-DE"/>
        </w:rPr>
        <w:t>- Erfassung des zufälligen Vorhandenseins von GV-Saatgut in den eingereichten Referenzpartien.</w:t>
      </w:r>
    </w:p>
    <w:p w14:paraId="327E949E" w14:textId="77777777" w:rsidR="00E95558" w:rsidRPr="005B2395" w:rsidRDefault="00E95558" w:rsidP="00E95558">
      <w:pPr>
        <w:rPr>
          <w:rFonts w:eastAsia="Cambria" w:cs="Arial"/>
          <w:bCs/>
          <w:lang w:val="de-DE"/>
        </w:rPr>
      </w:pPr>
    </w:p>
    <w:p w14:paraId="3D182D31" w14:textId="77777777" w:rsidR="00E95558" w:rsidRPr="005B2395" w:rsidRDefault="00E95558" w:rsidP="00E95558">
      <w:pPr>
        <w:rPr>
          <w:rFonts w:eastAsia="Cambria" w:cs="Arial"/>
          <w:bCs/>
          <w:lang w:val="de-DE"/>
        </w:rPr>
      </w:pPr>
      <w:r w:rsidRPr="005B2395">
        <w:rPr>
          <w:rFonts w:eastAsia="Cambria" w:cs="Arial"/>
          <w:bCs/>
          <w:lang w:val="de-DE"/>
        </w:rPr>
        <w:t>Fazit</w:t>
      </w:r>
    </w:p>
    <w:p w14:paraId="638A88B1" w14:textId="77777777" w:rsidR="00E95558" w:rsidRPr="005B2395" w:rsidRDefault="00E95558" w:rsidP="00E95558">
      <w:pPr>
        <w:rPr>
          <w:rFonts w:eastAsia="Cambria" w:cs="Arial"/>
          <w:bCs/>
          <w:lang w:val="de-DE"/>
        </w:rPr>
      </w:pPr>
    </w:p>
    <w:p w14:paraId="54AACA9D" w14:textId="77777777" w:rsidR="00E95558" w:rsidRPr="005B2395" w:rsidRDefault="00E95558" w:rsidP="00E95558">
      <w:pPr>
        <w:rPr>
          <w:rFonts w:eastAsia="Cambria" w:cs="Arial"/>
          <w:bCs/>
          <w:lang w:val="de-DE"/>
        </w:rPr>
      </w:pPr>
      <w:r w:rsidRPr="005B2395">
        <w:rPr>
          <w:rFonts w:eastAsia="Cambria" w:cs="Arial"/>
          <w:bCs/>
          <w:lang w:val="de-DE"/>
        </w:rPr>
        <w:t>Zusammenfassend lässt sich sagen, dass derzeit viele molekulare Verfahren vom CPVO-Netzwerk der beauftragten Prüfungsämter zur Unterstützung der DUS-Prüfung verwendet werden oder sich in der Entwicklung befinden.</w:t>
      </w:r>
    </w:p>
    <w:p w14:paraId="372BBA7C" w14:textId="77777777" w:rsidR="00E95558" w:rsidRPr="005B2395" w:rsidRDefault="00E95558" w:rsidP="00E95558">
      <w:pPr>
        <w:rPr>
          <w:rFonts w:eastAsia="Cambria" w:cs="Arial"/>
          <w:bCs/>
          <w:lang w:val="de-DE"/>
        </w:rPr>
      </w:pPr>
      <w:r w:rsidRPr="005B2395">
        <w:rPr>
          <w:rFonts w:eastAsia="Cambria" w:cs="Arial"/>
          <w:bCs/>
          <w:lang w:val="de-DE"/>
        </w:rPr>
        <w:t>Jedoch sind nur 2 Sätze von merkmalsspezifischen molekularen Markern offiziell in technischen Protokollen des CPVP auf der Grundlage der Bewertung/Validierung von Sachverständigen in den CPVO-Sachverständigengruppen beschrieben. Diese Marker sind öffentlich verfügbar.</w:t>
      </w:r>
    </w:p>
    <w:p w14:paraId="239DEB89" w14:textId="77777777" w:rsidR="00E95558" w:rsidRPr="005B2395" w:rsidRDefault="00E95558" w:rsidP="00E95558">
      <w:pPr>
        <w:rPr>
          <w:rFonts w:eastAsia="Cambria"/>
          <w:lang w:val="de-DE"/>
        </w:rPr>
      </w:pPr>
      <w:r w:rsidRPr="005B2395">
        <w:rPr>
          <w:rFonts w:eastAsia="Cambria" w:cs="Arial"/>
          <w:bCs/>
          <w:lang w:val="de-DE"/>
        </w:rPr>
        <w:t>Folglich überlässt das CPVO seinen beauftragten Prüfungsämtern die Rolle der Beschreibung der molekularen Hilfsmittel, die sie in Hinsicht auf die CPVO-Politik für die in Bezug auf Sortenvergleichssammlungen verwendeten Verfahren verwenden</w:t>
      </w:r>
      <w:r w:rsidRPr="005B2395">
        <w:rPr>
          <w:rFonts w:eastAsia="Cambria"/>
          <w:lang w:val="de-DE"/>
        </w:rPr>
        <w:t>.</w:t>
      </w:r>
    </w:p>
    <w:p w14:paraId="7C619AFE" w14:textId="77777777" w:rsidR="00E95558" w:rsidRPr="005B2395" w:rsidRDefault="00E95558" w:rsidP="00E95558">
      <w:pPr>
        <w:rPr>
          <w:rFonts w:eastAsia="Cambria"/>
          <w:lang w:val="de-DE"/>
        </w:rPr>
      </w:pPr>
    </w:p>
    <w:p w14:paraId="4783F344" w14:textId="77777777" w:rsidR="00E95558" w:rsidRPr="005B2395" w:rsidRDefault="00E95558" w:rsidP="00E95558">
      <w:pPr>
        <w:jc w:val="left"/>
        <w:rPr>
          <w:rFonts w:eastAsia="Cambria"/>
          <w:lang w:val="de-DE"/>
        </w:rPr>
      </w:pPr>
    </w:p>
    <w:p w14:paraId="2C184E3F" w14:textId="77777777" w:rsidR="00E95558" w:rsidRPr="005B2395" w:rsidRDefault="00E95558" w:rsidP="00E95558">
      <w:pPr>
        <w:jc w:val="right"/>
        <w:rPr>
          <w:lang w:val="de-DE"/>
        </w:rPr>
      </w:pPr>
    </w:p>
    <w:p w14:paraId="762AEA76" w14:textId="32102FAD" w:rsidR="00E95558" w:rsidRPr="00E95558" w:rsidRDefault="00E95558" w:rsidP="00E95558">
      <w:pPr>
        <w:jc w:val="right"/>
        <w:rPr>
          <w:lang w:val="de-DE"/>
        </w:rPr>
      </w:pPr>
      <w:r w:rsidRPr="005B2395">
        <w:rPr>
          <w:lang w:val="de-DE"/>
        </w:rPr>
        <w:t>[Ende des Anhangs und des Dokuments]</w:t>
      </w:r>
    </w:p>
    <w:sectPr w:rsidR="00E95558" w:rsidRPr="00E95558" w:rsidSect="004C24E1">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E49AA" w14:textId="77777777" w:rsidR="00232476" w:rsidRDefault="00232476" w:rsidP="00E95558">
      <w:r>
        <w:separator/>
      </w:r>
    </w:p>
  </w:endnote>
  <w:endnote w:type="continuationSeparator" w:id="0">
    <w:p w14:paraId="3DB9E23F" w14:textId="77777777" w:rsidR="00232476" w:rsidRDefault="00232476" w:rsidP="00E95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8D623" w14:textId="77777777" w:rsidR="00232476" w:rsidRDefault="00232476" w:rsidP="00E95558">
      <w:r>
        <w:separator/>
      </w:r>
    </w:p>
  </w:footnote>
  <w:footnote w:type="continuationSeparator" w:id="0">
    <w:p w14:paraId="4E4121CE" w14:textId="77777777" w:rsidR="00232476" w:rsidRDefault="00232476" w:rsidP="00E95558">
      <w:r>
        <w:continuationSeparator/>
      </w:r>
    </w:p>
  </w:footnote>
  <w:footnote w:id="1">
    <w:p w14:paraId="4438C9F2" w14:textId="77777777" w:rsidR="00E95558" w:rsidRPr="00CA6557" w:rsidRDefault="00E95558" w:rsidP="00E95558">
      <w:pPr>
        <w:pStyle w:val="FootnoteText"/>
        <w:rPr>
          <w:lang w:val="de-DE"/>
        </w:rPr>
      </w:pPr>
      <w:r w:rsidRPr="00CA6557">
        <w:rPr>
          <w:rStyle w:val="FootnoteReference"/>
          <w:lang w:val="de-DE"/>
        </w:rPr>
        <w:footnoteRef/>
      </w:r>
      <w:r w:rsidRPr="00CA6557">
        <w:rPr>
          <w:lang w:val="de-DE"/>
        </w:rPr>
        <w:t xml:space="preserve"> </w:t>
      </w:r>
      <w:r>
        <w:rPr>
          <w:rFonts w:eastAsiaTheme="minorEastAsia"/>
          <w:lang w:val="de-DE" w:eastAsia="ja-JP"/>
        </w:rPr>
        <w:t>a</w:t>
      </w:r>
      <w:r w:rsidRPr="00CA6557">
        <w:rPr>
          <w:rFonts w:eastAsiaTheme="minorEastAsia"/>
          <w:lang w:val="de-DE" w:eastAsia="ja-JP"/>
        </w:rPr>
        <w:t>bgehalten in Genf am 29. und 30. Oktober 2018</w:t>
      </w:r>
    </w:p>
  </w:footnote>
  <w:footnote w:id="2">
    <w:p w14:paraId="51A81DCF" w14:textId="77777777" w:rsidR="00E95558" w:rsidRPr="00CA6557" w:rsidRDefault="00E95558" w:rsidP="00E95558">
      <w:pPr>
        <w:pStyle w:val="FootnoteText"/>
        <w:rPr>
          <w:lang w:val="de-DE"/>
        </w:rPr>
      </w:pPr>
      <w:r w:rsidRPr="00CA6557">
        <w:rPr>
          <w:rStyle w:val="FootnoteReference"/>
          <w:lang w:val="de-DE"/>
        </w:rPr>
        <w:footnoteRef/>
      </w:r>
      <w:r w:rsidRPr="00CA6557">
        <w:rPr>
          <w:lang w:val="de-DE"/>
        </w:rPr>
        <w:t xml:space="preserve"> auf seiner sechsundfünfzigsten Tagung vom 18. bis 22. April 2022, auf elektronischem Wege abgehalten</w:t>
      </w:r>
    </w:p>
  </w:footnote>
  <w:footnote w:id="3">
    <w:p w14:paraId="398C6052" w14:textId="77777777" w:rsidR="00E95558" w:rsidRPr="00CA6557" w:rsidRDefault="00E95558" w:rsidP="00E95558">
      <w:pPr>
        <w:pStyle w:val="FootnoteText"/>
        <w:rPr>
          <w:highlight w:val="cyan"/>
          <w:lang w:val="de-DE"/>
        </w:rPr>
      </w:pPr>
      <w:r w:rsidRPr="00CA6557">
        <w:rPr>
          <w:rStyle w:val="FootnoteReference"/>
          <w:lang w:val="de-DE"/>
        </w:rPr>
        <w:footnoteRef/>
      </w:r>
      <w:r w:rsidRPr="00CA6557">
        <w:rPr>
          <w:lang w:val="de-DE"/>
        </w:rPr>
        <w:t xml:space="preserve"> auf ihrer einundfünfzigsten Tagung vom 23. bis 27. Mai 2022, veranstaltet vom Vereinigten Königreich und auf elektronischem Wege abgehalten </w:t>
      </w:r>
    </w:p>
  </w:footnote>
  <w:footnote w:id="4">
    <w:p w14:paraId="595806A0" w14:textId="77777777" w:rsidR="00E95558" w:rsidRPr="00CA6557" w:rsidRDefault="00E95558" w:rsidP="00E95558">
      <w:pPr>
        <w:pStyle w:val="FootnoteText"/>
        <w:rPr>
          <w:highlight w:val="cyan"/>
          <w:lang w:val="de-DE"/>
        </w:rPr>
      </w:pPr>
      <w:r w:rsidRPr="00CA6557">
        <w:rPr>
          <w:rStyle w:val="FootnoteReference"/>
          <w:lang w:val="de-DE"/>
        </w:rPr>
        <w:footnoteRef/>
      </w:r>
      <w:r w:rsidRPr="00CA6557">
        <w:rPr>
          <w:lang w:val="de-DE"/>
        </w:rPr>
        <w:t xml:space="preserve"> auf ihrer vierundfünfzigsten Tagung vom 13. bis 17. Juni 2022, veranstaltet von Deutschland und auf elektronischem Wege abgehalten </w:t>
      </w:r>
    </w:p>
  </w:footnote>
  <w:footnote w:id="5">
    <w:p w14:paraId="210303FD" w14:textId="77777777" w:rsidR="00E95558" w:rsidRPr="00CA6557" w:rsidRDefault="00E95558" w:rsidP="00E95558">
      <w:pPr>
        <w:pStyle w:val="FootnoteText"/>
        <w:rPr>
          <w:lang w:val="de-DE"/>
        </w:rPr>
      </w:pPr>
      <w:r w:rsidRPr="00CA6557">
        <w:rPr>
          <w:rStyle w:val="FootnoteReference"/>
          <w:lang w:val="de-DE"/>
        </w:rPr>
        <w:footnoteRef/>
      </w:r>
      <w:r w:rsidRPr="00CA6557">
        <w:rPr>
          <w:lang w:val="de-DE"/>
        </w:rPr>
        <w:t xml:space="preserve"> auf ihrer dreiundfünfzigsten Tagung vom 11. bis 15. Juli 2022, auf elektronischem Wege abgehalten </w:t>
      </w:r>
    </w:p>
  </w:footnote>
  <w:footnote w:id="6">
    <w:p w14:paraId="0BBCCEEA" w14:textId="77777777" w:rsidR="00E95558" w:rsidRPr="00CA6557" w:rsidRDefault="00E95558" w:rsidP="00E95558">
      <w:pPr>
        <w:pStyle w:val="FootnoteText"/>
        <w:rPr>
          <w:lang w:val="de-DE"/>
        </w:rPr>
      </w:pPr>
      <w:r w:rsidRPr="00CA6557">
        <w:rPr>
          <w:rStyle w:val="FootnoteReference"/>
          <w:lang w:val="de-DE"/>
        </w:rPr>
        <w:footnoteRef/>
      </w:r>
      <w:r w:rsidRPr="00CA6557">
        <w:rPr>
          <w:lang w:val="de-DE"/>
        </w:rPr>
        <w:t xml:space="preserve"> auf ihrer ersten Tagung vom 19. bis 23. September 2022, auf elektronischem Wege abgehalten</w:t>
      </w:r>
    </w:p>
  </w:footnote>
  <w:footnote w:id="7">
    <w:p w14:paraId="655A9DDA" w14:textId="77777777" w:rsidR="00E95558" w:rsidRPr="00CA6557" w:rsidRDefault="00E95558" w:rsidP="00E95558">
      <w:pPr>
        <w:pStyle w:val="FootnoteText"/>
        <w:rPr>
          <w:lang w:val="de-DE"/>
        </w:rPr>
      </w:pPr>
      <w:r w:rsidRPr="00CA6557">
        <w:rPr>
          <w:rStyle w:val="FootnoteReference"/>
          <w:lang w:val="de-DE"/>
        </w:rPr>
        <w:footnoteRef/>
      </w:r>
      <w:r w:rsidRPr="00CA6557">
        <w:rPr>
          <w:lang w:val="de-DE"/>
        </w:rPr>
        <w:t xml:space="preserve"> auf elektronischem Wege abgehalten am 26. und 27. Oktober 2021</w:t>
      </w:r>
    </w:p>
  </w:footnote>
  <w:footnote w:id="8">
    <w:p w14:paraId="6066B2E6" w14:textId="77777777" w:rsidR="00E95558" w:rsidRPr="00CA6557" w:rsidRDefault="00E95558" w:rsidP="00E95558">
      <w:pPr>
        <w:pStyle w:val="FootnoteText"/>
        <w:rPr>
          <w:lang w:val="de-DE"/>
        </w:rPr>
      </w:pPr>
      <w:r w:rsidRPr="00CA6557">
        <w:rPr>
          <w:rStyle w:val="FootnoteReference"/>
          <w:lang w:val="de-DE"/>
        </w:rPr>
        <w:footnoteRef/>
      </w:r>
      <w:r w:rsidRPr="00CA6557">
        <w:rPr>
          <w:lang w:val="de-DE"/>
        </w:rPr>
        <w:t xml:space="preserve"> abgehalten in Genf am 29. und 30. Oktober 2018 </w:t>
      </w:r>
    </w:p>
  </w:footnote>
  <w:footnote w:id="9">
    <w:p w14:paraId="5EEA0150" w14:textId="77777777" w:rsidR="00E95558" w:rsidRPr="00CA6557" w:rsidRDefault="00E95558" w:rsidP="00E95558">
      <w:pPr>
        <w:pStyle w:val="FootnoteText"/>
        <w:rPr>
          <w:lang w:val="de-DE"/>
        </w:rPr>
      </w:pPr>
      <w:r w:rsidRPr="00CA6557">
        <w:rPr>
          <w:rStyle w:val="FootnoteReference"/>
          <w:lang w:val="de-DE"/>
        </w:rPr>
        <w:footnoteRef/>
      </w:r>
      <w:r w:rsidRPr="00CA6557">
        <w:rPr>
          <w:lang w:val="de-DE"/>
        </w:rPr>
        <w:t xml:space="preserve"> </w:t>
      </w:r>
      <w:r>
        <w:rPr>
          <w:lang w:val="de-DE"/>
        </w:rPr>
        <w:t xml:space="preserve">veranstaltet </w:t>
      </w:r>
      <w:r w:rsidRPr="00CA6557">
        <w:rPr>
          <w:lang w:val="de-DE"/>
        </w:rPr>
        <w:t xml:space="preserve">vom Vereinigten Königreich und </w:t>
      </w:r>
      <w:r>
        <w:rPr>
          <w:lang w:val="de-DE"/>
        </w:rPr>
        <w:t xml:space="preserve">auf </w:t>
      </w:r>
      <w:r w:rsidRPr="00CA6557">
        <w:rPr>
          <w:lang w:val="de-DE"/>
        </w:rPr>
        <w:t>elektronisch</w:t>
      </w:r>
      <w:r>
        <w:rPr>
          <w:lang w:val="de-DE"/>
        </w:rPr>
        <w:t>em Wege</w:t>
      </w:r>
      <w:r w:rsidRPr="00CA6557">
        <w:rPr>
          <w:lang w:val="de-DE"/>
        </w:rPr>
        <w:t xml:space="preserve"> </w:t>
      </w:r>
      <w:r>
        <w:rPr>
          <w:lang w:val="de-DE"/>
        </w:rPr>
        <w:t>und</w:t>
      </w:r>
      <w:r w:rsidRPr="00CA6557">
        <w:rPr>
          <w:lang w:val="de-DE"/>
        </w:rPr>
        <w:t xml:space="preserve"> vom 23. bis 27. Mai 2022</w:t>
      </w:r>
      <w:r>
        <w:rPr>
          <w:lang w:val="de-DE"/>
        </w:rPr>
        <w:t xml:space="preserve"> abgehalten</w:t>
      </w:r>
    </w:p>
  </w:footnote>
  <w:footnote w:id="10">
    <w:p w14:paraId="52413925" w14:textId="77777777" w:rsidR="00E95558" w:rsidRPr="00CA6557" w:rsidRDefault="00E95558" w:rsidP="00E95558">
      <w:pPr>
        <w:pStyle w:val="FootnoteText"/>
        <w:rPr>
          <w:lang w:val="de-DE"/>
        </w:rPr>
      </w:pPr>
      <w:r w:rsidRPr="00CA6557">
        <w:rPr>
          <w:rStyle w:val="FootnoteReference"/>
          <w:lang w:val="de-DE"/>
        </w:rPr>
        <w:footnoteRef/>
      </w:r>
      <w:r w:rsidRPr="00CA6557">
        <w:rPr>
          <w:lang w:val="de-DE"/>
        </w:rPr>
        <w:t xml:space="preserve"> auf elektronischem Wege </w:t>
      </w:r>
      <w:r>
        <w:rPr>
          <w:lang w:val="de-DE"/>
        </w:rPr>
        <w:t xml:space="preserve">abgehalten </w:t>
      </w:r>
      <w:r w:rsidRPr="00CA6557">
        <w:rPr>
          <w:lang w:val="de-DE"/>
        </w:rPr>
        <w:t>vom 11. bis 15. Juli 2022</w:t>
      </w:r>
    </w:p>
  </w:footnote>
  <w:footnote w:id="11">
    <w:p w14:paraId="2B3A2D8A" w14:textId="77777777" w:rsidR="00E95558" w:rsidRPr="00CA6557" w:rsidRDefault="00E95558" w:rsidP="00E95558">
      <w:pPr>
        <w:pStyle w:val="FootnoteText"/>
        <w:rPr>
          <w:highlight w:val="cyan"/>
          <w:lang w:val="de-DE"/>
        </w:rPr>
      </w:pPr>
      <w:r w:rsidRPr="00CA6557">
        <w:rPr>
          <w:rStyle w:val="FootnoteReference"/>
          <w:lang w:val="de-DE"/>
        </w:rPr>
        <w:footnoteRef/>
      </w:r>
      <w:r w:rsidRPr="00CA6557">
        <w:rPr>
          <w:lang w:val="de-DE"/>
        </w:rPr>
        <w:t xml:space="preserve"> </w:t>
      </w:r>
      <w:r>
        <w:rPr>
          <w:lang w:val="de-DE"/>
        </w:rPr>
        <w:t xml:space="preserve">veranstaltet von </w:t>
      </w:r>
      <w:r w:rsidRPr="00CA6557">
        <w:rPr>
          <w:lang w:val="de-DE"/>
        </w:rPr>
        <w:t xml:space="preserve">in Deutschland </w:t>
      </w:r>
      <w:r>
        <w:rPr>
          <w:lang w:val="de-DE"/>
        </w:rPr>
        <w:t>und</w:t>
      </w:r>
      <w:r w:rsidRPr="00CA6557">
        <w:rPr>
          <w:lang w:val="de-DE"/>
        </w:rPr>
        <w:t xml:space="preserve"> vom 13. bis 17. Juni 2022 auf elektronischem Wege abgehalten</w:t>
      </w:r>
    </w:p>
  </w:footnote>
  <w:footnote w:id="12">
    <w:p w14:paraId="71F1CC97" w14:textId="77777777" w:rsidR="00E95558" w:rsidRPr="00CA6557" w:rsidRDefault="00E95558" w:rsidP="00E95558">
      <w:pPr>
        <w:pStyle w:val="FootnoteText"/>
        <w:rPr>
          <w:lang w:val="de-DE"/>
        </w:rPr>
      </w:pPr>
      <w:r w:rsidRPr="00CA6557">
        <w:rPr>
          <w:rStyle w:val="FootnoteReference"/>
          <w:lang w:val="de-DE"/>
        </w:rPr>
        <w:footnoteRef/>
      </w:r>
      <w:r w:rsidRPr="00CA6557">
        <w:rPr>
          <w:lang w:val="de-DE"/>
        </w:rPr>
        <w:t xml:space="preserve"> auf elektronischem Wege </w:t>
      </w:r>
      <w:r>
        <w:rPr>
          <w:lang w:val="de-DE"/>
        </w:rPr>
        <w:t xml:space="preserve">abgehalten </w:t>
      </w:r>
      <w:r w:rsidRPr="00CA6557">
        <w:rPr>
          <w:lang w:val="de-DE"/>
        </w:rPr>
        <w:t>vom 19. bis 23. September 2022</w:t>
      </w:r>
    </w:p>
  </w:footnote>
  <w:footnote w:id="13">
    <w:p w14:paraId="6442A54E" w14:textId="77777777" w:rsidR="00E95558" w:rsidRPr="00CA6557" w:rsidRDefault="00E95558" w:rsidP="00E95558">
      <w:pPr>
        <w:pStyle w:val="FootnoteText"/>
        <w:rPr>
          <w:lang w:val="de-DE"/>
        </w:rPr>
      </w:pPr>
      <w:r w:rsidRPr="00CA6557">
        <w:rPr>
          <w:rStyle w:val="FootnoteReference"/>
          <w:lang w:val="de-DE"/>
        </w:rPr>
        <w:footnoteRef/>
      </w:r>
      <w:r w:rsidRPr="00CA6557">
        <w:rPr>
          <w:lang w:val="de-DE"/>
        </w:rPr>
        <w:t xml:space="preserve"> auf </w:t>
      </w:r>
      <w:r>
        <w:rPr>
          <w:lang w:val="de-DE"/>
        </w:rPr>
        <w:t>ihrer</w:t>
      </w:r>
      <w:r w:rsidRPr="00CA6557">
        <w:rPr>
          <w:lang w:val="de-DE"/>
        </w:rPr>
        <w:t xml:space="preserve"> sechsundfünfzigsten Tagung vom 18. bis 22. April 2022</w:t>
      </w:r>
      <w:r>
        <w:rPr>
          <w:lang w:val="de-DE"/>
        </w:rPr>
        <w:t>,</w:t>
      </w:r>
      <w:r w:rsidRPr="00CA6557">
        <w:rPr>
          <w:lang w:val="de-DE"/>
        </w:rPr>
        <w:t xml:space="preserve"> auf elektronischem Wege </w:t>
      </w:r>
      <w:r>
        <w:rPr>
          <w:lang w:val="de-DE"/>
        </w:rPr>
        <w:t>abgehalten</w:t>
      </w:r>
    </w:p>
  </w:footnote>
  <w:footnote w:id="14">
    <w:p w14:paraId="6BCC8344" w14:textId="77777777" w:rsidR="00E95558" w:rsidRPr="00CA6557" w:rsidRDefault="00E95558" w:rsidP="00E95558">
      <w:pPr>
        <w:pStyle w:val="FootnoteText"/>
        <w:rPr>
          <w:highlight w:val="cyan"/>
          <w:lang w:val="de-DE"/>
        </w:rPr>
      </w:pPr>
      <w:r w:rsidRPr="00CA6557">
        <w:rPr>
          <w:rStyle w:val="FootnoteReference"/>
          <w:lang w:val="de-DE"/>
        </w:rPr>
        <w:footnoteRef/>
      </w:r>
      <w:r w:rsidRPr="00CA6557">
        <w:rPr>
          <w:lang w:val="de-DE"/>
        </w:rPr>
        <w:t xml:space="preserve"> auf </w:t>
      </w:r>
      <w:r>
        <w:rPr>
          <w:lang w:val="de-DE"/>
        </w:rPr>
        <w:t>ihrer</w:t>
      </w:r>
      <w:r w:rsidRPr="00CA6557">
        <w:rPr>
          <w:lang w:val="de-DE"/>
        </w:rPr>
        <w:t xml:space="preserve"> einundfünfzigsten Tagung vom 23. bis 27. Mai 2022</w:t>
      </w:r>
      <w:r>
        <w:rPr>
          <w:lang w:val="de-DE"/>
        </w:rPr>
        <w:t>,</w:t>
      </w:r>
      <w:r w:rsidRPr="00CA6557">
        <w:rPr>
          <w:lang w:val="de-DE"/>
        </w:rPr>
        <w:t xml:space="preserve"> </w:t>
      </w:r>
      <w:r>
        <w:rPr>
          <w:lang w:val="de-DE"/>
        </w:rPr>
        <w:t>veranstaltet vom</w:t>
      </w:r>
      <w:r w:rsidRPr="00CA6557">
        <w:rPr>
          <w:lang w:val="de-DE"/>
        </w:rPr>
        <w:t xml:space="preserve"> Vereinigten Königreich</w:t>
      </w:r>
      <w:r>
        <w:rPr>
          <w:lang w:val="de-DE"/>
        </w:rPr>
        <w:t xml:space="preserve"> und</w:t>
      </w:r>
      <w:r w:rsidRPr="00CA6557">
        <w:rPr>
          <w:lang w:val="de-DE"/>
        </w:rPr>
        <w:t xml:space="preserve"> auf elektronischem Wege abgehalten</w:t>
      </w:r>
    </w:p>
  </w:footnote>
  <w:footnote w:id="15">
    <w:p w14:paraId="1FD4B10E" w14:textId="77777777" w:rsidR="00E95558" w:rsidRPr="00CA6557" w:rsidRDefault="00E95558" w:rsidP="00E95558">
      <w:pPr>
        <w:pStyle w:val="FootnoteText"/>
        <w:rPr>
          <w:highlight w:val="cyan"/>
          <w:lang w:val="de-DE"/>
        </w:rPr>
      </w:pPr>
      <w:r w:rsidRPr="00CA6557">
        <w:rPr>
          <w:rStyle w:val="FootnoteReference"/>
          <w:lang w:val="de-DE"/>
        </w:rPr>
        <w:footnoteRef/>
      </w:r>
      <w:r w:rsidRPr="00CA6557">
        <w:rPr>
          <w:lang w:val="de-DE"/>
        </w:rPr>
        <w:t xml:space="preserve"> auf </w:t>
      </w:r>
      <w:r>
        <w:rPr>
          <w:lang w:val="de-DE"/>
        </w:rPr>
        <w:t>ihrer</w:t>
      </w:r>
      <w:r w:rsidRPr="00CA6557">
        <w:rPr>
          <w:lang w:val="de-DE"/>
        </w:rPr>
        <w:t xml:space="preserve"> vierundfünfzigsten Tagung vom 13. bis 17. Juni 2022</w:t>
      </w:r>
      <w:r>
        <w:rPr>
          <w:lang w:val="de-DE"/>
        </w:rPr>
        <w:t>,</w:t>
      </w:r>
      <w:r w:rsidRPr="00CA6557">
        <w:rPr>
          <w:lang w:val="de-DE"/>
        </w:rPr>
        <w:t xml:space="preserve"> </w:t>
      </w:r>
      <w:r>
        <w:rPr>
          <w:lang w:val="de-DE"/>
        </w:rPr>
        <w:t>veranstaltet von</w:t>
      </w:r>
      <w:r w:rsidRPr="00CA6557">
        <w:rPr>
          <w:lang w:val="de-DE"/>
        </w:rPr>
        <w:t xml:space="preserve"> Deutschland</w:t>
      </w:r>
      <w:r>
        <w:rPr>
          <w:lang w:val="de-DE"/>
        </w:rPr>
        <w:t xml:space="preserve"> und</w:t>
      </w:r>
      <w:r w:rsidRPr="00CA6557">
        <w:rPr>
          <w:lang w:val="de-DE"/>
        </w:rPr>
        <w:t xml:space="preserve"> auf elektronischem Wege abgehalten </w:t>
      </w:r>
    </w:p>
  </w:footnote>
  <w:footnote w:id="16">
    <w:p w14:paraId="3D99288C" w14:textId="77777777" w:rsidR="00E95558" w:rsidRPr="00CA6557" w:rsidRDefault="00E95558" w:rsidP="00E95558">
      <w:pPr>
        <w:pStyle w:val="FootnoteText"/>
        <w:rPr>
          <w:lang w:val="de-DE"/>
        </w:rPr>
      </w:pPr>
      <w:r w:rsidRPr="00CA6557">
        <w:rPr>
          <w:rStyle w:val="FootnoteReference"/>
          <w:lang w:val="de-DE"/>
        </w:rPr>
        <w:footnoteRef/>
      </w:r>
      <w:r w:rsidRPr="00CA6557">
        <w:rPr>
          <w:lang w:val="de-DE"/>
        </w:rPr>
        <w:t xml:space="preserve"> auf </w:t>
      </w:r>
      <w:r>
        <w:rPr>
          <w:lang w:val="de-DE"/>
        </w:rPr>
        <w:t>ihrer</w:t>
      </w:r>
      <w:r w:rsidRPr="00CA6557">
        <w:rPr>
          <w:lang w:val="de-DE"/>
        </w:rPr>
        <w:t xml:space="preserve"> dreiundfünfzigsten Tagung vom 11. bis 15. Juli 2022</w:t>
      </w:r>
      <w:r>
        <w:rPr>
          <w:lang w:val="de-DE"/>
        </w:rPr>
        <w:t>,</w:t>
      </w:r>
      <w:r w:rsidRPr="00CA6557">
        <w:rPr>
          <w:lang w:val="de-DE"/>
        </w:rPr>
        <w:t xml:space="preserve"> auf elektronischem Wege abgehalten</w:t>
      </w:r>
    </w:p>
  </w:footnote>
  <w:footnote w:id="17">
    <w:p w14:paraId="37B5611F" w14:textId="77777777" w:rsidR="00E95558" w:rsidRPr="00CA6557" w:rsidRDefault="00E95558" w:rsidP="00E95558">
      <w:pPr>
        <w:pStyle w:val="FootnoteText"/>
        <w:rPr>
          <w:lang w:val="de-DE"/>
        </w:rPr>
      </w:pPr>
      <w:r w:rsidRPr="00CA6557">
        <w:rPr>
          <w:rStyle w:val="FootnoteReference"/>
          <w:lang w:val="de-DE"/>
        </w:rPr>
        <w:footnoteRef/>
      </w:r>
      <w:r w:rsidRPr="00CA6557">
        <w:rPr>
          <w:lang w:val="de-DE"/>
        </w:rPr>
        <w:t xml:space="preserve"> auf </w:t>
      </w:r>
      <w:r>
        <w:rPr>
          <w:lang w:val="de-DE"/>
        </w:rPr>
        <w:t>ihrer</w:t>
      </w:r>
      <w:r w:rsidRPr="00CA6557">
        <w:rPr>
          <w:lang w:val="de-DE"/>
        </w:rPr>
        <w:t xml:space="preserve"> ersten Tagung vom 19. bis 23. September 2022</w:t>
      </w:r>
      <w:r>
        <w:rPr>
          <w:lang w:val="de-DE"/>
        </w:rPr>
        <w:t>,</w:t>
      </w:r>
      <w:r w:rsidRPr="00CA6557">
        <w:rPr>
          <w:lang w:val="de-DE"/>
        </w:rPr>
        <w:t xml:space="preserve"> auf elektronischem Wege </w:t>
      </w:r>
      <w:r>
        <w:rPr>
          <w:lang w:val="de-DE"/>
        </w:rPr>
        <w:t>abgehalten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BA912" w14:textId="77777777" w:rsidR="00E95558" w:rsidRDefault="00E95558">
    <w:pPr>
      <w:pStyle w:val="Header"/>
      <w:rPr>
        <w:rStyle w:val="PageNumber"/>
      </w:rPr>
    </w:pPr>
    <w:r>
      <w:rPr>
        <w:rStyle w:val="PageNumber"/>
      </w:rPr>
      <w:t>TC/58/7</w:t>
    </w:r>
  </w:p>
  <w:p w14:paraId="0B71E3F8" w14:textId="0F3EE146" w:rsidR="00E95558" w:rsidRDefault="00E95558">
    <w:pPr>
      <w:pStyle w:val="Header"/>
      <w:rPr>
        <w:lang w:val="en-US"/>
      </w:rPr>
    </w:pPr>
    <w:r w:rsidRPr="00C5280D">
      <w:rPr>
        <w:lang w:val="en-US"/>
      </w:rPr>
      <w:t xml:space="preserve">Seite </w:t>
    </w:r>
    <w:r>
      <w:rPr>
        <w:lang w:val="en-US"/>
      </w:rPr>
      <w:fldChar w:fldCharType="begin"/>
    </w:r>
    <w:r>
      <w:rPr>
        <w:lang w:val="en-US"/>
      </w:rPr>
      <w:instrText xml:space="preserve"> PAGE  \* MERGEFORMAT </w:instrText>
    </w:r>
    <w:r>
      <w:rPr>
        <w:lang w:val="en-US"/>
      </w:rPr>
      <w:fldChar w:fldCharType="separate"/>
    </w:r>
    <w:r w:rsidR="00D6204B">
      <w:rPr>
        <w:noProof/>
        <w:lang w:val="en-US"/>
      </w:rPr>
      <w:t>8</w:t>
    </w:r>
    <w:r>
      <w:rPr>
        <w:lang w:val="en-US"/>
      </w:rPr>
      <w:fldChar w:fldCharType="end"/>
    </w:r>
  </w:p>
  <w:p w14:paraId="2B435F10" w14:textId="77777777" w:rsidR="00E95558" w:rsidRPr="00C5280D" w:rsidRDefault="00E95558"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1A633" w14:textId="77777777" w:rsidR="00E95558" w:rsidRPr="00A379E2" w:rsidRDefault="00E95558">
    <w:pPr>
      <w:pStyle w:val="Header"/>
      <w:rPr>
        <w:lang w:val="de-DE"/>
      </w:rPr>
    </w:pPr>
    <w:r w:rsidRPr="00A379E2">
      <w:rPr>
        <w:lang w:val="de-DE"/>
      </w:rPr>
      <w:t>TC/58/7</w:t>
    </w:r>
  </w:p>
  <w:p w14:paraId="22A1CED7" w14:textId="77777777" w:rsidR="00E95558" w:rsidRPr="00A379E2" w:rsidRDefault="00E95558">
    <w:pPr>
      <w:pStyle w:val="Header"/>
      <w:rPr>
        <w:noProof/>
        <w:lang w:val="de-DE"/>
      </w:rPr>
    </w:pPr>
    <w:r w:rsidRPr="00A379E2">
      <w:rPr>
        <w:lang w:val="de-DE"/>
      </w:rPr>
      <w:t xml:space="preserve">Anlage zum Anhang, Seite </w:t>
    </w:r>
    <w:r w:rsidRPr="00EF6C3B">
      <w:rPr>
        <w:lang w:val="fr-CH"/>
      </w:rPr>
      <w:fldChar w:fldCharType="begin"/>
    </w:r>
    <w:r w:rsidRPr="00A379E2">
      <w:rPr>
        <w:lang w:val="de-DE"/>
      </w:rPr>
      <w:instrText xml:space="preserve"> PAGE   \* MERGEFORMAT </w:instrText>
    </w:r>
    <w:r w:rsidRPr="00EF6C3B">
      <w:rPr>
        <w:lang w:val="fr-CH"/>
      </w:rPr>
      <w:fldChar w:fldCharType="separate"/>
    </w:r>
    <w:r w:rsidRPr="00A379E2">
      <w:rPr>
        <w:noProof/>
        <w:lang w:val="de-DE"/>
      </w:rPr>
      <w:t>3</w:t>
    </w:r>
    <w:r w:rsidRPr="00EF6C3B">
      <w:rPr>
        <w:noProof/>
        <w:lang w:val="fr-CH"/>
      </w:rPr>
      <w:fldChar w:fldCharType="end"/>
    </w:r>
  </w:p>
  <w:p w14:paraId="3488DF8E" w14:textId="77777777" w:rsidR="00E95558" w:rsidRPr="00A379E2" w:rsidRDefault="00E95558">
    <w:pPr>
      <w:pStyle w:val="Head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00021" w14:textId="77777777" w:rsidR="00E95558" w:rsidRDefault="00E95558">
    <w:pPr>
      <w:pStyle w:val="Header"/>
      <w:rPr>
        <w:lang w:val="fr-CH"/>
      </w:rPr>
    </w:pPr>
    <w:r>
      <w:rPr>
        <w:lang w:val="fr-CH"/>
      </w:rPr>
      <w:t>TC/58/7</w:t>
    </w:r>
  </w:p>
  <w:p w14:paraId="6521BC9E" w14:textId="77777777" w:rsidR="00E95558" w:rsidRDefault="00E95558">
    <w:pPr>
      <w:pStyle w:val="Header"/>
      <w:rPr>
        <w:lang w:val="fr-CH"/>
      </w:rPr>
    </w:pPr>
  </w:p>
  <w:p w14:paraId="5A4DE6F1" w14:textId="77777777" w:rsidR="00E95558" w:rsidRDefault="00E95558">
    <w:pPr>
      <w:pStyle w:val="Header"/>
      <w:rPr>
        <w:lang w:val="fr-CH"/>
      </w:rPr>
    </w:pPr>
    <w:r>
      <w:rPr>
        <w:lang w:val="fr-CH"/>
      </w:rPr>
      <w:t>ANLAGE</w:t>
    </w:r>
  </w:p>
  <w:p w14:paraId="79A19AD1" w14:textId="77777777" w:rsidR="00E95558" w:rsidRPr="0077337F" w:rsidRDefault="00E95558">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7691F" w14:textId="77777777" w:rsidR="00D95772" w:rsidRPr="00F06A46" w:rsidRDefault="00D6204B">
    <w:pPr>
      <w:pStyle w:val="Header"/>
      <w:rPr>
        <w:rStyle w:val="PageNumber"/>
        <w:lang w:val="de-DE"/>
      </w:rPr>
    </w:pPr>
    <w:r w:rsidRPr="00F06A46">
      <w:rPr>
        <w:rStyle w:val="PageNumber"/>
        <w:lang w:val="de-DE"/>
      </w:rPr>
      <w:t>TC/58/7</w:t>
    </w:r>
  </w:p>
  <w:p w14:paraId="3738908C" w14:textId="0EA5F9B0" w:rsidR="00D95772" w:rsidRPr="00F06A46" w:rsidRDefault="00D6204B">
    <w:pPr>
      <w:pStyle w:val="Header"/>
      <w:rPr>
        <w:rStyle w:val="PageNumber"/>
        <w:lang w:val="de-DE"/>
      </w:rPr>
    </w:pPr>
    <w:r w:rsidRPr="00F06A46">
      <w:rPr>
        <w:lang w:val="de-DE"/>
      </w:rPr>
      <w:t>Anhang zur Anlage</w:t>
    </w:r>
    <w:r w:rsidRPr="00F06A46">
      <w:rPr>
        <w:lang w:val="de-DE"/>
      </w:rPr>
      <w:t xml:space="preserve">, Seite </w:t>
    </w:r>
    <w:r w:rsidRPr="00C5280D">
      <w:rPr>
        <w:rStyle w:val="PageNumber"/>
      </w:rPr>
      <w:fldChar w:fldCharType="begin"/>
    </w:r>
    <w:r w:rsidRPr="00F06A46">
      <w:rPr>
        <w:rStyle w:val="PageNumber"/>
        <w:lang w:val="de-DE"/>
      </w:rPr>
      <w:instrText xml:space="preserve"> PAGE </w:instrText>
    </w:r>
    <w:r w:rsidRPr="00C5280D">
      <w:rPr>
        <w:rStyle w:val="PageNumber"/>
      </w:rPr>
      <w:fldChar w:fldCharType="separate"/>
    </w:r>
    <w:r>
      <w:rPr>
        <w:rStyle w:val="PageNumber"/>
        <w:noProof/>
        <w:lang w:val="de-DE"/>
      </w:rPr>
      <w:t>3</w:t>
    </w:r>
    <w:r w:rsidRPr="00C5280D">
      <w:rPr>
        <w:rStyle w:val="PageNumber"/>
      </w:rPr>
      <w:fldChar w:fldCharType="end"/>
    </w:r>
  </w:p>
  <w:p w14:paraId="100E0CE0" w14:textId="77777777" w:rsidR="00C173D8" w:rsidRPr="00F06A46" w:rsidRDefault="00D6204B" w:rsidP="004C24E1">
    <w:pPr>
      <w:pStyle w:val="Header"/>
      <w:rPr>
        <w:lang w:val="de-DE"/>
      </w:rPr>
    </w:pPr>
  </w:p>
  <w:p w14:paraId="0610A1D4" w14:textId="77777777" w:rsidR="00C173D8" w:rsidRPr="00F06A46" w:rsidRDefault="00D6204B">
    <w:pPr>
      <w:pStyle w:val="BodyText"/>
      <w:spacing w:line="14" w:lineRule="auto"/>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2A9E" w14:textId="77777777" w:rsidR="00D95772" w:rsidRDefault="00D6204B">
    <w:pPr>
      <w:pStyle w:val="Header"/>
      <w:rPr>
        <w:rStyle w:val="PageNumber"/>
        <w:lang w:val="fr-CH"/>
      </w:rPr>
    </w:pPr>
    <w:r>
      <w:rPr>
        <w:rStyle w:val="PageNumber"/>
        <w:lang w:val="fr-CH"/>
      </w:rPr>
      <w:t>TC/58/7</w:t>
    </w:r>
  </w:p>
  <w:p w14:paraId="68B8C27E" w14:textId="77777777" w:rsidR="002A0328" w:rsidRDefault="00D6204B" w:rsidP="002A0328">
    <w:pPr>
      <w:pStyle w:val="Header"/>
      <w:rPr>
        <w:rStyle w:val="PageNumber"/>
        <w:lang w:val="fr-CH"/>
      </w:rPr>
    </w:pPr>
  </w:p>
  <w:p w14:paraId="130A4679" w14:textId="77777777" w:rsidR="00D95772" w:rsidRPr="009024D1" w:rsidRDefault="00D6204B">
    <w:pPr>
      <w:pStyle w:val="Header"/>
      <w:rPr>
        <w:lang w:val="de-DE"/>
      </w:rPr>
    </w:pPr>
    <w:r w:rsidRPr="009024D1">
      <w:rPr>
        <w:lang w:val="de-DE"/>
      </w:rPr>
      <w:t>ANHANG ZUR ANLAGE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80919"/>
    <w:multiLevelType w:val="hybridMultilevel"/>
    <w:tmpl w:val="A7EC8664"/>
    <w:lvl w:ilvl="0" w:tplc="50124E3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3" w15:restartNumberingAfterBreak="0">
    <w:nsid w:val="31B073DB"/>
    <w:multiLevelType w:val="multilevel"/>
    <w:tmpl w:val="8D3CD76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lowerLetter"/>
      <w:lvlText w:val="%4)"/>
      <w:lvlJc w:val="left"/>
      <w:pPr>
        <w:ind w:left="1134" w:hanging="567"/>
      </w:pPr>
      <w:rPr>
        <w:rFonts w:hint="default"/>
      </w:rPr>
    </w:lvl>
    <w:lvl w:ilvl="4">
      <w:start w:val="1"/>
      <w:numFmt w:val="lowerRoman"/>
      <w:lvlText w:val="%5."/>
      <w:lvlJc w:val="left"/>
      <w:pPr>
        <w:ind w:left="1418" w:hanging="567"/>
      </w:pPr>
      <w:rPr>
        <w:rFonts w:hint="default"/>
      </w:rPr>
    </w:lvl>
    <w:lvl w:ilvl="5">
      <w:start w:val="1"/>
      <w:numFmt w:val="bullet"/>
      <w:lvlText w:val=""/>
      <w:lvlJc w:val="left"/>
      <w:pPr>
        <w:ind w:left="1418" w:hanging="284"/>
      </w:pPr>
      <w:rPr>
        <w:rFonts w:ascii="Symbol" w:hAnsi="Symbol" w:hint="default"/>
        <w:color w:val="auto"/>
      </w:rPr>
    </w:lvl>
    <w:lvl w:ilvl="6">
      <w:start w:val="1"/>
      <w:numFmt w:val="bullet"/>
      <w:lvlText w:val=""/>
      <w:lvlJc w:val="left"/>
      <w:pPr>
        <w:ind w:left="1588" w:hanging="284"/>
      </w:pPr>
      <w:rPr>
        <w:rFonts w:ascii="Symbol" w:hAnsi="Symbol" w:hint="default"/>
        <w:color w:val="auto"/>
      </w:rPr>
    </w:lvl>
    <w:lvl w:ilvl="7">
      <w:start w:val="1"/>
      <w:numFmt w:val="none"/>
      <w:lvlText w:val=""/>
      <w:lvlJc w:val="left"/>
      <w:pPr>
        <w:ind w:left="567" w:hanging="567"/>
      </w:pPr>
      <w:rPr>
        <w:rFonts w:hint="default"/>
      </w:rPr>
    </w:lvl>
    <w:lvl w:ilvl="8">
      <w:start w:val="1"/>
      <w:numFmt w:val="none"/>
      <w:lvlText w:val=""/>
      <w:lvlJc w:val="left"/>
      <w:pPr>
        <w:ind w:left="567" w:hanging="567"/>
      </w:pPr>
      <w:rPr>
        <w:rFonts w:hint="default"/>
      </w:rPr>
    </w:lvl>
  </w:abstractNum>
  <w:abstractNum w:abstractNumId="4"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6"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5A06518E"/>
    <w:multiLevelType w:val="hybridMultilevel"/>
    <w:tmpl w:val="85A0CB58"/>
    <w:lvl w:ilvl="0" w:tplc="3CE8F4F8">
      <w:start w:val="1"/>
      <w:numFmt w:val="lowerLetter"/>
      <w:lvlText w:val="(%1)"/>
      <w:lvlJc w:val="left"/>
      <w:pPr>
        <w:ind w:left="1128" w:hanging="564"/>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5239DE"/>
    <w:multiLevelType w:val="hybridMultilevel"/>
    <w:tmpl w:val="1DA0FF64"/>
    <w:lvl w:ilvl="0" w:tplc="E286ECEE">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num w:numId="1">
    <w:abstractNumId w:val="5"/>
  </w:num>
  <w:num w:numId="2">
    <w:abstractNumId w:val="0"/>
  </w:num>
  <w:num w:numId="3">
    <w:abstractNumId w:val="9"/>
  </w:num>
  <w:num w:numId="4">
    <w:abstractNumId w:val="7"/>
  </w:num>
  <w:num w:numId="5">
    <w:abstractNumId w:val="3"/>
  </w:num>
  <w:num w:numId="6">
    <w:abstractNumId w:val="4"/>
  </w:num>
  <w:num w:numId="7">
    <w:abstractNumId w:val="8"/>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558"/>
    <w:rsid w:val="00232476"/>
    <w:rsid w:val="00334C44"/>
    <w:rsid w:val="0055191C"/>
    <w:rsid w:val="005B2395"/>
    <w:rsid w:val="00AE6577"/>
    <w:rsid w:val="00D6204B"/>
    <w:rsid w:val="00E95558"/>
    <w:rsid w:val="00F06A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791F"/>
  <w15:chartTrackingRefBased/>
  <w15:docId w15:val="{1E7A8C9B-964F-47FB-BDC2-62B6821F2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558"/>
    <w:pPr>
      <w:spacing w:after="0" w:line="240" w:lineRule="auto"/>
      <w:jc w:val="both"/>
    </w:pPr>
    <w:rPr>
      <w:rFonts w:ascii="Arial" w:eastAsia="Times New Roman" w:hAnsi="Arial" w:cs="Times New Roman"/>
      <w:sz w:val="20"/>
      <w:szCs w:val="20"/>
      <w:lang w:val="en-US"/>
    </w:rPr>
  </w:style>
  <w:style w:type="paragraph" w:styleId="Heading1">
    <w:name w:val="heading 1"/>
    <w:aliases w:val="COMMON NAME,common"/>
    <w:next w:val="Normal"/>
    <w:link w:val="Heading1Char"/>
    <w:autoRedefine/>
    <w:qFormat/>
    <w:rsid w:val="00E95558"/>
    <w:pPr>
      <w:keepNext/>
      <w:spacing w:after="0" w:line="240" w:lineRule="auto"/>
      <w:jc w:val="both"/>
      <w:outlineLvl w:val="0"/>
    </w:pPr>
    <w:rPr>
      <w:rFonts w:ascii="Arial" w:eastAsia="Times New Roman" w:hAnsi="Arial" w:cs="Times New Roman"/>
      <w:caps/>
      <w:sz w:val="20"/>
      <w:szCs w:val="20"/>
      <w:lang w:val="en-US"/>
    </w:rPr>
  </w:style>
  <w:style w:type="paragraph" w:styleId="Heading2">
    <w:name w:val="heading 2"/>
    <w:aliases w:val="VARIETY,variety"/>
    <w:next w:val="Normal"/>
    <w:link w:val="Heading2Char"/>
    <w:autoRedefine/>
    <w:qFormat/>
    <w:rsid w:val="00E95558"/>
    <w:pPr>
      <w:keepNext/>
      <w:spacing w:after="0" w:line="240" w:lineRule="auto"/>
      <w:jc w:val="both"/>
      <w:outlineLvl w:val="1"/>
    </w:pPr>
    <w:rPr>
      <w:rFonts w:ascii="Arial" w:eastAsia="Times New Roman" w:hAnsi="Arial" w:cs="Times New Roman"/>
      <w:sz w:val="20"/>
      <w:szCs w:val="20"/>
      <w:u w:val="single"/>
      <w:lang w:val="en-US"/>
    </w:rPr>
  </w:style>
  <w:style w:type="paragraph" w:styleId="Heading3">
    <w:name w:val="heading 3"/>
    <w:next w:val="Normal"/>
    <w:link w:val="Heading3Char"/>
    <w:autoRedefine/>
    <w:qFormat/>
    <w:rsid w:val="00E95558"/>
    <w:pPr>
      <w:keepNext/>
      <w:spacing w:after="0" w:line="240" w:lineRule="auto"/>
      <w:jc w:val="both"/>
      <w:outlineLvl w:val="2"/>
    </w:pPr>
    <w:rPr>
      <w:rFonts w:ascii="Arial" w:eastAsia="Times New Roman" w:hAnsi="Arial" w:cs="Times New Roman"/>
      <w:i/>
      <w:sz w:val="20"/>
      <w:szCs w:val="20"/>
      <w:lang w:val="en-US"/>
    </w:rPr>
  </w:style>
  <w:style w:type="paragraph" w:styleId="Heading4">
    <w:name w:val="heading 4"/>
    <w:next w:val="Normal"/>
    <w:link w:val="Heading4Char"/>
    <w:autoRedefine/>
    <w:qFormat/>
    <w:rsid w:val="00E95558"/>
    <w:pPr>
      <w:keepNext/>
      <w:spacing w:after="0" w:line="240" w:lineRule="auto"/>
      <w:ind w:left="567"/>
      <w:jc w:val="both"/>
      <w:outlineLvl w:val="3"/>
    </w:pPr>
    <w:rPr>
      <w:rFonts w:ascii="Arial" w:eastAsia="Times New Roman" w:hAnsi="Arial" w:cs="Times New Roman"/>
      <w:sz w:val="20"/>
      <w:szCs w:val="20"/>
      <w:u w:val="single"/>
      <w:lang w:val="fr-FR"/>
    </w:rPr>
  </w:style>
  <w:style w:type="paragraph" w:styleId="Heading5">
    <w:name w:val="heading 5"/>
    <w:next w:val="Normal"/>
    <w:link w:val="Heading5Char"/>
    <w:autoRedefine/>
    <w:qFormat/>
    <w:rsid w:val="00E95558"/>
    <w:pPr>
      <w:keepNext/>
      <w:spacing w:after="0" w:line="240" w:lineRule="auto"/>
      <w:ind w:left="1134" w:hanging="567"/>
      <w:jc w:val="both"/>
      <w:outlineLvl w:val="4"/>
    </w:pPr>
    <w:rPr>
      <w:rFonts w:ascii="Arial" w:eastAsia="Times New Roman" w:hAnsi="Arial" w:cs="Times New Roman"/>
      <w:i/>
      <w:sz w:val="20"/>
      <w:szCs w:val="20"/>
      <w:lang w:val="en-US"/>
    </w:rPr>
  </w:style>
  <w:style w:type="paragraph" w:styleId="Heading9">
    <w:name w:val="heading 9"/>
    <w:basedOn w:val="Normal"/>
    <w:next w:val="Normal"/>
    <w:link w:val="Heading9Char"/>
    <w:qFormat/>
    <w:rsid w:val="00E9555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E95558"/>
    <w:rPr>
      <w:rFonts w:ascii="Arial" w:eastAsia="Times New Roman" w:hAnsi="Arial" w:cs="Times New Roman"/>
      <w:caps/>
      <w:sz w:val="20"/>
      <w:szCs w:val="20"/>
      <w:lang w:val="en-US"/>
    </w:rPr>
  </w:style>
  <w:style w:type="character" w:customStyle="1" w:styleId="Heading2Char">
    <w:name w:val="Heading 2 Char"/>
    <w:aliases w:val="VARIETY Char,variety Char"/>
    <w:basedOn w:val="DefaultParagraphFont"/>
    <w:link w:val="Heading2"/>
    <w:rsid w:val="00E95558"/>
    <w:rPr>
      <w:rFonts w:ascii="Arial" w:eastAsia="Times New Roman" w:hAnsi="Arial" w:cs="Times New Roman"/>
      <w:sz w:val="20"/>
      <w:szCs w:val="20"/>
      <w:u w:val="single"/>
      <w:lang w:val="en-US"/>
    </w:rPr>
  </w:style>
  <w:style w:type="character" w:customStyle="1" w:styleId="Heading3Char">
    <w:name w:val="Heading 3 Char"/>
    <w:basedOn w:val="DefaultParagraphFont"/>
    <w:link w:val="Heading3"/>
    <w:rsid w:val="00E95558"/>
    <w:rPr>
      <w:rFonts w:ascii="Arial" w:eastAsia="Times New Roman" w:hAnsi="Arial" w:cs="Times New Roman"/>
      <w:i/>
      <w:sz w:val="20"/>
      <w:szCs w:val="20"/>
      <w:lang w:val="en-US"/>
    </w:rPr>
  </w:style>
  <w:style w:type="character" w:customStyle="1" w:styleId="Heading4Char">
    <w:name w:val="Heading 4 Char"/>
    <w:basedOn w:val="DefaultParagraphFont"/>
    <w:link w:val="Heading4"/>
    <w:rsid w:val="00E95558"/>
    <w:rPr>
      <w:rFonts w:ascii="Arial" w:eastAsia="Times New Roman" w:hAnsi="Arial" w:cs="Times New Roman"/>
      <w:sz w:val="20"/>
      <w:szCs w:val="20"/>
      <w:u w:val="single"/>
      <w:lang w:val="fr-FR"/>
    </w:rPr>
  </w:style>
  <w:style w:type="character" w:customStyle="1" w:styleId="Heading5Char">
    <w:name w:val="Heading 5 Char"/>
    <w:basedOn w:val="DefaultParagraphFont"/>
    <w:link w:val="Heading5"/>
    <w:rsid w:val="00E95558"/>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E95558"/>
    <w:rPr>
      <w:rFonts w:ascii="Arial" w:eastAsia="Times New Roman" w:hAnsi="Arial" w:cs="Times New Roman"/>
      <w:i/>
      <w:sz w:val="18"/>
      <w:szCs w:val="20"/>
      <w:lang w:val="en-US"/>
    </w:rPr>
  </w:style>
  <w:style w:type="paragraph" w:styleId="Header">
    <w:name w:val="header"/>
    <w:link w:val="HeaderChar"/>
    <w:rsid w:val="00E95558"/>
    <w:pPr>
      <w:spacing w:after="0" w:line="240" w:lineRule="auto"/>
      <w:jc w:val="center"/>
    </w:pPr>
    <w:rPr>
      <w:rFonts w:ascii="Arial" w:eastAsia="Times New Roman" w:hAnsi="Arial" w:cs="Times New Roman"/>
      <w:sz w:val="20"/>
      <w:szCs w:val="20"/>
      <w:lang w:val="fr-FR"/>
    </w:rPr>
  </w:style>
  <w:style w:type="character" w:customStyle="1" w:styleId="HeaderChar">
    <w:name w:val="Header Char"/>
    <w:basedOn w:val="DefaultParagraphFont"/>
    <w:link w:val="Header"/>
    <w:rsid w:val="00E95558"/>
    <w:rPr>
      <w:rFonts w:ascii="Arial" w:eastAsia="Times New Roman" w:hAnsi="Arial" w:cs="Times New Roman"/>
      <w:sz w:val="20"/>
      <w:szCs w:val="20"/>
      <w:lang w:val="fr-FR"/>
    </w:rPr>
  </w:style>
  <w:style w:type="paragraph" w:styleId="Footer">
    <w:name w:val="footer"/>
    <w:aliases w:val="doc_path_name"/>
    <w:link w:val="FooterChar"/>
    <w:autoRedefine/>
    <w:rsid w:val="00E95558"/>
    <w:pPr>
      <w:spacing w:after="0" w:line="240" w:lineRule="auto"/>
      <w:jc w:val="both"/>
    </w:pPr>
    <w:rPr>
      <w:rFonts w:ascii="Arial" w:eastAsia="Times New Roman" w:hAnsi="Arial" w:cs="Times New Roman"/>
      <w:sz w:val="14"/>
      <w:szCs w:val="20"/>
      <w:lang w:val="en-US"/>
    </w:rPr>
  </w:style>
  <w:style w:type="character" w:customStyle="1" w:styleId="FooterChar">
    <w:name w:val="Footer Char"/>
    <w:aliases w:val="doc_path_name Char"/>
    <w:basedOn w:val="DefaultParagraphFont"/>
    <w:link w:val="Footer"/>
    <w:rsid w:val="00E95558"/>
    <w:rPr>
      <w:rFonts w:ascii="Arial" w:eastAsia="Times New Roman" w:hAnsi="Arial" w:cs="Times New Roman"/>
      <w:sz w:val="14"/>
      <w:szCs w:val="20"/>
      <w:lang w:val="en-US"/>
    </w:rPr>
  </w:style>
  <w:style w:type="character" w:styleId="PageNumber">
    <w:name w:val="page number"/>
    <w:basedOn w:val="DefaultParagraphFont"/>
    <w:rsid w:val="00E95558"/>
    <w:rPr>
      <w:rFonts w:ascii="Arial" w:hAnsi="Arial"/>
      <w:sz w:val="20"/>
    </w:rPr>
  </w:style>
  <w:style w:type="paragraph" w:styleId="Title">
    <w:name w:val="Title"/>
    <w:basedOn w:val="Normal"/>
    <w:link w:val="TitleChar"/>
    <w:qFormat/>
    <w:rsid w:val="00E95558"/>
    <w:pPr>
      <w:spacing w:after="300"/>
      <w:jc w:val="center"/>
    </w:pPr>
    <w:rPr>
      <w:b/>
      <w:caps/>
      <w:kern w:val="28"/>
      <w:sz w:val="30"/>
    </w:rPr>
  </w:style>
  <w:style w:type="character" w:customStyle="1" w:styleId="TitleChar">
    <w:name w:val="Title Char"/>
    <w:basedOn w:val="DefaultParagraphFont"/>
    <w:link w:val="Title"/>
    <w:rsid w:val="00E95558"/>
    <w:rPr>
      <w:rFonts w:ascii="Arial" w:eastAsia="Times New Roman" w:hAnsi="Arial" w:cs="Times New Roman"/>
      <w:b/>
      <w:caps/>
      <w:kern w:val="28"/>
      <w:sz w:val="30"/>
      <w:szCs w:val="20"/>
      <w:lang w:val="en-US"/>
    </w:rPr>
  </w:style>
  <w:style w:type="paragraph" w:customStyle="1" w:styleId="preparedby">
    <w:name w:val="preparedby"/>
    <w:basedOn w:val="Normal"/>
    <w:next w:val="Normal"/>
    <w:semiHidden/>
    <w:rsid w:val="00E95558"/>
    <w:pPr>
      <w:spacing w:after="600"/>
      <w:jc w:val="center"/>
    </w:pPr>
    <w:rPr>
      <w:i/>
    </w:rPr>
  </w:style>
  <w:style w:type="paragraph" w:customStyle="1" w:styleId="Docoriginal">
    <w:name w:val="Doc_original"/>
    <w:basedOn w:val="Code"/>
    <w:link w:val="DocoriginalChar"/>
    <w:rsid w:val="00E95558"/>
    <w:pPr>
      <w:spacing w:before="240" w:line="240" w:lineRule="exact"/>
      <w:ind w:left="0"/>
      <w:contextualSpacing/>
      <w:jc w:val="left"/>
    </w:pPr>
    <w:rPr>
      <w:sz w:val="18"/>
    </w:rPr>
  </w:style>
  <w:style w:type="paragraph" w:customStyle="1" w:styleId="DecisionParagraphs">
    <w:name w:val="DecisionParagraphs"/>
    <w:basedOn w:val="Normal"/>
    <w:uiPriority w:val="99"/>
    <w:rsid w:val="00E95558"/>
    <w:pPr>
      <w:tabs>
        <w:tab w:val="left" w:pos="5387"/>
        <w:tab w:val="left" w:pos="5954"/>
      </w:tabs>
      <w:ind w:left="4820"/>
    </w:pPr>
    <w:rPr>
      <w:i/>
    </w:rPr>
  </w:style>
  <w:style w:type="paragraph" w:styleId="FootnoteText">
    <w:name w:val="footnote text"/>
    <w:link w:val="FootnoteTextChar"/>
    <w:autoRedefine/>
    <w:rsid w:val="00E95558"/>
    <w:pPr>
      <w:spacing w:before="60" w:after="0" w:line="240" w:lineRule="auto"/>
      <w:ind w:left="567" w:hanging="567"/>
      <w:jc w:val="both"/>
    </w:pPr>
    <w:rPr>
      <w:rFonts w:ascii="Arial" w:eastAsia="Times New Roman" w:hAnsi="Arial" w:cs="Times New Roman"/>
      <w:sz w:val="16"/>
      <w:szCs w:val="20"/>
      <w:lang w:val="en-US"/>
    </w:rPr>
  </w:style>
  <w:style w:type="character" w:customStyle="1" w:styleId="FootnoteTextChar">
    <w:name w:val="Footnote Text Char"/>
    <w:basedOn w:val="DefaultParagraphFont"/>
    <w:link w:val="FootnoteText"/>
    <w:rsid w:val="00E95558"/>
    <w:rPr>
      <w:rFonts w:ascii="Arial" w:eastAsia="Times New Roman" w:hAnsi="Arial" w:cs="Times New Roman"/>
      <w:sz w:val="16"/>
      <w:szCs w:val="20"/>
      <w:lang w:val="en-US"/>
    </w:rPr>
  </w:style>
  <w:style w:type="character" w:styleId="FootnoteReference">
    <w:name w:val="footnote reference"/>
    <w:basedOn w:val="DefaultParagraphFont"/>
    <w:rsid w:val="00E95558"/>
    <w:rPr>
      <w:vertAlign w:val="superscript"/>
    </w:rPr>
  </w:style>
  <w:style w:type="paragraph" w:styleId="Closing">
    <w:name w:val="Closing"/>
    <w:basedOn w:val="Normal"/>
    <w:link w:val="ClosingChar"/>
    <w:rsid w:val="00E95558"/>
    <w:pPr>
      <w:ind w:left="4536"/>
      <w:jc w:val="center"/>
    </w:pPr>
  </w:style>
  <w:style w:type="character" w:customStyle="1" w:styleId="ClosingChar">
    <w:name w:val="Closing Char"/>
    <w:basedOn w:val="DefaultParagraphFont"/>
    <w:link w:val="Closing"/>
    <w:rsid w:val="00E95558"/>
    <w:rPr>
      <w:rFonts w:ascii="Arial" w:eastAsia="Times New Roman" w:hAnsi="Arial" w:cs="Times New Roman"/>
      <w:sz w:val="20"/>
      <w:szCs w:val="20"/>
      <w:lang w:val="en-US"/>
    </w:rPr>
  </w:style>
  <w:style w:type="paragraph" w:styleId="Index1">
    <w:name w:val="index 1"/>
    <w:basedOn w:val="Normal"/>
    <w:next w:val="Normal"/>
    <w:semiHidden/>
    <w:rsid w:val="00E95558"/>
    <w:pPr>
      <w:tabs>
        <w:tab w:val="right" w:leader="dot" w:pos="9071"/>
      </w:tabs>
      <w:ind w:left="284" w:hanging="284"/>
    </w:pPr>
    <w:rPr>
      <w:sz w:val="24"/>
    </w:rPr>
  </w:style>
  <w:style w:type="paragraph" w:styleId="Index2">
    <w:name w:val="index 2"/>
    <w:basedOn w:val="Normal"/>
    <w:next w:val="Normal"/>
    <w:semiHidden/>
    <w:rsid w:val="00E95558"/>
    <w:pPr>
      <w:tabs>
        <w:tab w:val="right" w:leader="dot" w:pos="9071"/>
      </w:tabs>
      <w:ind w:left="568" w:hanging="284"/>
    </w:pPr>
    <w:rPr>
      <w:sz w:val="24"/>
    </w:rPr>
  </w:style>
  <w:style w:type="paragraph" w:styleId="Index3">
    <w:name w:val="index 3"/>
    <w:basedOn w:val="Normal"/>
    <w:next w:val="Normal"/>
    <w:semiHidden/>
    <w:rsid w:val="00E95558"/>
    <w:pPr>
      <w:tabs>
        <w:tab w:val="right" w:leader="dot" w:pos="9071"/>
      </w:tabs>
      <w:ind w:left="851" w:hanging="284"/>
    </w:pPr>
    <w:rPr>
      <w:sz w:val="24"/>
    </w:rPr>
  </w:style>
  <w:style w:type="paragraph" w:styleId="MacroText">
    <w:name w:val="macro"/>
    <w:link w:val="MacroTextChar"/>
    <w:semiHidden/>
    <w:rsid w:val="00E9555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rPr>
  </w:style>
  <w:style w:type="character" w:customStyle="1" w:styleId="MacroTextChar">
    <w:name w:val="Macro Text Char"/>
    <w:basedOn w:val="DefaultParagraphFont"/>
    <w:link w:val="MacroText"/>
    <w:semiHidden/>
    <w:rsid w:val="00E95558"/>
    <w:rPr>
      <w:rFonts w:ascii="Courier New" w:eastAsia="Times New Roman" w:hAnsi="Courier New" w:cs="Times New Roman"/>
      <w:sz w:val="16"/>
      <w:szCs w:val="20"/>
      <w:lang w:val="en-US"/>
    </w:rPr>
  </w:style>
  <w:style w:type="paragraph" w:styleId="Signature">
    <w:name w:val="Signature"/>
    <w:basedOn w:val="Normal"/>
    <w:link w:val="SignatureChar"/>
    <w:rsid w:val="00E95558"/>
    <w:pPr>
      <w:ind w:left="4536"/>
      <w:jc w:val="center"/>
    </w:pPr>
  </w:style>
  <w:style w:type="character" w:customStyle="1" w:styleId="SignatureChar">
    <w:name w:val="Signature Char"/>
    <w:basedOn w:val="DefaultParagraphFont"/>
    <w:link w:val="Signature"/>
    <w:rsid w:val="00E95558"/>
    <w:rPr>
      <w:rFonts w:ascii="Arial" w:eastAsia="Times New Roman" w:hAnsi="Arial" w:cs="Times New Roman"/>
      <w:sz w:val="20"/>
      <w:szCs w:val="20"/>
      <w:lang w:val="en-US"/>
    </w:rPr>
  </w:style>
  <w:style w:type="character" w:customStyle="1" w:styleId="Doclang">
    <w:name w:val="Doc_lang"/>
    <w:basedOn w:val="DefaultParagraphFont"/>
    <w:rsid w:val="00E95558"/>
    <w:rPr>
      <w:rFonts w:ascii="Arial" w:hAnsi="Arial"/>
      <w:sz w:val="20"/>
      <w:lang w:val="en-US"/>
    </w:rPr>
  </w:style>
  <w:style w:type="paragraph" w:customStyle="1" w:styleId="Session">
    <w:name w:val="Session"/>
    <w:basedOn w:val="Normal"/>
    <w:semiHidden/>
    <w:rsid w:val="00E95558"/>
    <w:pPr>
      <w:spacing w:before="60"/>
      <w:jc w:val="center"/>
    </w:pPr>
    <w:rPr>
      <w:b/>
    </w:rPr>
  </w:style>
  <w:style w:type="paragraph" w:customStyle="1" w:styleId="Organizer">
    <w:name w:val="Organizer"/>
    <w:basedOn w:val="Normal"/>
    <w:semiHidden/>
    <w:rsid w:val="00E95558"/>
    <w:pPr>
      <w:spacing w:after="600"/>
      <w:ind w:left="-993" w:right="-994"/>
      <w:jc w:val="center"/>
    </w:pPr>
    <w:rPr>
      <w:b/>
      <w:caps/>
      <w:kern w:val="26"/>
      <w:sz w:val="26"/>
    </w:rPr>
  </w:style>
  <w:style w:type="paragraph" w:styleId="BodyText">
    <w:name w:val="Body Text"/>
    <w:basedOn w:val="Normal"/>
    <w:link w:val="BodyTextChar"/>
    <w:rsid w:val="00E95558"/>
  </w:style>
  <w:style w:type="character" w:customStyle="1" w:styleId="BodyTextChar">
    <w:name w:val="Body Text Char"/>
    <w:basedOn w:val="DefaultParagraphFont"/>
    <w:link w:val="BodyText"/>
    <w:rsid w:val="00E95558"/>
    <w:rPr>
      <w:rFonts w:ascii="Arial" w:eastAsia="Times New Roman" w:hAnsi="Arial" w:cs="Times New Roman"/>
      <w:sz w:val="20"/>
      <w:szCs w:val="20"/>
      <w:lang w:val="en-US"/>
    </w:rPr>
  </w:style>
  <w:style w:type="paragraph" w:customStyle="1" w:styleId="Disclaimer">
    <w:name w:val="Disclaimer"/>
    <w:next w:val="Normal"/>
    <w:qFormat/>
    <w:rsid w:val="00E95558"/>
    <w:pPr>
      <w:spacing w:after="600" w:line="240" w:lineRule="auto"/>
    </w:pPr>
    <w:rPr>
      <w:rFonts w:ascii="Arial" w:eastAsia="Times New Roman" w:hAnsi="Arial" w:cs="Times New Roman"/>
      <w:i/>
      <w:iCs/>
      <w:color w:val="A6A6A6" w:themeColor="background1" w:themeShade="A6"/>
      <w:sz w:val="20"/>
      <w:szCs w:val="20"/>
      <w:lang w:val="en-US"/>
    </w:rPr>
  </w:style>
  <w:style w:type="paragraph" w:customStyle="1" w:styleId="upove">
    <w:name w:val="upov_e"/>
    <w:basedOn w:val="Normal"/>
    <w:rsid w:val="00E95558"/>
    <w:pPr>
      <w:spacing w:before="120"/>
    </w:pPr>
    <w:rPr>
      <w:sz w:val="16"/>
    </w:rPr>
  </w:style>
  <w:style w:type="paragraph" w:customStyle="1" w:styleId="TitleofDoc">
    <w:name w:val="Title of Doc"/>
    <w:basedOn w:val="Normal"/>
    <w:semiHidden/>
    <w:rsid w:val="00E95558"/>
    <w:pPr>
      <w:spacing w:before="1200"/>
      <w:jc w:val="center"/>
    </w:pPr>
    <w:rPr>
      <w:caps/>
    </w:rPr>
  </w:style>
  <w:style w:type="paragraph" w:customStyle="1" w:styleId="preparedby0">
    <w:name w:val="prepared by"/>
    <w:basedOn w:val="Normal"/>
    <w:semiHidden/>
    <w:rsid w:val="00E95558"/>
    <w:pPr>
      <w:spacing w:before="600" w:after="600"/>
      <w:jc w:val="center"/>
    </w:pPr>
    <w:rPr>
      <w:i/>
    </w:rPr>
  </w:style>
  <w:style w:type="paragraph" w:customStyle="1" w:styleId="PlaceAndDate">
    <w:name w:val="PlaceAndDate"/>
    <w:basedOn w:val="Session"/>
    <w:semiHidden/>
    <w:rsid w:val="00E95558"/>
  </w:style>
  <w:style w:type="paragraph" w:styleId="EndnoteText">
    <w:name w:val="endnote text"/>
    <w:basedOn w:val="Normal"/>
    <w:link w:val="EndnoteTextChar"/>
    <w:semiHidden/>
    <w:rsid w:val="00E95558"/>
  </w:style>
  <w:style w:type="character" w:customStyle="1" w:styleId="EndnoteTextChar">
    <w:name w:val="Endnote Text Char"/>
    <w:basedOn w:val="DefaultParagraphFont"/>
    <w:link w:val="EndnoteText"/>
    <w:semiHidden/>
    <w:rsid w:val="00E95558"/>
    <w:rPr>
      <w:rFonts w:ascii="Arial" w:eastAsia="Times New Roman" w:hAnsi="Arial" w:cs="Times New Roman"/>
      <w:sz w:val="20"/>
      <w:szCs w:val="20"/>
      <w:lang w:val="en-US"/>
    </w:rPr>
  </w:style>
  <w:style w:type="character" w:styleId="EndnoteReference">
    <w:name w:val="endnote reference"/>
    <w:basedOn w:val="DefaultParagraphFont"/>
    <w:semiHidden/>
    <w:rsid w:val="00E95558"/>
    <w:rPr>
      <w:vertAlign w:val="superscript"/>
    </w:rPr>
  </w:style>
  <w:style w:type="paragraph" w:customStyle="1" w:styleId="SessionMeetingPlace">
    <w:name w:val="Session_MeetingPlace"/>
    <w:basedOn w:val="Normal"/>
    <w:semiHidden/>
    <w:rsid w:val="00E95558"/>
    <w:pPr>
      <w:spacing w:before="480"/>
      <w:jc w:val="center"/>
    </w:pPr>
    <w:rPr>
      <w:b/>
      <w:bCs/>
      <w:kern w:val="28"/>
      <w:sz w:val="24"/>
    </w:rPr>
  </w:style>
  <w:style w:type="paragraph" w:customStyle="1" w:styleId="Original">
    <w:name w:val="Original"/>
    <w:basedOn w:val="Normal"/>
    <w:semiHidden/>
    <w:rsid w:val="00E95558"/>
    <w:pPr>
      <w:spacing w:before="60"/>
      <w:ind w:left="1276"/>
    </w:pPr>
    <w:rPr>
      <w:b/>
      <w:sz w:val="22"/>
    </w:rPr>
  </w:style>
  <w:style w:type="paragraph" w:styleId="Date">
    <w:name w:val="Date"/>
    <w:basedOn w:val="Normal"/>
    <w:link w:val="DateChar"/>
    <w:semiHidden/>
    <w:rsid w:val="00E95558"/>
    <w:pPr>
      <w:spacing w:line="340" w:lineRule="exact"/>
      <w:ind w:left="1276"/>
    </w:pPr>
    <w:rPr>
      <w:b/>
      <w:sz w:val="22"/>
    </w:rPr>
  </w:style>
  <w:style w:type="character" w:customStyle="1" w:styleId="DateChar">
    <w:name w:val="Date Char"/>
    <w:basedOn w:val="DefaultParagraphFont"/>
    <w:link w:val="Date"/>
    <w:semiHidden/>
    <w:rsid w:val="00E95558"/>
    <w:rPr>
      <w:rFonts w:ascii="Arial" w:eastAsia="Times New Roman" w:hAnsi="Arial" w:cs="Times New Roman"/>
      <w:b/>
      <w:szCs w:val="20"/>
      <w:lang w:val="en-US"/>
    </w:rPr>
  </w:style>
  <w:style w:type="paragraph" w:customStyle="1" w:styleId="Code">
    <w:name w:val="Code"/>
    <w:basedOn w:val="Normal"/>
    <w:link w:val="CodeChar"/>
    <w:semiHidden/>
    <w:rsid w:val="00E95558"/>
    <w:pPr>
      <w:spacing w:line="340" w:lineRule="atLeast"/>
      <w:ind w:left="1276"/>
    </w:pPr>
    <w:rPr>
      <w:b/>
      <w:bCs/>
      <w:spacing w:val="10"/>
    </w:rPr>
  </w:style>
  <w:style w:type="paragraph" w:customStyle="1" w:styleId="Country">
    <w:name w:val="Country"/>
    <w:basedOn w:val="Normal"/>
    <w:semiHidden/>
    <w:rsid w:val="00E95558"/>
    <w:pPr>
      <w:spacing w:before="60" w:after="480"/>
      <w:jc w:val="center"/>
    </w:pPr>
  </w:style>
  <w:style w:type="paragraph" w:customStyle="1" w:styleId="Lettrine">
    <w:name w:val="Lettrine"/>
    <w:basedOn w:val="Normal"/>
    <w:rsid w:val="00E95558"/>
    <w:pPr>
      <w:spacing w:line="340" w:lineRule="atLeast"/>
      <w:jc w:val="right"/>
    </w:pPr>
    <w:rPr>
      <w:b/>
      <w:bCs/>
      <w:sz w:val="36"/>
    </w:rPr>
  </w:style>
  <w:style w:type="paragraph" w:customStyle="1" w:styleId="LogoUPOV">
    <w:name w:val="LogoUPOV"/>
    <w:basedOn w:val="Normal"/>
    <w:rsid w:val="00E95558"/>
    <w:pPr>
      <w:spacing w:before="600" w:after="80"/>
      <w:jc w:val="center"/>
    </w:pPr>
    <w:rPr>
      <w:snapToGrid w:val="0"/>
    </w:rPr>
  </w:style>
  <w:style w:type="paragraph" w:customStyle="1" w:styleId="Sessiontc">
    <w:name w:val="Session_tc"/>
    <w:basedOn w:val="StyleSessionAllcaps"/>
    <w:rsid w:val="00E95558"/>
    <w:pPr>
      <w:spacing w:before="0" w:line="280" w:lineRule="exact"/>
      <w:jc w:val="left"/>
    </w:pPr>
    <w:rPr>
      <w:caps w:val="0"/>
      <w:sz w:val="20"/>
    </w:rPr>
  </w:style>
  <w:style w:type="paragraph" w:customStyle="1" w:styleId="TitreUpov">
    <w:name w:val="TitreUpov"/>
    <w:basedOn w:val="Normal"/>
    <w:semiHidden/>
    <w:rsid w:val="00E95558"/>
    <w:pPr>
      <w:spacing w:before="60"/>
      <w:jc w:val="center"/>
    </w:pPr>
    <w:rPr>
      <w:b/>
      <w:sz w:val="24"/>
    </w:rPr>
  </w:style>
  <w:style w:type="paragraph" w:customStyle="1" w:styleId="StyleSessionAllcaps">
    <w:name w:val="Style Session + All caps"/>
    <w:basedOn w:val="Session"/>
    <w:semiHidden/>
    <w:rsid w:val="00E95558"/>
    <w:pPr>
      <w:spacing w:before="480"/>
    </w:pPr>
    <w:rPr>
      <w:bCs/>
      <w:caps/>
      <w:kern w:val="28"/>
      <w:sz w:val="24"/>
    </w:rPr>
  </w:style>
  <w:style w:type="paragraph" w:customStyle="1" w:styleId="plcountry">
    <w:name w:val="plcountry"/>
    <w:basedOn w:val="Normal"/>
    <w:rsid w:val="00E95558"/>
    <w:pPr>
      <w:keepNext/>
      <w:keepLines/>
      <w:spacing w:before="180" w:after="120"/>
      <w:jc w:val="left"/>
    </w:pPr>
    <w:rPr>
      <w:caps/>
      <w:noProof/>
      <w:snapToGrid w:val="0"/>
      <w:u w:val="single"/>
    </w:rPr>
  </w:style>
  <w:style w:type="paragraph" w:customStyle="1" w:styleId="pldetails">
    <w:name w:val="pldetails"/>
    <w:basedOn w:val="Normal"/>
    <w:rsid w:val="00E95558"/>
    <w:pPr>
      <w:keepLines/>
      <w:spacing w:before="60" w:after="60"/>
      <w:jc w:val="left"/>
    </w:pPr>
    <w:rPr>
      <w:noProof/>
      <w:snapToGrid w:val="0"/>
    </w:rPr>
  </w:style>
  <w:style w:type="paragraph" w:customStyle="1" w:styleId="plheading">
    <w:name w:val="plheading"/>
    <w:basedOn w:val="Normal"/>
    <w:rsid w:val="00E95558"/>
    <w:pPr>
      <w:keepNext/>
      <w:spacing w:before="480" w:after="120"/>
      <w:jc w:val="center"/>
    </w:pPr>
    <w:rPr>
      <w:caps/>
      <w:snapToGrid w:val="0"/>
      <w:u w:val="single"/>
    </w:rPr>
  </w:style>
  <w:style w:type="paragraph" w:customStyle="1" w:styleId="Sessiontcplacedate">
    <w:name w:val="Session_tc_place_date"/>
    <w:basedOn w:val="SessionMeetingPlace"/>
    <w:rsid w:val="00E95558"/>
    <w:pPr>
      <w:spacing w:before="240"/>
      <w:contextualSpacing/>
      <w:jc w:val="left"/>
    </w:pPr>
    <w:rPr>
      <w:sz w:val="20"/>
    </w:rPr>
  </w:style>
  <w:style w:type="paragraph" w:customStyle="1" w:styleId="Titleofdoc0">
    <w:name w:val="Title_of_doc"/>
    <w:basedOn w:val="TitleofDoc"/>
    <w:rsid w:val="00E95558"/>
    <w:pPr>
      <w:spacing w:before="600" w:after="240"/>
      <w:jc w:val="left"/>
    </w:pPr>
    <w:rPr>
      <w:b/>
    </w:rPr>
  </w:style>
  <w:style w:type="paragraph" w:customStyle="1" w:styleId="preparedby1">
    <w:name w:val="prepared_by"/>
    <w:basedOn w:val="preparedby0"/>
    <w:rsid w:val="00E95558"/>
    <w:pPr>
      <w:spacing w:before="0" w:after="240"/>
    </w:pPr>
    <w:rPr>
      <w:iCs/>
    </w:rPr>
  </w:style>
  <w:style w:type="character" w:customStyle="1" w:styleId="CodeChar">
    <w:name w:val="Code Char"/>
    <w:basedOn w:val="DefaultParagraphFont"/>
    <w:link w:val="Code"/>
    <w:semiHidden/>
    <w:rsid w:val="00E95558"/>
    <w:rPr>
      <w:rFonts w:ascii="Arial" w:eastAsia="Times New Roman" w:hAnsi="Arial" w:cs="Times New Roman"/>
      <w:b/>
      <w:bCs/>
      <w:spacing w:val="10"/>
      <w:sz w:val="20"/>
      <w:szCs w:val="20"/>
      <w:lang w:val="en-US"/>
    </w:rPr>
  </w:style>
  <w:style w:type="paragraph" w:customStyle="1" w:styleId="endofdoc">
    <w:name w:val="end_of_doc"/>
    <w:next w:val="Header"/>
    <w:autoRedefine/>
    <w:rsid w:val="00E95558"/>
    <w:pPr>
      <w:spacing w:before="480" w:after="0" w:line="240" w:lineRule="auto"/>
      <w:ind w:left="567" w:hanging="567"/>
      <w:jc w:val="right"/>
    </w:pPr>
    <w:rPr>
      <w:rFonts w:ascii="Arial" w:eastAsia="Times New Roman" w:hAnsi="Arial" w:cs="Times New Roman"/>
      <w:sz w:val="20"/>
      <w:szCs w:val="20"/>
      <w:lang w:val="en-US"/>
    </w:rPr>
  </w:style>
  <w:style w:type="character" w:customStyle="1" w:styleId="DocoriginalChar">
    <w:name w:val="Doc_original Char"/>
    <w:basedOn w:val="CodeChar"/>
    <w:link w:val="Docoriginal"/>
    <w:rsid w:val="00E95558"/>
    <w:rPr>
      <w:rFonts w:ascii="Arial" w:eastAsia="Times New Roman" w:hAnsi="Arial" w:cs="Times New Roman"/>
      <w:b/>
      <w:bCs/>
      <w:spacing w:val="10"/>
      <w:sz w:val="18"/>
      <w:szCs w:val="20"/>
      <w:lang w:val="en-US"/>
    </w:rPr>
  </w:style>
  <w:style w:type="paragraph" w:styleId="TOC2">
    <w:name w:val="toc 2"/>
    <w:basedOn w:val="Normal"/>
    <w:next w:val="Normal"/>
    <w:autoRedefine/>
    <w:uiPriority w:val="39"/>
    <w:qFormat/>
    <w:rsid w:val="00E95558"/>
    <w:pPr>
      <w:tabs>
        <w:tab w:val="right" w:leader="dot" w:pos="9639"/>
      </w:tabs>
      <w:ind w:left="568" w:right="851" w:hanging="284"/>
      <w:contextualSpacing/>
      <w:jc w:val="left"/>
    </w:pPr>
    <w:rPr>
      <w:sz w:val="18"/>
    </w:rPr>
  </w:style>
  <w:style w:type="paragraph" w:styleId="TOC3">
    <w:name w:val="toc 3"/>
    <w:next w:val="Normal"/>
    <w:autoRedefine/>
    <w:uiPriority w:val="39"/>
    <w:qFormat/>
    <w:rsid w:val="00E95558"/>
    <w:pPr>
      <w:tabs>
        <w:tab w:val="right" w:leader="dot" w:pos="9639"/>
      </w:tabs>
      <w:spacing w:after="120" w:line="240" w:lineRule="auto"/>
      <w:ind w:left="568" w:right="851" w:hanging="284"/>
    </w:pPr>
    <w:rPr>
      <w:rFonts w:ascii="Arial" w:eastAsia="Times New Roman" w:hAnsi="Arial" w:cs="Times New Roman"/>
      <w:sz w:val="18"/>
      <w:szCs w:val="20"/>
      <w:lang w:val="fr-FR"/>
    </w:rPr>
  </w:style>
  <w:style w:type="character" w:styleId="Hyperlink">
    <w:name w:val="Hyperlink"/>
    <w:basedOn w:val="DefaultParagraphFont"/>
    <w:uiPriority w:val="99"/>
    <w:rsid w:val="00E95558"/>
    <w:rPr>
      <w:rFonts w:ascii="Arial" w:hAnsi="Arial"/>
      <w:color w:val="0000FF"/>
      <w:u w:val="single"/>
    </w:rPr>
  </w:style>
  <w:style w:type="paragraph" w:styleId="TOC4">
    <w:name w:val="toc 4"/>
    <w:next w:val="Normal"/>
    <w:autoRedefine/>
    <w:rsid w:val="00E95558"/>
    <w:pPr>
      <w:tabs>
        <w:tab w:val="right" w:leader="dot" w:pos="9639"/>
      </w:tabs>
      <w:spacing w:after="120" w:line="240" w:lineRule="auto"/>
      <w:ind w:left="738" w:right="851" w:hanging="284"/>
    </w:pPr>
    <w:rPr>
      <w:rFonts w:ascii="Arial" w:eastAsia="Times New Roman" w:hAnsi="Arial" w:cs="Times New Roman"/>
      <w:i/>
      <w:sz w:val="18"/>
      <w:szCs w:val="20"/>
      <w:lang w:val="fr-FR"/>
    </w:rPr>
  </w:style>
  <w:style w:type="paragraph" w:styleId="TOC1">
    <w:name w:val="toc 1"/>
    <w:basedOn w:val="Normal"/>
    <w:next w:val="Normal"/>
    <w:autoRedefine/>
    <w:uiPriority w:val="39"/>
    <w:qFormat/>
    <w:rsid w:val="00E95558"/>
    <w:pPr>
      <w:tabs>
        <w:tab w:val="right" w:leader="dot" w:pos="9639"/>
      </w:tabs>
      <w:spacing w:before="60"/>
      <w:ind w:right="1418"/>
      <w:jc w:val="left"/>
    </w:pPr>
    <w:rPr>
      <w:caps/>
      <w:sz w:val="18"/>
    </w:rPr>
  </w:style>
  <w:style w:type="paragraph" w:styleId="TOC5">
    <w:name w:val="toc 5"/>
    <w:next w:val="Normal"/>
    <w:autoRedefine/>
    <w:rsid w:val="00E95558"/>
    <w:pPr>
      <w:tabs>
        <w:tab w:val="right" w:leader="dot" w:pos="9639"/>
      </w:tabs>
      <w:spacing w:after="120" w:line="240" w:lineRule="auto"/>
      <w:ind w:left="567" w:right="851" w:firstLine="284"/>
      <w:jc w:val="both"/>
    </w:pPr>
    <w:rPr>
      <w:rFonts w:ascii="Arial" w:eastAsia="Times New Roman" w:hAnsi="Arial" w:cs="Times New Roman"/>
      <w:sz w:val="16"/>
      <w:szCs w:val="20"/>
      <w:lang w:val="fr-FR"/>
    </w:rPr>
  </w:style>
  <w:style w:type="paragraph" w:styleId="BalloonText">
    <w:name w:val="Balloon Text"/>
    <w:basedOn w:val="Normal"/>
    <w:link w:val="BalloonTextChar"/>
    <w:rsid w:val="00E95558"/>
    <w:rPr>
      <w:rFonts w:ascii="Tahoma" w:hAnsi="Tahoma" w:cs="Tahoma"/>
      <w:sz w:val="16"/>
      <w:szCs w:val="16"/>
    </w:rPr>
  </w:style>
  <w:style w:type="character" w:customStyle="1" w:styleId="BalloonTextChar">
    <w:name w:val="Balloon Text Char"/>
    <w:basedOn w:val="DefaultParagraphFont"/>
    <w:link w:val="BalloonText"/>
    <w:rsid w:val="00E95558"/>
    <w:rPr>
      <w:rFonts w:ascii="Tahoma" w:eastAsia="Times New Roman" w:hAnsi="Tahoma" w:cs="Tahoma"/>
      <w:sz w:val="16"/>
      <w:szCs w:val="16"/>
      <w:lang w:val="en-US"/>
    </w:rPr>
  </w:style>
  <w:style w:type="paragraph" w:customStyle="1" w:styleId="Doccode">
    <w:name w:val="Doc_code"/>
    <w:qFormat/>
    <w:rsid w:val="00E95558"/>
    <w:pPr>
      <w:spacing w:after="0" w:line="240" w:lineRule="auto"/>
    </w:pPr>
    <w:rPr>
      <w:rFonts w:ascii="Arial" w:eastAsia="Times New Roman" w:hAnsi="Arial" w:cs="Times New Roman"/>
      <w:b/>
      <w:bCs/>
      <w:spacing w:val="10"/>
      <w:sz w:val="18"/>
      <w:szCs w:val="20"/>
      <w:lang w:val="en-US"/>
    </w:rPr>
  </w:style>
  <w:style w:type="paragraph" w:styleId="ListParagraph">
    <w:name w:val="List Paragraph"/>
    <w:aliases w:val="auto_list_(i),List Paragraph1"/>
    <w:basedOn w:val="Normal"/>
    <w:link w:val="ListParagraphChar"/>
    <w:uiPriority w:val="34"/>
    <w:qFormat/>
    <w:rsid w:val="00E95558"/>
    <w:pPr>
      <w:ind w:left="720"/>
      <w:contextualSpacing/>
    </w:pPr>
  </w:style>
  <w:style w:type="table" w:styleId="TableGrid">
    <w:name w:val="Table Grid"/>
    <w:basedOn w:val="TableNormal"/>
    <w:uiPriority w:val="39"/>
    <w:rsid w:val="00E95558"/>
    <w:pPr>
      <w:spacing w:after="0" w:line="240" w:lineRule="auto"/>
    </w:pPr>
    <w:rPr>
      <w:rFonts w:ascii="Calibri" w:eastAsia="Calibri" w:hAnsi="Calibri" w:cs="Times New Roman"/>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95558"/>
    <w:pPr>
      <w:spacing w:after="0" w:line="240" w:lineRule="auto"/>
    </w:pPr>
    <w:rPr>
      <w:rFonts w:ascii="Calibri" w:eastAsia="Calibri" w:hAnsi="Calibri" w:cs="Times New Roman"/>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uto_list_(i) Char,List Paragraph1 Char"/>
    <w:basedOn w:val="DefaultParagraphFont"/>
    <w:link w:val="ListParagraph"/>
    <w:uiPriority w:val="34"/>
    <w:rsid w:val="00E95558"/>
    <w:rPr>
      <w:rFonts w:ascii="Arial" w:eastAsia="Times New Roman" w:hAnsi="Arial" w:cs="Times New Roman"/>
      <w:sz w:val="20"/>
      <w:szCs w:val="20"/>
      <w:lang w:val="en-US"/>
    </w:rPr>
  </w:style>
  <w:style w:type="paragraph" w:styleId="Revision">
    <w:name w:val="Revision"/>
    <w:hidden/>
    <w:uiPriority w:val="99"/>
    <w:semiHidden/>
    <w:rsid w:val="00E95558"/>
    <w:pPr>
      <w:spacing w:after="0" w:line="240" w:lineRule="auto"/>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5416</Words>
  <Characters>27894</Characters>
  <Application>Microsoft Office Word</Application>
  <DocSecurity>0</DocSecurity>
  <Lines>664</Lines>
  <Paragraphs>323</Paragraphs>
  <ScaleCrop>false</ScaleCrop>
  <HeadingPairs>
    <vt:vector size="2" baseType="variant">
      <vt:variant>
        <vt:lpstr>Title</vt:lpstr>
      </vt:variant>
      <vt:variant>
        <vt:i4>1</vt:i4>
      </vt:variant>
    </vt:vector>
  </HeadingPairs>
  <TitlesOfParts>
    <vt:vector size="1" baseType="lpstr">
      <vt:lpstr>tc/58</vt:lpstr>
    </vt:vector>
  </TitlesOfParts>
  <Company/>
  <LinksUpToDate>false</LinksUpToDate>
  <CharactersWithSpaces>32987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subject/>
  <dc:creator>Sonja Hirsch</dc:creator>
  <cp:keywords/>
  <dc:description/>
  <cp:lastModifiedBy>MAY Jessica</cp:lastModifiedBy>
  <cp:revision>6</cp:revision>
  <dcterms:created xsi:type="dcterms:W3CDTF">2022-10-13T08:52:00Z</dcterms:created>
  <dcterms:modified xsi:type="dcterms:W3CDTF">2022-10-18T14:57:00Z</dcterms:modified>
</cp:coreProperties>
</file>