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997F710" w14:textId="77777777" w:rsidTr="00EB4E9C">
        <w:tc>
          <w:tcPr>
            <w:tcW w:w="6522" w:type="dxa"/>
          </w:tcPr>
          <w:p w14:paraId="613E49DF" w14:textId="77777777" w:rsidR="00DC3802" w:rsidRPr="00AC2883" w:rsidRDefault="00DC3802" w:rsidP="00AC2883">
            <w:r w:rsidRPr="00D250C5">
              <w:rPr>
                <w:noProof/>
                <w:lang w:val="en-US" w:eastAsia="en-US"/>
              </w:rPr>
              <w:drawing>
                <wp:inline distT="0" distB="0" distL="0" distR="0" wp14:anchorId="062D6209" wp14:editId="1616965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DA4E2A7" w14:textId="77777777" w:rsidR="00DC3802" w:rsidRPr="007C1D92" w:rsidRDefault="00DC3802" w:rsidP="00AC2883">
            <w:pPr>
              <w:pStyle w:val="Lettrine"/>
            </w:pPr>
            <w:r>
              <w:t>G</w:t>
            </w:r>
          </w:p>
        </w:tc>
      </w:tr>
      <w:tr w:rsidR="00DC3802" w:rsidRPr="00DA4973" w14:paraId="5B4A46D0" w14:textId="77777777" w:rsidTr="00645CA8">
        <w:trPr>
          <w:trHeight w:val="219"/>
        </w:trPr>
        <w:tc>
          <w:tcPr>
            <w:tcW w:w="6522" w:type="dxa"/>
          </w:tcPr>
          <w:p w14:paraId="45EDE4D9" w14:textId="77777777" w:rsidR="00DC3802" w:rsidRPr="00AC2883" w:rsidRDefault="00DC3802" w:rsidP="00AC2883">
            <w:pPr>
              <w:pStyle w:val="upove"/>
            </w:pPr>
            <w:r>
              <w:t>Internationaler Verband zum Schutz von Pflanzenzüchtungen</w:t>
            </w:r>
          </w:p>
        </w:tc>
        <w:tc>
          <w:tcPr>
            <w:tcW w:w="3117" w:type="dxa"/>
          </w:tcPr>
          <w:p w14:paraId="52712FF9" w14:textId="77777777" w:rsidR="00DC3802" w:rsidRPr="00DA4973" w:rsidRDefault="00DC3802" w:rsidP="00DA4973"/>
        </w:tc>
      </w:tr>
    </w:tbl>
    <w:p w14:paraId="4B8B6DDB" w14:textId="77777777" w:rsidR="00DC3802" w:rsidRDefault="00DC3802" w:rsidP="00DC3802"/>
    <w:p w14:paraId="3F0251A9"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14F5718C" w14:textId="77777777" w:rsidTr="00086373">
        <w:tc>
          <w:tcPr>
            <w:tcW w:w="6512" w:type="dxa"/>
          </w:tcPr>
          <w:p w14:paraId="570397D6" w14:textId="77777777" w:rsidR="003D0839" w:rsidRPr="00AC2883" w:rsidRDefault="003D0839" w:rsidP="00086373">
            <w:pPr>
              <w:pStyle w:val="Sessiontc"/>
              <w:spacing w:line="240" w:lineRule="auto"/>
            </w:pPr>
            <w:r>
              <w:t>Technischer Ausschuss</w:t>
            </w:r>
          </w:p>
          <w:p w14:paraId="3FE4C59C" w14:textId="77777777" w:rsidR="003D0839" w:rsidRPr="00DC3802" w:rsidRDefault="003D0839" w:rsidP="00086373">
            <w:pPr>
              <w:pStyle w:val="Sessiontcplacedate"/>
              <w:rPr>
                <w:sz w:val="22"/>
              </w:rPr>
            </w:pPr>
            <w:r>
              <w:t>Achtundfünfzigste Tagung</w:t>
            </w:r>
            <w:r>
              <w:br/>
              <w:t>Genf, 24. und 25. Oktober 2022</w:t>
            </w:r>
          </w:p>
        </w:tc>
        <w:tc>
          <w:tcPr>
            <w:tcW w:w="3127" w:type="dxa"/>
          </w:tcPr>
          <w:p w14:paraId="467DB57B" w14:textId="77777777" w:rsidR="003D0839" w:rsidRPr="003C7FBE" w:rsidRDefault="003D0839" w:rsidP="00086373">
            <w:pPr>
              <w:pStyle w:val="Doccode"/>
            </w:pPr>
            <w:r>
              <w:t>TC/58/5</w:t>
            </w:r>
          </w:p>
          <w:p w14:paraId="5FA81848" w14:textId="77777777" w:rsidR="003D0839" w:rsidRPr="003C7FBE" w:rsidRDefault="003D0839" w:rsidP="00086373">
            <w:pPr>
              <w:pStyle w:val="Docoriginal"/>
            </w:pPr>
            <w:r>
              <w:t>Original:</w:t>
            </w:r>
            <w:r>
              <w:rPr>
                <w:b w:val="0"/>
                <w:spacing w:val="0"/>
              </w:rPr>
              <w:t xml:space="preserve"> englisch</w:t>
            </w:r>
          </w:p>
          <w:p w14:paraId="4EB871E0" w14:textId="77777777" w:rsidR="003D0839" w:rsidRPr="007C1D92" w:rsidRDefault="003D0839" w:rsidP="00FC04CF">
            <w:pPr>
              <w:pStyle w:val="Docoriginal"/>
            </w:pPr>
            <w:r>
              <w:t>Datum:</w:t>
            </w:r>
            <w:r>
              <w:rPr>
                <w:b w:val="0"/>
                <w:spacing w:val="0"/>
              </w:rPr>
              <w:t xml:space="preserve"> 5. Oktober 2022</w:t>
            </w:r>
          </w:p>
        </w:tc>
      </w:tr>
    </w:tbl>
    <w:p w14:paraId="2711D32A" w14:textId="77777777" w:rsidR="003D0839" w:rsidRPr="006A644A" w:rsidRDefault="00827704" w:rsidP="003D0839">
      <w:pPr>
        <w:pStyle w:val="Titleofdoc0"/>
      </w:pPr>
      <w:r>
        <w:t>Ausarbeitung von Anleitung und Informationsmaterial - Mögliche künftige Überarbeitungen</w:t>
      </w:r>
    </w:p>
    <w:p w14:paraId="71DEBAC9" w14:textId="77777777" w:rsidR="003D0839" w:rsidRPr="006A644A" w:rsidRDefault="003D0839" w:rsidP="003D0839">
      <w:pPr>
        <w:pStyle w:val="preparedby1"/>
        <w:jc w:val="left"/>
      </w:pPr>
      <w:r>
        <w:t>Vom Verbandsbüro erstelltes Dokument</w:t>
      </w:r>
    </w:p>
    <w:p w14:paraId="08B0AAA2" w14:textId="77777777" w:rsidR="003D0839" w:rsidRPr="006A644A" w:rsidRDefault="003D0839" w:rsidP="003D0839">
      <w:pPr>
        <w:pStyle w:val="Disclaimer"/>
      </w:pPr>
      <w:r>
        <w:t>Haftungsausschluss: dieses Dokument gibt nicht die Grundsätze oder eine Anleitung der UPOV wieder</w:t>
      </w:r>
    </w:p>
    <w:p w14:paraId="7C8EB4D5" w14:textId="77777777" w:rsidR="00125827" w:rsidRPr="00125827" w:rsidRDefault="00125827" w:rsidP="00125827">
      <w:pPr>
        <w:keepNext/>
        <w:outlineLvl w:val="0"/>
        <w:rPr>
          <w:caps/>
          <w:snapToGrid w:val="0"/>
        </w:rPr>
      </w:pPr>
      <w:bookmarkStart w:id="0" w:name="_Toc481744310"/>
      <w:bookmarkStart w:id="1" w:name="_Toc116648292"/>
      <w:r>
        <w:rPr>
          <w:caps/>
          <w:snapToGrid w:val="0"/>
        </w:rPr>
        <w:t>ZUSAMMENFASSUNG</w:t>
      </w:r>
      <w:bookmarkEnd w:id="0"/>
      <w:bookmarkEnd w:id="1"/>
    </w:p>
    <w:p w14:paraId="09BC4120" w14:textId="77777777" w:rsidR="00125827" w:rsidRPr="00125827" w:rsidRDefault="00125827" w:rsidP="00125827"/>
    <w:p w14:paraId="161B11EA" w14:textId="77777777" w:rsidR="00125827" w:rsidRPr="00125827" w:rsidRDefault="00125827" w:rsidP="00125827">
      <w:r>
        <w:fldChar w:fldCharType="begin"/>
      </w:r>
      <w:r>
        <w:instrText xml:space="preserve"> AUTONUM  </w:instrText>
      </w:r>
      <w:r>
        <w:fldChar w:fldCharType="end"/>
      </w:r>
      <w:r>
        <w:tab/>
        <w:t>Zweck dieses Dokuments ist</w:t>
      </w:r>
      <w:r>
        <w:rPr>
          <w:snapToGrid w:val="0"/>
        </w:rPr>
        <w:t xml:space="preserve"> </w:t>
      </w:r>
      <w:r>
        <w:t>es, einen Überblick über die Ausarbeitung von Anleitung und Informationsmaterial zu geben.</w:t>
      </w:r>
    </w:p>
    <w:p w14:paraId="278AF4B5" w14:textId="77777777" w:rsidR="00125827" w:rsidRPr="00125827" w:rsidRDefault="00125827" w:rsidP="00125827"/>
    <w:p w14:paraId="18DA8E29" w14:textId="77777777" w:rsidR="00125827" w:rsidRPr="00125827" w:rsidRDefault="00125827" w:rsidP="00125827">
      <w:r>
        <w:fldChar w:fldCharType="begin"/>
      </w:r>
      <w:r>
        <w:instrText xml:space="preserve"> AUTONUM  </w:instrText>
      </w:r>
      <w:r>
        <w:fldChar w:fldCharType="end"/>
      </w:r>
      <w:r>
        <w:tab/>
        <w:t>Angelegenheiten, die laut Vereinbarung des Technischen Ausschusses (TC) dem Rat 2022 zur Annahme vorgelegt werden sollen, werden in Dokument TC/58/4 „Ausarbeitung von Anleitung und Informationsmaterial – Angelegenheiten zur Annahme durch den Rat im Jahr 2022“ behandelt.</w:t>
      </w:r>
    </w:p>
    <w:p w14:paraId="138C7C89" w14:textId="77777777" w:rsidR="00125827" w:rsidRDefault="00125827" w:rsidP="00125827"/>
    <w:p w14:paraId="0F924BBF" w14:textId="77777777" w:rsidR="002A32C8" w:rsidRPr="00651DA2" w:rsidRDefault="002A32C8" w:rsidP="00125827">
      <w:pPr>
        <w:rPr>
          <w:u w:val="single"/>
        </w:rPr>
      </w:pPr>
      <w:r>
        <w:rPr>
          <w:u w:val="single"/>
        </w:rPr>
        <w:t>Angelegenheiten zur Annahme durch den Rat im Jahr 2022</w:t>
      </w:r>
    </w:p>
    <w:p w14:paraId="7A7085CC" w14:textId="77777777" w:rsidR="002A32C8" w:rsidRDefault="002A32C8" w:rsidP="00125827"/>
    <w:p w14:paraId="49C9D1C7" w14:textId="77777777" w:rsidR="002A32C8" w:rsidRDefault="002A32C8" w:rsidP="00125827">
      <w:r>
        <w:fldChar w:fldCharType="begin"/>
      </w:r>
      <w:r>
        <w:instrText xml:space="preserve"> AUTONUM  </w:instrText>
      </w:r>
      <w:r>
        <w:fldChar w:fldCharType="end"/>
      </w:r>
      <w:r>
        <w:tab/>
        <w:t>Der TC wird ersucht zur Kenntnis zu nehmen, dass Angelegenheiten betreffend die Dokumente UPOV/INF/16, UPOV/INF/22, UPOV/EXN/DEN, TGP/5 Abschnitt 6, TGP/8 Abschnitt 9, and TGP/12, die dem Rat auf seiner sechsundfünfzigsten ordentlichen Tagung zur Annahme unterbreitet werden sollen, in Dokument TC/58/4 „Ausarbeitung von Anleitung und Informationsmaterial – Angelegenheiten zur Annahme durch den Rat im Jahr 2022“ behandelt werden.</w:t>
      </w:r>
    </w:p>
    <w:p w14:paraId="5E81A412" w14:textId="77777777" w:rsidR="002A32C8" w:rsidRPr="00125827" w:rsidRDefault="002A32C8" w:rsidP="00125827"/>
    <w:p w14:paraId="2E802C25" w14:textId="77777777" w:rsidR="00125827" w:rsidRPr="00125827" w:rsidRDefault="008B1E4A" w:rsidP="00125827">
      <w:pPr>
        <w:rPr>
          <w:u w:val="single"/>
        </w:rPr>
      </w:pPr>
      <w:r>
        <w:rPr>
          <w:u w:val="single"/>
        </w:rPr>
        <w:t>Mögliche künftige Überarbeitungen von Anleitungen und Informationsmaterial</w:t>
      </w:r>
    </w:p>
    <w:p w14:paraId="062A469C" w14:textId="77777777" w:rsidR="00125827" w:rsidRPr="00125827" w:rsidRDefault="00125827" w:rsidP="00125827"/>
    <w:p w14:paraId="1EE386DF" w14:textId="141380B6" w:rsidR="00125827" w:rsidRPr="00125827" w:rsidRDefault="00125827" w:rsidP="00125827">
      <w:pPr>
        <w:keepNext/>
        <w:keepLines/>
        <w:rPr>
          <w:i/>
        </w:rPr>
      </w:pPr>
      <w:r>
        <w:rPr>
          <w:i/>
          <w:snapToGrid w:val="0"/>
        </w:rPr>
        <w:t>Dokument UPOV/INF/23 „</w:t>
      </w:r>
      <w:r>
        <w:rPr>
          <w:i/>
        </w:rPr>
        <w:t>UPOV-Code-System</w:t>
      </w:r>
      <w:r w:rsidR="001705E8">
        <w:rPr>
          <w:i/>
        </w:rPr>
        <w:t>“</w:t>
      </w:r>
      <w:r>
        <w:rPr>
          <w:i/>
        </w:rPr>
        <w:t xml:space="preserve"> </w:t>
      </w:r>
    </w:p>
    <w:p w14:paraId="19B9D555" w14:textId="77777777" w:rsidR="00125827" w:rsidRPr="00125827" w:rsidRDefault="00125827" w:rsidP="00125827">
      <w:pPr>
        <w:keepNext/>
        <w:keepLines/>
        <w:tabs>
          <w:tab w:val="left" w:pos="567"/>
          <w:tab w:val="left" w:pos="1134"/>
          <w:tab w:val="left" w:pos="5387"/>
        </w:tabs>
      </w:pPr>
    </w:p>
    <w:p w14:paraId="0939D9D3" w14:textId="0F9F9735" w:rsidR="00125827" w:rsidRPr="00142309" w:rsidRDefault="00125827" w:rsidP="00125827">
      <w:pPr>
        <w:keepNext/>
        <w:keepLines/>
        <w:tabs>
          <w:tab w:val="left" w:pos="567"/>
          <w:tab w:val="left" w:pos="5387"/>
        </w:tabs>
      </w:pPr>
      <w:r>
        <w:fldChar w:fldCharType="begin"/>
      </w:r>
      <w:r>
        <w:instrText xml:space="preserve"> AUTONUM  </w:instrText>
      </w:r>
      <w:r>
        <w:fldChar w:fldCharType="end"/>
      </w:r>
      <w:r>
        <w:tab/>
        <w:t>Der TC wird ersucht, den Vorschlag zur Änderung von Dokument UPOV/INF/23 „Anleitung zum UPOV-Code-System</w:t>
      </w:r>
      <w:r w:rsidR="001705E8">
        <w:t>“</w:t>
      </w:r>
      <w:r>
        <w:t>, wie in Absatz 21 dieses Dokuments dargelegt, zu prüfen.</w:t>
      </w:r>
    </w:p>
    <w:p w14:paraId="0B66331F" w14:textId="77777777" w:rsidR="00125827" w:rsidRPr="00142309" w:rsidRDefault="00125827" w:rsidP="00125827"/>
    <w:p w14:paraId="6AC3D9F7" w14:textId="4030CCF8" w:rsidR="00125827" w:rsidRPr="00142309" w:rsidRDefault="00125827" w:rsidP="00125827">
      <w:pPr>
        <w:keepNext/>
        <w:rPr>
          <w:i/>
        </w:rPr>
      </w:pPr>
      <w:r>
        <w:rPr>
          <w:i/>
        </w:rPr>
        <w:t>Dokument TGP/7 „Erstellung von Prüfungsrichtlinien</w:t>
      </w:r>
      <w:r w:rsidR="001705E8">
        <w:rPr>
          <w:i/>
        </w:rPr>
        <w:t>“</w:t>
      </w:r>
    </w:p>
    <w:p w14:paraId="768DD149" w14:textId="77777777" w:rsidR="00125827" w:rsidRPr="00142309" w:rsidRDefault="00125827" w:rsidP="00125827">
      <w:pPr>
        <w:keepNext/>
      </w:pPr>
    </w:p>
    <w:p w14:paraId="39A2E7B0" w14:textId="77777777" w:rsidR="00125827" w:rsidRPr="00142309" w:rsidRDefault="00651DA2" w:rsidP="00651DA2">
      <w:pPr>
        <w:keepNext/>
        <w:ind w:firstLine="567"/>
        <w:rPr>
          <w:u w:val="single"/>
        </w:rPr>
      </w:pPr>
      <w:r>
        <w:rPr>
          <w:sz w:val="18"/>
          <w:u w:val="single"/>
        </w:rPr>
        <w:t>Beispielssorten für quantitative Merkmale mit Sternchen, wenn Abbildungen vorgelegt werden</w:t>
      </w:r>
    </w:p>
    <w:p w14:paraId="399F22AE" w14:textId="77777777" w:rsidR="00651DA2" w:rsidRPr="00142309" w:rsidRDefault="00651DA2" w:rsidP="00125827">
      <w:pPr>
        <w:keepNext/>
      </w:pPr>
    </w:p>
    <w:p w14:paraId="29023B96" w14:textId="77777777" w:rsidR="006576D1" w:rsidRPr="006576D1" w:rsidRDefault="00651DA2" w:rsidP="00377F75">
      <w:pPr>
        <w:keepNext/>
        <w:keepLines/>
        <w:tabs>
          <w:tab w:val="left" w:pos="567"/>
          <w:tab w:val="left" w:pos="1134"/>
          <w:tab w:val="left" w:pos="5387"/>
          <w:tab w:val="left" w:pos="5954"/>
        </w:tabs>
      </w:pPr>
      <w:r>
        <w:fldChar w:fldCharType="begin"/>
      </w:r>
      <w:r>
        <w:instrText xml:space="preserve"> AUTONUM  </w:instrText>
      </w:r>
      <w:r>
        <w:fldChar w:fldCharType="end"/>
      </w:r>
      <w:r>
        <w:tab/>
        <w:t>Der TC wird ersucht zu prüfen, ob die TWP ersucht werden sollen, auf ihren Tagungen im Jahr 2023 die von der TWO beschriebenen Situationen als Grundlage für die Ausarbeitung einer Anleitung zu etwaigen Ausnahmen von der Anforderung, Beispielssorten für mit Sternchen versehene quantitative Merkmale bereitzustellen, zu prüfen, wenn Abbildungen vorgelegt wurden, wie in Absatz 27 dieses Dokuments dargelegt.</w:t>
      </w:r>
    </w:p>
    <w:p w14:paraId="55B4C32E" w14:textId="77777777" w:rsidR="00125827" w:rsidRPr="00125827" w:rsidRDefault="00125827" w:rsidP="00125827"/>
    <w:p w14:paraId="12B0A5D0" w14:textId="77777777" w:rsidR="00125827" w:rsidRPr="00125827" w:rsidRDefault="00125827" w:rsidP="00125827">
      <w:pPr>
        <w:ind w:left="567"/>
        <w:rPr>
          <w:sz w:val="18"/>
          <w:u w:val="single"/>
        </w:rPr>
      </w:pPr>
      <w:r>
        <w:rPr>
          <w:snapToGrid w:val="0"/>
          <w:sz w:val="18"/>
          <w:u w:val="single"/>
        </w:rPr>
        <w:t>Angabe von Gruppierungsmerkmalen in UPOV-Prüfungsrichtlinien (Merkmalstabelle und TQ 5)</w:t>
      </w:r>
    </w:p>
    <w:p w14:paraId="1DD5D7D5" w14:textId="77777777" w:rsidR="00125827" w:rsidRPr="00125827" w:rsidRDefault="00125827" w:rsidP="00125827">
      <w:pPr>
        <w:keepNext/>
        <w:outlineLvl w:val="2"/>
      </w:pPr>
    </w:p>
    <w:p w14:paraId="2FC5D3DB" w14:textId="0B1E5577" w:rsidR="00125827" w:rsidRPr="00651DA2" w:rsidRDefault="00125827" w:rsidP="00125827">
      <w:pPr>
        <w:keepNext/>
        <w:keepLines/>
        <w:tabs>
          <w:tab w:val="left" w:pos="567"/>
          <w:tab w:val="left" w:pos="5387"/>
          <w:tab w:val="left" w:pos="5954"/>
        </w:tabs>
        <w:rPr>
          <w:snapToGrid w:val="0"/>
        </w:rPr>
      </w:pPr>
      <w:r w:rsidRPr="00651DA2">
        <w:rPr>
          <w:snapToGrid w:val="0"/>
        </w:rPr>
        <w:fldChar w:fldCharType="begin"/>
      </w:r>
      <w:r w:rsidRPr="00651DA2">
        <w:rPr>
          <w:snapToGrid w:val="0"/>
        </w:rPr>
        <w:instrText xml:space="preserve"> AUTONUM  </w:instrText>
      </w:r>
      <w:r w:rsidRPr="00651DA2">
        <w:rPr>
          <w:snapToGrid w:val="0"/>
        </w:rPr>
        <w:fldChar w:fldCharType="end"/>
      </w:r>
      <w:r>
        <w:rPr>
          <w:snapToGrid w:val="0"/>
        </w:rPr>
        <w:tab/>
        <w:t>Der TC wird ersucht zu prüfen, ob die Erörterungen zu dem Vorschlag zur Überarbeitung von Dokument TGP/7 „Erstellung von Prüfungsrichtlinien</w:t>
      </w:r>
      <w:r w:rsidR="001705E8">
        <w:rPr>
          <w:snapToGrid w:val="0"/>
        </w:rPr>
        <w:t>“</w:t>
      </w:r>
      <w:r>
        <w:rPr>
          <w:snapToGrid w:val="0"/>
        </w:rPr>
        <w:t xml:space="preserve"> fortgesetzt werden sollen, um die Merkmale in der Merkmalstabelle und im Technischen Fragebogen anzugeben, wenn sie als Gruppierungsmerkmale verwendet werden.</w:t>
      </w:r>
    </w:p>
    <w:p w14:paraId="535D4B5A" w14:textId="77777777" w:rsidR="00125827" w:rsidRPr="00125827" w:rsidRDefault="00125827" w:rsidP="00125827"/>
    <w:p w14:paraId="3D20B0E2" w14:textId="77777777" w:rsidR="00125827" w:rsidRPr="00125827" w:rsidRDefault="00125827" w:rsidP="00125827"/>
    <w:p w14:paraId="2A2EAB3D" w14:textId="77777777" w:rsidR="00125827" w:rsidRPr="00125827" w:rsidRDefault="00125827" w:rsidP="00125827">
      <w:pPr>
        <w:keepNext/>
        <w:ind w:left="567"/>
        <w:rPr>
          <w:sz w:val="18"/>
          <w:u w:val="single"/>
        </w:rPr>
      </w:pPr>
      <w:r>
        <w:rPr>
          <w:sz w:val="18"/>
          <w:u w:val="single"/>
        </w:rPr>
        <w:lastRenderedPageBreak/>
        <w:t xml:space="preserve">Umwandlung des Standardwortlauts in der Mustervorlage für Prüfungsrichtlinien, Absatz 4.2.2, in einen zusätzlichen Standardwortlaut (ASW). </w:t>
      </w:r>
    </w:p>
    <w:p w14:paraId="5B6C1488" w14:textId="77777777" w:rsidR="00125827" w:rsidRPr="00125827" w:rsidRDefault="00125827" w:rsidP="00125827">
      <w:pPr>
        <w:keepNext/>
        <w:ind w:left="567"/>
        <w:outlineLvl w:val="2"/>
        <w:rPr>
          <w:u w:val="single"/>
        </w:rPr>
      </w:pPr>
    </w:p>
    <w:p w14:paraId="5C5C8949" w14:textId="06186C6A" w:rsidR="00125827" w:rsidRDefault="00125827" w:rsidP="00125827">
      <w:pPr>
        <w:keepNext/>
        <w:keepLines/>
        <w:tabs>
          <w:tab w:val="left" w:pos="567"/>
          <w:tab w:val="left" w:pos="5387"/>
          <w:tab w:val="left" w:pos="5954"/>
        </w:tabs>
      </w:pPr>
      <w:r>
        <w:fldChar w:fldCharType="begin"/>
      </w:r>
      <w:r>
        <w:instrText xml:space="preserve"> AUTONUM  </w:instrText>
      </w:r>
      <w:r>
        <w:fldChar w:fldCharType="end"/>
      </w:r>
      <w:r>
        <w:tab/>
        <w:t>Der TC wird ersucht, die Änderung von Dokument TGP/7 „Erstellung von Prüfungsrichtlinien</w:t>
      </w:r>
      <w:r w:rsidR="001705E8">
        <w:t>“</w:t>
      </w:r>
      <w:r>
        <w:t xml:space="preserve"> zu prüfen, um den Standardwortlaut in der Mustervorlage für Prüfungsrichtlinien, Absatz 4.2.2, in einen zusätzlichen Standardwortlaut (optional) umzuwandeln, wie in Absatz 39 dieses Dokuments dargelegt.</w:t>
      </w:r>
    </w:p>
    <w:p w14:paraId="650B943A" w14:textId="77777777" w:rsidR="00C3483A" w:rsidRPr="00C3483A" w:rsidRDefault="00C3483A" w:rsidP="00C3483A"/>
    <w:p w14:paraId="084265B1" w14:textId="77777777" w:rsidR="00125827" w:rsidRPr="00C3483A" w:rsidRDefault="00C3483A" w:rsidP="00C3483A">
      <w:pPr>
        <w:ind w:left="567"/>
        <w:rPr>
          <w:sz w:val="18"/>
          <w:highlight w:val="yellow"/>
          <w:u w:val="single"/>
        </w:rPr>
      </w:pPr>
      <w:r>
        <w:rPr>
          <w:sz w:val="18"/>
          <w:u w:val="single"/>
        </w:rPr>
        <w:t>Krankheitsresistenzmerkmale: Hinzufügung von Ausprägungsstufen und Platzierung von Krankheitsresistenzmerkmalen ohne Sternchen in Abschnitt 5 des Technischen Fragebogens</w:t>
      </w:r>
    </w:p>
    <w:p w14:paraId="7643EB00" w14:textId="77777777" w:rsidR="00125827" w:rsidRDefault="00125827" w:rsidP="00C3483A">
      <w:pPr>
        <w:rPr>
          <w:highlight w:val="yellow"/>
        </w:rPr>
      </w:pPr>
    </w:p>
    <w:p w14:paraId="269B4594" w14:textId="152F0F38" w:rsidR="00C3483A" w:rsidRDefault="00C3483A" w:rsidP="00C3483A">
      <w:pPr>
        <w:rPr>
          <w:highlight w:val="yellow"/>
        </w:rPr>
      </w:pPr>
      <w:r>
        <w:fldChar w:fldCharType="begin"/>
      </w:r>
      <w:r>
        <w:instrText xml:space="preserve"> AUTONUM  </w:instrText>
      </w:r>
      <w:r>
        <w:fldChar w:fldCharType="end"/>
      </w:r>
      <w:r>
        <w:tab/>
        <w:t>Der TC wird ersucht zu prüfen, ob das Verbandsbüro ersucht werden soll, den TWP auf ihren Tagungen im Jahr 2023 einen Vorschlag zur Änderung von Dokument TGP/7, GN 13 „Merkmale mit besonderen Funktionen</w:t>
      </w:r>
      <w:r w:rsidR="001705E8">
        <w:t>“</w:t>
      </w:r>
      <w:r>
        <w:t xml:space="preserve"> vorzulegen, um klarzustellen, dass Krankheitsresistenzmerkmale in Abschnitt 5 der Technischen Fragebögen (TQ) mit dem Zusatz einer Ausprägungsstufe „nicht geprüft</w:t>
      </w:r>
      <w:r w:rsidR="001705E8">
        <w:t>“</w:t>
      </w:r>
      <w:r>
        <w:t xml:space="preserve"> dargestellt werden sollten.</w:t>
      </w:r>
    </w:p>
    <w:p w14:paraId="2DC90BDE" w14:textId="77777777" w:rsidR="00C3483A" w:rsidRDefault="00C3483A" w:rsidP="00C3483A">
      <w:pPr>
        <w:rPr>
          <w:highlight w:val="yellow"/>
        </w:rPr>
      </w:pPr>
    </w:p>
    <w:p w14:paraId="14D919F8" w14:textId="77777777" w:rsidR="00EB3AF1" w:rsidRPr="00EB3AF1" w:rsidRDefault="00EB3AF1" w:rsidP="00C3483A">
      <w:pPr>
        <w:rPr>
          <w:i/>
          <w:highlight w:val="yellow"/>
        </w:rPr>
      </w:pPr>
      <w:r>
        <w:rPr>
          <w:i/>
        </w:rPr>
        <w:t>Dokument TGP/8: „Prüfungsanlage und Verfahren für die Prüfung der Unterscheidbarkeit, der Homogenität und der Beständigkeit“</w:t>
      </w:r>
    </w:p>
    <w:p w14:paraId="67C5FC29" w14:textId="77777777" w:rsidR="00EB3AF1" w:rsidRDefault="00EB3AF1" w:rsidP="00C3483A">
      <w:pPr>
        <w:rPr>
          <w:highlight w:val="yellow"/>
        </w:rPr>
      </w:pPr>
    </w:p>
    <w:p w14:paraId="31678C29" w14:textId="77777777" w:rsidR="00EB3AF1" w:rsidRPr="00EB3AF1" w:rsidRDefault="00EB3AF1" w:rsidP="00EB3AF1">
      <w:pPr>
        <w:ind w:firstLine="567"/>
        <w:rPr>
          <w:sz w:val="18"/>
          <w:highlight w:val="yellow"/>
          <w:u w:val="single"/>
        </w:rPr>
      </w:pPr>
      <w:r>
        <w:rPr>
          <w:sz w:val="18"/>
          <w:u w:val="single"/>
        </w:rPr>
        <w:t>Abschnitt 9 „Das kombinierte Homogenitätskriterium über mehrere Jahre (COYU)“</w:t>
      </w:r>
    </w:p>
    <w:p w14:paraId="6C78BD82" w14:textId="77777777" w:rsidR="00EB3AF1" w:rsidRDefault="00EB3AF1" w:rsidP="00C3483A">
      <w:pPr>
        <w:rPr>
          <w:highlight w:val="yellow"/>
        </w:rPr>
      </w:pPr>
    </w:p>
    <w:p w14:paraId="6F0B2267" w14:textId="77777777" w:rsidR="00EB3AF1" w:rsidRPr="00EB3AF1" w:rsidRDefault="00EB3AF1" w:rsidP="00EB3AF1">
      <w:pPr>
        <w:tabs>
          <w:tab w:val="left" w:pos="567"/>
          <w:tab w:val="left" w:pos="1134"/>
          <w:tab w:val="left" w:pos="5387"/>
        </w:tabs>
      </w:pPr>
      <w:r>
        <w:fldChar w:fldCharType="begin"/>
      </w:r>
      <w:r>
        <w:instrText xml:space="preserve"> AUTONUM  </w:instrText>
      </w:r>
      <w:r>
        <w:fldChar w:fldCharType="end"/>
      </w:r>
      <w:r>
        <w:tab/>
        <w:t xml:space="preserve">Der TC wird ersucht, zur Kenntnis zu nehmen, dass Angelegenheiten betreffend eine mögliche künftige Überarbeitung von Dokument TGP/8 Abschnitt 9 „Das kombinierte Homogenitätskriterium über mehrere Jahre (COYU)“ in </w:t>
      </w:r>
      <w:r>
        <w:rPr>
          <w:rFonts w:eastAsia="MS Mincho"/>
        </w:rPr>
        <w:t>Dokument TC/58/6</w:t>
      </w:r>
      <w:r>
        <w:t xml:space="preserve"> „Das kombinierte Homogenitätskriterium über mehrere Jahre (COYU)“ geprüft werden.</w:t>
      </w:r>
    </w:p>
    <w:p w14:paraId="1933C521" w14:textId="77777777" w:rsidR="00EB3AF1" w:rsidRPr="00125827" w:rsidRDefault="00EB3AF1" w:rsidP="00C3483A">
      <w:pPr>
        <w:rPr>
          <w:highlight w:val="yellow"/>
        </w:rPr>
      </w:pPr>
    </w:p>
    <w:p w14:paraId="721E3244" w14:textId="281C7FBC" w:rsidR="00125827" w:rsidRPr="00125827" w:rsidRDefault="00125827" w:rsidP="00125827">
      <w:pPr>
        <w:rPr>
          <w:i/>
          <w:snapToGrid w:val="0"/>
        </w:rPr>
      </w:pPr>
      <w:r>
        <w:rPr>
          <w:i/>
          <w:snapToGrid w:val="0"/>
        </w:rPr>
        <w:t>Dokument TGP/12 „Anleitung zu bestimmten physiologischen Merkmalen</w:t>
      </w:r>
      <w:r w:rsidR="001705E8">
        <w:rPr>
          <w:i/>
          <w:snapToGrid w:val="0"/>
        </w:rPr>
        <w:t>“</w:t>
      </w:r>
    </w:p>
    <w:p w14:paraId="0B7B4C26" w14:textId="77777777" w:rsidR="00125827" w:rsidRPr="00125827" w:rsidRDefault="00125827" w:rsidP="00125827">
      <w:pPr>
        <w:keepNext/>
        <w:tabs>
          <w:tab w:val="left" w:pos="1134"/>
          <w:tab w:val="left" w:pos="5387"/>
          <w:tab w:val="left" w:pos="5954"/>
        </w:tabs>
        <w:ind w:left="570"/>
        <w:contextualSpacing/>
        <w:rPr>
          <w:highlight w:val="yellow"/>
        </w:rPr>
      </w:pPr>
    </w:p>
    <w:p w14:paraId="14250195" w14:textId="77777777" w:rsidR="00125827" w:rsidRPr="00125827" w:rsidRDefault="00125827" w:rsidP="00125827">
      <w:pPr>
        <w:tabs>
          <w:tab w:val="left" w:pos="567"/>
          <w:tab w:val="left" w:pos="5387"/>
          <w:tab w:val="left" w:pos="5954"/>
        </w:tabs>
      </w:pPr>
      <w:r>
        <w:fldChar w:fldCharType="begin"/>
      </w:r>
      <w:r>
        <w:instrText xml:space="preserve"> AUTONUM  </w:instrText>
      </w:r>
      <w:r>
        <w:fldChar w:fldCharType="end"/>
      </w:r>
      <w:r>
        <w:tab/>
        <w:t>Der TC wird ersucht, die Erörterungen in der TWV über Krankheitsresistenzmerkmale zur Kenntnis zu nehmen, die eine Sonderbehandlung hinsichtlich der allgemeinen UPOV-Anleitung erfordern könnten, wie in den Absätzen 52 bis 56 dieses Dokuments dargelegt.</w:t>
      </w:r>
    </w:p>
    <w:p w14:paraId="6ABA784F" w14:textId="77777777" w:rsidR="00125827" w:rsidRDefault="00125827" w:rsidP="00125827"/>
    <w:p w14:paraId="0EA65DF9" w14:textId="77777777" w:rsidR="002E2EDF" w:rsidRPr="002E2EDF" w:rsidRDefault="002E2EDF" w:rsidP="00125827">
      <w:pPr>
        <w:rPr>
          <w:u w:val="single"/>
        </w:rPr>
      </w:pPr>
      <w:r>
        <w:rPr>
          <w:u w:val="single"/>
        </w:rPr>
        <w:t>Neuer Vorschlag zur Überarbeitung von Anleitung und Informationsmaterial</w:t>
      </w:r>
    </w:p>
    <w:p w14:paraId="1F6FC2D2" w14:textId="77777777" w:rsidR="002E2EDF" w:rsidRDefault="002E2EDF" w:rsidP="00125827"/>
    <w:p w14:paraId="1D91AFF5" w14:textId="77777777" w:rsidR="002E2EDF" w:rsidRPr="00142309" w:rsidRDefault="002E2EDF" w:rsidP="002E2EDF">
      <w:r>
        <w:fldChar w:fldCharType="begin"/>
      </w:r>
      <w:r>
        <w:instrText xml:space="preserve"> AUTONUM  </w:instrText>
      </w:r>
      <w:r>
        <w:fldChar w:fldCharType="end"/>
      </w:r>
      <w:r>
        <w:tab/>
        <w:t xml:space="preserve">Der TC wird ersucht zu prüfen, ob die TWP auf ihren Tagungen im Jahr 2023 ersucht werden sollen, den Vorschlag der TWF zu prüfen, das Dokument TGP/9 „Prüfung der Unterscheidbarkeit“ zu ändern, um die Möglichkeit klarzustellen, unter bestimmten Umständen eine geringere Anzahl Pflanzen für allgemein bekannte Sorten als die Kandidatensorte in die Prüfungen einzubeziehen, wie in Absatz 60 dieses Dokuments dargelegt. </w:t>
      </w:r>
    </w:p>
    <w:p w14:paraId="79181049" w14:textId="77777777" w:rsidR="00125827" w:rsidRPr="00142309" w:rsidRDefault="00125827" w:rsidP="00125827"/>
    <w:p w14:paraId="2B35A8E5" w14:textId="77777777" w:rsidR="00125827" w:rsidRPr="00142309" w:rsidRDefault="00454A2E" w:rsidP="00125827">
      <w:pPr>
        <w:rPr>
          <w:u w:val="single"/>
        </w:rPr>
      </w:pPr>
      <w:r>
        <w:rPr>
          <w:u w:val="single"/>
        </w:rPr>
        <w:t>Programm für die Ausarbeitung von Anleitung und einschlägigem Informationsmaterial</w:t>
      </w:r>
    </w:p>
    <w:p w14:paraId="449D3414" w14:textId="77777777" w:rsidR="00454A2E" w:rsidRPr="00142309" w:rsidRDefault="00454A2E" w:rsidP="00125827">
      <w:pPr>
        <w:rPr>
          <w:u w:val="single"/>
        </w:rPr>
      </w:pPr>
    </w:p>
    <w:p w14:paraId="5DE3C9C4" w14:textId="77777777" w:rsidR="009738F5" w:rsidRPr="00142309" w:rsidRDefault="009738F5" w:rsidP="009738F5">
      <w:pPr>
        <w:pStyle w:val="DecisionParagraphs"/>
        <w:tabs>
          <w:tab w:val="left" w:pos="567"/>
          <w:tab w:val="left" w:pos="1134"/>
        </w:tabs>
        <w:ind w:left="0"/>
        <w:rPr>
          <w:i w:val="0"/>
        </w:rPr>
      </w:pPr>
      <w:r w:rsidRPr="00142309">
        <w:rPr>
          <w:i w:val="0"/>
        </w:rPr>
        <w:fldChar w:fldCharType="begin"/>
      </w:r>
      <w:r w:rsidRPr="00142309">
        <w:rPr>
          <w:i w:val="0"/>
        </w:rPr>
        <w:instrText xml:space="preserve"> AUTONUM  </w:instrText>
      </w:r>
      <w:r w:rsidRPr="00142309">
        <w:rPr>
          <w:i w:val="0"/>
        </w:rPr>
        <w:fldChar w:fldCharType="end"/>
      </w:r>
      <w:r>
        <w:rPr>
          <w:i w:val="0"/>
        </w:rPr>
        <w:tab/>
        <w:t>Der TC wird ersucht:</w:t>
      </w:r>
    </w:p>
    <w:p w14:paraId="06C050A1" w14:textId="77777777" w:rsidR="009738F5" w:rsidRPr="00142309" w:rsidRDefault="009738F5" w:rsidP="009738F5">
      <w:pPr>
        <w:pStyle w:val="DecisionParagraphs"/>
        <w:tabs>
          <w:tab w:val="left" w:pos="567"/>
          <w:tab w:val="left" w:pos="1134"/>
        </w:tabs>
        <w:ind w:left="0"/>
        <w:rPr>
          <w:i w:val="0"/>
          <w:sz w:val="18"/>
        </w:rPr>
      </w:pPr>
    </w:p>
    <w:p w14:paraId="1AE1DD99" w14:textId="77777777" w:rsidR="009738F5" w:rsidRPr="00142309" w:rsidRDefault="009738F5" w:rsidP="009738F5">
      <w:pPr>
        <w:pStyle w:val="DecisionParagraphs"/>
        <w:tabs>
          <w:tab w:val="left" w:pos="567"/>
          <w:tab w:val="left" w:pos="1134"/>
        </w:tabs>
        <w:ind w:left="0"/>
        <w:rPr>
          <w:i w:val="0"/>
        </w:rPr>
      </w:pPr>
      <w:r>
        <w:rPr>
          <w:i w:val="0"/>
        </w:rPr>
        <w:tab/>
        <w:t>a)</w:t>
      </w:r>
      <w:r>
        <w:rPr>
          <w:i w:val="0"/>
        </w:rPr>
        <w:tab/>
        <w:t>das Programm für die Ausarbeitung von TGP-Dokumenten, wie in Anlage VII dieses Dokuments dargelegt, zu prüfen;</w:t>
      </w:r>
    </w:p>
    <w:p w14:paraId="65FEF765" w14:textId="77777777" w:rsidR="009738F5" w:rsidRPr="00142309" w:rsidRDefault="009738F5" w:rsidP="009738F5">
      <w:pPr>
        <w:pStyle w:val="DecisionParagraphs"/>
        <w:tabs>
          <w:tab w:val="left" w:pos="567"/>
          <w:tab w:val="left" w:pos="1134"/>
        </w:tabs>
        <w:ind w:left="0"/>
        <w:rPr>
          <w:i w:val="0"/>
          <w:sz w:val="18"/>
        </w:rPr>
      </w:pPr>
    </w:p>
    <w:p w14:paraId="0165BC1B" w14:textId="77777777" w:rsidR="009738F5" w:rsidRPr="009738F5" w:rsidRDefault="009738F5" w:rsidP="009738F5">
      <w:pPr>
        <w:pStyle w:val="DecisionParagraphs"/>
        <w:tabs>
          <w:tab w:val="left" w:pos="567"/>
          <w:tab w:val="left" w:pos="1134"/>
        </w:tabs>
        <w:ind w:left="0"/>
        <w:rPr>
          <w:i w:val="0"/>
        </w:rPr>
      </w:pPr>
      <w:r>
        <w:rPr>
          <w:i w:val="0"/>
        </w:rPr>
        <w:tab/>
        <w:t>b)</w:t>
      </w:r>
      <w:r>
        <w:rPr>
          <w:i w:val="0"/>
        </w:rPr>
        <w:tab/>
        <w:t>das Programm für die Ausarbeitung von einschlägigem Informationsmaterial, wie in Anlage VIII dieses Dokuments dargelegt, zu prüfen; und</w:t>
      </w:r>
    </w:p>
    <w:p w14:paraId="36EE0631" w14:textId="77777777" w:rsidR="009738F5" w:rsidRDefault="009738F5" w:rsidP="009738F5">
      <w:pPr>
        <w:pStyle w:val="DecisionParagraphs"/>
        <w:rPr>
          <w:sz w:val="18"/>
        </w:rPr>
      </w:pPr>
    </w:p>
    <w:p w14:paraId="647049FC" w14:textId="77777777" w:rsidR="00125827" w:rsidRDefault="009738F5" w:rsidP="009738F5">
      <w:r>
        <w:tab/>
        <w:t>c)</w:t>
      </w:r>
      <w:r>
        <w:tab/>
        <w:t>zur Kenntnis zu nehmen, dass das Programm für die Ausarbeitung von TGP-Dokumenten und Informationsmaterial vom Verwaltungs- und Rechtsausschuss auf seiner neunundsiebzigsten Tagung am 26. Oktober 2022 in Genf in Verbindung mit den Entschließungen des TC auf seiner achtundfünfzigsten Tagung geprüft wird.</w:t>
      </w:r>
    </w:p>
    <w:p w14:paraId="42D33917" w14:textId="457B308C" w:rsidR="009738F5" w:rsidRDefault="009738F5" w:rsidP="00D54D76">
      <w:pPr>
        <w:tabs>
          <w:tab w:val="left" w:pos="2880"/>
        </w:tabs>
      </w:pPr>
    </w:p>
    <w:p w14:paraId="3C41FA74" w14:textId="77777777" w:rsidR="00D54D76" w:rsidRPr="00125827" w:rsidRDefault="00D54D76" w:rsidP="00D54D76">
      <w:pPr>
        <w:tabs>
          <w:tab w:val="left" w:pos="2880"/>
        </w:tabs>
      </w:pPr>
    </w:p>
    <w:p w14:paraId="4A31F87A" w14:textId="77777777" w:rsidR="00125827" w:rsidRPr="00125827" w:rsidRDefault="00125827" w:rsidP="00F35E8A">
      <w:pPr>
        <w:keepNext/>
        <w:spacing w:after="240"/>
        <w:rPr>
          <w:rFonts w:cs="Arial"/>
        </w:rPr>
      </w:pPr>
      <w:r w:rsidRPr="00125827">
        <w:rPr>
          <w:rFonts w:cs="Arial"/>
        </w:rPr>
        <w:fldChar w:fldCharType="begin"/>
      </w:r>
      <w:r w:rsidRPr="00125827">
        <w:rPr>
          <w:rFonts w:cs="Arial"/>
        </w:rPr>
        <w:instrText xml:space="preserve"> AUTONUM  </w:instrText>
      </w:r>
      <w:r w:rsidRPr="00125827">
        <w:rPr>
          <w:rFonts w:cs="Arial"/>
        </w:rPr>
        <w:fldChar w:fldCharType="end"/>
      </w:r>
      <w:r>
        <w:rPr>
          <w:rFonts w:cs="Arial"/>
        </w:rPr>
        <w:tab/>
        <w:t>Der Aufbau dieses Dokuments ist nachstehend zusammengefasst:</w:t>
      </w:r>
    </w:p>
    <w:bookmarkStart w:id="2" w:name="_Toc386185971"/>
    <w:bookmarkStart w:id="3" w:name="_Toc419124859"/>
    <w:p w14:paraId="49589DDA" w14:textId="66085594" w:rsidR="009F0D26" w:rsidRDefault="00125827" w:rsidP="00F35E8A">
      <w:pPr>
        <w:pStyle w:val="TOC1"/>
        <w:keepNext/>
        <w:rPr>
          <w:rFonts w:asciiTheme="minorHAnsi" w:eastAsiaTheme="minorEastAsia" w:hAnsiTheme="minorHAnsi" w:cstheme="minorBidi"/>
          <w:caps w:val="0"/>
          <w:noProof/>
          <w:sz w:val="22"/>
          <w:szCs w:val="22"/>
        </w:rPr>
      </w:pPr>
      <w:r>
        <w:rPr>
          <w:rFonts w:cs="Arial"/>
          <w:bCs/>
          <w:noProof/>
          <w:snapToGrid w:val="0"/>
        </w:rPr>
        <w:fldChar w:fldCharType="begin"/>
      </w:r>
      <w:r w:rsidRPr="00125827">
        <w:rPr>
          <w:rFonts w:cs="Arial"/>
          <w:bCs/>
          <w:noProof/>
          <w:snapToGrid w:val="0"/>
        </w:rPr>
        <w:instrText xml:space="preserve"> TOC \o "1-3" \h \z \u </w:instrText>
      </w:r>
      <w:r>
        <w:rPr>
          <w:rFonts w:cs="Arial"/>
          <w:bCs/>
          <w:noProof/>
          <w:snapToGrid w:val="0"/>
        </w:rPr>
        <w:fldChar w:fldCharType="separate"/>
      </w:r>
      <w:hyperlink w:anchor="_Toc116648292" w:history="1">
        <w:r w:rsidR="009F0D26" w:rsidRPr="00284999">
          <w:rPr>
            <w:rStyle w:val="Hyperlink"/>
            <w:noProof/>
            <w:snapToGrid w:val="0"/>
          </w:rPr>
          <w:t>ZUSAMMENFASSUNG</w:t>
        </w:r>
        <w:r w:rsidR="009F0D26">
          <w:rPr>
            <w:noProof/>
            <w:webHidden/>
          </w:rPr>
          <w:tab/>
        </w:r>
        <w:r w:rsidR="009F0D26">
          <w:rPr>
            <w:noProof/>
            <w:webHidden/>
          </w:rPr>
          <w:fldChar w:fldCharType="begin"/>
        </w:r>
        <w:r w:rsidR="009F0D26">
          <w:rPr>
            <w:noProof/>
            <w:webHidden/>
          </w:rPr>
          <w:instrText xml:space="preserve"> PAGEREF _Toc116648292 \h </w:instrText>
        </w:r>
        <w:r w:rsidR="009F0D26">
          <w:rPr>
            <w:noProof/>
            <w:webHidden/>
          </w:rPr>
        </w:r>
        <w:r w:rsidR="009F0D26">
          <w:rPr>
            <w:noProof/>
            <w:webHidden/>
          </w:rPr>
          <w:fldChar w:fldCharType="separate"/>
        </w:r>
        <w:r w:rsidR="009F0D26">
          <w:rPr>
            <w:noProof/>
            <w:webHidden/>
          </w:rPr>
          <w:t>1</w:t>
        </w:r>
        <w:r w:rsidR="009F0D26">
          <w:rPr>
            <w:noProof/>
            <w:webHidden/>
          </w:rPr>
          <w:fldChar w:fldCharType="end"/>
        </w:r>
      </w:hyperlink>
    </w:p>
    <w:p w14:paraId="67AC8F3B" w14:textId="5E5015D6" w:rsidR="009F0D26" w:rsidRDefault="00F35E8A" w:rsidP="00F35E8A">
      <w:pPr>
        <w:pStyle w:val="TOC1"/>
        <w:keepNext/>
        <w:rPr>
          <w:rFonts w:asciiTheme="minorHAnsi" w:eastAsiaTheme="minorEastAsia" w:hAnsiTheme="minorHAnsi" w:cstheme="minorBidi"/>
          <w:caps w:val="0"/>
          <w:noProof/>
          <w:sz w:val="22"/>
          <w:szCs w:val="22"/>
        </w:rPr>
      </w:pPr>
      <w:hyperlink w:anchor="_Toc116648293" w:history="1">
        <w:r w:rsidR="009F0D26" w:rsidRPr="00284999">
          <w:rPr>
            <w:rStyle w:val="Hyperlink"/>
            <w:noProof/>
          </w:rPr>
          <w:t>Hintergrund</w:t>
        </w:r>
        <w:r w:rsidR="009F0D26">
          <w:rPr>
            <w:noProof/>
            <w:webHidden/>
          </w:rPr>
          <w:tab/>
        </w:r>
        <w:r w:rsidR="009F0D26">
          <w:rPr>
            <w:noProof/>
            <w:webHidden/>
          </w:rPr>
          <w:fldChar w:fldCharType="begin"/>
        </w:r>
        <w:r w:rsidR="009F0D26">
          <w:rPr>
            <w:noProof/>
            <w:webHidden/>
          </w:rPr>
          <w:instrText xml:space="preserve"> PAGEREF _Toc116648293 \h </w:instrText>
        </w:r>
        <w:r w:rsidR="009F0D26">
          <w:rPr>
            <w:noProof/>
            <w:webHidden/>
          </w:rPr>
        </w:r>
        <w:r w:rsidR="009F0D26">
          <w:rPr>
            <w:noProof/>
            <w:webHidden/>
          </w:rPr>
          <w:fldChar w:fldCharType="separate"/>
        </w:r>
        <w:r w:rsidR="009F0D26">
          <w:rPr>
            <w:noProof/>
            <w:webHidden/>
          </w:rPr>
          <w:t>3</w:t>
        </w:r>
        <w:r w:rsidR="009F0D26">
          <w:rPr>
            <w:noProof/>
            <w:webHidden/>
          </w:rPr>
          <w:fldChar w:fldCharType="end"/>
        </w:r>
      </w:hyperlink>
    </w:p>
    <w:p w14:paraId="61FFBEDF" w14:textId="072F7A07" w:rsidR="009F0D26" w:rsidRDefault="00F35E8A" w:rsidP="00F35E8A">
      <w:pPr>
        <w:pStyle w:val="TOC1"/>
        <w:keepNext/>
        <w:rPr>
          <w:rFonts w:asciiTheme="minorHAnsi" w:eastAsiaTheme="minorEastAsia" w:hAnsiTheme="minorHAnsi" w:cstheme="minorBidi"/>
          <w:caps w:val="0"/>
          <w:noProof/>
          <w:sz w:val="22"/>
          <w:szCs w:val="22"/>
        </w:rPr>
      </w:pPr>
      <w:hyperlink w:anchor="_Toc116648294" w:history="1">
        <w:r w:rsidR="009F0D26" w:rsidRPr="00284999">
          <w:rPr>
            <w:rStyle w:val="Hyperlink"/>
            <w:noProof/>
          </w:rPr>
          <w:t>ANGELEGENHEITEN ZUR ANNAHME DURCH DEN RAT IM JAHR 2022</w:t>
        </w:r>
        <w:r w:rsidR="009F0D26">
          <w:rPr>
            <w:noProof/>
            <w:webHidden/>
          </w:rPr>
          <w:tab/>
        </w:r>
        <w:r w:rsidR="009F0D26">
          <w:rPr>
            <w:noProof/>
            <w:webHidden/>
          </w:rPr>
          <w:fldChar w:fldCharType="begin"/>
        </w:r>
        <w:r w:rsidR="009F0D26">
          <w:rPr>
            <w:noProof/>
            <w:webHidden/>
          </w:rPr>
          <w:instrText xml:space="preserve"> PAGEREF _Toc116648294 \h </w:instrText>
        </w:r>
        <w:r w:rsidR="009F0D26">
          <w:rPr>
            <w:noProof/>
            <w:webHidden/>
          </w:rPr>
        </w:r>
        <w:r w:rsidR="009F0D26">
          <w:rPr>
            <w:noProof/>
            <w:webHidden/>
          </w:rPr>
          <w:fldChar w:fldCharType="separate"/>
        </w:r>
        <w:r w:rsidR="009F0D26">
          <w:rPr>
            <w:noProof/>
            <w:webHidden/>
          </w:rPr>
          <w:t>3</w:t>
        </w:r>
        <w:r w:rsidR="009F0D26">
          <w:rPr>
            <w:noProof/>
            <w:webHidden/>
          </w:rPr>
          <w:fldChar w:fldCharType="end"/>
        </w:r>
      </w:hyperlink>
    </w:p>
    <w:p w14:paraId="2B4A5531" w14:textId="7A7C701D" w:rsidR="009F0D26" w:rsidRDefault="00F35E8A" w:rsidP="00F35E8A">
      <w:pPr>
        <w:pStyle w:val="TOC2"/>
        <w:keepNext/>
        <w:rPr>
          <w:rFonts w:asciiTheme="minorHAnsi" w:eastAsiaTheme="minorEastAsia" w:hAnsiTheme="minorHAnsi" w:cstheme="minorBidi"/>
          <w:noProof/>
          <w:sz w:val="22"/>
          <w:szCs w:val="22"/>
        </w:rPr>
      </w:pPr>
      <w:hyperlink w:anchor="_Toc116648295" w:history="1">
        <w:r w:rsidR="009F0D26" w:rsidRPr="00284999">
          <w:rPr>
            <w:rStyle w:val="Hyperlink"/>
            <w:noProof/>
          </w:rPr>
          <w:t>Informationsmaterial:</w:t>
        </w:r>
        <w:r w:rsidR="009F0D26">
          <w:rPr>
            <w:noProof/>
            <w:webHidden/>
          </w:rPr>
          <w:tab/>
        </w:r>
        <w:r w:rsidR="009F0D26">
          <w:rPr>
            <w:noProof/>
            <w:webHidden/>
          </w:rPr>
          <w:fldChar w:fldCharType="begin"/>
        </w:r>
        <w:r w:rsidR="009F0D26">
          <w:rPr>
            <w:noProof/>
            <w:webHidden/>
          </w:rPr>
          <w:instrText xml:space="preserve"> PAGEREF _Toc116648295 \h </w:instrText>
        </w:r>
        <w:r w:rsidR="009F0D26">
          <w:rPr>
            <w:noProof/>
            <w:webHidden/>
          </w:rPr>
        </w:r>
        <w:r w:rsidR="009F0D26">
          <w:rPr>
            <w:noProof/>
            <w:webHidden/>
          </w:rPr>
          <w:fldChar w:fldCharType="separate"/>
        </w:r>
        <w:r w:rsidR="009F0D26">
          <w:rPr>
            <w:noProof/>
            <w:webHidden/>
          </w:rPr>
          <w:t>4</w:t>
        </w:r>
        <w:r w:rsidR="009F0D26">
          <w:rPr>
            <w:noProof/>
            <w:webHidden/>
          </w:rPr>
          <w:fldChar w:fldCharType="end"/>
        </w:r>
      </w:hyperlink>
    </w:p>
    <w:p w14:paraId="5DB30D05" w14:textId="27A99A5C" w:rsidR="009F0D26" w:rsidRDefault="00F35E8A" w:rsidP="00F35E8A">
      <w:pPr>
        <w:pStyle w:val="TOC2"/>
        <w:keepNext/>
        <w:rPr>
          <w:rFonts w:asciiTheme="minorHAnsi" w:eastAsiaTheme="minorEastAsia" w:hAnsiTheme="minorHAnsi" w:cstheme="minorBidi"/>
          <w:noProof/>
          <w:sz w:val="22"/>
          <w:szCs w:val="22"/>
        </w:rPr>
      </w:pPr>
      <w:hyperlink w:anchor="_Toc116648296" w:history="1">
        <w:r w:rsidR="009F0D26" w:rsidRPr="00284999">
          <w:rPr>
            <w:rStyle w:val="Hyperlink"/>
            <w:noProof/>
          </w:rPr>
          <w:t>TGP-Dokumente</w:t>
        </w:r>
        <w:r w:rsidR="009F0D26">
          <w:rPr>
            <w:noProof/>
            <w:webHidden/>
          </w:rPr>
          <w:tab/>
        </w:r>
        <w:r w:rsidR="009F0D26">
          <w:rPr>
            <w:noProof/>
            <w:webHidden/>
          </w:rPr>
          <w:fldChar w:fldCharType="begin"/>
        </w:r>
        <w:r w:rsidR="009F0D26">
          <w:rPr>
            <w:noProof/>
            <w:webHidden/>
          </w:rPr>
          <w:instrText xml:space="preserve"> PAGEREF _Toc116648296 \h </w:instrText>
        </w:r>
        <w:r w:rsidR="009F0D26">
          <w:rPr>
            <w:noProof/>
            <w:webHidden/>
          </w:rPr>
        </w:r>
        <w:r w:rsidR="009F0D26">
          <w:rPr>
            <w:noProof/>
            <w:webHidden/>
          </w:rPr>
          <w:fldChar w:fldCharType="separate"/>
        </w:r>
        <w:r w:rsidR="009F0D26">
          <w:rPr>
            <w:noProof/>
            <w:webHidden/>
          </w:rPr>
          <w:t>4</w:t>
        </w:r>
        <w:r w:rsidR="009F0D26">
          <w:rPr>
            <w:noProof/>
            <w:webHidden/>
          </w:rPr>
          <w:fldChar w:fldCharType="end"/>
        </w:r>
      </w:hyperlink>
    </w:p>
    <w:p w14:paraId="390758F3" w14:textId="6FE4438B" w:rsidR="009F0D26" w:rsidRDefault="00F35E8A" w:rsidP="00F35E8A">
      <w:pPr>
        <w:pStyle w:val="TOC1"/>
        <w:keepNext/>
        <w:rPr>
          <w:rFonts w:asciiTheme="minorHAnsi" w:eastAsiaTheme="minorEastAsia" w:hAnsiTheme="minorHAnsi" w:cstheme="minorBidi"/>
          <w:caps w:val="0"/>
          <w:noProof/>
          <w:sz w:val="22"/>
          <w:szCs w:val="22"/>
        </w:rPr>
      </w:pPr>
      <w:hyperlink w:anchor="_Toc116648297" w:history="1">
        <w:r w:rsidR="009F0D26" w:rsidRPr="00284999">
          <w:rPr>
            <w:rStyle w:val="Hyperlink"/>
            <w:noProof/>
          </w:rPr>
          <w:t>MÖGLICHE KÜNFTIGE ÜBERARBEITUNG VON ANLEITUNGEN UND INFORMATIONSMATERIAL</w:t>
        </w:r>
        <w:r w:rsidR="009F0D26">
          <w:rPr>
            <w:noProof/>
            <w:webHidden/>
          </w:rPr>
          <w:tab/>
        </w:r>
        <w:r w:rsidR="009F0D26">
          <w:rPr>
            <w:noProof/>
            <w:webHidden/>
          </w:rPr>
          <w:fldChar w:fldCharType="begin"/>
        </w:r>
        <w:r w:rsidR="009F0D26">
          <w:rPr>
            <w:noProof/>
            <w:webHidden/>
          </w:rPr>
          <w:instrText xml:space="preserve"> PAGEREF _Toc116648297 \h </w:instrText>
        </w:r>
        <w:r w:rsidR="009F0D26">
          <w:rPr>
            <w:noProof/>
            <w:webHidden/>
          </w:rPr>
        </w:r>
        <w:r w:rsidR="009F0D26">
          <w:rPr>
            <w:noProof/>
            <w:webHidden/>
          </w:rPr>
          <w:fldChar w:fldCharType="separate"/>
        </w:r>
        <w:r w:rsidR="009F0D26">
          <w:rPr>
            <w:noProof/>
            <w:webHidden/>
          </w:rPr>
          <w:t>4</w:t>
        </w:r>
        <w:r w:rsidR="009F0D26">
          <w:rPr>
            <w:noProof/>
            <w:webHidden/>
          </w:rPr>
          <w:fldChar w:fldCharType="end"/>
        </w:r>
      </w:hyperlink>
    </w:p>
    <w:p w14:paraId="69EC3DD6" w14:textId="33CD5B74" w:rsidR="009F0D26" w:rsidRDefault="00F35E8A" w:rsidP="00F35E8A">
      <w:pPr>
        <w:pStyle w:val="TOC2"/>
        <w:keepNext/>
        <w:rPr>
          <w:rFonts w:asciiTheme="minorHAnsi" w:eastAsiaTheme="minorEastAsia" w:hAnsiTheme="minorHAnsi" w:cstheme="minorBidi"/>
          <w:noProof/>
          <w:sz w:val="22"/>
          <w:szCs w:val="22"/>
        </w:rPr>
      </w:pPr>
      <w:hyperlink w:anchor="_Toc116648298" w:history="1">
        <w:r w:rsidR="009F0D26" w:rsidRPr="00284999">
          <w:rPr>
            <w:rStyle w:val="Hyperlink"/>
            <w:noProof/>
            <w:snapToGrid w:val="0"/>
          </w:rPr>
          <w:t>Dokument UPOV/INF/23 „</w:t>
        </w:r>
        <w:r w:rsidR="009F0D26" w:rsidRPr="00284999">
          <w:rPr>
            <w:rStyle w:val="Hyperlink"/>
            <w:noProof/>
          </w:rPr>
          <w:t>UPOV-Code-System“</w:t>
        </w:r>
        <w:r w:rsidR="009F0D26">
          <w:rPr>
            <w:noProof/>
            <w:webHidden/>
          </w:rPr>
          <w:tab/>
        </w:r>
        <w:r w:rsidR="009F0D26">
          <w:rPr>
            <w:noProof/>
            <w:webHidden/>
          </w:rPr>
          <w:fldChar w:fldCharType="begin"/>
        </w:r>
        <w:r w:rsidR="009F0D26">
          <w:rPr>
            <w:noProof/>
            <w:webHidden/>
          </w:rPr>
          <w:instrText xml:space="preserve"> PAGEREF _Toc116648298 \h </w:instrText>
        </w:r>
        <w:r w:rsidR="009F0D26">
          <w:rPr>
            <w:noProof/>
            <w:webHidden/>
          </w:rPr>
        </w:r>
        <w:r w:rsidR="009F0D26">
          <w:rPr>
            <w:noProof/>
            <w:webHidden/>
          </w:rPr>
          <w:fldChar w:fldCharType="separate"/>
        </w:r>
        <w:r w:rsidR="009F0D26">
          <w:rPr>
            <w:noProof/>
            <w:webHidden/>
          </w:rPr>
          <w:t>4</w:t>
        </w:r>
        <w:r w:rsidR="009F0D26">
          <w:rPr>
            <w:noProof/>
            <w:webHidden/>
          </w:rPr>
          <w:fldChar w:fldCharType="end"/>
        </w:r>
      </w:hyperlink>
    </w:p>
    <w:p w14:paraId="270D3999" w14:textId="37692CA0" w:rsidR="009F0D26" w:rsidRDefault="00F35E8A" w:rsidP="00F35E8A">
      <w:pPr>
        <w:pStyle w:val="TOC3"/>
        <w:keepNext/>
        <w:rPr>
          <w:rFonts w:asciiTheme="minorHAnsi" w:eastAsiaTheme="minorEastAsia" w:hAnsiTheme="minorHAnsi" w:cstheme="minorBidi"/>
          <w:i w:val="0"/>
          <w:noProof/>
          <w:sz w:val="22"/>
          <w:szCs w:val="22"/>
        </w:rPr>
      </w:pPr>
      <w:hyperlink w:anchor="_Toc116648299" w:history="1">
        <w:r w:rsidR="009F0D26" w:rsidRPr="00284999">
          <w:rPr>
            <w:rStyle w:val="Hyperlink"/>
            <w:noProof/>
          </w:rPr>
          <w:t>Höchstzahl der Zeichen in dem an UPOV-Codes angehängten Element</w:t>
        </w:r>
        <w:r w:rsidR="009F0D26">
          <w:rPr>
            <w:noProof/>
            <w:webHidden/>
          </w:rPr>
          <w:tab/>
        </w:r>
        <w:r w:rsidR="009F0D26">
          <w:rPr>
            <w:noProof/>
            <w:webHidden/>
          </w:rPr>
          <w:fldChar w:fldCharType="begin"/>
        </w:r>
        <w:r w:rsidR="009F0D26">
          <w:rPr>
            <w:noProof/>
            <w:webHidden/>
          </w:rPr>
          <w:instrText xml:space="preserve"> PAGEREF _Toc116648299 \h </w:instrText>
        </w:r>
        <w:r w:rsidR="009F0D26">
          <w:rPr>
            <w:noProof/>
            <w:webHidden/>
          </w:rPr>
        </w:r>
        <w:r w:rsidR="009F0D26">
          <w:rPr>
            <w:noProof/>
            <w:webHidden/>
          </w:rPr>
          <w:fldChar w:fldCharType="separate"/>
        </w:r>
        <w:r w:rsidR="009F0D26">
          <w:rPr>
            <w:noProof/>
            <w:webHidden/>
          </w:rPr>
          <w:t>4</w:t>
        </w:r>
        <w:r w:rsidR="009F0D26">
          <w:rPr>
            <w:noProof/>
            <w:webHidden/>
          </w:rPr>
          <w:fldChar w:fldCharType="end"/>
        </w:r>
      </w:hyperlink>
    </w:p>
    <w:p w14:paraId="416769EA" w14:textId="7EE4C95D" w:rsidR="009F0D26" w:rsidRDefault="00F35E8A" w:rsidP="00F35E8A">
      <w:pPr>
        <w:pStyle w:val="TOC2"/>
        <w:keepNext/>
        <w:rPr>
          <w:rFonts w:asciiTheme="minorHAnsi" w:eastAsiaTheme="minorEastAsia" w:hAnsiTheme="minorHAnsi" w:cstheme="minorBidi"/>
          <w:noProof/>
          <w:sz w:val="22"/>
          <w:szCs w:val="22"/>
        </w:rPr>
      </w:pPr>
      <w:hyperlink w:anchor="_Toc116648300" w:history="1">
        <w:r w:rsidR="009F0D26" w:rsidRPr="00284999">
          <w:rPr>
            <w:rStyle w:val="Hyperlink"/>
            <w:noProof/>
          </w:rPr>
          <w:t>Dokument TGP/7 „Erstellung von Prüfungsrichtlinien“</w:t>
        </w:r>
        <w:r w:rsidR="009F0D26">
          <w:rPr>
            <w:noProof/>
            <w:webHidden/>
          </w:rPr>
          <w:tab/>
        </w:r>
        <w:r w:rsidR="009F0D26">
          <w:rPr>
            <w:noProof/>
            <w:webHidden/>
          </w:rPr>
          <w:fldChar w:fldCharType="begin"/>
        </w:r>
        <w:r w:rsidR="009F0D26">
          <w:rPr>
            <w:noProof/>
            <w:webHidden/>
          </w:rPr>
          <w:instrText xml:space="preserve"> PAGEREF _Toc116648300 \h </w:instrText>
        </w:r>
        <w:r w:rsidR="009F0D26">
          <w:rPr>
            <w:noProof/>
            <w:webHidden/>
          </w:rPr>
        </w:r>
        <w:r w:rsidR="009F0D26">
          <w:rPr>
            <w:noProof/>
            <w:webHidden/>
          </w:rPr>
          <w:fldChar w:fldCharType="separate"/>
        </w:r>
        <w:r w:rsidR="009F0D26">
          <w:rPr>
            <w:noProof/>
            <w:webHidden/>
          </w:rPr>
          <w:t>5</w:t>
        </w:r>
        <w:r w:rsidR="009F0D26">
          <w:rPr>
            <w:noProof/>
            <w:webHidden/>
          </w:rPr>
          <w:fldChar w:fldCharType="end"/>
        </w:r>
      </w:hyperlink>
    </w:p>
    <w:p w14:paraId="37570CDA" w14:textId="7835ED94" w:rsidR="009F0D26" w:rsidRDefault="00F35E8A" w:rsidP="00F35E8A">
      <w:pPr>
        <w:pStyle w:val="TOC3"/>
        <w:keepNext/>
        <w:rPr>
          <w:rFonts w:asciiTheme="minorHAnsi" w:eastAsiaTheme="minorEastAsia" w:hAnsiTheme="minorHAnsi" w:cstheme="minorBidi"/>
          <w:i w:val="0"/>
          <w:noProof/>
          <w:sz w:val="22"/>
          <w:szCs w:val="22"/>
        </w:rPr>
      </w:pPr>
      <w:hyperlink w:anchor="_Toc116648301" w:history="1">
        <w:r w:rsidR="009F0D26" w:rsidRPr="00284999">
          <w:rPr>
            <w:rStyle w:val="Hyperlink"/>
            <w:noProof/>
          </w:rPr>
          <w:t>Beispielssorten für quantitative Merkmale mit Sternchen, wenn Abbildungen vorgelegt werden</w:t>
        </w:r>
        <w:r w:rsidR="009F0D26">
          <w:rPr>
            <w:noProof/>
            <w:webHidden/>
          </w:rPr>
          <w:tab/>
        </w:r>
        <w:r w:rsidR="009F0D26">
          <w:rPr>
            <w:noProof/>
            <w:webHidden/>
          </w:rPr>
          <w:fldChar w:fldCharType="begin"/>
        </w:r>
        <w:r w:rsidR="009F0D26">
          <w:rPr>
            <w:noProof/>
            <w:webHidden/>
          </w:rPr>
          <w:instrText xml:space="preserve"> PAGEREF _Toc116648301 \h </w:instrText>
        </w:r>
        <w:r w:rsidR="009F0D26">
          <w:rPr>
            <w:noProof/>
            <w:webHidden/>
          </w:rPr>
        </w:r>
        <w:r w:rsidR="009F0D26">
          <w:rPr>
            <w:noProof/>
            <w:webHidden/>
          </w:rPr>
          <w:fldChar w:fldCharType="separate"/>
        </w:r>
        <w:r w:rsidR="009F0D26">
          <w:rPr>
            <w:noProof/>
            <w:webHidden/>
          </w:rPr>
          <w:t>5</w:t>
        </w:r>
        <w:r w:rsidR="009F0D26">
          <w:rPr>
            <w:noProof/>
            <w:webHidden/>
          </w:rPr>
          <w:fldChar w:fldCharType="end"/>
        </w:r>
      </w:hyperlink>
    </w:p>
    <w:p w14:paraId="2194CEAE" w14:textId="7E33ACDD" w:rsidR="009F0D26" w:rsidRDefault="00F35E8A" w:rsidP="00F35E8A">
      <w:pPr>
        <w:pStyle w:val="TOC3"/>
        <w:keepNext/>
        <w:rPr>
          <w:rFonts w:asciiTheme="minorHAnsi" w:eastAsiaTheme="minorEastAsia" w:hAnsiTheme="minorHAnsi" w:cstheme="minorBidi"/>
          <w:i w:val="0"/>
          <w:noProof/>
          <w:sz w:val="22"/>
          <w:szCs w:val="22"/>
        </w:rPr>
      </w:pPr>
      <w:hyperlink w:anchor="_Toc116648302" w:history="1">
        <w:r w:rsidR="009F0D26" w:rsidRPr="00284999">
          <w:rPr>
            <w:rStyle w:val="Hyperlink"/>
            <w:noProof/>
            <w:snapToGrid w:val="0"/>
          </w:rPr>
          <w:t>Angabe von Gruppierungsmerkmalen in UPOV-Prüfungsrichtlinien (Merkmalstabelle und TQ 5)</w:t>
        </w:r>
        <w:r w:rsidR="009F0D26">
          <w:rPr>
            <w:noProof/>
            <w:webHidden/>
          </w:rPr>
          <w:tab/>
        </w:r>
        <w:r w:rsidR="009F0D26">
          <w:rPr>
            <w:noProof/>
            <w:webHidden/>
          </w:rPr>
          <w:fldChar w:fldCharType="begin"/>
        </w:r>
        <w:r w:rsidR="009F0D26">
          <w:rPr>
            <w:noProof/>
            <w:webHidden/>
          </w:rPr>
          <w:instrText xml:space="preserve"> PAGEREF _Toc116648302 \h </w:instrText>
        </w:r>
        <w:r w:rsidR="009F0D26">
          <w:rPr>
            <w:noProof/>
            <w:webHidden/>
          </w:rPr>
        </w:r>
        <w:r w:rsidR="009F0D26">
          <w:rPr>
            <w:noProof/>
            <w:webHidden/>
          </w:rPr>
          <w:fldChar w:fldCharType="separate"/>
        </w:r>
        <w:r w:rsidR="009F0D26">
          <w:rPr>
            <w:noProof/>
            <w:webHidden/>
          </w:rPr>
          <w:t>6</w:t>
        </w:r>
        <w:r w:rsidR="009F0D26">
          <w:rPr>
            <w:noProof/>
            <w:webHidden/>
          </w:rPr>
          <w:fldChar w:fldCharType="end"/>
        </w:r>
      </w:hyperlink>
    </w:p>
    <w:p w14:paraId="64C9A7A0" w14:textId="310CFDD0" w:rsidR="009F0D26" w:rsidRDefault="00F35E8A" w:rsidP="00F35E8A">
      <w:pPr>
        <w:pStyle w:val="TOC3"/>
        <w:keepNext/>
        <w:rPr>
          <w:rFonts w:asciiTheme="minorHAnsi" w:eastAsiaTheme="minorEastAsia" w:hAnsiTheme="minorHAnsi" w:cstheme="minorBidi"/>
          <w:i w:val="0"/>
          <w:noProof/>
          <w:sz w:val="22"/>
          <w:szCs w:val="22"/>
        </w:rPr>
      </w:pPr>
      <w:hyperlink w:anchor="_Toc116648303" w:history="1">
        <w:r w:rsidR="009F0D26" w:rsidRPr="00284999">
          <w:rPr>
            <w:rStyle w:val="Hyperlink"/>
            <w:noProof/>
          </w:rPr>
          <w:t>Umwandlung von Standardwortlaut für alle Prüfungsrichtlinien in einen optionalen Wortlaut</w:t>
        </w:r>
        <w:r w:rsidR="009F0D26">
          <w:rPr>
            <w:noProof/>
            <w:webHidden/>
          </w:rPr>
          <w:tab/>
        </w:r>
        <w:r w:rsidR="009F0D26">
          <w:rPr>
            <w:noProof/>
            <w:webHidden/>
          </w:rPr>
          <w:fldChar w:fldCharType="begin"/>
        </w:r>
        <w:r w:rsidR="009F0D26">
          <w:rPr>
            <w:noProof/>
            <w:webHidden/>
          </w:rPr>
          <w:instrText xml:space="preserve"> PAGEREF _Toc116648303 \h </w:instrText>
        </w:r>
        <w:r w:rsidR="009F0D26">
          <w:rPr>
            <w:noProof/>
            <w:webHidden/>
          </w:rPr>
        </w:r>
        <w:r w:rsidR="009F0D26">
          <w:rPr>
            <w:noProof/>
            <w:webHidden/>
          </w:rPr>
          <w:fldChar w:fldCharType="separate"/>
        </w:r>
        <w:r w:rsidR="009F0D26">
          <w:rPr>
            <w:noProof/>
            <w:webHidden/>
          </w:rPr>
          <w:t>7</w:t>
        </w:r>
        <w:r w:rsidR="009F0D26">
          <w:rPr>
            <w:noProof/>
            <w:webHidden/>
          </w:rPr>
          <w:fldChar w:fldCharType="end"/>
        </w:r>
      </w:hyperlink>
    </w:p>
    <w:p w14:paraId="27308ABB" w14:textId="50EE5990" w:rsidR="009F0D26" w:rsidRDefault="00F35E8A" w:rsidP="00F35E8A">
      <w:pPr>
        <w:pStyle w:val="TOC3"/>
        <w:keepNext/>
        <w:rPr>
          <w:rFonts w:asciiTheme="minorHAnsi" w:eastAsiaTheme="minorEastAsia" w:hAnsiTheme="minorHAnsi" w:cstheme="minorBidi"/>
          <w:i w:val="0"/>
          <w:noProof/>
          <w:sz w:val="22"/>
          <w:szCs w:val="22"/>
        </w:rPr>
      </w:pPr>
      <w:hyperlink w:anchor="_Toc116648304" w:history="1">
        <w:r w:rsidR="009F0D26" w:rsidRPr="00284999">
          <w:rPr>
            <w:rStyle w:val="Hyperlink"/>
            <w:noProof/>
          </w:rPr>
          <w:t>Krankheitsresistenzmerkmale: Hinzufügung von Ausprägungsstufen und Platzierung von Krankheitsresistenzmerkmalen ohne Sternchen in Abschnitt 5 des Technischen Fragebogens</w:t>
        </w:r>
        <w:r w:rsidR="009F0D26">
          <w:rPr>
            <w:noProof/>
            <w:webHidden/>
          </w:rPr>
          <w:tab/>
        </w:r>
        <w:r w:rsidR="009F0D26">
          <w:rPr>
            <w:noProof/>
            <w:webHidden/>
          </w:rPr>
          <w:fldChar w:fldCharType="begin"/>
        </w:r>
        <w:r w:rsidR="009F0D26">
          <w:rPr>
            <w:noProof/>
            <w:webHidden/>
          </w:rPr>
          <w:instrText xml:space="preserve"> PAGEREF _Toc116648304 \h </w:instrText>
        </w:r>
        <w:r w:rsidR="009F0D26">
          <w:rPr>
            <w:noProof/>
            <w:webHidden/>
          </w:rPr>
        </w:r>
        <w:r w:rsidR="009F0D26">
          <w:rPr>
            <w:noProof/>
            <w:webHidden/>
          </w:rPr>
          <w:fldChar w:fldCharType="separate"/>
        </w:r>
        <w:r w:rsidR="009F0D26">
          <w:rPr>
            <w:noProof/>
            <w:webHidden/>
          </w:rPr>
          <w:t>7</w:t>
        </w:r>
        <w:r w:rsidR="009F0D26">
          <w:rPr>
            <w:noProof/>
            <w:webHidden/>
          </w:rPr>
          <w:fldChar w:fldCharType="end"/>
        </w:r>
      </w:hyperlink>
    </w:p>
    <w:p w14:paraId="0C46E71A" w14:textId="7785CCF3" w:rsidR="009F0D26" w:rsidRDefault="00F35E8A" w:rsidP="00F35E8A">
      <w:pPr>
        <w:pStyle w:val="TOC2"/>
        <w:keepNext/>
        <w:rPr>
          <w:rFonts w:asciiTheme="minorHAnsi" w:eastAsiaTheme="minorEastAsia" w:hAnsiTheme="minorHAnsi" w:cstheme="minorBidi"/>
          <w:noProof/>
          <w:sz w:val="22"/>
          <w:szCs w:val="22"/>
        </w:rPr>
      </w:pPr>
      <w:hyperlink w:anchor="_Toc116648305" w:history="1">
        <w:r w:rsidR="009F0D26" w:rsidRPr="00284999">
          <w:rPr>
            <w:rStyle w:val="Hyperlink"/>
            <w:noProof/>
          </w:rPr>
          <w:t>Dokument TGP/8: „Prüfungsanlage und Verfahren für die Prüfung der Unterscheidbarkeit, der Homogenität und der Beständigkeit“</w:t>
        </w:r>
        <w:r w:rsidR="009F0D26">
          <w:rPr>
            <w:noProof/>
            <w:webHidden/>
          </w:rPr>
          <w:tab/>
        </w:r>
        <w:r w:rsidR="009F0D26">
          <w:rPr>
            <w:noProof/>
            <w:webHidden/>
          </w:rPr>
          <w:fldChar w:fldCharType="begin"/>
        </w:r>
        <w:r w:rsidR="009F0D26">
          <w:rPr>
            <w:noProof/>
            <w:webHidden/>
          </w:rPr>
          <w:instrText xml:space="preserve"> PAGEREF _Toc116648305 \h </w:instrText>
        </w:r>
        <w:r w:rsidR="009F0D26">
          <w:rPr>
            <w:noProof/>
            <w:webHidden/>
          </w:rPr>
        </w:r>
        <w:r w:rsidR="009F0D26">
          <w:rPr>
            <w:noProof/>
            <w:webHidden/>
          </w:rPr>
          <w:fldChar w:fldCharType="separate"/>
        </w:r>
        <w:r w:rsidR="009F0D26">
          <w:rPr>
            <w:noProof/>
            <w:webHidden/>
          </w:rPr>
          <w:t>8</w:t>
        </w:r>
        <w:r w:rsidR="009F0D26">
          <w:rPr>
            <w:noProof/>
            <w:webHidden/>
          </w:rPr>
          <w:fldChar w:fldCharType="end"/>
        </w:r>
      </w:hyperlink>
    </w:p>
    <w:p w14:paraId="171C88A5" w14:textId="7111FF50" w:rsidR="009F0D26" w:rsidRDefault="00F35E8A" w:rsidP="00F35E8A">
      <w:pPr>
        <w:pStyle w:val="TOC3"/>
        <w:keepNext/>
        <w:rPr>
          <w:rFonts w:asciiTheme="minorHAnsi" w:eastAsiaTheme="minorEastAsia" w:hAnsiTheme="minorHAnsi" w:cstheme="minorBidi"/>
          <w:i w:val="0"/>
          <w:noProof/>
          <w:sz w:val="22"/>
          <w:szCs w:val="22"/>
        </w:rPr>
      </w:pPr>
      <w:hyperlink w:anchor="_Toc116648306" w:history="1">
        <w:r w:rsidR="009F0D26" w:rsidRPr="00284999">
          <w:rPr>
            <w:rStyle w:val="Hyperlink"/>
            <w:noProof/>
          </w:rPr>
          <w:t>Abschnitt 9 „Das kombinierte Homogenitätskriterium über mehrere Jahre (COYU)“</w:t>
        </w:r>
        <w:r w:rsidR="009F0D26">
          <w:rPr>
            <w:noProof/>
            <w:webHidden/>
          </w:rPr>
          <w:tab/>
        </w:r>
        <w:r w:rsidR="009F0D26">
          <w:rPr>
            <w:noProof/>
            <w:webHidden/>
          </w:rPr>
          <w:fldChar w:fldCharType="begin"/>
        </w:r>
        <w:r w:rsidR="009F0D26">
          <w:rPr>
            <w:noProof/>
            <w:webHidden/>
          </w:rPr>
          <w:instrText xml:space="preserve"> PAGEREF _Toc116648306 \h </w:instrText>
        </w:r>
        <w:r w:rsidR="009F0D26">
          <w:rPr>
            <w:noProof/>
            <w:webHidden/>
          </w:rPr>
        </w:r>
        <w:r w:rsidR="009F0D26">
          <w:rPr>
            <w:noProof/>
            <w:webHidden/>
          </w:rPr>
          <w:fldChar w:fldCharType="separate"/>
        </w:r>
        <w:r w:rsidR="009F0D26">
          <w:rPr>
            <w:noProof/>
            <w:webHidden/>
          </w:rPr>
          <w:t>8</w:t>
        </w:r>
        <w:r w:rsidR="009F0D26">
          <w:rPr>
            <w:noProof/>
            <w:webHidden/>
          </w:rPr>
          <w:fldChar w:fldCharType="end"/>
        </w:r>
      </w:hyperlink>
    </w:p>
    <w:p w14:paraId="3CB2DE42" w14:textId="0163C932" w:rsidR="009F0D26" w:rsidRDefault="00F35E8A" w:rsidP="00F35E8A">
      <w:pPr>
        <w:pStyle w:val="TOC2"/>
        <w:keepNext/>
        <w:rPr>
          <w:rFonts w:asciiTheme="minorHAnsi" w:eastAsiaTheme="minorEastAsia" w:hAnsiTheme="minorHAnsi" w:cstheme="minorBidi"/>
          <w:noProof/>
          <w:sz w:val="22"/>
          <w:szCs w:val="22"/>
        </w:rPr>
      </w:pPr>
      <w:hyperlink w:anchor="_Toc116648307" w:history="1">
        <w:r w:rsidR="009F0D26" w:rsidRPr="00284999">
          <w:rPr>
            <w:rStyle w:val="Hyperlink"/>
            <w:noProof/>
            <w:snapToGrid w:val="0"/>
          </w:rPr>
          <w:t>Dokument TGP/12 „Anleitung zu bestimmten physiologischen Merkmalen“</w:t>
        </w:r>
        <w:r w:rsidR="009F0D26">
          <w:rPr>
            <w:noProof/>
            <w:webHidden/>
          </w:rPr>
          <w:tab/>
        </w:r>
        <w:r w:rsidR="009F0D26">
          <w:rPr>
            <w:noProof/>
            <w:webHidden/>
          </w:rPr>
          <w:fldChar w:fldCharType="begin"/>
        </w:r>
        <w:r w:rsidR="009F0D26">
          <w:rPr>
            <w:noProof/>
            <w:webHidden/>
          </w:rPr>
          <w:instrText xml:space="preserve"> PAGEREF _Toc116648307 \h </w:instrText>
        </w:r>
        <w:r w:rsidR="009F0D26">
          <w:rPr>
            <w:noProof/>
            <w:webHidden/>
          </w:rPr>
        </w:r>
        <w:r w:rsidR="009F0D26">
          <w:rPr>
            <w:noProof/>
            <w:webHidden/>
          </w:rPr>
          <w:fldChar w:fldCharType="separate"/>
        </w:r>
        <w:r w:rsidR="009F0D26">
          <w:rPr>
            <w:noProof/>
            <w:webHidden/>
          </w:rPr>
          <w:t>8</w:t>
        </w:r>
        <w:r w:rsidR="009F0D26">
          <w:rPr>
            <w:noProof/>
            <w:webHidden/>
          </w:rPr>
          <w:fldChar w:fldCharType="end"/>
        </w:r>
      </w:hyperlink>
    </w:p>
    <w:p w14:paraId="35056C49" w14:textId="6BB86963" w:rsidR="009F0D26" w:rsidRDefault="00F35E8A" w:rsidP="00F35E8A">
      <w:pPr>
        <w:pStyle w:val="TOC3"/>
        <w:keepNext/>
        <w:rPr>
          <w:rFonts w:asciiTheme="minorHAnsi" w:eastAsiaTheme="minorEastAsia" w:hAnsiTheme="minorHAnsi" w:cstheme="minorBidi"/>
          <w:i w:val="0"/>
          <w:noProof/>
          <w:sz w:val="22"/>
          <w:szCs w:val="22"/>
        </w:rPr>
      </w:pPr>
      <w:hyperlink w:anchor="_Toc116648308" w:history="1">
        <w:r w:rsidR="009F0D26" w:rsidRPr="00284999">
          <w:rPr>
            <w:rStyle w:val="Hyperlink"/>
            <w:noProof/>
            <w:snapToGrid w:val="0"/>
          </w:rPr>
          <w:t>Wort „hoch-“ in nur einer Ausprägungsstufe</w:t>
        </w:r>
        <w:r w:rsidR="009F0D26">
          <w:rPr>
            <w:noProof/>
            <w:webHidden/>
          </w:rPr>
          <w:tab/>
        </w:r>
        <w:r w:rsidR="009F0D26">
          <w:rPr>
            <w:noProof/>
            <w:webHidden/>
          </w:rPr>
          <w:fldChar w:fldCharType="begin"/>
        </w:r>
        <w:r w:rsidR="009F0D26">
          <w:rPr>
            <w:noProof/>
            <w:webHidden/>
          </w:rPr>
          <w:instrText xml:space="preserve"> PAGEREF _Toc116648308 \h </w:instrText>
        </w:r>
        <w:r w:rsidR="009F0D26">
          <w:rPr>
            <w:noProof/>
            <w:webHidden/>
          </w:rPr>
        </w:r>
        <w:r w:rsidR="009F0D26">
          <w:rPr>
            <w:noProof/>
            <w:webHidden/>
          </w:rPr>
          <w:fldChar w:fldCharType="separate"/>
        </w:r>
        <w:r w:rsidR="009F0D26">
          <w:rPr>
            <w:noProof/>
            <w:webHidden/>
          </w:rPr>
          <w:t>8</w:t>
        </w:r>
        <w:r w:rsidR="009F0D26">
          <w:rPr>
            <w:noProof/>
            <w:webHidden/>
          </w:rPr>
          <w:fldChar w:fldCharType="end"/>
        </w:r>
      </w:hyperlink>
    </w:p>
    <w:p w14:paraId="2C17EBFC" w14:textId="622708F9" w:rsidR="009F0D26" w:rsidRDefault="00F35E8A" w:rsidP="00F35E8A">
      <w:pPr>
        <w:pStyle w:val="TOC1"/>
        <w:keepNext/>
        <w:rPr>
          <w:rFonts w:asciiTheme="minorHAnsi" w:eastAsiaTheme="minorEastAsia" w:hAnsiTheme="minorHAnsi" w:cstheme="minorBidi"/>
          <w:caps w:val="0"/>
          <w:noProof/>
          <w:sz w:val="22"/>
          <w:szCs w:val="22"/>
        </w:rPr>
      </w:pPr>
      <w:hyperlink w:anchor="_Toc116648309" w:history="1">
        <w:r w:rsidR="009F0D26" w:rsidRPr="00284999">
          <w:rPr>
            <w:rStyle w:val="Hyperlink"/>
            <w:noProof/>
          </w:rPr>
          <w:t>neuer Vorschlag zur Überarbeitung von ANLEITUNG UND INFORMATIONAMATERIAL</w:t>
        </w:r>
        <w:r w:rsidR="009F0D26">
          <w:rPr>
            <w:noProof/>
            <w:webHidden/>
          </w:rPr>
          <w:tab/>
        </w:r>
        <w:r w:rsidR="009F0D26">
          <w:rPr>
            <w:noProof/>
            <w:webHidden/>
          </w:rPr>
          <w:fldChar w:fldCharType="begin"/>
        </w:r>
        <w:r w:rsidR="009F0D26">
          <w:rPr>
            <w:noProof/>
            <w:webHidden/>
          </w:rPr>
          <w:instrText xml:space="preserve"> PAGEREF _Toc116648309 \h </w:instrText>
        </w:r>
        <w:r w:rsidR="009F0D26">
          <w:rPr>
            <w:noProof/>
            <w:webHidden/>
          </w:rPr>
        </w:r>
        <w:r w:rsidR="009F0D26">
          <w:rPr>
            <w:noProof/>
            <w:webHidden/>
          </w:rPr>
          <w:fldChar w:fldCharType="separate"/>
        </w:r>
        <w:r w:rsidR="009F0D26">
          <w:rPr>
            <w:noProof/>
            <w:webHidden/>
          </w:rPr>
          <w:t>9</w:t>
        </w:r>
        <w:r w:rsidR="009F0D26">
          <w:rPr>
            <w:noProof/>
            <w:webHidden/>
          </w:rPr>
          <w:fldChar w:fldCharType="end"/>
        </w:r>
      </w:hyperlink>
    </w:p>
    <w:p w14:paraId="2CC4F69E" w14:textId="12056A8A" w:rsidR="009F0D26" w:rsidRDefault="00F35E8A" w:rsidP="00F35E8A">
      <w:pPr>
        <w:pStyle w:val="TOC2"/>
        <w:keepNext/>
        <w:rPr>
          <w:rFonts w:asciiTheme="minorHAnsi" w:eastAsiaTheme="minorEastAsia" w:hAnsiTheme="minorHAnsi" w:cstheme="minorBidi"/>
          <w:noProof/>
          <w:sz w:val="22"/>
          <w:szCs w:val="22"/>
        </w:rPr>
      </w:pPr>
      <w:hyperlink w:anchor="_Toc116648310" w:history="1">
        <w:r w:rsidR="009F0D26" w:rsidRPr="00284999">
          <w:rPr>
            <w:rStyle w:val="Hyperlink"/>
            <w:noProof/>
          </w:rPr>
          <w:t>Dokument TGP/9 „Prüfung der Unterscheidbarkeit“</w:t>
        </w:r>
        <w:r w:rsidR="009F0D26">
          <w:rPr>
            <w:noProof/>
            <w:webHidden/>
          </w:rPr>
          <w:tab/>
        </w:r>
        <w:r w:rsidR="009F0D26">
          <w:rPr>
            <w:noProof/>
            <w:webHidden/>
          </w:rPr>
          <w:fldChar w:fldCharType="begin"/>
        </w:r>
        <w:r w:rsidR="009F0D26">
          <w:rPr>
            <w:noProof/>
            <w:webHidden/>
          </w:rPr>
          <w:instrText xml:space="preserve"> PAGEREF _Toc116648310 \h </w:instrText>
        </w:r>
        <w:r w:rsidR="009F0D26">
          <w:rPr>
            <w:noProof/>
            <w:webHidden/>
          </w:rPr>
        </w:r>
        <w:r w:rsidR="009F0D26">
          <w:rPr>
            <w:noProof/>
            <w:webHidden/>
          </w:rPr>
          <w:fldChar w:fldCharType="separate"/>
        </w:r>
        <w:r w:rsidR="009F0D26">
          <w:rPr>
            <w:noProof/>
            <w:webHidden/>
          </w:rPr>
          <w:t>9</w:t>
        </w:r>
        <w:r w:rsidR="009F0D26">
          <w:rPr>
            <w:noProof/>
            <w:webHidden/>
          </w:rPr>
          <w:fldChar w:fldCharType="end"/>
        </w:r>
      </w:hyperlink>
    </w:p>
    <w:p w14:paraId="1B35DD99" w14:textId="3DD4BCA1" w:rsidR="009F0D26" w:rsidRDefault="00F35E8A" w:rsidP="00F35E8A">
      <w:pPr>
        <w:pStyle w:val="TOC1"/>
        <w:keepNext/>
        <w:rPr>
          <w:rFonts w:asciiTheme="minorHAnsi" w:eastAsiaTheme="minorEastAsia" w:hAnsiTheme="minorHAnsi" w:cstheme="minorBidi"/>
          <w:caps w:val="0"/>
          <w:noProof/>
          <w:sz w:val="22"/>
          <w:szCs w:val="22"/>
        </w:rPr>
      </w:pPr>
      <w:hyperlink w:anchor="_Toc116648311" w:history="1">
        <w:r w:rsidR="009F0D26" w:rsidRPr="00284999">
          <w:rPr>
            <w:rStyle w:val="Hyperlink"/>
            <w:noProof/>
          </w:rPr>
          <w:t>Programm für die Ausarbeitung von einschlägigem Informationsmaterial</w:t>
        </w:r>
        <w:r w:rsidR="009F0D26">
          <w:rPr>
            <w:noProof/>
            <w:webHidden/>
          </w:rPr>
          <w:tab/>
        </w:r>
        <w:r w:rsidR="009F0D26">
          <w:rPr>
            <w:noProof/>
            <w:webHidden/>
          </w:rPr>
          <w:fldChar w:fldCharType="begin"/>
        </w:r>
        <w:r w:rsidR="009F0D26">
          <w:rPr>
            <w:noProof/>
            <w:webHidden/>
          </w:rPr>
          <w:instrText xml:space="preserve"> PAGEREF _Toc116648311 \h </w:instrText>
        </w:r>
        <w:r w:rsidR="009F0D26">
          <w:rPr>
            <w:noProof/>
            <w:webHidden/>
          </w:rPr>
        </w:r>
        <w:r w:rsidR="009F0D26">
          <w:rPr>
            <w:noProof/>
            <w:webHidden/>
          </w:rPr>
          <w:fldChar w:fldCharType="separate"/>
        </w:r>
        <w:r w:rsidR="009F0D26">
          <w:rPr>
            <w:noProof/>
            <w:webHidden/>
          </w:rPr>
          <w:t>10</w:t>
        </w:r>
        <w:r w:rsidR="009F0D26">
          <w:rPr>
            <w:noProof/>
            <w:webHidden/>
          </w:rPr>
          <w:fldChar w:fldCharType="end"/>
        </w:r>
      </w:hyperlink>
    </w:p>
    <w:p w14:paraId="6BC9A773" w14:textId="77777777" w:rsidR="007411FF" w:rsidRPr="007411FF" w:rsidRDefault="00125827" w:rsidP="00F35E8A">
      <w:pPr>
        <w:keepNext/>
        <w:rPr>
          <w:sz w:val="18"/>
        </w:rPr>
      </w:pPr>
      <w:r>
        <w:fldChar w:fldCharType="end"/>
      </w:r>
    </w:p>
    <w:p w14:paraId="51CBCCD1" w14:textId="01CE8B7B" w:rsidR="00125827" w:rsidRPr="00125827" w:rsidRDefault="00125827" w:rsidP="00125827">
      <w:pPr>
        <w:rPr>
          <w:sz w:val="18"/>
          <w:szCs w:val="18"/>
        </w:rPr>
      </w:pPr>
      <w:r>
        <w:rPr>
          <w:sz w:val="18"/>
          <w:szCs w:val="18"/>
        </w:rPr>
        <w:t>ANLAGE I:</w:t>
      </w:r>
      <w:r>
        <w:rPr>
          <w:sz w:val="18"/>
          <w:szCs w:val="18"/>
        </w:rPr>
        <w:tab/>
        <w:t>Höchstzahl der Zeichen in dem an UPOV-Codes angehängten Element</w:t>
      </w:r>
    </w:p>
    <w:p w14:paraId="127D5C99" w14:textId="77777777" w:rsidR="00125827" w:rsidRPr="00125827" w:rsidRDefault="00125827" w:rsidP="00125827">
      <w:pPr>
        <w:rPr>
          <w:sz w:val="18"/>
          <w:szCs w:val="18"/>
        </w:rPr>
      </w:pPr>
      <w:r>
        <w:rPr>
          <w:sz w:val="18"/>
          <w:szCs w:val="18"/>
        </w:rPr>
        <w:t>ANLAGE II:</w:t>
      </w:r>
      <w:r>
        <w:rPr>
          <w:sz w:val="18"/>
          <w:szCs w:val="18"/>
        </w:rPr>
        <w:tab/>
        <w:t>Erfordernis der Bereitstellung von Beispielssorten für mit Sternchen versehene quantitative Merkmale</w:t>
      </w:r>
    </w:p>
    <w:p w14:paraId="6E562362" w14:textId="77777777" w:rsidR="00125827" w:rsidRPr="00125827" w:rsidRDefault="00125827" w:rsidP="00125827">
      <w:pPr>
        <w:rPr>
          <w:sz w:val="18"/>
          <w:szCs w:val="18"/>
        </w:rPr>
      </w:pPr>
      <w:r>
        <w:rPr>
          <w:sz w:val="18"/>
          <w:szCs w:val="18"/>
        </w:rPr>
        <w:t>ANLAGE III:</w:t>
      </w:r>
      <w:r>
        <w:rPr>
          <w:sz w:val="18"/>
          <w:szCs w:val="18"/>
        </w:rPr>
        <w:tab/>
      </w:r>
      <w:r>
        <w:rPr>
          <w:spacing w:val="-2"/>
          <w:sz w:val="18"/>
          <w:szCs w:val="18"/>
        </w:rPr>
        <w:t>Angabe von Gruppierungsmerkmalen in UPOV-Prüfungsrichtlinien</w:t>
      </w:r>
    </w:p>
    <w:p w14:paraId="79986394" w14:textId="77777777" w:rsidR="00125827" w:rsidRPr="00125827" w:rsidRDefault="00125827" w:rsidP="00125827">
      <w:pPr>
        <w:rPr>
          <w:sz w:val="18"/>
          <w:szCs w:val="18"/>
        </w:rPr>
      </w:pPr>
      <w:r>
        <w:rPr>
          <w:sz w:val="18"/>
          <w:szCs w:val="18"/>
        </w:rPr>
        <w:t>ANLAGE IV:</w:t>
      </w:r>
      <w:r>
        <w:rPr>
          <w:sz w:val="18"/>
          <w:szCs w:val="18"/>
        </w:rPr>
        <w:tab/>
      </w:r>
      <w:r>
        <w:rPr>
          <w:spacing w:val="-2"/>
          <w:sz w:val="18"/>
          <w:szCs w:val="18"/>
        </w:rPr>
        <w:t>Umwandlung von Standardwortlaut für alle Prüfungsrichtlinien in einen optionalen Wortlaut</w:t>
      </w:r>
    </w:p>
    <w:p w14:paraId="66312411" w14:textId="77777777" w:rsidR="005E1E97" w:rsidRPr="00125827" w:rsidRDefault="005E1E97" w:rsidP="005E1E97">
      <w:pPr>
        <w:ind w:left="1134" w:hanging="1134"/>
        <w:rPr>
          <w:sz w:val="18"/>
          <w:szCs w:val="18"/>
        </w:rPr>
      </w:pPr>
      <w:r>
        <w:rPr>
          <w:sz w:val="18"/>
          <w:szCs w:val="18"/>
        </w:rPr>
        <w:t>ANLAGE V:</w:t>
      </w:r>
      <w:r>
        <w:rPr>
          <w:sz w:val="18"/>
          <w:szCs w:val="18"/>
        </w:rPr>
        <w:tab/>
      </w:r>
      <w:r>
        <w:rPr>
          <w:spacing w:val="-2"/>
          <w:sz w:val="18"/>
          <w:szCs w:val="18"/>
        </w:rPr>
        <w:t>Hinzufügung von Ausprägungsstufen und Platzierung von Krankheitsresistenzmerkmalen ohne Sternchen in Abschnitt 5 des Technischen Fragebogens</w:t>
      </w:r>
    </w:p>
    <w:p w14:paraId="06419165" w14:textId="77777777" w:rsidR="00125827" w:rsidRPr="00125827" w:rsidRDefault="00125827" w:rsidP="00125827">
      <w:pPr>
        <w:rPr>
          <w:sz w:val="18"/>
          <w:szCs w:val="18"/>
        </w:rPr>
      </w:pPr>
      <w:r>
        <w:rPr>
          <w:sz w:val="18"/>
          <w:szCs w:val="18"/>
        </w:rPr>
        <w:t>ANLAGE VI:</w:t>
      </w:r>
      <w:r>
        <w:rPr>
          <w:sz w:val="18"/>
          <w:szCs w:val="18"/>
        </w:rPr>
        <w:tab/>
      </w:r>
      <w:r>
        <w:rPr>
          <w:spacing w:val="-2"/>
          <w:sz w:val="18"/>
          <w:szCs w:val="18"/>
        </w:rPr>
        <w:t>Dokument TGP/12: Beispiel von Krankheitsresistenzmerkmalen: Wort „hoch-" nur in einer Ausprägungsstufe</w:t>
      </w:r>
    </w:p>
    <w:p w14:paraId="1C7394C7" w14:textId="77777777" w:rsidR="00125827" w:rsidRPr="00125827" w:rsidRDefault="00125827" w:rsidP="00125827">
      <w:pPr>
        <w:rPr>
          <w:sz w:val="18"/>
          <w:szCs w:val="18"/>
        </w:rPr>
      </w:pPr>
      <w:r>
        <w:rPr>
          <w:sz w:val="18"/>
          <w:szCs w:val="18"/>
        </w:rPr>
        <w:t>ANLAGE VII:</w:t>
      </w:r>
      <w:r>
        <w:rPr>
          <w:sz w:val="18"/>
          <w:szCs w:val="18"/>
        </w:rPr>
        <w:tab/>
        <w:t>Programm für die Ausarbeitung von TGP-Dokumenten</w:t>
      </w:r>
    </w:p>
    <w:p w14:paraId="191F5BE7" w14:textId="77777777" w:rsidR="00125827" w:rsidRPr="00125827" w:rsidRDefault="005E1E97" w:rsidP="00125827">
      <w:pPr>
        <w:rPr>
          <w:sz w:val="18"/>
          <w:szCs w:val="18"/>
        </w:rPr>
      </w:pPr>
      <w:r>
        <w:rPr>
          <w:sz w:val="18"/>
          <w:szCs w:val="18"/>
        </w:rPr>
        <w:t>ANNEX VIII:</w:t>
      </w:r>
      <w:r>
        <w:rPr>
          <w:sz w:val="18"/>
          <w:szCs w:val="18"/>
        </w:rPr>
        <w:tab/>
        <w:t>Programm für die Ausarbeitung von Informationsmaterial</w:t>
      </w:r>
    </w:p>
    <w:p w14:paraId="63157CF1" w14:textId="77777777" w:rsidR="00125827" w:rsidRPr="00125827" w:rsidRDefault="00125827" w:rsidP="00125827">
      <w:pPr>
        <w:ind w:left="1134" w:hanging="1134"/>
        <w:rPr>
          <w:sz w:val="18"/>
          <w:highlight w:val="yellow"/>
        </w:rPr>
      </w:pPr>
    </w:p>
    <w:p w14:paraId="4A670317" w14:textId="77777777" w:rsidR="00125827" w:rsidRPr="00125827" w:rsidRDefault="00125827" w:rsidP="00125827">
      <w:pPr>
        <w:ind w:left="1134" w:hanging="1134"/>
        <w:rPr>
          <w:sz w:val="18"/>
          <w:highlight w:val="yellow"/>
        </w:rPr>
      </w:pPr>
    </w:p>
    <w:p w14:paraId="6CEE6584" w14:textId="77777777" w:rsidR="00125827" w:rsidRPr="00125827" w:rsidRDefault="00125827" w:rsidP="00125827">
      <w:pPr>
        <w:keepNext/>
        <w:rPr>
          <w:rFonts w:cs="Arial"/>
        </w:rPr>
      </w:pPr>
      <w:r w:rsidRPr="00125827">
        <w:rPr>
          <w:rFonts w:cs="Arial"/>
        </w:rPr>
        <w:fldChar w:fldCharType="begin"/>
      </w:r>
      <w:r w:rsidRPr="00125827">
        <w:rPr>
          <w:rFonts w:cs="Arial"/>
        </w:rPr>
        <w:instrText xml:space="preserve"> AUTONUM  </w:instrText>
      </w:r>
      <w:r w:rsidRPr="00125827">
        <w:rPr>
          <w:rFonts w:cs="Arial"/>
        </w:rPr>
        <w:fldChar w:fldCharType="end"/>
      </w:r>
      <w:r>
        <w:rPr>
          <w:rFonts w:cs="Arial"/>
        </w:rPr>
        <w:tab/>
        <w:t>In diesem Dokument werden folgende Abkürzungen verwendet:</w:t>
      </w:r>
    </w:p>
    <w:p w14:paraId="10B962D4" w14:textId="77777777" w:rsidR="00125827" w:rsidRPr="00125827" w:rsidRDefault="00125827" w:rsidP="00125827">
      <w:pPr>
        <w:keepNext/>
        <w:ind w:left="1701" w:hanging="1134"/>
        <w:rPr>
          <w:rFonts w:cs="Arial"/>
        </w:rPr>
      </w:pPr>
    </w:p>
    <w:p w14:paraId="33112BD1" w14:textId="77777777" w:rsidR="00125827" w:rsidRPr="00125827" w:rsidRDefault="00125827" w:rsidP="00125827">
      <w:pPr>
        <w:keepNext/>
        <w:ind w:left="1701" w:hanging="1134"/>
        <w:rPr>
          <w:rFonts w:cs="Arial"/>
        </w:rPr>
      </w:pPr>
      <w:r>
        <w:rPr>
          <w:rFonts w:cs="Arial"/>
        </w:rPr>
        <w:t xml:space="preserve">BMT: </w:t>
      </w:r>
      <w:r>
        <w:rPr>
          <w:rFonts w:cs="Arial"/>
        </w:rPr>
        <w:tab/>
        <w:t>Arbeitsgruppe für biochemische und molekulare Verfahren und insbesondere für DNS-Profilierungsverfahren</w:t>
      </w:r>
    </w:p>
    <w:p w14:paraId="34CAD1BC" w14:textId="77777777" w:rsidR="00125827" w:rsidRPr="00125827" w:rsidRDefault="00125827" w:rsidP="00125827">
      <w:pPr>
        <w:keepNext/>
        <w:ind w:left="1701" w:hanging="1134"/>
        <w:rPr>
          <w:rFonts w:cs="Arial"/>
        </w:rPr>
      </w:pPr>
      <w:r>
        <w:rPr>
          <w:rFonts w:cs="Arial"/>
        </w:rPr>
        <w:t>CAJ:</w:t>
      </w:r>
      <w:r>
        <w:rPr>
          <w:rFonts w:cs="Arial"/>
        </w:rPr>
        <w:tab/>
        <w:t>Verwaltungs- und Rechtsausschuss</w:t>
      </w:r>
    </w:p>
    <w:p w14:paraId="63DCE6D9" w14:textId="77777777" w:rsidR="00125827" w:rsidRPr="00125827" w:rsidRDefault="00125827" w:rsidP="00125827">
      <w:pPr>
        <w:keepNext/>
        <w:ind w:left="1701" w:hanging="1134"/>
        <w:rPr>
          <w:rFonts w:cs="Arial"/>
        </w:rPr>
      </w:pPr>
      <w:r>
        <w:rPr>
          <w:rFonts w:cs="Arial"/>
        </w:rPr>
        <w:t xml:space="preserve">TC: </w:t>
      </w:r>
      <w:r>
        <w:rPr>
          <w:rFonts w:cs="Arial"/>
        </w:rPr>
        <w:tab/>
        <w:t>Technischer Ausschuss</w:t>
      </w:r>
    </w:p>
    <w:p w14:paraId="2C90EC99" w14:textId="77777777" w:rsidR="00125827" w:rsidRPr="00125827" w:rsidRDefault="00125827" w:rsidP="00125827">
      <w:pPr>
        <w:ind w:left="1701" w:hanging="1134"/>
        <w:rPr>
          <w:rFonts w:cs="Arial"/>
        </w:rPr>
      </w:pPr>
      <w:r>
        <w:rPr>
          <w:rFonts w:cs="Arial"/>
        </w:rPr>
        <w:t xml:space="preserve">TC-EDC: </w:t>
      </w:r>
      <w:r>
        <w:rPr>
          <w:rFonts w:cs="Arial"/>
        </w:rPr>
        <w:tab/>
        <w:t>Erweiterter Redaktionsausschuss</w:t>
      </w:r>
    </w:p>
    <w:p w14:paraId="4ED17449" w14:textId="2DC5FDBC" w:rsidR="00125827" w:rsidRPr="00125827" w:rsidRDefault="00125827" w:rsidP="00125827">
      <w:pPr>
        <w:ind w:left="1701" w:hanging="1134"/>
        <w:rPr>
          <w:rFonts w:cs="Arial"/>
        </w:rPr>
      </w:pPr>
      <w:r>
        <w:rPr>
          <w:rFonts w:cs="Arial"/>
        </w:rPr>
        <w:t xml:space="preserve">TWA: </w:t>
      </w:r>
      <w:r>
        <w:rPr>
          <w:rFonts w:cs="Arial"/>
        </w:rPr>
        <w:tab/>
        <w:t>Technische Arbeitsgruppe für landwirtschaftliche Arte</w:t>
      </w:r>
    </w:p>
    <w:p w14:paraId="5466F207" w14:textId="77777777" w:rsidR="00125827" w:rsidRPr="00125827" w:rsidRDefault="00125827" w:rsidP="00125827">
      <w:pPr>
        <w:ind w:left="1701" w:hanging="1134"/>
        <w:rPr>
          <w:rFonts w:cs="Arial"/>
        </w:rPr>
      </w:pPr>
      <w:r>
        <w:rPr>
          <w:rFonts w:cs="Arial"/>
        </w:rPr>
        <w:t xml:space="preserve">TWC: </w:t>
      </w:r>
      <w:r>
        <w:rPr>
          <w:rFonts w:cs="Arial"/>
        </w:rPr>
        <w:tab/>
        <w:t>Technische Arbeitsgruppe für Automatisierung und Computerprogramme</w:t>
      </w:r>
    </w:p>
    <w:p w14:paraId="0C5FEAC3" w14:textId="77777777" w:rsidR="00125827" w:rsidRPr="00125827" w:rsidRDefault="00125827" w:rsidP="00125827">
      <w:pPr>
        <w:ind w:left="1701" w:hanging="1134"/>
        <w:rPr>
          <w:rFonts w:cs="Arial"/>
        </w:rPr>
      </w:pPr>
      <w:r>
        <w:rPr>
          <w:rFonts w:cs="Arial"/>
        </w:rPr>
        <w:t xml:space="preserve">TWF:  </w:t>
      </w:r>
      <w:r>
        <w:rPr>
          <w:rFonts w:cs="Arial"/>
        </w:rPr>
        <w:tab/>
        <w:t xml:space="preserve">Technische Arbeitsgruppe für Obstarten </w:t>
      </w:r>
    </w:p>
    <w:p w14:paraId="56BDE3C0" w14:textId="77777777" w:rsidR="00125827" w:rsidRPr="00125827" w:rsidRDefault="00125827" w:rsidP="00125827">
      <w:pPr>
        <w:ind w:left="1701" w:hanging="1134"/>
        <w:rPr>
          <w:rFonts w:cs="Arial"/>
        </w:rPr>
      </w:pPr>
      <w:r>
        <w:rPr>
          <w:rFonts w:cs="Arial"/>
        </w:rPr>
        <w:t xml:space="preserve">TWM: </w:t>
      </w:r>
      <w:r>
        <w:rPr>
          <w:rFonts w:cs="Arial"/>
        </w:rPr>
        <w:tab/>
        <w:t>Technische Arbeitsgruppe für Prüfmethoden und -techniken</w:t>
      </w:r>
    </w:p>
    <w:p w14:paraId="4DD71D55" w14:textId="77777777" w:rsidR="00125827" w:rsidRPr="00125827" w:rsidRDefault="00125827" w:rsidP="00125827">
      <w:pPr>
        <w:ind w:left="1701" w:hanging="1134"/>
        <w:rPr>
          <w:rFonts w:cs="Arial"/>
        </w:rPr>
      </w:pPr>
      <w:r>
        <w:rPr>
          <w:rFonts w:cs="Arial"/>
        </w:rPr>
        <w:t xml:space="preserve">TWO: </w:t>
      </w:r>
      <w:r>
        <w:rPr>
          <w:rFonts w:cs="Arial"/>
        </w:rPr>
        <w:tab/>
        <w:t xml:space="preserve">Technische Arbeitsgruppe für Zierpflanzen und forstliche Baumarten </w:t>
      </w:r>
    </w:p>
    <w:p w14:paraId="508D24E3" w14:textId="77777777" w:rsidR="00125827" w:rsidRPr="00125827" w:rsidRDefault="00125827" w:rsidP="00125827">
      <w:pPr>
        <w:ind w:left="1701" w:hanging="1134"/>
        <w:rPr>
          <w:rFonts w:cs="Arial"/>
        </w:rPr>
      </w:pPr>
      <w:r>
        <w:rPr>
          <w:rFonts w:cs="Arial"/>
        </w:rPr>
        <w:t xml:space="preserve">TWV: </w:t>
      </w:r>
      <w:r>
        <w:rPr>
          <w:rFonts w:cs="Arial"/>
        </w:rPr>
        <w:tab/>
        <w:t>Technische Arbeitsgruppe für Gemüsearten</w:t>
      </w:r>
    </w:p>
    <w:p w14:paraId="51CCFE97" w14:textId="77777777" w:rsidR="00125827" w:rsidRPr="00125827" w:rsidRDefault="00125827" w:rsidP="00125827">
      <w:pPr>
        <w:ind w:left="1701" w:hanging="1134"/>
        <w:rPr>
          <w:rFonts w:cs="Arial"/>
          <w:color w:val="000000"/>
        </w:rPr>
      </w:pPr>
      <w:r>
        <w:rPr>
          <w:rFonts w:cs="Arial"/>
          <w:color w:val="000000"/>
        </w:rPr>
        <w:t>TWP:</w:t>
      </w:r>
      <w:r>
        <w:rPr>
          <w:rFonts w:cs="Arial"/>
          <w:color w:val="000000"/>
        </w:rPr>
        <w:tab/>
        <w:t xml:space="preserve">Technische Arbeitsgruppen </w:t>
      </w:r>
      <w:bookmarkStart w:id="4" w:name="_Toc352678045"/>
      <w:bookmarkStart w:id="5" w:name="_Toc353797725"/>
      <w:bookmarkStart w:id="6" w:name="_Toc386185970"/>
      <w:bookmarkStart w:id="7" w:name="_Toc419124858"/>
    </w:p>
    <w:p w14:paraId="404FD6CC" w14:textId="77777777" w:rsidR="00125827" w:rsidRDefault="00125827" w:rsidP="00125827">
      <w:pPr>
        <w:jc w:val="left"/>
        <w:rPr>
          <w:rFonts w:cs="Arial"/>
          <w:color w:val="000000"/>
        </w:rPr>
      </w:pPr>
    </w:p>
    <w:p w14:paraId="51F0382F" w14:textId="77777777" w:rsidR="00456F41" w:rsidRDefault="00456F41" w:rsidP="00125827">
      <w:pPr>
        <w:jc w:val="left"/>
        <w:rPr>
          <w:rFonts w:cs="Arial"/>
          <w:color w:val="000000"/>
        </w:rPr>
      </w:pPr>
    </w:p>
    <w:p w14:paraId="07A84862" w14:textId="6DA0C71E" w:rsidR="00456F41" w:rsidRDefault="006C381C" w:rsidP="00456F41">
      <w:pPr>
        <w:pStyle w:val="Heading1"/>
      </w:pPr>
      <w:bookmarkStart w:id="8" w:name="_Toc116648293"/>
      <w:r>
        <w:t>Hintergrund</w:t>
      </w:r>
      <w:bookmarkEnd w:id="8"/>
    </w:p>
    <w:p w14:paraId="5DED7AE4" w14:textId="77777777" w:rsidR="00456F41" w:rsidRDefault="00456F41" w:rsidP="00125827">
      <w:pPr>
        <w:jc w:val="left"/>
        <w:rPr>
          <w:rFonts w:cs="Arial"/>
          <w:color w:val="000000"/>
        </w:rPr>
      </w:pPr>
    </w:p>
    <w:p w14:paraId="7A906BDE" w14:textId="77777777" w:rsidR="00456F41" w:rsidRDefault="00456F41" w:rsidP="004402E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Der TC auf seiner siebenundfünfzigsten Tagung</w:t>
      </w:r>
      <w:r>
        <w:rPr>
          <w:rStyle w:val="FootnoteReference"/>
          <w:rFonts w:cs="Arial"/>
          <w:color w:val="000000"/>
        </w:rPr>
        <w:footnoteReference w:id="2"/>
      </w:r>
      <w:r>
        <w:rPr>
          <w:rFonts w:cs="Arial"/>
          <w:color w:val="000000"/>
        </w:rPr>
        <w:t xml:space="preserve"> und der CAJ auf seiner achtundsiebzigsten Tagung</w:t>
      </w:r>
      <w:r>
        <w:rPr>
          <w:rStyle w:val="FootnoteReference"/>
          <w:rFonts w:cs="Arial"/>
          <w:color w:val="000000"/>
        </w:rPr>
        <w:footnoteReference w:id="3"/>
      </w:r>
      <w:r>
        <w:rPr>
          <w:rFonts w:cs="Arial"/>
          <w:color w:val="000000"/>
        </w:rPr>
        <w:t xml:space="preserve"> billigten das Programm für die Ausarbeitung von TGP-Dokumenten, wie in den Anlagen der Dokumente TC/56/14 und CAJ/77/3 Rev. dargelegt, vorbehaltlich der Entschließungen auf ihren Tagungen (vergleiche Dokumente TC/57/25, „Bericht“, Absätze 46 und 47, und Dokument CAJ/78/12 „Ergebnis der Prüfung von Dokumenten auf dem Schriftweg“, Absatz 28).</w:t>
      </w:r>
    </w:p>
    <w:p w14:paraId="11872B32" w14:textId="77777777" w:rsidR="004402E9" w:rsidRDefault="004402E9" w:rsidP="004402E9">
      <w:pPr>
        <w:rPr>
          <w:rFonts w:cs="Arial"/>
          <w:color w:val="000000"/>
        </w:rPr>
      </w:pPr>
    </w:p>
    <w:p w14:paraId="0990E746" w14:textId="77777777" w:rsidR="00456F41" w:rsidRPr="00456F41" w:rsidRDefault="004402E9" w:rsidP="004402E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Das gebilligte Anleitungs- und Informationsmaterial wird auf der UPOV-Website veröffentlicht unter</w:t>
      </w:r>
    </w:p>
    <w:p w14:paraId="17050E32" w14:textId="77777777" w:rsidR="00456F41" w:rsidRDefault="00F35E8A" w:rsidP="004402E9">
      <w:pPr>
        <w:rPr>
          <w:rFonts w:cs="Arial"/>
          <w:color w:val="000000"/>
        </w:rPr>
      </w:pPr>
      <w:hyperlink r:id="rId9" w:history="1">
        <w:r w:rsidR="00142309">
          <w:rPr>
            <w:rStyle w:val="Hyperlink"/>
            <w:rFonts w:cs="Arial"/>
          </w:rPr>
          <w:t>https://www.upov.int/upov_collection/de</w:t>
        </w:r>
      </w:hyperlink>
      <w:r w:rsidR="00142309">
        <w:rPr>
          <w:rFonts w:cs="Arial"/>
          <w:color w:val="000000"/>
        </w:rPr>
        <w:t>.</w:t>
      </w:r>
    </w:p>
    <w:p w14:paraId="37FE5C9F" w14:textId="77777777" w:rsidR="004402E9" w:rsidRDefault="004402E9" w:rsidP="004402E9">
      <w:pPr>
        <w:rPr>
          <w:rFonts w:cs="Arial"/>
          <w:color w:val="000000"/>
        </w:rPr>
      </w:pPr>
    </w:p>
    <w:p w14:paraId="34340C0A" w14:textId="77777777" w:rsidR="004402E9" w:rsidRPr="00456F41" w:rsidRDefault="004402E9" w:rsidP="004402E9">
      <w:pPr>
        <w:rPr>
          <w:rFonts w:cs="Arial"/>
          <w:color w:val="000000"/>
        </w:rPr>
      </w:pPr>
    </w:p>
    <w:p w14:paraId="4BBEB206" w14:textId="77777777" w:rsidR="00456F41" w:rsidRPr="00456F41" w:rsidRDefault="00456F41" w:rsidP="00AF5458">
      <w:pPr>
        <w:pStyle w:val="Heading1"/>
      </w:pPr>
      <w:bookmarkStart w:id="9" w:name="_Toc116648294"/>
      <w:r>
        <w:t>ANGELEGENHEITEN ZUR ANNAHME DURCH DEN RAT IM JAHR 2022</w:t>
      </w:r>
      <w:bookmarkEnd w:id="9"/>
    </w:p>
    <w:p w14:paraId="6DC07A93" w14:textId="77777777" w:rsidR="004402E9" w:rsidRDefault="004402E9" w:rsidP="00AF5458">
      <w:pPr>
        <w:keepNext/>
        <w:rPr>
          <w:rFonts w:cs="Arial"/>
          <w:color w:val="000000"/>
        </w:rPr>
      </w:pPr>
    </w:p>
    <w:p w14:paraId="0C2B56E9" w14:textId="77777777" w:rsidR="00456F41" w:rsidRDefault="004402E9" w:rsidP="00AF5458">
      <w:pPr>
        <w:keepNext/>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Es wurde vereinbart, dem Rat folgende Dokumente zur Annahme auf seiner sechsundfünfzigsten ordentlichen Tagung am 28. Oktober 2022 in Genf vorzuschlagen, vorbehaltlich der Zustimmung des CAJ auf seiner neunundsiebzigsten Tagung am 26. Oktober 2022 in Genf: </w:t>
      </w:r>
      <w:r>
        <w:rPr>
          <w:rFonts w:cs="Arial"/>
          <w:color w:val="000000"/>
        </w:rPr>
        <w:cr/>
      </w:r>
    </w:p>
    <w:p w14:paraId="75B1E5B5" w14:textId="77777777" w:rsidR="00CE022F" w:rsidRDefault="00CE022F" w:rsidP="00CE022F">
      <w:pPr>
        <w:pStyle w:val="Heading2"/>
      </w:pPr>
      <w:bookmarkStart w:id="10" w:name="_Toc116648295"/>
      <w:r>
        <w:t>Informationsmaterial:</w:t>
      </w:r>
      <w:bookmarkEnd w:id="10"/>
    </w:p>
    <w:p w14:paraId="44C65261" w14:textId="77777777" w:rsidR="00CE022F" w:rsidRDefault="00CE022F" w:rsidP="004A3958"/>
    <w:p w14:paraId="0753365F" w14:textId="77777777" w:rsidR="004A3958" w:rsidRDefault="004A3958" w:rsidP="008531CA">
      <w:pPr>
        <w:pStyle w:val="ListParagraph"/>
        <w:numPr>
          <w:ilvl w:val="0"/>
          <w:numId w:val="32"/>
        </w:numPr>
        <w:ind w:left="1134" w:hanging="567"/>
      </w:pPr>
      <w:bookmarkStart w:id="11" w:name="_Toc108115262"/>
      <w:bookmarkStart w:id="12" w:name="_Toc107949612"/>
      <w:bookmarkStart w:id="13" w:name="_Toc107949442"/>
      <w:bookmarkStart w:id="14" w:name="_Toc107846183"/>
      <w:r>
        <w:t>Überarbeitung von Dokument UPOV/INF/16 „Austauschbare Software“ (Dokument UPOV/INF/16/11 Draft 1)</w:t>
      </w:r>
      <w:bookmarkEnd w:id="11"/>
      <w:bookmarkEnd w:id="12"/>
      <w:bookmarkEnd w:id="13"/>
      <w:bookmarkEnd w:id="14"/>
    </w:p>
    <w:p w14:paraId="1E5999E7" w14:textId="77777777" w:rsidR="004402E9" w:rsidRDefault="004402E9" w:rsidP="008531CA">
      <w:pPr>
        <w:ind w:left="1134" w:hanging="567"/>
      </w:pPr>
    </w:p>
    <w:p w14:paraId="6E720004" w14:textId="77777777" w:rsidR="004A3958" w:rsidRDefault="004A3958" w:rsidP="008531CA">
      <w:pPr>
        <w:pStyle w:val="ListParagraph"/>
        <w:numPr>
          <w:ilvl w:val="0"/>
          <w:numId w:val="32"/>
        </w:numPr>
        <w:ind w:left="1134" w:hanging="567"/>
      </w:pPr>
      <w:bookmarkStart w:id="15" w:name="_Toc108115263"/>
      <w:bookmarkStart w:id="16" w:name="_Toc107949613"/>
      <w:bookmarkStart w:id="17" w:name="_Toc107949443"/>
      <w:bookmarkStart w:id="18" w:name="_Toc107846184"/>
      <w:r>
        <w:t>Überarbeitung von Dokument UPOV/INF/22 „Von Verbandsmitgliedern verwendete Software und Ausrüstung“ (Dokument UPOV/INF/22/9 Draft 1)</w:t>
      </w:r>
      <w:bookmarkEnd w:id="15"/>
      <w:bookmarkEnd w:id="16"/>
      <w:bookmarkEnd w:id="17"/>
      <w:bookmarkEnd w:id="18"/>
    </w:p>
    <w:p w14:paraId="26779623" w14:textId="77777777" w:rsidR="004A3958" w:rsidRDefault="004A3958" w:rsidP="008531CA">
      <w:pPr>
        <w:ind w:left="1134" w:hanging="567"/>
      </w:pPr>
    </w:p>
    <w:p w14:paraId="54C779C8" w14:textId="77777777" w:rsidR="004A3958" w:rsidRDefault="004A3958" w:rsidP="008531CA">
      <w:pPr>
        <w:pStyle w:val="ListParagraph"/>
        <w:numPr>
          <w:ilvl w:val="0"/>
          <w:numId w:val="32"/>
        </w:numPr>
        <w:ind w:left="1134" w:hanging="567"/>
      </w:pPr>
      <w:bookmarkStart w:id="19" w:name="_Toc108115265"/>
      <w:bookmarkStart w:id="20" w:name="_Toc107949615"/>
      <w:bookmarkStart w:id="21" w:name="_Toc107949445"/>
      <w:bookmarkStart w:id="22" w:name="_Toc107846186"/>
      <w:r>
        <w:t>Erläuterungen zu Sortenbezeichnungen nach dem UPOV-Übereinkommen (Dokument UPOV/EXN/DEN)</w:t>
      </w:r>
      <w:bookmarkEnd w:id="19"/>
      <w:bookmarkEnd w:id="20"/>
      <w:bookmarkEnd w:id="21"/>
      <w:bookmarkEnd w:id="22"/>
    </w:p>
    <w:p w14:paraId="0397C8EC" w14:textId="77777777" w:rsidR="004A3958" w:rsidRDefault="004A3958" w:rsidP="008531CA">
      <w:pPr>
        <w:ind w:left="1134" w:hanging="567"/>
      </w:pPr>
    </w:p>
    <w:p w14:paraId="7103C259" w14:textId="77777777" w:rsidR="008531CA" w:rsidRDefault="00CE022F" w:rsidP="00CE022F">
      <w:pPr>
        <w:pStyle w:val="Heading2"/>
        <w:keepLines/>
      </w:pPr>
      <w:bookmarkStart w:id="23" w:name="_Toc116648296"/>
      <w:bookmarkStart w:id="24" w:name="_Toc108115266"/>
      <w:r>
        <w:t>TGP-Dokumente</w:t>
      </w:r>
      <w:bookmarkEnd w:id="23"/>
    </w:p>
    <w:bookmarkEnd w:id="24"/>
    <w:p w14:paraId="3843CE83" w14:textId="77777777" w:rsidR="004A3958" w:rsidRDefault="004A3958" w:rsidP="00CE022F">
      <w:pPr>
        <w:keepNext/>
        <w:keepLines/>
      </w:pPr>
    </w:p>
    <w:p w14:paraId="1C564CF0" w14:textId="77777777" w:rsidR="004A3958" w:rsidRDefault="004A3958" w:rsidP="00CE022F">
      <w:pPr>
        <w:pStyle w:val="ListParagraph"/>
        <w:keepNext/>
        <w:keepLines/>
        <w:numPr>
          <w:ilvl w:val="0"/>
          <w:numId w:val="32"/>
        </w:numPr>
        <w:ind w:left="1134" w:hanging="567"/>
      </w:pPr>
      <w:bookmarkStart w:id="25" w:name="_Toc108115267"/>
      <w:bookmarkStart w:id="26" w:name="_Toc107949618"/>
      <w:bookmarkStart w:id="27" w:name="_Toc107949448"/>
      <w:r>
        <w:rPr>
          <w:snapToGrid w:val="0"/>
        </w:rPr>
        <w:t>TGP/5:</w:t>
      </w:r>
      <w:r>
        <w:t>  Erfahrung</w:t>
      </w:r>
      <w:r>
        <w:rPr>
          <w:snapToGrid w:val="0"/>
        </w:rPr>
        <w:t xml:space="preserve"> und Zusammenarbeit bei der DUS-Prüfung, Abschnitt 6: UPOV-Bericht über die technische Prüfung und UPOV-Sortenbeschreibung (Überarbeitung) (Dokument TGP/5: Abschnitt 6/4 Draft 1)</w:t>
      </w:r>
      <w:bookmarkEnd w:id="25"/>
      <w:bookmarkEnd w:id="26"/>
      <w:bookmarkEnd w:id="27"/>
      <w:r>
        <w:rPr>
          <w:snapToGrid w:val="0"/>
        </w:rPr>
        <w:t xml:space="preserve"> </w:t>
      </w:r>
    </w:p>
    <w:p w14:paraId="35D24265" w14:textId="77777777" w:rsidR="004A3958" w:rsidRDefault="004A3958" w:rsidP="00CE022F">
      <w:pPr>
        <w:ind w:left="1134" w:hanging="567"/>
      </w:pPr>
    </w:p>
    <w:p w14:paraId="5E49E0CD" w14:textId="77777777" w:rsidR="004A3958" w:rsidRDefault="004A3958" w:rsidP="00CE022F">
      <w:pPr>
        <w:pStyle w:val="ListParagraph"/>
        <w:numPr>
          <w:ilvl w:val="0"/>
          <w:numId w:val="32"/>
        </w:numPr>
        <w:ind w:left="1134" w:hanging="567"/>
      </w:pPr>
      <w:bookmarkStart w:id="28" w:name="_Toc108115268"/>
      <w:bookmarkStart w:id="29" w:name="_Toc107949619"/>
      <w:bookmarkStart w:id="30" w:name="_Toc107949449"/>
      <w:r>
        <w:t>TGP/8:  Prüfungsanlage und Verfahren für die Prüfung der Unterscheidbarkeit, der Homogenität und der Beständigkeit (Überarbeitung) (Anlage II)</w:t>
      </w:r>
      <w:bookmarkEnd w:id="28"/>
      <w:bookmarkEnd w:id="29"/>
      <w:bookmarkEnd w:id="30"/>
    </w:p>
    <w:p w14:paraId="5341F695" w14:textId="77777777" w:rsidR="004A3958" w:rsidRDefault="004A3958" w:rsidP="00CE022F">
      <w:pPr>
        <w:ind w:left="1134" w:hanging="567"/>
      </w:pPr>
    </w:p>
    <w:p w14:paraId="249D915D" w14:textId="77777777" w:rsidR="004A3958" w:rsidRDefault="004A3958" w:rsidP="00CE022F">
      <w:pPr>
        <w:pStyle w:val="ListParagraph"/>
        <w:numPr>
          <w:ilvl w:val="0"/>
          <w:numId w:val="32"/>
        </w:numPr>
        <w:ind w:left="1134" w:hanging="567"/>
      </w:pPr>
      <w:bookmarkStart w:id="31" w:name="_Toc108115269"/>
      <w:bookmarkStart w:id="32" w:name="_Toc107949620"/>
      <w:bookmarkStart w:id="33" w:name="_Toc107949450"/>
      <w:r>
        <w:t>TGP/12</w:t>
      </w:r>
      <w:r>
        <w:tab/>
        <w:t>Anleitung zu bestimmten physiologischen Merkmalen (Überarbeitung) (Anlage III)</w:t>
      </w:r>
      <w:bookmarkEnd w:id="31"/>
      <w:bookmarkEnd w:id="32"/>
      <w:bookmarkEnd w:id="33"/>
    </w:p>
    <w:p w14:paraId="4BDE7174" w14:textId="77777777" w:rsidR="004A3958" w:rsidRDefault="004A3958" w:rsidP="004402E9">
      <w:pPr>
        <w:jc w:val="left"/>
        <w:rPr>
          <w:u w:val="single"/>
        </w:rPr>
      </w:pPr>
    </w:p>
    <w:p w14:paraId="2FB352B9" w14:textId="77777777" w:rsidR="00456F41" w:rsidRPr="00125827" w:rsidRDefault="00456F41" w:rsidP="00456F41">
      <w:pPr>
        <w:rPr>
          <w:spacing w:val="-2"/>
        </w:rPr>
      </w:pPr>
      <w:r>
        <w:fldChar w:fldCharType="begin"/>
      </w:r>
      <w:r>
        <w:instrText xml:space="preserve"> AUTONUM  </w:instrText>
      </w:r>
      <w:r>
        <w:fldChar w:fldCharType="end"/>
      </w:r>
      <w:r>
        <w:tab/>
        <w:t>Die Überarbeitungen der Anleitungen und Informationsmaterialien, die zur Annahme durch den Rat im Jahr 2022 vorgeschlagen werden sollen, sind in Dokument TC/58/4 „Ausarbeitung von Anleitung und Informationsmaterial – Angelegenheiten zur Annahme durch den Rat 2022“ enthalten.</w:t>
      </w:r>
    </w:p>
    <w:p w14:paraId="0D79460C" w14:textId="77777777" w:rsidR="00456F41" w:rsidRDefault="00456F41" w:rsidP="00125827">
      <w:pPr>
        <w:jc w:val="left"/>
        <w:rPr>
          <w:rFonts w:cs="Arial"/>
          <w:color w:val="000000"/>
        </w:rPr>
      </w:pPr>
    </w:p>
    <w:p w14:paraId="0080EEBD" w14:textId="77777777" w:rsidR="002A32C8" w:rsidRPr="002A32C8" w:rsidRDefault="002A32C8" w:rsidP="002A32C8">
      <w:pPr>
        <w:tabs>
          <w:tab w:val="left" w:pos="5387"/>
        </w:tabs>
        <w:ind w:left="4820"/>
        <w:rPr>
          <w:rFonts w:cs="Arial"/>
          <w:i/>
          <w:color w:val="000000"/>
        </w:rPr>
      </w:pPr>
      <w:r w:rsidRPr="002A32C8">
        <w:rPr>
          <w:rFonts w:cs="Arial"/>
          <w:i/>
          <w:color w:val="000000"/>
        </w:rPr>
        <w:fldChar w:fldCharType="begin"/>
      </w:r>
      <w:r w:rsidRPr="002A32C8">
        <w:rPr>
          <w:rFonts w:cs="Arial"/>
          <w:i/>
          <w:color w:val="000000"/>
        </w:rPr>
        <w:instrText xml:space="preserve"> AUTONUM  </w:instrText>
      </w:r>
      <w:r w:rsidRPr="002A32C8">
        <w:rPr>
          <w:rFonts w:cs="Arial"/>
          <w:i/>
          <w:color w:val="000000"/>
        </w:rPr>
        <w:fldChar w:fldCharType="end"/>
      </w:r>
      <w:r>
        <w:rPr>
          <w:rFonts w:cs="Arial"/>
          <w:i/>
          <w:color w:val="000000"/>
        </w:rPr>
        <w:tab/>
      </w:r>
      <w:r>
        <w:rPr>
          <w:i/>
        </w:rPr>
        <w:t>Der TC wird ersucht zur Kenntnis zu nehmen, dass Angelegenheiten betreffend die Dokumente UPOV/INF/16, UPOV/INF/22, UPOV/EXN/DEN, TGP/5 Abschnitt 6, TGP/8 Abschnitt 9, and TGP/12, die dem Rat auf seiner sechsundfünfzigsten ordentlichen Tagung zur Annahme unterbreitet werden sollen, in Dokument TC/58/4 „Ausarbeitung von Anleitung und Informationsmaterial – Angelegenheiten zur Annahme durch den Rat im Jahr 2022“ behandelt werden.</w:t>
      </w:r>
    </w:p>
    <w:bookmarkEnd w:id="2"/>
    <w:bookmarkEnd w:id="3"/>
    <w:bookmarkEnd w:id="4"/>
    <w:bookmarkEnd w:id="5"/>
    <w:bookmarkEnd w:id="6"/>
    <w:bookmarkEnd w:id="7"/>
    <w:p w14:paraId="6D537ADC" w14:textId="77777777" w:rsidR="00125827" w:rsidRDefault="00125827" w:rsidP="00125827">
      <w:pPr>
        <w:keepNext/>
        <w:outlineLvl w:val="0"/>
        <w:rPr>
          <w:caps/>
        </w:rPr>
      </w:pPr>
    </w:p>
    <w:p w14:paraId="369D3E96" w14:textId="77777777" w:rsidR="00804474" w:rsidRPr="00125827" w:rsidRDefault="00804474" w:rsidP="00125827">
      <w:pPr>
        <w:keepNext/>
        <w:outlineLvl w:val="0"/>
        <w:rPr>
          <w:caps/>
        </w:rPr>
      </w:pPr>
    </w:p>
    <w:p w14:paraId="4976DED4" w14:textId="77777777" w:rsidR="00125827" w:rsidRPr="00125827" w:rsidRDefault="00246F2D" w:rsidP="00125827">
      <w:pPr>
        <w:keepNext/>
        <w:outlineLvl w:val="0"/>
        <w:rPr>
          <w:caps/>
        </w:rPr>
      </w:pPr>
      <w:bookmarkStart w:id="34" w:name="_Toc116648297"/>
      <w:r>
        <w:rPr>
          <w:caps/>
        </w:rPr>
        <w:t>MÖGLICHE KÜNFTIGE ÜBERARBEITUNG VON ANLEITUNGEN UND INFORMATIONSMATERIAL</w:t>
      </w:r>
      <w:bookmarkEnd w:id="34"/>
    </w:p>
    <w:p w14:paraId="704F38CA" w14:textId="77777777" w:rsidR="00125827" w:rsidRPr="00125827" w:rsidRDefault="00125827" w:rsidP="00125827">
      <w:pPr>
        <w:keepNext/>
        <w:jc w:val="left"/>
      </w:pPr>
    </w:p>
    <w:p w14:paraId="2A428C0E" w14:textId="3E42F7CE" w:rsidR="00125827" w:rsidRPr="00125827" w:rsidRDefault="00125827" w:rsidP="00125827">
      <w:pPr>
        <w:keepNext/>
        <w:outlineLvl w:val="1"/>
        <w:rPr>
          <w:u w:val="single"/>
        </w:rPr>
      </w:pPr>
      <w:bookmarkStart w:id="35" w:name="_Toc116648298"/>
      <w:r>
        <w:rPr>
          <w:snapToGrid w:val="0"/>
          <w:u w:val="single"/>
        </w:rPr>
        <w:t>Dokument UPOV/INF/23 „</w:t>
      </w:r>
      <w:r>
        <w:rPr>
          <w:u w:val="single"/>
        </w:rPr>
        <w:t>UPOV-Code-System</w:t>
      </w:r>
      <w:r w:rsidR="001705E8">
        <w:rPr>
          <w:u w:val="single"/>
        </w:rPr>
        <w:t>“</w:t>
      </w:r>
      <w:bookmarkEnd w:id="35"/>
      <w:r>
        <w:rPr>
          <w:u w:val="single"/>
        </w:rPr>
        <w:t xml:space="preserve"> </w:t>
      </w:r>
    </w:p>
    <w:p w14:paraId="5603B380" w14:textId="77777777" w:rsidR="00125827" w:rsidRPr="00125827" w:rsidRDefault="00125827" w:rsidP="00125827">
      <w:pPr>
        <w:keepNext/>
      </w:pPr>
    </w:p>
    <w:p w14:paraId="670A1B1A" w14:textId="77777777" w:rsidR="00125827" w:rsidRPr="00125827" w:rsidRDefault="00125827" w:rsidP="00125827">
      <w:pPr>
        <w:keepNext/>
        <w:outlineLvl w:val="2"/>
        <w:rPr>
          <w:i/>
        </w:rPr>
      </w:pPr>
      <w:bookmarkStart w:id="36" w:name="_Toc116648299"/>
      <w:r>
        <w:rPr>
          <w:i/>
        </w:rPr>
        <w:t>Höchstzahl der Zeichen in dem an UPOV-Codes angehängten Element</w:t>
      </w:r>
      <w:bookmarkEnd w:id="36"/>
    </w:p>
    <w:p w14:paraId="09BE99FA" w14:textId="77777777" w:rsidR="00125827" w:rsidRPr="00125827" w:rsidRDefault="00125827" w:rsidP="00125827">
      <w:pPr>
        <w:jc w:val="left"/>
      </w:pPr>
    </w:p>
    <w:p w14:paraId="7025C404" w14:textId="77777777" w:rsidR="00125827" w:rsidRDefault="00125827" w:rsidP="00125827">
      <w:pPr>
        <w:jc w:val="left"/>
      </w:pPr>
      <w:r>
        <w:fldChar w:fldCharType="begin"/>
      </w:r>
      <w:r>
        <w:instrText xml:space="preserve"> AUTONUM  </w:instrText>
      </w:r>
      <w:r>
        <w:fldChar w:fldCharType="end"/>
      </w:r>
      <w:r>
        <w:tab/>
        <w:t>Den Hintergrund zu diesem Thema liefert die Anlage I dieses Dokuments.</w:t>
      </w:r>
    </w:p>
    <w:p w14:paraId="73DDB021" w14:textId="77777777" w:rsidR="00165FBF" w:rsidRDefault="00165FBF" w:rsidP="00125827">
      <w:pPr>
        <w:jc w:val="left"/>
      </w:pPr>
    </w:p>
    <w:p w14:paraId="1ABAEABC" w14:textId="77777777" w:rsidR="00165FBF" w:rsidRPr="00B02CEC" w:rsidRDefault="00165FBF" w:rsidP="00165FBF">
      <w:r>
        <w:fldChar w:fldCharType="begin"/>
      </w:r>
      <w:r>
        <w:instrText xml:space="preserve"> AUTONUM  </w:instrText>
      </w:r>
      <w:r>
        <w:fldChar w:fldCharType="end"/>
      </w:r>
      <w:r>
        <w:tab/>
        <w:t>Die TWV</w:t>
      </w:r>
      <w:r>
        <w:rPr>
          <w:rStyle w:val="FootnoteReference"/>
        </w:rPr>
        <w:footnoteReference w:id="4"/>
      </w:r>
      <w:r>
        <w:t>, die TWA</w:t>
      </w:r>
      <w:r>
        <w:rPr>
          <w:rStyle w:val="FootnoteReference"/>
        </w:rPr>
        <w:footnoteReference w:id="5"/>
      </w:r>
      <w:r>
        <w:t>, die TWO</w:t>
      </w:r>
      <w:r>
        <w:rPr>
          <w:rStyle w:val="FootnoteReference"/>
        </w:rPr>
        <w:footnoteReference w:id="6"/>
      </w:r>
      <w:r>
        <w:t>, die TWF</w:t>
      </w:r>
      <w:r>
        <w:rPr>
          <w:rStyle w:val="FootnoteReference"/>
        </w:rPr>
        <w:footnoteReference w:id="7"/>
      </w:r>
      <w:r>
        <w:t xml:space="preserve"> und die TWM</w:t>
      </w:r>
      <w:r>
        <w:rPr>
          <w:rStyle w:val="FootnoteReference"/>
        </w:rPr>
        <w:footnoteReference w:id="8"/>
      </w:r>
      <w:r>
        <w:t xml:space="preserve"> vereinbarten auf ihren Tagungen im Jahr 2022, das Dokument UPOV/INF/23 „Anleitung zum UPOV-Code-System“ zu überarbeiten, um die Höchstzahl der im angehängten Element der UPOV-Codes zu verwendenden Zeichen wie folgt klarzustellen (Streichungen sind durch Hervorhebung und </w:t>
      </w:r>
      <w:r>
        <w:rPr>
          <w:strike/>
          <w:highlight w:val="lightGray"/>
        </w:rPr>
        <w:t>Durchstreichen</w:t>
      </w:r>
      <w:r>
        <w:t xml:space="preserve"> gekennzeichnet und Zusätze sind durch Hervorhebung und </w:t>
      </w:r>
      <w:r>
        <w:rPr>
          <w:highlight w:val="lightGray"/>
          <w:u w:val="single"/>
        </w:rPr>
        <w:t>Unterstreichung</w:t>
      </w:r>
      <w:r>
        <w:t xml:space="preserve"> gekennzeichnet) (vergleiche Dokumente TWV/56/22 „</w:t>
      </w:r>
      <w:r>
        <w:rPr>
          <w:i/>
          <w:iCs/>
        </w:rPr>
        <w:t>Report</w:t>
      </w:r>
      <w:r>
        <w:t>“, Absatz 7; TWA/51/11 „</w:t>
      </w:r>
      <w:r>
        <w:rPr>
          <w:i/>
          <w:iCs/>
        </w:rPr>
        <w:t>Report</w:t>
      </w:r>
      <w:r>
        <w:t>“, Absatz 23; TWO/54/6 „</w:t>
      </w:r>
      <w:r>
        <w:rPr>
          <w:i/>
          <w:iCs/>
        </w:rPr>
        <w:t>Report</w:t>
      </w:r>
      <w:r>
        <w:t>“, Absatz 22; TWF/53/14 „</w:t>
      </w:r>
      <w:r>
        <w:rPr>
          <w:i/>
          <w:iCs/>
        </w:rPr>
        <w:t>Report</w:t>
      </w:r>
      <w:r>
        <w:t>“, Absätze 7 und 8; und TWM/1/26 „</w:t>
      </w:r>
      <w:r>
        <w:rPr>
          <w:i/>
          <w:iCs/>
        </w:rPr>
        <w:t>Report</w:t>
      </w:r>
      <w:r>
        <w:t>“, Absatz 7):</w:t>
      </w:r>
    </w:p>
    <w:p w14:paraId="0FCBF4CF" w14:textId="77777777" w:rsidR="00125827" w:rsidRPr="00125827" w:rsidRDefault="00125827" w:rsidP="00AF5458">
      <w:pPr>
        <w:keepNext/>
      </w:pPr>
    </w:p>
    <w:p w14:paraId="1E7B59C1" w14:textId="77777777" w:rsidR="00125827" w:rsidRPr="00125827" w:rsidRDefault="00125827" w:rsidP="00AF5458">
      <w:pPr>
        <w:keepNext/>
        <w:ind w:left="567"/>
      </w:pPr>
      <w:r>
        <w:t>„5</w:t>
      </w:r>
      <w:r>
        <w:tab/>
      </w:r>
      <w:r>
        <w:rPr>
          <w:rFonts w:eastAsiaTheme="minorEastAsia"/>
        </w:rPr>
        <w:t>UPOV-CODE: ANGEHÄNGTE INFORMATIONEN</w:t>
      </w:r>
    </w:p>
    <w:p w14:paraId="7D2F0F8F" w14:textId="77777777" w:rsidR="00125827" w:rsidRPr="00125827" w:rsidRDefault="00125827" w:rsidP="00AF5458">
      <w:pPr>
        <w:keepNext/>
        <w:ind w:left="567" w:right="283"/>
        <w:rPr>
          <w:rFonts w:cs="Arial"/>
        </w:rPr>
      </w:pPr>
    </w:p>
    <w:p w14:paraId="1174E7F9" w14:textId="77777777" w:rsidR="00125827" w:rsidRPr="00125827" w:rsidRDefault="00125827" w:rsidP="00AF5458">
      <w:pPr>
        <w:keepNext/>
        <w:ind w:left="567"/>
        <w:rPr>
          <w:u w:val="single"/>
        </w:rPr>
      </w:pPr>
      <w:r>
        <w:rPr>
          <w:u w:val="single"/>
        </w:rPr>
        <w:t>„5.1</w:t>
      </w:r>
      <w:r>
        <w:rPr>
          <w:u w:val="single"/>
        </w:rPr>
        <w:tab/>
        <w:t>Zusammensetzung des angehängten Elements</w:t>
      </w:r>
    </w:p>
    <w:p w14:paraId="4CF3FB38" w14:textId="77777777" w:rsidR="00125827" w:rsidRPr="00125827" w:rsidRDefault="00125827" w:rsidP="00AF5458">
      <w:pPr>
        <w:keepNext/>
        <w:tabs>
          <w:tab w:val="left" w:pos="0"/>
        </w:tabs>
        <w:kinsoku w:val="0"/>
        <w:overflowPunct w:val="0"/>
        <w:autoSpaceDE w:val="0"/>
        <w:autoSpaceDN w:val="0"/>
        <w:adjustRightInd w:val="0"/>
        <w:spacing w:line="237" w:lineRule="auto"/>
        <w:ind w:left="567" w:right="283"/>
        <w:rPr>
          <w:rFonts w:cs="Arial"/>
        </w:rPr>
      </w:pPr>
    </w:p>
    <w:p w14:paraId="46F98349" w14:textId="77777777" w:rsidR="00125827" w:rsidRPr="00125827" w:rsidRDefault="00125827" w:rsidP="00AF5458">
      <w:pPr>
        <w:keepNext/>
        <w:tabs>
          <w:tab w:val="left" w:pos="0"/>
        </w:tabs>
        <w:kinsoku w:val="0"/>
        <w:overflowPunct w:val="0"/>
        <w:autoSpaceDE w:val="0"/>
        <w:autoSpaceDN w:val="0"/>
        <w:adjustRightInd w:val="0"/>
        <w:spacing w:line="237" w:lineRule="auto"/>
        <w:ind w:left="567" w:right="283"/>
        <w:rPr>
          <w:rFonts w:cs="Arial"/>
        </w:rPr>
      </w:pPr>
      <w:r>
        <w:t>„</w:t>
      </w:r>
      <w:r>
        <w:rPr>
          <w:rFonts w:cs="Arial"/>
        </w:rPr>
        <w:t>5.1.1.</w:t>
      </w:r>
      <w:r>
        <w:rPr>
          <w:rFonts w:cs="Arial"/>
        </w:rPr>
        <w:tab/>
        <w:t xml:space="preserve">Dem UPOV-Code könnte gegebenenfalls ein neues Element angehängt werden, </w:t>
      </w:r>
      <w:r>
        <w:rPr>
          <w:rFonts w:eastAsiaTheme="minorEastAsia" w:cs="Arial"/>
          <w:bCs/>
        </w:rPr>
        <w:t>um maßgebliche Informationen über Sortengruppen und -typen und Sortenklassen zu liefern</w:t>
      </w:r>
      <w:r>
        <w:rPr>
          <w:rFonts w:cs="Arial"/>
        </w:rPr>
        <w:t xml:space="preserve">. </w:t>
      </w:r>
    </w:p>
    <w:p w14:paraId="6D2E6F98" w14:textId="77777777"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14:paraId="297BFF86" w14:textId="77777777" w:rsidR="00125827" w:rsidRPr="00125827" w:rsidRDefault="00125827" w:rsidP="00125827">
      <w:pPr>
        <w:ind w:left="567" w:right="283"/>
        <w:rPr>
          <w:rFonts w:cs="Arial"/>
        </w:rPr>
      </w:pPr>
      <w:r>
        <w:t>„</w:t>
      </w:r>
      <w:r>
        <w:rPr>
          <w:rFonts w:cs="Arial"/>
        </w:rPr>
        <w:t>Das neue, an UPOV-Codes angehängte Element wäre durch folgende Bezeichnungskonvention erkennbar:</w:t>
      </w:r>
    </w:p>
    <w:p w14:paraId="15068156" w14:textId="77777777" w:rsidR="00125827" w:rsidRPr="00125827" w:rsidRDefault="00125827" w:rsidP="00125827">
      <w:pPr>
        <w:ind w:left="567" w:right="283"/>
        <w:rPr>
          <w:rFonts w:eastAsiaTheme="minorEastAsia" w:cs="Arial"/>
          <w:bCs/>
        </w:rPr>
      </w:pPr>
    </w:p>
    <w:p w14:paraId="359C88EC"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t>„</w:t>
      </w:r>
      <w:r>
        <w:rPr>
          <w:rFonts w:eastAsiaTheme="minorEastAsia" w:cs="Arial"/>
        </w:rPr>
        <w:t xml:space="preserve">Ein Ziffernpräfix </w:t>
      </w:r>
      <w:r>
        <w:rPr>
          <w:rFonts w:eastAsiaTheme="minorEastAsia" w:cs="Arial"/>
          <w:highlight w:val="lightGray"/>
          <w:u w:val="single"/>
        </w:rPr>
        <w:t>(Zahl von 1 bis 9)</w:t>
      </w:r>
      <w:r>
        <w:rPr>
          <w:rFonts w:eastAsiaTheme="minorEastAsia" w:cs="Arial"/>
          <w:u w:val="single"/>
        </w:rPr>
        <w:t xml:space="preserve"> </w:t>
      </w:r>
      <w:r>
        <w:rPr>
          <w:rFonts w:eastAsiaTheme="minorEastAsia" w:cs="Arial"/>
        </w:rPr>
        <w:t xml:space="preserve">identifiziert das neue angehängte Element. </w:t>
      </w:r>
    </w:p>
    <w:p w14:paraId="513DA6EA"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t>„</w:t>
      </w:r>
      <w:r>
        <w:rPr>
          <w:rFonts w:eastAsiaTheme="minorEastAsia" w:cs="Arial"/>
        </w:rPr>
        <w:t xml:space="preserve">Unterschiedliche Ziffern </w:t>
      </w:r>
      <w:r>
        <w:rPr>
          <w:rFonts w:eastAsiaTheme="minorEastAsia" w:cs="Arial"/>
          <w:highlight w:val="lightGray"/>
          <w:u w:val="single"/>
        </w:rPr>
        <w:t>oder Buchstaben</w:t>
      </w:r>
      <w:r>
        <w:rPr>
          <w:rFonts w:eastAsiaTheme="minorEastAsia" w:cs="Arial"/>
        </w:rPr>
        <w:t xml:space="preserve"> können gegebenenfalls unterschiedliche Informationskategorien anzeigen.</w:t>
      </w:r>
      <w:r>
        <w:rPr>
          <w:rFonts w:eastAsiaTheme="minorEastAsia"/>
          <w:color w:val="000000"/>
        </w:rPr>
        <w:t xml:space="preserve"> </w:t>
      </w:r>
    </w:p>
    <w:p w14:paraId="45394F66"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Pr>
          <w:highlight w:val="lightGray"/>
          <w:u w:val="single"/>
        </w:rPr>
        <w:t>„Das angehängte Element sollte insgesamt höchstens sechs Ziffern oder Buchstaben enthalten (z. B. „</w:t>
      </w:r>
      <w:r>
        <w:rPr>
          <w:rFonts w:cs="Arial"/>
          <w:highlight w:val="lightGray"/>
          <w:u w:val="single"/>
        </w:rPr>
        <w:t>1AC2TG“)</w:t>
      </w:r>
    </w:p>
    <w:p w14:paraId="42A7E794" w14:textId="77777777" w:rsidR="00125827" w:rsidRPr="00125827" w:rsidRDefault="00125827" w:rsidP="00125827">
      <w:pPr>
        <w:kinsoku w:val="0"/>
        <w:overflowPunct w:val="0"/>
        <w:autoSpaceDE w:val="0"/>
        <w:autoSpaceDN w:val="0"/>
        <w:adjustRightInd w:val="0"/>
        <w:spacing w:before="7"/>
        <w:ind w:left="567" w:right="283"/>
        <w:rPr>
          <w:color w:val="000000"/>
        </w:rPr>
      </w:pPr>
    </w:p>
    <w:p w14:paraId="3E6BE558" w14:textId="77777777" w:rsidR="00125827" w:rsidRPr="00125827" w:rsidRDefault="00125827" w:rsidP="00125827">
      <w:pPr>
        <w:keepNext/>
        <w:tabs>
          <w:tab w:val="left" w:pos="0"/>
        </w:tabs>
        <w:kinsoku w:val="0"/>
        <w:overflowPunct w:val="0"/>
        <w:autoSpaceDE w:val="0"/>
        <w:autoSpaceDN w:val="0"/>
        <w:adjustRightInd w:val="0"/>
        <w:spacing w:line="237" w:lineRule="auto"/>
        <w:ind w:left="567" w:right="283"/>
        <w:rPr>
          <w:rFonts w:cs="Arial"/>
        </w:rPr>
      </w:pPr>
      <w:r>
        <w:t>„</w:t>
      </w:r>
      <w:r>
        <w:rPr>
          <w:rFonts w:cs="Arial"/>
        </w:rPr>
        <w:t>Das neue Element könnte jedem UPOV-Code hinzugefügt werden, unabhängig von Pflanzentaxa (Gattungen, Arten oder Ebenen von Unterarten).  Beispiele:</w:t>
      </w:r>
    </w:p>
    <w:p w14:paraId="4C4A2CDF" w14:textId="77777777" w:rsidR="00125827" w:rsidRPr="00125827" w:rsidRDefault="00125827" w:rsidP="00125827">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14:paraId="54A840ED"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Gattung </w:t>
      </w:r>
      <w:r>
        <w:rPr>
          <w:rFonts w:cs="Arial"/>
          <w:i/>
        </w:rPr>
        <w:t>Abies</w:t>
      </w:r>
      <w:r>
        <w:rPr>
          <w:rFonts w:cs="Arial"/>
        </w:rPr>
        <w:t>:</w:t>
      </w:r>
      <w:r>
        <w:rPr>
          <w:rFonts w:cs="Arial"/>
        </w:rPr>
        <w:tab/>
        <w:t xml:space="preserve">ABIES </w:t>
      </w:r>
    </w:p>
    <w:p w14:paraId="55CF9CBD"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mit angehängtem Element: </w:t>
      </w:r>
      <w:r>
        <w:rPr>
          <w:rFonts w:cs="Arial"/>
        </w:rPr>
        <w:tab/>
        <w:t>ABIES_</w:t>
      </w:r>
      <w:r>
        <w:rPr>
          <w:rFonts w:cs="Arial"/>
          <w:strike/>
          <w:highlight w:val="lightGray"/>
        </w:rPr>
        <w:t>1234</w:t>
      </w:r>
      <w:r>
        <w:rPr>
          <w:rFonts w:cs="Arial"/>
        </w:rPr>
        <w:t xml:space="preserve"> </w:t>
      </w:r>
      <w:r>
        <w:rPr>
          <w:rFonts w:cs="Arial"/>
          <w:highlight w:val="lightGray"/>
          <w:u w:val="single"/>
        </w:rPr>
        <w:t>1AC2TG</w:t>
      </w:r>
    </w:p>
    <w:p w14:paraId="18BCD3EE"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1F1B2010"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Art </w:t>
      </w:r>
      <w:r>
        <w:rPr>
          <w:rFonts w:cs="Arial"/>
          <w:i/>
        </w:rPr>
        <w:t>Abies sibirica</w:t>
      </w:r>
      <w:r>
        <w:rPr>
          <w:rFonts w:cs="Arial"/>
        </w:rPr>
        <w:t xml:space="preserve">: </w:t>
      </w:r>
      <w:r>
        <w:rPr>
          <w:rFonts w:cs="Arial"/>
        </w:rPr>
        <w:tab/>
        <w:t>ABIES_SIB</w:t>
      </w:r>
    </w:p>
    <w:p w14:paraId="6EA9CE0A"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mit angehängtem Element: </w:t>
      </w:r>
      <w:r>
        <w:rPr>
          <w:rFonts w:cs="Arial"/>
        </w:rPr>
        <w:tab/>
        <w:t>ABIES_SIB_</w:t>
      </w:r>
      <w:r>
        <w:rPr>
          <w:rFonts w:cs="Arial"/>
          <w:strike/>
          <w:highlight w:val="lightGray"/>
        </w:rPr>
        <w:t>1234</w:t>
      </w:r>
      <w:r>
        <w:rPr>
          <w:rFonts w:cs="Arial"/>
        </w:rPr>
        <w:t xml:space="preserve"> </w:t>
      </w:r>
      <w:r>
        <w:rPr>
          <w:rFonts w:cs="Arial"/>
          <w:highlight w:val="lightGray"/>
          <w:u w:val="single"/>
        </w:rPr>
        <w:t>1AC2TG</w:t>
      </w:r>
    </w:p>
    <w:p w14:paraId="035259BC"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09493DC5"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Unterart </w:t>
      </w:r>
      <w:r>
        <w:rPr>
          <w:rFonts w:cs="Arial"/>
          <w:i/>
        </w:rPr>
        <w:t>Abies sibirica</w:t>
      </w:r>
      <w:r>
        <w:rPr>
          <w:rFonts w:cs="Arial"/>
        </w:rPr>
        <w:t xml:space="preserve"> subsp. </w:t>
      </w:r>
      <w:r>
        <w:rPr>
          <w:rFonts w:cs="Arial"/>
          <w:i/>
        </w:rPr>
        <w:t>semenovii</w:t>
      </w:r>
      <w:r>
        <w:rPr>
          <w:rFonts w:cs="Arial"/>
        </w:rPr>
        <w:t>:</w:t>
      </w:r>
      <w:r>
        <w:rPr>
          <w:rFonts w:cs="Arial"/>
        </w:rPr>
        <w:tab/>
        <w:t>ABIES_SIB_SEM</w:t>
      </w:r>
    </w:p>
    <w:p w14:paraId="59D35215"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Pr>
          <w:rFonts w:cs="Arial"/>
        </w:rPr>
      </w:pPr>
      <w:r>
        <w:t>„</w:t>
      </w:r>
      <w:r>
        <w:rPr>
          <w:rFonts w:cs="Arial"/>
        </w:rPr>
        <w:t xml:space="preserve">UPOV-Code mit angehängtem Element: </w:t>
      </w:r>
      <w:r>
        <w:rPr>
          <w:rFonts w:cs="Arial"/>
        </w:rPr>
        <w:tab/>
        <w:t>ABIES_SIB_SEM_</w:t>
      </w:r>
      <w:r>
        <w:rPr>
          <w:rFonts w:cs="Arial"/>
          <w:strike/>
          <w:highlight w:val="lightGray"/>
        </w:rPr>
        <w:t>1234</w:t>
      </w:r>
      <w:r>
        <w:rPr>
          <w:rFonts w:cs="Arial"/>
        </w:rPr>
        <w:t xml:space="preserve"> </w:t>
      </w:r>
      <w:r>
        <w:rPr>
          <w:rFonts w:cs="Arial"/>
          <w:highlight w:val="lightGray"/>
          <w:u w:val="single"/>
        </w:rPr>
        <w:t>1AC2TG</w:t>
      </w:r>
      <w:r>
        <w:t>“</w:t>
      </w:r>
    </w:p>
    <w:p w14:paraId="1B00E436" w14:textId="77777777" w:rsidR="00BB061C" w:rsidRDefault="00BB061C" w:rsidP="00125827"/>
    <w:p w14:paraId="0C3FA816" w14:textId="77777777" w:rsidR="00125827" w:rsidRPr="00142309" w:rsidRDefault="00BB061C" w:rsidP="00125827">
      <w:r>
        <w:fldChar w:fldCharType="begin"/>
      </w:r>
      <w:r>
        <w:instrText xml:space="preserve"> AUTONUM  </w:instrText>
      </w:r>
      <w:r>
        <w:fldChar w:fldCharType="end"/>
      </w:r>
      <w:r>
        <w:tab/>
        <w:t xml:space="preserve">Es wird vorgeschlagen, das Dokument UPOV/INF/23 „UPOV-Code-System“ zu ändern, um die Höchstzahl der Zeichen klarzustellen, die im angehängten Element der UPOV-Codes zu verwenden sind, wie in Absatz 21 dieses Dokuments dargelegt. </w:t>
      </w:r>
    </w:p>
    <w:p w14:paraId="01201DE0" w14:textId="77777777" w:rsidR="00BB061C" w:rsidRPr="00142309" w:rsidRDefault="00BB061C" w:rsidP="00125827">
      <w:pPr>
        <w:rPr>
          <w:i/>
        </w:rPr>
      </w:pPr>
    </w:p>
    <w:p w14:paraId="4826D199" w14:textId="14167C36" w:rsidR="00125827" w:rsidRPr="00125827" w:rsidRDefault="00125827" w:rsidP="00125827">
      <w:pPr>
        <w:tabs>
          <w:tab w:val="left" w:pos="5387"/>
        </w:tabs>
        <w:ind w:left="4820"/>
        <w:rPr>
          <w:i/>
        </w:rPr>
      </w:pPr>
      <w:r w:rsidRPr="00142309">
        <w:rPr>
          <w:i/>
        </w:rPr>
        <w:fldChar w:fldCharType="begin"/>
      </w:r>
      <w:r w:rsidRPr="00142309">
        <w:rPr>
          <w:i/>
        </w:rPr>
        <w:instrText xml:space="preserve"> AUTONUM  </w:instrText>
      </w:r>
      <w:r w:rsidRPr="00142309">
        <w:rPr>
          <w:i/>
        </w:rPr>
        <w:fldChar w:fldCharType="end"/>
      </w:r>
      <w:r>
        <w:rPr>
          <w:i/>
        </w:rPr>
        <w:tab/>
        <w:t>Der TC wird ersucht, den Vorschlag zur Änderung von Dokument UPOV/INF/23 „Anleitung zum UPOV-Code-System</w:t>
      </w:r>
      <w:r w:rsidR="001705E8">
        <w:rPr>
          <w:i/>
        </w:rPr>
        <w:t>“</w:t>
      </w:r>
      <w:r>
        <w:rPr>
          <w:i/>
        </w:rPr>
        <w:t>, wie in Absatz 21 dieses Dokuments dargelegt, zu prüfen.</w:t>
      </w:r>
    </w:p>
    <w:p w14:paraId="1443AF68" w14:textId="77777777" w:rsidR="00125827" w:rsidRPr="00125827" w:rsidRDefault="00125827" w:rsidP="00125827"/>
    <w:p w14:paraId="03ACD90A" w14:textId="77777777" w:rsidR="00125827" w:rsidRPr="00125827" w:rsidRDefault="00125827" w:rsidP="00125827"/>
    <w:p w14:paraId="190F0736" w14:textId="6C693493" w:rsidR="00125827" w:rsidRPr="00125827" w:rsidRDefault="00125827" w:rsidP="00125827">
      <w:pPr>
        <w:keepNext/>
        <w:outlineLvl w:val="1"/>
        <w:rPr>
          <w:u w:val="single"/>
        </w:rPr>
      </w:pPr>
      <w:bookmarkStart w:id="37" w:name="_Toc116648300"/>
      <w:r>
        <w:rPr>
          <w:u w:val="single"/>
        </w:rPr>
        <w:t>Dokument TGP/7 „Erstellung von Prüfungsrichtlinien</w:t>
      </w:r>
      <w:r w:rsidR="001705E8">
        <w:rPr>
          <w:u w:val="single"/>
        </w:rPr>
        <w:t>“</w:t>
      </w:r>
      <w:bookmarkEnd w:id="37"/>
    </w:p>
    <w:p w14:paraId="70946D65" w14:textId="77777777" w:rsidR="00125827" w:rsidRPr="00125827" w:rsidRDefault="00125827" w:rsidP="00125827"/>
    <w:p w14:paraId="0935A02D" w14:textId="77777777" w:rsidR="00125827" w:rsidRPr="00125827" w:rsidRDefault="00125827" w:rsidP="00125827">
      <w:pPr>
        <w:keepNext/>
        <w:outlineLvl w:val="2"/>
        <w:rPr>
          <w:i/>
        </w:rPr>
      </w:pPr>
      <w:bookmarkStart w:id="38" w:name="_Toc116648301"/>
      <w:r>
        <w:rPr>
          <w:i/>
        </w:rPr>
        <w:t>Beispielssorten für quantitative Merkmale mit Sternchen, wenn Abbildungen vorgelegt werden</w:t>
      </w:r>
      <w:bookmarkEnd w:id="38"/>
    </w:p>
    <w:p w14:paraId="694E81C9" w14:textId="77777777" w:rsidR="00125827" w:rsidRPr="00125827" w:rsidRDefault="00125827" w:rsidP="00125827">
      <w:pPr>
        <w:rPr>
          <w:rFonts w:eastAsia="Calibri"/>
        </w:rPr>
      </w:pPr>
    </w:p>
    <w:p w14:paraId="03D5F901" w14:textId="77777777" w:rsidR="00125827" w:rsidRPr="00125827" w:rsidRDefault="00125827" w:rsidP="00125827">
      <w:pPr>
        <w:keepNext/>
        <w:ind w:left="567"/>
        <w:outlineLvl w:val="3"/>
        <w:rPr>
          <w:rFonts w:eastAsia="Calibri"/>
          <w:u w:val="single"/>
        </w:rPr>
      </w:pPr>
      <w:r>
        <w:rPr>
          <w:rFonts w:eastAsia="Calibri"/>
          <w:u w:val="single"/>
        </w:rPr>
        <w:t>Vorschlag zur Änderung von Dokument TGP/7 über die Erfordernis der Bereitstellung von Beispielssorten</w:t>
      </w:r>
    </w:p>
    <w:p w14:paraId="42BE4DF1" w14:textId="77777777" w:rsidR="00125827" w:rsidRPr="00125827" w:rsidRDefault="00125827" w:rsidP="00125827">
      <w:pPr>
        <w:rPr>
          <w:rFonts w:eastAsia="Calibri"/>
        </w:rPr>
      </w:pPr>
    </w:p>
    <w:p w14:paraId="19C0E155" w14:textId="77777777" w:rsidR="00125827" w:rsidRPr="00142309" w:rsidRDefault="00125827" w:rsidP="00125827">
      <w:pPr>
        <w:jc w:val="left"/>
      </w:pPr>
      <w:r>
        <w:fldChar w:fldCharType="begin"/>
      </w:r>
      <w:r>
        <w:instrText xml:space="preserve"> AUTONUM  </w:instrText>
      </w:r>
      <w:r>
        <w:fldChar w:fldCharType="end"/>
      </w:r>
      <w:r>
        <w:tab/>
        <w:t>Den Hintergrund zu diesem Thema liefert die Anlage II dieses Dokuments.</w:t>
      </w:r>
    </w:p>
    <w:p w14:paraId="179137FF" w14:textId="77777777" w:rsidR="00125827" w:rsidRPr="00142309" w:rsidRDefault="00125827" w:rsidP="00125827">
      <w:pPr>
        <w:rPr>
          <w:rFonts w:eastAsia="Calibri"/>
        </w:rPr>
      </w:pPr>
    </w:p>
    <w:p w14:paraId="391DFB5E" w14:textId="77777777" w:rsidR="00125827" w:rsidRPr="00142309" w:rsidRDefault="00125827" w:rsidP="00125827">
      <w:pPr>
        <w:rPr>
          <w:rFonts w:eastAsia="Calibri"/>
        </w:rPr>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rPr>
          <w:rFonts w:eastAsia="Calibri"/>
        </w:rPr>
        <w:tab/>
        <w:t>Die TWO vereinbarte auf ihrer dreiundfünfzigsten Tagung</w:t>
      </w:r>
      <w:r>
        <w:rPr>
          <w:rStyle w:val="FootnoteReference"/>
          <w:rFonts w:eastAsia="Calibri"/>
        </w:rPr>
        <w:footnoteReference w:id="9"/>
      </w:r>
      <w:r>
        <w:rPr>
          <w:rFonts w:eastAsia="Calibri"/>
        </w:rPr>
        <w:t xml:space="preserve">, dass die meisten quantitativen und pseudoqualitativen Merkmale in den Prüfungsrichtlinien für Zierpflanzen durch Zeichnungen oder Fotoaufnahmen veranschaulicht werden könnten und nur wenige dieser Merkmale Beispielssorten erfordern, wie Höhe, Länge, Breite und Durchmesser. </w:t>
      </w:r>
    </w:p>
    <w:p w14:paraId="4E4114CC" w14:textId="77777777" w:rsidR="00125827" w:rsidRPr="00142309" w:rsidRDefault="00125827" w:rsidP="00125827"/>
    <w:p w14:paraId="31C7B32C" w14:textId="77777777" w:rsidR="00125827" w:rsidRPr="00142309" w:rsidRDefault="00125827" w:rsidP="00125827">
      <w:pPr>
        <w:keepNext/>
        <w:keepLines/>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tab/>
      </w:r>
      <w:r>
        <w:rPr>
          <w:rFonts w:eastAsia="Calibri"/>
        </w:rPr>
        <w:t>Der TC vereinbarte auf seiner siebenundfünfzigsten Tagung, die TWP zu ersuchen, auf ihren Tagungen 2022 den Vorschlag zur Änderung von Dokument TGP/7 zu prüfen, um die Anforderung, Beispielssorten für quantitative Merkmale mit Sternchen bereitzustellen, wenn Abbildungen vorgelegt werden, abzuschaffen, und die Situationen klarzustellen, in denen Beispielssorten weiterhin erforderlich sein würden (vergleiche Dokument TC/57/25 „Bericht“, Absätze 40 und 41).</w:t>
      </w:r>
    </w:p>
    <w:p w14:paraId="55316963" w14:textId="77777777" w:rsidR="005614B5" w:rsidRPr="00142309" w:rsidRDefault="005614B5" w:rsidP="00125827">
      <w:pPr>
        <w:keepNext/>
        <w:keepLines/>
      </w:pPr>
    </w:p>
    <w:p w14:paraId="63A4E2F7" w14:textId="77777777" w:rsidR="005614B5" w:rsidRPr="00142309" w:rsidRDefault="005614B5" w:rsidP="005614B5">
      <w:pPr>
        <w:keepLines/>
      </w:pPr>
      <w:r>
        <w:fldChar w:fldCharType="begin"/>
      </w:r>
      <w:r>
        <w:instrText xml:space="preserve"> AUTONUM  </w:instrText>
      </w:r>
      <w:r>
        <w:fldChar w:fldCharType="end"/>
      </w:r>
      <w:r>
        <w:tab/>
        <w:t>Die TWO nahm auf ihrer vierundfünfzigsten Tagung</w:t>
      </w:r>
      <w:r>
        <w:rPr>
          <w:rStyle w:val="FootnoteReference"/>
        </w:rPr>
        <w:footnoteReference w:id="10"/>
      </w:r>
      <w:r>
        <w:t xml:space="preserve"> zur Kenntnis, dass Prüfungsrichtlinien für Zierpflanzen zahlreiche quantitative und pseudoqualitative Blütenmerkmale beinhalten, die nicht gemessen und nur visuell erfasst wurden (VG).  Die TWO vereinbarte, dass die Verwendung von Abbildungen geeignet wäre, um Beispielssorten für diese Merkmale zu ersetzen und die internationale Harmonisierung weiter zu erleichtern (vergleiche Dokument TWO/54/6 „</w:t>
      </w:r>
      <w:r>
        <w:rPr>
          <w:i/>
          <w:iCs/>
        </w:rPr>
        <w:t>Report</w:t>
      </w:r>
      <w:r>
        <w:t>“, Absatz 24).  Die TWO vereinbarte Merkmale, die als Beispiele für das Vorgehen zur Ersetzung von Beispielssorten verwendet werden könnten, wenn Abbildungen vorgelegt werden, wie in Anlage II dieses Dokuments dargelegt.</w:t>
      </w:r>
    </w:p>
    <w:p w14:paraId="47A3FC11" w14:textId="77777777" w:rsidR="00125827" w:rsidRPr="00142309" w:rsidRDefault="00125827" w:rsidP="00125827"/>
    <w:p w14:paraId="7909E5F3" w14:textId="77777777" w:rsidR="00125827" w:rsidRPr="00142309" w:rsidRDefault="00125827" w:rsidP="00CE3BF7">
      <w:pPr>
        <w:keepNext/>
        <w:keepLines/>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rPr>
          <w:rFonts w:eastAsia="Calibri"/>
        </w:rPr>
        <w:tab/>
        <w:t xml:space="preserve">Die TWP erzielten auf ihren Tagungen im Jahr 2022 keinen Konsens über den Vorschlag, </w:t>
      </w:r>
      <w:r>
        <w:t>die Anforderung, Beispielssorten für mit Sternchen versehene quantitative Merkmale bereitzustellen, wenn Abbildungen vorgelegt werden, abzuschaffen.  Den vollständigen Bericht über die Erörterungen liefert Annex II dieses Dokuments.</w:t>
      </w:r>
    </w:p>
    <w:p w14:paraId="0BC789F3" w14:textId="77777777" w:rsidR="006C343F" w:rsidRPr="00142309" w:rsidRDefault="006C343F" w:rsidP="00AF5458"/>
    <w:p w14:paraId="0103EDB2" w14:textId="77777777" w:rsidR="00A86BC8" w:rsidRDefault="006C343F" w:rsidP="00A86BC8">
      <w:pPr>
        <w:keepNext/>
        <w:keepLines/>
      </w:pPr>
      <w:r w:rsidRPr="00142309">
        <w:fldChar w:fldCharType="begin"/>
      </w:r>
      <w:r w:rsidRPr="00142309">
        <w:instrText xml:space="preserve"> AUTONUM  </w:instrText>
      </w:r>
      <w:r w:rsidRPr="00142309">
        <w:fldChar w:fldCharType="end"/>
      </w:r>
      <w:r>
        <w:tab/>
        <w:t>Der TC wird ersucht zu prüfen, ob die TWP ersucht werden sollen, auf ihren Tagungen im Jahr 2023 die von der TWO beschriebenen Situationen als Grundlage für die Ausarbeitung einer Anleitung zu etwaigen Ausnahmen von der Anforderung, Beispielssorten für mit Sternchen versehene quantitative Merkmale bereitzustellen, zu prüfen, wenn Abbildungen vorgelegt wurden, wie in Absatz 27 dieses Dokuments dargelegt.</w:t>
      </w:r>
    </w:p>
    <w:p w14:paraId="0EC284E8" w14:textId="77777777" w:rsidR="00125827" w:rsidRPr="00125827" w:rsidRDefault="00125827" w:rsidP="00125827"/>
    <w:p w14:paraId="57717772" w14:textId="77777777" w:rsidR="00125827" w:rsidRPr="00142309" w:rsidRDefault="00125827" w:rsidP="00A86BC8">
      <w:pPr>
        <w:keepNext/>
        <w:keepLines/>
        <w:tabs>
          <w:tab w:val="left" w:pos="5387"/>
          <w:tab w:val="left" w:pos="5954"/>
        </w:tabs>
        <w:ind w:left="4820"/>
        <w:rPr>
          <w:i/>
        </w:rPr>
      </w:pPr>
      <w:r w:rsidRPr="00125827">
        <w:rPr>
          <w:i/>
        </w:rPr>
        <w:fldChar w:fldCharType="begin"/>
      </w:r>
      <w:r w:rsidRPr="00125827">
        <w:rPr>
          <w:i/>
        </w:rPr>
        <w:instrText xml:space="preserve"> AUTONUM  </w:instrText>
      </w:r>
      <w:r w:rsidRPr="00125827">
        <w:rPr>
          <w:i/>
        </w:rPr>
        <w:fldChar w:fldCharType="end"/>
      </w:r>
      <w:r>
        <w:rPr>
          <w:i/>
        </w:rPr>
        <w:tab/>
        <w:t>Der TC wird ersucht zu prüfen, ob die TWP ersucht werden sollen, auf ihren Tagungen im Jahr 2023 die von der TWO beschriebenen Situationen als Grundlage für die Ausarbeitung einer Anleitung zu etwaigen Ausnahmen von der Anforderung, Beispielssorten für mit Sternchen versehene quantitative Merkmale bereitzustellen, zu prüfen, wenn Abbildungen vorgelegt wurden, wie in Absatz 27 dieses Dokuments dargelegt.</w:t>
      </w:r>
    </w:p>
    <w:p w14:paraId="37003A7A" w14:textId="77777777" w:rsidR="00125827" w:rsidRPr="00142309" w:rsidRDefault="00125827" w:rsidP="00125827"/>
    <w:p w14:paraId="1ED02540" w14:textId="77777777" w:rsidR="00125827" w:rsidRPr="00142309" w:rsidRDefault="00125827" w:rsidP="00125827">
      <w:pPr>
        <w:rPr>
          <w:u w:val="single"/>
        </w:rPr>
      </w:pPr>
    </w:p>
    <w:p w14:paraId="3231D44E" w14:textId="77777777" w:rsidR="00125827" w:rsidRPr="00142309" w:rsidRDefault="00125827" w:rsidP="00125827">
      <w:pPr>
        <w:keepNext/>
        <w:outlineLvl w:val="2"/>
        <w:rPr>
          <w:i/>
        </w:rPr>
      </w:pPr>
      <w:bookmarkStart w:id="39" w:name="_Toc79508488"/>
      <w:bookmarkStart w:id="40" w:name="_Toc116648302"/>
      <w:r>
        <w:rPr>
          <w:i/>
          <w:snapToGrid w:val="0"/>
        </w:rPr>
        <w:t>Angabe von Gruppierungsmerkmalen in UPOV-Prüfungsrichtlinien (Merkmalstabelle und TQ 5)</w:t>
      </w:r>
      <w:bookmarkEnd w:id="39"/>
      <w:bookmarkEnd w:id="40"/>
    </w:p>
    <w:p w14:paraId="3CAA75D3" w14:textId="77777777" w:rsidR="00125827" w:rsidRPr="00142309" w:rsidRDefault="00125827" w:rsidP="00125827">
      <w:pPr>
        <w:rPr>
          <w:snapToGrid w:val="0"/>
        </w:rPr>
      </w:pPr>
    </w:p>
    <w:p w14:paraId="7276F00C" w14:textId="77777777" w:rsidR="00125827" w:rsidRPr="00142309" w:rsidRDefault="00125827" w:rsidP="00125827">
      <w:pPr>
        <w:jc w:val="left"/>
      </w:pPr>
      <w:r>
        <w:fldChar w:fldCharType="begin"/>
      </w:r>
      <w:r>
        <w:instrText xml:space="preserve"> AUTONUM  </w:instrText>
      </w:r>
      <w:r>
        <w:fldChar w:fldCharType="end"/>
      </w:r>
      <w:r>
        <w:tab/>
        <w:t>Den Hintergrund zu diesem Thema liefert die Anlage III dieses Dokuments.</w:t>
      </w:r>
    </w:p>
    <w:p w14:paraId="57E3F8BD" w14:textId="77777777" w:rsidR="00D0501C" w:rsidRPr="00142309" w:rsidRDefault="00D0501C" w:rsidP="00125827">
      <w:pPr>
        <w:jc w:val="left"/>
      </w:pPr>
    </w:p>
    <w:p w14:paraId="5FCA5894" w14:textId="77777777" w:rsidR="00D0501C" w:rsidRPr="00142309" w:rsidRDefault="00D0501C" w:rsidP="00D0501C">
      <w:r>
        <w:fldChar w:fldCharType="begin"/>
      </w:r>
      <w:r>
        <w:instrText xml:space="preserve"> AUTONUM  </w:instrText>
      </w:r>
      <w:r>
        <w:fldChar w:fldCharType="end"/>
      </w:r>
      <w:r>
        <w:tab/>
        <w:t>Der TC prüfte auf seiner siebenundfünfzigsten Tagung den Vorschlag der TWV, die Angabe von Gruppierungsmerkmalen in die Merkmalstabelle und den Technischen Fragebogen der UPOV-Prüfungsrichtlinien aufzunehmen (vergleiche Dokument TC/57/25 „Bericht“, Absätze 38 und 39).</w:t>
      </w:r>
    </w:p>
    <w:p w14:paraId="70B51183" w14:textId="77777777" w:rsidR="00D0501C" w:rsidRPr="00142309" w:rsidRDefault="00D0501C" w:rsidP="00D0501C"/>
    <w:p w14:paraId="6D6DB012" w14:textId="77777777" w:rsidR="00D0501C" w:rsidRPr="00142309" w:rsidRDefault="00D0501C" w:rsidP="00D0501C">
      <w:pPr>
        <w:rPr>
          <w:snapToGrid w:val="0"/>
        </w:rPr>
      </w:pPr>
      <w:r>
        <w:fldChar w:fldCharType="begin"/>
      </w:r>
      <w:r>
        <w:instrText xml:space="preserve"> AUTONUM  </w:instrText>
      </w:r>
      <w:r>
        <w:fldChar w:fldCharType="end"/>
      </w:r>
      <w:r>
        <w:tab/>
        <w:t xml:space="preserve">Der TC vereinbarte, </w:t>
      </w:r>
      <w:r>
        <w:rPr>
          <w:snapToGrid w:val="0"/>
        </w:rPr>
        <w:t>das Verbandsbüro um die Ausarbeitung eines Vorschlags zu ersuchen, der vorsieht, Merkmale in der Merkmalstabelle</w:t>
      </w:r>
      <w:r>
        <w:t xml:space="preserve"> und im Technischen Fragebogen</w:t>
      </w:r>
      <w:r>
        <w:rPr>
          <w:snapToGrid w:val="0"/>
        </w:rPr>
        <w:t xml:space="preserve"> anzugeben, wenn sie als Gruppierungsmerkmale verwendet werden</w:t>
      </w:r>
      <w:r>
        <w:t>, und der den TWP und dem TC bei deren Tagungen im Jahr 2022 vorgelegt werden soll.</w:t>
      </w:r>
      <w:r>
        <w:rPr>
          <w:snapToGrid w:val="0"/>
        </w:rPr>
        <w:t xml:space="preserve">  Der Vorschlag sollte die Schaffung einer solchen Funktionalität in der webbasierten Mustervorlage für Prüfungsrichtlinien und die erforderliche Überarbeitung von Dokument TGP/7 „Erstellung von Prüfungsrichtlinien“ berücksichtigen.</w:t>
      </w:r>
    </w:p>
    <w:p w14:paraId="24088885" w14:textId="77777777" w:rsidR="00D0501C" w:rsidRPr="00142309" w:rsidRDefault="00D0501C" w:rsidP="00125827">
      <w:pPr>
        <w:jc w:val="left"/>
      </w:pPr>
    </w:p>
    <w:p w14:paraId="766A1208" w14:textId="77777777" w:rsidR="00125827" w:rsidRPr="00125827" w:rsidRDefault="00125827" w:rsidP="00125827">
      <w:pPr>
        <w:rPr>
          <w:snapToGrid w:val="0"/>
        </w:rPr>
      </w:pPr>
      <w:r w:rsidRPr="00142309">
        <w:rPr>
          <w:snapToGrid w:val="0"/>
        </w:rPr>
        <w:fldChar w:fldCharType="begin"/>
      </w:r>
      <w:r w:rsidRPr="00142309">
        <w:rPr>
          <w:snapToGrid w:val="0"/>
        </w:rPr>
        <w:instrText xml:space="preserve"> AUTONUM  </w:instrText>
      </w:r>
      <w:r w:rsidRPr="00142309">
        <w:rPr>
          <w:snapToGrid w:val="0"/>
        </w:rPr>
        <w:fldChar w:fldCharType="end"/>
      </w:r>
      <w:r>
        <w:rPr>
          <w:snapToGrid w:val="0"/>
        </w:rPr>
        <w:tab/>
        <w:t xml:space="preserve">Auf ihren Tagungen 2022 wurde den TWP der Vorschlag unterbreitet, einen Hinweis auf Merkmale in der </w:t>
      </w:r>
      <w:r>
        <w:t xml:space="preserve">Merkmalstabelle und dem Technischen Fragebogen </w:t>
      </w:r>
      <w:r>
        <w:rPr>
          <w:snapToGrid w:val="0"/>
        </w:rPr>
        <w:t>anzugeben, wenn diese als Gruppierungsmerkmale verwendet wurden, wie in Anlage III dieses Dokuments dargelegt.</w:t>
      </w:r>
    </w:p>
    <w:p w14:paraId="5E42B431" w14:textId="77777777" w:rsidR="00125827" w:rsidRDefault="00125827" w:rsidP="00125827"/>
    <w:p w14:paraId="40079C3C" w14:textId="77777777" w:rsidR="00A02F56" w:rsidRDefault="00B175EF" w:rsidP="00A02F56">
      <w:r>
        <w:fldChar w:fldCharType="begin"/>
      </w:r>
      <w:r>
        <w:instrText xml:space="preserve"> AUTONUM  </w:instrText>
      </w:r>
      <w:r>
        <w:fldChar w:fldCharType="end"/>
      </w:r>
      <w:r>
        <w:tab/>
        <w:t xml:space="preserve">Die TWV stimmte dem Vorschlag zu, während die TWA und die TWO übereinstimmten, </w:t>
      </w:r>
      <w:r>
        <w:rPr>
          <w:snapToGrid w:val="0"/>
        </w:rPr>
        <w:t xml:space="preserve">dass eine Überarbeitung von Dokument TGP/7 nicht angebracht wäre, da Angaben zu Gruppierungsmerkmalen im Technischen Fragebogen nicht relevant seien und es nicht notwendig wäre, Informationen aus Abschnitt 5 in der </w:t>
      </w:r>
      <w:r>
        <w:rPr>
          <w:snapToGrid w:val="0"/>
          <w:color w:val="000000"/>
        </w:rPr>
        <w:t>Merkmalstabelle</w:t>
      </w:r>
      <w:r>
        <w:rPr>
          <w:snapToGrid w:val="0"/>
        </w:rPr>
        <w:t xml:space="preserve"> zu wiederholen.  Die TWF</w:t>
      </w:r>
      <w:r>
        <w:t xml:space="preserve"> nahm zur Kenntnis, dass es unterschiedliche Ansichten zu dem Vorschlag gebe und dass zum jetzigen Zeitpunkt keine Schlussfolgerung möglich sei.</w:t>
      </w:r>
    </w:p>
    <w:p w14:paraId="7F017ADE" w14:textId="77777777" w:rsidR="00A02F56" w:rsidRDefault="00A02F56" w:rsidP="00A02F56"/>
    <w:p w14:paraId="76D38504" w14:textId="77777777" w:rsidR="00B175EF" w:rsidRPr="00125827" w:rsidRDefault="00A02F56" w:rsidP="00125827">
      <w:r>
        <w:rPr>
          <w:snapToGrid w:val="0"/>
        </w:rPr>
        <w:fldChar w:fldCharType="begin"/>
      </w:r>
      <w:r>
        <w:rPr>
          <w:snapToGrid w:val="0"/>
        </w:rPr>
        <w:instrText xml:space="preserve"> AUTONUM  </w:instrText>
      </w:r>
      <w:r>
        <w:rPr>
          <w:snapToGrid w:val="0"/>
        </w:rPr>
        <w:fldChar w:fldCharType="end"/>
      </w:r>
      <w:r>
        <w:rPr>
          <w:snapToGrid w:val="0"/>
        </w:rPr>
        <w:tab/>
        <w:t>Der TC wird ersucht zu prüfen, ob die Erörterungen über den Vorschlag fortgesetzt werden sollen.</w:t>
      </w:r>
      <w:r>
        <w:t xml:space="preserve"> </w:t>
      </w:r>
    </w:p>
    <w:p w14:paraId="2BA2D9B9" w14:textId="77777777" w:rsidR="00125827" w:rsidRPr="00125827" w:rsidRDefault="00125827" w:rsidP="00125827">
      <w:pPr>
        <w:tabs>
          <w:tab w:val="left" w:pos="5387"/>
        </w:tabs>
        <w:ind w:left="4820"/>
        <w:rPr>
          <w:i/>
        </w:rPr>
      </w:pPr>
    </w:p>
    <w:p w14:paraId="21875E02" w14:textId="4007E981" w:rsidR="00125827" w:rsidRPr="00125827" w:rsidRDefault="00125827" w:rsidP="00125827">
      <w:pPr>
        <w:keepNext/>
        <w:keepLines/>
        <w:tabs>
          <w:tab w:val="left" w:pos="5387"/>
          <w:tab w:val="left" w:pos="5954"/>
        </w:tabs>
        <w:ind w:left="4820"/>
        <w:rPr>
          <w:i/>
          <w:snapToGrid w:val="0"/>
        </w:rPr>
      </w:pPr>
      <w:r w:rsidRPr="00125827">
        <w:rPr>
          <w:i/>
          <w:snapToGrid w:val="0"/>
        </w:rPr>
        <w:fldChar w:fldCharType="begin"/>
      </w:r>
      <w:r w:rsidRPr="00125827">
        <w:rPr>
          <w:i/>
          <w:snapToGrid w:val="0"/>
        </w:rPr>
        <w:instrText xml:space="preserve"> AUTONUM  </w:instrText>
      </w:r>
      <w:r w:rsidRPr="00125827">
        <w:rPr>
          <w:i/>
          <w:snapToGrid w:val="0"/>
        </w:rPr>
        <w:fldChar w:fldCharType="end"/>
      </w:r>
      <w:r>
        <w:rPr>
          <w:i/>
          <w:snapToGrid w:val="0"/>
        </w:rPr>
        <w:tab/>
        <w:t>Der TC wird ersucht zu prüfen, ob die Erörterungen zu dem Vorschlag zur Überarbeitung von Dokument TGP/7 „Erstellung von Prüfungsrichtlinien</w:t>
      </w:r>
      <w:r w:rsidR="001705E8">
        <w:rPr>
          <w:i/>
          <w:snapToGrid w:val="0"/>
        </w:rPr>
        <w:t>“</w:t>
      </w:r>
      <w:r>
        <w:rPr>
          <w:i/>
          <w:snapToGrid w:val="0"/>
        </w:rPr>
        <w:t xml:space="preserve"> fortgesetzt werden sollen, um die Merkmale in der Merkmalstabelle und im Technischen Fragebogen anzugeben, wenn sie als Gruppierungsmerkmale verwendet werden.</w:t>
      </w:r>
    </w:p>
    <w:p w14:paraId="612E375C" w14:textId="77777777" w:rsidR="00125827" w:rsidRPr="00125827" w:rsidRDefault="00125827" w:rsidP="00125827">
      <w:pPr>
        <w:rPr>
          <w:i/>
        </w:rPr>
      </w:pPr>
    </w:p>
    <w:p w14:paraId="450EACF2" w14:textId="77777777" w:rsidR="00125827" w:rsidRPr="00125827" w:rsidRDefault="00125827" w:rsidP="00125827">
      <w:pPr>
        <w:rPr>
          <w:i/>
        </w:rPr>
      </w:pPr>
    </w:p>
    <w:p w14:paraId="5F0DA8AA" w14:textId="77777777" w:rsidR="00125827" w:rsidRPr="00125827" w:rsidRDefault="00125827" w:rsidP="00125827">
      <w:pPr>
        <w:keepNext/>
        <w:outlineLvl w:val="2"/>
        <w:rPr>
          <w:i/>
        </w:rPr>
      </w:pPr>
      <w:bookmarkStart w:id="41" w:name="_Toc116648303"/>
      <w:r>
        <w:rPr>
          <w:i/>
        </w:rPr>
        <w:t>Umwandlung von Standardwortlaut für alle Prüfungsrichtlinien in einen optionalen Wortlaut</w:t>
      </w:r>
      <w:bookmarkEnd w:id="41"/>
      <w:r>
        <w:t xml:space="preserve"> </w:t>
      </w:r>
    </w:p>
    <w:p w14:paraId="2A0C590D" w14:textId="77777777" w:rsidR="00125827" w:rsidRPr="00125827" w:rsidRDefault="00125827" w:rsidP="00125827"/>
    <w:p w14:paraId="36C112A7" w14:textId="77777777" w:rsidR="00125827" w:rsidRPr="00125827" w:rsidRDefault="00125827" w:rsidP="00125827">
      <w:pPr>
        <w:jc w:val="left"/>
      </w:pPr>
      <w:r>
        <w:fldChar w:fldCharType="begin"/>
      </w:r>
      <w:r>
        <w:instrText xml:space="preserve"> AUTONUM  </w:instrText>
      </w:r>
      <w:r>
        <w:fldChar w:fldCharType="end"/>
      </w:r>
      <w:r>
        <w:tab/>
        <w:t>Den Hintergrund zu diesem Thema liefert die Anlage IX dieses Dokuments.</w:t>
      </w:r>
    </w:p>
    <w:p w14:paraId="27F55CB9" w14:textId="77777777" w:rsidR="00125827" w:rsidRPr="00125827" w:rsidRDefault="00125827" w:rsidP="00125827"/>
    <w:p w14:paraId="0AF2E6B3" w14:textId="77777777" w:rsidR="00125827" w:rsidRPr="00125827" w:rsidRDefault="00125827" w:rsidP="00125827">
      <w:pPr>
        <w:keepNext/>
      </w:pPr>
      <w:r>
        <w:fldChar w:fldCharType="begin"/>
      </w:r>
      <w:r>
        <w:instrText xml:space="preserve"> AUTONUM  </w:instrText>
      </w:r>
      <w:r>
        <w:fldChar w:fldCharType="end"/>
      </w:r>
      <w:r>
        <w:tab/>
        <w:t>Der TC vereinbarte auf seiner siebenundfünfzigsten Tagung, die TWP zu ersuchen, auf ihren Tagungen 2022 den Vorschlag zur Umwandlung des folgenden Standardwortlauts in der Mustervorlage für Prüfungsrichtlinien, Absatz 4.2.2, in einen zusätzlichen Standardwortlaut (optional) zu prüfen (vergleiche Dokument TC/57/25 „Bericht“, Absätze 42 und 43):</w:t>
      </w:r>
    </w:p>
    <w:p w14:paraId="23890B10" w14:textId="77777777" w:rsidR="00125827" w:rsidRPr="00125827" w:rsidRDefault="00125827" w:rsidP="00125827"/>
    <w:p w14:paraId="5B7A3AD4" w14:textId="303819F4" w:rsidR="00125827" w:rsidRPr="00125827" w:rsidRDefault="00125827" w:rsidP="00125827">
      <w:pPr>
        <w:keepLines/>
        <w:ind w:left="567" w:right="567"/>
        <w:rPr>
          <w:sz w:val="18"/>
        </w:rPr>
      </w:pPr>
      <w:r>
        <w:rPr>
          <w:sz w:val="18"/>
        </w:rPr>
        <w:t>„4.2.2</w:t>
      </w:r>
      <w:r>
        <w:rPr>
          <w:sz w:val="18"/>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w:t>
      </w:r>
      <w:r w:rsidR="001705E8">
        <w:rPr>
          <w:sz w:val="18"/>
        </w:rPr>
        <w:t>“</w:t>
      </w:r>
      <w:r>
        <w:rPr>
          <w:sz w:val="18"/>
        </w:rPr>
        <w:t>, befolgt werden.“</w:t>
      </w:r>
    </w:p>
    <w:p w14:paraId="7B2FC4EF" w14:textId="77777777" w:rsidR="005D6FDE" w:rsidRPr="00B02CEC" w:rsidRDefault="005D6FDE" w:rsidP="005D6FDE"/>
    <w:p w14:paraId="72A2F091" w14:textId="77777777" w:rsidR="005D6FDE" w:rsidRDefault="005D6FDE" w:rsidP="00CE3879">
      <w:r>
        <w:fldChar w:fldCharType="begin"/>
      </w:r>
      <w:r>
        <w:instrText xml:space="preserve"> AUTONUM  </w:instrText>
      </w:r>
      <w:r>
        <w:fldChar w:fldCharType="end"/>
      </w:r>
      <w:r>
        <w:tab/>
        <w:t>Die TWP vereinbarten auf ihren Tagungen 2022 die Umwandlung des Standardwortlauts in dem Kapitel „Homogenität“ der Prüfungsrichtlinien in einen zusätzlichen Standardwortlaut, wie in Dokument TWP/6/1, Absätze 21 und 22 dargelegt (vergleiche Dokumente TWV/56/22 „</w:t>
      </w:r>
      <w:r>
        <w:rPr>
          <w:i/>
          <w:iCs/>
        </w:rPr>
        <w:t>Report</w:t>
      </w:r>
      <w:r>
        <w:t>“, Absatz 11; TWA/51/11 „</w:t>
      </w:r>
      <w:r>
        <w:rPr>
          <w:i/>
          <w:iCs/>
        </w:rPr>
        <w:t>Report</w:t>
      </w:r>
      <w:r>
        <w:t>“, Absatz 29; TWO/54/6 „</w:t>
      </w:r>
      <w:r>
        <w:rPr>
          <w:i/>
          <w:iCs/>
        </w:rPr>
        <w:t>Report</w:t>
      </w:r>
      <w:r>
        <w:t>“, Absatz 28; TWF/53/14 „</w:t>
      </w:r>
      <w:r>
        <w:rPr>
          <w:i/>
          <w:iCs/>
        </w:rPr>
        <w:t>Report</w:t>
      </w:r>
      <w:r>
        <w:t>“, Absatz 13).</w:t>
      </w:r>
    </w:p>
    <w:p w14:paraId="6FF3F2AB" w14:textId="77777777" w:rsidR="005D6FDE" w:rsidRPr="00125827" w:rsidRDefault="005D6FDE" w:rsidP="005D6FDE"/>
    <w:p w14:paraId="7CB17E08" w14:textId="77777777" w:rsidR="005D6FDE" w:rsidRPr="00125827" w:rsidRDefault="005D6FDE" w:rsidP="00125827"/>
    <w:p w14:paraId="403CF91C" w14:textId="3CABE1BF" w:rsidR="00125827" w:rsidRPr="00142309" w:rsidRDefault="00125827" w:rsidP="00125827">
      <w:pPr>
        <w:keepLines/>
        <w:tabs>
          <w:tab w:val="left" w:pos="5387"/>
          <w:tab w:val="left" w:pos="5954"/>
        </w:tabs>
        <w:ind w:left="4820"/>
        <w:rPr>
          <w:i/>
        </w:rPr>
      </w:pPr>
      <w:r w:rsidRPr="00125827">
        <w:rPr>
          <w:i/>
        </w:rPr>
        <w:fldChar w:fldCharType="begin"/>
      </w:r>
      <w:r w:rsidRPr="00125827">
        <w:rPr>
          <w:i/>
        </w:rPr>
        <w:instrText xml:space="preserve"> AUTONUM  </w:instrText>
      </w:r>
      <w:r w:rsidRPr="00125827">
        <w:rPr>
          <w:i/>
        </w:rPr>
        <w:fldChar w:fldCharType="end"/>
      </w:r>
      <w:r>
        <w:rPr>
          <w:i/>
        </w:rPr>
        <w:tab/>
        <w:t>Der TC wird ersucht, die Änderung von Dokument TGP/7 „Erstellung von Prüfungsrichtlinien</w:t>
      </w:r>
      <w:r w:rsidR="001705E8">
        <w:rPr>
          <w:i/>
        </w:rPr>
        <w:t>“</w:t>
      </w:r>
      <w:r>
        <w:rPr>
          <w:i/>
        </w:rPr>
        <w:t xml:space="preserve"> zu prüfen, um den Standardwortlaut in der Mustervorlage für Prüfungsrichtlinien, Absatz 4.2.2, in einen zusätzlichen Standardwortlaut (optional) umzuwandeln, wie in Absatz 39 dieses Dokuments dargelegt.</w:t>
      </w:r>
    </w:p>
    <w:p w14:paraId="7E2D78EA" w14:textId="77777777" w:rsidR="00125827" w:rsidRPr="00142309" w:rsidRDefault="00125827" w:rsidP="00125827"/>
    <w:p w14:paraId="3184AFBB" w14:textId="77777777" w:rsidR="0059566E" w:rsidRPr="00142309" w:rsidRDefault="0059566E" w:rsidP="0059566E">
      <w:pPr>
        <w:tabs>
          <w:tab w:val="left" w:pos="5387"/>
          <w:tab w:val="left" w:pos="5954"/>
        </w:tabs>
        <w:ind w:left="4820"/>
        <w:rPr>
          <w:i/>
          <w:sz w:val="18"/>
        </w:rPr>
      </w:pPr>
    </w:p>
    <w:p w14:paraId="4A566330" w14:textId="77777777" w:rsidR="0059566E" w:rsidRPr="00142309" w:rsidRDefault="0059566E" w:rsidP="00AE5D94">
      <w:pPr>
        <w:pStyle w:val="Heading3"/>
      </w:pPr>
      <w:bookmarkStart w:id="42" w:name="_Toc116648304"/>
      <w:r>
        <w:t>Krankheitsresistenzmerkmale: Hinzufügung von Ausprägungsstufen und Platzierung von Krankheitsresistenzmerkmalen ohne Sternchen in Abschnitt 5 des Technischen Fragebogens</w:t>
      </w:r>
      <w:bookmarkEnd w:id="42"/>
    </w:p>
    <w:p w14:paraId="6F280280" w14:textId="77777777" w:rsidR="00B56C6D" w:rsidRPr="00142309" w:rsidRDefault="00B56C6D" w:rsidP="00AE5D94">
      <w:pPr>
        <w:keepNext/>
      </w:pPr>
    </w:p>
    <w:p w14:paraId="6CF4CF13" w14:textId="431F3311" w:rsidR="00B56C6D" w:rsidRPr="00142309" w:rsidRDefault="00B56C6D" w:rsidP="00AE5D94">
      <w:pPr>
        <w:keepNext/>
        <w:keepLines/>
      </w:pPr>
      <w:r>
        <w:fldChar w:fldCharType="begin"/>
      </w:r>
      <w:r>
        <w:instrText xml:space="preserve"> AUTONUM  </w:instrText>
      </w:r>
      <w:r>
        <w:fldChar w:fldCharType="end"/>
      </w:r>
      <w:r>
        <w:tab/>
        <w:t>Der TC prüfte auf seiner siebenundfünfzigsten Tagung den Vorschlag, das Dokument TGP/7, GN 13 „Merkmale mit besonderen Funktionen“ zu überarbeiten, um klarzustellen, dass Krankheitsresistenzmerkmale in Abschnitt 5 der Technischen Fragebögen (TQ) mit dem Zusatz einer Ausprägungsstufe „nicht geprüft</w:t>
      </w:r>
      <w:r w:rsidR="001705E8">
        <w:t>“</w:t>
      </w:r>
      <w:r>
        <w:t xml:space="preserve"> dargestellt werden sollten, wenn ein Merkmal nicht mit einem Sternchen in der Merkmalstabelle angegeben wurde (vergleiche Dokument TC/57/25 „Bericht</w:t>
      </w:r>
      <w:r w:rsidR="001705E8">
        <w:t>“</w:t>
      </w:r>
      <w:r>
        <w:t>, Absätze 36 und 37).</w:t>
      </w:r>
    </w:p>
    <w:p w14:paraId="06B8FF5F" w14:textId="77777777" w:rsidR="00B56C6D" w:rsidRPr="00142309" w:rsidRDefault="00B56C6D" w:rsidP="00B56C6D">
      <w:pPr>
        <w:jc w:val="left"/>
      </w:pPr>
    </w:p>
    <w:p w14:paraId="02298F8B" w14:textId="77777777" w:rsidR="00B56C6D" w:rsidRPr="00142309" w:rsidRDefault="00B56C6D" w:rsidP="00B56C6D">
      <w:pPr>
        <w:rPr>
          <w:snapToGrid w:val="0"/>
        </w:rPr>
      </w:pPr>
      <w:r>
        <w:fldChar w:fldCharType="begin"/>
      </w:r>
      <w:r>
        <w:instrText xml:space="preserve"> AUTONUM  </w:instrText>
      </w:r>
      <w:r>
        <w:fldChar w:fldCharType="end"/>
      </w:r>
      <w:r>
        <w:tab/>
        <w:t>Der TC nahm auf seiner siebenundfünfzigsten Tagung zur Kenntnis, dass in den TWP laufende Erörterungen über die Beziehung zwischen Sternchen in den Prüfungsrichtlinien und Merkmalen des Technischen Fragebogens stattfänden.  Der TC vereinbarte, die Aufnahme von nicht mit Sternchen versehenen Krankheitsresistenzmerkmalen in den Technischen Fragebogen bis zu seiner achtundfünfzigsten Tagung zu verschieben und sie dann zusammen mit etwaigen Vorschlägen der TWP über die Beziehung zwischen Sternchen in den Prüfungsrichtlinien und den Merkmalen des Technischen Fragebogens zu prüfen.</w:t>
      </w:r>
    </w:p>
    <w:p w14:paraId="0F748B89" w14:textId="77777777" w:rsidR="00B56C6D" w:rsidRPr="00142309" w:rsidRDefault="00B56C6D" w:rsidP="00B56C6D"/>
    <w:p w14:paraId="0519B78E" w14:textId="77777777" w:rsidR="00AE5D94" w:rsidRDefault="00AE5D94" w:rsidP="00AE5D94">
      <w:pPr>
        <w:keepNext/>
        <w:keepLines/>
        <w:tabs>
          <w:tab w:val="left" w:pos="567"/>
          <w:tab w:val="left" w:pos="1134"/>
          <w:tab w:val="left" w:pos="5387"/>
          <w:tab w:val="left" w:pos="5954"/>
        </w:tabs>
      </w:pPr>
      <w:r>
        <w:fldChar w:fldCharType="begin"/>
      </w:r>
      <w:r>
        <w:instrText xml:space="preserve"> AUTONUM  </w:instrText>
      </w:r>
      <w:r>
        <w:fldChar w:fldCharType="end"/>
      </w:r>
      <w:r>
        <w:tab/>
        <w:t>Weitere Informationen zum Hintergrund zu diesem Thema liefert die Anlage V dieses Dokuments.</w:t>
      </w:r>
    </w:p>
    <w:p w14:paraId="46A37038" w14:textId="77777777" w:rsidR="00AE5D94" w:rsidRDefault="00AE5D94" w:rsidP="00AE5D94">
      <w:pPr>
        <w:rPr>
          <w:snapToGrid w:val="0"/>
        </w:rPr>
      </w:pPr>
    </w:p>
    <w:p w14:paraId="0714DF93" w14:textId="77777777" w:rsidR="00AE5D94" w:rsidRPr="005A377C" w:rsidRDefault="00AE5D94" w:rsidP="00AE5D94">
      <w:pPr>
        <w:pStyle w:val="Heading4"/>
        <w:rPr>
          <w:snapToGrid w:val="0"/>
        </w:rPr>
      </w:pPr>
      <w:r>
        <w:rPr>
          <w:snapToGrid w:val="0"/>
        </w:rPr>
        <w:t>Prüfung durch die Technischen Arbeitsgruppen auf ihren Tagungen 2022</w:t>
      </w:r>
    </w:p>
    <w:p w14:paraId="46D1CBF7" w14:textId="77777777" w:rsidR="00D03A5D" w:rsidRDefault="00D03A5D" w:rsidP="00125827"/>
    <w:p w14:paraId="798A9A18" w14:textId="77777777" w:rsidR="006C687B" w:rsidRDefault="006C687B" w:rsidP="006C687B">
      <w:pPr>
        <w:keepNext/>
      </w:pPr>
      <w:r>
        <w:fldChar w:fldCharType="begin"/>
      </w:r>
      <w:r>
        <w:instrText xml:space="preserve"> AUTONUM  </w:instrText>
      </w:r>
      <w:r>
        <w:fldChar w:fldCharType="end"/>
      </w:r>
      <w:r>
        <w:tab/>
        <w:t xml:space="preserve">Die TWP nahmen auf ihren Tagungen 2022 </w:t>
      </w:r>
      <w:r>
        <w:rPr>
          <w:rFonts w:cs="Arial"/>
        </w:rPr>
        <w:t xml:space="preserve">zur Kenntnis, dass keine Vorschläge für die Überarbeitung von Dokument TGP/7 „Erstellung von Prüfungsrichtlinien“ eingegangen waren, um die Beziehung zwischen obligatorischen Merkmalen in der Merkmalstabelle (durch Sternchen gekennzeichnet) und Merkmalen in den technischen Fragebögen klarzustellen </w:t>
      </w:r>
      <w:r>
        <w:t>(vergleiche Dokumente TWV/56/22 „</w:t>
      </w:r>
      <w:r>
        <w:rPr>
          <w:i/>
          <w:iCs/>
        </w:rPr>
        <w:t>Report</w:t>
      </w:r>
      <w:r>
        <w:t>“, Absatz 101; TWA/51/11 „</w:t>
      </w:r>
      <w:r>
        <w:rPr>
          <w:i/>
          <w:iCs/>
        </w:rPr>
        <w:t>Report</w:t>
      </w:r>
      <w:r>
        <w:t>“, Absatz 64; TWO/54/6 „</w:t>
      </w:r>
      <w:r>
        <w:rPr>
          <w:i/>
          <w:iCs/>
        </w:rPr>
        <w:t>Report</w:t>
      </w:r>
      <w:r>
        <w:t>“, Absatz 80; TWF/53/14 „</w:t>
      </w:r>
      <w:r>
        <w:rPr>
          <w:i/>
          <w:iCs/>
        </w:rPr>
        <w:t>Report</w:t>
      </w:r>
      <w:r>
        <w:t>“, Absatz 112).</w:t>
      </w:r>
    </w:p>
    <w:p w14:paraId="554682FA" w14:textId="77777777" w:rsidR="006C687B" w:rsidRDefault="006C687B" w:rsidP="00125827"/>
    <w:p w14:paraId="0D1B9F31" w14:textId="77777777" w:rsidR="009A1D93" w:rsidRPr="005A377C" w:rsidRDefault="009A1D93" w:rsidP="009A1D93">
      <w:pPr>
        <w:pStyle w:val="Heading4"/>
      </w:pPr>
      <w:r>
        <w:t>Vorschlag</w:t>
      </w:r>
    </w:p>
    <w:p w14:paraId="77B6E3A1" w14:textId="77777777" w:rsidR="009A1D93" w:rsidRDefault="009A1D93" w:rsidP="00125827"/>
    <w:p w14:paraId="3E47869B" w14:textId="5E099502" w:rsidR="00187E80" w:rsidRDefault="00187E80" w:rsidP="00125827">
      <w:r>
        <w:fldChar w:fldCharType="begin"/>
      </w:r>
      <w:r>
        <w:instrText xml:space="preserve"> AUTONUM  </w:instrText>
      </w:r>
      <w:r>
        <w:fldChar w:fldCharType="end"/>
      </w:r>
      <w:r>
        <w:tab/>
        <w:t>Es wird vorgeschlagen, dass der TC das Verbandsbüro ersuchen soll, den TWP auf ihren Tagungen 2023 einen Vorschlag zur Änderung von Dokument TGP/7, GN 13 „Merkmale mit besonderen Funktionen</w:t>
      </w:r>
      <w:r w:rsidR="001705E8">
        <w:t>“</w:t>
      </w:r>
      <w:r>
        <w:t xml:space="preserve"> vorzulegen, um klarzustellen, dass Krankheitsresistenzmerkmale in Abschnitt 5 der Technischen Fragebögen (TQ) mit dem Zusatz einer Ausprägungsstufe „nicht geprüft</w:t>
      </w:r>
      <w:r w:rsidR="001705E8">
        <w:t>“</w:t>
      </w:r>
      <w:r>
        <w:t xml:space="preserve"> dargestellt werden sollten.</w:t>
      </w:r>
    </w:p>
    <w:p w14:paraId="5903D088" w14:textId="77777777" w:rsidR="009A1D93" w:rsidRDefault="009A1D93" w:rsidP="00125827"/>
    <w:p w14:paraId="0263E4A6" w14:textId="4F429D74" w:rsidR="009A1D93" w:rsidRDefault="009A1D93" w:rsidP="009A1D93">
      <w:pPr>
        <w:tabs>
          <w:tab w:val="left" w:pos="5387"/>
        </w:tabs>
        <w:ind w:left="4820"/>
        <w:rPr>
          <w:i/>
        </w:rPr>
      </w:pPr>
      <w:r w:rsidRPr="009A1D93">
        <w:rPr>
          <w:i/>
        </w:rPr>
        <w:fldChar w:fldCharType="begin"/>
      </w:r>
      <w:r w:rsidRPr="009A1D93">
        <w:rPr>
          <w:i/>
        </w:rPr>
        <w:instrText xml:space="preserve"> AUTONUM  </w:instrText>
      </w:r>
      <w:r w:rsidRPr="009A1D93">
        <w:rPr>
          <w:i/>
        </w:rPr>
        <w:fldChar w:fldCharType="end"/>
      </w:r>
      <w:r>
        <w:rPr>
          <w:i/>
        </w:rPr>
        <w:tab/>
        <w:t>Der TC wird ersucht zu prüfen, ob das Verbandsbüro ersucht werden soll, den TWP auf ihren Tagungen im Jahr 2023 einen Vorschlag zur Änderung von Dokument TGP/7, GN 13 „Merkmale mit besonderen Funktionen</w:t>
      </w:r>
      <w:r w:rsidR="001705E8">
        <w:rPr>
          <w:i/>
        </w:rPr>
        <w:t>“</w:t>
      </w:r>
      <w:r>
        <w:rPr>
          <w:i/>
        </w:rPr>
        <w:t xml:space="preserve"> vorzulegen, um klarzustellen, dass Krankheitsresistenzmerkmale in Abschnitt 5 der Technischen Fragebögen (TQ) mit dem Zusatz einer Ausprägungsstufe „nicht geprüft</w:t>
      </w:r>
      <w:r w:rsidR="001705E8">
        <w:rPr>
          <w:i/>
        </w:rPr>
        <w:t>“</w:t>
      </w:r>
      <w:r>
        <w:rPr>
          <w:i/>
        </w:rPr>
        <w:t xml:space="preserve"> dargestellt werden sollten.</w:t>
      </w:r>
    </w:p>
    <w:p w14:paraId="4D4775B7" w14:textId="77777777" w:rsidR="009A1D93" w:rsidRPr="009A1D93" w:rsidRDefault="009A1D93" w:rsidP="009A1D93">
      <w:pPr>
        <w:tabs>
          <w:tab w:val="left" w:pos="5387"/>
        </w:tabs>
        <w:ind w:left="4820"/>
        <w:rPr>
          <w:i/>
        </w:rPr>
      </w:pPr>
    </w:p>
    <w:p w14:paraId="497BDD47" w14:textId="77777777" w:rsidR="00D03A5D" w:rsidRPr="00125827" w:rsidRDefault="00D03A5D" w:rsidP="00D03A5D">
      <w:pPr>
        <w:keepNext/>
      </w:pPr>
    </w:p>
    <w:p w14:paraId="2FE4B793" w14:textId="77777777" w:rsidR="00D03A5D" w:rsidRPr="00125827" w:rsidRDefault="00D03A5D" w:rsidP="00D03A5D">
      <w:pPr>
        <w:pStyle w:val="Heading2"/>
      </w:pPr>
      <w:bookmarkStart w:id="43" w:name="_Toc116648305"/>
      <w:r>
        <w:t>Dokument TGP/8: „Prüfungsanlage und Verfahren für die Prüfung der Unterscheidbarkeit, der Homogenität und der Beständigkeit“</w:t>
      </w:r>
      <w:bookmarkEnd w:id="43"/>
    </w:p>
    <w:p w14:paraId="74634084" w14:textId="77777777" w:rsidR="00D03A5D" w:rsidRPr="00125827" w:rsidRDefault="00D03A5D" w:rsidP="00D03A5D">
      <w:pPr>
        <w:keepNext/>
        <w:outlineLvl w:val="2"/>
        <w:rPr>
          <w:i/>
        </w:rPr>
      </w:pPr>
    </w:p>
    <w:p w14:paraId="1EAEF80C" w14:textId="77777777" w:rsidR="00D03A5D" w:rsidRPr="00125827" w:rsidRDefault="00D03A5D" w:rsidP="00D03A5D">
      <w:pPr>
        <w:pStyle w:val="Heading3"/>
      </w:pPr>
      <w:bookmarkStart w:id="44" w:name="_Toc116648306"/>
      <w:r>
        <w:t>Abschnitt 9 „Das kombinierte Homogenitätskriterium über mehrere Jahre (COYU)“</w:t>
      </w:r>
      <w:bookmarkEnd w:id="44"/>
    </w:p>
    <w:p w14:paraId="396EB402" w14:textId="77777777" w:rsidR="00D03A5D" w:rsidRPr="00125827" w:rsidRDefault="00D03A5D" w:rsidP="00D03A5D">
      <w:pPr>
        <w:keepNext/>
        <w:outlineLvl w:val="1"/>
        <w:rPr>
          <w:u w:val="single"/>
        </w:rPr>
      </w:pPr>
    </w:p>
    <w:p w14:paraId="66FC8DC9" w14:textId="77777777" w:rsidR="00D03A5D" w:rsidRPr="00125827" w:rsidRDefault="00D03A5D" w:rsidP="00D03A5D">
      <w:pPr>
        <w:keepNext/>
        <w:rPr>
          <w:rFonts w:eastAsia="MS Mincho"/>
        </w:rPr>
      </w:pPr>
      <w:r>
        <w:fldChar w:fldCharType="begin"/>
      </w:r>
      <w:r>
        <w:instrText xml:space="preserve"> AUTONUM  </w:instrText>
      </w:r>
      <w:r>
        <w:fldChar w:fldCharType="end"/>
      </w:r>
      <w:r>
        <w:tab/>
        <w:t xml:space="preserve">Angelegenheiten betreffend eine mögliche künftige Überarbeitung von Dokument TGP/8 Abschnitt 9 „Das kombinierte Homogenitätskriterium über mehrere Jahre (COYU)“ werden in dem </w:t>
      </w:r>
      <w:r>
        <w:rPr>
          <w:rFonts w:eastAsia="MS Mincho"/>
        </w:rPr>
        <w:t>Dokument TC/58/6</w:t>
      </w:r>
      <w:r>
        <w:t xml:space="preserve"> „Das kombinierte Homogenitätskriterium über mehrere Jahre (COYU)“ geprüft.</w:t>
      </w:r>
    </w:p>
    <w:p w14:paraId="01D848CA" w14:textId="77777777" w:rsidR="00D03A5D" w:rsidRDefault="00D03A5D" w:rsidP="00125827"/>
    <w:p w14:paraId="616D2F05" w14:textId="77777777" w:rsidR="008605EC" w:rsidRPr="008605EC" w:rsidRDefault="008605EC" w:rsidP="00804474">
      <w:pPr>
        <w:keepNext/>
        <w:keepLines/>
        <w:tabs>
          <w:tab w:val="left" w:pos="5387"/>
        </w:tabs>
        <w:ind w:left="4820"/>
        <w:rPr>
          <w:i/>
        </w:rPr>
      </w:pPr>
      <w:r w:rsidRPr="008605EC">
        <w:rPr>
          <w:i/>
        </w:rPr>
        <w:fldChar w:fldCharType="begin"/>
      </w:r>
      <w:r w:rsidRPr="008605EC">
        <w:rPr>
          <w:i/>
        </w:rPr>
        <w:instrText xml:space="preserve"> AUTONUM  </w:instrText>
      </w:r>
      <w:r w:rsidRPr="008605EC">
        <w:rPr>
          <w:i/>
        </w:rPr>
        <w:fldChar w:fldCharType="end"/>
      </w:r>
      <w:r>
        <w:rPr>
          <w:i/>
        </w:rPr>
        <w:tab/>
        <w:t xml:space="preserve">Der TC wird ersucht zur Kenntnis zu nehmen, dass Angelegenheiten betreffend eine mögliche künftige Überarbeitung von Dokument TGP/8 Abschnitt 9 „Das kombinierte Homogenitätskriterium über mehrere Jahre (COYU)“ in </w:t>
      </w:r>
      <w:r>
        <w:rPr>
          <w:rFonts w:eastAsia="MS Mincho"/>
          <w:i/>
        </w:rPr>
        <w:t>Dokument TC/58/6</w:t>
      </w:r>
      <w:r>
        <w:rPr>
          <w:i/>
        </w:rPr>
        <w:t xml:space="preserve"> „Das kombinierte Homogenitätskriterium über mehrere Jahre (COYU)“ geprüft werden.</w:t>
      </w:r>
    </w:p>
    <w:p w14:paraId="34B1B128" w14:textId="77777777" w:rsidR="00125827" w:rsidRDefault="00125827" w:rsidP="00804474">
      <w:pPr>
        <w:keepNext/>
        <w:keepLines/>
      </w:pPr>
    </w:p>
    <w:p w14:paraId="1FE609F3" w14:textId="77777777" w:rsidR="008605EC" w:rsidRPr="00125827" w:rsidRDefault="008605EC" w:rsidP="00125827"/>
    <w:p w14:paraId="57186E84" w14:textId="7D0F4F66" w:rsidR="00125827" w:rsidRPr="00125827" w:rsidRDefault="00125827" w:rsidP="00125827">
      <w:pPr>
        <w:keepNext/>
        <w:outlineLvl w:val="1"/>
        <w:rPr>
          <w:snapToGrid w:val="0"/>
          <w:u w:val="single"/>
        </w:rPr>
      </w:pPr>
      <w:bookmarkStart w:id="45" w:name="_Toc116648307"/>
      <w:r>
        <w:rPr>
          <w:snapToGrid w:val="0"/>
          <w:u w:val="single"/>
        </w:rPr>
        <w:t>Dokument TGP/12 „Anleitung zu bestimmten physiologischen Merkmalen</w:t>
      </w:r>
      <w:r w:rsidR="001705E8">
        <w:rPr>
          <w:snapToGrid w:val="0"/>
          <w:u w:val="single"/>
        </w:rPr>
        <w:t>“</w:t>
      </w:r>
      <w:bookmarkEnd w:id="45"/>
    </w:p>
    <w:p w14:paraId="5F54A37B" w14:textId="77777777" w:rsidR="00125827" w:rsidRPr="00125827" w:rsidRDefault="00125827" w:rsidP="00125827"/>
    <w:p w14:paraId="4D10843E" w14:textId="77777777" w:rsidR="00125827" w:rsidRPr="00125827" w:rsidRDefault="00125827" w:rsidP="00125827">
      <w:pPr>
        <w:keepNext/>
        <w:outlineLvl w:val="2"/>
        <w:rPr>
          <w:i/>
          <w:snapToGrid w:val="0"/>
        </w:rPr>
      </w:pPr>
      <w:bookmarkStart w:id="46" w:name="_Toc116648308"/>
      <w:r>
        <w:rPr>
          <w:i/>
          <w:snapToGrid w:val="0"/>
        </w:rPr>
        <w:t>Wort „hoch-“ in nur einer Ausprägungsstufe</w:t>
      </w:r>
      <w:bookmarkEnd w:id="46"/>
    </w:p>
    <w:p w14:paraId="0DAE2135" w14:textId="77777777" w:rsidR="00125827" w:rsidRPr="00125827" w:rsidRDefault="00125827" w:rsidP="00125827"/>
    <w:p w14:paraId="6C3CAA32" w14:textId="77777777" w:rsidR="00125827" w:rsidRPr="00125827" w:rsidRDefault="00125827" w:rsidP="00125827">
      <w:pPr>
        <w:jc w:val="left"/>
      </w:pPr>
      <w:r>
        <w:fldChar w:fldCharType="begin"/>
      </w:r>
      <w:r>
        <w:instrText xml:space="preserve"> AUTONUM  </w:instrText>
      </w:r>
      <w:r>
        <w:fldChar w:fldCharType="end"/>
      </w:r>
      <w:r>
        <w:tab/>
        <w:t>Den Hintergrund zu diesem Thema liefert die Anlage VI dieses Dokuments.</w:t>
      </w:r>
    </w:p>
    <w:p w14:paraId="6E5A25FD" w14:textId="77777777" w:rsidR="00125827" w:rsidRPr="00125827" w:rsidRDefault="00125827" w:rsidP="00125827"/>
    <w:p w14:paraId="1370556C" w14:textId="77777777" w:rsidR="00887443" w:rsidRPr="00125827" w:rsidRDefault="00125827" w:rsidP="00887443">
      <w:pPr>
        <w:rPr>
          <w:snapToGrid w:val="0"/>
        </w:rPr>
      </w:pPr>
      <w:r>
        <w:fldChar w:fldCharType="begin"/>
      </w:r>
      <w:r>
        <w:instrText xml:space="preserve"> AUTONUM  </w:instrText>
      </w:r>
      <w:r>
        <w:fldChar w:fldCharType="end"/>
      </w:r>
      <w:r>
        <w:tab/>
        <w:t xml:space="preserve">Der TC prüfte auf seiner siebenundfünfzigsten Tagung das Beispiel von Krankheitsresistenzmerkmalen in Dokument TGP/12 (siehe unten) und </w:t>
      </w:r>
      <w:r>
        <w:rPr>
          <w:snapToGrid w:val="0"/>
        </w:rPr>
        <w:t>merkte an, dass das Wort „hoch-" nur für die resistente Ausprägungsstufe verwendet werde.  Der TC vereinbarte, die TWV zu ersuchen, das Beispiel weitergehend zu prüfen (vergleiche Dokument TC/57/25 „Bericht“, Absätze 44 und 45):</w:t>
      </w:r>
    </w:p>
    <w:p w14:paraId="5789C31C" w14:textId="77777777" w:rsidR="00125827" w:rsidRPr="00125827" w:rsidRDefault="00125827" w:rsidP="00125827">
      <w:pPr>
        <w:rPr>
          <w:snapToGrid w:val="0"/>
        </w:rPr>
      </w:pPr>
    </w:p>
    <w:p w14:paraId="5B0EEFD3" w14:textId="132448D6" w:rsidR="00125827" w:rsidRPr="00125827" w:rsidRDefault="00125827" w:rsidP="00125827">
      <w:pPr>
        <w:keepNext/>
        <w:keepLines/>
        <w:ind w:left="567"/>
        <w:jc w:val="left"/>
      </w:pPr>
      <w:r>
        <w:rPr>
          <w:u w:val="single"/>
        </w:rPr>
        <w:t>„Beispiel mit einer Skala „1 bis 3</w:t>
      </w:r>
      <w:r w:rsidR="001705E8">
        <w:rPr>
          <w:u w:val="single"/>
        </w:rPr>
        <w:t>“</w:t>
      </w:r>
      <w:r>
        <w:t xml:space="preserve">: Resistenz gegen </w:t>
      </w:r>
      <w:r>
        <w:rPr>
          <w:i/>
          <w:iCs/>
        </w:rPr>
        <w:t>Sphaerotheca fuliginea</w:t>
      </w:r>
      <w:r>
        <w:t xml:space="preserve"> (</w:t>
      </w:r>
      <w:r>
        <w:rPr>
          <w:i/>
          <w:iCs/>
        </w:rPr>
        <w:t>Podosphaera xanthii</w:t>
      </w:r>
      <w:r>
        <w:t>) (Echter Mehltau) bei Melone (UPOV-Prüfungsrichtlinien: TG/104/5)</w:t>
      </w:r>
    </w:p>
    <w:p w14:paraId="671345A5" w14:textId="77777777" w:rsidR="00125827" w:rsidRPr="00125827" w:rsidRDefault="00125827" w:rsidP="00125827">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25827" w:rsidRPr="00125827" w14:paraId="1D5F8A70" w14:textId="77777777" w:rsidTr="00086373">
        <w:trPr>
          <w:cantSplit/>
          <w:tblHeader/>
          <w:jc w:val="center"/>
        </w:trPr>
        <w:tc>
          <w:tcPr>
            <w:tcW w:w="578" w:type="dxa"/>
            <w:tcBorders>
              <w:top w:val="single" w:sz="6" w:space="0" w:color="auto"/>
              <w:left w:val="nil"/>
              <w:bottom w:val="single" w:sz="4" w:space="0" w:color="auto"/>
              <w:right w:val="nil"/>
            </w:tcBorders>
            <w:vAlign w:val="center"/>
          </w:tcPr>
          <w:p w14:paraId="6963BC88" w14:textId="77777777" w:rsidR="00125827" w:rsidRPr="00125827" w:rsidRDefault="00125827" w:rsidP="00125827">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14:paraId="32449555" w14:textId="77777777" w:rsidR="00125827" w:rsidRPr="00125827" w:rsidRDefault="00125827" w:rsidP="00125827">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14:paraId="0C21B540" w14:textId="77777777" w:rsidR="00125827" w:rsidRPr="00125827" w:rsidRDefault="00125827" w:rsidP="00125827">
            <w:pPr>
              <w:keepNext/>
              <w:keepLines/>
              <w:spacing w:before="120" w:after="120"/>
              <w:jc w:val="left"/>
              <w:rPr>
                <w:sz w:val="16"/>
              </w:rPr>
            </w:pPr>
            <w:r>
              <w:rPr>
                <w:sz w:val="16"/>
              </w:rPr>
              <w:t>Deutsch</w:t>
            </w:r>
          </w:p>
        </w:tc>
        <w:tc>
          <w:tcPr>
            <w:tcW w:w="1734" w:type="dxa"/>
            <w:tcBorders>
              <w:top w:val="single" w:sz="6" w:space="0" w:color="auto"/>
              <w:left w:val="nil"/>
              <w:bottom w:val="single" w:sz="4" w:space="0" w:color="auto"/>
              <w:right w:val="nil"/>
            </w:tcBorders>
            <w:vAlign w:val="center"/>
          </w:tcPr>
          <w:p w14:paraId="043303CA" w14:textId="77777777" w:rsidR="00125827" w:rsidRPr="00125827" w:rsidRDefault="00125827" w:rsidP="00125827">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14:paraId="3424FDF4" w14:textId="77777777" w:rsidR="00125827" w:rsidRPr="00125827" w:rsidRDefault="00125827" w:rsidP="00125827">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14:paraId="0A2F3B82" w14:textId="77777777" w:rsidR="00125827" w:rsidRPr="00125827" w:rsidRDefault="00125827" w:rsidP="00125827">
            <w:pPr>
              <w:keepNext/>
              <w:keepLines/>
              <w:spacing w:before="120" w:after="120"/>
              <w:jc w:val="left"/>
              <w:rPr>
                <w:sz w:val="16"/>
              </w:rPr>
            </w:pPr>
            <w:r>
              <w:rPr>
                <w:sz w:val="16"/>
              </w:rPr>
              <w:t>Beispiels-sorten</w:t>
            </w:r>
          </w:p>
        </w:tc>
        <w:tc>
          <w:tcPr>
            <w:tcW w:w="567" w:type="dxa"/>
            <w:tcBorders>
              <w:top w:val="single" w:sz="6" w:space="0" w:color="auto"/>
              <w:left w:val="nil"/>
              <w:bottom w:val="single" w:sz="4" w:space="0" w:color="auto"/>
              <w:right w:val="nil"/>
            </w:tcBorders>
            <w:vAlign w:val="center"/>
          </w:tcPr>
          <w:p w14:paraId="510A90BD" w14:textId="77777777" w:rsidR="00125827" w:rsidRPr="00125827" w:rsidRDefault="00125827" w:rsidP="00125827">
            <w:pPr>
              <w:keepNext/>
              <w:keepLines/>
              <w:spacing w:before="120" w:after="120"/>
              <w:jc w:val="left"/>
              <w:rPr>
                <w:sz w:val="16"/>
              </w:rPr>
            </w:pPr>
            <w:r>
              <w:rPr>
                <w:sz w:val="16"/>
              </w:rPr>
              <w:t>Anmer-kung</w:t>
            </w:r>
          </w:p>
        </w:tc>
      </w:tr>
      <w:tr w:rsidR="00125827" w:rsidRPr="00125827" w14:paraId="3C894A3A"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754EB41D" w14:textId="77777777" w:rsidR="00125827" w:rsidRPr="00125827" w:rsidRDefault="00125827" w:rsidP="00125827">
            <w:pPr>
              <w:keepNext/>
              <w:keepLines/>
              <w:spacing w:before="120" w:after="120"/>
              <w:jc w:val="left"/>
              <w:rPr>
                <w:b/>
                <w:bCs/>
                <w:sz w:val="16"/>
              </w:rPr>
            </w:pPr>
            <w:r>
              <w:rPr>
                <w:b/>
                <w:bCs/>
                <w:sz w:val="16"/>
              </w:rPr>
              <w:t>70.</w:t>
            </w:r>
            <w:r>
              <w:rPr>
                <w:b/>
                <w:bCs/>
                <w:sz w:val="16"/>
              </w:rPr>
              <w:br/>
            </w:r>
            <w:r>
              <w:rPr>
                <w:b/>
                <w:bCs/>
                <w:sz w:val="16"/>
              </w:rPr>
              <w:br/>
              <w:t>(+)</w:t>
            </w:r>
          </w:p>
        </w:tc>
        <w:tc>
          <w:tcPr>
            <w:tcW w:w="425" w:type="dxa"/>
            <w:tcBorders>
              <w:top w:val="single" w:sz="4" w:space="0" w:color="auto"/>
              <w:bottom w:val="nil"/>
            </w:tcBorders>
          </w:tcPr>
          <w:p w14:paraId="6760BD09" w14:textId="77777777" w:rsidR="00125827" w:rsidRPr="00125827" w:rsidRDefault="00125827" w:rsidP="00125827">
            <w:pPr>
              <w:keepNext/>
              <w:keepLines/>
              <w:spacing w:before="120" w:after="12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bottom w:val="nil"/>
            </w:tcBorders>
          </w:tcPr>
          <w:p w14:paraId="0540EFE5" w14:textId="77777777" w:rsidR="00125827" w:rsidRPr="00125827" w:rsidRDefault="00125827" w:rsidP="00125827">
            <w:pPr>
              <w:keepNext/>
              <w:keepLines/>
              <w:spacing w:before="120" w:after="120"/>
              <w:jc w:val="left"/>
              <w:rPr>
                <w:b/>
                <w:bCs/>
                <w:sz w:val="16"/>
              </w:rPr>
            </w:pPr>
            <w:r>
              <w:rPr>
                <w:b/>
                <w:bCs/>
                <w:sz w:val="16"/>
              </w:rPr>
              <w:t>Resistenz gegen Sphaerotheca fuliginea (</w:t>
            </w:r>
            <w:r>
              <w:rPr>
                <w:b/>
                <w:bCs/>
                <w:snapToGrid w:val="0"/>
                <w:sz w:val="16"/>
              </w:rPr>
              <w:t>Podosphaera xanthii</w:t>
            </w:r>
            <w:r>
              <w:rPr>
                <w:b/>
                <w:bCs/>
                <w:sz w:val="16"/>
              </w:rPr>
              <w:t xml:space="preserve">) </w:t>
            </w:r>
            <w:r>
              <w:rPr>
                <w:b/>
                <w:bCs/>
                <w:sz w:val="16"/>
              </w:rPr>
              <w:br/>
              <w:t>(Echter Mehltau)</w:t>
            </w:r>
          </w:p>
        </w:tc>
        <w:tc>
          <w:tcPr>
            <w:tcW w:w="1734" w:type="dxa"/>
            <w:tcBorders>
              <w:top w:val="single" w:sz="4" w:space="0" w:color="auto"/>
              <w:bottom w:val="nil"/>
            </w:tcBorders>
          </w:tcPr>
          <w:p w14:paraId="273FCDB4" w14:textId="77777777" w:rsidR="00125827" w:rsidRPr="00125827" w:rsidRDefault="00125827" w:rsidP="00125827">
            <w:pPr>
              <w:keepNext/>
              <w:keepLines/>
              <w:spacing w:before="120" w:after="120"/>
              <w:jc w:val="left"/>
              <w:rPr>
                <w:b/>
                <w:bCs/>
                <w:sz w:val="16"/>
              </w:rPr>
            </w:pPr>
          </w:p>
        </w:tc>
        <w:tc>
          <w:tcPr>
            <w:tcW w:w="1734" w:type="dxa"/>
            <w:tcBorders>
              <w:top w:val="single" w:sz="4" w:space="0" w:color="auto"/>
              <w:bottom w:val="nil"/>
            </w:tcBorders>
          </w:tcPr>
          <w:p w14:paraId="55C33DFE" w14:textId="77777777" w:rsidR="00125827" w:rsidRPr="00125827" w:rsidRDefault="00125827" w:rsidP="00125827">
            <w:pPr>
              <w:keepNext/>
              <w:keepLines/>
              <w:spacing w:before="120" w:after="120"/>
              <w:jc w:val="left"/>
              <w:rPr>
                <w:b/>
                <w:bCs/>
                <w:sz w:val="16"/>
              </w:rPr>
            </w:pPr>
          </w:p>
        </w:tc>
        <w:tc>
          <w:tcPr>
            <w:tcW w:w="851" w:type="dxa"/>
            <w:tcBorders>
              <w:top w:val="single" w:sz="4" w:space="0" w:color="auto"/>
              <w:bottom w:val="nil"/>
            </w:tcBorders>
          </w:tcPr>
          <w:p w14:paraId="3E2E1DAE" w14:textId="77777777" w:rsidR="00125827" w:rsidRPr="00125827" w:rsidRDefault="00125827" w:rsidP="00125827">
            <w:pPr>
              <w:keepNext/>
              <w:keepLines/>
              <w:spacing w:before="120" w:after="120"/>
              <w:jc w:val="left"/>
              <w:rPr>
                <w:b/>
                <w:bCs/>
                <w:sz w:val="16"/>
              </w:rPr>
            </w:pPr>
          </w:p>
        </w:tc>
        <w:tc>
          <w:tcPr>
            <w:tcW w:w="567" w:type="dxa"/>
            <w:tcBorders>
              <w:top w:val="single" w:sz="4" w:space="0" w:color="auto"/>
              <w:bottom w:val="nil"/>
              <w:right w:val="nil"/>
            </w:tcBorders>
          </w:tcPr>
          <w:p w14:paraId="0A355EFA" w14:textId="77777777" w:rsidR="00125827" w:rsidRPr="00125827" w:rsidRDefault="00125827" w:rsidP="00125827">
            <w:pPr>
              <w:keepNext/>
              <w:keepLines/>
              <w:spacing w:before="120" w:after="120"/>
              <w:jc w:val="left"/>
              <w:rPr>
                <w:b/>
                <w:bCs/>
                <w:sz w:val="16"/>
              </w:rPr>
            </w:pPr>
          </w:p>
        </w:tc>
      </w:tr>
      <w:tr w:rsidR="00125827" w:rsidRPr="00125827" w14:paraId="4F38C74D"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79F16FC1" w14:textId="77777777" w:rsidR="00125827" w:rsidRPr="00125827" w:rsidRDefault="00125827" w:rsidP="00125827">
            <w:pPr>
              <w:keepNext/>
              <w:keepLines/>
              <w:spacing w:before="120" w:after="120"/>
              <w:jc w:val="left"/>
              <w:rPr>
                <w:b/>
                <w:sz w:val="16"/>
              </w:rPr>
            </w:pPr>
            <w:r>
              <w:rPr>
                <w:b/>
                <w:sz w:val="16"/>
              </w:rPr>
              <w:t>70,1</w:t>
            </w:r>
          </w:p>
        </w:tc>
        <w:tc>
          <w:tcPr>
            <w:tcW w:w="425" w:type="dxa"/>
            <w:tcBorders>
              <w:top w:val="nil"/>
              <w:bottom w:val="nil"/>
            </w:tcBorders>
          </w:tcPr>
          <w:p w14:paraId="3E593367" w14:textId="77777777" w:rsidR="00125827" w:rsidRPr="00125827" w:rsidRDefault="00125827" w:rsidP="00125827">
            <w:pPr>
              <w:keepNext/>
              <w:keepLines/>
              <w:spacing w:before="120" w:after="120"/>
              <w:jc w:val="left"/>
              <w:rPr>
                <w:b/>
                <w:sz w:val="16"/>
              </w:rPr>
            </w:pPr>
          </w:p>
        </w:tc>
        <w:tc>
          <w:tcPr>
            <w:tcW w:w="1733" w:type="dxa"/>
            <w:tcBorders>
              <w:top w:val="nil"/>
              <w:bottom w:val="nil"/>
            </w:tcBorders>
          </w:tcPr>
          <w:p w14:paraId="7F15CCA8" w14:textId="77777777" w:rsidR="00125827" w:rsidRPr="00125827" w:rsidRDefault="00125827" w:rsidP="00125827">
            <w:pPr>
              <w:keepNext/>
              <w:keepLines/>
              <w:spacing w:before="120" w:after="120"/>
              <w:jc w:val="left"/>
              <w:rPr>
                <w:b/>
                <w:sz w:val="16"/>
              </w:rPr>
            </w:pPr>
            <w:r>
              <w:rPr>
                <w:b/>
                <w:sz w:val="16"/>
              </w:rPr>
              <w:t>Pathotyp 1</w:t>
            </w:r>
          </w:p>
        </w:tc>
        <w:tc>
          <w:tcPr>
            <w:tcW w:w="1734" w:type="dxa"/>
            <w:tcBorders>
              <w:top w:val="nil"/>
              <w:bottom w:val="nil"/>
            </w:tcBorders>
          </w:tcPr>
          <w:p w14:paraId="02594BDC" w14:textId="77777777" w:rsidR="00125827" w:rsidRPr="00125827" w:rsidRDefault="00125827" w:rsidP="00125827">
            <w:pPr>
              <w:keepNext/>
              <w:keepLines/>
              <w:spacing w:before="120" w:after="120"/>
              <w:jc w:val="left"/>
              <w:rPr>
                <w:b/>
                <w:sz w:val="16"/>
              </w:rPr>
            </w:pPr>
          </w:p>
        </w:tc>
        <w:tc>
          <w:tcPr>
            <w:tcW w:w="1734" w:type="dxa"/>
            <w:tcBorders>
              <w:top w:val="nil"/>
              <w:bottom w:val="nil"/>
            </w:tcBorders>
          </w:tcPr>
          <w:p w14:paraId="36BFF018" w14:textId="77777777" w:rsidR="00125827" w:rsidRPr="00125827" w:rsidRDefault="00125827" w:rsidP="00125827">
            <w:pPr>
              <w:keepNext/>
              <w:keepLines/>
              <w:spacing w:before="120" w:after="120"/>
              <w:jc w:val="left"/>
              <w:rPr>
                <w:b/>
                <w:sz w:val="16"/>
              </w:rPr>
            </w:pPr>
          </w:p>
        </w:tc>
        <w:tc>
          <w:tcPr>
            <w:tcW w:w="851" w:type="dxa"/>
            <w:tcBorders>
              <w:top w:val="nil"/>
              <w:bottom w:val="nil"/>
            </w:tcBorders>
          </w:tcPr>
          <w:p w14:paraId="7C6A92E6" w14:textId="77777777" w:rsidR="00125827" w:rsidRPr="00125827" w:rsidRDefault="00125827" w:rsidP="00125827">
            <w:pPr>
              <w:keepNext/>
              <w:keepLines/>
              <w:spacing w:before="120" w:after="120"/>
              <w:jc w:val="left"/>
              <w:rPr>
                <w:sz w:val="16"/>
              </w:rPr>
            </w:pPr>
          </w:p>
        </w:tc>
        <w:tc>
          <w:tcPr>
            <w:tcW w:w="567" w:type="dxa"/>
            <w:tcBorders>
              <w:top w:val="nil"/>
              <w:bottom w:val="nil"/>
              <w:right w:val="nil"/>
            </w:tcBorders>
          </w:tcPr>
          <w:p w14:paraId="1F926BA8" w14:textId="77777777" w:rsidR="00125827" w:rsidRPr="00125827" w:rsidRDefault="00125827" w:rsidP="00125827">
            <w:pPr>
              <w:keepNext/>
              <w:keepLines/>
              <w:spacing w:before="120" w:after="120"/>
              <w:jc w:val="left"/>
              <w:rPr>
                <w:sz w:val="16"/>
              </w:rPr>
            </w:pPr>
          </w:p>
        </w:tc>
      </w:tr>
      <w:tr w:rsidR="00125827" w:rsidRPr="00125827" w14:paraId="5D925019"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042A273" w14:textId="77777777" w:rsidR="00125827" w:rsidRPr="00125827" w:rsidRDefault="00125827" w:rsidP="00125827">
            <w:pPr>
              <w:keepNext/>
              <w:keepLines/>
              <w:spacing w:before="120" w:after="120"/>
              <w:jc w:val="left"/>
              <w:rPr>
                <w:sz w:val="16"/>
              </w:rPr>
            </w:pPr>
            <w:r>
              <w:rPr>
                <w:sz w:val="16"/>
              </w:rPr>
              <w:t>QN</w:t>
            </w:r>
          </w:p>
        </w:tc>
        <w:tc>
          <w:tcPr>
            <w:tcW w:w="425" w:type="dxa"/>
            <w:tcBorders>
              <w:top w:val="nil"/>
              <w:bottom w:val="nil"/>
            </w:tcBorders>
          </w:tcPr>
          <w:p w14:paraId="275EE893" w14:textId="77777777" w:rsidR="00125827" w:rsidRPr="00125827" w:rsidRDefault="00125827" w:rsidP="00125827">
            <w:pPr>
              <w:keepNext/>
              <w:keepLines/>
              <w:spacing w:before="120" w:after="120"/>
              <w:jc w:val="left"/>
              <w:rPr>
                <w:sz w:val="16"/>
              </w:rPr>
            </w:pPr>
          </w:p>
        </w:tc>
        <w:tc>
          <w:tcPr>
            <w:tcW w:w="1733" w:type="dxa"/>
            <w:tcBorders>
              <w:top w:val="nil"/>
              <w:bottom w:val="nil"/>
            </w:tcBorders>
          </w:tcPr>
          <w:p w14:paraId="7F0D1E39" w14:textId="77777777" w:rsidR="00125827" w:rsidRPr="00125827" w:rsidRDefault="00125827" w:rsidP="00125827">
            <w:pPr>
              <w:keepNext/>
              <w:keepLines/>
              <w:spacing w:before="120" w:after="120"/>
              <w:jc w:val="left"/>
              <w:rPr>
                <w:sz w:val="16"/>
              </w:rPr>
            </w:pPr>
            <w:r>
              <w:rPr>
                <w:sz w:val="16"/>
              </w:rPr>
              <w:t>anfällig</w:t>
            </w:r>
          </w:p>
        </w:tc>
        <w:tc>
          <w:tcPr>
            <w:tcW w:w="1734" w:type="dxa"/>
            <w:tcBorders>
              <w:top w:val="nil"/>
              <w:bottom w:val="nil"/>
            </w:tcBorders>
          </w:tcPr>
          <w:p w14:paraId="354D7435" w14:textId="77777777" w:rsidR="00125827" w:rsidRPr="00125827" w:rsidRDefault="00125827" w:rsidP="00125827">
            <w:pPr>
              <w:keepNext/>
              <w:keepLines/>
              <w:spacing w:before="120" w:after="120"/>
              <w:jc w:val="left"/>
              <w:rPr>
                <w:sz w:val="16"/>
              </w:rPr>
            </w:pPr>
          </w:p>
        </w:tc>
        <w:tc>
          <w:tcPr>
            <w:tcW w:w="1734" w:type="dxa"/>
            <w:tcBorders>
              <w:top w:val="nil"/>
              <w:bottom w:val="nil"/>
            </w:tcBorders>
          </w:tcPr>
          <w:p w14:paraId="776FE6B3" w14:textId="77777777" w:rsidR="00125827" w:rsidRPr="00125827" w:rsidRDefault="00125827" w:rsidP="00125827">
            <w:pPr>
              <w:keepNext/>
              <w:keepLines/>
              <w:spacing w:before="120" w:after="120"/>
              <w:jc w:val="left"/>
              <w:rPr>
                <w:sz w:val="16"/>
              </w:rPr>
            </w:pPr>
          </w:p>
        </w:tc>
        <w:tc>
          <w:tcPr>
            <w:tcW w:w="851" w:type="dxa"/>
            <w:tcBorders>
              <w:top w:val="nil"/>
              <w:bottom w:val="nil"/>
            </w:tcBorders>
          </w:tcPr>
          <w:p w14:paraId="1AF24BE1" w14:textId="77777777" w:rsidR="00125827" w:rsidRPr="00125827" w:rsidRDefault="00125827" w:rsidP="00125827">
            <w:pPr>
              <w:keepNext/>
              <w:keepLines/>
              <w:spacing w:before="120" w:after="120"/>
              <w:jc w:val="left"/>
              <w:rPr>
                <w:sz w:val="16"/>
              </w:rPr>
            </w:pPr>
            <w:r>
              <w:rPr>
                <w:sz w:val="16"/>
              </w:rPr>
              <w:t>[…]</w:t>
            </w:r>
          </w:p>
        </w:tc>
        <w:tc>
          <w:tcPr>
            <w:tcW w:w="567" w:type="dxa"/>
            <w:tcBorders>
              <w:top w:val="nil"/>
              <w:bottom w:val="nil"/>
              <w:right w:val="nil"/>
            </w:tcBorders>
          </w:tcPr>
          <w:p w14:paraId="5C55AB1D" w14:textId="77777777" w:rsidR="00125827" w:rsidRPr="00125827" w:rsidRDefault="00125827" w:rsidP="00125827">
            <w:pPr>
              <w:keepNext/>
              <w:keepLines/>
              <w:spacing w:before="120" w:after="120"/>
              <w:jc w:val="left"/>
              <w:rPr>
                <w:sz w:val="16"/>
              </w:rPr>
            </w:pPr>
            <w:r>
              <w:rPr>
                <w:sz w:val="16"/>
              </w:rPr>
              <w:t>1</w:t>
            </w:r>
          </w:p>
        </w:tc>
      </w:tr>
      <w:tr w:rsidR="00125827" w:rsidRPr="00125827" w14:paraId="4202FE97"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117C3BF" w14:textId="77777777" w:rsidR="00125827" w:rsidRPr="00125827" w:rsidRDefault="00125827" w:rsidP="00125827">
            <w:pPr>
              <w:keepNext/>
              <w:keepLines/>
              <w:spacing w:before="120" w:after="120"/>
              <w:jc w:val="left"/>
              <w:rPr>
                <w:sz w:val="16"/>
              </w:rPr>
            </w:pPr>
          </w:p>
        </w:tc>
        <w:tc>
          <w:tcPr>
            <w:tcW w:w="425" w:type="dxa"/>
            <w:tcBorders>
              <w:top w:val="nil"/>
              <w:bottom w:val="nil"/>
            </w:tcBorders>
          </w:tcPr>
          <w:p w14:paraId="17BD491C" w14:textId="77777777" w:rsidR="00125827" w:rsidRPr="00125827" w:rsidRDefault="00125827" w:rsidP="00125827">
            <w:pPr>
              <w:keepNext/>
              <w:keepLines/>
              <w:spacing w:before="120" w:after="120"/>
              <w:jc w:val="left"/>
              <w:rPr>
                <w:sz w:val="16"/>
              </w:rPr>
            </w:pPr>
          </w:p>
        </w:tc>
        <w:tc>
          <w:tcPr>
            <w:tcW w:w="3467" w:type="dxa"/>
            <w:gridSpan w:val="2"/>
            <w:tcBorders>
              <w:top w:val="nil"/>
              <w:bottom w:val="nil"/>
            </w:tcBorders>
          </w:tcPr>
          <w:p w14:paraId="53AA7F07" w14:textId="77777777" w:rsidR="00125827" w:rsidRPr="00125827" w:rsidRDefault="00125827" w:rsidP="00AE6B8E">
            <w:pPr>
              <w:keepNext/>
              <w:keepLines/>
              <w:spacing w:before="120" w:after="120"/>
              <w:jc w:val="left"/>
              <w:rPr>
                <w:sz w:val="16"/>
              </w:rPr>
            </w:pPr>
            <w:r>
              <w:rPr>
                <w:strike/>
                <w:sz w:val="16"/>
                <w:highlight w:val="lightGray"/>
              </w:rPr>
              <w:t>mäßig</w:t>
            </w:r>
            <w:r>
              <w:rPr>
                <w:sz w:val="16"/>
              </w:rPr>
              <w:t xml:space="preserve"> </w:t>
            </w:r>
            <w:r>
              <w:rPr>
                <w:sz w:val="16"/>
                <w:highlight w:val="lightGray"/>
                <w:u w:val="single"/>
              </w:rPr>
              <w:t>mittel</w:t>
            </w:r>
            <w:r>
              <w:rPr>
                <w:sz w:val="16"/>
              </w:rPr>
              <w:t xml:space="preserve"> resistent </w:t>
            </w:r>
          </w:p>
        </w:tc>
        <w:tc>
          <w:tcPr>
            <w:tcW w:w="1734" w:type="dxa"/>
            <w:tcBorders>
              <w:top w:val="nil"/>
              <w:bottom w:val="nil"/>
            </w:tcBorders>
          </w:tcPr>
          <w:p w14:paraId="4ED810CD" w14:textId="77777777" w:rsidR="00125827" w:rsidRPr="00125827" w:rsidRDefault="00125827" w:rsidP="00125827">
            <w:pPr>
              <w:keepNext/>
              <w:keepLines/>
              <w:spacing w:before="120" w:after="120"/>
              <w:jc w:val="left"/>
              <w:rPr>
                <w:sz w:val="16"/>
              </w:rPr>
            </w:pPr>
          </w:p>
        </w:tc>
        <w:tc>
          <w:tcPr>
            <w:tcW w:w="851" w:type="dxa"/>
            <w:tcBorders>
              <w:top w:val="nil"/>
              <w:bottom w:val="nil"/>
            </w:tcBorders>
          </w:tcPr>
          <w:p w14:paraId="52095978" w14:textId="77777777" w:rsidR="00125827" w:rsidRPr="00125827" w:rsidRDefault="00125827" w:rsidP="00125827">
            <w:pPr>
              <w:keepNext/>
              <w:keepLines/>
              <w:spacing w:before="120" w:after="120"/>
              <w:jc w:val="left"/>
              <w:rPr>
                <w:sz w:val="16"/>
              </w:rPr>
            </w:pPr>
            <w:r>
              <w:rPr>
                <w:sz w:val="16"/>
              </w:rPr>
              <w:t>[…]</w:t>
            </w:r>
          </w:p>
        </w:tc>
        <w:tc>
          <w:tcPr>
            <w:tcW w:w="567" w:type="dxa"/>
            <w:tcBorders>
              <w:top w:val="nil"/>
              <w:bottom w:val="nil"/>
              <w:right w:val="nil"/>
            </w:tcBorders>
          </w:tcPr>
          <w:p w14:paraId="4BBA37FF" w14:textId="77777777" w:rsidR="00125827" w:rsidRPr="00125827" w:rsidRDefault="00125827" w:rsidP="00125827">
            <w:pPr>
              <w:keepNext/>
              <w:keepLines/>
              <w:spacing w:before="120" w:after="120"/>
              <w:jc w:val="left"/>
              <w:rPr>
                <w:sz w:val="16"/>
              </w:rPr>
            </w:pPr>
            <w:r>
              <w:rPr>
                <w:sz w:val="16"/>
              </w:rPr>
              <w:t>2</w:t>
            </w:r>
          </w:p>
        </w:tc>
      </w:tr>
      <w:tr w:rsidR="00125827" w:rsidRPr="00125827" w14:paraId="6BEFD720"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07EDAF3D" w14:textId="77777777" w:rsidR="00125827" w:rsidRPr="00125827" w:rsidRDefault="00125827" w:rsidP="00125827">
            <w:pPr>
              <w:keepNext/>
              <w:keepLines/>
              <w:spacing w:before="120" w:after="120"/>
              <w:jc w:val="left"/>
              <w:rPr>
                <w:sz w:val="16"/>
              </w:rPr>
            </w:pPr>
          </w:p>
        </w:tc>
        <w:tc>
          <w:tcPr>
            <w:tcW w:w="425" w:type="dxa"/>
            <w:tcBorders>
              <w:top w:val="nil"/>
              <w:bottom w:val="single" w:sz="4" w:space="0" w:color="auto"/>
            </w:tcBorders>
          </w:tcPr>
          <w:p w14:paraId="44687C78" w14:textId="77777777" w:rsidR="00125827" w:rsidRPr="00125827" w:rsidRDefault="00125827" w:rsidP="00125827">
            <w:pPr>
              <w:keepNext/>
              <w:keepLines/>
              <w:spacing w:before="120" w:after="120"/>
              <w:jc w:val="left"/>
              <w:rPr>
                <w:sz w:val="16"/>
              </w:rPr>
            </w:pPr>
          </w:p>
        </w:tc>
        <w:tc>
          <w:tcPr>
            <w:tcW w:w="1733" w:type="dxa"/>
            <w:tcBorders>
              <w:top w:val="nil"/>
              <w:bottom w:val="single" w:sz="4" w:space="0" w:color="auto"/>
            </w:tcBorders>
          </w:tcPr>
          <w:p w14:paraId="777BE21B" w14:textId="77777777" w:rsidR="00125827" w:rsidRPr="00125827" w:rsidRDefault="00125827" w:rsidP="00125827">
            <w:pPr>
              <w:keepNext/>
              <w:keepLines/>
              <w:spacing w:before="120" w:after="120"/>
              <w:jc w:val="left"/>
              <w:rPr>
                <w:sz w:val="16"/>
              </w:rPr>
            </w:pPr>
            <w:r>
              <w:rPr>
                <w:sz w:val="16"/>
              </w:rPr>
              <w:t>hochresistent</w:t>
            </w:r>
          </w:p>
        </w:tc>
        <w:tc>
          <w:tcPr>
            <w:tcW w:w="1734" w:type="dxa"/>
            <w:tcBorders>
              <w:top w:val="nil"/>
              <w:bottom w:val="single" w:sz="4" w:space="0" w:color="auto"/>
            </w:tcBorders>
          </w:tcPr>
          <w:p w14:paraId="669E0FD5" w14:textId="77777777" w:rsidR="00125827" w:rsidRPr="00125827" w:rsidRDefault="00125827" w:rsidP="00125827">
            <w:pPr>
              <w:keepNext/>
              <w:keepLines/>
              <w:spacing w:before="120" w:after="120"/>
              <w:jc w:val="left"/>
              <w:rPr>
                <w:sz w:val="16"/>
              </w:rPr>
            </w:pPr>
          </w:p>
        </w:tc>
        <w:tc>
          <w:tcPr>
            <w:tcW w:w="1734" w:type="dxa"/>
            <w:tcBorders>
              <w:top w:val="nil"/>
              <w:bottom w:val="single" w:sz="4" w:space="0" w:color="auto"/>
            </w:tcBorders>
          </w:tcPr>
          <w:p w14:paraId="58D2391E" w14:textId="77777777" w:rsidR="00125827" w:rsidRPr="00125827" w:rsidRDefault="00125827" w:rsidP="00125827">
            <w:pPr>
              <w:keepNext/>
              <w:keepLines/>
              <w:spacing w:before="120" w:after="120"/>
              <w:jc w:val="left"/>
              <w:rPr>
                <w:sz w:val="16"/>
              </w:rPr>
            </w:pPr>
          </w:p>
        </w:tc>
        <w:tc>
          <w:tcPr>
            <w:tcW w:w="851" w:type="dxa"/>
            <w:tcBorders>
              <w:top w:val="nil"/>
              <w:bottom w:val="single" w:sz="4" w:space="0" w:color="auto"/>
            </w:tcBorders>
          </w:tcPr>
          <w:p w14:paraId="13E60C77" w14:textId="77777777" w:rsidR="00125827" w:rsidRPr="00125827" w:rsidRDefault="00125827" w:rsidP="00125827">
            <w:pPr>
              <w:keepNext/>
              <w:keepLines/>
              <w:spacing w:before="120" w:after="120"/>
              <w:jc w:val="left"/>
              <w:rPr>
                <w:sz w:val="16"/>
              </w:rPr>
            </w:pPr>
            <w:r>
              <w:rPr>
                <w:sz w:val="16"/>
              </w:rPr>
              <w:t>[…]</w:t>
            </w:r>
          </w:p>
        </w:tc>
        <w:tc>
          <w:tcPr>
            <w:tcW w:w="567" w:type="dxa"/>
            <w:tcBorders>
              <w:top w:val="nil"/>
              <w:bottom w:val="single" w:sz="4" w:space="0" w:color="auto"/>
              <w:right w:val="nil"/>
            </w:tcBorders>
          </w:tcPr>
          <w:p w14:paraId="7B78FF87" w14:textId="77777777" w:rsidR="00125827" w:rsidRPr="00125827" w:rsidRDefault="00125827" w:rsidP="00125827">
            <w:pPr>
              <w:keepNext/>
              <w:keepLines/>
              <w:spacing w:before="120" w:after="120"/>
              <w:jc w:val="left"/>
              <w:rPr>
                <w:sz w:val="16"/>
              </w:rPr>
            </w:pPr>
            <w:r>
              <w:rPr>
                <w:sz w:val="16"/>
              </w:rPr>
              <w:t>3</w:t>
            </w:r>
          </w:p>
        </w:tc>
      </w:tr>
    </w:tbl>
    <w:p w14:paraId="6B1CD4D8" w14:textId="77777777" w:rsidR="00125827" w:rsidRPr="00125827" w:rsidRDefault="00125827" w:rsidP="00125827">
      <w:pPr>
        <w:rPr>
          <w:snapToGrid w:val="0"/>
        </w:rPr>
      </w:pPr>
    </w:p>
    <w:p w14:paraId="4C1E43CD" w14:textId="77777777" w:rsidR="00887443" w:rsidRPr="006968C4" w:rsidRDefault="00887443" w:rsidP="00887443">
      <w:pPr>
        <w:jc w:val="left"/>
        <w:rPr>
          <w:i/>
        </w:rPr>
      </w:pPr>
      <w:r>
        <w:rPr>
          <w:i/>
        </w:rPr>
        <w:t>Prüfungen durch die Technische Arbeitsgruppe für Gemüsearten</w:t>
      </w:r>
    </w:p>
    <w:p w14:paraId="401BE784" w14:textId="77777777" w:rsidR="00887443" w:rsidRDefault="00887443" w:rsidP="00887443">
      <w:pPr>
        <w:jc w:val="left"/>
      </w:pPr>
    </w:p>
    <w:p w14:paraId="098D76D8" w14:textId="4F6F28E7" w:rsidR="00887443" w:rsidRDefault="00887443" w:rsidP="00887443">
      <w:r>
        <w:fldChar w:fldCharType="begin"/>
      </w:r>
      <w:r>
        <w:instrText xml:space="preserve"> AUTONUM  </w:instrText>
      </w:r>
      <w:r>
        <w:fldChar w:fldCharType="end"/>
      </w:r>
      <w:r>
        <w:tab/>
        <w:t>Die TWV prüfte auf ihrer sechsundfünfzigsten Tagung</w:t>
      </w:r>
      <w:r>
        <w:rPr>
          <w:rStyle w:val="FootnoteReference"/>
        </w:rPr>
        <w:footnoteReference w:id="11"/>
      </w:r>
      <w:r>
        <w:t xml:space="preserve"> die Überarbeitung der Ausprägungsstufen in dem Beispiel für Merkmale in Dokument TGP/12/2, Abschnitt 2.3.2, um die Verwendung des Wortes „hoch-“ in nur einer Ausprägungsstufe zu behandeln (vergleiche Dokument TWV/56/22 „</w:t>
      </w:r>
      <w:r>
        <w:rPr>
          <w:i/>
          <w:iCs/>
        </w:rPr>
        <w:t>Report</w:t>
      </w:r>
      <w:r>
        <w:t xml:space="preserve">“, </w:t>
      </w:r>
      <w:r w:rsidR="00241532">
        <w:t>Absätze</w:t>
      </w:r>
      <w:r>
        <w:t xml:space="preserve"> 16 bis 20).</w:t>
      </w:r>
    </w:p>
    <w:p w14:paraId="1314DF50" w14:textId="77777777" w:rsidR="00887443" w:rsidRDefault="00887443" w:rsidP="00887443"/>
    <w:p w14:paraId="22C7C54C" w14:textId="77777777" w:rsidR="00887443" w:rsidRDefault="00887443" w:rsidP="00887443">
      <w:r>
        <w:fldChar w:fldCharType="begin"/>
      </w:r>
      <w:r>
        <w:instrText xml:space="preserve"> AUTONUM  </w:instrText>
      </w:r>
      <w:r>
        <w:fldChar w:fldCharType="end"/>
      </w:r>
      <w:r>
        <w:tab/>
        <w:t xml:space="preserve">Der TWV nahm zur Kenntnis, dass die Skala „anfällig, mittel resistent und hochresistent“ zuvor in den Prüfungsrichtlinien für Gurke, Salat und Melone verwendet worden sei und in dem Gemüsebereich allgemein verwendet werde. </w:t>
      </w:r>
    </w:p>
    <w:p w14:paraId="64E8C827" w14:textId="77777777" w:rsidR="00887443" w:rsidRDefault="00887443" w:rsidP="00887443"/>
    <w:p w14:paraId="51536E50" w14:textId="77777777" w:rsidR="00887443" w:rsidRDefault="00887443" w:rsidP="00887443">
      <w:r>
        <w:fldChar w:fldCharType="begin"/>
      </w:r>
      <w:r>
        <w:instrText xml:space="preserve"> AUTONUM  </w:instrText>
      </w:r>
      <w:r>
        <w:fldChar w:fldCharType="end"/>
      </w:r>
      <w:r>
        <w:tab/>
        <w:t>Die TWV nahm die Erklärung Frankreichs zur Kenntnis, dass die Ausprägungsstufe „anfällig“ eine Reihe von Ausdrücken, einschließlich „sehr anfällig“, umfasst.  Die TWV erörterte, wie die allgemeine UPOV-Anleitung bei der Erarbeitung von Krankheitsresistenzmerkmalen anzuwenden sei, und vereinbarte, dass es keinen Konsens zur Änderung der Anleitung in Dokument TGP/12 gebe, um das Wort „hoch-“ aus der Ausprägung „hochresistent“ zu streichen.</w:t>
      </w:r>
    </w:p>
    <w:p w14:paraId="08BBCD5B" w14:textId="77777777" w:rsidR="00887443" w:rsidRDefault="00887443" w:rsidP="00887443"/>
    <w:p w14:paraId="27C1CAD1" w14:textId="77777777" w:rsidR="00887443" w:rsidRDefault="00887443" w:rsidP="00887443">
      <w:pPr>
        <w:keepLines/>
      </w:pPr>
      <w:r>
        <w:fldChar w:fldCharType="begin"/>
      </w:r>
      <w:r>
        <w:instrText xml:space="preserve"> AUTONUM  </w:instrText>
      </w:r>
      <w:r>
        <w:fldChar w:fldCharType="end"/>
      </w:r>
      <w:r>
        <w:tab/>
        <w:t xml:space="preserve">Die TWV vereinbarte, die Sachverständigen aus Frankreich und den Niederlanden zu ersuchen, den Entwurf einer Anleitung vorzuschlagen, die die Besonderheiten von Krankheitsresistenzmerkmalen, die eine Sonderbehandlung in Bezug auf die allgemeine UPOV-Anleitung erfordern, erläutert, und der TWV auf ihrer siebenundfünfzigsten Tagung vorzulegen.  Der Entwurf dieser Anleitung sollte sich mit Angelegenheiten wie der Feststellung der Unterscheidbarkeit für quantitative Krankheitsresistenzmerkmale aufgrund eines Unterschieds von einer Note zwischen Sorten befassen und Möglichkeiten für die Korrelation der Skalen der UPOV-Merkmale mit den von Phytopathologen für Sortenbeschreibungen verwendeten Skalen untersuchen. </w:t>
      </w:r>
    </w:p>
    <w:p w14:paraId="508E7497" w14:textId="77777777" w:rsidR="00887443" w:rsidRDefault="00887443" w:rsidP="00887443"/>
    <w:p w14:paraId="041B9555" w14:textId="77777777" w:rsidR="00887443" w:rsidRDefault="00887443" w:rsidP="00887443">
      <w:r>
        <w:fldChar w:fldCharType="begin"/>
      </w:r>
      <w:r>
        <w:instrText xml:space="preserve"> AUTONUM  </w:instrText>
      </w:r>
      <w:r>
        <w:fldChar w:fldCharType="end"/>
      </w:r>
      <w:r>
        <w:tab/>
        <w:t xml:space="preserve">Die TWV vereinbarte, dass der Begriff „mittel“ in dem Beispiel in Dokument TWP/6/1, Absatz 28, „mittel resistent“ lauten sollte. </w:t>
      </w:r>
    </w:p>
    <w:p w14:paraId="313C9481" w14:textId="77777777" w:rsidR="00887443" w:rsidRPr="00125827" w:rsidRDefault="00887443" w:rsidP="00887443">
      <w:pPr>
        <w:jc w:val="left"/>
      </w:pPr>
    </w:p>
    <w:p w14:paraId="7C19DC4C" w14:textId="77777777" w:rsidR="00125827" w:rsidRPr="00125827" w:rsidRDefault="00125827" w:rsidP="00125827">
      <w:pPr>
        <w:tabs>
          <w:tab w:val="left" w:pos="5387"/>
          <w:tab w:val="left" w:pos="5954"/>
        </w:tabs>
        <w:ind w:left="4820"/>
        <w:rPr>
          <w:i/>
        </w:rPr>
      </w:pPr>
      <w:r w:rsidRPr="00125827">
        <w:rPr>
          <w:i/>
        </w:rPr>
        <w:fldChar w:fldCharType="begin"/>
      </w:r>
      <w:r w:rsidRPr="00125827">
        <w:rPr>
          <w:i/>
        </w:rPr>
        <w:instrText xml:space="preserve"> AUTONUM  </w:instrText>
      </w:r>
      <w:r w:rsidRPr="00125827">
        <w:rPr>
          <w:i/>
        </w:rPr>
        <w:fldChar w:fldCharType="end"/>
      </w:r>
      <w:r>
        <w:rPr>
          <w:i/>
        </w:rPr>
        <w:tab/>
        <w:t>Der TC wird ersucht, die Erörterungen in der TWV über Krankheitsresistenzmerkmale zur Kenntnis zu nehmen, die eine Sonderbehandlung hinsichtlich der allgemeinen UPOV-Anleitung erfordern könnten, wie in den Absätzen 52 bis 56 dieses Dokuments dargelegt.</w:t>
      </w:r>
    </w:p>
    <w:p w14:paraId="07253BBC" w14:textId="77777777" w:rsidR="00125827" w:rsidRPr="00125827" w:rsidRDefault="00125827" w:rsidP="00125827">
      <w:pPr>
        <w:tabs>
          <w:tab w:val="left" w:pos="5387"/>
          <w:tab w:val="left" w:pos="5954"/>
        </w:tabs>
        <w:ind w:left="4820"/>
        <w:rPr>
          <w:i/>
          <w:sz w:val="18"/>
        </w:rPr>
      </w:pPr>
    </w:p>
    <w:p w14:paraId="3A7152F8" w14:textId="77777777" w:rsidR="00881493" w:rsidRDefault="00881493" w:rsidP="00125827"/>
    <w:p w14:paraId="2888CC5C" w14:textId="77777777" w:rsidR="00124596" w:rsidRPr="00125827" w:rsidRDefault="00124596" w:rsidP="007411FF">
      <w:pPr>
        <w:keepNext/>
        <w:outlineLvl w:val="0"/>
        <w:rPr>
          <w:caps/>
        </w:rPr>
      </w:pPr>
      <w:bookmarkStart w:id="47" w:name="_Toc116648309"/>
      <w:r>
        <w:rPr>
          <w:caps/>
        </w:rPr>
        <w:t>neuer Vorschlag zur Überarbeitung von ANLEITUNG UND INFORMATIONAMATERIAL</w:t>
      </w:r>
      <w:bookmarkEnd w:id="47"/>
    </w:p>
    <w:p w14:paraId="2314BE37" w14:textId="77777777" w:rsidR="00124596" w:rsidRDefault="00124596" w:rsidP="007411FF">
      <w:pPr>
        <w:keepNext/>
      </w:pPr>
    </w:p>
    <w:p w14:paraId="6DD200D2" w14:textId="77777777" w:rsidR="00124596" w:rsidRDefault="00124596" w:rsidP="007411FF">
      <w:pPr>
        <w:pStyle w:val="Heading2"/>
      </w:pPr>
      <w:bookmarkStart w:id="48" w:name="_Toc116648310"/>
      <w:r>
        <w:t>Dokument TGP/9 „Prüfung der Unterscheidbarkeit“</w:t>
      </w:r>
      <w:bookmarkEnd w:id="48"/>
    </w:p>
    <w:p w14:paraId="2C766503" w14:textId="77777777" w:rsidR="00124596" w:rsidRDefault="00124596" w:rsidP="007411FF">
      <w:pPr>
        <w:keepNext/>
      </w:pPr>
    </w:p>
    <w:p w14:paraId="550DED25" w14:textId="77777777" w:rsidR="00124596" w:rsidRPr="00F34BF7" w:rsidRDefault="00124596" w:rsidP="007411FF">
      <w:pPr>
        <w:keepNext/>
      </w:pPr>
      <w:r>
        <w:fldChar w:fldCharType="begin"/>
      </w:r>
      <w:r>
        <w:instrText xml:space="preserve"> AUTONUM  </w:instrText>
      </w:r>
      <w:r>
        <w:fldChar w:fldCharType="end"/>
      </w:r>
      <w:r>
        <w:tab/>
        <w:t xml:space="preserve">Die TWF prüfte auf ihrer dreiundfünfzigsten Tagung das Dokument TWF/53/7 und einen von Sachverständigen aus Brasilien und der Europäischen Union ausgearbeiteten Vorschlag zur Änderung der Anleitung in Dokument TGP/9 „Prüfung der Unterscheidbarkeit“, um die Möglichkeit klarzustellen, unter bestimmten Umständen eine geringere Anzahl von Pflanzen für die allgemein bekannten Sorten bei der Prüfung zu berücksichtigen. </w:t>
      </w:r>
    </w:p>
    <w:p w14:paraId="124F821B" w14:textId="77777777" w:rsidR="00124596" w:rsidRPr="00F34BF7" w:rsidRDefault="00124596" w:rsidP="00124596"/>
    <w:p w14:paraId="0F3EFB3C" w14:textId="77777777" w:rsidR="00124596" w:rsidRPr="005A377C" w:rsidRDefault="00124596" w:rsidP="00124596">
      <w:pPr>
        <w:rPr>
          <w:rFonts w:eastAsia="Cambria"/>
        </w:rPr>
      </w:pPr>
      <w:r w:rsidRPr="00F34BF7">
        <w:rPr>
          <w:rFonts w:eastAsia="Cambria"/>
        </w:rPr>
        <w:fldChar w:fldCharType="begin"/>
      </w:r>
      <w:r w:rsidRPr="005A377C">
        <w:rPr>
          <w:rFonts w:eastAsia="Cambria"/>
        </w:rPr>
        <w:instrText xml:space="preserve"> AUTONUM  </w:instrText>
      </w:r>
      <w:r w:rsidRPr="00F34BF7">
        <w:rPr>
          <w:rFonts w:eastAsia="Cambria"/>
          <w:lang w:val="en-GB"/>
        </w:rPr>
        <w:fldChar w:fldCharType="end"/>
      </w:r>
      <w:r>
        <w:rPr>
          <w:rFonts w:eastAsia="Cambria"/>
        </w:rPr>
        <w:tab/>
        <w:t xml:space="preserve">Die TWF vereinbarte, dass es in der Praxis Schwierigkeiten bei der Durchführung von DUS-Prüfungen von Obstarten mit derselben </w:t>
      </w:r>
      <w:r>
        <w:t xml:space="preserve">in den Prüfungsrichtlinien angegebenen Anzahl Pflanzen sowohl für die Kandidatensorte als auch für eine sehr ähnliche allgemein bekannte Sorte gebe.  Die TWF vereinbarte, dass es möglich sein sollte, </w:t>
      </w:r>
      <w:r>
        <w:rPr>
          <w:rFonts w:eastAsia="Cambria"/>
        </w:rPr>
        <w:t xml:space="preserve">eine geringere Anzahl von Pflanzen der ähnlichen allgemein bekannten Sorte zu berücksichtigen, sofern keine Prüfung der Homogenität vorgesehen ist. </w:t>
      </w:r>
    </w:p>
    <w:p w14:paraId="7E38F3D3" w14:textId="77777777" w:rsidR="00124596" w:rsidRPr="005A377C" w:rsidRDefault="00124596" w:rsidP="00124596">
      <w:pPr>
        <w:rPr>
          <w:rFonts w:eastAsia="Cambria"/>
        </w:rPr>
      </w:pPr>
    </w:p>
    <w:p w14:paraId="69EEED58" w14:textId="77777777" w:rsidR="00124596" w:rsidRDefault="00124596" w:rsidP="00124596">
      <w:r>
        <w:fldChar w:fldCharType="begin"/>
      </w:r>
      <w:r>
        <w:instrText xml:space="preserve"> AUTONUM  </w:instrText>
      </w:r>
      <w:r>
        <w:fldChar w:fldCharType="end"/>
      </w:r>
      <w:r>
        <w:tab/>
        <w:t>Die TWF vereinbarte vorzuschlagen, das Dokument TGP/9 zu ändern, und schlug folgenden Wortlaut vor:</w:t>
      </w:r>
    </w:p>
    <w:p w14:paraId="0E144760" w14:textId="77777777" w:rsidR="00124596" w:rsidRPr="00C26C2E" w:rsidRDefault="00124596" w:rsidP="00124596"/>
    <w:p w14:paraId="3B02F1C3" w14:textId="2B51CB74" w:rsidR="00124596" w:rsidRPr="005A377C" w:rsidRDefault="00124596" w:rsidP="00124596">
      <w:pPr>
        <w:ind w:left="567" w:right="567"/>
      </w:pPr>
      <w:r>
        <w:rPr>
          <w:sz w:val="18"/>
        </w:rPr>
        <w:t xml:space="preserve">„5.5.5 </w:t>
      </w:r>
      <w:r>
        <w:t xml:space="preserve">Die erforderliche Genauigkeit der Aufzeichnungen hängt von der Größe des Unterschieds zwischen der Kandidatensorte und den allgemein bekannten Sorten ab. Sind zwei Sorten sehr ähnlich, ist es wichtig, die Werte beider Sorten mit gleich hoher Genauigkeit aufzuzeichnen. Die in den Prüfungsrichtlinien festgelegte Anzahl der Pflanzen gilt </w:t>
      </w:r>
      <w:r>
        <w:rPr>
          <w:highlight w:val="lightGray"/>
          <w:u w:val="single"/>
        </w:rPr>
        <w:t>im Allgemeinen</w:t>
      </w:r>
      <w:r>
        <w:t xml:space="preserve"> sowohl für die Kandidatensorte als auch die ähnliche allgemein bekannte Sorte.  </w:t>
      </w:r>
      <w:r>
        <w:rPr>
          <w:strike/>
          <w:highlight w:val="lightGray"/>
        </w:rPr>
        <w:t>Andernfalls</w:t>
      </w:r>
      <w:r>
        <w:t xml:space="preserve"> </w:t>
      </w:r>
      <w:r>
        <w:rPr>
          <w:highlight w:val="lightGray"/>
          <w:u w:val="single"/>
        </w:rPr>
        <w:t>Allerdings</w:t>
      </w:r>
      <w:r>
        <w:t xml:space="preserve"> ist es möglich, im Anbauversuch eine geringere Anzahl von Pflanzen für die allgemein bekannte Sorte zu berücksichtigen, sofern für diese Sorte</w:t>
      </w:r>
      <w:r>
        <w:rPr>
          <w:strike/>
          <w:highlight w:val="lightGray"/>
        </w:rPr>
        <w:t>, d.h. Sorten in der Sortensammlung,</w:t>
      </w:r>
      <w:r>
        <w:t xml:space="preserve"> keine Prüfung der Homogenität vorgesehen ist.</w:t>
      </w:r>
      <w:r w:rsidR="001705E8">
        <w:t>“</w:t>
      </w:r>
    </w:p>
    <w:p w14:paraId="7B018F0B" w14:textId="77777777" w:rsidR="00124596" w:rsidRPr="00C26C2E" w:rsidRDefault="00124596" w:rsidP="00124596"/>
    <w:p w14:paraId="05D98499" w14:textId="77777777" w:rsidR="00987A22" w:rsidRPr="00F34BF7" w:rsidRDefault="00987A22" w:rsidP="00987A22">
      <w:r>
        <w:fldChar w:fldCharType="begin"/>
      </w:r>
      <w:r>
        <w:instrText xml:space="preserve"> AUTONUM  </w:instrText>
      </w:r>
      <w:r>
        <w:fldChar w:fldCharType="end"/>
      </w:r>
      <w:r>
        <w:tab/>
        <w:t xml:space="preserve">Der TC könnte die TWP ersuchen, auf ihren Tagungen im Jahr 2023 den Vorschlag der TWF zu prüfen, das Dokument TGP/9 zu ändern, um die Möglichkeit klarzustellen, unter bestimmten Umständen eine geringere Anzahl Pflanzen für allgemein bekannte Sorten als die Kandidatensorte in die Prüfungen einzubeziehen. </w:t>
      </w:r>
    </w:p>
    <w:p w14:paraId="04C08EC5" w14:textId="77777777" w:rsidR="00124596" w:rsidRPr="00C712CD" w:rsidRDefault="00124596" w:rsidP="00C712CD">
      <w:pPr>
        <w:tabs>
          <w:tab w:val="left" w:pos="5387"/>
        </w:tabs>
        <w:ind w:left="4820"/>
        <w:rPr>
          <w:i/>
        </w:rPr>
      </w:pPr>
    </w:p>
    <w:p w14:paraId="6A31BCFB" w14:textId="77777777" w:rsidR="00987A22" w:rsidRPr="00C712CD" w:rsidRDefault="00987A22" w:rsidP="00C712CD">
      <w:pPr>
        <w:tabs>
          <w:tab w:val="left" w:pos="5387"/>
        </w:tabs>
        <w:ind w:left="4820"/>
        <w:rPr>
          <w:i/>
        </w:rPr>
      </w:pPr>
      <w:r w:rsidRPr="00C712CD">
        <w:rPr>
          <w:i/>
        </w:rPr>
        <w:fldChar w:fldCharType="begin"/>
      </w:r>
      <w:r w:rsidRPr="00C712CD">
        <w:rPr>
          <w:i/>
        </w:rPr>
        <w:instrText xml:space="preserve"> AUTONUM  </w:instrText>
      </w:r>
      <w:r w:rsidRPr="00C712CD">
        <w:rPr>
          <w:i/>
        </w:rPr>
        <w:fldChar w:fldCharType="end"/>
      </w:r>
      <w:r>
        <w:rPr>
          <w:i/>
        </w:rPr>
        <w:tab/>
        <w:t xml:space="preserve">Der TC wird ersucht zu prüfen, ob die TWP auf ihren Tagungen im Jahr 2023 ersucht werden sollen, den Vorschlag der TWF zu prüfen, das Dokument TGP/9 „Prüfung der Unterscheidbarkeit“ zu ändern, um die Möglichkeit klarzustellen, unter bestimmten Umständen eine geringere Anzahl Pflanzen für allgemein bekannte Sorten als die Kandidatensorte in die Prüfungen einzubeziehen, wie in Absatz 60 dieses Dokuments dargelegt. </w:t>
      </w:r>
    </w:p>
    <w:p w14:paraId="112BE9D7" w14:textId="77777777" w:rsidR="00987A22" w:rsidRDefault="00987A22" w:rsidP="00125827"/>
    <w:p w14:paraId="5CB68BDC" w14:textId="77777777" w:rsidR="00124596" w:rsidRPr="00125827" w:rsidRDefault="00124596" w:rsidP="00125827"/>
    <w:p w14:paraId="62205DF2" w14:textId="77777777" w:rsidR="000F7E8A" w:rsidRDefault="000F7E8A" w:rsidP="000F7E8A">
      <w:pPr>
        <w:pStyle w:val="Heading1"/>
      </w:pPr>
      <w:bookmarkStart w:id="49" w:name="_Toc82293098"/>
      <w:bookmarkStart w:id="50" w:name="_Toc116648311"/>
      <w:r>
        <w:t>Programm für die Ausarbeitung von einschlägigem Informationsmaterial</w:t>
      </w:r>
      <w:bookmarkEnd w:id="49"/>
      <w:bookmarkEnd w:id="50"/>
      <w:r>
        <w:t xml:space="preserve"> </w:t>
      </w:r>
    </w:p>
    <w:p w14:paraId="0EC103C1" w14:textId="77777777" w:rsidR="00881493" w:rsidRPr="00125827" w:rsidRDefault="00881493" w:rsidP="00881493">
      <w:pPr>
        <w:keepNext/>
        <w:rPr>
          <w:sz w:val="18"/>
        </w:rPr>
      </w:pPr>
    </w:p>
    <w:p w14:paraId="1DB9B9BD" w14:textId="77777777" w:rsidR="00881493" w:rsidRPr="00125827" w:rsidRDefault="00881493" w:rsidP="00881493">
      <w:pPr>
        <w:keepNext/>
      </w:pPr>
      <w:r>
        <w:fldChar w:fldCharType="begin"/>
      </w:r>
      <w:r>
        <w:instrText xml:space="preserve"> AUTONUM  </w:instrText>
      </w:r>
      <w:r>
        <w:fldChar w:fldCharType="end"/>
      </w:r>
      <w:r>
        <w:tab/>
        <w:t xml:space="preserve">Der TC auf seiner siebenundfünfzigsten Tagung und der CAJ auf seiner achtundsiebzigsten Tagung billigten das Programm für die Ausarbeitung von TGP-Dokumenten (vergleiche Dokumente TC/57/25, „Bericht“, Absätze 46 und 47, und Dokument CAJ/78/12 „Ergebnis der Prüfung von Dokumenten auf dem Schriftweg“, Absatz 28). </w:t>
      </w:r>
    </w:p>
    <w:p w14:paraId="79174B18" w14:textId="77777777" w:rsidR="000F7E8A" w:rsidRDefault="000F7E8A" w:rsidP="000F7E8A">
      <w:pPr>
        <w:rPr>
          <w:sz w:val="18"/>
        </w:rPr>
      </w:pPr>
    </w:p>
    <w:p w14:paraId="0DA8C3D8" w14:textId="77777777" w:rsidR="000F7E8A" w:rsidRPr="00142309" w:rsidRDefault="000F7E8A" w:rsidP="000F7E8A">
      <w:r>
        <w:fldChar w:fldCharType="begin"/>
      </w:r>
      <w:r>
        <w:instrText xml:space="preserve"> AUTONUM  </w:instrText>
      </w:r>
      <w:r>
        <w:fldChar w:fldCharType="end"/>
      </w:r>
      <w:r>
        <w:tab/>
        <w:t>Anlage VII dieses Dokuments stellt das Programm für die Ausarbeitung von TGP-Dokumenten vor, das auf der Grundlage der Bemerkungen der TWP auf ihren Tagungen 2022 abgeändert wurde.  Neue Vorschläge für eine künftige Überarbeitung von TGP-Dokumenten würden nach der Prüfung durch den TC auf seiner achtundfünfzigsten Tagung aufgenommen.</w:t>
      </w:r>
    </w:p>
    <w:p w14:paraId="1E6DED25" w14:textId="77777777" w:rsidR="000F7E8A" w:rsidRPr="00142309" w:rsidRDefault="000F7E8A" w:rsidP="000F7E8A">
      <w:pPr>
        <w:rPr>
          <w:sz w:val="18"/>
        </w:rPr>
      </w:pPr>
    </w:p>
    <w:p w14:paraId="7A2F5657" w14:textId="77777777" w:rsidR="000F7E8A" w:rsidRDefault="000F7E8A" w:rsidP="000F7E8A">
      <w:r>
        <w:fldChar w:fldCharType="begin"/>
      </w:r>
      <w:r>
        <w:instrText xml:space="preserve"> AUTONUM  </w:instrText>
      </w:r>
      <w:r>
        <w:fldChar w:fldCharType="end"/>
      </w:r>
      <w:r>
        <w:tab/>
        <w:t>Anlage VIII dieses Dokuments stellt das Programm für die Ausarbeitung von einschlägigem Informationsmaterial vor.</w:t>
      </w:r>
    </w:p>
    <w:p w14:paraId="051046C3" w14:textId="77777777" w:rsidR="000F7E8A" w:rsidRDefault="000F7E8A" w:rsidP="000F7E8A">
      <w:pPr>
        <w:rPr>
          <w:sz w:val="18"/>
        </w:rPr>
      </w:pPr>
    </w:p>
    <w:p w14:paraId="5C7763C1" w14:textId="77777777" w:rsidR="000F7E8A" w:rsidRDefault="000F7E8A" w:rsidP="000F7E8A">
      <w:r>
        <w:fldChar w:fldCharType="begin"/>
      </w:r>
      <w:r>
        <w:instrText xml:space="preserve"> AUTONUM  </w:instrText>
      </w:r>
      <w:r>
        <w:fldChar w:fldCharType="end"/>
      </w:r>
      <w:r>
        <w:tab/>
        <w:t>Der CAJ wird auf seiner neunundsiebzigsten Tagung ersucht werden, das Programm für die Ausarbeitung von TGP-Dokumenten und einschlägigem Informationsmaterial in Verbindung mit den Entschließungen des TC auf seiner achtundfünfzigsten Tagung zu prüfen.</w:t>
      </w:r>
    </w:p>
    <w:p w14:paraId="6B3AD6CD" w14:textId="77777777" w:rsidR="000F7E8A" w:rsidRDefault="000F7E8A" w:rsidP="000F7E8A">
      <w:pPr>
        <w:rPr>
          <w:sz w:val="18"/>
        </w:rPr>
      </w:pPr>
    </w:p>
    <w:p w14:paraId="4B4F61B2" w14:textId="77777777" w:rsidR="000F7E8A" w:rsidRDefault="000F7E8A" w:rsidP="000F7E8A">
      <w:pPr>
        <w:pStyle w:val="DecisionParagraphs"/>
      </w:pPr>
      <w:r>
        <w:fldChar w:fldCharType="begin"/>
      </w:r>
      <w:r>
        <w:instrText xml:space="preserve"> AUTONUM  </w:instrText>
      </w:r>
      <w:r>
        <w:fldChar w:fldCharType="end"/>
      </w:r>
      <w:r>
        <w:tab/>
        <w:t>Der TC wird ersucht:</w:t>
      </w:r>
    </w:p>
    <w:p w14:paraId="3F63C0CE" w14:textId="77777777" w:rsidR="000F7E8A" w:rsidRDefault="000F7E8A" w:rsidP="000F7E8A">
      <w:pPr>
        <w:pStyle w:val="DecisionParagraphs"/>
        <w:rPr>
          <w:sz w:val="18"/>
        </w:rPr>
      </w:pPr>
    </w:p>
    <w:p w14:paraId="70E88230" w14:textId="77777777" w:rsidR="000F7E8A" w:rsidRPr="00142309" w:rsidRDefault="000F7E8A" w:rsidP="000F7E8A">
      <w:pPr>
        <w:pStyle w:val="DecisionParagraphs"/>
      </w:pPr>
      <w:r>
        <w:tab/>
        <w:t>a)</w:t>
      </w:r>
      <w:r>
        <w:tab/>
        <w:t>das Programm für die Ausarbeitung von TGP-Dokumenten, wie in Anlage VII dieses Dokuments dargelegt, zu prüfen;</w:t>
      </w:r>
    </w:p>
    <w:p w14:paraId="22D76619" w14:textId="77777777" w:rsidR="000F7E8A" w:rsidRPr="00142309" w:rsidRDefault="000F7E8A" w:rsidP="000F7E8A">
      <w:pPr>
        <w:pStyle w:val="DecisionParagraphs"/>
        <w:rPr>
          <w:sz w:val="18"/>
        </w:rPr>
      </w:pPr>
    </w:p>
    <w:p w14:paraId="3C748DE5" w14:textId="77777777" w:rsidR="000F7E8A" w:rsidRDefault="000F7E8A" w:rsidP="000F7E8A">
      <w:pPr>
        <w:pStyle w:val="DecisionParagraphs"/>
      </w:pPr>
      <w:r>
        <w:tab/>
        <w:t>b)</w:t>
      </w:r>
      <w:r>
        <w:tab/>
        <w:t>das Programm für die Ausarbeitung von einschlägigem Informationsmaterial, wie in Anlage VIII dieses Dokuments dargelegt, zu prüfen; und</w:t>
      </w:r>
    </w:p>
    <w:p w14:paraId="5E746899" w14:textId="77777777" w:rsidR="000F7E8A" w:rsidRDefault="000F7E8A" w:rsidP="000F7E8A">
      <w:pPr>
        <w:pStyle w:val="DecisionParagraphs"/>
        <w:rPr>
          <w:sz w:val="18"/>
        </w:rPr>
      </w:pPr>
    </w:p>
    <w:p w14:paraId="32DDB0B1" w14:textId="77777777" w:rsidR="000F7E8A" w:rsidRDefault="000F7E8A" w:rsidP="000F7E8A">
      <w:pPr>
        <w:pStyle w:val="DecisionParagraphs"/>
      </w:pPr>
      <w:r>
        <w:tab/>
        <w:t>c)</w:t>
      </w:r>
      <w:r>
        <w:tab/>
        <w:t>zur Kenntnis zu nehmen, dass das Programm für die Ausarbeitung von TGP-Dokumenten und Informationsmaterial vom Verwaltungs- und Rechtsausschuss auf seiner neunundsiebzigsten Tagung am 26. Oktober 2022 in Genf in Verbindung mit den Entschließungen des TC auf seiner achtundfünfzigsten Tagung geprüft wird.</w:t>
      </w:r>
    </w:p>
    <w:p w14:paraId="7DD03A7B" w14:textId="77777777" w:rsidR="000F7E8A" w:rsidRDefault="000F7E8A" w:rsidP="00804474"/>
    <w:p w14:paraId="38608C20" w14:textId="77777777" w:rsidR="00125827" w:rsidRPr="00125827" w:rsidRDefault="00125827" w:rsidP="00125827">
      <w:pPr>
        <w:tabs>
          <w:tab w:val="left" w:pos="5387"/>
          <w:tab w:val="left" w:pos="5954"/>
        </w:tabs>
        <w:ind w:left="4820"/>
        <w:rPr>
          <w:i/>
        </w:rPr>
      </w:pPr>
    </w:p>
    <w:p w14:paraId="6AEC82CF" w14:textId="77777777" w:rsidR="00125827" w:rsidRPr="00125827" w:rsidRDefault="00125827" w:rsidP="00125827">
      <w:pPr>
        <w:tabs>
          <w:tab w:val="left" w:pos="5387"/>
          <w:tab w:val="left" w:pos="5954"/>
        </w:tabs>
        <w:ind w:left="4820"/>
        <w:rPr>
          <w:i/>
        </w:rPr>
      </w:pPr>
    </w:p>
    <w:p w14:paraId="0E634194" w14:textId="77777777" w:rsidR="00125827" w:rsidRPr="00125827" w:rsidRDefault="00125827" w:rsidP="00125827">
      <w:pPr>
        <w:jc w:val="right"/>
        <w:sectPr w:rsidR="00125827" w:rsidRPr="00125827" w:rsidSect="00086373">
          <w:headerReference w:type="default" r:id="rId10"/>
          <w:pgSz w:w="11907" w:h="16840" w:code="9"/>
          <w:pgMar w:top="510" w:right="1134" w:bottom="993" w:left="1134" w:header="510" w:footer="680" w:gutter="0"/>
          <w:pgNumType w:start="1"/>
          <w:cols w:space="720"/>
          <w:titlePg/>
          <w:docGrid w:linePitch="272"/>
        </w:sectPr>
      </w:pPr>
      <w:r>
        <w:t xml:space="preserve"> [Anlagen folgen] </w:t>
      </w:r>
    </w:p>
    <w:p w14:paraId="10D78058" w14:textId="77777777" w:rsidR="00125827" w:rsidRPr="00125827" w:rsidRDefault="00125827" w:rsidP="00125827">
      <w:pPr>
        <w:ind w:left="-142" w:right="312"/>
        <w:jc w:val="right"/>
      </w:pPr>
    </w:p>
    <w:p w14:paraId="36635E93" w14:textId="49DCA553" w:rsidR="00125827" w:rsidRPr="00125827" w:rsidRDefault="00125827" w:rsidP="00125827">
      <w:pPr>
        <w:jc w:val="center"/>
        <w:rPr>
          <w:caps/>
        </w:rPr>
      </w:pPr>
      <w:r>
        <w:rPr>
          <w:caps/>
          <w:snapToGrid w:val="0"/>
        </w:rPr>
        <w:t xml:space="preserve">Dokument UPOV/INF/23 </w:t>
      </w:r>
      <w:r>
        <w:rPr>
          <w:caps/>
        </w:rPr>
        <w:t>„UPOV-Code-System</w:t>
      </w:r>
      <w:r w:rsidR="001705E8">
        <w:rPr>
          <w:caps/>
        </w:rPr>
        <w:t>“</w:t>
      </w:r>
    </w:p>
    <w:p w14:paraId="1D30067F" w14:textId="77777777" w:rsidR="00125827" w:rsidRPr="00125827" w:rsidRDefault="00125827" w:rsidP="00125827"/>
    <w:p w14:paraId="5675E87D" w14:textId="77777777" w:rsidR="00125827" w:rsidRPr="00125827" w:rsidRDefault="00125827" w:rsidP="00125827">
      <w:pPr>
        <w:rPr>
          <w:u w:val="single"/>
        </w:rPr>
      </w:pPr>
      <w:r>
        <w:rPr>
          <w:u w:val="single"/>
        </w:rPr>
        <w:t>Höchstzahl der Zeichen in dem an UPOV-Codes angehängten Element</w:t>
      </w:r>
    </w:p>
    <w:p w14:paraId="0464DFA7" w14:textId="77777777" w:rsidR="00125827" w:rsidRPr="00125827" w:rsidRDefault="00125827" w:rsidP="00125827"/>
    <w:p w14:paraId="2CE4ADC9" w14:textId="3702DC1C" w:rsidR="00125827" w:rsidRDefault="00125827" w:rsidP="001E1FAC">
      <w:pPr>
        <w:pStyle w:val="ListParagraph"/>
        <w:numPr>
          <w:ilvl w:val="0"/>
          <w:numId w:val="34"/>
        </w:numPr>
        <w:ind w:left="0" w:firstLine="0"/>
      </w:pPr>
      <w:r>
        <w:t>Der TC prüfte auf seiner siebenundfünfzigsten Tagung den Vorschlag, die Höchstzahl der Zeichen klarzustellen, die im angehängten Element der UPOV-Codes zu verwenden sind, wie in Dokument UPOV/INF/23 „UPOV-Code-System</w:t>
      </w:r>
      <w:r w:rsidR="001705E8">
        <w:t>“</w:t>
      </w:r>
      <w:r>
        <w:t xml:space="preserve"> dargelegt.  Der TC vereinbarte, das Verbandsbüro zu ersuchen, auf ihren Tagungen 2022 einen Vorschlag zur Prüfung durch TWP und den TC auszuarbeiten (vergleiche Dokument TC/57/25 „Bericht</w:t>
      </w:r>
      <w:r w:rsidR="001705E8">
        <w:t>“</w:t>
      </w:r>
      <w:r>
        <w:t>, Absatz 35).</w:t>
      </w:r>
    </w:p>
    <w:p w14:paraId="3E3D82B3" w14:textId="77777777" w:rsidR="001E1FAC" w:rsidRDefault="001E1FAC" w:rsidP="001E1FAC">
      <w:pPr>
        <w:pStyle w:val="ListParagraph"/>
        <w:ind w:left="0"/>
      </w:pPr>
    </w:p>
    <w:p w14:paraId="7E499456" w14:textId="2700C45F" w:rsidR="00125827" w:rsidRPr="00125827" w:rsidRDefault="00125827" w:rsidP="00125827">
      <w:pPr>
        <w:pStyle w:val="ListParagraph"/>
        <w:numPr>
          <w:ilvl w:val="0"/>
          <w:numId w:val="34"/>
        </w:numPr>
        <w:ind w:left="0" w:firstLine="0"/>
      </w:pPr>
      <w:r>
        <w:t xml:space="preserve">Es wird vorgeschlagen, das Dokument UPOV/INF/23 „UPOV-Code-System“ zu ändern, um die Höchstzahl der Zeichen, die im angehängten Element der UPOV-Codes zu verwenden sind, wie folgt klarzustellen (Streichungen sind durch Hervorhebung und </w:t>
      </w:r>
      <w:r w:rsidRPr="001E1FAC">
        <w:rPr>
          <w:strike/>
          <w:highlight w:val="lightGray"/>
        </w:rPr>
        <w:t>Durchstreichen</w:t>
      </w:r>
      <w:r>
        <w:t xml:space="preserve"> gekennzeichnet und Zusätze sind durch Hervorhebung und </w:t>
      </w:r>
      <w:r w:rsidRPr="001E1FAC">
        <w:rPr>
          <w:highlight w:val="lightGray"/>
          <w:u w:val="single"/>
        </w:rPr>
        <w:t>Unterstreichung</w:t>
      </w:r>
      <w:r>
        <w:t xml:space="preserve"> gekennzeichnet):</w:t>
      </w:r>
    </w:p>
    <w:p w14:paraId="67CC9BC1" w14:textId="77777777" w:rsidR="00125827" w:rsidRPr="00125827" w:rsidRDefault="00125827" w:rsidP="00125827"/>
    <w:p w14:paraId="2F802656" w14:textId="77777777" w:rsidR="00125827" w:rsidRPr="00125827" w:rsidRDefault="00125827" w:rsidP="00125827">
      <w:pPr>
        <w:ind w:left="567"/>
      </w:pPr>
      <w:r>
        <w:t>„5</w:t>
      </w:r>
      <w:r>
        <w:tab/>
      </w:r>
      <w:r>
        <w:rPr>
          <w:rFonts w:eastAsiaTheme="minorEastAsia"/>
        </w:rPr>
        <w:t>UPOV-CODE: ANGEHÄNGTE INFORMATIONEN</w:t>
      </w:r>
    </w:p>
    <w:p w14:paraId="624B884F" w14:textId="77777777" w:rsidR="00125827" w:rsidRPr="00125827" w:rsidRDefault="00125827" w:rsidP="00125827">
      <w:pPr>
        <w:ind w:left="567" w:right="283"/>
        <w:rPr>
          <w:rFonts w:cs="Arial"/>
        </w:rPr>
      </w:pPr>
    </w:p>
    <w:p w14:paraId="06B91B17" w14:textId="77777777" w:rsidR="00125827" w:rsidRPr="00125827" w:rsidRDefault="00125827" w:rsidP="00125827">
      <w:pPr>
        <w:ind w:left="567"/>
        <w:rPr>
          <w:u w:val="single"/>
        </w:rPr>
      </w:pPr>
      <w:r>
        <w:rPr>
          <w:u w:val="single"/>
        </w:rPr>
        <w:t>„5.1</w:t>
      </w:r>
      <w:r>
        <w:rPr>
          <w:u w:val="single"/>
        </w:rPr>
        <w:tab/>
        <w:t>Zusammensetzung des angehängten Elements</w:t>
      </w:r>
    </w:p>
    <w:p w14:paraId="0650F369" w14:textId="77777777"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14:paraId="6A96C381" w14:textId="77777777"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r>
        <w:t>„</w:t>
      </w:r>
      <w:r>
        <w:rPr>
          <w:rFonts w:cs="Arial"/>
        </w:rPr>
        <w:t>5.1.1.</w:t>
      </w:r>
      <w:r>
        <w:rPr>
          <w:rFonts w:cs="Arial"/>
        </w:rPr>
        <w:tab/>
        <w:t xml:space="preserve">Dem UPOV-Code könnte gegebenenfalls ein neues Element angehängt werden, </w:t>
      </w:r>
      <w:r>
        <w:rPr>
          <w:rFonts w:eastAsiaTheme="minorEastAsia" w:cs="Arial"/>
          <w:bCs/>
        </w:rPr>
        <w:t>um maßgebliche Informationen über Sortengruppen und -typen und Sortenklassen zu liefern</w:t>
      </w:r>
      <w:r>
        <w:rPr>
          <w:rFonts w:cs="Arial"/>
        </w:rPr>
        <w:t xml:space="preserve">. </w:t>
      </w:r>
    </w:p>
    <w:p w14:paraId="34D72D31" w14:textId="77777777"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14:paraId="3DED77E8" w14:textId="77777777" w:rsidR="00125827" w:rsidRPr="00125827" w:rsidRDefault="00125827" w:rsidP="00125827">
      <w:pPr>
        <w:ind w:left="567" w:right="283"/>
        <w:rPr>
          <w:rFonts w:cs="Arial"/>
        </w:rPr>
      </w:pPr>
      <w:r>
        <w:t>„</w:t>
      </w:r>
      <w:r>
        <w:rPr>
          <w:rFonts w:cs="Arial"/>
        </w:rPr>
        <w:t>Das neue, an UPOV-Codes angehängte Element wäre durch folgende Bezeichnungskonvention erkennbar:</w:t>
      </w:r>
    </w:p>
    <w:p w14:paraId="5A1DE795" w14:textId="77777777" w:rsidR="00125827" w:rsidRPr="00125827" w:rsidRDefault="00125827" w:rsidP="00125827">
      <w:pPr>
        <w:ind w:left="567" w:right="283"/>
        <w:rPr>
          <w:rFonts w:eastAsiaTheme="minorEastAsia" w:cs="Arial"/>
          <w:bCs/>
        </w:rPr>
      </w:pPr>
    </w:p>
    <w:p w14:paraId="484A12F9"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t>„</w:t>
      </w:r>
      <w:r>
        <w:rPr>
          <w:rFonts w:eastAsiaTheme="minorEastAsia" w:cs="Arial"/>
        </w:rPr>
        <w:t xml:space="preserve">Ein Ziffernpräfix identifiziert das neue angehängte Element </w:t>
      </w:r>
      <w:r>
        <w:rPr>
          <w:rFonts w:eastAsiaTheme="minorEastAsia" w:cs="Arial"/>
          <w:highlight w:val="lightGray"/>
          <w:u w:val="single"/>
        </w:rPr>
        <w:t>(z. B. jede natürliche Zahl von 1 bis 9)</w:t>
      </w:r>
      <w:r>
        <w:rPr>
          <w:rFonts w:eastAsiaTheme="minorEastAsia" w:cs="Arial"/>
        </w:rPr>
        <w:t xml:space="preserve">. </w:t>
      </w:r>
    </w:p>
    <w:p w14:paraId="5CC6BE1C"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t>„</w:t>
      </w:r>
      <w:r>
        <w:rPr>
          <w:rFonts w:eastAsiaTheme="minorEastAsia" w:cs="Arial"/>
        </w:rPr>
        <w:t xml:space="preserve">Unterschiedliche </w:t>
      </w:r>
      <w:r>
        <w:rPr>
          <w:rFonts w:eastAsiaTheme="minorEastAsia" w:cs="Arial"/>
          <w:strike/>
          <w:highlight w:val="lightGray"/>
        </w:rPr>
        <w:t>Ziffern</w:t>
      </w:r>
      <w:r>
        <w:rPr>
          <w:rFonts w:eastAsiaTheme="minorEastAsia" w:cs="Arial"/>
        </w:rPr>
        <w:t xml:space="preserve"> </w:t>
      </w:r>
      <w:r>
        <w:rPr>
          <w:rFonts w:eastAsiaTheme="minorEastAsia" w:cs="Arial"/>
          <w:highlight w:val="lightGray"/>
          <w:u w:val="single"/>
        </w:rPr>
        <w:t xml:space="preserve">Zahlen oder Buchstaben </w:t>
      </w:r>
      <w:r>
        <w:rPr>
          <w:rFonts w:eastAsiaTheme="minorEastAsia" w:cs="Arial"/>
        </w:rPr>
        <w:t>können gegebenenfalls unterschiedliche Informationskategorien anzeigen.</w:t>
      </w:r>
      <w:r>
        <w:rPr>
          <w:rFonts w:eastAsiaTheme="minorEastAsia"/>
          <w:color w:val="000000"/>
        </w:rPr>
        <w:t xml:space="preserve"> </w:t>
      </w:r>
    </w:p>
    <w:p w14:paraId="4F782857" w14:textId="77777777"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Pr>
          <w:highlight w:val="lightGray"/>
          <w:u w:val="single"/>
        </w:rPr>
        <w:t>„Das angehängte Element sollte insgesamt bis zu sechs Ziffern haben (z. B „</w:t>
      </w:r>
      <w:r>
        <w:rPr>
          <w:rFonts w:cs="Arial"/>
          <w:highlight w:val="lightGray"/>
          <w:u w:val="single"/>
        </w:rPr>
        <w:t>1AC2TG“)</w:t>
      </w:r>
    </w:p>
    <w:p w14:paraId="4FB06839" w14:textId="77777777" w:rsidR="00125827" w:rsidRPr="00125827" w:rsidRDefault="00125827" w:rsidP="00125827">
      <w:pPr>
        <w:kinsoku w:val="0"/>
        <w:overflowPunct w:val="0"/>
        <w:autoSpaceDE w:val="0"/>
        <w:autoSpaceDN w:val="0"/>
        <w:adjustRightInd w:val="0"/>
        <w:spacing w:before="7"/>
        <w:ind w:left="567" w:right="283"/>
        <w:rPr>
          <w:color w:val="000000"/>
        </w:rPr>
      </w:pPr>
    </w:p>
    <w:p w14:paraId="3D9B2BA6" w14:textId="77777777" w:rsidR="00125827" w:rsidRPr="00125827" w:rsidRDefault="00125827" w:rsidP="00125827">
      <w:pPr>
        <w:keepNext/>
        <w:tabs>
          <w:tab w:val="left" w:pos="0"/>
        </w:tabs>
        <w:kinsoku w:val="0"/>
        <w:overflowPunct w:val="0"/>
        <w:autoSpaceDE w:val="0"/>
        <w:autoSpaceDN w:val="0"/>
        <w:adjustRightInd w:val="0"/>
        <w:spacing w:line="237" w:lineRule="auto"/>
        <w:ind w:left="567" w:right="283"/>
        <w:rPr>
          <w:rFonts w:cs="Arial"/>
        </w:rPr>
      </w:pPr>
      <w:r>
        <w:t>„</w:t>
      </w:r>
      <w:r>
        <w:rPr>
          <w:rFonts w:cs="Arial"/>
        </w:rPr>
        <w:t>Das neue Element könnte jedem UPOV-Code hinzugefügt werden, unabhängig von Pflanzentaxa (Gattungen, Arten oder Ebenen von Unterarten).  Beispiele:</w:t>
      </w:r>
    </w:p>
    <w:p w14:paraId="04E64A16" w14:textId="77777777" w:rsidR="00125827" w:rsidRPr="00125827" w:rsidRDefault="00125827" w:rsidP="00125827">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14:paraId="11B4EC1C"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Gattung </w:t>
      </w:r>
      <w:r>
        <w:rPr>
          <w:rFonts w:cs="Arial"/>
          <w:i/>
        </w:rPr>
        <w:t>Abies</w:t>
      </w:r>
      <w:r>
        <w:rPr>
          <w:rFonts w:cs="Arial"/>
        </w:rPr>
        <w:t>:</w:t>
      </w:r>
      <w:r>
        <w:rPr>
          <w:rFonts w:cs="Arial"/>
        </w:rPr>
        <w:tab/>
        <w:t xml:space="preserve">ABIES </w:t>
      </w:r>
    </w:p>
    <w:p w14:paraId="64D2B7E6"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mit angehängtem Element: </w:t>
      </w:r>
      <w:r>
        <w:rPr>
          <w:rFonts w:cs="Arial"/>
        </w:rPr>
        <w:tab/>
        <w:t>ABIES_</w:t>
      </w:r>
      <w:r>
        <w:rPr>
          <w:rFonts w:cs="Arial"/>
          <w:strike/>
          <w:highlight w:val="lightGray"/>
        </w:rPr>
        <w:t>1234</w:t>
      </w:r>
      <w:r>
        <w:rPr>
          <w:rFonts w:cs="Arial"/>
        </w:rPr>
        <w:t xml:space="preserve"> </w:t>
      </w:r>
      <w:r>
        <w:rPr>
          <w:rFonts w:cs="Arial"/>
          <w:highlight w:val="lightGray"/>
          <w:u w:val="single"/>
        </w:rPr>
        <w:t>1AC2TG</w:t>
      </w:r>
    </w:p>
    <w:p w14:paraId="02E5E892"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4917DFBD"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Art </w:t>
      </w:r>
      <w:r>
        <w:rPr>
          <w:rFonts w:cs="Arial"/>
          <w:i/>
        </w:rPr>
        <w:t>Abies sibirica</w:t>
      </w:r>
      <w:r>
        <w:rPr>
          <w:rFonts w:cs="Arial"/>
        </w:rPr>
        <w:t xml:space="preserve">: </w:t>
      </w:r>
      <w:r>
        <w:rPr>
          <w:rFonts w:cs="Arial"/>
        </w:rPr>
        <w:tab/>
        <w:t>ABIES_SIB</w:t>
      </w:r>
    </w:p>
    <w:p w14:paraId="33EF2011"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mit angehängtem Element: </w:t>
      </w:r>
      <w:r>
        <w:rPr>
          <w:rFonts w:cs="Arial"/>
        </w:rPr>
        <w:tab/>
        <w:t>ABIES_SIB_</w:t>
      </w:r>
      <w:r>
        <w:rPr>
          <w:rFonts w:cs="Arial"/>
          <w:strike/>
          <w:highlight w:val="lightGray"/>
        </w:rPr>
        <w:t>1234</w:t>
      </w:r>
      <w:r>
        <w:rPr>
          <w:rFonts w:cs="Arial"/>
        </w:rPr>
        <w:t xml:space="preserve"> </w:t>
      </w:r>
      <w:r>
        <w:rPr>
          <w:rFonts w:cs="Arial"/>
          <w:highlight w:val="lightGray"/>
          <w:u w:val="single"/>
        </w:rPr>
        <w:t>1AC2TG</w:t>
      </w:r>
    </w:p>
    <w:p w14:paraId="77AE04D0"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69FB9B31"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t>„</w:t>
      </w:r>
      <w:r>
        <w:rPr>
          <w:rFonts w:cs="Arial"/>
        </w:rPr>
        <w:t xml:space="preserve">UPOV-Code für die Unterart </w:t>
      </w:r>
      <w:r>
        <w:rPr>
          <w:rFonts w:cs="Arial"/>
          <w:i/>
        </w:rPr>
        <w:t>Abies sibirica</w:t>
      </w:r>
      <w:r>
        <w:rPr>
          <w:rFonts w:cs="Arial"/>
        </w:rPr>
        <w:t xml:space="preserve"> subsp. </w:t>
      </w:r>
      <w:r>
        <w:rPr>
          <w:rFonts w:cs="Arial"/>
          <w:i/>
        </w:rPr>
        <w:t>semenovii</w:t>
      </w:r>
      <w:r>
        <w:rPr>
          <w:rFonts w:cs="Arial"/>
        </w:rPr>
        <w:t>:</w:t>
      </w:r>
      <w:r>
        <w:rPr>
          <w:rFonts w:cs="Arial"/>
        </w:rPr>
        <w:tab/>
        <w:t>ABIES_SIB_SEM</w:t>
      </w:r>
    </w:p>
    <w:p w14:paraId="747D9BE9" w14:textId="77777777"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Pr>
          <w:rFonts w:cs="Arial"/>
        </w:rPr>
      </w:pPr>
      <w:r>
        <w:t>„</w:t>
      </w:r>
      <w:r>
        <w:rPr>
          <w:rFonts w:cs="Arial"/>
        </w:rPr>
        <w:t xml:space="preserve">UPOV-Code mit angehängtem Element: </w:t>
      </w:r>
      <w:r>
        <w:rPr>
          <w:rFonts w:cs="Arial"/>
        </w:rPr>
        <w:tab/>
        <w:t>ABIES_SIB_SEM_</w:t>
      </w:r>
      <w:r>
        <w:rPr>
          <w:rFonts w:cs="Arial"/>
          <w:strike/>
          <w:highlight w:val="lightGray"/>
        </w:rPr>
        <w:t>1234</w:t>
      </w:r>
      <w:r>
        <w:rPr>
          <w:rFonts w:cs="Arial"/>
        </w:rPr>
        <w:t xml:space="preserve"> </w:t>
      </w:r>
      <w:r>
        <w:rPr>
          <w:rFonts w:cs="Arial"/>
          <w:highlight w:val="lightGray"/>
          <w:u w:val="single"/>
        </w:rPr>
        <w:t>1AC2TG</w:t>
      </w:r>
      <w:r>
        <w:t>“</w:t>
      </w:r>
    </w:p>
    <w:p w14:paraId="11D3362E" w14:textId="77777777" w:rsidR="00125827" w:rsidRPr="00125827" w:rsidRDefault="00125827" w:rsidP="00125827">
      <w:pPr>
        <w:rPr>
          <w:i/>
        </w:rPr>
      </w:pPr>
    </w:p>
    <w:p w14:paraId="6ED231FD" w14:textId="77777777" w:rsidR="00125827" w:rsidRPr="00125827" w:rsidRDefault="00125827" w:rsidP="00125827">
      <w:pPr>
        <w:keepNext/>
      </w:pPr>
    </w:p>
    <w:p w14:paraId="10D4A85B" w14:textId="77777777" w:rsidR="00125827" w:rsidRPr="00125827" w:rsidRDefault="00125827" w:rsidP="00125827">
      <w:pPr>
        <w:rPr>
          <w:u w:val="single"/>
        </w:rPr>
      </w:pPr>
      <w:r>
        <w:rPr>
          <w:u w:val="single"/>
        </w:rPr>
        <w:t>Berichtigung von Querverweisen zu Dokument UPOV/EXN/DEN</w:t>
      </w:r>
    </w:p>
    <w:p w14:paraId="494B5ED5" w14:textId="77777777" w:rsidR="00125827" w:rsidRPr="00125827" w:rsidRDefault="00125827" w:rsidP="00125827"/>
    <w:p w14:paraId="6B81FEEC" w14:textId="375F644E" w:rsidR="00125827" w:rsidRPr="001E1FAC" w:rsidRDefault="00125827" w:rsidP="001E1FAC">
      <w:pPr>
        <w:pStyle w:val="ListParagraph"/>
        <w:numPr>
          <w:ilvl w:val="0"/>
          <w:numId w:val="34"/>
        </w:numPr>
        <w:ind w:left="0" w:hanging="14"/>
        <w:rPr>
          <w:rFonts w:cs="Arial"/>
        </w:rPr>
      </w:pPr>
      <w:r>
        <w:t xml:space="preserve">Querverweise zu </w:t>
      </w:r>
      <w:r w:rsidRPr="001E1FAC">
        <w:rPr>
          <w:rFonts w:cs="Arial"/>
        </w:rPr>
        <w:t xml:space="preserve">Dokument UPOV/INF/12 „Erläuterungen zu Sortenbezeichnungen nach dem UPOV-Übereinkommen“, sollten berichtigt werden, um in Absatz 4.3 von Dokument UPOV/INF/23 wie folgt durch UPOV/EXN/DEN ersetzt zu werden: </w:t>
      </w:r>
    </w:p>
    <w:p w14:paraId="751D9300" w14:textId="77777777" w:rsidR="00125827" w:rsidRPr="00125827" w:rsidRDefault="00125827" w:rsidP="00125827">
      <w:pPr>
        <w:rPr>
          <w:rFonts w:cs="Arial"/>
        </w:rPr>
      </w:pPr>
    </w:p>
    <w:p w14:paraId="0A9D5D2A" w14:textId="77777777" w:rsidR="00125827" w:rsidRPr="00125827" w:rsidRDefault="00125827" w:rsidP="00125827">
      <w:pPr>
        <w:ind w:left="567" w:right="567"/>
        <w:rPr>
          <w:rFonts w:cs="Arial"/>
          <w:u w:val="single"/>
        </w:rPr>
      </w:pPr>
      <w:r>
        <w:rPr>
          <w:rFonts w:cs="Arial"/>
        </w:rPr>
        <w:t>„4.3</w:t>
      </w:r>
      <w:r>
        <w:rPr>
          <w:rFonts w:cs="Arial"/>
        </w:rPr>
        <w:tab/>
      </w:r>
      <w:r>
        <w:rPr>
          <w:rFonts w:cs="Arial"/>
          <w:u w:val="single"/>
        </w:rPr>
        <w:t>Einführung neuer UPOV-Codes / Änderungen der UPOV-Codes</w:t>
      </w:r>
    </w:p>
    <w:p w14:paraId="520BD8F7" w14:textId="77777777" w:rsidR="00125827" w:rsidRPr="00125827" w:rsidRDefault="00125827" w:rsidP="00125827">
      <w:pPr>
        <w:ind w:left="567" w:right="567"/>
        <w:rPr>
          <w:rFonts w:cs="Arial"/>
          <w:u w:val="single"/>
        </w:rPr>
      </w:pPr>
    </w:p>
    <w:p w14:paraId="2B8F6B3A" w14:textId="0351B6F7" w:rsidR="00125827" w:rsidRPr="00125827" w:rsidRDefault="00125827" w:rsidP="00125827">
      <w:pPr>
        <w:ind w:left="567" w:right="567"/>
        <w:rPr>
          <w:rFonts w:ascii="Calibri" w:hAnsi="Calibri" w:cs="Calibri"/>
          <w:sz w:val="22"/>
          <w:szCs w:val="22"/>
        </w:rPr>
      </w:pPr>
      <w:r>
        <w:t>„d) Im Allgemeinen werden Änderungen der UPOV-Codes nicht als Folge taxonomischer Entwicklungen vorgenommen, es sei denn, dass diese zu einer Änderung der Gattungsklassifikation einer Art führen. Die „Erläuterungen zu Sortenbezeichnungen nach dem UPOV Übereinkommen“ (Dokument </w:t>
      </w:r>
      <w:r>
        <w:rPr>
          <w:strike/>
          <w:highlight w:val="lightGray"/>
        </w:rPr>
        <w:t>UPOV/INF/12</w:t>
      </w:r>
      <w:r>
        <w:t xml:space="preserve"> </w:t>
      </w:r>
      <w:r>
        <w:rPr>
          <w:highlight w:val="lightGray"/>
          <w:u w:val="single"/>
        </w:rPr>
        <w:t>UPOV/EXN/DEN</w:t>
      </w:r>
      <w:r>
        <w:t>) enthalten UPOV-Sortenbezeichnungsklassen; für Gattungen und Arten, die in der Klassenliste in Anlage I von Dokument </w:t>
      </w:r>
      <w:r>
        <w:rPr>
          <w:strike/>
          <w:highlight w:val="lightGray"/>
        </w:rPr>
        <w:t>UPOV/INF/12</w:t>
      </w:r>
      <w:r>
        <w:t xml:space="preserve"> </w:t>
      </w:r>
      <w:r>
        <w:rPr>
          <w:highlight w:val="lightGray"/>
          <w:u w:val="single"/>
        </w:rPr>
        <w:t>UPOV/EXN/DEN</w:t>
      </w:r>
      <w:r>
        <w:t xml:space="preserve"> nicht enthalten sind, lautet die allgemeine Regel („eine Gattung/eine Klasse“), dass die Gattung als Klasse angesehen wird (vergleiche Dokument </w:t>
      </w:r>
      <w:r>
        <w:rPr>
          <w:strike/>
          <w:highlight w:val="lightGray"/>
        </w:rPr>
        <w:t>UPOV/INF/12</w:t>
      </w:r>
      <w:r>
        <w:t xml:space="preserve"> </w:t>
      </w:r>
      <w:r>
        <w:rPr>
          <w:highlight w:val="lightGray"/>
          <w:u w:val="single"/>
        </w:rPr>
        <w:t>UPOV/EXN/DEN</w:t>
      </w:r>
      <w:r>
        <w:t>, Absatz 2.5.2 und dessen Anlage I). […]</w:t>
      </w:r>
      <w:r w:rsidR="001705E8">
        <w:t>“</w:t>
      </w:r>
    </w:p>
    <w:p w14:paraId="38114E56" w14:textId="77777777" w:rsidR="00125827" w:rsidRPr="00125827" w:rsidRDefault="00125827" w:rsidP="00125827">
      <w:pPr>
        <w:rPr>
          <w:i/>
        </w:rPr>
      </w:pPr>
    </w:p>
    <w:p w14:paraId="029A0A89" w14:textId="2B4BCEF8" w:rsidR="00125827" w:rsidRPr="00125827" w:rsidRDefault="00125827" w:rsidP="007411FF">
      <w:pPr>
        <w:jc w:val="right"/>
        <w:rPr>
          <w:i/>
        </w:rPr>
      </w:pPr>
      <w:r>
        <w:t>[Anlage II folgt]</w:t>
      </w:r>
    </w:p>
    <w:p w14:paraId="6A92ED21" w14:textId="77777777" w:rsidR="00125827" w:rsidRPr="00125827" w:rsidRDefault="00125827" w:rsidP="00125827">
      <w:pPr>
        <w:ind w:left="-142" w:right="312"/>
        <w:jc w:val="right"/>
        <w:sectPr w:rsidR="00125827" w:rsidRPr="00125827" w:rsidSect="00086373">
          <w:headerReference w:type="default" r:id="rId11"/>
          <w:headerReference w:type="first" r:id="rId12"/>
          <w:pgSz w:w="11907" w:h="16840" w:code="9"/>
          <w:pgMar w:top="510" w:right="1134" w:bottom="993" w:left="1134" w:header="510" w:footer="680" w:gutter="0"/>
          <w:pgNumType w:start="1"/>
          <w:cols w:space="720"/>
          <w:titlePg/>
          <w:docGrid w:linePitch="272"/>
        </w:sectPr>
      </w:pPr>
    </w:p>
    <w:p w14:paraId="219FF025" w14:textId="77777777" w:rsidR="00125827" w:rsidRPr="00125827" w:rsidRDefault="00125827" w:rsidP="00125827">
      <w:pPr>
        <w:ind w:left="-142" w:right="312"/>
        <w:jc w:val="right"/>
      </w:pPr>
    </w:p>
    <w:p w14:paraId="0FCC8E2A" w14:textId="14F9ADC3" w:rsidR="00125827" w:rsidRPr="00125827" w:rsidRDefault="00125827" w:rsidP="00125827">
      <w:pPr>
        <w:jc w:val="center"/>
        <w:rPr>
          <w:caps/>
        </w:rPr>
      </w:pPr>
      <w:r>
        <w:rPr>
          <w:caps/>
        </w:rPr>
        <w:t>Dokument TGP/7 „Erstellung von Prüfungsrichtlinien</w:t>
      </w:r>
      <w:r w:rsidR="001705E8">
        <w:rPr>
          <w:caps/>
        </w:rPr>
        <w:t>“</w:t>
      </w:r>
    </w:p>
    <w:p w14:paraId="3576A91D" w14:textId="77777777" w:rsidR="00125827" w:rsidRPr="00125827" w:rsidRDefault="00125827" w:rsidP="00125827"/>
    <w:p w14:paraId="24429ECB" w14:textId="77777777" w:rsidR="00125827" w:rsidRPr="00125827" w:rsidRDefault="00125827" w:rsidP="00125827">
      <w:pPr>
        <w:rPr>
          <w:u w:val="single"/>
        </w:rPr>
      </w:pPr>
      <w:r>
        <w:rPr>
          <w:u w:val="single"/>
        </w:rPr>
        <w:t>Beispielssorten für quantitative Merkmale mit Sternchen, wenn Abbildungen vorgelegt werden</w:t>
      </w:r>
    </w:p>
    <w:p w14:paraId="2AD2A2BF" w14:textId="77777777" w:rsidR="00125827" w:rsidRPr="00125827" w:rsidRDefault="00125827" w:rsidP="00125827"/>
    <w:p w14:paraId="6DBA3A6C" w14:textId="24BF4A52" w:rsidR="00125827" w:rsidRPr="00125827" w:rsidRDefault="00DC5127" w:rsidP="00125827">
      <w:pPr>
        <w:rPr>
          <w:i/>
        </w:rPr>
      </w:pPr>
      <w:r>
        <w:rPr>
          <w:i/>
        </w:rPr>
        <w:t>Hintergrund</w:t>
      </w:r>
    </w:p>
    <w:p w14:paraId="1C60348D" w14:textId="77777777" w:rsidR="00125827" w:rsidRPr="00125827" w:rsidRDefault="00125827" w:rsidP="00125827">
      <w:pPr>
        <w:keepNext/>
      </w:pPr>
    </w:p>
    <w:p w14:paraId="31CCCDAE" w14:textId="1FC4187E" w:rsidR="00125827" w:rsidRPr="00125827" w:rsidRDefault="00125827" w:rsidP="00CD4777">
      <w:pPr>
        <w:pStyle w:val="ListParagraph"/>
        <w:keepNext/>
        <w:numPr>
          <w:ilvl w:val="0"/>
          <w:numId w:val="35"/>
        </w:numPr>
        <w:ind w:left="0" w:hanging="11"/>
      </w:pPr>
      <w:r>
        <w:t>Die TWO prüfte auf ihrer dreiundfünfzigsten Tagung</w:t>
      </w:r>
      <w:r>
        <w:rPr>
          <w:vertAlign w:val="superscript"/>
        </w:rPr>
        <w:footnoteReference w:id="12"/>
      </w:r>
      <w:r>
        <w:t xml:space="preserve"> das Dokument TWO/53/5 (vergleiche Dokument TWO/50/10 „</w:t>
      </w:r>
      <w:r w:rsidRPr="00CD4777">
        <w:rPr>
          <w:i/>
          <w:iCs/>
        </w:rPr>
        <w:t>Report</w:t>
      </w:r>
      <w:r w:rsidR="001705E8">
        <w:t>“</w:t>
      </w:r>
      <w:r>
        <w:t>, Absätze 76 bis 82).</w:t>
      </w:r>
    </w:p>
    <w:p w14:paraId="18FB587E" w14:textId="77777777" w:rsidR="00125827" w:rsidRPr="00125827" w:rsidRDefault="00125827" w:rsidP="00125827">
      <w:pPr>
        <w:rPr>
          <w:rFonts w:eastAsia="Calibri"/>
        </w:rPr>
      </w:pPr>
    </w:p>
    <w:p w14:paraId="7D7E89CD" w14:textId="0341BD0D" w:rsidR="00125827" w:rsidRPr="00CD4777" w:rsidRDefault="00125827" w:rsidP="00CD4777">
      <w:pPr>
        <w:pStyle w:val="ListParagraph"/>
        <w:numPr>
          <w:ilvl w:val="0"/>
          <w:numId w:val="35"/>
        </w:numPr>
        <w:ind w:left="0" w:firstLine="0"/>
        <w:rPr>
          <w:rFonts w:eastAsia="Calibri"/>
        </w:rPr>
      </w:pPr>
      <w:r w:rsidRPr="00CD4777">
        <w:rPr>
          <w:rFonts w:eastAsia="Calibri"/>
        </w:rPr>
        <w:t>Die TWO nahm zur Kenntnis, dass die derzeitige Anleitung in Dokument TGP/7, GN 28, Absatz 1.3 iii), und Absatz 1.4 wie folgt lautet:</w:t>
      </w:r>
    </w:p>
    <w:p w14:paraId="7A7967DE" w14:textId="77777777" w:rsidR="00125827" w:rsidRPr="00125827" w:rsidRDefault="00125827" w:rsidP="00125827">
      <w:pPr>
        <w:rPr>
          <w:rFonts w:eastAsia="Calibri"/>
        </w:rPr>
      </w:pPr>
    </w:p>
    <w:p w14:paraId="1E92AD28" w14:textId="4642E4A2" w:rsidR="00125827" w:rsidRPr="00125827" w:rsidRDefault="00125827" w:rsidP="00125827">
      <w:pPr>
        <w:ind w:left="567" w:right="567"/>
        <w:rPr>
          <w:rFonts w:eastAsia="Calibri"/>
          <w:sz w:val="18"/>
        </w:rPr>
      </w:pPr>
      <w:r>
        <w:rPr>
          <w:rFonts w:eastAsia="Calibri"/>
          <w:sz w:val="18"/>
        </w:rPr>
        <w:t>„iii)</w:t>
      </w:r>
      <w:r>
        <w:rPr>
          <w:rFonts w:eastAsia="Calibri"/>
          <w:sz w:val="18"/>
        </w:rPr>
        <w:tab/>
        <w:t>Ist das Merkmal für die internationale Harmonisierung von Sortenbeschreibungen wichtig (Merkmale mit Sternchen) und wird von der Umwelt beeinflusst (die meisten qualitativen und pseudoqualitativen Merkmale), oder sind Beispielssorten für die Veranschaulichung des Merkmals erforderlich (vgl. Abschnitt 3.1), müssen Beispielssorten bereitgestellt werden.</w:t>
      </w:r>
      <w:r w:rsidR="001705E8">
        <w:rPr>
          <w:rFonts w:eastAsia="Calibri"/>
          <w:sz w:val="18"/>
        </w:rPr>
        <w:t>“</w:t>
      </w:r>
    </w:p>
    <w:p w14:paraId="7C099498" w14:textId="77777777" w:rsidR="00125827" w:rsidRPr="00125827" w:rsidRDefault="00125827" w:rsidP="00125827">
      <w:pPr>
        <w:ind w:left="567" w:right="567"/>
        <w:rPr>
          <w:rFonts w:eastAsia="Calibri"/>
          <w:sz w:val="18"/>
        </w:rPr>
      </w:pPr>
      <w:r>
        <w:rPr>
          <w:rFonts w:eastAsia="Calibri"/>
          <w:sz w:val="18"/>
        </w:rPr>
        <w:t>[…]</w:t>
      </w:r>
    </w:p>
    <w:p w14:paraId="16968CD9" w14:textId="77777777" w:rsidR="00125827" w:rsidRPr="00125827" w:rsidRDefault="00125827" w:rsidP="00125827">
      <w:pPr>
        <w:ind w:left="567" w:right="567"/>
        <w:rPr>
          <w:rFonts w:eastAsia="Calibri"/>
          <w:sz w:val="18"/>
        </w:rPr>
      </w:pPr>
      <w:r>
        <w:rPr>
          <w:rFonts w:eastAsia="Calibri"/>
          <w:sz w:val="18"/>
        </w:rPr>
        <w:t>„1.4</w:t>
      </w:r>
      <w:r>
        <w:rPr>
          <w:rFonts w:eastAsia="Calibri"/>
          <w:sz w:val="18"/>
        </w:rPr>
        <w:tab/>
        <w:t>Der Prozess der Entscheidung darüber, ob Beispielssorten für ein Merkmal benannt werden müssen, wird in dem nachstehenden Flussdiagramm 1 veranschaulicht. […]“</w:t>
      </w:r>
    </w:p>
    <w:p w14:paraId="28A61D9A" w14:textId="77777777" w:rsidR="00125827" w:rsidRPr="00125827" w:rsidRDefault="00125827" w:rsidP="00125827">
      <w:pPr>
        <w:rPr>
          <w:rFonts w:eastAsia="Calibri" w:cs="Arial"/>
          <w:sz w:val="22"/>
          <w:szCs w:val="22"/>
        </w:rPr>
      </w:pPr>
    </w:p>
    <w:p w14:paraId="07CA5C57" w14:textId="77777777" w:rsidR="00125827" w:rsidRPr="00125827" w:rsidRDefault="00125827" w:rsidP="00125827">
      <w:pPr>
        <w:jc w:val="center"/>
        <w:rPr>
          <w:rFonts w:eastAsia="Calibri" w:cs="Arial"/>
          <w:sz w:val="22"/>
          <w:szCs w:val="22"/>
        </w:rPr>
      </w:pPr>
      <w:r w:rsidRPr="00125827">
        <w:rPr>
          <w:rFonts w:eastAsia="Calibri" w:cs="Arial"/>
          <w:noProof/>
          <w:sz w:val="22"/>
          <w:szCs w:val="22"/>
          <w:lang w:val="en-US" w:eastAsia="en-US"/>
        </w:rPr>
        <w:drawing>
          <wp:inline distT="0" distB="0" distL="0" distR="0" wp14:anchorId="7B923B61" wp14:editId="33FCE5C9">
            <wp:extent cx="5760720" cy="4318959"/>
            <wp:effectExtent l="0" t="0" r="0" b="571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18959"/>
                    </a:xfrm>
                    <a:prstGeom prst="rect">
                      <a:avLst/>
                    </a:prstGeom>
                    <a:noFill/>
                    <a:ln>
                      <a:noFill/>
                    </a:ln>
                  </pic:spPr>
                </pic:pic>
              </a:graphicData>
            </a:graphic>
          </wp:inline>
        </w:drawing>
      </w:r>
    </w:p>
    <w:p w14:paraId="79451C57" w14:textId="77777777" w:rsidR="00125827" w:rsidRPr="00125827" w:rsidRDefault="00125827" w:rsidP="00125827">
      <w:pPr>
        <w:rPr>
          <w:rFonts w:eastAsia="Calibri"/>
        </w:rPr>
      </w:pPr>
    </w:p>
    <w:p w14:paraId="6B5D3249" w14:textId="7B2E3A3A" w:rsidR="00125827" w:rsidRPr="00125827" w:rsidRDefault="00125827" w:rsidP="00CD4777">
      <w:pPr>
        <w:pStyle w:val="ListParagraph"/>
        <w:numPr>
          <w:ilvl w:val="0"/>
          <w:numId w:val="35"/>
        </w:numPr>
        <w:ind w:left="0" w:firstLine="0"/>
        <w:rPr>
          <w:rFonts w:eastAsia="Calibri"/>
        </w:rPr>
      </w:pPr>
      <w:r>
        <w:rPr>
          <w:rFonts w:eastAsia="Calibri"/>
        </w:rPr>
        <w:t xml:space="preserve">Die TWO erinnerte daran, dass das Flussdiagramm festlege, dass keine Beispielssorten für quantitative Merkmale erforderlich seien, die in einer kontrollierten Umgebung erfasst wurden und für die eine Abbildung vorgelegt wurde. </w:t>
      </w:r>
    </w:p>
    <w:p w14:paraId="715EFDF2" w14:textId="77777777" w:rsidR="00125827" w:rsidRPr="00125827" w:rsidRDefault="00125827" w:rsidP="00125827">
      <w:pPr>
        <w:rPr>
          <w:rFonts w:eastAsia="Calibri"/>
        </w:rPr>
      </w:pPr>
    </w:p>
    <w:p w14:paraId="64412E9D" w14:textId="77777777" w:rsidR="00125827" w:rsidRPr="00125827" w:rsidRDefault="00125827" w:rsidP="00125827">
      <w:pPr>
        <w:rPr>
          <w:rFonts w:eastAsia="Calibri"/>
        </w:rPr>
      </w:pPr>
    </w:p>
    <w:p w14:paraId="33A6270F" w14:textId="77777777" w:rsidR="00125827" w:rsidRPr="00125827" w:rsidRDefault="00125827" w:rsidP="00125827">
      <w:pPr>
        <w:rPr>
          <w:rFonts w:eastAsia="Calibri"/>
        </w:rPr>
      </w:pPr>
    </w:p>
    <w:p w14:paraId="0835451E" w14:textId="291AFEA8" w:rsidR="00125827" w:rsidRPr="00125827" w:rsidRDefault="00125827" w:rsidP="00CD4777">
      <w:pPr>
        <w:pStyle w:val="ListParagraph"/>
        <w:numPr>
          <w:ilvl w:val="0"/>
          <w:numId w:val="35"/>
        </w:numPr>
        <w:ind w:left="0" w:firstLine="0"/>
        <w:rPr>
          <w:rFonts w:eastAsia="Calibri"/>
        </w:rPr>
      </w:pPr>
      <w:r>
        <w:rPr>
          <w:rFonts w:eastAsia="Calibri"/>
        </w:rPr>
        <w:t>Die TWO erinnerte daran, dass die Anleitung in Dokument TGP/7, GN 28, Absatz 4.1 Folgendes festgelegt:</w:t>
      </w:r>
    </w:p>
    <w:p w14:paraId="7EA93B21" w14:textId="77777777" w:rsidR="00125827" w:rsidRPr="00125827" w:rsidRDefault="00125827" w:rsidP="00125827">
      <w:pPr>
        <w:keepNext/>
        <w:keepLines/>
        <w:rPr>
          <w:rFonts w:eastAsia="Calibri"/>
        </w:rPr>
      </w:pPr>
    </w:p>
    <w:p w14:paraId="3D4E59C6" w14:textId="1B1CD746" w:rsidR="00125827" w:rsidRDefault="00125827" w:rsidP="00125827">
      <w:pPr>
        <w:keepNext/>
        <w:keepLines/>
        <w:ind w:left="567" w:right="567"/>
        <w:rPr>
          <w:rFonts w:eastAsia="Calibri"/>
          <w:sz w:val="18"/>
        </w:rPr>
      </w:pPr>
      <w:r>
        <w:rPr>
          <w:rFonts w:eastAsia="Calibri"/>
          <w:sz w:val="18"/>
        </w:rPr>
        <w:t>„Obwohl Beispielssorten den Vorzug haben, es den Prüfern zu ermöglichen, ein Merkmal „im wirklichen Leben</w:t>
      </w:r>
      <w:r w:rsidR="001705E8">
        <w:rPr>
          <w:rFonts w:eastAsia="Calibri"/>
          <w:sz w:val="18"/>
        </w:rPr>
        <w:t>“</w:t>
      </w:r>
      <w:r>
        <w:rPr>
          <w:rFonts w:eastAsia="Calibri"/>
          <w:sz w:val="18"/>
        </w:rPr>
        <w:t xml:space="preserve">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dass Fotoaufnahmen oder Zeichnungen eine wichtige Alternative oder Ergänzung zu Beispielssorten als Mittel zur Veranschaulichung von Merkmalen sind.</w:t>
      </w:r>
      <w:r w:rsidR="001705E8">
        <w:rPr>
          <w:rFonts w:eastAsia="Calibri"/>
          <w:sz w:val="18"/>
        </w:rPr>
        <w:t>“</w:t>
      </w:r>
    </w:p>
    <w:p w14:paraId="3C7B5340" w14:textId="77777777" w:rsidR="00431CB9" w:rsidRPr="00125827" w:rsidRDefault="00431CB9" w:rsidP="00431CB9">
      <w:pPr>
        <w:keepNext/>
        <w:keepLines/>
        <w:ind w:right="567"/>
        <w:rPr>
          <w:rFonts w:eastAsia="Calibri"/>
          <w:sz w:val="18"/>
        </w:rPr>
      </w:pPr>
    </w:p>
    <w:p w14:paraId="723DAE01" w14:textId="50984647" w:rsidR="00431CB9" w:rsidRDefault="00125827" w:rsidP="00431CB9">
      <w:pPr>
        <w:pStyle w:val="ListParagraph"/>
        <w:numPr>
          <w:ilvl w:val="0"/>
          <w:numId w:val="35"/>
        </w:numPr>
        <w:ind w:left="0" w:firstLine="0"/>
        <w:rPr>
          <w:rFonts w:eastAsia="Calibri"/>
        </w:rPr>
      </w:pPr>
      <w:r w:rsidRPr="00431CB9">
        <w:rPr>
          <w:rFonts w:eastAsia="Calibri"/>
        </w:rPr>
        <w:t xml:space="preserve">Die TWO vereinbarte, dass die meisten quantitativen und pseudoqualitativen Merkmale in den Prüfungsrichtlinien für Zierpflanzen durch Zeichnungen oder Fotoaufnahmen veranschaulicht werden könnten und nur wenige dieser Merkmale Beispielssorten erfordern, wie Höhe, Länge, Breite und Durchmesser. </w:t>
      </w:r>
    </w:p>
    <w:p w14:paraId="7CCCF119" w14:textId="77777777" w:rsidR="00431CB9" w:rsidRDefault="00431CB9" w:rsidP="00431CB9">
      <w:pPr>
        <w:pStyle w:val="ListParagraph"/>
        <w:ind w:left="0"/>
        <w:rPr>
          <w:rFonts w:eastAsia="Calibri"/>
        </w:rPr>
      </w:pPr>
    </w:p>
    <w:p w14:paraId="7CD92C2C" w14:textId="3AA54B11" w:rsidR="00125827" w:rsidRPr="00431CB9" w:rsidRDefault="00125827" w:rsidP="00431CB9">
      <w:pPr>
        <w:pStyle w:val="ListParagraph"/>
        <w:numPr>
          <w:ilvl w:val="0"/>
          <w:numId w:val="35"/>
        </w:numPr>
        <w:ind w:left="0" w:firstLine="0"/>
        <w:rPr>
          <w:rFonts w:eastAsia="Calibri"/>
        </w:rPr>
      </w:pPr>
      <w:r w:rsidRPr="00431CB9">
        <w:rPr>
          <w:rFonts w:eastAsia="Calibri"/>
        </w:rPr>
        <w:t xml:space="preserve">Die TWO vereinbarte </w:t>
      </w:r>
      <w:r>
        <w:t>auf ihrer dreiundfünfzigsten Tagung</w:t>
      </w:r>
      <w:r w:rsidRPr="00431CB9">
        <w:rPr>
          <w:rFonts w:eastAsia="Calibri"/>
        </w:rPr>
        <w:t xml:space="preserve"> vorzuschlagen, das Dokument TGP/7, GN 28, Absatz 1.3 iii) zu ändern, und schlug folgenden Wortlaut vor:</w:t>
      </w:r>
    </w:p>
    <w:p w14:paraId="328083EE" w14:textId="77777777" w:rsidR="00125827" w:rsidRPr="00125827" w:rsidRDefault="00125827" w:rsidP="00125827">
      <w:pPr>
        <w:keepNext/>
        <w:keepLines/>
      </w:pPr>
    </w:p>
    <w:p w14:paraId="3E5CCD47" w14:textId="77777777" w:rsidR="007554DF" w:rsidRDefault="00125827" w:rsidP="007554DF">
      <w:pPr>
        <w:keepNext/>
        <w:keepLines/>
        <w:ind w:left="567" w:right="567"/>
        <w:rPr>
          <w:rFonts w:eastAsia="Calibri"/>
          <w:sz w:val="18"/>
        </w:rPr>
      </w:pPr>
      <w:r>
        <w:rPr>
          <w:rFonts w:eastAsia="Calibri"/>
          <w:sz w:val="18"/>
        </w:rPr>
        <w:t>„iii)</w:t>
      </w:r>
      <w:r>
        <w:rPr>
          <w:rFonts w:eastAsia="Calibri"/>
          <w:sz w:val="18"/>
        </w:rPr>
        <w:tab/>
        <w:t xml:space="preserve">Ist das Merkmal für die internationale Harmonisierung von Sortenbeschreibungen wichtig (Merkmale mit Sternchen) </w:t>
      </w:r>
      <w:r>
        <w:rPr>
          <w:rFonts w:eastAsia="Calibri"/>
          <w:strike/>
          <w:sz w:val="18"/>
          <w:highlight w:val="lightGray"/>
        </w:rPr>
        <w:t xml:space="preserve">und </w:t>
      </w:r>
      <w:r>
        <w:rPr>
          <w:rFonts w:eastAsia="Calibri"/>
          <w:sz w:val="18"/>
          <w:highlight w:val="lightGray"/>
          <w:u w:val="single"/>
        </w:rPr>
        <w:t>,</w:t>
      </w:r>
      <w:r>
        <w:rPr>
          <w:rFonts w:eastAsia="Calibri"/>
          <w:sz w:val="18"/>
        </w:rPr>
        <w:t xml:space="preserve">wird </w:t>
      </w:r>
      <w:r>
        <w:rPr>
          <w:rFonts w:eastAsia="Calibri"/>
          <w:sz w:val="18"/>
          <w:highlight w:val="lightGray"/>
          <w:u w:val="single"/>
        </w:rPr>
        <w:t>es</w:t>
      </w:r>
      <w:r>
        <w:rPr>
          <w:rFonts w:eastAsia="Calibri"/>
          <w:sz w:val="18"/>
        </w:rPr>
        <w:t xml:space="preserve"> von der Umwelt beeinflusst</w:t>
      </w:r>
      <w:r>
        <w:rPr>
          <w:rFonts w:eastAsia="Calibri"/>
          <w:sz w:val="18"/>
          <w:u w:val="single"/>
        </w:rPr>
        <w:t xml:space="preserve"> </w:t>
      </w:r>
      <w:r>
        <w:rPr>
          <w:rFonts w:eastAsia="Calibri"/>
          <w:sz w:val="18"/>
          <w:highlight w:val="lightGray"/>
          <w:u w:val="single"/>
        </w:rPr>
        <w:t>und</w:t>
      </w:r>
      <w:r>
        <w:rPr>
          <w:rFonts w:eastAsia="Calibri"/>
          <w:sz w:val="18"/>
        </w:rPr>
        <w:t xml:space="preserve"> </w:t>
      </w:r>
      <w:r>
        <w:rPr>
          <w:rFonts w:eastAsia="Calibri"/>
          <w:sz w:val="18"/>
          <w:highlight w:val="lightGray"/>
          <w:u w:val="single"/>
        </w:rPr>
        <w:t>kann es nicht anhand von Fotoaufnahmen oder Zeichnungen in sinnvoller Weise veranschaulicht werden</w:t>
      </w:r>
      <w:r>
        <w:rPr>
          <w:rFonts w:eastAsia="Calibri"/>
          <w:sz w:val="18"/>
        </w:rPr>
        <w:t xml:space="preserve"> </w:t>
      </w:r>
      <w:r>
        <w:rPr>
          <w:rFonts w:eastAsia="Calibri"/>
          <w:strike/>
          <w:sz w:val="18"/>
          <w:highlight w:val="lightGray"/>
        </w:rPr>
        <w:t>(die meisten qualitativen und pseudoqualitativen Merkmale), oder sind Beispielssorten für die Veranschaulichung des Merkmals erforderlich (vgl. Abschnitt 3.1)</w:t>
      </w:r>
      <w:r>
        <w:rPr>
          <w:rFonts w:eastAsia="Calibri"/>
          <w:sz w:val="18"/>
          <w:highlight w:val="lightGray"/>
          <w:u w:val="single"/>
        </w:rPr>
        <w:t>,</w:t>
      </w:r>
      <w:r>
        <w:rPr>
          <w:rFonts w:eastAsia="Calibri"/>
          <w:sz w:val="18"/>
        </w:rPr>
        <w:t xml:space="preserve"> müssen Beispielssorten bereitgestellt werden.</w:t>
      </w:r>
      <w:r w:rsidR="001705E8">
        <w:rPr>
          <w:rFonts w:eastAsia="Calibri"/>
          <w:sz w:val="18"/>
        </w:rPr>
        <w:t>“</w:t>
      </w:r>
    </w:p>
    <w:p w14:paraId="3FAFF0D4" w14:textId="77777777" w:rsidR="007554DF" w:rsidRDefault="007554DF" w:rsidP="007554DF">
      <w:pPr>
        <w:keepNext/>
        <w:keepLines/>
        <w:ind w:left="567" w:right="567"/>
        <w:rPr>
          <w:rFonts w:eastAsia="Calibri"/>
          <w:sz w:val="18"/>
        </w:rPr>
      </w:pPr>
    </w:p>
    <w:p w14:paraId="3AE27852" w14:textId="0250AEEA" w:rsidR="00125827" w:rsidRPr="007554DF" w:rsidRDefault="00125827" w:rsidP="007554DF">
      <w:pPr>
        <w:pStyle w:val="ListParagraph"/>
        <w:keepNext/>
        <w:keepLines/>
        <w:numPr>
          <w:ilvl w:val="0"/>
          <w:numId w:val="35"/>
        </w:numPr>
        <w:ind w:left="0" w:right="567" w:hanging="11"/>
        <w:rPr>
          <w:rFonts w:eastAsia="Calibri"/>
          <w:sz w:val="18"/>
        </w:rPr>
      </w:pPr>
      <w:r>
        <w:t>Die TWO vereinbarte, dass das Flussdiagramm 1 wie folgt geändert werden sollte:</w:t>
      </w:r>
    </w:p>
    <w:p w14:paraId="1D2EAB4C" w14:textId="77777777" w:rsidR="00125827" w:rsidRPr="00125827" w:rsidRDefault="00125827" w:rsidP="00125827">
      <w:pPr>
        <w:keepNext/>
        <w:rPr>
          <w:rFonts w:eastAsia="Calibri"/>
        </w:rPr>
      </w:pPr>
    </w:p>
    <w:p w14:paraId="226E3D5B" w14:textId="4735DAA7" w:rsidR="00125827" w:rsidRPr="00125827" w:rsidRDefault="005A377C" w:rsidP="00125827">
      <w:pPr>
        <w:keepNext/>
        <w:jc w:val="center"/>
        <w:rPr>
          <w:rFonts w:eastAsia="Calibri" w:cs="Arial"/>
          <w:sz w:val="22"/>
          <w:szCs w:val="22"/>
        </w:rPr>
      </w:pPr>
      <w:r w:rsidRPr="00125827">
        <w:rPr>
          <w:rFonts w:eastAsia="Calibri" w:cs="Arial"/>
          <w:noProof/>
          <w:sz w:val="22"/>
          <w:szCs w:val="22"/>
          <w:lang w:val="en-US" w:eastAsia="en-US"/>
        </w:rPr>
        <mc:AlternateContent>
          <mc:Choice Requires="wps">
            <w:drawing>
              <wp:anchor distT="0" distB="0" distL="114300" distR="114300" simplePos="0" relativeHeight="251662336" behindDoc="0" locked="0" layoutInCell="1" allowOverlap="1" wp14:anchorId="74998CA6" wp14:editId="35EAD7E0">
                <wp:simplePos x="0" y="0"/>
                <wp:positionH relativeFrom="column">
                  <wp:posOffset>3513463</wp:posOffset>
                </wp:positionH>
                <wp:positionV relativeFrom="paragraph">
                  <wp:posOffset>1443832</wp:posOffset>
                </wp:positionV>
                <wp:extent cx="992505" cy="860961"/>
                <wp:effectExtent l="0" t="0" r="17145" b="1587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860961"/>
                        </a:xfrm>
                        <a:prstGeom prst="rect">
                          <a:avLst/>
                        </a:prstGeom>
                        <a:solidFill>
                          <a:srgbClr val="FFFFFF"/>
                        </a:solidFill>
                        <a:ln w="9525">
                          <a:solidFill>
                            <a:srgbClr val="000000"/>
                          </a:solidFill>
                          <a:miter lim="800000"/>
                          <a:headEnd/>
                          <a:tailEnd/>
                        </a:ln>
                      </wps:spPr>
                      <wps:txbx>
                        <w:txbxContent>
                          <w:p w14:paraId="1F952F1A" w14:textId="77777777" w:rsidR="001E1FAC" w:rsidRPr="00AA432C" w:rsidRDefault="001E1FAC" w:rsidP="00125827">
                            <w:pPr>
                              <w:jc w:val="center"/>
                              <w:rPr>
                                <w:sz w:val="16"/>
                                <w:szCs w:val="16"/>
                                <w:u w:val="single"/>
                              </w:rPr>
                            </w:pPr>
                            <w:r>
                              <w:rPr>
                                <w:sz w:val="16"/>
                                <w:szCs w:val="16"/>
                                <w:highlight w:val="lightGray"/>
                                <w:u w:val="single"/>
                              </w:rPr>
                              <w:t>Kann das Merkmal durch eine Zeichnung / Fotoaufnahme veranschaulicht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98CA6" id="_x0000_t202" coordsize="21600,21600" o:spt="202" path="m,l,21600r21600,l21600,xe">
                <v:stroke joinstyle="miter"/>
                <v:path gradientshapeok="t" o:connecttype="rect"/>
              </v:shapetype>
              <v:shape id="Textfeld 2" o:spid="_x0000_s1026" type="#_x0000_t202" style="position:absolute;left:0;text-align:left;margin-left:276.65pt;margin-top:113.7pt;width:78.15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">
                <v:textbox>
                  <w:txbxContent>
                    <w:p w14:paraId="1F952F1A" w14:textId="77777777" w:rsidR="001E1FAC" w:rsidRPr="00AA432C" w:rsidRDefault="001E1FAC" w:rsidP="00125827">
                      <w:pPr>
                        <w:jc w:val="center"/>
                        <w:rPr>
                          <w:sz w:val="16"/>
                          <w:szCs w:val="16"/>
                          <w:u w:val="single"/>
                        </w:rPr>
                      </w:pPr>
                      <w:r>
                        <w:rPr>
                          <w:sz w:val="16"/>
                          <w:szCs w:val="16"/>
                          <w:highlight w:val="lightGray"/>
                          <w:u w:val="single"/>
                        </w:rPr>
                        <w:t>Kann das Merkmal durch eine Zeichnung / Fotoaufnahme veranschaulicht werden?</w:t>
                      </w:r>
                    </w:p>
                  </w:txbxContent>
                </v:textbox>
              </v:shape>
            </w:pict>
          </mc:Fallback>
        </mc:AlternateContent>
      </w:r>
      <w:r w:rsidR="00125827" w:rsidRPr="00125827">
        <w:rPr>
          <w:rFonts w:eastAsia="Calibri" w:cs="Arial"/>
          <w:noProof/>
          <w:sz w:val="22"/>
          <w:szCs w:val="22"/>
          <w:lang w:val="en-US" w:eastAsia="en-US"/>
        </w:rPr>
        <mc:AlternateContent>
          <mc:Choice Requires="wps">
            <w:drawing>
              <wp:anchor distT="0" distB="0" distL="114300" distR="114300" simplePos="0" relativeHeight="251664384" behindDoc="0" locked="0" layoutInCell="1" allowOverlap="1" wp14:anchorId="08081914" wp14:editId="39B6CB90">
                <wp:simplePos x="0" y="0"/>
                <wp:positionH relativeFrom="column">
                  <wp:posOffset>2335530</wp:posOffset>
                </wp:positionH>
                <wp:positionV relativeFrom="paragraph">
                  <wp:posOffset>1636923</wp:posOffset>
                </wp:positionV>
                <wp:extent cx="739688" cy="109728"/>
                <wp:effectExtent l="0" t="0" r="3810" b="508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88" cy="109728"/>
                        </a:xfrm>
                        <a:prstGeom prst="rect">
                          <a:avLst/>
                        </a:prstGeom>
                        <a:solidFill>
                          <a:srgbClr val="FFFFFF"/>
                        </a:solidFill>
                        <a:ln w="9525">
                          <a:noFill/>
                          <a:miter lim="800000"/>
                          <a:headEnd/>
                          <a:tailEnd/>
                        </a:ln>
                      </wps:spPr>
                      <wps:txbx>
                        <w:txbxContent>
                          <w:p w14:paraId="73E37C0E" w14:textId="77777777" w:rsidR="001E1FAC" w:rsidRDefault="001E1FAC" w:rsidP="00125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1914" id="_x0000_s1027" type="#_x0000_t202" style="position:absolute;left:0;text-align:left;margin-left:183.9pt;margin-top:128.9pt;width:58.2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" stroked="f">
                <v:textbox>
                  <w:txbxContent>
                    <w:p w14:paraId="73E37C0E" w14:textId="77777777" w:rsidR="001E1FAC" w:rsidRDefault="001E1FAC" w:rsidP="00125827"/>
                  </w:txbxContent>
                </v:textbox>
              </v:shape>
            </w:pict>
          </mc:Fallback>
        </mc:AlternateContent>
      </w:r>
      <w:r w:rsidR="00125827" w:rsidRPr="00125827">
        <w:rPr>
          <w:rFonts w:eastAsia="Calibri" w:cs="Arial"/>
          <w:noProof/>
          <w:sz w:val="22"/>
          <w:szCs w:val="22"/>
          <w:lang w:val="en-US" w:eastAsia="en-US"/>
        </w:rPr>
        <mc:AlternateContent>
          <mc:Choice Requires="wps">
            <w:drawing>
              <wp:anchor distT="0" distB="0" distL="114300" distR="114300" simplePos="0" relativeHeight="251663360" behindDoc="0" locked="0" layoutInCell="1" allowOverlap="1" wp14:anchorId="34AC2F1A" wp14:editId="20CF321C">
                <wp:simplePos x="0" y="0"/>
                <wp:positionH relativeFrom="column">
                  <wp:posOffset>2503067</wp:posOffset>
                </wp:positionH>
                <wp:positionV relativeFrom="paragraph">
                  <wp:posOffset>1745911</wp:posOffset>
                </wp:positionV>
                <wp:extent cx="557650" cy="951638"/>
                <wp:effectExtent l="38100" t="0" r="33020" b="58420"/>
                <wp:wrapNone/>
                <wp:docPr id="7" name="Gerade Verbindung mit Pfeil 4"/>
                <wp:cNvGraphicFramePr/>
                <a:graphic xmlns:a="http://schemas.openxmlformats.org/drawingml/2006/main">
                  <a:graphicData uri="http://schemas.microsoft.com/office/word/2010/wordprocessingShape">
                    <wps:wsp>
                      <wps:cNvCnPr/>
                      <wps:spPr>
                        <a:xfrm flipH="1">
                          <a:off x="0" y="0"/>
                          <a:ext cx="557650" cy="951638"/>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FC5EBA" id="_x0000_t32" coordsize="21600,21600" o:spt="32" o:oned="t" path="m,l21600,21600e" filled="f">
                <v:path arrowok="t" fillok="f" o:connecttype="none"/>
                <o:lock v:ext="edit" shapetype="t"/>
              </v:shapetype>
              <v:shape id="Gerade Verbindung mit Pfeil 4" o:spid="_x0000_s1026" type="#_x0000_t32" style="position:absolute;margin-left:197.1pt;margin-top:137.45pt;width:43.9pt;height:74.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" strokecolor="#e46c0a" strokeweight="1pt">
                <v:stroke endarrow="open"/>
              </v:shape>
            </w:pict>
          </mc:Fallback>
        </mc:AlternateContent>
      </w:r>
      <w:r w:rsidR="00125827" w:rsidRPr="00125827">
        <w:rPr>
          <w:rFonts w:eastAsia="Calibri" w:cs="Arial"/>
          <w:noProof/>
          <w:sz w:val="22"/>
          <w:szCs w:val="22"/>
          <w:lang w:val="en-US" w:eastAsia="en-US"/>
        </w:rPr>
        <w:drawing>
          <wp:inline distT="0" distB="0" distL="0" distR="0" wp14:anchorId="73C5BC47" wp14:editId="03D4F16C">
            <wp:extent cx="5760720" cy="4318737"/>
            <wp:effectExtent l="0" t="0" r="0" b="5715"/>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14:paraId="7A348F1E" w14:textId="77777777" w:rsidR="00125827" w:rsidRPr="00125827" w:rsidRDefault="00125827" w:rsidP="00125827"/>
    <w:p w14:paraId="4D63618B" w14:textId="77777777" w:rsidR="00125827" w:rsidRPr="00125827" w:rsidRDefault="00125827" w:rsidP="00125827"/>
    <w:p w14:paraId="78A1DDD8" w14:textId="68B3FD64" w:rsidR="00125827" w:rsidRPr="007554DF" w:rsidRDefault="00125827" w:rsidP="007554DF">
      <w:pPr>
        <w:pStyle w:val="ListParagraph"/>
        <w:numPr>
          <w:ilvl w:val="0"/>
          <w:numId w:val="35"/>
        </w:numPr>
        <w:ind w:left="0" w:firstLine="0"/>
        <w:rPr>
          <w:rFonts w:eastAsia="Calibri"/>
        </w:rPr>
      </w:pPr>
      <w:r>
        <w:rPr>
          <w:rFonts w:eastAsia="Calibri"/>
        </w:rPr>
        <w:t>Der TC prüfte auf seiner siebenundfünfzigsten Tagung</w:t>
      </w:r>
      <w:r w:rsidRPr="007554DF">
        <w:rPr>
          <w:rFonts w:eastAsia="Calibri"/>
        </w:rPr>
        <w:footnoteReference w:id="13"/>
      </w:r>
      <w:r>
        <w:rPr>
          <w:rFonts w:eastAsia="Calibri"/>
        </w:rPr>
        <w:t xml:space="preserve"> den Vorschlag zur Änderung von Dokument TGP/7, GN 28, Absatz 1.3 iii), und das Flussdiagramm 1. Der TC </w:t>
      </w:r>
      <w:r w:rsidRPr="007554DF">
        <w:rPr>
          <w:rFonts w:eastAsia="Calibri"/>
        </w:rPr>
        <w:t>vereinbarte, die TWP zu ersuchen, auf ihren Tagungen 2022 den Vorschlag zur Änderung von TGP/7 zu prüfen, um die Anforderung, Beispielssorten für quantitative Merkmale mit Sternchen bereitzustellen, wenn Abbildungen vorgelegt werden, abzuschaffen, und die Situationen klarzustellen, in denen Beispielssorten weiterhin erforderlich sein würden (vergleiche Dokument TC/57/25 „Bericht“, Absätze 40 und 41).</w:t>
      </w:r>
    </w:p>
    <w:p w14:paraId="74C8AB31" w14:textId="77777777" w:rsidR="00125827" w:rsidRPr="00125827" w:rsidRDefault="00125827" w:rsidP="00125827"/>
    <w:p w14:paraId="515C5D3A" w14:textId="77777777" w:rsidR="00D94808" w:rsidRPr="00C30583" w:rsidRDefault="0060434D" w:rsidP="00D94808">
      <w:pPr>
        <w:keepNext/>
        <w:rPr>
          <w:i/>
        </w:rPr>
      </w:pPr>
      <w:r>
        <w:rPr>
          <w:i/>
        </w:rPr>
        <w:t>Prüfung durch die Technischen Arbeitsgruppen auf ihren Tagungen 2022</w:t>
      </w:r>
    </w:p>
    <w:p w14:paraId="5F715F99" w14:textId="77777777" w:rsidR="0060434D" w:rsidRPr="00B02CEC" w:rsidRDefault="0060434D" w:rsidP="00D94808">
      <w:pPr>
        <w:keepNext/>
      </w:pPr>
    </w:p>
    <w:p w14:paraId="1B6D4F25" w14:textId="126FAB83" w:rsidR="00D94808" w:rsidRPr="007554DF" w:rsidRDefault="00D94808" w:rsidP="007554DF">
      <w:pPr>
        <w:pStyle w:val="ListParagraph"/>
        <w:numPr>
          <w:ilvl w:val="0"/>
          <w:numId w:val="35"/>
        </w:numPr>
        <w:ind w:left="0" w:firstLine="0"/>
        <w:rPr>
          <w:rFonts w:eastAsia="Calibri"/>
        </w:rPr>
      </w:pPr>
      <w:r w:rsidRPr="007554DF">
        <w:rPr>
          <w:rFonts w:eastAsia="Calibri"/>
        </w:rPr>
        <w:t>Die TWP prüften auf ihren Tagungen 2022 den Vorschlag zur Änderung von Dokument TGP/7, um die Anforderung, Beispielssorten für quantitative Merkmale mit Sternchen bereitzustellen, wenn Abbildungen vorgelegt werden, abzuschaffen, wie in Dokument TWP/6/1, Absätze 18 und 19 dargelegt (vergleiche Dokumente TWV/56/22 „Report“, Absatz 8; TWA/51/11 „Report“, Absatz 24; TWO/54/6 „Report“, Absätze 23 bis 25; TWF/53/14 „Report“, Absätze 9 und 10).</w:t>
      </w:r>
    </w:p>
    <w:p w14:paraId="4B81FAC2" w14:textId="77777777" w:rsidR="00D94808" w:rsidRPr="00153BC6" w:rsidRDefault="00D94808" w:rsidP="00D94808"/>
    <w:p w14:paraId="547DC6C8" w14:textId="4B14C1C1" w:rsidR="00D94808" w:rsidRPr="007554DF" w:rsidRDefault="00D94808" w:rsidP="007554DF">
      <w:pPr>
        <w:pStyle w:val="ListParagraph"/>
        <w:numPr>
          <w:ilvl w:val="0"/>
          <w:numId w:val="35"/>
        </w:numPr>
        <w:ind w:left="0" w:firstLine="0"/>
        <w:rPr>
          <w:rFonts w:eastAsia="Calibri"/>
        </w:rPr>
      </w:pPr>
      <w:r w:rsidRPr="007554DF">
        <w:rPr>
          <w:rFonts w:eastAsia="Calibri"/>
        </w:rPr>
        <w:t xml:space="preserve">Die TWV vereinbarte, dass weiterhin Beispielssorten für quantitative Merkmale mit Sternchen für Gemüsearten bereitgestellt werden sollten. </w:t>
      </w:r>
      <w:r w:rsidRPr="007554DF">
        <w:rPr>
          <w:rFonts w:eastAsia="Calibri"/>
        </w:rPr>
        <w:tab/>
        <w:t xml:space="preserve">Die TWV vereinbarte, dass Beispielssorten für Gemüsearten leicht bereitgestellt werden könnten und für die Harmonisierung der DUS-Prüfung und die Erstellung von Sortenbeschreibungen nützlich seien.  Die TWV erinnerte daran, dass die Anleitung in Dokument TGP/7 Beispielssorten für drei oder zwei Ausprägungsstufen verlange, je nach der verwendeten Notenskala (vergleiche Dokument TWV/56/22 „Report“, Absatz 9). </w:t>
      </w:r>
    </w:p>
    <w:p w14:paraId="783FCC7B" w14:textId="77777777" w:rsidR="00D94808" w:rsidRPr="00B02CEC" w:rsidRDefault="00D94808" w:rsidP="00D94808"/>
    <w:p w14:paraId="4294851E" w14:textId="471D241D" w:rsidR="00D94808" w:rsidRPr="0080006E" w:rsidRDefault="00D94808" w:rsidP="007554DF">
      <w:pPr>
        <w:pStyle w:val="ListParagraph"/>
        <w:numPr>
          <w:ilvl w:val="0"/>
          <w:numId w:val="35"/>
        </w:numPr>
        <w:ind w:left="0" w:firstLine="0"/>
      </w:pPr>
      <w:r>
        <w:t>Die TWA vereinbarte, dass weiterhin Beispielssorten für quantitative Merkmale mit Sternchen für Gemüsearten erforderlich sein sollten.  Die TWA vereinbarte, dass Abbildungen nützlich seien und Merkmale so viel wie möglich veranschaulicht werden sollten, zusätzlich zur Bereitstellung von Beispielssorten.  Die TWA vereinbarte, dass in Ausnahmefällen, wenn es nicht möglich ist, Beispielssorten bereitzustellen, Beispielssorten für mit Sternchen versehene quantitative Merkmale durch Abbildungen ersetzt werden könnten (vergleiche Dokument TWA/51/11 „</w:t>
      </w:r>
      <w:r>
        <w:rPr>
          <w:i/>
          <w:iCs/>
        </w:rPr>
        <w:t>Report</w:t>
      </w:r>
      <w:r>
        <w:t>“, Absätze 25 und 26).</w:t>
      </w:r>
    </w:p>
    <w:p w14:paraId="56C3A23E" w14:textId="77777777" w:rsidR="00D94808" w:rsidRPr="0080006E" w:rsidRDefault="00D94808" w:rsidP="00D94808"/>
    <w:p w14:paraId="2A341644" w14:textId="3F133E22" w:rsidR="00D94808" w:rsidRPr="0080006E" w:rsidRDefault="00D94808" w:rsidP="007554DF">
      <w:pPr>
        <w:pStyle w:val="ListParagraph"/>
        <w:numPr>
          <w:ilvl w:val="0"/>
          <w:numId w:val="35"/>
        </w:numPr>
        <w:ind w:left="0" w:firstLine="0"/>
      </w:pPr>
      <w:r>
        <w:t>Die TWA prüfte das Flussdiagramm 2 „</w:t>
      </w:r>
      <w:r w:rsidRPr="007554DF">
        <w:t>Entscheidung über die Notwendigkeit von Beispielssorten: Regionale Serien von Beispielssorten</w:t>
      </w:r>
      <w:r>
        <w:t>“, enthalten in Dokument TGP/7, GN 28.  Die TWA vereinbarte, dass das Verfahren zur Entscheidung darüber, ob Beispielssorten für regionale Serien von Beispielssorten erforderlich sind, dasselbe sei wie für die Prüfungsrichtlinien.  Die TWA vereinbarte, die Löschung von „Flussdiagramm 2“ und die Änderung von Flussdiagramm 1 vorzuschlagen, um den Hinweis auf regionale Serien von Beispielssorten abzuschaffen.</w:t>
      </w:r>
    </w:p>
    <w:p w14:paraId="2B46FE34" w14:textId="77777777" w:rsidR="00D94808" w:rsidRPr="0080006E" w:rsidRDefault="00D94808" w:rsidP="007554DF">
      <w:pPr>
        <w:pStyle w:val="ListParagraph"/>
        <w:ind w:left="0"/>
      </w:pPr>
    </w:p>
    <w:p w14:paraId="5D92E003" w14:textId="3F65AB6B" w:rsidR="00D94808" w:rsidRPr="007554DF" w:rsidRDefault="00D94808" w:rsidP="007554DF">
      <w:pPr>
        <w:pStyle w:val="ListParagraph"/>
        <w:numPr>
          <w:ilvl w:val="0"/>
          <w:numId w:val="35"/>
        </w:numPr>
        <w:ind w:left="0" w:firstLine="0"/>
      </w:pPr>
      <w:r>
        <w:t xml:space="preserve">Die TWO vereinbarte, eine Änderung von Dokument TGP/7 vorzuschlagen, um die Anforderung, Beispielssorten für mit Sternchen versehene quantitative und pseudoqualitative Merkmale bereitzustellen, abzuschaffen, wenn Abbildungen vorgelegt werden, </w:t>
      </w:r>
      <w:r w:rsidRPr="007554DF">
        <w:t xml:space="preserve">und schlug folgenden Wortlaut vor </w:t>
      </w:r>
      <w:r>
        <w:t>(vergleiche Dokument TWO/54/6 „</w:t>
      </w:r>
      <w:r w:rsidRPr="007554DF">
        <w:t>Report</w:t>
      </w:r>
      <w:r>
        <w:t>“, Absätze 23 bis 25):</w:t>
      </w:r>
    </w:p>
    <w:p w14:paraId="66A8CC19" w14:textId="77777777" w:rsidR="00D94808" w:rsidRPr="00C036D2" w:rsidRDefault="00D94808" w:rsidP="00D94808">
      <w:pPr>
        <w:keepNext/>
        <w:keepLines/>
      </w:pPr>
    </w:p>
    <w:p w14:paraId="74AAC255" w14:textId="77777777" w:rsidR="00D94808" w:rsidRPr="00545D31" w:rsidRDefault="00D94808" w:rsidP="00D94808">
      <w:pPr>
        <w:keepNext/>
        <w:keepLines/>
        <w:ind w:left="567" w:right="567"/>
        <w:rPr>
          <w:rFonts w:eastAsia="Calibri"/>
        </w:rPr>
      </w:pPr>
      <w:r>
        <w:rPr>
          <w:rFonts w:eastAsia="Calibri"/>
        </w:rPr>
        <w:t>„iii)</w:t>
      </w:r>
      <w:r>
        <w:rPr>
          <w:rFonts w:eastAsia="Calibri"/>
        </w:rPr>
        <w:tab/>
        <w:t xml:space="preserve">Ist das Merkmal für die internationale Harmonisierung von Sortenbeschreibungen wichtig (Merkmale mit Sternchen) </w:t>
      </w:r>
      <w:r>
        <w:rPr>
          <w:rFonts w:eastAsia="Calibri"/>
          <w:strike/>
          <w:highlight w:val="lightGray"/>
        </w:rPr>
        <w:t xml:space="preserve">und </w:t>
      </w:r>
      <w:r>
        <w:rPr>
          <w:rFonts w:eastAsia="Calibri"/>
          <w:highlight w:val="lightGray"/>
          <w:u w:val="single"/>
        </w:rPr>
        <w:t>,</w:t>
      </w:r>
      <w:r>
        <w:rPr>
          <w:rFonts w:eastAsia="Calibri"/>
        </w:rPr>
        <w:t xml:space="preserve">wird </w:t>
      </w:r>
      <w:r>
        <w:rPr>
          <w:rFonts w:eastAsia="Calibri"/>
          <w:highlight w:val="lightGray"/>
          <w:u w:val="single"/>
        </w:rPr>
        <w:t>es</w:t>
      </w:r>
      <w:r>
        <w:rPr>
          <w:rFonts w:eastAsia="Calibri"/>
        </w:rPr>
        <w:t xml:space="preserve"> von der Umwelt beeinflusst</w:t>
      </w:r>
      <w:r>
        <w:rPr>
          <w:rFonts w:eastAsia="Calibri"/>
          <w:u w:val="single"/>
        </w:rPr>
        <w:t xml:space="preserve"> </w:t>
      </w:r>
      <w:r>
        <w:rPr>
          <w:rFonts w:eastAsia="Calibri"/>
          <w:highlight w:val="lightGray"/>
          <w:u w:val="single"/>
        </w:rPr>
        <w:t>und</w:t>
      </w:r>
      <w:r>
        <w:rPr>
          <w:rFonts w:eastAsia="Calibri"/>
        </w:rPr>
        <w:t xml:space="preserve"> </w:t>
      </w:r>
      <w:r>
        <w:rPr>
          <w:rFonts w:eastAsia="Calibri"/>
          <w:highlight w:val="lightGray"/>
          <w:u w:val="single"/>
        </w:rPr>
        <w:t>kann es nicht anhand von Fotoaufnahmen oder Zeichnungen in sinnvoller Weise veranschaulicht werden</w:t>
      </w:r>
      <w:r>
        <w:rPr>
          <w:rFonts w:eastAsia="Calibri"/>
        </w:rPr>
        <w:t xml:space="preserve"> </w:t>
      </w:r>
      <w:r>
        <w:rPr>
          <w:rFonts w:eastAsia="Calibri"/>
          <w:strike/>
          <w:highlight w:val="lightGray"/>
        </w:rPr>
        <w:t>(die meisten qualitativen und pseudoqualitativen Merkmale), oder sind Beispielssorten für die Veranschaulichung des Merkmals erforderlich (vgl. Abschnitt 3.1)</w:t>
      </w:r>
      <w:r>
        <w:rPr>
          <w:rFonts w:eastAsia="Calibri"/>
          <w:highlight w:val="lightGray"/>
          <w:u w:val="single"/>
        </w:rPr>
        <w:t>,</w:t>
      </w:r>
      <w:r>
        <w:rPr>
          <w:rFonts w:eastAsia="Calibri"/>
        </w:rPr>
        <w:t xml:space="preserve"> müssen Beispielssorten bereitgestellt werden. </w:t>
      </w:r>
    </w:p>
    <w:p w14:paraId="55EE1C42" w14:textId="77777777" w:rsidR="00D94808" w:rsidRPr="00545D31" w:rsidRDefault="00D94808" w:rsidP="00D94808">
      <w:pPr>
        <w:keepNext/>
        <w:keepLines/>
        <w:ind w:left="567" w:right="567"/>
        <w:rPr>
          <w:rFonts w:eastAsia="Calibri"/>
        </w:rPr>
      </w:pPr>
    </w:p>
    <w:p w14:paraId="2ABEE0AD" w14:textId="77777777" w:rsidR="00D94808" w:rsidRPr="00595C08" w:rsidRDefault="00D94808" w:rsidP="00D94808">
      <w:pPr>
        <w:keepNext/>
        <w:keepLines/>
        <w:ind w:left="567" w:right="567"/>
        <w:rPr>
          <w:rFonts w:eastAsia="Calibri"/>
          <w:u w:val="single"/>
        </w:rPr>
      </w:pPr>
      <w:r>
        <w:rPr>
          <w:rFonts w:eastAsia="Calibri"/>
          <w:highlight w:val="lightGray"/>
          <w:u w:val="single"/>
        </w:rPr>
        <w:t>„Bei Arten, bei denen die Ausprägungsbreite auf dem Sortenniveau für ein quantitatives Merkmal (das nicht gemessen werden kann) hoch ist, wäre es nicht angebracht, die Ausprägungsstufen ausschließlich mit einer Zeichnung oder Fotoaufnahme zu illustrieren.  In diesen Fällen wären Beispielssorten erforderlich.“</w:t>
      </w:r>
    </w:p>
    <w:p w14:paraId="77BE185F" w14:textId="77777777" w:rsidR="00D94808" w:rsidRPr="00C26AC6" w:rsidRDefault="00D94808" w:rsidP="00D94808">
      <w:pPr>
        <w:keepNext/>
        <w:keepLines/>
        <w:ind w:left="567" w:right="567"/>
        <w:rPr>
          <w:rFonts w:eastAsia="Calibri"/>
          <w:sz w:val="18"/>
          <w:highlight w:val="lightGray"/>
          <w:u w:val="single"/>
        </w:rPr>
      </w:pPr>
    </w:p>
    <w:p w14:paraId="52B9F84F" w14:textId="76A11F65" w:rsidR="00D94808" w:rsidRDefault="00D94808" w:rsidP="007554DF">
      <w:pPr>
        <w:pStyle w:val="ListParagraph"/>
        <w:numPr>
          <w:ilvl w:val="0"/>
          <w:numId w:val="35"/>
        </w:numPr>
        <w:ind w:left="0" w:firstLine="0"/>
      </w:pPr>
      <w:r>
        <w:t>Die TWO nahm zur Kenntnis, dass Prüfungsrichtlinien für Zierpflanzen zahlreiche quantitative und pseudoqualitative Blütenmerkmale beinhalten, die nicht gemessen und nur visuell erfasst wurden (VG).  Die TWO vereinbarte, dass die Verwendung von Abbildungen geeignet wäre, um Beispielssorten für diese Merkmale zu ersetzen und die internationale Harmonisierung weiter zu erleichtern.  Die TWO vereinbarte, dass die folgenden Merkmale als Beispiele für das Vorgehen zur Ersetzung von Beispielssorten verwendet werden könnten, wenn Abbildungen vorgelegt werden:</w:t>
      </w:r>
    </w:p>
    <w:p w14:paraId="4377DC05" w14:textId="77777777" w:rsidR="00D94808" w:rsidRDefault="00D94808" w:rsidP="00D94808"/>
    <w:p w14:paraId="6840862E" w14:textId="77777777" w:rsidR="00D94808" w:rsidRDefault="00D94808" w:rsidP="00D94808">
      <w:pPr>
        <w:pStyle w:val="ListParagraph"/>
        <w:keepNext/>
        <w:numPr>
          <w:ilvl w:val="0"/>
          <w:numId w:val="30"/>
        </w:numPr>
      </w:pPr>
      <w:r>
        <w:t>Dokument TG/336/1 „Coreopsis“:</w:t>
      </w:r>
    </w:p>
    <w:tbl>
      <w:tblPr>
        <w:tblOverlap w:val="never"/>
        <w:tblW w:w="9299" w:type="dxa"/>
        <w:tblInd w:w="567" w:type="dxa"/>
        <w:tblLayout w:type="fixed"/>
        <w:tblLook w:val="01E0" w:firstRow="1" w:lastRow="1" w:firstColumn="1" w:lastColumn="1" w:noHBand="0" w:noVBand="0"/>
      </w:tblPr>
      <w:tblGrid>
        <w:gridCol w:w="9299"/>
      </w:tblGrid>
      <w:tr w:rsidR="00D94808" w:rsidRPr="008162C5" w14:paraId="07EC75C0" w14:textId="77777777" w:rsidTr="00AD30F9">
        <w:trPr>
          <w:trHeight w:val="230"/>
          <w:hidden/>
        </w:trPr>
        <w:tc>
          <w:tcPr>
            <w:tcW w:w="9299" w:type="dxa"/>
            <w:tcMar>
              <w:top w:w="0" w:type="dxa"/>
              <w:left w:w="0" w:type="dxa"/>
              <w:bottom w:w="0" w:type="dxa"/>
              <w:right w:w="0" w:type="dxa"/>
            </w:tcMar>
          </w:tcPr>
          <w:p w14:paraId="0E686ECD" w14:textId="77777777" w:rsidR="00D94808" w:rsidRPr="008162C5" w:rsidRDefault="00D94808" w:rsidP="00AD30F9">
            <w:pPr>
              <w:keepNex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4808" w:rsidRPr="008162C5" w14:paraId="6B3D4686" w14:textId="77777777" w:rsidTr="00AD30F9">
              <w:tc>
                <w:tcPr>
                  <w:tcW w:w="9299" w:type="dxa"/>
                  <w:tcMar>
                    <w:top w:w="0" w:type="dxa"/>
                    <w:left w:w="0" w:type="dxa"/>
                    <w:bottom w:w="0" w:type="dxa"/>
                    <w:right w:w="0" w:type="dxa"/>
                  </w:tcMar>
                </w:tcPr>
                <w:p w14:paraId="576F6B03" w14:textId="77777777" w:rsidR="00D94808" w:rsidRPr="00F440F1" w:rsidRDefault="00D94808" w:rsidP="00AD30F9">
                  <w:pPr>
                    <w:keepNext/>
                  </w:pPr>
                  <w:r>
                    <w:rPr>
                      <w:rFonts w:eastAsia="Arial" w:cs="Arial"/>
                      <w:color w:val="000000"/>
                    </w:rPr>
                    <w:t>Zu 24: Zungenblüte: Stellung des basalen Teils (QN)</w:t>
                  </w:r>
                </w:p>
                <w:p w14:paraId="6869494C" w14:textId="77777777" w:rsidR="00D94808" w:rsidRPr="008162C5" w:rsidRDefault="00D94808" w:rsidP="00AD30F9">
                  <w:pPr>
                    <w:keepNext/>
                  </w:pPr>
                  <w:r w:rsidRPr="008162C5">
                    <w:rPr>
                      <w:rFonts w:eastAsia="Arial" w:cs="Arial"/>
                      <w:color w:val="000000"/>
                    </w:rPr>
                    <w:t xml:space="preserve">  </w:t>
                  </w:r>
                </w:p>
                <w:tbl>
                  <w:tblPr>
                    <w:tblOverlap w:val="never"/>
                    <w:tblW w:w="7088" w:type="dxa"/>
                    <w:tblInd w:w="422" w:type="dxa"/>
                    <w:tblLayout w:type="fixed"/>
                    <w:tblLook w:val="01E0" w:firstRow="1" w:lastRow="1" w:firstColumn="1" w:lastColumn="1" w:noHBand="0" w:noVBand="0"/>
                  </w:tblPr>
                  <w:tblGrid>
                    <w:gridCol w:w="1701"/>
                    <w:gridCol w:w="1701"/>
                    <w:gridCol w:w="1843"/>
                    <w:gridCol w:w="1843"/>
                  </w:tblGrid>
                  <w:tr w:rsidR="00D94808" w:rsidRPr="008162C5" w14:paraId="6956DBBD" w14:textId="77777777" w:rsidTr="00DD2541">
                    <w:tc>
                      <w:tcPr>
                        <w:tcW w:w="1701" w:type="dxa"/>
                        <w:tcMar>
                          <w:top w:w="0" w:type="dxa"/>
                          <w:left w:w="0" w:type="dxa"/>
                          <w:bottom w:w="0" w:type="dxa"/>
                          <w:right w:w="0" w:type="dxa"/>
                        </w:tcMar>
                      </w:tcPr>
                      <w:p w14:paraId="2A2DE870"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69504" behindDoc="0" locked="0" layoutInCell="1" allowOverlap="1" wp14:anchorId="1B3E7901" wp14:editId="46B4DAC1">
                                  <wp:simplePos x="0" y="0"/>
                                  <wp:positionH relativeFrom="column">
                                    <wp:posOffset>0</wp:posOffset>
                                  </wp:positionH>
                                  <wp:positionV relativeFrom="paragraph">
                                    <wp:posOffset>0</wp:posOffset>
                                  </wp:positionV>
                                  <wp:extent cx="635000" cy="635000"/>
                                  <wp:effectExtent l="0" t="0" r="3175" b="3175"/>
                                  <wp:wrapNone/>
                                  <wp:docPr id="175"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6BDD2" id="AutoShape 20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x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Pyzx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2338EB37" wp14:editId="59A4734C">
                              <wp:extent cx="753110" cy="532765"/>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3E3AE5E2"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0528" behindDoc="0" locked="0" layoutInCell="1" allowOverlap="1" wp14:anchorId="14E80E0B" wp14:editId="256F70E6">
                                  <wp:simplePos x="0" y="0"/>
                                  <wp:positionH relativeFrom="column">
                                    <wp:posOffset>0</wp:posOffset>
                                  </wp:positionH>
                                  <wp:positionV relativeFrom="paragraph">
                                    <wp:posOffset>0</wp:posOffset>
                                  </wp:positionV>
                                  <wp:extent cx="635000" cy="635000"/>
                                  <wp:effectExtent l="0" t="0" r="3175" b="3175"/>
                                  <wp:wrapNone/>
                                  <wp:docPr id="174"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948FD" id="AutoShape 20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2MYCRpByLdba3yuVESpR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7X/S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3F4AE42C" wp14:editId="372043CD">
                              <wp:extent cx="875030" cy="4940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7491D6BB"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1552" behindDoc="0" locked="0" layoutInCell="1" allowOverlap="1" wp14:anchorId="6BD5E4D0" wp14:editId="07B7FB7F">
                                  <wp:simplePos x="0" y="0"/>
                                  <wp:positionH relativeFrom="column">
                                    <wp:posOffset>0</wp:posOffset>
                                  </wp:positionH>
                                  <wp:positionV relativeFrom="paragraph">
                                    <wp:posOffset>0</wp:posOffset>
                                  </wp:positionV>
                                  <wp:extent cx="635000" cy="635000"/>
                                  <wp:effectExtent l="0" t="0" r="3175" b="3175"/>
                                  <wp:wrapNone/>
                                  <wp:docPr id="17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94B3A" id="AutoShape 21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V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tcYCdJDke62VvrYKIkhaR1rGuqq67I1KJPDpUf1oJ1eo+5l/c0gIR8ph2y7U2AsOyI29M6oV1ta&#10;y6GjpAENHi+8AHSGAWi0Hj7KBqgQoOITu2917wJCytDe1+/pVD+6t6iGzen1JIqAcA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R/9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3837FB66" wp14:editId="56B43DBD">
                              <wp:extent cx="904875" cy="459740"/>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19E7B6A7"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2576" behindDoc="0" locked="0" layoutInCell="1" allowOverlap="1" wp14:anchorId="5BB152A7" wp14:editId="3CBCA616">
                                  <wp:simplePos x="0" y="0"/>
                                  <wp:positionH relativeFrom="column">
                                    <wp:posOffset>0</wp:posOffset>
                                  </wp:positionH>
                                  <wp:positionV relativeFrom="paragraph">
                                    <wp:posOffset>0</wp:posOffset>
                                  </wp:positionV>
                                  <wp:extent cx="635000" cy="635000"/>
                                  <wp:effectExtent l="0" t="0" r="3175" b="3175"/>
                                  <wp:wrapNone/>
                                  <wp:docPr id="172"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F365E" id="AutoShape 21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cK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BSJAeRLrbWulzoySOMe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JycK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2C3C7688" wp14:editId="269BFF66">
                              <wp:extent cx="953770" cy="464820"/>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94808" w:rsidRPr="008162C5" w14:paraId="0ACFC6C5" w14:textId="77777777" w:rsidTr="00DD2541">
                    <w:tc>
                      <w:tcPr>
                        <w:tcW w:w="1701" w:type="dxa"/>
                        <w:tcMar>
                          <w:top w:w="0" w:type="dxa"/>
                          <w:left w:w="0" w:type="dxa"/>
                          <w:bottom w:w="0" w:type="dxa"/>
                          <w:right w:w="0" w:type="dxa"/>
                        </w:tcMar>
                      </w:tcPr>
                      <w:p w14:paraId="4438CEE8" w14:textId="77777777" w:rsidR="00D94808" w:rsidRPr="008162C5" w:rsidRDefault="00D94808" w:rsidP="00AD30F9">
                        <w:pPr>
                          <w:keepNext/>
                          <w:jc w:val="center"/>
                        </w:pPr>
                        <w:r>
                          <w:rPr>
                            <w:rFonts w:eastAsia="Arial" w:cs="Arial"/>
                            <w:color w:val="000000"/>
                          </w:rPr>
                          <w:t>1</w:t>
                        </w:r>
                      </w:p>
                    </w:tc>
                    <w:tc>
                      <w:tcPr>
                        <w:tcW w:w="1701" w:type="dxa"/>
                        <w:tcMar>
                          <w:top w:w="0" w:type="dxa"/>
                          <w:left w:w="0" w:type="dxa"/>
                          <w:bottom w:w="0" w:type="dxa"/>
                          <w:right w:w="0" w:type="dxa"/>
                        </w:tcMar>
                      </w:tcPr>
                      <w:p w14:paraId="52666DAD" w14:textId="77777777" w:rsidR="00D94808" w:rsidRPr="008162C5" w:rsidRDefault="00D94808" w:rsidP="00AD30F9">
                        <w:pPr>
                          <w:keepNext/>
                          <w:jc w:val="center"/>
                        </w:pPr>
                        <w:r>
                          <w:rPr>
                            <w:rFonts w:eastAsia="Arial" w:cs="Arial"/>
                            <w:color w:val="000000"/>
                          </w:rPr>
                          <w:t>2</w:t>
                        </w:r>
                      </w:p>
                    </w:tc>
                    <w:tc>
                      <w:tcPr>
                        <w:tcW w:w="1843" w:type="dxa"/>
                        <w:tcMar>
                          <w:top w:w="0" w:type="dxa"/>
                          <w:left w:w="0" w:type="dxa"/>
                          <w:bottom w:w="0" w:type="dxa"/>
                          <w:right w:w="0" w:type="dxa"/>
                        </w:tcMar>
                      </w:tcPr>
                      <w:p w14:paraId="3E8A660E" w14:textId="77777777" w:rsidR="00D94808" w:rsidRPr="008162C5" w:rsidRDefault="00D94808" w:rsidP="00AD30F9">
                        <w:pPr>
                          <w:keepNext/>
                          <w:jc w:val="center"/>
                        </w:pPr>
                        <w:r>
                          <w:rPr>
                            <w:rFonts w:eastAsia="Arial" w:cs="Arial"/>
                            <w:color w:val="000000"/>
                          </w:rPr>
                          <w:t>3</w:t>
                        </w:r>
                      </w:p>
                    </w:tc>
                    <w:tc>
                      <w:tcPr>
                        <w:tcW w:w="1843" w:type="dxa"/>
                        <w:tcMar>
                          <w:top w:w="0" w:type="dxa"/>
                          <w:left w:w="0" w:type="dxa"/>
                          <w:bottom w:w="0" w:type="dxa"/>
                          <w:right w:w="0" w:type="dxa"/>
                        </w:tcMar>
                      </w:tcPr>
                      <w:p w14:paraId="5E7A099D" w14:textId="77777777" w:rsidR="00D94808" w:rsidRPr="008162C5" w:rsidRDefault="00D94808" w:rsidP="00AD30F9">
                        <w:pPr>
                          <w:keepNext/>
                          <w:jc w:val="center"/>
                        </w:pPr>
                        <w:r>
                          <w:rPr>
                            <w:rFonts w:eastAsia="Arial" w:cs="Arial"/>
                            <w:color w:val="000000"/>
                          </w:rPr>
                          <w:t>4</w:t>
                        </w:r>
                      </w:p>
                    </w:tc>
                  </w:tr>
                  <w:tr w:rsidR="00D94808" w:rsidRPr="008162C5" w14:paraId="2305C14F" w14:textId="77777777" w:rsidTr="00DD2541">
                    <w:tc>
                      <w:tcPr>
                        <w:tcW w:w="1701" w:type="dxa"/>
                        <w:tcMar>
                          <w:top w:w="0" w:type="dxa"/>
                          <w:left w:w="0" w:type="dxa"/>
                          <w:bottom w:w="0" w:type="dxa"/>
                          <w:right w:w="0" w:type="dxa"/>
                        </w:tcMar>
                      </w:tcPr>
                      <w:p w14:paraId="60093B45" w14:textId="77777777" w:rsidR="00D94808" w:rsidRPr="008162C5" w:rsidRDefault="00D94808" w:rsidP="00AD30F9">
                        <w:pPr>
                          <w:keepNext/>
                          <w:jc w:val="center"/>
                        </w:pPr>
                        <w:r>
                          <w:rPr>
                            <w:rFonts w:eastAsia="Arial" w:cs="Arial"/>
                            <w:color w:val="000000"/>
                          </w:rPr>
                          <w:t>stark nach</w:t>
                        </w:r>
                        <w:r>
                          <w:rPr>
                            <w:rFonts w:eastAsia="Arial" w:cs="Arial"/>
                            <w:color w:val="000000"/>
                          </w:rPr>
                          <w:br/>
                          <w:t>oben stehend</w:t>
                        </w:r>
                      </w:p>
                    </w:tc>
                    <w:tc>
                      <w:tcPr>
                        <w:tcW w:w="1701" w:type="dxa"/>
                        <w:tcMar>
                          <w:top w:w="0" w:type="dxa"/>
                          <w:left w:w="0" w:type="dxa"/>
                          <w:bottom w:w="0" w:type="dxa"/>
                          <w:right w:w="0" w:type="dxa"/>
                        </w:tcMar>
                      </w:tcPr>
                      <w:p w14:paraId="5D33BFC0" w14:textId="77777777" w:rsidR="00D94808" w:rsidRPr="008162C5" w:rsidRDefault="00D94808" w:rsidP="00AD30F9">
                        <w:pPr>
                          <w:keepNext/>
                          <w:jc w:val="center"/>
                        </w:pPr>
                        <w:r>
                          <w:rPr>
                            <w:rFonts w:eastAsia="Arial" w:cs="Arial"/>
                            <w:color w:val="000000"/>
                          </w:rPr>
                          <w:t>mäßig nach oben stehend</w:t>
                        </w:r>
                      </w:p>
                    </w:tc>
                    <w:tc>
                      <w:tcPr>
                        <w:tcW w:w="1843" w:type="dxa"/>
                        <w:tcMar>
                          <w:top w:w="0" w:type="dxa"/>
                          <w:left w:w="0" w:type="dxa"/>
                          <w:bottom w:w="0" w:type="dxa"/>
                          <w:right w:w="0" w:type="dxa"/>
                        </w:tcMar>
                      </w:tcPr>
                      <w:p w14:paraId="255001FE" w14:textId="77777777" w:rsidR="00D94808" w:rsidRPr="008162C5" w:rsidRDefault="00D94808" w:rsidP="00AD30F9">
                        <w:pPr>
                          <w:keepNext/>
                          <w:jc w:val="center"/>
                        </w:pPr>
                        <w:r>
                          <w:rPr>
                            <w:rFonts w:eastAsia="Arial" w:cs="Arial"/>
                            <w:color w:val="000000"/>
                          </w:rPr>
                          <w:t>leicht nach</w:t>
                        </w:r>
                        <w:r>
                          <w:rPr>
                            <w:rFonts w:eastAsia="Arial" w:cs="Arial"/>
                            <w:color w:val="000000"/>
                          </w:rPr>
                          <w:br/>
                          <w:t>oben stehend</w:t>
                        </w:r>
                      </w:p>
                    </w:tc>
                    <w:tc>
                      <w:tcPr>
                        <w:tcW w:w="1843" w:type="dxa"/>
                        <w:tcMar>
                          <w:top w:w="0" w:type="dxa"/>
                          <w:left w:w="0" w:type="dxa"/>
                          <w:bottom w:w="0" w:type="dxa"/>
                          <w:right w:w="0" w:type="dxa"/>
                        </w:tcMar>
                      </w:tcPr>
                      <w:p w14:paraId="09692D91" w14:textId="77777777" w:rsidR="00D94808" w:rsidRPr="008162C5" w:rsidRDefault="00D94808" w:rsidP="00AD30F9">
                        <w:pPr>
                          <w:keepNext/>
                          <w:jc w:val="center"/>
                        </w:pPr>
                        <w:r>
                          <w:rPr>
                            <w:rFonts w:eastAsia="Arial" w:cs="Arial"/>
                            <w:color w:val="000000"/>
                          </w:rPr>
                          <w:t>horizontal</w:t>
                        </w:r>
                      </w:p>
                    </w:tc>
                  </w:tr>
                </w:tbl>
                <w:p w14:paraId="2ED5BEEE" w14:textId="77777777" w:rsidR="00D94808" w:rsidRPr="008162C5" w:rsidRDefault="00D94808" w:rsidP="00AD30F9">
                  <w:pPr>
                    <w:keepNext/>
                  </w:pPr>
                </w:p>
                <w:tbl>
                  <w:tblPr>
                    <w:tblOverlap w:val="never"/>
                    <w:tblW w:w="5529" w:type="dxa"/>
                    <w:tblInd w:w="422" w:type="dxa"/>
                    <w:tblLayout w:type="fixed"/>
                    <w:tblLook w:val="01E0" w:firstRow="1" w:lastRow="1" w:firstColumn="1" w:lastColumn="1" w:noHBand="0" w:noVBand="0"/>
                  </w:tblPr>
                  <w:tblGrid>
                    <w:gridCol w:w="1985"/>
                    <w:gridCol w:w="1843"/>
                    <w:gridCol w:w="1701"/>
                  </w:tblGrid>
                  <w:tr w:rsidR="00D94808" w:rsidRPr="008162C5" w14:paraId="3C4F9569" w14:textId="77777777" w:rsidTr="00DD2541">
                    <w:tc>
                      <w:tcPr>
                        <w:tcW w:w="1985" w:type="dxa"/>
                        <w:tcMar>
                          <w:top w:w="0" w:type="dxa"/>
                          <w:left w:w="0" w:type="dxa"/>
                          <w:bottom w:w="0" w:type="dxa"/>
                          <w:right w:w="0" w:type="dxa"/>
                        </w:tcMar>
                      </w:tcPr>
                      <w:p w14:paraId="590A7206"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3600" behindDoc="0" locked="0" layoutInCell="1" allowOverlap="1" wp14:anchorId="49A1A42D" wp14:editId="59242E0F">
                                  <wp:simplePos x="0" y="0"/>
                                  <wp:positionH relativeFrom="column">
                                    <wp:posOffset>0</wp:posOffset>
                                  </wp:positionH>
                                  <wp:positionV relativeFrom="paragraph">
                                    <wp:posOffset>0</wp:posOffset>
                                  </wp:positionV>
                                  <wp:extent cx="635000" cy="635000"/>
                                  <wp:effectExtent l="0" t="0" r="3175" b="3175"/>
                                  <wp:wrapNone/>
                                  <wp:docPr id="171"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134A3" id="AutoShape 21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GSJAeRLrbWulzoyRO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hk/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5C07DBE0" wp14:editId="348B05D4">
                              <wp:extent cx="1104900" cy="49403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00C5278D"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4624" behindDoc="0" locked="0" layoutInCell="1" allowOverlap="1" wp14:anchorId="546B6D9B" wp14:editId="3858BA1C">
                                  <wp:simplePos x="0" y="0"/>
                                  <wp:positionH relativeFrom="column">
                                    <wp:posOffset>0</wp:posOffset>
                                  </wp:positionH>
                                  <wp:positionV relativeFrom="paragraph">
                                    <wp:posOffset>0</wp:posOffset>
                                  </wp:positionV>
                                  <wp:extent cx="635000" cy="635000"/>
                                  <wp:effectExtent l="0" t="0" r="3175" b="3175"/>
                                  <wp:wrapNone/>
                                  <wp:docPr id="17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E837C" id="AutoShape 21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1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pAfQXoo0t3WSh8bJfE1Rh1rGuqq67I1KJPDpUf1oJ1eo+5l/c0gIR8ph2y7U2AsOyI29M6oV1ta&#10;y6GjpAENHi+8AHSGAWi0Hj7KBqgQoOITu2917wJCytDe1+/pVD+6t6iGzen1JIpARQ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5pe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3EE8A61B" wp14:editId="7E391CCB">
                              <wp:extent cx="953770" cy="400685"/>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268AF7C2" w14:textId="77777777" w:rsidR="00D94808" w:rsidRPr="008162C5" w:rsidRDefault="00D94808" w:rsidP="00AD30F9">
                        <w:pPr>
                          <w:keepNext/>
                          <w:jc w:val="center"/>
                        </w:pPr>
                        <w:r w:rsidRPr="008162C5">
                          <w:rPr>
                            <w:noProof/>
                            <w:lang w:val="en-US" w:eastAsia="en-US"/>
                          </w:rPr>
                          <mc:AlternateContent>
                            <mc:Choice Requires="wps">
                              <w:drawing>
                                <wp:anchor distT="0" distB="0" distL="114300" distR="114300" simplePos="0" relativeHeight="251675648" behindDoc="0" locked="0" layoutInCell="1" allowOverlap="1" wp14:anchorId="7012806B" wp14:editId="10D57FA3">
                                  <wp:simplePos x="0" y="0"/>
                                  <wp:positionH relativeFrom="column">
                                    <wp:posOffset>0</wp:posOffset>
                                  </wp:positionH>
                                  <wp:positionV relativeFrom="paragraph">
                                    <wp:posOffset>0</wp:posOffset>
                                  </wp:positionV>
                                  <wp:extent cx="635000" cy="635000"/>
                                  <wp:effectExtent l="0" t="0" r="3175" b="3175"/>
                                  <wp:wrapNone/>
                                  <wp:docPr id="169"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ACD23" id="AutoShape 21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4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0xUjSDkS621rlc6Mk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Rz4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val="en-US" w:eastAsia="en-US"/>
                          </w:rPr>
                          <w:drawing>
                            <wp:inline distT="0" distB="0" distL="0" distR="0" wp14:anchorId="698E3FF1" wp14:editId="1137F571">
                              <wp:extent cx="914400" cy="40068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94808" w:rsidRPr="008162C5" w14:paraId="5589B9C8" w14:textId="77777777" w:rsidTr="00DD2541">
                    <w:tc>
                      <w:tcPr>
                        <w:tcW w:w="1985" w:type="dxa"/>
                        <w:tcMar>
                          <w:top w:w="0" w:type="dxa"/>
                          <w:left w:w="0" w:type="dxa"/>
                          <w:bottom w:w="0" w:type="dxa"/>
                          <w:right w:w="0" w:type="dxa"/>
                        </w:tcMar>
                      </w:tcPr>
                      <w:p w14:paraId="5423AA82" w14:textId="77777777" w:rsidR="00D94808" w:rsidRPr="008162C5" w:rsidRDefault="00D94808" w:rsidP="00AD30F9">
                        <w:pPr>
                          <w:keepNext/>
                          <w:jc w:val="center"/>
                        </w:pPr>
                        <w:r>
                          <w:rPr>
                            <w:rFonts w:eastAsia="Arial" w:cs="Arial"/>
                            <w:color w:val="000000"/>
                          </w:rPr>
                          <w:t>5</w:t>
                        </w:r>
                      </w:p>
                    </w:tc>
                    <w:tc>
                      <w:tcPr>
                        <w:tcW w:w="1843" w:type="dxa"/>
                        <w:tcMar>
                          <w:top w:w="0" w:type="dxa"/>
                          <w:left w:w="0" w:type="dxa"/>
                          <w:bottom w:w="0" w:type="dxa"/>
                          <w:right w:w="0" w:type="dxa"/>
                        </w:tcMar>
                      </w:tcPr>
                      <w:p w14:paraId="775118C9" w14:textId="77777777" w:rsidR="00D94808" w:rsidRPr="008162C5" w:rsidRDefault="00D94808" w:rsidP="00AD30F9">
                        <w:pPr>
                          <w:keepNext/>
                          <w:jc w:val="center"/>
                        </w:pPr>
                        <w:r>
                          <w:rPr>
                            <w:rFonts w:eastAsia="Arial" w:cs="Arial"/>
                            <w:color w:val="000000"/>
                          </w:rPr>
                          <w:t>6</w:t>
                        </w:r>
                      </w:p>
                    </w:tc>
                    <w:tc>
                      <w:tcPr>
                        <w:tcW w:w="1701" w:type="dxa"/>
                        <w:tcMar>
                          <w:top w:w="0" w:type="dxa"/>
                          <w:left w:w="0" w:type="dxa"/>
                          <w:bottom w:w="0" w:type="dxa"/>
                          <w:right w:w="0" w:type="dxa"/>
                        </w:tcMar>
                      </w:tcPr>
                      <w:p w14:paraId="7D30D5DF" w14:textId="77777777" w:rsidR="00D94808" w:rsidRPr="008162C5" w:rsidRDefault="00D94808" w:rsidP="00AD30F9">
                        <w:pPr>
                          <w:keepNext/>
                          <w:jc w:val="center"/>
                        </w:pPr>
                        <w:r>
                          <w:rPr>
                            <w:rFonts w:eastAsia="Arial" w:cs="Arial"/>
                            <w:color w:val="000000"/>
                          </w:rPr>
                          <w:t>7</w:t>
                        </w:r>
                      </w:p>
                    </w:tc>
                  </w:tr>
                  <w:tr w:rsidR="00D94808" w:rsidRPr="008162C5" w14:paraId="561B8407" w14:textId="77777777" w:rsidTr="00DD2541">
                    <w:tc>
                      <w:tcPr>
                        <w:tcW w:w="1985" w:type="dxa"/>
                        <w:tcMar>
                          <w:top w:w="0" w:type="dxa"/>
                          <w:left w:w="0" w:type="dxa"/>
                          <w:bottom w:w="0" w:type="dxa"/>
                          <w:right w:w="0" w:type="dxa"/>
                        </w:tcMar>
                      </w:tcPr>
                      <w:p w14:paraId="1FA90B8B" w14:textId="77777777" w:rsidR="00D94808" w:rsidRPr="008162C5" w:rsidRDefault="00D94808" w:rsidP="00AD30F9">
                        <w:pPr>
                          <w:keepNext/>
                          <w:jc w:val="center"/>
                        </w:pPr>
                        <w:r>
                          <w:rPr>
                            <w:rFonts w:eastAsia="Arial" w:cs="Arial"/>
                            <w:color w:val="000000"/>
                          </w:rPr>
                          <w:t xml:space="preserve">leicht nach </w:t>
                        </w:r>
                        <w:r>
                          <w:rPr>
                            <w:rFonts w:eastAsia="Arial" w:cs="Arial"/>
                            <w:color w:val="000000"/>
                          </w:rPr>
                          <w:br/>
                          <w:t>unten stehend</w:t>
                        </w:r>
                      </w:p>
                    </w:tc>
                    <w:tc>
                      <w:tcPr>
                        <w:tcW w:w="1843" w:type="dxa"/>
                        <w:tcMar>
                          <w:top w:w="0" w:type="dxa"/>
                          <w:left w:w="0" w:type="dxa"/>
                          <w:bottom w:w="0" w:type="dxa"/>
                          <w:right w:w="0" w:type="dxa"/>
                        </w:tcMar>
                      </w:tcPr>
                      <w:p w14:paraId="332C9DD3" w14:textId="77777777" w:rsidR="00D94808" w:rsidRPr="008162C5" w:rsidRDefault="00D94808" w:rsidP="00AD30F9">
                        <w:pPr>
                          <w:keepNext/>
                          <w:jc w:val="center"/>
                        </w:pPr>
                        <w:r>
                          <w:rPr>
                            <w:rFonts w:eastAsia="Arial" w:cs="Arial"/>
                            <w:color w:val="000000"/>
                          </w:rPr>
                          <w:t>mäßig nach unten stehend</w:t>
                        </w:r>
                      </w:p>
                    </w:tc>
                    <w:tc>
                      <w:tcPr>
                        <w:tcW w:w="1701" w:type="dxa"/>
                        <w:tcMar>
                          <w:top w:w="0" w:type="dxa"/>
                          <w:left w:w="0" w:type="dxa"/>
                          <w:bottom w:w="0" w:type="dxa"/>
                          <w:right w:w="0" w:type="dxa"/>
                        </w:tcMar>
                      </w:tcPr>
                      <w:p w14:paraId="51AF88AF" w14:textId="77777777" w:rsidR="00D94808" w:rsidRPr="008162C5" w:rsidRDefault="00D94808" w:rsidP="00AD30F9">
                        <w:pPr>
                          <w:keepNext/>
                          <w:jc w:val="center"/>
                        </w:pPr>
                        <w:r>
                          <w:rPr>
                            <w:rFonts w:eastAsia="Arial" w:cs="Arial"/>
                            <w:color w:val="000000"/>
                          </w:rPr>
                          <w:t>stark nach unten stehend</w:t>
                        </w:r>
                      </w:p>
                    </w:tc>
                  </w:tr>
                </w:tbl>
                <w:p w14:paraId="78A4F44E" w14:textId="77777777" w:rsidR="00D94808" w:rsidRPr="008162C5" w:rsidRDefault="00D94808" w:rsidP="00AD30F9">
                  <w:pPr>
                    <w:keepNext/>
                  </w:pPr>
                </w:p>
              </w:tc>
            </w:tr>
          </w:tbl>
          <w:p w14:paraId="28C77BFE" w14:textId="77777777" w:rsidR="00D94808" w:rsidRPr="008162C5" w:rsidRDefault="00D94808" w:rsidP="00AD30F9">
            <w:pPr>
              <w:keepNext/>
              <w:spacing w:line="1" w:lineRule="auto"/>
            </w:pPr>
          </w:p>
        </w:tc>
      </w:tr>
    </w:tbl>
    <w:p w14:paraId="156DFC40" w14:textId="77777777" w:rsidR="00D94808" w:rsidRDefault="00D94808" w:rsidP="00D94808"/>
    <w:p w14:paraId="3772F140" w14:textId="77777777" w:rsidR="00D94808" w:rsidRPr="00F440F1" w:rsidRDefault="00D94808" w:rsidP="00D94808">
      <w:pPr>
        <w:keepNext/>
        <w:ind w:left="567"/>
        <w:rPr>
          <w:rFonts w:eastAsia="Arial" w:cs="Arial"/>
          <w:color w:val="000000"/>
        </w:rPr>
      </w:pPr>
      <w:r>
        <w:rPr>
          <w:rFonts w:eastAsia="Arial" w:cs="Arial"/>
          <w:color w:val="000000"/>
        </w:rPr>
        <w:t>Zu 29: Zungenblüte: Verteilung der Hauptfarbe (PQ)</w:t>
      </w:r>
    </w:p>
    <w:p w14:paraId="4F9E0176" w14:textId="77777777" w:rsidR="00D94808" w:rsidRDefault="00D94808" w:rsidP="00D94808">
      <w:pPr>
        <w:keepNext/>
        <w:ind w:left="567"/>
      </w:pPr>
    </w:p>
    <w:p w14:paraId="7BAAE434" w14:textId="77777777" w:rsidR="00D94808" w:rsidRDefault="00D94808" w:rsidP="00D94808">
      <w:pPr>
        <w:keepNext/>
        <w:jc w:val="center"/>
      </w:pPr>
      <w:r>
        <w:rPr>
          <w:noProof/>
          <w:lang w:val="en-US" w:eastAsia="en-US"/>
        </w:rPr>
        <w:drawing>
          <wp:inline distT="0" distB="0" distL="0" distR="0" wp14:anchorId="2ACFB151" wp14:editId="7CD22BEA">
            <wp:extent cx="3472981" cy="24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78941" cy="2451753"/>
                    </a:xfrm>
                    <a:prstGeom prst="rect">
                      <a:avLst/>
                    </a:prstGeom>
                  </pic:spPr>
                </pic:pic>
              </a:graphicData>
            </a:graphic>
          </wp:inline>
        </w:drawing>
      </w:r>
    </w:p>
    <w:p w14:paraId="6601A503" w14:textId="77777777" w:rsidR="00D94808" w:rsidRDefault="00D94808" w:rsidP="00D94808"/>
    <w:p w14:paraId="68244352" w14:textId="77777777" w:rsidR="00D94808" w:rsidRDefault="00D94808" w:rsidP="00D94808">
      <w:pPr>
        <w:pStyle w:val="ListParagraph"/>
        <w:numPr>
          <w:ilvl w:val="0"/>
          <w:numId w:val="30"/>
        </w:numPr>
      </w:pPr>
      <w:r>
        <w:t>Dokument TG/168/3 „Statice“: Zu 24: Blütenstand: Typ (PQ)</w:t>
      </w:r>
    </w:p>
    <w:p w14:paraId="52379BD2" w14:textId="77777777" w:rsidR="00D94808" w:rsidRDefault="00D94808" w:rsidP="00D94808">
      <w:pPr>
        <w:jc w:val="center"/>
      </w:pPr>
      <w:r>
        <w:rPr>
          <w:noProof/>
          <w:lang w:val="en-US" w:eastAsia="en-US"/>
        </w:rPr>
        <w:drawing>
          <wp:inline distT="0" distB="0" distL="0" distR="0" wp14:anchorId="25EBB8C1" wp14:editId="5F1B8A9F">
            <wp:extent cx="2236737" cy="29915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47182" cy="3005556"/>
                    </a:xfrm>
                    <a:prstGeom prst="rect">
                      <a:avLst/>
                    </a:prstGeom>
                  </pic:spPr>
                </pic:pic>
              </a:graphicData>
            </a:graphic>
          </wp:inline>
        </w:drawing>
      </w:r>
    </w:p>
    <w:p w14:paraId="3A61AADF" w14:textId="77777777" w:rsidR="00D94808" w:rsidRDefault="00D94808" w:rsidP="00D94808"/>
    <w:p w14:paraId="4FE4EFD9" w14:textId="048B1380" w:rsidR="00D94808" w:rsidRDefault="00D94808" w:rsidP="007554DF">
      <w:pPr>
        <w:pStyle w:val="ListParagraph"/>
        <w:numPr>
          <w:ilvl w:val="0"/>
          <w:numId w:val="35"/>
        </w:numPr>
        <w:ind w:left="0" w:firstLine="0"/>
      </w:pPr>
      <w:r>
        <w:t>Die TWO nahm zur Kenntnis, dass der Begriff „kontrollierte Umgebung“ im Flussdiagramm 1 von Dokument TGP/7, GN 28, nicht in dem Wortlaut von GN 28 erklärt wurde. Die TWO vereinbarte, dass es nicht möglich sei, die Umgebung vollständig zu kontrollieren, auch nicht unter Gewächshausbedingungen.  Die TWO vereinbarte, eine Änderung des Flussdiagrams 1 vorzuschlagen, um die Frage „Ist die Umgebung kontrolliert“ durch „Wird das Merkmal nur visuell erfasst?“</w:t>
      </w:r>
      <w:r w:rsidR="00241532">
        <w:t xml:space="preserve"> </w:t>
      </w:r>
      <w:r>
        <w:t xml:space="preserve">wie nachfolgend dargelegt zu ersetzen: </w:t>
      </w:r>
    </w:p>
    <w:p w14:paraId="1CD23293" w14:textId="77777777" w:rsidR="00D94808" w:rsidRDefault="00D94808" w:rsidP="00D94808"/>
    <w:p w14:paraId="46EAE39B" w14:textId="77777777" w:rsidR="00D94808" w:rsidRDefault="00D94808" w:rsidP="00D94808">
      <w:pPr>
        <w:jc w:val="center"/>
      </w:pPr>
      <w:bookmarkStart w:id="51" w:name="_GoBack"/>
      <w:r>
        <w:rPr>
          <w:noProof/>
          <w:lang w:val="en-US" w:eastAsia="en-US"/>
        </w:rPr>
        <w:drawing>
          <wp:inline distT="0" distB="0" distL="0" distR="0" wp14:anchorId="3EA1CCAE" wp14:editId="6035FDA9">
            <wp:extent cx="5021865" cy="3818929"/>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23">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bookmarkEnd w:id="51"/>
    </w:p>
    <w:p w14:paraId="3C2A7F9C" w14:textId="77777777" w:rsidR="00D94808" w:rsidRDefault="00D94808" w:rsidP="00D94808"/>
    <w:p w14:paraId="456E5665" w14:textId="77777777" w:rsidR="0076121E" w:rsidRPr="00C26C2E" w:rsidRDefault="0076121E" w:rsidP="0076121E"/>
    <w:p w14:paraId="34F5288C" w14:textId="50F8CEF0" w:rsidR="0076121E" w:rsidRPr="00C26C2E" w:rsidRDefault="0076121E" w:rsidP="007554DF">
      <w:pPr>
        <w:pStyle w:val="ListParagraph"/>
        <w:numPr>
          <w:ilvl w:val="0"/>
          <w:numId w:val="35"/>
        </w:numPr>
        <w:ind w:left="0" w:firstLine="0"/>
      </w:pPr>
      <w:r>
        <w:t>Die TWF prüfte auf ihrer dreiundfünfzigsten Tagung</w:t>
      </w:r>
      <w:r w:rsidRPr="007554DF">
        <w:footnoteReference w:id="14"/>
      </w:r>
      <w:r>
        <w:t xml:space="preserve"> den Vorschlag zur Änderung von Dokument TGP/7, um die Anforderung, Beispielssorten für quantitative Merkmale mit Sternchen bereitzustellen, wenn Abbildungen vorgelegt werden, abzuschaffen, wie in Dokument TWP/6/1, Absätze 18 und 19 dargelegt (vergleiche Dokument TWF/53/14 „</w:t>
      </w:r>
      <w:r w:rsidRPr="007554DF">
        <w:t>Report</w:t>
      </w:r>
      <w:r>
        <w:t>“, Absätze 9 und 10).</w:t>
      </w:r>
    </w:p>
    <w:p w14:paraId="3C21641E" w14:textId="77777777" w:rsidR="0076121E" w:rsidRPr="00C26C2E" w:rsidRDefault="0076121E" w:rsidP="007554DF">
      <w:pPr>
        <w:pStyle w:val="ListParagraph"/>
        <w:ind w:left="0"/>
      </w:pPr>
    </w:p>
    <w:p w14:paraId="680AA3E5" w14:textId="377FECAC" w:rsidR="0076121E" w:rsidRPr="00E43FE7" w:rsidRDefault="0076121E" w:rsidP="007554DF">
      <w:pPr>
        <w:pStyle w:val="ListParagraph"/>
        <w:numPr>
          <w:ilvl w:val="0"/>
          <w:numId w:val="35"/>
        </w:numPr>
        <w:ind w:left="0" w:firstLine="0"/>
      </w:pPr>
      <w:r>
        <w:t xml:space="preserve">Die TWF stimmte den von der TWO vorgelegten Beispielen zu, bei denen Abbildungen geeignet wären, Beispielssorten für quantitative und pseudoqualitative Blütenmerkmale zu ersetzen, die nicht gemessen und nur visuell erfasst wurden (VG).  Dennoch vereinbarte die TWF, dass Beispielssorten für die internationale Harmonisierung von Sortenbeschreibungen, die Erläuterung der Ausprägung der Merkmale und die Anleitung für die Errichtung und Erhaltung von Sortensammlungen wichtig seien. </w:t>
      </w:r>
    </w:p>
    <w:p w14:paraId="7B3E6F97" w14:textId="77777777" w:rsidR="00D94808" w:rsidRDefault="00D94808" w:rsidP="00125827"/>
    <w:p w14:paraId="254BE72C" w14:textId="77777777" w:rsidR="00D94808" w:rsidRPr="00125827" w:rsidRDefault="00D94808" w:rsidP="00125827"/>
    <w:p w14:paraId="6BF04B70" w14:textId="77777777" w:rsidR="00125827" w:rsidRPr="00125827" w:rsidRDefault="00125827" w:rsidP="00125827">
      <w:pPr>
        <w:jc w:val="right"/>
      </w:pPr>
      <w:r>
        <w:t>[Anlage III folgt]</w:t>
      </w:r>
    </w:p>
    <w:p w14:paraId="7C8AFA53" w14:textId="77777777" w:rsidR="00125827" w:rsidRPr="00125827" w:rsidRDefault="00125827" w:rsidP="00125827">
      <w:pPr>
        <w:jc w:val="right"/>
        <w:rPr>
          <w:u w:val="single"/>
        </w:rPr>
        <w:sectPr w:rsidR="00125827" w:rsidRPr="00125827" w:rsidSect="00086373">
          <w:headerReference w:type="default" r:id="rId24"/>
          <w:headerReference w:type="first" r:id="rId25"/>
          <w:pgSz w:w="11907" w:h="16840" w:code="9"/>
          <w:pgMar w:top="510" w:right="1134" w:bottom="993" w:left="1134" w:header="510" w:footer="680" w:gutter="0"/>
          <w:pgNumType w:start="1"/>
          <w:cols w:space="720"/>
          <w:titlePg/>
          <w:docGrid w:linePitch="272"/>
        </w:sectPr>
      </w:pPr>
    </w:p>
    <w:p w14:paraId="7AB23F0E" w14:textId="77777777" w:rsidR="00125827" w:rsidRPr="00125827" w:rsidRDefault="00125827" w:rsidP="00125827">
      <w:pPr>
        <w:ind w:left="-142" w:right="312"/>
        <w:jc w:val="right"/>
      </w:pPr>
    </w:p>
    <w:p w14:paraId="2329F47F" w14:textId="0742C529" w:rsidR="00125827" w:rsidRPr="00125827" w:rsidRDefault="00125827" w:rsidP="00125827">
      <w:pPr>
        <w:jc w:val="center"/>
        <w:rPr>
          <w:caps/>
        </w:rPr>
      </w:pPr>
      <w:r>
        <w:rPr>
          <w:caps/>
        </w:rPr>
        <w:t>Dokument TGP/7 „Erstellung von Prüfungsrichtlinien</w:t>
      </w:r>
      <w:r w:rsidR="001705E8">
        <w:rPr>
          <w:caps/>
        </w:rPr>
        <w:t>“</w:t>
      </w:r>
    </w:p>
    <w:p w14:paraId="1B958215" w14:textId="77777777" w:rsidR="00125827" w:rsidRPr="00125827" w:rsidRDefault="00125827" w:rsidP="00125827"/>
    <w:p w14:paraId="51AC2037" w14:textId="77777777" w:rsidR="00125827" w:rsidRPr="00125827" w:rsidRDefault="00125827" w:rsidP="00125827">
      <w:pPr>
        <w:rPr>
          <w:u w:val="single"/>
        </w:rPr>
      </w:pPr>
      <w:r>
        <w:rPr>
          <w:snapToGrid w:val="0"/>
          <w:u w:val="single"/>
        </w:rPr>
        <w:t>Angabe von Gruppierungsmerkmalen in UPOV-Prüfungsrichtlinien (Merkmalstabelle und TQ 5)</w:t>
      </w:r>
    </w:p>
    <w:p w14:paraId="535CCDD9" w14:textId="77777777" w:rsidR="00125827" w:rsidRPr="00125827" w:rsidRDefault="00125827" w:rsidP="00125827"/>
    <w:p w14:paraId="2A51DEF1" w14:textId="29435424" w:rsidR="00125827" w:rsidRPr="00125827" w:rsidRDefault="00DC5127" w:rsidP="00125827">
      <w:pPr>
        <w:rPr>
          <w:i/>
        </w:rPr>
      </w:pPr>
      <w:r>
        <w:rPr>
          <w:i/>
        </w:rPr>
        <w:t>Hintergrund</w:t>
      </w:r>
    </w:p>
    <w:p w14:paraId="21E2869D" w14:textId="77777777" w:rsidR="00125827" w:rsidRPr="00125827" w:rsidRDefault="00125827" w:rsidP="007554DF">
      <w:pPr>
        <w:keepNext/>
      </w:pPr>
    </w:p>
    <w:p w14:paraId="0A52FE52" w14:textId="67791482" w:rsidR="00125827" w:rsidRPr="00125827" w:rsidRDefault="00125827" w:rsidP="007554DF">
      <w:pPr>
        <w:pStyle w:val="ListParagraph"/>
        <w:keepNext/>
        <w:numPr>
          <w:ilvl w:val="0"/>
          <w:numId w:val="38"/>
        </w:numPr>
        <w:ind w:left="0" w:firstLine="0"/>
      </w:pPr>
      <w:r>
        <w:t>Die TWV hörte auf ihrer fünfundfünfzigsten Tagung</w:t>
      </w:r>
      <w:r>
        <w:rPr>
          <w:vertAlign w:val="superscript"/>
        </w:rPr>
        <w:footnoteReference w:id="15"/>
      </w:r>
      <w:r>
        <w:t xml:space="preserve"> ein Referat über „</w:t>
      </w:r>
      <w:r w:rsidRPr="007554DF">
        <w:rPr>
          <w:i/>
          <w:iCs/>
        </w:rPr>
        <w:t>Grouping characteristics - Addition of the grouping information (G) in the table of characteristic and the technical questionnaire</w:t>
      </w:r>
      <w:r w:rsidR="001705E8">
        <w:t>“</w:t>
      </w:r>
      <w:r>
        <w:t xml:space="preserve"> von einem Sachverständigen aus der Europäischen Union.  Eine Kopie des Referats ist in Dokument TWV/55/5 enthalten (vergleiche Dokument TWV/55/16 „</w:t>
      </w:r>
      <w:r w:rsidRPr="007554DF">
        <w:rPr>
          <w:i/>
          <w:iCs/>
        </w:rPr>
        <w:t>Report</w:t>
      </w:r>
      <w:r>
        <w:t>“, Absätze 35 und 36).</w:t>
      </w:r>
    </w:p>
    <w:p w14:paraId="2CF335A1" w14:textId="77777777" w:rsidR="00125827" w:rsidRPr="00125827" w:rsidRDefault="00125827" w:rsidP="00125827">
      <w:pPr>
        <w:rPr>
          <w:rFonts w:cs="Arial"/>
          <w:snapToGrid w:val="0"/>
        </w:rPr>
      </w:pPr>
    </w:p>
    <w:p w14:paraId="095D30EA" w14:textId="43F0634D" w:rsidR="00125827" w:rsidRPr="00125827" w:rsidRDefault="00125827" w:rsidP="007554DF">
      <w:pPr>
        <w:pStyle w:val="ListParagraph"/>
        <w:keepNext/>
        <w:numPr>
          <w:ilvl w:val="0"/>
          <w:numId w:val="38"/>
        </w:numPr>
        <w:ind w:left="0" w:firstLine="0"/>
      </w:pPr>
      <w:r>
        <w:t>Die TWV vereinbarte, dass der Vorschlag, die Angabe von Gruppierungsmerkmalen in die Prüfungsrichtlinien (Merkmalstabelle und Technischer Fragebogen) aufzunehmen, dem Technischen Ausschuss für eine etwaige künftige Überarbeitung von Dokument TGP/7 und Einbeziehung in die webbasierte Mustervorlage für Prüfungsrichtlinien vorgeschlagen werden sollte.</w:t>
      </w:r>
    </w:p>
    <w:p w14:paraId="572A492A" w14:textId="77777777" w:rsidR="00125827" w:rsidRPr="00125827" w:rsidRDefault="00125827" w:rsidP="00125827">
      <w:pPr>
        <w:jc w:val="left"/>
      </w:pPr>
    </w:p>
    <w:p w14:paraId="0C45A707" w14:textId="77777777" w:rsidR="00125827" w:rsidRPr="00125827" w:rsidRDefault="00125827" w:rsidP="00125827">
      <w:pPr>
        <w:rPr>
          <w:i/>
        </w:rPr>
      </w:pPr>
      <w:r>
        <w:rPr>
          <w:i/>
        </w:rPr>
        <w:t>Prüfung durch den Technischen Ausschuss</w:t>
      </w:r>
    </w:p>
    <w:p w14:paraId="6725780E" w14:textId="77777777" w:rsidR="00125827" w:rsidRPr="00125827" w:rsidRDefault="00125827" w:rsidP="00125827">
      <w:pPr>
        <w:jc w:val="left"/>
      </w:pPr>
    </w:p>
    <w:p w14:paraId="237B99FD" w14:textId="15CAB7B2" w:rsidR="00125827" w:rsidRPr="00125827" w:rsidRDefault="00125827" w:rsidP="007554DF">
      <w:pPr>
        <w:pStyle w:val="ListParagraph"/>
        <w:keepNext/>
        <w:numPr>
          <w:ilvl w:val="0"/>
          <w:numId w:val="38"/>
        </w:numPr>
        <w:ind w:left="0" w:firstLine="0"/>
      </w:pPr>
      <w:r>
        <w:t>Der TC prüfte auf seiner siebenundfünfzigsten Tagung den Vorschlag, die Angabe von Gruppierungsmerkmalen in die Merkmalstabelle und den Technischen Fragebogen der UPOV-Prüfungsrichtlinien aufzunehmen (vergleiche Dokument TC/57/25 „Bericht“, Absätze 38 und 39).</w:t>
      </w:r>
    </w:p>
    <w:p w14:paraId="57CF3DC6" w14:textId="77777777" w:rsidR="00125827" w:rsidRPr="00125827" w:rsidRDefault="00125827" w:rsidP="007554DF">
      <w:pPr>
        <w:pStyle w:val="ListParagraph"/>
        <w:keepNext/>
        <w:ind w:left="0"/>
      </w:pPr>
    </w:p>
    <w:p w14:paraId="4481BDFB" w14:textId="2D36DF82" w:rsidR="00125827" w:rsidRPr="007554DF" w:rsidRDefault="00125827" w:rsidP="007554DF">
      <w:pPr>
        <w:pStyle w:val="ListParagraph"/>
        <w:keepNext/>
        <w:numPr>
          <w:ilvl w:val="0"/>
          <w:numId w:val="38"/>
        </w:numPr>
        <w:ind w:left="0" w:firstLine="0"/>
      </w:pPr>
      <w:r>
        <w:t xml:space="preserve">Der TC vereinbarte, </w:t>
      </w:r>
      <w:r w:rsidRPr="007554DF">
        <w:t>das Verbandsbüro um die Ausarbeitung eines Vorschlags zu ersuchen, der vorsieht, Merkmale in der Merkmalstabelle</w:t>
      </w:r>
      <w:r>
        <w:t xml:space="preserve"> und im Technischen Fragebogen</w:t>
      </w:r>
      <w:r w:rsidRPr="007554DF">
        <w:t xml:space="preserve"> anzugeben, wenn sie als Gruppierungsmerkmale verwendet werden</w:t>
      </w:r>
      <w:r>
        <w:t>, und der den TWP und dem TC bei deren Tagungen im Jahr 2022 vorgelegt werden soll.</w:t>
      </w:r>
      <w:r w:rsidRPr="007554DF">
        <w:t xml:space="preserve">  Der Vorschlag sollte die Schaffung einer solchen Funktionalität in der webbasierten Mustervorlage für Prüfungsrichtlinien und die erforderliche Überarbeitung von Dokument TGP/7 „Erstellung von Prüfungsrichtlinien“ berücksichtigen.</w:t>
      </w:r>
    </w:p>
    <w:p w14:paraId="406212FC" w14:textId="77777777" w:rsidR="00125827" w:rsidRPr="00125827" w:rsidRDefault="00125827" w:rsidP="00125827">
      <w:pPr>
        <w:rPr>
          <w:snapToGrid w:val="0"/>
        </w:rPr>
      </w:pPr>
    </w:p>
    <w:p w14:paraId="0D7F2E5C" w14:textId="77777777" w:rsidR="00125827" w:rsidRPr="00125827" w:rsidRDefault="00125827" w:rsidP="00125827">
      <w:pPr>
        <w:rPr>
          <w:snapToGrid w:val="0"/>
        </w:rPr>
      </w:pPr>
    </w:p>
    <w:p w14:paraId="6322269C" w14:textId="77777777" w:rsidR="00125827" w:rsidRPr="00125827" w:rsidRDefault="00125827" w:rsidP="00125827">
      <w:pPr>
        <w:rPr>
          <w:i/>
          <w:snapToGrid w:val="0"/>
        </w:rPr>
      </w:pPr>
      <w:r>
        <w:rPr>
          <w:i/>
          <w:snapToGrid w:val="0"/>
        </w:rPr>
        <w:t>Von den TWPs auf ihren Tagungen 2022 geprüfter Vorschlag</w:t>
      </w:r>
    </w:p>
    <w:p w14:paraId="30300870" w14:textId="77777777" w:rsidR="00125827" w:rsidRPr="00125827" w:rsidRDefault="00125827" w:rsidP="00125827">
      <w:pPr>
        <w:rPr>
          <w:snapToGrid w:val="0"/>
        </w:rPr>
      </w:pPr>
    </w:p>
    <w:p w14:paraId="3DC07B64" w14:textId="06485D4A" w:rsidR="00125827" w:rsidRPr="007554DF" w:rsidRDefault="00125827" w:rsidP="007554DF">
      <w:pPr>
        <w:pStyle w:val="ListParagraph"/>
        <w:keepNext/>
        <w:numPr>
          <w:ilvl w:val="0"/>
          <w:numId w:val="38"/>
        </w:numPr>
        <w:ind w:left="0" w:firstLine="0"/>
      </w:pPr>
      <w:r w:rsidRPr="007554DF">
        <w:t>Die TWP prüften auf ihren Tagungen 2022 folgenden Vorschlag zur Änderung von Dokument TGP/7 „Erstellung von Prüfungsrichtlinien“, Anlage 1 „TG-Aufbau und allgemeingültiger Standardwortlaut“, Abschnitte 6.5, 7 und 10, um die als Gruppierungsmerkmale verwendeten Merkmale wie folgt anzugeben (</w:t>
      </w:r>
      <w:r>
        <w:t xml:space="preserve">Zusätze sind durch Hervorhebung und </w:t>
      </w:r>
      <w:r w:rsidRPr="007554DF">
        <w:t>Unterstreichung</w:t>
      </w:r>
      <w:r>
        <w:t xml:space="preserve"> gekennzeichnet)</w:t>
      </w:r>
      <w:r w:rsidRPr="007554DF">
        <w:t>:</w:t>
      </w:r>
    </w:p>
    <w:p w14:paraId="1C4A88D7" w14:textId="77777777" w:rsidR="00125827" w:rsidRPr="00125827" w:rsidRDefault="00125827" w:rsidP="00125827">
      <w:pPr>
        <w:rPr>
          <w:snapToGrid w:val="0"/>
        </w:rPr>
      </w:pPr>
    </w:p>
    <w:p w14:paraId="72706DF4" w14:textId="77777777" w:rsidR="00125827" w:rsidRPr="00125827" w:rsidRDefault="00125827" w:rsidP="00125827">
      <w:pPr>
        <w:keepNext/>
        <w:ind w:left="1134" w:hanging="567"/>
        <w:outlineLvl w:val="4"/>
        <w:rPr>
          <w:i/>
          <w:snapToGrid w:val="0"/>
        </w:rPr>
      </w:pPr>
      <w:r>
        <w:rPr>
          <w:i/>
          <w:snapToGrid w:val="0"/>
        </w:rPr>
        <w:t>Merkmalstabelle: Abschnitt 6.5 und 7</w:t>
      </w:r>
    </w:p>
    <w:p w14:paraId="5E371F47" w14:textId="77777777" w:rsidR="00125827" w:rsidRPr="00125827" w:rsidRDefault="00125827" w:rsidP="00125827">
      <w:pPr>
        <w:rPr>
          <w:snapToGrid w:val="0"/>
        </w:rPr>
      </w:pPr>
    </w:p>
    <w:p w14:paraId="03B7C788" w14:textId="77777777" w:rsidR="00125827" w:rsidRPr="00125827" w:rsidRDefault="00125827" w:rsidP="00125827">
      <w:pPr>
        <w:rPr>
          <w:i/>
        </w:rPr>
      </w:pPr>
      <w:r>
        <w:rPr>
          <w:i/>
        </w:rPr>
        <w:t>„6.5</w:t>
      </w:r>
      <w:r>
        <w:rPr>
          <w:i/>
        </w:rPr>
        <w:tab/>
        <w:t>Legende</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125827" w14:paraId="26D82FB6" w14:textId="77777777" w:rsidTr="00086373">
        <w:trPr>
          <w:cantSplit/>
          <w:tblHeader/>
        </w:trPr>
        <w:tc>
          <w:tcPr>
            <w:tcW w:w="709" w:type="dxa"/>
            <w:gridSpan w:val="2"/>
            <w:tcBorders>
              <w:top w:val="single" w:sz="4" w:space="0" w:color="auto"/>
              <w:bottom w:val="single" w:sz="4" w:space="0" w:color="auto"/>
            </w:tcBorders>
          </w:tcPr>
          <w:p w14:paraId="3C6E4CA0" w14:textId="77777777" w:rsidR="00125827" w:rsidRPr="00125827" w:rsidRDefault="00125827" w:rsidP="00125827">
            <w:pPr>
              <w:keepNext/>
              <w:spacing w:before="80" w:after="80"/>
              <w:jc w:val="left"/>
              <w:rPr>
                <w:sz w:val="16"/>
              </w:rPr>
            </w:pPr>
          </w:p>
        </w:tc>
        <w:tc>
          <w:tcPr>
            <w:tcW w:w="1790" w:type="dxa"/>
            <w:gridSpan w:val="2"/>
            <w:tcBorders>
              <w:top w:val="single" w:sz="4" w:space="0" w:color="auto"/>
              <w:bottom w:val="single" w:sz="4" w:space="0" w:color="auto"/>
            </w:tcBorders>
            <w:vAlign w:val="center"/>
          </w:tcPr>
          <w:p w14:paraId="6E7E7402" w14:textId="77777777" w:rsidR="00125827" w:rsidRPr="00125827" w:rsidRDefault="00125827" w:rsidP="00125827">
            <w:pPr>
              <w:keepNext/>
              <w:spacing w:before="80" w:after="80"/>
              <w:rPr>
                <w:sz w:val="16"/>
              </w:rPr>
            </w:pPr>
            <w:r>
              <w:rPr>
                <w:sz w:val="16"/>
              </w:rPr>
              <w:t>Deutsch</w:t>
            </w:r>
          </w:p>
        </w:tc>
        <w:tc>
          <w:tcPr>
            <w:tcW w:w="1928" w:type="dxa"/>
            <w:gridSpan w:val="3"/>
            <w:tcBorders>
              <w:top w:val="single" w:sz="4" w:space="0" w:color="auto"/>
              <w:bottom w:val="single" w:sz="4" w:space="0" w:color="auto"/>
            </w:tcBorders>
            <w:vAlign w:val="center"/>
          </w:tcPr>
          <w:p w14:paraId="0435616C" w14:textId="77777777" w:rsidR="00125827" w:rsidRPr="00125827" w:rsidRDefault="00125827" w:rsidP="00125827">
            <w:pPr>
              <w:keepNext/>
              <w:spacing w:before="80" w:after="80"/>
              <w:jc w:val="left"/>
              <w:rPr>
                <w:sz w:val="16"/>
                <w:lang w:val="fr-FR"/>
              </w:rPr>
            </w:pPr>
            <w:r>
              <w:rPr>
                <w:sz w:val="16"/>
              </w:rPr>
              <w:t>français</w:t>
            </w:r>
          </w:p>
        </w:tc>
        <w:tc>
          <w:tcPr>
            <w:tcW w:w="1914" w:type="dxa"/>
            <w:gridSpan w:val="3"/>
            <w:tcBorders>
              <w:top w:val="single" w:sz="4" w:space="0" w:color="auto"/>
              <w:bottom w:val="single" w:sz="4" w:space="0" w:color="auto"/>
            </w:tcBorders>
            <w:vAlign w:val="center"/>
          </w:tcPr>
          <w:p w14:paraId="0EE726E8" w14:textId="77777777" w:rsidR="00125827" w:rsidRPr="00125827" w:rsidRDefault="00125827" w:rsidP="00125827">
            <w:pPr>
              <w:keepNext/>
              <w:spacing w:before="80" w:after="80"/>
              <w:jc w:val="left"/>
              <w:rPr>
                <w:sz w:val="16"/>
              </w:rPr>
            </w:pPr>
            <w:r>
              <w:rPr>
                <w:sz w:val="16"/>
              </w:rPr>
              <w:t>deutsch</w:t>
            </w:r>
          </w:p>
        </w:tc>
        <w:tc>
          <w:tcPr>
            <w:tcW w:w="1914" w:type="dxa"/>
            <w:tcBorders>
              <w:top w:val="single" w:sz="4" w:space="0" w:color="auto"/>
              <w:bottom w:val="single" w:sz="4" w:space="0" w:color="auto"/>
            </w:tcBorders>
            <w:vAlign w:val="center"/>
          </w:tcPr>
          <w:p w14:paraId="54CC4E5F" w14:textId="77777777" w:rsidR="00125827" w:rsidRPr="00125827" w:rsidRDefault="00125827" w:rsidP="00125827">
            <w:pPr>
              <w:keepNext/>
              <w:spacing w:before="80" w:after="80"/>
              <w:jc w:val="left"/>
              <w:rPr>
                <w:sz w:val="16"/>
                <w:lang w:val="es-ES_tradnl"/>
              </w:rPr>
            </w:pPr>
            <w:r>
              <w:rPr>
                <w:sz w:val="16"/>
              </w:rPr>
              <w:t>español</w:t>
            </w:r>
          </w:p>
        </w:tc>
        <w:tc>
          <w:tcPr>
            <w:tcW w:w="1810" w:type="dxa"/>
            <w:tcBorders>
              <w:top w:val="single" w:sz="4" w:space="0" w:color="auto"/>
              <w:bottom w:val="single" w:sz="4" w:space="0" w:color="auto"/>
            </w:tcBorders>
            <w:vAlign w:val="center"/>
          </w:tcPr>
          <w:p w14:paraId="3CE78647" w14:textId="77777777" w:rsidR="00125827" w:rsidRPr="00125827" w:rsidRDefault="00125827" w:rsidP="00125827">
            <w:pPr>
              <w:keepNext/>
              <w:spacing w:before="80" w:after="80"/>
              <w:jc w:val="left"/>
              <w:rPr>
                <w:sz w:val="16"/>
              </w:rPr>
            </w:pPr>
            <w:r>
              <w:rPr>
                <w:sz w:val="16"/>
              </w:rPr>
              <w:t>Example Varieties</w:t>
            </w:r>
            <w:r>
              <w:rPr>
                <w:sz w:val="16"/>
              </w:rPr>
              <w:br/>
              <w:t>Exemples</w:t>
            </w:r>
            <w:r>
              <w:rPr>
                <w:sz w:val="16"/>
              </w:rPr>
              <w:br/>
              <w:t>Beispielssorten</w:t>
            </w:r>
            <w:r>
              <w:rPr>
                <w:sz w:val="16"/>
              </w:rPr>
              <w:br/>
              <w:t>Variedades ejemplo</w:t>
            </w:r>
          </w:p>
        </w:tc>
        <w:tc>
          <w:tcPr>
            <w:tcW w:w="567" w:type="dxa"/>
            <w:tcBorders>
              <w:top w:val="single" w:sz="4" w:space="0" w:color="auto"/>
              <w:bottom w:val="single" w:sz="4" w:space="0" w:color="auto"/>
            </w:tcBorders>
            <w:vAlign w:val="center"/>
          </w:tcPr>
          <w:p w14:paraId="19171DA0" w14:textId="77777777" w:rsidR="00125827" w:rsidRPr="00125827" w:rsidRDefault="00125827" w:rsidP="00125827">
            <w:pPr>
              <w:keepNext/>
              <w:spacing w:before="80" w:after="80"/>
              <w:jc w:val="center"/>
              <w:rPr>
                <w:sz w:val="16"/>
              </w:rPr>
            </w:pPr>
            <w:r>
              <w:rPr>
                <w:sz w:val="16"/>
              </w:rPr>
              <w:t>Note/</w:t>
            </w:r>
            <w:r>
              <w:rPr>
                <w:sz w:val="16"/>
              </w:rPr>
              <w:br/>
              <w:t>Nota</w:t>
            </w:r>
          </w:p>
        </w:tc>
      </w:tr>
      <w:tr w:rsidR="00125827" w:rsidRPr="00125827" w14:paraId="30108436" w14:textId="7777777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14:paraId="4EAB0F84" w14:textId="77777777" w:rsidR="00125827" w:rsidRPr="00125827" w:rsidRDefault="00125827" w:rsidP="00125827">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14:paraId="137F0FDA" w14:textId="77777777" w:rsidR="00125827" w:rsidRPr="00125827" w:rsidRDefault="00125827" w:rsidP="00125827">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14:paraId="0C8FC9F5" w14:textId="77777777" w:rsidR="00125827" w:rsidRPr="00125827" w:rsidRDefault="00125827" w:rsidP="00125827">
            <w:pPr>
              <w:keepNext/>
              <w:spacing w:before="80" w:after="80"/>
              <w:jc w:val="left"/>
              <w:rPr>
                <w:b/>
              </w:rPr>
            </w:pPr>
            <w:r>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14:paraId="0343727B" w14:textId="77777777" w:rsidR="00125827" w:rsidRPr="00125827" w:rsidRDefault="00125827" w:rsidP="00125827">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14:paraId="4D8B8E2F" w14:textId="77777777" w:rsidR="00125827" w:rsidRPr="00125827" w:rsidRDefault="00125827" w:rsidP="00125827">
            <w:pPr>
              <w:keepNext/>
              <w:spacing w:before="80" w:after="80"/>
              <w:jc w:val="left"/>
              <w:rPr>
                <w:b/>
                <w:sz w:val="16"/>
              </w:rPr>
            </w:pPr>
            <w:r>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14:paraId="7DDA6F13" w14:textId="77777777" w:rsidR="00125827" w:rsidRPr="00125827" w:rsidRDefault="00125827" w:rsidP="00125827">
            <w:pPr>
              <w:keepNext/>
              <w:spacing w:before="80" w:after="80"/>
              <w:jc w:val="left"/>
              <w:rPr>
                <w:b/>
                <w:sz w:val="16"/>
              </w:rPr>
            </w:pPr>
            <w:r>
              <w:rPr>
                <w:b/>
                <w:sz w:val="16"/>
                <w:szCs w:val="16"/>
              </w:rPr>
              <w:t>6</w:t>
            </w:r>
          </w:p>
        </w:tc>
        <w:tc>
          <w:tcPr>
            <w:tcW w:w="330" w:type="dxa"/>
            <w:gridSpan w:val="2"/>
            <w:tcBorders>
              <w:top w:val="single" w:sz="4" w:space="0" w:color="auto"/>
              <w:left w:val="dotted" w:sz="4" w:space="0" w:color="auto"/>
              <w:bottom w:val="single" w:sz="4" w:space="0" w:color="auto"/>
              <w:right w:val="dotted" w:sz="4" w:space="0" w:color="auto"/>
            </w:tcBorders>
            <w:shd w:val="clear" w:color="auto" w:fill="auto"/>
          </w:tcPr>
          <w:p w14:paraId="3FE4201E" w14:textId="77777777" w:rsidR="00125827" w:rsidRPr="00125827" w:rsidRDefault="00125827" w:rsidP="00125827">
            <w:pPr>
              <w:keepNext/>
              <w:spacing w:before="80" w:after="80"/>
              <w:jc w:val="left"/>
              <w:rPr>
                <w:b/>
                <w:sz w:val="16"/>
              </w:rPr>
            </w:pPr>
            <w:r>
              <w:rPr>
                <w:b/>
                <w:sz w:val="16"/>
              </w:rPr>
              <w:t>7</w:t>
            </w:r>
          </w:p>
        </w:tc>
        <w:tc>
          <w:tcPr>
            <w:tcW w:w="1586" w:type="dxa"/>
            <w:tcBorders>
              <w:top w:val="single" w:sz="4" w:space="0" w:color="auto"/>
              <w:left w:val="dotted" w:sz="4" w:space="0" w:color="auto"/>
              <w:bottom w:val="single" w:sz="4" w:space="0" w:color="auto"/>
              <w:right w:val="dotted" w:sz="4" w:space="0" w:color="auto"/>
            </w:tcBorders>
            <w:shd w:val="clear" w:color="auto" w:fill="auto"/>
          </w:tcPr>
          <w:p w14:paraId="2DB0EE40" w14:textId="77777777" w:rsidR="00125827" w:rsidRPr="00125827" w:rsidRDefault="00125827" w:rsidP="00125827">
            <w:pPr>
              <w:keepNext/>
              <w:spacing w:before="80" w:after="80"/>
              <w:jc w:val="left"/>
              <w:rPr>
                <w:b/>
                <w:sz w:val="16"/>
                <w:u w:val="single"/>
              </w:rPr>
            </w:pPr>
            <w:r>
              <w:rPr>
                <w:b/>
                <w:sz w:val="16"/>
                <w:highlight w:val="lightGray"/>
                <w:u w:val="single"/>
              </w:rPr>
              <w:t>8</w:t>
            </w:r>
          </w:p>
        </w:tc>
        <w:tc>
          <w:tcPr>
            <w:tcW w:w="1923" w:type="dxa"/>
            <w:gridSpan w:val="2"/>
            <w:tcBorders>
              <w:top w:val="single" w:sz="4" w:space="0" w:color="auto"/>
              <w:left w:val="dotted" w:sz="4" w:space="0" w:color="auto"/>
              <w:bottom w:val="single" w:sz="4" w:space="0" w:color="auto"/>
              <w:right w:val="nil"/>
            </w:tcBorders>
            <w:shd w:val="clear" w:color="auto" w:fill="auto"/>
          </w:tcPr>
          <w:p w14:paraId="77B0CE6F" w14:textId="77777777" w:rsidR="00125827" w:rsidRPr="00125827" w:rsidRDefault="00125827" w:rsidP="00125827">
            <w:pPr>
              <w:keepNext/>
              <w:spacing w:before="80" w:after="80"/>
              <w:jc w:val="left"/>
              <w:rPr>
                <w:sz w:val="16"/>
                <w:lang w:val="es-ES_tradnl"/>
              </w:rPr>
            </w:pPr>
          </w:p>
        </w:tc>
        <w:tc>
          <w:tcPr>
            <w:tcW w:w="1810" w:type="dxa"/>
            <w:tcBorders>
              <w:top w:val="single" w:sz="4" w:space="0" w:color="auto"/>
              <w:left w:val="nil"/>
              <w:bottom w:val="single" w:sz="4" w:space="0" w:color="auto"/>
              <w:right w:val="nil"/>
            </w:tcBorders>
            <w:shd w:val="clear" w:color="auto" w:fill="auto"/>
          </w:tcPr>
          <w:p w14:paraId="54EC7993" w14:textId="77777777" w:rsidR="00125827" w:rsidRPr="00125827" w:rsidRDefault="00125827" w:rsidP="00125827">
            <w:pPr>
              <w:keepNext/>
              <w:spacing w:before="80" w:after="80"/>
              <w:jc w:val="left"/>
              <w:rPr>
                <w:sz w:val="16"/>
              </w:rPr>
            </w:pPr>
          </w:p>
        </w:tc>
        <w:tc>
          <w:tcPr>
            <w:tcW w:w="567" w:type="dxa"/>
            <w:tcBorders>
              <w:top w:val="single" w:sz="4" w:space="0" w:color="auto"/>
              <w:left w:val="nil"/>
              <w:bottom w:val="single" w:sz="4" w:space="0" w:color="auto"/>
            </w:tcBorders>
            <w:shd w:val="clear" w:color="auto" w:fill="auto"/>
          </w:tcPr>
          <w:p w14:paraId="0F00E2FC" w14:textId="77777777" w:rsidR="00125827" w:rsidRPr="00125827" w:rsidRDefault="00125827" w:rsidP="00125827">
            <w:pPr>
              <w:keepNext/>
              <w:spacing w:before="80" w:after="80"/>
              <w:jc w:val="center"/>
              <w:rPr>
                <w:b/>
                <w:sz w:val="16"/>
              </w:rPr>
            </w:pPr>
          </w:p>
        </w:tc>
      </w:tr>
      <w:tr w:rsidR="00125827" w:rsidRPr="00F35E8A" w14:paraId="087C6124" w14:textId="77777777" w:rsidTr="00086373">
        <w:trPr>
          <w:cantSplit/>
        </w:trPr>
        <w:tc>
          <w:tcPr>
            <w:tcW w:w="709" w:type="dxa"/>
            <w:gridSpan w:val="2"/>
            <w:tcBorders>
              <w:top w:val="single" w:sz="4" w:space="0" w:color="auto"/>
            </w:tcBorders>
          </w:tcPr>
          <w:p w14:paraId="04ACDAF8" w14:textId="77777777" w:rsidR="00125827" w:rsidRPr="00125827" w:rsidRDefault="00125827" w:rsidP="00125827">
            <w:pPr>
              <w:keepNext/>
              <w:spacing w:before="80" w:after="80"/>
              <w:jc w:val="left"/>
              <w:rPr>
                <w:b/>
                <w:sz w:val="16"/>
                <w:szCs w:val="16"/>
              </w:rPr>
            </w:pPr>
          </w:p>
        </w:tc>
        <w:tc>
          <w:tcPr>
            <w:tcW w:w="1790" w:type="dxa"/>
            <w:gridSpan w:val="2"/>
            <w:tcBorders>
              <w:top w:val="single" w:sz="4" w:space="0" w:color="auto"/>
              <w:bottom w:val="dotted" w:sz="2" w:space="0" w:color="auto"/>
            </w:tcBorders>
          </w:tcPr>
          <w:p w14:paraId="76591D47" w14:textId="77777777" w:rsidR="00125827" w:rsidRPr="005A377C" w:rsidRDefault="00125827" w:rsidP="00125827">
            <w:pPr>
              <w:keepNext/>
              <w:spacing w:before="80" w:after="80"/>
              <w:jc w:val="left"/>
              <w:rPr>
                <w:b/>
                <w:sz w:val="16"/>
                <w:szCs w:val="16"/>
                <w:lang w:val="en-US"/>
              </w:rPr>
            </w:pPr>
            <w:r w:rsidRPr="005A377C">
              <w:rPr>
                <w:b/>
                <w:sz w:val="16"/>
                <w:szCs w:val="16"/>
                <w:lang w:val="en-US"/>
              </w:rPr>
              <w:t>Name of characteristics in English</w:t>
            </w:r>
          </w:p>
        </w:tc>
        <w:tc>
          <w:tcPr>
            <w:tcW w:w="1917" w:type="dxa"/>
            <w:gridSpan w:val="2"/>
            <w:tcBorders>
              <w:top w:val="single" w:sz="4" w:space="0" w:color="auto"/>
              <w:bottom w:val="dotted" w:sz="2" w:space="0" w:color="auto"/>
            </w:tcBorders>
          </w:tcPr>
          <w:p w14:paraId="53C52E0B" w14:textId="77777777" w:rsidR="00125827" w:rsidRPr="00125827" w:rsidRDefault="00125827" w:rsidP="00125827">
            <w:pPr>
              <w:keepNext/>
              <w:spacing w:before="80" w:after="80"/>
              <w:jc w:val="left"/>
              <w:rPr>
                <w:b/>
                <w:sz w:val="16"/>
                <w:szCs w:val="16"/>
                <w:lang w:val="fr-CH"/>
              </w:rPr>
            </w:pPr>
            <w:r w:rsidRPr="005A377C">
              <w:rPr>
                <w:b/>
                <w:sz w:val="16"/>
                <w:szCs w:val="16"/>
                <w:lang w:val="fr-FR"/>
              </w:rPr>
              <w:t>Nom du caractère en français</w:t>
            </w:r>
          </w:p>
        </w:tc>
        <w:tc>
          <w:tcPr>
            <w:tcW w:w="1916" w:type="dxa"/>
            <w:gridSpan w:val="3"/>
            <w:tcBorders>
              <w:top w:val="single" w:sz="4" w:space="0" w:color="auto"/>
              <w:bottom w:val="dotted" w:sz="2" w:space="0" w:color="auto"/>
            </w:tcBorders>
          </w:tcPr>
          <w:p w14:paraId="4E844293" w14:textId="77777777" w:rsidR="00125827" w:rsidRPr="00125827" w:rsidRDefault="00125827" w:rsidP="00125827">
            <w:pPr>
              <w:keepNext/>
              <w:spacing w:before="80" w:after="80"/>
              <w:jc w:val="left"/>
              <w:rPr>
                <w:b/>
                <w:sz w:val="16"/>
                <w:szCs w:val="16"/>
              </w:rPr>
            </w:pPr>
            <w:r>
              <w:rPr>
                <w:b/>
                <w:sz w:val="16"/>
                <w:szCs w:val="16"/>
              </w:rPr>
              <w:t>Name des Merkmals auf Deutsch</w:t>
            </w:r>
          </w:p>
        </w:tc>
        <w:tc>
          <w:tcPr>
            <w:tcW w:w="1923" w:type="dxa"/>
            <w:gridSpan w:val="2"/>
            <w:tcBorders>
              <w:top w:val="single" w:sz="4" w:space="0" w:color="auto"/>
              <w:bottom w:val="dotted" w:sz="2" w:space="0" w:color="auto"/>
            </w:tcBorders>
          </w:tcPr>
          <w:p w14:paraId="42FACE6E" w14:textId="77777777" w:rsidR="00125827" w:rsidRPr="00125827" w:rsidRDefault="00125827" w:rsidP="00125827">
            <w:pPr>
              <w:keepNext/>
              <w:spacing w:before="80" w:after="80"/>
              <w:jc w:val="left"/>
              <w:rPr>
                <w:b/>
                <w:sz w:val="16"/>
                <w:szCs w:val="16"/>
                <w:lang w:val="es-ES"/>
              </w:rPr>
            </w:pPr>
            <w:r w:rsidRPr="007411FF">
              <w:rPr>
                <w:b/>
                <w:sz w:val="16"/>
                <w:szCs w:val="16"/>
                <w:lang w:val="es-ES"/>
              </w:rPr>
              <w:t>Nombre del carácter en español</w:t>
            </w:r>
          </w:p>
        </w:tc>
        <w:tc>
          <w:tcPr>
            <w:tcW w:w="1810" w:type="dxa"/>
            <w:tcBorders>
              <w:top w:val="single" w:sz="4" w:space="0" w:color="auto"/>
              <w:bottom w:val="dotted" w:sz="2" w:space="0" w:color="auto"/>
            </w:tcBorders>
          </w:tcPr>
          <w:p w14:paraId="2ACE2150" w14:textId="77777777" w:rsidR="00125827" w:rsidRPr="00125827" w:rsidRDefault="00125827" w:rsidP="00125827">
            <w:pPr>
              <w:keepNext/>
              <w:spacing w:before="80" w:after="80"/>
              <w:rPr>
                <w:lang w:val="es-ES"/>
              </w:rPr>
            </w:pPr>
          </w:p>
        </w:tc>
        <w:tc>
          <w:tcPr>
            <w:tcW w:w="567" w:type="dxa"/>
            <w:tcBorders>
              <w:top w:val="single" w:sz="4" w:space="0" w:color="auto"/>
              <w:bottom w:val="dotted" w:sz="2" w:space="0" w:color="auto"/>
            </w:tcBorders>
          </w:tcPr>
          <w:p w14:paraId="40E0BB40" w14:textId="77777777" w:rsidR="00125827" w:rsidRPr="00125827" w:rsidRDefault="00125827" w:rsidP="00125827">
            <w:pPr>
              <w:keepNext/>
              <w:spacing w:before="80" w:after="80"/>
              <w:jc w:val="center"/>
              <w:rPr>
                <w:lang w:val="es-ES"/>
              </w:rPr>
            </w:pPr>
          </w:p>
        </w:tc>
      </w:tr>
    </w:tbl>
    <w:p w14:paraId="26A76238" w14:textId="77777777" w:rsidR="00125827" w:rsidRPr="00125827" w:rsidRDefault="00125827" w:rsidP="00125827">
      <w:pPr>
        <w:keepNext/>
        <w:tabs>
          <w:tab w:val="left" w:pos="567"/>
          <w:tab w:val="left" w:pos="1134"/>
        </w:tabs>
        <w:jc w:val="left"/>
      </w:pPr>
      <w:r>
        <w:t>[…]</w:t>
      </w:r>
    </w:p>
    <w:p w14:paraId="7E6FC466" w14:textId="77777777" w:rsidR="00125827" w:rsidRPr="00125827" w:rsidRDefault="00125827" w:rsidP="00125827">
      <w:pPr>
        <w:keepNext/>
        <w:tabs>
          <w:tab w:val="left" w:pos="567"/>
          <w:tab w:val="left" w:pos="1134"/>
        </w:tabs>
        <w:spacing w:before="120"/>
        <w:jc w:val="left"/>
        <w:rPr>
          <w:u w:val="single"/>
        </w:rPr>
      </w:pPr>
      <w:r>
        <w:rPr>
          <w:highlight w:val="lightGray"/>
          <w:u w:val="single"/>
        </w:rPr>
        <w:t>„8</w:t>
      </w:r>
      <w:r>
        <w:rPr>
          <w:highlight w:val="lightGray"/>
          <w:u w:val="single"/>
        </w:rPr>
        <w:tab/>
        <w:t>(G)</w:t>
      </w:r>
      <w:r>
        <w:rPr>
          <w:highlight w:val="lightGray"/>
          <w:u w:val="single"/>
        </w:rPr>
        <w:tab/>
        <w:t>Merkmal zur Gruppierung von Sorten und Organisierung der Prüfungen</w:t>
      </w:r>
    </w:p>
    <w:p w14:paraId="20CE76E4" w14:textId="77777777" w:rsidR="00125827" w:rsidRPr="00125827" w:rsidRDefault="00125827" w:rsidP="00125827">
      <w:pPr>
        <w:rPr>
          <w:rFonts w:eastAsia="MS Mincho"/>
          <w:u w:val="single"/>
        </w:rPr>
      </w:pPr>
    </w:p>
    <w:p w14:paraId="2BB3C9CB" w14:textId="77777777" w:rsidR="00125827" w:rsidRPr="00125827" w:rsidRDefault="00125827" w:rsidP="00125827">
      <w:pPr>
        <w:keepNext/>
        <w:tabs>
          <w:tab w:val="left" w:pos="709"/>
          <w:tab w:val="left" w:pos="1418"/>
        </w:tabs>
      </w:pPr>
    </w:p>
    <w:p w14:paraId="2B5136BB" w14:textId="77777777" w:rsidR="00125827" w:rsidRPr="00125827" w:rsidRDefault="00125827" w:rsidP="00125827">
      <w:pPr>
        <w:keepNext/>
        <w:keepLines/>
        <w:rPr>
          <w:u w:val="single"/>
          <w:lang w:val="fr-CH"/>
        </w:rPr>
      </w:pPr>
      <w:r w:rsidRPr="005A377C">
        <w:rPr>
          <w:u w:val="single"/>
          <w:lang w:val="fr-FR"/>
        </w:rPr>
        <w:t>„7.</w:t>
      </w:r>
      <w:r w:rsidRPr="005A377C">
        <w:rPr>
          <w:u w:val="single"/>
          <w:lang w:val="fr-FR"/>
        </w:rPr>
        <w:tab/>
        <w:t>Table of Characteristics/Tableau des caractères/Merkmalstabelle/Tabla de caracteres</w:t>
      </w:r>
    </w:p>
    <w:p w14:paraId="65AD706F" w14:textId="77777777" w:rsidR="00125827" w:rsidRPr="00125827" w:rsidRDefault="00125827" w:rsidP="00125827">
      <w:pPr>
        <w:keepNext/>
        <w:keepLines/>
        <w:tabs>
          <w:tab w:val="left" w:pos="709"/>
          <w:tab w:val="left" w:pos="1418"/>
        </w:tabs>
        <w:jc w:val="left"/>
      </w:pPr>
      <w:r>
        <w:t>[…]</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125827" w14:paraId="073BF227" w14:textId="77777777" w:rsidTr="00086373">
        <w:trPr>
          <w:cantSplit/>
          <w:tblHeader/>
        </w:trPr>
        <w:tc>
          <w:tcPr>
            <w:tcW w:w="709" w:type="dxa"/>
            <w:gridSpan w:val="2"/>
            <w:tcBorders>
              <w:top w:val="single" w:sz="4" w:space="0" w:color="auto"/>
              <w:bottom w:val="single" w:sz="4" w:space="0" w:color="auto"/>
            </w:tcBorders>
          </w:tcPr>
          <w:p w14:paraId="49BF3D9F" w14:textId="77777777" w:rsidR="00125827" w:rsidRPr="00125827" w:rsidRDefault="00125827" w:rsidP="00125827">
            <w:pPr>
              <w:keepNext/>
              <w:keepLines/>
              <w:spacing w:before="80" w:after="80"/>
              <w:jc w:val="left"/>
              <w:rPr>
                <w:sz w:val="16"/>
              </w:rPr>
            </w:pPr>
          </w:p>
        </w:tc>
        <w:tc>
          <w:tcPr>
            <w:tcW w:w="1790" w:type="dxa"/>
            <w:gridSpan w:val="2"/>
            <w:tcBorders>
              <w:top w:val="single" w:sz="4" w:space="0" w:color="auto"/>
              <w:bottom w:val="single" w:sz="4" w:space="0" w:color="auto"/>
            </w:tcBorders>
            <w:vAlign w:val="center"/>
          </w:tcPr>
          <w:p w14:paraId="48ABDACC" w14:textId="77777777" w:rsidR="00125827" w:rsidRPr="00125827" w:rsidRDefault="00125827" w:rsidP="00125827">
            <w:pPr>
              <w:keepNext/>
              <w:keepLines/>
              <w:spacing w:before="80" w:after="80"/>
              <w:rPr>
                <w:sz w:val="16"/>
              </w:rPr>
            </w:pPr>
            <w:r>
              <w:rPr>
                <w:sz w:val="16"/>
              </w:rPr>
              <w:t>Deutsch</w:t>
            </w:r>
          </w:p>
        </w:tc>
        <w:tc>
          <w:tcPr>
            <w:tcW w:w="1928" w:type="dxa"/>
            <w:gridSpan w:val="3"/>
            <w:tcBorders>
              <w:top w:val="single" w:sz="4" w:space="0" w:color="auto"/>
              <w:bottom w:val="single" w:sz="4" w:space="0" w:color="auto"/>
            </w:tcBorders>
            <w:vAlign w:val="center"/>
          </w:tcPr>
          <w:p w14:paraId="03F59C61" w14:textId="77777777" w:rsidR="00125827" w:rsidRPr="00125827" w:rsidRDefault="00125827" w:rsidP="00125827">
            <w:pPr>
              <w:keepNext/>
              <w:keepLines/>
              <w:spacing w:before="80" w:after="80"/>
              <w:jc w:val="left"/>
              <w:rPr>
                <w:sz w:val="16"/>
                <w:lang w:val="fr-FR"/>
              </w:rPr>
            </w:pPr>
            <w:r>
              <w:rPr>
                <w:sz w:val="16"/>
              </w:rPr>
              <w:t>français</w:t>
            </w:r>
          </w:p>
        </w:tc>
        <w:tc>
          <w:tcPr>
            <w:tcW w:w="1914" w:type="dxa"/>
            <w:gridSpan w:val="3"/>
            <w:tcBorders>
              <w:top w:val="single" w:sz="4" w:space="0" w:color="auto"/>
              <w:bottom w:val="single" w:sz="4" w:space="0" w:color="auto"/>
            </w:tcBorders>
            <w:vAlign w:val="center"/>
          </w:tcPr>
          <w:p w14:paraId="007CE7AB" w14:textId="77777777" w:rsidR="00125827" w:rsidRPr="00125827" w:rsidRDefault="00125827" w:rsidP="00125827">
            <w:pPr>
              <w:keepNext/>
              <w:keepLines/>
              <w:spacing w:before="80" w:after="80"/>
              <w:jc w:val="left"/>
              <w:rPr>
                <w:sz w:val="16"/>
              </w:rPr>
            </w:pPr>
            <w:r>
              <w:rPr>
                <w:sz w:val="16"/>
              </w:rPr>
              <w:t>deutsch</w:t>
            </w:r>
          </w:p>
        </w:tc>
        <w:tc>
          <w:tcPr>
            <w:tcW w:w="1914" w:type="dxa"/>
            <w:tcBorders>
              <w:top w:val="single" w:sz="4" w:space="0" w:color="auto"/>
              <w:bottom w:val="single" w:sz="4" w:space="0" w:color="auto"/>
            </w:tcBorders>
            <w:vAlign w:val="center"/>
          </w:tcPr>
          <w:p w14:paraId="52D047F6" w14:textId="77777777" w:rsidR="00125827" w:rsidRPr="00125827" w:rsidRDefault="00125827" w:rsidP="00125827">
            <w:pPr>
              <w:keepNext/>
              <w:keepLines/>
              <w:spacing w:before="80" w:after="80"/>
              <w:jc w:val="left"/>
              <w:rPr>
                <w:sz w:val="16"/>
                <w:lang w:val="es-ES_tradnl"/>
              </w:rPr>
            </w:pPr>
            <w:r>
              <w:rPr>
                <w:sz w:val="16"/>
              </w:rPr>
              <w:t>español</w:t>
            </w:r>
          </w:p>
        </w:tc>
        <w:tc>
          <w:tcPr>
            <w:tcW w:w="1810" w:type="dxa"/>
            <w:tcBorders>
              <w:top w:val="single" w:sz="4" w:space="0" w:color="auto"/>
              <w:bottom w:val="single" w:sz="4" w:space="0" w:color="auto"/>
            </w:tcBorders>
            <w:vAlign w:val="center"/>
          </w:tcPr>
          <w:p w14:paraId="1B659518" w14:textId="77777777" w:rsidR="00125827" w:rsidRPr="00125827" w:rsidRDefault="00125827" w:rsidP="00125827">
            <w:pPr>
              <w:keepNext/>
              <w:keepLines/>
              <w:spacing w:before="80" w:after="80"/>
              <w:jc w:val="left"/>
              <w:rPr>
                <w:sz w:val="16"/>
              </w:rPr>
            </w:pPr>
            <w:r>
              <w:rPr>
                <w:sz w:val="16"/>
              </w:rPr>
              <w:t>Example Varieties</w:t>
            </w:r>
            <w:r>
              <w:rPr>
                <w:sz w:val="16"/>
              </w:rPr>
              <w:br/>
              <w:t>Exemples</w:t>
            </w:r>
            <w:r>
              <w:rPr>
                <w:sz w:val="16"/>
              </w:rPr>
              <w:br/>
              <w:t>Beispielssorten</w:t>
            </w:r>
            <w:r>
              <w:rPr>
                <w:sz w:val="16"/>
              </w:rPr>
              <w:br/>
              <w:t>Variedades ejemplo</w:t>
            </w:r>
          </w:p>
        </w:tc>
        <w:tc>
          <w:tcPr>
            <w:tcW w:w="567" w:type="dxa"/>
            <w:tcBorders>
              <w:top w:val="single" w:sz="4" w:space="0" w:color="auto"/>
              <w:bottom w:val="single" w:sz="4" w:space="0" w:color="auto"/>
            </w:tcBorders>
            <w:vAlign w:val="center"/>
          </w:tcPr>
          <w:p w14:paraId="231567CD" w14:textId="77777777" w:rsidR="00125827" w:rsidRPr="00125827" w:rsidRDefault="00125827" w:rsidP="00125827">
            <w:pPr>
              <w:keepNext/>
              <w:keepLines/>
              <w:spacing w:before="80" w:after="80"/>
              <w:jc w:val="center"/>
              <w:rPr>
                <w:sz w:val="16"/>
              </w:rPr>
            </w:pPr>
            <w:r>
              <w:rPr>
                <w:sz w:val="16"/>
              </w:rPr>
              <w:t>Note/</w:t>
            </w:r>
            <w:r>
              <w:rPr>
                <w:sz w:val="16"/>
              </w:rPr>
              <w:br/>
              <w:t>Nota</w:t>
            </w:r>
          </w:p>
        </w:tc>
      </w:tr>
      <w:tr w:rsidR="00125827" w:rsidRPr="00125827" w14:paraId="602507CE" w14:textId="7777777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14:paraId="21C56B02" w14:textId="77777777" w:rsidR="00125827" w:rsidRPr="00125827" w:rsidRDefault="00125827" w:rsidP="00125827">
            <w:pPr>
              <w:keepNext/>
              <w:keepLines/>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14:paraId="2DA6DEFB" w14:textId="77777777" w:rsidR="00125827" w:rsidRPr="00125827" w:rsidRDefault="00125827" w:rsidP="00125827">
            <w:pPr>
              <w:keepNext/>
              <w:keepLines/>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14:paraId="75C4FFF3" w14:textId="77777777" w:rsidR="00125827" w:rsidRPr="00125827" w:rsidRDefault="00125827" w:rsidP="00125827">
            <w:pPr>
              <w:keepNext/>
              <w:keepLines/>
              <w:spacing w:before="80" w:after="80"/>
              <w:jc w:val="left"/>
              <w:rPr>
                <w:b/>
              </w:rPr>
            </w:pPr>
            <w:r>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14:paraId="219BF308" w14:textId="77777777" w:rsidR="00125827" w:rsidRPr="00125827" w:rsidRDefault="00125827" w:rsidP="00125827">
            <w:pPr>
              <w:keepNext/>
              <w:keepLines/>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14:paraId="76C74728" w14:textId="77777777" w:rsidR="00125827" w:rsidRPr="00125827" w:rsidRDefault="00125827" w:rsidP="00125827">
            <w:pPr>
              <w:keepNext/>
              <w:keepLines/>
              <w:spacing w:before="80" w:after="80"/>
              <w:jc w:val="left"/>
              <w:rPr>
                <w:b/>
                <w:sz w:val="16"/>
              </w:rPr>
            </w:pPr>
            <w:r>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14:paraId="5601ADC9" w14:textId="77777777" w:rsidR="00125827" w:rsidRPr="00125827" w:rsidRDefault="00125827" w:rsidP="00125827">
            <w:pPr>
              <w:keepNext/>
              <w:keepLines/>
              <w:spacing w:before="80" w:after="80"/>
              <w:jc w:val="left"/>
              <w:rPr>
                <w:b/>
                <w:sz w:val="16"/>
              </w:rPr>
            </w:pPr>
            <w:r>
              <w:rPr>
                <w:b/>
                <w:sz w:val="16"/>
                <w:szCs w:val="16"/>
              </w:rPr>
              <w:t>6</w:t>
            </w:r>
          </w:p>
        </w:tc>
        <w:tc>
          <w:tcPr>
            <w:tcW w:w="330" w:type="dxa"/>
            <w:gridSpan w:val="2"/>
            <w:tcBorders>
              <w:top w:val="single" w:sz="4" w:space="0" w:color="auto"/>
              <w:left w:val="dotted" w:sz="4" w:space="0" w:color="auto"/>
              <w:bottom w:val="single" w:sz="4" w:space="0" w:color="auto"/>
              <w:right w:val="nil"/>
            </w:tcBorders>
            <w:shd w:val="clear" w:color="auto" w:fill="auto"/>
          </w:tcPr>
          <w:p w14:paraId="1974D35C" w14:textId="77777777" w:rsidR="00125827" w:rsidRPr="00125827" w:rsidRDefault="00125827" w:rsidP="00125827">
            <w:pPr>
              <w:keepNext/>
              <w:keepLines/>
              <w:spacing w:before="80" w:after="80"/>
              <w:jc w:val="left"/>
              <w:rPr>
                <w:b/>
                <w:sz w:val="16"/>
              </w:rPr>
            </w:pPr>
            <w:r>
              <w:rPr>
                <w:b/>
                <w:sz w:val="16"/>
              </w:rPr>
              <w:t>7</w:t>
            </w:r>
          </w:p>
        </w:tc>
        <w:tc>
          <w:tcPr>
            <w:tcW w:w="1586" w:type="dxa"/>
            <w:tcBorders>
              <w:top w:val="single" w:sz="4" w:space="0" w:color="auto"/>
              <w:left w:val="dotted" w:sz="4" w:space="0" w:color="auto"/>
              <w:bottom w:val="single" w:sz="4" w:space="0" w:color="auto"/>
              <w:right w:val="nil"/>
            </w:tcBorders>
            <w:shd w:val="clear" w:color="auto" w:fill="auto"/>
          </w:tcPr>
          <w:p w14:paraId="31DD3402" w14:textId="77777777" w:rsidR="00125827" w:rsidRPr="00125827" w:rsidRDefault="00125827" w:rsidP="00125827">
            <w:pPr>
              <w:keepNext/>
              <w:keepLines/>
              <w:spacing w:before="80" w:after="80"/>
              <w:jc w:val="left"/>
              <w:rPr>
                <w:b/>
                <w:sz w:val="16"/>
                <w:highlight w:val="lightGray"/>
              </w:rPr>
            </w:pPr>
            <w:r>
              <w:rPr>
                <w:b/>
                <w:sz w:val="16"/>
                <w:highlight w:val="lightGray"/>
                <w:u w:val="single"/>
              </w:rPr>
              <w:t>8</w:t>
            </w:r>
          </w:p>
        </w:tc>
        <w:tc>
          <w:tcPr>
            <w:tcW w:w="1923" w:type="dxa"/>
            <w:gridSpan w:val="2"/>
            <w:tcBorders>
              <w:top w:val="single" w:sz="4" w:space="0" w:color="auto"/>
              <w:left w:val="nil"/>
              <w:bottom w:val="single" w:sz="4" w:space="0" w:color="auto"/>
              <w:right w:val="nil"/>
            </w:tcBorders>
            <w:shd w:val="clear" w:color="auto" w:fill="auto"/>
          </w:tcPr>
          <w:p w14:paraId="0E21046D" w14:textId="77777777" w:rsidR="00125827" w:rsidRPr="00125827" w:rsidRDefault="00125827" w:rsidP="00125827">
            <w:pPr>
              <w:keepNext/>
              <w:keepLines/>
              <w:spacing w:before="80" w:after="80"/>
              <w:jc w:val="left"/>
              <w:rPr>
                <w:b/>
                <w:sz w:val="16"/>
                <w:u w:val="single"/>
              </w:rPr>
            </w:pPr>
          </w:p>
        </w:tc>
        <w:tc>
          <w:tcPr>
            <w:tcW w:w="1810" w:type="dxa"/>
            <w:tcBorders>
              <w:top w:val="single" w:sz="4" w:space="0" w:color="auto"/>
              <w:left w:val="nil"/>
              <w:bottom w:val="single" w:sz="4" w:space="0" w:color="auto"/>
              <w:right w:val="nil"/>
            </w:tcBorders>
            <w:shd w:val="clear" w:color="auto" w:fill="auto"/>
          </w:tcPr>
          <w:p w14:paraId="23B378F4" w14:textId="77777777" w:rsidR="00125827" w:rsidRPr="00125827" w:rsidRDefault="00125827" w:rsidP="00125827">
            <w:pPr>
              <w:keepNext/>
              <w:keepLines/>
              <w:spacing w:before="80" w:after="80"/>
              <w:jc w:val="left"/>
              <w:rPr>
                <w:sz w:val="16"/>
              </w:rPr>
            </w:pPr>
          </w:p>
        </w:tc>
        <w:tc>
          <w:tcPr>
            <w:tcW w:w="567" w:type="dxa"/>
            <w:tcBorders>
              <w:top w:val="single" w:sz="4" w:space="0" w:color="auto"/>
              <w:left w:val="nil"/>
              <w:bottom w:val="single" w:sz="4" w:space="0" w:color="auto"/>
            </w:tcBorders>
            <w:shd w:val="clear" w:color="auto" w:fill="auto"/>
          </w:tcPr>
          <w:p w14:paraId="3733FAB0" w14:textId="77777777" w:rsidR="00125827" w:rsidRPr="00125827" w:rsidRDefault="00125827" w:rsidP="00125827">
            <w:pPr>
              <w:keepNext/>
              <w:keepLines/>
              <w:spacing w:before="80" w:after="80"/>
              <w:jc w:val="center"/>
              <w:rPr>
                <w:b/>
                <w:sz w:val="16"/>
              </w:rPr>
            </w:pPr>
          </w:p>
        </w:tc>
      </w:tr>
      <w:tr w:rsidR="00125827" w:rsidRPr="00F35E8A" w14:paraId="4D0315E5" w14:textId="77777777" w:rsidTr="00086373">
        <w:trPr>
          <w:cantSplit/>
        </w:trPr>
        <w:tc>
          <w:tcPr>
            <w:tcW w:w="709" w:type="dxa"/>
            <w:gridSpan w:val="2"/>
            <w:tcBorders>
              <w:top w:val="single" w:sz="4" w:space="0" w:color="auto"/>
            </w:tcBorders>
          </w:tcPr>
          <w:p w14:paraId="07A949D3" w14:textId="77777777" w:rsidR="00125827" w:rsidRPr="00125827" w:rsidRDefault="00125827" w:rsidP="00125827">
            <w:pPr>
              <w:keepNext/>
              <w:keepLines/>
              <w:spacing w:before="80" w:after="80"/>
              <w:jc w:val="left"/>
              <w:rPr>
                <w:b/>
                <w:sz w:val="16"/>
                <w:szCs w:val="16"/>
              </w:rPr>
            </w:pPr>
          </w:p>
        </w:tc>
        <w:tc>
          <w:tcPr>
            <w:tcW w:w="1790" w:type="dxa"/>
            <w:gridSpan w:val="2"/>
            <w:tcBorders>
              <w:top w:val="single" w:sz="4" w:space="0" w:color="auto"/>
              <w:bottom w:val="dotted" w:sz="2" w:space="0" w:color="auto"/>
            </w:tcBorders>
          </w:tcPr>
          <w:p w14:paraId="0481CAEB" w14:textId="77777777" w:rsidR="00125827" w:rsidRPr="005A377C" w:rsidRDefault="00125827" w:rsidP="00125827">
            <w:pPr>
              <w:keepNext/>
              <w:keepLines/>
              <w:spacing w:before="80" w:after="80"/>
              <w:jc w:val="left"/>
              <w:rPr>
                <w:b/>
                <w:sz w:val="16"/>
                <w:szCs w:val="16"/>
                <w:lang w:val="en-US"/>
              </w:rPr>
            </w:pPr>
            <w:r w:rsidRPr="005A377C">
              <w:rPr>
                <w:b/>
                <w:sz w:val="16"/>
                <w:szCs w:val="16"/>
                <w:lang w:val="en-US"/>
              </w:rPr>
              <w:t>Name of characteristics in English</w:t>
            </w:r>
          </w:p>
          <w:p w14:paraId="025253BF" w14:textId="77777777" w:rsidR="00125827" w:rsidRPr="005A377C" w:rsidRDefault="00125827" w:rsidP="00125827">
            <w:pPr>
              <w:keepNext/>
              <w:keepLines/>
              <w:spacing w:before="80" w:after="80"/>
              <w:jc w:val="left"/>
              <w:rPr>
                <w:lang w:val="en-US"/>
              </w:rPr>
            </w:pPr>
            <w:r w:rsidRPr="005A377C">
              <w:rPr>
                <w:rFonts w:cs="Arial"/>
                <w:sz w:val="16"/>
                <w:lang w:val="en-US"/>
              </w:rPr>
              <w:t>[…]</w:t>
            </w:r>
          </w:p>
        </w:tc>
        <w:tc>
          <w:tcPr>
            <w:tcW w:w="1917" w:type="dxa"/>
            <w:gridSpan w:val="2"/>
            <w:tcBorders>
              <w:top w:val="single" w:sz="4" w:space="0" w:color="auto"/>
              <w:bottom w:val="dotted" w:sz="2" w:space="0" w:color="auto"/>
            </w:tcBorders>
          </w:tcPr>
          <w:p w14:paraId="2B63669C" w14:textId="77777777" w:rsidR="00125827" w:rsidRPr="00125827" w:rsidRDefault="00125827" w:rsidP="00125827">
            <w:pPr>
              <w:keepNext/>
              <w:keepLines/>
              <w:spacing w:before="80" w:after="80"/>
              <w:jc w:val="left"/>
              <w:rPr>
                <w:b/>
                <w:sz w:val="16"/>
                <w:szCs w:val="16"/>
                <w:lang w:val="fr-CH"/>
              </w:rPr>
            </w:pPr>
            <w:r w:rsidRPr="005A377C">
              <w:rPr>
                <w:b/>
                <w:sz w:val="16"/>
                <w:szCs w:val="16"/>
                <w:lang w:val="fr-FR"/>
              </w:rPr>
              <w:t>Nom du caractère en français</w:t>
            </w:r>
          </w:p>
        </w:tc>
        <w:tc>
          <w:tcPr>
            <w:tcW w:w="1916" w:type="dxa"/>
            <w:gridSpan w:val="3"/>
            <w:tcBorders>
              <w:top w:val="single" w:sz="4" w:space="0" w:color="auto"/>
              <w:bottom w:val="dotted" w:sz="2" w:space="0" w:color="auto"/>
            </w:tcBorders>
          </w:tcPr>
          <w:p w14:paraId="1F642633" w14:textId="77777777" w:rsidR="00125827" w:rsidRPr="00125827" w:rsidRDefault="00125827" w:rsidP="00125827">
            <w:pPr>
              <w:keepNext/>
              <w:keepLines/>
              <w:spacing w:before="80" w:after="80"/>
              <w:jc w:val="left"/>
              <w:rPr>
                <w:b/>
                <w:sz w:val="16"/>
                <w:szCs w:val="16"/>
              </w:rPr>
            </w:pPr>
            <w:r>
              <w:rPr>
                <w:b/>
                <w:sz w:val="16"/>
                <w:szCs w:val="16"/>
              </w:rPr>
              <w:t>Name des Merkmals auf Deutsch</w:t>
            </w:r>
          </w:p>
        </w:tc>
        <w:tc>
          <w:tcPr>
            <w:tcW w:w="1923" w:type="dxa"/>
            <w:gridSpan w:val="2"/>
            <w:tcBorders>
              <w:top w:val="single" w:sz="4" w:space="0" w:color="auto"/>
              <w:bottom w:val="dotted" w:sz="2" w:space="0" w:color="auto"/>
            </w:tcBorders>
          </w:tcPr>
          <w:p w14:paraId="601A2D7F" w14:textId="77777777" w:rsidR="00125827" w:rsidRPr="00125827" w:rsidRDefault="00125827" w:rsidP="00125827">
            <w:pPr>
              <w:keepNext/>
              <w:keepLines/>
              <w:spacing w:before="80" w:after="80"/>
              <w:jc w:val="left"/>
              <w:rPr>
                <w:b/>
                <w:sz w:val="16"/>
                <w:szCs w:val="16"/>
                <w:lang w:val="es-ES"/>
              </w:rPr>
            </w:pPr>
            <w:r w:rsidRPr="007411FF">
              <w:rPr>
                <w:b/>
                <w:sz w:val="16"/>
                <w:szCs w:val="16"/>
                <w:lang w:val="es-ES"/>
              </w:rPr>
              <w:t>Nombre del carácter en español</w:t>
            </w:r>
          </w:p>
        </w:tc>
        <w:tc>
          <w:tcPr>
            <w:tcW w:w="1810" w:type="dxa"/>
            <w:tcBorders>
              <w:top w:val="single" w:sz="4" w:space="0" w:color="auto"/>
              <w:bottom w:val="dotted" w:sz="2" w:space="0" w:color="auto"/>
            </w:tcBorders>
          </w:tcPr>
          <w:p w14:paraId="6750391A" w14:textId="77777777" w:rsidR="00125827" w:rsidRPr="00125827" w:rsidRDefault="00125827" w:rsidP="00125827">
            <w:pPr>
              <w:keepNext/>
              <w:keepLines/>
              <w:spacing w:before="80" w:after="80"/>
              <w:rPr>
                <w:lang w:val="es-ES"/>
              </w:rPr>
            </w:pPr>
          </w:p>
        </w:tc>
        <w:tc>
          <w:tcPr>
            <w:tcW w:w="567" w:type="dxa"/>
            <w:tcBorders>
              <w:top w:val="single" w:sz="4" w:space="0" w:color="auto"/>
              <w:bottom w:val="dotted" w:sz="2" w:space="0" w:color="auto"/>
            </w:tcBorders>
          </w:tcPr>
          <w:p w14:paraId="0BAB7DBB" w14:textId="77777777" w:rsidR="00125827" w:rsidRPr="00125827" w:rsidRDefault="00125827" w:rsidP="00125827">
            <w:pPr>
              <w:keepNext/>
              <w:keepLines/>
              <w:spacing w:before="80" w:after="80"/>
              <w:jc w:val="center"/>
              <w:rPr>
                <w:lang w:val="es-ES"/>
              </w:rPr>
            </w:pPr>
          </w:p>
        </w:tc>
      </w:tr>
    </w:tbl>
    <w:p w14:paraId="0A6BDD6B" w14:textId="77777777" w:rsidR="00125827" w:rsidRPr="00125827" w:rsidRDefault="00125827" w:rsidP="00125827">
      <w:pPr>
        <w:keepNext/>
        <w:tabs>
          <w:tab w:val="left" w:pos="567"/>
          <w:tab w:val="left" w:pos="1134"/>
        </w:tabs>
        <w:jc w:val="left"/>
      </w:pPr>
      <w:r>
        <w:t>[…]</w:t>
      </w:r>
    </w:p>
    <w:p w14:paraId="671A0293" w14:textId="77777777" w:rsidR="00125827" w:rsidRPr="00125827" w:rsidRDefault="00125827" w:rsidP="00125827">
      <w:pPr>
        <w:keepNext/>
        <w:tabs>
          <w:tab w:val="left" w:pos="567"/>
          <w:tab w:val="left" w:pos="1134"/>
          <w:tab w:val="left" w:pos="1276"/>
        </w:tabs>
        <w:spacing w:before="120" w:after="120"/>
        <w:jc w:val="left"/>
        <w:rPr>
          <w:rFonts w:cs="Arial"/>
          <w:bCs/>
          <w:u w:val="single"/>
        </w:rPr>
      </w:pPr>
      <w:r>
        <w:rPr>
          <w:rFonts w:cs="Arial"/>
          <w:bCs/>
          <w:highlight w:val="lightGray"/>
          <w:u w:val="single"/>
        </w:rPr>
        <w:t>„</w:t>
      </w:r>
      <w:r>
        <w:rPr>
          <w:highlight w:val="lightGray"/>
          <w:u w:val="single"/>
        </w:rPr>
        <w:t>8</w:t>
      </w:r>
      <w:r>
        <w:rPr>
          <w:highlight w:val="lightGray"/>
          <w:u w:val="single"/>
        </w:rPr>
        <w:tab/>
      </w:r>
      <w:r>
        <w:rPr>
          <w:rFonts w:cs="Arial"/>
          <w:bCs/>
          <w:highlight w:val="lightGray"/>
          <w:u w:val="single"/>
        </w:rPr>
        <w:t xml:space="preserve">{ </w:t>
      </w:r>
      <w:r>
        <w:rPr>
          <w:rFonts w:cs="Arial"/>
          <w:bCs/>
          <w:highlight w:val="lightGray"/>
          <w:u w:val="single"/>
          <w:bdr w:val="single" w:sz="12" w:space="0" w:color="auto"/>
        </w:rPr>
        <w:t xml:space="preserve">GN 13 </w:t>
      </w:r>
      <w:r>
        <w:rPr>
          <w:rFonts w:cs="Arial"/>
          <w:bCs/>
          <w:highlight w:val="lightGray"/>
          <w:u w:val="single"/>
        </w:rPr>
        <w:t xml:space="preserve">  Gruppierungsmerkmale}</w:t>
      </w:r>
      <w:r>
        <w:rPr>
          <w:rFonts w:cs="Arial"/>
          <w:bCs/>
          <w:u w:val="single"/>
        </w:rPr>
        <w:t>“</w:t>
      </w:r>
    </w:p>
    <w:p w14:paraId="496F26CC" w14:textId="77777777" w:rsidR="00125827" w:rsidRPr="00125827" w:rsidRDefault="00125827" w:rsidP="00125827"/>
    <w:p w14:paraId="483046D6" w14:textId="77777777" w:rsidR="00125827" w:rsidRPr="00125827" w:rsidRDefault="00125827" w:rsidP="00125827">
      <w:pPr>
        <w:keepNext/>
        <w:ind w:left="1134" w:hanging="567"/>
        <w:outlineLvl w:val="4"/>
        <w:rPr>
          <w:i/>
        </w:rPr>
      </w:pPr>
      <w:r>
        <w:rPr>
          <w:i/>
        </w:rPr>
        <w:t>Technischer Fragebogen: Abschnitt 10, Punkt 5</w:t>
      </w:r>
    </w:p>
    <w:p w14:paraId="7F1A5AB4" w14:textId="77777777" w:rsidR="00125827" w:rsidRPr="00125827" w:rsidRDefault="00125827" w:rsidP="00125827"/>
    <w:p w14:paraId="311698DD" w14:textId="4ADE4A09" w:rsidR="00125827" w:rsidRPr="00125827" w:rsidRDefault="00125827" w:rsidP="007554DF">
      <w:pPr>
        <w:pStyle w:val="ListParagraph"/>
        <w:keepNext/>
        <w:numPr>
          <w:ilvl w:val="0"/>
          <w:numId w:val="38"/>
        </w:numPr>
        <w:ind w:left="0" w:firstLine="0"/>
      </w:pPr>
      <w:r>
        <w:t>Der Standardwortlaut des Technischen Fragebogens, Punkt 5, lautet wie folgt:</w:t>
      </w:r>
    </w:p>
    <w:p w14:paraId="4AF3184C" w14:textId="77777777" w:rsidR="00125827" w:rsidRPr="00125827" w:rsidRDefault="00125827" w:rsidP="00125827"/>
    <w:p w14:paraId="6AF7F66C" w14:textId="77777777" w:rsidR="00125827" w:rsidRPr="00125827" w:rsidRDefault="00125827" w:rsidP="00125827">
      <w:pPr>
        <w:ind w:left="567" w:right="567"/>
        <w:rPr>
          <w:snapToGrid w:val="0"/>
        </w:rPr>
      </w:pPr>
      <w:r>
        <w:rPr>
          <w:snapToGrid w:val="0"/>
        </w:rPr>
        <w:t>„5.</w:t>
      </w:r>
      <w:r>
        <w:rPr>
          <w:snapToGrid w:val="0"/>
        </w:rPr>
        <w:tab/>
        <w:t>Anzugebende Merkmale der Sorte (die in Klammern angegebene Zahl verweist auf das entsprechende Merkmal in den Prüfungsrichtlinien; bitte die Note ankreuzen, die derjenigen der Sorte am nächsten kommt).“</w:t>
      </w:r>
    </w:p>
    <w:p w14:paraId="45B56CC5" w14:textId="77777777" w:rsidR="00125827" w:rsidRPr="00125827" w:rsidRDefault="00125827" w:rsidP="00125827"/>
    <w:p w14:paraId="5C1A8BD2" w14:textId="22D9174F" w:rsidR="00125827" w:rsidRPr="00125827" w:rsidRDefault="00125827" w:rsidP="007554DF">
      <w:pPr>
        <w:pStyle w:val="ListParagraph"/>
        <w:numPr>
          <w:ilvl w:val="0"/>
          <w:numId w:val="38"/>
        </w:numPr>
        <w:ind w:left="0" w:hanging="11"/>
      </w:pPr>
      <w:r>
        <w:t>Der Standardwortlaut würde daher geändert werden und wie folgt lauten:</w:t>
      </w:r>
    </w:p>
    <w:p w14:paraId="0172D15B" w14:textId="77777777" w:rsidR="00125827" w:rsidRPr="00125827" w:rsidRDefault="00125827" w:rsidP="00125827"/>
    <w:p w14:paraId="2CD65046" w14:textId="77777777" w:rsidR="00125827" w:rsidRPr="00125827" w:rsidRDefault="00125827" w:rsidP="00125827">
      <w:pPr>
        <w:ind w:left="567" w:right="567"/>
      </w:pPr>
      <w:r>
        <w:t>„5.</w:t>
      </w:r>
      <w:r>
        <w:tab/>
        <w:t xml:space="preserve">Anzugebende Merkmale der Sorte: bitte die Note ankreuzen, die am nächsten kommt </w:t>
      </w:r>
    </w:p>
    <w:p w14:paraId="34D25A75" w14:textId="77777777" w:rsidR="00125827" w:rsidRPr="00125827" w:rsidRDefault="00125827" w:rsidP="00125827">
      <w:pPr>
        <w:ind w:left="567" w:right="567"/>
      </w:pPr>
      <w:r>
        <w:t xml:space="preserve">(die in Klammern angegebene Zahl verweist auf das entsprechende Merkmal in den Prüfungsrichtlinien; </w:t>
      </w:r>
      <w:r>
        <w:rPr>
          <w:highlight w:val="lightGray"/>
          <w:u w:val="single"/>
        </w:rPr>
        <w:t>Merkmale zur Gruppierung von Sorten und Organisation der Anbauprüfung sind mit ‚G‘ gekennzeichnet</w:t>
      </w:r>
      <w:r>
        <w:t>).“</w:t>
      </w:r>
    </w:p>
    <w:p w14:paraId="04E5155C" w14:textId="77777777" w:rsidR="00125827" w:rsidRPr="00125827" w:rsidRDefault="00125827" w:rsidP="00125827"/>
    <w:p w14:paraId="637113E5" w14:textId="4763F04A" w:rsidR="00125827" w:rsidRPr="007554DF" w:rsidRDefault="00125827" w:rsidP="007554DF">
      <w:pPr>
        <w:pStyle w:val="ListParagraph"/>
        <w:keepNext/>
        <w:numPr>
          <w:ilvl w:val="0"/>
          <w:numId w:val="38"/>
        </w:numPr>
        <w:ind w:left="0" w:firstLine="0"/>
      </w:pPr>
      <w:r>
        <w:t xml:space="preserve">Nach ihrer Billigung würden die </w:t>
      </w:r>
      <w:r w:rsidRPr="007554DF">
        <w:t xml:space="preserve">Änderungen des Standardwortlauts der Prüfungsrichtlinien zu gegebener Zeit in die webbasierte Mustervorlage für Prüfungsrichtlinien eingeführt werden, vorbehaltlich der Verfügbarkeit von Ressourcen. </w:t>
      </w:r>
    </w:p>
    <w:p w14:paraId="0415137F" w14:textId="77777777" w:rsidR="00125827" w:rsidRDefault="00125827" w:rsidP="00125827"/>
    <w:p w14:paraId="37999C18" w14:textId="77777777" w:rsidR="00F0166F" w:rsidRPr="00125827" w:rsidRDefault="00F0166F" w:rsidP="00125827"/>
    <w:p w14:paraId="1B061DF6" w14:textId="77777777" w:rsidR="00125827" w:rsidRPr="00F0166F" w:rsidRDefault="00E9129C" w:rsidP="00125827">
      <w:pPr>
        <w:rPr>
          <w:i/>
        </w:rPr>
      </w:pPr>
      <w:r>
        <w:rPr>
          <w:i/>
        </w:rPr>
        <w:t>Prüfung durch die Technischen Arbeitsgruppen auf ihren Tagungen 2022</w:t>
      </w:r>
    </w:p>
    <w:p w14:paraId="54B826A8" w14:textId="77777777" w:rsidR="00F0166F" w:rsidRPr="00B02CEC" w:rsidRDefault="00F0166F" w:rsidP="00F0166F">
      <w:pPr>
        <w:keepNext/>
      </w:pPr>
    </w:p>
    <w:p w14:paraId="37AFCF07" w14:textId="6A89359A" w:rsidR="00F0166F" w:rsidRDefault="00F0166F" w:rsidP="007554DF">
      <w:pPr>
        <w:pStyle w:val="ListParagraph"/>
        <w:keepNext/>
        <w:numPr>
          <w:ilvl w:val="0"/>
          <w:numId w:val="38"/>
        </w:numPr>
        <w:ind w:left="0" w:firstLine="0"/>
      </w:pPr>
      <w:r>
        <w:t xml:space="preserve">Die TWP prüften auf ihren Tagungen 2022 den Vorschlag zur Änderung von Dokument TGP/7, um </w:t>
      </w:r>
      <w:r w:rsidRPr="007554DF">
        <w:t>die als Gruppierungsmerkmale verwendeten Merkmale anzugeben</w:t>
      </w:r>
      <w:r>
        <w:t>, wie in Dokument TWP/6/1, Absätze 21 und 22 dargelegt (vergleiche Dokumente TWV/56/22 „</w:t>
      </w:r>
      <w:r w:rsidRPr="007554DF">
        <w:t>Report</w:t>
      </w:r>
      <w:r>
        <w:t>“, Absatz 10; TWA/51/11 „</w:t>
      </w:r>
      <w:r w:rsidRPr="007554DF">
        <w:t>Report</w:t>
      </w:r>
      <w:r>
        <w:t>“, Absatz 28; TWO/54/6 „</w:t>
      </w:r>
      <w:r w:rsidRPr="007554DF">
        <w:t>Report</w:t>
      </w:r>
      <w:r>
        <w:t>“, Absatz 27; TWF/53/14 „</w:t>
      </w:r>
      <w:r w:rsidRPr="007554DF">
        <w:t>Report</w:t>
      </w:r>
      <w:r>
        <w:t>“, Absatz 12).</w:t>
      </w:r>
    </w:p>
    <w:p w14:paraId="6EA60AC5" w14:textId="77777777" w:rsidR="00F0166F" w:rsidRDefault="00F0166F" w:rsidP="007554DF">
      <w:pPr>
        <w:pStyle w:val="ListParagraph"/>
        <w:keepNext/>
        <w:ind w:left="0"/>
      </w:pPr>
    </w:p>
    <w:p w14:paraId="72F80F7D" w14:textId="6423E1DF" w:rsidR="00F0166F" w:rsidRDefault="00F0166F" w:rsidP="007554DF">
      <w:pPr>
        <w:pStyle w:val="ListParagraph"/>
        <w:keepNext/>
        <w:numPr>
          <w:ilvl w:val="0"/>
          <w:numId w:val="38"/>
        </w:numPr>
        <w:ind w:left="0" w:firstLine="0"/>
      </w:pPr>
      <w:r>
        <w:t>Die TWV vereinbarte auf ihrer sechsundfünfzigsten Tagung die Überarbeitung von Dokument TGP/7 „Erstellung von Prüfungsrichtlinien</w:t>
      </w:r>
      <w:r w:rsidR="001705E8">
        <w:t>“</w:t>
      </w:r>
      <w:r>
        <w:t>, um die Merkmale in der Merkmalstabelle und im Technischen Fragebogen anzugeben, wenn sie als Gruppierungsmerkmale verwendet werden, wie in Dokument TWP/6/1, Absatz 22 dargelegt.</w:t>
      </w:r>
    </w:p>
    <w:p w14:paraId="31772C37" w14:textId="77777777" w:rsidR="00F0166F" w:rsidRDefault="00F0166F" w:rsidP="00F0166F"/>
    <w:p w14:paraId="43E812EC" w14:textId="08BB6A63" w:rsidR="00F0166F" w:rsidRDefault="00F0166F" w:rsidP="007554DF">
      <w:pPr>
        <w:pStyle w:val="ListParagraph"/>
        <w:keepNext/>
        <w:numPr>
          <w:ilvl w:val="0"/>
          <w:numId w:val="38"/>
        </w:numPr>
        <w:ind w:left="0" w:firstLine="0"/>
      </w:pPr>
      <w:r>
        <w:t xml:space="preserve">Die TWA vereinbarte auf ihrer einundfünfzigsten Tagung, dass keine Überarbeitung von Dokument TGP/7 erforderlich sei, da Angaben zu Gruppierungsmerkmalen im Technischen Fragebogen nicht relevant seien und es nicht notwendig wäre, Informationen aus Abschnitt 5 in der Merkmalstabelle zu wiederholen. </w:t>
      </w:r>
    </w:p>
    <w:p w14:paraId="392AB283" w14:textId="77777777" w:rsidR="00407996" w:rsidRDefault="00407996" w:rsidP="007554DF">
      <w:pPr>
        <w:pStyle w:val="ListParagraph"/>
        <w:keepNext/>
        <w:ind w:left="0"/>
      </w:pPr>
    </w:p>
    <w:p w14:paraId="360F3012" w14:textId="4C22A4AB" w:rsidR="00407996" w:rsidRPr="007554DF" w:rsidRDefault="00407996" w:rsidP="007554DF">
      <w:pPr>
        <w:pStyle w:val="ListParagraph"/>
        <w:keepNext/>
        <w:numPr>
          <w:ilvl w:val="0"/>
          <w:numId w:val="38"/>
        </w:numPr>
        <w:ind w:left="0" w:firstLine="0"/>
      </w:pPr>
      <w:r w:rsidRPr="007554DF">
        <w:t>Die TWO vereinbarte auf ihrer vierundfünfzigsten Tagung mit der TWA, auf ihrer einundfünfzigsten Tagung, dass keine Überarbeitung von Dokument TGP/7 erforderlich sei, da Angaben zu Gruppierungsmerkmalen im Technischen Fragebogen nicht relevant seien und es nicht notwendig wäre, Informationen aus Abschnitt 5 in der Merkmalstabelle zu wiederholen.</w:t>
      </w:r>
    </w:p>
    <w:p w14:paraId="7FB3EC44" w14:textId="77777777" w:rsidR="00407996" w:rsidRDefault="00407996" w:rsidP="007554DF">
      <w:pPr>
        <w:pStyle w:val="ListParagraph"/>
        <w:keepNext/>
        <w:ind w:left="0"/>
      </w:pPr>
    </w:p>
    <w:p w14:paraId="347BE2B7" w14:textId="1CAB9560" w:rsidR="00407996" w:rsidRDefault="00407996" w:rsidP="007554DF">
      <w:pPr>
        <w:pStyle w:val="ListParagraph"/>
        <w:keepNext/>
        <w:numPr>
          <w:ilvl w:val="0"/>
          <w:numId w:val="38"/>
        </w:numPr>
        <w:ind w:left="0" w:firstLine="0"/>
      </w:pPr>
      <w:r>
        <w:t xml:space="preserve">Die TWF nahm auf ihrer dreiundfünfzigsten Tagung zur Kenntnis, dass es unterschiedliche Ansichten zu dem Vorschlag gebe und dass zum jetzigen Zeitpunkt keine Schlussfolgerung möglich sei. </w:t>
      </w:r>
    </w:p>
    <w:p w14:paraId="7DBE63F1" w14:textId="07DCE140" w:rsidR="00CB63E2" w:rsidRDefault="00CB63E2" w:rsidP="00125827">
      <w:pPr>
        <w:jc w:val="right"/>
      </w:pPr>
    </w:p>
    <w:p w14:paraId="24ABF620" w14:textId="4CC35C72" w:rsidR="00125827" w:rsidRPr="00125827" w:rsidRDefault="00125827" w:rsidP="00125827">
      <w:pPr>
        <w:jc w:val="right"/>
      </w:pPr>
      <w:r>
        <w:t>[Anlage IV folgt]</w:t>
      </w:r>
    </w:p>
    <w:p w14:paraId="740DF3E0" w14:textId="77777777" w:rsidR="00125827" w:rsidRPr="00125827" w:rsidRDefault="00125827" w:rsidP="00125827">
      <w:pPr>
        <w:jc w:val="right"/>
        <w:rPr>
          <w:i/>
        </w:rPr>
        <w:sectPr w:rsidR="00125827" w:rsidRPr="00125827" w:rsidSect="00086373">
          <w:headerReference w:type="default" r:id="rId26"/>
          <w:headerReference w:type="first" r:id="rId27"/>
          <w:pgSz w:w="11907" w:h="16840" w:code="9"/>
          <w:pgMar w:top="510" w:right="1134" w:bottom="993" w:left="1134" w:header="510" w:footer="680" w:gutter="0"/>
          <w:pgNumType w:start="1"/>
          <w:cols w:space="720"/>
          <w:titlePg/>
          <w:docGrid w:linePitch="272"/>
        </w:sectPr>
      </w:pPr>
    </w:p>
    <w:p w14:paraId="5651D8CD" w14:textId="77777777" w:rsidR="00125827" w:rsidRPr="00125827" w:rsidRDefault="00125827" w:rsidP="00125827">
      <w:pPr>
        <w:rPr>
          <w:i/>
        </w:rPr>
      </w:pPr>
    </w:p>
    <w:p w14:paraId="1CF71734" w14:textId="77777777" w:rsidR="00125827" w:rsidRPr="00125827" w:rsidRDefault="00125827" w:rsidP="00125827">
      <w:pPr>
        <w:ind w:left="-142" w:right="312"/>
        <w:jc w:val="right"/>
      </w:pPr>
    </w:p>
    <w:p w14:paraId="4E41DA7D" w14:textId="413722D8" w:rsidR="00125827" w:rsidRPr="00125827" w:rsidRDefault="00125827" w:rsidP="00125827">
      <w:pPr>
        <w:jc w:val="center"/>
        <w:rPr>
          <w:caps/>
        </w:rPr>
      </w:pPr>
      <w:r>
        <w:rPr>
          <w:caps/>
        </w:rPr>
        <w:t>Dokument TGP/7 „Erstellung von Prüfungsrichtlinien</w:t>
      </w:r>
      <w:r w:rsidR="001705E8">
        <w:rPr>
          <w:caps/>
        </w:rPr>
        <w:t>“</w:t>
      </w:r>
    </w:p>
    <w:p w14:paraId="4F67DAE1" w14:textId="77777777" w:rsidR="00125827" w:rsidRPr="00125827" w:rsidRDefault="00125827" w:rsidP="00125827"/>
    <w:p w14:paraId="5E44D209" w14:textId="77777777" w:rsidR="00125827" w:rsidRPr="00125827" w:rsidRDefault="00125827" w:rsidP="00125827">
      <w:pPr>
        <w:rPr>
          <w:u w:val="single"/>
        </w:rPr>
      </w:pPr>
      <w:r>
        <w:rPr>
          <w:u w:val="single"/>
        </w:rPr>
        <w:t xml:space="preserve">Umwandlung des Standardwortlauts in der Mustervorlage für Prüfungsrichtlinien, Absatz 4.2.2, in einen zusätzlichen Standardwortlaut (ASW). </w:t>
      </w:r>
    </w:p>
    <w:p w14:paraId="113A9D7B" w14:textId="77777777" w:rsidR="00125827" w:rsidRPr="00125827" w:rsidRDefault="00125827" w:rsidP="00125827">
      <w:pPr>
        <w:rPr>
          <w:i/>
        </w:rPr>
      </w:pPr>
    </w:p>
    <w:p w14:paraId="10B834FA" w14:textId="6C5B8940" w:rsidR="00125827" w:rsidRPr="00125827" w:rsidRDefault="00DC5127" w:rsidP="00125827">
      <w:pPr>
        <w:rPr>
          <w:i/>
        </w:rPr>
      </w:pPr>
      <w:r>
        <w:rPr>
          <w:i/>
        </w:rPr>
        <w:t>Hintergrund</w:t>
      </w:r>
    </w:p>
    <w:p w14:paraId="05D524A1" w14:textId="77777777" w:rsidR="00125827" w:rsidRPr="00125827" w:rsidRDefault="00125827" w:rsidP="00125827">
      <w:pPr>
        <w:rPr>
          <w:i/>
        </w:rPr>
      </w:pPr>
    </w:p>
    <w:p w14:paraId="5CEAE4BE" w14:textId="7D69245C" w:rsidR="00125827" w:rsidRPr="00125827" w:rsidRDefault="00125827" w:rsidP="007554DF">
      <w:pPr>
        <w:pStyle w:val="ListParagraph"/>
        <w:keepNext/>
        <w:numPr>
          <w:ilvl w:val="0"/>
          <w:numId w:val="39"/>
        </w:numPr>
        <w:ind w:left="0" w:hanging="11"/>
      </w:pPr>
      <w:r>
        <w:t>Die TWA prüfte auf ihrer fünfzigsten Tagung</w:t>
      </w:r>
      <w:r>
        <w:rPr>
          <w:vertAlign w:val="superscript"/>
        </w:rPr>
        <w:footnoteReference w:id="16"/>
      </w:r>
      <w:r>
        <w:t xml:space="preserve"> die Prüfungsrichtlinien für Raps und Sonnenblume und nahm zur Kenntnis, dass für diese Pflanzen ausschließlich samenvermehrte Sorten existieren.  Die TWA vereinbarte, dass der nachfolgende Standardwortlaut im Kapitel „Homogenität</w:t>
      </w:r>
      <w:r w:rsidR="001705E8">
        <w:t>“</w:t>
      </w:r>
      <w:r>
        <w:t xml:space="preserve"> der Prüfungsrichtlinien in solchen Fällen nicht zweckmäßig sei (vergleiche Dokument TWA/50/9 „</w:t>
      </w:r>
      <w:r w:rsidRPr="007554DF">
        <w:rPr>
          <w:i/>
          <w:iCs/>
        </w:rPr>
        <w:t>Report</w:t>
      </w:r>
      <w:r w:rsidR="001705E8">
        <w:t>“</w:t>
      </w:r>
      <w:r>
        <w:t>, Absätze 31 und 32):</w:t>
      </w:r>
    </w:p>
    <w:p w14:paraId="3A5625F7" w14:textId="77777777" w:rsidR="00125827" w:rsidRPr="00125827" w:rsidRDefault="00125827" w:rsidP="00125827"/>
    <w:p w14:paraId="15FB3F83" w14:textId="0CFBB916" w:rsidR="00125827" w:rsidRPr="00125827" w:rsidRDefault="00125827" w:rsidP="00125827">
      <w:pPr>
        <w:ind w:left="567" w:right="567"/>
        <w:rPr>
          <w:sz w:val="18"/>
        </w:rPr>
      </w:pPr>
      <w:r>
        <w:rPr>
          <w:sz w:val="18"/>
        </w:rPr>
        <w:t>„4.2.2</w:t>
      </w:r>
      <w:r>
        <w:rPr>
          <w:sz w:val="18"/>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w:t>
      </w:r>
      <w:r w:rsidR="001705E8">
        <w:rPr>
          <w:sz w:val="18"/>
        </w:rPr>
        <w:t>“</w:t>
      </w:r>
      <w:r>
        <w:rPr>
          <w:sz w:val="18"/>
        </w:rPr>
        <w:t>, befolgt werden.“</w:t>
      </w:r>
    </w:p>
    <w:p w14:paraId="62C042B4" w14:textId="77777777" w:rsidR="00125827" w:rsidRPr="00125827" w:rsidRDefault="00125827" w:rsidP="00125827"/>
    <w:p w14:paraId="04CBE37D" w14:textId="1F5E91DD" w:rsidR="00125827" w:rsidRPr="00125827" w:rsidRDefault="00125827" w:rsidP="007554DF">
      <w:pPr>
        <w:pStyle w:val="ListParagraph"/>
        <w:keepNext/>
        <w:numPr>
          <w:ilvl w:val="0"/>
          <w:numId w:val="39"/>
        </w:numPr>
        <w:ind w:left="0" w:hanging="11"/>
      </w:pPr>
      <w:r>
        <w:t>Die TWA schlug vor, den Standardwortlaut in Absatz 4.2.2 der Prüfungsrichtlinien für Raps und Sonnenblume zu streichen.  Die TWA schlug die Umwandlung des Standardwortlauts in Absatz 4.2.2 in einen zusätzlichen Standardwortlaut (ASW) in Dokument TGP/7 „Erstellung von Prüfungsrichtlinien</w:t>
      </w:r>
      <w:r w:rsidR="001705E8">
        <w:t>“</w:t>
      </w:r>
      <w:r>
        <w:t xml:space="preserve"> vor.</w:t>
      </w:r>
    </w:p>
    <w:p w14:paraId="1CE2DBB3" w14:textId="77777777" w:rsidR="00125827" w:rsidRPr="00125827" w:rsidRDefault="00125827" w:rsidP="00125827"/>
    <w:p w14:paraId="461318BA" w14:textId="77777777" w:rsidR="00125827" w:rsidRPr="00125827" w:rsidRDefault="00125827" w:rsidP="00125827">
      <w:pPr>
        <w:rPr>
          <w:i/>
        </w:rPr>
      </w:pPr>
      <w:r>
        <w:rPr>
          <w:i/>
        </w:rPr>
        <w:t>Prüfung durch den Technischen Ausschuss</w:t>
      </w:r>
    </w:p>
    <w:p w14:paraId="65A861F9" w14:textId="77777777" w:rsidR="00125827" w:rsidRPr="00125827" w:rsidRDefault="00125827" w:rsidP="007554DF">
      <w:pPr>
        <w:pStyle w:val="ListParagraph"/>
        <w:keepNext/>
        <w:ind w:left="0"/>
      </w:pPr>
    </w:p>
    <w:p w14:paraId="07C37576" w14:textId="26CC6190" w:rsidR="00125827" w:rsidRPr="00125827" w:rsidRDefault="00125827" w:rsidP="007554DF">
      <w:pPr>
        <w:pStyle w:val="ListParagraph"/>
        <w:keepNext/>
        <w:numPr>
          <w:ilvl w:val="0"/>
          <w:numId w:val="39"/>
        </w:numPr>
        <w:ind w:left="0" w:hanging="11"/>
      </w:pPr>
      <w:r>
        <w:t>Der TC prüfte auf seiner siebenundfünfzigsten Tagung den Vorschlag zur Umwandlung des folgenden Standardwortlauts im Kapitel „Homogenität</w:t>
      </w:r>
      <w:r w:rsidR="001705E8">
        <w:t>“</w:t>
      </w:r>
      <w:r>
        <w:t xml:space="preserve"> der Prüfungsrichtlinien in einen zusätzlichen Standardwortlaut (vergleiche Dokument TC/57/25 „Bericht“, Absätze 42 und 43):</w:t>
      </w:r>
    </w:p>
    <w:p w14:paraId="707DE7D6" w14:textId="77777777" w:rsidR="00125827" w:rsidRPr="00125827" w:rsidRDefault="00125827" w:rsidP="00125827"/>
    <w:p w14:paraId="2933F0E2" w14:textId="481532D2" w:rsidR="00125827" w:rsidRPr="00125827" w:rsidRDefault="00125827" w:rsidP="00125827">
      <w:pPr>
        <w:ind w:left="567" w:right="567"/>
        <w:rPr>
          <w:sz w:val="18"/>
        </w:rPr>
      </w:pPr>
      <w:r>
        <w:rPr>
          <w:sz w:val="18"/>
        </w:rPr>
        <w:t>„4.2.2</w:t>
      </w:r>
      <w:r>
        <w:rPr>
          <w:sz w:val="18"/>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w:t>
      </w:r>
      <w:r w:rsidR="001705E8">
        <w:rPr>
          <w:sz w:val="18"/>
        </w:rPr>
        <w:t>“</w:t>
      </w:r>
      <w:r>
        <w:rPr>
          <w:sz w:val="18"/>
        </w:rPr>
        <w:t>, befolgt werden.“</w:t>
      </w:r>
    </w:p>
    <w:p w14:paraId="48ACD68F" w14:textId="77777777" w:rsidR="00125827" w:rsidRPr="00125827" w:rsidRDefault="00125827" w:rsidP="00125827">
      <w:pPr>
        <w:rPr>
          <w:highlight w:val="yellow"/>
        </w:rPr>
      </w:pPr>
    </w:p>
    <w:p w14:paraId="29AFF83A" w14:textId="1BE81765" w:rsidR="00125827" w:rsidRPr="00125827" w:rsidRDefault="00125827" w:rsidP="007554DF">
      <w:pPr>
        <w:pStyle w:val="ListParagraph"/>
        <w:keepNext/>
        <w:numPr>
          <w:ilvl w:val="0"/>
          <w:numId w:val="39"/>
        </w:numPr>
        <w:ind w:left="0" w:hanging="11"/>
      </w:pPr>
      <w:r>
        <w:t>Der TC vereinbarte, die TWP zu ersuchen, auf ihren Tagungen 2022 den Vorschlag zur Änderung von Dokument TGP/7 „Erstellung von Prüfungsrichtlinien</w:t>
      </w:r>
      <w:r w:rsidR="001705E8">
        <w:t>“</w:t>
      </w:r>
      <w:r>
        <w:t xml:space="preserve"> zu prüfen, um den Standardwortlaut in der Mustervorlage für Prüfungsrichtlinien, Absatz 4.2.2, in einen zusätzlichen Standardwortlaut (ASW) umzuwandeln.</w:t>
      </w:r>
    </w:p>
    <w:p w14:paraId="5ED29F76" w14:textId="77777777" w:rsidR="00E9129C" w:rsidRPr="00125827" w:rsidRDefault="00E9129C" w:rsidP="00E9129C"/>
    <w:p w14:paraId="513C5C44" w14:textId="77777777" w:rsidR="00E9129C" w:rsidRPr="00F0166F" w:rsidRDefault="00E9129C" w:rsidP="00E9129C">
      <w:pPr>
        <w:rPr>
          <w:i/>
        </w:rPr>
      </w:pPr>
      <w:r>
        <w:rPr>
          <w:i/>
        </w:rPr>
        <w:t>Prüfung durch die Technischen Arbeitsgruppen auf ihren Tagungen 2022</w:t>
      </w:r>
    </w:p>
    <w:p w14:paraId="13AC73D9" w14:textId="77777777" w:rsidR="00E9129C" w:rsidRPr="00B02CEC" w:rsidRDefault="00E9129C" w:rsidP="00E9129C">
      <w:pPr>
        <w:keepNext/>
      </w:pPr>
    </w:p>
    <w:p w14:paraId="59E508D3" w14:textId="7CA09973" w:rsidR="00E9129C" w:rsidRDefault="00E9129C" w:rsidP="007554DF">
      <w:pPr>
        <w:pStyle w:val="ListParagraph"/>
        <w:keepNext/>
        <w:numPr>
          <w:ilvl w:val="0"/>
          <w:numId w:val="39"/>
        </w:numPr>
        <w:ind w:left="0" w:hanging="11"/>
      </w:pPr>
      <w:r>
        <w:t>Die TWP prüften auf ihren Tagungen 2022 den Vorschlag und vereinbarten die Umwandlung des folgenden Standardwortlauts in dem Kapitel „Homogenität“ der Prüfungsrichtlinien in einen zusätzlichen Standardwortlaut, wie in Dokument TWP/6/1, Absätze 21 und 22 dargelegt (vergleiche Dokumente TWV/56/22 „</w:t>
      </w:r>
      <w:r w:rsidRPr="007554DF">
        <w:t>Report</w:t>
      </w:r>
      <w:r>
        <w:t>“, Absatz 11; TWA/51/11 „</w:t>
      </w:r>
      <w:r w:rsidRPr="007554DF">
        <w:t>Report</w:t>
      </w:r>
      <w:r>
        <w:t>“, Absatz 29; TWO/54/6 „</w:t>
      </w:r>
      <w:r w:rsidRPr="007554DF">
        <w:t>Report</w:t>
      </w:r>
      <w:r>
        <w:t>“, Absatz 28; TWF/53/14 „</w:t>
      </w:r>
      <w:r w:rsidRPr="007554DF">
        <w:t>Report</w:t>
      </w:r>
      <w:r>
        <w:t>“, Absatz 13).</w:t>
      </w:r>
    </w:p>
    <w:p w14:paraId="42905AF2" w14:textId="77777777" w:rsidR="005D6FDE" w:rsidRDefault="005D6FDE" w:rsidP="00125827"/>
    <w:p w14:paraId="36FDDD04" w14:textId="77777777" w:rsidR="00247BC8" w:rsidRPr="00125827" w:rsidRDefault="00247BC8" w:rsidP="00125827"/>
    <w:p w14:paraId="4414B9E5" w14:textId="77777777" w:rsidR="00125827" w:rsidRPr="00125827" w:rsidRDefault="00125827" w:rsidP="00125827"/>
    <w:p w14:paraId="6A2C5F0E" w14:textId="77777777" w:rsidR="00125827" w:rsidRPr="00125827" w:rsidRDefault="00125827" w:rsidP="00125827">
      <w:pPr>
        <w:jc w:val="right"/>
      </w:pPr>
      <w:r>
        <w:t>[Anlage V folgt]</w:t>
      </w:r>
    </w:p>
    <w:p w14:paraId="43478642" w14:textId="77777777" w:rsidR="00125827" w:rsidRPr="00125827" w:rsidRDefault="00125827" w:rsidP="00125827">
      <w:pPr>
        <w:jc w:val="right"/>
        <w:sectPr w:rsidR="00125827" w:rsidRPr="00125827" w:rsidSect="00086373">
          <w:headerReference w:type="first" r:id="rId28"/>
          <w:pgSz w:w="11907" w:h="16840" w:code="9"/>
          <w:pgMar w:top="510" w:right="1134" w:bottom="993" w:left="1134" w:header="510" w:footer="680" w:gutter="0"/>
          <w:pgNumType w:start="1"/>
          <w:cols w:space="720"/>
          <w:titlePg/>
          <w:docGrid w:linePitch="272"/>
        </w:sectPr>
      </w:pPr>
    </w:p>
    <w:p w14:paraId="29F67A94" w14:textId="77777777" w:rsidR="00125827" w:rsidRPr="00125827" w:rsidRDefault="00125827" w:rsidP="00125827"/>
    <w:p w14:paraId="6FC9491E" w14:textId="77777777" w:rsidR="00881493" w:rsidRPr="00125827" w:rsidRDefault="00881493" w:rsidP="00881493">
      <w:pPr>
        <w:ind w:left="-142" w:right="312"/>
        <w:jc w:val="right"/>
      </w:pPr>
    </w:p>
    <w:p w14:paraId="1806FD6F" w14:textId="30F63D7B" w:rsidR="00881493" w:rsidRPr="00125827" w:rsidRDefault="00881493" w:rsidP="00881493">
      <w:pPr>
        <w:jc w:val="center"/>
        <w:rPr>
          <w:caps/>
        </w:rPr>
      </w:pPr>
      <w:r>
        <w:rPr>
          <w:caps/>
        </w:rPr>
        <w:t>Dokument TGP/7 „Erstellung von Prüfungsrichtlinien</w:t>
      </w:r>
      <w:r w:rsidR="001705E8">
        <w:rPr>
          <w:caps/>
        </w:rPr>
        <w:t>“</w:t>
      </w:r>
    </w:p>
    <w:p w14:paraId="5F3556C7" w14:textId="77777777" w:rsidR="00881493" w:rsidRPr="00125827" w:rsidRDefault="00881493" w:rsidP="00881493"/>
    <w:p w14:paraId="1C4EE6C3" w14:textId="77777777" w:rsidR="00881493" w:rsidRPr="00125827" w:rsidRDefault="00881493" w:rsidP="00881493">
      <w:pPr>
        <w:rPr>
          <w:u w:val="single"/>
        </w:rPr>
      </w:pPr>
      <w:r>
        <w:rPr>
          <w:u w:val="single"/>
        </w:rPr>
        <w:t>Krankheitsresistenzmerkmale: Hinzufügung von Ausprägungsstufen und Platzierung von Krankheitsresistenzmerkmalen ohne Sternchen in Abschnitt 5 des Technischen Fragebogens</w:t>
      </w:r>
    </w:p>
    <w:p w14:paraId="19F791D9" w14:textId="77777777" w:rsidR="00881493" w:rsidRPr="00125827" w:rsidRDefault="00881493" w:rsidP="00881493"/>
    <w:p w14:paraId="49A2DE7D" w14:textId="26D59889" w:rsidR="00881493" w:rsidRPr="00125827" w:rsidRDefault="00DC5127" w:rsidP="00881493">
      <w:pPr>
        <w:rPr>
          <w:i/>
        </w:rPr>
      </w:pPr>
      <w:r>
        <w:rPr>
          <w:i/>
        </w:rPr>
        <w:t>Hintergrund</w:t>
      </w:r>
      <w:r w:rsidR="00881493">
        <w:rPr>
          <w:i/>
        </w:rPr>
        <w:t xml:space="preserve"> </w:t>
      </w:r>
    </w:p>
    <w:p w14:paraId="083E4525" w14:textId="77777777" w:rsidR="00881493" w:rsidRPr="00125827" w:rsidRDefault="00881493" w:rsidP="00881493">
      <w:pPr>
        <w:keepNext/>
      </w:pPr>
    </w:p>
    <w:p w14:paraId="57EF46DA" w14:textId="782C089C" w:rsidR="00881493" w:rsidRPr="00125827" w:rsidRDefault="00881493" w:rsidP="007554DF">
      <w:pPr>
        <w:pStyle w:val="ListParagraph"/>
        <w:keepNext/>
        <w:numPr>
          <w:ilvl w:val="0"/>
          <w:numId w:val="40"/>
        </w:numPr>
        <w:ind w:left="0" w:hanging="11"/>
      </w:pPr>
      <w:r>
        <w:t>Die TWV vereinbarte auf ihrer fünfundfünfzigsten Tagung</w:t>
      </w:r>
      <w:r>
        <w:rPr>
          <w:rFonts w:cs="Arial"/>
          <w:snapToGrid w:val="0"/>
          <w:vertAlign w:val="superscript"/>
        </w:rPr>
        <w:footnoteReference w:id="17"/>
      </w:r>
      <w:r>
        <w:t xml:space="preserve"> vorzuschlagen, dass Krankheitsresistenzmerkmale in Abschnitt 5 der Technischen Fragebögen (TQ) mit dem Zusatz einer Ausprägungsstufe „nicht geprüft</w:t>
      </w:r>
      <w:r w:rsidR="001705E8">
        <w:t>“</w:t>
      </w:r>
      <w:r>
        <w:t xml:space="preserve"> dargestellt werden sollten, wenn ein Merkmal nicht mit einem Sternchen in der Merkmalstabelle angegeben wurde (vergleiche Dokument TWV55/16 „</w:t>
      </w:r>
      <w:r w:rsidRPr="007554DF">
        <w:rPr>
          <w:i/>
          <w:iCs/>
        </w:rPr>
        <w:t>Report</w:t>
      </w:r>
      <w:r w:rsidR="001705E8">
        <w:t>“</w:t>
      </w:r>
      <w:r>
        <w:t xml:space="preserve">, Absätze 37 bis 39). </w:t>
      </w:r>
    </w:p>
    <w:p w14:paraId="117DEBB2" w14:textId="77777777" w:rsidR="00881493" w:rsidRPr="00125827" w:rsidRDefault="00881493" w:rsidP="00881493"/>
    <w:p w14:paraId="26C7BE9E" w14:textId="77777777" w:rsidR="00881493" w:rsidRPr="00125827" w:rsidRDefault="00881493" w:rsidP="00881493">
      <w:pPr>
        <w:rPr>
          <w:i/>
        </w:rPr>
      </w:pPr>
      <w:r>
        <w:rPr>
          <w:i/>
        </w:rPr>
        <w:t>Derzeitige Anleitung in Dokument TGP/7</w:t>
      </w:r>
    </w:p>
    <w:p w14:paraId="57E87AA7" w14:textId="77777777" w:rsidR="00881493" w:rsidRPr="007554DF" w:rsidRDefault="00881493" w:rsidP="007554DF">
      <w:pPr>
        <w:pStyle w:val="ListParagraph"/>
        <w:keepNext/>
        <w:ind w:left="0"/>
      </w:pPr>
    </w:p>
    <w:p w14:paraId="0CB64EE9" w14:textId="297D2D56" w:rsidR="00881493" w:rsidRPr="007554DF" w:rsidRDefault="00881493" w:rsidP="007554DF">
      <w:pPr>
        <w:pStyle w:val="ListParagraph"/>
        <w:keepNext/>
        <w:numPr>
          <w:ilvl w:val="0"/>
          <w:numId w:val="40"/>
        </w:numPr>
        <w:ind w:left="0" w:hanging="11"/>
      </w:pPr>
      <w:r w:rsidRPr="007554DF">
        <w:t>Die derzeitige Anleitung in Dokument TGP/7 lautet:</w:t>
      </w:r>
    </w:p>
    <w:p w14:paraId="48FDE5E2" w14:textId="77777777" w:rsidR="00881493" w:rsidRPr="00125827" w:rsidRDefault="00881493" w:rsidP="00881493">
      <w:pPr>
        <w:rPr>
          <w:snapToGrid w:val="0"/>
        </w:rPr>
      </w:pPr>
    </w:p>
    <w:p w14:paraId="4F68F381" w14:textId="77777777" w:rsidR="00881493" w:rsidRPr="00125827" w:rsidRDefault="00881493" w:rsidP="00881493">
      <w:pPr>
        <w:ind w:left="567" w:right="567"/>
        <w:rPr>
          <w:rFonts w:cs="Arial"/>
          <w:i/>
          <w:snapToGrid w:val="0"/>
          <w:sz w:val="18"/>
          <w:szCs w:val="18"/>
        </w:rPr>
      </w:pPr>
      <w:r>
        <w:rPr>
          <w:rFonts w:cs="Arial"/>
          <w:i/>
          <w:snapToGrid w:val="0"/>
          <w:sz w:val="18"/>
          <w:szCs w:val="18"/>
        </w:rPr>
        <w:t>„GN 13</w:t>
      </w:r>
      <w:r>
        <w:rPr>
          <w:rFonts w:cs="Arial"/>
          <w:i/>
          <w:snapToGrid w:val="0"/>
          <w:sz w:val="18"/>
          <w:szCs w:val="18"/>
        </w:rPr>
        <w:tab/>
        <w:t>Merkmale mit besonderen Funktionen</w:t>
      </w:r>
    </w:p>
    <w:p w14:paraId="085284FE" w14:textId="77777777" w:rsidR="00881493" w:rsidRPr="00125827" w:rsidRDefault="00881493" w:rsidP="00881493">
      <w:pPr>
        <w:ind w:left="567" w:right="567"/>
        <w:rPr>
          <w:rFonts w:cs="Arial"/>
          <w:i/>
          <w:snapToGrid w:val="0"/>
          <w:sz w:val="18"/>
          <w:szCs w:val="18"/>
        </w:rPr>
      </w:pPr>
      <w:r>
        <w:rPr>
          <w:rFonts w:cs="Arial"/>
          <w:i/>
          <w:snapToGrid w:val="0"/>
          <w:sz w:val="18"/>
          <w:szCs w:val="18"/>
        </w:rPr>
        <w:t>[…]</w:t>
      </w:r>
    </w:p>
    <w:p w14:paraId="60C4B1AE" w14:textId="77777777" w:rsidR="00881493" w:rsidRPr="005A377C" w:rsidRDefault="00881493" w:rsidP="00881493">
      <w:pPr>
        <w:ind w:left="567" w:right="567"/>
        <w:rPr>
          <w:rFonts w:cs="Arial"/>
          <w:i/>
          <w:snapToGrid w:val="0"/>
          <w:sz w:val="18"/>
          <w:szCs w:val="18"/>
        </w:rPr>
      </w:pPr>
      <w:r>
        <w:rPr>
          <w:rFonts w:cs="Arial"/>
          <w:i/>
          <w:snapToGrid w:val="0"/>
          <w:sz w:val="18"/>
          <w:szCs w:val="18"/>
        </w:rPr>
        <w:t>„3.</w:t>
      </w:r>
      <w:r>
        <w:rPr>
          <w:rFonts w:cs="Arial"/>
          <w:i/>
          <w:snapToGrid w:val="0"/>
          <w:sz w:val="18"/>
          <w:szCs w:val="18"/>
        </w:rPr>
        <w:tab/>
        <w:t>Technischer Fragebogen (TQ) Merkmale (Kapitel 10: TQ 5)</w:t>
      </w:r>
    </w:p>
    <w:p w14:paraId="74E13CE5" w14:textId="77777777" w:rsidR="00881493" w:rsidRPr="00125827" w:rsidRDefault="00881493" w:rsidP="00881493">
      <w:pPr>
        <w:ind w:left="567" w:right="567"/>
        <w:rPr>
          <w:rFonts w:cs="Arial"/>
          <w:i/>
          <w:snapToGrid w:val="0"/>
          <w:sz w:val="18"/>
          <w:szCs w:val="18"/>
        </w:rPr>
      </w:pPr>
      <w:r>
        <w:rPr>
          <w:rFonts w:cs="Arial"/>
          <w:i/>
          <w:snapToGrid w:val="0"/>
          <w:sz w:val="18"/>
          <w:szCs w:val="18"/>
        </w:rPr>
        <w:t>[…]</w:t>
      </w:r>
    </w:p>
    <w:p w14:paraId="7FEA117A" w14:textId="0F32184A" w:rsidR="00881493" w:rsidRPr="00125827" w:rsidRDefault="00881493" w:rsidP="00881493">
      <w:pPr>
        <w:ind w:left="567" w:right="567"/>
        <w:rPr>
          <w:rFonts w:cs="Arial"/>
          <w:i/>
          <w:snapToGrid w:val="0"/>
          <w:sz w:val="18"/>
          <w:szCs w:val="18"/>
        </w:rPr>
      </w:pPr>
      <w:r>
        <w:rPr>
          <w:rFonts w:cs="Arial"/>
          <w:i/>
          <w:snapToGrid w:val="0"/>
          <w:sz w:val="18"/>
          <w:szCs w:val="18"/>
        </w:rPr>
        <w:t>„3.6</w:t>
      </w:r>
      <w:r>
        <w:rPr>
          <w:rFonts w:cs="Arial"/>
          <w:i/>
          <w:snapToGrid w:val="0"/>
          <w:sz w:val="18"/>
          <w:szCs w:val="18"/>
        </w:rPr>
        <w:tab/>
        <w:t>GN 13 4.b) erläutert: „Die aus der Merkmalstabelle ausgewählten Merkmale im Technischen Fragebogen sollten in der Regel in der Merkmalstabelle ein Sternchen erhalten“.  Bestimmte Merkmale, insbesondere Krankheitsresistenzmerkmale, die als Gruppierungsmerkmale potenziell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liefern, wenn sie in den Technischen Fragebogen, Abschnitt 5 „Anzugebende Merkmale der Sorte</w:t>
      </w:r>
      <w:r w:rsidR="001705E8">
        <w:rPr>
          <w:rFonts w:cs="Arial"/>
          <w:i/>
          <w:snapToGrid w:val="0"/>
          <w:sz w:val="18"/>
          <w:szCs w:val="18"/>
        </w:rPr>
        <w:t>“</w:t>
      </w:r>
      <w:r>
        <w:rPr>
          <w:rFonts w:cs="Arial"/>
          <w:i/>
          <w:snapToGrid w:val="0"/>
          <w:sz w:val="18"/>
          <w:szCs w:val="18"/>
        </w:rPr>
        <w:t xml:space="preserve"> aufgenommen werden.  Deshalb sollte in Abschnitt 7 des Technischen Fragebogens „Zusätzliche Informationen zur Erleichterung der Prüfung der Sorte</w:t>
      </w:r>
      <w:r w:rsidR="001705E8">
        <w:rPr>
          <w:rFonts w:cs="Arial"/>
          <w:i/>
          <w:snapToGrid w:val="0"/>
          <w:sz w:val="18"/>
          <w:szCs w:val="18"/>
        </w:rPr>
        <w:t>“</w:t>
      </w:r>
      <w:r>
        <w:rPr>
          <w:rFonts w:cs="Arial"/>
          <w:i/>
          <w:snapToGrid w:val="0"/>
          <w:sz w:val="18"/>
          <w:szCs w:val="18"/>
        </w:rPr>
        <w:t xml:space="preserve"> um Informationen für diese Merkmale ersucht werden.  Die Anleitung zur Darstellung der Merkmale für Abschnitt 5 (vgl. GN 13.3 und 13.4 oben) würde auch für die Darstellung der Merkmale in Abschnitt 7 gelten.“</w:t>
      </w:r>
    </w:p>
    <w:p w14:paraId="51AD71ED" w14:textId="77777777" w:rsidR="00881493" w:rsidRPr="00125827" w:rsidRDefault="00881493" w:rsidP="00881493"/>
    <w:p w14:paraId="05F86DA3" w14:textId="570466F9" w:rsidR="00881493" w:rsidRPr="007554DF" w:rsidRDefault="00881493" w:rsidP="007554DF">
      <w:pPr>
        <w:pStyle w:val="ListParagraph"/>
        <w:keepNext/>
        <w:numPr>
          <w:ilvl w:val="0"/>
          <w:numId w:val="40"/>
        </w:numPr>
        <w:ind w:left="0" w:hanging="11"/>
      </w:pPr>
      <w:r>
        <w:t xml:space="preserve">Erörterungen einer etwaigen Überarbeitung von </w:t>
      </w:r>
      <w:r w:rsidRPr="007554DF">
        <w:t>Dokument TGP/7 „Erstellung von Prüfungsrichtlinien</w:t>
      </w:r>
      <w:r w:rsidR="001705E8" w:rsidRPr="007554DF">
        <w:t>“</w:t>
      </w:r>
      <w:r w:rsidRPr="007554DF">
        <w:t xml:space="preserve"> hinsichtlich der Beziehung zwischen Sternchen in den Prüfungsrichtlinien und Merkmalen des Technischen Fragebogens werden von den TWP fortlaufend geführt und in Dokument TWP/6/10 „Überarbeitung von Prüfungsrichtlinien“ berichtet.</w:t>
      </w:r>
    </w:p>
    <w:p w14:paraId="2692C635" w14:textId="77777777" w:rsidR="00881493" w:rsidRPr="00125827" w:rsidRDefault="00881493" w:rsidP="00881493">
      <w:pPr>
        <w:rPr>
          <w:rFonts w:cs="Arial"/>
        </w:rPr>
      </w:pPr>
    </w:p>
    <w:p w14:paraId="67CA9760" w14:textId="77777777" w:rsidR="00881493" w:rsidRPr="00125827" w:rsidRDefault="00881493" w:rsidP="00881493">
      <w:pPr>
        <w:rPr>
          <w:i/>
        </w:rPr>
      </w:pPr>
      <w:r>
        <w:rPr>
          <w:i/>
        </w:rPr>
        <w:t>Prüfung durch den Technischen Ausschuss</w:t>
      </w:r>
    </w:p>
    <w:p w14:paraId="621E1996" w14:textId="77777777" w:rsidR="00881493" w:rsidRPr="00125827" w:rsidRDefault="00881493" w:rsidP="00881493">
      <w:pPr>
        <w:jc w:val="left"/>
      </w:pPr>
    </w:p>
    <w:p w14:paraId="37C875EC" w14:textId="05ED048C" w:rsidR="00881493" w:rsidRPr="00125827" w:rsidRDefault="00881493" w:rsidP="007554DF">
      <w:pPr>
        <w:pStyle w:val="ListParagraph"/>
        <w:keepNext/>
        <w:numPr>
          <w:ilvl w:val="0"/>
          <w:numId w:val="40"/>
        </w:numPr>
        <w:ind w:left="0" w:hanging="11"/>
      </w:pPr>
      <w:r>
        <w:t>Der TC prüfte auf seiner siebenundfünfzigsten Tagung den Vorschlag, das Dokument TGP/7, GN 13 „Merkmale mit besonderen Funktionen“ zu überarbeiten, um klarzustellen, dass Krankheitsresistenzmerkmale in Abschnitt 5 der Technischen Fragebögen (TQ) mit dem Zusatz einer Ausprägungsstufe „nicht geprüft</w:t>
      </w:r>
      <w:r w:rsidR="001705E8">
        <w:t>“</w:t>
      </w:r>
      <w:r>
        <w:t xml:space="preserve"> dargestellt werden sollten, wenn ein Merkmal nicht mit einem Sternchen in der Merkmalstabelle angegeben wurde (vergleiche Dokument TC/57/25 „Bericht</w:t>
      </w:r>
      <w:r w:rsidR="001705E8">
        <w:t>“</w:t>
      </w:r>
      <w:r>
        <w:t>, Absätze 36 und 37).</w:t>
      </w:r>
    </w:p>
    <w:p w14:paraId="20609DD4" w14:textId="77777777" w:rsidR="00881493" w:rsidRPr="00125827" w:rsidRDefault="00881493" w:rsidP="00881493">
      <w:pPr>
        <w:jc w:val="left"/>
      </w:pPr>
    </w:p>
    <w:p w14:paraId="35937F3F" w14:textId="4DA233D7" w:rsidR="00881493" w:rsidRPr="007554DF" w:rsidRDefault="00881493" w:rsidP="007554DF">
      <w:pPr>
        <w:pStyle w:val="ListParagraph"/>
        <w:keepNext/>
        <w:numPr>
          <w:ilvl w:val="0"/>
          <w:numId w:val="40"/>
        </w:numPr>
        <w:ind w:left="0" w:hanging="11"/>
      </w:pPr>
      <w:r>
        <w:t>Der TC nahm zur Kenntnis, dass in den TWP laufende Erörterungen über die Beziehung zwischen Sternchen in den Prüfungsrichtlinien und Merkmalen des Technischen Fragebogens stattfänden.  Der TC vereinbarte, die Aufnahme von nicht mit Sternchen versehenen Krankheitsresistenzmerkmalen in den Technischen Fragebogen bis zu seiner achtundfünfzigsten Tagung zu verschieben und sie dann zusammen mit etwaigen Vorschlägen der TWP über die Beziehung zwischen Sternchen in den Prüfungsrichtlinien und den Merkmalen des Technischen Fragebogens zu prüfen.</w:t>
      </w:r>
    </w:p>
    <w:p w14:paraId="76855452" w14:textId="77777777" w:rsidR="00881493" w:rsidRPr="00125827" w:rsidRDefault="00881493" w:rsidP="00881493"/>
    <w:p w14:paraId="7400D615" w14:textId="77777777" w:rsidR="00125827" w:rsidRDefault="00125827" w:rsidP="00125827">
      <w:pPr>
        <w:jc w:val="left"/>
      </w:pPr>
    </w:p>
    <w:p w14:paraId="5F21CD0D" w14:textId="77777777" w:rsidR="00881493" w:rsidRPr="00125827" w:rsidRDefault="00881493" w:rsidP="00125827">
      <w:pPr>
        <w:jc w:val="left"/>
      </w:pPr>
    </w:p>
    <w:p w14:paraId="2EC45B71" w14:textId="77777777" w:rsidR="00125827" w:rsidRPr="00125827" w:rsidRDefault="00125827" w:rsidP="00125827">
      <w:pPr>
        <w:jc w:val="right"/>
      </w:pPr>
      <w:r>
        <w:t>[Anlage VI folgt]</w:t>
      </w:r>
    </w:p>
    <w:p w14:paraId="3DF4D139" w14:textId="77777777" w:rsidR="00125827" w:rsidRPr="00125827" w:rsidRDefault="00125827" w:rsidP="00125827"/>
    <w:p w14:paraId="740B4302" w14:textId="77777777" w:rsidR="00125827" w:rsidRPr="00125827" w:rsidRDefault="00125827" w:rsidP="00125827">
      <w:pPr>
        <w:ind w:left="-142" w:right="312"/>
        <w:jc w:val="right"/>
        <w:sectPr w:rsidR="00125827" w:rsidRPr="00125827" w:rsidSect="00086373">
          <w:headerReference w:type="first" r:id="rId29"/>
          <w:pgSz w:w="11907" w:h="16840" w:code="9"/>
          <w:pgMar w:top="510" w:right="1134" w:bottom="993" w:left="1134" w:header="510" w:footer="680" w:gutter="0"/>
          <w:pgNumType w:start="1"/>
          <w:cols w:space="720"/>
          <w:titlePg/>
          <w:docGrid w:linePitch="272"/>
        </w:sectPr>
      </w:pPr>
    </w:p>
    <w:p w14:paraId="6F16929E" w14:textId="77777777" w:rsidR="00881493" w:rsidRDefault="00881493" w:rsidP="00881493">
      <w:pPr>
        <w:jc w:val="center"/>
        <w:rPr>
          <w:caps/>
          <w:snapToGrid w:val="0"/>
        </w:rPr>
      </w:pPr>
    </w:p>
    <w:p w14:paraId="5003B102" w14:textId="03E7F07E" w:rsidR="00881493" w:rsidRPr="00125827" w:rsidRDefault="00881493" w:rsidP="00881493">
      <w:pPr>
        <w:jc w:val="center"/>
        <w:rPr>
          <w:caps/>
          <w:snapToGrid w:val="0"/>
        </w:rPr>
      </w:pPr>
      <w:r>
        <w:rPr>
          <w:caps/>
          <w:snapToGrid w:val="0"/>
        </w:rPr>
        <w:t>Dokument TGP/12 „Anleitung zu bestimmten physiologischen Merkmalen</w:t>
      </w:r>
      <w:r w:rsidR="001705E8">
        <w:rPr>
          <w:caps/>
          <w:snapToGrid w:val="0"/>
        </w:rPr>
        <w:t>“</w:t>
      </w:r>
    </w:p>
    <w:p w14:paraId="38AA6C13" w14:textId="77777777" w:rsidR="00881493" w:rsidRPr="00125827" w:rsidRDefault="00881493" w:rsidP="00881493"/>
    <w:p w14:paraId="7D00E047" w14:textId="77777777" w:rsidR="00881493" w:rsidRPr="00125827" w:rsidRDefault="00881493" w:rsidP="00881493">
      <w:pPr>
        <w:rPr>
          <w:snapToGrid w:val="0"/>
          <w:u w:val="single"/>
        </w:rPr>
      </w:pPr>
      <w:r>
        <w:rPr>
          <w:snapToGrid w:val="0"/>
          <w:u w:val="single"/>
        </w:rPr>
        <w:t>Verwendung von Krankheitsresistenzmerkmalen</w:t>
      </w:r>
    </w:p>
    <w:p w14:paraId="25A8F9A8" w14:textId="77777777" w:rsidR="00881493" w:rsidRPr="00125827" w:rsidRDefault="00881493" w:rsidP="00881493"/>
    <w:p w14:paraId="5E7E713B" w14:textId="7D1BDAF1" w:rsidR="00881493" w:rsidRPr="00125827" w:rsidRDefault="00DC5127" w:rsidP="00881493">
      <w:pPr>
        <w:rPr>
          <w:i/>
        </w:rPr>
      </w:pPr>
      <w:r>
        <w:rPr>
          <w:i/>
        </w:rPr>
        <w:t>Hintergrund</w:t>
      </w:r>
    </w:p>
    <w:p w14:paraId="33CABE0D" w14:textId="77777777" w:rsidR="00881493" w:rsidRPr="00125827" w:rsidRDefault="00881493" w:rsidP="00881493"/>
    <w:p w14:paraId="03E9B57E" w14:textId="7661D8AD"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Die TWV erinnerte auf ihrer fünfundfünfzigsten Tagung</w:t>
      </w:r>
      <w:r>
        <w:rPr>
          <w:snapToGrid w:val="0"/>
          <w:vertAlign w:val="superscript"/>
        </w:rPr>
        <w:footnoteReference w:id="18"/>
      </w:r>
      <w:r w:rsidRPr="00FC51C1">
        <w:rPr>
          <w:rFonts w:cs="Arial"/>
          <w:snapToGrid w:val="0"/>
        </w:rPr>
        <w:t xml:space="preserve"> an Erörterungen auf ihrer vierundfünfzigsten Tagung hinsichtlich der Benennung der mittleren Ausprägungsstufe bei Krankheitsresistenzmerkmalen (vergleiche Dokument TWV/54/9, Absätze 81 bis 83) sowie an die nachstehend wiedergegebene Schlussfolgerung der Gruppe </w:t>
      </w:r>
      <w:r>
        <w:t>(vergleiche Dokument TWV55/16 „</w:t>
      </w:r>
      <w:r w:rsidRPr="00FC51C1">
        <w:rPr>
          <w:i/>
          <w:iCs/>
        </w:rPr>
        <w:t>Report</w:t>
      </w:r>
      <w:r w:rsidR="001705E8">
        <w:t>“</w:t>
      </w:r>
      <w:r>
        <w:t>, Absätze 37 bis 39)</w:t>
      </w:r>
      <w:r w:rsidRPr="00FC51C1">
        <w:rPr>
          <w:rFonts w:cs="Arial"/>
          <w:snapToGrid w:val="0"/>
        </w:rPr>
        <w:t>:</w:t>
      </w:r>
    </w:p>
    <w:p w14:paraId="37E4622A" w14:textId="77777777" w:rsidR="00881493" w:rsidRPr="00125827" w:rsidRDefault="00881493" w:rsidP="00881493">
      <w:pPr>
        <w:rPr>
          <w:rFonts w:cs="Arial"/>
          <w:snapToGrid w:val="0"/>
        </w:rPr>
      </w:pPr>
    </w:p>
    <w:p w14:paraId="4F96B25C" w14:textId="3A5C20A0" w:rsidR="00881493" w:rsidRPr="00125827" w:rsidRDefault="00881493" w:rsidP="00881493">
      <w:pPr>
        <w:ind w:left="567" w:right="567"/>
        <w:rPr>
          <w:rFonts w:cs="Arial"/>
          <w:i/>
          <w:snapToGrid w:val="0"/>
          <w:sz w:val="18"/>
        </w:rPr>
      </w:pPr>
      <w:r>
        <w:rPr>
          <w:rFonts w:cs="Arial"/>
          <w:i/>
          <w:snapToGrid w:val="0"/>
          <w:sz w:val="18"/>
        </w:rPr>
        <w:t>„[…] Die TWV nahm zur Kenntnis, dass die Anleitung in Dokument TGP/12 „Anleitung zu bestimmten physiologischen Merkmalen</w:t>
      </w:r>
      <w:r w:rsidR="001705E8">
        <w:rPr>
          <w:rFonts w:cs="Arial"/>
          <w:i/>
          <w:snapToGrid w:val="0"/>
          <w:sz w:val="18"/>
        </w:rPr>
        <w:t>“</w:t>
      </w:r>
      <w:r>
        <w:rPr>
          <w:rFonts w:cs="Arial"/>
          <w:i/>
          <w:snapToGrid w:val="0"/>
          <w:sz w:val="18"/>
        </w:rPr>
        <w:t xml:space="preserve"> ein Beispiel für ein quantitatives Krankheitsresistenzmerkmal mit der mittleren Ausprägungsstufe „mäßig</w:t>
      </w:r>
      <w:r w:rsidR="001705E8">
        <w:rPr>
          <w:rFonts w:cs="Arial"/>
          <w:i/>
          <w:snapToGrid w:val="0"/>
          <w:sz w:val="18"/>
        </w:rPr>
        <w:t>“</w:t>
      </w:r>
      <w:r>
        <w:rPr>
          <w:rFonts w:cs="Arial"/>
          <w:i/>
          <w:snapToGrid w:val="0"/>
          <w:sz w:val="18"/>
        </w:rPr>
        <w:t xml:space="preserve"> gebe. </w:t>
      </w:r>
    </w:p>
    <w:p w14:paraId="634549BD" w14:textId="77777777" w:rsidR="00881493" w:rsidRPr="00125827" w:rsidRDefault="00881493" w:rsidP="00881493">
      <w:pPr>
        <w:ind w:left="567" w:right="567"/>
        <w:rPr>
          <w:rFonts w:cs="Arial"/>
          <w:i/>
          <w:snapToGrid w:val="0"/>
          <w:sz w:val="18"/>
        </w:rPr>
      </w:pPr>
    </w:p>
    <w:p w14:paraId="742ABB16" w14:textId="232A6FCE" w:rsidR="00881493" w:rsidRPr="00125827" w:rsidRDefault="00881493" w:rsidP="00881493">
      <w:pPr>
        <w:ind w:left="567" w:right="567"/>
        <w:rPr>
          <w:rFonts w:cs="Arial"/>
          <w:i/>
          <w:snapToGrid w:val="0"/>
          <w:sz w:val="18"/>
        </w:rPr>
      </w:pPr>
      <w:r>
        <w:rPr>
          <w:rFonts w:cs="Arial"/>
          <w:i/>
          <w:snapToGrid w:val="0"/>
          <w:sz w:val="18"/>
        </w:rPr>
        <w:t>„Die TWV vereinbarte, dass der Begriff „mittel" unter Sachverständigen allgemein verwendet werde, und vereinbarte vorzuschlagen, das Beispiel für quantitative Krankheitsresistenzmerkmale mit der Skala „1 - 3" in Dokument TGP/12 zu ändern, um die Ausprägungsstufe „mäßig" durch „mittel" zu ersetzen.  Die TWV vereinbarte, dass dies im Allgemeinen der in den Prüfungsrichtlinien für Krankheitsresistenzmerkmale verwendete Begriff sein sollte. […]</w:t>
      </w:r>
      <w:r w:rsidR="001705E8">
        <w:rPr>
          <w:rFonts w:cs="Arial"/>
          <w:i/>
          <w:snapToGrid w:val="0"/>
          <w:sz w:val="18"/>
        </w:rPr>
        <w:t>“</w:t>
      </w:r>
    </w:p>
    <w:p w14:paraId="26583C9F" w14:textId="77777777" w:rsidR="00881493" w:rsidRPr="00125827" w:rsidRDefault="00881493" w:rsidP="00881493"/>
    <w:p w14:paraId="221A5C88" w14:textId="77777777" w:rsidR="00881493" w:rsidRPr="00125827" w:rsidRDefault="00881493" w:rsidP="00881493">
      <w:pPr>
        <w:rPr>
          <w:i/>
        </w:rPr>
      </w:pPr>
      <w:r>
        <w:rPr>
          <w:i/>
        </w:rPr>
        <w:t>Prüfung durch den Technischen Ausschuss auf seiner siebenundfünfzigsten Tagung</w:t>
      </w:r>
    </w:p>
    <w:p w14:paraId="685C8CCB" w14:textId="77777777" w:rsidR="00881493" w:rsidRPr="00125827" w:rsidRDefault="00881493" w:rsidP="00881493">
      <w:pPr>
        <w:rPr>
          <w:sz w:val="18"/>
        </w:rPr>
      </w:pPr>
    </w:p>
    <w:p w14:paraId="41923B36" w14:textId="6FFA6094"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Der TC vereinbarte auf seiner siebenundfünfzigsten Tagung, das Dokument TGP/12/2, Abschnitt 2.3.2 so abzuändern, dass im Beispiel von Krankheitsresistenzmerkmalen mit einer Skala „1 - 3“, die Ausprägungsstufe „mäßig resistent“ durch „mittel“ ersetzt wird und folgenden Wortlaut erhält (vergleiche Dokument TC/57/25 „Bericht“, Absätze 44 und 45):</w:t>
      </w:r>
    </w:p>
    <w:p w14:paraId="21F65CF0" w14:textId="77777777" w:rsidR="00881493" w:rsidRPr="00125827" w:rsidRDefault="00881493" w:rsidP="00881493">
      <w:pPr>
        <w:rPr>
          <w:snapToGrid w:val="0"/>
        </w:rPr>
      </w:pPr>
    </w:p>
    <w:p w14:paraId="03582042" w14:textId="33727903" w:rsidR="00881493" w:rsidRPr="00125827" w:rsidRDefault="00881493" w:rsidP="00881493">
      <w:pPr>
        <w:keepNext/>
        <w:keepLines/>
        <w:ind w:left="567"/>
        <w:jc w:val="left"/>
      </w:pPr>
      <w:r>
        <w:rPr>
          <w:u w:val="single"/>
        </w:rPr>
        <w:t>„Beispiel mit einer Skala „1 bis 3</w:t>
      </w:r>
      <w:r w:rsidR="001705E8">
        <w:rPr>
          <w:u w:val="single"/>
        </w:rPr>
        <w:t>“</w:t>
      </w:r>
      <w:r>
        <w:t xml:space="preserve">: Resistenz gegen </w:t>
      </w:r>
      <w:r>
        <w:rPr>
          <w:i/>
          <w:iCs/>
        </w:rPr>
        <w:t>Sphaerotheca fuliginea</w:t>
      </w:r>
      <w:r>
        <w:t xml:space="preserve"> (</w:t>
      </w:r>
      <w:r>
        <w:rPr>
          <w:i/>
          <w:iCs/>
        </w:rPr>
        <w:t>Podosphaera xanthii</w:t>
      </w:r>
      <w:r>
        <w:t>) (Echter Mehltau) bei Melone (UPOV-Prüfungsrichtlinien: TG/104/5)</w:t>
      </w:r>
    </w:p>
    <w:p w14:paraId="66DA38E0" w14:textId="77777777" w:rsidR="00881493" w:rsidRPr="00125827" w:rsidRDefault="00881493" w:rsidP="00881493">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881493" w:rsidRPr="00125827" w14:paraId="4C90FC6D" w14:textId="77777777" w:rsidTr="00987A22">
        <w:trPr>
          <w:cantSplit/>
          <w:tblHeader/>
          <w:jc w:val="center"/>
        </w:trPr>
        <w:tc>
          <w:tcPr>
            <w:tcW w:w="578" w:type="dxa"/>
            <w:tcBorders>
              <w:top w:val="single" w:sz="6" w:space="0" w:color="auto"/>
              <w:left w:val="nil"/>
              <w:bottom w:val="single" w:sz="4" w:space="0" w:color="auto"/>
              <w:right w:val="nil"/>
            </w:tcBorders>
            <w:vAlign w:val="center"/>
          </w:tcPr>
          <w:p w14:paraId="5CC4CC5B" w14:textId="77777777" w:rsidR="00881493" w:rsidRPr="00125827" w:rsidRDefault="00881493" w:rsidP="00987A22">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14:paraId="04E096E1" w14:textId="77777777" w:rsidR="00881493" w:rsidRPr="00125827" w:rsidRDefault="00881493" w:rsidP="00987A22">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14:paraId="3708E4B8" w14:textId="77777777" w:rsidR="00881493" w:rsidRPr="00125827" w:rsidRDefault="00881493" w:rsidP="00987A22">
            <w:pPr>
              <w:keepNext/>
              <w:keepLines/>
              <w:spacing w:before="120" w:after="120"/>
              <w:jc w:val="left"/>
              <w:rPr>
                <w:sz w:val="16"/>
              </w:rPr>
            </w:pPr>
            <w:r>
              <w:rPr>
                <w:sz w:val="16"/>
              </w:rPr>
              <w:t>Deutsch</w:t>
            </w:r>
          </w:p>
        </w:tc>
        <w:tc>
          <w:tcPr>
            <w:tcW w:w="1734" w:type="dxa"/>
            <w:tcBorders>
              <w:top w:val="single" w:sz="6" w:space="0" w:color="auto"/>
              <w:left w:val="nil"/>
              <w:bottom w:val="single" w:sz="4" w:space="0" w:color="auto"/>
              <w:right w:val="nil"/>
            </w:tcBorders>
            <w:vAlign w:val="center"/>
          </w:tcPr>
          <w:p w14:paraId="6B3B3C69" w14:textId="77777777" w:rsidR="00881493" w:rsidRPr="00125827" w:rsidRDefault="00881493" w:rsidP="00987A22">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14:paraId="5A89729E" w14:textId="77777777" w:rsidR="00881493" w:rsidRPr="00125827" w:rsidRDefault="00881493" w:rsidP="00987A22">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14:paraId="65FEF595" w14:textId="77777777" w:rsidR="00881493" w:rsidRPr="00125827" w:rsidRDefault="00881493" w:rsidP="00987A22">
            <w:pPr>
              <w:keepNext/>
              <w:keepLines/>
              <w:spacing w:before="120" w:after="120"/>
              <w:jc w:val="left"/>
              <w:rPr>
                <w:sz w:val="16"/>
              </w:rPr>
            </w:pPr>
            <w:r>
              <w:rPr>
                <w:sz w:val="16"/>
              </w:rPr>
              <w:t>Beispiels-sorten</w:t>
            </w:r>
          </w:p>
        </w:tc>
        <w:tc>
          <w:tcPr>
            <w:tcW w:w="567" w:type="dxa"/>
            <w:tcBorders>
              <w:top w:val="single" w:sz="6" w:space="0" w:color="auto"/>
              <w:left w:val="nil"/>
              <w:bottom w:val="single" w:sz="4" w:space="0" w:color="auto"/>
              <w:right w:val="nil"/>
            </w:tcBorders>
            <w:vAlign w:val="center"/>
          </w:tcPr>
          <w:p w14:paraId="01203B56" w14:textId="77777777" w:rsidR="00881493" w:rsidRPr="00125827" w:rsidRDefault="00881493" w:rsidP="00987A22">
            <w:pPr>
              <w:keepNext/>
              <w:keepLines/>
              <w:spacing w:before="120" w:after="120"/>
              <w:jc w:val="left"/>
              <w:rPr>
                <w:sz w:val="16"/>
              </w:rPr>
            </w:pPr>
            <w:r>
              <w:rPr>
                <w:sz w:val="16"/>
              </w:rPr>
              <w:t>Anmer-kung</w:t>
            </w:r>
          </w:p>
        </w:tc>
      </w:tr>
      <w:tr w:rsidR="00881493" w:rsidRPr="00125827" w14:paraId="1298BF24"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7130C58D" w14:textId="77777777" w:rsidR="00881493" w:rsidRPr="00125827" w:rsidRDefault="00881493" w:rsidP="00987A22">
            <w:pPr>
              <w:keepNext/>
              <w:keepLines/>
              <w:spacing w:before="120" w:after="120"/>
              <w:jc w:val="left"/>
              <w:rPr>
                <w:b/>
                <w:bCs/>
                <w:sz w:val="16"/>
              </w:rPr>
            </w:pPr>
            <w:r>
              <w:rPr>
                <w:b/>
                <w:bCs/>
                <w:sz w:val="16"/>
              </w:rPr>
              <w:t>70.</w:t>
            </w:r>
            <w:r>
              <w:rPr>
                <w:b/>
                <w:bCs/>
                <w:sz w:val="16"/>
              </w:rPr>
              <w:br/>
            </w:r>
            <w:r>
              <w:rPr>
                <w:b/>
                <w:bCs/>
                <w:sz w:val="16"/>
              </w:rPr>
              <w:br/>
              <w:t>(+)</w:t>
            </w:r>
          </w:p>
        </w:tc>
        <w:tc>
          <w:tcPr>
            <w:tcW w:w="425" w:type="dxa"/>
            <w:tcBorders>
              <w:top w:val="single" w:sz="4" w:space="0" w:color="auto"/>
              <w:bottom w:val="nil"/>
            </w:tcBorders>
          </w:tcPr>
          <w:p w14:paraId="7717A35D" w14:textId="77777777" w:rsidR="00881493" w:rsidRPr="00125827" w:rsidRDefault="00881493" w:rsidP="00987A22">
            <w:pPr>
              <w:keepNext/>
              <w:keepLines/>
              <w:spacing w:before="120" w:after="12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bottom w:val="nil"/>
            </w:tcBorders>
          </w:tcPr>
          <w:p w14:paraId="60E30B6A" w14:textId="77777777" w:rsidR="00881493" w:rsidRPr="00125827" w:rsidRDefault="00881493" w:rsidP="00987A22">
            <w:pPr>
              <w:keepNext/>
              <w:keepLines/>
              <w:spacing w:before="120" w:after="120"/>
              <w:jc w:val="left"/>
              <w:rPr>
                <w:b/>
                <w:bCs/>
                <w:sz w:val="16"/>
              </w:rPr>
            </w:pPr>
            <w:r>
              <w:rPr>
                <w:b/>
                <w:bCs/>
                <w:sz w:val="16"/>
              </w:rPr>
              <w:t>Resistenz gegen Sphaerotheca fuliginea (</w:t>
            </w:r>
            <w:r>
              <w:rPr>
                <w:b/>
                <w:bCs/>
                <w:snapToGrid w:val="0"/>
                <w:sz w:val="16"/>
              </w:rPr>
              <w:t>Podosphaera xanthii</w:t>
            </w:r>
            <w:r>
              <w:rPr>
                <w:b/>
                <w:bCs/>
                <w:sz w:val="16"/>
              </w:rPr>
              <w:t xml:space="preserve">) </w:t>
            </w:r>
            <w:r>
              <w:rPr>
                <w:b/>
                <w:bCs/>
                <w:sz w:val="16"/>
              </w:rPr>
              <w:br/>
              <w:t>(Echter Mehltau)</w:t>
            </w:r>
          </w:p>
        </w:tc>
        <w:tc>
          <w:tcPr>
            <w:tcW w:w="1734" w:type="dxa"/>
            <w:tcBorders>
              <w:top w:val="single" w:sz="4" w:space="0" w:color="auto"/>
              <w:bottom w:val="nil"/>
            </w:tcBorders>
          </w:tcPr>
          <w:p w14:paraId="0139B941" w14:textId="77777777" w:rsidR="00881493" w:rsidRPr="00125827" w:rsidRDefault="00881493" w:rsidP="00987A22">
            <w:pPr>
              <w:keepNext/>
              <w:keepLines/>
              <w:spacing w:before="120" w:after="120"/>
              <w:jc w:val="left"/>
              <w:rPr>
                <w:b/>
                <w:bCs/>
                <w:sz w:val="16"/>
              </w:rPr>
            </w:pPr>
          </w:p>
        </w:tc>
        <w:tc>
          <w:tcPr>
            <w:tcW w:w="1734" w:type="dxa"/>
            <w:tcBorders>
              <w:top w:val="single" w:sz="4" w:space="0" w:color="auto"/>
              <w:bottom w:val="nil"/>
            </w:tcBorders>
          </w:tcPr>
          <w:p w14:paraId="1E849AA1" w14:textId="77777777" w:rsidR="00881493" w:rsidRPr="00125827" w:rsidRDefault="00881493" w:rsidP="00987A22">
            <w:pPr>
              <w:keepNext/>
              <w:keepLines/>
              <w:spacing w:before="120" w:after="120"/>
              <w:jc w:val="left"/>
              <w:rPr>
                <w:b/>
                <w:bCs/>
                <w:sz w:val="16"/>
              </w:rPr>
            </w:pPr>
          </w:p>
        </w:tc>
        <w:tc>
          <w:tcPr>
            <w:tcW w:w="851" w:type="dxa"/>
            <w:tcBorders>
              <w:top w:val="single" w:sz="4" w:space="0" w:color="auto"/>
              <w:bottom w:val="nil"/>
            </w:tcBorders>
          </w:tcPr>
          <w:p w14:paraId="602CC5D0" w14:textId="77777777" w:rsidR="00881493" w:rsidRPr="00125827" w:rsidRDefault="00881493" w:rsidP="00987A22">
            <w:pPr>
              <w:keepNext/>
              <w:keepLines/>
              <w:spacing w:before="120" w:after="120"/>
              <w:jc w:val="left"/>
              <w:rPr>
                <w:b/>
                <w:bCs/>
                <w:sz w:val="16"/>
              </w:rPr>
            </w:pPr>
          </w:p>
        </w:tc>
        <w:tc>
          <w:tcPr>
            <w:tcW w:w="567" w:type="dxa"/>
            <w:tcBorders>
              <w:top w:val="single" w:sz="4" w:space="0" w:color="auto"/>
              <w:bottom w:val="nil"/>
              <w:right w:val="nil"/>
            </w:tcBorders>
          </w:tcPr>
          <w:p w14:paraId="30ADB22A" w14:textId="77777777" w:rsidR="00881493" w:rsidRPr="00125827" w:rsidRDefault="00881493" w:rsidP="00987A22">
            <w:pPr>
              <w:keepNext/>
              <w:keepLines/>
              <w:spacing w:before="120" w:after="120"/>
              <w:jc w:val="left"/>
              <w:rPr>
                <w:b/>
                <w:bCs/>
                <w:sz w:val="16"/>
              </w:rPr>
            </w:pPr>
          </w:p>
        </w:tc>
      </w:tr>
      <w:tr w:rsidR="00881493" w:rsidRPr="00125827" w14:paraId="0A89FF60"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08E97F4E" w14:textId="77777777" w:rsidR="00881493" w:rsidRPr="00125827" w:rsidRDefault="00881493" w:rsidP="00987A22">
            <w:pPr>
              <w:keepNext/>
              <w:keepLines/>
              <w:spacing w:before="120" w:after="120"/>
              <w:jc w:val="left"/>
              <w:rPr>
                <w:b/>
                <w:sz w:val="16"/>
              </w:rPr>
            </w:pPr>
            <w:r>
              <w:rPr>
                <w:b/>
                <w:sz w:val="16"/>
              </w:rPr>
              <w:t>70,1</w:t>
            </w:r>
          </w:p>
        </w:tc>
        <w:tc>
          <w:tcPr>
            <w:tcW w:w="425" w:type="dxa"/>
            <w:tcBorders>
              <w:top w:val="nil"/>
              <w:bottom w:val="nil"/>
            </w:tcBorders>
          </w:tcPr>
          <w:p w14:paraId="00C581CC" w14:textId="77777777" w:rsidR="00881493" w:rsidRPr="00125827" w:rsidRDefault="00881493" w:rsidP="00987A22">
            <w:pPr>
              <w:keepNext/>
              <w:keepLines/>
              <w:spacing w:before="120" w:after="120"/>
              <w:jc w:val="left"/>
              <w:rPr>
                <w:b/>
                <w:sz w:val="16"/>
              </w:rPr>
            </w:pPr>
          </w:p>
        </w:tc>
        <w:tc>
          <w:tcPr>
            <w:tcW w:w="1733" w:type="dxa"/>
            <w:tcBorders>
              <w:top w:val="nil"/>
              <w:bottom w:val="nil"/>
            </w:tcBorders>
          </w:tcPr>
          <w:p w14:paraId="341113E6" w14:textId="77777777" w:rsidR="00881493" w:rsidRPr="00125827" w:rsidRDefault="00881493" w:rsidP="00987A22">
            <w:pPr>
              <w:keepNext/>
              <w:keepLines/>
              <w:spacing w:before="120" w:after="120"/>
              <w:jc w:val="left"/>
              <w:rPr>
                <w:b/>
                <w:sz w:val="16"/>
              </w:rPr>
            </w:pPr>
            <w:r>
              <w:rPr>
                <w:b/>
                <w:sz w:val="16"/>
              </w:rPr>
              <w:t>Pathotyp 1</w:t>
            </w:r>
          </w:p>
        </w:tc>
        <w:tc>
          <w:tcPr>
            <w:tcW w:w="1734" w:type="dxa"/>
            <w:tcBorders>
              <w:top w:val="nil"/>
              <w:bottom w:val="nil"/>
            </w:tcBorders>
          </w:tcPr>
          <w:p w14:paraId="0E353F84" w14:textId="77777777" w:rsidR="00881493" w:rsidRPr="00125827" w:rsidRDefault="00881493" w:rsidP="00987A22">
            <w:pPr>
              <w:keepNext/>
              <w:keepLines/>
              <w:spacing w:before="120" w:after="120"/>
              <w:jc w:val="left"/>
              <w:rPr>
                <w:b/>
                <w:sz w:val="16"/>
              </w:rPr>
            </w:pPr>
          </w:p>
        </w:tc>
        <w:tc>
          <w:tcPr>
            <w:tcW w:w="1734" w:type="dxa"/>
            <w:tcBorders>
              <w:top w:val="nil"/>
              <w:bottom w:val="nil"/>
            </w:tcBorders>
          </w:tcPr>
          <w:p w14:paraId="2BD26B95" w14:textId="77777777" w:rsidR="00881493" w:rsidRPr="00125827" w:rsidRDefault="00881493" w:rsidP="00987A22">
            <w:pPr>
              <w:keepNext/>
              <w:keepLines/>
              <w:spacing w:before="120" w:after="120"/>
              <w:jc w:val="left"/>
              <w:rPr>
                <w:b/>
                <w:sz w:val="16"/>
              </w:rPr>
            </w:pPr>
          </w:p>
        </w:tc>
        <w:tc>
          <w:tcPr>
            <w:tcW w:w="851" w:type="dxa"/>
            <w:tcBorders>
              <w:top w:val="nil"/>
              <w:bottom w:val="nil"/>
            </w:tcBorders>
          </w:tcPr>
          <w:p w14:paraId="4275ECF0" w14:textId="77777777" w:rsidR="00881493" w:rsidRPr="00125827" w:rsidRDefault="00881493" w:rsidP="00987A22">
            <w:pPr>
              <w:keepNext/>
              <w:keepLines/>
              <w:spacing w:before="120" w:after="120"/>
              <w:jc w:val="left"/>
              <w:rPr>
                <w:sz w:val="16"/>
              </w:rPr>
            </w:pPr>
          </w:p>
        </w:tc>
        <w:tc>
          <w:tcPr>
            <w:tcW w:w="567" w:type="dxa"/>
            <w:tcBorders>
              <w:top w:val="nil"/>
              <w:bottom w:val="nil"/>
              <w:right w:val="nil"/>
            </w:tcBorders>
          </w:tcPr>
          <w:p w14:paraId="410F7F0D" w14:textId="77777777" w:rsidR="00881493" w:rsidRPr="00125827" w:rsidRDefault="00881493" w:rsidP="00987A22">
            <w:pPr>
              <w:keepNext/>
              <w:keepLines/>
              <w:spacing w:before="120" w:after="120"/>
              <w:jc w:val="left"/>
              <w:rPr>
                <w:sz w:val="16"/>
              </w:rPr>
            </w:pPr>
          </w:p>
        </w:tc>
      </w:tr>
      <w:tr w:rsidR="00881493" w:rsidRPr="00125827" w14:paraId="2CD69F2B"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B16BDB2" w14:textId="77777777" w:rsidR="00881493" w:rsidRPr="00125827" w:rsidRDefault="00881493" w:rsidP="00987A22">
            <w:pPr>
              <w:keepNext/>
              <w:keepLines/>
              <w:spacing w:before="120" w:after="120"/>
              <w:jc w:val="left"/>
              <w:rPr>
                <w:sz w:val="16"/>
              </w:rPr>
            </w:pPr>
            <w:r>
              <w:rPr>
                <w:sz w:val="16"/>
              </w:rPr>
              <w:t>QN</w:t>
            </w:r>
          </w:p>
        </w:tc>
        <w:tc>
          <w:tcPr>
            <w:tcW w:w="425" w:type="dxa"/>
            <w:tcBorders>
              <w:top w:val="nil"/>
              <w:bottom w:val="nil"/>
            </w:tcBorders>
          </w:tcPr>
          <w:p w14:paraId="62783BDD" w14:textId="77777777" w:rsidR="00881493" w:rsidRPr="00125827" w:rsidRDefault="00881493" w:rsidP="00987A22">
            <w:pPr>
              <w:keepNext/>
              <w:keepLines/>
              <w:spacing w:before="120" w:after="120"/>
              <w:jc w:val="left"/>
              <w:rPr>
                <w:sz w:val="16"/>
              </w:rPr>
            </w:pPr>
          </w:p>
        </w:tc>
        <w:tc>
          <w:tcPr>
            <w:tcW w:w="1733" w:type="dxa"/>
            <w:tcBorders>
              <w:top w:val="nil"/>
              <w:bottom w:val="nil"/>
            </w:tcBorders>
          </w:tcPr>
          <w:p w14:paraId="399D8432" w14:textId="77777777" w:rsidR="00881493" w:rsidRPr="00125827" w:rsidRDefault="00881493" w:rsidP="00987A22">
            <w:pPr>
              <w:keepNext/>
              <w:keepLines/>
              <w:spacing w:before="120" w:after="120"/>
              <w:jc w:val="left"/>
              <w:rPr>
                <w:sz w:val="16"/>
              </w:rPr>
            </w:pPr>
            <w:r>
              <w:rPr>
                <w:sz w:val="16"/>
              </w:rPr>
              <w:t>anfällig</w:t>
            </w:r>
          </w:p>
        </w:tc>
        <w:tc>
          <w:tcPr>
            <w:tcW w:w="1734" w:type="dxa"/>
            <w:tcBorders>
              <w:top w:val="nil"/>
              <w:bottom w:val="nil"/>
            </w:tcBorders>
          </w:tcPr>
          <w:p w14:paraId="6AE5561E" w14:textId="77777777" w:rsidR="00881493" w:rsidRPr="00125827" w:rsidRDefault="00881493" w:rsidP="00987A22">
            <w:pPr>
              <w:keepNext/>
              <w:keepLines/>
              <w:spacing w:before="120" w:after="120"/>
              <w:jc w:val="left"/>
              <w:rPr>
                <w:sz w:val="16"/>
              </w:rPr>
            </w:pPr>
          </w:p>
        </w:tc>
        <w:tc>
          <w:tcPr>
            <w:tcW w:w="1734" w:type="dxa"/>
            <w:tcBorders>
              <w:top w:val="nil"/>
              <w:bottom w:val="nil"/>
            </w:tcBorders>
          </w:tcPr>
          <w:p w14:paraId="7B25A293" w14:textId="77777777" w:rsidR="00881493" w:rsidRPr="00125827" w:rsidRDefault="00881493" w:rsidP="00987A22">
            <w:pPr>
              <w:keepNext/>
              <w:keepLines/>
              <w:spacing w:before="120" w:after="120"/>
              <w:jc w:val="left"/>
              <w:rPr>
                <w:sz w:val="16"/>
              </w:rPr>
            </w:pPr>
          </w:p>
        </w:tc>
        <w:tc>
          <w:tcPr>
            <w:tcW w:w="851" w:type="dxa"/>
            <w:tcBorders>
              <w:top w:val="nil"/>
              <w:bottom w:val="nil"/>
            </w:tcBorders>
          </w:tcPr>
          <w:p w14:paraId="6DDACDF9" w14:textId="77777777" w:rsidR="00881493" w:rsidRPr="00125827" w:rsidRDefault="00881493" w:rsidP="00987A22">
            <w:pPr>
              <w:keepNext/>
              <w:keepLines/>
              <w:spacing w:before="120" w:after="120"/>
              <w:jc w:val="left"/>
              <w:rPr>
                <w:sz w:val="16"/>
              </w:rPr>
            </w:pPr>
            <w:r>
              <w:rPr>
                <w:sz w:val="16"/>
              </w:rPr>
              <w:t>[…]</w:t>
            </w:r>
          </w:p>
        </w:tc>
        <w:tc>
          <w:tcPr>
            <w:tcW w:w="567" w:type="dxa"/>
            <w:tcBorders>
              <w:top w:val="nil"/>
              <w:bottom w:val="nil"/>
              <w:right w:val="nil"/>
            </w:tcBorders>
          </w:tcPr>
          <w:p w14:paraId="7E1CAAEF" w14:textId="77777777" w:rsidR="00881493" w:rsidRPr="00125827" w:rsidRDefault="00881493" w:rsidP="00987A22">
            <w:pPr>
              <w:keepNext/>
              <w:keepLines/>
              <w:spacing w:before="120" w:after="120"/>
              <w:jc w:val="left"/>
              <w:rPr>
                <w:sz w:val="16"/>
              </w:rPr>
            </w:pPr>
            <w:r>
              <w:rPr>
                <w:sz w:val="16"/>
              </w:rPr>
              <w:t>1</w:t>
            </w:r>
          </w:p>
        </w:tc>
      </w:tr>
      <w:tr w:rsidR="00881493" w:rsidRPr="00125827" w14:paraId="5C6993AD"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40A4F057" w14:textId="77777777" w:rsidR="00881493" w:rsidRPr="00125827" w:rsidRDefault="00881493" w:rsidP="00987A22">
            <w:pPr>
              <w:keepNext/>
              <w:keepLines/>
              <w:spacing w:before="120" w:after="120"/>
              <w:jc w:val="left"/>
              <w:rPr>
                <w:sz w:val="16"/>
              </w:rPr>
            </w:pPr>
          </w:p>
        </w:tc>
        <w:tc>
          <w:tcPr>
            <w:tcW w:w="425" w:type="dxa"/>
            <w:tcBorders>
              <w:top w:val="nil"/>
              <w:bottom w:val="nil"/>
            </w:tcBorders>
          </w:tcPr>
          <w:p w14:paraId="12A50A88" w14:textId="77777777" w:rsidR="00881493" w:rsidRPr="00125827" w:rsidRDefault="00881493" w:rsidP="00987A22">
            <w:pPr>
              <w:keepNext/>
              <w:keepLines/>
              <w:spacing w:before="120" w:after="120"/>
              <w:jc w:val="left"/>
              <w:rPr>
                <w:sz w:val="16"/>
              </w:rPr>
            </w:pPr>
          </w:p>
        </w:tc>
        <w:tc>
          <w:tcPr>
            <w:tcW w:w="3467" w:type="dxa"/>
            <w:gridSpan w:val="2"/>
            <w:tcBorders>
              <w:top w:val="nil"/>
              <w:bottom w:val="nil"/>
            </w:tcBorders>
          </w:tcPr>
          <w:p w14:paraId="6091BD79" w14:textId="77777777" w:rsidR="00881493" w:rsidRPr="00125827" w:rsidRDefault="00881493" w:rsidP="00987A22">
            <w:pPr>
              <w:keepNext/>
              <w:keepLines/>
              <w:spacing w:before="120" w:after="120"/>
              <w:jc w:val="left"/>
              <w:rPr>
                <w:sz w:val="16"/>
              </w:rPr>
            </w:pPr>
            <w:r>
              <w:rPr>
                <w:strike/>
                <w:sz w:val="16"/>
                <w:highlight w:val="lightGray"/>
              </w:rPr>
              <w:t>mäßig resistent</w:t>
            </w:r>
            <w:r>
              <w:rPr>
                <w:sz w:val="16"/>
              </w:rPr>
              <w:t xml:space="preserve"> </w:t>
            </w:r>
            <w:r>
              <w:rPr>
                <w:sz w:val="16"/>
                <w:highlight w:val="lightGray"/>
                <w:u w:val="single"/>
              </w:rPr>
              <w:t>mittel</w:t>
            </w:r>
          </w:p>
        </w:tc>
        <w:tc>
          <w:tcPr>
            <w:tcW w:w="1734" w:type="dxa"/>
            <w:tcBorders>
              <w:top w:val="nil"/>
              <w:bottom w:val="nil"/>
            </w:tcBorders>
          </w:tcPr>
          <w:p w14:paraId="521EC264" w14:textId="77777777" w:rsidR="00881493" w:rsidRPr="00125827" w:rsidRDefault="00881493" w:rsidP="00987A22">
            <w:pPr>
              <w:keepNext/>
              <w:keepLines/>
              <w:spacing w:before="120" w:after="120"/>
              <w:jc w:val="left"/>
              <w:rPr>
                <w:sz w:val="16"/>
              </w:rPr>
            </w:pPr>
          </w:p>
        </w:tc>
        <w:tc>
          <w:tcPr>
            <w:tcW w:w="851" w:type="dxa"/>
            <w:tcBorders>
              <w:top w:val="nil"/>
              <w:bottom w:val="nil"/>
            </w:tcBorders>
          </w:tcPr>
          <w:p w14:paraId="011464B4" w14:textId="77777777" w:rsidR="00881493" w:rsidRPr="00125827" w:rsidRDefault="00881493" w:rsidP="00987A22">
            <w:pPr>
              <w:keepNext/>
              <w:keepLines/>
              <w:spacing w:before="120" w:after="120"/>
              <w:jc w:val="left"/>
              <w:rPr>
                <w:sz w:val="16"/>
              </w:rPr>
            </w:pPr>
            <w:r>
              <w:rPr>
                <w:sz w:val="16"/>
              </w:rPr>
              <w:t>[…]</w:t>
            </w:r>
          </w:p>
        </w:tc>
        <w:tc>
          <w:tcPr>
            <w:tcW w:w="567" w:type="dxa"/>
            <w:tcBorders>
              <w:top w:val="nil"/>
              <w:bottom w:val="nil"/>
              <w:right w:val="nil"/>
            </w:tcBorders>
          </w:tcPr>
          <w:p w14:paraId="0667EFDD" w14:textId="77777777" w:rsidR="00881493" w:rsidRPr="00125827" w:rsidRDefault="00881493" w:rsidP="00987A22">
            <w:pPr>
              <w:keepNext/>
              <w:keepLines/>
              <w:spacing w:before="120" w:after="120"/>
              <w:jc w:val="left"/>
              <w:rPr>
                <w:sz w:val="16"/>
              </w:rPr>
            </w:pPr>
            <w:r>
              <w:rPr>
                <w:sz w:val="16"/>
              </w:rPr>
              <w:t>2</w:t>
            </w:r>
          </w:p>
        </w:tc>
      </w:tr>
      <w:tr w:rsidR="00881493" w:rsidRPr="00125827" w14:paraId="3A7BA0D5"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5953477E" w14:textId="77777777" w:rsidR="00881493" w:rsidRPr="00125827" w:rsidRDefault="00881493" w:rsidP="00987A22">
            <w:pPr>
              <w:keepNext/>
              <w:keepLines/>
              <w:spacing w:before="120" w:after="120"/>
              <w:jc w:val="left"/>
              <w:rPr>
                <w:sz w:val="16"/>
              </w:rPr>
            </w:pPr>
          </w:p>
        </w:tc>
        <w:tc>
          <w:tcPr>
            <w:tcW w:w="425" w:type="dxa"/>
            <w:tcBorders>
              <w:top w:val="nil"/>
              <w:bottom w:val="single" w:sz="4" w:space="0" w:color="auto"/>
            </w:tcBorders>
          </w:tcPr>
          <w:p w14:paraId="6AEAA016" w14:textId="77777777" w:rsidR="00881493" w:rsidRPr="00125827" w:rsidRDefault="00881493" w:rsidP="00987A22">
            <w:pPr>
              <w:keepNext/>
              <w:keepLines/>
              <w:spacing w:before="120" w:after="120"/>
              <w:jc w:val="left"/>
              <w:rPr>
                <w:sz w:val="16"/>
              </w:rPr>
            </w:pPr>
          </w:p>
        </w:tc>
        <w:tc>
          <w:tcPr>
            <w:tcW w:w="1733" w:type="dxa"/>
            <w:tcBorders>
              <w:top w:val="nil"/>
              <w:bottom w:val="single" w:sz="4" w:space="0" w:color="auto"/>
            </w:tcBorders>
          </w:tcPr>
          <w:p w14:paraId="460C5ABC" w14:textId="77777777" w:rsidR="00881493" w:rsidRPr="00125827" w:rsidRDefault="00881493" w:rsidP="00987A22">
            <w:pPr>
              <w:keepNext/>
              <w:keepLines/>
              <w:spacing w:before="120" w:after="120"/>
              <w:jc w:val="left"/>
              <w:rPr>
                <w:sz w:val="16"/>
              </w:rPr>
            </w:pPr>
            <w:r>
              <w:rPr>
                <w:sz w:val="16"/>
              </w:rPr>
              <w:t>hochresistent</w:t>
            </w:r>
          </w:p>
        </w:tc>
        <w:tc>
          <w:tcPr>
            <w:tcW w:w="1734" w:type="dxa"/>
            <w:tcBorders>
              <w:top w:val="nil"/>
              <w:bottom w:val="single" w:sz="4" w:space="0" w:color="auto"/>
            </w:tcBorders>
          </w:tcPr>
          <w:p w14:paraId="6301CA1E" w14:textId="77777777" w:rsidR="00881493" w:rsidRPr="00125827" w:rsidRDefault="00881493" w:rsidP="00987A22">
            <w:pPr>
              <w:keepNext/>
              <w:keepLines/>
              <w:spacing w:before="120" w:after="120"/>
              <w:jc w:val="left"/>
              <w:rPr>
                <w:sz w:val="16"/>
              </w:rPr>
            </w:pPr>
          </w:p>
        </w:tc>
        <w:tc>
          <w:tcPr>
            <w:tcW w:w="1734" w:type="dxa"/>
            <w:tcBorders>
              <w:top w:val="nil"/>
              <w:bottom w:val="single" w:sz="4" w:space="0" w:color="auto"/>
            </w:tcBorders>
          </w:tcPr>
          <w:p w14:paraId="56B3C959" w14:textId="77777777" w:rsidR="00881493" w:rsidRPr="00125827" w:rsidRDefault="00881493" w:rsidP="00987A22">
            <w:pPr>
              <w:keepNext/>
              <w:keepLines/>
              <w:spacing w:before="120" w:after="120"/>
              <w:jc w:val="left"/>
              <w:rPr>
                <w:sz w:val="16"/>
              </w:rPr>
            </w:pPr>
          </w:p>
        </w:tc>
        <w:tc>
          <w:tcPr>
            <w:tcW w:w="851" w:type="dxa"/>
            <w:tcBorders>
              <w:top w:val="nil"/>
              <w:bottom w:val="single" w:sz="4" w:space="0" w:color="auto"/>
            </w:tcBorders>
          </w:tcPr>
          <w:p w14:paraId="4A403D1D" w14:textId="77777777" w:rsidR="00881493" w:rsidRPr="00125827" w:rsidRDefault="00881493" w:rsidP="00987A22">
            <w:pPr>
              <w:keepNext/>
              <w:keepLines/>
              <w:spacing w:before="120" w:after="120"/>
              <w:jc w:val="left"/>
              <w:rPr>
                <w:sz w:val="16"/>
              </w:rPr>
            </w:pPr>
            <w:r>
              <w:rPr>
                <w:sz w:val="16"/>
              </w:rPr>
              <w:t>[…]</w:t>
            </w:r>
          </w:p>
        </w:tc>
        <w:tc>
          <w:tcPr>
            <w:tcW w:w="567" w:type="dxa"/>
            <w:tcBorders>
              <w:top w:val="nil"/>
              <w:bottom w:val="single" w:sz="4" w:space="0" w:color="auto"/>
              <w:right w:val="nil"/>
            </w:tcBorders>
          </w:tcPr>
          <w:p w14:paraId="1D755CF3" w14:textId="77777777" w:rsidR="00881493" w:rsidRPr="00125827" w:rsidRDefault="00881493" w:rsidP="00987A22">
            <w:pPr>
              <w:keepNext/>
              <w:keepLines/>
              <w:spacing w:before="120" w:after="120"/>
              <w:jc w:val="left"/>
              <w:rPr>
                <w:sz w:val="16"/>
              </w:rPr>
            </w:pPr>
            <w:r>
              <w:rPr>
                <w:sz w:val="16"/>
              </w:rPr>
              <w:t>3</w:t>
            </w:r>
          </w:p>
        </w:tc>
      </w:tr>
    </w:tbl>
    <w:p w14:paraId="33D5DAF4" w14:textId="77777777" w:rsidR="00881493" w:rsidRPr="00125827" w:rsidRDefault="00881493" w:rsidP="00881493">
      <w:pPr>
        <w:rPr>
          <w:snapToGrid w:val="0"/>
        </w:rPr>
      </w:pPr>
    </w:p>
    <w:p w14:paraId="2E3D98BC" w14:textId="61E7A9D4"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Der TC merkte an, dass das Wort „hoch-" nur für die resistente Ausprägungsstufe verwendet werde und vereinbarte, die TWV um weitere Prüfung des Beispiels zu ersuchen.</w:t>
      </w:r>
    </w:p>
    <w:p w14:paraId="0C1932D3" w14:textId="77777777" w:rsidR="00881493" w:rsidRPr="00125827" w:rsidRDefault="00881493" w:rsidP="00881493">
      <w:pPr>
        <w:jc w:val="left"/>
      </w:pPr>
    </w:p>
    <w:p w14:paraId="3DBF89EA" w14:textId="77777777" w:rsidR="00881493" w:rsidRPr="006968C4" w:rsidRDefault="00881493" w:rsidP="00881493">
      <w:pPr>
        <w:jc w:val="left"/>
        <w:rPr>
          <w:i/>
        </w:rPr>
      </w:pPr>
      <w:r>
        <w:rPr>
          <w:i/>
        </w:rPr>
        <w:t>Prüfungen durch die Technische Arbeitsgruppe für Gemüsearten</w:t>
      </w:r>
    </w:p>
    <w:p w14:paraId="781AB7DC" w14:textId="77777777" w:rsidR="00881493" w:rsidRDefault="00881493" w:rsidP="00881493">
      <w:pPr>
        <w:jc w:val="left"/>
      </w:pPr>
    </w:p>
    <w:p w14:paraId="340C7BAB" w14:textId="7C42FAE7"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Die TWV prüfte auf ihrer sechsundfünfzigsten Tagung</w:t>
      </w:r>
      <w:r w:rsidRPr="00FC51C1">
        <w:rPr>
          <w:rFonts w:cs="Arial"/>
          <w:snapToGrid w:val="0"/>
        </w:rPr>
        <w:footnoteReference w:id="19"/>
      </w:r>
      <w:r w:rsidRPr="00FC51C1">
        <w:rPr>
          <w:rFonts w:cs="Arial"/>
          <w:snapToGrid w:val="0"/>
        </w:rPr>
        <w:t xml:space="preserve"> die Überarbeitung der Ausprägungsstufen in dem Beispiel für Merkmale in Dokument TGP/12/2, Abschnitt 2.3.2, um die Verwendung des Wortes „hoch-“ in nur einer Ausprägungsstufe zu behandeln (vergleiche Dokument TWV/56/22 „Report“, </w:t>
      </w:r>
      <w:r w:rsidR="00C33657" w:rsidRPr="00FC51C1">
        <w:rPr>
          <w:rFonts w:cs="Arial"/>
          <w:snapToGrid w:val="0"/>
        </w:rPr>
        <w:t>Absätze</w:t>
      </w:r>
      <w:r w:rsidRPr="00FC51C1">
        <w:rPr>
          <w:rFonts w:cs="Arial"/>
          <w:snapToGrid w:val="0"/>
        </w:rPr>
        <w:t xml:space="preserve"> 16 bis 20).</w:t>
      </w:r>
    </w:p>
    <w:p w14:paraId="5DF115A1" w14:textId="77777777" w:rsidR="00881493" w:rsidRPr="00FC51C1" w:rsidRDefault="00881493" w:rsidP="00FC51C1">
      <w:pPr>
        <w:pStyle w:val="ListParagraph"/>
        <w:ind w:left="0"/>
        <w:rPr>
          <w:rFonts w:cs="Arial"/>
          <w:snapToGrid w:val="0"/>
        </w:rPr>
      </w:pPr>
    </w:p>
    <w:p w14:paraId="04D79869" w14:textId="032B7BCE"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 xml:space="preserve">Der TWV nahm zur Kenntnis, dass die Skala „anfällig, mittel resistent und hochresistent“ zuvor in den Prüfungsrichtlinien für Gurke, Salat und Melone verwendet worden sei und in dem Gemüsebereich allgemein verwendet werde. </w:t>
      </w:r>
    </w:p>
    <w:p w14:paraId="5DFE9C3B" w14:textId="77777777" w:rsidR="00881493" w:rsidRPr="00FC51C1" w:rsidRDefault="00881493" w:rsidP="00FC51C1">
      <w:pPr>
        <w:pStyle w:val="ListParagraph"/>
        <w:ind w:left="0"/>
        <w:rPr>
          <w:rFonts w:cs="Arial"/>
          <w:snapToGrid w:val="0"/>
        </w:rPr>
      </w:pPr>
    </w:p>
    <w:p w14:paraId="0BBC6418" w14:textId="4D0D4D03"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Die TWV nahm die Erklärung Frankreichs zur Kenntnis, dass die Ausprägungsstufe „anfällig“ eine Reihe von Ausdrücken, einschließlich „sehr anfällig“, umfasst.  Die TWV erörterte, wie die allgemeine UPOV-Anleitung bei der Erarbeitung von Krankheitsresistenzmerkmalen anzuwenden sei, und vereinbarte, dass es keinen Konsens zur Änderung der Anleitung in Dokument TGP/12 gebe, um das Wort „hoch-“ aus der Ausprägung „hochresistent“ zu streichen.</w:t>
      </w:r>
    </w:p>
    <w:p w14:paraId="5558AC55" w14:textId="77777777" w:rsidR="00881493" w:rsidRDefault="00881493" w:rsidP="00881493"/>
    <w:p w14:paraId="45D81AE3" w14:textId="2BC03E5B"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Die TWV vereinbarte, die Sachverständigen aus Frankreich und den Niederlanden zu ersuchen, den Entwurf einer Anleitung vorzuschlagen, die die Besonderheiten von Krankheitsresistenzmerkmalen, die eine Sonderbehandlung in Bezug auf die allgemeine UPOV-Anleitung erfordern, erläutert, und der TWV auf ihrer siebenundfünfzigsten Tagung vorzulegen.  Der Entwurf dieser Anleitung sollte sich mit Angelegenheiten wie der Begründung der deutlichen Unterscheidbarkeit für quantitative Krankheitsresistenzmerkmale aufgrund eines Unterschieds von einer Note zwischen Sorten befassen und Möglichkeiten für die Korrelation der Skalen der UPOV-Merkmale mit den von Phytopathologen für Sortenbeschreibungen verwendeten Skalen untersuchen (z. B. UPOV „resistent“ = Ph</w:t>
      </w:r>
      <w:r w:rsidR="00FC51C1">
        <w:rPr>
          <w:rFonts w:cs="Arial"/>
          <w:snapToGrid w:val="0"/>
        </w:rPr>
        <w:t>ytopathologie „hochresistent“).</w:t>
      </w:r>
    </w:p>
    <w:p w14:paraId="0E8C406C" w14:textId="77777777" w:rsidR="00881493" w:rsidRDefault="00881493" w:rsidP="00881493"/>
    <w:p w14:paraId="35902D6D" w14:textId="09F2D698" w:rsidR="00881493" w:rsidRPr="00FC51C1" w:rsidRDefault="00881493" w:rsidP="00FC51C1">
      <w:pPr>
        <w:pStyle w:val="ListParagraph"/>
        <w:numPr>
          <w:ilvl w:val="0"/>
          <w:numId w:val="41"/>
        </w:numPr>
        <w:ind w:left="0" w:hanging="11"/>
        <w:rPr>
          <w:rFonts w:cs="Arial"/>
          <w:snapToGrid w:val="0"/>
        </w:rPr>
      </w:pPr>
      <w:r w:rsidRPr="00FC51C1">
        <w:rPr>
          <w:rFonts w:cs="Arial"/>
          <w:snapToGrid w:val="0"/>
        </w:rPr>
        <w:t xml:space="preserve">Die TWV vereinbarte, dass der Begriff „mittel“ in dem Beispiel in Dokument TWP/6/1, Absatz 28, „mittel resistent“ lauten sollte. </w:t>
      </w:r>
    </w:p>
    <w:p w14:paraId="772B7F4B" w14:textId="77777777" w:rsidR="00125827" w:rsidRPr="00125827" w:rsidRDefault="00125827" w:rsidP="00125827">
      <w:pPr>
        <w:ind w:left="-142" w:right="312"/>
        <w:jc w:val="right"/>
      </w:pPr>
    </w:p>
    <w:p w14:paraId="5ABF5223" w14:textId="77777777" w:rsidR="00125827" w:rsidRPr="00125827" w:rsidRDefault="00125827" w:rsidP="00125827">
      <w:pPr>
        <w:ind w:left="-142" w:right="312"/>
        <w:jc w:val="right"/>
      </w:pPr>
    </w:p>
    <w:p w14:paraId="78BEE626" w14:textId="77777777" w:rsidR="00125827" w:rsidRPr="00125827" w:rsidRDefault="00125827" w:rsidP="00125827">
      <w:pPr>
        <w:ind w:left="-142" w:right="312"/>
        <w:jc w:val="right"/>
      </w:pPr>
    </w:p>
    <w:p w14:paraId="4E902D0D" w14:textId="77777777" w:rsidR="00125827" w:rsidRPr="00125827" w:rsidRDefault="00125827" w:rsidP="00125827">
      <w:pPr>
        <w:ind w:left="-142" w:right="312"/>
        <w:jc w:val="right"/>
        <w:sectPr w:rsidR="00125827" w:rsidRPr="00125827" w:rsidSect="00086373">
          <w:headerReference w:type="default" r:id="rId30"/>
          <w:headerReference w:type="first" r:id="rId31"/>
          <w:pgSz w:w="11907" w:h="16840" w:code="9"/>
          <w:pgMar w:top="510" w:right="1134" w:bottom="993" w:left="1134" w:header="510" w:footer="680" w:gutter="0"/>
          <w:pgNumType w:start="1"/>
          <w:cols w:space="720"/>
          <w:titlePg/>
          <w:docGrid w:linePitch="272"/>
        </w:sectPr>
      </w:pPr>
      <w:r>
        <w:t>[Anlage VII folgt]</w:t>
      </w:r>
    </w:p>
    <w:p w14:paraId="0C1D1F45" w14:textId="77777777" w:rsidR="00320C73" w:rsidRPr="00125827" w:rsidRDefault="00320C73" w:rsidP="00320C73">
      <w:pPr>
        <w:ind w:left="-142" w:right="312"/>
        <w:jc w:val="center"/>
      </w:pPr>
      <w:r>
        <w:t>PROGRAMM FÜR DIE AUSARBEITUNG VON TGP-DOKUMENTEN</w:t>
      </w:r>
    </w:p>
    <w:p w14:paraId="2AF45D6C" w14:textId="16F72447" w:rsidR="0074108C" w:rsidRPr="001E1FAC" w:rsidRDefault="001E1FAC" w:rsidP="0074108C">
      <w:pPr>
        <w:ind w:left="-142" w:right="312"/>
        <w:jc w:val="center"/>
      </w:pPr>
      <w:r w:rsidRPr="001E1FAC">
        <w:rPr>
          <w:noProof/>
          <w:lang w:val="en-US" w:eastAsia="en-US"/>
        </w:rPr>
        <w:drawing>
          <wp:inline distT="0" distB="0" distL="0" distR="0" wp14:anchorId="35E3074C" wp14:editId="055CE688">
            <wp:extent cx="8745490" cy="5861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70353" cy="5877713"/>
                    </a:xfrm>
                    <a:prstGeom prst="rect">
                      <a:avLst/>
                    </a:prstGeom>
                    <a:noFill/>
                    <a:ln>
                      <a:noFill/>
                    </a:ln>
                  </pic:spPr>
                </pic:pic>
              </a:graphicData>
            </a:graphic>
          </wp:inline>
        </w:drawing>
      </w:r>
    </w:p>
    <w:p w14:paraId="04C79C20" w14:textId="38284695" w:rsidR="00125827" w:rsidRPr="00125827" w:rsidRDefault="0074108C" w:rsidP="0074108C">
      <w:pPr>
        <w:tabs>
          <w:tab w:val="left" w:pos="12191"/>
        </w:tabs>
        <w:ind w:left="-142" w:right="312"/>
        <w:jc w:val="left"/>
      </w:pPr>
      <w:r>
        <w:tab/>
      </w:r>
      <w:r w:rsidR="00125827">
        <w:t>[Anlage VIII folgt]</w:t>
      </w:r>
    </w:p>
    <w:p w14:paraId="78BD2661" w14:textId="77777777" w:rsidR="00125827" w:rsidRPr="00125827" w:rsidRDefault="00125827" w:rsidP="00125827">
      <w:pPr>
        <w:ind w:left="-142" w:right="312"/>
        <w:jc w:val="right"/>
        <w:sectPr w:rsidR="00125827" w:rsidRPr="00125827" w:rsidSect="00CB63E2">
          <w:headerReference w:type="first" r:id="rId33"/>
          <w:pgSz w:w="16840" w:h="11907" w:orient="landscape" w:code="9"/>
          <w:pgMar w:top="1134" w:right="193" w:bottom="993" w:left="992" w:header="510" w:footer="680" w:gutter="0"/>
          <w:pgNumType w:start="1"/>
          <w:cols w:space="720"/>
          <w:titlePg/>
          <w:docGrid w:linePitch="272"/>
        </w:sectPr>
      </w:pPr>
    </w:p>
    <w:p w14:paraId="4B0F25E8" w14:textId="681E7895" w:rsidR="0074108C" w:rsidRDefault="00320C73" w:rsidP="00320C73">
      <w:pPr>
        <w:ind w:left="-142" w:right="312"/>
        <w:jc w:val="center"/>
      </w:pPr>
      <w:r>
        <w:t>PROGRAMM FÜR DIE AUSARBEITUNG VON EINSCHLÄGIGEM INFORMATIONSMATERIAL</w:t>
      </w:r>
    </w:p>
    <w:p w14:paraId="7B65DCA3" w14:textId="538EF2F9" w:rsidR="00CB63E2" w:rsidRDefault="00CB63E2" w:rsidP="00D32CDB">
      <w:pPr>
        <w:ind w:left="-142" w:right="312"/>
        <w:jc w:val="center"/>
      </w:pPr>
      <w:r w:rsidRPr="001E1FAC">
        <w:rPr>
          <w:noProof/>
          <w:lang w:val="en-US" w:eastAsia="en-US"/>
        </w:rPr>
        <w:drawing>
          <wp:inline distT="0" distB="0" distL="0" distR="0" wp14:anchorId="3C42CFEC" wp14:editId="376EC2B5">
            <wp:extent cx="9017000" cy="4865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0" cy="4865370"/>
                    </a:xfrm>
                    <a:prstGeom prst="rect">
                      <a:avLst/>
                    </a:prstGeom>
                    <a:noFill/>
                    <a:ln>
                      <a:noFill/>
                    </a:ln>
                  </pic:spPr>
                </pic:pic>
              </a:graphicData>
            </a:graphic>
          </wp:inline>
        </w:drawing>
      </w:r>
    </w:p>
    <w:p w14:paraId="2E0C1AE4" w14:textId="5FBCB3C8" w:rsidR="00D32CDB" w:rsidRDefault="00D32CDB" w:rsidP="00D32CDB">
      <w:pPr>
        <w:ind w:left="-142" w:right="312"/>
        <w:jc w:val="center"/>
      </w:pPr>
    </w:p>
    <w:p w14:paraId="6549E6D5" w14:textId="6BF69FD7" w:rsidR="00D32CDB" w:rsidRDefault="00D32CDB" w:rsidP="00D32CDB">
      <w:pPr>
        <w:ind w:left="-142" w:right="312"/>
        <w:jc w:val="center"/>
      </w:pPr>
    </w:p>
    <w:p w14:paraId="36202D52" w14:textId="77777777" w:rsidR="00D32CDB" w:rsidRPr="00125827" w:rsidRDefault="00D32CDB" w:rsidP="00D32CDB">
      <w:pPr>
        <w:ind w:left="-142" w:right="312"/>
        <w:jc w:val="right"/>
      </w:pPr>
      <w:r>
        <w:t>[Ende der Anlage VIII und des Dokuments]</w:t>
      </w:r>
    </w:p>
    <w:p w14:paraId="6F5EFD67" w14:textId="77777777" w:rsidR="00D32CDB" w:rsidRDefault="00D32CDB" w:rsidP="00D32CDB">
      <w:pPr>
        <w:ind w:left="-142" w:right="312"/>
        <w:jc w:val="center"/>
      </w:pPr>
    </w:p>
    <w:sectPr w:rsidR="00D32CDB" w:rsidSect="00CB63E2">
      <w:headerReference w:type="default" r:id="rId35"/>
      <w:headerReference w:type="first" r:id="rId36"/>
      <w:pgSz w:w="16840" w:h="11907" w:orient="landscape" w:code="9"/>
      <w:pgMar w:top="1440" w:right="1247" w:bottom="1440" w:left="1418"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95DB" w14:textId="77777777" w:rsidR="001E1FAC" w:rsidRDefault="001E1FAC" w:rsidP="006655D3">
      <w:r>
        <w:separator/>
      </w:r>
    </w:p>
    <w:p w14:paraId="54A9CCFF" w14:textId="77777777" w:rsidR="001E1FAC" w:rsidRDefault="001E1FAC" w:rsidP="006655D3"/>
    <w:p w14:paraId="112A35B2" w14:textId="77777777" w:rsidR="001E1FAC" w:rsidRDefault="001E1FAC" w:rsidP="006655D3"/>
  </w:endnote>
  <w:endnote w:type="continuationSeparator" w:id="0">
    <w:p w14:paraId="7FA26B36" w14:textId="77777777" w:rsidR="001E1FAC" w:rsidRDefault="001E1FAC" w:rsidP="006655D3">
      <w:r>
        <w:separator/>
      </w:r>
    </w:p>
    <w:p w14:paraId="14F7F2ED" w14:textId="77777777" w:rsidR="001E1FAC" w:rsidRPr="00294751" w:rsidRDefault="001E1FAC">
      <w:pPr>
        <w:pStyle w:val="Footer"/>
        <w:spacing w:after="60"/>
        <w:rPr>
          <w:sz w:val="18"/>
          <w:lang w:val="fr-FR"/>
        </w:rPr>
      </w:pPr>
      <w:r w:rsidRPr="005A377C">
        <w:rPr>
          <w:sz w:val="18"/>
          <w:lang w:val="fr-FR"/>
        </w:rPr>
        <w:t>[Suite de la note de la page précédente]</w:t>
      </w:r>
    </w:p>
    <w:p w14:paraId="072F2EC4" w14:textId="77777777" w:rsidR="001E1FAC" w:rsidRPr="00294751" w:rsidRDefault="001E1FAC" w:rsidP="006655D3">
      <w:pPr>
        <w:rPr>
          <w:lang w:val="fr-FR"/>
        </w:rPr>
      </w:pPr>
    </w:p>
    <w:p w14:paraId="3821BF50" w14:textId="77777777" w:rsidR="001E1FAC" w:rsidRPr="00294751" w:rsidRDefault="001E1FAC" w:rsidP="006655D3">
      <w:pPr>
        <w:rPr>
          <w:lang w:val="fr-FR"/>
        </w:rPr>
      </w:pPr>
    </w:p>
  </w:endnote>
  <w:endnote w:type="continuationNotice" w:id="1">
    <w:p w14:paraId="20F3DF29" w14:textId="77777777" w:rsidR="001E1FAC" w:rsidRPr="00294751" w:rsidRDefault="001E1FAC" w:rsidP="006655D3">
      <w:pPr>
        <w:rPr>
          <w:lang w:val="fr-FR"/>
        </w:rPr>
      </w:pPr>
      <w:r w:rsidRPr="005A377C">
        <w:rPr>
          <w:lang w:val="fr-FR"/>
        </w:rPr>
        <w:t>[Suite de la note page suivante]</w:t>
      </w:r>
    </w:p>
    <w:p w14:paraId="46C4EDA8" w14:textId="77777777" w:rsidR="001E1FAC" w:rsidRPr="00294751" w:rsidRDefault="001E1FAC" w:rsidP="006655D3">
      <w:pPr>
        <w:rPr>
          <w:lang w:val="fr-FR"/>
        </w:rPr>
      </w:pPr>
    </w:p>
    <w:p w14:paraId="0BDE14A2" w14:textId="77777777" w:rsidR="001E1FAC" w:rsidRPr="00294751" w:rsidRDefault="001E1F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Angsana New">
    <w:altName w:val="Arial Unicode MS"/>
    <w:panose1 w:val="02020603050405020304"/>
    <w:charset w:val="DE"/>
    <w:family w:val="roman"/>
    <w:pitch w:val="variable"/>
    <w:sig w:usb0="01000001" w:usb1="00000000" w:usb2="00000000" w:usb3="00000000" w:csb0="0001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6D77" w14:textId="77777777" w:rsidR="001E1FAC" w:rsidRDefault="001E1FAC" w:rsidP="006655D3">
      <w:r>
        <w:separator/>
      </w:r>
    </w:p>
  </w:footnote>
  <w:footnote w:type="continuationSeparator" w:id="0">
    <w:p w14:paraId="231E851B" w14:textId="77777777" w:rsidR="001E1FAC" w:rsidRDefault="001E1FAC" w:rsidP="006655D3">
      <w:r>
        <w:separator/>
      </w:r>
    </w:p>
  </w:footnote>
  <w:footnote w:type="continuationNotice" w:id="1">
    <w:p w14:paraId="439D2775" w14:textId="77777777" w:rsidR="001E1FAC" w:rsidRPr="00AB530F" w:rsidRDefault="001E1FAC" w:rsidP="00AB530F">
      <w:pPr>
        <w:pStyle w:val="Footer"/>
      </w:pPr>
    </w:p>
  </w:footnote>
  <w:footnote w:id="2">
    <w:p w14:paraId="663B5A2C" w14:textId="71157585" w:rsidR="001E1FAC" w:rsidRDefault="001E1FAC">
      <w:pPr>
        <w:pStyle w:val="FootnoteText"/>
      </w:pPr>
      <w:r>
        <w:rPr>
          <w:rStyle w:val="FootnoteReference"/>
        </w:rPr>
        <w:footnoteRef/>
      </w:r>
      <w:r>
        <w:rPr>
          <w:rFonts w:cs="Arial"/>
          <w:color w:val="000000"/>
        </w:rPr>
        <w:t xml:space="preserve"> am 25. und 26. Oktober 2021 auf elektronischem Wege</w:t>
      </w:r>
      <w:r w:rsidRPr="00483663">
        <w:rPr>
          <w:rFonts w:cs="Arial"/>
          <w:color w:val="000000"/>
        </w:rPr>
        <w:t xml:space="preserve"> </w:t>
      </w:r>
      <w:r>
        <w:rPr>
          <w:rFonts w:cs="Arial"/>
          <w:color w:val="000000"/>
        </w:rPr>
        <w:t>abgehalten</w:t>
      </w:r>
    </w:p>
  </w:footnote>
  <w:footnote w:id="3">
    <w:p w14:paraId="0DFF4013" w14:textId="2BF381D5" w:rsidR="001E1FAC" w:rsidRDefault="001E1FAC">
      <w:pPr>
        <w:pStyle w:val="FootnoteText"/>
      </w:pPr>
      <w:r>
        <w:rPr>
          <w:rStyle w:val="FootnoteReference"/>
        </w:rPr>
        <w:footnoteRef/>
      </w:r>
      <w:r>
        <w:rPr>
          <w:rFonts w:cs="Arial"/>
          <w:color w:val="000000"/>
        </w:rPr>
        <w:t xml:space="preserve"> am 27. Oktober 2021 in Genf</w:t>
      </w:r>
      <w:r w:rsidRPr="00483663">
        <w:rPr>
          <w:rFonts w:cs="Arial"/>
          <w:color w:val="000000"/>
        </w:rPr>
        <w:t xml:space="preserve"> </w:t>
      </w:r>
      <w:r>
        <w:rPr>
          <w:rFonts w:cs="Arial"/>
          <w:color w:val="000000"/>
        </w:rPr>
        <w:t>abgehalten</w:t>
      </w:r>
    </w:p>
  </w:footnote>
  <w:footnote w:id="4">
    <w:p w14:paraId="1449D692" w14:textId="6F6BD5B1" w:rsidR="001E1FAC" w:rsidRPr="00597BEA" w:rsidRDefault="001E1FAC" w:rsidP="00165FBF">
      <w:pPr>
        <w:pStyle w:val="FootnoteText"/>
      </w:pPr>
      <w:r>
        <w:rPr>
          <w:rStyle w:val="FootnoteReference"/>
        </w:rPr>
        <w:footnoteRef/>
      </w:r>
      <w:r>
        <w:t xml:space="preserve"> auf ihrer sechsundfünfzigsten Tagung, vom 18. bis 22. April 2022 auf elektronischem Wege abgehalten</w:t>
      </w:r>
    </w:p>
  </w:footnote>
  <w:footnote w:id="5">
    <w:p w14:paraId="6FB96552" w14:textId="259E8E3A" w:rsidR="001E1FAC" w:rsidRPr="00597BEA" w:rsidRDefault="001E1FAC" w:rsidP="00165FBF">
      <w:pPr>
        <w:pStyle w:val="FootnoteText"/>
        <w:rPr>
          <w:highlight w:val="yellow"/>
        </w:rPr>
      </w:pPr>
      <w:r>
        <w:rPr>
          <w:rStyle w:val="FootnoteReference"/>
        </w:rPr>
        <w:footnoteRef/>
      </w:r>
      <w:r>
        <w:t xml:space="preserve"> auf ihrer einundfünfzigsten Tagung, vom 23. bis 27. Mai 2022 in Cambridge, Vereinigtes Königreich, abgehalten</w:t>
      </w:r>
    </w:p>
  </w:footnote>
  <w:footnote w:id="6">
    <w:p w14:paraId="3670E32A" w14:textId="7801BCB7" w:rsidR="001E1FAC" w:rsidRPr="00597BEA" w:rsidRDefault="001E1FAC" w:rsidP="00165FBF">
      <w:pPr>
        <w:pStyle w:val="FootnoteText"/>
      </w:pPr>
      <w:r>
        <w:rPr>
          <w:rStyle w:val="FootnoteReference"/>
        </w:rPr>
        <w:footnoteRef/>
      </w:r>
      <w:r>
        <w:t xml:space="preserve"> auf ihrer </w:t>
      </w:r>
      <w:r>
        <w:rPr>
          <w:rFonts w:cs="Arial"/>
        </w:rPr>
        <w:t>vierundfünfzigsten Tagung</w:t>
      </w:r>
      <w:r>
        <w:t>, ausgerichtet von Deutschland und vom 13. bis 17. Juni 2022 auf elektronischem Wege abgehalten</w:t>
      </w:r>
    </w:p>
  </w:footnote>
  <w:footnote w:id="7">
    <w:p w14:paraId="23C79D26" w14:textId="3BF40392" w:rsidR="001E1FAC" w:rsidRDefault="001E1FAC">
      <w:pPr>
        <w:pStyle w:val="FootnoteText"/>
      </w:pPr>
      <w:r>
        <w:rPr>
          <w:rStyle w:val="FootnoteReference"/>
        </w:rPr>
        <w:footnoteRef/>
      </w:r>
      <w:r>
        <w:t xml:space="preserve"> auf ihrer dreiundfünfzigsten Tagung, vom 11. bis 15. Juli 2022 auf elektronischem Wege abgehalten</w:t>
      </w:r>
    </w:p>
  </w:footnote>
  <w:footnote w:id="8">
    <w:p w14:paraId="3BE47AF2" w14:textId="78FD8409" w:rsidR="001E1FAC" w:rsidRDefault="001E1FAC">
      <w:pPr>
        <w:pStyle w:val="FootnoteText"/>
      </w:pPr>
      <w:r>
        <w:rPr>
          <w:rStyle w:val="FootnoteReference"/>
        </w:rPr>
        <w:footnoteRef/>
      </w:r>
      <w:r>
        <w:t xml:space="preserve"> auf ihrer ersten Tagung, vom 19. bis 23. September 2022 auf elektronischem Wege abgehalten</w:t>
      </w:r>
    </w:p>
  </w:footnote>
  <w:footnote w:id="9">
    <w:p w14:paraId="474D5BF9" w14:textId="3E2392C8" w:rsidR="001E1FAC" w:rsidRPr="006A78B2" w:rsidRDefault="001E1FAC">
      <w:pPr>
        <w:pStyle w:val="FootnoteText"/>
      </w:pPr>
      <w:r>
        <w:rPr>
          <w:rStyle w:val="FootnoteReference"/>
        </w:rPr>
        <w:footnoteRef/>
      </w:r>
      <w:r>
        <w:t xml:space="preserve"> von den Niederlanden ausgerichtet und vom 7. bis 11. Juni 2021 auf elektronischem Wege abgehalten</w:t>
      </w:r>
    </w:p>
  </w:footnote>
  <w:footnote w:id="10">
    <w:p w14:paraId="7DCE32EC" w14:textId="4DD719B9" w:rsidR="001E1FAC" w:rsidRPr="005614B5" w:rsidRDefault="001E1FAC">
      <w:pPr>
        <w:pStyle w:val="FootnoteText"/>
      </w:pPr>
      <w:r>
        <w:rPr>
          <w:rStyle w:val="FootnoteReference"/>
        </w:rPr>
        <w:footnoteRef/>
      </w:r>
      <w:r>
        <w:t xml:space="preserve"> von Deutschland ausgerichtet und vom 13. bis 17. Juni 2022 auf elektronischem Wege abgehalten</w:t>
      </w:r>
    </w:p>
  </w:footnote>
  <w:footnote w:id="11">
    <w:p w14:paraId="6A849546" w14:textId="4F497D26" w:rsidR="001E1FAC" w:rsidRDefault="001E1FAC" w:rsidP="00887443">
      <w:pPr>
        <w:pStyle w:val="FootnoteText"/>
      </w:pPr>
      <w:r>
        <w:rPr>
          <w:rStyle w:val="FootnoteReference"/>
        </w:rPr>
        <w:footnoteRef/>
      </w:r>
      <w:r>
        <w:t xml:space="preserve"> vom 18. bis 22. April 2022 auf elektronischem Wege abgehalten</w:t>
      </w:r>
    </w:p>
  </w:footnote>
  <w:footnote w:id="12">
    <w:p w14:paraId="7B5F7CE9" w14:textId="62C47692" w:rsidR="001E1FAC" w:rsidRDefault="001E1FAC" w:rsidP="00125827">
      <w:pPr>
        <w:pStyle w:val="FootnoteText"/>
      </w:pPr>
      <w:r>
        <w:rPr>
          <w:rStyle w:val="FootnoteReference"/>
        </w:rPr>
        <w:footnoteRef/>
      </w:r>
      <w:r>
        <w:t xml:space="preserve"> ausgerichtet von den Niederlanden und vom 7. bis 11. Juni 2021 auf elektronischem Wege abgehalten</w:t>
      </w:r>
    </w:p>
  </w:footnote>
  <w:footnote w:id="13">
    <w:p w14:paraId="1947F8B9" w14:textId="0B53C6A2" w:rsidR="001E1FAC" w:rsidRDefault="001E1FAC">
      <w:pPr>
        <w:pStyle w:val="FootnoteText"/>
      </w:pPr>
      <w:r>
        <w:rPr>
          <w:rStyle w:val="FootnoteReference"/>
        </w:rPr>
        <w:footnoteRef/>
      </w:r>
      <w:r>
        <w:t xml:space="preserve"> am 25. und 26. Oktober 2022 auf elektronischem Wege abgehalten</w:t>
      </w:r>
    </w:p>
  </w:footnote>
  <w:footnote w:id="14">
    <w:p w14:paraId="791D9144" w14:textId="09E4F91B" w:rsidR="001E1FAC" w:rsidRPr="00CE3BF7" w:rsidRDefault="001E1FAC">
      <w:pPr>
        <w:pStyle w:val="FootnoteText"/>
      </w:pPr>
      <w:r>
        <w:rPr>
          <w:rStyle w:val="FootnoteReference"/>
        </w:rPr>
        <w:footnoteRef/>
      </w:r>
      <w:r>
        <w:t xml:space="preserve"> vom 11. bis 15. Juli 2022 auf elektronischem Wege abgehalten</w:t>
      </w:r>
    </w:p>
  </w:footnote>
  <w:footnote w:id="15">
    <w:p w14:paraId="7E5AE984" w14:textId="4A16547B" w:rsidR="001E1FAC" w:rsidRPr="00245321" w:rsidRDefault="001E1FAC" w:rsidP="00125827">
      <w:pPr>
        <w:pStyle w:val="FootnoteText"/>
      </w:pPr>
      <w:r>
        <w:rPr>
          <w:rStyle w:val="FootnoteReference"/>
        </w:rPr>
        <w:footnoteRef/>
      </w:r>
      <w:r>
        <w:t xml:space="preserve"> ausgerichtet von der Türkei und vom 3. bis 7. Mai 2021 auf elektronischem Wege abgehalten</w:t>
      </w:r>
    </w:p>
  </w:footnote>
  <w:footnote w:id="16">
    <w:p w14:paraId="00BD6B10" w14:textId="6E32BCEB" w:rsidR="001E1FAC" w:rsidRDefault="001E1FAC" w:rsidP="00125827">
      <w:pPr>
        <w:pStyle w:val="FootnoteText"/>
      </w:pPr>
      <w:r>
        <w:rPr>
          <w:rStyle w:val="FootnoteReference"/>
        </w:rPr>
        <w:footnoteRef/>
      </w:r>
      <w:r>
        <w:t xml:space="preserve"> ausgerichtet von der Vereinigten Republik Tansania und vom 21. bis 25. Juni 2021 auf elektronischem Wege abgehalten</w:t>
      </w:r>
    </w:p>
  </w:footnote>
  <w:footnote w:id="17">
    <w:p w14:paraId="7DC0ECE5" w14:textId="5F7012CF" w:rsidR="001E1FAC" w:rsidRDefault="001E1FAC" w:rsidP="00881493">
      <w:pPr>
        <w:pStyle w:val="FootnoteText"/>
      </w:pPr>
      <w:r>
        <w:rPr>
          <w:rStyle w:val="FootnoteReference"/>
        </w:rPr>
        <w:footnoteRef/>
      </w:r>
      <w:r>
        <w:t xml:space="preserve"> ausgerichtet von der Türkei und vom 3. bis 7. Mai 2021 auf elektronischem Wege abgehalten</w:t>
      </w:r>
    </w:p>
  </w:footnote>
  <w:footnote w:id="18">
    <w:p w14:paraId="6D4D1436" w14:textId="17241906" w:rsidR="001E1FAC" w:rsidRDefault="001E1FAC" w:rsidP="00881493">
      <w:pPr>
        <w:pStyle w:val="FootnoteText"/>
      </w:pPr>
      <w:r>
        <w:rPr>
          <w:rStyle w:val="FootnoteReference"/>
        </w:rPr>
        <w:footnoteRef/>
      </w:r>
      <w:r>
        <w:t xml:space="preserve"> ausgerichtet von der Türkei und vom 3. bis 7. Mai 2021 auf elektronischem Wege abgehalten</w:t>
      </w:r>
    </w:p>
  </w:footnote>
  <w:footnote w:id="19">
    <w:p w14:paraId="410D4D22" w14:textId="176DC18A" w:rsidR="001E1FAC" w:rsidRDefault="001E1FAC" w:rsidP="00881493">
      <w:pPr>
        <w:pStyle w:val="FootnoteText"/>
      </w:pPr>
      <w:r>
        <w:rPr>
          <w:rStyle w:val="FootnoteReference"/>
        </w:rPr>
        <w:footnoteRef/>
      </w:r>
      <w:r>
        <w:t xml:space="preserve"> vom 18. bis 22. April 2022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C2EE" w14:textId="77777777" w:rsidR="001E1FAC" w:rsidRPr="00C5280D" w:rsidRDefault="001E1FAC" w:rsidP="00EB048E">
    <w:pPr>
      <w:pStyle w:val="Header"/>
      <w:rPr>
        <w:rStyle w:val="PageNumber"/>
        <w:lang w:val="en-US"/>
      </w:rPr>
    </w:pPr>
    <w:r>
      <w:rPr>
        <w:rStyle w:val="PageNumber"/>
      </w:rPr>
      <w:t>TC/58/5</w:t>
    </w:r>
  </w:p>
  <w:p w14:paraId="3E82008C" w14:textId="7417B60C" w:rsidR="001E1FAC" w:rsidRPr="00C5280D" w:rsidRDefault="001E1FAC" w:rsidP="00EB048E">
    <w:pPr>
      <w:pStyle w:val="Header"/>
      <w:rPr>
        <w:lang w:val="en-US"/>
      </w:rPr>
    </w:pPr>
    <w:r>
      <w:t xml:space="preserve">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F35E8A">
      <w:rPr>
        <w:rStyle w:val="PageNumber"/>
        <w:noProof/>
        <w:lang w:val="en-US"/>
      </w:rPr>
      <w:t>11</w:t>
    </w:r>
    <w:r w:rsidRPr="00C5280D">
      <w:rPr>
        <w:rStyle w:val="PageNumber"/>
        <w:lang w:val="en-US"/>
      </w:rPr>
      <w:fldChar w:fldCharType="end"/>
    </w:r>
  </w:p>
  <w:p w14:paraId="1C5BDDC4" w14:textId="77777777" w:rsidR="001E1FAC" w:rsidRPr="00C5280D" w:rsidRDefault="001E1FAC" w:rsidP="006655D3"/>
  <w:p w14:paraId="0B57790E" w14:textId="77777777" w:rsidR="001E1FAC" w:rsidRDefault="001E1FA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3D1E" w14:textId="77777777" w:rsidR="001E1FAC" w:rsidRDefault="001E1FAC" w:rsidP="00A558C1">
    <w:pPr>
      <w:pStyle w:val="Header"/>
      <w:rPr>
        <w:lang w:val="en-US"/>
      </w:rPr>
    </w:pPr>
    <w:r>
      <w:t>TC/58/5</w:t>
    </w:r>
  </w:p>
  <w:p w14:paraId="70689777" w14:textId="294A41DD" w:rsidR="001E1FAC" w:rsidRPr="00C5280D" w:rsidRDefault="001E1FAC" w:rsidP="00EB048E">
    <w:pPr>
      <w:pStyle w:val="Header"/>
      <w:rPr>
        <w:lang w:val="en-US"/>
      </w:rPr>
    </w:pPr>
    <w:r>
      <w:t xml:space="preserve">Anlage VI,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F35E8A">
      <w:rPr>
        <w:rStyle w:val="PageNumber"/>
        <w:noProof/>
        <w:lang w:val="en-US"/>
      </w:rPr>
      <w:t>2</w:t>
    </w:r>
    <w:r w:rsidRPr="00C5280D">
      <w:rPr>
        <w:rStyle w:val="PageNumber"/>
        <w:lang w:val="en-US"/>
      </w:rPr>
      <w:fldChar w:fldCharType="end"/>
    </w:r>
  </w:p>
  <w:p w14:paraId="77879BE6" w14:textId="77777777" w:rsidR="001E1FAC" w:rsidRPr="00C5280D" w:rsidRDefault="001E1FAC" w:rsidP="006655D3"/>
  <w:p w14:paraId="2874C782" w14:textId="77777777" w:rsidR="001E1FAC" w:rsidRDefault="001E1FA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D7F9" w14:textId="77777777" w:rsidR="001E1FAC" w:rsidRDefault="001E1FAC" w:rsidP="00A558C1">
    <w:pPr>
      <w:pStyle w:val="Header"/>
      <w:rPr>
        <w:lang w:val="en-US"/>
      </w:rPr>
    </w:pPr>
    <w:r>
      <w:t>TC/58/5</w:t>
    </w:r>
  </w:p>
  <w:p w14:paraId="54E4394E" w14:textId="77777777" w:rsidR="001E1FAC" w:rsidRDefault="001E1FAC" w:rsidP="00086373">
    <w:pPr>
      <w:pStyle w:val="Header"/>
      <w:rPr>
        <w:lang w:val="en-US"/>
      </w:rPr>
    </w:pPr>
  </w:p>
  <w:p w14:paraId="52775AF9" w14:textId="77777777" w:rsidR="001E1FAC" w:rsidRPr="00104391" w:rsidRDefault="001E1FAC" w:rsidP="00086373">
    <w:pPr>
      <w:pStyle w:val="Header"/>
      <w:rPr>
        <w:lang w:val="en-US"/>
      </w:rPr>
    </w:pPr>
    <w:r>
      <w:t>ANLAGE VI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D5A4" w14:textId="77777777" w:rsidR="001E1FAC" w:rsidRDefault="001E1FAC" w:rsidP="00A558C1">
    <w:pPr>
      <w:pStyle w:val="Header"/>
      <w:rPr>
        <w:lang w:val="en-US"/>
      </w:rPr>
    </w:pPr>
    <w:r>
      <w:t>TC/58/5</w:t>
    </w:r>
  </w:p>
  <w:p w14:paraId="118BDAB5" w14:textId="77777777" w:rsidR="001E1FAC" w:rsidRDefault="001E1FAC" w:rsidP="00086373">
    <w:pPr>
      <w:pStyle w:val="Header"/>
      <w:rPr>
        <w:lang w:val="en-US"/>
      </w:rPr>
    </w:pPr>
  </w:p>
  <w:p w14:paraId="757059A8" w14:textId="58DCDEA1" w:rsidR="001E1FAC" w:rsidRPr="00104391" w:rsidRDefault="001E1FAC" w:rsidP="00086373">
    <w:pPr>
      <w:pStyle w:val="Header"/>
      <w:rPr>
        <w:lang w:val="en-US"/>
      </w:rPr>
    </w:pPr>
    <w:r>
      <w:t>ANLAGE VII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A6D6" w14:textId="77777777" w:rsidR="001E1FAC" w:rsidRPr="00C5280D" w:rsidRDefault="001E1FAC" w:rsidP="00EB048E">
    <w:pPr>
      <w:pStyle w:val="Header"/>
      <w:rPr>
        <w:rStyle w:val="PageNumber"/>
        <w:lang w:val="en-US"/>
      </w:rPr>
    </w:pPr>
    <w:r>
      <w:rPr>
        <w:rStyle w:val="PageNumber"/>
      </w:rPr>
      <w:t>TC/58/5</w:t>
    </w:r>
  </w:p>
  <w:p w14:paraId="00BB29C7" w14:textId="034AB7FA" w:rsidR="001E1FAC" w:rsidRPr="00C5280D" w:rsidRDefault="001E1FAC"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sidR="00CB63E2">
      <w:rPr>
        <w:rStyle w:val="PageNumber"/>
        <w:noProof/>
      </w:rPr>
      <w:t>2</w:t>
    </w:r>
    <w:r>
      <w:fldChar w:fldCharType="end"/>
    </w:r>
  </w:p>
  <w:p w14:paraId="273E5617" w14:textId="77777777" w:rsidR="001E1FAC" w:rsidRPr="00C5280D" w:rsidRDefault="001E1FAC" w:rsidP="006655D3"/>
  <w:p w14:paraId="1D797CF0" w14:textId="77777777" w:rsidR="001E1FAC" w:rsidRDefault="001E1FA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FDA3" w14:textId="77777777" w:rsidR="001E1FAC" w:rsidRDefault="001E1FAC" w:rsidP="00A558C1">
    <w:pPr>
      <w:pStyle w:val="Header"/>
      <w:rPr>
        <w:lang w:val="en-US"/>
      </w:rPr>
    </w:pPr>
    <w:r>
      <w:t>TC/58/5</w:t>
    </w:r>
  </w:p>
  <w:p w14:paraId="742F08DD" w14:textId="77777777" w:rsidR="001E1FAC" w:rsidRDefault="001E1FAC" w:rsidP="0004198B">
    <w:pPr>
      <w:pStyle w:val="Header"/>
    </w:pPr>
  </w:p>
  <w:p w14:paraId="4B73FE65" w14:textId="77777777" w:rsidR="001E1FAC" w:rsidRPr="00BC4454" w:rsidRDefault="001E1FAC" w:rsidP="00F01025">
    <w:pPr>
      <w:pStyle w:val="Header"/>
      <w:rPr>
        <w:lang w:val="en-US"/>
      </w:rPr>
    </w:pPr>
    <w:r>
      <w:t>ANLAGE VIII</w:t>
    </w:r>
  </w:p>
  <w:p w14:paraId="3BF34920" w14:textId="77777777" w:rsidR="001E1FAC" w:rsidRPr="0004198B" w:rsidRDefault="001E1FAC"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F266" w14:textId="77777777" w:rsidR="001E1FAC" w:rsidRPr="00C5280D" w:rsidRDefault="001E1FAC" w:rsidP="00EB048E">
    <w:pPr>
      <w:pStyle w:val="Header"/>
      <w:rPr>
        <w:rStyle w:val="PageNumber"/>
        <w:lang w:val="en-US"/>
      </w:rPr>
    </w:pPr>
    <w:r>
      <w:rPr>
        <w:rStyle w:val="PageNumber"/>
      </w:rPr>
      <w:t>TWP/6/1</w:t>
    </w:r>
  </w:p>
  <w:p w14:paraId="5F6A106A" w14:textId="64FDD318" w:rsidR="001E1FAC" w:rsidRPr="00C5280D" w:rsidRDefault="001E1FAC" w:rsidP="00EB048E">
    <w:pPr>
      <w:pStyle w:val="Header"/>
      <w:rPr>
        <w:lang w:val="en-US"/>
      </w:rPr>
    </w:pPr>
    <w:r>
      <w:t xml:space="preserve">Anlage III,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7411FF">
      <w:rPr>
        <w:rStyle w:val="PageNumber"/>
        <w:noProof/>
        <w:lang w:val="en-US"/>
      </w:rPr>
      <w:t>2</w:t>
    </w:r>
    <w:r w:rsidRPr="00C5280D">
      <w:rPr>
        <w:rStyle w:val="PageNumber"/>
        <w:lang w:val="en-US"/>
      </w:rPr>
      <w:fldChar w:fldCharType="end"/>
    </w:r>
  </w:p>
  <w:p w14:paraId="030498CA" w14:textId="77777777" w:rsidR="001E1FAC" w:rsidRPr="00C5280D" w:rsidRDefault="001E1FAC" w:rsidP="006655D3"/>
  <w:p w14:paraId="62662E89" w14:textId="77777777" w:rsidR="001E1FAC" w:rsidRDefault="001E1F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99FF" w14:textId="77777777" w:rsidR="001E1FAC" w:rsidRDefault="001E1FAC" w:rsidP="00086373">
    <w:pPr>
      <w:pStyle w:val="Header"/>
      <w:rPr>
        <w:lang w:val="en-US"/>
      </w:rPr>
    </w:pPr>
    <w:r>
      <w:t>TC/58/5</w:t>
    </w:r>
  </w:p>
  <w:p w14:paraId="4AE0D1E8" w14:textId="77777777" w:rsidR="001E1FAC" w:rsidRDefault="001E1FAC" w:rsidP="00086373">
    <w:pPr>
      <w:pStyle w:val="Header"/>
      <w:rPr>
        <w:lang w:val="en-US"/>
      </w:rPr>
    </w:pPr>
  </w:p>
  <w:p w14:paraId="2DE19E4E" w14:textId="77777777" w:rsidR="001E1FAC" w:rsidRPr="00104391" w:rsidRDefault="001E1FAC" w:rsidP="00086373">
    <w:pPr>
      <w:pStyle w:val="Header"/>
      <w:rPr>
        <w:lang w:val="en-US"/>
      </w:rPr>
    </w:pPr>
    <w:r>
      <w:t>ANLAGE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8F3A" w14:textId="77777777" w:rsidR="001E1FAC" w:rsidRDefault="001E1FAC" w:rsidP="00A558C1">
    <w:pPr>
      <w:pStyle w:val="Header"/>
      <w:rPr>
        <w:lang w:val="en-US"/>
      </w:rPr>
    </w:pPr>
    <w:r>
      <w:t>TC/58/5</w:t>
    </w:r>
  </w:p>
  <w:p w14:paraId="5B225F1D" w14:textId="1FB3BDB5" w:rsidR="001E1FAC" w:rsidRPr="00C5280D" w:rsidRDefault="001E1FAC" w:rsidP="00EB048E">
    <w:pPr>
      <w:pStyle w:val="Header"/>
      <w:rPr>
        <w:lang w:val="en-US"/>
      </w:rPr>
    </w:pPr>
    <w:r>
      <w:t xml:space="preserve">Anlage II, Seite </w:t>
    </w:r>
    <w:r>
      <w:rPr>
        <w:rStyle w:val="PageNumber"/>
      </w:rPr>
      <w:fldChar w:fldCharType="begin"/>
    </w:r>
    <w:r>
      <w:rPr>
        <w:rStyle w:val="PageNumber"/>
        <w:noProof/>
      </w:rPr>
      <w:instrText xml:space="preserve"> PAGE </w:instrText>
    </w:r>
    <w:r>
      <w:fldChar w:fldCharType="separate"/>
    </w:r>
    <w:r w:rsidR="00F35E8A">
      <w:rPr>
        <w:rStyle w:val="PageNumber"/>
        <w:noProof/>
      </w:rPr>
      <w:t>5</w:t>
    </w:r>
    <w:r>
      <w:fldChar w:fldCharType="end"/>
    </w:r>
  </w:p>
  <w:p w14:paraId="50A7BA78" w14:textId="77777777" w:rsidR="001E1FAC" w:rsidRPr="00C5280D" w:rsidRDefault="001E1FAC" w:rsidP="006655D3"/>
  <w:p w14:paraId="4DA96CC1" w14:textId="77777777" w:rsidR="001E1FAC" w:rsidRDefault="001E1FA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1443" w14:textId="77777777" w:rsidR="001E1FAC" w:rsidRDefault="001E1FAC" w:rsidP="00086373">
    <w:pPr>
      <w:pStyle w:val="Header"/>
      <w:rPr>
        <w:lang w:val="en-US"/>
      </w:rPr>
    </w:pPr>
    <w:r>
      <w:t>TC/58/5</w:t>
    </w:r>
  </w:p>
  <w:p w14:paraId="11F2372B" w14:textId="77777777" w:rsidR="001E1FAC" w:rsidRDefault="001E1FAC" w:rsidP="00086373">
    <w:pPr>
      <w:pStyle w:val="Header"/>
      <w:rPr>
        <w:lang w:val="en-US"/>
      </w:rPr>
    </w:pPr>
  </w:p>
  <w:p w14:paraId="143B2485" w14:textId="77777777" w:rsidR="001E1FAC" w:rsidRPr="00104391" w:rsidRDefault="001E1FAC" w:rsidP="00086373">
    <w:pPr>
      <w:pStyle w:val="Header"/>
      <w:rPr>
        <w:lang w:val="en-US"/>
      </w:rPr>
    </w:pPr>
    <w:r>
      <w:t>ANLAGE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9D0D" w14:textId="77777777" w:rsidR="001E1FAC" w:rsidRDefault="001E1FAC" w:rsidP="00A558C1">
    <w:pPr>
      <w:pStyle w:val="Header"/>
      <w:rPr>
        <w:lang w:val="en-US"/>
      </w:rPr>
    </w:pPr>
    <w:r>
      <w:t>TC/58/5</w:t>
    </w:r>
  </w:p>
  <w:p w14:paraId="4F99E00D" w14:textId="09689695" w:rsidR="001E1FAC" w:rsidRPr="00C5280D" w:rsidRDefault="001E1FAC" w:rsidP="00EB048E">
    <w:pPr>
      <w:pStyle w:val="Header"/>
      <w:rPr>
        <w:lang w:val="en-US"/>
      </w:rPr>
    </w:pPr>
    <w:r>
      <w:t xml:space="preserve">Anlage III,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F35E8A">
      <w:rPr>
        <w:rStyle w:val="PageNumber"/>
        <w:noProof/>
        <w:lang w:val="en-US"/>
      </w:rPr>
      <w:t>2</w:t>
    </w:r>
    <w:r w:rsidRPr="00C5280D">
      <w:rPr>
        <w:rStyle w:val="PageNumber"/>
        <w:lang w:val="en-US"/>
      </w:rPr>
      <w:fldChar w:fldCharType="end"/>
    </w:r>
  </w:p>
  <w:p w14:paraId="5D3534E1" w14:textId="77777777" w:rsidR="001E1FAC" w:rsidRPr="00C5280D" w:rsidRDefault="001E1FAC" w:rsidP="006655D3"/>
  <w:p w14:paraId="5D3A73A1" w14:textId="77777777" w:rsidR="001E1FAC" w:rsidRDefault="001E1FA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60EC" w14:textId="77777777" w:rsidR="001E1FAC" w:rsidRDefault="001E1FAC" w:rsidP="00A558C1">
    <w:pPr>
      <w:pStyle w:val="Header"/>
      <w:rPr>
        <w:lang w:val="en-US"/>
      </w:rPr>
    </w:pPr>
    <w:r>
      <w:t>TC/58/5</w:t>
    </w:r>
  </w:p>
  <w:p w14:paraId="57690238" w14:textId="77777777" w:rsidR="001E1FAC" w:rsidRDefault="001E1FAC" w:rsidP="00086373">
    <w:pPr>
      <w:pStyle w:val="Header"/>
      <w:rPr>
        <w:lang w:val="en-US"/>
      </w:rPr>
    </w:pPr>
  </w:p>
  <w:p w14:paraId="7286F8EE" w14:textId="77777777" w:rsidR="001E1FAC" w:rsidRPr="00104391" w:rsidRDefault="001E1FAC" w:rsidP="00086373">
    <w:pPr>
      <w:pStyle w:val="Header"/>
      <w:rPr>
        <w:lang w:val="en-US"/>
      </w:rPr>
    </w:pPr>
    <w:r>
      <w:t>ANLAGE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3FAF" w14:textId="77777777" w:rsidR="001E1FAC" w:rsidRPr="005A377C" w:rsidRDefault="001E1FAC" w:rsidP="00A558C1">
    <w:pPr>
      <w:pStyle w:val="Header"/>
    </w:pPr>
    <w:r>
      <w:t>TC/58/5</w:t>
    </w:r>
  </w:p>
  <w:p w14:paraId="686CEE8B" w14:textId="77777777" w:rsidR="001E1FAC" w:rsidRPr="005A377C" w:rsidRDefault="001E1FAC" w:rsidP="00086373">
    <w:pPr>
      <w:pStyle w:val="Header"/>
    </w:pPr>
  </w:p>
  <w:p w14:paraId="453F4508" w14:textId="77777777" w:rsidR="001E1FAC" w:rsidRPr="00DC5127" w:rsidRDefault="001E1FAC" w:rsidP="00DC5127">
    <w:pPr>
      <w:pStyle w:val="Header"/>
      <w:rPr>
        <w:lang w:val="en-US"/>
      </w:rPr>
    </w:pPr>
    <w:r w:rsidRPr="00DC5127">
      <w:rPr>
        <w:lang w:val="en-US"/>
      </w:rPr>
      <w:t>ANNEX IV</w:t>
    </w:r>
  </w:p>
  <w:p w14:paraId="36083FC3" w14:textId="3F80A4CE" w:rsidR="001E1FAC" w:rsidRPr="005A377C" w:rsidRDefault="001E1FAC" w:rsidP="00DC51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F661" w14:textId="77777777" w:rsidR="001E1FAC" w:rsidRDefault="001E1FAC" w:rsidP="00A558C1">
    <w:pPr>
      <w:pStyle w:val="Header"/>
      <w:rPr>
        <w:lang w:val="en-US"/>
      </w:rPr>
    </w:pPr>
    <w:r>
      <w:t>TC/58/5</w:t>
    </w:r>
  </w:p>
  <w:p w14:paraId="72B5CB91" w14:textId="77777777" w:rsidR="001E1FAC" w:rsidRDefault="001E1FAC" w:rsidP="00086373">
    <w:pPr>
      <w:pStyle w:val="Header"/>
      <w:rPr>
        <w:lang w:val="en-US"/>
      </w:rPr>
    </w:pPr>
  </w:p>
  <w:p w14:paraId="434F5BD5" w14:textId="77777777" w:rsidR="001E1FAC" w:rsidRPr="00104391" w:rsidRDefault="001E1FAC" w:rsidP="00086373">
    <w:pPr>
      <w:pStyle w:val="Header"/>
      <w:rPr>
        <w:lang w:val="en-US"/>
      </w:rPr>
    </w:pPr>
    <w:r>
      <w:t>ANLAGE 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333492"/>
    <w:multiLevelType w:val="hybridMultilevel"/>
    <w:tmpl w:val="F9828792"/>
    <w:lvl w:ilvl="0" w:tplc="DE54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71F9E"/>
    <w:multiLevelType w:val="hybridMultilevel"/>
    <w:tmpl w:val="41DE4DDC"/>
    <w:lvl w:ilvl="0" w:tplc="DE54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57A0187"/>
    <w:multiLevelType w:val="hybridMultilevel"/>
    <w:tmpl w:val="9C0CF324"/>
    <w:lvl w:ilvl="0" w:tplc="53625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D6711C"/>
    <w:multiLevelType w:val="hybridMultilevel"/>
    <w:tmpl w:val="3864A532"/>
    <w:lvl w:ilvl="0" w:tplc="DE54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0EB45BA"/>
    <w:multiLevelType w:val="hybridMultilevel"/>
    <w:tmpl w:val="97A059CE"/>
    <w:lvl w:ilvl="0" w:tplc="49F4862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5"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105B2B"/>
    <w:multiLevelType w:val="hybridMultilevel"/>
    <w:tmpl w:val="776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497995"/>
    <w:multiLevelType w:val="hybridMultilevel"/>
    <w:tmpl w:val="40A2D6C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0"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373C0"/>
    <w:multiLevelType w:val="hybridMultilevel"/>
    <w:tmpl w:val="C72EA264"/>
    <w:lvl w:ilvl="0" w:tplc="DE54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86295"/>
    <w:multiLevelType w:val="hybridMultilevel"/>
    <w:tmpl w:val="F9828792"/>
    <w:lvl w:ilvl="0" w:tplc="DE54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5"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C6038E"/>
    <w:multiLevelType w:val="hybridMultilevel"/>
    <w:tmpl w:val="359E714E"/>
    <w:lvl w:ilvl="0" w:tplc="DF9E5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1F1635"/>
    <w:multiLevelType w:val="hybridMultilevel"/>
    <w:tmpl w:val="0E763B6C"/>
    <w:lvl w:ilvl="0" w:tplc="536256B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7"/>
  </w:num>
  <w:num w:numId="3">
    <w:abstractNumId w:val="23"/>
  </w:num>
  <w:num w:numId="4">
    <w:abstractNumId w:val="13"/>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3"/>
  </w:num>
  <w:num w:numId="9">
    <w:abstractNumId w:val="10"/>
  </w:num>
  <w:num w:numId="10">
    <w:abstractNumId w:val="5"/>
  </w:num>
  <w:num w:numId="11">
    <w:abstractNumId w:val="2"/>
  </w:num>
  <w:num w:numId="12">
    <w:abstractNumId w:val="22"/>
  </w:num>
  <w:num w:numId="13">
    <w:abstractNumId w:val="4"/>
  </w:num>
  <w:num w:numId="14">
    <w:abstractNumId w:val="0"/>
  </w:num>
  <w:num w:numId="15">
    <w:abstractNumId w:val="19"/>
  </w:num>
  <w:num w:numId="16">
    <w:abstractNumId w:val="35"/>
  </w:num>
  <w:num w:numId="17">
    <w:abstractNumId w:val="6"/>
  </w:num>
  <w:num w:numId="18">
    <w:abstractNumId w:val="21"/>
  </w:num>
  <w:num w:numId="19">
    <w:abstractNumId w:val="39"/>
  </w:num>
  <w:num w:numId="20">
    <w:abstractNumId w:val="25"/>
  </w:num>
  <w:num w:numId="21">
    <w:abstractNumId w:val="3"/>
  </w:num>
  <w:num w:numId="22">
    <w:abstractNumId w:val="28"/>
  </w:num>
  <w:num w:numId="23">
    <w:abstractNumId w:val="17"/>
  </w:num>
  <w:num w:numId="24">
    <w:abstractNumId w:val="15"/>
  </w:num>
  <w:num w:numId="25">
    <w:abstractNumId w:val="7"/>
  </w:num>
  <w:num w:numId="26">
    <w:abstractNumId w:val="37"/>
  </w:num>
  <w:num w:numId="27">
    <w:abstractNumId w:val="12"/>
  </w:num>
  <w:num w:numId="28">
    <w:abstractNumId w:val="18"/>
  </w:num>
  <w:num w:numId="29">
    <w:abstractNumId w:val="34"/>
  </w:num>
  <w:num w:numId="30">
    <w:abstractNumId w:val="30"/>
  </w:num>
  <w:num w:numId="31">
    <w:abstractNumId w:val="26"/>
  </w:num>
  <w:num w:numId="32">
    <w:abstractNumId w:val="38"/>
  </w:num>
  <w:num w:numId="33">
    <w:abstractNumId w:val="11"/>
  </w:num>
  <w:num w:numId="34">
    <w:abstractNumId w:val="29"/>
  </w:num>
  <w:num w:numId="35">
    <w:abstractNumId w:val="31"/>
  </w:num>
  <w:num w:numId="36">
    <w:abstractNumId w:val="20"/>
  </w:num>
  <w:num w:numId="37">
    <w:abstractNumId w:val="36"/>
  </w:num>
  <w:num w:numId="38">
    <w:abstractNumId w:val="9"/>
  </w:num>
  <w:num w:numId="39">
    <w:abstractNumId w:val="16"/>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157BC"/>
    <w:rsid w:val="00024AB8"/>
    <w:rsid w:val="00030854"/>
    <w:rsid w:val="00036028"/>
    <w:rsid w:val="0004198B"/>
    <w:rsid w:val="00044642"/>
    <w:rsid w:val="000446B9"/>
    <w:rsid w:val="00047E21"/>
    <w:rsid w:val="00050E16"/>
    <w:rsid w:val="00085505"/>
    <w:rsid w:val="00086373"/>
    <w:rsid w:val="000C4E25"/>
    <w:rsid w:val="000C7021"/>
    <w:rsid w:val="000D6BBC"/>
    <w:rsid w:val="000D7780"/>
    <w:rsid w:val="000E636A"/>
    <w:rsid w:val="000F2F11"/>
    <w:rsid w:val="000F7E8A"/>
    <w:rsid w:val="00100A5F"/>
    <w:rsid w:val="00105929"/>
    <w:rsid w:val="00110BED"/>
    <w:rsid w:val="00110C36"/>
    <w:rsid w:val="001131D5"/>
    <w:rsid w:val="00114547"/>
    <w:rsid w:val="00124596"/>
    <w:rsid w:val="00125827"/>
    <w:rsid w:val="00141DB8"/>
    <w:rsid w:val="00142309"/>
    <w:rsid w:val="00144612"/>
    <w:rsid w:val="00165FBF"/>
    <w:rsid w:val="001705E8"/>
    <w:rsid w:val="00172084"/>
    <w:rsid w:val="0017474A"/>
    <w:rsid w:val="001758C6"/>
    <w:rsid w:val="00182B99"/>
    <w:rsid w:val="00187E80"/>
    <w:rsid w:val="001C1525"/>
    <w:rsid w:val="001E1FAC"/>
    <w:rsid w:val="001F600F"/>
    <w:rsid w:val="001F6B7C"/>
    <w:rsid w:val="002049CC"/>
    <w:rsid w:val="0021332C"/>
    <w:rsid w:val="00213982"/>
    <w:rsid w:val="00241532"/>
    <w:rsid w:val="0024416D"/>
    <w:rsid w:val="00246F2D"/>
    <w:rsid w:val="00247BC8"/>
    <w:rsid w:val="00247FA0"/>
    <w:rsid w:val="0026038C"/>
    <w:rsid w:val="00271911"/>
    <w:rsid w:val="00273187"/>
    <w:rsid w:val="002741A2"/>
    <w:rsid w:val="00275503"/>
    <w:rsid w:val="002800A0"/>
    <w:rsid w:val="002801B3"/>
    <w:rsid w:val="00281060"/>
    <w:rsid w:val="00284050"/>
    <w:rsid w:val="00285BD0"/>
    <w:rsid w:val="002940E8"/>
    <w:rsid w:val="00294751"/>
    <w:rsid w:val="002A2BD0"/>
    <w:rsid w:val="002A32C8"/>
    <w:rsid w:val="002A6E50"/>
    <w:rsid w:val="002B4298"/>
    <w:rsid w:val="002B7A36"/>
    <w:rsid w:val="002C256A"/>
    <w:rsid w:val="002C5042"/>
    <w:rsid w:val="002D5226"/>
    <w:rsid w:val="002E2EDF"/>
    <w:rsid w:val="002E605E"/>
    <w:rsid w:val="00305A7F"/>
    <w:rsid w:val="003152FE"/>
    <w:rsid w:val="00320C73"/>
    <w:rsid w:val="00327436"/>
    <w:rsid w:val="00344BD6"/>
    <w:rsid w:val="0035528D"/>
    <w:rsid w:val="00361821"/>
    <w:rsid w:val="00361E9E"/>
    <w:rsid w:val="003753EE"/>
    <w:rsid w:val="00377D7E"/>
    <w:rsid w:val="00377F75"/>
    <w:rsid w:val="003A0835"/>
    <w:rsid w:val="003A38FB"/>
    <w:rsid w:val="003A5AAF"/>
    <w:rsid w:val="003B700A"/>
    <w:rsid w:val="003C7FBE"/>
    <w:rsid w:val="003D0839"/>
    <w:rsid w:val="003D227C"/>
    <w:rsid w:val="003D2B4D"/>
    <w:rsid w:val="003E0E31"/>
    <w:rsid w:val="003F37F5"/>
    <w:rsid w:val="00407996"/>
    <w:rsid w:val="00423B24"/>
    <w:rsid w:val="00431CB9"/>
    <w:rsid w:val="004402E9"/>
    <w:rsid w:val="00444A88"/>
    <w:rsid w:val="00445B73"/>
    <w:rsid w:val="00450E47"/>
    <w:rsid w:val="00451E24"/>
    <w:rsid w:val="00454A2E"/>
    <w:rsid w:val="00456F41"/>
    <w:rsid w:val="00474DA4"/>
    <w:rsid w:val="00476B4D"/>
    <w:rsid w:val="004805FA"/>
    <w:rsid w:val="00481602"/>
    <w:rsid w:val="00483663"/>
    <w:rsid w:val="004935D2"/>
    <w:rsid w:val="004A3958"/>
    <w:rsid w:val="004B1215"/>
    <w:rsid w:val="004D047D"/>
    <w:rsid w:val="004D7DB4"/>
    <w:rsid w:val="004F0E20"/>
    <w:rsid w:val="004F1E9E"/>
    <w:rsid w:val="004F305A"/>
    <w:rsid w:val="004F365F"/>
    <w:rsid w:val="005007AA"/>
    <w:rsid w:val="0051148D"/>
    <w:rsid w:val="00512164"/>
    <w:rsid w:val="00520297"/>
    <w:rsid w:val="005338F9"/>
    <w:rsid w:val="0054281C"/>
    <w:rsid w:val="00544581"/>
    <w:rsid w:val="00551E98"/>
    <w:rsid w:val="0055268D"/>
    <w:rsid w:val="005614B5"/>
    <w:rsid w:val="00575DE2"/>
    <w:rsid w:val="00576BE4"/>
    <w:rsid w:val="005779DB"/>
    <w:rsid w:val="0059566E"/>
    <w:rsid w:val="005A2A67"/>
    <w:rsid w:val="005A377C"/>
    <w:rsid w:val="005A400A"/>
    <w:rsid w:val="005A4044"/>
    <w:rsid w:val="005B269D"/>
    <w:rsid w:val="005B7342"/>
    <w:rsid w:val="005D6FDE"/>
    <w:rsid w:val="005E1E97"/>
    <w:rsid w:val="005F7B92"/>
    <w:rsid w:val="0060434D"/>
    <w:rsid w:val="006108C5"/>
    <w:rsid w:val="00612379"/>
    <w:rsid w:val="0061362C"/>
    <w:rsid w:val="006153B6"/>
    <w:rsid w:val="0061555F"/>
    <w:rsid w:val="006245ED"/>
    <w:rsid w:val="00636CA6"/>
    <w:rsid w:val="00641200"/>
    <w:rsid w:val="00645CA8"/>
    <w:rsid w:val="00651DA2"/>
    <w:rsid w:val="006576D1"/>
    <w:rsid w:val="006655D3"/>
    <w:rsid w:val="00667404"/>
    <w:rsid w:val="00680692"/>
    <w:rsid w:val="00684ADA"/>
    <w:rsid w:val="00687EB4"/>
    <w:rsid w:val="00695C56"/>
    <w:rsid w:val="006968C4"/>
    <w:rsid w:val="006A2E3B"/>
    <w:rsid w:val="006A5CDE"/>
    <w:rsid w:val="006A644A"/>
    <w:rsid w:val="006A67D2"/>
    <w:rsid w:val="006A78B2"/>
    <w:rsid w:val="006B17D2"/>
    <w:rsid w:val="006C224E"/>
    <w:rsid w:val="006C343F"/>
    <w:rsid w:val="006C381C"/>
    <w:rsid w:val="006C687B"/>
    <w:rsid w:val="006D780A"/>
    <w:rsid w:val="00700DD6"/>
    <w:rsid w:val="007061F4"/>
    <w:rsid w:val="0071271E"/>
    <w:rsid w:val="00732DEC"/>
    <w:rsid w:val="00735BD5"/>
    <w:rsid w:val="00736736"/>
    <w:rsid w:val="0074108C"/>
    <w:rsid w:val="007411FF"/>
    <w:rsid w:val="007451EC"/>
    <w:rsid w:val="00751613"/>
    <w:rsid w:val="00753EE9"/>
    <w:rsid w:val="007554DF"/>
    <w:rsid w:val="007556F6"/>
    <w:rsid w:val="00760EEF"/>
    <w:rsid w:val="0076121E"/>
    <w:rsid w:val="00777EE5"/>
    <w:rsid w:val="00784836"/>
    <w:rsid w:val="0079023E"/>
    <w:rsid w:val="00794176"/>
    <w:rsid w:val="007A2854"/>
    <w:rsid w:val="007B100B"/>
    <w:rsid w:val="007C1D92"/>
    <w:rsid w:val="007C4CB9"/>
    <w:rsid w:val="007D0B9D"/>
    <w:rsid w:val="007D19B0"/>
    <w:rsid w:val="007F498F"/>
    <w:rsid w:val="0080006E"/>
    <w:rsid w:val="00804474"/>
    <w:rsid w:val="0080679D"/>
    <w:rsid w:val="008108B0"/>
    <w:rsid w:val="00811B20"/>
    <w:rsid w:val="00812609"/>
    <w:rsid w:val="008211B5"/>
    <w:rsid w:val="0082296E"/>
    <w:rsid w:val="00824099"/>
    <w:rsid w:val="00827704"/>
    <w:rsid w:val="00831B84"/>
    <w:rsid w:val="00846D7C"/>
    <w:rsid w:val="008531CA"/>
    <w:rsid w:val="008605EC"/>
    <w:rsid w:val="00867AC1"/>
    <w:rsid w:val="008751DE"/>
    <w:rsid w:val="00881493"/>
    <w:rsid w:val="00885A75"/>
    <w:rsid w:val="00887443"/>
    <w:rsid w:val="00890DF8"/>
    <w:rsid w:val="008A0ADE"/>
    <w:rsid w:val="008A743F"/>
    <w:rsid w:val="008B1E4A"/>
    <w:rsid w:val="008C0970"/>
    <w:rsid w:val="008D0BC5"/>
    <w:rsid w:val="008D2CF7"/>
    <w:rsid w:val="008D7AC3"/>
    <w:rsid w:val="008E1900"/>
    <w:rsid w:val="008F31D7"/>
    <w:rsid w:val="00900C26"/>
    <w:rsid w:val="0090197F"/>
    <w:rsid w:val="00903264"/>
    <w:rsid w:val="00906DDC"/>
    <w:rsid w:val="00930C84"/>
    <w:rsid w:val="00934E09"/>
    <w:rsid w:val="00936253"/>
    <w:rsid w:val="00940D46"/>
    <w:rsid w:val="009413F1"/>
    <w:rsid w:val="00952DD4"/>
    <w:rsid w:val="009561F4"/>
    <w:rsid w:val="00965AE7"/>
    <w:rsid w:val="00970FED"/>
    <w:rsid w:val="009738F5"/>
    <w:rsid w:val="00974070"/>
    <w:rsid w:val="00985E41"/>
    <w:rsid w:val="00987A22"/>
    <w:rsid w:val="00992D82"/>
    <w:rsid w:val="00997029"/>
    <w:rsid w:val="009A1D93"/>
    <w:rsid w:val="009A7339"/>
    <w:rsid w:val="009B440E"/>
    <w:rsid w:val="009D690D"/>
    <w:rsid w:val="009E65B6"/>
    <w:rsid w:val="009F0A51"/>
    <w:rsid w:val="009F0B7F"/>
    <w:rsid w:val="009F0D26"/>
    <w:rsid w:val="009F25F2"/>
    <w:rsid w:val="009F77CF"/>
    <w:rsid w:val="00A02F56"/>
    <w:rsid w:val="00A036B4"/>
    <w:rsid w:val="00A12795"/>
    <w:rsid w:val="00A2054A"/>
    <w:rsid w:val="00A24C10"/>
    <w:rsid w:val="00A26453"/>
    <w:rsid w:val="00A42AC3"/>
    <w:rsid w:val="00A430CF"/>
    <w:rsid w:val="00A54309"/>
    <w:rsid w:val="00A5499F"/>
    <w:rsid w:val="00A55168"/>
    <w:rsid w:val="00A558C1"/>
    <w:rsid w:val="00A610A9"/>
    <w:rsid w:val="00A80F2A"/>
    <w:rsid w:val="00A86BC8"/>
    <w:rsid w:val="00A87FEF"/>
    <w:rsid w:val="00A96C33"/>
    <w:rsid w:val="00AB2B93"/>
    <w:rsid w:val="00AB530F"/>
    <w:rsid w:val="00AB7E5B"/>
    <w:rsid w:val="00AC2883"/>
    <w:rsid w:val="00AD30F9"/>
    <w:rsid w:val="00AD71CE"/>
    <w:rsid w:val="00AE0E78"/>
    <w:rsid w:val="00AE0EF1"/>
    <w:rsid w:val="00AE2937"/>
    <w:rsid w:val="00AE5D94"/>
    <w:rsid w:val="00AE6B8E"/>
    <w:rsid w:val="00AF5458"/>
    <w:rsid w:val="00AF6545"/>
    <w:rsid w:val="00B07301"/>
    <w:rsid w:val="00B11F3E"/>
    <w:rsid w:val="00B175EF"/>
    <w:rsid w:val="00B224DE"/>
    <w:rsid w:val="00B24B20"/>
    <w:rsid w:val="00B324D4"/>
    <w:rsid w:val="00B46575"/>
    <w:rsid w:val="00B56C6D"/>
    <w:rsid w:val="00B61777"/>
    <w:rsid w:val="00B622E6"/>
    <w:rsid w:val="00B83E82"/>
    <w:rsid w:val="00B84BBD"/>
    <w:rsid w:val="00B867E4"/>
    <w:rsid w:val="00B91195"/>
    <w:rsid w:val="00BA43FB"/>
    <w:rsid w:val="00BB061C"/>
    <w:rsid w:val="00BC127D"/>
    <w:rsid w:val="00BC1FE6"/>
    <w:rsid w:val="00BC5952"/>
    <w:rsid w:val="00BD42F5"/>
    <w:rsid w:val="00BE6B83"/>
    <w:rsid w:val="00C061B6"/>
    <w:rsid w:val="00C2446C"/>
    <w:rsid w:val="00C30583"/>
    <w:rsid w:val="00C33657"/>
    <w:rsid w:val="00C3483A"/>
    <w:rsid w:val="00C36AE5"/>
    <w:rsid w:val="00C41F17"/>
    <w:rsid w:val="00C45098"/>
    <w:rsid w:val="00C527FA"/>
    <w:rsid w:val="00C5280D"/>
    <w:rsid w:val="00C53EB3"/>
    <w:rsid w:val="00C5791C"/>
    <w:rsid w:val="00C66290"/>
    <w:rsid w:val="00C712CD"/>
    <w:rsid w:val="00C72B7A"/>
    <w:rsid w:val="00C806CC"/>
    <w:rsid w:val="00C83298"/>
    <w:rsid w:val="00C86070"/>
    <w:rsid w:val="00C96D8D"/>
    <w:rsid w:val="00C973F2"/>
    <w:rsid w:val="00C97EEF"/>
    <w:rsid w:val="00CA304C"/>
    <w:rsid w:val="00CA774A"/>
    <w:rsid w:val="00CB214B"/>
    <w:rsid w:val="00CB4921"/>
    <w:rsid w:val="00CB63E2"/>
    <w:rsid w:val="00CC11B0"/>
    <w:rsid w:val="00CC2841"/>
    <w:rsid w:val="00CD4777"/>
    <w:rsid w:val="00CE022F"/>
    <w:rsid w:val="00CE3879"/>
    <w:rsid w:val="00CE3BF7"/>
    <w:rsid w:val="00CE5984"/>
    <w:rsid w:val="00CF1330"/>
    <w:rsid w:val="00CF7E36"/>
    <w:rsid w:val="00D03A5D"/>
    <w:rsid w:val="00D0501C"/>
    <w:rsid w:val="00D12B38"/>
    <w:rsid w:val="00D32CDB"/>
    <w:rsid w:val="00D3708D"/>
    <w:rsid w:val="00D40426"/>
    <w:rsid w:val="00D54D76"/>
    <w:rsid w:val="00D57C96"/>
    <w:rsid w:val="00D57D18"/>
    <w:rsid w:val="00D70E65"/>
    <w:rsid w:val="00D85180"/>
    <w:rsid w:val="00D91203"/>
    <w:rsid w:val="00D94808"/>
    <w:rsid w:val="00D95174"/>
    <w:rsid w:val="00DA4973"/>
    <w:rsid w:val="00DA6F36"/>
    <w:rsid w:val="00DB596E"/>
    <w:rsid w:val="00DB7773"/>
    <w:rsid w:val="00DC00EA"/>
    <w:rsid w:val="00DC3802"/>
    <w:rsid w:val="00DC5127"/>
    <w:rsid w:val="00DD1482"/>
    <w:rsid w:val="00DD2541"/>
    <w:rsid w:val="00DD6208"/>
    <w:rsid w:val="00DE6CBD"/>
    <w:rsid w:val="00DF7E99"/>
    <w:rsid w:val="00E07D87"/>
    <w:rsid w:val="00E249C8"/>
    <w:rsid w:val="00E32F7E"/>
    <w:rsid w:val="00E4397D"/>
    <w:rsid w:val="00E5267B"/>
    <w:rsid w:val="00E559F0"/>
    <w:rsid w:val="00E63C0E"/>
    <w:rsid w:val="00E6638C"/>
    <w:rsid w:val="00E7232A"/>
    <w:rsid w:val="00E72D49"/>
    <w:rsid w:val="00E7593C"/>
    <w:rsid w:val="00E75F65"/>
    <w:rsid w:val="00E7678A"/>
    <w:rsid w:val="00E9129C"/>
    <w:rsid w:val="00E935F1"/>
    <w:rsid w:val="00E94A81"/>
    <w:rsid w:val="00EA1FFB"/>
    <w:rsid w:val="00EB048E"/>
    <w:rsid w:val="00EB3AF1"/>
    <w:rsid w:val="00EB4E9C"/>
    <w:rsid w:val="00EC2246"/>
    <w:rsid w:val="00EC2A8E"/>
    <w:rsid w:val="00EC634B"/>
    <w:rsid w:val="00ED33D9"/>
    <w:rsid w:val="00EE34DF"/>
    <w:rsid w:val="00EF2F89"/>
    <w:rsid w:val="00EF3342"/>
    <w:rsid w:val="00F01025"/>
    <w:rsid w:val="00F0166F"/>
    <w:rsid w:val="00F021E5"/>
    <w:rsid w:val="00F03E98"/>
    <w:rsid w:val="00F1237A"/>
    <w:rsid w:val="00F22CBD"/>
    <w:rsid w:val="00F272F1"/>
    <w:rsid w:val="00F31412"/>
    <w:rsid w:val="00F35E8A"/>
    <w:rsid w:val="00F45372"/>
    <w:rsid w:val="00F560F7"/>
    <w:rsid w:val="00F6334D"/>
    <w:rsid w:val="00F63599"/>
    <w:rsid w:val="00F65984"/>
    <w:rsid w:val="00F71781"/>
    <w:rsid w:val="00F93E11"/>
    <w:rsid w:val="00FA49AB"/>
    <w:rsid w:val="00FB16FA"/>
    <w:rsid w:val="00FC04CF"/>
    <w:rsid w:val="00FC51C1"/>
    <w:rsid w:val="00FC5FD0"/>
    <w:rsid w:val="00FD0F60"/>
    <w:rsid w:val="00FD24F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9979E"/>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12582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basedOn w:val="Normal"/>
    <w:next w:val="Normal"/>
    <w:autoRedefine/>
    <w:uiPriority w:val="39"/>
    <w:qFormat/>
    <w:rsid w:val="00804474"/>
    <w:pPr>
      <w:tabs>
        <w:tab w:val="right" w:leader="dot" w:pos="9639"/>
      </w:tabs>
      <w:ind w:left="568" w:right="851" w:hanging="284"/>
      <w:contextualSpacing/>
      <w:jc w:val="left"/>
    </w:pPr>
    <w:rPr>
      <w:sz w:val="18"/>
    </w:rPr>
  </w:style>
  <w:style w:type="paragraph" w:styleId="TOC3">
    <w:name w:val="toc 3"/>
    <w:next w:val="Normal"/>
    <w:autoRedefine/>
    <w:uiPriority w:val="39"/>
    <w:qFormat/>
    <w:rsid w:val="00804474"/>
    <w:pPr>
      <w:tabs>
        <w:tab w:val="right" w:leader="dot" w:pos="9639"/>
      </w:tabs>
      <w:spacing w:after="60"/>
      <w:ind w:left="851" w:right="1418" w:hanging="284"/>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80447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125827"/>
    <w:rPr>
      <w:rFonts w:asciiTheme="majorHAnsi" w:eastAsiaTheme="majorEastAsia" w:hAnsiTheme="majorHAnsi" w:cstheme="majorBidi"/>
      <w:color w:val="243F60" w:themeColor="accent1" w:themeShade="7F"/>
    </w:rPr>
  </w:style>
  <w:style w:type="character" w:customStyle="1" w:styleId="TitleofdocChar">
    <w:name w:val="Title_of_doc Char"/>
    <w:link w:val="Titleofdoc0"/>
    <w:rsid w:val="00125827"/>
    <w:rPr>
      <w:rFonts w:ascii="Arial" w:hAnsi="Arial"/>
      <w:b/>
      <w:caps/>
    </w:rPr>
  </w:style>
  <w:style w:type="paragraph" w:customStyle="1" w:styleId="Sessiontwp">
    <w:name w:val="Session_twp"/>
    <w:basedOn w:val="Normal"/>
    <w:next w:val="Normal"/>
    <w:qFormat/>
    <w:rsid w:val="00125827"/>
    <w:rPr>
      <w:b/>
    </w:rPr>
  </w:style>
  <w:style w:type="paragraph" w:customStyle="1" w:styleId="Sessiontwpplacedate">
    <w:name w:val="Session_twp_place_date"/>
    <w:basedOn w:val="Normal"/>
    <w:next w:val="Normal"/>
    <w:qFormat/>
    <w:rsid w:val="00125827"/>
  </w:style>
  <w:style w:type="character" w:customStyle="1" w:styleId="Heading1Char">
    <w:name w:val="Heading 1 Char"/>
    <w:aliases w:val="COMMON NAME Char,common Char"/>
    <w:link w:val="Heading1"/>
    <w:rsid w:val="00125827"/>
    <w:rPr>
      <w:rFonts w:ascii="Arial" w:hAnsi="Arial"/>
      <w:caps/>
    </w:rPr>
  </w:style>
  <w:style w:type="character" w:customStyle="1" w:styleId="Heading2Char">
    <w:name w:val="Heading 2 Char"/>
    <w:aliases w:val="VARIETY Char,variety Char"/>
    <w:basedOn w:val="DefaultParagraphFont"/>
    <w:link w:val="Heading2"/>
    <w:rsid w:val="00125827"/>
    <w:rPr>
      <w:rFonts w:ascii="Arial" w:hAnsi="Arial"/>
      <w:u w:val="single"/>
    </w:rPr>
  </w:style>
  <w:style w:type="character" w:customStyle="1" w:styleId="Heading3Char">
    <w:name w:val="Heading 3 Char"/>
    <w:basedOn w:val="DefaultParagraphFont"/>
    <w:link w:val="Heading3"/>
    <w:rsid w:val="00125827"/>
    <w:rPr>
      <w:rFonts w:ascii="Arial" w:hAnsi="Arial"/>
      <w:i/>
    </w:rPr>
  </w:style>
  <w:style w:type="character" w:customStyle="1" w:styleId="HeaderChar">
    <w:name w:val="Header Char"/>
    <w:link w:val="Header"/>
    <w:rsid w:val="00125827"/>
    <w:rPr>
      <w:rFonts w:ascii="Arial" w:hAnsi="Arial"/>
    </w:rPr>
  </w:style>
  <w:style w:type="character" w:customStyle="1" w:styleId="FooterChar">
    <w:name w:val="Footer Char"/>
    <w:aliases w:val="doc_path_name Char"/>
    <w:link w:val="Footer"/>
    <w:uiPriority w:val="99"/>
    <w:rsid w:val="00125827"/>
    <w:rPr>
      <w:rFonts w:ascii="Arial" w:hAnsi="Arial"/>
      <w:sz w:val="14"/>
    </w:rPr>
  </w:style>
  <w:style w:type="character" w:customStyle="1" w:styleId="DecisionParagraphsChar">
    <w:name w:val="DecisionParagraphs Char"/>
    <w:basedOn w:val="DefaultParagraphFont"/>
    <w:link w:val="DecisionParagraphs"/>
    <w:rsid w:val="00125827"/>
    <w:rPr>
      <w:rFonts w:ascii="Arial" w:hAnsi="Arial"/>
      <w:i/>
    </w:rPr>
  </w:style>
  <w:style w:type="character" w:customStyle="1" w:styleId="FootnoteTextChar">
    <w:name w:val="Footnote Text Char"/>
    <w:basedOn w:val="DefaultParagraphFont"/>
    <w:link w:val="FootnoteText"/>
    <w:rsid w:val="00125827"/>
    <w:rPr>
      <w:rFonts w:ascii="Arial" w:hAnsi="Arial"/>
      <w:sz w:val="16"/>
    </w:rPr>
  </w:style>
  <w:style w:type="character" w:customStyle="1" w:styleId="BodyTextChar">
    <w:name w:val="Body Text Char"/>
    <w:link w:val="BodyText"/>
    <w:rsid w:val="00125827"/>
    <w:rPr>
      <w:rFonts w:ascii="Arial" w:hAnsi="Arial"/>
    </w:rPr>
  </w:style>
  <w:style w:type="character" w:customStyle="1" w:styleId="DateChar">
    <w:name w:val="Date Char"/>
    <w:link w:val="Date"/>
    <w:semiHidden/>
    <w:rsid w:val="00125827"/>
    <w:rPr>
      <w:rFonts w:ascii="Arial" w:hAnsi="Arial"/>
      <w:b/>
      <w:sz w:val="22"/>
    </w:rPr>
  </w:style>
  <w:style w:type="paragraph" w:styleId="ListParagraph">
    <w:name w:val="List Paragraph"/>
    <w:aliases w:val="auto_list_(i),List Paragraph1"/>
    <w:basedOn w:val="Normal"/>
    <w:link w:val="ListParagraphChar"/>
    <w:uiPriority w:val="34"/>
    <w:qFormat/>
    <w:rsid w:val="0012582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25827"/>
    <w:rPr>
      <w:rFonts w:ascii="Arial" w:hAnsi="Arial"/>
    </w:rPr>
  </w:style>
  <w:style w:type="paragraph" w:styleId="CommentText">
    <w:name w:val="annotation text"/>
    <w:basedOn w:val="Normal"/>
    <w:link w:val="CommentTextChar"/>
    <w:uiPriority w:val="99"/>
    <w:unhideWhenUsed/>
    <w:rsid w:val="00125827"/>
  </w:style>
  <w:style w:type="character" w:customStyle="1" w:styleId="CommentTextChar">
    <w:name w:val="Comment Text Char"/>
    <w:basedOn w:val="DefaultParagraphFont"/>
    <w:link w:val="CommentText"/>
    <w:uiPriority w:val="99"/>
    <w:rsid w:val="00125827"/>
    <w:rPr>
      <w:rFonts w:ascii="Arial" w:hAnsi="Arial"/>
    </w:rPr>
  </w:style>
  <w:style w:type="character" w:customStyle="1" w:styleId="CommentSubjectChar">
    <w:name w:val="Comment Subject Char"/>
    <w:basedOn w:val="CommentTextChar"/>
    <w:link w:val="CommentSubject"/>
    <w:semiHidden/>
    <w:rsid w:val="00125827"/>
    <w:rPr>
      <w:rFonts w:ascii="Arial" w:hAnsi="Arial"/>
      <w:b/>
      <w:bCs/>
    </w:rPr>
  </w:style>
  <w:style w:type="paragraph" w:styleId="CommentSubject">
    <w:name w:val="annotation subject"/>
    <w:basedOn w:val="CommentText"/>
    <w:next w:val="CommentText"/>
    <w:link w:val="CommentSubjectChar"/>
    <w:semiHidden/>
    <w:unhideWhenUsed/>
    <w:rsid w:val="00125827"/>
    <w:rPr>
      <w:b/>
      <w:bCs/>
    </w:rPr>
  </w:style>
  <w:style w:type="character" w:customStyle="1" w:styleId="CommentSubjectChar1">
    <w:name w:val="Comment Subject Char1"/>
    <w:basedOn w:val="CommentTextChar"/>
    <w:semiHidden/>
    <w:rsid w:val="00125827"/>
    <w:rPr>
      <w:rFonts w:ascii="Arial" w:hAnsi="Arial"/>
      <w:b/>
      <w:bCs/>
    </w:rPr>
  </w:style>
  <w:style w:type="character" w:styleId="Strong">
    <w:name w:val="Strong"/>
    <w:uiPriority w:val="22"/>
    <w:qFormat/>
    <w:rsid w:val="00125827"/>
    <w:rPr>
      <w:b/>
      <w:bCs/>
    </w:rPr>
  </w:style>
  <w:style w:type="paragraph" w:styleId="NormalWeb">
    <w:name w:val="Normal (Web)"/>
    <w:basedOn w:val="Normal"/>
    <w:uiPriority w:val="99"/>
    <w:unhideWhenUsed/>
    <w:rsid w:val="00125827"/>
    <w:pPr>
      <w:spacing w:before="100" w:beforeAutospacing="1" w:after="100" w:afterAutospacing="1"/>
      <w:jc w:val="left"/>
    </w:pPr>
    <w:rPr>
      <w:rFonts w:ascii="SimSun" w:eastAsia="SimSun" w:hAnsi="SimSun" w:cs="SimSun"/>
      <w:sz w:val="24"/>
      <w:szCs w:val="24"/>
    </w:rPr>
  </w:style>
  <w:style w:type="paragraph" w:customStyle="1" w:styleId="reader-word-layer">
    <w:name w:val="reader-word-layer"/>
    <w:basedOn w:val="Normal"/>
    <w:rsid w:val="00125827"/>
    <w:pPr>
      <w:spacing w:before="100" w:beforeAutospacing="1" w:after="100" w:afterAutospacing="1"/>
      <w:jc w:val="left"/>
    </w:pPr>
    <w:rPr>
      <w:rFonts w:ascii="SimSun" w:eastAsia="SimSun" w:hAnsi="SimSun" w:cs="SimSun"/>
      <w:sz w:val="24"/>
      <w:szCs w:val="24"/>
    </w:rPr>
  </w:style>
  <w:style w:type="character" w:customStyle="1" w:styleId="HTMLPreformattedChar">
    <w:name w:val="HTML Preformatted Char"/>
    <w:basedOn w:val="DefaultParagraphFont"/>
    <w:link w:val="HTMLPreformatted"/>
    <w:uiPriority w:val="99"/>
    <w:semiHidden/>
    <w:rsid w:val="00125827"/>
    <w:rPr>
      <w:rFonts w:ascii="SimSun" w:eastAsia="SimSun" w:hAnsi="SimSun" w:cs="SimSun"/>
      <w:sz w:val="24"/>
      <w:szCs w:val="24"/>
    </w:rPr>
  </w:style>
  <w:style w:type="paragraph" w:styleId="HTMLPreformatted">
    <w:name w:val="HTML Preformatted"/>
    <w:basedOn w:val="Normal"/>
    <w:link w:val="HTMLPreformattedChar"/>
    <w:uiPriority w:val="99"/>
    <w:semiHidden/>
    <w:unhideWhenUsed/>
    <w:rsid w:val="00125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rPr>
  </w:style>
  <w:style w:type="character" w:customStyle="1" w:styleId="HTMLPreformattedChar1">
    <w:name w:val="HTML Preformatted Char1"/>
    <w:basedOn w:val="DefaultParagraphFont"/>
    <w:semiHidden/>
    <w:rsid w:val="00125827"/>
    <w:rPr>
      <w:rFonts w:ascii="Consolas" w:hAnsi="Consolas"/>
    </w:rPr>
  </w:style>
  <w:style w:type="character" w:customStyle="1" w:styleId="apple-converted-space">
    <w:name w:val="apple-converted-space"/>
    <w:rsid w:val="00125827"/>
    <w:rPr>
      <w:rFonts w:ascii="Times New Roman" w:hAnsi="Times New Roman"/>
    </w:rPr>
  </w:style>
  <w:style w:type="character" w:customStyle="1" w:styleId="Bodytext9">
    <w:name w:val="Body text|9_"/>
    <w:link w:val="Bodytext90"/>
    <w:qFormat/>
    <w:rsid w:val="00125827"/>
    <w:rPr>
      <w:rFonts w:ascii="PMingLiU" w:eastAsia="PMingLiU" w:hAnsi="PMingLiU" w:cs="PMingLiU"/>
      <w:szCs w:val="21"/>
      <w:shd w:val="clear" w:color="auto" w:fill="FFFFFF"/>
    </w:rPr>
  </w:style>
  <w:style w:type="paragraph" w:customStyle="1" w:styleId="Bodytext90">
    <w:name w:val="Body text|9"/>
    <w:basedOn w:val="Normal"/>
    <w:link w:val="Bodytext9"/>
    <w:qFormat/>
    <w:rsid w:val="00125827"/>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125827"/>
    <w:rPr>
      <w:i/>
      <w:iCs/>
    </w:rPr>
  </w:style>
  <w:style w:type="table" w:styleId="TableGrid">
    <w:name w:val="Table Grid"/>
    <w:basedOn w:val="TableNormal"/>
    <w:uiPriority w:val="59"/>
    <w:rsid w:val="001258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125827"/>
    <w:pPr>
      <w:tabs>
        <w:tab w:val="left" w:pos="709"/>
        <w:tab w:val="left" w:pos="1418"/>
      </w:tabs>
    </w:pPr>
  </w:style>
  <w:style w:type="paragraph" w:customStyle="1" w:styleId="Heading4tg">
    <w:name w:val="Heading 4tg"/>
    <w:basedOn w:val="Heading4"/>
    <w:rsid w:val="00125827"/>
    <w:pPr>
      <w:keepLines/>
      <w:tabs>
        <w:tab w:val="left" w:pos="709"/>
      </w:tabs>
      <w:spacing w:after="240"/>
      <w:ind w:left="709" w:hanging="709"/>
    </w:pPr>
    <w:rPr>
      <w:rFonts w:cs="Angsana New"/>
      <w:i/>
      <w:iCs/>
      <w:szCs w:val="24"/>
      <w:u w:val="none"/>
    </w:rPr>
  </w:style>
  <w:style w:type="paragraph" w:customStyle="1" w:styleId="tgchartextcentered">
    <w:name w:val="tg_char_text_centered"/>
    <w:basedOn w:val="Normal"/>
    <w:rsid w:val="00125827"/>
    <w:pPr>
      <w:spacing w:before="80" w:after="80"/>
      <w:jc w:val="center"/>
    </w:pPr>
    <w:rPr>
      <w:b/>
      <w:sz w:val="16"/>
    </w:rPr>
  </w:style>
  <w:style w:type="paragraph" w:customStyle="1" w:styleId="tgchartext">
    <w:name w:val="tg_char_text"/>
    <w:basedOn w:val="Normal"/>
    <w:rsid w:val="00125827"/>
    <w:pPr>
      <w:spacing w:before="80" w:after="80"/>
      <w:jc w:val="left"/>
    </w:pPr>
    <w:rPr>
      <w:sz w:val="16"/>
    </w:rPr>
  </w:style>
  <w:style w:type="paragraph" w:customStyle="1" w:styleId="Normalt">
    <w:name w:val="Normalt"/>
    <w:basedOn w:val="Normal"/>
    <w:link w:val="NormaltChar"/>
    <w:rsid w:val="00125827"/>
    <w:pPr>
      <w:spacing w:before="120" w:after="120"/>
      <w:jc w:val="left"/>
    </w:pPr>
    <w:rPr>
      <w:rFonts w:ascii="Times New Roman" w:hAnsi="Times New Roman" w:cs="Angsana New"/>
      <w:snapToGrid w:val="0"/>
    </w:rPr>
  </w:style>
  <w:style w:type="paragraph" w:customStyle="1" w:styleId="Heading3tg">
    <w:name w:val="Heading 3tg"/>
    <w:basedOn w:val="Heading3"/>
    <w:rsid w:val="00125827"/>
    <w:pPr>
      <w:numPr>
        <w:numId w:val="29"/>
      </w:numPr>
      <w:tabs>
        <w:tab w:val="clear" w:pos="705"/>
      </w:tabs>
      <w:spacing w:after="240"/>
      <w:ind w:left="709" w:hanging="709"/>
    </w:pPr>
    <w:rPr>
      <w:rFonts w:cs="Angsana New"/>
      <w:i w:val="0"/>
      <w:szCs w:val="24"/>
      <w:u w:val="single"/>
    </w:rPr>
  </w:style>
  <w:style w:type="character" w:customStyle="1" w:styleId="NormaltChar">
    <w:name w:val="Normalt Char"/>
    <w:link w:val="Normalt"/>
    <w:locked/>
    <w:rsid w:val="00125827"/>
    <w:rPr>
      <w:rFonts w:ascii="Times New Roman" w:hAnsi="Times New Roman" w:cs="Angsana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6273">
      <w:bodyDiv w:val="1"/>
      <w:marLeft w:val="0"/>
      <w:marRight w:val="0"/>
      <w:marTop w:val="0"/>
      <w:marBottom w:val="0"/>
      <w:divBdr>
        <w:top w:val="none" w:sz="0" w:space="0" w:color="auto"/>
        <w:left w:val="none" w:sz="0" w:space="0" w:color="auto"/>
        <w:bottom w:val="none" w:sz="0" w:space="0" w:color="auto"/>
        <w:right w:val="none" w:sz="0" w:space="0" w:color="auto"/>
      </w:divBdr>
    </w:div>
    <w:div w:id="452865703">
      <w:bodyDiv w:val="1"/>
      <w:marLeft w:val="0"/>
      <w:marRight w:val="0"/>
      <w:marTop w:val="0"/>
      <w:marBottom w:val="0"/>
      <w:divBdr>
        <w:top w:val="none" w:sz="0" w:space="0" w:color="auto"/>
        <w:left w:val="none" w:sz="0" w:space="0" w:color="auto"/>
        <w:bottom w:val="none" w:sz="0" w:space="0" w:color="auto"/>
        <w:right w:val="none" w:sz="0" w:space="0" w:color="auto"/>
      </w:divBdr>
    </w:div>
    <w:div w:id="564952360">
      <w:bodyDiv w:val="1"/>
      <w:marLeft w:val="0"/>
      <w:marRight w:val="0"/>
      <w:marTop w:val="0"/>
      <w:marBottom w:val="0"/>
      <w:divBdr>
        <w:top w:val="none" w:sz="0" w:space="0" w:color="auto"/>
        <w:left w:val="none" w:sz="0" w:space="0" w:color="auto"/>
        <w:bottom w:val="none" w:sz="0" w:space="0" w:color="auto"/>
        <w:right w:val="none" w:sz="0" w:space="0" w:color="auto"/>
      </w:divBdr>
    </w:div>
    <w:div w:id="765468480">
      <w:bodyDiv w:val="1"/>
      <w:marLeft w:val="0"/>
      <w:marRight w:val="0"/>
      <w:marTop w:val="0"/>
      <w:marBottom w:val="0"/>
      <w:divBdr>
        <w:top w:val="none" w:sz="0" w:space="0" w:color="auto"/>
        <w:left w:val="none" w:sz="0" w:space="0" w:color="auto"/>
        <w:bottom w:val="none" w:sz="0" w:space="0" w:color="auto"/>
        <w:right w:val="none" w:sz="0" w:space="0" w:color="auto"/>
      </w:divBdr>
    </w:div>
    <w:div w:id="784495177">
      <w:bodyDiv w:val="1"/>
      <w:marLeft w:val="0"/>
      <w:marRight w:val="0"/>
      <w:marTop w:val="0"/>
      <w:marBottom w:val="0"/>
      <w:divBdr>
        <w:top w:val="none" w:sz="0" w:space="0" w:color="auto"/>
        <w:left w:val="none" w:sz="0" w:space="0" w:color="auto"/>
        <w:bottom w:val="none" w:sz="0" w:space="0" w:color="auto"/>
        <w:right w:val="none" w:sz="0" w:space="0" w:color="auto"/>
      </w:divBdr>
    </w:div>
    <w:div w:id="812522296">
      <w:bodyDiv w:val="1"/>
      <w:marLeft w:val="0"/>
      <w:marRight w:val="0"/>
      <w:marTop w:val="0"/>
      <w:marBottom w:val="0"/>
      <w:divBdr>
        <w:top w:val="none" w:sz="0" w:space="0" w:color="auto"/>
        <w:left w:val="none" w:sz="0" w:space="0" w:color="auto"/>
        <w:bottom w:val="none" w:sz="0" w:space="0" w:color="auto"/>
        <w:right w:val="none" w:sz="0" w:space="0" w:color="auto"/>
      </w:divBdr>
    </w:div>
    <w:div w:id="888762111">
      <w:bodyDiv w:val="1"/>
      <w:marLeft w:val="0"/>
      <w:marRight w:val="0"/>
      <w:marTop w:val="0"/>
      <w:marBottom w:val="0"/>
      <w:divBdr>
        <w:top w:val="none" w:sz="0" w:space="0" w:color="auto"/>
        <w:left w:val="none" w:sz="0" w:space="0" w:color="auto"/>
        <w:bottom w:val="none" w:sz="0" w:space="0" w:color="auto"/>
        <w:right w:val="none" w:sz="0" w:space="0" w:color="auto"/>
      </w:divBdr>
    </w:div>
    <w:div w:id="1057123400">
      <w:bodyDiv w:val="1"/>
      <w:marLeft w:val="0"/>
      <w:marRight w:val="0"/>
      <w:marTop w:val="0"/>
      <w:marBottom w:val="0"/>
      <w:divBdr>
        <w:top w:val="none" w:sz="0" w:space="0" w:color="auto"/>
        <w:left w:val="none" w:sz="0" w:space="0" w:color="auto"/>
        <w:bottom w:val="none" w:sz="0" w:space="0" w:color="auto"/>
        <w:right w:val="none" w:sz="0" w:space="0" w:color="auto"/>
      </w:divBdr>
    </w:div>
    <w:div w:id="1203789135">
      <w:bodyDiv w:val="1"/>
      <w:marLeft w:val="0"/>
      <w:marRight w:val="0"/>
      <w:marTop w:val="0"/>
      <w:marBottom w:val="0"/>
      <w:divBdr>
        <w:top w:val="none" w:sz="0" w:space="0" w:color="auto"/>
        <w:left w:val="none" w:sz="0" w:space="0" w:color="auto"/>
        <w:bottom w:val="none" w:sz="0" w:space="0" w:color="auto"/>
        <w:right w:val="none" w:sz="0" w:space="0" w:color="auto"/>
      </w:divBdr>
    </w:div>
    <w:div w:id="1506479174">
      <w:bodyDiv w:val="1"/>
      <w:marLeft w:val="0"/>
      <w:marRight w:val="0"/>
      <w:marTop w:val="0"/>
      <w:marBottom w:val="0"/>
      <w:divBdr>
        <w:top w:val="none" w:sz="0" w:space="0" w:color="auto"/>
        <w:left w:val="none" w:sz="0" w:space="0" w:color="auto"/>
        <w:bottom w:val="none" w:sz="0" w:space="0" w:color="auto"/>
        <w:right w:val="none" w:sz="0" w:space="0" w:color="auto"/>
      </w:divBdr>
    </w:div>
    <w:div w:id="1640379490">
      <w:bodyDiv w:val="1"/>
      <w:marLeft w:val="0"/>
      <w:marRight w:val="0"/>
      <w:marTop w:val="0"/>
      <w:marBottom w:val="0"/>
      <w:divBdr>
        <w:top w:val="none" w:sz="0" w:space="0" w:color="auto"/>
        <w:left w:val="none" w:sz="0" w:space="0" w:color="auto"/>
        <w:bottom w:val="none" w:sz="0" w:space="0" w:color="auto"/>
        <w:right w:val="none" w:sz="0" w:space="0" w:color="auto"/>
      </w:divBdr>
    </w:div>
    <w:div w:id="1658652408">
      <w:bodyDiv w:val="1"/>
      <w:marLeft w:val="0"/>
      <w:marRight w:val="0"/>
      <w:marTop w:val="0"/>
      <w:marBottom w:val="0"/>
      <w:divBdr>
        <w:top w:val="none" w:sz="0" w:space="0" w:color="auto"/>
        <w:left w:val="none" w:sz="0" w:space="0" w:color="auto"/>
        <w:bottom w:val="none" w:sz="0" w:space="0" w:color="auto"/>
        <w:right w:val="none" w:sz="0" w:space="0" w:color="auto"/>
      </w:divBdr>
    </w:div>
    <w:div w:id="1674912170">
      <w:bodyDiv w:val="1"/>
      <w:marLeft w:val="0"/>
      <w:marRight w:val="0"/>
      <w:marTop w:val="0"/>
      <w:marBottom w:val="0"/>
      <w:divBdr>
        <w:top w:val="none" w:sz="0" w:space="0" w:color="auto"/>
        <w:left w:val="none" w:sz="0" w:space="0" w:color="auto"/>
        <w:bottom w:val="none" w:sz="0" w:space="0" w:color="auto"/>
        <w:right w:val="none" w:sz="0" w:space="0" w:color="auto"/>
      </w:divBdr>
    </w:div>
    <w:div w:id="1761560798">
      <w:bodyDiv w:val="1"/>
      <w:marLeft w:val="0"/>
      <w:marRight w:val="0"/>
      <w:marTop w:val="0"/>
      <w:marBottom w:val="0"/>
      <w:divBdr>
        <w:top w:val="none" w:sz="0" w:space="0" w:color="auto"/>
        <w:left w:val="none" w:sz="0" w:space="0" w:color="auto"/>
        <w:bottom w:val="none" w:sz="0" w:space="0" w:color="auto"/>
        <w:right w:val="none" w:sz="0" w:space="0" w:color="auto"/>
      </w:divBdr>
    </w:div>
    <w:div w:id="1825855593">
      <w:bodyDiv w:val="1"/>
      <w:marLeft w:val="0"/>
      <w:marRight w:val="0"/>
      <w:marTop w:val="0"/>
      <w:marBottom w:val="0"/>
      <w:divBdr>
        <w:top w:val="none" w:sz="0" w:space="0" w:color="auto"/>
        <w:left w:val="none" w:sz="0" w:space="0" w:color="auto"/>
        <w:bottom w:val="none" w:sz="0" w:space="0" w:color="auto"/>
        <w:right w:val="none" w:sz="0" w:space="0" w:color="auto"/>
      </w:divBdr>
    </w:div>
    <w:div w:id="1884513021">
      <w:bodyDiv w:val="1"/>
      <w:marLeft w:val="0"/>
      <w:marRight w:val="0"/>
      <w:marTop w:val="0"/>
      <w:marBottom w:val="0"/>
      <w:divBdr>
        <w:top w:val="none" w:sz="0" w:space="0" w:color="auto"/>
        <w:left w:val="none" w:sz="0" w:space="0" w:color="auto"/>
        <w:bottom w:val="none" w:sz="0" w:space="0" w:color="auto"/>
        <w:right w:val="none" w:sz="0" w:space="0" w:color="auto"/>
      </w:divBdr>
    </w:div>
    <w:div w:id="212599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png"/><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13.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upov.int/upov_collection/de"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E6AC-5278-465D-BB8E-7B534943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7566</Words>
  <Characters>53191</Characters>
  <Application>Microsoft Office Word</Application>
  <DocSecurity>0</DocSecurity>
  <Lines>6648</Lines>
  <Paragraphs>3797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TC/58</vt:lpstr>
      <vt:lpstr>TC/58</vt:lpstr>
    </vt:vector>
  </TitlesOfParts>
  <Company>UPOV</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7</cp:revision>
  <cp:lastPrinted>2016-11-22T15:41:00Z</cp:lastPrinted>
  <dcterms:created xsi:type="dcterms:W3CDTF">2022-10-18T14:59:00Z</dcterms:created>
  <dcterms:modified xsi:type="dcterms:W3CDTF">2022-10-25T11:51:00Z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15ec615a-17b9-443a-83f4-a736ed6d9d0f</vt:lpwstr>
  </property>
</Properties>
</file>