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71CB2" w:rsidRPr="00171CB2" w14:paraId="555E777F" w14:textId="77777777" w:rsidTr="002946D2">
        <w:tc>
          <w:tcPr>
            <w:tcW w:w="6522" w:type="dxa"/>
          </w:tcPr>
          <w:p w14:paraId="3CD8B9FD" w14:textId="77777777" w:rsidR="00171CB2" w:rsidRPr="00171CB2" w:rsidRDefault="00171CB2" w:rsidP="002946D2">
            <w:pPr>
              <w:rPr>
                <w:lang w:val="de-DE"/>
              </w:rPr>
            </w:pPr>
            <w:r w:rsidRPr="00171CB2">
              <w:rPr>
                <w:noProof/>
              </w:rPr>
              <w:drawing>
                <wp:inline distT="0" distB="0" distL="0" distR="0" wp14:anchorId="41E2CE11" wp14:editId="3508403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164069C" w14:textId="77777777" w:rsidR="00171CB2" w:rsidRPr="00171CB2" w:rsidRDefault="00171CB2" w:rsidP="002946D2">
            <w:pPr>
              <w:pStyle w:val="Lettrine"/>
              <w:spacing w:line="240" w:lineRule="auto"/>
              <w:rPr>
                <w:lang w:val="de-DE"/>
              </w:rPr>
            </w:pPr>
            <w:r w:rsidRPr="00171CB2">
              <w:rPr>
                <w:lang w:val="de-DE"/>
              </w:rPr>
              <w:t>G</w:t>
            </w:r>
          </w:p>
        </w:tc>
      </w:tr>
      <w:tr w:rsidR="00171CB2" w:rsidRPr="008D7685" w14:paraId="1E4346B7" w14:textId="77777777" w:rsidTr="002946D2">
        <w:trPr>
          <w:trHeight w:val="219"/>
        </w:trPr>
        <w:tc>
          <w:tcPr>
            <w:tcW w:w="6522" w:type="dxa"/>
          </w:tcPr>
          <w:p w14:paraId="241B2166" w14:textId="77777777" w:rsidR="00171CB2" w:rsidRPr="00171CB2" w:rsidRDefault="00171CB2" w:rsidP="002946D2">
            <w:pPr>
              <w:pStyle w:val="upove"/>
              <w:rPr>
                <w:lang w:val="de-DE"/>
              </w:rPr>
            </w:pPr>
            <w:r w:rsidRPr="00171CB2">
              <w:rPr>
                <w:lang w:val="de-DE"/>
              </w:rPr>
              <w:t>Internationaler Verband zum Schutz von Pflanzenzüchtungen</w:t>
            </w:r>
          </w:p>
        </w:tc>
        <w:tc>
          <w:tcPr>
            <w:tcW w:w="3117" w:type="dxa"/>
          </w:tcPr>
          <w:p w14:paraId="3FDD0CDD" w14:textId="77777777" w:rsidR="00171CB2" w:rsidRPr="00171CB2" w:rsidRDefault="00171CB2" w:rsidP="002946D2">
            <w:pPr>
              <w:rPr>
                <w:lang w:val="de-DE"/>
              </w:rPr>
            </w:pPr>
          </w:p>
        </w:tc>
      </w:tr>
    </w:tbl>
    <w:p w14:paraId="15FC9873" w14:textId="77777777" w:rsidR="00171CB2" w:rsidRPr="00171CB2" w:rsidRDefault="00171CB2" w:rsidP="00171CB2">
      <w:pPr>
        <w:rPr>
          <w:lang w:val="de-DE"/>
        </w:rPr>
      </w:pPr>
    </w:p>
    <w:p w14:paraId="16712F93" w14:textId="77777777" w:rsidR="00171CB2" w:rsidRPr="00171CB2" w:rsidRDefault="00171CB2" w:rsidP="00171CB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71CB2" w:rsidRPr="008D7685" w14:paraId="3513E780" w14:textId="77777777" w:rsidTr="002946D2">
        <w:tc>
          <w:tcPr>
            <w:tcW w:w="6512" w:type="dxa"/>
          </w:tcPr>
          <w:p w14:paraId="0F3ACBEF" w14:textId="77777777" w:rsidR="00171CB2" w:rsidRPr="00171CB2" w:rsidRDefault="00171CB2" w:rsidP="002946D2">
            <w:pPr>
              <w:pStyle w:val="Sessiontc"/>
              <w:spacing w:line="240" w:lineRule="auto"/>
              <w:rPr>
                <w:lang w:val="de-DE"/>
              </w:rPr>
            </w:pPr>
            <w:r w:rsidRPr="00171CB2">
              <w:rPr>
                <w:lang w:val="de-DE"/>
              </w:rPr>
              <w:t>Technischer Ausschuss</w:t>
            </w:r>
          </w:p>
          <w:p w14:paraId="5DAE45C5" w14:textId="77777777" w:rsidR="00171CB2" w:rsidRPr="00171CB2" w:rsidRDefault="00171CB2" w:rsidP="002946D2">
            <w:pPr>
              <w:pStyle w:val="Sessiontcplacedate"/>
              <w:rPr>
                <w:lang w:val="de-DE"/>
              </w:rPr>
            </w:pPr>
            <w:r w:rsidRPr="00171CB2">
              <w:rPr>
                <w:lang w:val="de-DE"/>
              </w:rPr>
              <w:t>Achtundfünfzigste Tagung</w:t>
            </w:r>
          </w:p>
          <w:p w14:paraId="01B78E62" w14:textId="77777777" w:rsidR="00171CB2" w:rsidRPr="00171CB2" w:rsidRDefault="00171CB2" w:rsidP="002946D2">
            <w:pPr>
              <w:pStyle w:val="Sessiontcplacedate"/>
              <w:rPr>
                <w:lang w:val="de-DE"/>
              </w:rPr>
            </w:pPr>
            <w:r w:rsidRPr="00171CB2">
              <w:rPr>
                <w:lang w:val="de-DE"/>
              </w:rPr>
              <w:t>Genf, 24. und 25. Oktober 2022</w:t>
            </w:r>
          </w:p>
        </w:tc>
        <w:tc>
          <w:tcPr>
            <w:tcW w:w="3127" w:type="dxa"/>
          </w:tcPr>
          <w:p w14:paraId="79DDE3B8" w14:textId="77777777" w:rsidR="00171CB2" w:rsidRPr="00171CB2" w:rsidRDefault="00171CB2" w:rsidP="002946D2">
            <w:pPr>
              <w:pStyle w:val="Doccode"/>
              <w:rPr>
                <w:lang w:val="de-DE"/>
              </w:rPr>
            </w:pPr>
            <w:r w:rsidRPr="00171CB2">
              <w:rPr>
                <w:lang w:val="de-DE"/>
              </w:rPr>
              <w:t>TC/58/4</w:t>
            </w:r>
          </w:p>
          <w:p w14:paraId="50760ACC" w14:textId="77777777" w:rsidR="00171CB2" w:rsidRPr="00171CB2" w:rsidRDefault="00171CB2" w:rsidP="002946D2">
            <w:pPr>
              <w:pStyle w:val="Docoriginal"/>
              <w:spacing w:line="240" w:lineRule="auto"/>
              <w:rPr>
                <w:lang w:val="de-DE"/>
              </w:rPr>
            </w:pPr>
            <w:r w:rsidRPr="00171CB2">
              <w:rPr>
                <w:lang w:val="de-DE"/>
              </w:rPr>
              <w:t>Original:</w:t>
            </w:r>
            <w:r w:rsidRPr="00171CB2">
              <w:rPr>
                <w:b w:val="0"/>
                <w:spacing w:val="0"/>
                <w:lang w:val="de-DE"/>
              </w:rPr>
              <w:t xml:space="preserve"> englisch</w:t>
            </w:r>
          </w:p>
          <w:p w14:paraId="5B8915BD" w14:textId="0F3B807D" w:rsidR="00171CB2" w:rsidRPr="00171CB2" w:rsidRDefault="00171CB2" w:rsidP="00E44F7A">
            <w:pPr>
              <w:pStyle w:val="Docoriginal"/>
              <w:spacing w:line="240" w:lineRule="auto"/>
              <w:rPr>
                <w:lang w:val="de-DE"/>
              </w:rPr>
            </w:pPr>
            <w:r w:rsidRPr="00171CB2">
              <w:rPr>
                <w:lang w:val="de-DE"/>
              </w:rPr>
              <w:t xml:space="preserve">Datum: </w:t>
            </w:r>
            <w:r w:rsidR="00E44F7A" w:rsidRPr="008128FC">
              <w:rPr>
                <w:b w:val="0"/>
                <w:bCs w:val="0"/>
                <w:lang w:val="de-DE"/>
              </w:rPr>
              <w:t>19</w:t>
            </w:r>
            <w:r w:rsidRPr="008128FC">
              <w:rPr>
                <w:b w:val="0"/>
                <w:bCs w:val="0"/>
                <w:lang w:val="de-DE"/>
              </w:rPr>
              <w:t xml:space="preserve">. </w:t>
            </w:r>
            <w:r w:rsidRPr="008128FC">
              <w:rPr>
                <w:b w:val="0"/>
                <w:bCs w:val="0"/>
                <w:spacing w:val="0"/>
                <w:lang w:val="de-DE"/>
              </w:rPr>
              <w:t>Juli 2022</w:t>
            </w:r>
          </w:p>
        </w:tc>
      </w:tr>
    </w:tbl>
    <w:p w14:paraId="57A4EC4B" w14:textId="77777777" w:rsidR="00171CB2" w:rsidRPr="00171CB2" w:rsidRDefault="00171CB2" w:rsidP="00171CB2">
      <w:pPr>
        <w:pStyle w:val="Titleofdoc0"/>
        <w:jc w:val="both"/>
        <w:rPr>
          <w:lang w:val="de-DE"/>
        </w:rPr>
      </w:pPr>
      <w:r w:rsidRPr="00171CB2">
        <w:rPr>
          <w:lang w:val="de-DE"/>
        </w:rPr>
        <w:t>Ausarbeitung von Anleitung und Informationsmaterial – Angelegenheiten zur Annahme durch den Rat im Jahr 2022</w:t>
      </w:r>
    </w:p>
    <w:p w14:paraId="6D09EE6E" w14:textId="77777777" w:rsidR="00171CB2" w:rsidRPr="00171CB2" w:rsidRDefault="00171CB2" w:rsidP="00171CB2">
      <w:pPr>
        <w:pStyle w:val="preparedby1"/>
        <w:jc w:val="left"/>
        <w:rPr>
          <w:lang w:val="de-DE"/>
        </w:rPr>
      </w:pPr>
      <w:r w:rsidRPr="00171CB2">
        <w:rPr>
          <w:lang w:val="de-DE"/>
        </w:rPr>
        <w:t>vom Verbandsbüro erstelltes Dokument</w:t>
      </w:r>
    </w:p>
    <w:p w14:paraId="310CF576" w14:textId="77777777" w:rsidR="00171CB2" w:rsidRPr="00171CB2" w:rsidRDefault="00171CB2" w:rsidP="00171CB2">
      <w:pPr>
        <w:pStyle w:val="Disclaimer"/>
        <w:rPr>
          <w:lang w:val="de-DE"/>
        </w:rPr>
      </w:pPr>
      <w:r w:rsidRPr="00171CB2">
        <w:rPr>
          <w:lang w:val="de-DE"/>
        </w:rPr>
        <w:t>Haftungsausschluss: dieses Dokument gibt nicht die Grundsätze oder eine Anleitung der UPOV wieder</w:t>
      </w:r>
    </w:p>
    <w:p w14:paraId="59318150" w14:textId="77777777" w:rsidR="00171CB2" w:rsidRPr="00171CB2" w:rsidRDefault="00171CB2" w:rsidP="00171CB2">
      <w:pPr>
        <w:pStyle w:val="Heading1"/>
        <w:rPr>
          <w:lang w:val="de-DE"/>
        </w:rPr>
      </w:pPr>
      <w:bookmarkStart w:id="0" w:name="_Toc478467900"/>
      <w:bookmarkStart w:id="1" w:name="_Toc523917704"/>
      <w:bookmarkStart w:id="2" w:name="_Toc111463642"/>
      <w:r w:rsidRPr="00171CB2">
        <w:rPr>
          <w:lang w:val="de-DE"/>
        </w:rPr>
        <w:t>ZUSAMMENFASSUNG</w:t>
      </w:r>
      <w:bookmarkEnd w:id="0"/>
      <w:bookmarkEnd w:id="1"/>
      <w:bookmarkEnd w:id="2"/>
    </w:p>
    <w:p w14:paraId="5B3AC4E9" w14:textId="77777777" w:rsidR="00171CB2" w:rsidRPr="00171CB2" w:rsidRDefault="00171CB2" w:rsidP="00171CB2">
      <w:pPr>
        <w:rPr>
          <w:snapToGrid w:val="0"/>
          <w:sz w:val="18"/>
          <w:lang w:val="de-DE"/>
        </w:rPr>
      </w:pPr>
    </w:p>
    <w:p w14:paraId="78A0F93B" w14:textId="77777777" w:rsidR="00171CB2" w:rsidRPr="00171CB2" w:rsidRDefault="00171CB2" w:rsidP="00171CB2">
      <w:pPr>
        <w:rPr>
          <w:snapToGrid w:val="0"/>
          <w:lang w:val="de-DE"/>
        </w:rPr>
      </w:pPr>
      <w:r w:rsidRPr="00171CB2">
        <w:rPr>
          <w:snapToGrid w:val="0"/>
          <w:lang w:val="de-DE"/>
        </w:rPr>
        <w:fldChar w:fldCharType="begin"/>
      </w:r>
      <w:r w:rsidRPr="00171CB2">
        <w:rPr>
          <w:snapToGrid w:val="0"/>
          <w:lang w:val="de-DE"/>
        </w:rPr>
        <w:instrText xml:space="preserve"> AUTONUM  </w:instrText>
      </w:r>
      <w:r w:rsidRPr="00171CB2">
        <w:rPr>
          <w:snapToGrid w:val="0"/>
          <w:lang w:val="de-DE"/>
        </w:rPr>
        <w:fldChar w:fldCharType="end"/>
      </w:r>
      <w:r w:rsidRPr="00171CB2">
        <w:rPr>
          <w:snapToGrid w:val="0"/>
          <w:lang w:val="de-DE"/>
        </w:rPr>
        <w:tab/>
        <w:t>Zweck des vorliegenden Dokuments ist es, über die Entwicklungen betreffend die Annahme von Anleitung und Informationsmaterial zu berichten und den TC zu ersuchen, die einschlägigen Dokumente zu prüfen, die dem Rat im Jahr 2021 vorbehaltlich der Zustimmung des CAJ zur Annahme vorgelegt werden sollen</w:t>
      </w:r>
      <w:r w:rsidRPr="00171CB2">
        <w:rPr>
          <w:lang w:val="de-DE"/>
        </w:rPr>
        <w:t>.</w:t>
      </w:r>
    </w:p>
    <w:p w14:paraId="52863D6D" w14:textId="77777777" w:rsidR="00171CB2" w:rsidRPr="00171CB2" w:rsidRDefault="00171CB2" w:rsidP="00171CB2">
      <w:pPr>
        <w:rPr>
          <w:lang w:val="de-DE"/>
        </w:rPr>
      </w:pPr>
    </w:p>
    <w:p w14:paraId="02EF5525"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Der TC wird ersucht:</w:t>
      </w:r>
    </w:p>
    <w:p w14:paraId="32A2180D" w14:textId="77777777" w:rsidR="00171CB2" w:rsidRPr="00171CB2" w:rsidRDefault="00171CB2" w:rsidP="00171CB2">
      <w:pPr>
        <w:rPr>
          <w:lang w:val="de-DE"/>
        </w:rPr>
      </w:pPr>
    </w:p>
    <w:p w14:paraId="0F8179A1" w14:textId="77777777" w:rsidR="00171CB2" w:rsidRPr="00171CB2" w:rsidRDefault="00171CB2" w:rsidP="00171CB2">
      <w:pPr>
        <w:pStyle w:val="DecisionParagraphs"/>
        <w:keepNext/>
        <w:keepLines/>
        <w:numPr>
          <w:ilvl w:val="0"/>
          <w:numId w:val="7"/>
        </w:numPr>
        <w:tabs>
          <w:tab w:val="left" w:pos="567"/>
          <w:tab w:val="left" w:pos="1134"/>
        </w:tabs>
        <w:ind w:left="0" w:firstLine="567"/>
        <w:rPr>
          <w:i w:val="0"/>
          <w:lang w:val="de-DE"/>
        </w:rPr>
      </w:pPr>
      <w:r w:rsidRPr="00171CB2">
        <w:rPr>
          <w:i w:val="0"/>
          <w:lang w:val="de-DE"/>
        </w:rPr>
        <w:t xml:space="preserve">die vorgeschlagene Überarbeitung von Dokument UPOV/INF/16 „Austauschbare Software“ auf der Grundlage von Dokument UPOV/INF/16/11 </w:t>
      </w:r>
      <w:proofErr w:type="spellStart"/>
      <w:r w:rsidRPr="00171CB2">
        <w:rPr>
          <w:i w:val="0"/>
          <w:lang w:val="de-DE"/>
        </w:rPr>
        <w:t>Draft</w:t>
      </w:r>
      <w:proofErr w:type="spellEnd"/>
      <w:r w:rsidRPr="00171CB2">
        <w:rPr>
          <w:i w:val="0"/>
          <w:lang w:val="de-DE"/>
        </w:rPr>
        <w:t xml:space="preserve"> 1 und der Empfehlungen der TWM auf ihrer ersten Tagung zu prüfen; </w:t>
      </w:r>
    </w:p>
    <w:p w14:paraId="7523C3DE" w14:textId="77777777" w:rsidR="00171CB2" w:rsidRPr="00171CB2" w:rsidRDefault="00171CB2" w:rsidP="00171CB2">
      <w:pPr>
        <w:pStyle w:val="DecisionParagraphs"/>
        <w:tabs>
          <w:tab w:val="left" w:pos="567"/>
          <w:tab w:val="left" w:pos="1134"/>
        </w:tabs>
        <w:ind w:left="0" w:firstLine="567"/>
        <w:rPr>
          <w:i w:val="0"/>
          <w:lang w:val="de-DE"/>
        </w:rPr>
      </w:pPr>
    </w:p>
    <w:p w14:paraId="781E0632" w14:textId="77777777" w:rsidR="00171CB2" w:rsidRPr="00171CB2" w:rsidRDefault="00171CB2" w:rsidP="00171CB2">
      <w:pPr>
        <w:pStyle w:val="ListParagraph"/>
        <w:numPr>
          <w:ilvl w:val="0"/>
          <w:numId w:val="7"/>
        </w:numPr>
        <w:tabs>
          <w:tab w:val="left" w:pos="567"/>
          <w:tab w:val="left" w:pos="1134"/>
        </w:tabs>
        <w:ind w:left="0" w:firstLine="567"/>
        <w:rPr>
          <w:lang w:val="de-DE"/>
        </w:rPr>
      </w:pPr>
      <w:r w:rsidRPr="00171CB2">
        <w:rPr>
          <w:lang w:val="de-DE"/>
        </w:rPr>
        <w:t>zur Kenntnis zu nehmen, dass dem Rat im Jahr 2022 vorbehaltlich der Zustimmung des CAJ ein vereinbarter Entwurf des Dokuments UPOV/INF/16 zur Annahme vorgelegt werden wird;</w:t>
      </w:r>
    </w:p>
    <w:p w14:paraId="32E09165" w14:textId="77777777" w:rsidR="00171CB2" w:rsidRPr="00171CB2" w:rsidRDefault="00171CB2" w:rsidP="00171CB2">
      <w:pPr>
        <w:tabs>
          <w:tab w:val="left" w:pos="567"/>
          <w:tab w:val="left" w:pos="1134"/>
        </w:tabs>
        <w:ind w:firstLine="567"/>
        <w:rPr>
          <w:lang w:val="de-DE"/>
        </w:rPr>
      </w:pPr>
    </w:p>
    <w:p w14:paraId="6C369273" w14:textId="77777777" w:rsidR="00171CB2" w:rsidRPr="00171CB2" w:rsidRDefault="00171CB2" w:rsidP="00171CB2">
      <w:pPr>
        <w:pStyle w:val="DecisionParagraphs"/>
        <w:numPr>
          <w:ilvl w:val="0"/>
          <w:numId w:val="7"/>
        </w:numPr>
        <w:tabs>
          <w:tab w:val="left" w:pos="567"/>
          <w:tab w:val="left" w:pos="1134"/>
        </w:tabs>
        <w:ind w:left="0" w:firstLine="567"/>
        <w:rPr>
          <w:i w:val="0"/>
          <w:lang w:val="de-DE"/>
        </w:rPr>
      </w:pPr>
      <w:r w:rsidRPr="00171CB2">
        <w:rPr>
          <w:i w:val="0"/>
          <w:lang w:val="de-DE"/>
        </w:rPr>
        <w:t xml:space="preserve">die vorgeschlagene Überarbeitung von Dokument UPOV/INF/22 „Von Verbandsmitgliedern verwendete Software und Ausrüstung“ auf der Grundlage von Dokument UPOV/INF/22/9 </w:t>
      </w:r>
      <w:proofErr w:type="spellStart"/>
      <w:r w:rsidRPr="00171CB2">
        <w:rPr>
          <w:i w:val="0"/>
          <w:lang w:val="de-DE"/>
        </w:rPr>
        <w:t>Draft</w:t>
      </w:r>
      <w:proofErr w:type="spellEnd"/>
      <w:r w:rsidRPr="00171CB2">
        <w:rPr>
          <w:i w:val="0"/>
          <w:lang w:val="de-DE"/>
        </w:rPr>
        <w:t xml:space="preserve"> 1 zu prüfen; </w:t>
      </w:r>
    </w:p>
    <w:p w14:paraId="049D3FEA" w14:textId="77777777" w:rsidR="00171CB2" w:rsidRPr="00171CB2" w:rsidRDefault="00171CB2" w:rsidP="00171CB2">
      <w:pPr>
        <w:pStyle w:val="DecisionParagraphs"/>
        <w:tabs>
          <w:tab w:val="left" w:pos="567"/>
          <w:tab w:val="left" w:pos="1134"/>
        </w:tabs>
        <w:ind w:left="0" w:firstLine="567"/>
        <w:rPr>
          <w:i w:val="0"/>
          <w:lang w:val="de-DE"/>
        </w:rPr>
      </w:pPr>
    </w:p>
    <w:p w14:paraId="1FA9AA7C" w14:textId="77777777" w:rsidR="00171CB2" w:rsidRPr="00171CB2" w:rsidRDefault="00171CB2" w:rsidP="00171CB2">
      <w:pPr>
        <w:pStyle w:val="DecisionParagraphs"/>
        <w:numPr>
          <w:ilvl w:val="0"/>
          <w:numId w:val="7"/>
        </w:numPr>
        <w:tabs>
          <w:tab w:val="left" w:pos="567"/>
          <w:tab w:val="left" w:pos="1134"/>
        </w:tabs>
        <w:ind w:left="0" w:firstLine="567"/>
        <w:rPr>
          <w:i w:val="0"/>
          <w:lang w:val="de-DE"/>
        </w:rPr>
      </w:pPr>
      <w:r w:rsidRPr="00171CB2">
        <w:rPr>
          <w:i w:val="0"/>
          <w:lang w:val="de-DE"/>
        </w:rPr>
        <w:t>zur Kenntnis zu nehmen, dass dem Rat im Jahr 2022 vorbehaltlich der Zustimmung des CAJ ein vereinbarter Entwurf des Dokuments UPOV/INF/22 zur Annahme vorgelegt werden wird;</w:t>
      </w:r>
    </w:p>
    <w:p w14:paraId="4AFE0C8C" w14:textId="77777777" w:rsidR="00171CB2" w:rsidRPr="00171CB2" w:rsidRDefault="00171CB2" w:rsidP="00171CB2">
      <w:pPr>
        <w:tabs>
          <w:tab w:val="left" w:pos="567"/>
          <w:tab w:val="left" w:pos="1134"/>
        </w:tabs>
        <w:ind w:firstLine="567"/>
        <w:rPr>
          <w:lang w:val="de-DE"/>
        </w:rPr>
      </w:pPr>
    </w:p>
    <w:p w14:paraId="0F3424DD" w14:textId="77777777" w:rsidR="00171CB2" w:rsidRPr="00171CB2" w:rsidRDefault="00171CB2" w:rsidP="00171CB2">
      <w:pPr>
        <w:pStyle w:val="ListParagraph"/>
        <w:numPr>
          <w:ilvl w:val="0"/>
          <w:numId w:val="7"/>
        </w:numPr>
        <w:tabs>
          <w:tab w:val="left" w:pos="567"/>
          <w:tab w:val="left" w:pos="1134"/>
        </w:tabs>
        <w:ind w:left="0" w:firstLine="567"/>
        <w:rPr>
          <w:lang w:val="de-DE"/>
        </w:rPr>
      </w:pPr>
      <w:r w:rsidRPr="00171CB2">
        <w:rPr>
          <w:lang w:val="de-DE"/>
        </w:rPr>
        <w:t>zur Kenntnis zu nehmen, dass dem Rat im Jahr 2022 vorbehaltlich der Zustimmung des CAJ die vorgeschlagene Überarbeitung von Dokument UPOV/EXN/DEN/1 zur Annahme vorgelegt werden wird;</w:t>
      </w:r>
    </w:p>
    <w:p w14:paraId="5E76E922" w14:textId="77777777" w:rsidR="00171CB2" w:rsidRPr="00171CB2" w:rsidRDefault="00171CB2" w:rsidP="00171CB2">
      <w:pPr>
        <w:tabs>
          <w:tab w:val="left" w:pos="567"/>
          <w:tab w:val="left" w:pos="1134"/>
        </w:tabs>
        <w:ind w:firstLine="567"/>
        <w:rPr>
          <w:lang w:val="de-DE"/>
        </w:rPr>
      </w:pPr>
    </w:p>
    <w:p w14:paraId="12DA95B2" w14:textId="77777777" w:rsidR="00171CB2" w:rsidRPr="00171CB2" w:rsidRDefault="00171CB2" w:rsidP="00171CB2">
      <w:pPr>
        <w:pStyle w:val="DecisionParagraphs"/>
        <w:numPr>
          <w:ilvl w:val="0"/>
          <w:numId w:val="7"/>
        </w:numPr>
        <w:tabs>
          <w:tab w:val="left" w:pos="567"/>
          <w:tab w:val="left" w:pos="1134"/>
        </w:tabs>
        <w:ind w:left="0" w:firstLine="567"/>
        <w:rPr>
          <w:i w:val="0"/>
          <w:lang w:val="de-DE"/>
        </w:rPr>
      </w:pPr>
      <w:r w:rsidRPr="00171CB2">
        <w:rPr>
          <w:i w:val="0"/>
          <w:lang w:val="de-DE"/>
        </w:rPr>
        <w:t>zur Kenntnis zu nehmen, dass dem Rat im Jahr 2022 vorbehaltlich der Zustimmung des CAJ ein vereinbarter Entwurf des Dokuments TGP/5: Abschnitt 6 zur Annahme vorgelegt werden wird;</w:t>
      </w:r>
    </w:p>
    <w:p w14:paraId="66AD870F" w14:textId="77777777" w:rsidR="00171CB2" w:rsidRPr="00171CB2" w:rsidRDefault="00171CB2" w:rsidP="00171CB2">
      <w:pPr>
        <w:pStyle w:val="DecisionParagraphs"/>
        <w:tabs>
          <w:tab w:val="left" w:pos="567"/>
          <w:tab w:val="left" w:pos="1134"/>
        </w:tabs>
        <w:ind w:left="0" w:firstLine="567"/>
        <w:rPr>
          <w:i w:val="0"/>
          <w:lang w:val="de-DE"/>
        </w:rPr>
      </w:pPr>
    </w:p>
    <w:p w14:paraId="2A232989" w14:textId="77777777" w:rsidR="00171CB2" w:rsidRPr="00171CB2" w:rsidRDefault="00171CB2" w:rsidP="00171CB2">
      <w:pPr>
        <w:pStyle w:val="DecisionParagraphs"/>
        <w:numPr>
          <w:ilvl w:val="0"/>
          <w:numId w:val="7"/>
        </w:numPr>
        <w:tabs>
          <w:tab w:val="left" w:pos="567"/>
          <w:tab w:val="left" w:pos="1134"/>
        </w:tabs>
        <w:ind w:left="0" w:firstLine="567"/>
        <w:rPr>
          <w:i w:val="0"/>
          <w:lang w:val="de-DE"/>
        </w:rPr>
      </w:pPr>
      <w:r w:rsidRPr="00171CB2">
        <w:rPr>
          <w:i w:val="0"/>
          <w:lang w:val="de-DE"/>
        </w:rPr>
        <w:t>zur Kenntnis zu nehmen, dass dem Rat im Jahr 2022 vorbehaltlich der Zustimmung des CAJ die vorgeschlagene Überarbeitung von Dokument TGP/8/4 zur Annahme vorgelegt werden wird; und</w:t>
      </w:r>
    </w:p>
    <w:p w14:paraId="21FD3381" w14:textId="77777777" w:rsidR="00171CB2" w:rsidRPr="00171CB2" w:rsidRDefault="00171CB2" w:rsidP="00171CB2">
      <w:pPr>
        <w:tabs>
          <w:tab w:val="left" w:pos="567"/>
          <w:tab w:val="left" w:pos="1134"/>
        </w:tabs>
        <w:ind w:firstLine="567"/>
        <w:rPr>
          <w:lang w:val="de-DE"/>
        </w:rPr>
      </w:pPr>
    </w:p>
    <w:p w14:paraId="09ADA153" w14:textId="77777777" w:rsidR="00171CB2" w:rsidRPr="00171CB2" w:rsidRDefault="00171CB2" w:rsidP="00171CB2">
      <w:pPr>
        <w:pStyle w:val="DecisionParagraphs"/>
        <w:keepNext/>
        <w:keepLines/>
        <w:numPr>
          <w:ilvl w:val="0"/>
          <w:numId w:val="7"/>
        </w:numPr>
        <w:tabs>
          <w:tab w:val="left" w:pos="567"/>
          <w:tab w:val="left" w:pos="1134"/>
        </w:tabs>
        <w:ind w:left="0" w:firstLine="567"/>
        <w:rPr>
          <w:i w:val="0"/>
          <w:lang w:val="de-DE"/>
        </w:rPr>
      </w:pPr>
      <w:r w:rsidRPr="00171CB2">
        <w:rPr>
          <w:i w:val="0"/>
          <w:lang w:val="de-DE"/>
        </w:rPr>
        <w:t>zur Kenntnis zu nehmen, dass dem Rat im Jahr 2022 vorbehaltlich der Zustimmung des CAJ die vorgeschlagene Überarbeitung von Dokument TGP/12/2 zur Annahme vorgelegt werden wird.</w:t>
      </w:r>
    </w:p>
    <w:p w14:paraId="6512AF3D" w14:textId="77777777" w:rsidR="00171CB2" w:rsidRPr="00171CB2" w:rsidRDefault="00171CB2" w:rsidP="00171CB2">
      <w:pPr>
        <w:rPr>
          <w:lang w:val="de-DE"/>
        </w:rPr>
      </w:pPr>
    </w:p>
    <w:p w14:paraId="18D998F2" w14:textId="77777777" w:rsidR="00171CB2" w:rsidRPr="00171CB2" w:rsidRDefault="00171CB2" w:rsidP="00171CB2">
      <w:pPr>
        <w:rPr>
          <w:lang w:val="de-DE"/>
        </w:rPr>
      </w:pPr>
    </w:p>
    <w:p w14:paraId="6ECD30F6"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r>
      <w:r w:rsidRPr="00171CB2">
        <w:rPr>
          <w:snapToGrid w:val="0"/>
          <w:lang w:val="de-DE"/>
        </w:rPr>
        <w:t>Der Aufbau dieses Dokuments ist wie folgt</w:t>
      </w:r>
      <w:r w:rsidRPr="00171CB2">
        <w:rPr>
          <w:lang w:val="de-DE"/>
        </w:rPr>
        <w:t>:</w:t>
      </w:r>
    </w:p>
    <w:sdt>
      <w:sdtPr>
        <w:rPr>
          <w:lang w:val="de-DE"/>
        </w:rPr>
        <w:id w:val="-257760947"/>
        <w:docPartObj>
          <w:docPartGallery w:val="Table of Contents"/>
          <w:docPartUnique/>
        </w:docPartObj>
      </w:sdtPr>
      <w:sdtEndPr>
        <w:rPr>
          <w:b/>
          <w:bCs/>
        </w:rPr>
      </w:sdtEndPr>
      <w:sdtContent>
        <w:p w14:paraId="50DC3E49" w14:textId="77777777" w:rsidR="00171CB2" w:rsidRPr="00171CB2" w:rsidRDefault="00171CB2" w:rsidP="00171CB2">
          <w:pPr>
            <w:rPr>
              <w:lang w:val="de-DE"/>
            </w:rPr>
          </w:pPr>
        </w:p>
        <w:p w14:paraId="196269DF" w14:textId="4BEE7909" w:rsidR="00C10830" w:rsidRDefault="00171CB2">
          <w:pPr>
            <w:pStyle w:val="TOC1"/>
            <w:rPr>
              <w:rFonts w:asciiTheme="minorHAnsi" w:eastAsiaTheme="minorEastAsia" w:hAnsiTheme="minorHAnsi" w:cstheme="minorBidi"/>
              <w:caps w:val="0"/>
              <w:noProof/>
              <w:sz w:val="22"/>
              <w:szCs w:val="22"/>
            </w:rPr>
          </w:pPr>
          <w:r w:rsidRPr="00171CB2">
            <w:rPr>
              <w:rStyle w:val="Hyperlink"/>
              <w:caps w:val="0"/>
              <w:lang w:val="de-DE"/>
            </w:rPr>
            <w:fldChar w:fldCharType="begin"/>
          </w:r>
          <w:r w:rsidRPr="00171CB2">
            <w:rPr>
              <w:rStyle w:val="Hyperlink"/>
              <w:caps w:val="0"/>
              <w:lang w:val="de-DE"/>
            </w:rPr>
            <w:instrText xml:space="preserve"> TOC \o "1-3" \h \z \u </w:instrText>
          </w:r>
          <w:r w:rsidRPr="00171CB2">
            <w:rPr>
              <w:rStyle w:val="Hyperlink"/>
              <w:caps w:val="0"/>
              <w:lang w:val="de-DE"/>
            </w:rPr>
            <w:fldChar w:fldCharType="separate"/>
          </w:r>
          <w:hyperlink w:anchor="_Toc111463642" w:history="1">
            <w:r w:rsidR="00C10830" w:rsidRPr="008A0E58">
              <w:rPr>
                <w:rStyle w:val="Hyperlink"/>
                <w:noProof/>
                <w:lang w:val="de-DE"/>
              </w:rPr>
              <w:t>ZUSAMMENFASSUNG</w:t>
            </w:r>
            <w:r w:rsidR="00C10830">
              <w:rPr>
                <w:noProof/>
                <w:webHidden/>
              </w:rPr>
              <w:tab/>
            </w:r>
            <w:r w:rsidR="00C10830">
              <w:rPr>
                <w:noProof/>
                <w:webHidden/>
              </w:rPr>
              <w:fldChar w:fldCharType="begin"/>
            </w:r>
            <w:r w:rsidR="00C10830">
              <w:rPr>
                <w:noProof/>
                <w:webHidden/>
              </w:rPr>
              <w:instrText xml:space="preserve"> PAGEREF _Toc111463642 \h </w:instrText>
            </w:r>
            <w:r w:rsidR="00C10830">
              <w:rPr>
                <w:noProof/>
                <w:webHidden/>
              </w:rPr>
            </w:r>
            <w:r w:rsidR="00C10830">
              <w:rPr>
                <w:noProof/>
                <w:webHidden/>
              </w:rPr>
              <w:fldChar w:fldCharType="separate"/>
            </w:r>
            <w:r w:rsidR="00C10830">
              <w:rPr>
                <w:noProof/>
                <w:webHidden/>
              </w:rPr>
              <w:t>1</w:t>
            </w:r>
            <w:r w:rsidR="00C10830">
              <w:rPr>
                <w:noProof/>
                <w:webHidden/>
              </w:rPr>
              <w:fldChar w:fldCharType="end"/>
            </w:r>
          </w:hyperlink>
        </w:p>
        <w:p w14:paraId="6F84571E" w14:textId="7AC7A292" w:rsidR="00C10830" w:rsidRDefault="008B6EB1">
          <w:pPr>
            <w:pStyle w:val="TOC1"/>
            <w:rPr>
              <w:rFonts w:asciiTheme="minorHAnsi" w:eastAsiaTheme="minorEastAsia" w:hAnsiTheme="minorHAnsi" w:cstheme="minorBidi"/>
              <w:caps w:val="0"/>
              <w:noProof/>
              <w:sz w:val="22"/>
              <w:szCs w:val="22"/>
            </w:rPr>
          </w:pPr>
          <w:hyperlink w:anchor="_Toc111463643" w:history="1">
            <w:r w:rsidR="00C10830" w:rsidRPr="008A0E58">
              <w:rPr>
                <w:rStyle w:val="Hyperlink"/>
                <w:noProof/>
                <w:lang w:val="de-DE"/>
              </w:rPr>
              <w:t>HINTERGRUND</w:t>
            </w:r>
            <w:r w:rsidR="00C10830">
              <w:rPr>
                <w:noProof/>
                <w:webHidden/>
              </w:rPr>
              <w:tab/>
            </w:r>
            <w:r w:rsidR="00C10830">
              <w:rPr>
                <w:noProof/>
                <w:webHidden/>
              </w:rPr>
              <w:fldChar w:fldCharType="begin"/>
            </w:r>
            <w:r w:rsidR="00C10830">
              <w:rPr>
                <w:noProof/>
                <w:webHidden/>
              </w:rPr>
              <w:instrText xml:space="preserve"> PAGEREF _Toc111463643 \h </w:instrText>
            </w:r>
            <w:r w:rsidR="00C10830">
              <w:rPr>
                <w:noProof/>
                <w:webHidden/>
              </w:rPr>
            </w:r>
            <w:r w:rsidR="00C10830">
              <w:rPr>
                <w:noProof/>
                <w:webHidden/>
              </w:rPr>
              <w:fldChar w:fldCharType="separate"/>
            </w:r>
            <w:r w:rsidR="00C10830">
              <w:rPr>
                <w:noProof/>
                <w:webHidden/>
              </w:rPr>
              <w:t>2</w:t>
            </w:r>
            <w:r w:rsidR="00C10830">
              <w:rPr>
                <w:noProof/>
                <w:webHidden/>
              </w:rPr>
              <w:fldChar w:fldCharType="end"/>
            </w:r>
          </w:hyperlink>
        </w:p>
        <w:p w14:paraId="430F0233" w14:textId="57C1EFB9" w:rsidR="00C10830" w:rsidRDefault="008B6EB1">
          <w:pPr>
            <w:pStyle w:val="TOC1"/>
            <w:rPr>
              <w:rFonts w:asciiTheme="minorHAnsi" w:eastAsiaTheme="minorEastAsia" w:hAnsiTheme="minorHAnsi" w:cstheme="minorBidi"/>
              <w:caps w:val="0"/>
              <w:noProof/>
              <w:sz w:val="22"/>
              <w:szCs w:val="22"/>
            </w:rPr>
          </w:pPr>
          <w:hyperlink w:anchor="_Toc111463644" w:history="1">
            <w:r w:rsidR="00C10830" w:rsidRPr="008A0E58">
              <w:rPr>
                <w:rStyle w:val="Hyperlink"/>
                <w:noProof/>
                <w:lang w:val="de-DE"/>
              </w:rPr>
              <w:t>Dem Rat im Jahr 2022 zur Annahme vorgeschlagene angelegenheiten</w:t>
            </w:r>
            <w:r w:rsidR="00C10830">
              <w:rPr>
                <w:noProof/>
                <w:webHidden/>
              </w:rPr>
              <w:tab/>
            </w:r>
            <w:r w:rsidR="00C10830">
              <w:rPr>
                <w:noProof/>
                <w:webHidden/>
              </w:rPr>
              <w:fldChar w:fldCharType="begin"/>
            </w:r>
            <w:r w:rsidR="00C10830">
              <w:rPr>
                <w:noProof/>
                <w:webHidden/>
              </w:rPr>
              <w:instrText xml:space="preserve"> PAGEREF _Toc111463644 \h </w:instrText>
            </w:r>
            <w:r w:rsidR="00C10830">
              <w:rPr>
                <w:noProof/>
                <w:webHidden/>
              </w:rPr>
            </w:r>
            <w:r w:rsidR="00C10830">
              <w:rPr>
                <w:noProof/>
                <w:webHidden/>
              </w:rPr>
              <w:fldChar w:fldCharType="separate"/>
            </w:r>
            <w:r w:rsidR="00C10830">
              <w:rPr>
                <w:noProof/>
                <w:webHidden/>
              </w:rPr>
              <w:t>2</w:t>
            </w:r>
            <w:r w:rsidR="00C10830">
              <w:rPr>
                <w:noProof/>
                <w:webHidden/>
              </w:rPr>
              <w:fldChar w:fldCharType="end"/>
            </w:r>
          </w:hyperlink>
        </w:p>
        <w:p w14:paraId="31D43260" w14:textId="489EDCAE" w:rsidR="00C10830" w:rsidRDefault="008B6EB1">
          <w:pPr>
            <w:pStyle w:val="TOC2"/>
            <w:rPr>
              <w:rFonts w:asciiTheme="minorHAnsi" w:eastAsiaTheme="minorEastAsia" w:hAnsiTheme="minorHAnsi" w:cstheme="minorBidi"/>
              <w:noProof/>
              <w:sz w:val="22"/>
              <w:szCs w:val="22"/>
            </w:rPr>
          </w:pPr>
          <w:hyperlink w:anchor="_Toc111463645" w:history="1">
            <w:r w:rsidR="00C10830" w:rsidRPr="008A0E58">
              <w:rPr>
                <w:rStyle w:val="Hyperlink"/>
                <w:noProof/>
                <w:lang w:val="de-DE"/>
              </w:rPr>
              <w:t>Informationsmaterial</w:t>
            </w:r>
            <w:r w:rsidR="00C10830">
              <w:rPr>
                <w:noProof/>
                <w:webHidden/>
              </w:rPr>
              <w:tab/>
            </w:r>
            <w:r w:rsidR="00C10830">
              <w:rPr>
                <w:noProof/>
                <w:webHidden/>
              </w:rPr>
              <w:fldChar w:fldCharType="begin"/>
            </w:r>
            <w:r w:rsidR="00C10830">
              <w:rPr>
                <w:noProof/>
                <w:webHidden/>
              </w:rPr>
              <w:instrText xml:space="preserve"> PAGEREF _Toc111463645 \h </w:instrText>
            </w:r>
            <w:r w:rsidR="00C10830">
              <w:rPr>
                <w:noProof/>
                <w:webHidden/>
              </w:rPr>
            </w:r>
            <w:r w:rsidR="00C10830">
              <w:rPr>
                <w:noProof/>
                <w:webHidden/>
              </w:rPr>
              <w:fldChar w:fldCharType="separate"/>
            </w:r>
            <w:r w:rsidR="00C10830">
              <w:rPr>
                <w:noProof/>
                <w:webHidden/>
              </w:rPr>
              <w:t>2</w:t>
            </w:r>
            <w:r w:rsidR="00C10830">
              <w:rPr>
                <w:noProof/>
                <w:webHidden/>
              </w:rPr>
              <w:fldChar w:fldCharType="end"/>
            </w:r>
          </w:hyperlink>
        </w:p>
        <w:p w14:paraId="349D4A2B" w14:textId="57EDE931" w:rsidR="00C10830" w:rsidRDefault="008B6EB1">
          <w:pPr>
            <w:pStyle w:val="TOC3"/>
            <w:rPr>
              <w:rFonts w:asciiTheme="minorHAnsi" w:eastAsiaTheme="minorEastAsia" w:hAnsiTheme="minorHAnsi" w:cstheme="minorBidi"/>
              <w:noProof/>
              <w:sz w:val="22"/>
              <w:szCs w:val="22"/>
              <w:lang w:val="en-US"/>
            </w:rPr>
          </w:pPr>
          <w:hyperlink w:anchor="_Toc111463646" w:history="1">
            <w:r w:rsidR="00C10830" w:rsidRPr="008A0E58">
              <w:rPr>
                <w:rStyle w:val="Hyperlink"/>
                <w:noProof/>
                <w:lang w:val="de-DE"/>
              </w:rPr>
              <w:t>Überarbeitung von Dokument UPOV/INF/16 „Austauschbare Software“ (Dokument UPOV/INF/16/11 Draft 1)</w:t>
            </w:r>
            <w:r w:rsidR="00C10830">
              <w:rPr>
                <w:noProof/>
                <w:webHidden/>
              </w:rPr>
              <w:tab/>
            </w:r>
            <w:r w:rsidR="00C10830">
              <w:rPr>
                <w:noProof/>
                <w:webHidden/>
              </w:rPr>
              <w:fldChar w:fldCharType="begin"/>
            </w:r>
            <w:r w:rsidR="00C10830">
              <w:rPr>
                <w:noProof/>
                <w:webHidden/>
              </w:rPr>
              <w:instrText xml:space="preserve"> PAGEREF _Toc111463646 \h </w:instrText>
            </w:r>
            <w:r w:rsidR="00C10830">
              <w:rPr>
                <w:noProof/>
                <w:webHidden/>
              </w:rPr>
            </w:r>
            <w:r w:rsidR="00C10830">
              <w:rPr>
                <w:noProof/>
                <w:webHidden/>
              </w:rPr>
              <w:fldChar w:fldCharType="separate"/>
            </w:r>
            <w:r w:rsidR="00C10830">
              <w:rPr>
                <w:noProof/>
                <w:webHidden/>
              </w:rPr>
              <w:t>2</w:t>
            </w:r>
            <w:r w:rsidR="00C10830">
              <w:rPr>
                <w:noProof/>
                <w:webHidden/>
              </w:rPr>
              <w:fldChar w:fldCharType="end"/>
            </w:r>
          </w:hyperlink>
        </w:p>
        <w:p w14:paraId="11331D6E" w14:textId="58BBF888" w:rsidR="00C10830" w:rsidRDefault="008B6EB1">
          <w:pPr>
            <w:pStyle w:val="TOC3"/>
            <w:rPr>
              <w:rFonts w:asciiTheme="minorHAnsi" w:eastAsiaTheme="minorEastAsia" w:hAnsiTheme="minorHAnsi" w:cstheme="minorBidi"/>
              <w:noProof/>
              <w:sz w:val="22"/>
              <w:szCs w:val="22"/>
              <w:lang w:val="en-US"/>
            </w:rPr>
          </w:pPr>
          <w:hyperlink w:anchor="_Toc111463647" w:history="1">
            <w:r w:rsidR="00C10830" w:rsidRPr="008A0E58">
              <w:rPr>
                <w:rStyle w:val="Hyperlink"/>
                <w:noProof/>
                <w:lang w:val="de-DE"/>
              </w:rPr>
              <w:t>Überarbeitung von Dokument UPOV/INF/22 „Von Verbandsmitgliedern verwendete Software und Ausrüstung“  (Dokument UPOV/INF/22/9 Draft 1)</w:t>
            </w:r>
            <w:r w:rsidR="00C10830">
              <w:rPr>
                <w:noProof/>
                <w:webHidden/>
              </w:rPr>
              <w:tab/>
            </w:r>
            <w:r w:rsidR="00C10830">
              <w:rPr>
                <w:noProof/>
                <w:webHidden/>
              </w:rPr>
              <w:fldChar w:fldCharType="begin"/>
            </w:r>
            <w:r w:rsidR="00C10830">
              <w:rPr>
                <w:noProof/>
                <w:webHidden/>
              </w:rPr>
              <w:instrText xml:space="preserve"> PAGEREF _Toc111463647 \h </w:instrText>
            </w:r>
            <w:r w:rsidR="00C10830">
              <w:rPr>
                <w:noProof/>
                <w:webHidden/>
              </w:rPr>
            </w:r>
            <w:r w:rsidR="00C10830">
              <w:rPr>
                <w:noProof/>
                <w:webHidden/>
              </w:rPr>
              <w:fldChar w:fldCharType="separate"/>
            </w:r>
            <w:r w:rsidR="00C10830">
              <w:rPr>
                <w:noProof/>
                <w:webHidden/>
              </w:rPr>
              <w:t>3</w:t>
            </w:r>
            <w:r w:rsidR="00C10830">
              <w:rPr>
                <w:noProof/>
                <w:webHidden/>
              </w:rPr>
              <w:fldChar w:fldCharType="end"/>
            </w:r>
          </w:hyperlink>
        </w:p>
        <w:p w14:paraId="70FCB536" w14:textId="6CF7213C" w:rsidR="00C10830" w:rsidRDefault="008B6EB1">
          <w:pPr>
            <w:pStyle w:val="TOC2"/>
            <w:rPr>
              <w:rFonts w:asciiTheme="minorHAnsi" w:eastAsiaTheme="minorEastAsia" w:hAnsiTheme="minorHAnsi" w:cstheme="minorBidi"/>
              <w:noProof/>
              <w:sz w:val="22"/>
              <w:szCs w:val="22"/>
            </w:rPr>
          </w:pPr>
          <w:hyperlink w:anchor="_Toc111463648" w:history="1">
            <w:r w:rsidR="00C10830" w:rsidRPr="008A0E58">
              <w:rPr>
                <w:rStyle w:val="Hyperlink"/>
                <w:noProof/>
                <w:lang w:val="de-DE"/>
              </w:rPr>
              <w:t>Erläuterungen</w:t>
            </w:r>
            <w:r w:rsidR="00C10830">
              <w:rPr>
                <w:noProof/>
                <w:webHidden/>
              </w:rPr>
              <w:tab/>
            </w:r>
            <w:r w:rsidR="00C10830">
              <w:rPr>
                <w:noProof/>
                <w:webHidden/>
              </w:rPr>
              <w:fldChar w:fldCharType="begin"/>
            </w:r>
            <w:r w:rsidR="00C10830">
              <w:rPr>
                <w:noProof/>
                <w:webHidden/>
              </w:rPr>
              <w:instrText xml:space="preserve"> PAGEREF _Toc111463648 \h </w:instrText>
            </w:r>
            <w:r w:rsidR="00C10830">
              <w:rPr>
                <w:noProof/>
                <w:webHidden/>
              </w:rPr>
            </w:r>
            <w:r w:rsidR="00C10830">
              <w:rPr>
                <w:noProof/>
                <w:webHidden/>
              </w:rPr>
              <w:fldChar w:fldCharType="separate"/>
            </w:r>
            <w:r w:rsidR="00C10830">
              <w:rPr>
                <w:noProof/>
                <w:webHidden/>
              </w:rPr>
              <w:t>4</w:t>
            </w:r>
            <w:r w:rsidR="00C10830">
              <w:rPr>
                <w:noProof/>
                <w:webHidden/>
              </w:rPr>
              <w:fldChar w:fldCharType="end"/>
            </w:r>
          </w:hyperlink>
        </w:p>
        <w:p w14:paraId="29C0D7EC" w14:textId="1D3C3CB4" w:rsidR="00C10830" w:rsidRDefault="008B6EB1">
          <w:pPr>
            <w:pStyle w:val="TOC3"/>
            <w:rPr>
              <w:rFonts w:asciiTheme="minorHAnsi" w:eastAsiaTheme="minorEastAsia" w:hAnsiTheme="minorHAnsi" w:cstheme="minorBidi"/>
              <w:noProof/>
              <w:sz w:val="22"/>
              <w:szCs w:val="22"/>
              <w:lang w:val="en-US"/>
            </w:rPr>
          </w:pPr>
          <w:hyperlink w:anchor="_Toc111463649" w:history="1">
            <w:r w:rsidR="00C10830" w:rsidRPr="008A0E58">
              <w:rPr>
                <w:rStyle w:val="Hyperlink"/>
                <w:noProof/>
                <w:lang w:val="de-DE"/>
              </w:rPr>
              <w:t>Erläuterungen zu Sortenbezeichnungen nach dem UPOV-Übereinkommen (Dokument UPOV/EXN/DEN)</w:t>
            </w:r>
            <w:r w:rsidR="00C10830">
              <w:rPr>
                <w:noProof/>
                <w:webHidden/>
              </w:rPr>
              <w:tab/>
            </w:r>
            <w:r w:rsidR="00C10830">
              <w:rPr>
                <w:noProof/>
                <w:webHidden/>
              </w:rPr>
              <w:fldChar w:fldCharType="begin"/>
            </w:r>
            <w:r w:rsidR="00C10830">
              <w:rPr>
                <w:noProof/>
                <w:webHidden/>
              </w:rPr>
              <w:instrText xml:space="preserve"> PAGEREF _Toc111463649 \h </w:instrText>
            </w:r>
            <w:r w:rsidR="00C10830">
              <w:rPr>
                <w:noProof/>
                <w:webHidden/>
              </w:rPr>
            </w:r>
            <w:r w:rsidR="00C10830">
              <w:rPr>
                <w:noProof/>
                <w:webHidden/>
              </w:rPr>
              <w:fldChar w:fldCharType="separate"/>
            </w:r>
            <w:r w:rsidR="00C10830">
              <w:rPr>
                <w:noProof/>
                <w:webHidden/>
              </w:rPr>
              <w:t>4</w:t>
            </w:r>
            <w:r w:rsidR="00C10830">
              <w:rPr>
                <w:noProof/>
                <w:webHidden/>
              </w:rPr>
              <w:fldChar w:fldCharType="end"/>
            </w:r>
          </w:hyperlink>
        </w:p>
        <w:p w14:paraId="66284396" w14:textId="42308C7E" w:rsidR="00C10830" w:rsidRDefault="008B6EB1">
          <w:pPr>
            <w:pStyle w:val="TOC2"/>
            <w:rPr>
              <w:rFonts w:asciiTheme="minorHAnsi" w:eastAsiaTheme="minorEastAsia" w:hAnsiTheme="minorHAnsi" w:cstheme="minorBidi"/>
              <w:noProof/>
              <w:sz w:val="22"/>
              <w:szCs w:val="22"/>
            </w:rPr>
          </w:pPr>
          <w:hyperlink w:anchor="_Toc111463650" w:history="1">
            <w:r w:rsidR="00C10830" w:rsidRPr="008A0E58">
              <w:rPr>
                <w:rStyle w:val="Hyperlink"/>
                <w:noProof/>
                <w:lang w:val="de-DE"/>
              </w:rPr>
              <w:t>TGP-Dokumente</w:t>
            </w:r>
            <w:r w:rsidR="00C10830">
              <w:rPr>
                <w:noProof/>
                <w:webHidden/>
              </w:rPr>
              <w:tab/>
            </w:r>
            <w:r w:rsidR="00C10830">
              <w:rPr>
                <w:noProof/>
                <w:webHidden/>
              </w:rPr>
              <w:fldChar w:fldCharType="begin"/>
            </w:r>
            <w:r w:rsidR="00C10830">
              <w:rPr>
                <w:noProof/>
                <w:webHidden/>
              </w:rPr>
              <w:instrText xml:space="preserve"> PAGEREF _Toc111463650 \h </w:instrText>
            </w:r>
            <w:r w:rsidR="00C10830">
              <w:rPr>
                <w:noProof/>
                <w:webHidden/>
              </w:rPr>
            </w:r>
            <w:r w:rsidR="00C10830">
              <w:rPr>
                <w:noProof/>
                <w:webHidden/>
              </w:rPr>
              <w:fldChar w:fldCharType="separate"/>
            </w:r>
            <w:r w:rsidR="00C10830">
              <w:rPr>
                <w:noProof/>
                <w:webHidden/>
              </w:rPr>
              <w:t>4</w:t>
            </w:r>
            <w:r w:rsidR="00C10830">
              <w:rPr>
                <w:noProof/>
                <w:webHidden/>
              </w:rPr>
              <w:fldChar w:fldCharType="end"/>
            </w:r>
          </w:hyperlink>
        </w:p>
        <w:p w14:paraId="31B5BCF1" w14:textId="72220B0B" w:rsidR="00C10830" w:rsidRDefault="008B6EB1">
          <w:pPr>
            <w:pStyle w:val="TOC3"/>
            <w:rPr>
              <w:rFonts w:asciiTheme="minorHAnsi" w:eastAsiaTheme="minorEastAsia" w:hAnsiTheme="minorHAnsi" w:cstheme="minorBidi"/>
              <w:noProof/>
              <w:sz w:val="22"/>
              <w:szCs w:val="22"/>
              <w:lang w:val="en-US"/>
            </w:rPr>
          </w:pPr>
          <w:hyperlink w:anchor="_Toc111463651" w:history="1">
            <w:r w:rsidR="00C10830" w:rsidRPr="008A0E58">
              <w:rPr>
                <w:rStyle w:val="Hyperlink"/>
                <w:noProof/>
                <w:snapToGrid w:val="0"/>
                <w:lang w:val="de-DE"/>
              </w:rPr>
              <w:t xml:space="preserve">TGP/5: </w:t>
            </w:r>
            <w:r w:rsidR="00C10830" w:rsidRPr="008A0E58">
              <w:rPr>
                <w:rStyle w:val="Hyperlink"/>
                <w:noProof/>
                <w:lang w:val="de-DE"/>
              </w:rPr>
              <w:t xml:space="preserve">Erfahrung </w:t>
            </w:r>
            <w:r w:rsidR="00C10830" w:rsidRPr="008A0E58">
              <w:rPr>
                <w:rStyle w:val="Hyperlink"/>
                <w:noProof/>
                <w:snapToGrid w:val="0"/>
                <w:lang w:val="de-DE"/>
              </w:rPr>
              <w:t>und Zusammenarbeit bei der DUS-Prüfung, Abschnitt 6: UPOV-Bericht über die technische Prüfung und UPOV-Sortenbeschreibung (Überarbeitung) (Dokument TGP/5: Abschnitt 6/4 Draft 1)</w:t>
            </w:r>
            <w:r w:rsidR="00C10830">
              <w:rPr>
                <w:noProof/>
                <w:webHidden/>
              </w:rPr>
              <w:tab/>
            </w:r>
            <w:r w:rsidR="00C10830">
              <w:rPr>
                <w:noProof/>
                <w:webHidden/>
              </w:rPr>
              <w:fldChar w:fldCharType="begin"/>
            </w:r>
            <w:r w:rsidR="00C10830">
              <w:rPr>
                <w:noProof/>
                <w:webHidden/>
              </w:rPr>
              <w:instrText xml:space="preserve"> PAGEREF _Toc111463651 \h </w:instrText>
            </w:r>
            <w:r w:rsidR="00C10830">
              <w:rPr>
                <w:noProof/>
                <w:webHidden/>
              </w:rPr>
            </w:r>
            <w:r w:rsidR="00C10830">
              <w:rPr>
                <w:noProof/>
                <w:webHidden/>
              </w:rPr>
              <w:fldChar w:fldCharType="separate"/>
            </w:r>
            <w:r w:rsidR="00C10830">
              <w:rPr>
                <w:noProof/>
                <w:webHidden/>
              </w:rPr>
              <w:t>4</w:t>
            </w:r>
            <w:r w:rsidR="00C10830">
              <w:rPr>
                <w:noProof/>
                <w:webHidden/>
              </w:rPr>
              <w:fldChar w:fldCharType="end"/>
            </w:r>
          </w:hyperlink>
        </w:p>
        <w:p w14:paraId="241E2F29" w14:textId="4C889483" w:rsidR="00C10830" w:rsidRDefault="008B6EB1">
          <w:pPr>
            <w:pStyle w:val="TOC3"/>
            <w:rPr>
              <w:rFonts w:asciiTheme="minorHAnsi" w:eastAsiaTheme="minorEastAsia" w:hAnsiTheme="minorHAnsi" w:cstheme="minorBidi"/>
              <w:noProof/>
              <w:sz w:val="22"/>
              <w:szCs w:val="22"/>
              <w:lang w:val="en-US"/>
            </w:rPr>
          </w:pPr>
          <w:hyperlink w:anchor="_Toc111463652" w:history="1">
            <w:r w:rsidR="00C10830" w:rsidRPr="008A0E58">
              <w:rPr>
                <w:rStyle w:val="Hyperlink"/>
                <w:noProof/>
                <w:lang w:val="de-DE"/>
              </w:rPr>
              <w:t>TGP/8: Prüfungsanlage und Verfahren für die Prüfung der Unterscheidbarkeit, der Homogenität und der Beständigkeit (Überarbeitung) (Anlage II)</w:t>
            </w:r>
            <w:r w:rsidR="00C10830">
              <w:rPr>
                <w:noProof/>
                <w:webHidden/>
              </w:rPr>
              <w:tab/>
            </w:r>
            <w:r w:rsidR="00C10830">
              <w:rPr>
                <w:noProof/>
                <w:webHidden/>
              </w:rPr>
              <w:fldChar w:fldCharType="begin"/>
            </w:r>
            <w:r w:rsidR="00C10830">
              <w:rPr>
                <w:noProof/>
                <w:webHidden/>
              </w:rPr>
              <w:instrText xml:space="preserve"> PAGEREF _Toc111463652 \h </w:instrText>
            </w:r>
            <w:r w:rsidR="00C10830">
              <w:rPr>
                <w:noProof/>
                <w:webHidden/>
              </w:rPr>
            </w:r>
            <w:r w:rsidR="00C10830">
              <w:rPr>
                <w:noProof/>
                <w:webHidden/>
              </w:rPr>
              <w:fldChar w:fldCharType="separate"/>
            </w:r>
            <w:r w:rsidR="00C10830">
              <w:rPr>
                <w:noProof/>
                <w:webHidden/>
              </w:rPr>
              <w:t>4</w:t>
            </w:r>
            <w:r w:rsidR="00C10830">
              <w:rPr>
                <w:noProof/>
                <w:webHidden/>
              </w:rPr>
              <w:fldChar w:fldCharType="end"/>
            </w:r>
          </w:hyperlink>
        </w:p>
        <w:p w14:paraId="350407EB" w14:textId="35A9352F" w:rsidR="00C10830" w:rsidRDefault="008B6EB1">
          <w:pPr>
            <w:pStyle w:val="TOC3"/>
            <w:rPr>
              <w:rFonts w:asciiTheme="minorHAnsi" w:eastAsiaTheme="minorEastAsia" w:hAnsiTheme="minorHAnsi" w:cstheme="minorBidi"/>
              <w:noProof/>
              <w:sz w:val="22"/>
              <w:szCs w:val="22"/>
              <w:lang w:val="en-US"/>
            </w:rPr>
          </w:pPr>
          <w:hyperlink w:anchor="_Toc111463653" w:history="1">
            <w:r w:rsidR="00C10830" w:rsidRPr="008A0E58">
              <w:rPr>
                <w:rStyle w:val="Hyperlink"/>
                <w:noProof/>
                <w:lang w:val="de-DE"/>
              </w:rPr>
              <w:t>TGP/12: Anleitung zu bestimmten physiologischen Merkmalen (Überarbeitung) (Anlage III)</w:t>
            </w:r>
            <w:r w:rsidR="00C10830">
              <w:rPr>
                <w:noProof/>
                <w:webHidden/>
              </w:rPr>
              <w:tab/>
            </w:r>
            <w:r w:rsidR="00C10830">
              <w:rPr>
                <w:noProof/>
                <w:webHidden/>
              </w:rPr>
              <w:fldChar w:fldCharType="begin"/>
            </w:r>
            <w:r w:rsidR="00C10830">
              <w:rPr>
                <w:noProof/>
                <w:webHidden/>
              </w:rPr>
              <w:instrText xml:space="preserve"> PAGEREF _Toc111463653 \h </w:instrText>
            </w:r>
            <w:r w:rsidR="00C10830">
              <w:rPr>
                <w:noProof/>
                <w:webHidden/>
              </w:rPr>
            </w:r>
            <w:r w:rsidR="00C10830">
              <w:rPr>
                <w:noProof/>
                <w:webHidden/>
              </w:rPr>
              <w:fldChar w:fldCharType="separate"/>
            </w:r>
            <w:r w:rsidR="00C10830">
              <w:rPr>
                <w:noProof/>
                <w:webHidden/>
              </w:rPr>
              <w:t>5</w:t>
            </w:r>
            <w:r w:rsidR="00C10830">
              <w:rPr>
                <w:noProof/>
                <w:webHidden/>
              </w:rPr>
              <w:fldChar w:fldCharType="end"/>
            </w:r>
          </w:hyperlink>
        </w:p>
        <w:p w14:paraId="1EB5E459" w14:textId="16280C09" w:rsidR="00171CB2" w:rsidRPr="00171CB2" w:rsidRDefault="00171CB2" w:rsidP="00171CB2">
          <w:pPr>
            <w:spacing w:before="240"/>
            <w:jc w:val="left"/>
            <w:rPr>
              <w:lang w:val="de-DE"/>
            </w:rPr>
          </w:pPr>
          <w:r w:rsidRPr="00171CB2">
            <w:rPr>
              <w:rStyle w:val="Hyperlink"/>
              <w:lang w:val="de-DE"/>
            </w:rPr>
            <w:fldChar w:fldCharType="end"/>
          </w:r>
          <w:r w:rsidRPr="00171CB2">
            <w:rPr>
              <w:lang w:val="de-DE"/>
            </w:rPr>
            <w:t>ANLAGE I Dokument UPOV/EXN/DEN: Erläuterungen zu Sortenbezeichnungen nach dem UPOV-Übereinkommen (Überarbeitung)</w:t>
          </w:r>
          <w:r w:rsidRPr="00171CB2">
            <w:rPr>
              <w:lang w:val="de-DE"/>
            </w:rPr>
            <w:br/>
          </w:r>
          <w:r w:rsidRPr="00171CB2">
            <w:rPr>
              <w:lang w:val="de-DE"/>
            </w:rPr>
            <w:br/>
            <w:t>ANLAGE II Dokument TGP/8: Prüfungsanlage und Verfahren für die Prüfung der Unterscheidbarkeit, der Homogenität und der Beständigkeit (Überarbeitung)</w:t>
          </w:r>
          <w:r w:rsidRPr="00171CB2">
            <w:rPr>
              <w:lang w:val="de-DE"/>
            </w:rPr>
            <w:br/>
          </w:r>
        </w:p>
        <w:p w14:paraId="4305E8BF" w14:textId="77777777" w:rsidR="00171CB2" w:rsidRPr="00171CB2" w:rsidRDefault="00171CB2" w:rsidP="00171CB2">
          <w:pPr>
            <w:rPr>
              <w:lang w:val="de-DE"/>
            </w:rPr>
          </w:pPr>
          <w:r w:rsidRPr="00171CB2">
            <w:rPr>
              <w:lang w:val="de-DE"/>
            </w:rPr>
            <w:t>ANLAGE III Dokument TGP/12: Anleitung zu bestimmten physiologischen Merkmalen (Überarbeitung)</w:t>
          </w:r>
        </w:p>
      </w:sdtContent>
    </w:sdt>
    <w:p w14:paraId="54BECCFD" w14:textId="77777777" w:rsidR="00171CB2" w:rsidRPr="00171CB2" w:rsidRDefault="00171CB2" w:rsidP="00171CB2">
      <w:pPr>
        <w:rPr>
          <w:lang w:val="de-DE"/>
        </w:rPr>
      </w:pPr>
    </w:p>
    <w:p w14:paraId="36CAEB70"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In diesem Dokument werden folgende Abkürzungen verwendet:</w:t>
      </w:r>
    </w:p>
    <w:p w14:paraId="21B70640" w14:textId="77777777" w:rsidR="00171CB2" w:rsidRPr="00171CB2" w:rsidRDefault="00171CB2" w:rsidP="00171CB2">
      <w:pPr>
        <w:rPr>
          <w:lang w:val="de-DE"/>
        </w:rPr>
      </w:pPr>
    </w:p>
    <w:p w14:paraId="05778192" w14:textId="77777777" w:rsidR="00171CB2" w:rsidRPr="00171CB2" w:rsidRDefault="00171CB2" w:rsidP="00171CB2">
      <w:pPr>
        <w:keepNext/>
        <w:ind w:left="1701" w:hanging="1134"/>
        <w:rPr>
          <w:rFonts w:cs="Arial"/>
          <w:lang w:val="de-DE"/>
        </w:rPr>
      </w:pPr>
      <w:r w:rsidRPr="00171CB2">
        <w:rPr>
          <w:rFonts w:cs="Arial"/>
          <w:lang w:val="de-DE"/>
        </w:rPr>
        <w:t>CAJ:</w:t>
      </w:r>
      <w:r w:rsidRPr="00171CB2">
        <w:rPr>
          <w:rFonts w:cs="Arial"/>
          <w:lang w:val="de-DE"/>
        </w:rPr>
        <w:tab/>
        <w:t>Verwaltungs- und Rechtsausschuss</w:t>
      </w:r>
    </w:p>
    <w:p w14:paraId="54B279FB" w14:textId="77777777" w:rsidR="00171CB2" w:rsidRPr="00171CB2" w:rsidRDefault="00171CB2" w:rsidP="00171CB2">
      <w:pPr>
        <w:keepNext/>
        <w:ind w:left="1701" w:hanging="1134"/>
        <w:rPr>
          <w:rFonts w:cs="Arial"/>
          <w:lang w:val="de-DE"/>
        </w:rPr>
      </w:pPr>
      <w:r w:rsidRPr="00171CB2">
        <w:rPr>
          <w:rFonts w:cs="Arial"/>
          <w:lang w:val="de-DE"/>
        </w:rPr>
        <w:t xml:space="preserve">TC: </w:t>
      </w:r>
      <w:r w:rsidRPr="00171CB2">
        <w:rPr>
          <w:rFonts w:cs="Arial"/>
          <w:lang w:val="de-DE"/>
        </w:rPr>
        <w:tab/>
        <w:t>Technischer Ausschuss</w:t>
      </w:r>
    </w:p>
    <w:p w14:paraId="5DFE7802" w14:textId="77777777" w:rsidR="00171CB2" w:rsidRPr="00171CB2" w:rsidRDefault="00171CB2" w:rsidP="00171CB2">
      <w:pPr>
        <w:keepNext/>
        <w:ind w:left="1701" w:hanging="1134"/>
        <w:rPr>
          <w:rFonts w:cs="Arial"/>
          <w:lang w:val="de-DE"/>
        </w:rPr>
      </w:pPr>
      <w:r w:rsidRPr="00171CB2">
        <w:rPr>
          <w:rFonts w:cs="Arial"/>
          <w:lang w:val="de-DE"/>
        </w:rPr>
        <w:t>TWM:</w:t>
      </w:r>
      <w:r w:rsidRPr="00171CB2">
        <w:rPr>
          <w:rFonts w:cs="Arial"/>
          <w:lang w:val="de-DE"/>
        </w:rPr>
        <w:tab/>
        <w:t>Technische Arbeitsgruppe für Prüfverfahren und -techniken</w:t>
      </w:r>
    </w:p>
    <w:p w14:paraId="064EDF2A" w14:textId="77777777" w:rsidR="00171CB2" w:rsidRPr="00171CB2" w:rsidRDefault="00171CB2" w:rsidP="00171CB2">
      <w:pPr>
        <w:ind w:left="1701" w:hanging="1134"/>
        <w:rPr>
          <w:rFonts w:cs="Arial"/>
          <w:color w:val="000000"/>
          <w:lang w:val="de-DE"/>
        </w:rPr>
      </w:pPr>
      <w:r w:rsidRPr="00171CB2">
        <w:rPr>
          <w:rFonts w:cs="Arial"/>
          <w:color w:val="000000"/>
          <w:lang w:val="de-DE"/>
        </w:rPr>
        <w:t>TWP:</w:t>
      </w:r>
      <w:r w:rsidRPr="00171CB2">
        <w:rPr>
          <w:rFonts w:cs="Arial"/>
          <w:color w:val="000000"/>
          <w:lang w:val="de-DE"/>
        </w:rPr>
        <w:tab/>
        <w:t xml:space="preserve">Technische Arbeitsgruppen </w:t>
      </w:r>
    </w:p>
    <w:p w14:paraId="1AD3FA18" w14:textId="77777777" w:rsidR="00171CB2" w:rsidRPr="00171CB2" w:rsidRDefault="00171CB2" w:rsidP="00171CB2">
      <w:pPr>
        <w:rPr>
          <w:lang w:val="de-DE"/>
        </w:rPr>
      </w:pPr>
    </w:p>
    <w:p w14:paraId="512E2829" w14:textId="77777777" w:rsidR="00171CB2" w:rsidRPr="00171CB2" w:rsidRDefault="00171CB2" w:rsidP="00171CB2">
      <w:pPr>
        <w:rPr>
          <w:lang w:val="de-DE"/>
        </w:rPr>
      </w:pPr>
    </w:p>
    <w:p w14:paraId="72C784A2" w14:textId="77777777" w:rsidR="00171CB2" w:rsidRPr="00171CB2" w:rsidRDefault="00171CB2" w:rsidP="00171CB2">
      <w:pPr>
        <w:pStyle w:val="Heading1"/>
        <w:rPr>
          <w:lang w:val="de-DE"/>
        </w:rPr>
      </w:pPr>
      <w:bookmarkStart w:id="3" w:name="_Toc111463643"/>
      <w:r w:rsidRPr="00171CB2">
        <w:rPr>
          <w:lang w:val="de-DE"/>
        </w:rPr>
        <w:t>HINTERGRUND</w:t>
      </w:r>
      <w:bookmarkEnd w:id="3"/>
    </w:p>
    <w:p w14:paraId="6B382F96" w14:textId="77777777" w:rsidR="00171CB2" w:rsidRPr="00171CB2" w:rsidRDefault="00171CB2" w:rsidP="00171CB2">
      <w:pPr>
        <w:rPr>
          <w:lang w:val="de-DE"/>
        </w:rPr>
      </w:pPr>
    </w:p>
    <w:p w14:paraId="65868DB1" w14:textId="77777777" w:rsidR="00171CB2" w:rsidRPr="00171CB2" w:rsidRDefault="00171CB2" w:rsidP="00171CB2">
      <w:pPr>
        <w:rPr>
          <w:rFonts w:cs="Arial"/>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r>
      <w:r w:rsidRPr="00171CB2">
        <w:rPr>
          <w:rFonts w:cs="Arial"/>
          <w:spacing w:val="-2"/>
          <w:lang w:val="de-DE"/>
        </w:rPr>
        <w:t xml:space="preserve">Die gebilligte Anleitung und das gebilligte Informationsmaterial werden auf der UPOV-Website unter </w:t>
      </w:r>
      <w:hyperlink r:id="rId9" w:history="1">
        <w:r w:rsidRPr="00171CB2">
          <w:rPr>
            <w:rFonts w:cs="Arial"/>
            <w:color w:val="0000FF"/>
            <w:u w:val="single"/>
            <w:lang w:val="de-DE"/>
          </w:rPr>
          <w:t>http://www.upov.int/upov_collection/de/</w:t>
        </w:r>
      </w:hyperlink>
      <w:r w:rsidRPr="00171CB2">
        <w:rPr>
          <w:rFonts w:cs="Arial"/>
          <w:spacing w:val="-2"/>
          <w:lang w:val="de-DE"/>
        </w:rPr>
        <w:t xml:space="preserve"> veröffentlicht</w:t>
      </w:r>
      <w:r w:rsidRPr="00171CB2">
        <w:rPr>
          <w:rFonts w:cs="Arial"/>
          <w:lang w:val="de-DE"/>
        </w:rPr>
        <w:t>.</w:t>
      </w:r>
    </w:p>
    <w:p w14:paraId="75F6B768" w14:textId="77777777" w:rsidR="00171CB2" w:rsidRPr="00171CB2" w:rsidRDefault="00171CB2" w:rsidP="00171CB2">
      <w:pPr>
        <w:rPr>
          <w:rFonts w:cs="Arial"/>
          <w:lang w:val="de-DE"/>
        </w:rPr>
      </w:pPr>
    </w:p>
    <w:p w14:paraId="14E71781" w14:textId="77777777" w:rsidR="00171CB2" w:rsidRPr="00171CB2" w:rsidRDefault="00171CB2" w:rsidP="00171CB2">
      <w:pPr>
        <w:rPr>
          <w:rFonts w:cs="Arial"/>
          <w:lang w:val="de-DE"/>
        </w:rPr>
      </w:pPr>
    </w:p>
    <w:p w14:paraId="007D7A1F" w14:textId="77777777" w:rsidR="00171CB2" w:rsidRPr="00171CB2" w:rsidRDefault="00171CB2" w:rsidP="00171CB2">
      <w:pPr>
        <w:pStyle w:val="Heading1"/>
        <w:keepLines/>
        <w:rPr>
          <w:lang w:val="de-DE"/>
        </w:rPr>
      </w:pPr>
      <w:bookmarkStart w:id="4" w:name="_Toc111463644"/>
      <w:r w:rsidRPr="00171CB2">
        <w:rPr>
          <w:lang w:val="de-DE"/>
        </w:rPr>
        <w:t>Dem Rat im Jahr 2022 zur Annahme vorgeschlagene angelegenheiten</w:t>
      </w:r>
      <w:bookmarkEnd w:id="4"/>
    </w:p>
    <w:p w14:paraId="68C2AAF6" w14:textId="77777777" w:rsidR="00171CB2" w:rsidRPr="00171CB2" w:rsidRDefault="00171CB2" w:rsidP="00171CB2">
      <w:pPr>
        <w:keepNext/>
        <w:keepLines/>
        <w:jc w:val="left"/>
        <w:rPr>
          <w:lang w:val="de-DE"/>
        </w:rPr>
      </w:pPr>
    </w:p>
    <w:p w14:paraId="0F2585F3" w14:textId="77777777" w:rsidR="00171CB2" w:rsidRPr="00171CB2" w:rsidRDefault="00171CB2" w:rsidP="00171CB2">
      <w:pPr>
        <w:pStyle w:val="Heading2"/>
        <w:keepLines/>
        <w:rPr>
          <w:lang w:val="de-DE"/>
        </w:rPr>
      </w:pPr>
      <w:bookmarkStart w:id="5" w:name="_Toc111463645"/>
      <w:r w:rsidRPr="00171CB2">
        <w:rPr>
          <w:lang w:val="de-DE"/>
        </w:rPr>
        <w:t>Informationsmaterial</w:t>
      </w:r>
      <w:bookmarkEnd w:id="5"/>
    </w:p>
    <w:p w14:paraId="2D906D68" w14:textId="77777777" w:rsidR="00171CB2" w:rsidRPr="00171CB2" w:rsidRDefault="00171CB2" w:rsidP="00171CB2">
      <w:pPr>
        <w:keepNext/>
        <w:keepLines/>
        <w:rPr>
          <w:lang w:val="de-DE"/>
        </w:rPr>
      </w:pPr>
    </w:p>
    <w:p w14:paraId="18C1F61E" w14:textId="097850C9" w:rsidR="00171CB2" w:rsidRPr="00171CB2" w:rsidRDefault="00171CB2" w:rsidP="008D7685">
      <w:pPr>
        <w:pStyle w:val="Heading3"/>
        <w:rPr>
          <w:lang w:val="de-DE"/>
        </w:rPr>
      </w:pPr>
      <w:bookmarkStart w:id="6" w:name="_Toc107846183"/>
      <w:bookmarkStart w:id="7" w:name="_Toc107949442"/>
      <w:bookmarkStart w:id="8" w:name="_Toc107949612"/>
      <w:bookmarkStart w:id="9" w:name="_Toc111463646"/>
      <w:r w:rsidRPr="00171CB2">
        <w:rPr>
          <w:lang w:val="de-DE"/>
        </w:rPr>
        <w:t xml:space="preserve">Überarbeitung von Dokument UPOV/INF/16 „Austauschbare Software“ (Dokument UPOV/INF/16/11 </w:t>
      </w:r>
      <w:proofErr w:type="spellStart"/>
      <w:r w:rsidRPr="00171CB2">
        <w:rPr>
          <w:lang w:val="de-DE"/>
        </w:rPr>
        <w:t>Draft</w:t>
      </w:r>
      <w:proofErr w:type="spellEnd"/>
      <w:r w:rsidR="008D7685">
        <w:rPr>
          <w:lang w:val="de-DE"/>
        </w:rPr>
        <w:t> </w:t>
      </w:r>
      <w:r w:rsidRPr="00171CB2">
        <w:rPr>
          <w:lang w:val="de-DE"/>
        </w:rPr>
        <w:t>1)</w:t>
      </w:r>
      <w:bookmarkEnd w:id="6"/>
      <w:bookmarkEnd w:id="7"/>
      <w:bookmarkEnd w:id="8"/>
      <w:bookmarkEnd w:id="9"/>
    </w:p>
    <w:p w14:paraId="640B8D60" w14:textId="77777777" w:rsidR="00171CB2" w:rsidRPr="00171CB2" w:rsidRDefault="00171CB2" w:rsidP="008D7685">
      <w:pPr>
        <w:pStyle w:val="Heading3"/>
        <w:rPr>
          <w:lang w:val="de-DE"/>
        </w:rPr>
      </w:pPr>
    </w:p>
    <w:p w14:paraId="2A3B89B9" w14:textId="77777777" w:rsidR="00171CB2" w:rsidRPr="00171CB2" w:rsidRDefault="00171CB2" w:rsidP="00171CB2">
      <w:pPr>
        <w:pStyle w:val="Heading4"/>
        <w:keepLines/>
        <w:rPr>
          <w:lang w:val="de-DE"/>
        </w:rPr>
      </w:pPr>
      <w:r w:rsidRPr="00171CB2">
        <w:rPr>
          <w:lang w:val="de-DE"/>
        </w:rPr>
        <w:t>Informationen über die Nutzung durch die Verbandsmitglieder</w:t>
      </w:r>
    </w:p>
    <w:p w14:paraId="491F3C9F" w14:textId="77777777" w:rsidR="00171CB2" w:rsidRPr="00171CB2" w:rsidRDefault="00171CB2" w:rsidP="00171CB2">
      <w:pPr>
        <w:keepNext/>
        <w:rPr>
          <w:spacing w:val="-2"/>
          <w:lang w:val="de-DE"/>
        </w:rPr>
      </w:pPr>
    </w:p>
    <w:p w14:paraId="4E65855D" w14:textId="77777777" w:rsidR="00171CB2" w:rsidRPr="00171CB2" w:rsidRDefault="00171CB2" w:rsidP="00171CB2">
      <w:pPr>
        <w:keepNext/>
        <w:rPr>
          <w:lang w:val="de-DE"/>
        </w:rPr>
      </w:pPr>
      <w:r w:rsidRPr="00171CB2">
        <w:rPr>
          <w:snapToGrid w:val="0"/>
          <w:lang w:val="de-DE"/>
        </w:rPr>
        <w:fldChar w:fldCharType="begin"/>
      </w:r>
      <w:r w:rsidRPr="00171CB2">
        <w:rPr>
          <w:snapToGrid w:val="0"/>
          <w:lang w:val="de-DE"/>
        </w:rPr>
        <w:instrText xml:space="preserve"> AUTONUM  </w:instrText>
      </w:r>
      <w:r w:rsidRPr="00171CB2">
        <w:rPr>
          <w:snapToGrid w:val="0"/>
          <w:lang w:val="de-DE"/>
        </w:rPr>
        <w:fldChar w:fldCharType="end"/>
      </w:r>
      <w:r w:rsidRPr="00171CB2">
        <w:rPr>
          <w:snapToGrid w:val="0"/>
          <w:lang w:val="de-DE"/>
        </w:rPr>
        <w:tab/>
        <w:t>In Abschnitt 4 von Dokument UPOV/INF/16 „Austauschbare Software” heißt es folgendermaßen</w:t>
      </w:r>
      <w:r w:rsidRPr="00171CB2">
        <w:rPr>
          <w:lang w:val="de-DE"/>
        </w:rPr>
        <w:t>:</w:t>
      </w:r>
    </w:p>
    <w:p w14:paraId="27BA2651" w14:textId="77777777" w:rsidR="00171CB2" w:rsidRPr="00171CB2" w:rsidRDefault="00171CB2" w:rsidP="00171CB2">
      <w:pPr>
        <w:keepNext/>
        <w:rPr>
          <w:lang w:val="de-DE"/>
        </w:rPr>
      </w:pPr>
    </w:p>
    <w:p w14:paraId="2B5CA9A0" w14:textId="77777777" w:rsidR="00171CB2" w:rsidRPr="00171CB2" w:rsidRDefault="00171CB2" w:rsidP="00171CB2">
      <w:pPr>
        <w:keepNext/>
        <w:ind w:left="567" w:right="566"/>
        <w:rPr>
          <w:snapToGrid w:val="0"/>
          <w:sz w:val="18"/>
          <w:szCs w:val="18"/>
          <w:u w:val="single"/>
          <w:lang w:val="de-DE"/>
        </w:rPr>
      </w:pPr>
      <w:r w:rsidRPr="00171CB2">
        <w:rPr>
          <w:snapToGrid w:val="0"/>
          <w:sz w:val="18"/>
          <w:szCs w:val="18"/>
          <w:lang w:val="de-DE"/>
        </w:rPr>
        <w:t>„4.</w:t>
      </w:r>
      <w:r w:rsidRPr="00171CB2">
        <w:rPr>
          <w:snapToGrid w:val="0"/>
          <w:sz w:val="18"/>
          <w:szCs w:val="18"/>
          <w:lang w:val="de-DE"/>
        </w:rPr>
        <w:tab/>
      </w:r>
      <w:r w:rsidRPr="00171CB2">
        <w:rPr>
          <w:snapToGrid w:val="0"/>
          <w:sz w:val="18"/>
          <w:szCs w:val="18"/>
          <w:u w:val="single"/>
          <w:lang w:val="de-DE"/>
        </w:rPr>
        <w:t>Informationen über die Nutzung durch die Verbandsmitglieder</w:t>
      </w:r>
    </w:p>
    <w:p w14:paraId="1CE41B72" w14:textId="77777777" w:rsidR="00171CB2" w:rsidRPr="00171CB2" w:rsidRDefault="00171CB2" w:rsidP="00171CB2">
      <w:pPr>
        <w:keepNext/>
        <w:ind w:left="567" w:right="566"/>
        <w:rPr>
          <w:snapToGrid w:val="0"/>
          <w:sz w:val="16"/>
          <w:szCs w:val="18"/>
          <w:lang w:val="de-DE"/>
        </w:rPr>
      </w:pPr>
    </w:p>
    <w:p w14:paraId="75FDA05B" w14:textId="77777777" w:rsidR="00171CB2" w:rsidRPr="00171CB2" w:rsidRDefault="00171CB2" w:rsidP="00171CB2">
      <w:pPr>
        <w:ind w:left="567" w:right="566"/>
        <w:rPr>
          <w:snapToGrid w:val="0"/>
          <w:sz w:val="18"/>
          <w:szCs w:val="18"/>
          <w:lang w:val="de-DE"/>
        </w:rPr>
      </w:pPr>
      <w:r w:rsidRPr="00171CB2">
        <w:rPr>
          <w:snapToGrid w:val="0"/>
          <w:sz w:val="18"/>
          <w:szCs w:val="18"/>
          <w:lang w:val="de-DE"/>
        </w:rPr>
        <w:t xml:space="preserve">„4.1 </w:t>
      </w:r>
      <w:r w:rsidRPr="00171CB2">
        <w:rPr>
          <w:snapToGrid w:val="0"/>
          <w:sz w:val="18"/>
          <w:szCs w:val="18"/>
          <w:lang w:val="de-DE"/>
        </w:rPr>
        <w:tab/>
        <w:t>Jährlich wird ein Rundschreiben an die Verbandsmitglieder gerichtet, in dem sie ersucht werden, Informationen über die Nutzung der in Dokument UPOV/INF/16 enthaltenen Software zu erteilen.</w:t>
      </w:r>
    </w:p>
    <w:p w14:paraId="1DFDA8E3" w14:textId="77777777" w:rsidR="00171CB2" w:rsidRPr="00171CB2" w:rsidRDefault="00171CB2" w:rsidP="00171CB2">
      <w:pPr>
        <w:ind w:left="567" w:right="566"/>
        <w:rPr>
          <w:snapToGrid w:val="0"/>
          <w:sz w:val="14"/>
          <w:szCs w:val="18"/>
          <w:lang w:val="de-DE" w:eastAsia="ja-JP"/>
        </w:rPr>
      </w:pPr>
    </w:p>
    <w:p w14:paraId="2744E09C" w14:textId="77777777" w:rsidR="00171CB2" w:rsidRPr="00171CB2" w:rsidRDefault="00171CB2" w:rsidP="00171CB2">
      <w:pPr>
        <w:ind w:left="567" w:right="566"/>
        <w:rPr>
          <w:snapToGrid w:val="0"/>
          <w:spacing w:val="-2"/>
          <w:sz w:val="18"/>
          <w:szCs w:val="18"/>
          <w:lang w:val="de-DE"/>
        </w:rPr>
      </w:pPr>
      <w:r w:rsidRPr="00171CB2">
        <w:rPr>
          <w:snapToGrid w:val="0"/>
          <w:spacing w:val="-2"/>
          <w:sz w:val="18"/>
          <w:szCs w:val="18"/>
          <w:lang w:val="de-DE"/>
        </w:rPr>
        <w:t>„4.2</w:t>
      </w:r>
      <w:r w:rsidRPr="00171CB2">
        <w:rPr>
          <w:snapToGrid w:val="0"/>
          <w:spacing w:val="-2"/>
          <w:sz w:val="18"/>
          <w:szCs w:val="18"/>
          <w:lang w:val="de-DE"/>
        </w:rPr>
        <w:tab/>
        <w:t xml:space="preserve">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 </w:t>
      </w:r>
    </w:p>
    <w:p w14:paraId="186999D7" w14:textId="77777777" w:rsidR="00171CB2" w:rsidRPr="00171CB2" w:rsidRDefault="00171CB2" w:rsidP="00171CB2">
      <w:pPr>
        <w:rPr>
          <w:snapToGrid w:val="0"/>
          <w:lang w:val="de-DE" w:eastAsia="ja-JP"/>
        </w:rPr>
      </w:pPr>
    </w:p>
    <w:p w14:paraId="263F866D"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 xml:space="preserve">Am 18. Januar 2022 </w:t>
      </w:r>
      <w:r w:rsidRPr="00171CB2">
        <w:rPr>
          <w:snapToGrid w:val="0"/>
          <w:lang w:val="de-DE"/>
        </w:rPr>
        <w:t>sandte das Verbandsbüro</w:t>
      </w:r>
      <w:r w:rsidRPr="00171CB2">
        <w:rPr>
          <w:lang w:val="de-DE"/>
        </w:rPr>
        <w:t xml:space="preserve"> das Rundschreiben E-22/002 an die benannten Verbandsmitglieder im TC, in dem sie ersucht werden, Information über die Nutzung der in Dokument UPOV/INF/16/11 </w:t>
      </w:r>
      <w:proofErr w:type="spellStart"/>
      <w:r w:rsidRPr="00171CB2">
        <w:rPr>
          <w:lang w:val="de-DE"/>
        </w:rPr>
        <w:t>Draft</w:t>
      </w:r>
      <w:proofErr w:type="spellEnd"/>
      <w:r w:rsidRPr="00171CB2">
        <w:rPr>
          <w:lang w:val="de-DE"/>
        </w:rPr>
        <w:t xml:space="preserve"> 1 „Austauschbare Software“ enthaltenen Software zu erteilen oder zu aktualisieren. In Beantwortung des Rundschreibens E</w:t>
      </w:r>
      <w:r w:rsidRPr="00171CB2">
        <w:rPr>
          <w:lang w:val="de-DE"/>
        </w:rPr>
        <w:noBreakHyphen/>
        <w:t xml:space="preserve"> 22/002 erteilten China, Frankreich, Polen, die Tschechische Republik und Usbekistan Auskunft zur Verwendung der in Dokument UPOV/INF/16 enthaltenen Software. </w:t>
      </w:r>
    </w:p>
    <w:p w14:paraId="6E14DBB6" w14:textId="77777777" w:rsidR="00171CB2" w:rsidRPr="00171CB2" w:rsidRDefault="00171CB2" w:rsidP="00171CB2">
      <w:pPr>
        <w:keepNext/>
        <w:keepLines/>
        <w:rPr>
          <w:lang w:val="de-DE"/>
        </w:rPr>
      </w:pPr>
    </w:p>
    <w:p w14:paraId="313DC656" w14:textId="77777777" w:rsidR="00171CB2" w:rsidRPr="00171CB2" w:rsidRDefault="00171CB2" w:rsidP="00171CB2">
      <w:pPr>
        <w:keepNext/>
        <w:keepLines/>
        <w:rPr>
          <w:spacing w:val="-2"/>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 xml:space="preserve">Der TC und der CAJ werden ersucht, den Vorschlägen zur </w:t>
      </w:r>
      <w:r w:rsidRPr="00171CB2">
        <w:rPr>
          <w:spacing w:val="-2"/>
          <w:lang w:val="de-DE"/>
        </w:rPr>
        <w:t xml:space="preserve">Überarbeitung von Dokument UPOV/INF/16/10 „Austauschbare Software“, wie in Dokument UPOV/INF/16/11 </w:t>
      </w:r>
      <w:proofErr w:type="spellStart"/>
      <w:r w:rsidRPr="00171CB2">
        <w:rPr>
          <w:spacing w:val="-2"/>
          <w:lang w:val="de-DE"/>
        </w:rPr>
        <w:t>Draft</w:t>
      </w:r>
      <w:proofErr w:type="spellEnd"/>
      <w:r w:rsidRPr="00171CB2">
        <w:rPr>
          <w:spacing w:val="-2"/>
          <w:lang w:val="de-DE"/>
        </w:rPr>
        <w:t xml:space="preserve"> 1 dargelegt, </w:t>
      </w:r>
      <w:r w:rsidRPr="00171CB2">
        <w:rPr>
          <w:lang w:val="de-DE"/>
        </w:rPr>
        <w:t>zuzustimmen</w:t>
      </w:r>
      <w:r w:rsidRPr="00171CB2">
        <w:rPr>
          <w:spacing w:val="-2"/>
          <w:lang w:val="de-DE"/>
        </w:rPr>
        <w:t>.</w:t>
      </w:r>
    </w:p>
    <w:p w14:paraId="29EE9667" w14:textId="77777777" w:rsidR="00171CB2" w:rsidRPr="00171CB2" w:rsidRDefault="00171CB2" w:rsidP="00171CB2">
      <w:pPr>
        <w:rPr>
          <w:lang w:val="de-DE"/>
        </w:rPr>
      </w:pPr>
    </w:p>
    <w:p w14:paraId="410CB9FF" w14:textId="77777777" w:rsidR="00171CB2" w:rsidRPr="00171CB2" w:rsidRDefault="00171CB2" w:rsidP="00171CB2">
      <w:pPr>
        <w:pStyle w:val="Heading4"/>
        <w:rPr>
          <w:lang w:val="de-DE" w:eastAsia="ja-JP"/>
        </w:rPr>
      </w:pPr>
      <w:bookmarkStart w:id="10" w:name="_Toc27723607"/>
      <w:bookmarkStart w:id="11" w:name="_Toc99994215"/>
      <w:r w:rsidRPr="00171CB2">
        <w:rPr>
          <w:lang w:val="de-DE"/>
        </w:rPr>
        <w:t>Aufnahme von Software</w:t>
      </w:r>
      <w:bookmarkEnd w:id="10"/>
      <w:r w:rsidRPr="00171CB2">
        <w:rPr>
          <w:lang w:val="de-DE"/>
        </w:rPr>
        <w:t xml:space="preserve"> in das Dokument UPOV/INF/16</w:t>
      </w:r>
      <w:bookmarkEnd w:id="11"/>
    </w:p>
    <w:p w14:paraId="2048378B" w14:textId="77777777" w:rsidR="00171CB2" w:rsidRPr="00171CB2" w:rsidRDefault="00171CB2" w:rsidP="00171CB2">
      <w:pPr>
        <w:pStyle w:val="Heading4"/>
        <w:rPr>
          <w:snapToGrid w:val="0"/>
          <w:lang w:val="de-DE" w:eastAsia="ja-JP"/>
        </w:rPr>
      </w:pPr>
    </w:p>
    <w:p w14:paraId="0D87830D" w14:textId="77777777" w:rsidR="00171CB2" w:rsidRPr="00171CB2" w:rsidRDefault="00171CB2" w:rsidP="00171CB2">
      <w:pPr>
        <w:keepNext/>
        <w:rPr>
          <w:lang w:val="de-DE"/>
        </w:rPr>
      </w:pPr>
      <w:r w:rsidRPr="00171CB2">
        <w:rPr>
          <w:lang w:val="de-DE" w:eastAsia="ja-JP"/>
        </w:rPr>
        <w:fldChar w:fldCharType="begin"/>
      </w:r>
      <w:r w:rsidRPr="00171CB2">
        <w:rPr>
          <w:lang w:val="de-DE" w:eastAsia="ja-JP"/>
        </w:rPr>
        <w:instrText xml:space="preserve"> AUTONUM  </w:instrText>
      </w:r>
      <w:r w:rsidRPr="00171CB2">
        <w:rPr>
          <w:lang w:val="de-DE" w:eastAsia="ja-JP"/>
        </w:rPr>
        <w:fldChar w:fldCharType="end"/>
      </w:r>
      <w:r w:rsidRPr="00171CB2">
        <w:rPr>
          <w:lang w:val="de-DE" w:eastAsia="ja-JP"/>
        </w:rPr>
        <w:tab/>
      </w:r>
      <w:r w:rsidRPr="00171CB2">
        <w:rPr>
          <w:snapToGrid w:val="0"/>
          <w:lang w:val="de-DE"/>
        </w:rPr>
        <w:t xml:space="preserve">Abschnitt 2 des </w:t>
      </w:r>
      <w:r w:rsidRPr="00171CB2">
        <w:rPr>
          <w:lang w:val="de-DE"/>
        </w:rPr>
        <w:t>Dokuments UPOV/INF/16 „Austauschbare Software“ sieht Folgendes vor:</w:t>
      </w:r>
    </w:p>
    <w:p w14:paraId="22BB3C00" w14:textId="77777777" w:rsidR="00171CB2" w:rsidRPr="00171CB2" w:rsidRDefault="00171CB2" w:rsidP="00171CB2">
      <w:pPr>
        <w:keepNext/>
        <w:rPr>
          <w:lang w:val="de-DE"/>
        </w:rPr>
      </w:pPr>
    </w:p>
    <w:p w14:paraId="03F9A146" w14:textId="77777777" w:rsidR="00171CB2" w:rsidRPr="00171CB2" w:rsidRDefault="00171CB2" w:rsidP="00171CB2">
      <w:pPr>
        <w:keepNext/>
        <w:ind w:left="567" w:right="566"/>
        <w:rPr>
          <w:snapToGrid w:val="0"/>
          <w:sz w:val="18"/>
          <w:szCs w:val="18"/>
          <w:lang w:val="de-DE"/>
        </w:rPr>
      </w:pPr>
      <w:r w:rsidRPr="00171CB2">
        <w:rPr>
          <w:snapToGrid w:val="0"/>
          <w:sz w:val="18"/>
          <w:szCs w:val="18"/>
          <w:lang w:val="de-DE"/>
        </w:rPr>
        <w:t xml:space="preserve">„Die von den Verbandsmitgliedern zur Aufnahme in das Dokument UPOV/INF/16 angebotene Software wird insbesondere der Technischen Arbeitsgruppe </w:t>
      </w:r>
      <w:proofErr w:type="spellStart"/>
      <w:r w:rsidRPr="00171CB2">
        <w:rPr>
          <w:snapToGrid w:val="0"/>
          <w:sz w:val="18"/>
          <w:szCs w:val="18"/>
          <w:lang w:val="de-DE"/>
        </w:rPr>
        <w:t>für</w:t>
      </w:r>
      <w:proofErr w:type="spellEnd"/>
      <w:r w:rsidRPr="00171CB2">
        <w:rPr>
          <w:snapToGrid w:val="0"/>
          <w:sz w:val="18"/>
          <w:szCs w:val="18"/>
          <w:lang w:val="de-DE"/>
        </w:rPr>
        <w:t xml:space="preserve"> Automatisierung und Computerprogramme (TWC) zur </w:t>
      </w:r>
      <w:proofErr w:type="spellStart"/>
      <w:r w:rsidRPr="00171CB2">
        <w:rPr>
          <w:snapToGrid w:val="0"/>
          <w:sz w:val="18"/>
          <w:szCs w:val="18"/>
          <w:lang w:val="de-DE"/>
        </w:rPr>
        <w:t>Überprüfung</w:t>
      </w:r>
      <w:proofErr w:type="spellEnd"/>
      <w:r w:rsidRPr="00171CB2">
        <w:rPr>
          <w:snapToGrid w:val="0"/>
          <w:sz w:val="18"/>
          <w:szCs w:val="18"/>
          <w:lang w:val="de-DE"/>
        </w:rPr>
        <w:t xml:space="preserve"> vorgelegt. Aufgrund dieser Vorlage an die TWC und der Erfahrung der Verbandsmitglieder gibt die TWC eine Empfehlung an den Technischen Ausschuss (TC) </w:t>
      </w:r>
      <w:proofErr w:type="spellStart"/>
      <w:r w:rsidRPr="00171CB2">
        <w:rPr>
          <w:snapToGrid w:val="0"/>
          <w:sz w:val="18"/>
          <w:szCs w:val="18"/>
          <w:lang w:val="de-DE"/>
        </w:rPr>
        <w:t>darüber</w:t>
      </w:r>
      <w:proofErr w:type="spellEnd"/>
      <w:r w:rsidRPr="00171CB2">
        <w:rPr>
          <w:snapToGrid w:val="0"/>
          <w:sz w:val="18"/>
          <w:szCs w:val="18"/>
          <w:lang w:val="de-DE"/>
        </w:rPr>
        <w:t xml:space="preserve"> ab, ob diese Software in das Dokument UPOV/INF/16 aufgenommen werden soll [...]“.</w:t>
      </w:r>
    </w:p>
    <w:p w14:paraId="1AACA2AB" w14:textId="77777777" w:rsidR="00171CB2" w:rsidRPr="00171CB2" w:rsidRDefault="00171CB2" w:rsidP="00171CB2">
      <w:pPr>
        <w:rPr>
          <w:snapToGrid w:val="0"/>
          <w:lang w:val="de-DE" w:eastAsia="ja-JP"/>
        </w:rPr>
      </w:pPr>
    </w:p>
    <w:p w14:paraId="6BE9425A" w14:textId="441BE3D9"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 xml:space="preserve">Das Verbandsbüro gab am 18. Januar 2022 das Rundschreiben E-22/002 an die benannten Personen der Verbandsmitglieder im TC heraus </w:t>
      </w:r>
      <w:r w:rsidR="00085AFC" w:rsidRPr="00085AFC">
        <w:rPr>
          <w:lang w:val="de-DE"/>
        </w:rPr>
        <w:t>in dem diese aufgefordert wurden, Vorschläge für neue oder aktualisierte Informationen über Software zur Aufnahme in das</w:t>
      </w:r>
      <w:r w:rsidR="00085AFC">
        <w:rPr>
          <w:lang w:val="de-DE"/>
        </w:rPr>
        <w:t xml:space="preserve"> </w:t>
      </w:r>
      <w:r w:rsidR="00085AFC">
        <w:rPr>
          <w:lang w:val="de-DE"/>
        </w:rPr>
        <w:br/>
      </w:r>
      <w:r w:rsidRPr="00171CB2">
        <w:rPr>
          <w:lang w:val="de-DE"/>
        </w:rPr>
        <w:t xml:space="preserve">Dokument UPOV/INF/16/11 </w:t>
      </w:r>
      <w:proofErr w:type="spellStart"/>
      <w:r w:rsidRPr="00171CB2">
        <w:rPr>
          <w:lang w:val="de-DE"/>
        </w:rPr>
        <w:t>Draft</w:t>
      </w:r>
      <w:proofErr w:type="spellEnd"/>
      <w:r w:rsidRPr="00171CB2">
        <w:rPr>
          <w:lang w:val="de-DE"/>
        </w:rPr>
        <w:t xml:space="preserve"> 1 „Austauschbare Software“ </w:t>
      </w:r>
      <w:r w:rsidR="00085AFC" w:rsidRPr="00085AFC">
        <w:rPr>
          <w:lang w:val="de-DE"/>
        </w:rPr>
        <w:t>einzureichen</w:t>
      </w:r>
      <w:r w:rsidRPr="00171CB2">
        <w:rPr>
          <w:lang w:val="de-DE"/>
        </w:rPr>
        <w:t xml:space="preserve">. </w:t>
      </w:r>
    </w:p>
    <w:p w14:paraId="6EA3546E" w14:textId="77777777" w:rsidR="00171CB2" w:rsidRPr="00171CB2" w:rsidRDefault="00171CB2" w:rsidP="00171CB2">
      <w:pPr>
        <w:rPr>
          <w:lang w:val="de-DE"/>
        </w:rPr>
      </w:pPr>
    </w:p>
    <w:p w14:paraId="0AEAE2CC"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 xml:space="preserve">Der TC vereinbarte auf seiner siebenundfünfzigsten Tagung, die Verbandsmitglieder zu ersuchen, die Aufnahme von Software, die ihre Verfahren für die Umsetzung von Erfassungen in Noten enthält, in Dokument UPOV/INF/16 bzw. Dokument UPOV/INF/22 vorzuschlagen, mit einem Hinweis auf die Verfügbarkeit solcher Verfahren in Dokument TGP/8 Teil I, neuer Abschnitt 2.5 (vergleiche Dokument TC/57/25 „Bericht“, Absatz 28). Dieses Gesuch wurde in das Rundschreiben E-22/002 vom 18. Januar 2022 aufgenommen. </w:t>
      </w:r>
    </w:p>
    <w:p w14:paraId="700B4FB3" w14:textId="77777777" w:rsidR="00171CB2" w:rsidRPr="00171CB2" w:rsidRDefault="00171CB2" w:rsidP="00171CB2">
      <w:pPr>
        <w:rPr>
          <w:snapToGrid w:val="0"/>
          <w:lang w:val="de-DE"/>
        </w:rPr>
      </w:pPr>
    </w:p>
    <w:p w14:paraId="7CFD6A94" w14:textId="77777777" w:rsidR="00171CB2" w:rsidRPr="00171CB2" w:rsidRDefault="00171CB2" w:rsidP="00171CB2">
      <w:pPr>
        <w:pStyle w:val="Heading5"/>
        <w:rPr>
          <w:snapToGrid w:val="0"/>
          <w:lang w:val="de-DE"/>
        </w:rPr>
      </w:pPr>
      <w:r w:rsidRPr="00171CB2">
        <w:rPr>
          <w:snapToGrid w:val="0"/>
          <w:lang w:val="de-DE"/>
        </w:rPr>
        <w:t>Vorschläge für die Aufnahme von Software in das Dokument UPOV/INF/16</w:t>
      </w:r>
    </w:p>
    <w:p w14:paraId="20EEA6FB" w14:textId="77777777" w:rsidR="00171CB2" w:rsidRPr="00171CB2" w:rsidRDefault="00171CB2" w:rsidP="00171CB2">
      <w:pPr>
        <w:rPr>
          <w:lang w:val="de-DE"/>
        </w:rPr>
      </w:pPr>
    </w:p>
    <w:p w14:paraId="7E889E5B"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 xml:space="preserve">In Beantwortung des Rundschreibens E-22/002 erhielt das Verbandsbüro Vorschläge für die Aufnahme von Software in das Dokument UPOV/INF/16 von China (DUSCEL), Frankreich (PATHOSTAT) und Usbekistan (SATOZ). </w:t>
      </w:r>
    </w:p>
    <w:p w14:paraId="5A300B95" w14:textId="77777777" w:rsidR="00171CB2" w:rsidRPr="00171CB2" w:rsidRDefault="00171CB2" w:rsidP="00171CB2">
      <w:pPr>
        <w:rPr>
          <w:snapToGrid w:val="0"/>
          <w:lang w:val="de-DE" w:eastAsia="ja-JP"/>
        </w:rPr>
      </w:pPr>
    </w:p>
    <w:p w14:paraId="00393D28" w14:textId="77777777" w:rsidR="00171CB2" w:rsidRPr="00171CB2" w:rsidRDefault="00171CB2" w:rsidP="00171CB2">
      <w:pPr>
        <w:rPr>
          <w:lang w:val="de-DE"/>
        </w:rPr>
      </w:pPr>
      <w:r w:rsidRPr="00171CB2">
        <w:rPr>
          <w:snapToGrid w:val="0"/>
          <w:lang w:val="de-DE"/>
        </w:rPr>
        <w:fldChar w:fldCharType="begin"/>
      </w:r>
      <w:r w:rsidRPr="00171CB2">
        <w:rPr>
          <w:snapToGrid w:val="0"/>
          <w:lang w:val="de-DE"/>
        </w:rPr>
        <w:instrText xml:space="preserve"> AUTONUM  </w:instrText>
      </w:r>
      <w:r w:rsidRPr="00171CB2">
        <w:rPr>
          <w:snapToGrid w:val="0"/>
          <w:lang w:val="de-DE"/>
        </w:rPr>
        <w:fldChar w:fldCharType="end"/>
      </w:r>
      <w:r w:rsidRPr="00171CB2">
        <w:rPr>
          <w:snapToGrid w:val="0"/>
          <w:lang w:val="de-DE"/>
        </w:rPr>
        <w:tab/>
        <w:t xml:space="preserve">Die zur Aufnahme in das Dokument UPOV/INF/16 vorgeschlagene Software </w:t>
      </w:r>
      <w:r w:rsidRPr="00171CB2">
        <w:rPr>
          <w:lang w:val="de-DE"/>
        </w:rPr>
        <w:t xml:space="preserve">wird der </w:t>
      </w:r>
      <w:r w:rsidRPr="00171CB2">
        <w:rPr>
          <w:snapToGrid w:val="0"/>
          <w:lang w:val="de-DE"/>
        </w:rPr>
        <w:t xml:space="preserve">TWM auf ihrer ersten Tagung vom 19. bis 23. September 2022 </w:t>
      </w:r>
      <w:r w:rsidRPr="00171CB2">
        <w:rPr>
          <w:lang w:val="de-DE"/>
        </w:rPr>
        <w:t>zur Prüfung vorgelegt werden</w:t>
      </w:r>
      <w:r w:rsidRPr="00171CB2">
        <w:rPr>
          <w:snapToGrid w:val="0"/>
          <w:lang w:val="de-DE"/>
        </w:rPr>
        <w:t>. Die TWM wird ersucht werden, eine Empfehlung zur Prüfung durch den TC auf seiner achtundfünfzigsten Tagung abzugeben, ob die vorgeschlagene Software in das Dokument UPOV/INF/16 aufgenommen werden soll</w:t>
      </w:r>
      <w:r w:rsidRPr="00171CB2">
        <w:rPr>
          <w:lang w:val="de-DE"/>
        </w:rPr>
        <w:t>.</w:t>
      </w:r>
    </w:p>
    <w:p w14:paraId="2EEBDBD5" w14:textId="77777777" w:rsidR="00171CB2" w:rsidRPr="00171CB2" w:rsidRDefault="00171CB2" w:rsidP="00171CB2">
      <w:pPr>
        <w:rPr>
          <w:lang w:val="de-DE"/>
        </w:rPr>
      </w:pPr>
    </w:p>
    <w:p w14:paraId="295D4BFB" w14:textId="77777777" w:rsidR="00171CB2" w:rsidRPr="00171CB2" w:rsidRDefault="00171CB2" w:rsidP="00171CB2">
      <w:pPr>
        <w:pStyle w:val="DecisionParagraphs"/>
        <w:keepNext/>
        <w:keepLines/>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Der TC wird ersucht:</w:t>
      </w:r>
    </w:p>
    <w:p w14:paraId="7B3896A0" w14:textId="77777777" w:rsidR="00171CB2" w:rsidRPr="00171CB2" w:rsidRDefault="00171CB2" w:rsidP="00171CB2">
      <w:pPr>
        <w:pStyle w:val="DecisionParagraphs"/>
        <w:keepNext/>
        <w:keepLines/>
        <w:rPr>
          <w:lang w:val="de-DE"/>
        </w:rPr>
      </w:pPr>
    </w:p>
    <w:p w14:paraId="44F76C0A" w14:textId="77777777" w:rsidR="00171CB2" w:rsidRPr="00171CB2" w:rsidRDefault="00171CB2" w:rsidP="00171CB2">
      <w:pPr>
        <w:pStyle w:val="DecisionParagraphs"/>
        <w:keepNext/>
        <w:keepLines/>
        <w:rPr>
          <w:lang w:val="de-DE"/>
        </w:rPr>
      </w:pPr>
      <w:r w:rsidRPr="00171CB2">
        <w:rPr>
          <w:lang w:val="de-DE"/>
        </w:rPr>
        <w:tab/>
        <w:t>a)</w:t>
      </w:r>
      <w:r w:rsidRPr="00171CB2">
        <w:rPr>
          <w:lang w:val="de-DE"/>
        </w:rPr>
        <w:tab/>
        <w:t xml:space="preserve">die vorgeschlagene Überarbeitung von Dokument UPOV/INF/16 „Austauschbare Software“ auf der Grundlage von Dokument UPOV/INF/16/11 </w:t>
      </w:r>
      <w:proofErr w:type="spellStart"/>
      <w:r w:rsidRPr="00171CB2">
        <w:rPr>
          <w:lang w:val="de-DE"/>
        </w:rPr>
        <w:t>Draft</w:t>
      </w:r>
      <w:proofErr w:type="spellEnd"/>
      <w:r w:rsidRPr="00171CB2">
        <w:rPr>
          <w:lang w:val="de-DE"/>
        </w:rPr>
        <w:t xml:space="preserve"> 1 und der Empfehlungen der TWM auf ihrer ersten Tagung zu prüfen; und</w:t>
      </w:r>
    </w:p>
    <w:p w14:paraId="62F89578" w14:textId="77777777" w:rsidR="00171CB2" w:rsidRPr="00171CB2" w:rsidRDefault="00171CB2" w:rsidP="00171CB2">
      <w:pPr>
        <w:pStyle w:val="DecisionParagraphs"/>
        <w:rPr>
          <w:lang w:val="de-DE"/>
        </w:rPr>
      </w:pPr>
    </w:p>
    <w:p w14:paraId="758B14A0" w14:textId="77777777" w:rsidR="00171CB2" w:rsidRPr="00171CB2" w:rsidRDefault="00171CB2" w:rsidP="00171CB2">
      <w:pPr>
        <w:pStyle w:val="DecisionParagraphs"/>
        <w:rPr>
          <w:lang w:val="de-DE"/>
        </w:rPr>
      </w:pPr>
      <w:r w:rsidRPr="00171CB2">
        <w:rPr>
          <w:lang w:val="de-DE"/>
        </w:rPr>
        <w:tab/>
        <w:t xml:space="preserve">b) </w:t>
      </w:r>
      <w:r w:rsidRPr="00171CB2">
        <w:rPr>
          <w:lang w:val="de-DE"/>
        </w:rPr>
        <w:tab/>
        <w:t>zur Kenntnis zu nehmen, dass dem Rat im Jahr 2022 vorbehaltlich der Zustimmung des CAJ ein vereinbarter Entwurf des Dokuments UPOV/INF/16 zur Annahme vorgelegt werden wird.</w:t>
      </w:r>
    </w:p>
    <w:p w14:paraId="73A33DE0" w14:textId="77777777" w:rsidR="00171CB2" w:rsidRPr="00171CB2" w:rsidRDefault="00171CB2" w:rsidP="00171CB2">
      <w:pPr>
        <w:rPr>
          <w:lang w:val="de-DE"/>
        </w:rPr>
      </w:pPr>
    </w:p>
    <w:p w14:paraId="5889AF0A" w14:textId="77777777" w:rsidR="00171CB2" w:rsidRPr="00171CB2" w:rsidRDefault="00171CB2" w:rsidP="00171CB2">
      <w:pPr>
        <w:rPr>
          <w:lang w:val="de-DE"/>
        </w:rPr>
      </w:pPr>
    </w:p>
    <w:p w14:paraId="350CE56E" w14:textId="77777777" w:rsidR="00171CB2" w:rsidRPr="00171CB2" w:rsidRDefault="00171CB2" w:rsidP="008D7685">
      <w:pPr>
        <w:pStyle w:val="Heading3"/>
        <w:rPr>
          <w:lang w:val="de-DE"/>
        </w:rPr>
      </w:pPr>
      <w:bookmarkStart w:id="12" w:name="_Toc107846184"/>
      <w:bookmarkStart w:id="13" w:name="_Toc107949443"/>
      <w:bookmarkStart w:id="14" w:name="_Toc107949613"/>
      <w:bookmarkStart w:id="15" w:name="_Toc111463647"/>
      <w:r w:rsidRPr="00171CB2">
        <w:rPr>
          <w:lang w:val="de-DE"/>
        </w:rPr>
        <w:t xml:space="preserve">Überarbeitung von Dokument UPOV/INF/22 „Von Verbandsmitgliedern verwendete Software und Ausrüstung“ </w:t>
      </w:r>
      <w:r w:rsidRPr="00171CB2">
        <w:rPr>
          <w:lang w:val="de-DE"/>
        </w:rPr>
        <w:br/>
        <w:t xml:space="preserve">(Dokument UPOV/INF/22/9 </w:t>
      </w:r>
      <w:proofErr w:type="spellStart"/>
      <w:r w:rsidRPr="00171CB2">
        <w:rPr>
          <w:lang w:val="de-DE"/>
        </w:rPr>
        <w:t>Draft</w:t>
      </w:r>
      <w:proofErr w:type="spellEnd"/>
      <w:r w:rsidRPr="00171CB2">
        <w:rPr>
          <w:lang w:val="de-DE"/>
        </w:rPr>
        <w:t xml:space="preserve"> 1)</w:t>
      </w:r>
      <w:bookmarkEnd w:id="12"/>
      <w:bookmarkEnd w:id="13"/>
      <w:bookmarkEnd w:id="14"/>
      <w:bookmarkEnd w:id="15"/>
    </w:p>
    <w:p w14:paraId="4ACA7BC9" w14:textId="77777777" w:rsidR="00171CB2" w:rsidRPr="00171CB2" w:rsidRDefault="00171CB2" w:rsidP="008D7685">
      <w:pPr>
        <w:pStyle w:val="Heading3"/>
        <w:rPr>
          <w:lang w:val="de-DE"/>
        </w:rPr>
      </w:pPr>
    </w:p>
    <w:p w14:paraId="54FBAB28"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 xml:space="preserve">Der TC und der CAJ werden ersucht werden, den Vorschlägen zur </w:t>
      </w:r>
      <w:r w:rsidRPr="00171CB2">
        <w:rPr>
          <w:spacing w:val="-2"/>
          <w:lang w:val="de-DE"/>
        </w:rPr>
        <w:t>Überarbeitung von Dokument UPOV/INF/22/8 „</w:t>
      </w:r>
      <w:r w:rsidRPr="00171CB2">
        <w:rPr>
          <w:lang w:val="de-DE"/>
        </w:rPr>
        <w:t xml:space="preserve">Von Verbandsmitgliedern verwendete Software und Ausrüstung“, wie in Dokument UPOV/INF/22/9 </w:t>
      </w:r>
      <w:proofErr w:type="spellStart"/>
      <w:r w:rsidRPr="00171CB2">
        <w:rPr>
          <w:lang w:val="de-DE"/>
        </w:rPr>
        <w:t>Draft</w:t>
      </w:r>
      <w:proofErr w:type="spellEnd"/>
      <w:r w:rsidRPr="00171CB2">
        <w:rPr>
          <w:lang w:val="de-DE"/>
        </w:rPr>
        <w:t xml:space="preserve"> 1 dargelegt, zuzustimmen.</w:t>
      </w:r>
    </w:p>
    <w:p w14:paraId="55E1EEE7" w14:textId="77777777" w:rsidR="00171CB2" w:rsidRPr="00171CB2" w:rsidRDefault="00171CB2" w:rsidP="00171CB2">
      <w:pPr>
        <w:keepNext/>
        <w:rPr>
          <w:lang w:val="de-DE"/>
        </w:rPr>
      </w:pPr>
    </w:p>
    <w:bookmarkStart w:id="16" w:name="_GoBack"/>
    <w:p w14:paraId="5796F7CC" w14:textId="77777777" w:rsidR="00171CB2" w:rsidRPr="00171CB2" w:rsidRDefault="00171CB2" w:rsidP="008B6EB1">
      <w:pPr>
        <w:pStyle w:val="DecisionParagraphs"/>
        <w:keepNext/>
        <w:keepLines/>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Der TC wird ersucht:</w:t>
      </w:r>
    </w:p>
    <w:p w14:paraId="55AD2BD1" w14:textId="77777777" w:rsidR="00171CB2" w:rsidRPr="00171CB2" w:rsidRDefault="00171CB2" w:rsidP="008B6EB1">
      <w:pPr>
        <w:pStyle w:val="DecisionParagraphs"/>
        <w:keepNext/>
        <w:keepLines/>
        <w:rPr>
          <w:lang w:val="de-DE"/>
        </w:rPr>
      </w:pPr>
    </w:p>
    <w:p w14:paraId="6F76E18A" w14:textId="77777777" w:rsidR="00171CB2" w:rsidRPr="00171CB2" w:rsidRDefault="00171CB2" w:rsidP="008B6EB1">
      <w:pPr>
        <w:pStyle w:val="DecisionParagraphs"/>
        <w:keepNext/>
        <w:keepLines/>
        <w:rPr>
          <w:lang w:val="de-DE"/>
        </w:rPr>
      </w:pPr>
      <w:r w:rsidRPr="00171CB2">
        <w:rPr>
          <w:lang w:val="de-DE"/>
        </w:rPr>
        <w:tab/>
        <w:t>a)</w:t>
      </w:r>
      <w:r w:rsidRPr="00171CB2">
        <w:rPr>
          <w:lang w:val="de-DE"/>
        </w:rPr>
        <w:tab/>
        <w:t xml:space="preserve">die vorgeschlagene Überarbeitung von Dokument UPOV/INF/22 „Von Verbandsmitgliedern verwendete Software und Ausrüstung“ auf der Grundlage von Dokument UPOV/INF/22/9 </w:t>
      </w:r>
      <w:proofErr w:type="spellStart"/>
      <w:r w:rsidRPr="00171CB2">
        <w:rPr>
          <w:lang w:val="de-DE"/>
        </w:rPr>
        <w:t>Draft</w:t>
      </w:r>
      <w:proofErr w:type="spellEnd"/>
      <w:r w:rsidRPr="00171CB2">
        <w:rPr>
          <w:lang w:val="de-DE"/>
        </w:rPr>
        <w:t xml:space="preserve"> 1 zu prüfen; und</w:t>
      </w:r>
    </w:p>
    <w:p w14:paraId="3EB76B8F" w14:textId="77777777" w:rsidR="00171CB2" w:rsidRPr="00171CB2" w:rsidRDefault="00171CB2" w:rsidP="008B6EB1">
      <w:pPr>
        <w:pStyle w:val="DecisionParagraphs"/>
        <w:keepNext/>
        <w:keepLines/>
        <w:rPr>
          <w:lang w:val="de-DE"/>
        </w:rPr>
      </w:pPr>
    </w:p>
    <w:p w14:paraId="1DA633AE" w14:textId="77777777" w:rsidR="00171CB2" w:rsidRPr="00171CB2" w:rsidRDefault="00171CB2" w:rsidP="008B6EB1">
      <w:pPr>
        <w:pStyle w:val="DecisionParagraphs"/>
        <w:keepNext/>
        <w:keepLines/>
        <w:rPr>
          <w:lang w:val="de-DE"/>
        </w:rPr>
      </w:pPr>
      <w:r w:rsidRPr="00171CB2">
        <w:rPr>
          <w:lang w:val="de-DE"/>
        </w:rPr>
        <w:tab/>
        <w:t xml:space="preserve">b) </w:t>
      </w:r>
      <w:r w:rsidRPr="00171CB2">
        <w:rPr>
          <w:lang w:val="de-DE"/>
        </w:rPr>
        <w:tab/>
        <w:t>zur Kenntnis zu nehmen, dass dem Rat im Jahr 2022 vorbehaltlich der Zustimmung des CAJ ein vereinbarter Entwurf des Dokuments UPOV/INF/22 zur Annahme vorgelegt werden wird.</w:t>
      </w:r>
    </w:p>
    <w:bookmarkEnd w:id="16"/>
    <w:p w14:paraId="0C194ED0" w14:textId="77777777" w:rsidR="00171CB2" w:rsidRPr="00171CB2" w:rsidRDefault="00171CB2" w:rsidP="00171CB2">
      <w:pPr>
        <w:keepLines/>
        <w:rPr>
          <w:lang w:val="de-DE"/>
        </w:rPr>
      </w:pPr>
    </w:p>
    <w:p w14:paraId="41F148AB" w14:textId="77777777" w:rsidR="00171CB2" w:rsidRPr="00171CB2" w:rsidRDefault="00171CB2" w:rsidP="00171CB2">
      <w:pPr>
        <w:rPr>
          <w:lang w:val="de-DE"/>
        </w:rPr>
      </w:pPr>
    </w:p>
    <w:p w14:paraId="607DB06B" w14:textId="77777777" w:rsidR="00171CB2" w:rsidRPr="00171CB2" w:rsidRDefault="00171CB2" w:rsidP="00171CB2">
      <w:pPr>
        <w:pStyle w:val="Heading2"/>
        <w:rPr>
          <w:lang w:val="de-DE"/>
        </w:rPr>
      </w:pPr>
      <w:bookmarkStart w:id="17" w:name="_Toc111463648"/>
      <w:r w:rsidRPr="00171CB2">
        <w:rPr>
          <w:lang w:val="de-DE"/>
        </w:rPr>
        <w:t>Erläuterungen</w:t>
      </w:r>
      <w:bookmarkEnd w:id="17"/>
    </w:p>
    <w:p w14:paraId="50E5F314" w14:textId="77777777" w:rsidR="00171CB2" w:rsidRPr="00171CB2" w:rsidRDefault="00171CB2" w:rsidP="00171CB2">
      <w:pPr>
        <w:rPr>
          <w:lang w:val="de-DE"/>
        </w:rPr>
      </w:pPr>
    </w:p>
    <w:p w14:paraId="20AB29EC" w14:textId="77777777" w:rsidR="00171CB2" w:rsidRPr="00171CB2" w:rsidRDefault="00171CB2" w:rsidP="008D7685">
      <w:pPr>
        <w:pStyle w:val="Heading3"/>
        <w:rPr>
          <w:lang w:val="de-DE"/>
        </w:rPr>
      </w:pPr>
      <w:bookmarkStart w:id="18" w:name="_Toc107846186"/>
      <w:bookmarkStart w:id="19" w:name="_Toc107949445"/>
      <w:bookmarkStart w:id="20" w:name="_Toc107949615"/>
      <w:bookmarkStart w:id="21" w:name="_Toc111463649"/>
      <w:r w:rsidRPr="00171CB2">
        <w:rPr>
          <w:lang w:val="de-DE"/>
        </w:rPr>
        <w:t>Erläuterungen zu Sortenbezeichnungen nach dem UPOV-Übereinkommen (Dokument UPOV/EXN/DEN)</w:t>
      </w:r>
      <w:bookmarkEnd w:id="18"/>
      <w:bookmarkEnd w:id="19"/>
      <w:bookmarkEnd w:id="20"/>
      <w:bookmarkEnd w:id="21"/>
    </w:p>
    <w:p w14:paraId="61740C89" w14:textId="77777777" w:rsidR="00171CB2" w:rsidRPr="00171CB2" w:rsidRDefault="00171CB2" w:rsidP="00171CB2">
      <w:pPr>
        <w:rPr>
          <w:lang w:val="de-DE"/>
        </w:rPr>
      </w:pPr>
    </w:p>
    <w:p w14:paraId="3C11E0C0"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Der TC vereinbarte auf seiner siebenundfünfzigsten Tagung</w:t>
      </w:r>
      <w:r w:rsidRPr="00171CB2">
        <w:rPr>
          <w:rStyle w:val="FootnoteReference"/>
          <w:lang w:val="de-DE"/>
        </w:rPr>
        <w:footnoteReference w:id="2"/>
      </w:r>
      <w:r w:rsidRPr="00171CB2">
        <w:rPr>
          <w:lang w:val="de-DE"/>
        </w:rPr>
        <w:t>, die Überarbeitung von Dokument UPOV/EXN/DEN/1 „Erläuterungen zu Sortenbezeichnungen nach dem UPOV-Übereinkommen“, wie in Anlage I dieses Dokuments dargelegt, vorzuschlagen (vergleiche Dokument TC/57/25 „Bericht“, Absatz 34).</w:t>
      </w:r>
    </w:p>
    <w:p w14:paraId="14E7FEB1" w14:textId="77777777" w:rsidR="00171CB2" w:rsidRPr="00171CB2" w:rsidRDefault="00171CB2" w:rsidP="00171CB2">
      <w:pPr>
        <w:rPr>
          <w:lang w:val="de-DE"/>
        </w:rPr>
      </w:pPr>
    </w:p>
    <w:p w14:paraId="23229715"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Vorbehaltlich der Zustimmung des CAJ wird dem Rat im Jahr 2022 die vorgeschlagene Überarbeitung von Dokument UPOV/EXN/DEN/1 zur Annahme vorgelegt werden.</w:t>
      </w:r>
    </w:p>
    <w:p w14:paraId="010ABEC0" w14:textId="77777777" w:rsidR="00171CB2" w:rsidRPr="00171CB2" w:rsidRDefault="00171CB2" w:rsidP="00171CB2">
      <w:pPr>
        <w:rPr>
          <w:lang w:val="de-DE"/>
        </w:rPr>
      </w:pPr>
    </w:p>
    <w:p w14:paraId="14446F1F" w14:textId="77777777" w:rsidR="00171CB2" w:rsidRPr="00171CB2" w:rsidRDefault="00171CB2" w:rsidP="00171CB2">
      <w:pPr>
        <w:pStyle w:val="DecisionParagraphs"/>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Der TC wird ersucht, zur Kenntnis zu nehmen, dass dem Rat im Jahr 2022 vorbehaltlich der Zustimmung des CAJ die vorgeschlagene Überarbeitung von Dokument UPOV/EXN/DEN/1 zur Annahme vorgelegt werden wird.</w:t>
      </w:r>
    </w:p>
    <w:p w14:paraId="2067A18D" w14:textId="77777777" w:rsidR="00171CB2" w:rsidRPr="00171CB2" w:rsidRDefault="00171CB2" w:rsidP="00171CB2">
      <w:pPr>
        <w:rPr>
          <w:lang w:val="de-DE"/>
        </w:rPr>
      </w:pPr>
    </w:p>
    <w:p w14:paraId="42AD606C" w14:textId="77777777" w:rsidR="00171CB2" w:rsidRPr="00171CB2" w:rsidRDefault="00171CB2" w:rsidP="00171CB2">
      <w:pPr>
        <w:rPr>
          <w:lang w:val="de-DE"/>
        </w:rPr>
      </w:pPr>
    </w:p>
    <w:p w14:paraId="1058E84A" w14:textId="77777777" w:rsidR="00171CB2" w:rsidRPr="00171CB2" w:rsidRDefault="00171CB2" w:rsidP="00171CB2">
      <w:pPr>
        <w:pStyle w:val="Heading2"/>
        <w:rPr>
          <w:lang w:val="de-DE"/>
        </w:rPr>
      </w:pPr>
      <w:bookmarkStart w:id="22" w:name="_Toc111463650"/>
      <w:r w:rsidRPr="00171CB2">
        <w:rPr>
          <w:lang w:val="de-DE"/>
        </w:rPr>
        <w:t>TGP-Dokumente</w:t>
      </w:r>
      <w:bookmarkEnd w:id="22"/>
    </w:p>
    <w:p w14:paraId="3DD420F8" w14:textId="77777777" w:rsidR="00171CB2" w:rsidRPr="00171CB2" w:rsidRDefault="00171CB2" w:rsidP="00171CB2">
      <w:pPr>
        <w:rPr>
          <w:lang w:val="de-DE"/>
        </w:rPr>
      </w:pPr>
    </w:p>
    <w:p w14:paraId="0E01ABE1" w14:textId="77777777" w:rsidR="00171CB2" w:rsidRPr="00171CB2" w:rsidRDefault="00171CB2" w:rsidP="008D7685">
      <w:pPr>
        <w:pStyle w:val="Heading3"/>
        <w:rPr>
          <w:lang w:val="de-DE"/>
        </w:rPr>
      </w:pPr>
      <w:bookmarkStart w:id="23" w:name="_Toc111463651"/>
      <w:bookmarkStart w:id="24" w:name="_Toc107949448"/>
      <w:bookmarkStart w:id="25" w:name="_Toc107949618"/>
      <w:r w:rsidRPr="00171CB2">
        <w:rPr>
          <w:snapToGrid w:val="0"/>
          <w:lang w:val="de-DE"/>
        </w:rPr>
        <w:t xml:space="preserve">TGP/5: </w:t>
      </w:r>
      <w:r w:rsidRPr="00171CB2">
        <w:rPr>
          <w:lang w:val="de-DE"/>
        </w:rPr>
        <w:t xml:space="preserve">Erfahrung </w:t>
      </w:r>
      <w:r w:rsidRPr="00171CB2">
        <w:rPr>
          <w:snapToGrid w:val="0"/>
          <w:lang w:val="de-DE"/>
        </w:rPr>
        <w:t xml:space="preserve">und Zusammenarbeit bei der DUS-Prüfung, Abschnitt 6: UPOV-Bericht über die technische Prüfung und UPOV-Sortenbeschreibung (Überarbeitung) (Dokument TGP/5: Abschnitt 6/4 </w:t>
      </w:r>
      <w:proofErr w:type="spellStart"/>
      <w:r w:rsidRPr="00171CB2">
        <w:rPr>
          <w:snapToGrid w:val="0"/>
          <w:lang w:val="de-DE"/>
        </w:rPr>
        <w:t>Draft</w:t>
      </w:r>
      <w:proofErr w:type="spellEnd"/>
      <w:r w:rsidRPr="00171CB2">
        <w:rPr>
          <w:snapToGrid w:val="0"/>
          <w:lang w:val="de-DE"/>
        </w:rPr>
        <w:t xml:space="preserve"> 1)</w:t>
      </w:r>
      <w:bookmarkEnd w:id="23"/>
      <w:r w:rsidRPr="00171CB2">
        <w:rPr>
          <w:snapToGrid w:val="0"/>
          <w:lang w:val="de-DE"/>
        </w:rPr>
        <w:t xml:space="preserve"> </w:t>
      </w:r>
      <w:bookmarkEnd w:id="24"/>
      <w:bookmarkEnd w:id="25"/>
    </w:p>
    <w:p w14:paraId="712B8BC9" w14:textId="77777777" w:rsidR="00171CB2" w:rsidRPr="00171CB2" w:rsidRDefault="00171CB2" w:rsidP="00171CB2">
      <w:pPr>
        <w:rPr>
          <w:lang w:val="de-DE"/>
        </w:rPr>
      </w:pPr>
    </w:p>
    <w:p w14:paraId="2E9E8EF0"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Der TC vereinbarte auf seiner siebenundfünfzigsten Tagung</w:t>
      </w:r>
      <w:r w:rsidRPr="00171CB2">
        <w:rPr>
          <w:rStyle w:val="FootnoteReference"/>
          <w:lang w:val="de-DE"/>
        </w:rPr>
        <w:footnoteReference w:id="3"/>
      </w:r>
      <w:r w:rsidRPr="00171CB2">
        <w:rPr>
          <w:lang w:val="de-DE"/>
        </w:rPr>
        <w:t xml:space="preserve"> , die Überarbeitung von Dokument TGP/5 „Erfahrung und Zusammenarbeit bei der DUS-Prüfung“, Abschnitt 6 „UPOV-Bericht über die technische Prüfung und UPOV-Sortenbeschreibung“, wie in Dokument TGP/5: Abschnitt 6/4 </w:t>
      </w:r>
      <w:proofErr w:type="spellStart"/>
      <w:r w:rsidRPr="00171CB2">
        <w:rPr>
          <w:lang w:val="de-DE"/>
        </w:rPr>
        <w:t>Draft</w:t>
      </w:r>
      <w:proofErr w:type="spellEnd"/>
      <w:r w:rsidRPr="00171CB2">
        <w:rPr>
          <w:lang w:val="de-DE"/>
        </w:rPr>
        <w:t xml:space="preserve"> 1 dargelegt, vorzuschlagen (vergleiche Dokument TC/57/25 „Bericht“, Absatz 22).</w:t>
      </w:r>
    </w:p>
    <w:p w14:paraId="13DE5CD7" w14:textId="77777777" w:rsidR="00171CB2" w:rsidRPr="00171CB2" w:rsidRDefault="00171CB2" w:rsidP="00171CB2">
      <w:pPr>
        <w:keepNext/>
        <w:rPr>
          <w:lang w:val="de-DE"/>
        </w:rPr>
      </w:pPr>
    </w:p>
    <w:p w14:paraId="549C5ACD" w14:textId="77777777" w:rsidR="00171CB2" w:rsidRPr="00171CB2" w:rsidRDefault="00171CB2" w:rsidP="00171CB2">
      <w:pPr>
        <w:keepNext/>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Vorbehaltlich der Zustimmung des CAJ wird dem Rat im Jahr 2022 ein vereinbarter Entwurf des Dokuments TGP/5: Abschnitt 6 zur Annahme vorgelegt werden.</w:t>
      </w:r>
    </w:p>
    <w:p w14:paraId="0D545B3E" w14:textId="77777777" w:rsidR="00171CB2" w:rsidRPr="00171CB2" w:rsidRDefault="00171CB2" w:rsidP="00171CB2">
      <w:pPr>
        <w:keepNext/>
        <w:rPr>
          <w:lang w:val="de-DE"/>
        </w:rPr>
      </w:pPr>
    </w:p>
    <w:p w14:paraId="783D1B28" w14:textId="77777777" w:rsidR="00171CB2" w:rsidRPr="00171CB2" w:rsidRDefault="00171CB2" w:rsidP="00171CB2">
      <w:pPr>
        <w:pStyle w:val="DecisionParagraphs"/>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Der TC wird ersucht, zur Kenntnis zu nehmen, dass dem Rat im Jahr 2022 vorbehaltlich der Zustimmung des CAJ ein vereinbarter Entwurf des Dokuments TGP/5: Abschnitt 6 zur Annahme vorgelegt werden wird.</w:t>
      </w:r>
    </w:p>
    <w:p w14:paraId="5B47D23A" w14:textId="77777777" w:rsidR="00171CB2" w:rsidRPr="00171CB2" w:rsidRDefault="00171CB2" w:rsidP="00171CB2">
      <w:pPr>
        <w:rPr>
          <w:lang w:val="de-DE"/>
        </w:rPr>
      </w:pPr>
    </w:p>
    <w:p w14:paraId="6D58EF48" w14:textId="77777777" w:rsidR="00171CB2" w:rsidRPr="00171CB2" w:rsidRDefault="00171CB2" w:rsidP="00171CB2">
      <w:pPr>
        <w:rPr>
          <w:lang w:val="de-DE"/>
        </w:rPr>
      </w:pPr>
    </w:p>
    <w:p w14:paraId="07E092CC" w14:textId="77777777" w:rsidR="00171CB2" w:rsidRPr="00171CB2" w:rsidRDefault="00171CB2" w:rsidP="008D7685">
      <w:pPr>
        <w:pStyle w:val="Heading3"/>
        <w:rPr>
          <w:lang w:val="de-DE"/>
        </w:rPr>
      </w:pPr>
      <w:bookmarkStart w:id="26" w:name="_Toc107949449"/>
      <w:bookmarkStart w:id="27" w:name="_Toc107949619"/>
      <w:bookmarkStart w:id="28" w:name="_Toc111463652"/>
      <w:r w:rsidRPr="00171CB2">
        <w:rPr>
          <w:lang w:val="de-DE"/>
        </w:rPr>
        <w:t>TGP/8: Prüfungsanlage und Verfahren für die Prüfung der Unterscheidbarkeit, der Homogenität und der Beständigkeit (Überarbeitung) (Anlage II)</w:t>
      </w:r>
      <w:bookmarkEnd w:id="26"/>
      <w:bookmarkEnd w:id="27"/>
      <w:bookmarkEnd w:id="28"/>
    </w:p>
    <w:p w14:paraId="4D6C567A" w14:textId="77777777" w:rsidR="00171CB2" w:rsidRPr="00171CB2" w:rsidRDefault="00171CB2" w:rsidP="00171CB2">
      <w:pPr>
        <w:rPr>
          <w:lang w:val="de-DE"/>
        </w:rPr>
      </w:pPr>
    </w:p>
    <w:p w14:paraId="503E7344"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Der TC vereinbarte auf seiner siebenundfünfzigsten Tagung</w:t>
      </w:r>
      <w:r w:rsidRPr="00171CB2">
        <w:rPr>
          <w:rStyle w:val="FootnoteReference"/>
          <w:lang w:val="de-DE"/>
        </w:rPr>
        <w:footnoteReference w:id="4"/>
      </w:r>
      <w:r w:rsidRPr="00171CB2">
        <w:rPr>
          <w:lang w:val="de-DE"/>
        </w:rPr>
        <w:t>, die Überarbeitung von Dokument TGP/8/4 „Prüfungsanlage und Verfahren für die Prüfung der Unterscheidbarkeit, der Homogenität und der Beständigkeit“, wie in Anlage II dieses Dokuments dargelegt, vorzuschlagen (vergleiche Dokument TC/57/25 „Bericht“, Absatz 27).</w:t>
      </w:r>
    </w:p>
    <w:p w14:paraId="06D8D598" w14:textId="77777777" w:rsidR="00171CB2" w:rsidRPr="00171CB2" w:rsidRDefault="00171CB2" w:rsidP="00171CB2">
      <w:pPr>
        <w:rPr>
          <w:lang w:val="de-DE"/>
        </w:rPr>
      </w:pPr>
    </w:p>
    <w:p w14:paraId="4786CC2F"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Vorbehaltlich der Zustimmung des CAJ wird dem Rat im Jahr 2022 die vorgeschlagene Überarbeitung von Dokument TGP/8/4 zur Annahme vorgelegt werden.</w:t>
      </w:r>
    </w:p>
    <w:p w14:paraId="1954081C" w14:textId="77777777" w:rsidR="00171CB2" w:rsidRPr="00171CB2" w:rsidRDefault="00171CB2" w:rsidP="00171CB2">
      <w:pPr>
        <w:rPr>
          <w:lang w:val="de-DE"/>
        </w:rPr>
      </w:pPr>
    </w:p>
    <w:p w14:paraId="47C7D644" w14:textId="77777777" w:rsidR="00171CB2" w:rsidRPr="00171CB2" w:rsidRDefault="00171CB2" w:rsidP="00171CB2">
      <w:pPr>
        <w:pStyle w:val="DecisionParagraphs"/>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Der TC wird ersucht, zur Kenntnis zu nehmen, dass dem Rat im Jahr 2022 vorbehaltlich der Zustimmung des CAJ die vorgeschlagene Überarbeitung von Dokument TGP/8/4 zur Annahme vorgelegt werden wird.</w:t>
      </w:r>
    </w:p>
    <w:p w14:paraId="5873BC1A" w14:textId="77777777" w:rsidR="00171CB2" w:rsidRPr="00171CB2" w:rsidRDefault="00171CB2" w:rsidP="00171CB2">
      <w:pPr>
        <w:pStyle w:val="DecisionParagraphs"/>
        <w:rPr>
          <w:lang w:val="de-DE"/>
        </w:rPr>
      </w:pPr>
    </w:p>
    <w:p w14:paraId="6B0423A2" w14:textId="77777777" w:rsidR="00171CB2" w:rsidRPr="00171CB2" w:rsidRDefault="00171CB2" w:rsidP="00171CB2">
      <w:pPr>
        <w:pStyle w:val="DecisionParagraphs"/>
        <w:rPr>
          <w:lang w:val="de-DE"/>
        </w:rPr>
      </w:pPr>
    </w:p>
    <w:p w14:paraId="18D7F72A" w14:textId="77777777" w:rsidR="00171CB2" w:rsidRPr="00171CB2" w:rsidRDefault="00171CB2" w:rsidP="008D7685">
      <w:pPr>
        <w:pStyle w:val="Heading3"/>
        <w:rPr>
          <w:lang w:val="de-DE"/>
        </w:rPr>
      </w:pPr>
      <w:bookmarkStart w:id="29" w:name="_Toc107949450"/>
      <w:bookmarkStart w:id="30" w:name="_Toc107949620"/>
      <w:bookmarkStart w:id="31" w:name="_Toc111463653"/>
      <w:r w:rsidRPr="00171CB2">
        <w:rPr>
          <w:lang w:val="de-DE"/>
        </w:rPr>
        <w:t>TGP/12: Anleitung zu bestimmten physiologischen Merkmalen (Überarbeitung) (Anlage III)</w:t>
      </w:r>
      <w:bookmarkEnd w:id="29"/>
      <w:bookmarkEnd w:id="30"/>
      <w:bookmarkEnd w:id="31"/>
    </w:p>
    <w:p w14:paraId="3031BCBB" w14:textId="77777777" w:rsidR="00171CB2" w:rsidRPr="00171CB2" w:rsidRDefault="00171CB2" w:rsidP="00171CB2">
      <w:pPr>
        <w:rPr>
          <w:lang w:val="de-DE"/>
        </w:rPr>
      </w:pPr>
    </w:p>
    <w:p w14:paraId="7F222DCB"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Der TC vereinbarte auf seiner siebenundfünfzigsten Tagung</w:t>
      </w:r>
      <w:r w:rsidRPr="00171CB2">
        <w:rPr>
          <w:rStyle w:val="FootnoteReference"/>
          <w:lang w:val="de-DE"/>
        </w:rPr>
        <w:footnoteReference w:id="5"/>
      </w:r>
      <w:r w:rsidRPr="00171CB2">
        <w:rPr>
          <w:lang w:val="de-DE"/>
        </w:rPr>
        <w:t xml:space="preserve">, die Überarbeitung von Dokument TGP/12/2 „Anleitung zu bestimmten physiologischen Merkmalen“, wie in Anlage III dieses Dokuments dargelegt, vorzuschlagen </w:t>
      </w:r>
      <w:r w:rsidRPr="00171CB2">
        <w:rPr>
          <w:snapToGrid w:val="0"/>
          <w:lang w:val="de-DE"/>
        </w:rPr>
        <w:t>(vergleiche Dokument TC/57/25 „Bericht“, Absätze 44 und 45)</w:t>
      </w:r>
      <w:r w:rsidRPr="00171CB2">
        <w:rPr>
          <w:lang w:val="de-DE"/>
        </w:rPr>
        <w:t xml:space="preserve">. </w:t>
      </w:r>
    </w:p>
    <w:p w14:paraId="5D43B91C" w14:textId="77777777" w:rsidR="00171CB2" w:rsidRPr="00171CB2" w:rsidRDefault="00171CB2" w:rsidP="00171CB2">
      <w:pPr>
        <w:rPr>
          <w:lang w:val="de-DE"/>
        </w:rPr>
      </w:pPr>
    </w:p>
    <w:p w14:paraId="0A214476" w14:textId="77777777" w:rsidR="00171CB2" w:rsidRPr="00171CB2" w:rsidRDefault="00171CB2" w:rsidP="00171CB2">
      <w:pPr>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Vorbehaltlich der Zustimmung des CAJ wird dem Rat im Jahr 2022 die vorgeschlagene Überarbeitung von Dokument TGP/12/2 zur Annahme vorgelegt werden.</w:t>
      </w:r>
    </w:p>
    <w:p w14:paraId="394C1BD0" w14:textId="77777777" w:rsidR="00171CB2" w:rsidRPr="00171CB2" w:rsidRDefault="00171CB2" w:rsidP="00171CB2">
      <w:pPr>
        <w:rPr>
          <w:lang w:val="de-DE"/>
        </w:rPr>
      </w:pPr>
    </w:p>
    <w:p w14:paraId="37D3D633" w14:textId="77777777" w:rsidR="00171CB2" w:rsidRPr="00171CB2" w:rsidRDefault="00171CB2" w:rsidP="00171CB2">
      <w:pPr>
        <w:pStyle w:val="DecisionParagraphs"/>
        <w:keepNext/>
        <w:keepLines/>
        <w:rPr>
          <w:lang w:val="de-DE"/>
        </w:rPr>
      </w:pPr>
      <w:r w:rsidRPr="00171CB2">
        <w:rPr>
          <w:lang w:val="de-DE"/>
        </w:rPr>
        <w:fldChar w:fldCharType="begin"/>
      </w:r>
      <w:r w:rsidRPr="00171CB2">
        <w:rPr>
          <w:lang w:val="de-DE"/>
        </w:rPr>
        <w:instrText xml:space="preserve"> AUTONUM  </w:instrText>
      </w:r>
      <w:r w:rsidRPr="00171CB2">
        <w:rPr>
          <w:lang w:val="de-DE"/>
        </w:rPr>
        <w:fldChar w:fldCharType="end"/>
      </w:r>
      <w:r w:rsidRPr="00171CB2">
        <w:rPr>
          <w:lang w:val="de-DE"/>
        </w:rPr>
        <w:tab/>
        <w:t>Der TC wird ersucht, zur Kenntnis zu nehmen, dass dem Rat im Jahr 2022 vorbehaltlich der Zustimmung des CAJ die vorgeschlagene Überarbeitung von Dokument TGP/12/2 zur Annahme vorgelegt werden wird.</w:t>
      </w:r>
    </w:p>
    <w:p w14:paraId="54CD41FC" w14:textId="77777777" w:rsidR="00171CB2" w:rsidRPr="00171CB2" w:rsidRDefault="00171CB2" w:rsidP="00171CB2">
      <w:pPr>
        <w:rPr>
          <w:lang w:val="de-DE"/>
        </w:rPr>
      </w:pPr>
    </w:p>
    <w:p w14:paraId="61694A1E" w14:textId="77777777" w:rsidR="00171CB2" w:rsidRPr="00171CB2" w:rsidRDefault="00171CB2" w:rsidP="00171CB2">
      <w:pPr>
        <w:rPr>
          <w:lang w:val="de-DE"/>
        </w:rPr>
      </w:pPr>
    </w:p>
    <w:p w14:paraId="1F4D5E7B" w14:textId="77777777" w:rsidR="00171CB2" w:rsidRPr="00171CB2" w:rsidRDefault="00171CB2" w:rsidP="00171CB2">
      <w:pPr>
        <w:jc w:val="right"/>
        <w:rPr>
          <w:lang w:val="de-DE"/>
        </w:rPr>
      </w:pPr>
    </w:p>
    <w:p w14:paraId="762E58A4" w14:textId="77777777" w:rsidR="00171CB2" w:rsidRPr="00171CB2" w:rsidRDefault="00171CB2" w:rsidP="00171CB2">
      <w:pPr>
        <w:jc w:val="right"/>
        <w:rPr>
          <w:lang w:val="de-DE"/>
        </w:rPr>
      </w:pPr>
      <w:r w:rsidRPr="00171CB2">
        <w:rPr>
          <w:lang w:val="de-DE"/>
        </w:rPr>
        <w:t>[Anlagen folgen]</w:t>
      </w:r>
    </w:p>
    <w:p w14:paraId="6B0B821D" w14:textId="77777777" w:rsidR="00171CB2" w:rsidRPr="00171CB2" w:rsidRDefault="00171CB2" w:rsidP="00171CB2">
      <w:pPr>
        <w:rPr>
          <w:lang w:val="de-DE"/>
        </w:rPr>
        <w:sectPr w:rsidR="00171CB2" w:rsidRPr="00171CB2" w:rsidSect="0004198B">
          <w:headerReference w:type="default" r:id="rId10"/>
          <w:headerReference w:type="first" r:id="rId11"/>
          <w:pgSz w:w="11907" w:h="16840" w:code="9"/>
          <w:pgMar w:top="510" w:right="1134" w:bottom="1134" w:left="1134" w:header="510" w:footer="680" w:gutter="0"/>
          <w:pgNumType w:start="1"/>
          <w:cols w:space="720"/>
          <w:titlePg/>
        </w:sectPr>
      </w:pPr>
    </w:p>
    <w:p w14:paraId="338B7A29" w14:textId="77777777" w:rsidR="00171CB2" w:rsidRPr="00171CB2" w:rsidRDefault="00171CB2" w:rsidP="00171CB2">
      <w:pPr>
        <w:jc w:val="center"/>
        <w:rPr>
          <w:lang w:val="de-DE"/>
        </w:rPr>
      </w:pPr>
      <w:r w:rsidRPr="00171CB2">
        <w:rPr>
          <w:lang w:val="de-DE"/>
        </w:rPr>
        <w:t>TC/58/4</w:t>
      </w:r>
    </w:p>
    <w:p w14:paraId="08DA58D4" w14:textId="77777777" w:rsidR="00171CB2" w:rsidRPr="00171CB2" w:rsidRDefault="00171CB2" w:rsidP="00171CB2">
      <w:pPr>
        <w:jc w:val="center"/>
        <w:rPr>
          <w:lang w:val="de-DE"/>
        </w:rPr>
      </w:pPr>
    </w:p>
    <w:p w14:paraId="3B8E8001" w14:textId="77777777" w:rsidR="00171CB2" w:rsidRPr="00171CB2" w:rsidRDefault="00171CB2" w:rsidP="00171CB2">
      <w:pPr>
        <w:jc w:val="center"/>
        <w:rPr>
          <w:lang w:val="de-DE"/>
        </w:rPr>
      </w:pPr>
      <w:r w:rsidRPr="00171CB2">
        <w:rPr>
          <w:lang w:val="de-DE"/>
        </w:rPr>
        <w:t>ANLAGE I</w:t>
      </w:r>
    </w:p>
    <w:p w14:paraId="64D168AC" w14:textId="77777777" w:rsidR="00171CB2" w:rsidRPr="00171CB2" w:rsidRDefault="00171CB2" w:rsidP="00171CB2">
      <w:pPr>
        <w:rPr>
          <w:lang w:val="de-DE"/>
        </w:rPr>
      </w:pPr>
    </w:p>
    <w:p w14:paraId="50A9852C" w14:textId="77777777" w:rsidR="00171CB2" w:rsidRPr="00171CB2" w:rsidRDefault="00171CB2" w:rsidP="00171CB2">
      <w:pPr>
        <w:rPr>
          <w:lang w:val="de-DE"/>
        </w:rPr>
      </w:pPr>
    </w:p>
    <w:p w14:paraId="1266B809" w14:textId="77777777" w:rsidR="00171CB2" w:rsidRPr="00171CB2" w:rsidRDefault="00171CB2" w:rsidP="00171CB2">
      <w:pPr>
        <w:rPr>
          <w:u w:val="single"/>
          <w:lang w:val="de-DE"/>
        </w:rPr>
      </w:pPr>
      <w:r w:rsidRPr="00171CB2">
        <w:rPr>
          <w:u w:val="single"/>
          <w:lang w:val="de-DE"/>
        </w:rPr>
        <w:t>Dokument UPOV/EXN/DEN: Erläuterungen zu Sortenbezeichnungen nach dem UPOV-Übereinkommen (Überarbeitung)</w:t>
      </w:r>
    </w:p>
    <w:p w14:paraId="09AEFCF3" w14:textId="77777777" w:rsidR="00171CB2" w:rsidRPr="00171CB2" w:rsidRDefault="00171CB2" w:rsidP="00171CB2">
      <w:pPr>
        <w:rPr>
          <w:lang w:val="de-DE"/>
        </w:rPr>
      </w:pPr>
    </w:p>
    <w:p w14:paraId="192ABB4A" w14:textId="77777777" w:rsidR="00171CB2" w:rsidRPr="00171CB2" w:rsidRDefault="00171CB2" w:rsidP="00171CB2">
      <w:pPr>
        <w:rPr>
          <w:i/>
          <w:lang w:val="de-DE"/>
        </w:rPr>
      </w:pPr>
      <w:r w:rsidRPr="00171CB2">
        <w:rPr>
          <w:i/>
          <w:lang w:val="de-DE"/>
        </w:rPr>
        <w:t xml:space="preserve">Überarbeitung der Sortenbezeichnungsklasse 201 </w:t>
      </w:r>
    </w:p>
    <w:p w14:paraId="175FC487" w14:textId="77777777" w:rsidR="00171CB2" w:rsidRPr="00171CB2" w:rsidRDefault="00171CB2" w:rsidP="00171CB2">
      <w:pPr>
        <w:rPr>
          <w:lang w:val="de-DE"/>
        </w:rPr>
      </w:pPr>
    </w:p>
    <w:p w14:paraId="50031CD3" w14:textId="77777777" w:rsidR="00171CB2" w:rsidRPr="00171CB2" w:rsidRDefault="00171CB2" w:rsidP="00171CB2">
      <w:pPr>
        <w:rPr>
          <w:lang w:val="de-DE"/>
        </w:rPr>
      </w:pPr>
      <w:r w:rsidRPr="00171CB2">
        <w:rPr>
          <w:lang w:val="de-DE"/>
        </w:rPr>
        <w:t>Der TC prüfte auf seiner siebenundfünfzigsten Tagung, die am 25. und 26. Oktober 2021 auf elektronischem Wege abgehalten wurde, einen Vorschlag zur Überarbeitung von Dokument UPOV/EXN/DEN/1, Anlage I, Teil II „Klassen, die mehr als eine Gattung umfassen“, und vereinbarte, die Gattung „</w:t>
      </w:r>
      <w:r w:rsidRPr="00171CB2">
        <w:rPr>
          <w:i/>
          <w:iCs/>
          <w:lang w:val="de-DE"/>
        </w:rPr>
        <w:t>×</w:t>
      </w:r>
      <w:proofErr w:type="spellStart"/>
      <w:r w:rsidRPr="00171CB2">
        <w:rPr>
          <w:i/>
          <w:iCs/>
          <w:lang w:val="de-DE"/>
        </w:rPr>
        <w:t>Trititrigia</w:t>
      </w:r>
      <w:proofErr w:type="spellEnd"/>
      <w:r w:rsidRPr="00171CB2">
        <w:rPr>
          <w:lang w:val="de-DE"/>
        </w:rPr>
        <w:t>“ mit folgendem Wortlaut in Sortenbezeichnungsklasse 201 aufzunehmen (vergleiche Dokument TC/57/25 „Bericht“, Absatz 34):</w:t>
      </w:r>
    </w:p>
    <w:p w14:paraId="2275A3D2" w14:textId="77777777" w:rsidR="00171CB2" w:rsidRPr="00171CB2" w:rsidRDefault="00171CB2" w:rsidP="00171CB2">
      <w:pPr>
        <w:rPr>
          <w:rFonts w:cs="Arial"/>
          <w:lang w:val="de-DE"/>
        </w:rPr>
      </w:pPr>
    </w:p>
    <w:p w14:paraId="161A689D" w14:textId="77777777" w:rsidR="00171CB2" w:rsidRPr="00171CB2" w:rsidRDefault="00171CB2" w:rsidP="00171CB2">
      <w:pPr>
        <w:jc w:val="center"/>
        <w:rPr>
          <w:u w:val="single"/>
          <w:lang w:val="de-DE"/>
        </w:rPr>
      </w:pPr>
      <w:r w:rsidRPr="00171CB2">
        <w:rPr>
          <w:lang w:val="de-DE"/>
        </w:rPr>
        <w:t>KLASSENLISTE (Teil II)</w:t>
      </w:r>
    </w:p>
    <w:p w14:paraId="0E2C00CA" w14:textId="77777777" w:rsidR="00171CB2" w:rsidRPr="00171CB2" w:rsidRDefault="00171CB2" w:rsidP="00171CB2">
      <w:pPr>
        <w:rPr>
          <w:lang w:val="de-DE"/>
        </w:rPr>
      </w:pPr>
    </w:p>
    <w:p w14:paraId="4927103C" w14:textId="77777777" w:rsidR="00171CB2" w:rsidRPr="00171CB2" w:rsidRDefault="00171CB2" w:rsidP="00171CB2">
      <w:pPr>
        <w:jc w:val="center"/>
        <w:rPr>
          <w:i/>
          <w:lang w:val="de-DE"/>
        </w:rPr>
      </w:pPr>
      <w:r w:rsidRPr="00171CB2">
        <w:rPr>
          <w:i/>
          <w:lang w:val="de-DE"/>
        </w:rPr>
        <w:t>Klassen, die mehr als eine Gattung umfassen</w:t>
      </w:r>
      <w:r w:rsidRPr="00171CB2">
        <w:rPr>
          <w:i/>
          <w:lang w:val="de-DE"/>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171CB2" w:rsidRPr="00171CB2" w14:paraId="44CF594E" w14:textId="77777777" w:rsidTr="002946D2">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6B93E" w14:textId="77777777" w:rsidR="00171CB2" w:rsidRPr="00171CB2" w:rsidRDefault="00171CB2" w:rsidP="002946D2">
            <w:pPr>
              <w:spacing w:before="40" w:after="40"/>
              <w:jc w:val="left"/>
              <w:rPr>
                <w:sz w:val="18"/>
                <w:szCs w:val="18"/>
                <w:u w:val="single"/>
                <w:lang w:val="de-D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D6B7E" w14:textId="77777777" w:rsidR="00171CB2" w:rsidRPr="00171CB2" w:rsidRDefault="00171CB2" w:rsidP="002946D2">
            <w:pPr>
              <w:spacing w:before="40" w:after="40"/>
              <w:jc w:val="center"/>
              <w:rPr>
                <w:sz w:val="18"/>
                <w:szCs w:val="18"/>
                <w:lang w:val="de-DE"/>
              </w:rPr>
            </w:pPr>
            <w:r w:rsidRPr="00171CB2">
              <w:rPr>
                <w:sz w:val="18"/>
                <w:szCs w:val="18"/>
                <w:lang w:val="de-DE"/>
              </w:rPr>
              <w:t>Botanische Namen</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1B73D" w14:textId="77777777" w:rsidR="00171CB2" w:rsidRPr="00171CB2" w:rsidRDefault="00171CB2" w:rsidP="002946D2">
            <w:pPr>
              <w:spacing w:before="40" w:after="40"/>
              <w:jc w:val="center"/>
              <w:rPr>
                <w:sz w:val="18"/>
                <w:szCs w:val="18"/>
                <w:lang w:val="de-DE"/>
              </w:rPr>
            </w:pPr>
            <w:r w:rsidRPr="00171CB2">
              <w:rPr>
                <w:sz w:val="18"/>
                <w:szCs w:val="18"/>
                <w:lang w:val="de-DE"/>
              </w:rPr>
              <w:t>UPOV-Codes</w:t>
            </w:r>
          </w:p>
        </w:tc>
      </w:tr>
      <w:tr w:rsidR="00171CB2" w:rsidRPr="00171CB2" w14:paraId="73A13A9C" w14:textId="77777777" w:rsidTr="002946D2">
        <w:trPr>
          <w:cantSplit/>
          <w:tblHeader/>
        </w:trPr>
        <w:tc>
          <w:tcPr>
            <w:tcW w:w="1277" w:type="dxa"/>
            <w:tcBorders>
              <w:top w:val="nil"/>
              <w:left w:val="nil"/>
              <w:bottom w:val="nil"/>
              <w:right w:val="nil"/>
            </w:tcBorders>
          </w:tcPr>
          <w:p w14:paraId="61A1DD60" w14:textId="77777777" w:rsidR="00171CB2" w:rsidRPr="00171CB2" w:rsidRDefault="00171CB2" w:rsidP="002946D2">
            <w:pPr>
              <w:keepNext/>
              <w:spacing w:before="40" w:after="40"/>
              <w:jc w:val="left"/>
              <w:rPr>
                <w:sz w:val="10"/>
                <w:szCs w:val="18"/>
                <w:lang w:val="de-DE"/>
              </w:rPr>
            </w:pPr>
          </w:p>
        </w:tc>
        <w:tc>
          <w:tcPr>
            <w:tcW w:w="4473" w:type="dxa"/>
            <w:tcBorders>
              <w:top w:val="nil"/>
              <w:left w:val="nil"/>
              <w:bottom w:val="nil"/>
              <w:right w:val="nil"/>
            </w:tcBorders>
          </w:tcPr>
          <w:p w14:paraId="19B69620" w14:textId="77777777" w:rsidR="00171CB2" w:rsidRPr="00171CB2" w:rsidRDefault="00171CB2" w:rsidP="002946D2">
            <w:pPr>
              <w:keepNext/>
              <w:spacing w:before="40" w:after="40"/>
              <w:jc w:val="left"/>
              <w:rPr>
                <w:sz w:val="10"/>
                <w:szCs w:val="18"/>
                <w:lang w:val="de-DE"/>
              </w:rPr>
            </w:pPr>
          </w:p>
        </w:tc>
        <w:tc>
          <w:tcPr>
            <w:tcW w:w="4034" w:type="dxa"/>
            <w:tcBorders>
              <w:top w:val="nil"/>
              <w:left w:val="nil"/>
              <w:bottom w:val="nil"/>
              <w:right w:val="nil"/>
            </w:tcBorders>
          </w:tcPr>
          <w:p w14:paraId="0CAA12D5" w14:textId="77777777" w:rsidR="00171CB2" w:rsidRPr="00171CB2" w:rsidRDefault="00171CB2" w:rsidP="002946D2">
            <w:pPr>
              <w:keepNext/>
              <w:spacing w:before="40" w:after="40"/>
              <w:jc w:val="left"/>
              <w:rPr>
                <w:sz w:val="10"/>
                <w:szCs w:val="18"/>
                <w:lang w:val="de-DE"/>
              </w:rPr>
            </w:pPr>
          </w:p>
        </w:tc>
      </w:tr>
      <w:tr w:rsidR="00171CB2" w:rsidRPr="00171CB2" w14:paraId="006492FD" w14:textId="77777777" w:rsidTr="002946D2">
        <w:trPr>
          <w:cantSplit/>
        </w:trPr>
        <w:tc>
          <w:tcPr>
            <w:tcW w:w="1277" w:type="dxa"/>
            <w:tcBorders>
              <w:top w:val="single" w:sz="4" w:space="0" w:color="auto"/>
              <w:left w:val="single" w:sz="4" w:space="0" w:color="auto"/>
              <w:bottom w:val="single" w:sz="4" w:space="0" w:color="auto"/>
              <w:right w:val="single" w:sz="4" w:space="0" w:color="auto"/>
            </w:tcBorders>
            <w:hideMark/>
          </w:tcPr>
          <w:p w14:paraId="0B526C95" w14:textId="77777777" w:rsidR="00171CB2" w:rsidRPr="00171CB2" w:rsidRDefault="00171CB2" w:rsidP="002946D2">
            <w:pPr>
              <w:spacing w:before="40" w:after="40"/>
              <w:jc w:val="left"/>
              <w:rPr>
                <w:sz w:val="18"/>
                <w:szCs w:val="18"/>
                <w:lang w:val="de-DE"/>
              </w:rPr>
            </w:pPr>
            <w:r w:rsidRPr="00171CB2">
              <w:rPr>
                <w:sz w:val="18"/>
                <w:szCs w:val="18"/>
                <w:lang w:val="de-DE"/>
              </w:rPr>
              <w:t>Klasse 201</w:t>
            </w:r>
          </w:p>
        </w:tc>
        <w:tc>
          <w:tcPr>
            <w:tcW w:w="4473" w:type="dxa"/>
            <w:tcBorders>
              <w:top w:val="single" w:sz="4" w:space="0" w:color="auto"/>
              <w:left w:val="single" w:sz="4" w:space="0" w:color="auto"/>
              <w:bottom w:val="single" w:sz="4" w:space="0" w:color="auto"/>
              <w:right w:val="single" w:sz="4" w:space="0" w:color="auto"/>
            </w:tcBorders>
            <w:hideMark/>
          </w:tcPr>
          <w:p w14:paraId="741C57FB" w14:textId="77777777" w:rsidR="00171CB2" w:rsidRPr="00171CB2" w:rsidRDefault="00171CB2" w:rsidP="002946D2">
            <w:pPr>
              <w:keepNext/>
              <w:spacing w:before="40" w:after="40"/>
              <w:jc w:val="left"/>
              <w:rPr>
                <w:sz w:val="18"/>
                <w:szCs w:val="18"/>
                <w:lang w:val="de-DE"/>
              </w:rPr>
            </w:pPr>
            <w:proofErr w:type="spellStart"/>
            <w:r w:rsidRPr="00171CB2">
              <w:rPr>
                <w:i/>
                <w:sz w:val="18"/>
                <w:szCs w:val="18"/>
                <w:lang w:val="de-DE"/>
              </w:rPr>
              <w:t>Secale</w:t>
            </w:r>
            <w:proofErr w:type="spellEnd"/>
            <w:r w:rsidRPr="00171CB2">
              <w:rPr>
                <w:sz w:val="18"/>
                <w:szCs w:val="18"/>
                <w:lang w:val="de-DE"/>
              </w:rPr>
              <w:t xml:space="preserve">, </w:t>
            </w:r>
            <w:proofErr w:type="spellStart"/>
            <w:r w:rsidRPr="00171CB2">
              <w:rPr>
                <w:i/>
                <w:sz w:val="18"/>
                <w:szCs w:val="18"/>
                <w:lang w:val="de-DE"/>
              </w:rPr>
              <w:t>Triticale</w:t>
            </w:r>
            <w:proofErr w:type="spellEnd"/>
            <w:r w:rsidRPr="00171CB2">
              <w:rPr>
                <w:iCs/>
                <w:sz w:val="18"/>
                <w:szCs w:val="18"/>
                <w:lang w:val="de-DE"/>
              </w:rPr>
              <w:t xml:space="preserve">, </w:t>
            </w:r>
            <w:proofErr w:type="spellStart"/>
            <w:r w:rsidRPr="00171CB2">
              <w:rPr>
                <w:i/>
                <w:sz w:val="18"/>
                <w:szCs w:val="18"/>
                <w:lang w:val="de-DE"/>
              </w:rPr>
              <w:t>Triticum</w:t>
            </w:r>
            <w:proofErr w:type="spellEnd"/>
            <w:r w:rsidRPr="00171CB2">
              <w:rPr>
                <w:i/>
                <w:sz w:val="18"/>
                <w:szCs w:val="18"/>
                <w:lang w:val="de-DE"/>
              </w:rPr>
              <w:t xml:space="preserve">, </w:t>
            </w:r>
            <w:r w:rsidRPr="00171CB2">
              <w:rPr>
                <w:rFonts w:cs="Arial"/>
                <w:i/>
                <w:sz w:val="18"/>
                <w:u w:val="single"/>
                <w:shd w:val="pct15" w:color="auto" w:fill="FFFFFF"/>
                <w:lang w:val="de-DE"/>
              </w:rPr>
              <w:t>×</w:t>
            </w:r>
            <w:proofErr w:type="spellStart"/>
            <w:r w:rsidRPr="00171CB2">
              <w:rPr>
                <w:rFonts w:cs="Arial"/>
                <w:i/>
                <w:sz w:val="18"/>
                <w:u w:val="single"/>
                <w:shd w:val="pct15" w:color="auto" w:fill="FFFFFF"/>
                <w:lang w:val="de-DE"/>
              </w:rPr>
              <w:t>Trititrigia</w:t>
            </w:r>
            <w:proofErr w:type="spellEnd"/>
          </w:p>
        </w:tc>
        <w:tc>
          <w:tcPr>
            <w:tcW w:w="4034" w:type="dxa"/>
            <w:tcBorders>
              <w:top w:val="single" w:sz="4" w:space="0" w:color="auto"/>
              <w:left w:val="single" w:sz="4" w:space="0" w:color="auto"/>
              <w:bottom w:val="single" w:sz="4" w:space="0" w:color="auto"/>
              <w:right w:val="single" w:sz="4" w:space="0" w:color="auto"/>
            </w:tcBorders>
            <w:hideMark/>
          </w:tcPr>
          <w:p w14:paraId="7E683FCD" w14:textId="77777777" w:rsidR="00171CB2" w:rsidRPr="00171CB2" w:rsidRDefault="00171CB2" w:rsidP="002946D2">
            <w:pPr>
              <w:keepNext/>
              <w:spacing w:before="40" w:after="40"/>
              <w:jc w:val="left"/>
              <w:rPr>
                <w:sz w:val="18"/>
                <w:szCs w:val="18"/>
                <w:lang w:val="de-DE"/>
              </w:rPr>
            </w:pPr>
            <w:r w:rsidRPr="00171CB2">
              <w:rPr>
                <w:sz w:val="18"/>
                <w:szCs w:val="18"/>
                <w:lang w:val="de-DE"/>
              </w:rPr>
              <w:t xml:space="preserve">SECAL; TRITL; TRITI; </w:t>
            </w:r>
            <w:r w:rsidRPr="00171CB2">
              <w:rPr>
                <w:sz w:val="18"/>
                <w:szCs w:val="18"/>
                <w:u w:val="single"/>
                <w:shd w:val="pct15" w:color="auto" w:fill="FFFFFF"/>
                <w:lang w:val="de-DE"/>
              </w:rPr>
              <w:t>TRITT</w:t>
            </w:r>
          </w:p>
        </w:tc>
      </w:tr>
    </w:tbl>
    <w:p w14:paraId="2D679C99" w14:textId="77777777" w:rsidR="00171CB2" w:rsidRPr="00171CB2" w:rsidRDefault="00171CB2" w:rsidP="00171CB2">
      <w:pPr>
        <w:ind w:left="1134" w:hanging="567"/>
        <w:rPr>
          <w:lang w:val="de-DE"/>
        </w:rPr>
      </w:pPr>
    </w:p>
    <w:p w14:paraId="7AEF6542" w14:textId="77777777" w:rsidR="00171CB2" w:rsidRPr="00171CB2" w:rsidRDefault="00171CB2" w:rsidP="00171CB2">
      <w:pPr>
        <w:ind w:left="-142" w:right="312"/>
        <w:jc w:val="right"/>
        <w:rPr>
          <w:lang w:val="de-DE"/>
        </w:rPr>
      </w:pPr>
    </w:p>
    <w:p w14:paraId="4D0C8EBC" w14:textId="77777777" w:rsidR="00171CB2" w:rsidRPr="00171CB2" w:rsidRDefault="00171CB2" w:rsidP="00171CB2">
      <w:pPr>
        <w:jc w:val="left"/>
        <w:rPr>
          <w:lang w:val="de-DE"/>
        </w:rPr>
      </w:pPr>
    </w:p>
    <w:p w14:paraId="75CCA294" w14:textId="77777777" w:rsidR="00171CB2" w:rsidRPr="00171CB2" w:rsidRDefault="00171CB2" w:rsidP="00171CB2">
      <w:pPr>
        <w:jc w:val="left"/>
        <w:rPr>
          <w:lang w:val="de-DE"/>
        </w:rPr>
      </w:pPr>
    </w:p>
    <w:p w14:paraId="4685F144" w14:textId="77777777" w:rsidR="00171CB2" w:rsidRPr="00171CB2" w:rsidRDefault="00171CB2" w:rsidP="00171CB2">
      <w:pPr>
        <w:jc w:val="left"/>
        <w:rPr>
          <w:lang w:val="de-DE"/>
        </w:rPr>
      </w:pPr>
    </w:p>
    <w:p w14:paraId="1B858DF4" w14:textId="77777777" w:rsidR="00171CB2" w:rsidRPr="00171CB2" w:rsidRDefault="00171CB2" w:rsidP="00171CB2">
      <w:pPr>
        <w:jc w:val="left"/>
        <w:rPr>
          <w:lang w:val="de-DE"/>
        </w:rPr>
      </w:pPr>
    </w:p>
    <w:p w14:paraId="6DA391B8" w14:textId="77777777" w:rsidR="00171CB2" w:rsidRPr="00171CB2" w:rsidRDefault="00171CB2" w:rsidP="00171CB2">
      <w:pPr>
        <w:jc w:val="right"/>
        <w:rPr>
          <w:lang w:val="de-DE"/>
        </w:rPr>
      </w:pPr>
      <w:r w:rsidRPr="00171CB2">
        <w:rPr>
          <w:lang w:val="de-DE"/>
        </w:rPr>
        <w:t>[Anlage II folgt]</w:t>
      </w:r>
    </w:p>
    <w:p w14:paraId="371A3602" w14:textId="77777777" w:rsidR="00171CB2" w:rsidRPr="00171CB2" w:rsidRDefault="00171CB2" w:rsidP="00171CB2">
      <w:pPr>
        <w:rPr>
          <w:lang w:val="de-DE"/>
        </w:rPr>
        <w:sectPr w:rsidR="00171CB2" w:rsidRPr="00171CB2" w:rsidSect="0004198B">
          <w:pgSz w:w="11907" w:h="16840" w:code="9"/>
          <w:pgMar w:top="510" w:right="1134" w:bottom="1134" w:left="1134" w:header="510" w:footer="680" w:gutter="0"/>
          <w:pgNumType w:start="1"/>
          <w:cols w:space="720"/>
          <w:titlePg/>
        </w:sectPr>
      </w:pPr>
    </w:p>
    <w:p w14:paraId="0396AF71" w14:textId="77777777" w:rsidR="00171CB2" w:rsidRPr="00171CB2" w:rsidRDefault="00171CB2" w:rsidP="00171CB2">
      <w:pPr>
        <w:jc w:val="center"/>
        <w:rPr>
          <w:lang w:val="de-DE"/>
        </w:rPr>
      </w:pPr>
      <w:r w:rsidRPr="00171CB2">
        <w:rPr>
          <w:lang w:val="de-DE"/>
        </w:rPr>
        <w:t>TC/58/4</w:t>
      </w:r>
    </w:p>
    <w:p w14:paraId="46D524D1" w14:textId="77777777" w:rsidR="00171CB2" w:rsidRPr="00171CB2" w:rsidRDefault="00171CB2" w:rsidP="00171CB2">
      <w:pPr>
        <w:jc w:val="center"/>
        <w:rPr>
          <w:lang w:val="de-DE"/>
        </w:rPr>
      </w:pPr>
    </w:p>
    <w:p w14:paraId="79F24A8D" w14:textId="77777777" w:rsidR="00171CB2" w:rsidRPr="00171CB2" w:rsidRDefault="00171CB2" w:rsidP="00171CB2">
      <w:pPr>
        <w:jc w:val="center"/>
        <w:rPr>
          <w:lang w:val="de-DE"/>
        </w:rPr>
      </w:pPr>
      <w:r w:rsidRPr="00171CB2">
        <w:rPr>
          <w:lang w:val="de-DE"/>
        </w:rPr>
        <w:t>ANLAGE II</w:t>
      </w:r>
    </w:p>
    <w:p w14:paraId="5F230140" w14:textId="77777777" w:rsidR="00171CB2" w:rsidRPr="00171CB2" w:rsidRDefault="00171CB2" w:rsidP="00171CB2">
      <w:pPr>
        <w:rPr>
          <w:lang w:val="de-DE"/>
        </w:rPr>
      </w:pPr>
    </w:p>
    <w:p w14:paraId="5CF3E22B" w14:textId="77777777" w:rsidR="00171CB2" w:rsidRPr="00171CB2" w:rsidRDefault="00171CB2" w:rsidP="00171CB2">
      <w:pPr>
        <w:rPr>
          <w:lang w:val="de-DE"/>
        </w:rPr>
      </w:pPr>
    </w:p>
    <w:p w14:paraId="1338775F" w14:textId="77777777" w:rsidR="00171CB2" w:rsidRPr="00171CB2" w:rsidRDefault="00171CB2" w:rsidP="00171CB2">
      <w:pPr>
        <w:rPr>
          <w:u w:val="single"/>
          <w:lang w:val="de-DE"/>
        </w:rPr>
      </w:pPr>
      <w:r w:rsidRPr="00171CB2">
        <w:rPr>
          <w:u w:val="single"/>
          <w:lang w:val="de-DE"/>
        </w:rPr>
        <w:t>Dokument TGP/8: Prüfungsanlage und Verfahren für die Prüfung der Unterscheidbarkeit, der Homogenität und der Beständigkeit (Überarbeitung)</w:t>
      </w:r>
    </w:p>
    <w:p w14:paraId="784832A1" w14:textId="77777777" w:rsidR="00171CB2" w:rsidRPr="00171CB2" w:rsidRDefault="00171CB2" w:rsidP="00171CB2">
      <w:pPr>
        <w:keepNext/>
        <w:rPr>
          <w:lang w:val="de-DE"/>
        </w:rPr>
      </w:pPr>
    </w:p>
    <w:p w14:paraId="04CB3065" w14:textId="77777777" w:rsidR="00171CB2" w:rsidRPr="00171CB2" w:rsidRDefault="00171CB2" w:rsidP="00171CB2">
      <w:pPr>
        <w:rPr>
          <w:rFonts w:eastAsia="MS Mincho"/>
          <w:i/>
          <w:lang w:val="de-DE"/>
        </w:rPr>
      </w:pPr>
      <w:bookmarkStart w:id="32" w:name="_Toc95126324"/>
      <w:r w:rsidRPr="00171CB2">
        <w:rPr>
          <w:rFonts w:eastAsia="MS Mincho"/>
          <w:i/>
          <w:lang w:val="de-DE"/>
        </w:rPr>
        <w:t xml:space="preserve">Datenverarbeitung zur Erstellung von Sortenbeschreibungen für gemessene quantitative Merkmale </w:t>
      </w:r>
      <w:bookmarkEnd w:id="32"/>
    </w:p>
    <w:p w14:paraId="020C475F" w14:textId="77777777" w:rsidR="00171CB2" w:rsidRPr="00171CB2" w:rsidRDefault="00171CB2" w:rsidP="00171CB2">
      <w:pPr>
        <w:rPr>
          <w:lang w:val="de-DE"/>
        </w:rPr>
      </w:pPr>
    </w:p>
    <w:p w14:paraId="2C1AAF3A" w14:textId="77777777" w:rsidR="00171CB2" w:rsidRPr="00171CB2" w:rsidRDefault="00171CB2" w:rsidP="00171CB2">
      <w:pPr>
        <w:rPr>
          <w:lang w:val="de-DE"/>
        </w:rPr>
      </w:pPr>
      <w:r w:rsidRPr="00171CB2">
        <w:rPr>
          <w:lang w:val="de-DE"/>
        </w:rPr>
        <w:t xml:space="preserve">Der TC stimmte auf seiner siebenundfünfzigsten Tagung, die am 25. und 26. Oktober 2021 auf elektronischem Wege abgehalten wurde, zu, dass die Anleitung zu „Verschiedene Formen, die Sortenbeschreibungen annehmen könnten, und die Bedeutung von Skalenniveaus“ in Dokument TGP/8 </w:t>
      </w:r>
      <w:r w:rsidRPr="00171CB2">
        <w:rPr>
          <w:rFonts w:cs="Arial"/>
          <w:lang w:val="de-DE"/>
        </w:rPr>
        <w:t xml:space="preserve">Teil I Abschnitt 2 „Zu erfassende Daten“ als neuer Abschnitt 2.5 </w:t>
      </w:r>
      <w:r w:rsidRPr="00171CB2">
        <w:rPr>
          <w:lang w:val="de-DE"/>
        </w:rPr>
        <w:t>wie folgt aufgenommen werden soll (vergleiche Dokument TC/57/25 „Bericht“, Absatz 27):</w:t>
      </w:r>
    </w:p>
    <w:p w14:paraId="16C101E4" w14:textId="77777777" w:rsidR="00171CB2" w:rsidRPr="00171CB2" w:rsidRDefault="00171CB2" w:rsidP="00171CB2">
      <w:pPr>
        <w:keepNext/>
        <w:rPr>
          <w:lang w:val="de-DE"/>
        </w:rPr>
      </w:pPr>
    </w:p>
    <w:p w14:paraId="05724CB1" w14:textId="77777777" w:rsidR="00171CB2" w:rsidRPr="00171CB2" w:rsidRDefault="00171CB2" w:rsidP="00171CB2">
      <w:pPr>
        <w:jc w:val="center"/>
        <w:rPr>
          <w:lang w:val="de-DE"/>
        </w:rPr>
      </w:pPr>
    </w:p>
    <w:p w14:paraId="0CF4D302" w14:textId="77777777" w:rsidR="00171CB2" w:rsidRPr="00171CB2" w:rsidRDefault="00171CB2" w:rsidP="00171CB2">
      <w:pPr>
        <w:jc w:val="center"/>
        <w:rPr>
          <w:sz w:val="18"/>
          <w:lang w:val="de-DE"/>
        </w:rPr>
      </w:pPr>
      <w:r w:rsidRPr="00171CB2">
        <w:rPr>
          <w:sz w:val="18"/>
          <w:lang w:val="de-DE"/>
        </w:rPr>
        <w:t>„VERSCHIEDENE FORMEN, DIE SORTENBESCHREIBUNGEN ANNEHMEN KÖNNTEN, UND DIE BEDEUTUNG VON SKALENNIVEAUS</w:t>
      </w:r>
    </w:p>
    <w:p w14:paraId="274FA9C0" w14:textId="77777777" w:rsidR="00171CB2" w:rsidRPr="00171CB2" w:rsidRDefault="00171CB2" w:rsidP="00171CB2">
      <w:pPr>
        <w:rPr>
          <w:sz w:val="18"/>
          <w:lang w:val="de-DE"/>
        </w:rPr>
      </w:pPr>
    </w:p>
    <w:p w14:paraId="3630032B" w14:textId="77777777" w:rsidR="00171CB2" w:rsidRPr="00171CB2" w:rsidRDefault="00171CB2" w:rsidP="00171CB2">
      <w:pPr>
        <w:ind w:left="709" w:right="567"/>
        <w:rPr>
          <w:rFonts w:cs="Arial"/>
          <w:sz w:val="18"/>
          <w:lang w:val="de-DE"/>
        </w:rPr>
      </w:pPr>
      <w:r w:rsidRPr="00171CB2">
        <w:rPr>
          <w:rFonts w:cs="Arial"/>
          <w:sz w:val="18"/>
          <w:lang w:val="de-DE"/>
        </w:rPr>
        <w:t>„Sortenbeschreibungen können je nach Zweck der Beschreibung auf verschiedenen Daten basieren. Für die Prüfung der Unterscheidbarkeit oder im amtlichen Dokument, das die Grundlage für die Erteilung des Schutzes bildet, können verschiedene Sortenbeschreibungen verwendet werden. Wenn Sortenbeschreibungen für die Prüfung der Unterscheidbarkeit verwendet werden, ist es wichtig zu berücksichtigen, auf welchen Daten die Beschreibungen für verschiedene Sorten basieren. Besondere Beachtung ist dem potentiellen Einfluss der Jahre und Standorte beizumessen.</w:t>
      </w:r>
    </w:p>
    <w:p w14:paraId="6AF648FB" w14:textId="77777777" w:rsidR="00171CB2" w:rsidRPr="00171CB2" w:rsidRDefault="00171CB2" w:rsidP="00171CB2">
      <w:pPr>
        <w:ind w:left="709" w:right="567"/>
        <w:rPr>
          <w:rFonts w:cs="Arial"/>
          <w:sz w:val="18"/>
          <w:lang w:val="de-DE"/>
        </w:rPr>
      </w:pPr>
    </w:p>
    <w:p w14:paraId="055AC684" w14:textId="77777777" w:rsidR="00171CB2" w:rsidRPr="00171CB2" w:rsidRDefault="00171CB2" w:rsidP="00171CB2">
      <w:pPr>
        <w:ind w:left="709" w:right="567"/>
        <w:rPr>
          <w:rFonts w:cs="Arial"/>
          <w:sz w:val="18"/>
          <w:lang w:val="de-DE"/>
        </w:rPr>
      </w:pPr>
      <w:r w:rsidRPr="00171CB2">
        <w:rPr>
          <w:rFonts w:cs="Arial"/>
          <w:sz w:val="18"/>
          <w:lang w:val="de-DE"/>
        </w:rPr>
        <w:t>„Die verschiedenen Formen von Sortenbeschreibungen und ihre Bedeutung für die Prüfung der Unterscheidbarkeit lassen sich gemäß den verschiedenen Verfahrensebenen für die Beobachtung eines Merkmals einstufen. Die Verfahrensebenen sind in Dokument TGP/8: Teil I: DUS-Prüfungsanlage und Datenanalyse, Abschnitt 2: Zu erfassende Daten wie folgt definiert:</w:t>
      </w:r>
    </w:p>
    <w:p w14:paraId="067E56DA" w14:textId="77777777" w:rsidR="00171CB2" w:rsidRPr="00171CB2" w:rsidRDefault="00171CB2" w:rsidP="00171CB2">
      <w:pPr>
        <w:rPr>
          <w:rFonts w:cs="Arial"/>
          <w:lang w:val="de-DE"/>
        </w:rPr>
      </w:pPr>
    </w:p>
    <w:p w14:paraId="37D692B5" w14:textId="77777777" w:rsidR="00171CB2" w:rsidRPr="00171CB2" w:rsidRDefault="00171CB2" w:rsidP="00171CB2">
      <w:pPr>
        <w:tabs>
          <w:tab w:val="left" w:pos="9072"/>
        </w:tabs>
        <w:autoSpaceDE w:val="0"/>
        <w:autoSpaceDN w:val="0"/>
        <w:adjustRightInd w:val="0"/>
        <w:ind w:left="567"/>
        <w:rPr>
          <w:rFonts w:cs="Arial"/>
          <w:sz w:val="18"/>
          <w:lang w:val="de-DE"/>
        </w:rPr>
      </w:pPr>
      <w:r w:rsidRPr="00171CB2">
        <w:rPr>
          <w:rFonts w:cs="Arial"/>
          <w:i/>
          <w:iCs/>
          <w:position w:val="-1"/>
          <w:sz w:val="18"/>
          <w:lang w:val="de-DE"/>
        </w:rPr>
        <w:t>Tabelle 5: Definition verschiedener Verfahrensebenen zur Betrachtung von Merkmalen</w:t>
      </w:r>
    </w:p>
    <w:p w14:paraId="3DC6F55B" w14:textId="77777777" w:rsidR="00171CB2" w:rsidRPr="00171CB2" w:rsidRDefault="00171CB2" w:rsidP="00171CB2">
      <w:pPr>
        <w:autoSpaceDE w:val="0"/>
        <w:autoSpaceDN w:val="0"/>
        <w:adjustRightInd w:val="0"/>
        <w:spacing w:before="2"/>
        <w:rPr>
          <w:rFonts w:cs="Arial"/>
          <w:sz w:val="18"/>
          <w:highlight w:val="lightGray"/>
          <w:lang w:val="de-DE"/>
        </w:rPr>
      </w:pPr>
    </w:p>
    <w:tbl>
      <w:tblPr>
        <w:tblW w:w="0" w:type="auto"/>
        <w:tblInd w:w="572" w:type="dxa"/>
        <w:tblLayout w:type="fixed"/>
        <w:tblCellMar>
          <w:left w:w="0" w:type="dxa"/>
          <w:right w:w="0" w:type="dxa"/>
        </w:tblCellMar>
        <w:tblLook w:val="04A0" w:firstRow="1" w:lastRow="0" w:firstColumn="1" w:lastColumn="0" w:noHBand="0" w:noVBand="1"/>
      </w:tblPr>
      <w:tblGrid>
        <w:gridCol w:w="1680"/>
        <w:gridCol w:w="5245"/>
      </w:tblGrid>
      <w:tr w:rsidR="00171CB2" w:rsidRPr="00171CB2" w14:paraId="2983870C" w14:textId="77777777" w:rsidTr="002946D2">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hideMark/>
          </w:tcPr>
          <w:p w14:paraId="14BF8877" w14:textId="77777777" w:rsidR="00171CB2" w:rsidRPr="00171CB2" w:rsidRDefault="00171CB2" w:rsidP="002946D2">
            <w:pPr>
              <w:autoSpaceDE w:val="0"/>
              <w:autoSpaceDN w:val="0"/>
              <w:adjustRightInd w:val="0"/>
              <w:spacing w:before="37"/>
              <w:ind w:left="35"/>
              <w:jc w:val="center"/>
              <w:rPr>
                <w:rFonts w:cs="Arial"/>
                <w:sz w:val="18"/>
                <w:highlight w:val="lightGray"/>
                <w:lang w:val="de-DE"/>
              </w:rPr>
            </w:pPr>
            <w:r w:rsidRPr="00171CB2">
              <w:rPr>
                <w:rFonts w:cs="Arial"/>
                <w:sz w:val="18"/>
                <w:highlight w:val="lightGray"/>
                <w:lang w:val="de-DE"/>
              </w:rPr>
              <w:t>Verfahrensebene</w:t>
            </w:r>
          </w:p>
        </w:tc>
        <w:tc>
          <w:tcPr>
            <w:tcW w:w="5245" w:type="dxa"/>
            <w:tcBorders>
              <w:top w:val="single" w:sz="4" w:space="0" w:color="auto"/>
              <w:left w:val="single" w:sz="4" w:space="0" w:color="auto"/>
              <w:bottom w:val="single" w:sz="4" w:space="0" w:color="auto"/>
              <w:right w:val="single" w:sz="4" w:space="0" w:color="auto"/>
            </w:tcBorders>
            <w:shd w:val="clear" w:color="auto" w:fill="DFDFDF"/>
            <w:hideMark/>
          </w:tcPr>
          <w:p w14:paraId="12E2FFFF" w14:textId="77777777" w:rsidR="00171CB2" w:rsidRPr="00171CB2" w:rsidRDefault="00171CB2" w:rsidP="002946D2">
            <w:pPr>
              <w:autoSpaceDE w:val="0"/>
              <w:autoSpaceDN w:val="0"/>
              <w:adjustRightInd w:val="0"/>
              <w:spacing w:before="37"/>
              <w:ind w:left="231"/>
              <w:rPr>
                <w:rFonts w:cs="Arial"/>
                <w:sz w:val="18"/>
                <w:highlight w:val="lightGray"/>
                <w:lang w:val="de-DE"/>
              </w:rPr>
            </w:pPr>
            <w:r w:rsidRPr="00171CB2">
              <w:rPr>
                <w:rFonts w:cs="Arial"/>
                <w:sz w:val="18"/>
                <w:highlight w:val="lightGray"/>
                <w:lang w:val="de-DE"/>
              </w:rPr>
              <w:t>Beschreibung der Verfahrensebene</w:t>
            </w:r>
          </w:p>
        </w:tc>
      </w:tr>
      <w:tr w:rsidR="00171CB2" w:rsidRPr="008D7685" w14:paraId="0BBF44BF" w14:textId="77777777" w:rsidTr="002946D2">
        <w:trPr>
          <w:trHeight w:hRule="exact" w:val="342"/>
        </w:trPr>
        <w:tc>
          <w:tcPr>
            <w:tcW w:w="1680" w:type="dxa"/>
            <w:tcBorders>
              <w:top w:val="single" w:sz="4" w:space="0" w:color="auto"/>
              <w:left w:val="single" w:sz="4" w:space="0" w:color="auto"/>
              <w:bottom w:val="single" w:sz="4" w:space="0" w:color="auto"/>
              <w:right w:val="single" w:sz="4" w:space="0" w:color="auto"/>
            </w:tcBorders>
            <w:hideMark/>
          </w:tcPr>
          <w:p w14:paraId="35E08DAF" w14:textId="77777777" w:rsidR="00171CB2" w:rsidRPr="00171CB2" w:rsidRDefault="00171CB2" w:rsidP="002946D2">
            <w:pPr>
              <w:autoSpaceDE w:val="0"/>
              <w:autoSpaceDN w:val="0"/>
              <w:adjustRightInd w:val="0"/>
              <w:spacing w:before="37"/>
              <w:ind w:left="60"/>
              <w:jc w:val="center"/>
              <w:rPr>
                <w:rFonts w:cs="Arial"/>
                <w:sz w:val="18"/>
                <w:lang w:val="de-DE"/>
              </w:rPr>
            </w:pPr>
            <w:r w:rsidRPr="00171CB2">
              <w:rPr>
                <w:rFonts w:cs="Arial"/>
                <w:sz w:val="18"/>
                <w:lang w:val="de-DE"/>
              </w:rPr>
              <w:t>1</w:t>
            </w:r>
          </w:p>
        </w:tc>
        <w:tc>
          <w:tcPr>
            <w:tcW w:w="5245" w:type="dxa"/>
            <w:tcBorders>
              <w:top w:val="single" w:sz="4" w:space="0" w:color="auto"/>
              <w:left w:val="single" w:sz="4" w:space="0" w:color="auto"/>
              <w:bottom w:val="single" w:sz="4" w:space="0" w:color="auto"/>
              <w:right w:val="single" w:sz="4" w:space="0" w:color="auto"/>
            </w:tcBorders>
            <w:hideMark/>
          </w:tcPr>
          <w:p w14:paraId="02A84081" w14:textId="77777777" w:rsidR="00171CB2" w:rsidRPr="00171CB2" w:rsidRDefault="00171CB2" w:rsidP="002946D2">
            <w:pPr>
              <w:autoSpaceDE w:val="0"/>
              <w:autoSpaceDN w:val="0"/>
              <w:adjustRightInd w:val="0"/>
              <w:spacing w:before="37"/>
              <w:ind w:left="231"/>
              <w:rPr>
                <w:rFonts w:cs="Arial"/>
                <w:sz w:val="18"/>
                <w:lang w:val="de-DE"/>
              </w:rPr>
            </w:pPr>
            <w:r w:rsidRPr="00171CB2">
              <w:rPr>
                <w:rFonts w:cs="Arial"/>
                <w:sz w:val="18"/>
                <w:lang w:val="de-DE"/>
              </w:rPr>
              <w:t>Merkmale, wie sie sich in der Anbauprüfung ausprägen</w:t>
            </w:r>
          </w:p>
        </w:tc>
      </w:tr>
      <w:tr w:rsidR="00171CB2" w:rsidRPr="008D7685" w14:paraId="1A45AFDB" w14:textId="77777777" w:rsidTr="002946D2">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14:paraId="43BD097D" w14:textId="77777777" w:rsidR="00171CB2" w:rsidRPr="00171CB2" w:rsidRDefault="00171CB2" w:rsidP="002946D2">
            <w:pPr>
              <w:autoSpaceDE w:val="0"/>
              <w:autoSpaceDN w:val="0"/>
              <w:adjustRightInd w:val="0"/>
              <w:spacing w:before="37"/>
              <w:ind w:left="60"/>
              <w:jc w:val="center"/>
              <w:rPr>
                <w:rFonts w:cs="Arial"/>
                <w:sz w:val="18"/>
                <w:lang w:val="de-DE"/>
              </w:rPr>
            </w:pPr>
            <w:r w:rsidRPr="00171CB2">
              <w:rPr>
                <w:rFonts w:cs="Arial"/>
                <w:sz w:val="18"/>
                <w:lang w:val="de-DE"/>
              </w:rPr>
              <w:t>2</w:t>
            </w:r>
          </w:p>
        </w:tc>
        <w:tc>
          <w:tcPr>
            <w:tcW w:w="5245" w:type="dxa"/>
            <w:tcBorders>
              <w:top w:val="single" w:sz="4" w:space="0" w:color="auto"/>
              <w:left w:val="single" w:sz="4" w:space="0" w:color="auto"/>
              <w:bottom w:val="single" w:sz="4" w:space="0" w:color="auto"/>
              <w:right w:val="single" w:sz="4" w:space="0" w:color="auto"/>
            </w:tcBorders>
            <w:hideMark/>
          </w:tcPr>
          <w:p w14:paraId="4621D06D" w14:textId="77777777" w:rsidR="00171CB2" w:rsidRPr="00171CB2" w:rsidRDefault="00171CB2" w:rsidP="002946D2">
            <w:pPr>
              <w:autoSpaceDE w:val="0"/>
              <w:autoSpaceDN w:val="0"/>
              <w:adjustRightInd w:val="0"/>
              <w:spacing w:before="37"/>
              <w:ind w:left="231"/>
              <w:rPr>
                <w:rFonts w:cs="Arial"/>
                <w:sz w:val="18"/>
                <w:lang w:val="de-DE"/>
              </w:rPr>
            </w:pPr>
            <w:r w:rsidRPr="00171CB2">
              <w:rPr>
                <w:rFonts w:cs="Arial"/>
                <w:sz w:val="18"/>
                <w:lang w:val="de-DE"/>
              </w:rPr>
              <w:t>Daten für die Auswertung von Merkmalen</w:t>
            </w:r>
          </w:p>
        </w:tc>
      </w:tr>
      <w:tr w:rsidR="00171CB2" w:rsidRPr="00171CB2" w14:paraId="32684EB0" w14:textId="77777777" w:rsidTr="002946D2">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14:paraId="7E781841" w14:textId="77777777" w:rsidR="00171CB2" w:rsidRPr="00171CB2" w:rsidRDefault="00171CB2" w:rsidP="002946D2">
            <w:pPr>
              <w:autoSpaceDE w:val="0"/>
              <w:autoSpaceDN w:val="0"/>
              <w:adjustRightInd w:val="0"/>
              <w:spacing w:before="37"/>
              <w:ind w:left="60"/>
              <w:jc w:val="center"/>
              <w:rPr>
                <w:rFonts w:cs="Arial"/>
                <w:sz w:val="18"/>
                <w:lang w:val="de-DE"/>
              </w:rPr>
            </w:pPr>
            <w:r w:rsidRPr="00171CB2">
              <w:rPr>
                <w:rFonts w:cs="Arial"/>
                <w:sz w:val="18"/>
                <w:lang w:val="de-DE"/>
              </w:rPr>
              <w:t>3</w:t>
            </w:r>
          </w:p>
        </w:tc>
        <w:tc>
          <w:tcPr>
            <w:tcW w:w="5245" w:type="dxa"/>
            <w:tcBorders>
              <w:top w:val="single" w:sz="4" w:space="0" w:color="auto"/>
              <w:left w:val="single" w:sz="4" w:space="0" w:color="auto"/>
              <w:bottom w:val="single" w:sz="4" w:space="0" w:color="auto"/>
              <w:right w:val="single" w:sz="4" w:space="0" w:color="auto"/>
            </w:tcBorders>
            <w:hideMark/>
          </w:tcPr>
          <w:p w14:paraId="6047828D" w14:textId="77777777" w:rsidR="00171CB2" w:rsidRPr="00171CB2" w:rsidRDefault="00171CB2" w:rsidP="002946D2">
            <w:pPr>
              <w:autoSpaceDE w:val="0"/>
              <w:autoSpaceDN w:val="0"/>
              <w:adjustRightInd w:val="0"/>
              <w:spacing w:before="37"/>
              <w:ind w:left="231"/>
              <w:rPr>
                <w:rFonts w:cs="Arial"/>
                <w:sz w:val="18"/>
                <w:lang w:val="de-DE"/>
              </w:rPr>
            </w:pPr>
            <w:r w:rsidRPr="00171CB2">
              <w:rPr>
                <w:rFonts w:cs="Arial"/>
                <w:sz w:val="18"/>
                <w:lang w:val="de-DE"/>
              </w:rPr>
              <w:t>Sortenbeschreibung</w:t>
            </w:r>
          </w:p>
        </w:tc>
      </w:tr>
    </w:tbl>
    <w:p w14:paraId="669F8C41" w14:textId="77777777" w:rsidR="00171CB2" w:rsidRPr="00171CB2" w:rsidRDefault="00171CB2" w:rsidP="00171CB2">
      <w:pPr>
        <w:autoSpaceDE w:val="0"/>
        <w:autoSpaceDN w:val="0"/>
        <w:adjustRightInd w:val="0"/>
        <w:spacing w:before="18"/>
        <w:ind w:left="7797"/>
        <w:rPr>
          <w:rFonts w:cs="Arial"/>
          <w:sz w:val="18"/>
          <w:lang w:val="de-DE"/>
        </w:rPr>
      </w:pPr>
    </w:p>
    <w:p w14:paraId="11D47D0C" w14:textId="77777777" w:rsidR="00171CB2" w:rsidRPr="00171CB2" w:rsidRDefault="00171CB2" w:rsidP="00171CB2">
      <w:pPr>
        <w:autoSpaceDE w:val="0"/>
        <w:autoSpaceDN w:val="0"/>
        <w:adjustRightInd w:val="0"/>
        <w:spacing w:before="18"/>
        <w:rPr>
          <w:rFonts w:cs="Arial"/>
          <w:lang w:val="de-DE"/>
        </w:rPr>
      </w:pPr>
    </w:p>
    <w:p w14:paraId="1FCDEA43" w14:textId="77777777" w:rsidR="00171CB2" w:rsidRPr="00171CB2" w:rsidRDefault="00171CB2" w:rsidP="00171CB2">
      <w:pPr>
        <w:ind w:left="567" w:right="567"/>
        <w:rPr>
          <w:rFonts w:cs="Arial"/>
          <w:sz w:val="18"/>
          <w:lang w:val="de-DE"/>
        </w:rPr>
      </w:pPr>
      <w:r w:rsidRPr="00171CB2">
        <w:rPr>
          <w:rFonts w:cs="Arial"/>
          <w:sz w:val="18"/>
          <w:lang w:val="de-DE"/>
        </w:rPr>
        <w:t>„Die für die Prüfung der Unterscheidbarkeit maßgeblichenen Verfahrensebenen sind 2 und 3. Ein Vergleich zwischen Sorten in derselben Anbauprüfung (gleiche(s) Jahr(e), gleicher Standort) wird an den in der Anbauprüfung erfassten tatsächlichen Daten durchgeführt. Dieser Ansatz bezieht sich auf die Verfahrensebene 2. Wenn Sorten nicht in derselben Anbauprüfung angebaut werden, müssen sie auf der Grundlage von Sortenbeschreibungen verglichen werden, die sich auf die Verfahrensebene 3 beziehen. Die Identifikation ähnlicher Sorten, die in den Anbauversuch einbezogen werden sollen („Verwaltung der Sortensammlung“), bezieht sich in der Regel auf die Verfahrensebene 3, während sich die Auswertung der Daten innerhalb des Anbauversuchs auf die Verfahrensebene 2 bezieht.</w:t>
      </w:r>
    </w:p>
    <w:p w14:paraId="39A0C8F5" w14:textId="77777777" w:rsidR="00171CB2" w:rsidRPr="00171CB2" w:rsidRDefault="00171CB2" w:rsidP="00171CB2">
      <w:pPr>
        <w:rPr>
          <w:rFonts w:cs="Arial"/>
          <w:lang w:val="de-DE"/>
        </w:rPr>
      </w:pPr>
    </w:p>
    <w:tbl>
      <w:tblPr>
        <w:tblStyle w:val="TableGrid"/>
        <w:tblW w:w="0" w:type="auto"/>
        <w:tblInd w:w="108" w:type="dxa"/>
        <w:tblLook w:val="04A0" w:firstRow="1" w:lastRow="0" w:firstColumn="1" w:lastColumn="0" w:noHBand="0" w:noVBand="1"/>
      </w:tblPr>
      <w:tblGrid>
        <w:gridCol w:w="1598"/>
        <w:gridCol w:w="2231"/>
        <w:gridCol w:w="3004"/>
        <w:gridCol w:w="2688"/>
      </w:tblGrid>
      <w:tr w:rsidR="00171CB2" w:rsidRPr="00171CB2" w14:paraId="06F3CC4A" w14:textId="77777777" w:rsidTr="002946D2">
        <w:tc>
          <w:tcPr>
            <w:tcW w:w="1598" w:type="dxa"/>
            <w:tcBorders>
              <w:top w:val="single" w:sz="4" w:space="0" w:color="auto"/>
              <w:left w:val="single" w:sz="4" w:space="0" w:color="auto"/>
              <w:bottom w:val="single" w:sz="4" w:space="0" w:color="auto"/>
              <w:right w:val="single" w:sz="4" w:space="0" w:color="auto"/>
            </w:tcBorders>
            <w:hideMark/>
          </w:tcPr>
          <w:p w14:paraId="684A36D1" w14:textId="77777777" w:rsidR="00171CB2" w:rsidRPr="00171CB2" w:rsidRDefault="00171CB2" w:rsidP="002946D2">
            <w:pPr>
              <w:jc w:val="center"/>
              <w:rPr>
                <w:rFonts w:cs="Arial"/>
                <w:sz w:val="18"/>
                <w:lang w:val="de-DE"/>
              </w:rPr>
            </w:pPr>
            <w:r w:rsidRPr="00171CB2">
              <w:rPr>
                <w:rFonts w:cs="Arial"/>
                <w:sz w:val="18"/>
                <w:lang w:val="de-DE"/>
              </w:rPr>
              <w:t>Verfahrensebene</w:t>
            </w:r>
          </w:p>
        </w:tc>
        <w:tc>
          <w:tcPr>
            <w:tcW w:w="2231" w:type="dxa"/>
            <w:tcBorders>
              <w:top w:val="single" w:sz="4" w:space="0" w:color="auto"/>
              <w:left w:val="single" w:sz="4" w:space="0" w:color="auto"/>
              <w:bottom w:val="single" w:sz="4" w:space="0" w:color="auto"/>
              <w:right w:val="single" w:sz="4" w:space="0" w:color="auto"/>
            </w:tcBorders>
            <w:hideMark/>
          </w:tcPr>
          <w:p w14:paraId="0225EBA3" w14:textId="77777777" w:rsidR="00171CB2" w:rsidRPr="00171CB2" w:rsidRDefault="00171CB2" w:rsidP="002946D2">
            <w:pPr>
              <w:jc w:val="center"/>
              <w:rPr>
                <w:rFonts w:cs="Arial"/>
                <w:sz w:val="18"/>
                <w:lang w:val="de-DE"/>
              </w:rPr>
            </w:pPr>
            <w:r w:rsidRPr="00171CB2">
              <w:rPr>
                <w:rFonts w:cs="Arial"/>
                <w:sz w:val="18"/>
                <w:lang w:val="de-DE"/>
              </w:rPr>
              <w:t>Messungen</w:t>
            </w:r>
          </w:p>
          <w:p w14:paraId="03CD7B6C" w14:textId="77777777" w:rsidR="00171CB2" w:rsidRPr="00171CB2" w:rsidRDefault="00171CB2" w:rsidP="002946D2">
            <w:pPr>
              <w:jc w:val="center"/>
              <w:rPr>
                <w:rFonts w:cs="Arial"/>
                <w:sz w:val="18"/>
                <w:lang w:val="de-DE"/>
              </w:rPr>
            </w:pPr>
            <w:r w:rsidRPr="00171CB2">
              <w:rPr>
                <w:rFonts w:cs="Arial"/>
                <w:sz w:val="18"/>
                <w:lang w:val="de-DE"/>
              </w:rPr>
              <w:t>(QN)</w:t>
            </w:r>
          </w:p>
        </w:tc>
        <w:tc>
          <w:tcPr>
            <w:tcW w:w="3004" w:type="dxa"/>
            <w:tcBorders>
              <w:top w:val="single" w:sz="4" w:space="0" w:color="auto"/>
              <w:left w:val="single" w:sz="4" w:space="0" w:color="auto"/>
              <w:bottom w:val="single" w:sz="4" w:space="0" w:color="auto"/>
              <w:right w:val="single" w:sz="4" w:space="0" w:color="auto"/>
            </w:tcBorders>
            <w:hideMark/>
          </w:tcPr>
          <w:p w14:paraId="7D04A258" w14:textId="77777777" w:rsidR="00171CB2" w:rsidRPr="00171CB2" w:rsidRDefault="00171CB2" w:rsidP="002946D2">
            <w:pPr>
              <w:jc w:val="center"/>
              <w:rPr>
                <w:rFonts w:cs="Arial"/>
                <w:sz w:val="18"/>
                <w:lang w:val="de-DE"/>
              </w:rPr>
            </w:pPr>
            <w:r w:rsidRPr="00171CB2">
              <w:rPr>
                <w:rFonts w:cs="Arial"/>
                <w:sz w:val="18"/>
                <w:lang w:val="de-DE"/>
              </w:rPr>
              <w:t>Visuelle Erfassung</w:t>
            </w:r>
          </w:p>
          <w:p w14:paraId="35D4FF13" w14:textId="77777777" w:rsidR="00171CB2" w:rsidRPr="00171CB2" w:rsidRDefault="00171CB2" w:rsidP="002946D2">
            <w:pPr>
              <w:jc w:val="center"/>
              <w:rPr>
                <w:rFonts w:cs="Arial"/>
                <w:sz w:val="18"/>
                <w:lang w:val="de-DE"/>
              </w:rPr>
            </w:pPr>
            <w:r w:rsidRPr="00171CB2">
              <w:rPr>
                <w:rFonts w:cs="Arial"/>
                <w:sz w:val="18"/>
                <w:lang w:val="de-DE"/>
              </w:rPr>
              <w:t>(QN/QL/PQ)</w:t>
            </w:r>
          </w:p>
        </w:tc>
        <w:tc>
          <w:tcPr>
            <w:tcW w:w="2688" w:type="dxa"/>
            <w:tcBorders>
              <w:top w:val="single" w:sz="4" w:space="0" w:color="auto"/>
              <w:left w:val="single" w:sz="4" w:space="0" w:color="auto"/>
              <w:bottom w:val="single" w:sz="4" w:space="0" w:color="auto"/>
              <w:right w:val="single" w:sz="4" w:space="0" w:color="auto"/>
            </w:tcBorders>
            <w:hideMark/>
          </w:tcPr>
          <w:p w14:paraId="474A42DC" w14:textId="77777777" w:rsidR="00171CB2" w:rsidRPr="00171CB2" w:rsidRDefault="00171CB2" w:rsidP="002946D2">
            <w:pPr>
              <w:rPr>
                <w:rFonts w:cs="Arial"/>
                <w:sz w:val="18"/>
                <w:lang w:val="de-DE"/>
              </w:rPr>
            </w:pPr>
            <w:r w:rsidRPr="00171CB2">
              <w:rPr>
                <w:rFonts w:cs="Arial"/>
                <w:sz w:val="18"/>
                <w:lang w:val="de-DE"/>
              </w:rPr>
              <w:t>Bemerkung</w:t>
            </w:r>
          </w:p>
        </w:tc>
      </w:tr>
      <w:tr w:rsidR="00171CB2" w:rsidRPr="008D7685" w14:paraId="0D109F60" w14:textId="77777777" w:rsidTr="002946D2">
        <w:tc>
          <w:tcPr>
            <w:tcW w:w="1598" w:type="dxa"/>
            <w:tcBorders>
              <w:top w:val="single" w:sz="4" w:space="0" w:color="auto"/>
              <w:left w:val="single" w:sz="4" w:space="0" w:color="auto"/>
              <w:bottom w:val="single" w:sz="4" w:space="0" w:color="auto"/>
              <w:right w:val="single" w:sz="4" w:space="0" w:color="auto"/>
            </w:tcBorders>
            <w:hideMark/>
          </w:tcPr>
          <w:p w14:paraId="51F0E89B" w14:textId="77777777" w:rsidR="00171CB2" w:rsidRPr="00171CB2" w:rsidRDefault="00171CB2" w:rsidP="002946D2">
            <w:pPr>
              <w:spacing w:before="240"/>
              <w:jc w:val="center"/>
              <w:rPr>
                <w:rFonts w:cs="Arial"/>
                <w:sz w:val="18"/>
                <w:lang w:val="de-DE"/>
              </w:rPr>
            </w:pPr>
            <w:r w:rsidRPr="00171CB2">
              <w:rPr>
                <w:rFonts w:cs="Arial"/>
                <w:sz w:val="18"/>
                <w:lang w:val="de-DE"/>
              </w:rPr>
              <w:t>2</w:t>
            </w:r>
          </w:p>
        </w:tc>
        <w:tc>
          <w:tcPr>
            <w:tcW w:w="2231" w:type="dxa"/>
            <w:tcBorders>
              <w:top w:val="single" w:sz="4" w:space="0" w:color="auto"/>
              <w:left w:val="single" w:sz="4" w:space="0" w:color="auto"/>
              <w:bottom w:val="single" w:sz="4" w:space="0" w:color="auto"/>
              <w:right w:val="single" w:sz="4" w:space="0" w:color="auto"/>
            </w:tcBorders>
            <w:hideMark/>
          </w:tcPr>
          <w:p w14:paraId="22186537" w14:textId="77777777" w:rsidR="00171CB2" w:rsidRPr="00171CB2" w:rsidRDefault="00171CB2" w:rsidP="002946D2">
            <w:pPr>
              <w:rPr>
                <w:rFonts w:cs="Arial"/>
                <w:sz w:val="18"/>
                <w:lang w:val="de-DE"/>
              </w:rPr>
            </w:pPr>
            <w:r w:rsidRPr="00171CB2">
              <w:rPr>
                <w:noProof/>
              </w:rPr>
              <mc:AlternateContent>
                <mc:Choice Requires="wps">
                  <w:drawing>
                    <wp:anchor distT="0" distB="0" distL="114300" distR="114300" simplePos="0" relativeHeight="251659264" behindDoc="0" locked="0" layoutInCell="1" allowOverlap="1" wp14:anchorId="18942FE3" wp14:editId="07FDC9E5">
                      <wp:simplePos x="0" y="0"/>
                      <wp:positionH relativeFrom="column">
                        <wp:posOffset>118110</wp:posOffset>
                      </wp:positionH>
                      <wp:positionV relativeFrom="paragraph">
                        <wp:posOffset>396240</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0B1D2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9.3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" adj="19562" fillcolor="#4f81bd" strokecolor="#385d8a" strokeweight="2pt"/>
                  </w:pict>
                </mc:Fallback>
              </mc:AlternateContent>
            </w:r>
            <w:r w:rsidRPr="00171CB2">
              <w:rPr>
                <w:rFonts w:cs="Arial"/>
                <w:sz w:val="18"/>
                <w:lang w:val="de-DE"/>
              </w:rPr>
              <w:t>Werte</w:t>
            </w:r>
          </w:p>
        </w:tc>
        <w:tc>
          <w:tcPr>
            <w:tcW w:w="3004" w:type="dxa"/>
            <w:tcBorders>
              <w:top w:val="single" w:sz="4" w:space="0" w:color="auto"/>
              <w:left w:val="single" w:sz="4" w:space="0" w:color="auto"/>
              <w:bottom w:val="single" w:sz="4" w:space="0" w:color="auto"/>
              <w:right w:val="single" w:sz="4" w:space="0" w:color="auto"/>
            </w:tcBorders>
            <w:hideMark/>
          </w:tcPr>
          <w:p w14:paraId="1CEFBFD5" w14:textId="77777777" w:rsidR="00171CB2" w:rsidRPr="00171CB2" w:rsidRDefault="00171CB2" w:rsidP="002946D2">
            <w:pPr>
              <w:rPr>
                <w:rFonts w:cs="Arial"/>
                <w:sz w:val="18"/>
                <w:lang w:val="de-DE"/>
              </w:rPr>
            </w:pPr>
            <w:r w:rsidRPr="00171CB2">
              <w:rPr>
                <w:noProof/>
              </w:rPr>
              <mc:AlternateContent>
                <mc:Choice Requires="wps">
                  <w:drawing>
                    <wp:anchor distT="0" distB="0" distL="114300" distR="114300" simplePos="0" relativeHeight="251660288" behindDoc="0" locked="0" layoutInCell="1" allowOverlap="1" wp14:anchorId="2E371309" wp14:editId="11E206A1">
                      <wp:simplePos x="0" y="0"/>
                      <wp:positionH relativeFrom="column">
                        <wp:posOffset>122555</wp:posOffset>
                      </wp:positionH>
                      <wp:positionV relativeFrom="paragraph">
                        <wp:posOffset>396240</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866F71" id="Down Arrow 19" o:spid="_x0000_s1026" type="#_x0000_t67" style="position:absolute;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" adj="19562" fillcolor="#4f81bd" strokecolor="#385d8a" strokeweight="2pt"/>
                  </w:pict>
                </mc:Fallback>
              </mc:AlternateContent>
            </w:r>
            <w:r w:rsidRPr="00171CB2">
              <w:rPr>
                <w:rFonts w:cs="Arial"/>
                <w:sz w:val="18"/>
                <w:lang w:val="de-DE"/>
              </w:rPr>
              <w:t>Noten</w:t>
            </w:r>
          </w:p>
        </w:tc>
        <w:tc>
          <w:tcPr>
            <w:tcW w:w="2688" w:type="dxa"/>
            <w:tcBorders>
              <w:top w:val="single" w:sz="4" w:space="0" w:color="auto"/>
              <w:left w:val="single" w:sz="4" w:space="0" w:color="auto"/>
              <w:bottom w:val="single" w:sz="4" w:space="0" w:color="auto"/>
              <w:right w:val="single" w:sz="4" w:space="0" w:color="auto"/>
            </w:tcBorders>
          </w:tcPr>
          <w:p w14:paraId="349F017B" w14:textId="77777777" w:rsidR="00171CB2" w:rsidRPr="00171CB2" w:rsidRDefault="00171CB2" w:rsidP="002946D2">
            <w:pPr>
              <w:spacing w:before="240"/>
              <w:jc w:val="left"/>
              <w:rPr>
                <w:rFonts w:cs="Arial"/>
                <w:sz w:val="18"/>
                <w:lang w:val="de-DE"/>
              </w:rPr>
            </w:pPr>
            <w:r w:rsidRPr="00171CB2">
              <w:rPr>
                <w:rFonts w:cs="Arial"/>
                <w:sz w:val="18"/>
                <w:lang w:val="de-DE"/>
              </w:rPr>
              <w:t>Grundlage für den Vergleich innerhalb desselben Anbauversuchs</w:t>
            </w:r>
          </w:p>
          <w:p w14:paraId="5308A0E0" w14:textId="77777777" w:rsidR="00171CB2" w:rsidRPr="00171CB2" w:rsidRDefault="00171CB2" w:rsidP="002946D2">
            <w:pPr>
              <w:rPr>
                <w:rFonts w:cs="Arial"/>
                <w:sz w:val="18"/>
                <w:lang w:val="de-DE"/>
              </w:rPr>
            </w:pPr>
          </w:p>
        </w:tc>
      </w:tr>
      <w:tr w:rsidR="00171CB2" w:rsidRPr="008D7685" w14:paraId="43A531A1" w14:textId="77777777" w:rsidTr="002946D2">
        <w:tc>
          <w:tcPr>
            <w:tcW w:w="1598" w:type="dxa"/>
            <w:tcBorders>
              <w:top w:val="single" w:sz="4" w:space="0" w:color="auto"/>
              <w:left w:val="single" w:sz="4" w:space="0" w:color="auto"/>
              <w:bottom w:val="nil"/>
              <w:right w:val="single" w:sz="4" w:space="0" w:color="auto"/>
            </w:tcBorders>
            <w:hideMark/>
          </w:tcPr>
          <w:p w14:paraId="51BECBDD" w14:textId="77777777" w:rsidR="00171CB2" w:rsidRPr="00171CB2" w:rsidRDefault="00171CB2" w:rsidP="002946D2">
            <w:pPr>
              <w:spacing w:before="240"/>
              <w:jc w:val="center"/>
              <w:rPr>
                <w:rFonts w:cs="Arial"/>
                <w:sz w:val="18"/>
                <w:lang w:val="de-DE"/>
              </w:rPr>
            </w:pPr>
            <w:r w:rsidRPr="00171CB2">
              <w:rPr>
                <w:rFonts w:cs="Arial"/>
                <w:sz w:val="18"/>
                <w:lang w:val="de-DE"/>
              </w:rPr>
              <w:t>3</w:t>
            </w:r>
          </w:p>
        </w:tc>
        <w:tc>
          <w:tcPr>
            <w:tcW w:w="2231" w:type="dxa"/>
            <w:tcBorders>
              <w:top w:val="single" w:sz="4" w:space="0" w:color="auto"/>
              <w:left w:val="single" w:sz="4" w:space="0" w:color="auto"/>
              <w:bottom w:val="nil"/>
              <w:right w:val="single" w:sz="4" w:space="0" w:color="auto"/>
            </w:tcBorders>
            <w:hideMark/>
          </w:tcPr>
          <w:p w14:paraId="1F9FBAA6" w14:textId="77777777" w:rsidR="00171CB2" w:rsidRPr="00171CB2" w:rsidRDefault="00171CB2" w:rsidP="002946D2">
            <w:pPr>
              <w:spacing w:before="120"/>
              <w:ind w:left="600"/>
              <w:jc w:val="left"/>
              <w:rPr>
                <w:rFonts w:cs="Arial"/>
                <w:sz w:val="18"/>
                <w:lang w:val="de-DE"/>
              </w:rPr>
            </w:pPr>
            <w:r w:rsidRPr="00171CB2">
              <w:rPr>
                <w:rFonts w:cs="Arial"/>
                <w:sz w:val="18"/>
                <w:lang w:val="de-DE"/>
              </w:rPr>
              <w:t xml:space="preserve">Umsetzung in Noten </w:t>
            </w:r>
          </w:p>
          <w:p w14:paraId="4DC83238" w14:textId="77777777" w:rsidR="00171CB2" w:rsidRPr="00171CB2" w:rsidRDefault="00171CB2" w:rsidP="002946D2">
            <w:pPr>
              <w:spacing w:before="120"/>
              <w:rPr>
                <w:rFonts w:cs="Arial"/>
                <w:sz w:val="18"/>
                <w:lang w:val="de-DE"/>
              </w:rPr>
            </w:pPr>
            <w:r w:rsidRPr="00171CB2">
              <w:rPr>
                <w:rFonts w:cs="Arial"/>
                <w:sz w:val="18"/>
                <w:lang w:val="de-DE"/>
              </w:rPr>
              <w:t>Noten</w:t>
            </w:r>
          </w:p>
        </w:tc>
        <w:tc>
          <w:tcPr>
            <w:tcW w:w="3004" w:type="dxa"/>
            <w:tcBorders>
              <w:top w:val="single" w:sz="4" w:space="0" w:color="auto"/>
              <w:left w:val="single" w:sz="4" w:space="0" w:color="auto"/>
              <w:bottom w:val="nil"/>
              <w:right w:val="single" w:sz="4" w:space="0" w:color="auto"/>
            </w:tcBorders>
          </w:tcPr>
          <w:p w14:paraId="143B65DD" w14:textId="77777777" w:rsidR="00171CB2" w:rsidRPr="00171CB2" w:rsidRDefault="00171CB2" w:rsidP="002946D2">
            <w:pPr>
              <w:spacing w:before="120"/>
              <w:ind w:left="459"/>
              <w:jc w:val="left"/>
              <w:rPr>
                <w:rFonts w:cs="Arial"/>
                <w:sz w:val="18"/>
                <w:lang w:val="de-DE"/>
              </w:rPr>
            </w:pPr>
            <w:r w:rsidRPr="00171CB2">
              <w:rPr>
                <w:rFonts w:cs="Arial"/>
                <w:sz w:val="18"/>
                <w:lang w:val="de-DE"/>
              </w:rPr>
              <w:t>Gleiche Noten wie in Verfahrensebene 1</w:t>
            </w:r>
          </w:p>
          <w:p w14:paraId="45BF88C1" w14:textId="77777777" w:rsidR="00171CB2" w:rsidRPr="00171CB2" w:rsidRDefault="00171CB2" w:rsidP="002946D2">
            <w:pPr>
              <w:spacing w:before="120"/>
              <w:ind w:left="34"/>
              <w:rPr>
                <w:rFonts w:cs="Arial"/>
                <w:sz w:val="18"/>
                <w:lang w:val="de-DE"/>
              </w:rPr>
            </w:pPr>
          </w:p>
          <w:p w14:paraId="5FEE3A2A" w14:textId="77777777" w:rsidR="00171CB2" w:rsidRPr="00171CB2" w:rsidRDefault="00171CB2" w:rsidP="002946D2">
            <w:pPr>
              <w:ind w:left="34"/>
              <w:rPr>
                <w:rFonts w:cs="Arial"/>
                <w:sz w:val="18"/>
                <w:lang w:val="de-DE"/>
              </w:rPr>
            </w:pPr>
            <w:r w:rsidRPr="00171CB2">
              <w:rPr>
                <w:rFonts w:cs="Arial"/>
                <w:sz w:val="18"/>
                <w:lang w:val="de-DE"/>
              </w:rPr>
              <w:t>Noten</w:t>
            </w:r>
          </w:p>
        </w:tc>
        <w:tc>
          <w:tcPr>
            <w:tcW w:w="2688" w:type="dxa"/>
            <w:tcBorders>
              <w:top w:val="single" w:sz="4" w:space="0" w:color="auto"/>
              <w:left w:val="single" w:sz="4" w:space="0" w:color="auto"/>
              <w:bottom w:val="nil"/>
              <w:right w:val="single" w:sz="4" w:space="0" w:color="auto"/>
            </w:tcBorders>
            <w:hideMark/>
          </w:tcPr>
          <w:p w14:paraId="513A463B" w14:textId="77777777" w:rsidR="00171CB2" w:rsidRPr="00171CB2" w:rsidRDefault="00171CB2" w:rsidP="002946D2">
            <w:pPr>
              <w:spacing w:before="240"/>
              <w:jc w:val="left"/>
              <w:rPr>
                <w:rFonts w:cs="Arial"/>
                <w:sz w:val="18"/>
                <w:lang w:val="de-DE"/>
              </w:rPr>
            </w:pPr>
            <w:r w:rsidRPr="00171CB2">
              <w:rPr>
                <w:rFonts w:cs="Arial"/>
                <w:sz w:val="18"/>
                <w:lang w:val="de-DE"/>
              </w:rPr>
              <w:t>Noten, die sich aus einem Jahr und einem Standort ergeben</w:t>
            </w:r>
          </w:p>
        </w:tc>
      </w:tr>
      <w:tr w:rsidR="00171CB2" w:rsidRPr="008D7685" w14:paraId="0A22D650" w14:textId="77777777" w:rsidTr="002946D2">
        <w:tc>
          <w:tcPr>
            <w:tcW w:w="1598" w:type="dxa"/>
            <w:tcBorders>
              <w:top w:val="nil"/>
              <w:left w:val="single" w:sz="4" w:space="0" w:color="auto"/>
              <w:bottom w:val="single" w:sz="4" w:space="0" w:color="auto"/>
              <w:right w:val="single" w:sz="4" w:space="0" w:color="auto"/>
            </w:tcBorders>
          </w:tcPr>
          <w:p w14:paraId="336DD26B" w14:textId="77777777" w:rsidR="00171CB2" w:rsidRPr="00171CB2" w:rsidRDefault="00171CB2" w:rsidP="002946D2">
            <w:pPr>
              <w:jc w:val="center"/>
              <w:rPr>
                <w:rFonts w:cs="Arial"/>
                <w:sz w:val="18"/>
                <w:lang w:val="de-DE"/>
              </w:rPr>
            </w:pPr>
          </w:p>
        </w:tc>
        <w:tc>
          <w:tcPr>
            <w:tcW w:w="5235" w:type="dxa"/>
            <w:gridSpan w:val="2"/>
            <w:tcBorders>
              <w:top w:val="nil"/>
              <w:left w:val="single" w:sz="4" w:space="0" w:color="auto"/>
              <w:bottom w:val="single" w:sz="4" w:space="0" w:color="auto"/>
              <w:right w:val="single" w:sz="4" w:space="0" w:color="auto"/>
            </w:tcBorders>
            <w:hideMark/>
          </w:tcPr>
          <w:p w14:paraId="172E200D" w14:textId="77777777" w:rsidR="00171CB2" w:rsidRPr="00171CB2" w:rsidRDefault="00171CB2" w:rsidP="002946D2">
            <w:pPr>
              <w:jc w:val="center"/>
              <w:rPr>
                <w:rFonts w:cs="Arial"/>
                <w:sz w:val="18"/>
                <w:lang w:val="de-DE"/>
              </w:rPr>
            </w:pPr>
            <w:r w:rsidRPr="00171CB2">
              <w:rPr>
                <w:noProof/>
              </w:rPr>
              <mc:AlternateContent>
                <mc:Choice Requires="wps">
                  <w:drawing>
                    <wp:anchor distT="0" distB="0" distL="114300" distR="114300" simplePos="0" relativeHeight="251661312" behindDoc="0" locked="0" layoutInCell="1" allowOverlap="1" wp14:anchorId="27251778" wp14:editId="55022D49">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F5E24D" id="Down Arrow 20" o:spid="_x0000_s1026" type="#_x0000_t67" style="position:absolute;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" adj="17585" fillcolor="#4f81bd" strokecolor="#385d8a" strokeweight="2pt"/>
                  </w:pict>
                </mc:Fallback>
              </mc:AlternateContent>
            </w:r>
          </w:p>
          <w:p w14:paraId="5F9049A5" w14:textId="77777777" w:rsidR="00171CB2" w:rsidRPr="00171CB2" w:rsidRDefault="00171CB2" w:rsidP="002946D2">
            <w:pPr>
              <w:spacing w:before="240"/>
              <w:jc w:val="center"/>
              <w:rPr>
                <w:rFonts w:cs="Arial"/>
                <w:sz w:val="18"/>
                <w:lang w:val="de-DE"/>
              </w:rPr>
            </w:pPr>
            <w:r w:rsidRPr="00171CB2">
              <w:rPr>
                <w:rFonts w:cs="Arial"/>
                <w:b/>
                <w:sz w:val="18"/>
                <w:lang w:val="de-DE"/>
              </w:rPr>
              <w:t>„Mittlere Sortenbeschreibung</w:t>
            </w:r>
            <w:r w:rsidRPr="00171CB2">
              <w:rPr>
                <w:rFonts w:cs="Arial"/>
                <w:sz w:val="18"/>
                <w:lang w:val="de-DE"/>
              </w:rPr>
              <w:t xml:space="preserve">“ </w:t>
            </w:r>
          </w:p>
          <w:p w14:paraId="3D661E40" w14:textId="77777777" w:rsidR="00171CB2" w:rsidRPr="00171CB2" w:rsidRDefault="00171CB2" w:rsidP="002946D2">
            <w:pPr>
              <w:spacing w:before="120"/>
              <w:jc w:val="center"/>
              <w:rPr>
                <w:rFonts w:cs="Arial"/>
                <w:sz w:val="18"/>
                <w:lang w:val="de-DE"/>
              </w:rPr>
            </w:pPr>
            <w:r w:rsidRPr="00171CB2">
              <w:rPr>
                <w:rFonts w:cs="Arial"/>
                <w:sz w:val="18"/>
                <w:lang w:val="de-DE"/>
              </w:rPr>
              <w:t>Wenn Sorten in mehreren Anbauversuchen/Jahren/Standorten geprüft werden, können mittlere Sortenbeschreibungen erstellt werden.</w:t>
            </w:r>
          </w:p>
        </w:tc>
        <w:tc>
          <w:tcPr>
            <w:tcW w:w="2688" w:type="dxa"/>
            <w:tcBorders>
              <w:top w:val="nil"/>
              <w:left w:val="single" w:sz="4" w:space="0" w:color="auto"/>
              <w:bottom w:val="single" w:sz="4" w:space="0" w:color="auto"/>
              <w:right w:val="single" w:sz="4" w:space="0" w:color="auto"/>
            </w:tcBorders>
          </w:tcPr>
          <w:p w14:paraId="11A358E4" w14:textId="77777777" w:rsidR="00171CB2" w:rsidRPr="00171CB2" w:rsidRDefault="00171CB2" w:rsidP="002946D2">
            <w:pPr>
              <w:spacing w:before="240"/>
              <w:rPr>
                <w:rFonts w:cs="Arial"/>
                <w:sz w:val="18"/>
                <w:lang w:val="de-DE"/>
              </w:rPr>
            </w:pPr>
          </w:p>
          <w:p w14:paraId="4295DBEC" w14:textId="77777777" w:rsidR="00171CB2" w:rsidRPr="00171CB2" w:rsidRDefault="00171CB2" w:rsidP="002946D2">
            <w:pPr>
              <w:spacing w:before="240"/>
              <w:jc w:val="left"/>
              <w:rPr>
                <w:rFonts w:cs="Arial"/>
                <w:sz w:val="18"/>
                <w:lang w:val="de-DE"/>
              </w:rPr>
            </w:pPr>
            <w:r w:rsidRPr="00171CB2">
              <w:rPr>
                <w:rFonts w:cs="Arial"/>
                <w:sz w:val="18"/>
                <w:lang w:val="de-DE"/>
              </w:rPr>
              <w:t>Grundlage für die Verwaltung der Sortensammlung</w:t>
            </w:r>
          </w:p>
        </w:tc>
      </w:tr>
    </w:tbl>
    <w:p w14:paraId="75846BEA" w14:textId="77777777" w:rsidR="00171CB2" w:rsidRPr="00171CB2" w:rsidRDefault="00171CB2" w:rsidP="00171CB2">
      <w:pPr>
        <w:rPr>
          <w:rFonts w:cs="Arial"/>
          <w:sz w:val="18"/>
          <w:highlight w:val="lightGray"/>
          <w:lang w:val="de-DE"/>
        </w:rPr>
      </w:pPr>
    </w:p>
    <w:p w14:paraId="742CDA54" w14:textId="77777777" w:rsidR="00171CB2" w:rsidRPr="00171CB2" w:rsidRDefault="00171CB2" w:rsidP="00171CB2">
      <w:pPr>
        <w:keepLines/>
        <w:ind w:left="567" w:right="567"/>
        <w:rPr>
          <w:rFonts w:cs="Arial"/>
          <w:sz w:val="18"/>
          <w:lang w:val="de-DE"/>
        </w:rPr>
      </w:pPr>
      <w:r w:rsidRPr="00171CB2">
        <w:rPr>
          <w:rFonts w:cs="Arial"/>
          <w:sz w:val="18"/>
          <w:lang w:val="de-DE"/>
        </w:rPr>
        <w:t>„Quantitative Merkmale werden in der Regel durch die Umwelt beeinflusst. Ein effizientes Mittel zur Verringerung des Umwelteinflusses ist die Umsetzung der tatsächlichen Messungen in Noten. Die Noten stellen eine standardisierte Beschreibung von Sorten in Bezug auf die Beispielssorten dar (vergleiche Dokument TGP/7). Zudem kann die Vergleichbarkeit von Sortenbeschreibungen für Sorten, die nicht im selben Anbauversuch geprüft werden, verbessert werden, indem eine mittlere Beschreibung über mehrere Wachstumsperioden ermittelt wird. Die mittlere Beschreibung über mehrere Wachstumsperioden am selben Standort kann insbesondere eine repräsentative Beschreibung in Bezug auf den Standort bereitstellen. Die Ermittlung einer mittleren Sortenbeschreibung über verschiedene Standorte sollte nur erwogen werden, wenn die Auswirkungen der Standorte gut bekannt sind und Interaktionen Sorte x Standort für alle Merkmale ausgeschlossen werden können. Die Ermittlung mittlerer Beschreibungen über Standorte sollte sich auf Fälle beschränken, in denen diese Bedingungen erfüllt sind.</w:t>
      </w:r>
    </w:p>
    <w:p w14:paraId="77C0BF20" w14:textId="77777777" w:rsidR="00171CB2" w:rsidRPr="00171CB2" w:rsidRDefault="00171CB2" w:rsidP="00171CB2">
      <w:pPr>
        <w:keepLines/>
        <w:ind w:left="567" w:right="567"/>
        <w:rPr>
          <w:rFonts w:cs="Arial"/>
          <w:sz w:val="18"/>
          <w:lang w:val="de-DE"/>
        </w:rPr>
      </w:pPr>
    </w:p>
    <w:p w14:paraId="38711D25" w14:textId="77777777" w:rsidR="00171CB2" w:rsidRPr="00171CB2" w:rsidRDefault="00171CB2" w:rsidP="00171CB2">
      <w:pPr>
        <w:keepLines/>
        <w:ind w:left="567" w:right="567"/>
        <w:rPr>
          <w:rFonts w:cs="Arial"/>
          <w:sz w:val="18"/>
          <w:lang w:val="de-DE"/>
        </w:rPr>
      </w:pPr>
      <w:r w:rsidRPr="00171CB2">
        <w:rPr>
          <w:rFonts w:cs="Arial"/>
          <w:sz w:val="18"/>
          <w:lang w:val="de-DE"/>
        </w:rPr>
        <w:t>„Wenn Sortenbeschreibungen aus verschiedenen Anbauversuchen für die Prüfung der Unterscheidbarkeit verwendet werden – das heißt für die Verwaltung von Sortensammlungen –, ist es wichtig, die Herkunft der unterschiedlichen Sortenbeschreibungen der Kandidatensorte und der allgemein bekannten Sorten zu berücksichtigen. Die Vergleichbarkeit von Sorteneschreibungen wird durch zahlreiche Faktoren beeinflusst, beispielsweise:</w:t>
      </w:r>
    </w:p>
    <w:p w14:paraId="6677EB48" w14:textId="77777777" w:rsidR="00171CB2" w:rsidRPr="00171CB2" w:rsidRDefault="00171CB2" w:rsidP="00171CB2">
      <w:pPr>
        <w:ind w:left="567" w:right="567"/>
        <w:rPr>
          <w:rFonts w:cs="Arial"/>
          <w:sz w:val="18"/>
          <w:lang w:val="de-DE"/>
        </w:rPr>
      </w:pPr>
    </w:p>
    <w:p w14:paraId="218A1701" w14:textId="77777777" w:rsidR="00171CB2" w:rsidRPr="00171CB2" w:rsidRDefault="00171CB2" w:rsidP="00171CB2">
      <w:pPr>
        <w:numPr>
          <w:ilvl w:val="0"/>
          <w:numId w:val="6"/>
        </w:numPr>
        <w:ind w:left="567" w:right="567"/>
        <w:rPr>
          <w:rFonts w:cs="Arial"/>
          <w:sz w:val="18"/>
          <w:lang w:val="de-DE"/>
        </w:rPr>
      </w:pPr>
      <w:r w:rsidRPr="00171CB2">
        <w:rPr>
          <w:rFonts w:cs="Arial"/>
          <w:sz w:val="18"/>
          <w:lang w:val="de-DE"/>
        </w:rPr>
        <w:t xml:space="preserve">Auf einem einzigen Jahr oder einem Mittelwert über </w:t>
      </w:r>
      <w:proofErr w:type="gramStart"/>
      <w:r w:rsidRPr="00171CB2">
        <w:rPr>
          <w:rFonts w:cs="Arial"/>
          <w:sz w:val="18"/>
          <w:lang w:val="de-DE"/>
        </w:rPr>
        <w:t>mehrere Jahr</w:t>
      </w:r>
      <w:proofErr w:type="gramEnd"/>
      <w:r w:rsidRPr="00171CB2">
        <w:rPr>
          <w:rFonts w:cs="Arial"/>
          <w:sz w:val="18"/>
          <w:lang w:val="de-DE"/>
        </w:rPr>
        <w:t xml:space="preserve"> basierende Beschreibung?</w:t>
      </w:r>
    </w:p>
    <w:p w14:paraId="49A13FC7" w14:textId="77777777" w:rsidR="00171CB2" w:rsidRPr="00171CB2" w:rsidRDefault="00171CB2" w:rsidP="00171CB2">
      <w:pPr>
        <w:numPr>
          <w:ilvl w:val="0"/>
          <w:numId w:val="6"/>
        </w:numPr>
        <w:ind w:left="567" w:right="567"/>
        <w:rPr>
          <w:rFonts w:cs="Arial"/>
          <w:sz w:val="18"/>
          <w:lang w:val="de-DE"/>
        </w:rPr>
      </w:pPr>
      <w:r w:rsidRPr="00171CB2">
        <w:rPr>
          <w:rFonts w:cs="Arial"/>
          <w:sz w:val="18"/>
          <w:lang w:val="de-DE"/>
        </w:rPr>
        <w:t>Auf demselben Standort oder verschiedenen Standorten basierende Beschreibung?</w:t>
      </w:r>
    </w:p>
    <w:p w14:paraId="4A189AE5" w14:textId="77777777" w:rsidR="00171CB2" w:rsidRPr="00171CB2" w:rsidRDefault="00171CB2" w:rsidP="00171CB2">
      <w:pPr>
        <w:numPr>
          <w:ilvl w:val="0"/>
          <w:numId w:val="6"/>
        </w:numPr>
        <w:ind w:left="567" w:right="567"/>
        <w:rPr>
          <w:rFonts w:cs="Arial"/>
          <w:sz w:val="18"/>
          <w:lang w:val="de-DE"/>
        </w:rPr>
      </w:pPr>
      <w:r w:rsidRPr="00171CB2">
        <w:rPr>
          <w:rFonts w:cs="Arial"/>
          <w:sz w:val="18"/>
          <w:lang w:val="de-DE"/>
        </w:rPr>
        <w:t>Sind die Auswirkungen des unterschiedlichen Standortes bekannt?</w:t>
      </w:r>
    </w:p>
    <w:p w14:paraId="2CFB28B9" w14:textId="77777777" w:rsidR="00171CB2" w:rsidRPr="00171CB2" w:rsidRDefault="00171CB2" w:rsidP="00171CB2">
      <w:pPr>
        <w:numPr>
          <w:ilvl w:val="0"/>
          <w:numId w:val="6"/>
        </w:numPr>
        <w:ind w:left="567" w:right="567"/>
        <w:rPr>
          <w:rFonts w:cs="Arial"/>
          <w:sz w:val="18"/>
          <w:lang w:val="de-DE"/>
        </w:rPr>
      </w:pPr>
      <w:r w:rsidRPr="00171CB2">
        <w:rPr>
          <w:rFonts w:cs="Arial"/>
          <w:sz w:val="18"/>
          <w:lang w:val="de-DE"/>
        </w:rPr>
        <w:t>In Bezug auf dieselbe Sortensammlung oder eine Sortensammlung, die eine unterschiedliche Variationsbreite umfasst, beschriebene Sorten?</w:t>
      </w:r>
    </w:p>
    <w:p w14:paraId="3A55F967" w14:textId="77777777" w:rsidR="00171CB2" w:rsidRPr="00171CB2" w:rsidRDefault="00171CB2" w:rsidP="00171CB2">
      <w:pPr>
        <w:ind w:left="567" w:right="567"/>
        <w:rPr>
          <w:rFonts w:cs="Arial"/>
          <w:sz w:val="18"/>
          <w:lang w:val="de-DE"/>
        </w:rPr>
      </w:pPr>
    </w:p>
    <w:p w14:paraId="0F4DC71A" w14:textId="77777777" w:rsidR="00171CB2" w:rsidRPr="00171CB2" w:rsidRDefault="00171CB2" w:rsidP="00171CB2">
      <w:pPr>
        <w:ind w:left="567" w:right="567"/>
        <w:rPr>
          <w:rFonts w:cs="Arial"/>
          <w:sz w:val="18"/>
          <w:lang w:val="de-DE"/>
        </w:rPr>
      </w:pPr>
      <w:r w:rsidRPr="00171CB2">
        <w:rPr>
          <w:rFonts w:cs="Arial"/>
          <w:sz w:val="18"/>
          <w:lang w:val="de-DE"/>
        </w:rPr>
        <w:t>„Die potentielle Verzerrung von Sortenbeschreibungen infolge von Umwelteffekten zwischen Kandidatensorten und Sorten in der Sortensammlung muss im Verfahren der Unterscheidbarkeitsprüfung und insbesondere für die Identifikation allgemein bekannter Sorten, die in den Anbauversuch einzubeziehen sind, berücksichtigt werden.“</w:t>
      </w:r>
    </w:p>
    <w:p w14:paraId="35DBEC64" w14:textId="77777777" w:rsidR="00171CB2" w:rsidRPr="00171CB2" w:rsidRDefault="00171CB2" w:rsidP="00171CB2">
      <w:pPr>
        <w:ind w:left="567" w:right="567"/>
        <w:rPr>
          <w:rFonts w:cs="Arial"/>
          <w:sz w:val="18"/>
          <w:lang w:val="de-DE"/>
        </w:rPr>
      </w:pPr>
    </w:p>
    <w:p w14:paraId="510877CB" w14:textId="77777777" w:rsidR="00171CB2" w:rsidRPr="00171CB2" w:rsidRDefault="00171CB2" w:rsidP="00171CB2">
      <w:pPr>
        <w:ind w:left="567" w:right="567"/>
        <w:rPr>
          <w:rFonts w:cs="Arial"/>
          <w:sz w:val="18"/>
          <w:lang w:val="de-DE"/>
        </w:rPr>
      </w:pPr>
    </w:p>
    <w:p w14:paraId="4CE87AD1" w14:textId="77777777" w:rsidR="00171CB2" w:rsidRPr="00171CB2" w:rsidRDefault="00171CB2" w:rsidP="00171CB2">
      <w:pPr>
        <w:ind w:left="567" w:right="567"/>
        <w:rPr>
          <w:rFonts w:cs="Arial"/>
          <w:sz w:val="18"/>
          <w:lang w:val="de-DE"/>
        </w:rPr>
      </w:pPr>
    </w:p>
    <w:p w14:paraId="0DBC7620" w14:textId="77777777" w:rsidR="00171CB2" w:rsidRPr="00171CB2" w:rsidRDefault="00171CB2" w:rsidP="00171CB2">
      <w:pPr>
        <w:jc w:val="right"/>
        <w:rPr>
          <w:lang w:val="de-DE"/>
        </w:rPr>
      </w:pPr>
      <w:r w:rsidRPr="00171CB2">
        <w:rPr>
          <w:lang w:val="de-DE"/>
        </w:rPr>
        <w:t>[Anlage III folgt]</w:t>
      </w:r>
    </w:p>
    <w:p w14:paraId="120C6712" w14:textId="77777777" w:rsidR="00171CB2" w:rsidRPr="00171CB2" w:rsidRDefault="00171CB2" w:rsidP="00171CB2">
      <w:pPr>
        <w:jc w:val="right"/>
        <w:rPr>
          <w:lang w:val="de-DE"/>
        </w:rPr>
        <w:sectPr w:rsidR="00171CB2" w:rsidRPr="00171CB2" w:rsidSect="0004198B">
          <w:headerReference w:type="default" r:id="rId12"/>
          <w:headerReference w:type="first" r:id="rId13"/>
          <w:pgSz w:w="11907" w:h="16840" w:code="9"/>
          <w:pgMar w:top="510" w:right="1134" w:bottom="1134" w:left="1134" w:header="510" w:footer="680" w:gutter="0"/>
          <w:pgNumType w:start="1"/>
          <w:cols w:space="720"/>
          <w:titlePg/>
        </w:sectPr>
      </w:pPr>
    </w:p>
    <w:p w14:paraId="00DACEEC" w14:textId="77777777" w:rsidR="00171CB2" w:rsidRPr="00171CB2" w:rsidRDefault="00171CB2" w:rsidP="00171CB2">
      <w:pPr>
        <w:jc w:val="right"/>
        <w:rPr>
          <w:lang w:val="de-DE"/>
        </w:rPr>
      </w:pPr>
    </w:p>
    <w:p w14:paraId="6540DBBE" w14:textId="77777777" w:rsidR="00171CB2" w:rsidRPr="00171CB2" w:rsidRDefault="00171CB2" w:rsidP="00171CB2">
      <w:pPr>
        <w:jc w:val="center"/>
        <w:rPr>
          <w:lang w:val="de-DE"/>
        </w:rPr>
      </w:pPr>
      <w:r w:rsidRPr="00171CB2">
        <w:rPr>
          <w:lang w:val="de-DE"/>
        </w:rPr>
        <w:t>TC/58/4</w:t>
      </w:r>
    </w:p>
    <w:p w14:paraId="043B0815" w14:textId="77777777" w:rsidR="00171CB2" w:rsidRPr="00171CB2" w:rsidRDefault="00171CB2" w:rsidP="00171CB2">
      <w:pPr>
        <w:jc w:val="center"/>
        <w:rPr>
          <w:lang w:val="de-DE"/>
        </w:rPr>
      </w:pPr>
    </w:p>
    <w:p w14:paraId="67B1B676" w14:textId="77777777" w:rsidR="00171CB2" w:rsidRPr="00171CB2" w:rsidRDefault="00171CB2" w:rsidP="00171CB2">
      <w:pPr>
        <w:jc w:val="center"/>
        <w:rPr>
          <w:lang w:val="de-DE"/>
        </w:rPr>
      </w:pPr>
      <w:r w:rsidRPr="00171CB2">
        <w:rPr>
          <w:lang w:val="de-DE"/>
        </w:rPr>
        <w:t>ANLAGE III</w:t>
      </w:r>
    </w:p>
    <w:p w14:paraId="27B1CCD9" w14:textId="77777777" w:rsidR="00171CB2" w:rsidRPr="00171CB2" w:rsidRDefault="00171CB2" w:rsidP="00171CB2">
      <w:pPr>
        <w:rPr>
          <w:lang w:val="de-DE"/>
        </w:rPr>
      </w:pPr>
    </w:p>
    <w:p w14:paraId="6B0C5D99" w14:textId="77777777" w:rsidR="00171CB2" w:rsidRPr="00171CB2" w:rsidRDefault="00171CB2" w:rsidP="00171CB2">
      <w:pPr>
        <w:rPr>
          <w:lang w:val="de-DE"/>
        </w:rPr>
      </w:pPr>
    </w:p>
    <w:p w14:paraId="546F9C55" w14:textId="77777777" w:rsidR="00171CB2" w:rsidRPr="00171CB2" w:rsidRDefault="00171CB2" w:rsidP="00171CB2">
      <w:pPr>
        <w:rPr>
          <w:u w:val="single"/>
          <w:lang w:val="de-DE"/>
        </w:rPr>
      </w:pPr>
      <w:r w:rsidRPr="00171CB2">
        <w:rPr>
          <w:u w:val="single"/>
          <w:lang w:val="de-DE"/>
        </w:rPr>
        <w:t xml:space="preserve">Dokument TGP/12: Anleitung zu bestimmten physiologischen Merkmalen (Überarbeitung) </w:t>
      </w:r>
    </w:p>
    <w:p w14:paraId="58CD5C7E" w14:textId="77777777" w:rsidR="00171CB2" w:rsidRPr="00171CB2" w:rsidRDefault="00171CB2" w:rsidP="00171CB2">
      <w:pPr>
        <w:rPr>
          <w:u w:val="single"/>
          <w:lang w:val="de-DE"/>
        </w:rPr>
      </w:pPr>
    </w:p>
    <w:p w14:paraId="59623207" w14:textId="77777777" w:rsidR="00171CB2" w:rsidRPr="00171CB2" w:rsidRDefault="00171CB2" w:rsidP="00171CB2">
      <w:pPr>
        <w:rPr>
          <w:lang w:val="de-DE"/>
        </w:rPr>
      </w:pPr>
    </w:p>
    <w:p w14:paraId="272611BC" w14:textId="77777777" w:rsidR="00171CB2" w:rsidRPr="00171CB2" w:rsidRDefault="00171CB2" w:rsidP="00171CB2">
      <w:pPr>
        <w:rPr>
          <w:snapToGrid w:val="0"/>
          <w:lang w:val="de-DE"/>
        </w:rPr>
      </w:pPr>
      <w:r w:rsidRPr="00171CB2">
        <w:rPr>
          <w:lang w:val="de-DE"/>
        </w:rPr>
        <w:t>Der TC vereinbarte auf seiner siebenundfünfzigsten Tagung, die am 25. und 26. Oktober 2021 auf elektronischem Wege abgehalten wurde, Dokument TGP/12/2, Abschnitt 2.3.2, so abzuändern</w:t>
      </w:r>
      <w:r w:rsidRPr="00171CB2">
        <w:rPr>
          <w:snapToGrid w:val="0"/>
          <w:lang w:val="de-DE"/>
        </w:rPr>
        <w:t>, dass im Beispiel von Krankheitsresistenzmerkmalen mit einer Skala von „1-3“ die Ausprägungsstufe „mäßig resistent“ durch „mittel“ ersetzt wird und folgenden Wortlaut erhält (vergleiche Dokument TC/57/25 „Bericht“, Absätze 44 und 45):</w:t>
      </w:r>
    </w:p>
    <w:p w14:paraId="7A830EF1" w14:textId="77777777" w:rsidR="00171CB2" w:rsidRPr="00171CB2" w:rsidRDefault="00171CB2" w:rsidP="00171CB2">
      <w:pPr>
        <w:rPr>
          <w:snapToGrid w:val="0"/>
          <w:lang w:val="de-DE"/>
        </w:rPr>
      </w:pPr>
    </w:p>
    <w:p w14:paraId="10E135DB" w14:textId="77777777" w:rsidR="00171CB2" w:rsidRPr="00171CB2" w:rsidRDefault="00171CB2" w:rsidP="00171CB2">
      <w:pPr>
        <w:keepNext/>
        <w:keepLines/>
        <w:ind w:left="567"/>
        <w:jc w:val="left"/>
        <w:rPr>
          <w:lang w:val="de-DE"/>
        </w:rPr>
      </w:pPr>
      <w:r w:rsidRPr="00171CB2">
        <w:rPr>
          <w:u w:val="single"/>
          <w:lang w:val="de-DE"/>
        </w:rPr>
        <w:t>Beispiel mit einer Skala „1-3“</w:t>
      </w:r>
      <w:r w:rsidRPr="00171CB2">
        <w:rPr>
          <w:lang w:val="de-DE"/>
        </w:rPr>
        <w:t xml:space="preserve">: </w:t>
      </w:r>
      <w:r w:rsidRPr="00171CB2">
        <w:rPr>
          <w:lang w:val="de-DE"/>
        </w:rPr>
        <w:tab/>
        <w:t xml:space="preserve">Resistenz gegen </w:t>
      </w:r>
      <w:proofErr w:type="spellStart"/>
      <w:r w:rsidRPr="00171CB2">
        <w:rPr>
          <w:i/>
          <w:iCs/>
          <w:lang w:val="de-DE"/>
        </w:rPr>
        <w:t>Sphaerotheca</w:t>
      </w:r>
      <w:proofErr w:type="spellEnd"/>
      <w:r w:rsidRPr="00171CB2">
        <w:rPr>
          <w:i/>
          <w:iCs/>
          <w:lang w:val="de-DE"/>
        </w:rPr>
        <w:t xml:space="preserve"> </w:t>
      </w:r>
      <w:proofErr w:type="spellStart"/>
      <w:r w:rsidRPr="00171CB2">
        <w:rPr>
          <w:i/>
          <w:iCs/>
          <w:lang w:val="de-DE"/>
        </w:rPr>
        <w:t>fuliginea</w:t>
      </w:r>
      <w:proofErr w:type="spellEnd"/>
      <w:r w:rsidRPr="00171CB2">
        <w:rPr>
          <w:i/>
          <w:iCs/>
          <w:lang w:val="de-DE"/>
        </w:rPr>
        <w:t xml:space="preserve"> </w:t>
      </w:r>
      <w:r w:rsidRPr="00171CB2">
        <w:rPr>
          <w:lang w:val="de-DE"/>
        </w:rPr>
        <w:t>(</w:t>
      </w:r>
      <w:proofErr w:type="spellStart"/>
      <w:r w:rsidRPr="00171CB2">
        <w:rPr>
          <w:i/>
          <w:iCs/>
          <w:lang w:val="de-DE"/>
        </w:rPr>
        <w:t>Podosphaera</w:t>
      </w:r>
      <w:proofErr w:type="spellEnd"/>
      <w:r w:rsidRPr="00171CB2">
        <w:rPr>
          <w:i/>
          <w:iCs/>
          <w:lang w:val="de-DE"/>
        </w:rPr>
        <w:t xml:space="preserve"> </w:t>
      </w:r>
      <w:proofErr w:type="spellStart"/>
      <w:r w:rsidRPr="00171CB2">
        <w:rPr>
          <w:i/>
          <w:iCs/>
          <w:lang w:val="de-DE"/>
        </w:rPr>
        <w:t>xanthii</w:t>
      </w:r>
      <w:proofErr w:type="spellEnd"/>
      <w:r w:rsidRPr="00171CB2">
        <w:rPr>
          <w:lang w:val="de-DE"/>
        </w:rPr>
        <w:t>) (Echter Mehltau) bei Melone (UPOV-Prüfungsrichtlinien: TG/104/5)</w:t>
      </w:r>
    </w:p>
    <w:p w14:paraId="2ADBC13E" w14:textId="77777777" w:rsidR="00171CB2" w:rsidRPr="00171CB2" w:rsidRDefault="00171CB2" w:rsidP="00171CB2">
      <w:pPr>
        <w:keepNext/>
        <w:keepLines/>
        <w:rPr>
          <w:sz w:val="18"/>
          <w:lang w:val="de-D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734"/>
        <w:gridCol w:w="851"/>
        <w:gridCol w:w="567"/>
      </w:tblGrid>
      <w:tr w:rsidR="00171CB2" w:rsidRPr="00171CB2" w14:paraId="06CE48CF" w14:textId="77777777" w:rsidTr="002946D2">
        <w:trPr>
          <w:cantSplit/>
          <w:tblHeader/>
          <w:jc w:val="center"/>
        </w:trPr>
        <w:tc>
          <w:tcPr>
            <w:tcW w:w="578" w:type="dxa"/>
            <w:tcBorders>
              <w:top w:val="single" w:sz="6" w:space="0" w:color="auto"/>
              <w:left w:val="nil"/>
              <w:bottom w:val="single" w:sz="4" w:space="0" w:color="auto"/>
              <w:right w:val="nil"/>
            </w:tcBorders>
            <w:vAlign w:val="center"/>
          </w:tcPr>
          <w:p w14:paraId="4B912138" w14:textId="77777777" w:rsidR="00171CB2" w:rsidRPr="00171CB2" w:rsidRDefault="00171CB2" w:rsidP="002946D2">
            <w:pPr>
              <w:keepNext/>
              <w:keepLines/>
              <w:spacing w:before="120" w:after="120"/>
              <w:jc w:val="left"/>
              <w:rPr>
                <w:sz w:val="16"/>
                <w:lang w:val="de-DE"/>
              </w:rPr>
            </w:pPr>
          </w:p>
        </w:tc>
        <w:tc>
          <w:tcPr>
            <w:tcW w:w="425" w:type="dxa"/>
            <w:tcBorders>
              <w:top w:val="single" w:sz="6" w:space="0" w:color="auto"/>
              <w:left w:val="nil"/>
              <w:bottom w:val="single" w:sz="4" w:space="0" w:color="auto"/>
              <w:right w:val="nil"/>
            </w:tcBorders>
            <w:vAlign w:val="center"/>
          </w:tcPr>
          <w:p w14:paraId="19B435F1" w14:textId="77777777" w:rsidR="00171CB2" w:rsidRPr="00171CB2" w:rsidRDefault="00171CB2" w:rsidP="002946D2">
            <w:pPr>
              <w:keepNext/>
              <w:keepLines/>
              <w:spacing w:before="120" w:after="120"/>
              <w:jc w:val="left"/>
              <w:rPr>
                <w:sz w:val="16"/>
                <w:lang w:val="de-DE"/>
              </w:rPr>
            </w:pPr>
          </w:p>
        </w:tc>
        <w:tc>
          <w:tcPr>
            <w:tcW w:w="1733" w:type="dxa"/>
            <w:tcBorders>
              <w:top w:val="single" w:sz="6" w:space="0" w:color="auto"/>
              <w:left w:val="nil"/>
              <w:bottom w:val="single" w:sz="4" w:space="0" w:color="auto"/>
              <w:right w:val="nil"/>
            </w:tcBorders>
            <w:vAlign w:val="center"/>
            <w:hideMark/>
          </w:tcPr>
          <w:p w14:paraId="318614CD" w14:textId="77777777" w:rsidR="00171CB2" w:rsidRPr="00171CB2" w:rsidRDefault="00171CB2" w:rsidP="002946D2">
            <w:pPr>
              <w:keepNext/>
              <w:keepLines/>
              <w:spacing w:before="120" w:after="120"/>
              <w:jc w:val="left"/>
              <w:rPr>
                <w:sz w:val="16"/>
                <w:lang w:val="de-DE"/>
              </w:rPr>
            </w:pPr>
            <w:r w:rsidRPr="00171CB2">
              <w:rPr>
                <w:sz w:val="16"/>
                <w:lang w:val="de-DE"/>
              </w:rPr>
              <w:t>Deutsch</w:t>
            </w:r>
          </w:p>
        </w:tc>
        <w:tc>
          <w:tcPr>
            <w:tcW w:w="1734" w:type="dxa"/>
            <w:tcBorders>
              <w:top w:val="single" w:sz="6" w:space="0" w:color="auto"/>
              <w:left w:val="nil"/>
              <w:bottom w:val="single" w:sz="4" w:space="0" w:color="auto"/>
              <w:right w:val="nil"/>
            </w:tcBorders>
            <w:vAlign w:val="center"/>
          </w:tcPr>
          <w:p w14:paraId="7FD8C36D" w14:textId="77777777" w:rsidR="00171CB2" w:rsidRPr="00171CB2" w:rsidRDefault="00171CB2" w:rsidP="002946D2">
            <w:pPr>
              <w:keepNext/>
              <w:keepLines/>
              <w:spacing w:before="120" w:after="120"/>
              <w:jc w:val="left"/>
              <w:rPr>
                <w:sz w:val="16"/>
                <w:lang w:val="de-DE"/>
              </w:rPr>
            </w:pPr>
          </w:p>
        </w:tc>
        <w:tc>
          <w:tcPr>
            <w:tcW w:w="1734" w:type="dxa"/>
            <w:tcBorders>
              <w:top w:val="single" w:sz="6" w:space="0" w:color="auto"/>
              <w:left w:val="nil"/>
              <w:bottom w:val="single" w:sz="4" w:space="0" w:color="auto"/>
              <w:right w:val="nil"/>
            </w:tcBorders>
            <w:vAlign w:val="center"/>
          </w:tcPr>
          <w:p w14:paraId="39CE2D53" w14:textId="77777777" w:rsidR="00171CB2" w:rsidRPr="00171CB2" w:rsidRDefault="00171CB2" w:rsidP="002946D2">
            <w:pPr>
              <w:keepNext/>
              <w:keepLines/>
              <w:spacing w:before="120" w:after="120"/>
              <w:jc w:val="left"/>
              <w:rPr>
                <w:sz w:val="16"/>
                <w:lang w:val="de-DE"/>
              </w:rPr>
            </w:pPr>
          </w:p>
        </w:tc>
        <w:tc>
          <w:tcPr>
            <w:tcW w:w="851" w:type="dxa"/>
            <w:tcBorders>
              <w:top w:val="single" w:sz="6" w:space="0" w:color="auto"/>
              <w:left w:val="nil"/>
              <w:bottom w:val="single" w:sz="4" w:space="0" w:color="auto"/>
              <w:right w:val="nil"/>
            </w:tcBorders>
            <w:vAlign w:val="center"/>
            <w:hideMark/>
          </w:tcPr>
          <w:p w14:paraId="35ADA564" w14:textId="77777777" w:rsidR="00171CB2" w:rsidRPr="00171CB2" w:rsidRDefault="00171CB2" w:rsidP="002946D2">
            <w:pPr>
              <w:keepNext/>
              <w:keepLines/>
              <w:spacing w:before="120" w:after="120"/>
              <w:jc w:val="left"/>
              <w:rPr>
                <w:sz w:val="16"/>
                <w:lang w:val="de-DE"/>
              </w:rPr>
            </w:pPr>
            <w:r w:rsidRPr="00171CB2">
              <w:rPr>
                <w:sz w:val="16"/>
                <w:lang w:val="de-DE"/>
              </w:rPr>
              <w:t>Beispiels-sorten</w:t>
            </w:r>
          </w:p>
        </w:tc>
        <w:tc>
          <w:tcPr>
            <w:tcW w:w="567" w:type="dxa"/>
            <w:tcBorders>
              <w:top w:val="single" w:sz="6" w:space="0" w:color="auto"/>
              <w:left w:val="nil"/>
              <w:bottom w:val="single" w:sz="4" w:space="0" w:color="auto"/>
              <w:right w:val="nil"/>
            </w:tcBorders>
            <w:vAlign w:val="center"/>
            <w:hideMark/>
          </w:tcPr>
          <w:p w14:paraId="61AEB7CE" w14:textId="77777777" w:rsidR="00171CB2" w:rsidRPr="00171CB2" w:rsidRDefault="00171CB2" w:rsidP="002946D2">
            <w:pPr>
              <w:keepNext/>
              <w:keepLines/>
              <w:spacing w:before="120" w:after="120"/>
              <w:jc w:val="left"/>
              <w:rPr>
                <w:sz w:val="16"/>
                <w:lang w:val="de-DE"/>
              </w:rPr>
            </w:pPr>
            <w:r w:rsidRPr="00171CB2">
              <w:rPr>
                <w:sz w:val="16"/>
                <w:lang w:val="de-DE"/>
              </w:rPr>
              <w:t>Note</w:t>
            </w:r>
          </w:p>
        </w:tc>
      </w:tr>
      <w:tr w:rsidR="00171CB2" w:rsidRPr="008D7685" w14:paraId="71CD5F36" w14:textId="77777777" w:rsidTr="002946D2">
        <w:trPr>
          <w:cantSplit/>
          <w:jc w:val="center"/>
        </w:trPr>
        <w:tc>
          <w:tcPr>
            <w:tcW w:w="578" w:type="dxa"/>
            <w:tcBorders>
              <w:top w:val="single" w:sz="4" w:space="0" w:color="auto"/>
              <w:left w:val="nil"/>
              <w:bottom w:val="nil"/>
              <w:right w:val="nil"/>
            </w:tcBorders>
            <w:hideMark/>
          </w:tcPr>
          <w:p w14:paraId="32CBE10D" w14:textId="77777777" w:rsidR="00171CB2" w:rsidRPr="00171CB2" w:rsidRDefault="00171CB2" w:rsidP="002946D2">
            <w:pPr>
              <w:keepNext/>
              <w:keepLines/>
              <w:spacing w:before="120" w:after="120"/>
              <w:jc w:val="left"/>
              <w:rPr>
                <w:b/>
                <w:bCs/>
                <w:sz w:val="16"/>
                <w:lang w:val="de-DE"/>
              </w:rPr>
            </w:pPr>
            <w:r w:rsidRPr="00171CB2">
              <w:rPr>
                <w:b/>
                <w:bCs/>
                <w:sz w:val="16"/>
                <w:lang w:val="de-DE"/>
              </w:rPr>
              <w:t>70.</w:t>
            </w:r>
            <w:r w:rsidRPr="00171CB2">
              <w:rPr>
                <w:b/>
                <w:bCs/>
                <w:sz w:val="16"/>
                <w:lang w:val="de-DE"/>
              </w:rPr>
              <w:br/>
            </w:r>
            <w:r w:rsidRPr="00171CB2">
              <w:rPr>
                <w:b/>
                <w:bCs/>
                <w:sz w:val="16"/>
                <w:lang w:val="de-DE"/>
              </w:rPr>
              <w:br/>
              <w:t>(+)</w:t>
            </w:r>
          </w:p>
        </w:tc>
        <w:tc>
          <w:tcPr>
            <w:tcW w:w="425" w:type="dxa"/>
            <w:tcBorders>
              <w:top w:val="single" w:sz="4" w:space="0" w:color="auto"/>
              <w:left w:val="nil"/>
              <w:bottom w:val="nil"/>
              <w:right w:val="nil"/>
            </w:tcBorders>
            <w:hideMark/>
          </w:tcPr>
          <w:p w14:paraId="52857DDF" w14:textId="77777777" w:rsidR="00171CB2" w:rsidRPr="00171CB2" w:rsidRDefault="00171CB2" w:rsidP="002946D2">
            <w:pPr>
              <w:keepNext/>
              <w:keepLines/>
              <w:spacing w:before="120" w:after="120"/>
              <w:jc w:val="left"/>
              <w:rPr>
                <w:b/>
                <w:bCs/>
                <w:sz w:val="16"/>
                <w:lang w:val="de-DE"/>
              </w:rPr>
            </w:pPr>
            <w:r w:rsidRPr="00171CB2">
              <w:rPr>
                <w:b/>
                <w:bCs/>
                <w:sz w:val="16"/>
                <w:lang w:val="de-DE"/>
              </w:rPr>
              <w:t>VG</w:t>
            </w:r>
            <w:r w:rsidRPr="00171CB2">
              <w:rPr>
                <w:b/>
                <w:bCs/>
                <w:sz w:val="16"/>
                <w:lang w:val="de-DE"/>
              </w:rPr>
              <w:br/>
            </w:r>
            <w:r w:rsidRPr="00171CB2">
              <w:rPr>
                <w:b/>
                <w:bCs/>
                <w:sz w:val="16"/>
                <w:lang w:val="de-DE"/>
              </w:rPr>
              <w:br/>
            </w:r>
            <w:r w:rsidRPr="00171CB2">
              <w:rPr>
                <w:b/>
                <w:bCs/>
                <w:sz w:val="16"/>
                <w:lang w:val="de-DE"/>
              </w:rPr>
              <w:br/>
            </w:r>
            <w:r w:rsidRPr="00171CB2">
              <w:rPr>
                <w:b/>
                <w:bCs/>
                <w:sz w:val="16"/>
                <w:lang w:val="de-DE"/>
              </w:rPr>
              <w:br/>
            </w:r>
            <w:r w:rsidRPr="00171CB2">
              <w:rPr>
                <w:b/>
                <w:bCs/>
                <w:sz w:val="16"/>
                <w:lang w:val="de-DE"/>
              </w:rPr>
              <w:br/>
            </w:r>
          </w:p>
        </w:tc>
        <w:tc>
          <w:tcPr>
            <w:tcW w:w="1733" w:type="dxa"/>
            <w:tcBorders>
              <w:top w:val="single" w:sz="4" w:space="0" w:color="auto"/>
              <w:left w:val="nil"/>
              <w:bottom w:val="nil"/>
              <w:right w:val="nil"/>
            </w:tcBorders>
            <w:hideMark/>
          </w:tcPr>
          <w:p w14:paraId="663ABF28" w14:textId="77777777" w:rsidR="00171CB2" w:rsidRPr="00171CB2" w:rsidRDefault="00171CB2" w:rsidP="002946D2">
            <w:pPr>
              <w:keepNext/>
              <w:keepLines/>
              <w:spacing w:before="120" w:after="120"/>
              <w:jc w:val="left"/>
              <w:rPr>
                <w:b/>
                <w:bCs/>
                <w:sz w:val="16"/>
                <w:lang w:val="de-DE"/>
              </w:rPr>
            </w:pPr>
            <w:r w:rsidRPr="00171CB2">
              <w:rPr>
                <w:b/>
                <w:sz w:val="16"/>
                <w:lang w:val="de-DE"/>
              </w:rPr>
              <w:t xml:space="preserve">Resistent gegen </w:t>
            </w:r>
            <w:proofErr w:type="spellStart"/>
            <w:r w:rsidRPr="00171CB2">
              <w:rPr>
                <w:b/>
                <w:sz w:val="16"/>
                <w:lang w:val="de-DE"/>
              </w:rPr>
              <w:t>Sphaerotheca</w:t>
            </w:r>
            <w:proofErr w:type="spellEnd"/>
            <w:r w:rsidRPr="00171CB2">
              <w:rPr>
                <w:b/>
                <w:sz w:val="16"/>
                <w:lang w:val="de-DE"/>
              </w:rPr>
              <w:t xml:space="preserve"> </w:t>
            </w:r>
            <w:proofErr w:type="spellStart"/>
            <w:r w:rsidRPr="00171CB2">
              <w:rPr>
                <w:b/>
                <w:sz w:val="16"/>
                <w:lang w:val="de-DE"/>
              </w:rPr>
              <w:t>fuliginea</w:t>
            </w:r>
            <w:proofErr w:type="spellEnd"/>
            <w:r w:rsidRPr="00171CB2">
              <w:rPr>
                <w:b/>
                <w:sz w:val="16"/>
                <w:lang w:val="de-DE"/>
              </w:rPr>
              <w:t xml:space="preserve"> (</w:t>
            </w:r>
            <w:proofErr w:type="spellStart"/>
            <w:r w:rsidRPr="00171CB2">
              <w:rPr>
                <w:b/>
                <w:snapToGrid w:val="0"/>
                <w:sz w:val="16"/>
                <w:lang w:val="de-DE"/>
              </w:rPr>
              <w:t>Podosphaera</w:t>
            </w:r>
            <w:proofErr w:type="spellEnd"/>
            <w:r w:rsidRPr="00171CB2">
              <w:rPr>
                <w:b/>
                <w:snapToGrid w:val="0"/>
                <w:sz w:val="16"/>
                <w:lang w:val="de-DE"/>
              </w:rPr>
              <w:t xml:space="preserve"> </w:t>
            </w:r>
            <w:proofErr w:type="spellStart"/>
            <w:r w:rsidRPr="00171CB2">
              <w:rPr>
                <w:b/>
                <w:snapToGrid w:val="0"/>
                <w:sz w:val="16"/>
                <w:lang w:val="de-DE"/>
              </w:rPr>
              <w:t>xanthii</w:t>
            </w:r>
            <w:proofErr w:type="spellEnd"/>
            <w:r w:rsidRPr="00171CB2">
              <w:rPr>
                <w:b/>
                <w:snapToGrid w:val="0"/>
                <w:sz w:val="16"/>
                <w:lang w:val="de-DE"/>
              </w:rPr>
              <w:t>)</w:t>
            </w:r>
            <w:r w:rsidRPr="00171CB2">
              <w:rPr>
                <w:b/>
                <w:sz w:val="16"/>
                <w:lang w:val="de-DE"/>
              </w:rPr>
              <w:t xml:space="preserve"> </w:t>
            </w:r>
            <w:r w:rsidRPr="00171CB2">
              <w:rPr>
                <w:b/>
                <w:sz w:val="16"/>
                <w:lang w:val="de-DE"/>
              </w:rPr>
              <w:br/>
              <w:t>(Echter Mehltau</w:t>
            </w:r>
            <w:r w:rsidRPr="00171CB2">
              <w:rPr>
                <w:b/>
                <w:bCs/>
                <w:sz w:val="16"/>
                <w:lang w:val="de-DE"/>
              </w:rPr>
              <w:t>)</w:t>
            </w:r>
          </w:p>
        </w:tc>
        <w:tc>
          <w:tcPr>
            <w:tcW w:w="1734" w:type="dxa"/>
            <w:tcBorders>
              <w:top w:val="single" w:sz="4" w:space="0" w:color="auto"/>
              <w:left w:val="nil"/>
              <w:bottom w:val="nil"/>
              <w:right w:val="nil"/>
            </w:tcBorders>
          </w:tcPr>
          <w:p w14:paraId="76C457FD" w14:textId="77777777" w:rsidR="00171CB2" w:rsidRPr="00171CB2" w:rsidRDefault="00171CB2" w:rsidP="002946D2">
            <w:pPr>
              <w:keepNext/>
              <w:keepLines/>
              <w:spacing w:before="120" w:after="120"/>
              <w:jc w:val="left"/>
              <w:rPr>
                <w:b/>
                <w:bCs/>
                <w:sz w:val="16"/>
                <w:lang w:val="de-DE"/>
              </w:rPr>
            </w:pPr>
          </w:p>
        </w:tc>
        <w:tc>
          <w:tcPr>
            <w:tcW w:w="1734" w:type="dxa"/>
            <w:tcBorders>
              <w:top w:val="single" w:sz="4" w:space="0" w:color="auto"/>
              <w:left w:val="nil"/>
              <w:bottom w:val="nil"/>
              <w:right w:val="nil"/>
            </w:tcBorders>
          </w:tcPr>
          <w:p w14:paraId="65708BC7" w14:textId="77777777" w:rsidR="00171CB2" w:rsidRPr="00171CB2" w:rsidRDefault="00171CB2" w:rsidP="002946D2">
            <w:pPr>
              <w:keepNext/>
              <w:keepLines/>
              <w:spacing w:before="120" w:after="120"/>
              <w:jc w:val="left"/>
              <w:rPr>
                <w:b/>
                <w:bCs/>
                <w:sz w:val="16"/>
                <w:lang w:val="de-DE"/>
              </w:rPr>
            </w:pPr>
          </w:p>
        </w:tc>
        <w:tc>
          <w:tcPr>
            <w:tcW w:w="851" w:type="dxa"/>
            <w:tcBorders>
              <w:top w:val="single" w:sz="4" w:space="0" w:color="auto"/>
              <w:left w:val="nil"/>
              <w:bottom w:val="nil"/>
              <w:right w:val="nil"/>
            </w:tcBorders>
          </w:tcPr>
          <w:p w14:paraId="29AF4FB3" w14:textId="77777777" w:rsidR="00171CB2" w:rsidRPr="00171CB2" w:rsidRDefault="00171CB2" w:rsidP="002946D2">
            <w:pPr>
              <w:keepNext/>
              <w:keepLines/>
              <w:spacing w:before="120" w:after="120"/>
              <w:jc w:val="left"/>
              <w:rPr>
                <w:b/>
                <w:bCs/>
                <w:sz w:val="16"/>
                <w:lang w:val="de-DE"/>
              </w:rPr>
            </w:pPr>
          </w:p>
        </w:tc>
        <w:tc>
          <w:tcPr>
            <w:tcW w:w="567" w:type="dxa"/>
            <w:tcBorders>
              <w:top w:val="single" w:sz="4" w:space="0" w:color="auto"/>
              <w:left w:val="nil"/>
              <w:bottom w:val="nil"/>
              <w:right w:val="nil"/>
            </w:tcBorders>
          </w:tcPr>
          <w:p w14:paraId="459149EA" w14:textId="77777777" w:rsidR="00171CB2" w:rsidRPr="00171CB2" w:rsidRDefault="00171CB2" w:rsidP="002946D2">
            <w:pPr>
              <w:keepNext/>
              <w:keepLines/>
              <w:spacing w:before="120" w:after="120"/>
              <w:jc w:val="left"/>
              <w:rPr>
                <w:b/>
                <w:bCs/>
                <w:sz w:val="16"/>
                <w:lang w:val="de-DE"/>
              </w:rPr>
            </w:pPr>
          </w:p>
        </w:tc>
      </w:tr>
      <w:tr w:rsidR="00171CB2" w:rsidRPr="00171CB2" w14:paraId="27E52FB1" w14:textId="77777777" w:rsidTr="002946D2">
        <w:trPr>
          <w:cantSplit/>
          <w:jc w:val="center"/>
        </w:trPr>
        <w:tc>
          <w:tcPr>
            <w:tcW w:w="578" w:type="dxa"/>
            <w:tcBorders>
              <w:top w:val="nil"/>
              <w:left w:val="nil"/>
              <w:bottom w:val="nil"/>
              <w:right w:val="nil"/>
            </w:tcBorders>
            <w:hideMark/>
          </w:tcPr>
          <w:p w14:paraId="6ECA8636" w14:textId="77777777" w:rsidR="00171CB2" w:rsidRPr="00171CB2" w:rsidRDefault="00171CB2" w:rsidP="002946D2">
            <w:pPr>
              <w:keepNext/>
              <w:keepLines/>
              <w:spacing w:before="120" w:after="120"/>
              <w:jc w:val="left"/>
              <w:rPr>
                <w:b/>
                <w:sz w:val="16"/>
                <w:lang w:val="de-DE"/>
              </w:rPr>
            </w:pPr>
            <w:r w:rsidRPr="00171CB2">
              <w:rPr>
                <w:b/>
                <w:sz w:val="16"/>
                <w:lang w:val="de-DE"/>
              </w:rPr>
              <w:t>70.1</w:t>
            </w:r>
          </w:p>
        </w:tc>
        <w:tc>
          <w:tcPr>
            <w:tcW w:w="425" w:type="dxa"/>
            <w:tcBorders>
              <w:top w:val="nil"/>
              <w:left w:val="nil"/>
              <w:bottom w:val="nil"/>
              <w:right w:val="nil"/>
            </w:tcBorders>
          </w:tcPr>
          <w:p w14:paraId="6A8BBF86" w14:textId="77777777" w:rsidR="00171CB2" w:rsidRPr="00171CB2" w:rsidRDefault="00171CB2" w:rsidP="002946D2">
            <w:pPr>
              <w:keepNext/>
              <w:keepLines/>
              <w:spacing w:before="120" w:after="120"/>
              <w:jc w:val="left"/>
              <w:rPr>
                <w:b/>
                <w:sz w:val="16"/>
                <w:lang w:val="de-DE"/>
              </w:rPr>
            </w:pPr>
          </w:p>
        </w:tc>
        <w:tc>
          <w:tcPr>
            <w:tcW w:w="1733" w:type="dxa"/>
            <w:tcBorders>
              <w:top w:val="nil"/>
              <w:left w:val="nil"/>
              <w:bottom w:val="nil"/>
              <w:right w:val="nil"/>
            </w:tcBorders>
            <w:hideMark/>
          </w:tcPr>
          <w:p w14:paraId="0E3F65E7" w14:textId="77777777" w:rsidR="00171CB2" w:rsidRPr="00171CB2" w:rsidRDefault="00171CB2" w:rsidP="002946D2">
            <w:pPr>
              <w:keepNext/>
              <w:keepLines/>
              <w:spacing w:before="120" w:after="120"/>
              <w:jc w:val="left"/>
              <w:rPr>
                <w:b/>
                <w:sz w:val="16"/>
                <w:lang w:val="de-DE"/>
              </w:rPr>
            </w:pPr>
            <w:proofErr w:type="spellStart"/>
            <w:r w:rsidRPr="00171CB2">
              <w:rPr>
                <w:b/>
                <w:sz w:val="16"/>
                <w:lang w:val="de-DE"/>
              </w:rPr>
              <w:t>Phenotyp</w:t>
            </w:r>
            <w:proofErr w:type="spellEnd"/>
            <w:r w:rsidRPr="00171CB2">
              <w:rPr>
                <w:b/>
                <w:sz w:val="16"/>
                <w:lang w:val="de-DE"/>
              </w:rPr>
              <w:t xml:space="preserve"> 1</w:t>
            </w:r>
          </w:p>
        </w:tc>
        <w:tc>
          <w:tcPr>
            <w:tcW w:w="1734" w:type="dxa"/>
            <w:tcBorders>
              <w:top w:val="nil"/>
              <w:left w:val="nil"/>
              <w:bottom w:val="nil"/>
              <w:right w:val="nil"/>
            </w:tcBorders>
          </w:tcPr>
          <w:p w14:paraId="313509D0" w14:textId="77777777" w:rsidR="00171CB2" w:rsidRPr="00171CB2" w:rsidRDefault="00171CB2" w:rsidP="002946D2">
            <w:pPr>
              <w:keepNext/>
              <w:keepLines/>
              <w:spacing w:before="120" w:after="120"/>
              <w:jc w:val="left"/>
              <w:rPr>
                <w:b/>
                <w:sz w:val="16"/>
                <w:lang w:val="de-DE"/>
              </w:rPr>
            </w:pPr>
          </w:p>
        </w:tc>
        <w:tc>
          <w:tcPr>
            <w:tcW w:w="1734" w:type="dxa"/>
            <w:tcBorders>
              <w:top w:val="nil"/>
              <w:left w:val="nil"/>
              <w:bottom w:val="nil"/>
              <w:right w:val="nil"/>
            </w:tcBorders>
          </w:tcPr>
          <w:p w14:paraId="5AC6418F" w14:textId="77777777" w:rsidR="00171CB2" w:rsidRPr="00171CB2" w:rsidRDefault="00171CB2" w:rsidP="002946D2">
            <w:pPr>
              <w:keepNext/>
              <w:keepLines/>
              <w:spacing w:before="120" w:after="120"/>
              <w:jc w:val="left"/>
              <w:rPr>
                <w:b/>
                <w:sz w:val="16"/>
                <w:lang w:val="de-DE"/>
              </w:rPr>
            </w:pPr>
          </w:p>
        </w:tc>
        <w:tc>
          <w:tcPr>
            <w:tcW w:w="851" w:type="dxa"/>
            <w:tcBorders>
              <w:top w:val="nil"/>
              <w:left w:val="nil"/>
              <w:bottom w:val="nil"/>
              <w:right w:val="nil"/>
            </w:tcBorders>
          </w:tcPr>
          <w:p w14:paraId="02CDF25B" w14:textId="77777777" w:rsidR="00171CB2" w:rsidRPr="00171CB2" w:rsidRDefault="00171CB2" w:rsidP="002946D2">
            <w:pPr>
              <w:keepNext/>
              <w:keepLines/>
              <w:spacing w:before="120" w:after="120"/>
              <w:jc w:val="left"/>
              <w:rPr>
                <w:sz w:val="16"/>
                <w:lang w:val="de-DE"/>
              </w:rPr>
            </w:pPr>
          </w:p>
        </w:tc>
        <w:tc>
          <w:tcPr>
            <w:tcW w:w="567" w:type="dxa"/>
            <w:tcBorders>
              <w:top w:val="nil"/>
              <w:left w:val="nil"/>
              <w:bottom w:val="nil"/>
              <w:right w:val="nil"/>
            </w:tcBorders>
          </w:tcPr>
          <w:p w14:paraId="31D733A6" w14:textId="77777777" w:rsidR="00171CB2" w:rsidRPr="00171CB2" w:rsidRDefault="00171CB2" w:rsidP="002946D2">
            <w:pPr>
              <w:keepNext/>
              <w:keepLines/>
              <w:spacing w:before="120" w:after="120"/>
              <w:jc w:val="left"/>
              <w:rPr>
                <w:sz w:val="16"/>
                <w:lang w:val="de-DE"/>
              </w:rPr>
            </w:pPr>
          </w:p>
        </w:tc>
      </w:tr>
      <w:tr w:rsidR="00171CB2" w:rsidRPr="00171CB2" w14:paraId="6C4C2D57" w14:textId="77777777" w:rsidTr="002946D2">
        <w:trPr>
          <w:cantSplit/>
          <w:jc w:val="center"/>
        </w:trPr>
        <w:tc>
          <w:tcPr>
            <w:tcW w:w="578" w:type="dxa"/>
            <w:tcBorders>
              <w:top w:val="nil"/>
              <w:left w:val="nil"/>
              <w:bottom w:val="nil"/>
              <w:right w:val="nil"/>
            </w:tcBorders>
            <w:hideMark/>
          </w:tcPr>
          <w:p w14:paraId="1E634F40" w14:textId="77777777" w:rsidR="00171CB2" w:rsidRPr="00171CB2" w:rsidRDefault="00171CB2" w:rsidP="002946D2">
            <w:pPr>
              <w:keepNext/>
              <w:keepLines/>
              <w:spacing w:before="120" w:after="120"/>
              <w:jc w:val="left"/>
              <w:rPr>
                <w:sz w:val="16"/>
                <w:lang w:val="de-DE"/>
              </w:rPr>
            </w:pPr>
            <w:r w:rsidRPr="00171CB2">
              <w:rPr>
                <w:sz w:val="16"/>
                <w:lang w:val="de-DE"/>
              </w:rPr>
              <w:t>QN</w:t>
            </w:r>
          </w:p>
        </w:tc>
        <w:tc>
          <w:tcPr>
            <w:tcW w:w="425" w:type="dxa"/>
            <w:tcBorders>
              <w:top w:val="nil"/>
              <w:left w:val="nil"/>
              <w:bottom w:val="nil"/>
              <w:right w:val="nil"/>
            </w:tcBorders>
          </w:tcPr>
          <w:p w14:paraId="62E41BB2" w14:textId="77777777" w:rsidR="00171CB2" w:rsidRPr="00171CB2" w:rsidRDefault="00171CB2" w:rsidP="002946D2">
            <w:pPr>
              <w:keepNext/>
              <w:keepLines/>
              <w:spacing w:before="120" w:after="120"/>
              <w:jc w:val="left"/>
              <w:rPr>
                <w:sz w:val="16"/>
                <w:lang w:val="de-DE"/>
              </w:rPr>
            </w:pPr>
          </w:p>
        </w:tc>
        <w:tc>
          <w:tcPr>
            <w:tcW w:w="1733" w:type="dxa"/>
            <w:tcBorders>
              <w:top w:val="nil"/>
              <w:left w:val="nil"/>
              <w:bottom w:val="nil"/>
              <w:right w:val="nil"/>
            </w:tcBorders>
            <w:hideMark/>
          </w:tcPr>
          <w:p w14:paraId="64076683" w14:textId="77777777" w:rsidR="00171CB2" w:rsidRPr="00171CB2" w:rsidRDefault="00171CB2" w:rsidP="002946D2">
            <w:pPr>
              <w:keepNext/>
              <w:keepLines/>
              <w:spacing w:before="120" w:after="120"/>
              <w:jc w:val="left"/>
              <w:rPr>
                <w:sz w:val="16"/>
                <w:lang w:val="de-DE"/>
              </w:rPr>
            </w:pPr>
            <w:r w:rsidRPr="00171CB2">
              <w:rPr>
                <w:sz w:val="16"/>
                <w:lang w:val="de-DE"/>
              </w:rPr>
              <w:t>anfällig</w:t>
            </w:r>
          </w:p>
        </w:tc>
        <w:tc>
          <w:tcPr>
            <w:tcW w:w="1734" w:type="dxa"/>
            <w:tcBorders>
              <w:top w:val="nil"/>
              <w:left w:val="nil"/>
              <w:bottom w:val="nil"/>
              <w:right w:val="nil"/>
            </w:tcBorders>
          </w:tcPr>
          <w:p w14:paraId="0AF48A2F" w14:textId="77777777" w:rsidR="00171CB2" w:rsidRPr="00171CB2" w:rsidRDefault="00171CB2" w:rsidP="002946D2">
            <w:pPr>
              <w:keepNext/>
              <w:keepLines/>
              <w:spacing w:before="120" w:after="120"/>
              <w:jc w:val="left"/>
              <w:rPr>
                <w:sz w:val="16"/>
                <w:lang w:val="de-DE"/>
              </w:rPr>
            </w:pPr>
          </w:p>
        </w:tc>
        <w:tc>
          <w:tcPr>
            <w:tcW w:w="1734" w:type="dxa"/>
            <w:tcBorders>
              <w:top w:val="nil"/>
              <w:left w:val="nil"/>
              <w:bottom w:val="nil"/>
              <w:right w:val="nil"/>
            </w:tcBorders>
          </w:tcPr>
          <w:p w14:paraId="6265D156" w14:textId="77777777" w:rsidR="00171CB2" w:rsidRPr="00171CB2" w:rsidRDefault="00171CB2" w:rsidP="002946D2">
            <w:pPr>
              <w:keepNext/>
              <w:keepLines/>
              <w:spacing w:before="120" w:after="120"/>
              <w:jc w:val="left"/>
              <w:rPr>
                <w:sz w:val="16"/>
                <w:lang w:val="de-DE"/>
              </w:rPr>
            </w:pPr>
          </w:p>
        </w:tc>
        <w:tc>
          <w:tcPr>
            <w:tcW w:w="851" w:type="dxa"/>
            <w:tcBorders>
              <w:top w:val="nil"/>
              <w:left w:val="nil"/>
              <w:bottom w:val="nil"/>
              <w:right w:val="nil"/>
            </w:tcBorders>
            <w:hideMark/>
          </w:tcPr>
          <w:p w14:paraId="771CCD25" w14:textId="77777777" w:rsidR="00171CB2" w:rsidRPr="00171CB2" w:rsidRDefault="00171CB2" w:rsidP="002946D2">
            <w:pPr>
              <w:keepNext/>
              <w:keepLines/>
              <w:spacing w:before="120" w:after="120"/>
              <w:jc w:val="left"/>
              <w:rPr>
                <w:sz w:val="16"/>
                <w:lang w:val="de-DE"/>
              </w:rPr>
            </w:pPr>
            <w:r w:rsidRPr="00171CB2">
              <w:rPr>
                <w:sz w:val="16"/>
                <w:lang w:val="de-DE"/>
              </w:rPr>
              <w:t>[...]</w:t>
            </w:r>
          </w:p>
        </w:tc>
        <w:tc>
          <w:tcPr>
            <w:tcW w:w="567" w:type="dxa"/>
            <w:tcBorders>
              <w:top w:val="nil"/>
              <w:left w:val="nil"/>
              <w:bottom w:val="nil"/>
              <w:right w:val="nil"/>
            </w:tcBorders>
            <w:hideMark/>
          </w:tcPr>
          <w:p w14:paraId="26F6FCC7" w14:textId="77777777" w:rsidR="00171CB2" w:rsidRPr="00171CB2" w:rsidRDefault="00171CB2" w:rsidP="002946D2">
            <w:pPr>
              <w:keepNext/>
              <w:keepLines/>
              <w:spacing w:before="120" w:after="120"/>
              <w:jc w:val="left"/>
              <w:rPr>
                <w:sz w:val="16"/>
                <w:lang w:val="de-DE"/>
              </w:rPr>
            </w:pPr>
            <w:r w:rsidRPr="00171CB2">
              <w:rPr>
                <w:sz w:val="16"/>
                <w:lang w:val="de-DE"/>
              </w:rPr>
              <w:t>1</w:t>
            </w:r>
          </w:p>
        </w:tc>
      </w:tr>
      <w:tr w:rsidR="00171CB2" w:rsidRPr="00171CB2" w14:paraId="1E37C33B" w14:textId="77777777" w:rsidTr="002946D2">
        <w:trPr>
          <w:cantSplit/>
          <w:jc w:val="center"/>
        </w:trPr>
        <w:tc>
          <w:tcPr>
            <w:tcW w:w="578" w:type="dxa"/>
            <w:tcBorders>
              <w:top w:val="nil"/>
              <w:left w:val="nil"/>
              <w:bottom w:val="nil"/>
              <w:right w:val="nil"/>
            </w:tcBorders>
          </w:tcPr>
          <w:p w14:paraId="417454A6" w14:textId="77777777" w:rsidR="00171CB2" w:rsidRPr="00171CB2" w:rsidRDefault="00171CB2" w:rsidP="002946D2">
            <w:pPr>
              <w:keepNext/>
              <w:keepLines/>
              <w:spacing w:before="120" w:after="120"/>
              <w:jc w:val="left"/>
              <w:rPr>
                <w:sz w:val="16"/>
                <w:lang w:val="de-DE"/>
              </w:rPr>
            </w:pPr>
          </w:p>
        </w:tc>
        <w:tc>
          <w:tcPr>
            <w:tcW w:w="425" w:type="dxa"/>
            <w:tcBorders>
              <w:top w:val="nil"/>
              <w:left w:val="nil"/>
              <w:bottom w:val="nil"/>
              <w:right w:val="nil"/>
            </w:tcBorders>
          </w:tcPr>
          <w:p w14:paraId="26E02977" w14:textId="77777777" w:rsidR="00171CB2" w:rsidRPr="00171CB2" w:rsidRDefault="00171CB2" w:rsidP="002946D2">
            <w:pPr>
              <w:keepNext/>
              <w:keepLines/>
              <w:spacing w:before="120" w:after="120"/>
              <w:jc w:val="left"/>
              <w:rPr>
                <w:sz w:val="16"/>
                <w:lang w:val="de-DE"/>
              </w:rPr>
            </w:pPr>
          </w:p>
        </w:tc>
        <w:tc>
          <w:tcPr>
            <w:tcW w:w="3467" w:type="dxa"/>
            <w:gridSpan w:val="2"/>
            <w:tcBorders>
              <w:top w:val="nil"/>
              <w:left w:val="nil"/>
              <w:bottom w:val="nil"/>
              <w:right w:val="nil"/>
            </w:tcBorders>
            <w:hideMark/>
          </w:tcPr>
          <w:p w14:paraId="00A386D0" w14:textId="77777777" w:rsidR="00171CB2" w:rsidRPr="00171CB2" w:rsidRDefault="00171CB2" w:rsidP="002946D2">
            <w:pPr>
              <w:keepNext/>
              <w:keepLines/>
              <w:spacing w:before="120" w:after="120"/>
              <w:jc w:val="left"/>
              <w:rPr>
                <w:sz w:val="16"/>
                <w:lang w:val="de-DE"/>
              </w:rPr>
            </w:pPr>
            <w:r w:rsidRPr="00171CB2">
              <w:rPr>
                <w:strike/>
                <w:sz w:val="16"/>
                <w:highlight w:val="lightGray"/>
                <w:lang w:val="de-DE"/>
              </w:rPr>
              <w:t>Mäßig resistent</w:t>
            </w:r>
            <w:r w:rsidRPr="00171CB2">
              <w:rPr>
                <w:sz w:val="16"/>
                <w:lang w:val="de-DE"/>
              </w:rPr>
              <w:t xml:space="preserve"> </w:t>
            </w:r>
            <w:r w:rsidRPr="00171CB2">
              <w:rPr>
                <w:sz w:val="16"/>
                <w:highlight w:val="lightGray"/>
                <w:lang w:val="de-DE"/>
              </w:rPr>
              <w:t>mittel resistent</w:t>
            </w:r>
            <w:r w:rsidRPr="00171CB2">
              <w:rPr>
                <w:rStyle w:val="FootnoteReference"/>
                <w:sz w:val="16"/>
                <w:lang w:val="de-DE"/>
              </w:rPr>
              <w:footnoteReference w:id="6"/>
            </w:r>
          </w:p>
        </w:tc>
        <w:tc>
          <w:tcPr>
            <w:tcW w:w="1734" w:type="dxa"/>
            <w:tcBorders>
              <w:top w:val="nil"/>
              <w:left w:val="nil"/>
              <w:bottom w:val="nil"/>
              <w:right w:val="nil"/>
            </w:tcBorders>
          </w:tcPr>
          <w:p w14:paraId="1C777F1B" w14:textId="77777777" w:rsidR="00171CB2" w:rsidRPr="00171CB2" w:rsidRDefault="00171CB2" w:rsidP="002946D2">
            <w:pPr>
              <w:keepNext/>
              <w:keepLines/>
              <w:spacing w:before="120" w:after="120"/>
              <w:jc w:val="left"/>
              <w:rPr>
                <w:sz w:val="16"/>
                <w:lang w:val="de-DE"/>
              </w:rPr>
            </w:pPr>
          </w:p>
        </w:tc>
        <w:tc>
          <w:tcPr>
            <w:tcW w:w="851" w:type="dxa"/>
            <w:tcBorders>
              <w:top w:val="nil"/>
              <w:left w:val="nil"/>
              <w:bottom w:val="nil"/>
              <w:right w:val="nil"/>
            </w:tcBorders>
            <w:hideMark/>
          </w:tcPr>
          <w:p w14:paraId="2F53E25D" w14:textId="77777777" w:rsidR="00171CB2" w:rsidRPr="00171CB2" w:rsidRDefault="00171CB2" w:rsidP="002946D2">
            <w:pPr>
              <w:keepNext/>
              <w:keepLines/>
              <w:spacing w:before="120" w:after="120"/>
              <w:jc w:val="left"/>
              <w:rPr>
                <w:sz w:val="16"/>
                <w:lang w:val="de-DE"/>
              </w:rPr>
            </w:pPr>
            <w:r w:rsidRPr="00171CB2">
              <w:rPr>
                <w:sz w:val="16"/>
                <w:lang w:val="de-DE"/>
              </w:rPr>
              <w:t>[...]</w:t>
            </w:r>
          </w:p>
        </w:tc>
        <w:tc>
          <w:tcPr>
            <w:tcW w:w="567" w:type="dxa"/>
            <w:tcBorders>
              <w:top w:val="nil"/>
              <w:left w:val="nil"/>
              <w:bottom w:val="nil"/>
              <w:right w:val="nil"/>
            </w:tcBorders>
            <w:hideMark/>
          </w:tcPr>
          <w:p w14:paraId="401FC790" w14:textId="77777777" w:rsidR="00171CB2" w:rsidRPr="00171CB2" w:rsidRDefault="00171CB2" w:rsidP="002946D2">
            <w:pPr>
              <w:keepNext/>
              <w:keepLines/>
              <w:spacing w:before="120" w:after="120"/>
              <w:jc w:val="left"/>
              <w:rPr>
                <w:sz w:val="16"/>
                <w:lang w:val="de-DE"/>
              </w:rPr>
            </w:pPr>
            <w:r w:rsidRPr="00171CB2">
              <w:rPr>
                <w:sz w:val="16"/>
                <w:lang w:val="de-DE"/>
              </w:rPr>
              <w:t>2</w:t>
            </w:r>
          </w:p>
        </w:tc>
      </w:tr>
      <w:tr w:rsidR="00171CB2" w:rsidRPr="00171CB2" w14:paraId="7225034C" w14:textId="77777777" w:rsidTr="002946D2">
        <w:trPr>
          <w:cantSplit/>
          <w:jc w:val="center"/>
        </w:trPr>
        <w:tc>
          <w:tcPr>
            <w:tcW w:w="578" w:type="dxa"/>
            <w:tcBorders>
              <w:top w:val="nil"/>
              <w:left w:val="nil"/>
              <w:bottom w:val="single" w:sz="4" w:space="0" w:color="auto"/>
              <w:right w:val="nil"/>
            </w:tcBorders>
          </w:tcPr>
          <w:p w14:paraId="5C497D68" w14:textId="77777777" w:rsidR="00171CB2" w:rsidRPr="00171CB2" w:rsidRDefault="00171CB2" w:rsidP="002946D2">
            <w:pPr>
              <w:keepNext/>
              <w:keepLines/>
              <w:spacing w:before="120" w:after="120"/>
              <w:jc w:val="left"/>
              <w:rPr>
                <w:sz w:val="16"/>
                <w:lang w:val="de-DE"/>
              </w:rPr>
            </w:pPr>
          </w:p>
        </w:tc>
        <w:tc>
          <w:tcPr>
            <w:tcW w:w="425" w:type="dxa"/>
            <w:tcBorders>
              <w:top w:val="nil"/>
              <w:left w:val="nil"/>
              <w:bottom w:val="single" w:sz="4" w:space="0" w:color="auto"/>
              <w:right w:val="nil"/>
            </w:tcBorders>
          </w:tcPr>
          <w:p w14:paraId="0A5CE9DB" w14:textId="77777777" w:rsidR="00171CB2" w:rsidRPr="00171CB2" w:rsidRDefault="00171CB2" w:rsidP="002946D2">
            <w:pPr>
              <w:keepNext/>
              <w:keepLines/>
              <w:spacing w:before="120" w:after="120"/>
              <w:jc w:val="left"/>
              <w:rPr>
                <w:sz w:val="16"/>
                <w:lang w:val="de-DE"/>
              </w:rPr>
            </w:pPr>
          </w:p>
        </w:tc>
        <w:tc>
          <w:tcPr>
            <w:tcW w:w="1733" w:type="dxa"/>
            <w:tcBorders>
              <w:top w:val="nil"/>
              <w:left w:val="nil"/>
              <w:bottom w:val="single" w:sz="4" w:space="0" w:color="auto"/>
              <w:right w:val="nil"/>
            </w:tcBorders>
            <w:hideMark/>
          </w:tcPr>
          <w:p w14:paraId="29843FB1" w14:textId="77777777" w:rsidR="00171CB2" w:rsidRPr="00171CB2" w:rsidRDefault="00171CB2" w:rsidP="002946D2">
            <w:pPr>
              <w:keepNext/>
              <w:keepLines/>
              <w:spacing w:before="120" w:after="120"/>
              <w:jc w:val="left"/>
              <w:rPr>
                <w:sz w:val="16"/>
                <w:lang w:val="de-DE"/>
              </w:rPr>
            </w:pPr>
            <w:r w:rsidRPr="00171CB2">
              <w:rPr>
                <w:sz w:val="16"/>
                <w:lang w:val="de-DE"/>
              </w:rPr>
              <w:t>hochresistent</w:t>
            </w:r>
          </w:p>
        </w:tc>
        <w:tc>
          <w:tcPr>
            <w:tcW w:w="1734" w:type="dxa"/>
            <w:tcBorders>
              <w:top w:val="nil"/>
              <w:left w:val="nil"/>
              <w:bottom w:val="single" w:sz="4" w:space="0" w:color="auto"/>
              <w:right w:val="nil"/>
            </w:tcBorders>
          </w:tcPr>
          <w:p w14:paraId="518C2791" w14:textId="77777777" w:rsidR="00171CB2" w:rsidRPr="00171CB2" w:rsidRDefault="00171CB2" w:rsidP="002946D2">
            <w:pPr>
              <w:keepNext/>
              <w:keepLines/>
              <w:spacing w:before="120" w:after="120"/>
              <w:jc w:val="left"/>
              <w:rPr>
                <w:sz w:val="16"/>
                <w:lang w:val="de-DE"/>
              </w:rPr>
            </w:pPr>
          </w:p>
        </w:tc>
        <w:tc>
          <w:tcPr>
            <w:tcW w:w="1734" w:type="dxa"/>
            <w:tcBorders>
              <w:top w:val="nil"/>
              <w:left w:val="nil"/>
              <w:bottom w:val="single" w:sz="4" w:space="0" w:color="auto"/>
              <w:right w:val="nil"/>
            </w:tcBorders>
          </w:tcPr>
          <w:p w14:paraId="08D6BD58" w14:textId="77777777" w:rsidR="00171CB2" w:rsidRPr="00171CB2" w:rsidRDefault="00171CB2" w:rsidP="002946D2">
            <w:pPr>
              <w:keepNext/>
              <w:keepLines/>
              <w:spacing w:before="120" w:after="120"/>
              <w:jc w:val="left"/>
              <w:rPr>
                <w:sz w:val="16"/>
                <w:lang w:val="de-DE"/>
              </w:rPr>
            </w:pPr>
          </w:p>
        </w:tc>
        <w:tc>
          <w:tcPr>
            <w:tcW w:w="851" w:type="dxa"/>
            <w:tcBorders>
              <w:top w:val="nil"/>
              <w:left w:val="nil"/>
              <w:bottom w:val="single" w:sz="4" w:space="0" w:color="auto"/>
              <w:right w:val="nil"/>
            </w:tcBorders>
            <w:hideMark/>
          </w:tcPr>
          <w:p w14:paraId="312AA060" w14:textId="77777777" w:rsidR="00171CB2" w:rsidRPr="00171CB2" w:rsidRDefault="00171CB2" w:rsidP="002946D2">
            <w:pPr>
              <w:keepNext/>
              <w:keepLines/>
              <w:spacing w:before="120" w:after="120"/>
              <w:jc w:val="left"/>
              <w:rPr>
                <w:sz w:val="16"/>
                <w:lang w:val="de-DE"/>
              </w:rPr>
            </w:pPr>
            <w:r w:rsidRPr="00171CB2">
              <w:rPr>
                <w:sz w:val="16"/>
                <w:lang w:val="de-DE"/>
              </w:rPr>
              <w:t>[...]</w:t>
            </w:r>
          </w:p>
        </w:tc>
        <w:tc>
          <w:tcPr>
            <w:tcW w:w="567" w:type="dxa"/>
            <w:tcBorders>
              <w:top w:val="nil"/>
              <w:left w:val="nil"/>
              <w:bottom w:val="single" w:sz="4" w:space="0" w:color="auto"/>
              <w:right w:val="nil"/>
            </w:tcBorders>
            <w:hideMark/>
          </w:tcPr>
          <w:p w14:paraId="4B5760AF" w14:textId="77777777" w:rsidR="00171CB2" w:rsidRPr="00171CB2" w:rsidRDefault="00171CB2" w:rsidP="002946D2">
            <w:pPr>
              <w:keepNext/>
              <w:keepLines/>
              <w:spacing w:before="120" w:after="120"/>
              <w:jc w:val="left"/>
              <w:rPr>
                <w:sz w:val="16"/>
                <w:lang w:val="de-DE"/>
              </w:rPr>
            </w:pPr>
            <w:r w:rsidRPr="00171CB2">
              <w:rPr>
                <w:sz w:val="16"/>
                <w:lang w:val="de-DE"/>
              </w:rPr>
              <w:t>3</w:t>
            </w:r>
          </w:p>
        </w:tc>
      </w:tr>
    </w:tbl>
    <w:p w14:paraId="10FC5FC4" w14:textId="77777777" w:rsidR="00171CB2" w:rsidRPr="00171CB2" w:rsidRDefault="00171CB2" w:rsidP="00171CB2">
      <w:pPr>
        <w:ind w:left="1134" w:hanging="567"/>
        <w:rPr>
          <w:lang w:val="de-DE"/>
        </w:rPr>
      </w:pPr>
    </w:p>
    <w:p w14:paraId="3CF29E12" w14:textId="77777777" w:rsidR="00171CB2" w:rsidRPr="00171CB2" w:rsidRDefault="00171CB2" w:rsidP="00171CB2">
      <w:pPr>
        <w:rPr>
          <w:lang w:val="de-DE"/>
        </w:rPr>
      </w:pPr>
    </w:p>
    <w:p w14:paraId="42A6F766" w14:textId="77777777" w:rsidR="00171CB2" w:rsidRPr="00171CB2" w:rsidRDefault="00171CB2" w:rsidP="00171CB2">
      <w:pPr>
        <w:rPr>
          <w:lang w:val="de-DE"/>
        </w:rPr>
      </w:pPr>
    </w:p>
    <w:p w14:paraId="1A6DDC3F" w14:textId="77777777" w:rsidR="00171CB2" w:rsidRPr="00171CB2" w:rsidRDefault="00171CB2" w:rsidP="00171CB2">
      <w:pPr>
        <w:rPr>
          <w:lang w:val="de-DE"/>
        </w:rPr>
      </w:pPr>
    </w:p>
    <w:p w14:paraId="03A72EB6" w14:textId="77777777" w:rsidR="00171CB2" w:rsidRPr="00171CB2" w:rsidRDefault="00171CB2" w:rsidP="00171CB2">
      <w:pPr>
        <w:rPr>
          <w:lang w:val="de-DE"/>
        </w:rPr>
      </w:pPr>
    </w:p>
    <w:p w14:paraId="3FB7BD15" w14:textId="77777777" w:rsidR="00171CB2" w:rsidRPr="00171CB2" w:rsidRDefault="00171CB2" w:rsidP="00171CB2">
      <w:pPr>
        <w:jc w:val="right"/>
        <w:rPr>
          <w:lang w:val="de-DE"/>
        </w:rPr>
      </w:pPr>
      <w:r w:rsidRPr="00171CB2">
        <w:rPr>
          <w:lang w:val="de-DE"/>
        </w:rPr>
        <w:t xml:space="preserve"> [Ende der Anlage III und des Dokuments]</w:t>
      </w:r>
    </w:p>
    <w:p w14:paraId="06DD949E" w14:textId="77777777" w:rsidR="00171CB2" w:rsidRPr="00171CB2" w:rsidRDefault="00171CB2" w:rsidP="00171CB2">
      <w:pPr>
        <w:jc w:val="left"/>
        <w:rPr>
          <w:lang w:val="de-DE"/>
        </w:rPr>
      </w:pPr>
    </w:p>
    <w:p w14:paraId="7D9B1789" w14:textId="77777777" w:rsidR="00171CB2" w:rsidRPr="00171CB2" w:rsidRDefault="00171CB2" w:rsidP="00171CB2">
      <w:pPr>
        <w:jc w:val="left"/>
        <w:rPr>
          <w:lang w:val="de-DE"/>
        </w:rPr>
      </w:pPr>
    </w:p>
    <w:p w14:paraId="20CD0BF7" w14:textId="77777777" w:rsidR="00050E16" w:rsidRPr="00171CB2" w:rsidRDefault="00050E16" w:rsidP="009B440E">
      <w:pPr>
        <w:jc w:val="left"/>
        <w:rPr>
          <w:lang w:val="de-DE"/>
        </w:rPr>
      </w:pPr>
    </w:p>
    <w:sectPr w:rsidR="00050E16" w:rsidRPr="00171CB2"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AF472" w14:textId="77777777" w:rsidR="00370733" w:rsidRDefault="00370733" w:rsidP="006655D3">
      <w:r>
        <w:separator/>
      </w:r>
    </w:p>
    <w:p w14:paraId="52908158" w14:textId="77777777" w:rsidR="00370733" w:rsidRDefault="00370733" w:rsidP="006655D3"/>
    <w:p w14:paraId="0CBEF533" w14:textId="77777777" w:rsidR="00370733" w:rsidRDefault="00370733" w:rsidP="006655D3"/>
  </w:endnote>
  <w:endnote w:type="continuationSeparator" w:id="0">
    <w:p w14:paraId="3C5F0369" w14:textId="77777777" w:rsidR="00370733" w:rsidRDefault="00370733" w:rsidP="006655D3">
      <w:r>
        <w:separator/>
      </w:r>
    </w:p>
    <w:p w14:paraId="24129C94" w14:textId="77777777" w:rsidR="00370733" w:rsidRPr="00294751" w:rsidRDefault="00370733">
      <w:pPr>
        <w:pStyle w:val="Footer"/>
        <w:spacing w:after="60"/>
        <w:rPr>
          <w:sz w:val="18"/>
          <w:lang w:val="fr-FR"/>
        </w:rPr>
      </w:pPr>
      <w:r w:rsidRPr="00294751">
        <w:rPr>
          <w:sz w:val="18"/>
          <w:lang w:val="fr-FR"/>
        </w:rPr>
        <w:t>[Suite de la note de la page précédente]</w:t>
      </w:r>
    </w:p>
    <w:p w14:paraId="790D8D8A" w14:textId="77777777" w:rsidR="00370733" w:rsidRPr="00294751" w:rsidRDefault="00370733" w:rsidP="006655D3">
      <w:pPr>
        <w:rPr>
          <w:lang w:val="fr-FR"/>
        </w:rPr>
      </w:pPr>
    </w:p>
    <w:p w14:paraId="17FBD4AE" w14:textId="77777777" w:rsidR="00370733" w:rsidRPr="00294751" w:rsidRDefault="00370733" w:rsidP="006655D3">
      <w:pPr>
        <w:rPr>
          <w:lang w:val="fr-FR"/>
        </w:rPr>
      </w:pPr>
    </w:p>
  </w:endnote>
  <w:endnote w:type="continuationNotice" w:id="1">
    <w:p w14:paraId="291A6E5D" w14:textId="77777777" w:rsidR="00370733" w:rsidRPr="00294751" w:rsidRDefault="00370733" w:rsidP="006655D3">
      <w:pPr>
        <w:rPr>
          <w:lang w:val="fr-FR"/>
        </w:rPr>
      </w:pPr>
      <w:r w:rsidRPr="00294751">
        <w:rPr>
          <w:lang w:val="fr-FR"/>
        </w:rPr>
        <w:t>[Suite de la note page suivante]</w:t>
      </w:r>
    </w:p>
    <w:p w14:paraId="7608C192" w14:textId="77777777" w:rsidR="00370733" w:rsidRPr="00294751" w:rsidRDefault="00370733" w:rsidP="006655D3">
      <w:pPr>
        <w:rPr>
          <w:lang w:val="fr-FR"/>
        </w:rPr>
      </w:pPr>
    </w:p>
    <w:p w14:paraId="48F6EB6F" w14:textId="77777777" w:rsidR="00370733" w:rsidRPr="00294751" w:rsidRDefault="0037073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A7E5E" w14:textId="77777777" w:rsidR="00370733" w:rsidRDefault="00370733" w:rsidP="006655D3">
      <w:r>
        <w:separator/>
      </w:r>
    </w:p>
  </w:footnote>
  <w:footnote w:type="continuationSeparator" w:id="0">
    <w:p w14:paraId="7E9EDE0F" w14:textId="77777777" w:rsidR="00370733" w:rsidRDefault="00370733" w:rsidP="006655D3">
      <w:r>
        <w:separator/>
      </w:r>
    </w:p>
  </w:footnote>
  <w:footnote w:type="continuationNotice" w:id="1">
    <w:p w14:paraId="079B2137" w14:textId="77777777" w:rsidR="00370733" w:rsidRPr="00AB530F" w:rsidRDefault="00370733" w:rsidP="00AB530F">
      <w:pPr>
        <w:pStyle w:val="Footer"/>
      </w:pPr>
    </w:p>
  </w:footnote>
  <w:footnote w:id="2">
    <w:p w14:paraId="4F90296D" w14:textId="77777777" w:rsidR="00171CB2" w:rsidRPr="00BE75F9" w:rsidRDefault="00171CB2" w:rsidP="00171CB2">
      <w:pPr>
        <w:pStyle w:val="FootnoteText"/>
        <w:rPr>
          <w:lang w:val="de-DE"/>
        </w:rPr>
      </w:pPr>
      <w:r w:rsidRPr="00BE75F9">
        <w:rPr>
          <w:rStyle w:val="FootnoteReference"/>
          <w:lang w:val="de-DE"/>
        </w:rPr>
        <w:footnoteRef/>
      </w:r>
      <w:r w:rsidRPr="00BE75F9">
        <w:rPr>
          <w:lang w:val="de-DE"/>
        </w:rPr>
        <w:t xml:space="preserve"> Am 25. und 26. Oktober 2021 auf elektronischem Wege abgehalten</w:t>
      </w:r>
    </w:p>
  </w:footnote>
  <w:footnote w:id="3">
    <w:p w14:paraId="6892279E" w14:textId="77777777" w:rsidR="00171CB2" w:rsidRPr="00BE75F9" w:rsidRDefault="00171CB2" w:rsidP="00171CB2">
      <w:pPr>
        <w:pStyle w:val="FootnoteText"/>
        <w:rPr>
          <w:lang w:val="de-DE"/>
        </w:rPr>
      </w:pPr>
      <w:r w:rsidRPr="00BE75F9">
        <w:rPr>
          <w:rStyle w:val="FootnoteReference"/>
          <w:lang w:val="de-DE"/>
        </w:rPr>
        <w:footnoteRef/>
      </w:r>
      <w:r w:rsidRPr="00BE75F9">
        <w:rPr>
          <w:lang w:val="de-DE"/>
        </w:rPr>
        <w:t xml:space="preserve"> Am 25. und 26. Oktober 2021 auf elektronischem Wege abgehalten</w:t>
      </w:r>
    </w:p>
  </w:footnote>
  <w:footnote w:id="4">
    <w:p w14:paraId="4A06BD40" w14:textId="77777777" w:rsidR="00171CB2" w:rsidRPr="006739BB" w:rsidRDefault="00171CB2" w:rsidP="00171CB2">
      <w:pPr>
        <w:pStyle w:val="FootnoteText"/>
        <w:rPr>
          <w:lang w:val="de-DE"/>
        </w:rPr>
      </w:pPr>
      <w:r w:rsidRPr="00BE75F9">
        <w:rPr>
          <w:rStyle w:val="FootnoteReference"/>
          <w:lang w:val="de-DE"/>
        </w:rPr>
        <w:footnoteRef/>
      </w:r>
      <w:r w:rsidRPr="00BE75F9">
        <w:rPr>
          <w:lang w:val="de-DE"/>
        </w:rPr>
        <w:t xml:space="preserve"> Am 25. und 26. Oktober 2021 auf elektronischem Wege abgehalten</w:t>
      </w:r>
    </w:p>
  </w:footnote>
  <w:footnote w:id="5">
    <w:p w14:paraId="7F972CD1" w14:textId="77777777" w:rsidR="00171CB2" w:rsidRPr="006739BB" w:rsidRDefault="00171CB2" w:rsidP="00171CB2">
      <w:pPr>
        <w:pStyle w:val="FootnoteText"/>
        <w:rPr>
          <w:lang w:val="de-DE"/>
        </w:rPr>
      </w:pPr>
      <w:r w:rsidRPr="00BE75F9">
        <w:rPr>
          <w:rStyle w:val="FootnoteReference"/>
        </w:rPr>
        <w:footnoteRef/>
      </w:r>
      <w:r w:rsidRPr="006739BB">
        <w:rPr>
          <w:lang w:val="de-DE"/>
        </w:rPr>
        <w:t xml:space="preserve"> </w:t>
      </w:r>
      <w:r w:rsidRPr="00BE75F9">
        <w:rPr>
          <w:lang w:val="de-DE"/>
        </w:rPr>
        <w:t>Am 25. und 26. Oktober 2021 auf elektronischem Wege abgehalten</w:t>
      </w:r>
    </w:p>
  </w:footnote>
  <w:footnote w:id="6">
    <w:p w14:paraId="659F55B2" w14:textId="77777777" w:rsidR="00171CB2" w:rsidRPr="006739BB" w:rsidRDefault="00171CB2" w:rsidP="00171CB2">
      <w:pPr>
        <w:pStyle w:val="FootnoteText"/>
        <w:rPr>
          <w:lang w:val="de-DE"/>
        </w:rPr>
      </w:pPr>
      <w:r>
        <w:rPr>
          <w:rStyle w:val="FootnoteReference"/>
        </w:rPr>
        <w:footnoteRef/>
      </w:r>
      <w:r w:rsidRPr="006739BB">
        <w:rPr>
          <w:lang w:val="de-DE"/>
        </w:rPr>
        <w:tab/>
      </w:r>
      <w:r w:rsidRPr="00872F2C">
        <w:rPr>
          <w:lang w:val="de-DE"/>
        </w:rPr>
        <w:t>Die TWV vereinbarte auf ihrer sechsundfünfzigsten Tagung, die vom 18. bis 22. April 2022 auf elektronischem Wege abgehalten wurde, dass die Angabe „</w:t>
      </w:r>
      <w:r w:rsidRPr="00AE5332">
        <w:rPr>
          <w:lang w:val="de-DE"/>
        </w:rPr>
        <w:t>mittel</w:t>
      </w:r>
      <w:r w:rsidRPr="00872F2C">
        <w:rPr>
          <w:lang w:val="de-DE"/>
        </w:rPr>
        <w:t xml:space="preserve">“ in dem in </w:t>
      </w:r>
      <w:r w:rsidRPr="00235380">
        <w:rPr>
          <w:lang w:val="de-DE"/>
        </w:rPr>
        <w:t xml:space="preserve">Dokument </w:t>
      </w:r>
      <w:r w:rsidRPr="00F80C5D">
        <w:rPr>
          <w:lang w:val="de-DE"/>
        </w:rPr>
        <w:t>TWP/6/1</w:t>
      </w:r>
      <w:r w:rsidRPr="00235380">
        <w:rPr>
          <w:lang w:val="de-DE"/>
        </w:rPr>
        <w:t xml:space="preserve">, Absatz 28, angegebenen Beispiel „mittel resistent“ lauten sollte (vergleiche Dokument </w:t>
      </w:r>
      <w:r w:rsidRPr="00F80C5D">
        <w:rPr>
          <w:lang w:val="de-DE"/>
        </w:rPr>
        <w:t>TWV/56/22</w:t>
      </w:r>
      <w:r w:rsidRPr="00235380">
        <w:rPr>
          <w:lang w:val="de-DE"/>
        </w:rPr>
        <w:t xml:space="preserve"> „Report“, Absatz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FE7F" w14:textId="77777777" w:rsidR="00171CB2" w:rsidRDefault="00171CB2">
    <w:pPr>
      <w:pStyle w:val="Header"/>
      <w:rPr>
        <w:rStyle w:val="PageNumber"/>
        <w:lang w:val="en-US"/>
      </w:rPr>
    </w:pPr>
    <w:r>
      <w:rPr>
        <w:rStyle w:val="PageNumber"/>
        <w:lang w:val="en-US"/>
      </w:rPr>
      <w:t>TC/58/4</w:t>
    </w:r>
  </w:p>
  <w:p w14:paraId="741E3B3B" w14:textId="26CF52F1" w:rsidR="00171CB2" w:rsidRDefault="00171CB2">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B6EB1">
      <w:rPr>
        <w:rStyle w:val="PageNumber"/>
        <w:noProof/>
        <w:lang w:val="en-US"/>
      </w:rPr>
      <w:t>5</w:t>
    </w:r>
    <w:r w:rsidRPr="00C5280D">
      <w:rPr>
        <w:rStyle w:val="PageNumber"/>
        <w:lang w:val="en-US"/>
      </w:rPr>
      <w:fldChar w:fldCharType="end"/>
    </w:r>
  </w:p>
  <w:p w14:paraId="46D330FB" w14:textId="77777777" w:rsidR="00171CB2" w:rsidRPr="00C5280D" w:rsidRDefault="00171CB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8F31" w14:textId="77777777" w:rsidR="00171CB2" w:rsidRPr="0004198B" w:rsidRDefault="00171CB2"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0D89" w14:textId="77777777" w:rsidR="00171CB2" w:rsidRDefault="00171CB2">
    <w:pPr>
      <w:pStyle w:val="Header"/>
      <w:rPr>
        <w:rStyle w:val="PageNumber"/>
        <w:lang w:val="en-US"/>
      </w:rPr>
    </w:pPr>
    <w:r>
      <w:rPr>
        <w:rStyle w:val="PageNumber"/>
        <w:lang w:val="en-US"/>
      </w:rPr>
      <w:t>TC/58/4</w:t>
    </w:r>
  </w:p>
  <w:p w14:paraId="40AE1EFF" w14:textId="37320171" w:rsidR="00171CB2" w:rsidRDefault="00171CB2">
    <w:pPr>
      <w:pStyle w:val="Header"/>
      <w:rPr>
        <w:lang w:val="en-US"/>
      </w:rPr>
    </w:pPr>
    <w:r>
      <w:rPr>
        <w:lang w:val="en-US"/>
      </w:rPr>
      <w:t xml:space="preserve">Anlage II, </w:t>
    </w: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B6EB1">
      <w:rPr>
        <w:rStyle w:val="PageNumber"/>
        <w:noProof/>
        <w:lang w:val="en-US"/>
      </w:rPr>
      <w:t>2</w:t>
    </w:r>
    <w:r w:rsidRPr="00C5280D">
      <w:rPr>
        <w:rStyle w:val="PageNumber"/>
        <w:lang w:val="en-US"/>
      </w:rPr>
      <w:fldChar w:fldCharType="end"/>
    </w:r>
  </w:p>
  <w:p w14:paraId="32BD7275" w14:textId="4951A7B2" w:rsidR="00171CB2" w:rsidRPr="00C5280D" w:rsidRDefault="00171CB2"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1845" w14:textId="4B61D588" w:rsidR="00171CB2" w:rsidRPr="0004198B" w:rsidRDefault="00171CB2"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76D3"/>
    <w:multiLevelType w:val="hybridMultilevel"/>
    <w:tmpl w:val="330EF34C"/>
    <w:lvl w:ilvl="0" w:tplc="11CC43CA">
      <w:start w:val="1"/>
      <w:numFmt w:val="lowerLetter"/>
      <w:lvlText w:val="(%1)"/>
      <w:lvlJc w:val="left"/>
      <w:pPr>
        <w:ind w:left="1130" w:hanging="5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495469A"/>
    <w:multiLevelType w:val="hybridMultilevel"/>
    <w:tmpl w:val="88EE74DC"/>
    <w:lvl w:ilvl="0" w:tplc="E0A485F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8402159"/>
    <w:multiLevelType w:val="hybridMultilevel"/>
    <w:tmpl w:val="5A90C536"/>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D5924"/>
    <w:multiLevelType w:val="hybridMultilevel"/>
    <w:tmpl w:val="415CF122"/>
    <w:lvl w:ilvl="0" w:tplc="536256B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6D726F6B"/>
    <w:multiLevelType w:val="hybridMultilevel"/>
    <w:tmpl w:val="22129942"/>
    <w:lvl w:ilvl="0" w:tplc="B07036D6">
      <w:start w:val="1"/>
      <w:numFmt w:val="lowerLetter"/>
      <w:lvlText w:val="(%1)"/>
      <w:lvlJc w:val="left"/>
      <w:pPr>
        <w:ind w:left="5230" w:hanging="41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15:restartNumberingAfterBreak="0">
    <w:nsid w:val="7A36483F"/>
    <w:multiLevelType w:val="hybridMultilevel"/>
    <w:tmpl w:val="68842D6C"/>
    <w:lvl w:ilvl="0" w:tplc="72547ED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5"/>
  </w:num>
  <w:num w:numId="2">
    <w:abstractNumId w:val="7"/>
  </w:num>
  <w:num w:numId="3">
    <w:abstractNumId w:val="4"/>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35"/>
    <w:rsid w:val="00010CF3"/>
    <w:rsid w:val="000116D8"/>
    <w:rsid w:val="00011E27"/>
    <w:rsid w:val="000148BC"/>
    <w:rsid w:val="00024AB8"/>
    <w:rsid w:val="00030854"/>
    <w:rsid w:val="0003481C"/>
    <w:rsid w:val="00036028"/>
    <w:rsid w:val="0004198B"/>
    <w:rsid w:val="00044642"/>
    <w:rsid w:val="000446B9"/>
    <w:rsid w:val="00047E21"/>
    <w:rsid w:val="00050E16"/>
    <w:rsid w:val="00085505"/>
    <w:rsid w:val="00085AFC"/>
    <w:rsid w:val="000872E5"/>
    <w:rsid w:val="000C4E25"/>
    <w:rsid w:val="000C7021"/>
    <w:rsid w:val="000D6BBC"/>
    <w:rsid w:val="000D7780"/>
    <w:rsid w:val="000E636A"/>
    <w:rsid w:val="000F2F11"/>
    <w:rsid w:val="00100A5F"/>
    <w:rsid w:val="00105929"/>
    <w:rsid w:val="00110BED"/>
    <w:rsid w:val="00110C36"/>
    <w:rsid w:val="001131D5"/>
    <w:rsid w:val="00114547"/>
    <w:rsid w:val="00141DB8"/>
    <w:rsid w:val="00171CB2"/>
    <w:rsid w:val="00172084"/>
    <w:rsid w:val="001727E3"/>
    <w:rsid w:val="0017474A"/>
    <w:rsid w:val="001758C6"/>
    <w:rsid w:val="00182B99"/>
    <w:rsid w:val="00192040"/>
    <w:rsid w:val="001C1525"/>
    <w:rsid w:val="001F03E7"/>
    <w:rsid w:val="0021332C"/>
    <w:rsid w:val="00213982"/>
    <w:rsid w:val="0024416D"/>
    <w:rsid w:val="00271911"/>
    <w:rsid w:val="00273187"/>
    <w:rsid w:val="002800A0"/>
    <w:rsid w:val="002801B3"/>
    <w:rsid w:val="00281060"/>
    <w:rsid w:val="00284050"/>
    <w:rsid w:val="00285BD0"/>
    <w:rsid w:val="002940E8"/>
    <w:rsid w:val="00294751"/>
    <w:rsid w:val="002A6E50"/>
    <w:rsid w:val="002A786F"/>
    <w:rsid w:val="002B4298"/>
    <w:rsid w:val="002B7A36"/>
    <w:rsid w:val="002C1942"/>
    <w:rsid w:val="002C256A"/>
    <w:rsid w:val="002C5857"/>
    <w:rsid w:val="002D5226"/>
    <w:rsid w:val="002F114A"/>
    <w:rsid w:val="00305A7F"/>
    <w:rsid w:val="003152FE"/>
    <w:rsid w:val="0031706A"/>
    <w:rsid w:val="00327436"/>
    <w:rsid w:val="00334B0C"/>
    <w:rsid w:val="00344BD6"/>
    <w:rsid w:val="0035528D"/>
    <w:rsid w:val="00361821"/>
    <w:rsid w:val="00361E9E"/>
    <w:rsid w:val="00370733"/>
    <w:rsid w:val="003753EE"/>
    <w:rsid w:val="003A0835"/>
    <w:rsid w:val="003A5AAF"/>
    <w:rsid w:val="003B700A"/>
    <w:rsid w:val="003C7FBE"/>
    <w:rsid w:val="003D0839"/>
    <w:rsid w:val="003D227C"/>
    <w:rsid w:val="003D2B4D"/>
    <w:rsid w:val="003F1C72"/>
    <w:rsid w:val="003F37F5"/>
    <w:rsid w:val="00427E2C"/>
    <w:rsid w:val="00444A88"/>
    <w:rsid w:val="00445B73"/>
    <w:rsid w:val="00474DA4"/>
    <w:rsid w:val="00476B4D"/>
    <w:rsid w:val="004805FA"/>
    <w:rsid w:val="004935D2"/>
    <w:rsid w:val="004B1215"/>
    <w:rsid w:val="004C5389"/>
    <w:rsid w:val="004D047D"/>
    <w:rsid w:val="004D5796"/>
    <w:rsid w:val="004F1E9E"/>
    <w:rsid w:val="004F305A"/>
    <w:rsid w:val="00512164"/>
    <w:rsid w:val="00520297"/>
    <w:rsid w:val="0052560D"/>
    <w:rsid w:val="0053382C"/>
    <w:rsid w:val="005338F9"/>
    <w:rsid w:val="0054281C"/>
    <w:rsid w:val="00544581"/>
    <w:rsid w:val="00551B19"/>
    <w:rsid w:val="0055268D"/>
    <w:rsid w:val="005566D0"/>
    <w:rsid w:val="00575DE2"/>
    <w:rsid w:val="00576BE4"/>
    <w:rsid w:val="005779DB"/>
    <w:rsid w:val="005802D7"/>
    <w:rsid w:val="005A2A67"/>
    <w:rsid w:val="005A400A"/>
    <w:rsid w:val="005A438F"/>
    <w:rsid w:val="005B269D"/>
    <w:rsid w:val="005F7B92"/>
    <w:rsid w:val="00612379"/>
    <w:rsid w:val="006153B6"/>
    <w:rsid w:val="0061555F"/>
    <w:rsid w:val="006245ED"/>
    <w:rsid w:val="00636CA6"/>
    <w:rsid w:val="00641200"/>
    <w:rsid w:val="00645CA8"/>
    <w:rsid w:val="0066081F"/>
    <w:rsid w:val="006655D3"/>
    <w:rsid w:val="00667404"/>
    <w:rsid w:val="00687EB4"/>
    <w:rsid w:val="00695C56"/>
    <w:rsid w:val="006A5CDE"/>
    <w:rsid w:val="006A644A"/>
    <w:rsid w:val="006B0735"/>
    <w:rsid w:val="006B17D2"/>
    <w:rsid w:val="006B3484"/>
    <w:rsid w:val="006C224E"/>
    <w:rsid w:val="006C2E04"/>
    <w:rsid w:val="006D780A"/>
    <w:rsid w:val="006F3FBA"/>
    <w:rsid w:val="0071271E"/>
    <w:rsid w:val="00732DEC"/>
    <w:rsid w:val="00735BD5"/>
    <w:rsid w:val="007451EC"/>
    <w:rsid w:val="00751613"/>
    <w:rsid w:val="00753EE9"/>
    <w:rsid w:val="007556F6"/>
    <w:rsid w:val="00760EEF"/>
    <w:rsid w:val="007723CF"/>
    <w:rsid w:val="00777EE5"/>
    <w:rsid w:val="00784836"/>
    <w:rsid w:val="0079023E"/>
    <w:rsid w:val="007A2854"/>
    <w:rsid w:val="007A4817"/>
    <w:rsid w:val="007A69D6"/>
    <w:rsid w:val="007C1D92"/>
    <w:rsid w:val="007C4CB9"/>
    <w:rsid w:val="007D0B9D"/>
    <w:rsid w:val="007D19B0"/>
    <w:rsid w:val="007D45FC"/>
    <w:rsid w:val="007F498F"/>
    <w:rsid w:val="007F4E4D"/>
    <w:rsid w:val="00805B75"/>
    <w:rsid w:val="0080679D"/>
    <w:rsid w:val="008108B0"/>
    <w:rsid w:val="00811669"/>
    <w:rsid w:val="00811B20"/>
    <w:rsid w:val="00812609"/>
    <w:rsid w:val="008128FC"/>
    <w:rsid w:val="008211B5"/>
    <w:rsid w:val="0082296E"/>
    <w:rsid w:val="00824099"/>
    <w:rsid w:val="00846D16"/>
    <w:rsid w:val="00846D7C"/>
    <w:rsid w:val="00867AC1"/>
    <w:rsid w:val="008751DE"/>
    <w:rsid w:val="00890DF8"/>
    <w:rsid w:val="00897341"/>
    <w:rsid w:val="008A0ADE"/>
    <w:rsid w:val="008A743F"/>
    <w:rsid w:val="008B6571"/>
    <w:rsid w:val="008B6EB1"/>
    <w:rsid w:val="008C0970"/>
    <w:rsid w:val="008C6D8B"/>
    <w:rsid w:val="008D0BC5"/>
    <w:rsid w:val="008D2CF7"/>
    <w:rsid w:val="008D7685"/>
    <w:rsid w:val="008E3720"/>
    <w:rsid w:val="008E73EF"/>
    <w:rsid w:val="00900C26"/>
    <w:rsid w:val="0090197F"/>
    <w:rsid w:val="00903264"/>
    <w:rsid w:val="00906DDC"/>
    <w:rsid w:val="00934E09"/>
    <w:rsid w:val="00936253"/>
    <w:rsid w:val="00940D46"/>
    <w:rsid w:val="009413F1"/>
    <w:rsid w:val="00952DD4"/>
    <w:rsid w:val="009561F4"/>
    <w:rsid w:val="00965AE7"/>
    <w:rsid w:val="00970FED"/>
    <w:rsid w:val="00973315"/>
    <w:rsid w:val="00985E41"/>
    <w:rsid w:val="00992D82"/>
    <w:rsid w:val="00997029"/>
    <w:rsid w:val="009A7339"/>
    <w:rsid w:val="009B440E"/>
    <w:rsid w:val="009B72D8"/>
    <w:rsid w:val="009D690D"/>
    <w:rsid w:val="009E1772"/>
    <w:rsid w:val="009E65B6"/>
    <w:rsid w:val="009F0A51"/>
    <w:rsid w:val="009F0B7F"/>
    <w:rsid w:val="009F3A38"/>
    <w:rsid w:val="009F77CF"/>
    <w:rsid w:val="00A12795"/>
    <w:rsid w:val="00A24C10"/>
    <w:rsid w:val="00A30504"/>
    <w:rsid w:val="00A42AC3"/>
    <w:rsid w:val="00A430CF"/>
    <w:rsid w:val="00A54309"/>
    <w:rsid w:val="00A55168"/>
    <w:rsid w:val="00A610A9"/>
    <w:rsid w:val="00A656EC"/>
    <w:rsid w:val="00A80F2A"/>
    <w:rsid w:val="00A8199A"/>
    <w:rsid w:val="00A857ED"/>
    <w:rsid w:val="00A96C33"/>
    <w:rsid w:val="00AB2B93"/>
    <w:rsid w:val="00AB4567"/>
    <w:rsid w:val="00AB530F"/>
    <w:rsid w:val="00AB7E5B"/>
    <w:rsid w:val="00AC2883"/>
    <w:rsid w:val="00AE0EF1"/>
    <w:rsid w:val="00AE2937"/>
    <w:rsid w:val="00B07301"/>
    <w:rsid w:val="00B07F9D"/>
    <w:rsid w:val="00B11F3E"/>
    <w:rsid w:val="00B224DE"/>
    <w:rsid w:val="00B261C8"/>
    <w:rsid w:val="00B324D4"/>
    <w:rsid w:val="00B46575"/>
    <w:rsid w:val="00B61777"/>
    <w:rsid w:val="00B622E6"/>
    <w:rsid w:val="00B82398"/>
    <w:rsid w:val="00B83E82"/>
    <w:rsid w:val="00B84BBD"/>
    <w:rsid w:val="00BA43FB"/>
    <w:rsid w:val="00BC127D"/>
    <w:rsid w:val="00BC1FE6"/>
    <w:rsid w:val="00C061B6"/>
    <w:rsid w:val="00C10830"/>
    <w:rsid w:val="00C2446C"/>
    <w:rsid w:val="00C36AE5"/>
    <w:rsid w:val="00C41F17"/>
    <w:rsid w:val="00C47FD7"/>
    <w:rsid w:val="00C527FA"/>
    <w:rsid w:val="00C5280D"/>
    <w:rsid w:val="00C53EB3"/>
    <w:rsid w:val="00C5791C"/>
    <w:rsid w:val="00C66290"/>
    <w:rsid w:val="00C72B7A"/>
    <w:rsid w:val="00C973F2"/>
    <w:rsid w:val="00CA1FCA"/>
    <w:rsid w:val="00CA304C"/>
    <w:rsid w:val="00CA774A"/>
    <w:rsid w:val="00CB4921"/>
    <w:rsid w:val="00CC11B0"/>
    <w:rsid w:val="00CC2841"/>
    <w:rsid w:val="00CF1330"/>
    <w:rsid w:val="00CF7E36"/>
    <w:rsid w:val="00D3708D"/>
    <w:rsid w:val="00D40426"/>
    <w:rsid w:val="00D57C96"/>
    <w:rsid w:val="00D57D18"/>
    <w:rsid w:val="00D70E65"/>
    <w:rsid w:val="00D81FE8"/>
    <w:rsid w:val="00D91203"/>
    <w:rsid w:val="00D95174"/>
    <w:rsid w:val="00DA0237"/>
    <w:rsid w:val="00DA1196"/>
    <w:rsid w:val="00DA4973"/>
    <w:rsid w:val="00DA6F36"/>
    <w:rsid w:val="00DB596E"/>
    <w:rsid w:val="00DB7773"/>
    <w:rsid w:val="00DC00EA"/>
    <w:rsid w:val="00DC3802"/>
    <w:rsid w:val="00DD6208"/>
    <w:rsid w:val="00DF7E99"/>
    <w:rsid w:val="00E07D87"/>
    <w:rsid w:val="00E249C8"/>
    <w:rsid w:val="00E310B1"/>
    <w:rsid w:val="00E32F7E"/>
    <w:rsid w:val="00E40394"/>
    <w:rsid w:val="00E44F7A"/>
    <w:rsid w:val="00E5267B"/>
    <w:rsid w:val="00E559F0"/>
    <w:rsid w:val="00E63C0E"/>
    <w:rsid w:val="00E72D49"/>
    <w:rsid w:val="00E7593C"/>
    <w:rsid w:val="00E7678A"/>
    <w:rsid w:val="00E935F1"/>
    <w:rsid w:val="00E94A81"/>
    <w:rsid w:val="00EA1FFB"/>
    <w:rsid w:val="00EB048E"/>
    <w:rsid w:val="00EB4E9C"/>
    <w:rsid w:val="00EC634B"/>
    <w:rsid w:val="00EE34DF"/>
    <w:rsid w:val="00EF2F89"/>
    <w:rsid w:val="00F03E98"/>
    <w:rsid w:val="00F1237A"/>
    <w:rsid w:val="00F22CBD"/>
    <w:rsid w:val="00F272F1"/>
    <w:rsid w:val="00F31412"/>
    <w:rsid w:val="00F413CF"/>
    <w:rsid w:val="00F45372"/>
    <w:rsid w:val="00F560F7"/>
    <w:rsid w:val="00F6334D"/>
    <w:rsid w:val="00F63599"/>
    <w:rsid w:val="00F71781"/>
    <w:rsid w:val="00FA49AB"/>
    <w:rsid w:val="00FC5FD0"/>
    <w:rsid w:val="00FD6C0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53EBF"/>
  <w15:docId w15:val="{5DDC1BAB-37C0-47CB-A6DE-B01F7477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52560D"/>
    <w:pPr>
      <w:keepNext/>
      <w:jc w:val="both"/>
      <w:outlineLvl w:val="0"/>
    </w:pPr>
    <w:rPr>
      <w:rFonts w:ascii="Arial" w:hAnsi="Arial"/>
      <w:caps/>
    </w:rPr>
  </w:style>
  <w:style w:type="paragraph" w:styleId="Heading2">
    <w:name w:val="heading 2"/>
    <w:next w:val="Normal"/>
    <w:autoRedefine/>
    <w:qFormat/>
    <w:rsid w:val="0052560D"/>
    <w:pPr>
      <w:keepNext/>
      <w:jc w:val="both"/>
      <w:outlineLvl w:val="1"/>
    </w:pPr>
    <w:rPr>
      <w:rFonts w:ascii="Arial" w:hAnsi="Arial"/>
      <w:u w:val="single"/>
    </w:rPr>
  </w:style>
  <w:style w:type="paragraph" w:styleId="Heading3">
    <w:name w:val="heading 3"/>
    <w:next w:val="Normal"/>
    <w:autoRedefine/>
    <w:qFormat/>
    <w:rsid w:val="008D7685"/>
    <w:pPr>
      <w:keepNext/>
      <w:keepLines/>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8D7685"/>
    <w:pPr>
      <w:tabs>
        <w:tab w:val="right" w:leader="dot" w:pos="9639"/>
      </w:tabs>
      <w:ind w:left="568" w:right="851" w:hanging="284"/>
      <w:contextualSpacing/>
    </w:pPr>
    <w:rPr>
      <w:sz w:val="18"/>
    </w:rPr>
  </w:style>
  <w:style w:type="paragraph" w:styleId="TOC3">
    <w:name w:val="toc 3"/>
    <w:next w:val="Normal"/>
    <w:autoRedefine/>
    <w:uiPriority w:val="39"/>
    <w:rsid w:val="00334B0C"/>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8D7685"/>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52560D"/>
    <w:rPr>
      <w:rFonts w:ascii="Arial" w:hAnsi="Arial"/>
      <w:sz w:val="16"/>
    </w:rPr>
  </w:style>
  <w:style w:type="character" w:customStyle="1" w:styleId="Heading1Char">
    <w:name w:val="Heading 1 Char"/>
    <w:aliases w:val="COMMON NAME Char,common Char"/>
    <w:basedOn w:val="DefaultParagraphFont"/>
    <w:link w:val="Heading1"/>
    <w:rsid w:val="0052560D"/>
    <w:rPr>
      <w:rFonts w:ascii="Arial" w:hAnsi="Arial"/>
      <w:caps/>
    </w:rPr>
  </w:style>
  <w:style w:type="character" w:customStyle="1" w:styleId="DecisionParagraphsChar">
    <w:name w:val="DecisionParagraphs Char"/>
    <w:basedOn w:val="DefaultParagraphFont"/>
    <w:link w:val="DecisionParagraphs"/>
    <w:rsid w:val="0052560D"/>
    <w:rPr>
      <w:rFonts w:ascii="Arial" w:hAnsi="Arial"/>
      <w:i/>
    </w:rPr>
  </w:style>
  <w:style w:type="table" w:styleId="TableGrid">
    <w:name w:val="Table Grid"/>
    <w:basedOn w:val="TableNormal"/>
    <w:uiPriority w:val="59"/>
    <w:rsid w:val="001727E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F03E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Heading4Char">
    <w:name w:val="Heading 4 Char"/>
    <w:link w:val="Heading4"/>
    <w:rsid w:val="008E73EF"/>
    <w:rPr>
      <w:rFonts w:ascii="Arial" w:hAnsi="Arial"/>
      <w:u w:val="single"/>
      <w:lang w:val="fr-FR"/>
    </w:rPr>
  </w:style>
  <w:style w:type="paragraph" w:styleId="ListParagraph">
    <w:name w:val="List Paragraph"/>
    <w:basedOn w:val="Normal"/>
    <w:uiPriority w:val="34"/>
    <w:qFormat/>
    <w:rsid w:val="00D81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4902">
      <w:bodyDiv w:val="1"/>
      <w:marLeft w:val="0"/>
      <w:marRight w:val="0"/>
      <w:marTop w:val="0"/>
      <w:marBottom w:val="0"/>
      <w:divBdr>
        <w:top w:val="none" w:sz="0" w:space="0" w:color="auto"/>
        <w:left w:val="none" w:sz="0" w:space="0" w:color="auto"/>
        <w:bottom w:val="none" w:sz="0" w:space="0" w:color="auto"/>
        <w:right w:val="none" w:sz="0" w:space="0" w:color="auto"/>
      </w:divBdr>
    </w:div>
    <w:div w:id="1605770479">
      <w:bodyDiv w:val="1"/>
      <w:marLeft w:val="0"/>
      <w:marRight w:val="0"/>
      <w:marTop w:val="0"/>
      <w:marBottom w:val="0"/>
      <w:divBdr>
        <w:top w:val="none" w:sz="0" w:space="0" w:color="auto"/>
        <w:left w:val="none" w:sz="0" w:space="0" w:color="auto"/>
        <w:bottom w:val="none" w:sz="0" w:space="0" w:color="auto"/>
        <w:right w:val="none" w:sz="0" w:space="0" w:color="auto"/>
      </w:divBdr>
    </w:div>
    <w:div w:id="1786919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_collection/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C711-BE3F-4624-A9D8-42AFEB76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2495</Words>
  <Characters>18007</Characters>
  <Application>Microsoft Office Word</Application>
  <DocSecurity>0</DocSecurity>
  <Lines>150</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TC/57</vt:lpstr>
      <vt:lpstr>TC/57</vt:lpstr>
    </vt:vector>
  </TitlesOfParts>
  <Company>UPOV</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NICOLO Laurianne</dc:creator>
  <cp:lastModifiedBy>MAY Jessica</cp:lastModifiedBy>
  <cp:revision>10</cp:revision>
  <cp:lastPrinted>2022-07-25T07:50:00Z</cp:lastPrinted>
  <dcterms:created xsi:type="dcterms:W3CDTF">2022-07-25T07:58:00Z</dcterms:created>
  <dcterms:modified xsi:type="dcterms:W3CDTF">2022-08-15T11:53:00Z</dcterms:modified>
</cp:coreProperties>
</file>