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C3E56" w14:paraId="582FAF11" w14:textId="77777777" w:rsidTr="00EB4E9C">
        <w:tc>
          <w:tcPr>
            <w:tcW w:w="6522" w:type="dxa"/>
          </w:tcPr>
          <w:p w14:paraId="582FAF0F" w14:textId="77777777" w:rsidR="00DC3802" w:rsidRPr="00AC3E56" w:rsidRDefault="00DC3802" w:rsidP="00AC2883">
            <w:r w:rsidRPr="00AC3E56">
              <w:rPr>
                <w:noProof/>
                <w:lang w:val="en-US"/>
              </w:rPr>
              <w:drawing>
                <wp:inline distT="0" distB="0" distL="0" distR="0" wp14:anchorId="582FAFD3" wp14:editId="582FAFD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2FAF10" w14:textId="6D2B04BB" w:rsidR="00901B57" w:rsidRPr="00AC3E56" w:rsidRDefault="00CE1435">
            <w:pPr>
              <w:pStyle w:val="Lettrine"/>
            </w:pPr>
            <w:r w:rsidRPr="00AC3E56">
              <w:t>G</w:t>
            </w:r>
          </w:p>
        </w:tc>
      </w:tr>
      <w:tr w:rsidR="00DC3802" w:rsidRPr="00AC3E56" w14:paraId="582FAF14" w14:textId="77777777" w:rsidTr="00645CA8">
        <w:trPr>
          <w:trHeight w:val="219"/>
        </w:trPr>
        <w:tc>
          <w:tcPr>
            <w:tcW w:w="6522" w:type="dxa"/>
          </w:tcPr>
          <w:p w14:paraId="582FAF12" w14:textId="77777777" w:rsidR="00901B57" w:rsidRPr="00AC3E56" w:rsidRDefault="005E3B05">
            <w:pPr>
              <w:pStyle w:val="upove"/>
            </w:pPr>
            <w:r w:rsidRPr="00AC3E56">
              <w:t>Internationaler Verband zum Schutz von Pflanzenzüchtungen</w:t>
            </w:r>
          </w:p>
        </w:tc>
        <w:tc>
          <w:tcPr>
            <w:tcW w:w="3117" w:type="dxa"/>
          </w:tcPr>
          <w:p w14:paraId="582FAF13" w14:textId="77777777" w:rsidR="00DC3802" w:rsidRPr="00AC3E56" w:rsidRDefault="00DC3802" w:rsidP="00DA4973"/>
        </w:tc>
      </w:tr>
    </w:tbl>
    <w:p w14:paraId="582FAF15" w14:textId="77777777" w:rsidR="00DC3802" w:rsidRPr="00AC3E56" w:rsidRDefault="00DC3802" w:rsidP="00DC3802"/>
    <w:p w14:paraId="582FAF16" w14:textId="77777777" w:rsidR="003D0839" w:rsidRPr="00AC3E56"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AC3E56" w14:paraId="582FAF1C" w14:textId="77777777" w:rsidTr="007A4FDD">
        <w:tc>
          <w:tcPr>
            <w:tcW w:w="6512" w:type="dxa"/>
          </w:tcPr>
          <w:p w14:paraId="582FAF17" w14:textId="77777777" w:rsidR="00901B57" w:rsidRPr="00AC3E56" w:rsidRDefault="005E3B05">
            <w:pPr>
              <w:pStyle w:val="Sessiontc"/>
              <w:spacing w:line="240" w:lineRule="auto"/>
            </w:pPr>
            <w:r w:rsidRPr="00AC3E56">
              <w:t>Technischer Ausschuss</w:t>
            </w:r>
          </w:p>
          <w:p w14:paraId="582FAF18" w14:textId="77777777" w:rsidR="00901B57" w:rsidRPr="00AC3E56" w:rsidRDefault="005E3B05">
            <w:pPr>
              <w:pStyle w:val="Sessiontcplacedate"/>
              <w:rPr>
                <w:sz w:val="22"/>
              </w:rPr>
            </w:pPr>
            <w:r w:rsidRPr="00AC3E56">
              <w:t xml:space="preserve">Achtundfünfzigste Tagung </w:t>
            </w:r>
            <w:r w:rsidRPr="00AC3E56">
              <w:br/>
              <w:t>Genf, 24. und 25. Oktober 2022</w:t>
            </w:r>
          </w:p>
        </w:tc>
        <w:tc>
          <w:tcPr>
            <w:tcW w:w="3127" w:type="dxa"/>
          </w:tcPr>
          <w:p w14:paraId="582FAF19" w14:textId="77777777" w:rsidR="00901B57" w:rsidRPr="00AC3E56" w:rsidRDefault="005E3B05">
            <w:pPr>
              <w:pStyle w:val="Doccode"/>
              <w:rPr>
                <w:lang w:val="de-DE"/>
              </w:rPr>
            </w:pPr>
            <w:r w:rsidRPr="00AC3E56">
              <w:rPr>
                <w:lang w:val="de-DE"/>
              </w:rPr>
              <w:t>TC/58/3</w:t>
            </w:r>
          </w:p>
          <w:p w14:paraId="582FAF1A" w14:textId="071D2C85" w:rsidR="00901B57" w:rsidRPr="00AC3E56" w:rsidRDefault="005E3B05">
            <w:pPr>
              <w:pStyle w:val="Docoriginal"/>
            </w:pPr>
            <w:r w:rsidRPr="00AC3E56">
              <w:t>Original:</w:t>
            </w:r>
            <w:r w:rsidR="00353B49" w:rsidRPr="00AC3E56">
              <w:rPr>
                <w:b w:val="0"/>
                <w:spacing w:val="0"/>
              </w:rPr>
              <w:t xml:space="preserve"> </w:t>
            </w:r>
            <w:r w:rsidR="00CE1435" w:rsidRPr="00AC3E56">
              <w:rPr>
                <w:b w:val="0"/>
                <w:spacing w:val="0"/>
              </w:rPr>
              <w:t>e</w:t>
            </w:r>
            <w:r w:rsidRPr="00AC3E56">
              <w:rPr>
                <w:b w:val="0"/>
                <w:spacing w:val="0"/>
              </w:rPr>
              <w:t>nglisch</w:t>
            </w:r>
          </w:p>
          <w:p w14:paraId="582FAF1B" w14:textId="41EA7F6F" w:rsidR="00901B57" w:rsidRPr="00AC3E56" w:rsidRDefault="005E3B05">
            <w:pPr>
              <w:pStyle w:val="Docoriginal"/>
            </w:pPr>
            <w:r w:rsidRPr="00AC3E56">
              <w:t>Datum:</w:t>
            </w:r>
            <w:r w:rsidR="00353B49" w:rsidRPr="00AC3E56">
              <w:t xml:space="preserve"> </w:t>
            </w:r>
            <w:r w:rsidR="00CE1435" w:rsidRPr="00AC3E56">
              <w:rPr>
                <w:b w:val="0"/>
                <w:bCs w:val="0"/>
              </w:rPr>
              <w:t xml:space="preserve">5. </w:t>
            </w:r>
            <w:r w:rsidR="005557C7" w:rsidRPr="00AC3E56">
              <w:rPr>
                <w:b w:val="0"/>
                <w:bCs w:val="0"/>
                <w:spacing w:val="0"/>
              </w:rPr>
              <w:t>Oktober</w:t>
            </w:r>
            <w:r w:rsidR="005557C7" w:rsidRPr="00AC3E56">
              <w:rPr>
                <w:b w:val="0"/>
                <w:spacing w:val="0"/>
              </w:rPr>
              <w:t xml:space="preserve"> </w:t>
            </w:r>
            <w:r w:rsidRPr="00AC3E56">
              <w:rPr>
                <w:b w:val="0"/>
                <w:spacing w:val="0"/>
              </w:rPr>
              <w:t>2022</w:t>
            </w:r>
          </w:p>
        </w:tc>
      </w:tr>
    </w:tbl>
    <w:p w14:paraId="1836920B" w14:textId="77777777" w:rsidR="00B361D8" w:rsidRPr="00AC3E56" w:rsidRDefault="00B361D8" w:rsidP="00B361D8">
      <w:pPr>
        <w:pStyle w:val="Titleofdoc0"/>
        <w:rPr>
          <w:szCs w:val="24"/>
        </w:rPr>
      </w:pPr>
      <w:r w:rsidRPr="00AC3E56">
        <w:rPr>
          <w:szCs w:val="24"/>
        </w:rPr>
        <w:t>Fragen, die von den Technischen Arbeitsgruppen aufgeworfen wurden</w:t>
      </w:r>
    </w:p>
    <w:p w14:paraId="582FAF1E" w14:textId="77777777" w:rsidR="00901B57" w:rsidRPr="00AC3E56" w:rsidRDefault="005E3B05">
      <w:pPr>
        <w:pStyle w:val="preparedby1"/>
        <w:jc w:val="left"/>
      </w:pPr>
      <w:r w:rsidRPr="00AC3E56">
        <w:t>Vom Verbandsbüro erstelltes Dokument</w:t>
      </w:r>
    </w:p>
    <w:p w14:paraId="1156971C" w14:textId="7825D383" w:rsidR="0016106C" w:rsidRPr="00AC3E56" w:rsidRDefault="0016106C" w:rsidP="0016106C">
      <w:pPr>
        <w:pStyle w:val="Disclaimer"/>
        <w:rPr>
          <w:iCs w:val="0"/>
          <w:szCs w:val="24"/>
          <w:lang w:val="de-DE"/>
        </w:rPr>
      </w:pPr>
      <w:bookmarkStart w:id="0" w:name="_Toc20505077"/>
      <w:r w:rsidRPr="00AC3E56">
        <w:rPr>
          <w:iCs w:val="0"/>
          <w:szCs w:val="24"/>
          <w:lang w:val="de-DE"/>
        </w:rPr>
        <w:t>Haftungsausschluss:</w:t>
      </w:r>
      <w:r w:rsidR="00353B49" w:rsidRPr="00AC3E56">
        <w:rPr>
          <w:iCs w:val="0"/>
          <w:szCs w:val="24"/>
          <w:lang w:val="de-DE"/>
        </w:rPr>
        <w:t xml:space="preserve"> </w:t>
      </w:r>
      <w:r w:rsidRPr="00AC3E56">
        <w:rPr>
          <w:iCs w:val="0"/>
          <w:szCs w:val="24"/>
          <w:lang w:val="de-DE"/>
        </w:rPr>
        <w:t>dieses Dokument gibt nicht die Grundsätze oder eine Anleitung der UPOV wieder</w:t>
      </w:r>
    </w:p>
    <w:p w14:paraId="582FAF20" w14:textId="0CCA253A" w:rsidR="00901B57" w:rsidRPr="00AC3E56" w:rsidRDefault="00B361D8">
      <w:pPr>
        <w:pStyle w:val="Heading1"/>
        <w:rPr>
          <w:lang w:val="de-DE"/>
        </w:rPr>
      </w:pPr>
      <w:bookmarkStart w:id="1" w:name="_Toc116140202"/>
      <w:r w:rsidRPr="00AC3E56">
        <w:rPr>
          <w:lang w:val="de-DE"/>
        </w:rPr>
        <w:t>ZUSAMMENFASSUNG</w:t>
      </w:r>
      <w:bookmarkEnd w:id="0"/>
      <w:bookmarkEnd w:id="1"/>
    </w:p>
    <w:p w14:paraId="582FAF21" w14:textId="77777777" w:rsidR="008301C2" w:rsidRPr="00AC3E56" w:rsidRDefault="008301C2" w:rsidP="008301C2">
      <w:pPr>
        <w:rPr>
          <w:color w:val="000000"/>
        </w:rPr>
      </w:pPr>
    </w:p>
    <w:p w14:paraId="582FAF22" w14:textId="7B883AF5" w:rsidR="00901B57" w:rsidRPr="00AC3E56" w:rsidRDefault="005E3B05">
      <w:pPr>
        <w:rPr>
          <w:color w:val="000000"/>
        </w:rPr>
      </w:pPr>
      <w:r w:rsidRPr="00AC3E56">
        <w:rPr>
          <w:color w:val="000000"/>
        </w:rPr>
        <w:fldChar w:fldCharType="begin"/>
      </w:r>
      <w:r w:rsidRPr="00AC3E56">
        <w:rPr>
          <w:color w:val="000000"/>
        </w:rPr>
        <w:instrText xml:space="preserve"> AUTONUM  </w:instrText>
      </w:r>
      <w:r w:rsidRPr="00AC3E56">
        <w:rPr>
          <w:color w:val="000000"/>
        </w:rPr>
        <w:fldChar w:fldCharType="end"/>
      </w:r>
      <w:r w:rsidRPr="00AC3E56">
        <w:rPr>
          <w:color w:val="000000"/>
        </w:rPr>
        <w:tab/>
        <w:t xml:space="preserve">Dieses Dokument </w:t>
      </w:r>
      <w:r w:rsidR="00897645" w:rsidRPr="00AC3E56">
        <w:rPr>
          <w:color w:val="000000"/>
        </w:rPr>
        <w:t>stellt</w:t>
      </w:r>
      <w:r w:rsidR="00D14633" w:rsidRPr="00AC3E56">
        <w:rPr>
          <w:color w:val="000000"/>
        </w:rPr>
        <w:t xml:space="preserve"> </w:t>
      </w:r>
      <w:r w:rsidR="00F233D7" w:rsidRPr="00AC3E56">
        <w:rPr>
          <w:color w:val="000000"/>
        </w:rPr>
        <w:t xml:space="preserve">die </w:t>
      </w:r>
      <w:r w:rsidR="00897645" w:rsidRPr="00AC3E56">
        <w:rPr>
          <w:color w:val="000000"/>
        </w:rPr>
        <w:t>Fragen</w:t>
      </w:r>
      <w:r w:rsidR="00D14633" w:rsidRPr="00AC3E56">
        <w:rPr>
          <w:color w:val="000000"/>
        </w:rPr>
        <w:t xml:space="preserve"> zusammen, die nicht ausdrücklich </w:t>
      </w:r>
      <w:r w:rsidR="000F758D" w:rsidRPr="00AC3E56">
        <w:rPr>
          <w:color w:val="000000"/>
        </w:rPr>
        <w:t>von</w:t>
      </w:r>
      <w:r w:rsidR="00D14633" w:rsidRPr="00AC3E56">
        <w:rPr>
          <w:color w:val="000000"/>
        </w:rPr>
        <w:t xml:space="preserve"> </w:t>
      </w:r>
      <w:r w:rsidR="0017751E" w:rsidRPr="00AC3E56">
        <w:rPr>
          <w:color w:val="000000"/>
        </w:rPr>
        <w:t>spezielle</w:t>
      </w:r>
      <w:r w:rsidR="000F758D" w:rsidRPr="00AC3E56">
        <w:rPr>
          <w:color w:val="000000"/>
        </w:rPr>
        <w:t>n</w:t>
      </w:r>
      <w:r w:rsidR="00D14633" w:rsidRPr="00AC3E56">
        <w:rPr>
          <w:color w:val="000000"/>
        </w:rPr>
        <w:t xml:space="preserve"> Tagesordnungspunkte</w:t>
      </w:r>
      <w:r w:rsidR="000F758D" w:rsidRPr="00AC3E56">
        <w:rPr>
          <w:color w:val="000000"/>
        </w:rPr>
        <w:t>n</w:t>
      </w:r>
      <w:r w:rsidR="00D14633" w:rsidRPr="00AC3E56">
        <w:rPr>
          <w:color w:val="000000"/>
        </w:rPr>
        <w:t xml:space="preserve"> der </w:t>
      </w:r>
      <w:r w:rsidRPr="00AC3E56">
        <w:rPr>
          <w:color w:val="000000"/>
        </w:rPr>
        <w:t xml:space="preserve">Tagungen </w:t>
      </w:r>
      <w:r w:rsidR="0017751E" w:rsidRPr="00AC3E56">
        <w:rPr>
          <w:color w:val="000000"/>
        </w:rPr>
        <w:t xml:space="preserve">im Jahr </w:t>
      </w:r>
      <w:r w:rsidRPr="00AC3E56">
        <w:rPr>
          <w:color w:val="000000"/>
        </w:rPr>
        <w:t xml:space="preserve">2022 der </w:t>
      </w:r>
      <w:r w:rsidRPr="00AC3E56">
        <w:rPr>
          <w:rFonts w:eastAsia="PMingLiU"/>
          <w:szCs w:val="24"/>
        </w:rPr>
        <w:t>Technischen Arbeitsgruppe für Gemüsearten (TWV)</w:t>
      </w:r>
      <w:r w:rsidRPr="00AC3E56">
        <w:rPr>
          <w:rFonts w:eastAsia="PMingLiU"/>
          <w:szCs w:val="24"/>
          <w:vertAlign w:val="superscript"/>
        </w:rPr>
        <w:footnoteReference w:id="2"/>
      </w:r>
      <w:r w:rsidRPr="00AC3E56">
        <w:rPr>
          <w:rFonts w:eastAsia="PMingLiU"/>
          <w:szCs w:val="24"/>
        </w:rPr>
        <w:t>, der Technischen Arbeitsgruppe für landwirtschaftliche Arten (TWA)</w:t>
      </w:r>
      <w:r w:rsidRPr="00AC3E56">
        <w:rPr>
          <w:rFonts w:eastAsia="PMingLiU"/>
          <w:szCs w:val="24"/>
          <w:vertAlign w:val="superscript"/>
        </w:rPr>
        <w:footnoteReference w:id="3"/>
      </w:r>
      <w:r w:rsidRPr="00AC3E56">
        <w:rPr>
          <w:rFonts w:eastAsia="PMingLiU"/>
          <w:szCs w:val="24"/>
        </w:rPr>
        <w:t xml:space="preserve">, der </w:t>
      </w:r>
      <w:r w:rsidR="00D14633" w:rsidRPr="00AC3E56">
        <w:rPr>
          <w:rFonts w:eastAsia="PMingLiU"/>
          <w:szCs w:val="24"/>
        </w:rPr>
        <w:t>Technischen Arbeitsgruppe für Zierpflanzen und forstliche Baumarten (TWO)</w:t>
      </w:r>
      <w:r w:rsidR="00D14633" w:rsidRPr="00AC3E56">
        <w:rPr>
          <w:rFonts w:eastAsia="PMingLiU"/>
          <w:szCs w:val="24"/>
          <w:vertAlign w:val="superscript"/>
        </w:rPr>
        <w:footnoteReference w:id="4"/>
      </w:r>
      <w:r w:rsidR="00D14633" w:rsidRPr="00AC3E56">
        <w:rPr>
          <w:rFonts w:eastAsia="PMingLiU"/>
          <w:szCs w:val="24"/>
        </w:rPr>
        <w:t xml:space="preserve"> , der </w:t>
      </w:r>
      <w:r w:rsidRPr="00AC3E56">
        <w:rPr>
          <w:rFonts w:eastAsia="PMingLiU"/>
          <w:szCs w:val="24"/>
        </w:rPr>
        <w:t xml:space="preserve">Technischen Arbeitsgruppe für </w:t>
      </w:r>
      <w:r w:rsidR="00EC4336" w:rsidRPr="00AC3E56">
        <w:rPr>
          <w:rFonts w:eastAsia="PMingLiU"/>
          <w:szCs w:val="24"/>
        </w:rPr>
        <w:t>Obstarten</w:t>
      </w:r>
      <w:r w:rsidRPr="00AC3E56">
        <w:rPr>
          <w:rFonts w:eastAsia="PMingLiU"/>
          <w:szCs w:val="24"/>
        </w:rPr>
        <w:t xml:space="preserve"> </w:t>
      </w:r>
      <w:r w:rsidRPr="00AC3E56">
        <w:rPr>
          <w:color w:val="000000"/>
        </w:rPr>
        <w:t>(TWF)</w:t>
      </w:r>
      <w:r w:rsidRPr="00AC3E56">
        <w:rPr>
          <w:color w:val="000000"/>
          <w:vertAlign w:val="superscript"/>
        </w:rPr>
        <w:footnoteReference w:id="5"/>
      </w:r>
      <w:r w:rsidR="00D14633" w:rsidRPr="00AC3E56">
        <w:rPr>
          <w:color w:val="000000"/>
        </w:rPr>
        <w:t xml:space="preserve"> und der Technischen </w:t>
      </w:r>
      <w:r w:rsidR="00B70F26" w:rsidRPr="00AC3E56">
        <w:rPr>
          <w:color w:val="000000"/>
        </w:rPr>
        <w:t>Arbeitsgruppe für Prüfmethoden</w:t>
      </w:r>
      <w:r w:rsidR="00D14633" w:rsidRPr="00AC3E56">
        <w:rPr>
          <w:color w:val="000000"/>
        </w:rPr>
        <w:t xml:space="preserve"> und -techniken (TWM) </w:t>
      </w:r>
      <w:r w:rsidR="00194CBA" w:rsidRPr="00AC3E56">
        <w:rPr>
          <w:color w:val="000000"/>
        </w:rPr>
        <w:t>erfasst</w:t>
      </w:r>
      <w:r w:rsidR="00D14633" w:rsidRPr="00AC3E56">
        <w:rPr>
          <w:color w:val="000000"/>
        </w:rPr>
        <w:t xml:space="preserve"> werden</w:t>
      </w:r>
      <w:r w:rsidRPr="00AC3E56">
        <w:rPr>
          <w:color w:val="000000"/>
        </w:rPr>
        <w:t>.</w:t>
      </w:r>
      <w:r w:rsidR="00353B49" w:rsidRPr="00AC3E56">
        <w:rPr>
          <w:color w:val="000000"/>
        </w:rPr>
        <w:t xml:space="preserve"> </w:t>
      </w:r>
    </w:p>
    <w:p w14:paraId="582FAF23" w14:textId="77777777" w:rsidR="00BD022B" w:rsidRPr="00AC3E56" w:rsidRDefault="00BD022B" w:rsidP="008301C2">
      <w:pPr>
        <w:rPr>
          <w:color w:val="000000"/>
        </w:rPr>
      </w:pPr>
    </w:p>
    <w:p w14:paraId="582FAF24" w14:textId="761EE7A1" w:rsidR="00901B57" w:rsidRPr="00AC3E56" w:rsidRDefault="005E3B05">
      <w:r w:rsidRPr="00AC3E56">
        <w:rPr>
          <w:color w:val="000000"/>
        </w:rPr>
        <w:fldChar w:fldCharType="begin"/>
      </w:r>
      <w:r w:rsidRPr="00AC3E56">
        <w:rPr>
          <w:color w:val="000000"/>
        </w:rPr>
        <w:instrText xml:space="preserve"> AUTONUM  </w:instrText>
      </w:r>
      <w:r w:rsidRPr="00AC3E56">
        <w:rPr>
          <w:color w:val="000000"/>
        </w:rPr>
        <w:fldChar w:fldCharType="end"/>
      </w:r>
      <w:r w:rsidR="000F758D" w:rsidRPr="00AC3E56">
        <w:rPr>
          <w:color w:val="000000"/>
        </w:rPr>
        <w:tab/>
      </w:r>
      <w:r w:rsidR="005B6006" w:rsidRPr="00AC3E56">
        <w:t>Die Fragen</w:t>
      </w:r>
      <w:r w:rsidR="00623B20" w:rsidRPr="00AC3E56">
        <w:t>, die</w:t>
      </w:r>
      <w:r w:rsidR="005B6006" w:rsidRPr="00AC3E56">
        <w:t xml:space="preserve"> von den Technischen Arbeitsgruppen (TWG) </w:t>
      </w:r>
      <w:r w:rsidR="00623B20" w:rsidRPr="00AC3E56">
        <w:t xml:space="preserve">aufgeworfen wurden, </w:t>
      </w:r>
      <w:r w:rsidR="005B6006" w:rsidRPr="00AC3E56">
        <w:t xml:space="preserve">sind in zwei Abschnitte unterteilt. Der erste Abschnitt, „Fragen zur Information und für eine vom Technischen Ausschuss gegebenenfalls zu treffende Entscheidung“, ermittelt aufgeworfene </w:t>
      </w:r>
      <w:r w:rsidR="00F50C62" w:rsidRPr="00AC3E56">
        <w:t>Fragen</w:t>
      </w:r>
      <w:r w:rsidR="005B6006" w:rsidRPr="00AC3E56">
        <w:t xml:space="preserve">, die einer Entscheidung des </w:t>
      </w:r>
      <w:r w:rsidR="003E08DC">
        <w:br/>
      </w:r>
      <w:r w:rsidR="005B6006" w:rsidRPr="00AC3E56">
        <w:t>TC bedürfen könnten. Das Verbandsbüro (Büro) hob die Aspekte hervor, für die der TC eine Entscheidung treffen könnte, indem es einen Absatz über die vorgeschlagenen Entscheidungen einführte. Der zweite Abschnitt, „</w:t>
      </w:r>
      <w:r w:rsidR="00353B49" w:rsidRPr="00AC3E56">
        <w:t>Fragen</w:t>
      </w:r>
      <w:r w:rsidR="005B6006" w:rsidRPr="00AC3E56">
        <w:t xml:space="preserve"> zur Information“, dient dem TC zur Information, bedarf jedoch in diesem Stadium keiner Entscheidung</w:t>
      </w:r>
      <w:r w:rsidRPr="00AC3E56">
        <w:t>.</w:t>
      </w:r>
    </w:p>
    <w:p w14:paraId="582FAF25" w14:textId="77777777" w:rsidR="008301C2" w:rsidRPr="00AC3E56" w:rsidRDefault="008301C2" w:rsidP="008301C2">
      <w:pPr>
        <w:tabs>
          <w:tab w:val="left" w:pos="567"/>
          <w:tab w:val="left" w:pos="1701"/>
        </w:tabs>
        <w:ind w:left="1695" w:hanging="1695"/>
        <w:rPr>
          <w:rFonts w:eastAsia="PMingLiU"/>
          <w:szCs w:val="24"/>
        </w:rPr>
      </w:pPr>
    </w:p>
    <w:p w14:paraId="582FAF26" w14:textId="7AC44808" w:rsidR="00901B57" w:rsidRPr="00AC3E56" w:rsidRDefault="005E3B05">
      <w:pPr>
        <w:tabs>
          <w:tab w:val="left" w:pos="567"/>
        </w:tabs>
      </w:pPr>
      <w:r w:rsidRPr="00AC3E56">
        <w:fldChar w:fldCharType="begin"/>
      </w:r>
      <w:r w:rsidRPr="00AC3E56">
        <w:instrText xml:space="preserve"> AUTONUM  </w:instrText>
      </w:r>
      <w:r w:rsidRPr="00AC3E56">
        <w:fldChar w:fldCharType="end"/>
      </w:r>
      <w:r w:rsidRPr="00AC3E56">
        <w:tab/>
      </w:r>
      <w:r w:rsidR="008D4D39" w:rsidRPr="00AC3E56">
        <w:t xml:space="preserve">Der TC wird ersucht, die Entwicklungen in den TWP zur Kenntnis zu nehmen, die folgende </w:t>
      </w:r>
      <w:r w:rsidR="003E08DC">
        <w:br/>
      </w:r>
      <w:r w:rsidR="008D4D39" w:rsidRPr="00AC3E56">
        <w:t>Punkte betreffen</w:t>
      </w:r>
      <w:r w:rsidRPr="00AC3E56">
        <w:t>:</w:t>
      </w:r>
    </w:p>
    <w:p w14:paraId="582FAF27" w14:textId="77777777" w:rsidR="008301C2" w:rsidRPr="00AC3E56" w:rsidRDefault="008301C2" w:rsidP="008301C2">
      <w:pPr>
        <w:tabs>
          <w:tab w:val="left" w:pos="567"/>
        </w:tabs>
      </w:pPr>
    </w:p>
    <w:p w14:paraId="582FAF28" w14:textId="2E3A731D" w:rsidR="00901B57" w:rsidRPr="00AC3E56" w:rsidRDefault="005E3B05">
      <w:pPr>
        <w:tabs>
          <w:tab w:val="left" w:pos="1701"/>
        </w:tabs>
        <w:ind w:left="1134" w:hanging="567"/>
      </w:pPr>
      <w:r w:rsidRPr="00AC3E56">
        <w:t>i)</w:t>
      </w:r>
      <w:r w:rsidRPr="00AC3E56">
        <w:tab/>
      </w:r>
      <w:r w:rsidR="00DB49C6" w:rsidRPr="00AC3E56">
        <w:t xml:space="preserve">Erforderliche Informationen zur Verbesserung der </w:t>
      </w:r>
      <w:r w:rsidR="00787847" w:rsidRPr="00AC3E56">
        <w:t>Nutzung</w:t>
      </w:r>
      <w:r w:rsidR="00DB49C6" w:rsidRPr="00AC3E56">
        <w:t xml:space="preserve"> bestehender DUS-Prüfungsberichte</w:t>
      </w:r>
      <w:r w:rsidRPr="00AC3E56">
        <w:t>;</w:t>
      </w:r>
    </w:p>
    <w:p w14:paraId="582FAF29" w14:textId="25824FCA" w:rsidR="00901B57" w:rsidRPr="00AC3E56" w:rsidRDefault="005E3B05">
      <w:pPr>
        <w:tabs>
          <w:tab w:val="left" w:pos="1701"/>
        </w:tabs>
        <w:ind w:left="1134" w:hanging="567"/>
      </w:pPr>
      <w:r w:rsidRPr="00AC3E56">
        <w:t>ii)</w:t>
      </w:r>
      <w:r w:rsidRPr="00AC3E56">
        <w:tab/>
      </w:r>
      <w:r w:rsidR="00DB49C6" w:rsidRPr="00AC3E56">
        <w:t xml:space="preserve">DUS-Prüfung von Mutantensorten </w:t>
      </w:r>
      <w:r w:rsidR="00F97D7A" w:rsidRPr="00AC3E56">
        <w:t>bei</w:t>
      </w:r>
      <w:r w:rsidR="00DB49C6" w:rsidRPr="00AC3E56">
        <w:t xml:space="preserve"> Apfel</w:t>
      </w:r>
      <w:r w:rsidRPr="00AC3E56">
        <w:t>;</w:t>
      </w:r>
    </w:p>
    <w:p w14:paraId="582FAF2A" w14:textId="2A218FCA" w:rsidR="00901B57" w:rsidRPr="00AC3E56" w:rsidRDefault="005E3B05">
      <w:pPr>
        <w:tabs>
          <w:tab w:val="left" w:pos="1701"/>
        </w:tabs>
        <w:ind w:left="1134" w:hanging="567"/>
      </w:pPr>
      <w:r w:rsidRPr="00AC3E56">
        <w:t>iii)</w:t>
      </w:r>
      <w:r w:rsidRPr="00AC3E56">
        <w:tab/>
      </w:r>
      <w:r w:rsidR="0014466B" w:rsidRPr="00AC3E56">
        <w:t xml:space="preserve">Zugang zu Pflanzenmaterial zum Zweck der Verwaltung von Sortensammlungen und der </w:t>
      </w:r>
      <w:r w:rsidR="003E08DC">
        <w:br/>
      </w:r>
      <w:r w:rsidR="0014466B" w:rsidRPr="00AC3E56">
        <w:t>DUS-Prüfung</w:t>
      </w:r>
      <w:r w:rsidRPr="00AC3E56">
        <w:t>;</w:t>
      </w:r>
    </w:p>
    <w:p w14:paraId="582FAF2B" w14:textId="26300593" w:rsidR="00901B57" w:rsidRPr="00AC3E56" w:rsidRDefault="005E3B05">
      <w:pPr>
        <w:tabs>
          <w:tab w:val="left" w:pos="1701"/>
        </w:tabs>
        <w:ind w:left="1134" w:hanging="567"/>
      </w:pPr>
      <w:r w:rsidRPr="00AC3E56">
        <w:t>iv)</w:t>
      </w:r>
      <w:r w:rsidRPr="00AC3E56">
        <w:tab/>
      </w:r>
      <w:r w:rsidR="00DB49C6" w:rsidRPr="00AC3E56">
        <w:t>Verwendung von Krankheitsresistenzmerkmalen</w:t>
      </w:r>
      <w:r w:rsidRPr="00AC3E56">
        <w:t>;</w:t>
      </w:r>
    </w:p>
    <w:p w14:paraId="582FAF2C" w14:textId="1B528F2D" w:rsidR="00901B57" w:rsidRPr="00AC3E56" w:rsidRDefault="005E3B05">
      <w:pPr>
        <w:tabs>
          <w:tab w:val="left" w:pos="1701"/>
        </w:tabs>
        <w:ind w:left="1134" w:hanging="567"/>
      </w:pPr>
      <w:r w:rsidRPr="00AC3E56">
        <w:t>v)</w:t>
      </w:r>
      <w:r w:rsidRPr="00AC3E56">
        <w:tab/>
      </w:r>
      <w:r w:rsidR="00DB49C6" w:rsidRPr="00AC3E56">
        <w:t>Krankheitsresistenz bei Zierpflanzen</w:t>
      </w:r>
      <w:r w:rsidRPr="00AC3E56">
        <w:t>;</w:t>
      </w:r>
    </w:p>
    <w:p w14:paraId="582FAF2D" w14:textId="494B82B8" w:rsidR="00901B57" w:rsidRPr="00AC3E56" w:rsidRDefault="005E3B05">
      <w:pPr>
        <w:tabs>
          <w:tab w:val="left" w:pos="1701"/>
        </w:tabs>
        <w:ind w:left="1134" w:hanging="567"/>
      </w:pPr>
      <w:r w:rsidRPr="00AC3E56">
        <w:t>vi)</w:t>
      </w:r>
      <w:r w:rsidRPr="00AC3E56">
        <w:tab/>
      </w:r>
      <w:r w:rsidR="00DB49C6" w:rsidRPr="00AC3E56">
        <w:rPr>
          <w:snapToGrid w:val="0"/>
        </w:rPr>
        <w:t>Neue Fragen, die sich für die DUS-Prüfung ergeben</w:t>
      </w:r>
      <w:r w:rsidRPr="00AC3E56">
        <w:t>;</w:t>
      </w:r>
    </w:p>
    <w:p w14:paraId="582FAF2E" w14:textId="27004709" w:rsidR="00901B57" w:rsidRPr="00AC3E56" w:rsidRDefault="005E3B05">
      <w:pPr>
        <w:tabs>
          <w:tab w:val="left" w:pos="1701"/>
        </w:tabs>
        <w:ind w:left="1134" w:hanging="567"/>
      </w:pPr>
      <w:r w:rsidRPr="00AC3E56">
        <w:t>vii)</w:t>
      </w:r>
      <w:r w:rsidRPr="00AC3E56">
        <w:tab/>
      </w:r>
      <w:r w:rsidR="00E7563D" w:rsidRPr="00AC3E56">
        <w:t>Erfahrungen mit neuen Typen und Arten</w:t>
      </w:r>
      <w:r w:rsidRPr="00AC3E56">
        <w:t>;</w:t>
      </w:r>
    </w:p>
    <w:p w14:paraId="582FAF2F" w14:textId="43A287EB" w:rsidR="00901B57" w:rsidRPr="00AC3E56" w:rsidRDefault="005E3B05">
      <w:pPr>
        <w:tabs>
          <w:tab w:val="left" w:pos="1701"/>
        </w:tabs>
        <w:ind w:left="1134" w:hanging="567"/>
      </w:pPr>
      <w:r w:rsidRPr="00AC3E56">
        <w:t>viii)</w:t>
      </w:r>
      <w:r w:rsidRPr="00AC3E56">
        <w:tab/>
      </w:r>
      <w:r w:rsidR="00DB49C6" w:rsidRPr="00AC3E56">
        <w:t xml:space="preserve">Prüfung von </w:t>
      </w:r>
      <w:r w:rsidRPr="00AC3E56">
        <w:t xml:space="preserve">Hybridsorten; </w:t>
      </w:r>
    </w:p>
    <w:p w14:paraId="582FAF30" w14:textId="4D450CA0" w:rsidR="00901B57" w:rsidRPr="00AC3E56" w:rsidRDefault="005E3B05">
      <w:pPr>
        <w:tabs>
          <w:tab w:val="left" w:pos="1701"/>
        </w:tabs>
        <w:ind w:left="1134" w:hanging="567"/>
      </w:pPr>
      <w:r w:rsidRPr="00AC3E56">
        <w:t>ix)</w:t>
      </w:r>
      <w:r w:rsidRPr="00AC3E56">
        <w:tab/>
      </w:r>
      <w:r w:rsidR="00DB49C6" w:rsidRPr="00AC3E56">
        <w:t>Neue Technologien bei der DUS-Prüfung;</w:t>
      </w:r>
    </w:p>
    <w:p w14:paraId="582FAF31" w14:textId="6A30BFD0" w:rsidR="00901B57" w:rsidRPr="00AC3E56" w:rsidRDefault="005E3B05">
      <w:pPr>
        <w:tabs>
          <w:tab w:val="left" w:pos="1701"/>
        </w:tabs>
        <w:ind w:left="1134" w:hanging="567"/>
      </w:pPr>
      <w:r w:rsidRPr="00AC3E56">
        <w:t xml:space="preserve">x) </w:t>
      </w:r>
      <w:r w:rsidRPr="00AC3E56">
        <w:tab/>
      </w:r>
      <w:r w:rsidR="00481955" w:rsidRPr="00AC3E56">
        <w:t>Plattform für große Datenmengen für die DUS-Prüfung</w:t>
      </w:r>
      <w:r w:rsidRPr="00AC3E56">
        <w:t>;</w:t>
      </w:r>
    </w:p>
    <w:p w14:paraId="582FAF32" w14:textId="0B704669" w:rsidR="00901B57" w:rsidRPr="00AC3E56" w:rsidRDefault="005E3B05">
      <w:pPr>
        <w:tabs>
          <w:tab w:val="left" w:pos="1701"/>
        </w:tabs>
        <w:ind w:left="1134" w:hanging="567"/>
      </w:pPr>
      <w:r w:rsidRPr="00AC3E56">
        <w:t>xi)</w:t>
      </w:r>
      <w:r w:rsidRPr="00AC3E56">
        <w:tab/>
      </w:r>
      <w:r w:rsidR="00B44963" w:rsidRPr="00AC3E56">
        <w:t xml:space="preserve">Die </w:t>
      </w:r>
      <w:r w:rsidR="000F28AE" w:rsidRPr="00AC3E56">
        <w:t xml:space="preserve">Erfassung von Farben bei </w:t>
      </w:r>
      <w:r w:rsidR="00EC4336" w:rsidRPr="00AC3E56">
        <w:t>Obstarten</w:t>
      </w:r>
      <w:r w:rsidRPr="00AC3E56">
        <w:t>; und</w:t>
      </w:r>
    </w:p>
    <w:p w14:paraId="582FAF33" w14:textId="46660752" w:rsidR="00901B57" w:rsidRPr="00AC3E56" w:rsidRDefault="005E3B05">
      <w:pPr>
        <w:tabs>
          <w:tab w:val="left" w:pos="1701"/>
        </w:tabs>
        <w:ind w:left="1134" w:hanging="567"/>
      </w:pPr>
      <w:r w:rsidRPr="00AC3E56">
        <w:t>xii)</w:t>
      </w:r>
      <w:r w:rsidRPr="00AC3E56">
        <w:tab/>
      </w:r>
      <w:r w:rsidR="00E55ACD" w:rsidRPr="00AC3E56">
        <w:t>Phänotypisierung</w:t>
      </w:r>
      <w:r w:rsidRPr="00AC3E56">
        <w:t xml:space="preserve"> und Bildanalyse</w:t>
      </w:r>
    </w:p>
    <w:p w14:paraId="582FAF34" w14:textId="77777777" w:rsidR="008301C2" w:rsidRPr="00AC3E56" w:rsidRDefault="008301C2" w:rsidP="008301C2">
      <w:pPr>
        <w:tabs>
          <w:tab w:val="left" w:pos="1701"/>
        </w:tabs>
        <w:rPr>
          <w:rFonts w:cs="Arial"/>
        </w:rPr>
      </w:pPr>
    </w:p>
    <w:p w14:paraId="582FAF35" w14:textId="42967D1C" w:rsidR="00901B57" w:rsidRPr="00AC3E56" w:rsidRDefault="005E3B05">
      <w:pPr>
        <w:keepNext/>
        <w:rPr>
          <w:color w:val="000000"/>
        </w:rPr>
      </w:pPr>
      <w:r w:rsidRPr="00AC3E56">
        <w:rPr>
          <w:color w:val="000000"/>
        </w:rPr>
        <w:lastRenderedPageBreak/>
        <w:fldChar w:fldCharType="begin"/>
      </w:r>
      <w:r w:rsidRPr="00AC3E56">
        <w:rPr>
          <w:color w:val="000000"/>
        </w:rPr>
        <w:instrText xml:space="preserve"> AUTONUM  </w:instrText>
      </w:r>
      <w:r w:rsidRPr="00AC3E56">
        <w:rPr>
          <w:color w:val="000000"/>
        </w:rPr>
        <w:fldChar w:fldCharType="end"/>
      </w:r>
      <w:r w:rsidR="0007613E" w:rsidRPr="00AC3E56">
        <w:rPr>
          <w:color w:val="000000"/>
        </w:rPr>
        <w:tab/>
      </w:r>
      <w:r w:rsidRPr="00AC3E56">
        <w:rPr>
          <w:color w:val="000000"/>
        </w:rPr>
        <w:t>In diesem Dokument werden die folgenden Abkürzungen verwendet:</w:t>
      </w:r>
    </w:p>
    <w:p w14:paraId="582FAF36" w14:textId="77777777" w:rsidR="008301C2" w:rsidRPr="00AC3E56" w:rsidRDefault="008301C2" w:rsidP="008301C2">
      <w:pPr>
        <w:keepNext/>
        <w:ind w:left="1692" w:hanging="1125"/>
        <w:jc w:val="left"/>
        <w:rPr>
          <w:color w:val="000000"/>
        </w:rPr>
      </w:pPr>
    </w:p>
    <w:p w14:paraId="57E2AB8C" w14:textId="77777777" w:rsidR="000F608B" w:rsidRPr="00AC3E56" w:rsidRDefault="005E3B05" w:rsidP="000F608B">
      <w:pPr>
        <w:keepNext/>
        <w:tabs>
          <w:tab w:val="left" w:pos="567"/>
          <w:tab w:val="left" w:pos="1701"/>
        </w:tabs>
      </w:pPr>
      <w:r w:rsidRPr="00AC3E56">
        <w:tab/>
      </w:r>
      <w:r w:rsidR="000F608B" w:rsidRPr="00AC3E56">
        <w:t>CAJ:</w:t>
      </w:r>
      <w:r w:rsidR="000F608B" w:rsidRPr="00AC3E56">
        <w:tab/>
        <w:t xml:space="preserve">Verwaltungs- und Rechtsausschuss </w:t>
      </w:r>
    </w:p>
    <w:p w14:paraId="2DDC0828" w14:textId="77777777" w:rsidR="000F608B" w:rsidRPr="00AC3E56" w:rsidRDefault="000F608B" w:rsidP="000F608B">
      <w:pPr>
        <w:keepNext/>
        <w:tabs>
          <w:tab w:val="left" w:pos="567"/>
          <w:tab w:val="left" w:pos="1701"/>
        </w:tabs>
      </w:pPr>
      <w:r w:rsidRPr="00AC3E56">
        <w:tab/>
        <w:t>TC:</w:t>
      </w:r>
      <w:r w:rsidRPr="00AC3E56">
        <w:tab/>
        <w:t>Technischer Ausschuss</w:t>
      </w:r>
    </w:p>
    <w:p w14:paraId="6D31A864" w14:textId="77777777" w:rsidR="000F608B" w:rsidRPr="00AC3E56" w:rsidRDefault="000F608B" w:rsidP="000F608B">
      <w:pPr>
        <w:keepNext/>
        <w:tabs>
          <w:tab w:val="left" w:pos="567"/>
          <w:tab w:val="left" w:pos="1701"/>
        </w:tabs>
        <w:rPr>
          <w:rFonts w:eastAsia="PMingLiU"/>
          <w:szCs w:val="24"/>
        </w:rPr>
      </w:pPr>
      <w:r w:rsidRPr="00AC3E56">
        <w:rPr>
          <w:rFonts w:eastAsia="PMingLiU"/>
          <w:szCs w:val="24"/>
        </w:rPr>
        <w:tab/>
        <w:t>TC-EDC:</w:t>
      </w:r>
      <w:r w:rsidRPr="00AC3E56">
        <w:rPr>
          <w:rFonts w:eastAsia="PMingLiU"/>
          <w:szCs w:val="24"/>
        </w:rPr>
        <w:tab/>
        <w:t>Erweiterter Redaktionsausschuss</w:t>
      </w:r>
    </w:p>
    <w:p w14:paraId="2515F792" w14:textId="77777777" w:rsidR="000F608B" w:rsidRPr="00AC3E56" w:rsidRDefault="000F608B" w:rsidP="000F608B">
      <w:pPr>
        <w:keepNext/>
        <w:tabs>
          <w:tab w:val="left" w:pos="567"/>
          <w:tab w:val="left" w:pos="1701"/>
        </w:tabs>
        <w:rPr>
          <w:rFonts w:eastAsia="PMingLiU"/>
          <w:szCs w:val="24"/>
        </w:rPr>
      </w:pPr>
      <w:r w:rsidRPr="00AC3E56">
        <w:rPr>
          <w:rFonts w:eastAsia="PMingLiU"/>
          <w:szCs w:val="24"/>
        </w:rPr>
        <w:tab/>
        <w:t>TWA:</w:t>
      </w:r>
      <w:r w:rsidRPr="00AC3E56">
        <w:rPr>
          <w:rFonts w:eastAsia="PMingLiU"/>
          <w:szCs w:val="24"/>
        </w:rPr>
        <w:tab/>
        <w:t>Technische Arbeitsgruppe für landwirtschaftliche Arten</w:t>
      </w:r>
    </w:p>
    <w:p w14:paraId="56C75D9A" w14:textId="77777777" w:rsidR="000F608B" w:rsidRPr="00AC3E56" w:rsidRDefault="000F608B" w:rsidP="000F608B">
      <w:pPr>
        <w:keepNext/>
        <w:tabs>
          <w:tab w:val="left" w:pos="567"/>
          <w:tab w:val="left" w:pos="1701"/>
        </w:tabs>
        <w:rPr>
          <w:rFonts w:eastAsia="PMingLiU"/>
          <w:szCs w:val="24"/>
        </w:rPr>
      </w:pPr>
      <w:r w:rsidRPr="00AC3E56">
        <w:rPr>
          <w:rFonts w:eastAsia="PMingLiU"/>
          <w:szCs w:val="24"/>
        </w:rPr>
        <w:tab/>
        <w:t>TWC:</w:t>
      </w:r>
      <w:r w:rsidRPr="00AC3E56">
        <w:rPr>
          <w:rFonts w:eastAsia="PMingLiU"/>
          <w:szCs w:val="24"/>
        </w:rPr>
        <w:tab/>
        <w:t>Technische Arbeitsgruppe für Automatisierung und Computerprogramme</w:t>
      </w:r>
    </w:p>
    <w:p w14:paraId="395EB450" w14:textId="5333B1C6" w:rsidR="000F608B" w:rsidRPr="00AC3E56" w:rsidRDefault="000F608B" w:rsidP="000F608B">
      <w:pPr>
        <w:keepNext/>
        <w:tabs>
          <w:tab w:val="left" w:pos="567"/>
          <w:tab w:val="left" w:pos="1701"/>
        </w:tabs>
        <w:rPr>
          <w:rFonts w:eastAsia="PMingLiU"/>
          <w:szCs w:val="24"/>
        </w:rPr>
      </w:pPr>
      <w:r w:rsidRPr="00AC3E56">
        <w:rPr>
          <w:rFonts w:eastAsia="PMingLiU"/>
          <w:szCs w:val="24"/>
        </w:rPr>
        <w:tab/>
        <w:t xml:space="preserve">TWF: </w:t>
      </w:r>
      <w:r w:rsidRPr="00AC3E56">
        <w:rPr>
          <w:rFonts w:eastAsia="PMingLiU"/>
          <w:szCs w:val="24"/>
        </w:rPr>
        <w:tab/>
        <w:t xml:space="preserve">Technische Arbeitsgruppe für </w:t>
      </w:r>
      <w:r w:rsidR="00EC4336" w:rsidRPr="00AC3E56">
        <w:rPr>
          <w:rFonts w:eastAsia="PMingLiU"/>
          <w:szCs w:val="24"/>
        </w:rPr>
        <w:t>Obstarten</w:t>
      </w:r>
    </w:p>
    <w:p w14:paraId="0EBC3990" w14:textId="57E5760F" w:rsidR="003C7B6A" w:rsidRPr="00AC3E56" w:rsidRDefault="003C7B6A" w:rsidP="000F608B">
      <w:pPr>
        <w:keepNext/>
        <w:tabs>
          <w:tab w:val="left" w:pos="567"/>
          <w:tab w:val="left" w:pos="1701"/>
        </w:tabs>
        <w:rPr>
          <w:rFonts w:eastAsia="PMingLiU"/>
          <w:szCs w:val="24"/>
        </w:rPr>
      </w:pPr>
      <w:r w:rsidRPr="00AC3E56">
        <w:rPr>
          <w:rFonts w:cs="Arial"/>
        </w:rPr>
        <w:tab/>
        <w:t>TWM</w:t>
      </w:r>
      <w:r w:rsidRPr="00AC3E56">
        <w:rPr>
          <w:rFonts w:cs="Arial"/>
        </w:rPr>
        <w:tab/>
        <w:t>Technische Arbeitsgruppe für Prüfmethoden und -techniken</w:t>
      </w:r>
      <w:r w:rsidR="000F608B" w:rsidRPr="00AC3E56">
        <w:rPr>
          <w:rFonts w:eastAsia="PMingLiU"/>
          <w:szCs w:val="24"/>
        </w:rPr>
        <w:tab/>
      </w:r>
    </w:p>
    <w:p w14:paraId="013832F7" w14:textId="30B792A5" w:rsidR="000F608B" w:rsidRPr="00AC3E56" w:rsidRDefault="003C7B6A" w:rsidP="000F608B">
      <w:pPr>
        <w:keepNext/>
        <w:tabs>
          <w:tab w:val="left" w:pos="567"/>
          <w:tab w:val="left" w:pos="1701"/>
        </w:tabs>
        <w:rPr>
          <w:rFonts w:eastAsia="PMingLiU"/>
          <w:szCs w:val="24"/>
        </w:rPr>
      </w:pPr>
      <w:r w:rsidRPr="00AC3E56">
        <w:rPr>
          <w:rFonts w:eastAsia="PMingLiU"/>
          <w:szCs w:val="24"/>
        </w:rPr>
        <w:tab/>
      </w:r>
      <w:r w:rsidR="000F608B" w:rsidRPr="00AC3E56">
        <w:rPr>
          <w:rFonts w:eastAsia="PMingLiU"/>
          <w:szCs w:val="24"/>
        </w:rPr>
        <w:t>TWO:</w:t>
      </w:r>
      <w:r w:rsidR="000F608B" w:rsidRPr="00AC3E56">
        <w:rPr>
          <w:rFonts w:eastAsia="PMingLiU"/>
          <w:szCs w:val="24"/>
        </w:rPr>
        <w:tab/>
        <w:t>Technische Arbeitsgruppe für Zierpflanzen und forstliche Baumarten</w:t>
      </w:r>
    </w:p>
    <w:p w14:paraId="6407CF4C" w14:textId="77777777" w:rsidR="000F608B" w:rsidRPr="00AC3E56" w:rsidRDefault="000F608B" w:rsidP="000F608B">
      <w:pPr>
        <w:keepNext/>
        <w:tabs>
          <w:tab w:val="left" w:pos="567"/>
          <w:tab w:val="left" w:pos="1701"/>
        </w:tabs>
        <w:rPr>
          <w:rFonts w:eastAsia="PMingLiU"/>
          <w:szCs w:val="24"/>
        </w:rPr>
      </w:pPr>
      <w:r w:rsidRPr="00AC3E56">
        <w:rPr>
          <w:rFonts w:eastAsia="PMingLiU"/>
          <w:szCs w:val="24"/>
        </w:rPr>
        <w:tab/>
        <w:t>TWP:</w:t>
      </w:r>
      <w:r w:rsidRPr="00AC3E56">
        <w:rPr>
          <w:rFonts w:eastAsia="PMingLiU"/>
          <w:szCs w:val="24"/>
        </w:rPr>
        <w:tab/>
        <w:t>Technische Arbeitsgruppen</w:t>
      </w:r>
    </w:p>
    <w:p w14:paraId="582FAF41" w14:textId="1AA87ED7" w:rsidR="008301C2" w:rsidRPr="00AC3E56" w:rsidRDefault="000F608B" w:rsidP="000F608B">
      <w:pPr>
        <w:keepNext/>
        <w:tabs>
          <w:tab w:val="left" w:pos="567"/>
          <w:tab w:val="left" w:pos="1701"/>
        </w:tabs>
        <w:rPr>
          <w:rFonts w:eastAsia="PMingLiU"/>
          <w:szCs w:val="24"/>
        </w:rPr>
      </w:pPr>
      <w:r w:rsidRPr="00AC3E56">
        <w:rPr>
          <w:rFonts w:eastAsia="PMingLiU"/>
          <w:szCs w:val="24"/>
        </w:rPr>
        <w:tab/>
        <w:t>TWV:</w:t>
      </w:r>
      <w:r w:rsidRPr="00AC3E56">
        <w:rPr>
          <w:rFonts w:eastAsia="PMingLiU"/>
          <w:szCs w:val="24"/>
        </w:rPr>
        <w:tab/>
        <w:t>Technische Arbeitsgruppe für Gemüsearten</w:t>
      </w:r>
    </w:p>
    <w:p w14:paraId="7AEE4F72" w14:textId="77777777" w:rsidR="000F608B" w:rsidRPr="00AC3E56" w:rsidRDefault="000F608B" w:rsidP="000F608B">
      <w:pPr>
        <w:keepNext/>
        <w:tabs>
          <w:tab w:val="left" w:pos="567"/>
          <w:tab w:val="left" w:pos="1701"/>
        </w:tabs>
      </w:pPr>
    </w:p>
    <w:p w14:paraId="582FAF42" w14:textId="77777777" w:rsidR="00901B57" w:rsidRPr="00AC3E56" w:rsidRDefault="005E3B05">
      <w:r w:rsidRPr="00AC3E56">
        <w:rPr>
          <w:color w:val="000000"/>
        </w:rPr>
        <w:fldChar w:fldCharType="begin"/>
      </w:r>
      <w:r w:rsidRPr="00AC3E56">
        <w:rPr>
          <w:color w:val="000000"/>
        </w:rPr>
        <w:instrText xml:space="preserve"> AUTONUM  </w:instrText>
      </w:r>
      <w:r w:rsidRPr="00AC3E56">
        <w:rPr>
          <w:color w:val="000000"/>
        </w:rPr>
        <w:fldChar w:fldCharType="end"/>
      </w:r>
      <w:r w:rsidRPr="00AC3E56">
        <w:rPr>
          <w:color w:val="000000"/>
        </w:rPr>
        <w:tab/>
      </w:r>
      <w:r w:rsidRPr="00AC3E56">
        <w:t>Der Aufbau dieses Dokuments ist wie folgt:</w:t>
      </w:r>
    </w:p>
    <w:p w14:paraId="582FAF43" w14:textId="77777777" w:rsidR="008301C2" w:rsidRPr="00AC3E56" w:rsidRDefault="008301C2" w:rsidP="008301C2"/>
    <w:p w14:paraId="00552F6F" w14:textId="762A9D31" w:rsidR="0067562C" w:rsidRPr="00AC3E56" w:rsidRDefault="005E3B05">
      <w:pPr>
        <w:pStyle w:val="TOC1"/>
        <w:rPr>
          <w:rFonts w:asciiTheme="minorHAnsi" w:eastAsiaTheme="minorEastAsia" w:hAnsiTheme="minorHAnsi" w:cstheme="minorBidi"/>
          <w:caps w:val="0"/>
          <w:sz w:val="24"/>
          <w:szCs w:val="24"/>
          <w:lang w:eastAsia="de-DE"/>
        </w:rPr>
      </w:pPr>
      <w:r w:rsidRPr="00AC3E56">
        <w:rPr>
          <w:rFonts w:eastAsia="MS Mincho" w:cs="Arial"/>
          <w:lang w:eastAsia="ja-JP"/>
        </w:rPr>
        <w:fldChar w:fldCharType="begin"/>
      </w:r>
      <w:r w:rsidRPr="00AC3E56">
        <w:rPr>
          <w:rFonts w:eastAsia="MS Mincho" w:cs="Arial"/>
          <w:lang w:eastAsia="ja-JP"/>
        </w:rPr>
        <w:instrText xml:space="preserve"> TOC \o "1-2" \u </w:instrText>
      </w:r>
      <w:r w:rsidRPr="00AC3E56">
        <w:rPr>
          <w:rFonts w:eastAsia="MS Mincho" w:cs="Arial"/>
          <w:lang w:eastAsia="ja-JP"/>
        </w:rPr>
        <w:fldChar w:fldCharType="separate"/>
      </w:r>
      <w:r w:rsidR="0067562C" w:rsidRPr="00AC3E56">
        <w:t>ZUSAMMENFASSUNG</w:t>
      </w:r>
      <w:r w:rsidR="0067562C" w:rsidRPr="00AC3E56">
        <w:tab/>
      </w:r>
      <w:r w:rsidR="0067562C" w:rsidRPr="00AC3E56">
        <w:fldChar w:fldCharType="begin"/>
      </w:r>
      <w:r w:rsidR="0067562C" w:rsidRPr="00AC3E56">
        <w:instrText xml:space="preserve"> PAGEREF _Toc116140202 \h </w:instrText>
      </w:r>
      <w:r w:rsidR="0067562C" w:rsidRPr="00AC3E56">
        <w:fldChar w:fldCharType="separate"/>
      </w:r>
      <w:r w:rsidR="00AC3E56">
        <w:rPr>
          <w:noProof/>
        </w:rPr>
        <w:t>1</w:t>
      </w:r>
      <w:r w:rsidR="0067562C" w:rsidRPr="00AC3E56">
        <w:fldChar w:fldCharType="end"/>
      </w:r>
    </w:p>
    <w:p w14:paraId="5F096F64" w14:textId="5643FC18" w:rsidR="0067562C" w:rsidRPr="00AC3E56" w:rsidRDefault="0067562C">
      <w:pPr>
        <w:pStyle w:val="TOC1"/>
        <w:rPr>
          <w:rFonts w:asciiTheme="minorHAnsi" w:eastAsiaTheme="minorEastAsia" w:hAnsiTheme="minorHAnsi" w:cstheme="minorBidi"/>
          <w:caps w:val="0"/>
          <w:sz w:val="24"/>
          <w:szCs w:val="24"/>
          <w:lang w:eastAsia="de-DE"/>
        </w:rPr>
      </w:pPr>
      <w:r w:rsidRPr="00AC3E56">
        <w:t>Fragen zur Information und für eine VOM Technischen Ausschuss (TC) GEGEBENENFALLS ZU TREFFENDE ENTSCHEIDUNG</w:t>
      </w:r>
      <w:r w:rsidRPr="00AC3E56">
        <w:tab/>
      </w:r>
      <w:r w:rsidRPr="00AC3E56">
        <w:fldChar w:fldCharType="begin"/>
      </w:r>
      <w:r w:rsidRPr="00AC3E56">
        <w:instrText xml:space="preserve"> PAGEREF _Toc116140203 \h </w:instrText>
      </w:r>
      <w:r w:rsidRPr="00AC3E56">
        <w:fldChar w:fldCharType="separate"/>
      </w:r>
      <w:r w:rsidR="00AC3E56">
        <w:rPr>
          <w:noProof/>
        </w:rPr>
        <w:t>2</w:t>
      </w:r>
      <w:r w:rsidRPr="00AC3E56">
        <w:fldChar w:fldCharType="end"/>
      </w:r>
    </w:p>
    <w:p w14:paraId="080346C5" w14:textId="5149678F" w:rsidR="0067562C" w:rsidRPr="00AC3E56" w:rsidRDefault="0067562C">
      <w:pPr>
        <w:pStyle w:val="TOC1"/>
        <w:rPr>
          <w:rFonts w:asciiTheme="minorHAnsi" w:eastAsiaTheme="minorEastAsia" w:hAnsiTheme="minorHAnsi" w:cstheme="minorBidi"/>
          <w:caps w:val="0"/>
          <w:sz w:val="24"/>
          <w:szCs w:val="24"/>
          <w:lang w:eastAsia="de-DE"/>
        </w:rPr>
      </w:pPr>
      <w:r w:rsidRPr="00AC3E56">
        <w:t>Fragen zur Information</w:t>
      </w:r>
      <w:r w:rsidRPr="00AC3E56">
        <w:tab/>
      </w:r>
      <w:r w:rsidRPr="00AC3E56">
        <w:fldChar w:fldCharType="begin"/>
      </w:r>
      <w:r w:rsidRPr="00AC3E56">
        <w:instrText xml:space="preserve"> PAGEREF _Toc116140204 \h </w:instrText>
      </w:r>
      <w:r w:rsidRPr="00AC3E56">
        <w:fldChar w:fldCharType="separate"/>
      </w:r>
      <w:r w:rsidR="00AC3E56">
        <w:rPr>
          <w:noProof/>
        </w:rPr>
        <w:t>2</w:t>
      </w:r>
      <w:r w:rsidRPr="00AC3E56">
        <w:fldChar w:fldCharType="end"/>
      </w:r>
    </w:p>
    <w:p w14:paraId="00BEA39A" w14:textId="6D483959" w:rsidR="0067562C" w:rsidRPr="00AC3E56" w:rsidRDefault="0067562C">
      <w:pPr>
        <w:pStyle w:val="TOC2"/>
        <w:rPr>
          <w:rFonts w:asciiTheme="minorHAnsi" w:eastAsiaTheme="minorEastAsia" w:hAnsiTheme="minorHAnsi" w:cstheme="minorBidi"/>
          <w:sz w:val="24"/>
          <w:szCs w:val="24"/>
          <w:lang w:eastAsia="de-DE"/>
        </w:rPr>
      </w:pPr>
      <w:r w:rsidRPr="00AC3E56">
        <w:t>Erforderliche Informationen zur Verbesserung der Nutzung bestehender DUS-Prüfungsberichte</w:t>
      </w:r>
      <w:r w:rsidRPr="00AC3E56">
        <w:tab/>
      </w:r>
      <w:r w:rsidRPr="00AC3E56">
        <w:fldChar w:fldCharType="begin"/>
      </w:r>
      <w:r w:rsidRPr="00AC3E56">
        <w:instrText xml:space="preserve"> PAGEREF _Toc116140205 \h </w:instrText>
      </w:r>
      <w:r w:rsidRPr="00AC3E56">
        <w:fldChar w:fldCharType="separate"/>
      </w:r>
      <w:r w:rsidR="00AC3E56">
        <w:rPr>
          <w:noProof/>
        </w:rPr>
        <w:t>2</w:t>
      </w:r>
      <w:r w:rsidRPr="00AC3E56">
        <w:fldChar w:fldCharType="end"/>
      </w:r>
    </w:p>
    <w:p w14:paraId="2C96E89E" w14:textId="034EB7CC" w:rsidR="0067562C" w:rsidRPr="00AC3E56" w:rsidRDefault="0067562C">
      <w:pPr>
        <w:pStyle w:val="TOC2"/>
        <w:rPr>
          <w:rFonts w:asciiTheme="minorHAnsi" w:eastAsiaTheme="minorEastAsia" w:hAnsiTheme="minorHAnsi" w:cstheme="minorBidi"/>
          <w:sz w:val="24"/>
          <w:szCs w:val="24"/>
          <w:lang w:eastAsia="de-DE"/>
        </w:rPr>
      </w:pPr>
      <w:r w:rsidRPr="00AC3E56">
        <w:t>DUS-Prüfung von Mutantensorten bei Apfel</w:t>
      </w:r>
      <w:r w:rsidRPr="00AC3E56">
        <w:tab/>
      </w:r>
      <w:r w:rsidRPr="00AC3E56">
        <w:fldChar w:fldCharType="begin"/>
      </w:r>
      <w:r w:rsidRPr="00AC3E56">
        <w:instrText xml:space="preserve"> PAGEREF _Toc116140206 \h </w:instrText>
      </w:r>
      <w:r w:rsidRPr="00AC3E56">
        <w:fldChar w:fldCharType="separate"/>
      </w:r>
      <w:r w:rsidR="00AC3E56">
        <w:rPr>
          <w:noProof/>
        </w:rPr>
        <w:t>3</w:t>
      </w:r>
      <w:r w:rsidRPr="00AC3E56">
        <w:fldChar w:fldCharType="end"/>
      </w:r>
    </w:p>
    <w:p w14:paraId="3466CC8B" w14:textId="279A0E4B" w:rsidR="0067562C" w:rsidRPr="00AC3E56" w:rsidRDefault="0067562C">
      <w:pPr>
        <w:pStyle w:val="TOC2"/>
        <w:rPr>
          <w:rFonts w:asciiTheme="minorHAnsi" w:eastAsiaTheme="minorEastAsia" w:hAnsiTheme="minorHAnsi" w:cstheme="minorBidi"/>
          <w:sz w:val="24"/>
          <w:szCs w:val="24"/>
          <w:lang w:eastAsia="de-DE"/>
        </w:rPr>
      </w:pPr>
      <w:r w:rsidRPr="00AC3E56">
        <w:t>Zugang zu Pflanzenmaterial zum Zweck der Verwaltung von Sortensammlungen und der DUS-Prüfung</w:t>
      </w:r>
      <w:r w:rsidRPr="00AC3E56">
        <w:tab/>
      </w:r>
      <w:r w:rsidRPr="00AC3E56">
        <w:fldChar w:fldCharType="begin"/>
      </w:r>
      <w:r w:rsidRPr="00AC3E56">
        <w:instrText xml:space="preserve"> PAGEREF _Toc116140207 \h </w:instrText>
      </w:r>
      <w:r w:rsidRPr="00AC3E56">
        <w:fldChar w:fldCharType="separate"/>
      </w:r>
      <w:r w:rsidR="00AC3E56">
        <w:rPr>
          <w:noProof/>
        </w:rPr>
        <w:t>3</w:t>
      </w:r>
      <w:r w:rsidRPr="00AC3E56">
        <w:fldChar w:fldCharType="end"/>
      </w:r>
    </w:p>
    <w:p w14:paraId="66C1B8FD" w14:textId="4B3805AA" w:rsidR="0067562C" w:rsidRPr="00AC3E56" w:rsidRDefault="0067562C">
      <w:pPr>
        <w:pStyle w:val="TOC2"/>
        <w:rPr>
          <w:rFonts w:asciiTheme="minorHAnsi" w:eastAsiaTheme="minorEastAsia" w:hAnsiTheme="minorHAnsi" w:cstheme="minorBidi"/>
          <w:sz w:val="24"/>
          <w:szCs w:val="24"/>
          <w:lang w:eastAsia="de-DE"/>
        </w:rPr>
      </w:pPr>
      <w:r w:rsidRPr="00AC3E56">
        <w:rPr>
          <w:snapToGrid w:val="0"/>
        </w:rPr>
        <w:t>Verwendung von Krankheitsresistenzmerkmalen</w:t>
      </w:r>
      <w:r w:rsidRPr="00AC3E56">
        <w:tab/>
      </w:r>
      <w:r w:rsidRPr="00AC3E56">
        <w:fldChar w:fldCharType="begin"/>
      </w:r>
      <w:r w:rsidRPr="00AC3E56">
        <w:instrText xml:space="preserve"> PAGEREF _Toc116140208 \h </w:instrText>
      </w:r>
      <w:r w:rsidRPr="00AC3E56">
        <w:fldChar w:fldCharType="separate"/>
      </w:r>
      <w:r w:rsidR="00AC3E56">
        <w:rPr>
          <w:noProof/>
        </w:rPr>
        <w:t>3</w:t>
      </w:r>
      <w:r w:rsidRPr="00AC3E56">
        <w:fldChar w:fldCharType="end"/>
      </w:r>
    </w:p>
    <w:p w14:paraId="30E2A4DB" w14:textId="50A3F582" w:rsidR="0067562C" w:rsidRPr="00AC3E56" w:rsidRDefault="0067562C">
      <w:pPr>
        <w:pStyle w:val="TOC2"/>
        <w:rPr>
          <w:rFonts w:asciiTheme="minorHAnsi" w:eastAsiaTheme="minorEastAsia" w:hAnsiTheme="minorHAnsi" w:cstheme="minorBidi"/>
          <w:sz w:val="24"/>
          <w:szCs w:val="24"/>
          <w:lang w:eastAsia="de-DE"/>
        </w:rPr>
      </w:pPr>
      <w:r w:rsidRPr="00AC3E56">
        <w:t>Krankheitsresistenz bei Zierpflanzen</w:t>
      </w:r>
      <w:r w:rsidRPr="00AC3E56">
        <w:tab/>
      </w:r>
      <w:r w:rsidRPr="00AC3E56">
        <w:fldChar w:fldCharType="begin"/>
      </w:r>
      <w:r w:rsidRPr="00AC3E56">
        <w:instrText xml:space="preserve"> PAGEREF _Toc116140209 \h </w:instrText>
      </w:r>
      <w:r w:rsidRPr="00AC3E56">
        <w:fldChar w:fldCharType="separate"/>
      </w:r>
      <w:r w:rsidR="00AC3E56">
        <w:rPr>
          <w:noProof/>
        </w:rPr>
        <w:t>3</w:t>
      </w:r>
      <w:r w:rsidRPr="00AC3E56">
        <w:fldChar w:fldCharType="end"/>
      </w:r>
    </w:p>
    <w:p w14:paraId="01DB26C0" w14:textId="6BA68939" w:rsidR="0067562C" w:rsidRPr="00AC3E56" w:rsidRDefault="0067562C">
      <w:pPr>
        <w:pStyle w:val="TOC2"/>
        <w:rPr>
          <w:rFonts w:asciiTheme="minorHAnsi" w:eastAsiaTheme="minorEastAsia" w:hAnsiTheme="minorHAnsi" w:cstheme="minorBidi"/>
          <w:sz w:val="24"/>
          <w:szCs w:val="24"/>
          <w:lang w:eastAsia="de-DE"/>
        </w:rPr>
      </w:pPr>
      <w:r w:rsidRPr="00AC3E56">
        <w:rPr>
          <w:snapToGrid w:val="0"/>
        </w:rPr>
        <w:t>Neue Fragen, die sich für die DUS-Prüfung ergeben</w:t>
      </w:r>
      <w:r w:rsidRPr="00AC3E56">
        <w:tab/>
      </w:r>
      <w:r w:rsidRPr="00AC3E56">
        <w:fldChar w:fldCharType="begin"/>
      </w:r>
      <w:r w:rsidRPr="00AC3E56">
        <w:instrText xml:space="preserve"> PAGEREF _Toc116140210 \h </w:instrText>
      </w:r>
      <w:r w:rsidRPr="00AC3E56">
        <w:fldChar w:fldCharType="separate"/>
      </w:r>
      <w:r w:rsidR="00AC3E56">
        <w:rPr>
          <w:noProof/>
        </w:rPr>
        <w:t>4</w:t>
      </w:r>
      <w:r w:rsidRPr="00AC3E56">
        <w:fldChar w:fldCharType="end"/>
      </w:r>
    </w:p>
    <w:p w14:paraId="4F6A4846" w14:textId="51A24F34" w:rsidR="0067562C" w:rsidRPr="00AC3E56" w:rsidRDefault="0067562C">
      <w:pPr>
        <w:pStyle w:val="TOC2"/>
        <w:rPr>
          <w:rFonts w:asciiTheme="minorHAnsi" w:eastAsiaTheme="minorEastAsia" w:hAnsiTheme="minorHAnsi" w:cstheme="minorBidi"/>
          <w:sz w:val="24"/>
          <w:szCs w:val="24"/>
          <w:lang w:eastAsia="de-DE"/>
        </w:rPr>
      </w:pPr>
      <w:r w:rsidRPr="00AC3E56">
        <w:t>Erfahrungen mit neuen Typen und Arten</w:t>
      </w:r>
      <w:r w:rsidRPr="00AC3E56">
        <w:tab/>
      </w:r>
      <w:r w:rsidRPr="00AC3E56">
        <w:fldChar w:fldCharType="begin"/>
      </w:r>
      <w:r w:rsidRPr="00AC3E56">
        <w:instrText xml:space="preserve"> PAGEREF _Toc116140211 \h </w:instrText>
      </w:r>
      <w:r w:rsidRPr="00AC3E56">
        <w:fldChar w:fldCharType="separate"/>
      </w:r>
      <w:r w:rsidR="00AC3E56">
        <w:rPr>
          <w:noProof/>
        </w:rPr>
        <w:t>4</w:t>
      </w:r>
      <w:r w:rsidRPr="00AC3E56">
        <w:fldChar w:fldCharType="end"/>
      </w:r>
    </w:p>
    <w:p w14:paraId="3B638BEF" w14:textId="63330B08" w:rsidR="0067562C" w:rsidRPr="00AC3E56" w:rsidRDefault="0067562C">
      <w:pPr>
        <w:pStyle w:val="TOC2"/>
        <w:rPr>
          <w:rFonts w:asciiTheme="minorHAnsi" w:eastAsiaTheme="minorEastAsia" w:hAnsiTheme="minorHAnsi" w:cstheme="minorBidi"/>
          <w:sz w:val="24"/>
          <w:szCs w:val="24"/>
          <w:lang w:eastAsia="de-DE"/>
        </w:rPr>
      </w:pPr>
      <w:r w:rsidRPr="00AC3E56">
        <w:t>Prüfung von Hybridsorten</w:t>
      </w:r>
      <w:r w:rsidRPr="00AC3E56">
        <w:tab/>
      </w:r>
      <w:r w:rsidRPr="00AC3E56">
        <w:fldChar w:fldCharType="begin"/>
      </w:r>
      <w:r w:rsidRPr="00AC3E56">
        <w:instrText xml:space="preserve"> PAGEREF _Toc116140212 \h </w:instrText>
      </w:r>
      <w:r w:rsidRPr="00AC3E56">
        <w:fldChar w:fldCharType="separate"/>
      </w:r>
      <w:r w:rsidR="00AC3E56">
        <w:rPr>
          <w:noProof/>
        </w:rPr>
        <w:t>4</w:t>
      </w:r>
      <w:r w:rsidRPr="00AC3E56">
        <w:fldChar w:fldCharType="end"/>
      </w:r>
    </w:p>
    <w:p w14:paraId="74FC2CE2" w14:textId="4CEAE84C" w:rsidR="0067562C" w:rsidRPr="00AC3E56" w:rsidRDefault="0067562C">
      <w:pPr>
        <w:pStyle w:val="TOC2"/>
        <w:rPr>
          <w:rFonts w:asciiTheme="minorHAnsi" w:eastAsiaTheme="minorEastAsia" w:hAnsiTheme="minorHAnsi" w:cstheme="minorBidi"/>
          <w:sz w:val="24"/>
          <w:szCs w:val="24"/>
          <w:lang w:eastAsia="de-DE"/>
        </w:rPr>
      </w:pPr>
      <w:r w:rsidRPr="00AC3E56">
        <w:t>Neue Technologien bei der DUS-Prüfung</w:t>
      </w:r>
      <w:r w:rsidRPr="00AC3E56">
        <w:tab/>
      </w:r>
      <w:r w:rsidRPr="00AC3E56">
        <w:fldChar w:fldCharType="begin"/>
      </w:r>
      <w:r w:rsidRPr="00AC3E56">
        <w:instrText xml:space="preserve"> PAGEREF _Toc116140213 \h </w:instrText>
      </w:r>
      <w:r w:rsidRPr="00AC3E56">
        <w:fldChar w:fldCharType="separate"/>
      </w:r>
      <w:r w:rsidR="00AC3E56">
        <w:rPr>
          <w:noProof/>
        </w:rPr>
        <w:t>4</w:t>
      </w:r>
      <w:r w:rsidRPr="00AC3E56">
        <w:fldChar w:fldCharType="end"/>
      </w:r>
    </w:p>
    <w:p w14:paraId="0952CADF" w14:textId="78D17A7E" w:rsidR="0067562C" w:rsidRPr="00AC3E56" w:rsidRDefault="0067562C">
      <w:pPr>
        <w:pStyle w:val="TOC2"/>
        <w:rPr>
          <w:rFonts w:asciiTheme="minorHAnsi" w:eastAsiaTheme="minorEastAsia" w:hAnsiTheme="minorHAnsi" w:cstheme="minorBidi"/>
          <w:sz w:val="24"/>
          <w:szCs w:val="24"/>
          <w:lang w:eastAsia="de-DE"/>
        </w:rPr>
      </w:pPr>
      <w:r w:rsidRPr="00AC3E56">
        <w:t>Plattform für große Datenmengen für die DUS-Prüfung</w:t>
      </w:r>
      <w:r w:rsidRPr="00AC3E56">
        <w:tab/>
      </w:r>
      <w:r w:rsidRPr="00AC3E56">
        <w:fldChar w:fldCharType="begin"/>
      </w:r>
      <w:r w:rsidRPr="00AC3E56">
        <w:instrText xml:space="preserve"> PAGEREF _Toc116140214 \h </w:instrText>
      </w:r>
      <w:r w:rsidRPr="00AC3E56">
        <w:fldChar w:fldCharType="separate"/>
      </w:r>
      <w:r w:rsidR="00AC3E56">
        <w:rPr>
          <w:noProof/>
        </w:rPr>
        <w:t>4</w:t>
      </w:r>
      <w:r w:rsidRPr="00AC3E56">
        <w:fldChar w:fldCharType="end"/>
      </w:r>
    </w:p>
    <w:p w14:paraId="483D8EB9" w14:textId="3B6FC74A" w:rsidR="0067562C" w:rsidRPr="00AC3E56" w:rsidRDefault="0067562C">
      <w:pPr>
        <w:pStyle w:val="TOC2"/>
        <w:rPr>
          <w:rFonts w:asciiTheme="minorHAnsi" w:eastAsiaTheme="minorEastAsia" w:hAnsiTheme="minorHAnsi" w:cstheme="minorBidi"/>
          <w:sz w:val="24"/>
          <w:szCs w:val="24"/>
          <w:lang w:eastAsia="de-DE"/>
        </w:rPr>
      </w:pPr>
      <w:r w:rsidRPr="00AC3E56">
        <w:t>Die Erfassung von Farben bei Obstarten</w:t>
      </w:r>
      <w:r w:rsidRPr="00AC3E56">
        <w:tab/>
      </w:r>
      <w:r w:rsidRPr="00AC3E56">
        <w:fldChar w:fldCharType="begin"/>
      </w:r>
      <w:r w:rsidRPr="00AC3E56">
        <w:instrText xml:space="preserve"> PAGEREF _Toc116140215 \h </w:instrText>
      </w:r>
      <w:r w:rsidRPr="00AC3E56">
        <w:fldChar w:fldCharType="separate"/>
      </w:r>
      <w:r w:rsidR="00AC3E56">
        <w:rPr>
          <w:noProof/>
        </w:rPr>
        <w:t>4</w:t>
      </w:r>
      <w:r w:rsidRPr="00AC3E56">
        <w:fldChar w:fldCharType="end"/>
      </w:r>
    </w:p>
    <w:p w14:paraId="7C993482" w14:textId="2BDB065A" w:rsidR="0067562C" w:rsidRPr="00AC3E56" w:rsidRDefault="0067562C">
      <w:pPr>
        <w:pStyle w:val="TOC2"/>
        <w:rPr>
          <w:rFonts w:asciiTheme="minorHAnsi" w:eastAsiaTheme="minorEastAsia" w:hAnsiTheme="minorHAnsi" w:cstheme="minorBidi"/>
          <w:sz w:val="24"/>
          <w:szCs w:val="24"/>
          <w:lang w:eastAsia="de-DE"/>
        </w:rPr>
      </w:pPr>
      <w:r w:rsidRPr="00AC3E56">
        <w:t>Phänotypisierung und Bildanalyse</w:t>
      </w:r>
      <w:r w:rsidRPr="00AC3E56">
        <w:tab/>
      </w:r>
      <w:r w:rsidRPr="00AC3E56">
        <w:fldChar w:fldCharType="begin"/>
      </w:r>
      <w:r w:rsidRPr="00AC3E56">
        <w:instrText xml:space="preserve"> PAGEREF _Toc116140216 \h </w:instrText>
      </w:r>
      <w:r w:rsidRPr="00AC3E56">
        <w:fldChar w:fldCharType="separate"/>
      </w:r>
      <w:r w:rsidR="00AC3E56">
        <w:rPr>
          <w:noProof/>
        </w:rPr>
        <w:t>5</w:t>
      </w:r>
      <w:r w:rsidRPr="00AC3E56">
        <w:fldChar w:fldCharType="end"/>
      </w:r>
    </w:p>
    <w:p w14:paraId="582FAF53" w14:textId="1C804F3F" w:rsidR="00901B57" w:rsidRPr="00AC3E56" w:rsidRDefault="005E3B05">
      <w:pPr>
        <w:rPr>
          <w:rFonts w:ascii="Calibri" w:hAnsi="Calibri"/>
          <w:sz w:val="22"/>
          <w:szCs w:val="22"/>
        </w:rPr>
      </w:pPr>
      <w:r w:rsidRPr="00AC3E56">
        <w:rPr>
          <w:rFonts w:eastAsia="MS Mincho" w:cs="Arial"/>
          <w:bCs/>
          <w:i/>
          <w:lang w:eastAsia="ja-JP"/>
        </w:rPr>
        <w:fldChar w:fldCharType="end"/>
      </w:r>
      <w:r w:rsidR="008301C2" w:rsidRPr="00AC3E56">
        <w:rPr>
          <w:caps/>
          <w:sz w:val="18"/>
        </w:rPr>
        <w:fldChar w:fldCharType="begin"/>
      </w:r>
      <w:r w:rsidRPr="00AC3E56">
        <w:instrText xml:space="preserve"> TOC \o "1-3" \h \z \u </w:instrText>
      </w:r>
      <w:r w:rsidR="008301C2" w:rsidRPr="00AC3E56">
        <w:rPr>
          <w:caps/>
          <w:sz w:val="18"/>
        </w:rPr>
        <w:fldChar w:fldCharType="separate"/>
      </w:r>
    </w:p>
    <w:p w14:paraId="582FAF54" w14:textId="77777777" w:rsidR="008301C2" w:rsidRPr="00AC3E56" w:rsidRDefault="008301C2" w:rsidP="008301C2">
      <w:pPr>
        <w:tabs>
          <w:tab w:val="left" w:pos="567"/>
        </w:tabs>
        <w:rPr>
          <w:rFonts w:cs="Arial"/>
        </w:rPr>
      </w:pPr>
      <w:r w:rsidRPr="00AC3E56">
        <w:fldChar w:fldCharType="end"/>
      </w:r>
    </w:p>
    <w:p w14:paraId="582FAF55" w14:textId="6D919D44" w:rsidR="00901B57" w:rsidRPr="00AC3E56" w:rsidRDefault="005E3B05" w:rsidP="003E08DC">
      <w:pPr>
        <w:pStyle w:val="Heading1"/>
        <w:rPr>
          <w:rFonts w:eastAsia="PMingLiU"/>
          <w:szCs w:val="24"/>
        </w:rPr>
      </w:pPr>
      <w:bookmarkStart w:id="2" w:name="_Toc20505078"/>
      <w:bookmarkStart w:id="3" w:name="_Toc527377892"/>
      <w:bookmarkStart w:id="4" w:name="_Toc441497828"/>
      <w:bookmarkStart w:id="5" w:name="_Toc116140203"/>
      <w:r w:rsidRPr="00AC3E56">
        <w:t xml:space="preserve">Fragen zur Information und für eine </w:t>
      </w:r>
      <w:r w:rsidR="00614D74" w:rsidRPr="00AC3E56">
        <w:t>VOM</w:t>
      </w:r>
      <w:r w:rsidRPr="00AC3E56">
        <w:t xml:space="preserve"> Technischen Ausschuss (TC)</w:t>
      </w:r>
      <w:bookmarkEnd w:id="2"/>
      <w:bookmarkEnd w:id="3"/>
      <w:bookmarkEnd w:id="4"/>
      <w:r w:rsidR="00614D74" w:rsidRPr="00AC3E56">
        <w:t xml:space="preserve"> GEGEBENEN</w:t>
      </w:r>
      <w:r w:rsidR="006344D0" w:rsidRPr="00AC3E56">
        <w:t>FALLS ZU TREFFENDE ENTSCHEIDUNG</w:t>
      </w:r>
      <w:bookmarkEnd w:id="5"/>
    </w:p>
    <w:p w14:paraId="582FAF56" w14:textId="77777777" w:rsidR="008301C2" w:rsidRPr="00AC3E56" w:rsidRDefault="008301C2" w:rsidP="008301C2"/>
    <w:p w14:paraId="582FAF57" w14:textId="32AC942A" w:rsidR="00901B57" w:rsidRPr="00AC3E56" w:rsidRDefault="005E3B05">
      <w:r w:rsidRPr="00AC3E56">
        <w:fldChar w:fldCharType="begin"/>
      </w:r>
      <w:r w:rsidRPr="00AC3E56">
        <w:instrText xml:space="preserve"> AUTONUM  </w:instrText>
      </w:r>
      <w:r w:rsidRPr="00AC3E56">
        <w:fldChar w:fldCharType="end"/>
      </w:r>
      <w:r w:rsidRPr="00AC3E56">
        <w:tab/>
      </w:r>
      <w:r w:rsidR="00BD4414" w:rsidRPr="00AC3E56">
        <w:rPr>
          <w:szCs w:val="24"/>
        </w:rPr>
        <w:t>Es gibt keine Angelegenheiten, für welche der Technische Ausschuss auf seiner</w:t>
      </w:r>
      <w:r w:rsidRPr="00AC3E56">
        <w:t xml:space="preserve"> achtundfünfzigsten </w:t>
      </w:r>
      <w:r w:rsidR="00C93EF4" w:rsidRPr="00AC3E56">
        <w:t xml:space="preserve">Tagung </w:t>
      </w:r>
      <w:r w:rsidR="00C93EF4" w:rsidRPr="00AC3E56">
        <w:rPr>
          <w:szCs w:val="24"/>
        </w:rPr>
        <w:t>eine Entscheidung treffen muss</w:t>
      </w:r>
      <w:r w:rsidRPr="00AC3E56">
        <w:t>.</w:t>
      </w:r>
    </w:p>
    <w:p w14:paraId="582FAF58" w14:textId="77777777" w:rsidR="008301C2" w:rsidRPr="00AC3E56" w:rsidRDefault="008301C2" w:rsidP="008301C2"/>
    <w:p w14:paraId="582FAF59" w14:textId="77777777" w:rsidR="008301C2" w:rsidRPr="00AC3E56" w:rsidRDefault="008301C2" w:rsidP="008301C2"/>
    <w:p w14:paraId="582FAF5A" w14:textId="77777777" w:rsidR="00901B57" w:rsidRPr="00AC3E56" w:rsidRDefault="005E3B05" w:rsidP="003E08DC">
      <w:pPr>
        <w:pStyle w:val="Heading1"/>
      </w:pPr>
      <w:bookmarkStart w:id="6" w:name="_Toc20505079"/>
      <w:bookmarkStart w:id="7" w:name="_Toc527377899"/>
      <w:bookmarkStart w:id="8" w:name="_Toc441497830"/>
      <w:bookmarkStart w:id="9" w:name="_Toc116140204"/>
      <w:r w:rsidRPr="00AC3E56">
        <w:t>Fragen zur Information</w:t>
      </w:r>
      <w:bookmarkEnd w:id="6"/>
      <w:bookmarkEnd w:id="7"/>
      <w:bookmarkEnd w:id="8"/>
      <w:bookmarkEnd w:id="9"/>
    </w:p>
    <w:p w14:paraId="582FAF5B" w14:textId="77777777" w:rsidR="00831EE0" w:rsidRPr="00AC3E56" w:rsidRDefault="00831EE0" w:rsidP="00831EE0"/>
    <w:p w14:paraId="582FAF5C" w14:textId="77777777" w:rsidR="00901B57" w:rsidRPr="00AC3E56" w:rsidRDefault="005E3B05" w:rsidP="00D7233B">
      <w:pPr>
        <w:pStyle w:val="Heading2"/>
        <w:rPr>
          <w:lang w:val="de-DE"/>
        </w:rPr>
      </w:pPr>
      <w:bookmarkStart w:id="10" w:name="_Toc116140205"/>
      <w:r w:rsidRPr="00AC3E56">
        <w:rPr>
          <w:lang w:val="de-DE"/>
        </w:rPr>
        <w:t>Erforderliche Informationen zur Verbesserung der Nutzung bestehender DUS-Prüfungsberichte</w:t>
      </w:r>
      <w:bookmarkEnd w:id="10"/>
    </w:p>
    <w:p w14:paraId="582FAF5D" w14:textId="77777777" w:rsidR="00831EE0" w:rsidRPr="00AC3E56" w:rsidRDefault="00831EE0" w:rsidP="00831EE0"/>
    <w:p w14:paraId="582FAF5E" w14:textId="652B0826" w:rsidR="00901B57" w:rsidRPr="00AC3E56" w:rsidRDefault="005E3B05">
      <w:r w:rsidRPr="00AC3E56">
        <w:fldChar w:fldCharType="begin"/>
      </w:r>
      <w:r w:rsidRPr="00AC3E56">
        <w:instrText xml:space="preserve"> AUTONUM  </w:instrText>
      </w:r>
      <w:r w:rsidRPr="00AC3E56">
        <w:fldChar w:fldCharType="end"/>
      </w:r>
      <w:r w:rsidRPr="00AC3E56">
        <w:tab/>
        <w:t xml:space="preserve">Die TWF prüfte das von einem Sachverständigen aus Neuseeland vorgelegte Dokument TWF/53/6 (vergleiche Dokument TWF/53/14 </w:t>
      </w:r>
      <w:r w:rsidR="004A6CA1" w:rsidRPr="00AC3E56">
        <w:t>„Report“</w:t>
      </w:r>
      <w:r w:rsidRPr="00AC3E56">
        <w:t>, Absätze 61 bis 64).</w:t>
      </w:r>
    </w:p>
    <w:p w14:paraId="582FAF5F" w14:textId="77777777" w:rsidR="00831EE0" w:rsidRPr="00AC3E56" w:rsidRDefault="00831EE0" w:rsidP="00831EE0"/>
    <w:p w14:paraId="582FAF60" w14:textId="33F19E7E" w:rsidR="00901B57" w:rsidRPr="00AC3E56" w:rsidRDefault="005E3B05">
      <w:r w:rsidRPr="00AC3E56">
        <w:fldChar w:fldCharType="begin"/>
      </w:r>
      <w:r w:rsidRPr="00AC3E56">
        <w:instrText xml:space="preserve"> AUTONUM  </w:instrText>
      </w:r>
      <w:r w:rsidRPr="00AC3E56">
        <w:fldChar w:fldCharType="end"/>
      </w:r>
      <w:r w:rsidRPr="00AC3E56">
        <w:tab/>
        <w:t xml:space="preserve">Die TWF </w:t>
      </w:r>
      <w:r w:rsidR="00267BEC" w:rsidRPr="00AC3E56">
        <w:t>prüfte</w:t>
      </w:r>
      <w:r w:rsidRPr="00AC3E56">
        <w:t xml:space="preserve"> die Informationen</w:t>
      </w:r>
      <w:r w:rsidR="00267BEC" w:rsidRPr="00AC3E56">
        <w:t>, die</w:t>
      </w:r>
      <w:r w:rsidRPr="00AC3E56">
        <w:t xml:space="preserve"> in einer UPOV-Sortenbeschreibung </w:t>
      </w:r>
      <w:r w:rsidR="00911D57" w:rsidRPr="00AC3E56">
        <w:t>angegeben</w:t>
      </w:r>
      <w:r w:rsidRPr="00AC3E56">
        <w:t xml:space="preserve"> werden sollten, um den Austausch und die Übernahme von DUS-Prüfungsberichten weiter zu fördern.</w:t>
      </w:r>
      <w:r w:rsidR="00353B49" w:rsidRPr="00AC3E56">
        <w:t xml:space="preserve"> </w:t>
      </w:r>
      <w:r w:rsidRPr="00AC3E56">
        <w:t xml:space="preserve">Die TWF vereinbarte, </w:t>
      </w:r>
      <w:r w:rsidR="00235594" w:rsidRPr="00AC3E56">
        <w:t>dass</w:t>
      </w:r>
      <w:r w:rsidRPr="00AC3E56">
        <w:t xml:space="preserve"> in Abschnitt 16 </w:t>
      </w:r>
      <w:r w:rsidR="001C1CE1" w:rsidRPr="00AC3E56">
        <w:t>„</w:t>
      </w:r>
      <w:r w:rsidRPr="00AC3E56">
        <w:t>Ähnliche Sorten und Unterschiede zu diesen Sorten</w:t>
      </w:r>
      <w:r w:rsidR="001C1CE1" w:rsidRPr="00AC3E56">
        <w:t>“</w:t>
      </w:r>
      <w:r w:rsidRPr="00AC3E56">
        <w:t xml:space="preserve"> stets Informationen erteilt werden sollten, um zu klären, ob ähnliche Sorten vorhanden sind oder nicht.</w:t>
      </w:r>
      <w:r w:rsidR="00353B49" w:rsidRPr="00AC3E56">
        <w:t xml:space="preserve"> </w:t>
      </w:r>
    </w:p>
    <w:p w14:paraId="582FAF61" w14:textId="77777777" w:rsidR="00831EE0" w:rsidRPr="00AC3E56" w:rsidRDefault="00831EE0" w:rsidP="00831EE0"/>
    <w:p w14:paraId="582FAF62" w14:textId="2FB2A11C" w:rsidR="00901B57" w:rsidRPr="00AC3E56" w:rsidRDefault="005E3B05">
      <w:r w:rsidRPr="00AC3E56">
        <w:fldChar w:fldCharType="begin"/>
      </w:r>
      <w:r w:rsidRPr="00AC3E56">
        <w:instrText xml:space="preserve"> AUTONUM  </w:instrText>
      </w:r>
      <w:r w:rsidRPr="00AC3E56">
        <w:fldChar w:fldCharType="end"/>
      </w:r>
      <w:r w:rsidRPr="00AC3E56">
        <w:tab/>
        <w:t xml:space="preserve">Die TWF nahm die verschiedenen Möglichkeiten zur Erteilung von Informationen in Abschnitt 16 zur Kenntnis, einschließlich der Auflistung einer oder mehrerer </w:t>
      </w:r>
      <w:r w:rsidRPr="00AC3E56">
        <w:rPr>
          <w:rFonts w:eastAsia="Calibri"/>
        </w:rPr>
        <w:t xml:space="preserve">Sorten, die als am ähnlichsten angesehen werden, und der Auflistung nur eines oder mehrerer Merkmale pro Sorte, die Unterscheidbarkeit bieten. </w:t>
      </w:r>
      <w:r w:rsidR="003E08DC">
        <w:rPr>
          <w:rFonts w:eastAsia="Calibri"/>
        </w:rPr>
        <w:br/>
      </w:r>
      <w:r w:rsidRPr="00AC3E56">
        <w:rPr>
          <w:rFonts w:eastAsia="Calibri"/>
        </w:rPr>
        <w:t xml:space="preserve">Die TWF vereinbarte, </w:t>
      </w:r>
      <w:r w:rsidR="00235594" w:rsidRPr="00AC3E56">
        <w:rPr>
          <w:rFonts w:eastAsia="Calibri"/>
        </w:rPr>
        <w:t>dass</w:t>
      </w:r>
      <w:r w:rsidRPr="00AC3E56">
        <w:rPr>
          <w:rFonts w:eastAsia="Calibri"/>
        </w:rPr>
        <w:t xml:space="preserve"> es immer angegeben werden sollte, wenn keine ähnlichen Sorten ermittelt wurden.</w:t>
      </w:r>
    </w:p>
    <w:p w14:paraId="582FAF63" w14:textId="77777777" w:rsidR="00831EE0" w:rsidRPr="00AC3E56" w:rsidRDefault="00831EE0" w:rsidP="00831EE0"/>
    <w:p w14:paraId="582FAF64" w14:textId="33BAA465" w:rsidR="00901B57" w:rsidRPr="00AC3E56" w:rsidRDefault="005E3B05">
      <w:r w:rsidRPr="00AC3E56">
        <w:fldChar w:fldCharType="begin"/>
      </w:r>
      <w:r w:rsidRPr="00AC3E56">
        <w:instrText xml:space="preserve"> AUTONUM  </w:instrText>
      </w:r>
      <w:r w:rsidRPr="00AC3E56">
        <w:fldChar w:fldCharType="end"/>
      </w:r>
      <w:r w:rsidRPr="00AC3E56">
        <w:tab/>
        <w:t xml:space="preserve">Die TWF vereinbarte, </w:t>
      </w:r>
      <w:r w:rsidR="00235594" w:rsidRPr="00AC3E56">
        <w:t>dass</w:t>
      </w:r>
      <w:r w:rsidRPr="00AC3E56">
        <w:t xml:space="preserve"> die Erörterungen fortgesetzt werden sollten, und ersuchte den Sachverständigen aus Neuseeland, mit Unterstützung der Sachverständigen aus Australien, Kanada, der Europäischen Union, Frankreich, Deutschland und Italien einen Vorschlag für eine Anleitung zur Vervollständigung von Abschnitt 16 der UPOV-Sortenbeschreibung zu erarbeiten.</w:t>
      </w:r>
      <w:r w:rsidR="00353B49" w:rsidRPr="00AC3E56">
        <w:t xml:space="preserve"> </w:t>
      </w:r>
    </w:p>
    <w:p w14:paraId="582FAF65" w14:textId="77777777" w:rsidR="00831EE0" w:rsidRPr="00AC3E56" w:rsidRDefault="00831EE0" w:rsidP="00831EE0"/>
    <w:p w14:paraId="582FAF66" w14:textId="77777777" w:rsidR="005104A9" w:rsidRPr="00AC3E56" w:rsidRDefault="005104A9" w:rsidP="005104A9"/>
    <w:p w14:paraId="582FAF67" w14:textId="5E0C1C80" w:rsidR="00901B57" w:rsidRPr="00AC3E56" w:rsidRDefault="005E3B05" w:rsidP="00D7233B">
      <w:pPr>
        <w:pStyle w:val="Heading2"/>
        <w:rPr>
          <w:lang w:val="de-DE"/>
        </w:rPr>
      </w:pPr>
      <w:bookmarkStart w:id="11" w:name="_Toc116140206"/>
      <w:r w:rsidRPr="00AC3E56">
        <w:rPr>
          <w:lang w:val="de-DE"/>
        </w:rPr>
        <w:lastRenderedPageBreak/>
        <w:t xml:space="preserve">DUS-Prüfung von </w:t>
      </w:r>
      <w:r w:rsidR="0059019C" w:rsidRPr="00AC3E56">
        <w:rPr>
          <w:lang w:val="de-DE"/>
        </w:rPr>
        <w:t>Mutantensorten bei Apfel</w:t>
      </w:r>
      <w:bookmarkEnd w:id="11"/>
    </w:p>
    <w:p w14:paraId="582FAF68" w14:textId="77777777" w:rsidR="005104A9" w:rsidRPr="00AC3E56" w:rsidRDefault="005104A9" w:rsidP="005104A9"/>
    <w:p w14:paraId="582FAF69" w14:textId="5EFC7277" w:rsidR="00901B57" w:rsidRPr="00AC3E56" w:rsidRDefault="005E3B05">
      <w:r w:rsidRPr="00AC3E56">
        <w:fldChar w:fldCharType="begin"/>
      </w:r>
      <w:r w:rsidRPr="00AC3E56">
        <w:instrText xml:space="preserve"> AUTONUM  </w:instrText>
      </w:r>
      <w:r w:rsidRPr="00AC3E56">
        <w:fldChar w:fldCharType="end"/>
      </w:r>
      <w:r w:rsidRPr="00AC3E56">
        <w:tab/>
        <w:t xml:space="preserve">Die TWF hörte ein Referat </w:t>
      </w:r>
      <w:r w:rsidR="00831BFD" w:rsidRPr="00AC3E56">
        <w:t>über</w:t>
      </w:r>
      <w:r w:rsidRPr="00AC3E56">
        <w:t xml:space="preserve"> </w:t>
      </w:r>
      <w:r w:rsidR="00B85759" w:rsidRPr="00AC3E56">
        <w:t>„Apple mutants and disclosure of Parentage</w:t>
      </w:r>
      <w:r w:rsidR="0093333A" w:rsidRPr="00AC3E56">
        <w:t>“</w:t>
      </w:r>
      <w:r w:rsidR="00B85759" w:rsidRPr="00AC3E56">
        <w:t xml:space="preserve"> (</w:t>
      </w:r>
      <w:r w:rsidRPr="00AC3E56">
        <w:t>Apfelmutanten und Offenlegung der Abstammung</w:t>
      </w:r>
      <w:r w:rsidR="00B85759" w:rsidRPr="00AC3E56">
        <w:t>)</w:t>
      </w:r>
      <w:r w:rsidRPr="00AC3E56">
        <w:t xml:space="preserve"> von einem Sachverständigen aus Kanada.</w:t>
      </w:r>
      <w:r w:rsidR="00353B49" w:rsidRPr="00AC3E56">
        <w:t xml:space="preserve"> </w:t>
      </w:r>
      <w:r w:rsidRPr="00AC3E56">
        <w:t xml:space="preserve">Eine </w:t>
      </w:r>
      <w:r w:rsidR="005F33B8" w:rsidRPr="00AC3E56">
        <w:t>Abschrift</w:t>
      </w:r>
      <w:r w:rsidRPr="00AC3E56">
        <w:t xml:space="preserve"> des Referats ist in Dokument TWF/53/10 enthalten (</w:t>
      </w:r>
      <w:r w:rsidR="0010142C" w:rsidRPr="00AC3E56">
        <w:t>vergleiche Dokument</w:t>
      </w:r>
      <w:r w:rsidRPr="00AC3E56">
        <w:t xml:space="preserve"> TWF/53/14 </w:t>
      </w:r>
      <w:r w:rsidR="004A6CA1" w:rsidRPr="00AC3E56">
        <w:t>„Report“</w:t>
      </w:r>
      <w:r w:rsidRPr="00AC3E56">
        <w:t>, Absätze 53 bis 55).</w:t>
      </w:r>
    </w:p>
    <w:p w14:paraId="582FAF6A" w14:textId="77777777" w:rsidR="005104A9" w:rsidRPr="00AC3E56" w:rsidRDefault="005104A9" w:rsidP="005104A9"/>
    <w:p w14:paraId="582FAF6B" w14:textId="09FE0621" w:rsidR="00901B57" w:rsidRPr="00AC3E56" w:rsidRDefault="005E3B05">
      <w:r w:rsidRPr="00AC3E56">
        <w:fldChar w:fldCharType="begin"/>
      </w:r>
      <w:r w:rsidRPr="00AC3E56">
        <w:instrText xml:space="preserve"> AUTONUM  </w:instrText>
      </w:r>
      <w:r w:rsidRPr="00AC3E56">
        <w:fldChar w:fldCharType="end"/>
      </w:r>
      <w:r w:rsidRPr="00AC3E56">
        <w:tab/>
        <w:t xml:space="preserve">Die TWF prüfte, ob eine gemeinsame Datenbank für </w:t>
      </w:r>
      <w:r w:rsidR="0059019C" w:rsidRPr="00AC3E56">
        <w:t>Mutantensorten bei Apfel</w:t>
      </w:r>
      <w:r w:rsidRPr="00AC3E56">
        <w:t xml:space="preserve"> eingerichtet werden sollte, die auf der UPOV-Website zur Verfügung gestellt werden sollte. Die TWF nahm die Berichte Australiens, Brasiliens und Kanadas zur Kenntnis, </w:t>
      </w:r>
      <w:r w:rsidR="00235594" w:rsidRPr="00AC3E56">
        <w:t>dass</w:t>
      </w:r>
      <w:r w:rsidRPr="00AC3E56">
        <w:t xml:space="preserve"> es Einschränkungen bei der Offenlegung der Abstammung von Kandidatensorten in ihren Ländern geben könnte.</w:t>
      </w:r>
      <w:r w:rsidR="00353B49" w:rsidRPr="00AC3E56">
        <w:t xml:space="preserve"> </w:t>
      </w:r>
      <w:r w:rsidRPr="00AC3E56">
        <w:t xml:space="preserve">Die TWF vereinbarte, </w:t>
      </w:r>
      <w:r w:rsidR="00235594" w:rsidRPr="00AC3E56">
        <w:t>dass</w:t>
      </w:r>
      <w:r w:rsidRPr="00AC3E56">
        <w:t xml:space="preserve"> die Sorteninformationen für die DUS-Prüfung von Nutzen wären, wenn auch die Abstammung angegeben würde.</w:t>
      </w:r>
    </w:p>
    <w:p w14:paraId="582FAF6C" w14:textId="77777777" w:rsidR="005104A9" w:rsidRPr="00AC3E56" w:rsidRDefault="005104A9" w:rsidP="005104A9"/>
    <w:p w14:paraId="582FAF6D" w14:textId="73010AFB" w:rsidR="00901B57" w:rsidRPr="00AC3E56" w:rsidRDefault="005E3B05">
      <w:r w:rsidRPr="00AC3E56">
        <w:fldChar w:fldCharType="begin"/>
      </w:r>
      <w:r w:rsidRPr="00AC3E56">
        <w:instrText xml:space="preserve"> AUTONUM  </w:instrText>
      </w:r>
      <w:r w:rsidRPr="00AC3E56">
        <w:fldChar w:fldCharType="end"/>
      </w:r>
      <w:r w:rsidRPr="00AC3E56">
        <w:tab/>
        <w:t xml:space="preserve">Die TWF vereinbarte, die Europäische Union zu ersuchen, die bisherige Praxis der Erfassung von Informationen über Anträge auf Schutz von </w:t>
      </w:r>
      <w:r w:rsidR="00284F2F" w:rsidRPr="00AC3E56">
        <w:t>Mutantensorten bei Apfel</w:t>
      </w:r>
      <w:r w:rsidRPr="00AC3E56">
        <w:t xml:space="preserve"> zu überprüfen und auf der nächsten Tagung über das Ergebnis zu berichten. Die TWF vereinbarte, </w:t>
      </w:r>
      <w:r w:rsidR="00235594" w:rsidRPr="00AC3E56">
        <w:t>dass</w:t>
      </w:r>
      <w:r w:rsidRPr="00AC3E56">
        <w:t xml:space="preserve"> die </w:t>
      </w:r>
      <w:r w:rsidR="00175A42" w:rsidRPr="00AC3E56">
        <w:t>erfassten</w:t>
      </w:r>
      <w:r w:rsidRPr="00AC3E56">
        <w:t xml:space="preserve"> Informationen nur zwischen den Behörden </w:t>
      </w:r>
      <w:r w:rsidR="008B2A28" w:rsidRPr="00AC3E56">
        <w:t>weitergegeben</w:t>
      </w:r>
      <w:r w:rsidRPr="00AC3E56">
        <w:t xml:space="preserve"> und nicht öffentlich zugänglich gemacht werden sollten.</w:t>
      </w:r>
    </w:p>
    <w:p w14:paraId="582FAF6E" w14:textId="77777777" w:rsidR="005104A9" w:rsidRPr="00AC3E56" w:rsidRDefault="005104A9" w:rsidP="005104A9"/>
    <w:p w14:paraId="582FAF6F" w14:textId="77777777" w:rsidR="005104A9" w:rsidRPr="00AC3E56" w:rsidRDefault="005104A9" w:rsidP="005104A9"/>
    <w:p w14:paraId="582FAF70" w14:textId="08DC54BC" w:rsidR="00901B57" w:rsidRPr="00AC3E56" w:rsidRDefault="005E3B05" w:rsidP="00D7233B">
      <w:pPr>
        <w:pStyle w:val="Heading2"/>
        <w:rPr>
          <w:lang w:val="de-DE"/>
        </w:rPr>
      </w:pPr>
      <w:bookmarkStart w:id="12" w:name="_Toc116140207"/>
      <w:r w:rsidRPr="00AC3E56">
        <w:rPr>
          <w:lang w:val="de-DE"/>
        </w:rPr>
        <w:t>Zugang zu Pflanzenmaterial zum Zweck der Verwaltung von Sortensammlungen und der DUS-Prüfung</w:t>
      </w:r>
      <w:bookmarkEnd w:id="12"/>
    </w:p>
    <w:p w14:paraId="582FAF71" w14:textId="77777777" w:rsidR="005104A9" w:rsidRPr="00AC3E56" w:rsidRDefault="005104A9" w:rsidP="005104A9">
      <w:pPr>
        <w:keepNext/>
      </w:pPr>
    </w:p>
    <w:p w14:paraId="582FAF72" w14:textId="7FB5A2AC" w:rsidR="00901B57" w:rsidRPr="00AC3E56" w:rsidRDefault="005E3B05">
      <w:pPr>
        <w:keepNext/>
      </w:pPr>
      <w:r w:rsidRPr="00AC3E56">
        <w:fldChar w:fldCharType="begin"/>
      </w:r>
      <w:r w:rsidRPr="00AC3E56">
        <w:instrText xml:space="preserve"> AUTONUM  </w:instrText>
      </w:r>
      <w:r w:rsidRPr="00AC3E56">
        <w:fldChar w:fldCharType="end"/>
      </w:r>
      <w:r w:rsidRPr="00AC3E56">
        <w:tab/>
        <w:t xml:space="preserve">Die TWF hörte ein Referat </w:t>
      </w:r>
      <w:r w:rsidR="00831BFD" w:rsidRPr="00AC3E56">
        <w:t xml:space="preserve">über </w:t>
      </w:r>
      <w:r w:rsidR="00261215" w:rsidRPr="00AC3E56">
        <w:t>„</w:t>
      </w:r>
      <w:r w:rsidR="00E10601" w:rsidRPr="00AC3E56">
        <w:t>Access to plant material for the purpose of management of variety collections and DUS examination</w:t>
      </w:r>
      <w:r w:rsidR="009060A7" w:rsidRPr="00AC3E56">
        <w:t>“</w:t>
      </w:r>
      <w:r w:rsidR="00E10601" w:rsidRPr="00AC3E56">
        <w:t xml:space="preserve"> (</w:t>
      </w:r>
      <w:r w:rsidRPr="00AC3E56">
        <w:t>Zugang zu Pflanzenmaterial zum Zwecke der Verwaltung von Sortensammlungen und der DUS-Prüfung</w:t>
      </w:r>
      <w:r w:rsidR="00E10601" w:rsidRPr="00AC3E56">
        <w:t>)</w:t>
      </w:r>
      <w:r w:rsidRPr="00AC3E56">
        <w:t xml:space="preserve"> von einem Sachverständigen aus der Europäischen Union.</w:t>
      </w:r>
      <w:r w:rsidR="00353B49" w:rsidRPr="00AC3E56">
        <w:t xml:space="preserve"> </w:t>
      </w:r>
      <w:r w:rsidRPr="00AC3E56">
        <w:t xml:space="preserve">Eine </w:t>
      </w:r>
      <w:r w:rsidR="005F33B8" w:rsidRPr="00AC3E56">
        <w:t>Abschrift</w:t>
      </w:r>
      <w:r w:rsidRPr="00AC3E56">
        <w:t xml:space="preserve"> des Referats und ein </w:t>
      </w:r>
      <w:r w:rsidR="00136D43" w:rsidRPr="00AC3E56">
        <w:t>Musterschreiben</w:t>
      </w:r>
      <w:r w:rsidRPr="00AC3E56">
        <w:t xml:space="preserve"> für die Anforderung von Pflanzenmaterial sind in </w:t>
      </w:r>
      <w:r w:rsidR="003E08DC">
        <w:br/>
      </w:r>
      <w:r w:rsidRPr="00AC3E56">
        <w:t xml:space="preserve">Dokument TWF/53/11 enthalten (vergleiche Dokument TWF/53/14 </w:t>
      </w:r>
      <w:r w:rsidR="004A6CA1" w:rsidRPr="00AC3E56">
        <w:t>„Report“</w:t>
      </w:r>
      <w:r w:rsidRPr="00AC3E56">
        <w:t>, Absätze 56 bis 57).</w:t>
      </w:r>
    </w:p>
    <w:p w14:paraId="582FAF73" w14:textId="77777777" w:rsidR="005104A9" w:rsidRPr="00AC3E56" w:rsidRDefault="005104A9" w:rsidP="005104A9"/>
    <w:p w14:paraId="582FAF74" w14:textId="64A47EA8" w:rsidR="00901B57" w:rsidRPr="00AC3E56" w:rsidRDefault="005E3B05">
      <w:r w:rsidRPr="00AC3E56">
        <w:fldChar w:fldCharType="begin"/>
      </w:r>
      <w:r w:rsidRPr="00AC3E56">
        <w:instrText xml:space="preserve"> AUTONUM  </w:instrText>
      </w:r>
      <w:r w:rsidRPr="00AC3E56">
        <w:fldChar w:fldCharType="end"/>
      </w:r>
      <w:r w:rsidRPr="00AC3E56">
        <w:tab/>
        <w:t xml:space="preserve">Die TWF vereinbarte, die Europäische Union zu ersuchen, mit </w:t>
      </w:r>
      <w:r w:rsidR="0050114D" w:rsidRPr="00AC3E56">
        <w:t xml:space="preserve">der </w:t>
      </w:r>
      <w:r w:rsidRPr="00AC3E56">
        <w:t xml:space="preserve">Unterstützung Kanadas, Frankreichs, Deutschlands, Italiens und Neuseelands eine Liste von Elementen zu erstellen, die in </w:t>
      </w:r>
      <w:r w:rsidR="009060A7" w:rsidRPr="00AC3E56">
        <w:t>Anfragen nach</w:t>
      </w:r>
      <w:r w:rsidRPr="00AC3E56">
        <w:t xml:space="preserve"> Einreichung von Pflanzenmaterial der Kandidatensorte und allgemein bekannter Sorten für die DUS-Prüfung aufzunehmen sind. Die TWF vereinbarte, </w:t>
      </w:r>
      <w:r w:rsidR="00235594" w:rsidRPr="00AC3E56">
        <w:t>dass</w:t>
      </w:r>
      <w:r w:rsidRPr="00AC3E56">
        <w:t xml:space="preserve"> die Entwürfe der Elemente für ein künftiges Dokument für Technische Anleitung ausgearbeitet werden könnten.</w:t>
      </w:r>
      <w:r w:rsidR="00353B49" w:rsidRPr="00AC3E56">
        <w:t xml:space="preserve"> </w:t>
      </w:r>
      <w:r w:rsidRPr="00AC3E56">
        <w:t xml:space="preserve">Die TWF vereinbarte, die Europäische Union zu ersuchen, auf ihrer vierundfünfzigsten Tagung über die Entwicklungen zu berichten. </w:t>
      </w:r>
    </w:p>
    <w:p w14:paraId="582FAF75" w14:textId="77777777" w:rsidR="001C1341" w:rsidRPr="00AC3E56" w:rsidRDefault="001C1341" w:rsidP="00445B73">
      <w:pPr>
        <w:jc w:val="left"/>
        <w:rPr>
          <w:snapToGrid w:val="0"/>
        </w:rPr>
      </w:pPr>
    </w:p>
    <w:p w14:paraId="582FAF76" w14:textId="77777777" w:rsidR="001C1341" w:rsidRPr="00AC3E56" w:rsidRDefault="001C1341" w:rsidP="001C1341">
      <w:pPr>
        <w:jc w:val="left"/>
      </w:pPr>
    </w:p>
    <w:p w14:paraId="582FAF77" w14:textId="77777777" w:rsidR="00901B57" w:rsidRPr="00AC3E56" w:rsidRDefault="005E3B05" w:rsidP="00D7233B">
      <w:pPr>
        <w:pStyle w:val="Heading2"/>
        <w:rPr>
          <w:lang w:val="de-DE"/>
        </w:rPr>
      </w:pPr>
      <w:bookmarkStart w:id="13" w:name="_Toc116140208"/>
      <w:r w:rsidRPr="00AC3E56">
        <w:rPr>
          <w:snapToGrid w:val="0"/>
          <w:lang w:val="de-DE"/>
        </w:rPr>
        <w:t>Verwendung von Krankheitsresistenzmerkmalen</w:t>
      </w:r>
      <w:bookmarkEnd w:id="13"/>
    </w:p>
    <w:p w14:paraId="582FAF78" w14:textId="77777777" w:rsidR="001C1341" w:rsidRPr="00AC3E56" w:rsidRDefault="001C1341" w:rsidP="001C1341"/>
    <w:p w14:paraId="582FAF79" w14:textId="3D72AFF3" w:rsidR="00901B57" w:rsidRPr="00AC3E56" w:rsidRDefault="005E3B05">
      <w:r w:rsidRPr="00AC3E56">
        <w:fldChar w:fldCharType="begin"/>
      </w:r>
      <w:r w:rsidRPr="00AC3E56">
        <w:instrText xml:space="preserve"> AUTONUM  </w:instrText>
      </w:r>
      <w:r w:rsidRPr="00AC3E56">
        <w:fldChar w:fldCharType="end"/>
      </w:r>
      <w:r w:rsidRPr="00AC3E56">
        <w:tab/>
        <w:t xml:space="preserve">Die TWV hörte ein Referat </w:t>
      </w:r>
      <w:r w:rsidR="00831BFD" w:rsidRPr="00AC3E56">
        <w:t>über</w:t>
      </w:r>
      <w:r w:rsidRPr="00AC3E56">
        <w:t xml:space="preserve"> </w:t>
      </w:r>
      <w:r w:rsidR="00603664" w:rsidRPr="00AC3E56">
        <w:t>„</w:t>
      </w:r>
      <w:r w:rsidR="005F455F" w:rsidRPr="00AC3E56">
        <w:t>Harmorescoll - Towards a harmonized collection of reference material for DUS resistance tests</w:t>
      </w:r>
      <w:r w:rsidR="0093333A" w:rsidRPr="00AC3E56">
        <w:t>“</w:t>
      </w:r>
      <w:r w:rsidR="005F455F" w:rsidRPr="00AC3E56">
        <w:t xml:space="preserve"> (</w:t>
      </w:r>
      <w:r w:rsidRPr="00AC3E56">
        <w:t xml:space="preserve">Harmorescoll - Auf dem Weg zu einer </w:t>
      </w:r>
      <w:r w:rsidR="00353B49" w:rsidRPr="00AC3E56">
        <w:t>harmonisierten</w:t>
      </w:r>
      <w:r w:rsidRPr="00AC3E56">
        <w:t xml:space="preserve"> Sammlung von Referenzmaterial für DUS-Resistenzprüfungen</w:t>
      </w:r>
      <w:r w:rsidR="005F455F" w:rsidRPr="00AC3E56">
        <w:t>)</w:t>
      </w:r>
      <w:r w:rsidRPr="00AC3E56">
        <w:t xml:space="preserve"> von einem Sachverständigen aus Frankreich. Eine </w:t>
      </w:r>
      <w:r w:rsidR="005F33B8" w:rsidRPr="00AC3E56">
        <w:t>Abschrift</w:t>
      </w:r>
      <w:r w:rsidRPr="00AC3E56">
        <w:t xml:space="preserve"> des Referats ist in Dokument TWV/56/6 Corr. enthalten </w:t>
      </w:r>
      <w:r w:rsidR="00BE7F98" w:rsidRPr="00AC3E56">
        <w:t>(</w:t>
      </w:r>
      <w:r w:rsidR="0010142C" w:rsidRPr="00AC3E56">
        <w:t>vergleiche Dokument</w:t>
      </w:r>
      <w:r w:rsidR="00BE7F98" w:rsidRPr="00AC3E56">
        <w:t xml:space="preserve"> TWV/56/22 </w:t>
      </w:r>
      <w:r w:rsidR="004A6CA1" w:rsidRPr="00AC3E56">
        <w:t>„Report“</w:t>
      </w:r>
      <w:r w:rsidR="00BE7F98" w:rsidRPr="00AC3E56">
        <w:t xml:space="preserve">, </w:t>
      </w:r>
      <w:r w:rsidR="003E08DC">
        <w:br/>
      </w:r>
      <w:r w:rsidRPr="00AC3E56">
        <w:t>Absatz 74)</w:t>
      </w:r>
      <w:r w:rsidR="00BE7F98" w:rsidRPr="00AC3E56">
        <w:t>.</w:t>
      </w:r>
    </w:p>
    <w:p w14:paraId="582FAF7A" w14:textId="77777777" w:rsidR="001C1341" w:rsidRPr="00AC3E56" w:rsidRDefault="001C1341" w:rsidP="001C1341"/>
    <w:p w14:paraId="582FAF7B" w14:textId="77777777" w:rsidR="005104A9" w:rsidRPr="00AC3E56" w:rsidRDefault="005104A9" w:rsidP="001C1341"/>
    <w:p w14:paraId="582FAF7C" w14:textId="77777777" w:rsidR="00901B57" w:rsidRPr="00AC3E56" w:rsidRDefault="005E3B05" w:rsidP="00D7233B">
      <w:pPr>
        <w:pStyle w:val="Heading2"/>
        <w:rPr>
          <w:lang w:val="de-DE"/>
        </w:rPr>
      </w:pPr>
      <w:bookmarkStart w:id="14" w:name="_Toc116140209"/>
      <w:r w:rsidRPr="00AC3E56">
        <w:rPr>
          <w:lang w:val="de-DE"/>
        </w:rPr>
        <w:t>Krankheitsresistenz bei Zierpflanzen</w:t>
      </w:r>
      <w:bookmarkEnd w:id="14"/>
    </w:p>
    <w:p w14:paraId="582FAF7D" w14:textId="77777777" w:rsidR="00006EED" w:rsidRPr="00AC3E56" w:rsidRDefault="00006EED" w:rsidP="00006EED">
      <w:pPr>
        <w:keepNext/>
      </w:pPr>
    </w:p>
    <w:p w14:paraId="582FAF7E" w14:textId="7628DD8F" w:rsidR="00901B57" w:rsidRPr="00AC3E56" w:rsidRDefault="005E3B05">
      <w:r w:rsidRPr="00AC3E56">
        <w:fldChar w:fldCharType="begin"/>
      </w:r>
      <w:r w:rsidRPr="00AC3E56">
        <w:instrText xml:space="preserve"> AUTONUM  </w:instrText>
      </w:r>
      <w:r w:rsidRPr="00AC3E56">
        <w:fldChar w:fldCharType="end"/>
      </w:r>
      <w:r w:rsidRPr="00AC3E56">
        <w:tab/>
        <w:t xml:space="preserve">Die TWO hörte ein Referat </w:t>
      </w:r>
      <w:r w:rsidR="00831BFD" w:rsidRPr="00AC3E56">
        <w:t>über</w:t>
      </w:r>
      <w:r w:rsidR="009205F7" w:rsidRPr="00AC3E56">
        <w:t xml:space="preserve"> </w:t>
      </w:r>
      <w:r w:rsidR="0076028B" w:rsidRPr="00AC3E56">
        <w:t>„</w:t>
      </w:r>
      <w:r w:rsidR="00710D88" w:rsidRPr="00AC3E56">
        <w:t xml:space="preserve">Resistance to </w:t>
      </w:r>
      <w:r w:rsidR="00710D88" w:rsidRPr="00AC3E56">
        <w:rPr>
          <w:i/>
        </w:rPr>
        <w:t>Puccinia horiana</w:t>
      </w:r>
      <w:r w:rsidR="00710D88" w:rsidRPr="00AC3E56">
        <w:t xml:space="preserve"> in Chrysanthemum - Progress report concerning a potential new DUS characteristic</w:t>
      </w:r>
      <w:r w:rsidR="009060A7" w:rsidRPr="00AC3E56">
        <w:t>“</w:t>
      </w:r>
      <w:r w:rsidR="00710D88" w:rsidRPr="00AC3E56">
        <w:t xml:space="preserve"> </w:t>
      </w:r>
      <w:r w:rsidR="0076028B" w:rsidRPr="00AC3E56">
        <w:t>(</w:t>
      </w:r>
      <w:r w:rsidRPr="00AC3E56">
        <w:t xml:space="preserve">Resistenz gegen </w:t>
      </w:r>
      <w:r w:rsidRPr="00AC3E56">
        <w:rPr>
          <w:i/>
        </w:rPr>
        <w:t xml:space="preserve">Puccinia horiana </w:t>
      </w:r>
      <w:r w:rsidRPr="00AC3E56">
        <w:t xml:space="preserve">bei Chrysantheme - Fortschrittsbericht </w:t>
      </w:r>
      <w:r w:rsidR="00751368" w:rsidRPr="00AC3E56">
        <w:t>betreffend ein</w:t>
      </w:r>
      <w:r w:rsidRPr="00AC3E56">
        <w:t xml:space="preserve"> potentielle</w:t>
      </w:r>
      <w:r w:rsidR="00751368" w:rsidRPr="00AC3E56">
        <w:t>s</w:t>
      </w:r>
      <w:r w:rsidRPr="00AC3E56">
        <w:t xml:space="preserve"> neue</w:t>
      </w:r>
      <w:r w:rsidR="00751368" w:rsidRPr="00AC3E56">
        <w:t>s</w:t>
      </w:r>
      <w:r w:rsidRPr="00AC3E56">
        <w:t xml:space="preserve"> DUS-Merkma</w:t>
      </w:r>
      <w:r w:rsidR="00751368" w:rsidRPr="00AC3E56">
        <w:t>l</w:t>
      </w:r>
      <w:r w:rsidR="0076028B" w:rsidRPr="00AC3E56">
        <w:t>)</w:t>
      </w:r>
      <w:r w:rsidRPr="00AC3E56">
        <w:t xml:space="preserve"> von einem Sachverständigen aus den Niederlanden. Eine </w:t>
      </w:r>
      <w:r w:rsidR="005F33B8" w:rsidRPr="00AC3E56">
        <w:t>Abschrift</w:t>
      </w:r>
      <w:r w:rsidRPr="00AC3E56">
        <w:t xml:space="preserve"> des Referats ist in Dokument TWO/54/4 enthalten. Die TWO nahm den Arbeitsbericht zur Kenntnis und vereinbarte, den Sachverständigen aus den Niederlanden zu ersuchen, auf ihrer fünfundfünfzigsten Tagung über die Entwicklungen zu berichten </w:t>
      </w:r>
      <w:r w:rsidR="00BE7F98" w:rsidRPr="00AC3E56">
        <w:t xml:space="preserve">(vergleiche Dokument TWO/54/6 </w:t>
      </w:r>
      <w:r w:rsidR="004A6CA1" w:rsidRPr="00AC3E56">
        <w:t>„Report“</w:t>
      </w:r>
      <w:r w:rsidR="00BE7F98" w:rsidRPr="00AC3E56">
        <w:t xml:space="preserve">, </w:t>
      </w:r>
      <w:r w:rsidRPr="00AC3E56">
        <w:t>Absätze 37 bis 39)</w:t>
      </w:r>
      <w:r w:rsidR="00BE7F98" w:rsidRPr="00AC3E56">
        <w:t>.</w:t>
      </w:r>
    </w:p>
    <w:p w14:paraId="582FAF7F" w14:textId="77777777" w:rsidR="00006EED" w:rsidRPr="00AC3E56" w:rsidRDefault="00006EED" w:rsidP="00006EED"/>
    <w:p w14:paraId="582FAF80" w14:textId="6626CE1C" w:rsidR="00901B57" w:rsidRPr="00AC3E56" w:rsidRDefault="005E3B05">
      <w:r w:rsidRPr="00AC3E56">
        <w:fldChar w:fldCharType="begin"/>
      </w:r>
      <w:r w:rsidRPr="00AC3E56">
        <w:instrText xml:space="preserve"> AUTONUM  </w:instrText>
      </w:r>
      <w:r w:rsidRPr="00AC3E56">
        <w:fldChar w:fldCharType="end"/>
      </w:r>
      <w:r w:rsidRPr="00AC3E56">
        <w:tab/>
        <w:t xml:space="preserve">Die TWO nahm zur Kenntnis, </w:t>
      </w:r>
      <w:r w:rsidR="00235594" w:rsidRPr="00AC3E56">
        <w:t>dass</w:t>
      </w:r>
      <w:r w:rsidRPr="00AC3E56">
        <w:t xml:space="preserve"> die Resistenz gegen </w:t>
      </w:r>
      <w:r w:rsidRPr="00AC3E56">
        <w:rPr>
          <w:i/>
        </w:rPr>
        <w:t xml:space="preserve">P. horiana </w:t>
      </w:r>
      <w:r w:rsidRPr="00AC3E56">
        <w:t xml:space="preserve">ein derzeitiges Zuchtziel sei und bei der DUS-Prüfung noch nicht verwendet werde. Die TWO nahm die </w:t>
      </w:r>
      <w:r w:rsidR="00007B5D" w:rsidRPr="00AC3E56">
        <w:t>Einladung</w:t>
      </w:r>
      <w:r w:rsidRPr="00AC3E56">
        <w:t xml:space="preserve"> zur weiteren Beteiligung an der Entwicklung der Methodik zur </w:t>
      </w:r>
      <w:r w:rsidR="00B617CD" w:rsidRPr="00AC3E56">
        <w:t>Erfassung</w:t>
      </w:r>
      <w:r w:rsidRPr="00AC3E56">
        <w:t xml:space="preserve"> des Merkmals zur Kenntnis. </w:t>
      </w:r>
    </w:p>
    <w:p w14:paraId="582FAF81" w14:textId="77777777" w:rsidR="00006EED" w:rsidRPr="00AC3E56" w:rsidRDefault="00006EED" w:rsidP="00006EED"/>
    <w:p w14:paraId="582FAF82" w14:textId="06352C03" w:rsidR="00901B57" w:rsidRPr="00AC3E56" w:rsidRDefault="005E3B05">
      <w:r w:rsidRPr="00AC3E56">
        <w:fldChar w:fldCharType="begin"/>
      </w:r>
      <w:r w:rsidRPr="00AC3E56">
        <w:instrText xml:space="preserve"> AUTONUM  </w:instrText>
      </w:r>
      <w:r w:rsidRPr="00AC3E56">
        <w:fldChar w:fldCharType="end"/>
      </w:r>
      <w:r w:rsidRPr="00AC3E56">
        <w:tab/>
        <w:t xml:space="preserve">Die TWO nahm die besonderen Anforderungen für die Erhaltung der Isolate von </w:t>
      </w:r>
      <w:r w:rsidRPr="00AC3E56">
        <w:rPr>
          <w:i/>
        </w:rPr>
        <w:t xml:space="preserve">P. horiana zur </w:t>
      </w:r>
      <w:r w:rsidRPr="00AC3E56">
        <w:t xml:space="preserve">Kenntnis und vereinbarte, </w:t>
      </w:r>
      <w:r w:rsidR="00235594" w:rsidRPr="00AC3E56">
        <w:t>dass</w:t>
      </w:r>
      <w:r w:rsidRPr="00AC3E56">
        <w:t xml:space="preserve"> </w:t>
      </w:r>
      <w:r w:rsidR="009060A7" w:rsidRPr="00AC3E56">
        <w:t xml:space="preserve">eine </w:t>
      </w:r>
      <w:r w:rsidRPr="00AC3E56">
        <w:t xml:space="preserve">weitere </w:t>
      </w:r>
      <w:r w:rsidR="00D1155B" w:rsidRPr="00AC3E56">
        <w:t>Prüfung</w:t>
      </w:r>
      <w:r w:rsidRPr="00AC3E56">
        <w:t xml:space="preserve"> erforderlich sei, bevor dieses Merkmal in die Prüfungsrichtlinien für Chrysantheme aufgenommen werde.</w:t>
      </w:r>
    </w:p>
    <w:p w14:paraId="582FAF83" w14:textId="77777777" w:rsidR="00006EED" w:rsidRPr="00AC3E56" w:rsidRDefault="00006EED" w:rsidP="001C1341"/>
    <w:p w14:paraId="582FAF84" w14:textId="77777777" w:rsidR="005104A9" w:rsidRPr="00AC3E56" w:rsidRDefault="005104A9" w:rsidP="001C1341"/>
    <w:p w14:paraId="582FAF85" w14:textId="77777777" w:rsidR="00901B57" w:rsidRPr="00AC3E56" w:rsidRDefault="005E3B05" w:rsidP="00D7233B">
      <w:pPr>
        <w:pStyle w:val="Heading2"/>
        <w:rPr>
          <w:lang w:val="de-DE"/>
        </w:rPr>
      </w:pPr>
      <w:bookmarkStart w:id="15" w:name="_Toc116140210"/>
      <w:r w:rsidRPr="00AC3E56">
        <w:rPr>
          <w:snapToGrid w:val="0"/>
          <w:lang w:val="de-DE"/>
        </w:rPr>
        <w:lastRenderedPageBreak/>
        <w:t>Neue Fragen, die sich für die DUS-Prüfung ergeben</w:t>
      </w:r>
      <w:bookmarkEnd w:id="15"/>
    </w:p>
    <w:p w14:paraId="582FAF86" w14:textId="77777777" w:rsidR="001C1341" w:rsidRPr="00AC3E56" w:rsidRDefault="001C1341" w:rsidP="001C1341"/>
    <w:p w14:paraId="582FAF87" w14:textId="00DC2237" w:rsidR="00901B57" w:rsidRPr="00AC3E56" w:rsidRDefault="005E3B05">
      <w:r w:rsidRPr="00AC3E56">
        <w:fldChar w:fldCharType="begin"/>
      </w:r>
      <w:r w:rsidRPr="00AC3E56">
        <w:instrText xml:space="preserve"> AUTONUM  </w:instrText>
      </w:r>
      <w:r w:rsidRPr="00AC3E56">
        <w:fldChar w:fldCharType="end"/>
      </w:r>
      <w:r w:rsidRPr="00AC3E56">
        <w:tab/>
        <w:t xml:space="preserve">Die TWV hörte folgende Referate von Sachverständigen aus der Europäischen Union, von denen </w:t>
      </w:r>
      <w:r w:rsidR="005F33B8" w:rsidRPr="00AC3E56">
        <w:t>Abschrift</w:t>
      </w:r>
      <w:r w:rsidR="00FB385A" w:rsidRPr="00AC3E56">
        <w:t>e</w:t>
      </w:r>
      <w:r w:rsidRPr="00AC3E56">
        <w:t>n in Dokument TWV/56/14 (Absatz 75) enthalten sind:</w:t>
      </w:r>
    </w:p>
    <w:p w14:paraId="582FAF88" w14:textId="77777777" w:rsidR="001C1341" w:rsidRPr="00AC3E56" w:rsidRDefault="001C1341" w:rsidP="001C1341"/>
    <w:p w14:paraId="582FAF89" w14:textId="468F6949" w:rsidR="00901B57" w:rsidRPr="00AC3E56" w:rsidRDefault="00FB385A">
      <w:pPr>
        <w:pStyle w:val="ListParagraph"/>
        <w:numPr>
          <w:ilvl w:val="2"/>
          <w:numId w:val="2"/>
        </w:numPr>
        <w:ind w:left="1134" w:hanging="567"/>
      </w:pPr>
      <w:r w:rsidRPr="00AC3E56">
        <w:t>„</w:t>
      </w:r>
      <w:r w:rsidR="00DC3F76" w:rsidRPr="00AC3E56">
        <w:t>Characteristics with one single observation in multi-annual testing</w:t>
      </w:r>
      <w:r w:rsidR="009060A7" w:rsidRPr="00AC3E56">
        <w:t>“</w:t>
      </w:r>
      <w:r w:rsidR="00DC3F76" w:rsidRPr="00AC3E56">
        <w:t xml:space="preserve"> (</w:t>
      </w:r>
      <w:r w:rsidRPr="00AC3E56">
        <w:t xml:space="preserve">Merkmale mit einer einzigen </w:t>
      </w:r>
      <w:r w:rsidR="00353B49" w:rsidRPr="00AC3E56">
        <w:t>Erfassung</w:t>
      </w:r>
      <w:r w:rsidRPr="00AC3E56">
        <w:t xml:space="preserve"> bei mehrjährigen Tests</w:t>
      </w:r>
      <w:r w:rsidR="00DC3F76" w:rsidRPr="00AC3E56">
        <w:t>)</w:t>
      </w:r>
      <w:r w:rsidRPr="00AC3E56">
        <w:t>;</w:t>
      </w:r>
    </w:p>
    <w:p w14:paraId="582FAF8A" w14:textId="5A2A4AEE" w:rsidR="00901B57" w:rsidRPr="00AC3E56" w:rsidRDefault="00FB385A">
      <w:pPr>
        <w:pStyle w:val="ListParagraph"/>
        <w:numPr>
          <w:ilvl w:val="2"/>
          <w:numId w:val="2"/>
        </w:numPr>
        <w:ind w:left="1134" w:hanging="567"/>
      </w:pPr>
      <w:r w:rsidRPr="00AC3E56">
        <w:t>„</w:t>
      </w:r>
      <w:r w:rsidR="008F768E" w:rsidRPr="00AC3E56">
        <w:t>Acceptance of final reports based on variety descriptions with the same notes</w:t>
      </w:r>
      <w:r w:rsidR="009060A7" w:rsidRPr="00AC3E56">
        <w:t>“</w:t>
      </w:r>
      <w:r w:rsidR="008F768E" w:rsidRPr="00AC3E56">
        <w:t xml:space="preserve"> (</w:t>
      </w:r>
      <w:r w:rsidRPr="00AC3E56">
        <w:t>Annahme von Abschlussberichten auf der Grundlage von Sortenbeschreibungen mit den</w:t>
      </w:r>
      <w:r w:rsidR="00A4056E" w:rsidRPr="00AC3E56">
        <w:t xml:space="preserve"> gleichen</w:t>
      </w:r>
      <w:r w:rsidRPr="00AC3E56">
        <w:t xml:space="preserve"> Noten</w:t>
      </w:r>
      <w:r w:rsidR="008F768E" w:rsidRPr="00AC3E56">
        <w:t>)</w:t>
      </w:r>
      <w:r w:rsidRPr="00AC3E56">
        <w:t>;</w:t>
      </w:r>
    </w:p>
    <w:p w14:paraId="582FAF8B" w14:textId="3AC06F6F" w:rsidR="00901B57" w:rsidRPr="00AC3E56" w:rsidRDefault="00FB385A">
      <w:pPr>
        <w:pStyle w:val="ListParagraph"/>
        <w:numPr>
          <w:ilvl w:val="2"/>
          <w:numId w:val="2"/>
        </w:numPr>
        <w:ind w:left="1134" w:hanging="567"/>
      </w:pPr>
      <w:r w:rsidRPr="00AC3E56">
        <w:t>„</w:t>
      </w:r>
      <w:r w:rsidR="00A05DC5" w:rsidRPr="00AC3E56">
        <w:t>Issue of reporting of the absence of similar varieties mentioned under chapter 16 of variety descriptions</w:t>
      </w:r>
      <w:r w:rsidR="009060A7" w:rsidRPr="00AC3E56">
        <w:t>“</w:t>
      </w:r>
      <w:r w:rsidR="00A05DC5" w:rsidRPr="00AC3E56">
        <w:t xml:space="preserve"> (</w:t>
      </w:r>
      <w:r w:rsidRPr="00AC3E56">
        <w:t>Berichte</w:t>
      </w:r>
      <w:r w:rsidR="00353B49" w:rsidRPr="00AC3E56">
        <w:t>rstattung</w:t>
      </w:r>
      <w:r w:rsidRPr="00AC3E56">
        <w:t xml:space="preserve"> über das Fehlen ähnlicher Sorten, die in Kapitel 16 der Sortenbeschreibungen aufgeführt sind</w:t>
      </w:r>
      <w:r w:rsidR="00A05DC5" w:rsidRPr="00AC3E56">
        <w:t>)</w:t>
      </w:r>
      <w:r w:rsidRPr="00AC3E56">
        <w:t>.</w:t>
      </w:r>
    </w:p>
    <w:p w14:paraId="582FAF8C" w14:textId="77777777" w:rsidR="00AC3A8C" w:rsidRPr="00AC3E56" w:rsidRDefault="00AC3A8C" w:rsidP="00AC3A8C"/>
    <w:p w14:paraId="582FAF8D" w14:textId="77777777" w:rsidR="005104A9" w:rsidRPr="00AC3E56" w:rsidRDefault="005104A9" w:rsidP="00AC3A8C"/>
    <w:p w14:paraId="582FAF8E" w14:textId="6815718C" w:rsidR="00901B57" w:rsidRPr="00AC3E56" w:rsidRDefault="005E3B05" w:rsidP="00D7233B">
      <w:pPr>
        <w:pStyle w:val="Heading2"/>
        <w:rPr>
          <w:lang w:val="de-DE"/>
        </w:rPr>
      </w:pPr>
      <w:bookmarkStart w:id="16" w:name="_Toc116140211"/>
      <w:r w:rsidRPr="00AC3E56">
        <w:rPr>
          <w:lang w:val="de-DE"/>
        </w:rPr>
        <w:t xml:space="preserve">Erfahrungen mit neuen </w:t>
      </w:r>
      <w:r w:rsidR="00D7233B" w:rsidRPr="00AC3E56">
        <w:rPr>
          <w:lang w:val="de-DE"/>
        </w:rPr>
        <w:t xml:space="preserve">Typen und </w:t>
      </w:r>
      <w:r w:rsidRPr="00AC3E56">
        <w:rPr>
          <w:lang w:val="de-DE"/>
        </w:rPr>
        <w:t>Arten</w:t>
      </w:r>
      <w:bookmarkEnd w:id="16"/>
    </w:p>
    <w:p w14:paraId="582FAF8F" w14:textId="77777777" w:rsidR="00AC3A8C" w:rsidRPr="00AC3E56" w:rsidRDefault="00AC3A8C" w:rsidP="00646AF0">
      <w:pPr>
        <w:keepNext/>
      </w:pPr>
    </w:p>
    <w:p w14:paraId="582FAF90" w14:textId="47385571" w:rsidR="00901B57" w:rsidRPr="00AC3E56" w:rsidRDefault="005E3B05">
      <w:pPr>
        <w:keepNext/>
      </w:pPr>
      <w:r w:rsidRPr="00AC3E56">
        <w:fldChar w:fldCharType="begin"/>
      </w:r>
      <w:r w:rsidRPr="00AC3E56">
        <w:instrText xml:space="preserve"> AUTONUM  </w:instrText>
      </w:r>
      <w:r w:rsidRPr="00AC3E56">
        <w:fldChar w:fldCharType="end"/>
      </w:r>
      <w:r w:rsidRPr="00AC3E56">
        <w:tab/>
        <w:t xml:space="preserve">Die TWO erhielt einen Bericht </w:t>
      </w:r>
      <w:r w:rsidR="004162BF" w:rsidRPr="00AC3E56">
        <w:t>von einem</w:t>
      </w:r>
      <w:r w:rsidRPr="00AC3E56">
        <w:t xml:space="preserve"> Sachverständigen aus der Europäischen Union über eingegangene Anträge für Ziersorten von </w:t>
      </w:r>
      <w:r w:rsidRPr="00AC3E56">
        <w:rPr>
          <w:i/>
        </w:rPr>
        <w:t xml:space="preserve">Colocasia esculenta </w:t>
      </w:r>
      <w:r w:rsidRPr="00AC3E56">
        <w:t>(L.) Schott.</w:t>
      </w:r>
      <w:r w:rsidR="00353B49" w:rsidRPr="00AC3E56">
        <w:t xml:space="preserve"> </w:t>
      </w:r>
      <w:r w:rsidRPr="00AC3E56">
        <w:t xml:space="preserve">Die TWO nahm zur Kenntnis, </w:t>
      </w:r>
      <w:r w:rsidR="00235594" w:rsidRPr="00AC3E56">
        <w:t>dass</w:t>
      </w:r>
      <w:r w:rsidRPr="00AC3E56">
        <w:t xml:space="preserve"> die Prüfungsrichtlinien für Colocasia (Dokument TG/255/1) nicht für Ziersorten </w:t>
      </w:r>
      <w:r w:rsidR="004F3A33" w:rsidRPr="00AC3E56">
        <w:t>erstellt</w:t>
      </w:r>
      <w:r w:rsidRPr="00AC3E56">
        <w:t xml:space="preserve"> worden seien, und nahm zur Kenntnis, </w:t>
      </w:r>
      <w:r w:rsidR="00235594" w:rsidRPr="00AC3E56">
        <w:t>dass</w:t>
      </w:r>
      <w:r w:rsidRPr="00AC3E56">
        <w:t xml:space="preserve"> es unter den Teilnehmern keine Erfahrung mit der DUS-Prüfung der Pflanze gebe </w:t>
      </w:r>
      <w:r w:rsidR="003E08DC">
        <w:br/>
      </w:r>
      <w:r w:rsidRPr="00AC3E56">
        <w:t>(Absatz 63)</w:t>
      </w:r>
      <w:r w:rsidR="009060A7" w:rsidRPr="00AC3E56">
        <w:t>.</w:t>
      </w:r>
    </w:p>
    <w:p w14:paraId="582FAF91" w14:textId="77777777" w:rsidR="00370794" w:rsidRPr="00AC3E56" w:rsidRDefault="00370794" w:rsidP="0045207C"/>
    <w:p w14:paraId="582FAF92" w14:textId="77777777" w:rsidR="00370794" w:rsidRPr="00AC3E56" w:rsidRDefault="00370794" w:rsidP="00370794"/>
    <w:p w14:paraId="582FAF93" w14:textId="77777777" w:rsidR="00901B57" w:rsidRPr="00AC3E56" w:rsidRDefault="005E3B05" w:rsidP="00D7233B">
      <w:pPr>
        <w:pStyle w:val="Heading2"/>
        <w:rPr>
          <w:lang w:val="de-DE"/>
        </w:rPr>
      </w:pPr>
      <w:bookmarkStart w:id="17" w:name="_Toc116140212"/>
      <w:r w:rsidRPr="00AC3E56">
        <w:rPr>
          <w:lang w:val="de-DE"/>
        </w:rPr>
        <w:t>Prüfung von Hybridsorten</w:t>
      </w:r>
      <w:bookmarkEnd w:id="17"/>
    </w:p>
    <w:p w14:paraId="582FAF94" w14:textId="77777777" w:rsidR="00370794" w:rsidRPr="00AC3E56" w:rsidRDefault="00370794" w:rsidP="00370794"/>
    <w:p w14:paraId="582FAF95" w14:textId="532D027F" w:rsidR="00901B57" w:rsidRPr="00AC3E56" w:rsidRDefault="005E3B05">
      <w:r w:rsidRPr="00AC3E56">
        <w:fldChar w:fldCharType="begin"/>
      </w:r>
      <w:r w:rsidRPr="00AC3E56">
        <w:instrText xml:space="preserve"> AUTONUM  </w:instrText>
      </w:r>
      <w:r w:rsidRPr="00AC3E56">
        <w:fldChar w:fldCharType="end"/>
      </w:r>
      <w:r w:rsidRPr="00AC3E56">
        <w:tab/>
        <w:t xml:space="preserve">Die TWA hörte ein Referat </w:t>
      </w:r>
      <w:r w:rsidR="00831BFD" w:rsidRPr="00AC3E56">
        <w:t xml:space="preserve">über </w:t>
      </w:r>
      <w:r w:rsidR="00906BDA" w:rsidRPr="00AC3E56">
        <w:t>„Examining Wheat Hybrids</w:t>
      </w:r>
      <w:r w:rsidR="009060A7" w:rsidRPr="00AC3E56">
        <w:t>“</w:t>
      </w:r>
      <w:r w:rsidR="00906BDA" w:rsidRPr="00AC3E56">
        <w:t xml:space="preserve"> (</w:t>
      </w:r>
      <w:r w:rsidRPr="00AC3E56">
        <w:t>Prüfung von Weizenhybriden</w:t>
      </w:r>
      <w:r w:rsidR="00906BDA" w:rsidRPr="00AC3E56">
        <w:t>)</w:t>
      </w:r>
      <w:r w:rsidRPr="00AC3E56">
        <w:t xml:space="preserve"> von einem Sachverständigen aus dem Vereinigten Königreich. Eine </w:t>
      </w:r>
      <w:r w:rsidR="005F33B8" w:rsidRPr="00AC3E56">
        <w:t>Abschrift</w:t>
      </w:r>
      <w:r w:rsidRPr="00AC3E56">
        <w:t xml:space="preserve"> des Referats ist in Dokument TWA/51/10 enthalten. Die TWA vereinbarte, </w:t>
      </w:r>
      <w:r w:rsidR="00235594" w:rsidRPr="00AC3E56">
        <w:t>dass</w:t>
      </w:r>
      <w:r w:rsidRPr="00AC3E56">
        <w:t xml:space="preserve"> nicht genügend Erfahrung mit der DUS-Prüfung von Weizenhybriden, die durch </w:t>
      </w:r>
      <w:r w:rsidR="001466F7" w:rsidRPr="00AC3E56">
        <w:t xml:space="preserve">unterschiedliche Verfahren zur Vermehrung </w:t>
      </w:r>
      <w:r w:rsidRPr="00AC3E56">
        <w:t xml:space="preserve">erzeugt wurden, vorhanden sei, um eine Änderung der Homogenitätsstandards in den Prüfungsrichtlinien in Betracht zu ziehen (vergleiche Dokument TWA/51/11 </w:t>
      </w:r>
      <w:r w:rsidR="004A6CA1" w:rsidRPr="00AC3E56">
        <w:t>„Report“</w:t>
      </w:r>
      <w:r w:rsidRPr="00AC3E56">
        <w:t>, Absatz 40).</w:t>
      </w:r>
    </w:p>
    <w:p w14:paraId="582FAF96" w14:textId="77777777" w:rsidR="00370794" w:rsidRPr="00AC3E56" w:rsidRDefault="00370794" w:rsidP="00370794"/>
    <w:p w14:paraId="582FAF97" w14:textId="77777777" w:rsidR="005104A9" w:rsidRPr="00AC3E56" w:rsidRDefault="005104A9" w:rsidP="005104A9">
      <w:pPr>
        <w:jc w:val="left"/>
      </w:pPr>
    </w:p>
    <w:p w14:paraId="582FAF98" w14:textId="77777777" w:rsidR="00901B57" w:rsidRPr="00AC3E56" w:rsidRDefault="005E3B05" w:rsidP="00D7233B">
      <w:pPr>
        <w:pStyle w:val="Heading2"/>
        <w:rPr>
          <w:lang w:val="de-DE"/>
        </w:rPr>
      </w:pPr>
      <w:bookmarkStart w:id="18" w:name="_Toc116140213"/>
      <w:r w:rsidRPr="00AC3E56">
        <w:rPr>
          <w:lang w:val="de-DE"/>
        </w:rPr>
        <w:t>Neue Technologien bei der DUS-Prüfung</w:t>
      </w:r>
      <w:bookmarkEnd w:id="18"/>
    </w:p>
    <w:p w14:paraId="582FAF99" w14:textId="77777777" w:rsidR="005104A9" w:rsidRPr="00AC3E56" w:rsidRDefault="005104A9" w:rsidP="005104A9"/>
    <w:p w14:paraId="582FAF9A" w14:textId="0F114E5B" w:rsidR="00901B57" w:rsidRPr="00AC3E56" w:rsidRDefault="005E3B05">
      <w:r w:rsidRPr="00AC3E56">
        <w:fldChar w:fldCharType="begin"/>
      </w:r>
      <w:r w:rsidRPr="00AC3E56">
        <w:instrText xml:space="preserve"> AUTONUM  </w:instrText>
      </w:r>
      <w:r w:rsidRPr="00AC3E56">
        <w:fldChar w:fldCharType="end"/>
      </w:r>
      <w:r w:rsidRPr="00AC3E56">
        <w:tab/>
        <w:t xml:space="preserve">Die TWA hörte ein Referat eines Sachverständigen aus Dänemark </w:t>
      </w:r>
      <w:r w:rsidR="00831BFD" w:rsidRPr="00AC3E56">
        <w:t xml:space="preserve">über </w:t>
      </w:r>
      <w:r w:rsidR="00693E41" w:rsidRPr="00AC3E56">
        <w:t>„Estimation of plant length in winter wheat by drone imaging</w:t>
      </w:r>
      <w:r w:rsidR="009060A7" w:rsidRPr="00AC3E56">
        <w:t>“</w:t>
      </w:r>
      <w:r w:rsidR="00693E41" w:rsidRPr="00AC3E56">
        <w:t xml:space="preserve"> (</w:t>
      </w:r>
      <w:r w:rsidRPr="00AC3E56">
        <w:t>Schätzung der Pflanzenlänge bei Winterweizen mittels Drohnenaufnahmen</w:t>
      </w:r>
      <w:r w:rsidR="009060A7" w:rsidRPr="00AC3E56">
        <w:t>)</w:t>
      </w:r>
      <w:r w:rsidRPr="00AC3E56">
        <w:t>.</w:t>
      </w:r>
      <w:r w:rsidR="00353B49" w:rsidRPr="00AC3E56">
        <w:t xml:space="preserve"> </w:t>
      </w:r>
      <w:r w:rsidRPr="00AC3E56">
        <w:t xml:space="preserve">Eine </w:t>
      </w:r>
      <w:r w:rsidR="005F33B8" w:rsidRPr="00AC3E56">
        <w:t>Abschrift</w:t>
      </w:r>
      <w:r w:rsidRPr="00AC3E56">
        <w:t xml:space="preserve"> des </w:t>
      </w:r>
      <w:r w:rsidR="006E1618" w:rsidRPr="00AC3E56">
        <w:t>Referats</w:t>
      </w:r>
      <w:r w:rsidRPr="00AC3E56">
        <w:t xml:space="preserve"> ist in Dokument TWA/51/6 enthalten.</w:t>
      </w:r>
      <w:r w:rsidR="00353B49" w:rsidRPr="00AC3E56">
        <w:t xml:space="preserve"> </w:t>
      </w:r>
      <w:r w:rsidRPr="00AC3E56">
        <w:t xml:space="preserve">Die TWA nahm </w:t>
      </w:r>
      <w:r w:rsidR="00AF272E" w:rsidRPr="00AC3E56">
        <w:t>den</w:t>
      </w:r>
      <w:r w:rsidRPr="00AC3E56">
        <w:t xml:space="preserve"> </w:t>
      </w:r>
      <w:r w:rsidR="00AF272E" w:rsidRPr="00AC3E56">
        <w:t>Arbeitsbericht</w:t>
      </w:r>
      <w:r w:rsidRPr="00AC3E56">
        <w:t xml:space="preserve"> zur Kenntnis und vereinbarte, den Sachverständigen aus Dänemark zu ersuchen, auf ihrer zweiundfünfzigsten Tagung über die Entwicklungen zu berichten (vergleiche Dokument TWA/51/11 </w:t>
      </w:r>
      <w:r w:rsidR="004A6CA1" w:rsidRPr="00AC3E56">
        <w:t>„Report“</w:t>
      </w:r>
      <w:r w:rsidRPr="00AC3E56">
        <w:t>, Absatz 38).</w:t>
      </w:r>
    </w:p>
    <w:p w14:paraId="582FAF9B" w14:textId="77777777" w:rsidR="005104A9" w:rsidRPr="00AC3E56" w:rsidRDefault="005104A9" w:rsidP="005104A9">
      <w:pPr>
        <w:jc w:val="left"/>
      </w:pPr>
    </w:p>
    <w:p w14:paraId="582FAF9C" w14:textId="77777777" w:rsidR="0045207C" w:rsidRPr="00AC3E56" w:rsidRDefault="0045207C" w:rsidP="0045207C"/>
    <w:p w14:paraId="582FAF9D" w14:textId="7D3FC923" w:rsidR="00901B57" w:rsidRPr="00AC3E56" w:rsidRDefault="00622C45" w:rsidP="00D7233B">
      <w:pPr>
        <w:pStyle w:val="Heading2"/>
        <w:rPr>
          <w:lang w:val="de-DE"/>
        </w:rPr>
      </w:pPr>
      <w:bookmarkStart w:id="19" w:name="_Toc116140214"/>
      <w:r w:rsidRPr="00AC3E56">
        <w:rPr>
          <w:lang w:val="de-DE"/>
        </w:rPr>
        <w:t>Plattform für große Datenmengen</w:t>
      </w:r>
      <w:r w:rsidR="00E164B8" w:rsidRPr="00AC3E56">
        <w:rPr>
          <w:lang w:val="de-DE"/>
        </w:rPr>
        <w:t xml:space="preserve"> für</w:t>
      </w:r>
      <w:r w:rsidRPr="00AC3E56">
        <w:rPr>
          <w:lang w:val="de-DE"/>
        </w:rPr>
        <w:t xml:space="preserve"> die DUS-Prüfung</w:t>
      </w:r>
      <w:bookmarkEnd w:id="19"/>
    </w:p>
    <w:p w14:paraId="582FAF9E" w14:textId="77777777" w:rsidR="00831EE0" w:rsidRPr="00AC3E56" w:rsidRDefault="00831EE0" w:rsidP="00831EE0"/>
    <w:p w14:paraId="582FAF9F" w14:textId="6D369E33" w:rsidR="00901B57" w:rsidRPr="00AC3E56" w:rsidRDefault="005E3B05">
      <w:r w:rsidRPr="00AC3E56">
        <w:fldChar w:fldCharType="begin"/>
      </w:r>
      <w:r w:rsidRPr="00AC3E56">
        <w:instrText xml:space="preserve"> AUTONUM  </w:instrText>
      </w:r>
      <w:r w:rsidRPr="00AC3E56">
        <w:fldChar w:fldCharType="end"/>
      </w:r>
      <w:r w:rsidRPr="00AC3E56">
        <w:tab/>
        <w:t xml:space="preserve">Die TWA hörte ein Referat </w:t>
      </w:r>
      <w:r w:rsidR="00831BFD" w:rsidRPr="00AC3E56">
        <w:t>über</w:t>
      </w:r>
      <w:r w:rsidR="0044139E" w:rsidRPr="00AC3E56">
        <w:t xml:space="preserve"> </w:t>
      </w:r>
      <w:r w:rsidR="00EB7F46" w:rsidRPr="00AC3E56">
        <w:t>„Big Data Platform for DUS Examination</w:t>
      </w:r>
      <w:r w:rsidR="009060A7" w:rsidRPr="00AC3E56">
        <w:t>“</w:t>
      </w:r>
      <w:r w:rsidR="00EB7F46" w:rsidRPr="00AC3E56">
        <w:t xml:space="preserve"> (</w:t>
      </w:r>
      <w:r w:rsidRPr="00AC3E56">
        <w:t>Plattform</w:t>
      </w:r>
      <w:r w:rsidR="00EB7F46" w:rsidRPr="00AC3E56">
        <w:t xml:space="preserve"> für große Datenmengen</w:t>
      </w:r>
      <w:r w:rsidRPr="00AC3E56">
        <w:t xml:space="preserve"> für die DUS-Prüfung</w:t>
      </w:r>
      <w:r w:rsidR="00EB7F46" w:rsidRPr="00AC3E56">
        <w:t>)</w:t>
      </w:r>
      <w:r w:rsidRPr="00AC3E56">
        <w:t xml:space="preserve"> von einem Sachverständigen aus China.</w:t>
      </w:r>
      <w:r w:rsidR="00353B49" w:rsidRPr="00AC3E56">
        <w:t xml:space="preserve"> </w:t>
      </w:r>
      <w:r w:rsidRPr="00AC3E56">
        <w:t xml:space="preserve">Eine </w:t>
      </w:r>
      <w:r w:rsidR="005F33B8" w:rsidRPr="00AC3E56">
        <w:t>Abschrift</w:t>
      </w:r>
      <w:r w:rsidRPr="00AC3E56">
        <w:t xml:space="preserve"> des Referats ist in Dokument TWA/51/7 enthalten.</w:t>
      </w:r>
      <w:r w:rsidR="00353B49" w:rsidRPr="00AC3E56">
        <w:t xml:space="preserve"> </w:t>
      </w:r>
      <w:r w:rsidRPr="00AC3E56">
        <w:t xml:space="preserve">Die TWA nahm </w:t>
      </w:r>
      <w:r w:rsidR="0044139E" w:rsidRPr="00AC3E56">
        <w:t xml:space="preserve">den </w:t>
      </w:r>
      <w:r w:rsidR="00AF272E" w:rsidRPr="00AC3E56">
        <w:t>Arbeitsbericht</w:t>
      </w:r>
      <w:r w:rsidRPr="00AC3E56">
        <w:t xml:space="preserve"> zur Kenntnis und vereinbarte, den Sachverständigen aus China zu ersuchen, auf ihrer zweiundfünfzigsten Tagung über die Entwicklungen zu berichten (vergleiche Dokument TWA/51/11 </w:t>
      </w:r>
      <w:r w:rsidR="004A6CA1" w:rsidRPr="00AC3E56">
        <w:t>„Report“</w:t>
      </w:r>
      <w:r w:rsidRPr="00AC3E56">
        <w:t>, Absatz 39).</w:t>
      </w:r>
    </w:p>
    <w:p w14:paraId="582FAFA0" w14:textId="77777777" w:rsidR="00370794" w:rsidRPr="00AC3E56" w:rsidRDefault="00370794" w:rsidP="00370794">
      <w:pPr>
        <w:jc w:val="left"/>
      </w:pPr>
    </w:p>
    <w:p w14:paraId="582FAFA1" w14:textId="77777777" w:rsidR="005104A9" w:rsidRPr="00AC3E56" w:rsidRDefault="005104A9" w:rsidP="005104A9"/>
    <w:p w14:paraId="582FAFA2" w14:textId="693C936F" w:rsidR="00901B57" w:rsidRPr="00AC3E56" w:rsidRDefault="00B44963">
      <w:pPr>
        <w:keepNext/>
        <w:keepLines/>
      </w:pPr>
      <w:bookmarkStart w:id="20" w:name="_Toc116140215"/>
      <w:r w:rsidRPr="00AC3E56">
        <w:rPr>
          <w:rStyle w:val="Heading2Char"/>
        </w:rPr>
        <w:t xml:space="preserve">Die </w:t>
      </w:r>
      <w:r w:rsidR="00E164B8" w:rsidRPr="00AC3E56">
        <w:rPr>
          <w:rStyle w:val="Heading2Char"/>
        </w:rPr>
        <w:t>Erfassung von</w:t>
      </w:r>
      <w:r w:rsidRPr="00AC3E56">
        <w:rPr>
          <w:rStyle w:val="Heading2Char"/>
        </w:rPr>
        <w:t xml:space="preserve"> Farbe</w:t>
      </w:r>
      <w:r w:rsidR="00E164B8" w:rsidRPr="00AC3E56">
        <w:rPr>
          <w:rStyle w:val="Heading2Char"/>
        </w:rPr>
        <w:t>n</w:t>
      </w:r>
      <w:r w:rsidRPr="00AC3E56">
        <w:rPr>
          <w:rStyle w:val="Heading2Char"/>
        </w:rPr>
        <w:t xml:space="preserve"> bei </w:t>
      </w:r>
      <w:r w:rsidR="00EC4336" w:rsidRPr="00AC3E56">
        <w:rPr>
          <w:rStyle w:val="Heading2Char"/>
        </w:rPr>
        <w:t>Obstarten</w:t>
      </w:r>
      <w:bookmarkEnd w:id="20"/>
    </w:p>
    <w:p w14:paraId="582FAFA3" w14:textId="77777777" w:rsidR="005104A9" w:rsidRPr="00AC3E56" w:rsidRDefault="005104A9" w:rsidP="005104A9">
      <w:pPr>
        <w:keepNext/>
        <w:keepLines/>
      </w:pPr>
    </w:p>
    <w:p w14:paraId="582FAFA4" w14:textId="465E32F1" w:rsidR="00901B57" w:rsidRPr="00AC3E56" w:rsidRDefault="005E3B05">
      <w:pPr>
        <w:keepNext/>
        <w:keepLines/>
        <w:autoSpaceDE w:val="0"/>
        <w:autoSpaceDN w:val="0"/>
        <w:adjustRightInd w:val="0"/>
      </w:pPr>
      <w:r w:rsidRPr="00AC3E56">
        <w:fldChar w:fldCharType="begin"/>
      </w:r>
      <w:r w:rsidRPr="00AC3E56">
        <w:rPr>
          <w:lang w:val="en-US"/>
        </w:rPr>
        <w:instrText xml:space="preserve"> AUTONUM  </w:instrText>
      </w:r>
      <w:r w:rsidRPr="00AC3E56">
        <w:fldChar w:fldCharType="end"/>
      </w:r>
      <w:r w:rsidRPr="00AC3E56">
        <w:rPr>
          <w:lang w:val="en-US"/>
        </w:rPr>
        <w:tab/>
        <w:t xml:space="preserve">Die TWF hörte ein Referat </w:t>
      </w:r>
      <w:r w:rsidR="00831BFD" w:rsidRPr="00AC3E56">
        <w:rPr>
          <w:lang w:val="en-US"/>
        </w:rPr>
        <w:t xml:space="preserve">über </w:t>
      </w:r>
      <w:r w:rsidR="0053562A" w:rsidRPr="00AC3E56">
        <w:rPr>
          <w:lang w:val="en-US"/>
        </w:rPr>
        <w:t>„The Assessment of Color in Fruit Crops: A Different Approach?</w:t>
      </w:r>
      <w:r w:rsidR="0044139E" w:rsidRPr="00AC3E56">
        <w:rPr>
          <w:lang w:val="en-US"/>
        </w:rPr>
        <w:t>“</w:t>
      </w:r>
      <w:r w:rsidR="0053562A" w:rsidRPr="00AC3E56">
        <w:rPr>
          <w:lang w:val="en-US"/>
        </w:rPr>
        <w:t xml:space="preserve"> </w:t>
      </w:r>
      <w:r w:rsidR="003E08DC">
        <w:rPr>
          <w:lang w:val="en-US"/>
        </w:rPr>
        <w:br/>
      </w:r>
      <w:r w:rsidR="0053562A" w:rsidRPr="00AC3E56">
        <w:t>(</w:t>
      </w:r>
      <w:r w:rsidRPr="00AC3E56">
        <w:t xml:space="preserve">Die </w:t>
      </w:r>
      <w:r w:rsidR="00E87B18" w:rsidRPr="00AC3E56">
        <w:t>Erfassung von Farben bei</w:t>
      </w:r>
      <w:r w:rsidRPr="00AC3E56">
        <w:t xml:space="preserve"> </w:t>
      </w:r>
      <w:r w:rsidR="00EC4336" w:rsidRPr="00AC3E56">
        <w:t>Obstarten</w:t>
      </w:r>
      <w:r w:rsidRPr="00AC3E56">
        <w:t xml:space="preserve">: </w:t>
      </w:r>
      <w:r w:rsidR="008144B1" w:rsidRPr="00AC3E56">
        <w:t>Ein andere</w:t>
      </w:r>
      <w:r w:rsidR="007D5A26" w:rsidRPr="00AC3E56">
        <w:t>r</w:t>
      </w:r>
      <w:r w:rsidR="008144B1" w:rsidRPr="00AC3E56">
        <w:t xml:space="preserve"> Ansatz</w:t>
      </w:r>
      <w:r w:rsidRPr="00AC3E56">
        <w:t>?</w:t>
      </w:r>
      <w:r w:rsidR="00B61318" w:rsidRPr="00AC3E56">
        <w:t>)</w:t>
      </w:r>
      <w:r w:rsidRPr="00AC3E56">
        <w:t xml:space="preserve"> von einem Sachverständigen aus Neuseeland.</w:t>
      </w:r>
      <w:r w:rsidR="00353B49" w:rsidRPr="00AC3E56">
        <w:t xml:space="preserve"> </w:t>
      </w:r>
      <w:r w:rsidRPr="00AC3E56">
        <w:t xml:space="preserve">Eine </w:t>
      </w:r>
      <w:r w:rsidR="005F33B8" w:rsidRPr="00AC3E56">
        <w:t>Abschrift</w:t>
      </w:r>
      <w:r w:rsidRPr="00AC3E56">
        <w:t xml:space="preserve"> des Referats ist in Dokument TWF/53/5 enthalten (</w:t>
      </w:r>
      <w:r w:rsidR="0010142C" w:rsidRPr="00AC3E56">
        <w:t>vergleiche Dokument</w:t>
      </w:r>
      <w:r w:rsidRPr="00AC3E56">
        <w:t xml:space="preserve"> TWF/53/14 </w:t>
      </w:r>
      <w:r w:rsidR="004A6CA1" w:rsidRPr="00AC3E56">
        <w:t>„Report“</w:t>
      </w:r>
      <w:r w:rsidRPr="00AC3E56">
        <w:t>, Absätze 58 bis 60).</w:t>
      </w:r>
    </w:p>
    <w:p w14:paraId="582FAFA5" w14:textId="77777777" w:rsidR="005104A9" w:rsidRPr="00AC3E56" w:rsidRDefault="005104A9" w:rsidP="005104A9">
      <w:pPr>
        <w:keepNext/>
        <w:keepLines/>
      </w:pPr>
    </w:p>
    <w:p w14:paraId="582FAFA6" w14:textId="13EFBC69" w:rsidR="00901B57" w:rsidRPr="00AC3E56" w:rsidRDefault="005E3B05">
      <w:r w:rsidRPr="00AC3E56">
        <w:fldChar w:fldCharType="begin"/>
      </w:r>
      <w:r w:rsidRPr="00AC3E56">
        <w:instrText xml:space="preserve"> AUTONUM  </w:instrText>
      </w:r>
      <w:r w:rsidRPr="00AC3E56">
        <w:fldChar w:fldCharType="end"/>
      </w:r>
      <w:r w:rsidRPr="00AC3E56">
        <w:tab/>
        <w:t xml:space="preserve">Die TWF nahm zur Kenntnis, </w:t>
      </w:r>
      <w:r w:rsidR="00235594" w:rsidRPr="00AC3E56">
        <w:t>dass</w:t>
      </w:r>
      <w:r w:rsidRPr="00AC3E56">
        <w:t xml:space="preserve"> in Neuseeland RHS-Farbkarten für die </w:t>
      </w:r>
      <w:r w:rsidR="004508A8" w:rsidRPr="00AC3E56">
        <w:t>Erfassung</w:t>
      </w:r>
      <w:r w:rsidRPr="00AC3E56">
        <w:t xml:space="preserve"> </w:t>
      </w:r>
      <w:r w:rsidR="0024624E" w:rsidRPr="00AC3E56">
        <w:t>von</w:t>
      </w:r>
      <w:r w:rsidRPr="00AC3E56">
        <w:t xml:space="preserve"> Farbe</w:t>
      </w:r>
      <w:r w:rsidR="0024624E" w:rsidRPr="00AC3E56">
        <w:t>n</w:t>
      </w:r>
      <w:r w:rsidRPr="00AC3E56">
        <w:t xml:space="preserve"> bei </w:t>
      </w:r>
      <w:r w:rsidR="00EC4336" w:rsidRPr="00AC3E56">
        <w:t>Obstarten</w:t>
      </w:r>
      <w:r w:rsidRPr="00AC3E56">
        <w:t xml:space="preserve"> in Betracht gezogen würden.</w:t>
      </w:r>
      <w:r w:rsidR="00353B49" w:rsidRPr="00AC3E56">
        <w:t xml:space="preserve"> </w:t>
      </w:r>
      <w:r w:rsidRPr="00AC3E56">
        <w:t xml:space="preserve">Die TWF nahm eine Reihe von Herausforderungen bei der </w:t>
      </w:r>
      <w:r w:rsidR="0024624E" w:rsidRPr="00AC3E56">
        <w:t>Erfassung von</w:t>
      </w:r>
      <w:r w:rsidRPr="00AC3E56">
        <w:t xml:space="preserve"> Farbe</w:t>
      </w:r>
      <w:r w:rsidR="0024624E" w:rsidRPr="00AC3E56">
        <w:t>n</w:t>
      </w:r>
      <w:r w:rsidRPr="00AC3E56">
        <w:t xml:space="preserve"> bei </w:t>
      </w:r>
      <w:r w:rsidR="00EC4336" w:rsidRPr="00AC3E56">
        <w:t>Obstarten</w:t>
      </w:r>
      <w:r w:rsidRPr="00AC3E56">
        <w:t xml:space="preserve"> zur Kenntnis und vereinbarte, </w:t>
      </w:r>
      <w:r w:rsidR="00235594" w:rsidRPr="00AC3E56">
        <w:t>dass</w:t>
      </w:r>
      <w:r w:rsidRPr="00AC3E56">
        <w:t xml:space="preserve"> die Verwendung von Farbkarten für Sortenbeschreibungen und zur Unterstützung von Erfassungen in Betracht gezogen werden könnte. </w:t>
      </w:r>
    </w:p>
    <w:p w14:paraId="582FAFA7" w14:textId="77777777" w:rsidR="005104A9" w:rsidRPr="00AC3E56" w:rsidRDefault="005104A9" w:rsidP="005104A9"/>
    <w:p w14:paraId="582FAFA8" w14:textId="799A96CC" w:rsidR="00901B57" w:rsidRPr="00AC3E56" w:rsidRDefault="005E3B05">
      <w:r w:rsidRPr="00AC3E56">
        <w:fldChar w:fldCharType="begin"/>
      </w:r>
      <w:r w:rsidRPr="00AC3E56">
        <w:instrText xml:space="preserve"> AUTONUM  </w:instrText>
      </w:r>
      <w:r w:rsidRPr="00AC3E56">
        <w:fldChar w:fldCharType="end"/>
      </w:r>
      <w:r w:rsidRPr="00AC3E56">
        <w:tab/>
        <w:t xml:space="preserve">Die TWF vereinbarte, auf ihrer vierundfünfzigsten Tagung einen Tagesordnungspunkt </w:t>
      </w:r>
      <w:r w:rsidR="00353B49" w:rsidRPr="00AC3E56">
        <w:t xml:space="preserve">dazu </w:t>
      </w:r>
      <w:r w:rsidRPr="00AC3E56">
        <w:t xml:space="preserve">aufzunehmen und um Referate über alternative Verfahren für die </w:t>
      </w:r>
      <w:r w:rsidR="00264B7D" w:rsidRPr="00AC3E56">
        <w:t>Erfassung von Farben</w:t>
      </w:r>
      <w:r w:rsidRPr="00AC3E56">
        <w:t xml:space="preserve"> bei </w:t>
      </w:r>
      <w:r w:rsidR="00EC4336" w:rsidRPr="00AC3E56">
        <w:t>Obstarten</w:t>
      </w:r>
      <w:r w:rsidRPr="00AC3E56">
        <w:t xml:space="preserve"> zu ersuchen.</w:t>
      </w:r>
      <w:r w:rsidR="00353B49" w:rsidRPr="00AC3E56">
        <w:t xml:space="preserve"> </w:t>
      </w:r>
    </w:p>
    <w:p w14:paraId="582FAFA9" w14:textId="77777777" w:rsidR="00370794" w:rsidRPr="00AC3E56" w:rsidRDefault="00370794" w:rsidP="00F671F0">
      <w:pPr>
        <w:jc w:val="left"/>
      </w:pPr>
    </w:p>
    <w:p w14:paraId="582FAFAA" w14:textId="77777777" w:rsidR="005104A9" w:rsidRPr="00AC3E56" w:rsidRDefault="005104A9" w:rsidP="00F671F0">
      <w:pPr>
        <w:jc w:val="left"/>
      </w:pPr>
    </w:p>
    <w:p w14:paraId="582FAFAB" w14:textId="69F4C1DF" w:rsidR="00901B57" w:rsidRPr="00AC3E56" w:rsidRDefault="00E55ACD" w:rsidP="00D7233B">
      <w:pPr>
        <w:pStyle w:val="Heading2"/>
        <w:rPr>
          <w:lang w:val="de-DE"/>
        </w:rPr>
      </w:pPr>
      <w:bookmarkStart w:id="21" w:name="_Toc116140216"/>
      <w:r w:rsidRPr="00AC3E56">
        <w:rPr>
          <w:lang w:val="de-DE"/>
        </w:rPr>
        <w:t>Phänotypisieru</w:t>
      </w:r>
      <w:bookmarkStart w:id="22" w:name="_GoBack"/>
      <w:bookmarkEnd w:id="22"/>
      <w:r w:rsidRPr="00AC3E56">
        <w:rPr>
          <w:lang w:val="de-DE"/>
        </w:rPr>
        <w:t>ng</w:t>
      </w:r>
      <w:r w:rsidR="005E3B05" w:rsidRPr="00AC3E56">
        <w:rPr>
          <w:lang w:val="de-DE"/>
        </w:rPr>
        <w:t xml:space="preserve"> und Bildanalyse</w:t>
      </w:r>
      <w:bookmarkEnd w:id="21"/>
    </w:p>
    <w:p w14:paraId="582FAFAC" w14:textId="77777777" w:rsidR="00F671F0" w:rsidRPr="00AC3E56" w:rsidRDefault="00F671F0" w:rsidP="00F671F0">
      <w:pPr>
        <w:jc w:val="left"/>
      </w:pPr>
    </w:p>
    <w:p w14:paraId="582FAFAD" w14:textId="19978459" w:rsidR="00901B57" w:rsidRPr="00AC3E56" w:rsidRDefault="005E3B05">
      <w:r w:rsidRPr="00AC3E56">
        <w:fldChar w:fldCharType="begin"/>
      </w:r>
      <w:r w:rsidRPr="00AC3E56">
        <w:instrText xml:space="preserve"> AUTONUM  </w:instrText>
      </w:r>
      <w:r w:rsidRPr="00AC3E56">
        <w:fldChar w:fldCharType="end"/>
      </w:r>
      <w:r w:rsidRPr="00AC3E56">
        <w:tab/>
        <w:t xml:space="preserve">Die TWM hörte ein Referat von Herrn Woo Gun Shin (Republik Korea) über </w:t>
      </w:r>
      <w:r w:rsidR="002F1491" w:rsidRPr="00AC3E56">
        <w:t>„Image Analysis in Plant Variety Testing</w:t>
      </w:r>
      <w:r w:rsidR="0044139E" w:rsidRPr="00AC3E56">
        <w:t>“</w:t>
      </w:r>
      <w:r w:rsidR="0010479D" w:rsidRPr="00AC3E56">
        <w:t xml:space="preserve"> </w:t>
      </w:r>
      <w:r w:rsidR="002F1491" w:rsidRPr="00AC3E56">
        <w:t>(</w:t>
      </w:r>
      <w:r w:rsidRPr="00AC3E56">
        <w:t>Bildanalyse bei der Sortenprüfung</w:t>
      </w:r>
      <w:r w:rsidR="002F1491" w:rsidRPr="00AC3E56">
        <w:t>)</w:t>
      </w:r>
      <w:r w:rsidRPr="00AC3E56">
        <w:t xml:space="preserve">, </w:t>
      </w:r>
      <w:r w:rsidR="006159CC" w:rsidRPr="00AC3E56">
        <w:t>von dem eine Abschrift</w:t>
      </w:r>
      <w:r w:rsidRPr="00AC3E56">
        <w:t xml:space="preserve"> </w:t>
      </w:r>
      <w:r w:rsidRPr="00AC3E56">
        <w:rPr>
          <w:rFonts w:cs="Arial"/>
          <w:iCs/>
        </w:rPr>
        <w:t xml:space="preserve">in Dokument </w:t>
      </w:r>
      <w:r w:rsidRPr="00AC3E56">
        <w:t xml:space="preserve">TWM/1/4 </w:t>
      </w:r>
      <w:r w:rsidRPr="00AC3E56">
        <w:rPr>
          <w:rFonts w:cs="Arial"/>
          <w:iCs/>
        </w:rPr>
        <w:t xml:space="preserve">wiedergegeben ist </w:t>
      </w:r>
      <w:r w:rsidRPr="00AC3E56">
        <w:t xml:space="preserve">(vergleiche Dokument TWM/1/26 </w:t>
      </w:r>
      <w:r w:rsidR="004A6CA1" w:rsidRPr="00AC3E56">
        <w:t>„Report“</w:t>
      </w:r>
      <w:r w:rsidRPr="00AC3E56">
        <w:t xml:space="preserve">, Absätze 61 bis 68). </w:t>
      </w:r>
    </w:p>
    <w:p w14:paraId="582FAFAE" w14:textId="77777777" w:rsidR="00F671F0" w:rsidRPr="00AC3E56" w:rsidRDefault="00F671F0" w:rsidP="00F671F0"/>
    <w:p w14:paraId="582FAFAF" w14:textId="1423BA5B" w:rsidR="00901B57" w:rsidRPr="00AC3E56" w:rsidRDefault="005E3B05">
      <w:r w:rsidRPr="00AC3E56">
        <w:fldChar w:fldCharType="begin"/>
      </w:r>
      <w:r w:rsidRPr="00AC3E56">
        <w:instrText xml:space="preserve"> AUTONUM  </w:instrText>
      </w:r>
      <w:r w:rsidRPr="00AC3E56">
        <w:fldChar w:fldCharType="end"/>
      </w:r>
      <w:r w:rsidR="006159CC" w:rsidRPr="00AC3E56">
        <w:tab/>
      </w:r>
      <w:r w:rsidRPr="00AC3E56">
        <w:t>Es wurden Erläuterungen zu den Bedingungen für die Bildkorrektur im Innen- und Außenbereich und zur Verwendung von Software für die Bl</w:t>
      </w:r>
      <w:r w:rsidR="00CC3907" w:rsidRPr="00AC3E56">
        <w:t>üten</w:t>
      </w:r>
      <w:r w:rsidRPr="00AC3E56">
        <w:t>farbanalyse gegeben.</w:t>
      </w:r>
      <w:r w:rsidR="00353B49" w:rsidRPr="00AC3E56">
        <w:t xml:space="preserve"> </w:t>
      </w:r>
    </w:p>
    <w:p w14:paraId="582FAFB0" w14:textId="77777777" w:rsidR="00F671F0" w:rsidRPr="00AC3E56" w:rsidRDefault="00F671F0" w:rsidP="00F671F0">
      <w:pPr>
        <w:jc w:val="left"/>
      </w:pPr>
    </w:p>
    <w:p w14:paraId="582FAFB1" w14:textId="515A3283" w:rsidR="00901B57" w:rsidRPr="00AC3E56" w:rsidRDefault="005E3B05">
      <w:r w:rsidRPr="00AC3E56">
        <w:fldChar w:fldCharType="begin"/>
      </w:r>
      <w:r w:rsidRPr="00AC3E56">
        <w:instrText xml:space="preserve"> AUTONUM  </w:instrText>
      </w:r>
      <w:r w:rsidRPr="00AC3E56">
        <w:fldChar w:fldCharType="end"/>
      </w:r>
      <w:r w:rsidRPr="00AC3E56">
        <w:tab/>
        <w:t>Die TWM hörte ein Referat von Frau Yanfang Liu (China) über</w:t>
      </w:r>
      <w:r w:rsidR="00E062FE" w:rsidRPr="00AC3E56">
        <w:t xml:space="preserve"> </w:t>
      </w:r>
      <w:r w:rsidR="00295CAB" w:rsidRPr="00AC3E56">
        <w:t>„Color Imaging Analysis System</w:t>
      </w:r>
      <w:r w:rsidR="0044139E" w:rsidRPr="00AC3E56">
        <w:t>“</w:t>
      </w:r>
      <w:r w:rsidR="00295CAB" w:rsidRPr="00AC3E56">
        <w:t xml:space="preserve"> (</w:t>
      </w:r>
      <w:r w:rsidR="00F62784" w:rsidRPr="00AC3E56">
        <w:t>Farbbildanalyse-System</w:t>
      </w:r>
      <w:r w:rsidR="00295CAB" w:rsidRPr="00AC3E56">
        <w:t>)</w:t>
      </w:r>
      <w:r w:rsidRPr="00AC3E56">
        <w:t xml:space="preserve">, </w:t>
      </w:r>
      <w:r w:rsidRPr="00AC3E56">
        <w:rPr>
          <w:rFonts w:cs="Arial"/>
          <w:iCs/>
        </w:rPr>
        <w:t xml:space="preserve">von dem eine </w:t>
      </w:r>
      <w:r w:rsidR="005F33B8" w:rsidRPr="00AC3E56">
        <w:rPr>
          <w:rFonts w:cs="Arial"/>
          <w:iCs/>
        </w:rPr>
        <w:t>Abschrift</w:t>
      </w:r>
      <w:r w:rsidRPr="00AC3E56">
        <w:rPr>
          <w:rFonts w:cs="Arial"/>
          <w:iCs/>
        </w:rPr>
        <w:t xml:space="preserve"> in Dokument </w:t>
      </w:r>
      <w:r w:rsidRPr="00AC3E56">
        <w:t xml:space="preserve">TWM/1/5 </w:t>
      </w:r>
      <w:r w:rsidRPr="00AC3E56">
        <w:rPr>
          <w:rFonts w:cs="Arial"/>
          <w:iCs/>
        </w:rPr>
        <w:t>wiedergegeben ist</w:t>
      </w:r>
      <w:r w:rsidRPr="00AC3E56">
        <w:t>.</w:t>
      </w:r>
      <w:r w:rsidR="00353B49" w:rsidRPr="00AC3E56">
        <w:t xml:space="preserve"> </w:t>
      </w:r>
    </w:p>
    <w:p w14:paraId="582FAFB2" w14:textId="77777777" w:rsidR="00F671F0" w:rsidRPr="00AC3E56" w:rsidRDefault="00F671F0" w:rsidP="00F671F0">
      <w:pPr>
        <w:keepNext/>
        <w:jc w:val="left"/>
      </w:pPr>
    </w:p>
    <w:p w14:paraId="582FAFB3" w14:textId="7D7FA447" w:rsidR="00901B57" w:rsidRPr="00AC3E56" w:rsidRDefault="005E3B05">
      <w:pPr>
        <w:keepNext/>
      </w:pPr>
      <w:r w:rsidRPr="00AC3E56">
        <w:fldChar w:fldCharType="begin"/>
      </w:r>
      <w:r w:rsidRPr="00AC3E56">
        <w:instrText xml:space="preserve"> AUTONUM  </w:instrText>
      </w:r>
      <w:r w:rsidRPr="00AC3E56">
        <w:fldChar w:fldCharType="end"/>
      </w:r>
      <w:r w:rsidRPr="00AC3E56">
        <w:tab/>
        <w:t>Die TWM hörte ein Referat von Herrn Yongxiang Tong (China) über</w:t>
      </w:r>
      <w:r w:rsidR="00B7611A" w:rsidRPr="00AC3E56">
        <w:t xml:space="preserve"> </w:t>
      </w:r>
      <w:r w:rsidR="00F62784" w:rsidRPr="00AC3E56">
        <w:t>„</w:t>
      </w:r>
      <w:r w:rsidR="006B7799" w:rsidRPr="00AC3E56">
        <w:t>DUS characteristics image processor</w:t>
      </w:r>
      <w:r w:rsidR="0044139E" w:rsidRPr="00AC3E56">
        <w:t>“</w:t>
      </w:r>
      <w:r w:rsidR="006B7799" w:rsidRPr="00AC3E56">
        <w:t xml:space="preserve"> (</w:t>
      </w:r>
      <w:r w:rsidRPr="00AC3E56">
        <w:t>Bildprozessor für DUS-Merkmale</w:t>
      </w:r>
      <w:r w:rsidR="006B7799" w:rsidRPr="00AC3E56">
        <w:t>)</w:t>
      </w:r>
      <w:r w:rsidRPr="00AC3E56">
        <w:t xml:space="preserve">, </w:t>
      </w:r>
      <w:r w:rsidRPr="00AC3E56">
        <w:rPr>
          <w:rFonts w:cs="Arial"/>
          <w:iCs/>
        </w:rPr>
        <w:t xml:space="preserve">von dem eine </w:t>
      </w:r>
      <w:r w:rsidR="005F33B8" w:rsidRPr="00AC3E56">
        <w:rPr>
          <w:rFonts w:cs="Arial"/>
          <w:iCs/>
        </w:rPr>
        <w:t>Abschrift</w:t>
      </w:r>
      <w:r w:rsidRPr="00AC3E56">
        <w:rPr>
          <w:rFonts w:cs="Arial"/>
          <w:iCs/>
        </w:rPr>
        <w:t xml:space="preserve"> in Dokument </w:t>
      </w:r>
      <w:r w:rsidRPr="00AC3E56">
        <w:t xml:space="preserve">TWM/1/6 </w:t>
      </w:r>
      <w:r w:rsidRPr="00AC3E56">
        <w:rPr>
          <w:rFonts w:cs="Arial"/>
          <w:iCs/>
        </w:rPr>
        <w:t>wiedergegeben ist</w:t>
      </w:r>
      <w:r w:rsidRPr="00AC3E56">
        <w:t>.</w:t>
      </w:r>
    </w:p>
    <w:p w14:paraId="582FAFB4" w14:textId="77777777" w:rsidR="00F671F0" w:rsidRPr="00AC3E56" w:rsidRDefault="00F671F0" w:rsidP="00F671F0">
      <w:pPr>
        <w:jc w:val="left"/>
      </w:pPr>
    </w:p>
    <w:p w14:paraId="582FAFB5" w14:textId="6E3609AD" w:rsidR="00901B57" w:rsidRPr="00AC3E56" w:rsidRDefault="005E3B05">
      <w:pPr>
        <w:keepNext/>
      </w:pPr>
      <w:r w:rsidRPr="00AC3E56">
        <w:fldChar w:fldCharType="begin"/>
      </w:r>
      <w:r w:rsidRPr="00AC3E56">
        <w:instrText xml:space="preserve"> AUTONUM  </w:instrText>
      </w:r>
      <w:r w:rsidRPr="00AC3E56">
        <w:fldChar w:fldCharType="end"/>
      </w:r>
      <w:r w:rsidRPr="00AC3E56">
        <w:tab/>
        <w:t xml:space="preserve">Die TWM hörte ein Referat von Frau Margaret Wallace (Vereinigtes Königreich) über </w:t>
      </w:r>
      <w:r w:rsidR="00DD729C" w:rsidRPr="00AC3E56">
        <w:t>„UAV potential in DUS testing</w:t>
      </w:r>
      <w:r w:rsidR="003C478A" w:rsidRPr="00AC3E56">
        <w:t>“</w:t>
      </w:r>
      <w:r w:rsidR="00DD729C" w:rsidRPr="00AC3E56">
        <w:t xml:space="preserve"> (</w:t>
      </w:r>
      <w:r w:rsidRPr="00AC3E56">
        <w:t>UAV-Potential bei der DUS-Prüfung</w:t>
      </w:r>
      <w:r w:rsidR="00DD729C" w:rsidRPr="00AC3E56">
        <w:t>)</w:t>
      </w:r>
      <w:r w:rsidRPr="00AC3E56">
        <w:t xml:space="preserve">, </w:t>
      </w:r>
      <w:r w:rsidR="0044139E" w:rsidRPr="00AC3E56">
        <w:rPr>
          <w:rFonts w:cs="Arial"/>
          <w:iCs/>
        </w:rPr>
        <w:t xml:space="preserve">von dem eine Abschrift </w:t>
      </w:r>
      <w:r w:rsidRPr="00AC3E56">
        <w:rPr>
          <w:rFonts w:cs="Arial"/>
          <w:iCs/>
        </w:rPr>
        <w:t xml:space="preserve">in Dokument </w:t>
      </w:r>
      <w:r w:rsidRPr="00AC3E56">
        <w:t xml:space="preserve">TWM/1/20 </w:t>
      </w:r>
      <w:r w:rsidRPr="00AC3E56">
        <w:rPr>
          <w:rFonts w:cs="Arial"/>
          <w:iCs/>
        </w:rPr>
        <w:t>wiedergegeben ist</w:t>
      </w:r>
      <w:r w:rsidRPr="00AC3E56">
        <w:t>.</w:t>
      </w:r>
    </w:p>
    <w:p w14:paraId="582FAFB6" w14:textId="77777777" w:rsidR="00F671F0" w:rsidRPr="00AC3E56" w:rsidRDefault="00F671F0" w:rsidP="00F671F0">
      <w:pPr>
        <w:jc w:val="left"/>
      </w:pPr>
    </w:p>
    <w:p w14:paraId="582FAFB7" w14:textId="41D2DA9C" w:rsidR="00901B57" w:rsidRPr="00AC3E56" w:rsidRDefault="005E3B05">
      <w:pPr>
        <w:keepNext/>
      </w:pPr>
      <w:r w:rsidRPr="00AC3E56">
        <w:fldChar w:fldCharType="begin"/>
      </w:r>
      <w:r w:rsidRPr="00AC3E56">
        <w:instrText xml:space="preserve"> AUTONUM  </w:instrText>
      </w:r>
      <w:r w:rsidRPr="00AC3E56">
        <w:fldChar w:fldCharType="end"/>
      </w:r>
      <w:r w:rsidRPr="00AC3E56">
        <w:tab/>
        <w:t xml:space="preserve">Die TWM hörte ein Referat von Herrn Danilo Sarti (Universität Maynooth) über </w:t>
      </w:r>
      <w:r w:rsidR="00BA41EA" w:rsidRPr="00AC3E56">
        <w:t>„</w:t>
      </w:r>
      <w:r w:rsidR="00CF3B8D" w:rsidRPr="00AC3E56">
        <w:t>Machine Learning InnoVar project“</w:t>
      </w:r>
      <w:r w:rsidR="00BA41EA" w:rsidRPr="00AC3E56">
        <w:t xml:space="preserve"> (</w:t>
      </w:r>
      <w:r w:rsidRPr="00AC3E56">
        <w:t>InnoVar-Projekt für maschinelles Lernen</w:t>
      </w:r>
      <w:r w:rsidR="00BA41EA" w:rsidRPr="00AC3E56">
        <w:t>)</w:t>
      </w:r>
      <w:r w:rsidRPr="00AC3E56">
        <w:t xml:space="preserve">, </w:t>
      </w:r>
      <w:r w:rsidRPr="00AC3E56">
        <w:rPr>
          <w:rFonts w:cs="Arial"/>
          <w:iCs/>
        </w:rPr>
        <w:t xml:space="preserve">von dem eine </w:t>
      </w:r>
      <w:r w:rsidR="005F33B8" w:rsidRPr="00AC3E56">
        <w:rPr>
          <w:rFonts w:cs="Arial"/>
          <w:iCs/>
        </w:rPr>
        <w:t>Abschrift</w:t>
      </w:r>
      <w:r w:rsidRPr="00AC3E56">
        <w:rPr>
          <w:rFonts w:cs="Arial"/>
          <w:iCs/>
        </w:rPr>
        <w:t xml:space="preserve"> in Dokument </w:t>
      </w:r>
      <w:r w:rsidRPr="00AC3E56">
        <w:t xml:space="preserve">TWM/1/25 </w:t>
      </w:r>
      <w:r w:rsidRPr="00AC3E56">
        <w:rPr>
          <w:rFonts w:cs="Arial"/>
          <w:iCs/>
        </w:rPr>
        <w:t>wiedergegeben ist</w:t>
      </w:r>
      <w:r w:rsidRPr="00AC3E56">
        <w:t>.</w:t>
      </w:r>
    </w:p>
    <w:p w14:paraId="582FAFB8" w14:textId="77777777" w:rsidR="00F671F0" w:rsidRPr="00AC3E56" w:rsidRDefault="00F671F0" w:rsidP="00F671F0">
      <w:pPr>
        <w:keepNext/>
      </w:pPr>
    </w:p>
    <w:p w14:paraId="582FAFB9" w14:textId="51196FF5" w:rsidR="00901B57" w:rsidRPr="00AC3E56" w:rsidRDefault="005E3B05">
      <w:r w:rsidRPr="00AC3E56">
        <w:fldChar w:fldCharType="begin"/>
      </w:r>
      <w:r w:rsidRPr="00AC3E56">
        <w:instrText xml:space="preserve"> AUTONUM  </w:instrText>
      </w:r>
      <w:r w:rsidRPr="00AC3E56">
        <w:fldChar w:fldCharType="end"/>
      </w:r>
      <w:r w:rsidRPr="00AC3E56">
        <w:tab/>
        <w:t xml:space="preserve">Es wurde klargestellt, dass das AMBARTI-Modell zum Verständnis und zur Vorhersage des Verhaltens von DUS- und VCU-Attributen unter Berücksichtigung von Interaktionen zwischen Genotypen und Umgebungen für die Merkmale einschließlich des Ernteertrags verwendet werden </w:t>
      </w:r>
      <w:r w:rsidR="00E5656B" w:rsidRPr="00AC3E56">
        <w:t>könnte</w:t>
      </w:r>
      <w:r w:rsidRPr="00AC3E56">
        <w:t>.</w:t>
      </w:r>
    </w:p>
    <w:p w14:paraId="582FAFBA" w14:textId="77777777" w:rsidR="00F671F0" w:rsidRPr="00AC3E56" w:rsidRDefault="00F671F0" w:rsidP="00F671F0">
      <w:pPr>
        <w:jc w:val="left"/>
      </w:pPr>
      <w:r w:rsidRPr="00AC3E56">
        <w:t xml:space="preserve"> </w:t>
      </w:r>
    </w:p>
    <w:p w14:paraId="582FAFBB" w14:textId="0DDE7384" w:rsidR="00901B57" w:rsidRPr="00AC3E56" w:rsidRDefault="005E3B05">
      <w:r w:rsidRPr="00AC3E56">
        <w:fldChar w:fldCharType="begin"/>
      </w:r>
      <w:r w:rsidRPr="00AC3E56">
        <w:instrText xml:space="preserve"> AUTONUM  </w:instrText>
      </w:r>
      <w:r w:rsidRPr="00AC3E56">
        <w:fldChar w:fldCharType="end"/>
      </w:r>
      <w:r w:rsidRPr="00AC3E56">
        <w:tab/>
        <w:t xml:space="preserve">Die TWM vereinbarte, </w:t>
      </w:r>
      <w:r w:rsidR="00E5656B" w:rsidRPr="00AC3E56">
        <w:t xml:space="preserve">darum </w:t>
      </w:r>
      <w:r w:rsidR="00B41F47" w:rsidRPr="00AC3E56">
        <w:t>zu ersuchen</w:t>
      </w:r>
      <w:r w:rsidRPr="00AC3E56">
        <w:t xml:space="preserve">, auf ihrer zweiten Tagung weitere Entwicklungen bei der </w:t>
      </w:r>
      <w:r w:rsidR="004A7A1B" w:rsidRPr="00AC3E56">
        <w:t>Erfassung von Fa</w:t>
      </w:r>
      <w:r w:rsidR="00E5656B" w:rsidRPr="00AC3E56">
        <w:t>r</w:t>
      </w:r>
      <w:r w:rsidR="004A7A1B" w:rsidRPr="00AC3E56">
        <w:t>ben</w:t>
      </w:r>
      <w:r w:rsidRPr="00AC3E56">
        <w:t xml:space="preserve"> durch </w:t>
      </w:r>
      <w:r w:rsidR="00E55ACD" w:rsidRPr="00AC3E56">
        <w:t>Phänotypisierung</w:t>
      </w:r>
      <w:r w:rsidRPr="00AC3E56">
        <w:t xml:space="preserve"> und Bildanalyse vorzustellen.</w:t>
      </w:r>
      <w:r w:rsidR="00353B49" w:rsidRPr="00AC3E56">
        <w:t xml:space="preserve"> </w:t>
      </w:r>
    </w:p>
    <w:p w14:paraId="582FAFBC" w14:textId="77777777" w:rsidR="00F671F0" w:rsidRPr="00AC3E56" w:rsidRDefault="00F671F0" w:rsidP="00F671F0">
      <w:pPr>
        <w:keepNext/>
      </w:pPr>
    </w:p>
    <w:p w14:paraId="582FAFBD" w14:textId="77777777" w:rsidR="0045207C" w:rsidRPr="00AC3E56" w:rsidRDefault="0045207C" w:rsidP="00445B73">
      <w:pPr>
        <w:rPr>
          <w:i/>
        </w:rPr>
      </w:pPr>
    </w:p>
    <w:p w14:paraId="582FAFBE" w14:textId="55D90AE0" w:rsidR="00901B57" w:rsidRPr="00AC3E56" w:rsidRDefault="005E3B05">
      <w:pPr>
        <w:tabs>
          <w:tab w:val="left" w:pos="567"/>
          <w:tab w:val="left" w:pos="5387"/>
          <w:tab w:val="left" w:pos="5954"/>
        </w:tabs>
        <w:ind w:left="4820"/>
        <w:rPr>
          <w:i/>
        </w:rPr>
      </w:pPr>
      <w:r w:rsidRPr="00AC3E56">
        <w:rPr>
          <w:i/>
        </w:rPr>
        <w:fldChar w:fldCharType="begin"/>
      </w:r>
      <w:r w:rsidRPr="00AC3E56">
        <w:rPr>
          <w:i/>
        </w:rPr>
        <w:instrText xml:space="preserve"> AUTONUM  </w:instrText>
      </w:r>
      <w:r w:rsidRPr="00AC3E56">
        <w:rPr>
          <w:i/>
        </w:rPr>
        <w:fldChar w:fldCharType="end"/>
      </w:r>
      <w:r w:rsidRPr="00AC3E56">
        <w:rPr>
          <w:i/>
        </w:rPr>
        <w:tab/>
      </w:r>
      <w:r w:rsidR="00AE199E" w:rsidRPr="00AC3E56">
        <w:rPr>
          <w:i/>
        </w:rPr>
        <w:t>Der TC wird ersucht, die Entwicklungen in den TWP zur Kenntnis zu nehmen, die folgende Punkte betreffen</w:t>
      </w:r>
      <w:r w:rsidRPr="00AC3E56">
        <w:rPr>
          <w:i/>
        </w:rPr>
        <w:t>:</w:t>
      </w:r>
    </w:p>
    <w:p w14:paraId="582FAFBF" w14:textId="77777777" w:rsidR="00646AF0" w:rsidRPr="00AC3E56" w:rsidRDefault="00646AF0" w:rsidP="00646AF0">
      <w:pPr>
        <w:tabs>
          <w:tab w:val="left" w:pos="567"/>
          <w:tab w:val="left" w:pos="5387"/>
          <w:tab w:val="left" w:pos="5954"/>
        </w:tabs>
        <w:ind w:left="4820"/>
        <w:rPr>
          <w:i/>
        </w:rPr>
      </w:pPr>
    </w:p>
    <w:p w14:paraId="1C59CB6A" w14:textId="74221B7C" w:rsidR="0014150E" w:rsidRPr="00AC3E56" w:rsidRDefault="005E3B05" w:rsidP="0014150E">
      <w:pPr>
        <w:tabs>
          <w:tab w:val="left" w:pos="1701"/>
          <w:tab w:val="left" w:pos="5387"/>
          <w:tab w:val="left" w:pos="5954"/>
        </w:tabs>
        <w:ind w:left="5387" w:hanging="567"/>
        <w:rPr>
          <w:i/>
        </w:rPr>
      </w:pPr>
      <w:r w:rsidRPr="00AC3E56">
        <w:rPr>
          <w:i/>
        </w:rPr>
        <w:t xml:space="preserve">i) </w:t>
      </w:r>
      <w:r w:rsidRPr="00AC3E56">
        <w:rPr>
          <w:i/>
        </w:rPr>
        <w:tab/>
      </w:r>
      <w:r w:rsidR="0020474C" w:rsidRPr="00AC3E56">
        <w:rPr>
          <w:i/>
          <w:spacing w:val="-2"/>
        </w:rPr>
        <w:t>Erforderliche Informationen zur Verbesserung der Nutzung bestehender DUS-Prüfungsberichte</w:t>
      </w:r>
      <w:r w:rsidR="0014150E" w:rsidRPr="00AC3E56">
        <w:rPr>
          <w:i/>
        </w:rPr>
        <w:t>;</w:t>
      </w:r>
    </w:p>
    <w:p w14:paraId="3BDD5D4D" w14:textId="5B854D9F" w:rsidR="0014150E" w:rsidRPr="00AC3E56" w:rsidRDefault="0014150E" w:rsidP="0014150E">
      <w:pPr>
        <w:tabs>
          <w:tab w:val="left" w:pos="1701"/>
          <w:tab w:val="left" w:pos="5387"/>
          <w:tab w:val="left" w:pos="5954"/>
        </w:tabs>
        <w:ind w:left="5387" w:hanging="567"/>
        <w:rPr>
          <w:i/>
        </w:rPr>
      </w:pPr>
      <w:r w:rsidRPr="00AC3E56">
        <w:rPr>
          <w:i/>
        </w:rPr>
        <w:t>ii)</w:t>
      </w:r>
      <w:r w:rsidRPr="00AC3E56">
        <w:rPr>
          <w:i/>
        </w:rPr>
        <w:tab/>
      </w:r>
      <w:r w:rsidR="00B847D5" w:rsidRPr="00AC3E56">
        <w:rPr>
          <w:i/>
        </w:rPr>
        <w:t>DUS-Prüfung von Mutantensorten bei Apfel</w:t>
      </w:r>
      <w:r w:rsidRPr="00AC3E56">
        <w:rPr>
          <w:i/>
        </w:rPr>
        <w:t>;</w:t>
      </w:r>
    </w:p>
    <w:p w14:paraId="36512ADD" w14:textId="21457804" w:rsidR="0014150E" w:rsidRPr="00AC3E56" w:rsidRDefault="0014150E" w:rsidP="0014150E">
      <w:pPr>
        <w:tabs>
          <w:tab w:val="left" w:pos="1701"/>
          <w:tab w:val="left" w:pos="5387"/>
          <w:tab w:val="left" w:pos="5954"/>
        </w:tabs>
        <w:ind w:left="5387" w:hanging="567"/>
        <w:rPr>
          <w:i/>
        </w:rPr>
      </w:pPr>
      <w:r w:rsidRPr="00AC3E56">
        <w:rPr>
          <w:i/>
        </w:rPr>
        <w:t>iii)</w:t>
      </w:r>
      <w:r w:rsidRPr="00AC3E56">
        <w:rPr>
          <w:i/>
        </w:rPr>
        <w:tab/>
      </w:r>
      <w:r w:rsidR="00B53658" w:rsidRPr="00AC3E56">
        <w:rPr>
          <w:i/>
        </w:rPr>
        <w:t>Zugang zu Pflanzenmaterial zum Zweck der Verwaltung von Sortensammlungen und der DUS-Prüfung</w:t>
      </w:r>
      <w:r w:rsidRPr="00AC3E56">
        <w:rPr>
          <w:i/>
        </w:rPr>
        <w:t>;</w:t>
      </w:r>
    </w:p>
    <w:p w14:paraId="62E63C98" w14:textId="0119FD82" w:rsidR="0014150E" w:rsidRPr="00AC3E56" w:rsidRDefault="0014150E" w:rsidP="0014150E">
      <w:pPr>
        <w:tabs>
          <w:tab w:val="left" w:pos="1701"/>
          <w:tab w:val="left" w:pos="5387"/>
          <w:tab w:val="left" w:pos="5954"/>
        </w:tabs>
        <w:ind w:left="5387" w:hanging="567"/>
        <w:rPr>
          <w:i/>
        </w:rPr>
      </w:pPr>
      <w:r w:rsidRPr="00AC3E56">
        <w:rPr>
          <w:i/>
        </w:rPr>
        <w:t>iv)</w:t>
      </w:r>
      <w:r w:rsidRPr="00AC3E56">
        <w:rPr>
          <w:i/>
        </w:rPr>
        <w:tab/>
      </w:r>
      <w:r w:rsidR="00D21693" w:rsidRPr="00AC3E56">
        <w:rPr>
          <w:i/>
          <w:spacing w:val="-2"/>
        </w:rPr>
        <w:t>Verwendung von Krankheitsresistenzmerkmalen</w:t>
      </w:r>
      <w:r w:rsidRPr="00AC3E56">
        <w:rPr>
          <w:i/>
        </w:rPr>
        <w:t>;</w:t>
      </w:r>
    </w:p>
    <w:p w14:paraId="35AF8B08" w14:textId="5D1F25B6" w:rsidR="0014150E" w:rsidRPr="00AC3E56" w:rsidRDefault="0014150E" w:rsidP="0014150E">
      <w:pPr>
        <w:tabs>
          <w:tab w:val="left" w:pos="1701"/>
          <w:tab w:val="left" w:pos="5387"/>
          <w:tab w:val="left" w:pos="5954"/>
        </w:tabs>
        <w:ind w:left="5387" w:hanging="567"/>
        <w:rPr>
          <w:i/>
        </w:rPr>
      </w:pPr>
      <w:r w:rsidRPr="00AC3E56">
        <w:rPr>
          <w:i/>
        </w:rPr>
        <w:t>v)</w:t>
      </w:r>
      <w:r w:rsidRPr="00AC3E56">
        <w:rPr>
          <w:i/>
        </w:rPr>
        <w:tab/>
      </w:r>
      <w:r w:rsidR="00144D0C" w:rsidRPr="00AC3E56">
        <w:rPr>
          <w:i/>
        </w:rPr>
        <w:t>Krankheitsresistenz bei Zierpflanzen</w:t>
      </w:r>
      <w:r w:rsidRPr="00AC3E56">
        <w:rPr>
          <w:i/>
        </w:rPr>
        <w:t>;</w:t>
      </w:r>
    </w:p>
    <w:p w14:paraId="2A757664" w14:textId="0EF6ADE2" w:rsidR="0014150E" w:rsidRPr="00AC3E56" w:rsidRDefault="0014150E" w:rsidP="0014150E">
      <w:pPr>
        <w:tabs>
          <w:tab w:val="left" w:pos="1701"/>
          <w:tab w:val="left" w:pos="5387"/>
          <w:tab w:val="left" w:pos="5954"/>
        </w:tabs>
        <w:ind w:left="5387" w:hanging="567"/>
        <w:rPr>
          <w:i/>
        </w:rPr>
      </w:pPr>
      <w:r w:rsidRPr="00AC3E56">
        <w:rPr>
          <w:i/>
        </w:rPr>
        <w:t>vi)</w:t>
      </w:r>
      <w:r w:rsidRPr="00AC3E56">
        <w:rPr>
          <w:i/>
        </w:rPr>
        <w:tab/>
      </w:r>
      <w:r w:rsidR="00117462" w:rsidRPr="00AC3E56">
        <w:rPr>
          <w:i/>
        </w:rPr>
        <w:t>Neue Fragen, die sich für die DUS-Prüfung ergeben</w:t>
      </w:r>
      <w:r w:rsidRPr="00AC3E56">
        <w:rPr>
          <w:i/>
        </w:rPr>
        <w:t>;</w:t>
      </w:r>
    </w:p>
    <w:p w14:paraId="774BB4EA" w14:textId="28797239" w:rsidR="0014150E" w:rsidRPr="00AC3E56" w:rsidRDefault="0014150E" w:rsidP="0014150E">
      <w:pPr>
        <w:tabs>
          <w:tab w:val="left" w:pos="1701"/>
          <w:tab w:val="left" w:pos="5387"/>
          <w:tab w:val="left" w:pos="5954"/>
        </w:tabs>
        <w:ind w:left="5387" w:hanging="567"/>
        <w:rPr>
          <w:i/>
        </w:rPr>
      </w:pPr>
      <w:r w:rsidRPr="00AC3E56">
        <w:rPr>
          <w:i/>
        </w:rPr>
        <w:t>vii)</w:t>
      </w:r>
      <w:r w:rsidRPr="00AC3E56">
        <w:rPr>
          <w:i/>
        </w:rPr>
        <w:tab/>
      </w:r>
      <w:r w:rsidR="00695C33" w:rsidRPr="00AC3E56">
        <w:rPr>
          <w:i/>
        </w:rPr>
        <w:t>Erfahrungen mit neuen Typen und Arten</w:t>
      </w:r>
      <w:r w:rsidRPr="00AC3E56">
        <w:rPr>
          <w:i/>
        </w:rPr>
        <w:t>;</w:t>
      </w:r>
    </w:p>
    <w:p w14:paraId="2E686600" w14:textId="561FB43F" w:rsidR="0014150E" w:rsidRPr="00AC3E56" w:rsidRDefault="0014150E" w:rsidP="0014150E">
      <w:pPr>
        <w:tabs>
          <w:tab w:val="left" w:pos="1701"/>
          <w:tab w:val="left" w:pos="5387"/>
          <w:tab w:val="left" w:pos="5954"/>
        </w:tabs>
        <w:ind w:left="5387" w:hanging="567"/>
        <w:rPr>
          <w:i/>
        </w:rPr>
      </w:pPr>
      <w:r w:rsidRPr="00AC3E56">
        <w:rPr>
          <w:i/>
        </w:rPr>
        <w:t>viii)</w:t>
      </w:r>
      <w:r w:rsidRPr="00AC3E56">
        <w:rPr>
          <w:i/>
        </w:rPr>
        <w:tab/>
      </w:r>
      <w:r w:rsidR="005C5DD3" w:rsidRPr="00AC3E56">
        <w:rPr>
          <w:i/>
        </w:rPr>
        <w:t>Prüfung von Hybridsorten</w:t>
      </w:r>
      <w:r w:rsidRPr="00AC3E56">
        <w:rPr>
          <w:i/>
        </w:rPr>
        <w:t xml:space="preserve">; </w:t>
      </w:r>
    </w:p>
    <w:p w14:paraId="761DE48A" w14:textId="1433E52D" w:rsidR="0014150E" w:rsidRPr="00AC3E56" w:rsidRDefault="0014150E" w:rsidP="0014150E">
      <w:pPr>
        <w:tabs>
          <w:tab w:val="left" w:pos="1701"/>
          <w:tab w:val="left" w:pos="5387"/>
          <w:tab w:val="left" w:pos="5954"/>
        </w:tabs>
        <w:ind w:left="5387" w:hanging="567"/>
        <w:rPr>
          <w:i/>
        </w:rPr>
      </w:pPr>
      <w:r w:rsidRPr="00AC3E56">
        <w:rPr>
          <w:i/>
        </w:rPr>
        <w:t>ix)</w:t>
      </w:r>
      <w:r w:rsidRPr="00AC3E56">
        <w:rPr>
          <w:i/>
        </w:rPr>
        <w:tab/>
      </w:r>
      <w:r w:rsidR="00AE1F7C" w:rsidRPr="00AC3E56">
        <w:rPr>
          <w:i/>
        </w:rPr>
        <w:t>Neue Technologien bei der DUS-Prüfung</w:t>
      </w:r>
      <w:r w:rsidRPr="00AC3E56">
        <w:rPr>
          <w:i/>
        </w:rPr>
        <w:t>;</w:t>
      </w:r>
    </w:p>
    <w:p w14:paraId="73D57A77" w14:textId="25EBAD2A" w:rsidR="0014150E" w:rsidRPr="00AC3E56" w:rsidRDefault="0014150E" w:rsidP="0014150E">
      <w:pPr>
        <w:tabs>
          <w:tab w:val="left" w:pos="1701"/>
          <w:tab w:val="left" w:pos="5387"/>
          <w:tab w:val="left" w:pos="5954"/>
        </w:tabs>
        <w:ind w:left="5387" w:hanging="567"/>
        <w:rPr>
          <w:i/>
        </w:rPr>
      </w:pPr>
      <w:r w:rsidRPr="00AC3E56">
        <w:rPr>
          <w:i/>
        </w:rPr>
        <w:t xml:space="preserve">x) </w:t>
      </w:r>
      <w:r w:rsidRPr="00AC3E56">
        <w:rPr>
          <w:i/>
        </w:rPr>
        <w:tab/>
      </w:r>
      <w:r w:rsidR="001C7445" w:rsidRPr="00AC3E56">
        <w:rPr>
          <w:i/>
        </w:rPr>
        <w:t>Plattform für große Datenmengen für die DUS-Prüfung</w:t>
      </w:r>
      <w:r w:rsidRPr="00AC3E56">
        <w:rPr>
          <w:i/>
        </w:rPr>
        <w:t>;</w:t>
      </w:r>
    </w:p>
    <w:p w14:paraId="5FC81CA4" w14:textId="1F6F4075" w:rsidR="0014150E" w:rsidRPr="00AC3E56" w:rsidRDefault="0014150E" w:rsidP="0014150E">
      <w:pPr>
        <w:tabs>
          <w:tab w:val="left" w:pos="1701"/>
          <w:tab w:val="left" w:pos="5387"/>
          <w:tab w:val="left" w:pos="5954"/>
        </w:tabs>
        <w:ind w:left="5387" w:hanging="567"/>
        <w:rPr>
          <w:i/>
        </w:rPr>
      </w:pPr>
      <w:r w:rsidRPr="00AC3E56">
        <w:rPr>
          <w:i/>
        </w:rPr>
        <w:t>xi)</w:t>
      </w:r>
      <w:r w:rsidRPr="00AC3E56">
        <w:rPr>
          <w:i/>
        </w:rPr>
        <w:tab/>
      </w:r>
      <w:r w:rsidR="00375AFA" w:rsidRPr="00AC3E56">
        <w:rPr>
          <w:i/>
        </w:rPr>
        <w:t>Die Erfassung von Farben bei Obstarten</w:t>
      </w:r>
      <w:r w:rsidRPr="00AC3E56">
        <w:rPr>
          <w:i/>
        </w:rPr>
        <w:t>; und</w:t>
      </w:r>
    </w:p>
    <w:p w14:paraId="582FAFCB" w14:textId="02CB3AE3" w:rsidR="00901B57" w:rsidRPr="00AC3E56" w:rsidRDefault="0014150E" w:rsidP="0014150E">
      <w:pPr>
        <w:tabs>
          <w:tab w:val="left" w:pos="1701"/>
          <w:tab w:val="left" w:pos="5387"/>
          <w:tab w:val="left" w:pos="5954"/>
        </w:tabs>
        <w:ind w:left="5387" w:hanging="567"/>
        <w:rPr>
          <w:i/>
        </w:rPr>
      </w:pPr>
      <w:r w:rsidRPr="00AC3E56">
        <w:rPr>
          <w:i/>
        </w:rPr>
        <w:t>xii)</w:t>
      </w:r>
      <w:r w:rsidRPr="00AC3E56">
        <w:rPr>
          <w:i/>
        </w:rPr>
        <w:tab/>
      </w:r>
      <w:r w:rsidR="00A31934" w:rsidRPr="00AC3E56">
        <w:t xml:space="preserve"> </w:t>
      </w:r>
      <w:r w:rsidR="00A31934" w:rsidRPr="00AC3E56">
        <w:rPr>
          <w:i/>
        </w:rPr>
        <w:t>Phänotypisierung und Bildanalyse</w:t>
      </w:r>
    </w:p>
    <w:p w14:paraId="582FAFCC" w14:textId="77777777" w:rsidR="0045207C" w:rsidRPr="00AC3E56" w:rsidRDefault="0045207C" w:rsidP="00445B73"/>
    <w:p w14:paraId="582FAFCD" w14:textId="77777777" w:rsidR="00646AF0" w:rsidRPr="00AC3E56" w:rsidRDefault="00646AF0" w:rsidP="00445B73"/>
    <w:p w14:paraId="582FAFCE" w14:textId="77777777" w:rsidR="00646AF0" w:rsidRPr="00AC3E56" w:rsidRDefault="00646AF0" w:rsidP="00445B73"/>
    <w:p w14:paraId="582FAFD2" w14:textId="218A2B00" w:rsidR="00050E16" w:rsidRPr="005E3B05" w:rsidRDefault="005E3B05" w:rsidP="00EC76AD">
      <w:pPr>
        <w:jc w:val="right"/>
      </w:pPr>
      <w:r w:rsidRPr="00AC3E56">
        <w:t>[Ende des Dokuments]</w:t>
      </w:r>
    </w:p>
    <w:sectPr w:rsidR="00050E16" w:rsidRPr="005E3B05"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B594D" w14:textId="77777777" w:rsidR="00E70819" w:rsidRDefault="00E70819" w:rsidP="006655D3">
      <w:r>
        <w:separator/>
      </w:r>
    </w:p>
    <w:p w14:paraId="4F2DDE5A" w14:textId="77777777" w:rsidR="00E70819" w:rsidRDefault="00E70819" w:rsidP="006655D3"/>
    <w:p w14:paraId="2DB7F472" w14:textId="77777777" w:rsidR="00E70819" w:rsidRDefault="00E70819" w:rsidP="006655D3"/>
  </w:endnote>
  <w:endnote w:type="continuationSeparator" w:id="0">
    <w:p w14:paraId="223D4D40" w14:textId="77777777" w:rsidR="00E70819" w:rsidRDefault="00E70819" w:rsidP="006655D3">
      <w:r>
        <w:separator/>
      </w:r>
    </w:p>
    <w:p w14:paraId="24C95C61" w14:textId="77777777" w:rsidR="00E70819" w:rsidRDefault="00E70819">
      <w:pPr>
        <w:pStyle w:val="Footer"/>
        <w:spacing w:after="60"/>
        <w:rPr>
          <w:sz w:val="18"/>
          <w:lang w:val="fr-FR"/>
        </w:rPr>
      </w:pPr>
      <w:r w:rsidRPr="00294751">
        <w:rPr>
          <w:sz w:val="18"/>
          <w:lang w:val="fr-FR"/>
        </w:rPr>
        <w:t>(Suite de la note de la page précédente)</w:t>
      </w:r>
    </w:p>
    <w:p w14:paraId="5BE9BDB1" w14:textId="77777777" w:rsidR="00E70819" w:rsidRPr="00294751" w:rsidRDefault="00E70819" w:rsidP="006655D3">
      <w:pPr>
        <w:rPr>
          <w:lang w:val="fr-FR"/>
        </w:rPr>
      </w:pPr>
    </w:p>
    <w:p w14:paraId="311F21F1" w14:textId="77777777" w:rsidR="00E70819" w:rsidRPr="00294751" w:rsidRDefault="00E70819" w:rsidP="006655D3">
      <w:pPr>
        <w:rPr>
          <w:lang w:val="fr-FR"/>
        </w:rPr>
      </w:pPr>
    </w:p>
  </w:endnote>
  <w:endnote w:type="continuationNotice" w:id="1">
    <w:p w14:paraId="6BD937F2" w14:textId="77777777" w:rsidR="00E70819" w:rsidRDefault="00E70819">
      <w:pPr>
        <w:rPr>
          <w:lang w:val="fr-FR"/>
        </w:rPr>
      </w:pPr>
      <w:r w:rsidRPr="00294751">
        <w:rPr>
          <w:lang w:val="fr-FR"/>
        </w:rPr>
        <w:t>(Suite de la note page suivante)</w:t>
      </w:r>
    </w:p>
    <w:p w14:paraId="07443C6C" w14:textId="77777777" w:rsidR="00E70819" w:rsidRPr="00294751" w:rsidRDefault="00E70819" w:rsidP="006655D3">
      <w:pPr>
        <w:rPr>
          <w:lang w:val="fr-FR"/>
        </w:rPr>
      </w:pPr>
    </w:p>
    <w:p w14:paraId="5FCEB84D" w14:textId="77777777" w:rsidR="00E70819" w:rsidRPr="00294751" w:rsidRDefault="00E7081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98CD53" w14:textId="77777777" w:rsidR="00E70819" w:rsidRDefault="00E70819" w:rsidP="006655D3">
      <w:r>
        <w:separator/>
      </w:r>
    </w:p>
  </w:footnote>
  <w:footnote w:type="continuationSeparator" w:id="0">
    <w:p w14:paraId="645F1260" w14:textId="77777777" w:rsidR="00E70819" w:rsidRDefault="00E70819" w:rsidP="006655D3">
      <w:r>
        <w:separator/>
      </w:r>
    </w:p>
  </w:footnote>
  <w:footnote w:type="continuationNotice" w:id="1">
    <w:p w14:paraId="6C1DA990" w14:textId="77777777" w:rsidR="00E70819" w:rsidRPr="00AB530F" w:rsidRDefault="00E70819" w:rsidP="00AB530F">
      <w:pPr>
        <w:pStyle w:val="Footer"/>
      </w:pPr>
    </w:p>
  </w:footnote>
  <w:footnote w:id="2">
    <w:p w14:paraId="582FAFE6" w14:textId="76500D2F" w:rsidR="00901B57" w:rsidRPr="000466E9" w:rsidRDefault="005E3B05">
      <w:pPr>
        <w:pStyle w:val="FootnoteText"/>
        <w:rPr>
          <w:lang w:val="de-DE"/>
        </w:rPr>
      </w:pPr>
      <w:r w:rsidRPr="000466E9">
        <w:rPr>
          <w:rStyle w:val="FootnoteReference"/>
          <w:lang w:val="de-DE"/>
        </w:rPr>
        <w:footnoteRef/>
      </w:r>
      <w:r w:rsidRPr="000466E9">
        <w:rPr>
          <w:lang w:val="de-DE"/>
        </w:rPr>
        <w:t xml:space="preserve"> auf </w:t>
      </w:r>
      <w:r w:rsidR="000466E9" w:rsidRPr="000466E9">
        <w:rPr>
          <w:lang w:val="de-DE"/>
        </w:rPr>
        <w:t>ihrer</w:t>
      </w:r>
      <w:r w:rsidRPr="000466E9">
        <w:rPr>
          <w:lang w:val="de-DE"/>
        </w:rPr>
        <w:t xml:space="preserve"> sechsundfünfzigsten Tagung vom </w:t>
      </w:r>
      <w:r w:rsidR="00D14633" w:rsidRPr="000466E9">
        <w:rPr>
          <w:lang w:val="de-DE"/>
        </w:rPr>
        <w:t xml:space="preserve">18. bis 22. April </w:t>
      </w:r>
      <w:r w:rsidRPr="000466E9">
        <w:rPr>
          <w:lang w:val="de-DE"/>
        </w:rPr>
        <w:t>2022</w:t>
      </w:r>
      <w:r w:rsidR="000466E9">
        <w:rPr>
          <w:lang w:val="de-DE"/>
        </w:rPr>
        <w:t>,</w:t>
      </w:r>
      <w:r w:rsidRPr="000466E9">
        <w:rPr>
          <w:lang w:val="de-DE"/>
        </w:rPr>
        <w:t xml:space="preserve"> auf elektronischem Wege </w:t>
      </w:r>
      <w:r w:rsidR="000466E9" w:rsidRPr="000466E9">
        <w:rPr>
          <w:lang w:val="de-DE"/>
        </w:rPr>
        <w:t>abgehalten</w:t>
      </w:r>
      <w:r w:rsidRPr="000466E9">
        <w:rPr>
          <w:lang w:val="de-DE"/>
        </w:rPr>
        <w:t>.</w:t>
      </w:r>
    </w:p>
  </w:footnote>
  <w:footnote w:id="3">
    <w:p w14:paraId="582FAFE7" w14:textId="4E2F2836" w:rsidR="00901B57" w:rsidRPr="000466E9" w:rsidRDefault="005E3B05">
      <w:pPr>
        <w:pStyle w:val="FootnoteText"/>
        <w:rPr>
          <w:lang w:val="de-DE"/>
        </w:rPr>
      </w:pPr>
      <w:r w:rsidRPr="000466E9">
        <w:rPr>
          <w:rStyle w:val="FootnoteReference"/>
          <w:lang w:val="de-DE"/>
        </w:rPr>
        <w:footnoteRef/>
      </w:r>
      <w:r w:rsidRPr="000466E9">
        <w:rPr>
          <w:lang w:val="de-DE"/>
        </w:rPr>
        <w:t xml:space="preserve"> auf </w:t>
      </w:r>
      <w:r w:rsidR="000466E9" w:rsidRPr="000466E9">
        <w:rPr>
          <w:lang w:val="de-DE"/>
        </w:rPr>
        <w:t xml:space="preserve">ihrer </w:t>
      </w:r>
      <w:r w:rsidR="00D14633" w:rsidRPr="000466E9">
        <w:rPr>
          <w:lang w:val="de-DE"/>
        </w:rPr>
        <w:t xml:space="preserve">einundfünfzigsten </w:t>
      </w:r>
      <w:r w:rsidRPr="000466E9">
        <w:rPr>
          <w:lang w:val="de-DE"/>
        </w:rPr>
        <w:t xml:space="preserve">Tagung vom </w:t>
      </w:r>
      <w:r w:rsidR="00D14633" w:rsidRPr="000466E9">
        <w:rPr>
          <w:lang w:val="de-DE"/>
        </w:rPr>
        <w:t xml:space="preserve">23. bis 27. Mai </w:t>
      </w:r>
      <w:r w:rsidRPr="000466E9">
        <w:rPr>
          <w:lang w:val="de-DE"/>
        </w:rPr>
        <w:t xml:space="preserve">2022 </w:t>
      </w:r>
      <w:r w:rsidR="00D14633" w:rsidRPr="000466E9">
        <w:rPr>
          <w:lang w:val="de-DE"/>
        </w:rPr>
        <w:t>in Cambridge, Vereinigtes Königreich</w:t>
      </w:r>
      <w:r w:rsidRPr="000466E9">
        <w:rPr>
          <w:lang w:val="de-DE"/>
        </w:rPr>
        <w:t>.</w:t>
      </w:r>
    </w:p>
  </w:footnote>
  <w:footnote w:id="4">
    <w:p w14:paraId="582FAFE8" w14:textId="7494D075" w:rsidR="00901B57" w:rsidRPr="000466E9" w:rsidRDefault="005E3B05">
      <w:pPr>
        <w:pStyle w:val="FootnoteText"/>
        <w:rPr>
          <w:lang w:val="de-DE"/>
        </w:rPr>
      </w:pPr>
      <w:r w:rsidRPr="000466E9">
        <w:rPr>
          <w:rStyle w:val="FootnoteReference"/>
          <w:lang w:val="de-DE"/>
        </w:rPr>
        <w:footnoteRef/>
      </w:r>
      <w:r w:rsidRPr="000466E9">
        <w:rPr>
          <w:lang w:val="de-DE"/>
        </w:rPr>
        <w:t xml:space="preserve"> auf </w:t>
      </w:r>
      <w:r w:rsidR="000466E9" w:rsidRPr="000466E9">
        <w:rPr>
          <w:lang w:val="de-DE"/>
        </w:rPr>
        <w:t xml:space="preserve">ihrer </w:t>
      </w:r>
      <w:r w:rsidRPr="000466E9">
        <w:rPr>
          <w:lang w:val="de-DE"/>
        </w:rPr>
        <w:t>vierundfünfzigsten Tagung vom 13. bis 17. Juni 2022</w:t>
      </w:r>
      <w:r w:rsidR="00BC7D74">
        <w:rPr>
          <w:lang w:val="de-DE"/>
        </w:rPr>
        <w:t>,</w:t>
      </w:r>
      <w:r w:rsidRPr="000466E9">
        <w:rPr>
          <w:lang w:val="de-DE"/>
        </w:rPr>
        <w:t xml:space="preserve"> </w:t>
      </w:r>
      <w:r w:rsidR="00BC7D74">
        <w:rPr>
          <w:lang w:val="de-DE"/>
        </w:rPr>
        <w:t>veranstaltet von</w:t>
      </w:r>
      <w:r w:rsidRPr="000466E9">
        <w:rPr>
          <w:lang w:val="de-DE"/>
        </w:rPr>
        <w:t xml:space="preserve"> Deutschland</w:t>
      </w:r>
      <w:r w:rsidR="00BC7D74">
        <w:rPr>
          <w:lang w:val="de-DE"/>
        </w:rPr>
        <w:t xml:space="preserve"> und auf elektronischem Wege abgehalten</w:t>
      </w:r>
      <w:r w:rsidRPr="000466E9">
        <w:rPr>
          <w:lang w:val="de-DE"/>
        </w:rPr>
        <w:t>.</w:t>
      </w:r>
    </w:p>
  </w:footnote>
  <w:footnote w:id="5">
    <w:p w14:paraId="582FAFE9" w14:textId="1225C5EF" w:rsidR="00901B57" w:rsidRPr="00353B49" w:rsidRDefault="005E3B05">
      <w:pPr>
        <w:pStyle w:val="FootnoteText"/>
        <w:rPr>
          <w:lang w:val="de-DE"/>
        </w:rPr>
      </w:pPr>
      <w:r w:rsidRPr="000466E9">
        <w:rPr>
          <w:rStyle w:val="FootnoteReference"/>
          <w:lang w:val="de-DE"/>
        </w:rPr>
        <w:footnoteRef/>
      </w:r>
      <w:r w:rsidRPr="000466E9">
        <w:rPr>
          <w:lang w:val="de-DE"/>
        </w:rPr>
        <w:t xml:space="preserve"> auf </w:t>
      </w:r>
      <w:r w:rsidR="000466E9" w:rsidRPr="000466E9">
        <w:rPr>
          <w:lang w:val="de-DE"/>
        </w:rPr>
        <w:t xml:space="preserve">ihrer </w:t>
      </w:r>
      <w:r w:rsidRPr="000466E9">
        <w:rPr>
          <w:lang w:val="de-DE"/>
        </w:rPr>
        <w:t xml:space="preserve">dreiundfünfzigsten Tagung vom </w:t>
      </w:r>
      <w:r w:rsidR="00D14633" w:rsidRPr="000466E9">
        <w:rPr>
          <w:lang w:val="de-DE"/>
        </w:rPr>
        <w:t xml:space="preserve">11. </w:t>
      </w:r>
      <w:r w:rsidRPr="000466E9">
        <w:rPr>
          <w:lang w:val="de-DE"/>
        </w:rPr>
        <w:t xml:space="preserve">bis </w:t>
      </w:r>
      <w:r w:rsidR="00D14633" w:rsidRPr="000466E9">
        <w:rPr>
          <w:lang w:val="de-DE"/>
        </w:rPr>
        <w:t xml:space="preserve">15. </w:t>
      </w:r>
      <w:r w:rsidRPr="000466E9">
        <w:rPr>
          <w:lang w:val="de-DE"/>
        </w:rPr>
        <w:t>Juli 2022</w:t>
      </w:r>
      <w:r w:rsidR="000466E9">
        <w:rPr>
          <w:lang w:val="de-DE"/>
        </w:rPr>
        <w:t>,</w:t>
      </w:r>
      <w:r w:rsidRPr="000466E9">
        <w:rPr>
          <w:lang w:val="de-DE"/>
        </w:rPr>
        <w:t xml:space="preserve"> auf elektronischem Wege abgehalten</w:t>
      </w:r>
      <w:r w:rsidR="00BC7D7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AFE2" w14:textId="77777777" w:rsidR="00901B57" w:rsidRDefault="005E3B05">
    <w:pPr>
      <w:pStyle w:val="Header"/>
      <w:rPr>
        <w:rStyle w:val="PageNumber"/>
        <w:lang w:val="en-US"/>
      </w:rPr>
    </w:pPr>
    <w:r>
      <w:rPr>
        <w:rStyle w:val="PageNumber"/>
        <w:lang w:val="en-US"/>
      </w:rPr>
      <w:t>TC/58/3</w:t>
    </w:r>
  </w:p>
  <w:p w14:paraId="582FAFE3" w14:textId="52502F87" w:rsidR="00901B57" w:rsidRDefault="005E3B05">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E08DC">
      <w:rPr>
        <w:rStyle w:val="PageNumber"/>
        <w:noProof/>
        <w:lang w:val="en-US"/>
      </w:rPr>
      <w:t>5</w:t>
    </w:r>
    <w:r w:rsidRPr="00C5280D">
      <w:rPr>
        <w:rStyle w:val="PageNumber"/>
        <w:lang w:val="en-US"/>
      </w:rPr>
      <w:fldChar w:fldCharType="end"/>
    </w:r>
  </w:p>
  <w:p w14:paraId="582FAFE4"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FAFE5"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6A27C56"/>
    <w:multiLevelType w:val="hybridMultilevel"/>
    <w:tmpl w:val="9CF4B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6B28"/>
    <w:rsid w:val="00006EED"/>
    <w:rsid w:val="00007B5D"/>
    <w:rsid w:val="00010CF3"/>
    <w:rsid w:val="00011E27"/>
    <w:rsid w:val="000148BC"/>
    <w:rsid w:val="00024AB8"/>
    <w:rsid w:val="00030854"/>
    <w:rsid w:val="00036028"/>
    <w:rsid w:val="00037992"/>
    <w:rsid w:val="0004198B"/>
    <w:rsid w:val="00043C66"/>
    <w:rsid w:val="00044642"/>
    <w:rsid w:val="000446B9"/>
    <w:rsid w:val="00046575"/>
    <w:rsid w:val="000466E9"/>
    <w:rsid w:val="00047E21"/>
    <w:rsid w:val="00050E16"/>
    <w:rsid w:val="0007613E"/>
    <w:rsid w:val="00085505"/>
    <w:rsid w:val="00094DF9"/>
    <w:rsid w:val="000A541F"/>
    <w:rsid w:val="000C4E25"/>
    <w:rsid w:val="000C7021"/>
    <w:rsid w:val="000D5CCA"/>
    <w:rsid w:val="000D6BBC"/>
    <w:rsid w:val="000D7780"/>
    <w:rsid w:val="000E636A"/>
    <w:rsid w:val="000F28AE"/>
    <w:rsid w:val="000F2F11"/>
    <w:rsid w:val="000F608B"/>
    <w:rsid w:val="000F758D"/>
    <w:rsid w:val="00100A5F"/>
    <w:rsid w:val="0010142C"/>
    <w:rsid w:val="00101C60"/>
    <w:rsid w:val="0010479D"/>
    <w:rsid w:val="00105929"/>
    <w:rsid w:val="00110BED"/>
    <w:rsid w:val="00110C36"/>
    <w:rsid w:val="001131D5"/>
    <w:rsid w:val="00114547"/>
    <w:rsid w:val="00117462"/>
    <w:rsid w:val="00125277"/>
    <w:rsid w:val="00136D43"/>
    <w:rsid w:val="0014150E"/>
    <w:rsid w:val="00141DB8"/>
    <w:rsid w:val="00144612"/>
    <w:rsid w:val="0014466B"/>
    <w:rsid w:val="00144D0C"/>
    <w:rsid w:val="001466F7"/>
    <w:rsid w:val="0016106C"/>
    <w:rsid w:val="00172084"/>
    <w:rsid w:val="0017474A"/>
    <w:rsid w:val="001758C6"/>
    <w:rsid w:val="00175A42"/>
    <w:rsid w:val="0017751E"/>
    <w:rsid w:val="00182B99"/>
    <w:rsid w:val="00185A59"/>
    <w:rsid w:val="00194CBA"/>
    <w:rsid w:val="001C1341"/>
    <w:rsid w:val="001C1525"/>
    <w:rsid w:val="001C1CE1"/>
    <w:rsid w:val="001C7445"/>
    <w:rsid w:val="0020474C"/>
    <w:rsid w:val="0021332C"/>
    <w:rsid w:val="00213982"/>
    <w:rsid w:val="00235594"/>
    <w:rsid w:val="0024416D"/>
    <w:rsid w:val="0024624E"/>
    <w:rsid w:val="00261215"/>
    <w:rsid w:val="00264B7D"/>
    <w:rsid w:val="00267BEC"/>
    <w:rsid w:val="00271911"/>
    <w:rsid w:val="00273187"/>
    <w:rsid w:val="002800A0"/>
    <w:rsid w:val="002801B3"/>
    <w:rsid w:val="00281060"/>
    <w:rsid w:val="00284050"/>
    <w:rsid w:val="00284F2F"/>
    <w:rsid w:val="00285BD0"/>
    <w:rsid w:val="002940E8"/>
    <w:rsid w:val="00294751"/>
    <w:rsid w:val="00295CAB"/>
    <w:rsid w:val="002A6E50"/>
    <w:rsid w:val="002B4298"/>
    <w:rsid w:val="002B451A"/>
    <w:rsid w:val="002B7A36"/>
    <w:rsid w:val="002C256A"/>
    <w:rsid w:val="002D45C5"/>
    <w:rsid w:val="002D5226"/>
    <w:rsid w:val="002F1491"/>
    <w:rsid w:val="00305A7F"/>
    <w:rsid w:val="003105A3"/>
    <w:rsid w:val="003132E8"/>
    <w:rsid w:val="003152FE"/>
    <w:rsid w:val="00327436"/>
    <w:rsid w:val="003406C6"/>
    <w:rsid w:val="00344BD6"/>
    <w:rsid w:val="00353B49"/>
    <w:rsid w:val="0035528D"/>
    <w:rsid w:val="00360A47"/>
    <w:rsid w:val="00361821"/>
    <w:rsid w:val="00361E9E"/>
    <w:rsid w:val="00370794"/>
    <w:rsid w:val="00371B44"/>
    <w:rsid w:val="003753EE"/>
    <w:rsid w:val="00375AFA"/>
    <w:rsid w:val="00377456"/>
    <w:rsid w:val="003A0835"/>
    <w:rsid w:val="003A5AAF"/>
    <w:rsid w:val="003A5FDB"/>
    <w:rsid w:val="003B700A"/>
    <w:rsid w:val="003C478A"/>
    <w:rsid w:val="003C7B6A"/>
    <w:rsid w:val="003C7FBE"/>
    <w:rsid w:val="003D0839"/>
    <w:rsid w:val="003D227C"/>
    <w:rsid w:val="003D2B4D"/>
    <w:rsid w:val="003E08DC"/>
    <w:rsid w:val="003E2556"/>
    <w:rsid w:val="003F37F5"/>
    <w:rsid w:val="004162BF"/>
    <w:rsid w:val="0044139E"/>
    <w:rsid w:val="00444A88"/>
    <w:rsid w:val="00445B73"/>
    <w:rsid w:val="004508A8"/>
    <w:rsid w:val="0045207C"/>
    <w:rsid w:val="00474DA4"/>
    <w:rsid w:val="00476B4D"/>
    <w:rsid w:val="004805FA"/>
    <w:rsid w:val="00481955"/>
    <w:rsid w:val="004935D2"/>
    <w:rsid w:val="004A6CA1"/>
    <w:rsid w:val="004A7A1B"/>
    <w:rsid w:val="004B1215"/>
    <w:rsid w:val="004C382F"/>
    <w:rsid w:val="004C7F56"/>
    <w:rsid w:val="004D047D"/>
    <w:rsid w:val="004F1E9E"/>
    <w:rsid w:val="004F305A"/>
    <w:rsid w:val="004F3A33"/>
    <w:rsid w:val="0050114D"/>
    <w:rsid w:val="005104A9"/>
    <w:rsid w:val="00512164"/>
    <w:rsid w:val="00520297"/>
    <w:rsid w:val="005308DA"/>
    <w:rsid w:val="00532E52"/>
    <w:rsid w:val="005338F9"/>
    <w:rsid w:val="0053562A"/>
    <w:rsid w:val="0054281C"/>
    <w:rsid w:val="00543582"/>
    <w:rsid w:val="00544581"/>
    <w:rsid w:val="0055268D"/>
    <w:rsid w:val="005557C7"/>
    <w:rsid w:val="00575DE2"/>
    <w:rsid w:val="00576BE4"/>
    <w:rsid w:val="005779DB"/>
    <w:rsid w:val="0059019C"/>
    <w:rsid w:val="005A2A67"/>
    <w:rsid w:val="005A400A"/>
    <w:rsid w:val="005A4C92"/>
    <w:rsid w:val="005B269D"/>
    <w:rsid w:val="005B6006"/>
    <w:rsid w:val="005C5DD3"/>
    <w:rsid w:val="005E3B05"/>
    <w:rsid w:val="005F33B8"/>
    <w:rsid w:val="005F455F"/>
    <w:rsid w:val="005F7B92"/>
    <w:rsid w:val="00603664"/>
    <w:rsid w:val="006050AC"/>
    <w:rsid w:val="00605931"/>
    <w:rsid w:val="00612379"/>
    <w:rsid w:val="00614D74"/>
    <w:rsid w:val="006153B6"/>
    <w:rsid w:val="0061555F"/>
    <w:rsid w:val="006159CC"/>
    <w:rsid w:val="00622C45"/>
    <w:rsid w:val="00623B20"/>
    <w:rsid w:val="006245ED"/>
    <w:rsid w:val="006248DE"/>
    <w:rsid w:val="006344D0"/>
    <w:rsid w:val="00636CA6"/>
    <w:rsid w:val="00641200"/>
    <w:rsid w:val="00645CA8"/>
    <w:rsid w:val="00646AF0"/>
    <w:rsid w:val="006655D3"/>
    <w:rsid w:val="00667404"/>
    <w:rsid w:val="0067562C"/>
    <w:rsid w:val="00687EB4"/>
    <w:rsid w:val="0069260D"/>
    <w:rsid w:val="00693E41"/>
    <w:rsid w:val="00695C33"/>
    <w:rsid w:val="00695C56"/>
    <w:rsid w:val="006A5CDE"/>
    <w:rsid w:val="006A644A"/>
    <w:rsid w:val="006B17D2"/>
    <w:rsid w:val="006B4F85"/>
    <w:rsid w:val="006B59A0"/>
    <w:rsid w:val="006B7799"/>
    <w:rsid w:val="006C224E"/>
    <w:rsid w:val="006D780A"/>
    <w:rsid w:val="006E1618"/>
    <w:rsid w:val="006F3F3B"/>
    <w:rsid w:val="00710D88"/>
    <w:rsid w:val="0071271E"/>
    <w:rsid w:val="00732DEC"/>
    <w:rsid w:val="00735BD5"/>
    <w:rsid w:val="00742C2C"/>
    <w:rsid w:val="007451EC"/>
    <w:rsid w:val="007475B7"/>
    <w:rsid w:val="00751368"/>
    <w:rsid w:val="00751613"/>
    <w:rsid w:val="00753EE9"/>
    <w:rsid w:val="007556F6"/>
    <w:rsid w:val="0076028B"/>
    <w:rsid w:val="00760EEF"/>
    <w:rsid w:val="00777EE5"/>
    <w:rsid w:val="00784836"/>
    <w:rsid w:val="00784F00"/>
    <w:rsid w:val="00785C10"/>
    <w:rsid w:val="00787847"/>
    <w:rsid w:val="00787894"/>
    <w:rsid w:val="0079023E"/>
    <w:rsid w:val="007973E8"/>
    <w:rsid w:val="007A2854"/>
    <w:rsid w:val="007A5C49"/>
    <w:rsid w:val="007C1D92"/>
    <w:rsid w:val="007C4CB9"/>
    <w:rsid w:val="007D0B9D"/>
    <w:rsid w:val="007D19B0"/>
    <w:rsid w:val="007D5A26"/>
    <w:rsid w:val="007F3E8C"/>
    <w:rsid w:val="007F498F"/>
    <w:rsid w:val="0080679D"/>
    <w:rsid w:val="008108B0"/>
    <w:rsid w:val="00811B20"/>
    <w:rsid w:val="00812609"/>
    <w:rsid w:val="008144B1"/>
    <w:rsid w:val="008211B5"/>
    <w:rsid w:val="0082296E"/>
    <w:rsid w:val="00824099"/>
    <w:rsid w:val="008301C2"/>
    <w:rsid w:val="00831BFD"/>
    <w:rsid w:val="00831EE0"/>
    <w:rsid w:val="00846D7C"/>
    <w:rsid w:val="0085637E"/>
    <w:rsid w:val="00867AC1"/>
    <w:rsid w:val="008751DE"/>
    <w:rsid w:val="00890DF8"/>
    <w:rsid w:val="00897645"/>
    <w:rsid w:val="008A0ADE"/>
    <w:rsid w:val="008A743F"/>
    <w:rsid w:val="008B2A28"/>
    <w:rsid w:val="008C0970"/>
    <w:rsid w:val="008D0BC5"/>
    <w:rsid w:val="008D2CF7"/>
    <w:rsid w:val="008D4D39"/>
    <w:rsid w:val="008D5550"/>
    <w:rsid w:val="008D6DF1"/>
    <w:rsid w:val="008F768E"/>
    <w:rsid w:val="00900C26"/>
    <w:rsid w:val="0090197F"/>
    <w:rsid w:val="00901B57"/>
    <w:rsid w:val="00903264"/>
    <w:rsid w:val="009060A7"/>
    <w:rsid w:val="00906BDA"/>
    <w:rsid w:val="00906DDC"/>
    <w:rsid w:val="00911D57"/>
    <w:rsid w:val="009205F7"/>
    <w:rsid w:val="0093333A"/>
    <w:rsid w:val="00934E09"/>
    <w:rsid w:val="00936253"/>
    <w:rsid w:val="00940D46"/>
    <w:rsid w:val="009413F1"/>
    <w:rsid w:val="009470BB"/>
    <w:rsid w:val="00952DD4"/>
    <w:rsid w:val="009561F4"/>
    <w:rsid w:val="009645C3"/>
    <w:rsid w:val="00965AE7"/>
    <w:rsid w:val="00970FED"/>
    <w:rsid w:val="00972E68"/>
    <w:rsid w:val="00985E41"/>
    <w:rsid w:val="009879FF"/>
    <w:rsid w:val="00992D82"/>
    <w:rsid w:val="00997029"/>
    <w:rsid w:val="009A7339"/>
    <w:rsid w:val="009B440E"/>
    <w:rsid w:val="009B6EC1"/>
    <w:rsid w:val="009C0A66"/>
    <w:rsid w:val="009D690D"/>
    <w:rsid w:val="009E65B6"/>
    <w:rsid w:val="009F0A51"/>
    <w:rsid w:val="009F0B7F"/>
    <w:rsid w:val="009F77CF"/>
    <w:rsid w:val="00A05DC5"/>
    <w:rsid w:val="00A12795"/>
    <w:rsid w:val="00A24C10"/>
    <w:rsid w:val="00A31934"/>
    <w:rsid w:val="00A32E19"/>
    <w:rsid w:val="00A4056E"/>
    <w:rsid w:val="00A42AC3"/>
    <w:rsid w:val="00A430CF"/>
    <w:rsid w:val="00A504C1"/>
    <w:rsid w:val="00A54309"/>
    <w:rsid w:val="00A55168"/>
    <w:rsid w:val="00A610A9"/>
    <w:rsid w:val="00A618AF"/>
    <w:rsid w:val="00A80F2A"/>
    <w:rsid w:val="00A873E1"/>
    <w:rsid w:val="00A96C33"/>
    <w:rsid w:val="00AB2212"/>
    <w:rsid w:val="00AB2B93"/>
    <w:rsid w:val="00AB530F"/>
    <w:rsid w:val="00AB7E5B"/>
    <w:rsid w:val="00AB7F89"/>
    <w:rsid w:val="00AC2883"/>
    <w:rsid w:val="00AC3A8C"/>
    <w:rsid w:val="00AC3E56"/>
    <w:rsid w:val="00AE0EF1"/>
    <w:rsid w:val="00AE199E"/>
    <w:rsid w:val="00AE1F7C"/>
    <w:rsid w:val="00AE2937"/>
    <w:rsid w:val="00AF272E"/>
    <w:rsid w:val="00B02CE6"/>
    <w:rsid w:val="00B056D8"/>
    <w:rsid w:val="00B07301"/>
    <w:rsid w:val="00B11F3E"/>
    <w:rsid w:val="00B224DE"/>
    <w:rsid w:val="00B324D4"/>
    <w:rsid w:val="00B361D8"/>
    <w:rsid w:val="00B41F47"/>
    <w:rsid w:val="00B44963"/>
    <w:rsid w:val="00B46575"/>
    <w:rsid w:val="00B53658"/>
    <w:rsid w:val="00B54E03"/>
    <w:rsid w:val="00B61318"/>
    <w:rsid w:val="00B61777"/>
    <w:rsid w:val="00B617CD"/>
    <w:rsid w:val="00B622E6"/>
    <w:rsid w:val="00B70F26"/>
    <w:rsid w:val="00B7611A"/>
    <w:rsid w:val="00B83E82"/>
    <w:rsid w:val="00B847D5"/>
    <w:rsid w:val="00B84BBD"/>
    <w:rsid w:val="00B854FB"/>
    <w:rsid w:val="00B85759"/>
    <w:rsid w:val="00B91195"/>
    <w:rsid w:val="00BA41EA"/>
    <w:rsid w:val="00BA43FB"/>
    <w:rsid w:val="00BA7E04"/>
    <w:rsid w:val="00BB09E5"/>
    <w:rsid w:val="00BC127D"/>
    <w:rsid w:val="00BC1FE6"/>
    <w:rsid w:val="00BC7D74"/>
    <w:rsid w:val="00BD022B"/>
    <w:rsid w:val="00BD4414"/>
    <w:rsid w:val="00BE7F98"/>
    <w:rsid w:val="00BF4348"/>
    <w:rsid w:val="00C061B6"/>
    <w:rsid w:val="00C2446C"/>
    <w:rsid w:val="00C34216"/>
    <w:rsid w:val="00C36AE5"/>
    <w:rsid w:val="00C41F17"/>
    <w:rsid w:val="00C44BCA"/>
    <w:rsid w:val="00C45098"/>
    <w:rsid w:val="00C527FA"/>
    <w:rsid w:val="00C5280D"/>
    <w:rsid w:val="00C53EB3"/>
    <w:rsid w:val="00C54C75"/>
    <w:rsid w:val="00C5791C"/>
    <w:rsid w:val="00C57CDF"/>
    <w:rsid w:val="00C66290"/>
    <w:rsid w:val="00C72B7A"/>
    <w:rsid w:val="00C93EF4"/>
    <w:rsid w:val="00C973F2"/>
    <w:rsid w:val="00CA304C"/>
    <w:rsid w:val="00CA774A"/>
    <w:rsid w:val="00CB4921"/>
    <w:rsid w:val="00CB603E"/>
    <w:rsid w:val="00CC11B0"/>
    <w:rsid w:val="00CC2841"/>
    <w:rsid w:val="00CC3907"/>
    <w:rsid w:val="00CC7B92"/>
    <w:rsid w:val="00CD68E6"/>
    <w:rsid w:val="00CE1435"/>
    <w:rsid w:val="00CF1330"/>
    <w:rsid w:val="00CF3B8D"/>
    <w:rsid w:val="00CF7E36"/>
    <w:rsid w:val="00D1155B"/>
    <w:rsid w:val="00D14633"/>
    <w:rsid w:val="00D21693"/>
    <w:rsid w:val="00D26CF1"/>
    <w:rsid w:val="00D3708D"/>
    <w:rsid w:val="00D40426"/>
    <w:rsid w:val="00D46F4A"/>
    <w:rsid w:val="00D57C96"/>
    <w:rsid w:val="00D57D18"/>
    <w:rsid w:val="00D70E65"/>
    <w:rsid w:val="00D7233B"/>
    <w:rsid w:val="00D81709"/>
    <w:rsid w:val="00D91203"/>
    <w:rsid w:val="00D95174"/>
    <w:rsid w:val="00D97090"/>
    <w:rsid w:val="00DA4973"/>
    <w:rsid w:val="00DA6F36"/>
    <w:rsid w:val="00DB49C6"/>
    <w:rsid w:val="00DB596E"/>
    <w:rsid w:val="00DB7773"/>
    <w:rsid w:val="00DC00EA"/>
    <w:rsid w:val="00DC0942"/>
    <w:rsid w:val="00DC3802"/>
    <w:rsid w:val="00DC3F76"/>
    <w:rsid w:val="00DD1482"/>
    <w:rsid w:val="00DD6208"/>
    <w:rsid w:val="00DD729C"/>
    <w:rsid w:val="00DD7ABA"/>
    <w:rsid w:val="00DF7E99"/>
    <w:rsid w:val="00E062FE"/>
    <w:rsid w:val="00E07D87"/>
    <w:rsid w:val="00E10380"/>
    <w:rsid w:val="00E10601"/>
    <w:rsid w:val="00E164B8"/>
    <w:rsid w:val="00E249C8"/>
    <w:rsid w:val="00E32F7E"/>
    <w:rsid w:val="00E5267B"/>
    <w:rsid w:val="00E559F0"/>
    <w:rsid w:val="00E55ACD"/>
    <w:rsid w:val="00E5656B"/>
    <w:rsid w:val="00E63C0E"/>
    <w:rsid w:val="00E70819"/>
    <w:rsid w:val="00E7232A"/>
    <w:rsid w:val="00E72D49"/>
    <w:rsid w:val="00E7563D"/>
    <w:rsid w:val="00E7593C"/>
    <w:rsid w:val="00E75E12"/>
    <w:rsid w:val="00E7678A"/>
    <w:rsid w:val="00E87B18"/>
    <w:rsid w:val="00E935F1"/>
    <w:rsid w:val="00E94A81"/>
    <w:rsid w:val="00EA1FFB"/>
    <w:rsid w:val="00EB048E"/>
    <w:rsid w:val="00EB4E9C"/>
    <w:rsid w:val="00EB55A3"/>
    <w:rsid w:val="00EB7F46"/>
    <w:rsid w:val="00EC4336"/>
    <w:rsid w:val="00EC634B"/>
    <w:rsid w:val="00EC76AD"/>
    <w:rsid w:val="00EE34DF"/>
    <w:rsid w:val="00EF2F89"/>
    <w:rsid w:val="00F03E98"/>
    <w:rsid w:val="00F1237A"/>
    <w:rsid w:val="00F22CBD"/>
    <w:rsid w:val="00F233D7"/>
    <w:rsid w:val="00F272F1"/>
    <w:rsid w:val="00F31412"/>
    <w:rsid w:val="00F45372"/>
    <w:rsid w:val="00F50C62"/>
    <w:rsid w:val="00F560F7"/>
    <w:rsid w:val="00F62784"/>
    <w:rsid w:val="00F6334D"/>
    <w:rsid w:val="00F63599"/>
    <w:rsid w:val="00F671F0"/>
    <w:rsid w:val="00F71781"/>
    <w:rsid w:val="00F86FED"/>
    <w:rsid w:val="00F97D7A"/>
    <w:rsid w:val="00FA21B9"/>
    <w:rsid w:val="00FA49AB"/>
    <w:rsid w:val="00FB385A"/>
    <w:rsid w:val="00FC5FD0"/>
    <w:rsid w:val="00FE39C7"/>
    <w:rsid w:val="00FF4D07"/>
    <w:rsid w:val="00FF7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2FAF0F"/>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D7233B"/>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605931"/>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03799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link w:val="Heading2"/>
    <w:locked/>
    <w:rsid w:val="00D7233B"/>
    <w:rPr>
      <w:rFonts w:ascii="Arial" w:hAnsi="Arial"/>
      <w:u w:val="single"/>
    </w:rPr>
  </w:style>
  <w:style w:type="paragraph" w:styleId="ListParagraph">
    <w:name w:val="List Paragraph"/>
    <w:aliases w:val="auto_list_(i),List Paragraph1"/>
    <w:basedOn w:val="Normal"/>
    <w:link w:val="ListParagraphChar"/>
    <w:uiPriority w:val="34"/>
    <w:qFormat/>
    <w:rsid w:val="001C1341"/>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1C1341"/>
    <w:rPr>
      <w:rFonts w:ascii="Arial" w:hAnsi="Arial"/>
    </w:rPr>
  </w:style>
  <w:style w:type="character" w:customStyle="1" w:styleId="FootnoteTextChar">
    <w:name w:val="Footnote Text Char"/>
    <w:basedOn w:val="DefaultParagraphFont"/>
    <w:link w:val="FootnoteText"/>
    <w:rsid w:val="008301C2"/>
    <w:rPr>
      <w:rFonts w:ascii="Arial" w:hAnsi="Arial"/>
      <w:sz w:val="16"/>
    </w:rPr>
  </w:style>
  <w:style w:type="character" w:customStyle="1" w:styleId="Heading1Char">
    <w:name w:val="Heading 1 Char"/>
    <w:basedOn w:val="DefaultParagraphFont"/>
    <w:link w:val="Heading1"/>
    <w:rsid w:val="008301C2"/>
    <w:rPr>
      <w:rFonts w:ascii="Arial" w:hAnsi="Arial"/>
      <w:caps/>
    </w:rPr>
  </w:style>
  <w:style w:type="paragraph" w:styleId="Revision">
    <w:name w:val="Revision"/>
    <w:hidden/>
    <w:uiPriority w:val="99"/>
    <w:semiHidden/>
    <w:rsid w:val="006B4F85"/>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01165">
      <w:bodyDiv w:val="1"/>
      <w:marLeft w:val="0"/>
      <w:marRight w:val="0"/>
      <w:marTop w:val="0"/>
      <w:marBottom w:val="0"/>
      <w:divBdr>
        <w:top w:val="none" w:sz="0" w:space="0" w:color="auto"/>
        <w:left w:val="none" w:sz="0" w:space="0" w:color="auto"/>
        <w:bottom w:val="none" w:sz="0" w:space="0" w:color="auto"/>
        <w:right w:val="none" w:sz="0" w:space="0" w:color="auto"/>
      </w:divBdr>
    </w:div>
    <w:div w:id="163326579">
      <w:bodyDiv w:val="1"/>
      <w:marLeft w:val="0"/>
      <w:marRight w:val="0"/>
      <w:marTop w:val="0"/>
      <w:marBottom w:val="0"/>
      <w:divBdr>
        <w:top w:val="none" w:sz="0" w:space="0" w:color="auto"/>
        <w:left w:val="none" w:sz="0" w:space="0" w:color="auto"/>
        <w:bottom w:val="none" w:sz="0" w:space="0" w:color="auto"/>
        <w:right w:val="none" w:sz="0" w:space="0" w:color="auto"/>
      </w:divBdr>
    </w:div>
    <w:div w:id="369034718">
      <w:bodyDiv w:val="1"/>
      <w:marLeft w:val="0"/>
      <w:marRight w:val="0"/>
      <w:marTop w:val="0"/>
      <w:marBottom w:val="0"/>
      <w:divBdr>
        <w:top w:val="none" w:sz="0" w:space="0" w:color="auto"/>
        <w:left w:val="none" w:sz="0" w:space="0" w:color="auto"/>
        <w:bottom w:val="none" w:sz="0" w:space="0" w:color="auto"/>
        <w:right w:val="none" w:sz="0" w:space="0" w:color="auto"/>
      </w:divBdr>
    </w:div>
    <w:div w:id="535047325">
      <w:bodyDiv w:val="1"/>
      <w:marLeft w:val="0"/>
      <w:marRight w:val="0"/>
      <w:marTop w:val="0"/>
      <w:marBottom w:val="0"/>
      <w:divBdr>
        <w:top w:val="none" w:sz="0" w:space="0" w:color="auto"/>
        <w:left w:val="none" w:sz="0" w:space="0" w:color="auto"/>
        <w:bottom w:val="none" w:sz="0" w:space="0" w:color="auto"/>
        <w:right w:val="none" w:sz="0" w:space="0" w:color="auto"/>
      </w:divBdr>
    </w:div>
    <w:div w:id="15321077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078DC-47F4-4913-8226-A2C92F16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routing_slip_with_doc_tc_58.dotm</Template>
  <TotalTime>3</TotalTime>
  <Pages>5</Pages>
  <Words>2087</Words>
  <Characters>14441</Characters>
  <Application>Microsoft Office Word</Application>
  <DocSecurity>0</DocSecurity>
  <Lines>120</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TC/58</vt:lpstr>
      <vt:lpstr>TC/57</vt:lpstr>
    </vt:vector>
  </TitlesOfParts>
  <Company>UPOV</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keywords>, docId:EAA062845668BEFE88117B1D40340892</cp:keywords>
  <cp:lastModifiedBy>NICOLO Laurianne</cp:lastModifiedBy>
  <cp:revision>5</cp:revision>
  <cp:lastPrinted>2022-10-13T11:06:00Z</cp:lastPrinted>
  <dcterms:created xsi:type="dcterms:W3CDTF">2022-10-13T11:06:00Z</dcterms:created>
  <dcterms:modified xsi:type="dcterms:W3CDTF">2022-10-18T09:49:00Z</dcterms:modified>
</cp:coreProperties>
</file>