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ED5D41" w:rsidRPr="00ED5D41" w:rsidTr="00B630DA">
        <w:tc>
          <w:tcPr>
            <w:tcW w:w="6522" w:type="dxa"/>
          </w:tcPr>
          <w:p w:rsidR="00ED5D41" w:rsidRPr="00ED5D41" w:rsidRDefault="00ED5D41" w:rsidP="00ED5D41">
            <w:pPr>
              <w:rPr>
                <w:lang w:val="de-DE"/>
              </w:rPr>
            </w:pPr>
            <w:r w:rsidRPr="00ED5D41">
              <w:rPr>
                <w:noProof/>
              </w:rPr>
              <w:drawing>
                <wp:inline distT="0" distB="0" distL="0" distR="0" wp14:anchorId="65364C9B" wp14:editId="6F25BA1C">
                  <wp:extent cx="952031" cy="244054"/>
                  <wp:effectExtent l="0" t="0" r="635" b="3810"/>
                  <wp:docPr id="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ED5D41" w:rsidRPr="00ED5D41" w:rsidRDefault="00ED5D41" w:rsidP="00ED5D41">
            <w:pPr>
              <w:spacing w:line="340" w:lineRule="atLeast"/>
              <w:jc w:val="right"/>
              <w:rPr>
                <w:b/>
                <w:bCs/>
                <w:sz w:val="36"/>
                <w:lang w:val="de-DE"/>
              </w:rPr>
            </w:pPr>
            <w:r w:rsidRPr="00ED5D41">
              <w:rPr>
                <w:b/>
                <w:bCs/>
                <w:sz w:val="36"/>
                <w:lang w:val="de-DE"/>
              </w:rPr>
              <w:t>G</w:t>
            </w:r>
          </w:p>
        </w:tc>
      </w:tr>
      <w:tr w:rsidR="00ED5D41" w:rsidRPr="00285445" w:rsidTr="00B630DA">
        <w:trPr>
          <w:trHeight w:val="219"/>
        </w:trPr>
        <w:tc>
          <w:tcPr>
            <w:tcW w:w="6522" w:type="dxa"/>
          </w:tcPr>
          <w:p w:rsidR="00ED5D41" w:rsidRPr="00ED5D41" w:rsidRDefault="00ED5D41" w:rsidP="00ED5D41">
            <w:pPr>
              <w:spacing w:before="120"/>
              <w:rPr>
                <w:sz w:val="16"/>
                <w:lang w:val="de-DE"/>
              </w:rPr>
            </w:pPr>
            <w:r w:rsidRPr="00ED5D41">
              <w:rPr>
                <w:sz w:val="16"/>
                <w:lang w:val="de-DE"/>
              </w:rPr>
              <w:t>Internationaler Verband zum Schutz von Pflanzenzüchtungen</w:t>
            </w:r>
          </w:p>
        </w:tc>
        <w:tc>
          <w:tcPr>
            <w:tcW w:w="3117" w:type="dxa"/>
          </w:tcPr>
          <w:p w:rsidR="00ED5D41" w:rsidRPr="00ED5D41" w:rsidRDefault="00ED5D41" w:rsidP="00ED5D41">
            <w:pPr>
              <w:rPr>
                <w:lang w:val="de-DE"/>
              </w:rPr>
            </w:pPr>
          </w:p>
        </w:tc>
      </w:tr>
    </w:tbl>
    <w:p w:rsidR="00ED5D41" w:rsidRPr="00ED5D41" w:rsidRDefault="00ED5D41" w:rsidP="00ED5D41">
      <w:pPr>
        <w:rPr>
          <w:lang w:val="de-DE"/>
        </w:rPr>
      </w:pPr>
    </w:p>
    <w:p w:rsidR="00ED5D41" w:rsidRPr="00ED5D41" w:rsidRDefault="00ED5D41" w:rsidP="00ED5D41">
      <w:pPr>
        <w:rPr>
          <w:lang w:val="de-DE"/>
        </w:rPr>
      </w:pPr>
    </w:p>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ED5D41" w:rsidRPr="00ED5D41" w:rsidTr="00B630DA">
        <w:tc>
          <w:tcPr>
            <w:tcW w:w="6512" w:type="dxa"/>
          </w:tcPr>
          <w:p w:rsidR="00285445" w:rsidRPr="00171CB2" w:rsidRDefault="00285445" w:rsidP="00285445">
            <w:pPr>
              <w:pStyle w:val="Sessiontc"/>
              <w:spacing w:line="240" w:lineRule="auto"/>
            </w:pPr>
            <w:r w:rsidRPr="00171CB2">
              <w:t>Technischer Ausschuss</w:t>
            </w:r>
          </w:p>
          <w:p w:rsidR="00285445" w:rsidRPr="00171CB2" w:rsidRDefault="00285445" w:rsidP="00285445">
            <w:pPr>
              <w:pStyle w:val="Sessiontcplacedate"/>
            </w:pPr>
            <w:r w:rsidRPr="00171CB2">
              <w:t>Achtundfünfzigste Tagung</w:t>
            </w:r>
          </w:p>
          <w:p w:rsidR="00ED5D41" w:rsidRPr="00ED5D41" w:rsidRDefault="00285445" w:rsidP="00285445">
            <w:pPr>
              <w:pStyle w:val="Sessiontc"/>
              <w:spacing w:line="240" w:lineRule="auto"/>
              <w:rPr>
                <w:b w:val="0"/>
                <w:bCs w:val="0"/>
                <w:sz w:val="22"/>
                <w:lang w:val="de-DE"/>
              </w:rPr>
            </w:pPr>
            <w:r w:rsidRPr="00171CB2">
              <w:t>Genf, 24. und 25. Oktober 2022</w:t>
            </w:r>
          </w:p>
        </w:tc>
        <w:tc>
          <w:tcPr>
            <w:tcW w:w="3127" w:type="dxa"/>
          </w:tcPr>
          <w:p w:rsidR="00ED5D41" w:rsidRPr="00285445" w:rsidRDefault="00ED5D41" w:rsidP="00285445">
            <w:pPr>
              <w:pStyle w:val="Doccode"/>
              <w:rPr>
                <w:rFonts w:eastAsia="Times New Roman"/>
                <w:spacing w:val="0"/>
                <w:lang w:val="de-DE"/>
              </w:rPr>
            </w:pPr>
            <w:r w:rsidRPr="00285445">
              <w:rPr>
                <w:rFonts w:eastAsia="Times New Roman"/>
                <w:spacing w:val="0"/>
                <w:lang w:val="de-DE"/>
              </w:rPr>
              <w:t>TC/58/INF/6</w:t>
            </w:r>
          </w:p>
          <w:p w:rsidR="00ED5D41" w:rsidRPr="00ED5D41" w:rsidRDefault="00ED5D41" w:rsidP="00ED5D41">
            <w:pPr>
              <w:spacing w:before="240" w:line="240" w:lineRule="exact"/>
              <w:contextualSpacing/>
              <w:jc w:val="left"/>
              <w:rPr>
                <w:b/>
                <w:bCs/>
                <w:spacing w:val="10"/>
                <w:sz w:val="18"/>
                <w:lang w:val="de-DE"/>
              </w:rPr>
            </w:pPr>
            <w:r w:rsidRPr="00ED5D41">
              <w:rPr>
                <w:b/>
                <w:bCs/>
                <w:spacing w:val="10"/>
                <w:sz w:val="18"/>
                <w:lang w:val="de-DE"/>
              </w:rPr>
              <w:t>Original:</w:t>
            </w:r>
            <w:r w:rsidRPr="00ED5D41">
              <w:rPr>
                <w:bCs/>
                <w:spacing w:val="10"/>
                <w:sz w:val="18"/>
                <w:lang w:val="de-DE"/>
              </w:rPr>
              <w:t xml:space="preserve">  englisch</w:t>
            </w:r>
          </w:p>
          <w:p w:rsidR="00ED5D41" w:rsidRPr="00ED5D41" w:rsidRDefault="00ED5D41" w:rsidP="00ED5D41">
            <w:pPr>
              <w:spacing w:before="240" w:line="240" w:lineRule="exact"/>
              <w:contextualSpacing/>
              <w:jc w:val="left"/>
              <w:rPr>
                <w:b/>
                <w:bCs/>
                <w:spacing w:val="10"/>
                <w:sz w:val="18"/>
                <w:lang w:val="de-DE"/>
              </w:rPr>
            </w:pPr>
            <w:r w:rsidRPr="00ED5D41">
              <w:rPr>
                <w:b/>
                <w:bCs/>
                <w:spacing w:val="10"/>
                <w:sz w:val="18"/>
                <w:lang w:val="de-DE"/>
              </w:rPr>
              <w:t>Datum:</w:t>
            </w:r>
            <w:r w:rsidRPr="00ED5D41">
              <w:rPr>
                <w:bCs/>
                <w:spacing w:val="10"/>
                <w:sz w:val="18"/>
                <w:lang w:val="de-DE"/>
              </w:rPr>
              <w:t xml:space="preserve">  12. Oktober 2022</w:t>
            </w:r>
          </w:p>
        </w:tc>
      </w:tr>
    </w:tbl>
    <w:p w:rsidR="00ED5D41" w:rsidRPr="00ED5D41" w:rsidRDefault="00ED5D41" w:rsidP="00ED5D41">
      <w:pPr>
        <w:spacing w:before="600" w:after="240"/>
        <w:jc w:val="left"/>
        <w:rPr>
          <w:b/>
          <w:caps/>
          <w:lang w:val="de-DE"/>
        </w:rPr>
      </w:pPr>
      <w:r w:rsidRPr="00ED5D41">
        <w:rPr>
          <w:b/>
          <w:caps/>
          <w:lang w:val="de-DE"/>
        </w:rPr>
        <w:t>Molekulare Verfahren</w:t>
      </w:r>
    </w:p>
    <w:p w:rsidR="00ED5D41" w:rsidRPr="00ED5D41" w:rsidRDefault="00ED5D41" w:rsidP="00ED5D41">
      <w:pPr>
        <w:spacing w:after="240"/>
        <w:jc w:val="left"/>
        <w:rPr>
          <w:i/>
          <w:iCs/>
          <w:lang w:val="de-DE"/>
        </w:rPr>
      </w:pPr>
      <w:r w:rsidRPr="00ED5D41">
        <w:rPr>
          <w:i/>
          <w:iCs/>
          <w:lang w:val="de-DE"/>
        </w:rPr>
        <w:t>vom Verbandsbüro erstelltes Dokument</w:t>
      </w:r>
    </w:p>
    <w:p w:rsidR="00ED5D41" w:rsidRPr="00ED5D41" w:rsidRDefault="00ED5D41" w:rsidP="00ED5D41">
      <w:pPr>
        <w:spacing w:after="600"/>
        <w:jc w:val="left"/>
        <w:rPr>
          <w:i/>
          <w:iCs/>
          <w:color w:val="A6A6A6" w:themeColor="background1" w:themeShade="A6"/>
          <w:lang w:val="de-DE"/>
        </w:rPr>
      </w:pPr>
      <w:r w:rsidRPr="00ED5D41">
        <w:rPr>
          <w:i/>
          <w:iCs/>
          <w:color w:val="A6A6A6" w:themeColor="background1" w:themeShade="A6"/>
          <w:lang w:val="de-DE"/>
        </w:rPr>
        <w:t>Haftungsausschluss:  dieses Dokument gibt nicht die Grundsätze oder eine Anleitung der UPOV wieder</w:t>
      </w:r>
    </w:p>
    <w:p w:rsidR="00ED5D41" w:rsidRPr="00ED5D41" w:rsidRDefault="00ED5D41" w:rsidP="00ED5D41">
      <w:pPr>
        <w:keepNext/>
        <w:outlineLvl w:val="0"/>
        <w:rPr>
          <w:rFonts w:eastAsiaTheme="minorEastAsia"/>
          <w:caps/>
          <w:lang w:val="de-DE"/>
        </w:rPr>
      </w:pPr>
      <w:bookmarkStart w:id="0" w:name="_Toc524691135"/>
      <w:bookmarkStart w:id="1" w:name="_Toc483235547"/>
      <w:bookmarkStart w:id="2" w:name="_Toc474404967"/>
      <w:bookmarkStart w:id="3" w:name="_Ref438649598"/>
      <w:bookmarkStart w:id="4" w:name="_Toc117091245"/>
      <w:bookmarkStart w:id="5" w:name="_Toc17894057"/>
      <w:bookmarkStart w:id="6" w:name="_Toc475955714"/>
      <w:r w:rsidRPr="00ED5D41">
        <w:rPr>
          <w:caps/>
          <w:lang w:val="de-DE"/>
        </w:rPr>
        <w:t>ZUSAMMENFASSUNG</w:t>
      </w:r>
      <w:bookmarkEnd w:id="0"/>
      <w:bookmarkEnd w:id="1"/>
      <w:bookmarkEnd w:id="2"/>
      <w:bookmarkEnd w:id="3"/>
      <w:bookmarkEnd w:id="4"/>
    </w:p>
    <w:p w:rsidR="00ED5D41" w:rsidRPr="00ED5D41" w:rsidRDefault="00ED5D41" w:rsidP="00ED5D41">
      <w:pPr>
        <w:rPr>
          <w:rFonts w:eastAsiaTheme="minorEastAsia"/>
          <w:lang w:val="de-DE" w:eastAsia="ja-JP"/>
        </w:rPr>
      </w:pPr>
    </w:p>
    <w:p w:rsidR="00ED5D41" w:rsidRPr="00ED5D41" w:rsidRDefault="00ED5D41" w:rsidP="00ED5D41">
      <w:pPr>
        <w:rPr>
          <w:lang w:val="de-DE"/>
        </w:rPr>
      </w:pPr>
      <w:r w:rsidRPr="00ED5D41">
        <w:rPr>
          <w:lang w:val="de-DE"/>
        </w:rPr>
        <w:fldChar w:fldCharType="begin"/>
      </w:r>
      <w:r w:rsidRPr="00ED5D41">
        <w:rPr>
          <w:lang w:val="de-DE"/>
        </w:rPr>
        <w:instrText xml:space="preserve"> AUTONUM  </w:instrText>
      </w:r>
      <w:r w:rsidRPr="00ED5D41">
        <w:rPr>
          <w:lang w:val="de-DE"/>
        </w:rPr>
        <w:fldChar w:fldCharType="end"/>
      </w:r>
      <w:r w:rsidRPr="00ED5D41">
        <w:rPr>
          <w:lang w:val="de-DE"/>
        </w:rPr>
        <w:tab/>
        <w:t>Zweck dieses Dokuments ist es, auf den Tagungen der Technischen Arbeitsgruppen im Jahr 2022 über die Entwicklungen betreffend molekulare Verfahren zu berichten.</w:t>
      </w:r>
    </w:p>
    <w:p w:rsidR="00ED5D41" w:rsidRPr="00ED5D41" w:rsidRDefault="00ED5D41" w:rsidP="00ED5D41">
      <w:pPr>
        <w:rPr>
          <w:lang w:val="de-DE" w:eastAsia="ja-JP"/>
        </w:rPr>
      </w:pPr>
    </w:p>
    <w:p w:rsidR="00ED5D41" w:rsidRPr="00ED5D41" w:rsidRDefault="00ED5D41" w:rsidP="00ED5D41">
      <w:pPr>
        <w:rPr>
          <w:lang w:val="de-DE"/>
        </w:rPr>
      </w:pPr>
      <w:r w:rsidRPr="00ED5D41">
        <w:rPr>
          <w:lang w:val="de-DE"/>
        </w:rPr>
        <w:fldChar w:fldCharType="begin"/>
      </w:r>
      <w:r w:rsidRPr="00ED5D41">
        <w:rPr>
          <w:lang w:val="de-DE"/>
        </w:rPr>
        <w:instrText xml:space="preserve"> AUTONUM  </w:instrText>
      </w:r>
      <w:r w:rsidRPr="00ED5D41">
        <w:rPr>
          <w:lang w:val="de-DE"/>
        </w:rPr>
        <w:fldChar w:fldCharType="end"/>
      </w:r>
      <w:r w:rsidRPr="00ED5D41">
        <w:rPr>
          <w:lang w:val="de-DE"/>
        </w:rPr>
        <w:tab/>
        <w:t xml:space="preserve">Fragen zur Prüfung durch den </w:t>
      </w:r>
      <w:r w:rsidRPr="00ED5D41">
        <w:rPr>
          <w:snapToGrid w:val="0"/>
          <w:lang w:val="de-DE"/>
        </w:rPr>
        <w:t>Technischen Ausschuss (TC) betreffend:</w:t>
      </w:r>
      <w:r w:rsidRPr="00ED5D41">
        <w:rPr>
          <w:lang w:val="de-DE"/>
        </w:rPr>
        <w:t xml:space="preserve">  </w:t>
      </w:r>
      <w:r w:rsidRPr="00ED5D41">
        <w:rPr>
          <w:snapToGrid w:val="0"/>
          <w:lang w:val="de-DE"/>
        </w:rPr>
        <w:t xml:space="preserve"> 1) Zusammenarbeit zwischen internationalen Organisationen; 2) Sitzungen zur Erleichterung der Zusammenarbeit im Hinblick auf die Verwendung molekularer Verfahren; und 3) </w:t>
      </w:r>
      <w:r w:rsidRPr="00ED5D41">
        <w:rPr>
          <w:lang w:val="de-DE"/>
        </w:rPr>
        <w:t>Vertraulichkeit, Eigentum und Zugang zu molekularen Daten</w:t>
      </w:r>
      <w:r w:rsidRPr="00ED5D41">
        <w:rPr>
          <w:snapToGrid w:val="0"/>
          <w:lang w:val="de-DE"/>
        </w:rPr>
        <w:t xml:space="preserve"> </w:t>
      </w:r>
      <w:r w:rsidRPr="00ED5D41">
        <w:rPr>
          <w:lang w:val="de-DE"/>
        </w:rPr>
        <w:t>sind in den Dokumenten TC/58/7 „Molekulare Verfahren“ und TC/58/17 „Bericht über den Fortschritt der Arbeiten der Technischen Arbeitsgruppen“ enthalten.</w:t>
      </w:r>
    </w:p>
    <w:p w:rsidR="00ED5D41" w:rsidRPr="00ED5D41" w:rsidRDefault="00ED5D41" w:rsidP="00ED5D41">
      <w:pPr>
        <w:ind w:firstLine="630"/>
        <w:rPr>
          <w:i/>
          <w:lang w:val="de-DE"/>
        </w:rPr>
      </w:pPr>
    </w:p>
    <w:p w:rsidR="00ED5D41" w:rsidRPr="00ED5D41" w:rsidRDefault="00ED5D41" w:rsidP="00ED5D41">
      <w:pPr>
        <w:keepNext/>
        <w:keepLines/>
        <w:spacing w:after="240"/>
        <w:rPr>
          <w:snapToGrid w:val="0"/>
          <w:lang w:val="de-DE"/>
        </w:rPr>
      </w:pPr>
      <w:r w:rsidRPr="00ED5D41">
        <w:rPr>
          <w:lang w:val="de-DE"/>
        </w:rPr>
        <w:fldChar w:fldCharType="begin"/>
      </w:r>
      <w:r w:rsidRPr="00ED5D41">
        <w:rPr>
          <w:lang w:val="de-DE"/>
        </w:rPr>
        <w:instrText xml:space="preserve"> AUTONUM  </w:instrText>
      </w:r>
      <w:r w:rsidRPr="00ED5D41">
        <w:rPr>
          <w:lang w:val="de-DE"/>
        </w:rPr>
        <w:fldChar w:fldCharType="end"/>
      </w:r>
      <w:r w:rsidRPr="00ED5D41">
        <w:rPr>
          <w:lang w:val="de-DE"/>
        </w:rPr>
        <w:tab/>
      </w:r>
      <w:r w:rsidRPr="00ED5D41">
        <w:rPr>
          <w:snapToGrid w:val="0"/>
          <w:lang w:val="de-DE"/>
        </w:rPr>
        <w:t>Der Aufbau dieses Dokuments ist wie folgt:</w:t>
      </w:r>
    </w:p>
    <w:p w:rsidR="00FA5F92" w:rsidRDefault="00ED5D41">
      <w:pPr>
        <w:pStyle w:val="TOC1"/>
        <w:rPr>
          <w:rFonts w:asciiTheme="minorHAnsi" w:eastAsiaTheme="minorEastAsia" w:hAnsiTheme="minorHAnsi" w:cstheme="minorBidi"/>
          <w:caps w:val="0"/>
          <w:noProof/>
          <w:sz w:val="22"/>
          <w:szCs w:val="22"/>
          <w:lang w:val="de-DE" w:eastAsia="de-DE"/>
        </w:rPr>
      </w:pPr>
      <w:r w:rsidRPr="00ED5D41">
        <w:rPr>
          <w:lang w:val="de-DE"/>
        </w:rPr>
        <w:fldChar w:fldCharType="begin"/>
      </w:r>
      <w:r w:rsidRPr="00FA5F92">
        <w:rPr>
          <w:rFonts w:cs="Arial"/>
          <w:snapToGrid w:val="0"/>
          <w:sz w:val="22"/>
          <w:lang w:val="de-DE"/>
        </w:rPr>
        <w:instrText xml:space="preserve"> TOC \o "1-3" \u </w:instrText>
      </w:r>
      <w:r w:rsidRPr="00ED5D41">
        <w:rPr>
          <w:lang w:val="de-DE"/>
        </w:rPr>
        <w:fldChar w:fldCharType="separate"/>
      </w:r>
      <w:r w:rsidR="00FA5F92" w:rsidRPr="00CC6024">
        <w:rPr>
          <w:noProof/>
          <w:lang w:val="de-DE"/>
        </w:rPr>
        <w:t>ZUSAMMENFASSUNG</w:t>
      </w:r>
      <w:r w:rsidR="00FA5F92" w:rsidRPr="00FA5F92">
        <w:rPr>
          <w:noProof/>
          <w:lang w:val="de-DE"/>
        </w:rPr>
        <w:tab/>
      </w:r>
      <w:r w:rsidR="00FA5F92">
        <w:rPr>
          <w:noProof/>
        </w:rPr>
        <w:fldChar w:fldCharType="begin"/>
      </w:r>
      <w:r w:rsidR="00FA5F92" w:rsidRPr="00FA5F92">
        <w:rPr>
          <w:noProof/>
          <w:lang w:val="de-DE"/>
        </w:rPr>
        <w:instrText xml:space="preserve"> PAGEREF _Toc117091245 \h </w:instrText>
      </w:r>
      <w:r w:rsidR="00FA5F92">
        <w:rPr>
          <w:noProof/>
        </w:rPr>
      </w:r>
      <w:r w:rsidR="00FA5F92">
        <w:rPr>
          <w:noProof/>
        </w:rPr>
        <w:fldChar w:fldCharType="separate"/>
      </w:r>
      <w:r w:rsidR="00FA5F92" w:rsidRPr="00FA5F92">
        <w:rPr>
          <w:noProof/>
          <w:lang w:val="de-DE"/>
        </w:rPr>
        <w:t>1</w:t>
      </w:r>
      <w:r w:rsidR="00FA5F92">
        <w:rPr>
          <w:noProof/>
        </w:rPr>
        <w:fldChar w:fldCharType="end"/>
      </w:r>
    </w:p>
    <w:p w:rsidR="00FA5F92" w:rsidRDefault="00FA5F92">
      <w:pPr>
        <w:pStyle w:val="TOC1"/>
        <w:rPr>
          <w:rFonts w:asciiTheme="minorHAnsi" w:eastAsiaTheme="minorEastAsia" w:hAnsiTheme="minorHAnsi" w:cstheme="minorBidi"/>
          <w:caps w:val="0"/>
          <w:noProof/>
          <w:sz w:val="22"/>
          <w:szCs w:val="22"/>
          <w:lang w:val="de-DE" w:eastAsia="de-DE"/>
        </w:rPr>
      </w:pPr>
      <w:r w:rsidRPr="00CC6024">
        <w:rPr>
          <w:noProof/>
          <w:lang w:val="de-DE"/>
        </w:rPr>
        <w:t>Entwicklungen in den technischen Arbeitsgruppen auf ihren Tagungen im Jahr 2022</w:t>
      </w:r>
      <w:r w:rsidRPr="00FA5F92">
        <w:rPr>
          <w:noProof/>
          <w:lang w:val="de-DE"/>
        </w:rPr>
        <w:tab/>
      </w:r>
      <w:r>
        <w:rPr>
          <w:noProof/>
        </w:rPr>
        <w:fldChar w:fldCharType="begin"/>
      </w:r>
      <w:r w:rsidRPr="00FA5F92">
        <w:rPr>
          <w:noProof/>
          <w:lang w:val="de-DE"/>
        </w:rPr>
        <w:instrText xml:space="preserve"> PAGEREF _Toc117091246 \h </w:instrText>
      </w:r>
      <w:r>
        <w:rPr>
          <w:noProof/>
        </w:rPr>
      </w:r>
      <w:r>
        <w:rPr>
          <w:noProof/>
        </w:rPr>
        <w:fldChar w:fldCharType="separate"/>
      </w:r>
      <w:r w:rsidRPr="00FA5F92">
        <w:rPr>
          <w:noProof/>
          <w:lang w:val="de-DE"/>
        </w:rPr>
        <w:t>2</w:t>
      </w:r>
      <w:r>
        <w:rPr>
          <w:noProof/>
        </w:rPr>
        <w:fldChar w:fldCharType="end"/>
      </w:r>
    </w:p>
    <w:p w:rsidR="00FA5F92" w:rsidRDefault="00FA5F92">
      <w:pPr>
        <w:pStyle w:val="TOC2"/>
        <w:rPr>
          <w:rFonts w:asciiTheme="minorHAnsi" w:eastAsiaTheme="minorEastAsia" w:hAnsiTheme="minorHAnsi" w:cstheme="minorBidi"/>
          <w:noProof/>
          <w:sz w:val="22"/>
          <w:szCs w:val="22"/>
          <w:lang w:val="de-DE" w:eastAsia="de-DE"/>
        </w:rPr>
      </w:pPr>
      <w:r w:rsidRPr="00FA5F92">
        <w:rPr>
          <w:noProof/>
          <w:lang w:val="de-DE" w:eastAsia="ja-JP"/>
        </w:rPr>
        <w:t>Referat über die Anwendung molekularer Verfahren bei der DUS-Prüfung</w:t>
      </w:r>
      <w:r w:rsidRPr="00FA5F92">
        <w:rPr>
          <w:noProof/>
          <w:lang w:val="de-DE"/>
        </w:rPr>
        <w:tab/>
      </w:r>
      <w:r>
        <w:rPr>
          <w:noProof/>
        </w:rPr>
        <w:fldChar w:fldCharType="begin"/>
      </w:r>
      <w:r w:rsidRPr="00FA5F92">
        <w:rPr>
          <w:noProof/>
          <w:lang w:val="de-DE"/>
        </w:rPr>
        <w:instrText xml:space="preserve"> PAGEREF _Toc117091247 \h </w:instrText>
      </w:r>
      <w:r>
        <w:rPr>
          <w:noProof/>
        </w:rPr>
      </w:r>
      <w:r>
        <w:rPr>
          <w:noProof/>
        </w:rPr>
        <w:fldChar w:fldCharType="separate"/>
      </w:r>
      <w:r w:rsidRPr="00FA5F92">
        <w:rPr>
          <w:noProof/>
          <w:lang w:val="de-DE"/>
        </w:rPr>
        <w:t>2</w:t>
      </w:r>
      <w:r>
        <w:rPr>
          <w:noProof/>
        </w:rPr>
        <w:fldChar w:fldCharType="end"/>
      </w:r>
    </w:p>
    <w:p w:rsidR="00FA5F92" w:rsidRDefault="00FA5F92">
      <w:pPr>
        <w:pStyle w:val="TOC1"/>
        <w:rPr>
          <w:rFonts w:asciiTheme="minorHAnsi" w:eastAsiaTheme="minorEastAsia" w:hAnsiTheme="minorHAnsi" w:cstheme="minorBidi"/>
          <w:caps w:val="0"/>
          <w:noProof/>
          <w:sz w:val="22"/>
          <w:szCs w:val="22"/>
          <w:lang w:val="de-DE" w:eastAsia="de-DE"/>
        </w:rPr>
      </w:pPr>
      <w:r w:rsidRPr="00CC6024">
        <w:rPr>
          <w:noProof/>
          <w:lang w:val="de-DE"/>
        </w:rPr>
        <w:t>Entwicklungen auf der ersten Tagung der Technischen Arbeitsgruppe für Prüfverfahren und -techniken (TWM)</w:t>
      </w:r>
      <w:r w:rsidRPr="00FA5F92">
        <w:rPr>
          <w:noProof/>
          <w:lang w:val="de-DE"/>
        </w:rPr>
        <w:tab/>
      </w:r>
      <w:r>
        <w:rPr>
          <w:noProof/>
        </w:rPr>
        <w:fldChar w:fldCharType="begin"/>
      </w:r>
      <w:r w:rsidRPr="00FA5F92">
        <w:rPr>
          <w:noProof/>
          <w:lang w:val="de-DE"/>
        </w:rPr>
        <w:instrText xml:space="preserve"> PAGEREF _Toc117091248 \h </w:instrText>
      </w:r>
      <w:r>
        <w:rPr>
          <w:noProof/>
        </w:rPr>
      </w:r>
      <w:r>
        <w:rPr>
          <w:noProof/>
        </w:rPr>
        <w:fldChar w:fldCharType="separate"/>
      </w:r>
      <w:r w:rsidRPr="00FA5F92">
        <w:rPr>
          <w:noProof/>
          <w:lang w:val="de-DE"/>
        </w:rPr>
        <w:t>3</w:t>
      </w:r>
      <w:r>
        <w:rPr>
          <w:noProof/>
        </w:rPr>
        <w:fldChar w:fldCharType="end"/>
      </w:r>
    </w:p>
    <w:p w:rsidR="00FA5F92" w:rsidRDefault="00FA5F92">
      <w:pPr>
        <w:pStyle w:val="TOC2"/>
        <w:rPr>
          <w:rFonts w:asciiTheme="minorHAnsi" w:eastAsiaTheme="minorEastAsia" w:hAnsiTheme="minorHAnsi" w:cstheme="minorBidi"/>
          <w:noProof/>
          <w:sz w:val="22"/>
          <w:szCs w:val="22"/>
          <w:lang w:val="de-DE" w:eastAsia="de-DE"/>
        </w:rPr>
      </w:pPr>
      <w:r w:rsidRPr="00FA5F92">
        <w:rPr>
          <w:noProof/>
          <w:lang w:val="de-DE" w:eastAsia="ja-JP"/>
        </w:rPr>
        <w:t>Vorgelegte Papiere</w:t>
      </w:r>
      <w:r w:rsidRPr="00FA5F92">
        <w:rPr>
          <w:noProof/>
          <w:lang w:val="de-DE"/>
        </w:rPr>
        <w:tab/>
      </w:r>
      <w:r>
        <w:rPr>
          <w:noProof/>
        </w:rPr>
        <w:fldChar w:fldCharType="begin"/>
      </w:r>
      <w:r w:rsidRPr="00FA5F92">
        <w:rPr>
          <w:noProof/>
          <w:lang w:val="de-DE"/>
        </w:rPr>
        <w:instrText xml:space="preserve"> PAGEREF _Toc117091249 \h </w:instrText>
      </w:r>
      <w:r>
        <w:rPr>
          <w:noProof/>
        </w:rPr>
      </w:r>
      <w:r>
        <w:rPr>
          <w:noProof/>
        </w:rPr>
        <w:fldChar w:fldCharType="separate"/>
      </w:r>
      <w:r w:rsidRPr="00FA5F92">
        <w:rPr>
          <w:noProof/>
          <w:lang w:val="de-DE"/>
        </w:rPr>
        <w:t>3</w:t>
      </w:r>
      <w:r>
        <w:rPr>
          <w:noProof/>
        </w:rPr>
        <w:fldChar w:fldCharType="end"/>
      </w:r>
    </w:p>
    <w:p w:rsidR="00FA5F92" w:rsidRDefault="00FA5F92">
      <w:pPr>
        <w:pStyle w:val="TOC2"/>
        <w:rPr>
          <w:rFonts w:asciiTheme="minorHAnsi" w:eastAsiaTheme="minorEastAsia" w:hAnsiTheme="minorHAnsi" w:cstheme="minorBidi"/>
          <w:noProof/>
          <w:sz w:val="22"/>
          <w:szCs w:val="22"/>
          <w:lang w:val="de-DE" w:eastAsia="de-DE"/>
        </w:rPr>
      </w:pPr>
      <w:r w:rsidRPr="00FA5F92">
        <w:rPr>
          <w:noProof/>
          <w:lang w:val="de-DE" w:eastAsia="ja-JP"/>
        </w:rPr>
        <w:t>Bericht über die Arbeit an molekularen Verfahren bezüglich der DUS-Prüfung</w:t>
      </w:r>
      <w:r w:rsidRPr="00FA5F92">
        <w:rPr>
          <w:noProof/>
          <w:lang w:val="de-DE"/>
        </w:rPr>
        <w:tab/>
      </w:r>
      <w:r>
        <w:rPr>
          <w:noProof/>
        </w:rPr>
        <w:fldChar w:fldCharType="begin"/>
      </w:r>
      <w:r w:rsidRPr="00FA5F92">
        <w:rPr>
          <w:noProof/>
          <w:lang w:val="de-DE"/>
        </w:rPr>
        <w:instrText xml:space="preserve"> PAGEREF _Toc117091250 \h </w:instrText>
      </w:r>
      <w:r>
        <w:rPr>
          <w:noProof/>
        </w:rPr>
      </w:r>
      <w:r>
        <w:rPr>
          <w:noProof/>
        </w:rPr>
        <w:fldChar w:fldCharType="separate"/>
      </w:r>
      <w:r w:rsidRPr="00FA5F92">
        <w:rPr>
          <w:noProof/>
          <w:lang w:val="de-DE"/>
        </w:rPr>
        <w:t>4</w:t>
      </w:r>
      <w:r>
        <w:rPr>
          <w:noProof/>
        </w:rPr>
        <w:fldChar w:fldCharType="end"/>
      </w:r>
    </w:p>
    <w:p w:rsidR="00FA5F92" w:rsidRDefault="00FA5F92">
      <w:pPr>
        <w:pStyle w:val="TOC2"/>
        <w:rPr>
          <w:rFonts w:asciiTheme="minorHAnsi" w:eastAsiaTheme="minorEastAsia" w:hAnsiTheme="minorHAnsi" w:cstheme="minorBidi"/>
          <w:noProof/>
          <w:sz w:val="22"/>
          <w:szCs w:val="22"/>
          <w:lang w:val="de-DE" w:eastAsia="de-DE"/>
        </w:rPr>
      </w:pPr>
      <w:r w:rsidRPr="00FA5F92">
        <w:rPr>
          <w:noProof/>
          <w:lang w:val="de-DE" w:eastAsia="ja-JP"/>
        </w:rPr>
        <w:t>Verfahren für die Analyse molekularer Daten, Verwaltung von Datenbanken und Austausch von Daten und Material</w:t>
      </w:r>
      <w:r w:rsidRPr="00FA5F92">
        <w:rPr>
          <w:noProof/>
          <w:lang w:val="de-DE"/>
        </w:rPr>
        <w:tab/>
      </w:r>
      <w:r>
        <w:rPr>
          <w:noProof/>
        </w:rPr>
        <w:fldChar w:fldCharType="begin"/>
      </w:r>
      <w:r w:rsidRPr="00FA5F92">
        <w:rPr>
          <w:noProof/>
          <w:lang w:val="de-DE"/>
        </w:rPr>
        <w:instrText xml:space="preserve"> PAGEREF _Toc117091251 \h </w:instrText>
      </w:r>
      <w:r>
        <w:rPr>
          <w:noProof/>
        </w:rPr>
      </w:r>
      <w:r>
        <w:rPr>
          <w:noProof/>
        </w:rPr>
        <w:fldChar w:fldCharType="separate"/>
      </w:r>
      <w:r w:rsidRPr="00FA5F92">
        <w:rPr>
          <w:noProof/>
          <w:lang w:val="de-DE"/>
        </w:rPr>
        <w:t>4</w:t>
      </w:r>
      <w:r>
        <w:rPr>
          <w:noProof/>
        </w:rPr>
        <w:fldChar w:fldCharType="end"/>
      </w:r>
    </w:p>
    <w:p w:rsidR="00FA5F92" w:rsidRDefault="00FA5F92">
      <w:pPr>
        <w:pStyle w:val="TOC2"/>
        <w:rPr>
          <w:rFonts w:asciiTheme="minorHAnsi" w:eastAsiaTheme="minorEastAsia" w:hAnsiTheme="minorHAnsi" w:cstheme="minorBidi"/>
          <w:noProof/>
          <w:sz w:val="22"/>
          <w:szCs w:val="22"/>
          <w:lang w:val="de-DE" w:eastAsia="de-DE"/>
        </w:rPr>
      </w:pPr>
      <w:r w:rsidRPr="00FA5F92">
        <w:rPr>
          <w:noProof/>
          <w:lang w:val="de-DE" w:eastAsia="ja-JP"/>
        </w:rPr>
        <w:t>Die Anwendung molekularer Verfahren bei der Prüfung der wesentlichen Ableitung</w:t>
      </w:r>
      <w:r w:rsidRPr="00FA5F92">
        <w:rPr>
          <w:noProof/>
          <w:lang w:val="de-DE"/>
        </w:rPr>
        <w:tab/>
      </w:r>
      <w:r>
        <w:rPr>
          <w:noProof/>
        </w:rPr>
        <w:fldChar w:fldCharType="begin"/>
      </w:r>
      <w:r w:rsidRPr="00FA5F92">
        <w:rPr>
          <w:noProof/>
          <w:lang w:val="de-DE"/>
        </w:rPr>
        <w:instrText xml:space="preserve"> PAGEREF _Toc117091252 \h </w:instrText>
      </w:r>
      <w:r>
        <w:rPr>
          <w:noProof/>
        </w:rPr>
      </w:r>
      <w:r>
        <w:rPr>
          <w:noProof/>
        </w:rPr>
        <w:fldChar w:fldCharType="separate"/>
      </w:r>
      <w:r w:rsidRPr="00FA5F92">
        <w:rPr>
          <w:noProof/>
          <w:lang w:val="de-DE"/>
        </w:rPr>
        <w:t>5</w:t>
      </w:r>
      <w:r>
        <w:rPr>
          <w:noProof/>
        </w:rPr>
        <w:fldChar w:fldCharType="end"/>
      </w:r>
    </w:p>
    <w:p w:rsidR="00FA5F92" w:rsidRDefault="00FA5F92">
      <w:pPr>
        <w:pStyle w:val="TOC2"/>
        <w:rPr>
          <w:rFonts w:asciiTheme="minorHAnsi" w:eastAsiaTheme="minorEastAsia" w:hAnsiTheme="minorHAnsi" w:cstheme="minorBidi"/>
          <w:noProof/>
          <w:sz w:val="22"/>
          <w:szCs w:val="22"/>
          <w:lang w:val="de-DE" w:eastAsia="de-DE"/>
        </w:rPr>
      </w:pPr>
      <w:r w:rsidRPr="00FA5F92">
        <w:rPr>
          <w:noProof/>
          <w:lang w:val="de-DE" w:eastAsia="ja-JP"/>
        </w:rPr>
        <w:t>Die Anwendung molekularer Verfahren bei der Sortenidentifikation</w:t>
      </w:r>
      <w:r w:rsidRPr="00FA5F92">
        <w:rPr>
          <w:noProof/>
          <w:lang w:val="de-DE"/>
        </w:rPr>
        <w:tab/>
      </w:r>
      <w:r>
        <w:rPr>
          <w:noProof/>
        </w:rPr>
        <w:fldChar w:fldCharType="begin"/>
      </w:r>
      <w:r w:rsidRPr="00FA5F92">
        <w:rPr>
          <w:noProof/>
          <w:lang w:val="de-DE"/>
        </w:rPr>
        <w:instrText xml:space="preserve"> PAGEREF _Toc117091253 \h </w:instrText>
      </w:r>
      <w:r>
        <w:rPr>
          <w:noProof/>
        </w:rPr>
      </w:r>
      <w:r>
        <w:rPr>
          <w:noProof/>
        </w:rPr>
        <w:fldChar w:fldCharType="separate"/>
      </w:r>
      <w:r w:rsidRPr="00FA5F92">
        <w:rPr>
          <w:noProof/>
          <w:lang w:val="de-DE"/>
        </w:rPr>
        <w:t>5</w:t>
      </w:r>
      <w:r>
        <w:rPr>
          <w:noProof/>
        </w:rPr>
        <w:fldChar w:fldCharType="end"/>
      </w:r>
    </w:p>
    <w:p w:rsidR="00FA5F92" w:rsidRDefault="00FA5F92">
      <w:pPr>
        <w:pStyle w:val="TOC2"/>
        <w:rPr>
          <w:rFonts w:asciiTheme="minorHAnsi" w:eastAsiaTheme="minorEastAsia" w:hAnsiTheme="minorHAnsi" w:cstheme="minorBidi"/>
          <w:noProof/>
          <w:sz w:val="22"/>
          <w:szCs w:val="22"/>
          <w:lang w:val="de-DE" w:eastAsia="de-DE"/>
        </w:rPr>
      </w:pPr>
      <w:r w:rsidRPr="00FA5F92">
        <w:rPr>
          <w:noProof/>
          <w:lang w:val="de-DE" w:eastAsia="ja-JP"/>
        </w:rPr>
        <w:t>Die Anwendung molekularer Verfahren bei der Wahrung von Rechten</w:t>
      </w:r>
      <w:r w:rsidRPr="00FA5F92">
        <w:rPr>
          <w:noProof/>
          <w:lang w:val="de-DE"/>
        </w:rPr>
        <w:tab/>
      </w:r>
      <w:r>
        <w:rPr>
          <w:noProof/>
        </w:rPr>
        <w:fldChar w:fldCharType="begin"/>
      </w:r>
      <w:r w:rsidRPr="00FA5F92">
        <w:rPr>
          <w:noProof/>
          <w:lang w:val="de-DE"/>
        </w:rPr>
        <w:instrText xml:space="preserve"> PAGEREF _Toc117091254 \h </w:instrText>
      </w:r>
      <w:r>
        <w:rPr>
          <w:noProof/>
        </w:rPr>
      </w:r>
      <w:r>
        <w:rPr>
          <w:noProof/>
        </w:rPr>
        <w:fldChar w:fldCharType="separate"/>
      </w:r>
      <w:r w:rsidRPr="00FA5F92">
        <w:rPr>
          <w:noProof/>
          <w:lang w:val="de-DE"/>
        </w:rPr>
        <w:t>5</w:t>
      </w:r>
      <w:r>
        <w:rPr>
          <w:noProof/>
        </w:rPr>
        <w:fldChar w:fldCharType="end"/>
      </w:r>
    </w:p>
    <w:p w:rsidR="00ED5D41" w:rsidRPr="00ED5D41" w:rsidRDefault="00ED5D41" w:rsidP="00ED5D41">
      <w:pPr>
        <w:ind w:left="1134" w:hanging="1134"/>
        <w:rPr>
          <w:snapToGrid w:val="0"/>
          <w:sz w:val="18"/>
          <w:lang w:val="de-DE"/>
        </w:rPr>
      </w:pPr>
      <w:r w:rsidRPr="00ED5D41">
        <w:rPr>
          <w:lang w:val="de-DE"/>
        </w:rPr>
        <w:fldChar w:fldCharType="end"/>
      </w:r>
      <w:r w:rsidRPr="00FA5F92">
        <w:rPr>
          <w:snapToGrid w:val="0"/>
          <w:sz w:val="18"/>
          <w:lang w:val="de-DE"/>
        </w:rPr>
        <w:t xml:space="preserve"> </w:t>
      </w:r>
      <w:r w:rsidRPr="00ED5D41">
        <w:rPr>
          <w:snapToGrid w:val="0"/>
          <w:sz w:val="18"/>
          <w:lang w:val="de-DE"/>
        </w:rPr>
        <w:t>ANLAGE</w:t>
      </w:r>
      <w:r w:rsidRPr="00ED5D41">
        <w:rPr>
          <w:snapToGrid w:val="0"/>
          <w:sz w:val="18"/>
          <w:lang w:val="de-DE"/>
        </w:rPr>
        <w:tab/>
        <w:t>ELEMENTE FÜR EINEN ENTWURF EINES GEMEINSAMEN DOKUMENTS ZUR ERLÄUTERUNG DER WESENTLICHEN BESONDERHEITEN DER SYSTEME VON OECD, UPOV UND ISTA</w:t>
      </w:r>
    </w:p>
    <w:p w:rsidR="00ED5D41" w:rsidRPr="00ED5D41" w:rsidRDefault="00ED5D41" w:rsidP="00ED5D41">
      <w:pPr>
        <w:spacing w:before="120"/>
        <w:ind w:left="1138" w:hanging="1138"/>
        <w:rPr>
          <w:rFonts w:cs="Arial"/>
          <w:bCs/>
          <w:caps/>
          <w:noProof/>
          <w:snapToGrid w:val="0"/>
          <w:sz w:val="18"/>
          <w:lang w:val="de-DE"/>
        </w:rPr>
      </w:pPr>
    </w:p>
    <w:p w:rsidR="00ED5D41" w:rsidRPr="00ED5D41" w:rsidRDefault="00ED5D41" w:rsidP="00ED5D41">
      <w:pPr>
        <w:rPr>
          <w:lang w:val="de-DE"/>
        </w:rPr>
      </w:pPr>
      <w:r w:rsidRPr="00ED5D41">
        <w:rPr>
          <w:lang w:val="de-DE"/>
        </w:rPr>
        <w:fldChar w:fldCharType="begin"/>
      </w:r>
      <w:r w:rsidRPr="00ED5D41">
        <w:rPr>
          <w:lang w:val="de-DE"/>
        </w:rPr>
        <w:instrText xml:space="preserve"> AUTONUM  </w:instrText>
      </w:r>
      <w:r w:rsidRPr="00ED5D41">
        <w:rPr>
          <w:lang w:val="de-DE"/>
        </w:rPr>
        <w:fldChar w:fldCharType="end"/>
      </w:r>
      <w:r w:rsidRPr="00ED5D41">
        <w:rPr>
          <w:lang w:val="de-DE"/>
        </w:rPr>
        <w:tab/>
        <w:t>In diesem Dokument werden folgende Abkürzungen verwendet:</w:t>
      </w:r>
    </w:p>
    <w:p w:rsidR="00ED5D41" w:rsidRPr="00ED5D41" w:rsidRDefault="00ED5D41" w:rsidP="00ED5D41">
      <w:pPr>
        <w:rPr>
          <w:color w:val="000000"/>
          <w:sz w:val="16"/>
          <w:lang w:val="de-DE"/>
        </w:rPr>
      </w:pPr>
    </w:p>
    <w:p w:rsidR="00ED5D41" w:rsidRPr="00ED5D41" w:rsidRDefault="00ED5D41" w:rsidP="00ED5D41">
      <w:pPr>
        <w:ind w:left="1701" w:hanging="1134"/>
        <w:rPr>
          <w:lang w:val="de-DE"/>
        </w:rPr>
      </w:pPr>
      <w:r w:rsidRPr="00ED5D41">
        <w:rPr>
          <w:lang w:val="de-DE"/>
        </w:rPr>
        <w:t xml:space="preserve">TC:  </w:t>
      </w:r>
      <w:r w:rsidRPr="00ED5D41">
        <w:rPr>
          <w:lang w:val="de-DE"/>
        </w:rPr>
        <w:tab/>
        <w:t>Technischer Ausschuss</w:t>
      </w:r>
    </w:p>
    <w:p w:rsidR="00ED5D41" w:rsidRPr="00ED5D41" w:rsidRDefault="00ED5D41" w:rsidP="00ED5D41">
      <w:pPr>
        <w:ind w:left="1701" w:hanging="1134"/>
        <w:rPr>
          <w:lang w:val="de-DE"/>
        </w:rPr>
      </w:pPr>
      <w:r w:rsidRPr="00ED5D41">
        <w:rPr>
          <w:lang w:val="de-DE"/>
        </w:rPr>
        <w:t xml:space="preserve">TC-EDC:  </w:t>
      </w:r>
      <w:r w:rsidRPr="00ED5D41">
        <w:rPr>
          <w:lang w:val="de-DE"/>
        </w:rPr>
        <w:tab/>
        <w:t>Erweiterter Redaktionsausschuss</w:t>
      </w:r>
    </w:p>
    <w:p w:rsidR="00ED5D41" w:rsidRPr="00ED5D41" w:rsidRDefault="00ED5D41" w:rsidP="00ED5D41">
      <w:pPr>
        <w:ind w:left="1701" w:hanging="1134"/>
        <w:rPr>
          <w:lang w:val="de-DE"/>
        </w:rPr>
      </w:pPr>
      <w:r w:rsidRPr="00ED5D41">
        <w:rPr>
          <w:lang w:val="de-DE"/>
        </w:rPr>
        <w:t xml:space="preserve">TWA:  </w:t>
      </w:r>
      <w:r w:rsidRPr="00ED5D41">
        <w:rPr>
          <w:lang w:val="de-DE"/>
        </w:rPr>
        <w:tab/>
        <w:t>Technische Arbeitsgruppe für landwirtschaftliche Arten</w:t>
      </w:r>
    </w:p>
    <w:p w:rsidR="00ED5D41" w:rsidRPr="00ED5D41" w:rsidRDefault="00ED5D41" w:rsidP="00ED5D41">
      <w:pPr>
        <w:ind w:left="1701" w:hanging="1134"/>
        <w:rPr>
          <w:lang w:val="de-DE"/>
        </w:rPr>
      </w:pPr>
      <w:r w:rsidRPr="00ED5D41">
        <w:rPr>
          <w:lang w:val="de-DE"/>
        </w:rPr>
        <w:t xml:space="preserve">TWC:  </w:t>
      </w:r>
      <w:r w:rsidRPr="00ED5D41">
        <w:rPr>
          <w:lang w:val="de-DE"/>
        </w:rPr>
        <w:tab/>
        <w:t>Technische Arbeitsgruppe für Automatisierung und Computerprogramme</w:t>
      </w:r>
    </w:p>
    <w:p w:rsidR="00ED5D41" w:rsidRPr="00ED5D41" w:rsidRDefault="00ED5D41" w:rsidP="00ED5D41">
      <w:pPr>
        <w:ind w:left="1701" w:hanging="1134"/>
        <w:rPr>
          <w:lang w:val="de-DE"/>
        </w:rPr>
      </w:pPr>
      <w:r w:rsidRPr="00ED5D41">
        <w:rPr>
          <w:lang w:val="de-DE"/>
        </w:rPr>
        <w:t xml:space="preserve">TWF:  </w:t>
      </w:r>
      <w:r w:rsidRPr="00ED5D41">
        <w:rPr>
          <w:lang w:val="de-DE"/>
        </w:rPr>
        <w:tab/>
        <w:t>Technische Arbeitsgruppe für Obstarten</w:t>
      </w:r>
    </w:p>
    <w:p w:rsidR="00ED5D41" w:rsidRPr="00ED5D41" w:rsidRDefault="00ED5D41" w:rsidP="00ED5D41">
      <w:pPr>
        <w:ind w:left="1701" w:hanging="1134"/>
        <w:rPr>
          <w:lang w:val="de-DE"/>
        </w:rPr>
      </w:pPr>
      <w:r w:rsidRPr="00ED5D41">
        <w:rPr>
          <w:lang w:val="de-DE"/>
        </w:rPr>
        <w:t>TWM:</w:t>
      </w:r>
      <w:r w:rsidRPr="00ED5D41">
        <w:rPr>
          <w:lang w:val="de-DE"/>
        </w:rPr>
        <w:tab/>
        <w:t xml:space="preserve">Technische Arbeitsgruppe für Prüfverfahren und -techniken </w:t>
      </w:r>
    </w:p>
    <w:p w:rsidR="00ED5D41" w:rsidRPr="00ED5D41" w:rsidRDefault="00ED5D41" w:rsidP="00ED5D41">
      <w:pPr>
        <w:ind w:left="1701" w:hanging="1134"/>
        <w:rPr>
          <w:lang w:val="de-DE"/>
        </w:rPr>
      </w:pPr>
      <w:r w:rsidRPr="00ED5D41">
        <w:rPr>
          <w:lang w:val="de-DE"/>
        </w:rPr>
        <w:t xml:space="preserve">TWO:  </w:t>
      </w:r>
      <w:r w:rsidRPr="00ED5D41">
        <w:rPr>
          <w:lang w:val="de-DE"/>
        </w:rPr>
        <w:tab/>
        <w:t xml:space="preserve">Technische Arbeitsgruppe für Zierpflanzen und forstliche Baumarten </w:t>
      </w:r>
    </w:p>
    <w:p w:rsidR="00ED5D41" w:rsidRPr="00ED5D41" w:rsidRDefault="00ED5D41" w:rsidP="00ED5D41">
      <w:pPr>
        <w:ind w:left="1701" w:hanging="1134"/>
        <w:rPr>
          <w:color w:val="000000"/>
          <w:lang w:val="de-DE"/>
        </w:rPr>
      </w:pPr>
      <w:r w:rsidRPr="00ED5D41">
        <w:rPr>
          <w:color w:val="000000"/>
          <w:lang w:val="de-DE"/>
        </w:rPr>
        <w:t>TWP:</w:t>
      </w:r>
      <w:r w:rsidRPr="00ED5D41">
        <w:rPr>
          <w:color w:val="000000"/>
          <w:lang w:val="de-DE"/>
        </w:rPr>
        <w:tab/>
        <w:t>Technische Arbeitsgruppen</w:t>
      </w:r>
    </w:p>
    <w:p w:rsidR="00ED5D41" w:rsidRPr="00ED5D41" w:rsidRDefault="00ED5D41" w:rsidP="00ED5D41">
      <w:pPr>
        <w:ind w:left="1701" w:hanging="1134"/>
        <w:rPr>
          <w:lang w:val="de-DE"/>
        </w:rPr>
      </w:pPr>
      <w:r w:rsidRPr="00ED5D41">
        <w:rPr>
          <w:lang w:val="de-DE"/>
        </w:rPr>
        <w:t xml:space="preserve">TWV:  </w:t>
      </w:r>
      <w:r w:rsidRPr="00ED5D41">
        <w:rPr>
          <w:lang w:val="de-DE"/>
        </w:rPr>
        <w:tab/>
        <w:t>Technische Arbeitsgruppe für Gemüsearten</w:t>
      </w:r>
    </w:p>
    <w:p w:rsidR="00ED5D41" w:rsidRPr="00ED5D41" w:rsidRDefault="00ED5D41" w:rsidP="00ED5D41">
      <w:pPr>
        <w:rPr>
          <w:lang w:val="de-DE"/>
        </w:rPr>
      </w:pPr>
    </w:p>
    <w:p w:rsidR="00ED5D41" w:rsidRPr="00ED5D41" w:rsidRDefault="00ED5D41" w:rsidP="00ED5D41">
      <w:pPr>
        <w:keepNext/>
        <w:outlineLvl w:val="0"/>
        <w:rPr>
          <w:caps/>
          <w:lang w:val="de-DE"/>
        </w:rPr>
      </w:pPr>
      <w:bookmarkStart w:id="7" w:name="_Toc52799199"/>
      <w:bookmarkStart w:id="8" w:name="_Toc52877567"/>
      <w:bookmarkStart w:id="9" w:name="_Toc84413227"/>
      <w:bookmarkStart w:id="10" w:name="_Toc117091246"/>
      <w:bookmarkEnd w:id="5"/>
      <w:bookmarkEnd w:id="6"/>
      <w:r w:rsidRPr="00ED5D41">
        <w:rPr>
          <w:caps/>
          <w:lang w:val="de-DE"/>
        </w:rPr>
        <w:lastRenderedPageBreak/>
        <w:t>Entwicklungen in den technischen Arbeitsgruppen auf ihren Tagungen im Jahr 2022</w:t>
      </w:r>
      <w:bookmarkEnd w:id="7"/>
      <w:bookmarkEnd w:id="8"/>
      <w:bookmarkEnd w:id="9"/>
      <w:bookmarkEnd w:id="10"/>
    </w:p>
    <w:p w:rsidR="00ED5D41" w:rsidRPr="00ED5D41" w:rsidRDefault="00ED5D41" w:rsidP="00ED5D41">
      <w:pPr>
        <w:keepNext/>
        <w:rPr>
          <w:lang w:val="de-DE"/>
        </w:rPr>
      </w:pPr>
    </w:p>
    <w:p w:rsidR="00ED5D41" w:rsidRPr="00ED5D41" w:rsidRDefault="00ED5D41" w:rsidP="00ED5D41">
      <w:pPr>
        <w:keepNext/>
        <w:keepLines/>
        <w:rPr>
          <w:lang w:val="de-DE"/>
        </w:rPr>
      </w:pPr>
      <w:r w:rsidRPr="00ED5D41">
        <w:rPr>
          <w:lang w:val="de-DE"/>
        </w:rPr>
        <w:fldChar w:fldCharType="begin"/>
      </w:r>
      <w:r w:rsidRPr="00ED5D41">
        <w:rPr>
          <w:lang w:val="de-DE"/>
        </w:rPr>
        <w:instrText xml:space="preserve"> AUTONUM  </w:instrText>
      </w:r>
      <w:r w:rsidRPr="00ED5D41">
        <w:rPr>
          <w:lang w:val="de-DE"/>
        </w:rPr>
        <w:fldChar w:fldCharType="end"/>
      </w:r>
      <w:r w:rsidRPr="00ED5D41">
        <w:rPr>
          <w:lang w:val="de-DE"/>
        </w:rPr>
        <w:tab/>
        <w:t>Auf ihren Tagungen im Jahr 2022 prüften die TWV</w:t>
      </w:r>
      <w:r w:rsidRPr="00ED5D41">
        <w:rPr>
          <w:vertAlign w:val="superscript"/>
          <w:lang w:val="de-DE"/>
        </w:rPr>
        <w:footnoteReference w:id="2"/>
      </w:r>
      <w:r w:rsidRPr="00ED5D41">
        <w:rPr>
          <w:lang w:val="de-DE"/>
        </w:rPr>
        <w:t>, TWA</w:t>
      </w:r>
      <w:r w:rsidRPr="00ED5D41">
        <w:rPr>
          <w:vertAlign w:val="superscript"/>
          <w:lang w:val="de-DE"/>
        </w:rPr>
        <w:footnoteReference w:id="3"/>
      </w:r>
      <w:r w:rsidRPr="00ED5D41">
        <w:rPr>
          <w:lang w:val="de-DE"/>
        </w:rPr>
        <w:t>, TWO</w:t>
      </w:r>
      <w:r w:rsidRPr="00ED5D41">
        <w:rPr>
          <w:vertAlign w:val="superscript"/>
          <w:lang w:val="de-DE"/>
        </w:rPr>
        <w:footnoteReference w:id="4"/>
      </w:r>
      <w:r w:rsidRPr="00ED5D41">
        <w:rPr>
          <w:lang w:val="de-DE"/>
        </w:rPr>
        <w:t>, TWF</w:t>
      </w:r>
      <w:r w:rsidRPr="00ED5D41">
        <w:rPr>
          <w:vertAlign w:val="superscript"/>
          <w:lang w:val="de-DE"/>
        </w:rPr>
        <w:footnoteReference w:id="5"/>
      </w:r>
      <w:r w:rsidRPr="00ED5D41">
        <w:rPr>
          <w:lang w:val="de-DE"/>
        </w:rPr>
        <w:t xml:space="preserve"> und </w:t>
      </w:r>
      <w:r w:rsidRPr="00ED5D41">
        <w:rPr>
          <w:snapToGrid w:val="0"/>
          <w:lang w:val="de-DE"/>
        </w:rPr>
        <w:t>TWM</w:t>
      </w:r>
      <w:r w:rsidRPr="00ED5D41">
        <w:rPr>
          <w:snapToGrid w:val="0"/>
          <w:vertAlign w:val="superscript"/>
          <w:lang w:val="de-DE"/>
        </w:rPr>
        <w:footnoteReference w:id="6"/>
      </w:r>
      <w:r w:rsidRPr="00ED5D41">
        <w:rPr>
          <w:lang w:val="de-DE"/>
        </w:rPr>
        <w:t xml:space="preserve"> Dokument TWP/6/7 „</w:t>
      </w:r>
      <w:r w:rsidRPr="00ED5D41">
        <w:rPr>
          <w:i/>
          <w:iCs/>
          <w:lang w:val="de-DE"/>
        </w:rPr>
        <w:t>Molecular Techniques</w:t>
      </w:r>
      <w:r w:rsidRPr="00ED5D41">
        <w:rPr>
          <w:lang w:val="de-DE"/>
        </w:rPr>
        <w:t>” (vgl. Dokumente TWV/56/22 „</w:t>
      </w:r>
      <w:r w:rsidRPr="00ED5D41">
        <w:rPr>
          <w:i/>
          <w:iCs/>
          <w:lang w:val="de-DE"/>
        </w:rPr>
        <w:t>Report</w:t>
      </w:r>
      <w:r w:rsidRPr="00ED5D41">
        <w:rPr>
          <w:lang w:val="de-DE"/>
        </w:rPr>
        <w:t>”, Absätze 55 bis 62; TWA/51/11 „</w:t>
      </w:r>
      <w:r w:rsidRPr="00ED5D41">
        <w:rPr>
          <w:i/>
          <w:iCs/>
          <w:lang w:val="de-DE"/>
        </w:rPr>
        <w:t>Report</w:t>
      </w:r>
      <w:r w:rsidRPr="00ED5D41">
        <w:rPr>
          <w:lang w:val="de-DE"/>
        </w:rPr>
        <w:t>”, Absätze 68 bis 79; TWO/54/6 „</w:t>
      </w:r>
      <w:r w:rsidRPr="00ED5D41">
        <w:rPr>
          <w:i/>
          <w:iCs/>
          <w:lang w:val="de-DE"/>
        </w:rPr>
        <w:t>Report</w:t>
      </w:r>
      <w:r w:rsidRPr="00ED5D41">
        <w:rPr>
          <w:lang w:val="de-DE"/>
        </w:rPr>
        <w:t>”, Absätze 64 bis 73; TWF/53/14 „</w:t>
      </w:r>
      <w:r w:rsidRPr="00ED5D41">
        <w:rPr>
          <w:i/>
          <w:iCs/>
          <w:lang w:val="de-DE"/>
        </w:rPr>
        <w:t>Report</w:t>
      </w:r>
      <w:r w:rsidRPr="00ED5D41">
        <w:rPr>
          <w:lang w:val="de-DE"/>
        </w:rPr>
        <w:t>”, Absätze 79 bis 87 und TWM/1/26 „</w:t>
      </w:r>
      <w:r w:rsidRPr="00ED5D41">
        <w:rPr>
          <w:i/>
          <w:iCs/>
          <w:lang w:val="de-DE"/>
        </w:rPr>
        <w:t>Report</w:t>
      </w:r>
      <w:r w:rsidRPr="00ED5D41">
        <w:rPr>
          <w:lang w:val="de-DE"/>
        </w:rPr>
        <w:t>”, Absätze 73 bis 80).</w:t>
      </w:r>
    </w:p>
    <w:p w:rsidR="00ED5D41" w:rsidRPr="00ED5D41" w:rsidRDefault="00ED5D41" w:rsidP="00ED5D41">
      <w:pPr>
        <w:rPr>
          <w:highlight w:val="cyan"/>
          <w:lang w:val="de-DE"/>
        </w:rPr>
      </w:pPr>
    </w:p>
    <w:p w:rsidR="00ED5D41" w:rsidRPr="00ED5D41" w:rsidRDefault="00ED5D41" w:rsidP="00ED5D41">
      <w:pPr>
        <w:outlineLvl w:val="1"/>
        <w:rPr>
          <w:u w:val="single"/>
          <w:lang w:val="de-DE" w:eastAsia="ja-JP"/>
        </w:rPr>
      </w:pPr>
      <w:bookmarkStart w:id="11" w:name="_Toc117091247"/>
      <w:r w:rsidRPr="00ED5D41">
        <w:rPr>
          <w:u w:val="single"/>
          <w:lang w:val="de-DE" w:eastAsia="ja-JP"/>
        </w:rPr>
        <w:t>Referat über die Anwendung molekularer Verfahren bei der DUS-Prüfung</w:t>
      </w:r>
      <w:bookmarkEnd w:id="11"/>
    </w:p>
    <w:p w:rsidR="00ED5D41" w:rsidRPr="00ED5D41" w:rsidRDefault="00ED5D41" w:rsidP="00ED5D41">
      <w:pPr>
        <w:rPr>
          <w:lang w:val="de-DE"/>
        </w:rPr>
      </w:pPr>
    </w:p>
    <w:p w:rsidR="00ED5D41" w:rsidRPr="00ED5D41" w:rsidRDefault="00ED5D41" w:rsidP="00ED5D41">
      <w:pPr>
        <w:rPr>
          <w:rFonts w:eastAsia="Times New Roman"/>
          <w:snapToGrid w:val="0"/>
          <w:lang w:val="de-DE"/>
        </w:rPr>
      </w:pPr>
      <w:r w:rsidRPr="00ED5D41">
        <w:rPr>
          <w:rFonts w:eastAsia="Times New Roman"/>
          <w:lang w:val="de-DE"/>
        </w:rPr>
        <w:fldChar w:fldCharType="begin"/>
      </w:r>
      <w:r w:rsidRPr="00ED5D41">
        <w:rPr>
          <w:rFonts w:eastAsia="Times New Roman"/>
          <w:lang w:val="de-DE"/>
        </w:rPr>
        <w:instrText xml:space="preserve"> AUTONUM  </w:instrText>
      </w:r>
      <w:r w:rsidRPr="00ED5D41">
        <w:rPr>
          <w:rFonts w:eastAsia="Times New Roman"/>
          <w:lang w:val="de-DE"/>
        </w:rPr>
        <w:fldChar w:fldCharType="end"/>
      </w:r>
      <w:r w:rsidRPr="00ED5D41">
        <w:rPr>
          <w:lang w:val="de-DE"/>
        </w:rPr>
        <w:tab/>
        <w:t xml:space="preserve">Die TWV hörte ein Referat über </w:t>
      </w:r>
      <w:r w:rsidRPr="00ED5D41">
        <w:rPr>
          <w:snapToGrid w:val="0"/>
          <w:lang w:val="de-DE"/>
        </w:rPr>
        <w:t>„Internationale Harmonisierung und Validierung eines SNP-Satzes für die Verwaltung der Vergleichssammlung von Tomate“ von einem Sachverständigen aus den Niederlanden</w:t>
      </w:r>
      <w:r w:rsidR="00233311" w:rsidRPr="00ED5D41">
        <w:rPr>
          <w:snapToGrid w:val="0"/>
          <w:lang w:val="de-DE"/>
        </w:rPr>
        <w:t xml:space="preserve">. </w:t>
      </w:r>
      <w:r w:rsidRPr="00ED5D41">
        <w:rPr>
          <w:snapToGrid w:val="0"/>
          <w:lang w:val="de-DE"/>
        </w:rPr>
        <w:t>Eine Abschrift des Referats ist in Dokument TWV/56/21 enthalten.</w:t>
      </w:r>
    </w:p>
    <w:p w:rsidR="00ED5D41" w:rsidRPr="00ED5D41" w:rsidRDefault="00ED5D41" w:rsidP="00ED5D41">
      <w:pPr>
        <w:rPr>
          <w:rFonts w:eastAsia="Times New Roman"/>
          <w:snapToGrid w:val="0"/>
          <w:lang w:val="de-DE"/>
        </w:rPr>
      </w:pPr>
    </w:p>
    <w:p w:rsidR="00ED5D41" w:rsidRPr="00ED5D41" w:rsidRDefault="00ED5D41" w:rsidP="00ED5D41">
      <w:pPr>
        <w:rPr>
          <w:rFonts w:eastAsia="Times New Roman"/>
          <w:lang w:val="de-DE"/>
        </w:rPr>
      </w:pPr>
      <w:r w:rsidRPr="00ED5D41">
        <w:rPr>
          <w:rFonts w:eastAsia="Times New Roman"/>
          <w:lang w:val="de-DE"/>
        </w:rPr>
        <w:fldChar w:fldCharType="begin"/>
      </w:r>
      <w:r w:rsidRPr="00ED5D41">
        <w:rPr>
          <w:rFonts w:eastAsia="Times New Roman"/>
          <w:lang w:val="de-DE"/>
        </w:rPr>
        <w:instrText xml:space="preserve"> AUTONUM  </w:instrText>
      </w:r>
      <w:r w:rsidRPr="00ED5D41">
        <w:rPr>
          <w:rFonts w:eastAsia="Times New Roman"/>
          <w:lang w:val="de-DE"/>
        </w:rPr>
        <w:fldChar w:fldCharType="end"/>
      </w:r>
      <w:r w:rsidRPr="00ED5D41">
        <w:rPr>
          <w:lang w:val="de-DE"/>
        </w:rPr>
        <w:tab/>
        <w:t>Die TWV erörterte das Verfahren für die Genehmigung der Züchter zur Verwendung von Sorten im Rahmen des Projekts und wies auf die Bedeutung der Vereinbarung zur Regelung des Zugangs zu genetischen Informationen von Sorten und der Aspekte der Vertraulichkeit hin.</w:t>
      </w:r>
    </w:p>
    <w:p w:rsidR="00ED5D41" w:rsidRPr="00ED5D41" w:rsidRDefault="00ED5D41" w:rsidP="00ED5D41">
      <w:pPr>
        <w:rPr>
          <w:lang w:val="de-DE"/>
        </w:rPr>
      </w:pPr>
    </w:p>
    <w:p w:rsidR="00ED5D41" w:rsidRPr="00ED5D41" w:rsidRDefault="00ED5D41" w:rsidP="00ED5D41">
      <w:pPr>
        <w:rPr>
          <w:lang w:val="de-DE"/>
        </w:rPr>
      </w:pPr>
      <w:r w:rsidRPr="00ED5D41">
        <w:rPr>
          <w:lang w:val="de-DE"/>
        </w:rPr>
        <w:fldChar w:fldCharType="begin"/>
      </w:r>
      <w:r w:rsidRPr="00ED5D41">
        <w:rPr>
          <w:lang w:val="de-DE"/>
        </w:rPr>
        <w:instrText xml:space="preserve"> AUTONUM  </w:instrText>
      </w:r>
      <w:r w:rsidRPr="00ED5D41">
        <w:rPr>
          <w:lang w:val="de-DE"/>
        </w:rPr>
        <w:fldChar w:fldCharType="end"/>
      </w:r>
      <w:r w:rsidRPr="00ED5D41">
        <w:rPr>
          <w:lang w:val="de-DE"/>
        </w:rPr>
        <w:tab/>
      </w:r>
      <w:r w:rsidR="00233311">
        <w:rPr>
          <w:lang w:val="de-DE"/>
        </w:rPr>
        <w:t>Die TWA hörte ein Referat</w:t>
      </w:r>
      <w:r w:rsidR="00233311" w:rsidRPr="00ED5D41">
        <w:rPr>
          <w:lang w:val="de-DE"/>
        </w:rPr>
        <w:t xml:space="preserve"> über die „Anwendung molekularer Verfahren in der DUS-Prüfung: Bericht aus Argentinien“ von einem Sachverständigen aus Argentinien. </w:t>
      </w:r>
      <w:r w:rsidRPr="00ED5D41">
        <w:rPr>
          <w:lang w:val="de-DE"/>
        </w:rPr>
        <w:t>Eine Abschrift des Referats ist in Dokument TWA/51/4 enthalten.</w:t>
      </w:r>
    </w:p>
    <w:p w:rsidR="00ED5D41" w:rsidRPr="00ED5D41" w:rsidRDefault="00ED5D41" w:rsidP="00ED5D41">
      <w:pPr>
        <w:rPr>
          <w:lang w:val="de-DE"/>
        </w:rPr>
      </w:pPr>
    </w:p>
    <w:p w:rsidR="00ED5D41" w:rsidRPr="00ED5D41" w:rsidRDefault="00ED5D41" w:rsidP="00ED5D41">
      <w:pPr>
        <w:rPr>
          <w:lang w:val="de-DE"/>
        </w:rPr>
      </w:pPr>
      <w:r w:rsidRPr="00ED5D41">
        <w:rPr>
          <w:lang w:val="de-DE"/>
        </w:rPr>
        <w:fldChar w:fldCharType="begin"/>
      </w:r>
      <w:r w:rsidRPr="00ED5D41">
        <w:rPr>
          <w:lang w:val="de-DE"/>
        </w:rPr>
        <w:instrText xml:space="preserve"> AUTONUM  </w:instrText>
      </w:r>
      <w:r w:rsidRPr="00ED5D41">
        <w:rPr>
          <w:lang w:val="de-DE"/>
        </w:rPr>
        <w:fldChar w:fldCharType="end"/>
      </w:r>
      <w:r w:rsidRPr="00ED5D41">
        <w:rPr>
          <w:lang w:val="de-DE"/>
        </w:rPr>
        <w:tab/>
        <w:t>Die TWA hörte ein Referat über „Entwicklung einer Strategie zur Anwendung molekularer SNP-Marker im Rahmen der DUS-Prüfung von Winterraps“ von einem Sachverständigen aus Frankreich</w:t>
      </w:r>
      <w:r w:rsidR="00233311" w:rsidRPr="00ED5D41">
        <w:rPr>
          <w:lang w:val="de-DE"/>
        </w:rPr>
        <w:t xml:space="preserve">. </w:t>
      </w:r>
      <w:r w:rsidRPr="00ED5D41">
        <w:rPr>
          <w:lang w:val="de-DE"/>
        </w:rPr>
        <w:t>Eine Abschrift des Referats ist in Dokument TWA/51/4 Add. enthalten.</w:t>
      </w:r>
    </w:p>
    <w:p w:rsidR="00ED5D41" w:rsidRPr="00ED5D41" w:rsidRDefault="00ED5D41" w:rsidP="00ED5D41">
      <w:pPr>
        <w:jc w:val="left"/>
        <w:rPr>
          <w:lang w:val="de-DE"/>
        </w:rPr>
      </w:pPr>
    </w:p>
    <w:p w:rsidR="00ED5D41" w:rsidRPr="00ED5D41" w:rsidRDefault="00ED5D41" w:rsidP="00ED5D41">
      <w:pPr>
        <w:rPr>
          <w:lang w:val="de-DE"/>
        </w:rPr>
      </w:pPr>
      <w:r w:rsidRPr="00ED5D41">
        <w:rPr>
          <w:lang w:val="de-DE"/>
        </w:rPr>
        <w:fldChar w:fldCharType="begin"/>
      </w:r>
      <w:r w:rsidRPr="00ED5D41">
        <w:rPr>
          <w:lang w:val="de-DE"/>
        </w:rPr>
        <w:instrText xml:space="preserve"> AUTONUM  </w:instrText>
      </w:r>
      <w:r w:rsidRPr="00ED5D41">
        <w:rPr>
          <w:lang w:val="de-DE"/>
        </w:rPr>
        <w:fldChar w:fldCharType="end"/>
      </w:r>
      <w:r w:rsidRPr="00ED5D41">
        <w:rPr>
          <w:lang w:val="de-DE"/>
        </w:rPr>
        <w:tab/>
        <w:t>Die TWF hörte ein Referat über „Anwendung molekularer Verfahren bei der DUS-Prüfung und die Wahrung der Züchterrechte im Obstsektor in China“ von einem Sachverständigen aus China</w:t>
      </w:r>
      <w:r w:rsidR="00233311" w:rsidRPr="00ED5D41">
        <w:rPr>
          <w:lang w:val="de-DE"/>
        </w:rPr>
        <w:t xml:space="preserve">. </w:t>
      </w:r>
      <w:r w:rsidRPr="00ED5D41">
        <w:rPr>
          <w:lang w:val="de-DE"/>
        </w:rPr>
        <w:t>Eine Abschrift des Referats ist in Dokument TWF/53/12 enthalten.</w:t>
      </w:r>
    </w:p>
    <w:p w:rsidR="00ED5D41" w:rsidRPr="00ED5D41" w:rsidRDefault="00ED5D41" w:rsidP="00ED5D41">
      <w:pPr>
        <w:rPr>
          <w:lang w:val="de-DE"/>
        </w:rPr>
      </w:pPr>
    </w:p>
    <w:p w:rsidR="00ED5D41" w:rsidRPr="00ED5D41" w:rsidRDefault="00ED5D41" w:rsidP="00ED5D41">
      <w:pPr>
        <w:rPr>
          <w:lang w:val="de-DE"/>
        </w:rPr>
      </w:pPr>
      <w:r w:rsidRPr="00ED5D41">
        <w:rPr>
          <w:lang w:val="de-DE"/>
        </w:rPr>
        <w:fldChar w:fldCharType="begin"/>
      </w:r>
      <w:r w:rsidRPr="00ED5D41">
        <w:rPr>
          <w:lang w:val="de-DE"/>
        </w:rPr>
        <w:instrText xml:space="preserve"> AUTONUM  </w:instrText>
      </w:r>
      <w:r w:rsidRPr="00ED5D41">
        <w:rPr>
          <w:lang w:val="de-DE"/>
        </w:rPr>
        <w:fldChar w:fldCharType="end"/>
      </w:r>
      <w:r w:rsidRPr="00ED5D41">
        <w:rPr>
          <w:lang w:val="de-DE"/>
        </w:rPr>
        <w:tab/>
        <w:t>Die TWF merkte an, dass molekulare Marker in China als erstinstanzliches Beweismittel für die Durchsetzung der Züchterrechte verwendet werden können, gefolgt von einem Anbauversuch, falls erforderlich.</w:t>
      </w:r>
    </w:p>
    <w:p w:rsidR="00ED5D41" w:rsidRPr="00ED5D41" w:rsidRDefault="00ED5D41" w:rsidP="00ED5D41">
      <w:pPr>
        <w:rPr>
          <w:lang w:val="de-DE"/>
        </w:rPr>
      </w:pPr>
    </w:p>
    <w:p w:rsidR="00ED5D41" w:rsidRPr="00ED5D41" w:rsidRDefault="00ED5D41" w:rsidP="00ED5D41">
      <w:pPr>
        <w:rPr>
          <w:lang w:val="de-DE"/>
        </w:rPr>
      </w:pPr>
      <w:r w:rsidRPr="00ED5D41">
        <w:rPr>
          <w:lang w:val="de-DE"/>
        </w:rPr>
        <w:fldChar w:fldCharType="begin"/>
      </w:r>
      <w:r w:rsidRPr="00ED5D41">
        <w:rPr>
          <w:lang w:val="de-DE"/>
        </w:rPr>
        <w:instrText xml:space="preserve"> AUTONUM  </w:instrText>
      </w:r>
      <w:r w:rsidRPr="00ED5D41">
        <w:rPr>
          <w:lang w:val="de-DE"/>
        </w:rPr>
        <w:fldChar w:fldCharType="end"/>
      </w:r>
      <w:r w:rsidRPr="00ED5D41">
        <w:rPr>
          <w:lang w:val="de-DE"/>
        </w:rPr>
        <w:tab/>
        <w:t>Nach dem Referat aus China führte die TWF eine offene Diskussion über die Anwendung molekularer Marker bei der DUS-Prüfung und der Sortenidentifikation</w:t>
      </w:r>
      <w:r w:rsidR="00233311" w:rsidRPr="00ED5D41">
        <w:rPr>
          <w:lang w:val="de-DE"/>
        </w:rPr>
        <w:t xml:space="preserve">. </w:t>
      </w:r>
      <w:r w:rsidRPr="00ED5D41">
        <w:rPr>
          <w:lang w:val="de-DE"/>
        </w:rPr>
        <w:t>Die folgenden Aspekte wurden von den Teilnehmern genannt:</w:t>
      </w:r>
    </w:p>
    <w:p w:rsidR="00ED5D41" w:rsidRPr="00ED5D41" w:rsidRDefault="00ED5D41" w:rsidP="00ED5D41">
      <w:pPr>
        <w:rPr>
          <w:lang w:val="de-DE"/>
        </w:rPr>
      </w:pPr>
    </w:p>
    <w:p w:rsidR="00ED5D41" w:rsidRPr="00ED5D41" w:rsidRDefault="00233311" w:rsidP="00ED5D41">
      <w:pPr>
        <w:numPr>
          <w:ilvl w:val="0"/>
          <w:numId w:val="14"/>
        </w:numPr>
        <w:spacing w:line="276" w:lineRule="auto"/>
        <w:ind w:left="1134" w:hanging="567"/>
        <w:contextualSpacing/>
        <w:rPr>
          <w:lang w:val="de-DE"/>
        </w:rPr>
      </w:pPr>
      <w:r w:rsidRPr="00ED5D41">
        <w:rPr>
          <w:lang w:val="de-DE"/>
        </w:rPr>
        <w:t>Möglichkeiten der Zusammenarbeit beim Aufbau gemeinsamer Datenbanken, auch für Behörden, die relativ wenige Anträge für bestimmte Pflanzen erhalten</w:t>
      </w:r>
      <w:r>
        <w:rPr>
          <w:lang w:val="de-DE"/>
        </w:rPr>
        <w:t>;</w:t>
      </w:r>
      <w:r w:rsidRPr="00ED5D41">
        <w:rPr>
          <w:lang w:val="de-DE"/>
        </w:rPr>
        <w:t xml:space="preserve"> </w:t>
      </w:r>
    </w:p>
    <w:p w:rsidR="00ED5D41" w:rsidRPr="00ED5D41" w:rsidRDefault="00ED5D41" w:rsidP="00ED5D41">
      <w:pPr>
        <w:numPr>
          <w:ilvl w:val="0"/>
          <w:numId w:val="14"/>
        </w:numPr>
        <w:spacing w:line="276" w:lineRule="auto"/>
        <w:ind w:left="567" w:firstLine="0"/>
        <w:contextualSpacing/>
        <w:rPr>
          <w:lang w:val="de-DE"/>
        </w:rPr>
      </w:pPr>
      <w:r w:rsidRPr="00ED5D41">
        <w:rPr>
          <w:lang w:val="de-DE"/>
        </w:rPr>
        <w:t>Herkunft des Pflanzenmaterials für die DNS-Extraktion (z. B. das für die DUS-Prüfung bereitgestellte Material)</w:t>
      </w:r>
    </w:p>
    <w:p w:rsidR="00ED5D41" w:rsidRPr="00ED5D41" w:rsidRDefault="00ED5D41" w:rsidP="00ED5D41">
      <w:pPr>
        <w:numPr>
          <w:ilvl w:val="0"/>
          <w:numId w:val="14"/>
        </w:numPr>
        <w:spacing w:line="276" w:lineRule="auto"/>
        <w:ind w:left="1134" w:hanging="567"/>
        <w:contextualSpacing/>
        <w:rPr>
          <w:lang w:val="de-DE"/>
        </w:rPr>
      </w:pPr>
      <w:r w:rsidRPr="00ED5D41">
        <w:rPr>
          <w:lang w:val="de-DE"/>
        </w:rPr>
        <w:t>Auswahl von Markern für jede Pflanze je nach Verwendungszweck (z. B. für Züchterrechte und/oder Sortenidentifikation).</w:t>
      </w:r>
    </w:p>
    <w:p w:rsidR="00ED5D41" w:rsidRPr="00ED5D41" w:rsidRDefault="00ED5D41" w:rsidP="00ED5D41">
      <w:pPr>
        <w:numPr>
          <w:ilvl w:val="0"/>
          <w:numId w:val="14"/>
        </w:numPr>
        <w:spacing w:line="276" w:lineRule="auto"/>
        <w:ind w:left="1134" w:hanging="567"/>
        <w:contextualSpacing/>
        <w:rPr>
          <w:lang w:val="de-DE"/>
        </w:rPr>
      </w:pPr>
      <w:r w:rsidRPr="00ED5D41">
        <w:rPr>
          <w:lang w:val="de-DE"/>
        </w:rPr>
        <w:t>Auswahl eines oder mehrerer Laboratorien, die in der Lage sind, qualitativ hochwertige molekulare Profile zu erstellen (z. B. Sicherheits-Backup);</w:t>
      </w:r>
    </w:p>
    <w:p w:rsidR="00ED5D41" w:rsidRPr="00ED5D41" w:rsidRDefault="00ED5D41" w:rsidP="00ED5D41">
      <w:pPr>
        <w:numPr>
          <w:ilvl w:val="0"/>
          <w:numId w:val="14"/>
        </w:numPr>
        <w:spacing w:line="276" w:lineRule="auto"/>
        <w:ind w:left="567" w:firstLine="0"/>
        <w:contextualSpacing/>
        <w:rPr>
          <w:lang w:val="de-DE"/>
        </w:rPr>
      </w:pPr>
      <w:r w:rsidRPr="00ED5D41">
        <w:rPr>
          <w:lang w:val="de-DE"/>
        </w:rPr>
        <w:t xml:space="preserve">Hohe Kosten für die Harmonisierung der DNS-Profilierungsverfahren zwischen verschiedenen Laboren; </w:t>
      </w:r>
    </w:p>
    <w:p w:rsidR="00ED5D41" w:rsidRPr="00ED5D41" w:rsidRDefault="00ED5D41" w:rsidP="00ED5D41">
      <w:pPr>
        <w:numPr>
          <w:ilvl w:val="0"/>
          <w:numId w:val="14"/>
        </w:numPr>
        <w:spacing w:line="276" w:lineRule="auto"/>
        <w:ind w:left="567" w:firstLine="0"/>
        <w:contextualSpacing/>
        <w:rPr>
          <w:lang w:val="de-DE"/>
        </w:rPr>
      </w:pPr>
      <w:r w:rsidRPr="00ED5D41">
        <w:rPr>
          <w:lang w:val="de-DE"/>
        </w:rPr>
        <w:t>Schwierigkeiten, selbst bei Laboren, die harmonisierte Verfahren anwenden, die gleichen Ergebnisse zu erzielen.</w:t>
      </w:r>
    </w:p>
    <w:p w:rsidR="00ED5D41" w:rsidRPr="00ED5D41" w:rsidRDefault="00ED5D41" w:rsidP="00ED5D41">
      <w:pPr>
        <w:rPr>
          <w:lang w:val="de-DE"/>
        </w:rPr>
      </w:pPr>
    </w:p>
    <w:p w:rsidR="00ED5D41" w:rsidRPr="00ED5D41" w:rsidRDefault="00ED5D41" w:rsidP="00ED5D41">
      <w:pPr>
        <w:ind w:left="567" w:hanging="567"/>
        <w:rPr>
          <w:lang w:val="de-DE" w:eastAsia="ja-JP"/>
        </w:rPr>
      </w:pPr>
    </w:p>
    <w:p w:rsidR="00ED5D41" w:rsidRPr="00ED5D41" w:rsidRDefault="00ED5D41" w:rsidP="00ED5D41">
      <w:pPr>
        <w:keepNext/>
        <w:outlineLvl w:val="0"/>
        <w:rPr>
          <w:caps/>
          <w:lang w:val="de-DE"/>
        </w:rPr>
      </w:pPr>
      <w:bookmarkStart w:id="12" w:name="_Toc117091248"/>
      <w:bookmarkStart w:id="13" w:name="_Toc525647178"/>
      <w:bookmarkStart w:id="14" w:name="_Toc526175650"/>
      <w:bookmarkStart w:id="15" w:name="_Toc53728409"/>
      <w:bookmarkStart w:id="16" w:name="_Toc84413230"/>
      <w:r w:rsidRPr="00ED5D41">
        <w:rPr>
          <w:caps/>
          <w:lang w:val="de-DE"/>
        </w:rPr>
        <w:lastRenderedPageBreak/>
        <w:t>Entwicklungen auf der ersten Tagung der Technischen Arbeitsgruppe für Prüfverfahren und -techniken (TWM)</w:t>
      </w:r>
      <w:bookmarkEnd w:id="12"/>
      <w:r w:rsidRPr="00ED5D41">
        <w:rPr>
          <w:caps/>
          <w:lang w:val="de-DE"/>
        </w:rPr>
        <w:t xml:space="preserve"> </w:t>
      </w:r>
      <w:bookmarkEnd w:id="13"/>
      <w:bookmarkEnd w:id="14"/>
      <w:bookmarkEnd w:id="15"/>
      <w:bookmarkEnd w:id="16"/>
    </w:p>
    <w:p w:rsidR="00ED5D41" w:rsidRPr="00ED5D41" w:rsidRDefault="00ED5D41" w:rsidP="00ED5D41">
      <w:pPr>
        <w:keepNext/>
        <w:outlineLvl w:val="0"/>
        <w:rPr>
          <w:caps/>
          <w:lang w:val="de-DE" w:eastAsia="ja-JP"/>
        </w:rPr>
      </w:pPr>
    </w:p>
    <w:p w:rsidR="00ED5D41" w:rsidRPr="00ED5D41" w:rsidRDefault="00ED5D41" w:rsidP="00ED5D41">
      <w:pPr>
        <w:rPr>
          <w:lang w:val="de-DE"/>
        </w:rPr>
      </w:pPr>
      <w:r w:rsidRPr="00ED5D41">
        <w:rPr>
          <w:color w:val="000000"/>
          <w:lang w:val="de-DE"/>
        </w:rPr>
        <w:fldChar w:fldCharType="begin"/>
      </w:r>
      <w:r w:rsidRPr="00ED5D41">
        <w:rPr>
          <w:color w:val="000000"/>
          <w:lang w:val="de-DE"/>
        </w:rPr>
        <w:instrText xml:space="preserve"> AUTONUM  </w:instrText>
      </w:r>
      <w:r w:rsidRPr="00ED5D41">
        <w:rPr>
          <w:color w:val="000000"/>
          <w:lang w:val="de-DE"/>
        </w:rPr>
        <w:fldChar w:fldCharType="end"/>
      </w:r>
      <w:r w:rsidRPr="00ED5D41">
        <w:rPr>
          <w:color w:val="000000"/>
          <w:lang w:val="de-DE"/>
        </w:rPr>
        <w:tab/>
        <w:t xml:space="preserve">Die TVM hielt ihre erste Tagung auf elektronischem Wege </w:t>
      </w:r>
      <w:r w:rsidRPr="00ED5D41">
        <w:rPr>
          <w:lang w:val="de-DE"/>
        </w:rPr>
        <w:t>vom 19. bis 23. September 2022 ab (vergleiche Dokument TWM/1/26 „</w:t>
      </w:r>
      <w:r w:rsidRPr="00ED5D41">
        <w:rPr>
          <w:i/>
          <w:iCs/>
          <w:lang w:val="de-DE"/>
        </w:rPr>
        <w:t>Report</w:t>
      </w:r>
      <w:r w:rsidRPr="00ED5D41">
        <w:rPr>
          <w:lang w:val="de-DE"/>
        </w:rPr>
        <w:t xml:space="preserve">“, Absatz 1). </w:t>
      </w:r>
    </w:p>
    <w:p w:rsidR="00ED5D41" w:rsidRPr="00ED5D41" w:rsidRDefault="00ED5D41" w:rsidP="00ED5D41">
      <w:pPr>
        <w:outlineLvl w:val="1"/>
        <w:rPr>
          <w:u w:val="single"/>
          <w:lang w:val="de-DE" w:eastAsia="ja-JP"/>
        </w:rPr>
      </w:pPr>
      <w:bookmarkStart w:id="17" w:name="_Toc525647179"/>
      <w:bookmarkStart w:id="18" w:name="_Toc526175651"/>
      <w:bookmarkStart w:id="19" w:name="_Toc53728410"/>
      <w:bookmarkStart w:id="20" w:name="_Toc84413231"/>
    </w:p>
    <w:p w:rsidR="00ED5D41" w:rsidRPr="00ED5D41" w:rsidRDefault="00ED5D41" w:rsidP="00ED5D41">
      <w:pPr>
        <w:keepNext/>
        <w:outlineLvl w:val="1"/>
        <w:rPr>
          <w:u w:val="single"/>
          <w:lang w:val="de-DE" w:eastAsia="ja-JP"/>
        </w:rPr>
      </w:pPr>
      <w:bookmarkStart w:id="21" w:name="_Toc117091249"/>
      <w:r w:rsidRPr="00ED5D41">
        <w:rPr>
          <w:u w:val="single"/>
          <w:lang w:val="de-DE" w:eastAsia="ja-JP"/>
        </w:rPr>
        <w:t>Vorgelegte Papiere</w:t>
      </w:r>
      <w:bookmarkEnd w:id="17"/>
      <w:bookmarkEnd w:id="18"/>
      <w:bookmarkEnd w:id="19"/>
      <w:bookmarkEnd w:id="20"/>
      <w:bookmarkEnd w:id="21"/>
    </w:p>
    <w:p w:rsidR="00ED5D41" w:rsidRPr="00ED5D41" w:rsidRDefault="00ED5D41" w:rsidP="00ED5D41">
      <w:pPr>
        <w:keepNext/>
        <w:rPr>
          <w:highlight w:val="cyan"/>
          <w:lang w:val="de-DE"/>
        </w:rPr>
      </w:pPr>
    </w:p>
    <w:p w:rsidR="00ED5D41" w:rsidRPr="00ED5D41" w:rsidRDefault="00ED5D41" w:rsidP="00ED5D41">
      <w:pPr>
        <w:keepNext/>
        <w:rPr>
          <w:lang w:val="de-DE"/>
        </w:rPr>
      </w:pPr>
      <w:r w:rsidRPr="00ED5D41">
        <w:rPr>
          <w:lang w:val="de-DE"/>
        </w:rPr>
        <w:fldChar w:fldCharType="begin"/>
      </w:r>
      <w:r w:rsidRPr="00ED5D41">
        <w:rPr>
          <w:lang w:val="de-DE"/>
        </w:rPr>
        <w:instrText xml:space="preserve"> AUTONUM  </w:instrText>
      </w:r>
      <w:r w:rsidRPr="00ED5D41">
        <w:rPr>
          <w:lang w:val="de-DE"/>
        </w:rPr>
        <w:fldChar w:fldCharType="end"/>
      </w:r>
      <w:r w:rsidRPr="00ED5D41">
        <w:rPr>
          <w:lang w:val="de-DE"/>
        </w:rPr>
        <w:tab/>
        <w:t>Die unter jedem Tagesordnungspunkt der ersten Tagung der TWM vorgelegten Papiere waren folgende:</w:t>
      </w:r>
    </w:p>
    <w:p w:rsidR="00ED5D41" w:rsidRPr="00ED5D41" w:rsidRDefault="00ED5D41" w:rsidP="00ED5D41">
      <w:pPr>
        <w:spacing w:after="120"/>
        <w:ind w:left="567"/>
        <w:rPr>
          <w:i/>
          <w:snapToGrid w:val="0"/>
          <w:lang w:val="de-DE"/>
        </w:rPr>
      </w:pPr>
    </w:p>
    <w:p w:rsidR="00ED5D41" w:rsidRPr="00ED5D41" w:rsidRDefault="00ED5D41" w:rsidP="00ED5D41">
      <w:pPr>
        <w:spacing w:after="120"/>
        <w:ind w:left="567"/>
        <w:rPr>
          <w:i/>
          <w:snapToGrid w:val="0"/>
          <w:lang w:val="de-DE"/>
        </w:rPr>
      </w:pPr>
      <w:r w:rsidRPr="00ED5D41">
        <w:rPr>
          <w:i/>
          <w:snapToGrid w:val="0"/>
          <w:lang w:val="de-DE"/>
        </w:rPr>
        <w:t xml:space="preserve">Bericht über Entwicklungen in der UPOV (Dokument TWM/1/2) </w:t>
      </w:r>
    </w:p>
    <w:p w:rsidR="00ED5D41" w:rsidRPr="00ED5D41" w:rsidRDefault="00ED5D41" w:rsidP="00ED5D41">
      <w:pPr>
        <w:spacing w:after="120"/>
        <w:ind w:left="567"/>
        <w:rPr>
          <w:i/>
          <w:snapToGrid w:val="0"/>
          <w:lang w:val="de-DE"/>
        </w:rPr>
      </w:pPr>
      <w:r w:rsidRPr="00ED5D41">
        <w:rPr>
          <w:i/>
          <w:snapToGrid w:val="0"/>
          <w:lang w:val="de-DE"/>
        </w:rPr>
        <w:t xml:space="preserve">Kurzreferate von DUS-Sachverständigen, biochemischen und molekularen Sachverständigen, Pflanzenzüchtern und einschlägigen internationalen Organisationen über neue Entwicklungen bei biochemischen und molekularen Verfahren (Dokument TWM/1/3) </w:t>
      </w:r>
    </w:p>
    <w:p w:rsidR="00ED5D41" w:rsidRPr="00ED5D41" w:rsidRDefault="00ED5D41" w:rsidP="00ED5D41">
      <w:pPr>
        <w:spacing w:after="120"/>
        <w:ind w:left="567" w:hanging="5"/>
        <w:rPr>
          <w:i/>
          <w:snapToGrid w:val="0"/>
          <w:lang w:val="de-DE"/>
        </w:rPr>
      </w:pPr>
      <w:r w:rsidRPr="00ED5D41">
        <w:rPr>
          <w:i/>
          <w:snapToGrid w:val="0"/>
          <w:lang w:val="de-DE"/>
        </w:rPr>
        <w:t xml:space="preserve">Software und statistische Analyseverfahren für die DUS-Prüfung </w:t>
      </w:r>
    </w:p>
    <w:p w:rsidR="00ED5D41" w:rsidRPr="00ED5D41" w:rsidRDefault="00ED5D41" w:rsidP="00ED5D41">
      <w:pPr>
        <w:spacing w:after="120"/>
        <w:ind w:left="567" w:hanging="5"/>
        <w:rPr>
          <w:i/>
          <w:snapToGrid w:val="0"/>
          <w:lang w:val="de-DE"/>
        </w:rPr>
      </w:pPr>
      <w:r w:rsidRPr="00ED5D41">
        <w:rPr>
          <w:i/>
          <w:snapToGrid w:val="0"/>
          <w:lang w:val="de-DE"/>
        </w:rPr>
        <w:t xml:space="preserve">a) </w:t>
      </w:r>
      <w:r w:rsidRPr="00ED5D41">
        <w:rPr>
          <w:i/>
          <w:snapToGrid w:val="0"/>
          <w:lang w:val="de-DE"/>
        </w:rPr>
        <w:tab/>
        <w:t>Statistische Werkzeuge und Methoden für die DUS-Prüfung</w:t>
      </w:r>
    </w:p>
    <w:p w:rsidR="00ED5D41" w:rsidRPr="00ED5D41" w:rsidRDefault="00ED5D41" w:rsidP="00ED5D41">
      <w:pPr>
        <w:spacing w:after="120"/>
        <w:ind w:left="567" w:hanging="5"/>
        <w:rPr>
          <w:i/>
          <w:snapToGrid w:val="0"/>
          <w:lang w:val="de-DE"/>
        </w:rPr>
      </w:pPr>
      <w:r w:rsidRPr="00ED5D41">
        <w:rPr>
          <w:i/>
          <w:snapToGrid w:val="0"/>
          <w:lang w:val="de-DE"/>
        </w:rPr>
        <w:tab/>
      </w:r>
      <w:r w:rsidRPr="00ED5D41">
        <w:rPr>
          <w:i/>
          <w:snapToGrid w:val="0"/>
          <w:lang w:val="de-DE"/>
        </w:rPr>
        <w:tab/>
        <w:t xml:space="preserve">- Entwicklungen zum verbesserten COYU-Verfahren (Splines) (TWM/1/8 und TWM/1/8 Add.) </w:t>
      </w:r>
    </w:p>
    <w:p w:rsidR="00ED5D41" w:rsidRPr="00ED5D41" w:rsidRDefault="00ED5D41" w:rsidP="00ED5D41">
      <w:pPr>
        <w:spacing w:after="120"/>
        <w:ind w:left="567" w:hanging="5"/>
        <w:rPr>
          <w:i/>
          <w:snapToGrid w:val="0"/>
          <w:lang w:val="de-DE"/>
        </w:rPr>
      </w:pPr>
      <w:r w:rsidRPr="00ED5D41">
        <w:rPr>
          <w:i/>
          <w:snapToGrid w:val="0"/>
          <w:lang w:val="de-DE"/>
        </w:rPr>
        <w:tab/>
      </w:r>
      <w:r w:rsidRPr="00ED5D41">
        <w:rPr>
          <w:i/>
          <w:snapToGrid w:val="0"/>
          <w:lang w:val="de-DE"/>
        </w:rPr>
        <w:tab/>
        <w:t>- Das kombinierte Homogenitätskriterium über mehrere Jahre (COYU): Extrapolation (TWM/1/7 und TWM/1/7 Add.</w:t>
      </w:r>
      <w:r w:rsidR="00233311" w:rsidRPr="00ED5D41">
        <w:rPr>
          <w:i/>
          <w:snapToGrid w:val="0"/>
          <w:lang w:val="de-DE"/>
        </w:rPr>
        <w:t xml:space="preserve">) </w:t>
      </w:r>
    </w:p>
    <w:p w:rsidR="00ED5D41" w:rsidRPr="00ED5D41" w:rsidRDefault="00ED5D41" w:rsidP="00ED5D41">
      <w:pPr>
        <w:spacing w:after="120"/>
        <w:ind w:left="567" w:hanging="5"/>
        <w:rPr>
          <w:i/>
          <w:snapToGrid w:val="0"/>
          <w:lang w:val="de-DE"/>
        </w:rPr>
      </w:pPr>
      <w:r w:rsidRPr="00ED5D41">
        <w:rPr>
          <w:i/>
          <w:snapToGrid w:val="0"/>
          <w:lang w:val="de-DE"/>
        </w:rPr>
        <w:t xml:space="preserve">b) </w:t>
      </w:r>
      <w:r w:rsidRPr="00ED5D41">
        <w:rPr>
          <w:i/>
          <w:snapToGrid w:val="0"/>
          <w:lang w:val="de-DE"/>
        </w:rPr>
        <w:tab/>
        <w:t>Austausch und Verwendung von Software und Ausrüstung</w:t>
      </w:r>
    </w:p>
    <w:p w:rsidR="00ED5D41" w:rsidRPr="00ED5D41" w:rsidRDefault="00ED5D41" w:rsidP="00ED5D41">
      <w:pPr>
        <w:spacing w:after="120"/>
        <w:ind w:left="567" w:hanging="5"/>
        <w:rPr>
          <w:i/>
          <w:snapToGrid w:val="0"/>
          <w:lang w:val="de-DE"/>
        </w:rPr>
      </w:pPr>
      <w:r w:rsidRPr="00ED5D41">
        <w:rPr>
          <w:i/>
          <w:snapToGrid w:val="0"/>
          <w:lang w:val="de-DE"/>
        </w:rPr>
        <w:tab/>
      </w:r>
      <w:r w:rsidRPr="00ED5D41">
        <w:rPr>
          <w:i/>
          <w:snapToGrid w:val="0"/>
          <w:lang w:val="de-DE"/>
        </w:rPr>
        <w:tab/>
        <w:t xml:space="preserve">- Erstellung von Software für die statistische Analyse: DUSCEL (TWM/1/10) </w:t>
      </w:r>
    </w:p>
    <w:p w:rsidR="00ED5D41" w:rsidRPr="00ED5D41" w:rsidRDefault="00ED5D41" w:rsidP="00ED5D41">
      <w:pPr>
        <w:spacing w:after="120"/>
        <w:ind w:left="567" w:hanging="5"/>
        <w:rPr>
          <w:i/>
          <w:snapToGrid w:val="0"/>
          <w:lang w:val="de-DE"/>
        </w:rPr>
      </w:pPr>
      <w:r w:rsidRPr="00ED5D41">
        <w:rPr>
          <w:i/>
          <w:snapToGrid w:val="0"/>
          <w:lang w:val="de-DE"/>
        </w:rPr>
        <w:tab/>
      </w:r>
      <w:r w:rsidRPr="00ED5D41">
        <w:rPr>
          <w:i/>
          <w:snapToGrid w:val="0"/>
          <w:lang w:val="de-DE"/>
        </w:rPr>
        <w:tab/>
        <w:t>- PATHOSTAT-Anwendung (TWM/1/11)</w:t>
      </w:r>
    </w:p>
    <w:p w:rsidR="00ED5D41" w:rsidRPr="00ED5D41" w:rsidRDefault="00ED5D41" w:rsidP="00ED5D41">
      <w:pPr>
        <w:spacing w:after="120"/>
        <w:ind w:left="567" w:hanging="5"/>
        <w:rPr>
          <w:i/>
          <w:snapToGrid w:val="0"/>
          <w:lang w:val="de-DE"/>
        </w:rPr>
      </w:pPr>
      <w:r w:rsidRPr="00ED5D41">
        <w:rPr>
          <w:i/>
          <w:snapToGrid w:val="0"/>
          <w:lang w:val="de-DE"/>
        </w:rPr>
        <w:t xml:space="preserve">Phänotypisierung und Bildanalyse </w:t>
      </w:r>
    </w:p>
    <w:p w:rsidR="00ED5D41" w:rsidRPr="00ED5D41" w:rsidRDefault="00ED5D41" w:rsidP="00ED5D41">
      <w:pPr>
        <w:spacing w:after="120"/>
        <w:ind w:left="567" w:hanging="5"/>
        <w:rPr>
          <w:i/>
          <w:snapToGrid w:val="0"/>
          <w:lang w:val="de-DE"/>
        </w:rPr>
      </w:pPr>
      <w:r w:rsidRPr="00ED5D41">
        <w:rPr>
          <w:i/>
          <w:snapToGrid w:val="0"/>
          <w:lang w:val="de-DE"/>
        </w:rPr>
        <w:tab/>
      </w:r>
      <w:r w:rsidRPr="00ED5D41">
        <w:rPr>
          <w:i/>
          <w:snapToGrid w:val="0"/>
          <w:lang w:val="de-DE"/>
        </w:rPr>
        <w:tab/>
        <w:t xml:space="preserve">- Bildanalyse bei der Sortenprüfung (TWM/1/4) </w:t>
      </w:r>
    </w:p>
    <w:p w:rsidR="00ED5D41" w:rsidRPr="00ED5D41" w:rsidRDefault="00ED5D41" w:rsidP="00ED5D41">
      <w:pPr>
        <w:spacing w:after="120"/>
        <w:ind w:left="567" w:hanging="5"/>
        <w:rPr>
          <w:i/>
          <w:snapToGrid w:val="0"/>
          <w:lang w:val="de-DE"/>
        </w:rPr>
      </w:pPr>
      <w:r w:rsidRPr="00ED5D41">
        <w:rPr>
          <w:i/>
          <w:snapToGrid w:val="0"/>
          <w:lang w:val="de-DE"/>
        </w:rPr>
        <w:tab/>
      </w:r>
      <w:r w:rsidRPr="00ED5D41">
        <w:rPr>
          <w:i/>
          <w:snapToGrid w:val="0"/>
          <w:lang w:val="de-DE"/>
        </w:rPr>
        <w:tab/>
        <w:t xml:space="preserve">- System der Farbbildanalyse (TWM/1/5) </w:t>
      </w:r>
    </w:p>
    <w:p w:rsidR="00ED5D41" w:rsidRPr="00ED5D41" w:rsidRDefault="00ED5D41" w:rsidP="00ED5D41">
      <w:pPr>
        <w:spacing w:after="120"/>
        <w:ind w:left="567" w:hanging="5"/>
        <w:rPr>
          <w:i/>
          <w:snapToGrid w:val="0"/>
          <w:lang w:val="de-DE"/>
        </w:rPr>
      </w:pPr>
      <w:r w:rsidRPr="00ED5D41">
        <w:rPr>
          <w:i/>
          <w:snapToGrid w:val="0"/>
          <w:lang w:val="de-DE"/>
        </w:rPr>
        <w:tab/>
      </w:r>
      <w:r w:rsidRPr="00ED5D41">
        <w:rPr>
          <w:i/>
          <w:snapToGrid w:val="0"/>
          <w:lang w:val="de-DE"/>
        </w:rPr>
        <w:tab/>
        <w:t xml:space="preserve">- Bildprozessor für DUS-Merkmale (TWM/1/6) </w:t>
      </w:r>
    </w:p>
    <w:p w:rsidR="00ED5D41" w:rsidRPr="00ED5D41" w:rsidRDefault="00ED5D41" w:rsidP="00ED5D41">
      <w:pPr>
        <w:spacing w:after="120"/>
        <w:ind w:left="567" w:hanging="5"/>
        <w:rPr>
          <w:i/>
          <w:snapToGrid w:val="0"/>
          <w:lang w:val="de-DE"/>
        </w:rPr>
      </w:pPr>
      <w:r w:rsidRPr="00ED5D41">
        <w:rPr>
          <w:i/>
          <w:snapToGrid w:val="0"/>
          <w:lang w:val="de-DE"/>
        </w:rPr>
        <w:tab/>
      </w:r>
      <w:r w:rsidRPr="00ED5D41">
        <w:rPr>
          <w:i/>
          <w:snapToGrid w:val="0"/>
          <w:lang w:val="de-DE"/>
        </w:rPr>
        <w:tab/>
        <w:t>- UAV-Potenzial bei der DUS-Prüfung (TWM/1/20)</w:t>
      </w:r>
    </w:p>
    <w:p w:rsidR="00ED5D41" w:rsidRPr="00ED5D41" w:rsidRDefault="00ED5D41" w:rsidP="00ED5D41">
      <w:pPr>
        <w:spacing w:after="120"/>
        <w:ind w:left="567" w:hanging="5"/>
        <w:rPr>
          <w:i/>
          <w:snapToGrid w:val="0"/>
          <w:lang w:val="de-DE"/>
        </w:rPr>
      </w:pPr>
      <w:r w:rsidRPr="00ED5D41">
        <w:rPr>
          <w:i/>
          <w:snapToGrid w:val="0"/>
          <w:lang w:val="de-DE"/>
        </w:rPr>
        <w:tab/>
      </w:r>
      <w:r w:rsidRPr="00ED5D41">
        <w:rPr>
          <w:i/>
          <w:snapToGrid w:val="0"/>
          <w:lang w:val="de-DE"/>
        </w:rPr>
        <w:tab/>
        <w:t>- Projekt für maschinelles Lernen InnoVar (TWM/1/25)</w:t>
      </w:r>
    </w:p>
    <w:p w:rsidR="00ED5D41" w:rsidRPr="00ED5D41" w:rsidRDefault="00ED5D41" w:rsidP="00ED5D41">
      <w:pPr>
        <w:spacing w:after="120"/>
        <w:ind w:left="567" w:hanging="5"/>
        <w:rPr>
          <w:i/>
          <w:snapToGrid w:val="0"/>
          <w:lang w:val="de-DE"/>
        </w:rPr>
      </w:pPr>
      <w:r w:rsidRPr="00ED5D41">
        <w:rPr>
          <w:i/>
          <w:snapToGrid w:val="0"/>
          <w:lang w:val="de-DE"/>
        </w:rPr>
        <w:t xml:space="preserve">Entwicklungen in der Molekulartechnik und Bioinformatik </w:t>
      </w:r>
    </w:p>
    <w:p w:rsidR="00ED5D41" w:rsidRPr="00ED5D41" w:rsidRDefault="00ED5D41" w:rsidP="00ED5D41">
      <w:pPr>
        <w:spacing w:after="120"/>
        <w:ind w:left="567" w:hanging="5"/>
        <w:rPr>
          <w:i/>
          <w:snapToGrid w:val="0"/>
          <w:lang w:val="de-DE"/>
        </w:rPr>
      </w:pPr>
      <w:r w:rsidRPr="00ED5D41">
        <w:rPr>
          <w:i/>
          <w:snapToGrid w:val="0"/>
          <w:lang w:val="de-DE"/>
        </w:rPr>
        <w:t xml:space="preserve">a) </w:t>
      </w:r>
      <w:r w:rsidRPr="00ED5D41">
        <w:rPr>
          <w:i/>
          <w:snapToGrid w:val="0"/>
          <w:lang w:val="de-DE"/>
        </w:rPr>
        <w:tab/>
        <w:t>Neueste Entwicklungen in der Molekulartechnik und Bioinformatik</w:t>
      </w:r>
    </w:p>
    <w:p w:rsidR="00ED5D41" w:rsidRPr="00ED5D41" w:rsidRDefault="00ED5D41" w:rsidP="00ED5D41">
      <w:pPr>
        <w:spacing w:after="120"/>
        <w:ind w:left="567" w:hanging="5"/>
        <w:rPr>
          <w:i/>
          <w:snapToGrid w:val="0"/>
          <w:lang w:val="de-DE"/>
        </w:rPr>
      </w:pPr>
      <w:r w:rsidRPr="00ED5D41">
        <w:rPr>
          <w:i/>
          <w:snapToGrid w:val="0"/>
          <w:lang w:val="de-DE"/>
        </w:rPr>
        <w:tab/>
      </w:r>
      <w:r w:rsidRPr="00ED5D41">
        <w:rPr>
          <w:i/>
          <w:snapToGrid w:val="0"/>
          <w:lang w:val="de-DE"/>
        </w:rPr>
        <w:tab/>
        <w:t>- Zu diesem Tagesordnungspunkt sind keine Unterlagen eingegangen.</w:t>
      </w:r>
    </w:p>
    <w:p w:rsidR="00ED5D41" w:rsidRPr="00ED5D41" w:rsidRDefault="00ED5D41" w:rsidP="00ED5D41">
      <w:pPr>
        <w:spacing w:after="120"/>
        <w:ind w:left="567" w:hanging="5"/>
        <w:rPr>
          <w:i/>
          <w:snapToGrid w:val="0"/>
          <w:lang w:val="de-DE"/>
        </w:rPr>
      </w:pPr>
      <w:r w:rsidRPr="00ED5D41">
        <w:rPr>
          <w:i/>
          <w:snapToGrid w:val="0"/>
          <w:lang w:val="de-DE"/>
        </w:rPr>
        <w:t xml:space="preserve">b) </w:t>
      </w:r>
      <w:r w:rsidRPr="00ED5D41">
        <w:rPr>
          <w:i/>
          <w:snapToGrid w:val="0"/>
          <w:lang w:val="de-DE"/>
        </w:rPr>
        <w:tab/>
        <w:t xml:space="preserve">Zusammenarbeit zwischen internationalen Organisationen </w:t>
      </w:r>
    </w:p>
    <w:p w:rsidR="00ED5D41" w:rsidRPr="00ED5D41" w:rsidRDefault="00ED5D41" w:rsidP="00ED5D41">
      <w:pPr>
        <w:spacing w:after="120"/>
        <w:ind w:left="567" w:hanging="5"/>
        <w:rPr>
          <w:i/>
          <w:snapToGrid w:val="0"/>
          <w:lang w:val="de-DE"/>
        </w:rPr>
      </w:pPr>
      <w:r w:rsidRPr="00ED5D41">
        <w:rPr>
          <w:i/>
          <w:snapToGrid w:val="0"/>
          <w:lang w:val="de-DE"/>
        </w:rPr>
        <w:tab/>
      </w:r>
      <w:r w:rsidRPr="00ED5D41">
        <w:rPr>
          <w:i/>
          <w:snapToGrid w:val="0"/>
          <w:lang w:val="de-DE"/>
        </w:rPr>
        <w:tab/>
        <w:t xml:space="preserve">- ISTA-Bericht über die Anwendung molekularer Verfahren (TWM/1/23) </w:t>
      </w:r>
    </w:p>
    <w:p w:rsidR="00ED5D41" w:rsidRPr="00ED5D41" w:rsidRDefault="00ED5D41" w:rsidP="00ED5D41">
      <w:pPr>
        <w:spacing w:after="120"/>
        <w:ind w:left="567" w:hanging="5"/>
        <w:rPr>
          <w:i/>
          <w:snapToGrid w:val="0"/>
          <w:lang w:val="de-DE"/>
        </w:rPr>
      </w:pPr>
      <w:r w:rsidRPr="00ED5D41">
        <w:rPr>
          <w:i/>
          <w:snapToGrid w:val="0"/>
          <w:lang w:val="de-DE"/>
        </w:rPr>
        <w:tab/>
      </w:r>
      <w:r w:rsidRPr="00ED5D41">
        <w:rPr>
          <w:i/>
          <w:snapToGrid w:val="0"/>
          <w:lang w:val="de-DE"/>
        </w:rPr>
        <w:tab/>
        <w:t>- Neueste Entwicklungen bei der Anwendung der BMT im Rahmen der</w:t>
      </w:r>
      <w:r w:rsidR="0068353F">
        <w:rPr>
          <w:i/>
          <w:snapToGrid w:val="0"/>
          <w:lang w:val="de-DE"/>
        </w:rPr>
        <w:t xml:space="preserve"> OECD-Saatgutsysteme</w:t>
      </w:r>
      <w:r w:rsidRPr="00ED5D41">
        <w:rPr>
          <w:i/>
          <w:snapToGrid w:val="0"/>
          <w:lang w:val="de-DE"/>
        </w:rPr>
        <w:t xml:space="preserve"> (TWM/1/24)</w:t>
      </w:r>
    </w:p>
    <w:p w:rsidR="00ED5D41" w:rsidRPr="00ED5D41" w:rsidRDefault="00ED5D41" w:rsidP="00ED5D41">
      <w:pPr>
        <w:spacing w:after="120"/>
        <w:ind w:left="567" w:hanging="5"/>
        <w:rPr>
          <w:i/>
          <w:snapToGrid w:val="0"/>
          <w:lang w:val="de-DE"/>
        </w:rPr>
      </w:pPr>
      <w:r w:rsidRPr="00ED5D41">
        <w:rPr>
          <w:i/>
          <w:snapToGrid w:val="0"/>
          <w:lang w:val="de-DE"/>
        </w:rPr>
        <w:t xml:space="preserve">c) </w:t>
      </w:r>
      <w:r w:rsidRPr="00ED5D41">
        <w:rPr>
          <w:i/>
          <w:snapToGrid w:val="0"/>
          <w:lang w:val="de-DE"/>
        </w:rPr>
        <w:tab/>
        <w:t>Bericht über die Arbeit an molekularen Verfahren im Hinblick auf die DUS-Prüfung</w:t>
      </w:r>
    </w:p>
    <w:p w:rsidR="00ED5D41" w:rsidRPr="00ED5D41" w:rsidRDefault="00ED5D41" w:rsidP="00ED5D41">
      <w:pPr>
        <w:spacing w:after="120"/>
        <w:ind w:left="567" w:hanging="5"/>
        <w:rPr>
          <w:i/>
          <w:snapToGrid w:val="0"/>
          <w:lang w:val="de-DE"/>
        </w:rPr>
      </w:pPr>
      <w:r w:rsidRPr="00ED5D41">
        <w:rPr>
          <w:i/>
          <w:snapToGrid w:val="0"/>
          <w:lang w:val="de-DE"/>
        </w:rPr>
        <w:tab/>
      </w:r>
      <w:r w:rsidRPr="00ED5D41">
        <w:rPr>
          <w:i/>
          <w:snapToGrid w:val="0"/>
          <w:lang w:val="de-DE"/>
        </w:rPr>
        <w:tab/>
        <w:t xml:space="preserve">- Aktueller Stand der IMODDUS-Aktivitäten (TWM/1/14)  </w:t>
      </w:r>
    </w:p>
    <w:p w:rsidR="00ED5D41" w:rsidRPr="00ED5D41" w:rsidRDefault="00ED5D41" w:rsidP="00ED5D41">
      <w:pPr>
        <w:spacing w:after="120"/>
        <w:ind w:left="567" w:hanging="5"/>
        <w:rPr>
          <w:i/>
          <w:snapToGrid w:val="0"/>
          <w:lang w:val="de-DE"/>
        </w:rPr>
      </w:pPr>
      <w:r w:rsidRPr="00ED5D41">
        <w:rPr>
          <w:i/>
          <w:snapToGrid w:val="0"/>
          <w:lang w:val="de-DE"/>
        </w:rPr>
        <w:t>d)</w:t>
      </w:r>
      <w:r w:rsidRPr="00ED5D41">
        <w:rPr>
          <w:i/>
          <w:snapToGrid w:val="0"/>
          <w:lang w:val="de-DE"/>
        </w:rPr>
        <w:tab/>
        <w:t>Verfahren für die Analyse molekularer Daten, Verwaltung von Datenbanken und Austausch von Daten und Material</w:t>
      </w:r>
    </w:p>
    <w:p w:rsidR="00ED5D41" w:rsidRPr="00ED5D41" w:rsidRDefault="00ED5D41" w:rsidP="00ED5D41">
      <w:pPr>
        <w:spacing w:after="120"/>
        <w:ind w:left="567" w:hanging="5"/>
        <w:rPr>
          <w:i/>
          <w:snapToGrid w:val="0"/>
          <w:lang w:val="de-DE"/>
        </w:rPr>
      </w:pPr>
      <w:r w:rsidRPr="00ED5D41">
        <w:rPr>
          <w:i/>
          <w:snapToGrid w:val="0"/>
          <w:lang w:val="de-DE"/>
        </w:rPr>
        <w:tab/>
      </w:r>
      <w:r w:rsidRPr="00ED5D41">
        <w:rPr>
          <w:i/>
          <w:snapToGrid w:val="0"/>
          <w:lang w:val="de-DE"/>
        </w:rPr>
        <w:tab/>
        <w:t xml:space="preserve">- Anwendung von molekularen Markern in der DUS-Prüfung neuer Sorten von Chinakohl (TWM/1/9) </w:t>
      </w:r>
    </w:p>
    <w:p w:rsidR="00ED5D41" w:rsidRPr="00ED5D41" w:rsidRDefault="00ED5D41" w:rsidP="00ED5D41">
      <w:pPr>
        <w:spacing w:after="120"/>
        <w:ind w:left="567" w:hanging="5"/>
        <w:rPr>
          <w:i/>
          <w:snapToGrid w:val="0"/>
          <w:lang w:val="de-DE"/>
        </w:rPr>
      </w:pPr>
      <w:r w:rsidRPr="00ED5D41">
        <w:rPr>
          <w:i/>
          <w:snapToGrid w:val="0"/>
          <w:lang w:val="de-DE"/>
        </w:rPr>
        <w:tab/>
      </w:r>
      <w:r w:rsidRPr="00ED5D41">
        <w:rPr>
          <w:i/>
          <w:snapToGrid w:val="0"/>
          <w:lang w:val="de-DE"/>
        </w:rPr>
        <w:tab/>
        <w:t xml:space="preserve">- DURDUStools: Entwicklung einer gemeinsamen molekularen Online-Datenbank und eines Tools zur Berechnung des genetischen Abstands für Hartweizen (TWM/1/12) </w:t>
      </w:r>
    </w:p>
    <w:p w:rsidR="00ED5D41" w:rsidRPr="00ED5D41" w:rsidRDefault="00ED5D41" w:rsidP="00ED5D41">
      <w:pPr>
        <w:spacing w:after="120"/>
        <w:ind w:left="567" w:hanging="5"/>
        <w:rPr>
          <w:i/>
          <w:snapToGrid w:val="0"/>
          <w:lang w:val="de-DE"/>
        </w:rPr>
      </w:pPr>
      <w:r w:rsidRPr="00ED5D41">
        <w:rPr>
          <w:i/>
          <w:snapToGrid w:val="0"/>
          <w:lang w:val="de-DE"/>
        </w:rPr>
        <w:tab/>
      </w:r>
      <w:r w:rsidRPr="00ED5D41">
        <w:rPr>
          <w:i/>
          <w:snapToGrid w:val="0"/>
          <w:lang w:val="de-DE"/>
        </w:rPr>
        <w:tab/>
        <w:t xml:space="preserve">- Entwicklung eines SNP-Marker-Satzes bei Cannabis zur Unterstützung der DUS-Prüfung (TWM/1/17) </w:t>
      </w:r>
    </w:p>
    <w:p w:rsidR="00ED5D41" w:rsidRPr="00ED5D41" w:rsidRDefault="00ED5D41" w:rsidP="00ED5D41">
      <w:pPr>
        <w:spacing w:after="120"/>
        <w:ind w:left="567" w:hanging="5"/>
        <w:rPr>
          <w:i/>
          <w:snapToGrid w:val="0"/>
          <w:lang w:val="de-DE"/>
        </w:rPr>
      </w:pPr>
      <w:r w:rsidRPr="00ED5D41">
        <w:rPr>
          <w:i/>
          <w:snapToGrid w:val="0"/>
          <w:lang w:val="de-DE"/>
        </w:rPr>
        <w:tab/>
      </w:r>
      <w:r w:rsidRPr="00ED5D41">
        <w:rPr>
          <w:i/>
          <w:snapToGrid w:val="0"/>
          <w:lang w:val="de-DE"/>
        </w:rPr>
        <w:tab/>
        <w:t xml:space="preserve">- Internationale Harmonisierung und Validierung eines SNP-Satzes für die Verwaltung der Referenzsammlung von Tomaten (TWM/1/18) </w:t>
      </w:r>
    </w:p>
    <w:p w:rsidR="00ED5D41" w:rsidRPr="00ED5D41" w:rsidRDefault="00ED5D41" w:rsidP="00ED5D41">
      <w:pPr>
        <w:spacing w:after="120"/>
        <w:ind w:left="567" w:hanging="5"/>
        <w:rPr>
          <w:i/>
          <w:snapToGrid w:val="0"/>
          <w:lang w:val="de-DE"/>
        </w:rPr>
      </w:pPr>
      <w:r w:rsidRPr="00ED5D41">
        <w:rPr>
          <w:i/>
          <w:snapToGrid w:val="0"/>
          <w:lang w:val="de-DE"/>
        </w:rPr>
        <w:tab/>
      </w:r>
      <w:r w:rsidRPr="00ED5D41">
        <w:rPr>
          <w:i/>
          <w:snapToGrid w:val="0"/>
          <w:lang w:val="de-DE"/>
        </w:rPr>
        <w:tab/>
        <w:t xml:space="preserve">- Genotypisierung von Baumwolle mit dem TAMU 63KSNPsArray (TWM/1/13) </w:t>
      </w:r>
    </w:p>
    <w:p w:rsidR="00ED5D41" w:rsidRPr="00ED5D41" w:rsidRDefault="00ED5D41" w:rsidP="00ED5D41">
      <w:pPr>
        <w:spacing w:after="120"/>
        <w:ind w:left="567" w:hanging="5"/>
        <w:rPr>
          <w:i/>
          <w:snapToGrid w:val="0"/>
          <w:lang w:val="de-DE"/>
        </w:rPr>
      </w:pPr>
      <w:r w:rsidRPr="00ED5D41">
        <w:rPr>
          <w:i/>
          <w:snapToGrid w:val="0"/>
          <w:lang w:val="de-DE"/>
        </w:rPr>
        <w:tab/>
      </w:r>
      <w:r w:rsidRPr="00ED5D41">
        <w:rPr>
          <w:i/>
          <w:snapToGrid w:val="0"/>
          <w:lang w:val="de-DE"/>
        </w:rPr>
        <w:tab/>
        <w:t>- Das molekulare Markerverfahren für Sojabohne des US PVPO (TWM/1/16)</w:t>
      </w:r>
    </w:p>
    <w:p w:rsidR="00ED5D41" w:rsidRPr="00ED5D41" w:rsidRDefault="00ED5D41" w:rsidP="00ED5D41">
      <w:pPr>
        <w:spacing w:after="120"/>
        <w:ind w:left="567" w:hanging="5"/>
        <w:rPr>
          <w:i/>
          <w:snapToGrid w:val="0"/>
          <w:lang w:val="de-DE"/>
        </w:rPr>
      </w:pPr>
      <w:r w:rsidRPr="00ED5D41">
        <w:rPr>
          <w:i/>
          <w:snapToGrid w:val="0"/>
          <w:lang w:val="de-DE"/>
        </w:rPr>
        <w:t xml:space="preserve">e) </w:t>
      </w:r>
      <w:r w:rsidRPr="00ED5D41">
        <w:rPr>
          <w:i/>
          <w:snapToGrid w:val="0"/>
          <w:lang w:val="de-DE"/>
        </w:rPr>
        <w:tab/>
        <w:t xml:space="preserve">Vertraulichkeit, Eigentum und Zugang zu molekularen Daten, einschließlich eines Musters für eine </w:t>
      </w:r>
      <w:r w:rsidR="00233311" w:rsidRPr="00ED5D41">
        <w:rPr>
          <w:i/>
          <w:snapToGrid w:val="0"/>
          <w:lang w:val="de-DE"/>
        </w:rPr>
        <w:t>Vereinbarungsvorlage (</w:t>
      </w:r>
      <w:r w:rsidRPr="00ED5D41">
        <w:rPr>
          <w:i/>
          <w:snapToGrid w:val="0"/>
          <w:lang w:val="de-DE"/>
        </w:rPr>
        <w:t>TWM/ 1/22)</w:t>
      </w:r>
    </w:p>
    <w:p w:rsidR="00ED5D41" w:rsidRPr="00ED5D41" w:rsidRDefault="00ED5D41" w:rsidP="00ED5D41">
      <w:pPr>
        <w:spacing w:after="120"/>
        <w:ind w:left="567" w:hanging="5"/>
        <w:rPr>
          <w:i/>
          <w:snapToGrid w:val="0"/>
          <w:lang w:val="de-DE"/>
        </w:rPr>
      </w:pPr>
      <w:r w:rsidRPr="00ED5D41">
        <w:rPr>
          <w:i/>
          <w:snapToGrid w:val="0"/>
          <w:lang w:val="de-DE"/>
        </w:rPr>
        <w:t xml:space="preserve">f) </w:t>
      </w:r>
      <w:r w:rsidRPr="00ED5D41">
        <w:rPr>
          <w:i/>
          <w:snapToGrid w:val="0"/>
          <w:lang w:val="de-DE"/>
        </w:rPr>
        <w:tab/>
        <w:t>Verwendung molekularer Verfahren bei der Prüfung der wesentlichen Ableitung</w:t>
      </w:r>
    </w:p>
    <w:p w:rsidR="00ED5D41" w:rsidRPr="00ED5D41" w:rsidRDefault="00ED5D41" w:rsidP="00ED5D41">
      <w:pPr>
        <w:spacing w:after="120"/>
        <w:ind w:left="567" w:hanging="5"/>
        <w:rPr>
          <w:i/>
          <w:snapToGrid w:val="0"/>
          <w:lang w:val="de-DE"/>
        </w:rPr>
      </w:pPr>
      <w:r w:rsidRPr="00ED5D41">
        <w:rPr>
          <w:i/>
          <w:snapToGrid w:val="0"/>
          <w:lang w:val="de-DE"/>
        </w:rPr>
        <w:tab/>
      </w:r>
      <w:r w:rsidRPr="00ED5D41">
        <w:rPr>
          <w:i/>
          <w:snapToGrid w:val="0"/>
          <w:lang w:val="de-DE"/>
        </w:rPr>
        <w:tab/>
        <w:t>- Zu diesem Tagesordnungspunkt sind keine Unterlagen eingegangen.</w:t>
      </w:r>
    </w:p>
    <w:p w:rsidR="00ED5D41" w:rsidRPr="00ED5D41" w:rsidRDefault="00ED5D41" w:rsidP="00ED5D41">
      <w:pPr>
        <w:spacing w:after="120"/>
        <w:ind w:left="567" w:hanging="5"/>
        <w:rPr>
          <w:i/>
          <w:snapToGrid w:val="0"/>
          <w:lang w:val="de-DE"/>
        </w:rPr>
      </w:pPr>
      <w:r w:rsidRPr="00ED5D41">
        <w:rPr>
          <w:i/>
          <w:snapToGrid w:val="0"/>
          <w:lang w:val="de-DE"/>
        </w:rPr>
        <w:t xml:space="preserve">g) </w:t>
      </w:r>
      <w:r w:rsidRPr="00ED5D41">
        <w:rPr>
          <w:i/>
          <w:snapToGrid w:val="0"/>
          <w:lang w:val="de-DE"/>
        </w:rPr>
        <w:tab/>
        <w:t>Anwendung molekularer Verfahren bei der Sortenidentifikation</w:t>
      </w:r>
      <w:r w:rsidRPr="00ED5D41">
        <w:rPr>
          <w:i/>
          <w:snapToGrid w:val="0"/>
          <w:vertAlign w:val="superscript"/>
          <w:lang w:val="de-DE"/>
        </w:rPr>
        <w:t>1</w:t>
      </w:r>
      <w:r w:rsidRPr="00ED5D41">
        <w:rPr>
          <w:i/>
          <w:snapToGrid w:val="0"/>
          <w:lang w:val="de-DE"/>
        </w:rPr>
        <w:t xml:space="preserve"> </w:t>
      </w:r>
    </w:p>
    <w:p w:rsidR="00ED5D41" w:rsidRPr="00ED5D41" w:rsidRDefault="00ED5D41" w:rsidP="00ED5D41">
      <w:pPr>
        <w:spacing w:after="120"/>
        <w:ind w:left="567" w:hanging="5"/>
        <w:rPr>
          <w:i/>
          <w:snapToGrid w:val="0"/>
          <w:lang w:val="de-DE"/>
        </w:rPr>
      </w:pPr>
      <w:r w:rsidRPr="00ED5D41">
        <w:rPr>
          <w:i/>
          <w:snapToGrid w:val="0"/>
          <w:lang w:val="de-DE"/>
        </w:rPr>
        <w:tab/>
      </w:r>
      <w:r w:rsidRPr="00ED5D41">
        <w:rPr>
          <w:i/>
          <w:snapToGrid w:val="0"/>
          <w:lang w:val="de-DE"/>
        </w:rPr>
        <w:tab/>
        <w:t xml:space="preserve">- Sortenidentifikation: der Fall Sojabohne in Argentinien (TWM/1/15) </w:t>
      </w:r>
    </w:p>
    <w:p w:rsidR="00ED5D41" w:rsidRPr="00ED5D41" w:rsidRDefault="00ED5D41" w:rsidP="00ED5D41">
      <w:pPr>
        <w:spacing w:after="120"/>
        <w:ind w:left="567" w:hanging="5"/>
        <w:rPr>
          <w:i/>
          <w:snapToGrid w:val="0"/>
          <w:lang w:val="de-DE"/>
        </w:rPr>
      </w:pPr>
      <w:r w:rsidRPr="00ED5D41">
        <w:rPr>
          <w:i/>
          <w:snapToGrid w:val="0"/>
          <w:lang w:val="de-DE"/>
        </w:rPr>
        <w:tab/>
      </w:r>
      <w:r w:rsidRPr="00ED5D41">
        <w:rPr>
          <w:i/>
          <w:snapToGrid w:val="0"/>
          <w:lang w:val="de-DE"/>
        </w:rPr>
        <w:tab/>
        <w:t>- Digitaler PCR zur Quantifizierung von Genotypen: Eine Fallstudie in einer Teigwarenproduktionskette (TWM/1/21)</w:t>
      </w:r>
    </w:p>
    <w:p w:rsidR="00ED5D41" w:rsidRPr="00ED5D41" w:rsidRDefault="00ED5D41" w:rsidP="00ED5D41">
      <w:pPr>
        <w:spacing w:after="120"/>
        <w:ind w:left="567" w:hanging="5"/>
        <w:rPr>
          <w:i/>
          <w:snapToGrid w:val="0"/>
          <w:lang w:val="de-DE"/>
        </w:rPr>
      </w:pPr>
      <w:r w:rsidRPr="00ED5D41">
        <w:rPr>
          <w:i/>
          <w:snapToGrid w:val="0"/>
          <w:lang w:val="de-DE"/>
        </w:rPr>
        <w:t xml:space="preserve">h) </w:t>
      </w:r>
      <w:r w:rsidRPr="00ED5D41">
        <w:rPr>
          <w:i/>
          <w:snapToGrid w:val="0"/>
          <w:lang w:val="de-DE"/>
        </w:rPr>
        <w:tab/>
        <w:t xml:space="preserve">Die Anwendung molekularer Verfahren bei der Wahrung von Rechten </w:t>
      </w:r>
      <w:r w:rsidRPr="00ED5D41">
        <w:rPr>
          <w:i/>
          <w:snapToGrid w:val="0"/>
          <w:vertAlign w:val="superscript"/>
          <w:lang w:val="de-DE"/>
        </w:rPr>
        <w:t>1</w:t>
      </w:r>
      <w:r w:rsidRPr="00ED5D41">
        <w:rPr>
          <w:i/>
          <w:snapToGrid w:val="0"/>
          <w:lang w:val="de-DE"/>
        </w:rPr>
        <w:t xml:space="preserve"> </w:t>
      </w:r>
    </w:p>
    <w:p w:rsidR="00ED5D41" w:rsidRPr="00ED5D41" w:rsidRDefault="00ED5D41" w:rsidP="00ED5D41">
      <w:pPr>
        <w:spacing w:after="120"/>
        <w:ind w:left="567" w:hanging="5"/>
        <w:rPr>
          <w:i/>
          <w:snapToGrid w:val="0"/>
          <w:lang w:val="de-DE"/>
        </w:rPr>
      </w:pPr>
      <w:r w:rsidRPr="00ED5D41">
        <w:rPr>
          <w:i/>
          <w:snapToGrid w:val="0"/>
          <w:lang w:val="de-DE"/>
        </w:rPr>
        <w:tab/>
      </w:r>
      <w:r w:rsidRPr="00ED5D41">
        <w:rPr>
          <w:i/>
          <w:snapToGrid w:val="0"/>
          <w:lang w:val="de-DE"/>
        </w:rPr>
        <w:tab/>
        <w:t xml:space="preserve">- Sorten-Tracer: Betrügerische Verwendung von elterlichen Linien (TWM/1/19) </w:t>
      </w:r>
    </w:p>
    <w:p w:rsidR="00ED5D41" w:rsidRPr="00ED5D41" w:rsidRDefault="00ED5D41" w:rsidP="00ED5D41">
      <w:pPr>
        <w:rPr>
          <w:highlight w:val="cyan"/>
          <w:lang w:val="de-DE"/>
        </w:rPr>
      </w:pPr>
    </w:p>
    <w:p w:rsidR="00ED5D41" w:rsidRPr="00ED5D41" w:rsidRDefault="00ED5D41" w:rsidP="00ED5D41">
      <w:pPr>
        <w:outlineLvl w:val="1"/>
        <w:rPr>
          <w:u w:val="single"/>
          <w:lang w:val="de-DE" w:eastAsia="ja-JP"/>
        </w:rPr>
      </w:pPr>
      <w:bookmarkStart w:id="22" w:name="_Toc117091250"/>
      <w:r w:rsidRPr="00ED5D41">
        <w:rPr>
          <w:u w:val="single"/>
          <w:lang w:val="de-DE" w:eastAsia="ja-JP"/>
        </w:rPr>
        <w:t>Bericht über die Arbeit an molekularen Verfahren bezüglich der DUS-Prüfung</w:t>
      </w:r>
      <w:bookmarkEnd w:id="22"/>
    </w:p>
    <w:p w:rsidR="00ED5D41" w:rsidRPr="00ED5D41" w:rsidRDefault="00ED5D41" w:rsidP="00ED5D41">
      <w:pPr>
        <w:rPr>
          <w:lang w:val="de-DE"/>
        </w:rPr>
      </w:pPr>
    </w:p>
    <w:p w:rsidR="00ED5D41" w:rsidRPr="00ED5D41" w:rsidRDefault="00ED5D41" w:rsidP="00ED5D41">
      <w:pPr>
        <w:rPr>
          <w:lang w:val="de-DE"/>
        </w:rPr>
      </w:pPr>
      <w:r w:rsidRPr="00ED5D41">
        <w:rPr>
          <w:lang w:val="de-DE"/>
        </w:rPr>
        <w:fldChar w:fldCharType="begin"/>
      </w:r>
      <w:r w:rsidRPr="00ED5D41">
        <w:rPr>
          <w:lang w:val="de-DE"/>
        </w:rPr>
        <w:instrText xml:space="preserve"> AUTONUM  </w:instrText>
      </w:r>
      <w:r w:rsidRPr="00ED5D41">
        <w:rPr>
          <w:lang w:val="de-DE"/>
        </w:rPr>
        <w:fldChar w:fldCharType="end"/>
      </w:r>
      <w:r w:rsidRPr="00ED5D41">
        <w:rPr>
          <w:lang w:val="de-DE"/>
        </w:rPr>
        <w:tab/>
        <w:t>Die TWM hörte ein Referat von Frau Cécile Collonnier (Gemeinschaftliches Sortenamt (CPVO)) über „</w:t>
      </w:r>
      <w:r w:rsidR="0068353F" w:rsidRPr="0068353F">
        <w:rPr>
          <w:i/>
          <w:lang w:val="de-DE"/>
        </w:rPr>
        <w:t>Update on IMODDUS activities</w:t>
      </w:r>
      <w:r w:rsidRPr="00ED5D41">
        <w:rPr>
          <w:lang w:val="de-DE"/>
        </w:rPr>
        <w:t>“, das in Dokument TWM/1/14 wiedergegeben ist.</w:t>
      </w:r>
    </w:p>
    <w:p w:rsidR="00ED5D41" w:rsidRPr="00ED5D41" w:rsidRDefault="00ED5D41" w:rsidP="00ED5D41">
      <w:pPr>
        <w:rPr>
          <w:lang w:val="de-DE"/>
        </w:rPr>
      </w:pPr>
    </w:p>
    <w:p w:rsidR="00ED5D41" w:rsidRPr="00ED5D41" w:rsidRDefault="00ED5D41" w:rsidP="00ED5D41">
      <w:pPr>
        <w:outlineLvl w:val="1"/>
        <w:rPr>
          <w:u w:val="single"/>
          <w:lang w:val="de-DE" w:eastAsia="ja-JP"/>
        </w:rPr>
      </w:pPr>
      <w:bookmarkStart w:id="23" w:name="_Toc117091251"/>
      <w:r w:rsidRPr="00ED5D41">
        <w:rPr>
          <w:u w:val="single"/>
          <w:lang w:val="de-DE" w:eastAsia="ja-JP"/>
        </w:rPr>
        <w:t>Verfahren für die Analyse molekularer Daten, Verwaltung von Datenbanken und Austausch von Daten und Material</w:t>
      </w:r>
      <w:bookmarkEnd w:id="23"/>
      <w:r w:rsidRPr="00ED5D41">
        <w:rPr>
          <w:u w:val="single"/>
          <w:lang w:val="de-DE" w:eastAsia="ja-JP"/>
        </w:rPr>
        <w:t xml:space="preserve"> </w:t>
      </w:r>
    </w:p>
    <w:p w:rsidR="00ED5D41" w:rsidRPr="00ED5D41" w:rsidRDefault="00ED5D41" w:rsidP="00ED5D41">
      <w:pPr>
        <w:rPr>
          <w:lang w:val="de-DE"/>
        </w:rPr>
      </w:pPr>
    </w:p>
    <w:p w:rsidR="00ED5D41" w:rsidRPr="00ED5D41" w:rsidRDefault="00ED5D41" w:rsidP="00ED5D41">
      <w:pPr>
        <w:rPr>
          <w:lang w:val="de-DE"/>
        </w:rPr>
      </w:pPr>
      <w:r w:rsidRPr="00ED5D41">
        <w:rPr>
          <w:lang w:val="de-DE"/>
        </w:rPr>
        <w:fldChar w:fldCharType="begin"/>
      </w:r>
      <w:r w:rsidRPr="00ED5D41">
        <w:rPr>
          <w:lang w:val="de-DE"/>
        </w:rPr>
        <w:instrText xml:space="preserve"> AUTONUM  </w:instrText>
      </w:r>
      <w:r w:rsidRPr="00ED5D41">
        <w:rPr>
          <w:lang w:val="de-DE"/>
        </w:rPr>
        <w:fldChar w:fldCharType="end"/>
      </w:r>
      <w:r w:rsidRPr="00ED5D41">
        <w:rPr>
          <w:lang w:val="de-DE"/>
        </w:rPr>
        <w:tab/>
        <w:t xml:space="preserve">Die TWM hörte ein Referat von </w:t>
      </w:r>
      <w:r w:rsidR="00C639E2">
        <w:rPr>
          <w:lang w:val="de-DE"/>
        </w:rPr>
        <w:t>Herrn Ruixi Han (China) über</w:t>
      </w:r>
      <w:r w:rsidRPr="00ED5D41">
        <w:rPr>
          <w:lang w:val="de-DE"/>
        </w:rPr>
        <w:t xml:space="preserve"> „</w:t>
      </w:r>
      <w:r w:rsidR="0068353F" w:rsidRPr="0068353F">
        <w:rPr>
          <w:i/>
          <w:lang w:val="de-DE"/>
        </w:rPr>
        <w:t>Application of molecular markers in DUS testing of new varieties of Chinese cabbag</w:t>
      </w:r>
      <w:r w:rsidR="0068353F" w:rsidRPr="0068353F">
        <w:rPr>
          <w:lang w:val="de-DE"/>
        </w:rPr>
        <w:t>e</w:t>
      </w:r>
      <w:r w:rsidRPr="00ED5D41">
        <w:rPr>
          <w:lang w:val="de-DE"/>
        </w:rPr>
        <w:t>“, wovon eine Abschrift in Dokument TWM/1/9 wiedergegeben ist.</w:t>
      </w:r>
    </w:p>
    <w:p w:rsidR="00ED5D41" w:rsidRPr="00ED5D41" w:rsidRDefault="00ED5D41" w:rsidP="00ED5D41">
      <w:pPr>
        <w:rPr>
          <w:lang w:val="de-DE"/>
        </w:rPr>
      </w:pPr>
    </w:p>
    <w:p w:rsidR="00ED5D41" w:rsidRPr="00ED5D41" w:rsidRDefault="00ED5D41" w:rsidP="00ED5D41">
      <w:pPr>
        <w:rPr>
          <w:lang w:val="de-DE"/>
        </w:rPr>
      </w:pPr>
      <w:r w:rsidRPr="00ED5D41">
        <w:rPr>
          <w:lang w:val="de-DE"/>
        </w:rPr>
        <w:fldChar w:fldCharType="begin"/>
      </w:r>
      <w:r w:rsidRPr="00ED5D41">
        <w:rPr>
          <w:lang w:val="de-DE"/>
        </w:rPr>
        <w:instrText xml:space="preserve"> AUTONUM  </w:instrText>
      </w:r>
      <w:r w:rsidRPr="00ED5D41">
        <w:rPr>
          <w:lang w:val="de-DE"/>
        </w:rPr>
        <w:fldChar w:fldCharType="end"/>
      </w:r>
      <w:r w:rsidRPr="00ED5D41">
        <w:rPr>
          <w:lang w:val="de-DE"/>
        </w:rPr>
        <w:tab/>
        <w:t>Die Anzahl der Sorten, die für die Festlegung des Schwellenwerts für die genetische Ähnlichkeit berücksichtigt werden, wurde präzisiert.</w:t>
      </w:r>
    </w:p>
    <w:p w:rsidR="00ED5D41" w:rsidRPr="00ED5D41" w:rsidRDefault="00ED5D41" w:rsidP="00ED5D41">
      <w:pPr>
        <w:rPr>
          <w:lang w:val="de-DE"/>
        </w:rPr>
      </w:pPr>
    </w:p>
    <w:p w:rsidR="00ED5D41" w:rsidRPr="00ED5D41" w:rsidRDefault="00ED5D41" w:rsidP="00ED5D41">
      <w:pPr>
        <w:rPr>
          <w:lang w:val="de-DE"/>
        </w:rPr>
      </w:pPr>
      <w:r w:rsidRPr="00ED5D41">
        <w:rPr>
          <w:lang w:val="de-DE"/>
        </w:rPr>
        <w:fldChar w:fldCharType="begin"/>
      </w:r>
      <w:r w:rsidRPr="00ED5D41">
        <w:rPr>
          <w:lang w:val="de-DE"/>
        </w:rPr>
        <w:instrText xml:space="preserve"> AUTONUM  </w:instrText>
      </w:r>
      <w:r w:rsidRPr="00ED5D41">
        <w:rPr>
          <w:lang w:val="de-DE"/>
        </w:rPr>
        <w:fldChar w:fldCharType="end"/>
      </w:r>
      <w:r w:rsidRPr="00ED5D41">
        <w:rPr>
          <w:lang w:val="de-DE"/>
        </w:rPr>
        <w:tab/>
        <w:t>Die TWM hörte ein Referat von Frau Alexandra Ribarits (Österreich) über „</w:t>
      </w:r>
      <w:r w:rsidRPr="00285445">
        <w:rPr>
          <w:i/>
          <w:lang w:val="de-DE"/>
        </w:rPr>
        <w:t>DURDUStools:</w:t>
      </w:r>
      <w:r w:rsidR="0068353F" w:rsidRPr="00285445">
        <w:rPr>
          <w:i/>
          <w:lang w:val="de-DE"/>
        </w:rPr>
        <w:t xml:space="preserve"> Development of a common online molecular database and a genetic distance calculation tool for durum wheat</w:t>
      </w:r>
      <w:r w:rsidRPr="00ED5D41">
        <w:rPr>
          <w:lang w:val="de-DE"/>
        </w:rPr>
        <w:t>“, wovon eine Kopie in Dokument TWM/1/12 wiedergegeben ist.</w:t>
      </w:r>
    </w:p>
    <w:p w:rsidR="00ED5D41" w:rsidRPr="00ED5D41" w:rsidRDefault="00ED5D41" w:rsidP="00ED5D41">
      <w:pPr>
        <w:rPr>
          <w:lang w:val="de-DE"/>
        </w:rPr>
      </w:pPr>
    </w:p>
    <w:p w:rsidR="00ED5D41" w:rsidRPr="00ED5D41" w:rsidRDefault="00ED5D41" w:rsidP="00ED5D41">
      <w:pPr>
        <w:rPr>
          <w:lang w:val="de-DE"/>
        </w:rPr>
      </w:pPr>
      <w:r w:rsidRPr="00ED5D41">
        <w:rPr>
          <w:lang w:val="de-DE"/>
        </w:rPr>
        <w:fldChar w:fldCharType="begin"/>
      </w:r>
      <w:r w:rsidRPr="00ED5D41">
        <w:rPr>
          <w:lang w:val="de-DE"/>
        </w:rPr>
        <w:instrText xml:space="preserve"> AUTONUM  </w:instrText>
      </w:r>
      <w:r w:rsidRPr="00ED5D41">
        <w:rPr>
          <w:lang w:val="de-DE"/>
        </w:rPr>
        <w:fldChar w:fldCharType="end"/>
      </w:r>
      <w:r w:rsidRPr="00ED5D41">
        <w:rPr>
          <w:lang w:val="de-DE"/>
        </w:rPr>
        <w:tab/>
        <w:t>Es wurden Erläuterungen zu Aspekten im Zusammenhang mit der Nutzung eines externen Dienstleisters für die Datenextraktion gegeben, einschließlich der Auffassung, dass Aktualisierungen beim Marker-Array noch mehr Informationen in die Datenbank bringen könnten</w:t>
      </w:r>
      <w:r w:rsidR="00233311" w:rsidRPr="00ED5D41">
        <w:rPr>
          <w:lang w:val="de-DE"/>
        </w:rPr>
        <w:t xml:space="preserve">. </w:t>
      </w:r>
      <w:r w:rsidRPr="00ED5D41">
        <w:rPr>
          <w:lang w:val="de-DE"/>
        </w:rPr>
        <w:t>Daten, die mit einer reduzierten Anzahl von Markern aus einer früheren Version des Markersatzes gewonnen wurden, wären immer noch vergleichbar mit denen, die mit einer späteren Version gewonnen wurden</w:t>
      </w:r>
      <w:r w:rsidR="00233311" w:rsidRPr="00ED5D41">
        <w:rPr>
          <w:lang w:val="de-DE"/>
        </w:rPr>
        <w:t xml:space="preserve">. </w:t>
      </w:r>
      <w:r w:rsidRPr="00ED5D41">
        <w:rPr>
          <w:lang w:val="de-DE"/>
        </w:rPr>
        <w:t>Der Sachverständige erläuterte, dass molekulare Informationen im zweiten Jahr der DUS-Anbauprüfung aufgrund von Schwierigkeiten bei der Beschaffung von Daten in früheren Prüfungsstadien verwendet wurden</w:t>
      </w:r>
      <w:r w:rsidR="00233311" w:rsidRPr="00ED5D41">
        <w:rPr>
          <w:lang w:val="de-DE"/>
        </w:rPr>
        <w:t xml:space="preserve">. </w:t>
      </w:r>
      <w:r w:rsidRPr="00ED5D41">
        <w:rPr>
          <w:lang w:val="de-DE"/>
        </w:rPr>
        <w:t>Die molekularen Daten wurden dann im zweiten Jahr der Prüfung zusammen mit den morphologischen Daten verwendet, um einen Vergleich mit allen relevanten ähnlichen Sorten zu gewährleisten.</w:t>
      </w:r>
    </w:p>
    <w:p w:rsidR="00ED5D41" w:rsidRPr="00ED5D41" w:rsidRDefault="00ED5D41" w:rsidP="00ED5D41">
      <w:pPr>
        <w:rPr>
          <w:lang w:val="de-DE"/>
        </w:rPr>
      </w:pPr>
    </w:p>
    <w:p w:rsidR="00ED5D41" w:rsidRPr="00ED5D41" w:rsidRDefault="00ED5D41" w:rsidP="00ED5D41">
      <w:pPr>
        <w:rPr>
          <w:lang w:val="de-DE"/>
        </w:rPr>
      </w:pPr>
      <w:r w:rsidRPr="00ED5D41">
        <w:rPr>
          <w:lang w:val="de-DE"/>
        </w:rPr>
        <w:fldChar w:fldCharType="begin"/>
      </w:r>
      <w:r w:rsidRPr="00ED5D41">
        <w:rPr>
          <w:lang w:val="de-DE"/>
        </w:rPr>
        <w:instrText xml:space="preserve"> AUTONUM  </w:instrText>
      </w:r>
      <w:r w:rsidRPr="00ED5D41">
        <w:rPr>
          <w:lang w:val="de-DE"/>
        </w:rPr>
        <w:fldChar w:fldCharType="end"/>
      </w:r>
      <w:r w:rsidRPr="00ED5D41">
        <w:rPr>
          <w:lang w:val="de-DE"/>
        </w:rPr>
        <w:tab/>
        <w:t>Die TWM hörte ein Referat von Frau Hedwich Teunissen (Niederlande) über „</w:t>
      </w:r>
      <w:r w:rsidR="0068353F" w:rsidRPr="00285445">
        <w:rPr>
          <w:i/>
          <w:lang w:val="de-DE"/>
        </w:rPr>
        <w:t>Development of a SNP marker set in Cannabis to support DUS testing</w:t>
      </w:r>
      <w:r w:rsidRPr="00ED5D41">
        <w:rPr>
          <w:lang w:val="de-DE"/>
        </w:rPr>
        <w:t>“, wovon eine Abschrift in Dokument TWM/1/17 wiedergegeben ist.</w:t>
      </w:r>
    </w:p>
    <w:p w:rsidR="00ED5D41" w:rsidRPr="00ED5D41" w:rsidRDefault="00ED5D41" w:rsidP="00ED5D41">
      <w:pPr>
        <w:rPr>
          <w:lang w:val="de-DE"/>
        </w:rPr>
      </w:pPr>
    </w:p>
    <w:p w:rsidR="00ED5D41" w:rsidRPr="00ED5D41" w:rsidRDefault="00ED5D41" w:rsidP="00ED5D41">
      <w:pPr>
        <w:rPr>
          <w:lang w:val="de-DE"/>
        </w:rPr>
      </w:pPr>
      <w:r w:rsidRPr="00ED5D41">
        <w:rPr>
          <w:lang w:val="de-DE"/>
        </w:rPr>
        <w:fldChar w:fldCharType="begin"/>
      </w:r>
      <w:r w:rsidRPr="00ED5D41">
        <w:rPr>
          <w:lang w:val="de-DE"/>
        </w:rPr>
        <w:instrText xml:space="preserve"> AUTONUM  </w:instrText>
      </w:r>
      <w:r w:rsidRPr="00ED5D41">
        <w:rPr>
          <w:lang w:val="de-DE"/>
        </w:rPr>
        <w:fldChar w:fldCharType="end"/>
      </w:r>
      <w:r w:rsidRPr="00ED5D41">
        <w:rPr>
          <w:lang w:val="de-DE"/>
        </w:rPr>
        <w:tab/>
        <w:t>Die TWM hörte ein Referat von Frau Hedwich Teunissen (Niederlande) über „</w:t>
      </w:r>
      <w:r w:rsidR="0068353F" w:rsidRPr="00285445">
        <w:rPr>
          <w:i/>
          <w:lang w:val="de-DE"/>
        </w:rPr>
        <w:t>International harmonisation and validation of a SNP set for the management of tomato reference collection</w:t>
      </w:r>
      <w:r w:rsidRPr="00ED5D41">
        <w:rPr>
          <w:lang w:val="de-DE"/>
        </w:rPr>
        <w:t>“, wovon eine Abschrift in Dokument TWM/1/18 wiedergegeben ist.</w:t>
      </w:r>
    </w:p>
    <w:p w:rsidR="00ED5D41" w:rsidRPr="00ED5D41" w:rsidRDefault="00ED5D41" w:rsidP="00ED5D41">
      <w:pPr>
        <w:rPr>
          <w:lang w:val="de-DE"/>
        </w:rPr>
      </w:pPr>
    </w:p>
    <w:p w:rsidR="00ED5D41" w:rsidRPr="00ED5D41" w:rsidRDefault="00ED5D41" w:rsidP="00ED5D41">
      <w:pPr>
        <w:rPr>
          <w:lang w:val="de-DE"/>
        </w:rPr>
      </w:pPr>
      <w:r w:rsidRPr="00ED5D41">
        <w:rPr>
          <w:lang w:val="de-DE"/>
        </w:rPr>
        <w:fldChar w:fldCharType="begin"/>
      </w:r>
      <w:r w:rsidRPr="00ED5D41">
        <w:rPr>
          <w:lang w:val="de-DE"/>
        </w:rPr>
        <w:instrText xml:space="preserve"> AUTONUM  </w:instrText>
      </w:r>
      <w:r w:rsidRPr="00ED5D41">
        <w:rPr>
          <w:lang w:val="de-DE"/>
        </w:rPr>
        <w:fldChar w:fldCharType="end"/>
      </w:r>
      <w:r w:rsidRPr="00ED5D41">
        <w:rPr>
          <w:lang w:val="de-DE"/>
        </w:rPr>
        <w:tab/>
        <w:t>Es wurde klargestellt, dass der SNP-Satz auf die Referenzsammlung von Tomaten in anderen Teilen der Welt angewendet werden kann.</w:t>
      </w:r>
    </w:p>
    <w:p w:rsidR="00ED5D41" w:rsidRPr="00ED5D41" w:rsidRDefault="00ED5D41" w:rsidP="00ED5D41">
      <w:pPr>
        <w:rPr>
          <w:lang w:val="de-DE"/>
        </w:rPr>
      </w:pPr>
    </w:p>
    <w:p w:rsidR="00ED5D41" w:rsidRPr="00ED5D41" w:rsidRDefault="00ED5D41" w:rsidP="00ED5D41">
      <w:pPr>
        <w:rPr>
          <w:lang w:val="de-DE"/>
        </w:rPr>
      </w:pPr>
      <w:r w:rsidRPr="00ED5D41">
        <w:rPr>
          <w:lang w:val="de-DE"/>
        </w:rPr>
        <w:fldChar w:fldCharType="begin"/>
      </w:r>
      <w:r w:rsidRPr="00ED5D41">
        <w:rPr>
          <w:lang w:val="de-DE"/>
        </w:rPr>
        <w:instrText xml:space="preserve"> AUTONUM  </w:instrText>
      </w:r>
      <w:r w:rsidRPr="00ED5D41">
        <w:rPr>
          <w:lang w:val="de-DE"/>
        </w:rPr>
        <w:fldChar w:fldCharType="end"/>
      </w:r>
      <w:r w:rsidRPr="00ED5D41">
        <w:rPr>
          <w:lang w:val="de-DE"/>
        </w:rPr>
        <w:tab/>
        <w:t>Es wurde klargestellt, dass der ausgewählte Markersatz von 297 SNPs öffentlich zugänglich ist und bald veröffentlicht wird</w:t>
      </w:r>
      <w:r w:rsidR="00233311" w:rsidRPr="00ED5D41">
        <w:rPr>
          <w:lang w:val="de-DE"/>
        </w:rPr>
        <w:t xml:space="preserve">. </w:t>
      </w:r>
      <w:r w:rsidR="0068353F">
        <w:rPr>
          <w:lang w:val="de-DE"/>
        </w:rPr>
        <w:t>Die</w:t>
      </w:r>
      <w:r w:rsidRPr="00ED5D41">
        <w:rPr>
          <w:lang w:val="de-DE"/>
        </w:rPr>
        <w:t xml:space="preserve"> Sachverständige stellte klar, dass die ausgewählten Marker aufgrund der breiten genetischen Basis, die in dem Projekt vertreten ist, in jeder geografischen Region verwendet werden können.</w:t>
      </w:r>
    </w:p>
    <w:p w:rsidR="00ED5D41" w:rsidRPr="00ED5D41" w:rsidRDefault="00ED5D41" w:rsidP="00ED5D41">
      <w:pPr>
        <w:rPr>
          <w:lang w:val="de-DE"/>
        </w:rPr>
      </w:pPr>
    </w:p>
    <w:p w:rsidR="00ED5D41" w:rsidRPr="00ED5D41" w:rsidRDefault="00ED5D41" w:rsidP="00ED5D41">
      <w:pPr>
        <w:rPr>
          <w:lang w:val="de-DE"/>
        </w:rPr>
      </w:pPr>
      <w:r w:rsidRPr="00ED5D41">
        <w:rPr>
          <w:lang w:val="de-DE"/>
        </w:rPr>
        <w:fldChar w:fldCharType="begin"/>
      </w:r>
      <w:r w:rsidRPr="00ED5D41">
        <w:rPr>
          <w:lang w:val="de-DE"/>
        </w:rPr>
        <w:instrText xml:space="preserve"> AUTONUM  </w:instrText>
      </w:r>
      <w:r w:rsidRPr="00ED5D41">
        <w:rPr>
          <w:lang w:val="de-DE"/>
        </w:rPr>
        <w:fldChar w:fldCharType="end"/>
      </w:r>
      <w:r w:rsidRPr="00ED5D41">
        <w:rPr>
          <w:lang w:val="de-DE"/>
        </w:rPr>
        <w:tab/>
        <w:t>Die TWM hörte ein Referat von Herrn Alberto Ballesteros (Argentinien) über „</w:t>
      </w:r>
      <w:r w:rsidR="0068353F" w:rsidRPr="00285445">
        <w:rPr>
          <w:i/>
          <w:lang w:val="de-DE"/>
        </w:rPr>
        <w:t>Cotton genotyping using the TAMU 63KSNPsArray</w:t>
      </w:r>
      <w:r w:rsidRPr="00ED5D41">
        <w:rPr>
          <w:lang w:val="de-DE"/>
        </w:rPr>
        <w:t>“, wovon eine Abschrift in Dokument TWM/1/13 wiedergegeben ist.</w:t>
      </w:r>
    </w:p>
    <w:p w:rsidR="00ED5D41" w:rsidRPr="00ED5D41" w:rsidRDefault="00ED5D41" w:rsidP="00ED5D41">
      <w:pPr>
        <w:rPr>
          <w:lang w:val="de-DE"/>
        </w:rPr>
      </w:pPr>
    </w:p>
    <w:p w:rsidR="00ED5D41" w:rsidRPr="00ED5D41" w:rsidRDefault="00ED5D41" w:rsidP="00ED5D41">
      <w:pPr>
        <w:rPr>
          <w:lang w:val="de-DE"/>
        </w:rPr>
      </w:pPr>
      <w:r w:rsidRPr="00ED5D41">
        <w:rPr>
          <w:lang w:val="de-DE"/>
        </w:rPr>
        <w:fldChar w:fldCharType="begin"/>
      </w:r>
      <w:r w:rsidRPr="00ED5D41">
        <w:rPr>
          <w:lang w:val="de-DE"/>
        </w:rPr>
        <w:instrText xml:space="preserve"> AUTONUM  </w:instrText>
      </w:r>
      <w:r w:rsidRPr="00ED5D41">
        <w:rPr>
          <w:lang w:val="de-DE"/>
        </w:rPr>
        <w:fldChar w:fldCharType="end"/>
      </w:r>
      <w:r w:rsidRPr="00ED5D41">
        <w:rPr>
          <w:lang w:val="de-DE"/>
        </w:rPr>
        <w:tab/>
        <w:t>Die TWM hörte ein Referat von Herrn Jeffery Haynes (Vereinigte Staaten von Amerika) über „</w:t>
      </w:r>
      <w:r w:rsidR="0068353F" w:rsidRPr="00285445">
        <w:rPr>
          <w:i/>
          <w:lang w:val="de-DE"/>
        </w:rPr>
        <w:t>The US PVPO Soybean molecular marker method</w:t>
      </w:r>
      <w:r w:rsidRPr="00ED5D41">
        <w:rPr>
          <w:lang w:val="de-DE"/>
        </w:rPr>
        <w:t>“, wovon eine Abschrift in Dokument TWM/1/16 wiedergegeben ist.</w:t>
      </w:r>
    </w:p>
    <w:p w:rsidR="00ED5D41" w:rsidRPr="00ED5D41" w:rsidRDefault="00ED5D41" w:rsidP="00ED5D41">
      <w:pPr>
        <w:rPr>
          <w:lang w:val="de-DE"/>
        </w:rPr>
      </w:pPr>
    </w:p>
    <w:p w:rsidR="00ED5D41" w:rsidRPr="00ED5D41" w:rsidRDefault="00ED5D41" w:rsidP="00ED5D41">
      <w:pPr>
        <w:rPr>
          <w:lang w:val="de-DE"/>
        </w:rPr>
      </w:pPr>
      <w:r w:rsidRPr="00ED5D41">
        <w:rPr>
          <w:lang w:val="de-DE"/>
        </w:rPr>
        <w:fldChar w:fldCharType="begin"/>
      </w:r>
      <w:r w:rsidRPr="00ED5D41">
        <w:rPr>
          <w:lang w:val="de-DE"/>
        </w:rPr>
        <w:instrText xml:space="preserve"> AUTONUM  </w:instrText>
      </w:r>
      <w:r w:rsidRPr="00ED5D41">
        <w:rPr>
          <w:lang w:val="de-DE"/>
        </w:rPr>
        <w:fldChar w:fldCharType="end"/>
      </w:r>
      <w:r w:rsidRPr="00ED5D41">
        <w:rPr>
          <w:lang w:val="de-DE"/>
        </w:rPr>
        <w:tab/>
        <w:t>Es wurde klargestellt, dass die vorgestellte Methode in Zusammenarbeit mit Pflanzenzüchtern entwickelt worden war und als zusätzliche Information zur Unterstützung der Unterscheidbarkeitsanalyse verwendet wurde</w:t>
      </w:r>
      <w:r w:rsidR="00233311" w:rsidRPr="00ED5D41">
        <w:rPr>
          <w:lang w:val="de-DE"/>
        </w:rPr>
        <w:t xml:space="preserve">. </w:t>
      </w:r>
    </w:p>
    <w:p w:rsidR="00ED5D41" w:rsidRPr="00ED5D41" w:rsidRDefault="00ED5D41" w:rsidP="00ED5D41">
      <w:pPr>
        <w:rPr>
          <w:lang w:val="de-DE"/>
        </w:rPr>
      </w:pPr>
    </w:p>
    <w:p w:rsidR="00ED5D41" w:rsidRPr="00ED5D41" w:rsidRDefault="00ED5D41" w:rsidP="00ED5D41">
      <w:pPr>
        <w:outlineLvl w:val="1"/>
        <w:rPr>
          <w:u w:val="single"/>
          <w:lang w:val="de-DE" w:eastAsia="ja-JP"/>
        </w:rPr>
      </w:pPr>
      <w:bookmarkStart w:id="24" w:name="_Toc117091252"/>
      <w:r w:rsidRPr="00ED5D41">
        <w:rPr>
          <w:u w:val="single"/>
          <w:lang w:val="de-DE" w:eastAsia="ja-JP"/>
        </w:rPr>
        <w:t>Die Anwendung molekularer Verfahren bei der Prüfung der wesentlichen Ableitung</w:t>
      </w:r>
      <w:bookmarkEnd w:id="24"/>
    </w:p>
    <w:p w:rsidR="00ED5D41" w:rsidRPr="00ED5D41" w:rsidRDefault="00ED5D41" w:rsidP="00ED5D41">
      <w:pPr>
        <w:rPr>
          <w:lang w:val="de-DE"/>
        </w:rPr>
      </w:pPr>
    </w:p>
    <w:p w:rsidR="00ED5D41" w:rsidRPr="00ED5D41" w:rsidRDefault="00ED5D41" w:rsidP="00ED5D41">
      <w:pPr>
        <w:rPr>
          <w:lang w:val="de-DE"/>
        </w:rPr>
      </w:pPr>
      <w:r w:rsidRPr="00ED5D41">
        <w:rPr>
          <w:lang w:val="de-DE"/>
        </w:rPr>
        <w:fldChar w:fldCharType="begin"/>
      </w:r>
      <w:r w:rsidRPr="00ED5D41">
        <w:rPr>
          <w:lang w:val="de-DE"/>
        </w:rPr>
        <w:instrText xml:space="preserve"> AUTONUM  </w:instrText>
      </w:r>
      <w:r w:rsidRPr="00ED5D41">
        <w:rPr>
          <w:lang w:val="de-DE"/>
        </w:rPr>
        <w:fldChar w:fldCharType="end"/>
      </w:r>
      <w:r w:rsidRPr="00ED5D41">
        <w:rPr>
          <w:lang w:val="de-DE"/>
        </w:rPr>
        <w:tab/>
        <w:t>Zu diesem Tagesordnungspunkt sind keine Unterlagen eingegangen.</w:t>
      </w:r>
    </w:p>
    <w:p w:rsidR="00ED5D41" w:rsidRPr="00ED5D41" w:rsidRDefault="00ED5D41" w:rsidP="00ED5D41">
      <w:pPr>
        <w:rPr>
          <w:lang w:val="de-DE"/>
        </w:rPr>
      </w:pPr>
    </w:p>
    <w:p w:rsidR="00ED5D41" w:rsidRPr="00ED5D41" w:rsidRDefault="00ED5D41" w:rsidP="00ED5D41">
      <w:pPr>
        <w:keepNext/>
        <w:outlineLvl w:val="1"/>
        <w:rPr>
          <w:u w:val="single"/>
          <w:lang w:val="de-DE" w:eastAsia="ja-JP"/>
        </w:rPr>
      </w:pPr>
      <w:bookmarkStart w:id="25" w:name="_Toc117091253"/>
      <w:r w:rsidRPr="00ED5D41">
        <w:rPr>
          <w:u w:val="single"/>
          <w:lang w:val="de-DE" w:eastAsia="ja-JP"/>
        </w:rPr>
        <w:t>Die Anwendung molekularer Verfahren bei der Sortenidentifikation</w:t>
      </w:r>
      <w:bookmarkEnd w:id="25"/>
      <w:r w:rsidRPr="00ED5D41">
        <w:rPr>
          <w:u w:val="single"/>
          <w:lang w:val="de-DE" w:eastAsia="ja-JP"/>
        </w:rPr>
        <w:t xml:space="preserve"> </w:t>
      </w:r>
    </w:p>
    <w:p w:rsidR="00ED5D41" w:rsidRPr="00ED5D41" w:rsidRDefault="00ED5D41" w:rsidP="00ED5D41">
      <w:pPr>
        <w:keepNext/>
        <w:jc w:val="left"/>
        <w:rPr>
          <w:lang w:val="de-DE"/>
        </w:rPr>
      </w:pPr>
    </w:p>
    <w:p w:rsidR="00ED5D41" w:rsidRPr="00ED5D41" w:rsidRDefault="00ED5D41" w:rsidP="00ED5D41">
      <w:pPr>
        <w:keepNext/>
        <w:rPr>
          <w:lang w:val="de-DE"/>
        </w:rPr>
      </w:pPr>
      <w:r w:rsidRPr="00ED5D41">
        <w:rPr>
          <w:lang w:val="de-DE"/>
        </w:rPr>
        <w:fldChar w:fldCharType="begin"/>
      </w:r>
      <w:r w:rsidRPr="00ED5D41">
        <w:rPr>
          <w:lang w:val="de-DE"/>
        </w:rPr>
        <w:instrText xml:space="preserve"> AUTONUM  </w:instrText>
      </w:r>
      <w:r w:rsidRPr="00ED5D41">
        <w:rPr>
          <w:lang w:val="de-DE"/>
        </w:rPr>
        <w:fldChar w:fldCharType="end"/>
      </w:r>
      <w:r w:rsidRPr="00ED5D41">
        <w:rPr>
          <w:lang w:val="de-DE"/>
        </w:rPr>
        <w:tab/>
        <w:t>Die TWM hörte ein Referat von Frau Ana Laura Vicario (Argentinien) über „</w:t>
      </w:r>
      <w:r w:rsidR="00C639E2" w:rsidRPr="00285445">
        <w:rPr>
          <w:i/>
          <w:lang w:val="de-DE"/>
        </w:rPr>
        <w:t>Variety identification: soybean case in Argentina</w:t>
      </w:r>
      <w:r w:rsidRPr="00ED5D41">
        <w:rPr>
          <w:lang w:val="de-DE"/>
        </w:rPr>
        <w:t>“, wovon eine Abschrift in Dokument TWM/1/15 wiedergegeben ist.</w:t>
      </w:r>
    </w:p>
    <w:p w:rsidR="00ED5D41" w:rsidRPr="00ED5D41" w:rsidRDefault="00ED5D41" w:rsidP="00ED5D41">
      <w:pPr>
        <w:rPr>
          <w:lang w:val="de-DE"/>
        </w:rPr>
      </w:pPr>
    </w:p>
    <w:p w:rsidR="00ED5D41" w:rsidRPr="00ED5D41" w:rsidRDefault="00ED5D41" w:rsidP="00ED5D41">
      <w:pPr>
        <w:rPr>
          <w:lang w:val="de-DE"/>
        </w:rPr>
      </w:pPr>
      <w:r w:rsidRPr="00ED5D41">
        <w:rPr>
          <w:lang w:val="de-DE"/>
        </w:rPr>
        <w:fldChar w:fldCharType="begin"/>
      </w:r>
      <w:r w:rsidRPr="00ED5D41">
        <w:rPr>
          <w:lang w:val="de-DE"/>
        </w:rPr>
        <w:instrText xml:space="preserve"> AUTONUM  </w:instrText>
      </w:r>
      <w:r w:rsidRPr="00ED5D41">
        <w:rPr>
          <w:lang w:val="de-DE"/>
        </w:rPr>
        <w:fldChar w:fldCharType="end"/>
      </w:r>
      <w:r w:rsidRPr="00ED5D41">
        <w:rPr>
          <w:lang w:val="de-DE"/>
        </w:rPr>
        <w:tab/>
        <w:t>Es wurden Erläuterungen zu den verschiedenen Arten von Proben gegeben, die bei der Entwicklung der Methode verwendet wurden, darunter Saatgut aus verschiedenen Generationen der Vermehrung</w:t>
      </w:r>
      <w:r w:rsidR="00233311" w:rsidRPr="00ED5D41">
        <w:rPr>
          <w:lang w:val="de-DE"/>
        </w:rPr>
        <w:t xml:space="preserve">. </w:t>
      </w:r>
      <w:r w:rsidRPr="00ED5D41">
        <w:rPr>
          <w:lang w:val="de-DE"/>
        </w:rPr>
        <w:t>Der Sachverständige erläuterte, dass ein öffentlicher Satz von Markern verwendet worden sei</w:t>
      </w:r>
      <w:r w:rsidR="00233311" w:rsidRPr="00ED5D41">
        <w:rPr>
          <w:lang w:val="de-DE"/>
        </w:rPr>
        <w:t xml:space="preserve">. </w:t>
      </w:r>
      <w:r w:rsidRPr="00ED5D41">
        <w:rPr>
          <w:lang w:val="de-DE"/>
        </w:rPr>
        <w:t>Außerdem wurden Erläuterungen zu einer früheren Studie gegeben, die die Anwendung molekularer Abstände zur Verringerung der Größe von Sojabohnen-Anbauversuchen in Argentinien ermöglichte</w:t>
      </w:r>
      <w:r w:rsidR="00233311" w:rsidRPr="00ED5D41">
        <w:rPr>
          <w:lang w:val="de-DE"/>
        </w:rPr>
        <w:t xml:space="preserve">. </w:t>
      </w:r>
    </w:p>
    <w:p w:rsidR="00ED5D41" w:rsidRPr="00ED5D41" w:rsidRDefault="00ED5D41" w:rsidP="00ED5D41">
      <w:pPr>
        <w:rPr>
          <w:lang w:val="de-DE"/>
        </w:rPr>
      </w:pPr>
    </w:p>
    <w:p w:rsidR="00ED5D41" w:rsidRPr="00ED5D41" w:rsidRDefault="00ED5D41" w:rsidP="00ED5D41">
      <w:pPr>
        <w:rPr>
          <w:lang w:val="de-DE"/>
        </w:rPr>
      </w:pPr>
      <w:r w:rsidRPr="00ED5D41">
        <w:rPr>
          <w:lang w:val="de-DE"/>
        </w:rPr>
        <w:fldChar w:fldCharType="begin"/>
      </w:r>
      <w:r w:rsidRPr="00ED5D41">
        <w:rPr>
          <w:lang w:val="de-DE"/>
        </w:rPr>
        <w:instrText xml:space="preserve"> AUTONUM  </w:instrText>
      </w:r>
      <w:r w:rsidRPr="00ED5D41">
        <w:rPr>
          <w:lang w:val="de-DE"/>
        </w:rPr>
        <w:fldChar w:fldCharType="end"/>
      </w:r>
      <w:r w:rsidRPr="00ED5D41">
        <w:rPr>
          <w:lang w:val="de-DE"/>
        </w:rPr>
        <w:tab/>
      </w:r>
      <w:r w:rsidR="00233311" w:rsidRPr="00ED5D41">
        <w:rPr>
          <w:lang w:val="de-DE"/>
        </w:rPr>
        <w:t>Die TWM hörte ein Referat von Frau Chiara Delogu (Italien) über „</w:t>
      </w:r>
      <w:r w:rsidR="00C639E2" w:rsidRPr="00285445">
        <w:rPr>
          <w:i/>
          <w:lang w:val="de-DE"/>
        </w:rPr>
        <w:t>Digital PCR for Genotype Quantification: A Case Study in a Pasta Production Chain</w:t>
      </w:r>
      <w:r w:rsidR="00233311" w:rsidRPr="00ED5D41">
        <w:rPr>
          <w:lang w:val="de-DE"/>
        </w:rPr>
        <w:t>“, wovon eine Abschrift in Dokument TWM/1/21 wiedergegeben ist.</w:t>
      </w:r>
    </w:p>
    <w:p w:rsidR="00ED5D41" w:rsidRPr="00ED5D41" w:rsidRDefault="00ED5D41" w:rsidP="00ED5D41">
      <w:pPr>
        <w:rPr>
          <w:lang w:val="de-DE"/>
        </w:rPr>
      </w:pPr>
    </w:p>
    <w:p w:rsidR="00ED5D41" w:rsidRPr="00ED5D41" w:rsidRDefault="00ED5D41" w:rsidP="00ED5D41">
      <w:pPr>
        <w:rPr>
          <w:lang w:val="de-DE"/>
        </w:rPr>
      </w:pPr>
      <w:r w:rsidRPr="00ED5D41">
        <w:rPr>
          <w:lang w:val="de-DE"/>
        </w:rPr>
        <w:fldChar w:fldCharType="begin"/>
      </w:r>
      <w:r w:rsidRPr="00ED5D41">
        <w:rPr>
          <w:lang w:val="de-DE"/>
        </w:rPr>
        <w:instrText xml:space="preserve"> AUTONUM  </w:instrText>
      </w:r>
      <w:r w:rsidRPr="00ED5D41">
        <w:rPr>
          <w:lang w:val="de-DE"/>
        </w:rPr>
        <w:fldChar w:fldCharType="end"/>
      </w:r>
      <w:r w:rsidRPr="00ED5D41">
        <w:rPr>
          <w:lang w:val="de-DE"/>
        </w:rPr>
        <w:tab/>
        <w:t>Es wurde klargestellt, dass mit dem von der Referentin verwendeten Gerät bis zu 96 Proben in jedem Durchgang analysiert werden können.</w:t>
      </w:r>
    </w:p>
    <w:p w:rsidR="00ED5D41" w:rsidRPr="00ED5D41" w:rsidRDefault="00ED5D41" w:rsidP="00ED5D41">
      <w:pPr>
        <w:jc w:val="left"/>
        <w:rPr>
          <w:lang w:val="de-DE"/>
        </w:rPr>
      </w:pPr>
    </w:p>
    <w:p w:rsidR="00ED5D41" w:rsidRPr="00ED5D41" w:rsidRDefault="00ED5D41" w:rsidP="00ED5D41">
      <w:pPr>
        <w:outlineLvl w:val="1"/>
        <w:rPr>
          <w:u w:val="single"/>
          <w:lang w:val="de-DE" w:eastAsia="ja-JP"/>
        </w:rPr>
      </w:pPr>
      <w:bookmarkStart w:id="26" w:name="_Toc117091254"/>
      <w:r w:rsidRPr="00ED5D41">
        <w:rPr>
          <w:u w:val="single"/>
          <w:lang w:val="de-DE" w:eastAsia="ja-JP"/>
        </w:rPr>
        <w:t>Die Anwendung molekularer Verfahren bei der Wahrung von Rechten</w:t>
      </w:r>
      <w:bookmarkEnd w:id="26"/>
      <w:r w:rsidRPr="00ED5D41">
        <w:rPr>
          <w:u w:val="single"/>
          <w:lang w:val="de-DE" w:eastAsia="ja-JP"/>
        </w:rPr>
        <w:t xml:space="preserve"> </w:t>
      </w:r>
    </w:p>
    <w:p w:rsidR="00ED5D41" w:rsidRPr="00ED5D41" w:rsidRDefault="00ED5D41" w:rsidP="00ED5D41">
      <w:pPr>
        <w:jc w:val="left"/>
        <w:rPr>
          <w:lang w:val="de-DE"/>
        </w:rPr>
      </w:pPr>
    </w:p>
    <w:p w:rsidR="00ED5D41" w:rsidRPr="00ED5D41" w:rsidRDefault="00ED5D41" w:rsidP="00ED5D41">
      <w:pPr>
        <w:rPr>
          <w:lang w:val="de-DE"/>
        </w:rPr>
      </w:pPr>
      <w:r w:rsidRPr="00ED5D41">
        <w:rPr>
          <w:lang w:val="de-DE"/>
        </w:rPr>
        <w:fldChar w:fldCharType="begin"/>
      </w:r>
      <w:r w:rsidRPr="00ED5D41">
        <w:rPr>
          <w:lang w:val="de-DE"/>
        </w:rPr>
        <w:instrText xml:space="preserve"> AUTONUM  </w:instrText>
      </w:r>
      <w:r w:rsidRPr="00ED5D41">
        <w:rPr>
          <w:lang w:val="de-DE"/>
        </w:rPr>
        <w:fldChar w:fldCharType="end"/>
      </w:r>
      <w:r w:rsidRPr="00ED5D41">
        <w:rPr>
          <w:lang w:val="de-DE"/>
        </w:rPr>
        <w:tab/>
        <w:t>Die TWM hörte ein Referat von Frau Hedwich Teunissen (die Niederlande) über „</w:t>
      </w:r>
      <w:r w:rsidR="00C639E2" w:rsidRPr="00285445">
        <w:rPr>
          <w:i/>
          <w:lang w:val="de-DE"/>
        </w:rPr>
        <w:t>Variety Tracer: Fraudulent use of parental lines</w:t>
      </w:r>
      <w:r w:rsidRPr="00ED5D41">
        <w:rPr>
          <w:lang w:val="de-DE"/>
        </w:rPr>
        <w:t>“, wovon eine Abschrift in Dokument TWM/1/19 wiedergegeben ist.</w:t>
      </w:r>
    </w:p>
    <w:p w:rsidR="00ED5D41" w:rsidRPr="00ED5D41" w:rsidRDefault="00ED5D41" w:rsidP="00ED5D41">
      <w:pPr>
        <w:rPr>
          <w:lang w:val="de-DE"/>
        </w:rPr>
      </w:pPr>
    </w:p>
    <w:p w:rsidR="00ED5D41" w:rsidRPr="00ED5D41" w:rsidRDefault="00ED5D41" w:rsidP="00ED5D41">
      <w:pPr>
        <w:rPr>
          <w:lang w:val="de-DE"/>
        </w:rPr>
      </w:pPr>
      <w:r w:rsidRPr="00ED5D41">
        <w:rPr>
          <w:lang w:val="de-DE"/>
        </w:rPr>
        <w:fldChar w:fldCharType="begin"/>
      </w:r>
      <w:r w:rsidRPr="00ED5D41">
        <w:rPr>
          <w:lang w:val="de-DE"/>
        </w:rPr>
        <w:instrText xml:space="preserve"> AUTONUM  </w:instrText>
      </w:r>
      <w:r w:rsidRPr="00ED5D41">
        <w:rPr>
          <w:lang w:val="de-DE"/>
        </w:rPr>
        <w:fldChar w:fldCharType="end"/>
      </w:r>
      <w:r w:rsidRPr="00ED5D41">
        <w:rPr>
          <w:lang w:val="de-DE"/>
        </w:rPr>
        <w:tab/>
        <w:t>Die Teilnehmer erfuhren, dass in einigen Fällen Allelhäufigkeiten angefordert worden waren und dass diese zusätzliche Informationen liefern könnten, um Fälle möglicher Verstöße zu klären</w:t>
      </w:r>
      <w:r w:rsidR="00233311" w:rsidRPr="00ED5D41">
        <w:rPr>
          <w:lang w:val="de-DE"/>
        </w:rPr>
        <w:t xml:space="preserve">. </w:t>
      </w:r>
    </w:p>
    <w:p w:rsidR="00ED5D41" w:rsidRPr="00ED5D41" w:rsidRDefault="00ED5D41" w:rsidP="00ED5D41">
      <w:pPr>
        <w:rPr>
          <w:lang w:val="de-DE"/>
        </w:rPr>
      </w:pPr>
    </w:p>
    <w:p w:rsidR="00ED5D41" w:rsidRPr="00ED5D41" w:rsidRDefault="00ED5D41" w:rsidP="00ED5D41">
      <w:pPr>
        <w:rPr>
          <w:lang w:val="de-DE"/>
        </w:rPr>
      </w:pPr>
    </w:p>
    <w:p w:rsidR="00ED5D41" w:rsidRPr="00ED5D41" w:rsidRDefault="00ED5D41" w:rsidP="00ED5D41">
      <w:pPr>
        <w:rPr>
          <w:lang w:val="de-DE"/>
        </w:rPr>
      </w:pPr>
    </w:p>
    <w:p w:rsidR="00ED5D41" w:rsidRPr="00ED5D41" w:rsidRDefault="00ED5D41" w:rsidP="00ED5D41">
      <w:pPr>
        <w:jc w:val="right"/>
        <w:rPr>
          <w:rFonts w:cs="Arial"/>
          <w:lang w:val="de-DE"/>
        </w:rPr>
      </w:pPr>
      <w:r w:rsidRPr="00ED5D41">
        <w:rPr>
          <w:lang w:val="de-DE"/>
        </w:rPr>
        <w:t xml:space="preserve"> [Anlage folgt]</w:t>
      </w:r>
    </w:p>
    <w:p w:rsidR="00B06F4E" w:rsidRPr="00233311" w:rsidRDefault="00B06F4E" w:rsidP="00B06F4E">
      <w:pPr>
        <w:jc w:val="right"/>
        <w:rPr>
          <w:rFonts w:cs="Arial"/>
          <w:lang w:val="de-DE"/>
        </w:rPr>
        <w:sectPr w:rsidR="00B06F4E" w:rsidRPr="00233311" w:rsidSect="0004198B">
          <w:headerReference w:type="default" r:id="rId9"/>
          <w:pgSz w:w="11907" w:h="16840" w:code="9"/>
          <w:pgMar w:top="510" w:right="1134" w:bottom="1134" w:left="1134" w:header="510" w:footer="680" w:gutter="0"/>
          <w:pgNumType w:start="1"/>
          <w:cols w:space="720"/>
          <w:titlePg/>
        </w:sectPr>
      </w:pPr>
    </w:p>
    <w:p w:rsidR="007B1BA8" w:rsidRPr="00233311" w:rsidRDefault="007B1BA8" w:rsidP="00445B73">
      <w:pPr>
        <w:rPr>
          <w:rFonts w:cs="Arial"/>
          <w:lang w:val="de-DE"/>
        </w:rPr>
      </w:pPr>
    </w:p>
    <w:p w:rsidR="00EB74E5" w:rsidRPr="00233311" w:rsidRDefault="00EB74E5" w:rsidP="00EB74E5">
      <w:pPr>
        <w:rPr>
          <w:lang w:val="de-DE"/>
        </w:rPr>
      </w:pPr>
    </w:p>
    <w:p w:rsidR="00BD2383" w:rsidRPr="00BD2383" w:rsidRDefault="00BD2383" w:rsidP="00BD2383">
      <w:pPr>
        <w:rPr>
          <w:noProof/>
          <w:lang w:val="de-DE"/>
        </w:rPr>
      </w:pPr>
      <w:r w:rsidRPr="00BD2383">
        <w:rPr>
          <w:noProof/>
          <w:lang w:val="de-DE"/>
        </w:rPr>
        <w:t>ELEMENTE FÜR EINEN ENTWURF EINES GEMEINSAMEN DOKUMENTES ZUR ERLÄUTERUNG DER WESENTLICHEN BESONDERHEITEN DER SYSTEME DER OECD, UPOV UND IST</w:t>
      </w:r>
      <w:r w:rsidRPr="00BD2383">
        <w:rPr>
          <w:caps/>
          <w:noProof/>
          <w:lang w:val="de-DE"/>
        </w:rPr>
        <w:t>A</w:t>
      </w:r>
    </w:p>
    <w:p w:rsidR="00BD2383" w:rsidRPr="00BD2383" w:rsidRDefault="00BD2383" w:rsidP="00BD2383">
      <w:pPr>
        <w:rPr>
          <w:noProof/>
          <w:lang w:val="de-DE"/>
        </w:rPr>
      </w:pPr>
    </w:p>
    <w:p w:rsidR="00BD2383" w:rsidRPr="00BD2383" w:rsidRDefault="00BD2383" w:rsidP="00BD2383">
      <w:pPr>
        <w:rPr>
          <w:bCs/>
          <w:noProof/>
          <w:u w:val="single"/>
          <w:lang w:val="de-DE"/>
        </w:rPr>
      </w:pPr>
      <w:r w:rsidRPr="00BD2383">
        <w:rPr>
          <w:bCs/>
          <w:noProof/>
          <w:u w:val="single"/>
          <w:lang w:val="de-DE"/>
        </w:rPr>
        <w:t>Organisation für wirtschaftliche Zusammenarbeit und Entwicklung (OECD)</w:t>
      </w:r>
    </w:p>
    <w:p w:rsidR="00BD2383" w:rsidRPr="00BD2383" w:rsidRDefault="00BD2383" w:rsidP="00BD2383">
      <w:pPr>
        <w:rPr>
          <w:noProof/>
          <w:lang w:val="de-DE"/>
        </w:rPr>
      </w:pPr>
    </w:p>
    <w:p w:rsidR="00BD2383" w:rsidRPr="00BD2383" w:rsidRDefault="00BD2383" w:rsidP="00BD2383">
      <w:pPr>
        <w:spacing w:before="91"/>
        <w:rPr>
          <w:i/>
          <w:noProof/>
          <w:lang w:val="de-DE"/>
        </w:rPr>
      </w:pPr>
      <w:r w:rsidRPr="00BD2383">
        <w:rPr>
          <w:i/>
          <w:noProof/>
          <w:lang w:val="de-DE"/>
        </w:rPr>
        <w:t>Was sind die Saatgutsysteme der OECD?</w:t>
      </w:r>
    </w:p>
    <w:p w:rsidR="00BD2383" w:rsidRPr="00BD2383" w:rsidRDefault="00BD2383" w:rsidP="00BD2383">
      <w:pPr>
        <w:spacing w:before="4"/>
        <w:rPr>
          <w:b/>
          <w:noProof/>
          <w:lang w:val="de-DE"/>
        </w:rPr>
      </w:pPr>
    </w:p>
    <w:p w:rsidR="00BD2383" w:rsidRPr="00BD2383" w:rsidRDefault="00BD2383" w:rsidP="00BD2383">
      <w:pPr>
        <w:widowControl w:val="0"/>
        <w:tabs>
          <w:tab w:val="left" w:pos="1125"/>
          <w:tab w:val="left" w:pos="1126"/>
        </w:tabs>
        <w:autoSpaceDE w:val="0"/>
        <w:autoSpaceDN w:val="0"/>
        <w:spacing w:before="1"/>
        <w:ind w:right="214"/>
        <w:rPr>
          <w:rFonts w:cs="Arial"/>
          <w:noProof/>
          <w:lang w:val="de-DE" w:eastAsia="en-GB" w:bidi="en-GB"/>
        </w:rPr>
      </w:pPr>
      <w:r w:rsidRPr="00BD2383">
        <w:rPr>
          <w:rFonts w:cs="Arial"/>
          <w:noProof/>
          <w:lang w:val="de-DE" w:eastAsia="en-GB" w:bidi="en-GB"/>
        </w:rPr>
        <w:t>Die OECD-Saatgutsysteme schaffen einen internationalen Rahmen für die Zertifizierung von landwirtschaftlichem Sortensaatgut, das in den internationalen Verkehr gebracht wird. Die Saatgutsysteme wurden 1958 aufgrund einer Kombination von auslösenden Faktoren gegründet, zu denen ein schnell wachsender Saatguthandel, die europaweite Harmonisierung von Vorschriften, die Entwicklung der Nebensaison-Erzeugung, die Saatzucht und das Produktionspotential großer Exportstaaten in Amerika (Nord- und Südkontinent) und Europa und die Unterstützung durch die Privatwirtschaft gehörten. Die Mitgliedschaft in den Saatgutsystemen ist freiwillig, und die Beteiligung schwankt. Es gibt sieben landwirtschaftliche Saatgutsysteme.</w:t>
      </w:r>
    </w:p>
    <w:p w:rsidR="00BD2383" w:rsidRPr="00BD2383" w:rsidRDefault="00BD2383" w:rsidP="00BD2383">
      <w:pPr>
        <w:spacing w:before="3"/>
        <w:rPr>
          <w:rFonts w:cs="Arial"/>
          <w:noProof/>
          <w:lang w:val="de-DE"/>
        </w:rPr>
      </w:pPr>
    </w:p>
    <w:p w:rsidR="00BD2383" w:rsidRPr="00BD2383" w:rsidRDefault="00BD2383" w:rsidP="00BD2383">
      <w:pPr>
        <w:spacing w:before="4"/>
        <w:rPr>
          <w:i/>
          <w:noProof/>
          <w:lang w:val="de-DE"/>
        </w:rPr>
      </w:pPr>
      <w:bookmarkStart w:id="27" w:name="Participating_countries"/>
      <w:bookmarkEnd w:id="27"/>
      <w:r w:rsidRPr="00BD2383">
        <w:rPr>
          <w:i/>
          <w:noProof/>
          <w:lang w:val="de-DE"/>
        </w:rPr>
        <w:t>Teilnehmerländer</w:t>
      </w:r>
    </w:p>
    <w:p w:rsidR="00BD2383" w:rsidRPr="00BD2383" w:rsidRDefault="00BD2383" w:rsidP="00BD2383">
      <w:pPr>
        <w:spacing w:before="4"/>
        <w:rPr>
          <w:rFonts w:cs="Arial"/>
          <w:b/>
          <w:noProof/>
          <w:lang w:val="de-DE"/>
        </w:rPr>
      </w:pPr>
    </w:p>
    <w:p w:rsidR="00BD2383" w:rsidRPr="00BD2383" w:rsidRDefault="00BD2383" w:rsidP="00BD2383">
      <w:pPr>
        <w:widowControl w:val="0"/>
        <w:tabs>
          <w:tab w:val="left" w:pos="567"/>
        </w:tabs>
        <w:autoSpaceDE w:val="0"/>
        <w:autoSpaceDN w:val="0"/>
        <w:spacing w:before="1"/>
        <w:ind w:right="216"/>
        <w:rPr>
          <w:rFonts w:cs="Arial"/>
          <w:noProof/>
          <w:lang w:val="de-DE" w:eastAsia="en-GB" w:bidi="en-GB"/>
        </w:rPr>
      </w:pPr>
      <w:r w:rsidRPr="00BD2383">
        <w:rPr>
          <w:rFonts w:cs="Arial"/>
          <w:noProof/>
          <w:lang w:val="de-DE" w:eastAsia="en-GB" w:bidi="en-GB"/>
        </w:rPr>
        <w:t>59 Länder aus Europa, Nord- und Südamerika, Afrika, dem Nahen Osten, Asien und Ozeanien nehmen derzeit an den Saatgutsystemen der OECD teil:</w:t>
      </w:r>
    </w:p>
    <w:p w:rsidR="00BD2383" w:rsidRPr="00BD2383" w:rsidRDefault="00BD2383" w:rsidP="00BD2383">
      <w:pPr>
        <w:spacing w:before="5"/>
        <w:rPr>
          <w:noProof/>
          <w:sz w:val="21"/>
          <w:lang w:val="de-DE"/>
        </w:rPr>
      </w:pPr>
    </w:p>
    <w:tbl>
      <w:tblPr>
        <w:tblW w:w="0" w:type="auto"/>
        <w:tblInd w:w="1658" w:type="dxa"/>
        <w:tblLayout w:type="fixed"/>
        <w:tblCellMar>
          <w:left w:w="0" w:type="dxa"/>
          <w:right w:w="0" w:type="dxa"/>
        </w:tblCellMar>
        <w:tblLook w:val="01E0" w:firstRow="1" w:lastRow="1" w:firstColumn="1" w:lastColumn="1" w:noHBand="0" w:noVBand="0"/>
      </w:tblPr>
      <w:tblGrid>
        <w:gridCol w:w="2482"/>
        <w:gridCol w:w="1438"/>
        <w:gridCol w:w="2879"/>
        <w:gridCol w:w="1143"/>
      </w:tblGrid>
      <w:tr w:rsidR="00BD2383" w:rsidRPr="00BD6A76" w:rsidTr="00B630DA">
        <w:trPr>
          <w:trHeight w:val="248"/>
        </w:trPr>
        <w:tc>
          <w:tcPr>
            <w:tcW w:w="2482" w:type="dxa"/>
            <w:shd w:val="clear" w:color="auto" w:fill="DBE5F1"/>
          </w:tcPr>
          <w:p w:rsidR="00BD2383" w:rsidRPr="00BD6A76" w:rsidRDefault="00BD2383" w:rsidP="00B630DA">
            <w:pPr>
              <w:widowControl w:val="0"/>
              <w:autoSpaceDE w:val="0"/>
              <w:autoSpaceDN w:val="0"/>
              <w:spacing w:before="19"/>
              <w:jc w:val="left"/>
              <w:rPr>
                <w:rFonts w:ascii="Trebuchet MS" w:eastAsia="Trebuchet MS" w:hAnsi="Trebuchet MS" w:cs="Trebuchet MS"/>
                <w:noProof/>
                <w:sz w:val="18"/>
                <w:szCs w:val="22"/>
                <w:lang w:eastAsia="en-GB" w:bidi="en-GB"/>
              </w:rPr>
            </w:pPr>
            <w:r w:rsidRPr="00BD6A76">
              <w:rPr>
                <w:rFonts w:ascii="Trebuchet MS" w:hAnsi="Trebuchet MS"/>
                <w:sz w:val="18"/>
                <w:szCs w:val="18"/>
              </w:rPr>
              <w:t>ÄGYPTEN</w:t>
            </w:r>
          </w:p>
        </w:tc>
        <w:tc>
          <w:tcPr>
            <w:tcW w:w="1438" w:type="dxa"/>
          </w:tcPr>
          <w:p w:rsidR="00BD2383" w:rsidRPr="00BD6A76" w:rsidRDefault="00BD2383" w:rsidP="00B630DA">
            <w:pPr>
              <w:widowControl w:val="0"/>
              <w:autoSpaceDE w:val="0"/>
              <w:autoSpaceDN w:val="0"/>
              <w:spacing w:before="19"/>
              <w:jc w:val="left"/>
              <w:rPr>
                <w:rFonts w:ascii="Trebuchet MS" w:eastAsia="Trebuchet MS" w:hAnsi="Trebuchet MS" w:cs="Trebuchet MS"/>
                <w:noProof/>
                <w:sz w:val="18"/>
                <w:szCs w:val="22"/>
                <w:lang w:eastAsia="en-GB" w:bidi="en-GB"/>
              </w:rPr>
            </w:pPr>
            <w:r w:rsidRPr="00BD6A76">
              <w:rPr>
                <w:rFonts w:ascii="Trebuchet MS" w:eastAsia="Trebuchet MS" w:hAnsi="Trebuchet MS" w:cs="Trebuchet MS"/>
                <w:noProof/>
                <w:sz w:val="18"/>
                <w:szCs w:val="22"/>
                <w:lang w:eastAsia="en-GB" w:bidi="en-GB"/>
              </w:rPr>
              <w:t>(2)</w:t>
            </w:r>
          </w:p>
        </w:tc>
        <w:tc>
          <w:tcPr>
            <w:tcW w:w="2879" w:type="dxa"/>
            <w:shd w:val="clear" w:color="auto" w:fill="DBE5F1"/>
          </w:tcPr>
          <w:p w:rsidR="00BD2383" w:rsidRPr="00BD6A76" w:rsidRDefault="00BD2383" w:rsidP="00B630DA">
            <w:pPr>
              <w:widowControl w:val="0"/>
              <w:autoSpaceDE w:val="0"/>
              <w:autoSpaceDN w:val="0"/>
              <w:spacing w:before="19"/>
              <w:jc w:val="left"/>
              <w:rPr>
                <w:rFonts w:ascii="Trebuchet MS" w:eastAsia="Trebuchet MS" w:hAnsi="Trebuchet MS" w:cs="Trebuchet MS"/>
                <w:noProof/>
                <w:sz w:val="18"/>
                <w:szCs w:val="22"/>
                <w:lang w:eastAsia="en-GB" w:bidi="en-GB"/>
              </w:rPr>
            </w:pPr>
            <w:r w:rsidRPr="00BD6A76">
              <w:rPr>
                <w:rFonts w:ascii="Trebuchet MS" w:eastAsia="Trebuchet MS" w:hAnsi="Trebuchet MS" w:cs="Trebuchet MS"/>
                <w:noProof/>
                <w:sz w:val="18"/>
                <w:szCs w:val="22"/>
                <w:lang w:eastAsia="en-GB" w:bidi="en-GB"/>
              </w:rPr>
              <w:t>MOLDAU</w:t>
            </w:r>
          </w:p>
        </w:tc>
        <w:tc>
          <w:tcPr>
            <w:tcW w:w="1143" w:type="dxa"/>
          </w:tcPr>
          <w:p w:rsidR="00BD2383" w:rsidRPr="00BD6A76" w:rsidRDefault="00BD2383" w:rsidP="00B630DA">
            <w:pPr>
              <w:widowControl w:val="0"/>
              <w:autoSpaceDE w:val="0"/>
              <w:autoSpaceDN w:val="0"/>
              <w:spacing w:before="19"/>
              <w:jc w:val="left"/>
              <w:rPr>
                <w:rFonts w:ascii="Trebuchet MS" w:eastAsia="Trebuchet MS" w:hAnsi="Trebuchet MS" w:cs="Trebuchet MS"/>
                <w:noProof/>
                <w:sz w:val="18"/>
                <w:szCs w:val="22"/>
                <w:lang w:eastAsia="en-GB" w:bidi="en-GB"/>
              </w:rPr>
            </w:pPr>
            <w:r w:rsidRPr="00BD6A76">
              <w:rPr>
                <w:rFonts w:ascii="Trebuchet MS" w:eastAsia="Trebuchet MS" w:hAnsi="Trebuchet MS" w:cs="Trebuchet MS"/>
                <w:noProof/>
                <w:sz w:val="18"/>
                <w:szCs w:val="22"/>
                <w:lang w:eastAsia="en-GB" w:bidi="en-GB"/>
              </w:rPr>
              <w:t>(2)</w:t>
            </w:r>
          </w:p>
        </w:tc>
      </w:tr>
      <w:tr w:rsidR="00BD2383" w:rsidRPr="00BD6A76" w:rsidTr="00B630DA">
        <w:trPr>
          <w:trHeight w:val="249"/>
        </w:trPr>
        <w:tc>
          <w:tcPr>
            <w:tcW w:w="2482" w:type="dxa"/>
            <w:shd w:val="clear" w:color="auto" w:fill="DBE5F1"/>
          </w:tcPr>
          <w:p w:rsidR="00BD2383" w:rsidRPr="00BD6A76" w:rsidRDefault="00BD2383" w:rsidP="00B630DA">
            <w:pPr>
              <w:widowControl w:val="0"/>
              <w:autoSpaceDE w:val="0"/>
              <w:autoSpaceDN w:val="0"/>
              <w:spacing w:before="20"/>
              <w:jc w:val="left"/>
              <w:rPr>
                <w:rFonts w:ascii="Trebuchet MS" w:eastAsia="Trebuchet MS" w:hAnsi="Trebuchet MS" w:cs="Trebuchet MS"/>
                <w:noProof/>
                <w:sz w:val="18"/>
                <w:szCs w:val="22"/>
                <w:lang w:eastAsia="en-GB" w:bidi="en-GB"/>
              </w:rPr>
            </w:pPr>
            <w:r w:rsidRPr="00BD6A76">
              <w:rPr>
                <w:rFonts w:ascii="Trebuchet MS" w:hAnsi="Trebuchet MS"/>
                <w:sz w:val="18"/>
                <w:szCs w:val="18"/>
              </w:rPr>
              <w:t>ALBANIEN</w:t>
            </w:r>
          </w:p>
        </w:tc>
        <w:tc>
          <w:tcPr>
            <w:tcW w:w="1438" w:type="dxa"/>
          </w:tcPr>
          <w:p w:rsidR="00BD2383" w:rsidRPr="00BD6A76" w:rsidRDefault="00BD2383" w:rsidP="00B630DA">
            <w:pPr>
              <w:widowControl w:val="0"/>
              <w:autoSpaceDE w:val="0"/>
              <w:autoSpaceDN w:val="0"/>
              <w:spacing w:before="20"/>
              <w:jc w:val="left"/>
              <w:rPr>
                <w:rFonts w:ascii="Trebuchet MS" w:eastAsia="Trebuchet MS" w:hAnsi="Trebuchet MS" w:cs="Trebuchet MS"/>
                <w:noProof/>
                <w:sz w:val="18"/>
                <w:szCs w:val="22"/>
                <w:lang w:eastAsia="en-GB" w:bidi="en-GB"/>
              </w:rPr>
            </w:pPr>
            <w:r w:rsidRPr="00BD6A76">
              <w:rPr>
                <w:rFonts w:ascii="Trebuchet MS" w:eastAsia="Trebuchet MS" w:hAnsi="Trebuchet MS" w:cs="Trebuchet MS"/>
                <w:noProof/>
                <w:sz w:val="18"/>
                <w:szCs w:val="22"/>
                <w:lang w:eastAsia="en-GB" w:bidi="en-GB"/>
              </w:rPr>
              <w:t>(2)</w:t>
            </w:r>
          </w:p>
        </w:tc>
        <w:tc>
          <w:tcPr>
            <w:tcW w:w="2879" w:type="dxa"/>
            <w:shd w:val="clear" w:color="auto" w:fill="DBE5F1"/>
          </w:tcPr>
          <w:p w:rsidR="00BD2383" w:rsidRPr="00BD6A76" w:rsidRDefault="00BD2383" w:rsidP="00B630DA">
            <w:pPr>
              <w:widowControl w:val="0"/>
              <w:autoSpaceDE w:val="0"/>
              <w:autoSpaceDN w:val="0"/>
              <w:spacing w:before="20"/>
              <w:jc w:val="left"/>
              <w:rPr>
                <w:rFonts w:ascii="Trebuchet MS" w:eastAsia="Trebuchet MS" w:hAnsi="Trebuchet MS" w:cs="Trebuchet MS"/>
                <w:noProof/>
                <w:sz w:val="18"/>
                <w:szCs w:val="22"/>
                <w:lang w:eastAsia="en-GB" w:bidi="en-GB"/>
              </w:rPr>
            </w:pPr>
            <w:r w:rsidRPr="00BD6A76">
              <w:rPr>
                <w:rFonts w:ascii="Trebuchet MS" w:eastAsia="Trebuchet MS" w:hAnsi="Trebuchet MS" w:cs="Trebuchet MS"/>
                <w:noProof/>
                <w:sz w:val="18"/>
                <w:szCs w:val="22"/>
                <w:lang w:eastAsia="en-GB" w:bidi="en-GB"/>
              </w:rPr>
              <w:t>NEUSEELAND</w:t>
            </w:r>
          </w:p>
        </w:tc>
        <w:tc>
          <w:tcPr>
            <w:tcW w:w="1143" w:type="dxa"/>
          </w:tcPr>
          <w:p w:rsidR="00BD2383" w:rsidRPr="00BD6A76" w:rsidRDefault="00BD2383" w:rsidP="00B630DA">
            <w:pPr>
              <w:widowControl w:val="0"/>
              <w:autoSpaceDE w:val="0"/>
              <w:autoSpaceDN w:val="0"/>
              <w:spacing w:before="20"/>
              <w:jc w:val="left"/>
              <w:rPr>
                <w:rFonts w:ascii="Trebuchet MS" w:eastAsia="Trebuchet MS" w:hAnsi="Trebuchet MS" w:cs="Trebuchet MS"/>
                <w:noProof/>
                <w:sz w:val="18"/>
                <w:szCs w:val="22"/>
                <w:lang w:eastAsia="en-GB" w:bidi="en-GB"/>
              </w:rPr>
            </w:pPr>
            <w:r w:rsidRPr="00BD6A76">
              <w:rPr>
                <w:rFonts w:ascii="Trebuchet MS" w:eastAsia="Trebuchet MS" w:hAnsi="Trebuchet MS" w:cs="Trebuchet MS"/>
                <w:noProof/>
                <w:sz w:val="18"/>
                <w:szCs w:val="22"/>
                <w:lang w:eastAsia="en-GB" w:bidi="en-GB"/>
              </w:rPr>
              <w:t>(1)</w:t>
            </w:r>
          </w:p>
        </w:tc>
      </w:tr>
      <w:tr w:rsidR="00BD2383" w:rsidRPr="00BD6A76" w:rsidTr="00B630DA">
        <w:trPr>
          <w:trHeight w:val="249"/>
        </w:trPr>
        <w:tc>
          <w:tcPr>
            <w:tcW w:w="2482" w:type="dxa"/>
            <w:shd w:val="clear" w:color="auto" w:fill="DBE5F1"/>
          </w:tcPr>
          <w:p w:rsidR="00BD2383" w:rsidRPr="00BD6A76" w:rsidRDefault="00BD2383" w:rsidP="00B630DA">
            <w:pPr>
              <w:widowControl w:val="0"/>
              <w:autoSpaceDE w:val="0"/>
              <w:autoSpaceDN w:val="0"/>
              <w:spacing w:before="20"/>
              <w:jc w:val="left"/>
              <w:rPr>
                <w:rFonts w:ascii="Trebuchet MS" w:eastAsia="Trebuchet MS" w:hAnsi="Trebuchet MS" w:cs="Trebuchet MS"/>
                <w:noProof/>
                <w:sz w:val="18"/>
                <w:szCs w:val="22"/>
                <w:lang w:eastAsia="en-GB" w:bidi="en-GB"/>
              </w:rPr>
            </w:pPr>
            <w:r w:rsidRPr="00BD6A76">
              <w:rPr>
                <w:rFonts w:ascii="Trebuchet MS" w:hAnsi="Trebuchet MS"/>
                <w:sz w:val="18"/>
                <w:szCs w:val="18"/>
              </w:rPr>
              <w:t>ARGENTINIEN</w:t>
            </w:r>
          </w:p>
        </w:tc>
        <w:tc>
          <w:tcPr>
            <w:tcW w:w="1438" w:type="dxa"/>
          </w:tcPr>
          <w:p w:rsidR="00BD2383" w:rsidRPr="00BD6A76" w:rsidRDefault="00BD2383" w:rsidP="00B630DA">
            <w:pPr>
              <w:widowControl w:val="0"/>
              <w:autoSpaceDE w:val="0"/>
              <w:autoSpaceDN w:val="0"/>
              <w:spacing w:before="20"/>
              <w:jc w:val="left"/>
              <w:rPr>
                <w:rFonts w:ascii="Trebuchet MS" w:eastAsia="Trebuchet MS" w:hAnsi="Trebuchet MS" w:cs="Trebuchet MS"/>
                <w:noProof/>
                <w:sz w:val="18"/>
                <w:szCs w:val="22"/>
                <w:lang w:eastAsia="en-GB" w:bidi="en-GB"/>
              </w:rPr>
            </w:pPr>
            <w:r w:rsidRPr="00BD6A76">
              <w:rPr>
                <w:rFonts w:ascii="Trebuchet MS" w:eastAsia="Trebuchet MS" w:hAnsi="Trebuchet MS" w:cs="Trebuchet MS"/>
                <w:noProof/>
                <w:sz w:val="18"/>
                <w:szCs w:val="22"/>
                <w:lang w:eastAsia="en-GB" w:bidi="en-GB"/>
              </w:rPr>
              <w:t>(2)</w:t>
            </w:r>
          </w:p>
        </w:tc>
        <w:tc>
          <w:tcPr>
            <w:tcW w:w="2879" w:type="dxa"/>
            <w:shd w:val="clear" w:color="auto" w:fill="DBE5F1"/>
          </w:tcPr>
          <w:p w:rsidR="00BD2383" w:rsidRPr="00BD6A76" w:rsidRDefault="00BD2383" w:rsidP="00B630DA">
            <w:pPr>
              <w:widowControl w:val="0"/>
              <w:autoSpaceDE w:val="0"/>
              <w:autoSpaceDN w:val="0"/>
              <w:spacing w:before="20"/>
              <w:jc w:val="left"/>
              <w:rPr>
                <w:rFonts w:ascii="Trebuchet MS" w:eastAsia="Trebuchet MS" w:hAnsi="Trebuchet MS" w:cs="Trebuchet MS"/>
                <w:noProof/>
                <w:sz w:val="18"/>
                <w:szCs w:val="22"/>
                <w:lang w:eastAsia="en-GB" w:bidi="en-GB"/>
              </w:rPr>
            </w:pPr>
            <w:r w:rsidRPr="00BD6A76">
              <w:rPr>
                <w:rFonts w:ascii="Trebuchet MS" w:eastAsia="Trebuchet MS" w:hAnsi="Trebuchet MS" w:cs="Trebuchet MS"/>
                <w:noProof/>
                <w:sz w:val="18"/>
                <w:szCs w:val="22"/>
                <w:lang w:eastAsia="en-GB" w:bidi="en-GB"/>
              </w:rPr>
              <w:t>NIEDERLANDE</w:t>
            </w:r>
          </w:p>
        </w:tc>
        <w:tc>
          <w:tcPr>
            <w:tcW w:w="1143" w:type="dxa"/>
          </w:tcPr>
          <w:p w:rsidR="00BD2383" w:rsidRPr="00BD6A76" w:rsidRDefault="00BD2383" w:rsidP="00B630DA">
            <w:pPr>
              <w:widowControl w:val="0"/>
              <w:autoSpaceDE w:val="0"/>
              <w:autoSpaceDN w:val="0"/>
              <w:spacing w:before="20"/>
              <w:jc w:val="left"/>
              <w:rPr>
                <w:rFonts w:ascii="Trebuchet MS" w:eastAsia="Trebuchet MS" w:hAnsi="Trebuchet MS" w:cs="Trebuchet MS"/>
                <w:noProof/>
                <w:sz w:val="18"/>
                <w:szCs w:val="22"/>
                <w:lang w:eastAsia="en-GB" w:bidi="en-GB"/>
              </w:rPr>
            </w:pPr>
            <w:r w:rsidRPr="00BD6A76">
              <w:rPr>
                <w:rFonts w:ascii="Trebuchet MS" w:eastAsia="Trebuchet MS" w:hAnsi="Trebuchet MS" w:cs="Trebuchet MS"/>
                <w:noProof/>
                <w:sz w:val="18"/>
                <w:szCs w:val="22"/>
                <w:lang w:eastAsia="en-GB" w:bidi="en-GB"/>
              </w:rPr>
              <w:t>(1)</w:t>
            </w:r>
          </w:p>
        </w:tc>
      </w:tr>
      <w:tr w:rsidR="00BD2383" w:rsidRPr="00BD6A76" w:rsidTr="00B630DA">
        <w:trPr>
          <w:trHeight w:val="248"/>
        </w:trPr>
        <w:tc>
          <w:tcPr>
            <w:tcW w:w="2482" w:type="dxa"/>
            <w:shd w:val="clear" w:color="auto" w:fill="DBE5F1"/>
          </w:tcPr>
          <w:p w:rsidR="00BD2383" w:rsidRPr="00BD6A76" w:rsidRDefault="00BD2383" w:rsidP="00B630DA">
            <w:pPr>
              <w:widowControl w:val="0"/>
              <w:autoSpaceDE w:val="0"/>
              <w:autoSpaceDN w:val="0"/>
              <w:spacing w:before="20"/>
              <w:jc w:val="left"/>
              <w:rPr>
                <w:rFonts w:ascii="Trebuchet MS" w:eastAsia="Trebuchet MS" w:hAnsi="Trebuchet MS" w:cs="Trebuchet MS"/>
                <w:noProof/>
                <w:sz w:val="18"/>
                <w:szCs w:val="22"/>
                <w:lang w:eastAsia="en-GB" w:bidi="en-GB"/>
              </w:rPr>
            </w:pPr>
            <w:r w:rsidRPr="00BD6A76">
              <w:rPr>
                <w:rFonts w:ascii="Trebuchet MS" w:hAnsi="Trebuchet MS"/>
                <w:sz w:val="18"/>
                <w:szCs w:val="18"/>
              </w:rPr>
              <w:t>AUSTRALIEN</w:t>
            </w:r>
          </w:p>
        </w:tc>
        <w:tc>
          <w:tcPr>
            <w:tcW w:w="1438" w:type="dxa"/>
          </w:tcPr>
          <w:p w:rsidR="00BD2383" w:rsidRPr="00BD6A76" w:rsidRDefault="00BD2383" w:rsidP="00B630DA">
            <w:pPr>
              <w:widowControl w:val="0"/>
              <w:autoSpaceDE w:val="0"/>
              <w:autoSpaceDN w:val="0"/>
              <w:spacing w:before="20"/>
              <w:jc w:val="left"/>
              <w:rPr>
                <w:rFonts w:ascii="Trebuchet MS" w:eastAsia="Trebuchet MS" w:hAnsi="Trebuchet MS" w:cs="Trebuchet MS"/>
                <w:noProof/>
                <w:sz w:val="18"/>
                <w:szCs w:val="22"/>
                <w:lang w:eastAsia="en-GB" w:bidi="en-GB"/>
              </w:rPr>
            </w:pPr>
            <w:r w:rsidRPr="00BD6A76">
              <w:rPr>
                <w:rFonts w:ascii="Trebuchet MS" w:eastAsia="Trebuchet MS" w:hAnsi="Trebuchet MS" w:cs="Trebuchet MS"/>
                <w:noProof/>
                <w:sz w:val="18"/>
                <w:szCs w:val="22"/>
                <w:lang w:eastAsia="en-GB" w:bidi="en-GB"/>
              </w:rPr>
              <w:t>(1)</w:t>
            </w:r>
          </w:p>
        </w:tc>
        <w:tc>
          <w:tcPr>
            <w:tcW w:w="2879" w:type="dxa"/>
            <w:shd w:val="clear" w:color="auto" w:fill="DBE5F1"/>
          </w:tcPr>
          <w:p w:rsidR="00BD2383" w:rsidRPr="00BD6A76" w:rsidRDefault="00BD2383" w:rsidP="00B630DA">
            <w:pPr>
              <w:widowControl w:val="0"/>
              <w:autoSpaceDE w:val="0"/>
              <w:autoSpaceDN w:val="0"/>
              <w:spacing w:before="20"/>
              <w:jc w:val="left"/>
              <w:rPr>
                <w:rFonts w:ascii="Trebuchet MS" w:eastAsia="Trebuchet MS" w:hAnsi="Trebuchet MS" w:cs="Trebuchet MS"/>
                <w:noProof/>
                <w:sz w:val="18"/>
                <w:szCs w:val="22"/>
                <w:lang w:eastAsia="en-GB" w:bidi="en-GB"/>
              </w:rPr>
            </w:pPr>
            <w:r w:rsidRPr="00BD6A76">
              <w:rPr>
                <w:rFonts w:ascii="Trebuchet MS" w:eastAsia="Trebuchet MS" w:hAnsi="Trebuchet MS" w:cs="Trebuchet MS"/>
                <w:noProof/>
                <w:sz w:val="18"/>
                <w:szCs w:val="22"/>
                <w:lang w:eastAsia="en-GB" w:bidi="en-GB"/>
              </w:rPr>
              <w:t>NORWEGEN</w:t>
            </w:r>
          </w:p>
        </w:tc>
        <w:tc>
          <w:tcPr>
            <w:tcW w:w="1143" w:type="dxa"/>
          </w:tcPr>
          <w:p w:rsidR="00BD2383" w:rsidRPr="00BD6A76" w:rsidRDefault="00BD2383" w:rsidP="00B630DA">
            <w:pPr>
              <w:widowControl w:val="0"/>
              <w:autoSpaceDE w:val="0"/>
              <w:autoSpaceDN w:val="0"/>
              <w:spacing w:before="20"/>
              <w:jc w:val="left"/>
              <w:rPr>
                <w:rFonts w:ascii="Trebuchet MS" w:eastAsia="Trebuchet MS" w:hAnsi="Trebuchet MS" w:cs="Trebuchet MS"/>
                <w:noProof/>
                <w:sz w:val="18"/>
                <w:szCs w:val="22"/>
                <w:lang w:eastAsia="en-GB" w:bidi="en-GB"/>
              </w:rPr>
            </w:pPr>
            <w:r w:rsidRPr="00BD6A76">
              <w:rPr>
                <w:rFonts w:ascii="Trebuchet MS" w:eastAsia="Trebuchet MS" w:hAnsi="Trebuchet MS" w:cs="Trebuchet MS"/>
                <w:noProof/>
                <w:sz w:val="18"/>
                <w:szCs w:val="22"/>
                <w:lang w:eastAsia="en-GB" w:bidi="en-GB"/>
              </w:rPr>
              <w:t>(1)</w:t>
            </w:r>
          </w:p>
        </w:tc>
      </w:tr>
      <w:tr w:rsidR="00BD2383" w:rsidRPr="00BD6A76" w:rsidTr="00B630DA">
        <w:trPr>
          <w:trHeight w:val="248"/>
        </w:trPr>
        <w:tc>
          <w:tcPr>
            <w:tcW w:w="2482" w:type="dxa"/>
            <w:shd w:val="clear" w:color="auto" w:fill="DBE5F1"/>
          </w:tcPr>
          <w:p w:rsidR="00BD2383" w:rsidRPr="00BD6A76" w:rsidRDefault="00BD2383" w:rsidP="00B630DA">
            <w:pPr>
              <w:widowControl w:val="0"/>
              <w:autoSpaceDE w:val="0"/>
              <w:autoSpaceDN w:val="0"/>
              <w:spacing w:before="19"/>
              <w:jc w:val="left"/>
              <w:rPr>
                <w:rFonts w:ascii="Trebuchet MS" w:eastAsia="Trebuchet MS" w:hAnsi="Trebuchet MS" w:cs="Trebuchet MS"/>
                <w:noProof/>
                <w:sz w:val="18"/>
                <w:szCs w:val="22"/>
                <w:lang w:eastAsia="en-GB" w:bidi="en-GB"/>
              </w:rPr>
            </w:pPr>
            <w:r w:rsidRPr="00BD6A76">
              <w:rPr>
                <w:rFonts w:ascii="Trebuchet MS" w:hAnsi="Trebuchet MS"/>
                <w:sz w:val="18"/>
                <w:szCs w:val="18"/>
              </w:rPr>
              <w:t>BELGIEN</w:t>
            </w:r>
          </w:p>
        </w:tc>
        <w:tc>
          <w:tcPr>
            <w:tcW w:w="1438" w:type="dxa"/>
          </w:tcPr>
          <w:p w:rsidR="00BD2383" w:rsidRPr="00BD6A76" w:rsidRDefault="00BD2383" w:rsidP="00B630DA">
            <w:pPr>
              <w:widowControl w:val="0"/>
              <w:autoSpaceDE w:val="0"/>
              <w:autoSpaceDN w:val="0"/>
              <w:spacing w:before="19"/>
              <w:jc w:val="left"/>
              <w:rPr>
                <w:rFonts w:ascii="Trebuchet MS" w:eastAsia="Trebuchet MS" w:hAnsi="Trebuchet MS" w:cs="Trebuchet MS"/>
                <w:noProof/>
                <w:sz w:val="18"/>
                <w:szCs w:val="22"/>
                <w:lang w:eastAsia="en-GB" w:bidi="en-GB"/>
              </w:rPr>
            </w:pPr>
            <w:r w:rsidRPr="00BD6A76">
              <w:rPr>
                <w:rFonts w:ascii="Trebuchet MS" w:eastAsia="Trebuchet MS" w:hAnsi="Trebuchet MS" w:cs="Trebuchet MS"/>
                <w:noProof/>
                <w:sz w:val="18"/>
                <w:szCs w:val="22"/>
                <w:lang w:eastAsia="en-GB" w:bidi="en-GB"/>
              </w:rPr>
              <w:t>(1)</w:t>
            </w:r>
          </w:p>
        </w:tc>
        <w:tc>
          <w:tcPr>
            <w:tcW w:w="2879" w:type="dxa"/>
            <w:shd w:val="clear" w:color="auto" w:fill="DBE5F1"/>
          </w:tcPr>
          <w:p w:rsidR="00BD2383" w:rsidRPr="00BD6A76" w:rsidRDefault="00BD2383" w:rsidP="00B630DA">
            <w:pPr>
              <w:widowControl w:val="0"/>
              <w:autoSpaceDE w:val="0"/>
              <w:autoSpaceDN w:val="0"/>
              <w:spacing w:before="19"/>
              <w:jc w:val="left"/>
              <w:rPr>
                <w:rFonts w:ascii="Trebuchet MS" w:eastAsia="Trebuchet MS" w:hAnsi="Trebuchet MS" w:cs="Trebuchet MS"/>
                <w:noProof/>
                <w:sz w:val="18"/>
                <w:szCs w:val="22"/>
                <w:lang w:eastAsia="en-GB" w:bidi="en-GB"/>
              </w:rPr>
            </w:pPr>
            <w:r w:rsidRPr="00BD6A76">
              <w:rPr>
                <w:rFonts w:ascii="Trebuchet MS" w:eastAsia="Trebuchet MS" w:hAnsi="Trebuchet MS" w:cs="Trebuchet MS"/>
                <w:noProof/>
                <w:sz w:val="18"/>
                <w:szCs w:val="22"/>
                <w:lang w:eastAsia="en-GB" w:bidi="en-GB"/>
              </w:rPr>
              <w:t>ÖSTERREICH</w:t>
            </w:r>
          </w:p>
        </w:tc>
        <w:tc>
          <w:tcPr>
            <w:tcW w:w="1143" w:type="dxa"/>
          </w:tcPr>
          <w:p w:rsidR="00BD2383" w:rsidRPr="00BD6A76" w:rsidRDefault="00BD2383" w:rsidP="00B630DA">
            <w:pPr>
              <w:widowControl w:val="0"/>
              <w:autoSpaceDE w:val="0"/>
              <w:autoSpaceDN w:val="0"/>
              <w:spacing w:before="19"/>
              <w:jc w:val="left"/>
              <w:rPr>
                <w:rFonts w:ascii="Trebuchet MS" w:eastAsia="Trebuchet MS" w:hAnsi="Trebuchet MS" w:cs="Trebuchet MS"/>
                <w:noProof/>
                <w:sz w:val="18"/>
                <w:szCs w:val="22"/>
                <w:lang w:eastAsia="en-GB" w:bidi="en-GB"/>
              </w:rPr>
            </w:pPr>
            <w:r w:rsidRPr="00BD6A76">
              <w:rPr>
                <w:rFonts w:ascii="Trebuchet MS" w:eastAsia="Trebuchet MS" w:hAnsi="Trebuchet MS" w:cs="Trebuchet MS"/>
                <w:noProof/>
                <w:sz w:val="18"/>
                <w:szCs w:val="22"/>
                <w:lang w:eastAsia="en-GB" w:bidi="en-GB"/>
              </w:rPr>
              <w:t>(1)</w:t>
            </w:r>
          </w:p>
        </w:tc>
      </w:tr>
      <w:tr w:rsidR="00BD2383" w:rsidRPr="00BD6A76" w:rsidTr="00B630DA">
        <w:trPr>
          <w:trHeight w:val="249"/>
        </w:trPr>
        <w:tc>
          <w:tcPr>
            <w:tcW w:w="2482" w:type="dxa"/>
            <w:shd w:val="clear" w:color="auto" w:fill="DBE5F1"/>
          </w:tcPr>
          <w:p w:rsidR="00BD2383" w:rsidRPr="00BD6A76" w:rsidRDefault="00BD2383" w:rsidP="00B630DA">
            <w:pPr>
              <w:widowControl w:val="0"/>
              <w:autoSpaceDE w:val="0"/>
              <w:autoSpaceDN w:val="0"/>
              <w:spacing w:before="20"/>
              <w:jc w:val="left"/>
              <w:rPr>
                <w:rFonts w:ascii="Trebuchet MS" w:eastAsia="Trebuchet MS" w:hAnsi="Trebuchet MS" w:cs="Trebuchet MS"/>
                <w:noProof/>
                <w:sz w:val="18"/>
                <w:szCs w:val="22"/>
                <w:lang w:eastAsia="en-GB" w:bidi="en-GB"/>
              </w:rPr>
            </w:pPr>
            <w:r w:rsidRPr="00BD6A76">
              <w:rPr>
                <w:rFonts w:ascii="Trebuchet MS" w:hAnsi="Trebuchet MS"/>
                <w:sz w:val="18"/>
                <w:szCs w:val="18"/>
              </w:rPr>
              <w:t>BOLIVIEN</w:t>
            </w:r>
          </w:p>
        </w:tc>
        <w:tc>
          <w:tcPr>
            <w:tcW w:w="1438" w:type="dxa"/>
          </w:tcPr>
          <w:p w:rsidR="00BD2383" w:rsidRPr="00BD6A76" w:rsidRDefault="00BD2383" w:rsidP="00B630DA">
            <w:pPr>
              <w:widowControl w:val="0"/>
              <w:autoSpaceDE w:val="0"/>
              <w:autoSpaceDN w:val="0"/>
              <w:spacing w:before="20"/>
              <w:jc w:val="left"/>
              <w:rPr>
                <w:rFonts w:ascii="Trebuchet MS" w:eastAsia="Trebuchet MS" w:hAnsi="Trebuchet MS" w:cs="Trebuchet MS"/>
                <w:noProof/>
                <w:sz w:val="18"/>
                <w:szCs w:val="22"/>
                <w:lang w:eastAsia="en-GB" w:bidi="en-GB"/>
              </w:rPr>
            </w:pPr>
            <w:r w:rsidRPr="00BD6A76">
              <w:rPr>
                <w:rFonts w:ascii="Trebuchet MS" w:eastAsia="Trebuchet MS" w:hAnsi="Trebuchet MS" w:cs="Trebuchet MS"/>
                <w:noProof/>
                <w:sz w:val="18"/>
                <w:szCs w:val="22"/>
                <w:lang w:eastAsia="en-GB" w:bidi="en-GB"/>
              </w:rPr>
              <w:t>(2)</w:t>
            </w:r>
          </w:p>
        </w:tc>
        <w:tc>
          <w:tcPr>
            <w:tcW w:w="2879" w:type="dxa"/>
            <w:shd w:val="clear" w:color="auto" w:fill="DBE5F1"/>
          </w:tcPr>
          <w:p w:rsidR="00BD2383" w:rsidRPr="00BD6A76" w:rsidRDefault="00BD2383" w:rsidP="00B630DA">
            <w:pPr>
              <w:widowControl w:val="0"/>
              <w:autoSpaceDE w:val="0"/>
              <w:autoSpaceDN w:val="0"/>
              <w:spacing w:before="20"/>
              <w:jc w:val="left"/>
              <w:rPr>
                <w:rFonts w:ascii="Trebuchet MS" w:eastAsia="Trebuchet MS" w:hAnsi="Trebuchet MS" w:cs="Trebuchet MS"/>
                <w:noProof/>
                <w:sz w:val="18"/>
                <w:szCs w:val="22"/>
                <w:lang w:eastAsia="en-GB" w:bidi="en-GB"/>
              </w:rPr>
            </w:pPr>
            <w:r w:rsidRPr="00BD6A76">
              <w:rPr>
                <w:rFonts w:ascii="Trebuchet MS" w:eastAsia="Trebuchet MS" w:hAnsi="Trebuchet MS" w:cs="Trebuchet MS"/>
                <w:noProof/>
                <w:sz w:val="18"/>
                <w:szCs w:val="22"/>
                <w:lang w:eastAsia="en-GB" w:bidi="en-GB"/>
              </w:rPr>
              <w:t>POLEN</w:t>
            </w:r>
          </w:p>
        </w:tc>
        <w:tc>
          <w:tcPr>
            <w:tcW w:w="1143" w:type="dxa"/>
          </w:tcPr>
          <w:p w:rsidR="00BD2383" w:rsidRPr="00BD6A76" w:rsidRDefault="00BD2383" w:rsidP="00B630DA">
            <w:pPr>
              <w:widowControl w:val="0"/>
              <w:autoSpaceDE w:val="0"/>
              <w:autoSpaceDN w:val="0"/>
              <w:spacing w:before="20"/>
              <w:jc w:val="left"/>
              <w:rPr>
                <w:rFonts w:ascii="Trebuchet MS" w:eastAsia="Trebuchet MS" w:hAnsi="Trebuchet MS" w:cs="Trebuchet MS"/>
                <w:noProof/>
                <w:sz w:val="18"/>
                <w:szCs w:val="22"/>
                <w:lang w:eastAsia="en-GB" w:bidi="en-GB"/>
              </w:rPr>
            </w:pPr>
            <w:r w:rsidRPr="00BD6A76">
              <w:rPr>
                <w:rFonts w:ascii="Trebuchet MS" w:eastAsia="Trebuchet MS" w:hAnsi="Trebuchet MS" w:cs="Trebuchet MS"/>
                <w:noProof/>
                <w:sz w:val="18"/>
                <w:szCs w:val="22"/>
                <w:lang w:eastAsia="en-GB" w:bidi="en-GB"/>
              </w:rPr>
              <w:t>(1)</w:t>
            </w:r>
          </w:p>
        </w:tc>
      </w:tr>
      <w:tr w:rsidR="00BD2383" w:rsidRPr="00BD6A76" w:rsidTr="00B630DA">
        <w:trPr>
          <w:trHeight w:val="249"/>
        </w:trPr>
        <w:tc>
          <w:tcPr>
            <w:tcW w:w="2482" w:type="dxa"/>
            <w:shd w:val="clear" w:color="auto" w:fill="DBE5F1"/>
          </w:tcPr>
          <w:p w:rsidR="00BD2383" w:rsidRPr="00BD6A76" w:rsidRDefault="00BD2383" w:rsidP="00B630DA">
            <w:pPr>
              <w:widowControl w:val="0"/>
              <w:autoSpaceDE w:val="0"/>
              <w:autoSpaceDN w:val="0"/>
              <w:spacing w:before="20"/>
              <w:jc w:val="left"/>
              <w:rPr>
                <w:rFonts w:ascii="Trebuchet MS" w:eastAsia="Trebuchet MS" w:hAnsi="Trebuchet MS" w:cs="Trebuchet MS"/>
                <w:noProof/>
                <w:sz w:val="18"/>
                <w:szCs w:val="22"/>
                <w:lang w:eastAsia="en-GB" w:bidi="en-GB"/>
              </w:rPr>
            </w:pPr>
            <w:r w:rsidRPr="00BD6A76">
              <w:rPr>
                <w:rFonts w:ascii="Trebuchet MS" w:hAnsi="Trebuchet MS"/>
                <w:sz w:val="18"/>
                <w:szCs w:val="18"/>
              </w:rPr>
              <w:t>BRASILIEN</w:t>
            </w:r>
          </w:p>
        </w:tc>
        <w:tc>
          <w:tcPr>
            <w:tcW w:w="1438" w:type="dxa"/>
          </w:tcPr>
          <w:p w:rsidR="00BD2383" w:rsidRPr="00BD6A76" w:rsidRDefault="00BD2383" w:rsidP="00B630DA">
            <w:pPr>
              <w:widowControl w:val="0"/>
              <w:autoSpaceDE w:val="0"/>
              <w:autoSpaceDN w:val="0"/>
              <w:spacing w:before="20"/>
              <w:jc w:val="left"/>
              <w:rPr>
                <w:rFonts w:ascii="Trebuchet MS" w:eastAsia="Trebuchet MS" w:hAnsi="Trebuchet MS" w:cs="Trebuchet MS"/>
                <w:noProof/>
                <w:sz w:val="18"/>
                <w:szCs w:val="22"/>
                <w:lang w:eastAsia="en-GB" w:bidi="en-GB"/>
              </w:rPr>
            </w:pPr>
            <w:r w:rsidRPr="00BD6A76">
              <w:rPr>
                <w:rFonts w:ascii="Trebuchet MS" w:eastAsia="Trebuchet MS" w:hAnsi="Trebuchet MS" w:cs="Trebuchet MS"/>
                <w:noProof/>
                <w:sz w:val="18"/>
                <w:szCs w:val="22"/>
                <w:lang w:eastAsia="en-GB" w:bidi="en-GB"/>
              </w:rPr>
              <w:t>(2)</w:t>
            </w:r>
          </w:p>
        </w:tc>
        <w:tc>
          <w:tcPr>
            <w:tcW w:w="2879" w:type="dxa"/>
            <w:shd w:val="clear" w:color="auto" w:fill="DBE5F1"/>
          </w:tcPr>
          <w:p w:rsidR="00BD2383" w:rsidRPr="00BD6A76" w:rsidRDefault="00BD2383" w:rsidP="00B630DA">
            <w:pPr>
              <w:widowControl w:val="0"/>
              <w:autoSpaceDE w:val="0"/>
              <w:autoSpaceDN w:val="0"/>
              <w:spacing w:before="20"/>
              <w:jc w:val="left"/>
              <w:rPr>
                <w:rFonts w:ascii="Trebuchet MS" w:eastAsia="Trebuchet MS" w:hAnsi="Trebuchet MS" w:cs="Trebuchet MS"/>
                <w:noProof/>
                <w:sz w:val="18"/>
                <w:szCs w:val="22"/>
                <w:lang w:eastAsia="en-GB" w:bidi="en-GB"/>
              </w:rPr>
            </w:pPr>
            <w:r w:rsidRPr="00BD6A76">
              <w:rPr>
                <w:rFonts w:ascii="Trebuchet MS" w:eastAsia="Trebuchet MS" w:hAnsi="Trebuchet MS" w:cs="Trebuchet MS"/>
                <w:noProof/>
                <w:sz w:val="18"/>
                <w:szCs w:val="22"/>
                <w:lang w:eastAsia="en-GB" w:bidi="en-GB"/>
              </w:rPr>
              <w:t>PORTUGAL</w:t>
            </w:r>
          </w:p>
        </w:tc>
        <w:tc>
          <w:tcPr>
            <w:tcW w:w="1143" w:type="dxa"/>
          </w:tcPr>
          <w:p w:rsidR="00BD2383" w:rsidRPr="00BD6A76" w:rsidRDefault="00BD2383" w:rsidP="00B630DA">
            <w:pPr>
              <w:widowControl w:val="0"/>
              <w:autoSpaceDE w:val="0"/>
              <w:autoSpaceDN w:val="0"/>
              <w:spacing w:before="20"/>
              <w:jc w:val="left"/>
              <w:rPr>
                <w:rFonts w:ascii="Trebuchet MS" w:eastAsia="Trebuchet MS" w:hAnsi="Trebuchet MS" w:cs="Trebuchet MS"/>
                <w:noProof/>
                <w:sz w:val="18"/>
                <w:szCs w:val="22"/>
                <w:lang w:eastAsia="en-GB" w:bidi="en-GB"/>
              </w:rPr>
            </w:pPr>
            <w:r w:rsidRPr="00BD6A76">
              <w:rPr>
                <w:rFonts w:ascii="Trebuchet MS" w:eastAsia="Trebuchet MS" w:hAnsi="Trebuchet MS" w:cs="Trebuchet MS"/>
                <w:noProof/>
                <w:sz w:val="18"/>
                <w:szCs w:val="22"/>
                <w:lang w:eastAsia="en-GB" w:bidi="en-GB"/>
              </w:rPr>
              <w:t>(1)</w:t>
            </w:r>
          </w:p>
        </w:tc>
      </w:tr>
      <w:tr w:rsidR="00BD2383" w:rsidRPr="00BD6A76" w:rsidTr="00B630DA">
        <w:trPr>
          <w:trHeight w:val="248"/>
        </w:trPr>
        <w:tc>
          <w:tcPr>
            <w:tcW w:w="2482" w:type="dxa"/>
            <w:shd w:val="clear" w:color="auto" w:fill="DBE5F1"/>
          </w:tcPr>
          <w:p w:rsidR="00BD2383" w:rsidRPr="00BD6A76" w:rsidRDefault="00BD2383" w:rsidP="00B630DA">
            <w:pPr>
              <w:widowControl w:val="0"/>
              <w:autoSpaceDE w:val="0"/>
              <w:autoSpaceDN w:val="0"/>
              <w:spacing w:before="20"/>
              <w:jc w:val="left"/>
              <w:rPr>
                <w:rFonts w:ascii="Trebuchet MS" w:eastAsia="Trebuchet MS" w:hAnsi="Trebuchet MS" w:cs="Trebuchet MS"/>
                <w:noProof/>
                <w:sz w:val="18"/>
                <w:szCs w:val="22"/>
                <w:lang w:eastAsia="en-GB" w:bidi="en-GB"/>
              </w:rPr>
            </w:pPr>
            <w:r w:rsidRPr="00BD6A76">
              <w:rPr>
                <w:rFonts w:ascii="Trebuchet MS" w:hAnsi="Trebuchet MS"/>
                <w:sz w:val="18"/>
                <w:szCs w:val="18"/>
              </w:rPr>
              <w:t>BULGARIEN</w:t>
            </w:r>
          </w:p>
        </w:tc>
        <w:tc>
          <w:tcPr>
            <w:tcW w:w="1438" w:type="dxa"/>
          </w:tcPr>
          <w:p w:rsidR="00BD2383" w:rsidRPr="00BD6A76" w:rsidRDefault="00BD2383" w:rsidP="00B630DA">
            <w:pPr>
              <w:widowControl w:val="0"/>
              <w:autoSpaceDE w:val="0"/>
              <w:autoSpaceDN w:val="0"/>
              <w:spacing w:before="20"/>
              <w:jc w:val="left"/>
              <w:rPr>
                <w:rFonts w:ascii="Trebuchet MS" w:eastAsia="Trebuchet MS" w:hAnsi="Trebuchet MS" w:cs="Trebuchet MS"/>
                <w:noProof/>
                <w:sz w:val="18"/>
                <w:szCs w:val="22"/>
                <w:lang w:eastAsia="en-GB" w:bidi="en-GB"/>
              </w:rPr>
            </w:pPr>
            <w:r w:rsidRPr="00BD6A76">
              <w:rPr>
                <w:rFonts w:ascii="Trebuchet MS" w:eastAsia="Trebuchet MS" w:hAnsi="Trebuchet MS" w:cs="Trebuchet MS"/>
                <w:noProof/>
                <w:sz w:val="18"/>
                <w:szCs w:val="22"/>
                <w:lang w:eastAsia="en-GB" w:bidi="en-GB"/>
              </w:rPr>
              <w:t>(2)</w:t>
            </w:r>
          </w:p>
        </w:tc>
        <w:tc>
          <w:tcPr>
            <w:tcW w:w="2879" w:type="dxa"/>
            <w:shd w:val="clear" w:color="auto" w:fill="DBE5F1"/>
          </w:tcPr>
          <w:p w:rsidR="00BD2383" w:rsidRPr="00BD6A76" w:rsidRDefault="00BD2383" w:rsidP="00B630DA">
            <w:pPr>
              <w:widowControl w:val="0"/>
              <w:autoSpaceDE w:val="0"/>
              <w:autoSpaceDN w:val="0"/>
              <w:spacing w:before="20"/>
              <w:jc w:val="left"/>
              <w:rPr>
                <w:rFonts w:ascii="Trebuchet MS" w:eastAsia="Trebuchet MS" w:hAnsi="Trebuchet MS" w:cs="Trebuchet MS"/>
                <w:noProof/>
                <w:sz w:val="18"/>
                <w:szCs w:val="22"/>
                <w:lang w:eastAsia="en-GB" w:bidi="en-GB"/>
              </w:rPr>
            </w:pPr>
            <w:r w:rsidRPr="00BD6A76">
              <w:rPr>
                <w:rFonts w:ascii="Trebuchet MS" w:eastAsia="Trebuchet MS" w:hAnsi="Trebuchet MS" w:cs="Trebuchet MS"/>
                <w:noProof/>
                <w:sz w:val="18"/>
                <w:szCs w:val="22"/>
                <w:lang w:eastAsia="en-GB" w:bidi="en-GB"/>
              </w:rPr>
              <w:t>RUMÄNIEN</w:t>
            </w:r>
          </w:p>
        </w:tc>
        <w:tc>
          <w:tcPr>
            <w:tcW w:w="1143" w:type="dxa"/>
          </w:tcPr>
          <w:p w:rsidR="00BD2383" w:rsidRPr="00BD6A76" w:rsidRDefault="00BD2383" w:rsidP="00B630DA">
            <w:pPr>
              <w:widowControl w:val="0"/>
              <w:autoSpaceDE w:val="0"/>
              <w:autoSpaceDN w:val="0"/>
              <w:spacing w:before="20"/>
              <w:jc w:val="left"/>
              <w:rPr>
                <w:rFonts w:ascii="Trebuchet MS" w:eastAsia="Trebuchet MS" w:hAnsi="Trebuchet MS" w:cs="Trebuchet MS"/>
                <w:noProof/>
                <w:sz w:val="18"/>
                <w:szCs w:val="22"/>
                <w:lang w:eastAsia="en-GB" w:bidi="en-GB"/>
              </w:rPr>
            </w:pPr>
            <w:r w:rsidRPr="00BD6A76">
              <w:rPr>
                <w:rFonts w:ascii="Trebuchet MS" w:eastAsia="Trebuchet MS" w:hAnsi="Trebuchet MS" w:cs="Trebuchet MS"/>
                <w:noProof/>
                <w:szCs w:val="22"/>
                <w:lang w:eastAsia="en-GB" w:bidi="en-GB"/>
              </w:rPr>
              <w:t>(2)</w:t>
            </w:r>
          </w:p>
        </w:tc>
      </w:tr>
      <w:tr w:rsidR="00BD2383" w:rsidRPr="00BD6A76" w:rsidTr="00B630DA">
        <w:trPr>
          <w:trHeight w:val="260"/>
        </w:trPr>
        <w:tc>
          <w:tcPr>
            <w:tcW w:w="2482" w:type="dxa"/>
            <w:shd w:val="clear" w:color="auto" w:fill="DBE5F1"/>
          </w:tcPr>
          <w:p w:rsidR="00BD2383" w:rsidRPr="00BD6A76" w:rsidRDefault="00BD2383" w:rsidP="00B630DA">
            <w:pPr>
              <w:widowControl w:val="0"/>
              <w:autoSpaceDE w:val="0"/>
              <w:autoSpaceDN w:val="0"/>
              <w:spacing w:before="19"/>
              <w:jc w:val="left"/>
              <w:rPr>
                <w:rFonts w:ascii="Trebuchet MS" w:eastAsia="Trebuchet MS" w:hAnsi="Trebuchet MS" w:cs="Trebuchet MS"/>
                <w:noProof/>
                <w:sz w:val="18"/>
                <w:szCs w:val="22"/>
                <w:lang w:eastAsia="en-GB" w:bidi="en-GB"/>
              </w:rPr>
            </w:pPr>
            <w:r w:rsidRPr="00BD6A76">
              <w:rPr>
                <w:rFonts w:ascii="Trebuchet MS" w:hAnsi="Trebuchet MS"/>
                <w:sz w:val="18"/>
                <w:szCs w:val="18"/>
              </w:rPr>
              <w:t>CHILE</w:t>
            </w:r>
          </w:p>
        </w:tc>
        <w:tc>
          <w:tcPr>
            <w:tcW w:w="1438" w:type="dxa"/>
          </w:tcPr>
          <w:p w:rsidR="00BD2383" w:rsidRPr="00BD6A76" w:rsidRDefault="00BD2383" w:rsidP="00B630DA">
            <w:pPr>
              <w:widowControl w:val="0"/>
              <w:autoSpaceDE w:val="0"/>
              <w:autoSpaceDN w:val="0"/>
              <w:spacing w:before="19"/>
              <w:jc w:val="left"/>
              <w:rPr>
                <w:rFonts w:ascii="Trebuchet MS" w:eastAsia="Trebuchet MS" w:hAnsi="Trebuchet MS" w:cs="Trebuchet MS"/>
                <w:noProof/>
                <w:sz w:val="18"/>
                <w:szCs w:val="22"/>
                <w:lang w:eastAsia="en-GB" w:bidi="en-GB"/>
              </w:rPr>
            </w:pPr>
            <w:r w:rsidRPr="00BD6A76">
              <w:rPr>
                <w:rFonts w:ascii="Trebuchet MS" w:eastAsia="Trebuchet MS" w:hAnsi="Trebuchet MS" w:cs="Trebuchet MS"/>
                <w:noProof/>
                <w:sz w:val="18"/>
                <w:szCs w:val="22"/>
                <w:lang w:eastAsia="en-GB" w:bidi="en-GB"/>
              </w:rPr>
              <w:t>(1)</w:t>
            </w:r>
          </w:p>
        </w:tc>
        <w:tc>
          <w:tcPr>
            <w:tcW w:w="2879" w:type="dxa"/>
            <w:shd w:val="clear" w:color="auto" w:fill="DBE5F1"/>
          </w:tcPr>
          <w:p w:rsidR="00BD2383" w:rsidRPr="00BD6A76" w:rsidRDefault="00BD2383" w:rsidP="00B630DA">
            <w:pPr>
              <w:widowControl w:val="0"/>
              <w:autoSpaceDE w:val="0"/>
              <w:autoSpaceDN w:val="0"/>
              <w:spacing w:before="19"/>
              <w:jc w:val="left"/>
              <w:rPr>
                <w:rFonts w:ascii="Trebuchet MS" w:eastAsia="Trebuchet MS" w:hAnsi="Trebuchet MS" w:cs="Trebuchet MS"/>
                <w:noProof/>
                <w:sz w:val="18"/>
                <w:szCs w:val="22"/>
                <w:lang w:eastAsia="en-GB" w:bidi="en-GB"/>
              </w:rPr>
            </w:pPr>
            <w:r w:rsidRPr="00BD6A76">
              <w:rPr>
                <w:rFonts w:ascii="Trebuchet MS" w:eastAsia="Trebuchet MS" w:hAnsi="Trebuchet MS" w:cs="Trebuchet MS"/>
                <w:noProof/>
                <w:sz w:val="18"/>
                <w:szCs w:val="22"/>
                <w:lang w:eastAsia="en-GB" w:bidi="en-GB"/>
              </w:rPr>
              <w:t>RUSSISCHE FÖDERATION</w:t>
            </w:r>
          </w:p>
        </w:tc>
        <w:tc>
          <w:tcPr>
            <w:tcW w:w="1143" w:type="dxa"/>
          </w:tcPr>
          <w:p w:rsidR="00BD2383" w:rsidRPr="00BD6A76" w:rsidRDefault="00BD2383" w:rsidP="00B630DA">
            <w:pPr>
              <w:widowControl w:val="0"/>
              <w:autoSpaceDE w:val="0"/>
              <w:autoSpaceDN w:val="0"/>
              <w:spacing w:before="19"/>
              <w:jc w:val="left"/>
              <w:rPr>
                <w:rFonts w:ascii="Trebuchet MS" w:eastAsia="Trebuchet MS" w:hAnsi="Trebuchet MS" w:cs="Trebuchet MS"/>
                <w:noProof/>
                <w:szCs w:val="22"/>
                <w:lang w:eastAsia="en-GB" w:bidi="en-GB"/>
              </w:rPr>
            </w:pPr>
            <w:r w:rsidRPr="00BD6A76">
              <w:rPr>
                <w:rFonts w:ascii="Trebuchet MS" w:eastAsia="Trebuchet MS" w:hAnsi="Trebuchet MS" w:cs="Trebuchet MS"/>
                <w:noProof/>
                <w:szCs w:val="22"/>
                <w:lang w:eastAsia="en-GB" w:bidi="en-GB"/>
              </w:rPr>
              <w:t>(2)</w:t>
            </w:r>
          </w:p>
        </w:tc>
      </w:tr>
      <w:tr w:rsidR="00BD2383" w:rsidRPr="00BD6A76" w:rsidTr="00B630DA">
        <w:trPr>
          <w:trHeight w:val="272"/>
        </w:trPr>
        <w:tc>
          <w:tcPr>
            <w:tcW w:w="2482" w:type="dxa"/>
            <w:shd w:val="clear" w:color="auto" w:fill="DBE5F1"/>
          </w:tcPr>
          <w:p w:rsidR="00BD2383" w:rsidRPr="00BD6A76" w:rsidRDefault="00BD2383" w:rsidP="00B630DA">
            <w:pPr>
              <w:widowControl w:val="0"/>
              <w:autoSpaceDE w:val="0"/>
              <w:autoSpaceDN w:val="0"/>
              <w:spacing w:before="32"/>
              <w:jc w:val="left"/>
              <w:rPr>
                <w:rFonts w:ascii="Trebuchet MS" w:eastAsia="Trebuchet MS" w:hAnsi="Trebuchet MS" w:cs="Trebuchet MS"/>
                <w:noProof/>
                <w:sz w:val="18"/>
                <w:szCs w:val="22"/>
                <w:lang w:eastAsia="en-GB" w:bidi="en-GB"/>
              </w:rPr>
            </w:pPr>
            <w:r w:rsidRPr="00BD6A76">
              <w:rPr>
                <w:rFonts w:ascii="Trebuchet MS" w:hAnsi="Trebuchet MS"/>
                <w:sz w:val="18"/>
                <w:szCs w:val="18"/>
              </w:rPr>
              <w:t>DÄNEMARK</w:t>
            </w:r>
          </w:p>
        </w:tc>
        <w:tc>
          <w:tcPr>
            <w:tcW w:w="1438" w:type="dxa"/>
          </w:tcPr>
          <w:p w:rsidR="00BD2383" w:rsidRPr="00BD6A76" w:rsidRDefault="00BD2383" w:rsidP="00B630DA">
            <w:pPr>
              <w:widowControl w:val="0"/>
              <w:autoSpaceDE w:val="0"/>
              <w:autoSpaceDN w:val="0"/>
              <w:spacing w:before="32"/>
              <w:jc w:val="left"/>
              <w:rPr>
                <w:rFonts w:ascii="Trebuchet MS" w:eastAsia="Trebuchet MS" w:hAnsi="Trebuchet MS" w:cs="Trebuchet MS"/>
                <w:noProof/>
                <w:sz w:val="18"/>
                <w:szCs w:val="22"/>
                <w:lang w:eastAsia="en-GB" w:bidi="en-GB"/>
              </w:rPr>
            </w:pPr>
            <w:r w:rsidRPr="00BD6A76">
              <w:rPr>
                <w:rFonts w:ascii="Trebuchet MS" w:eastAsia="Trebuchet MS" w:hAnsi="Trebuchet MS" w:cs="Trebuchet MS"/>
                <w:noProof/>
                <w:sz w:val="18"/>
                <w:szCs w:val="22"/>
                <w:lang w:eastAsia="en-GB" w:bidi="en-GB"/>
              </w:rPr>
              <w:t>(1)</w:t>
            </w:r>
          </w:p>
        </w:tc>
        <w:tc>
          <w:tcPr>
            <w:tcW w:w="2879" w:type="dxa"/>
            <w:shd w:val="clear" w:color="auto" w:fill="DBE5F1"/>
          </w:tcPr>
          <w:p w:rsidR="00BD2383" w:rsidRPr="00BD6A76" w:rsidRDefault="00BD2383" w:rsidP="00B630DA">
            <w:pPr>
              <w:widowControl w:val="0"/>
              <w:autoSpaceDE w:val="0"/>
              <w:autoSpaceDN w:val="0"/>
              <w:spacing w:before="32"/>
              <w:jc w:val="left"/>
              <w:rPr>
                <w:rFonts w:ascii="Trebuchet MS" w:eastAsia="Trebuchet MS" w:hAnsi="Trebuchet MS" w:cs="Trebuchet MS"/>
                <w:noProof/>
                <w:sz w:val="18"/>
                <w:szCs w:val="22"/>
                <w:lang w:eastAsia="en-GB" w:bidi="en-GB"/>
              </w:rPr>
            </w:pPr>
            <w:r w:rsidRPr="00BD6A76">
              <w:rPr>
                <w:rFonts w:ascii="Trebuchet MS" w:hAnsi="Trebuchet MS"/>
                <w:sz w:val="18"/>
                <w:szCs w:val="18"/>
              </w:rPr>
              <w:t>SCHWEDEN</w:t>
            </w:r>
          </w:p>
        </w:tc>
        <w:tc>
          <w:tcPr>
            <w:tcW w:w="1143" w:type="dxa"/>
          </w:tcPr>
          <w:p w:rsidR="00BD2383" w:rsidRPr="00BD6A76" w:rsidRDefault="00BD2383" w:rsidP="00B630DA">
            <w:pPr>
              <w:widowControl w:val="0"/>
              <w:autoSpaceDE w:val="0"/>
              <w:autoSpaceDN w:val="0"/>
              <w:spacing w:before="32"/>
              <w:jc w:val="left"/>
              <w:rPr>
                <w:rFonts w:ascii="Trebuchet MS" w:eastAsia="Trebuchet MS" w:hAnsi="Trebuchet MS" w:cs="Trebuchet MS"/>
                <w:noProof/>
                <w:szCs w:val="22"/>
                <w:lang w:eastAsia="en-GB" w:bidi="en-GB"/>
              </w:rPr>
            </w:pPr>
            <w:r w:rsidRPr="00BD6A76">
              <w:rPr>
                <w:rFonts w:ascii="Trebuchet MS" w:eastAsia="Trebuchet MS" w:hAnsi="Trebuchet MS" w:cs="Trebuchet MS"/>
                <w:noProof/>
                <w:szCs w:val="22"/>
                <w:lang w:eastAsia="en-GB" w:bidi="en-GB"/>
              </w:rPr>
              <w:t>(1)</w:t>
            </w:r>
          </w:p>
        </w:tc>
      </w:tr>
      <w:tr w:rsidR="00BD2383" w:rsidRPr="00BD6A76" w:rsidTr="00B630DA">
        <w:trPr>
          <w:trHeight w:val="283"/>
        </w:trPr>
        <w:tc>
          <w:tcPr>
            <w:tcW w:w="2482" w:type="dxa"/>
            <w:shd w:val="clear" w:color="auto" w:fill="DBE5F1"/>
          </w:tcPr>
          <w:p w:rsidR="00BD2383" w:rsidRPr="00BD6A76" w:rsidRDefault="00BD2383" w:rsidP="00B630DA">
            <w:pPr>
              <w:widowControl w:val="0"/>
              <w:autoSpaceDE w:val="0"/>
              <w:autoSpaceDN w:val="0"/>
              <w:spacing w:before="30"/>
              <w:jc w:val="left"/>
              <w:rPr>
                <w:rFonts w:ascii="Trebuchet MS" w:eastAsia="Trebuchet MS" w:hAnsi="Trebuchet MS" w:cs="Trebuchet MS"/>
                <w:noProof/>
                <w:sz w:val="18"/>
                <w:szCs w:val="22"/>
                <w:lang w:eastAsia="en-GB" w:bidi="en-GB"/>
              </w:rPr>
            </w:pPr>
            <w:r w:rsidRPr="00BD6A76">
              <w:rPr>
                <w:rFonts w:ascii="Trebuchet MS" w:hAnsi="Trebuchet MS"/>
                <w:sz w:val="18"/>
                <w:szCs w:val="18"/>
              </w:rPr>
              <w:t>DEUTSCHLAND</w:t>
            </w:r>
          </w:p>
        </w:tc>
        <w:tc>
          <w:tcPr>
            <w:tcW w:w="1438" w:type="dxa"/>
          </w:tcPr>
          <w:p w:rsidR="00BD2383" w:rsidRPr="00BD6A76" w:rsidRDefault="00BD2383" w:rsidP="00B630DA">
            <w:pPr>
              <w:widowControl w:val="0"/>
              <w:autoSpaceDE w:val="0"/>
              <w:autoSpaceDN w:val="0"/>
              <w:spacing w:before="30"/>
              <w:jc w:val="left"/>
              <w:rPr>
                <w:rFonts w:ascii="Trebuchet MS" w:eastAsia="Trebuchet MS" w:hAnsi="Trebuchet MS" w:cs="Trebuchet MS"/>
                <w:noProof/>
                <w:sz w:val="18"/>
                <w:szCs w:val="22"/>
                <w:lang w:eastAsia="en-GB" w:bidi="en-GB"/>
              </w:rPr>
            </w:pPr>
            <w:r w:rsidRPr="00BD6A76">
              <w:rPr>
                <w:rFonts w:ascii="Trebuchet MS" w:eastAsia="Trebuchet MS" w:hAnsi="Trebuchet MS" w:cs="Trebuchet MS"/>
                <w:noProof/>
                <w:sz w:val="18"/>
                <w:szCs w:val="22"/>
                <w:lang w:eastAsia="en-GB" w:bidi="en-GB"/>
              </w:rPr>
              <w:t>(1)</w:t>
            </w:r>
          </w:p>
        </w:tc>
        <w:tc>
          <w:tcPr>
            <w:tcW w:w="2879" w:type="dxa"/>
            <w:shd w:val="clear" w:color="auto" w:fill="DBE5F1"/>
          </w:tcPr>
          <w:p w:rsidR="00BD2383" w:rsidRPr="00BD6A76" w:rsidRDefault="00BD2383" w:rsidP="00B630DA">
            <w:pPr>
              <w:widowControl w:val="0"/>
              <w:autoSpaceDE w:val="0"/>
              <w:autoSpaceDN w:val="0"/>
              <w:spacing w:before="30"/>
              <w:jc w:val="left"/>
              <w:rPr>
                <w:rFonts w:ascii="Trebuchet MS" w:eastAsia="Trebuchet MS" w:hAnsi="Trebuchet MS" w:cs="Trebuchet MS"/>
                <w:noProof/>
                <w:sz w:val="18"/>
                <w:szCs w:val="22"/>
                <w:lang w:eastAsia="en-GB" w:bidi="en-GB"/>
              </w:rPr>
            </w:pPr>
            <w:r w:rsidRPr="00BD6A76">
              <w:rPr>
                <w:rFonts w:ascii="Trebuchet MS" w:hAnsi="Trebuchet MS"/>
                <w:sz w:val="18"/>
                <w:szCs w:val="18"/>
              </w:rPr>
              <w:t>SCHWEIZ</w:t>
            </w:r>
          </w:p>
        </w:tc>
        <w:tc>
          <w:tcPr>
            <w:tcW w:w="1143" w:type="dxa"/>
          </w:tcPr>
          <w:p w:rsidR="00BD2383" w:rsidRPr="00BD6A76" w:rsidRDefault="00BD2383" w:rsidP="00B630DA">
            <w:pPr>
              <w:widowControl w:val="0"/>
              <w:autoSpaceDE w:val="0"/>
              <w:autoSpaceDN w:val="0"/>
              <w:spacing w:before="31"/>
              <w:jc w:val="left"/>
              <w:rPr>
                <w:rFonts w:ascii="Trebuchet MS" w:eastAsia="Trebuchet MS" w:hAnsi="Trebuchet MS" w:cs="Trebuchet MS"/>
                <w:noProof/>
                <w:szCs w:val="22"/>
                <w:lang w:eastAsia="en-GB" w:bidi="en-GB"/>
              </w:rPr>
            </w:pPr>
            <w:r w:rsidRPr="00BD6A76">
              <w:rPr>
                <w:rFonts w:ascii="Trebuchet MS" w:eastAsia="Trebuchet MS" w:hAnsi="Trebuchet MS" w:cs="Trebuchet MS"/>
                <w:noProof/>
                <w:szCs w:val="22"/>
                <w:lang w:eastAsia="en-GB" w:bidi="en-GB"/>
              </w:rPr>
              <w:t>(1)</w:t>
            </w:r>
          </w:p>
        </w:tc>
      </w:tr>
      <w:tr w:rsidR="00BD2383" w:rsidRPr="00BD6A76" w:rsidTr="00B630DA">
        <w:trPr>
          <w:trHeight w:val="272"/>
        </w:trPr>
        <w:tc>
          <w:tcPr>
            <w:tcW w:w="2482" w:type="dxa"/>
            <w:shd w:val="clear" w:color="auto" w:fill="DBE5F1"/>
          </w:tcPr>
          <w:p w:rsidR="00BD2383" w:rsidRPr="00BD6A76" w:rsidRDefault="00BD2383" w:rsidP="00B630DA">
            <w:pPr>
              <w:widowControl w:val="0"/>
              <w:autoSpaceDE w:val="0"/>
              <w:autoSpaceDN w:val="0"/>
              <w:spacing w:before="20"/>
              <w:jc w:val="left"/>
              <w:rPr>
                <w:rFonts w:ascii="Trebuchet MS" w:eastAsia="Trebuchet MS" w:hAnsi="Trebuchet MS" w:cs="Trebuchet MS"/>
                <w:noProof/>
                <w:sz w:val="18"/>
                <w:szCs w:val="22"/>
                <w:lang w:eastAsia="en-GB" w:bidi="en-GB"/>
              </w:rPr>
            </w:pPr>
            <w:r w:rsidRPr="00BD6A76">
              <w:rPr>
                <w:rFonts w:ascii="Trebuchet MS" w:hAnsi="Trebuchet MS"/>
                <w:sz w:val="18"/>
                <w:szCs w:val="18"/>
              </w:rPr>
              <w:t>ESTLAND</w:t>
            </w:r>
          </w:p>
        </w:tc>
        <w:tc>
          <w:tcPr>
            <w:tcW w:w="1438" w:type="dxa"/>
          </w:tcPr>
          <w:p w:rsidR="00BD2383" w:rsidRPr="00BD6A76" w:rsidRDefault="00BD2383" w:rsidP="00B630DA">
            <w:pPr>
              <w:widowControl w:val="0"/>
              <w:autoSpaceDE w:val="0"/>
              <w:autoSpaceDN w:val="0"/>
              <w:spacing w:before="20"/>
              <w:jc w:val="left"/>
              <w:rPr>
                <w:rFonts w:ascii="Trebuchet MS" w:eastAsia="Trebuchet MS" w:hAnsi="Trebuchet MS" w:cs="Trebuchet MS"/>
                <w:noProof/>
                <w:sz w:val="18"/>
                <w:szCs w:val="22"/>
                <w:lang w:eastAsia="en-GB" w:bidi="en-GB"/>
              </w:rPr>
            </w:pPr>
            <w:r w:rsidRPr="00BD6A76">
              <w:rPr>
                <w:rFonts w:ascii="Trebuchet MS" w:eastAsia="Trebuchet MS" w:hAnsi="Trebuchet MS" w:cs="Trebuchet MS"/>
                <w:noProof/>
                <w:sz w:val="18"/>
                <w:szCs w:val="22"/>
                <w:lang w:eastAsia="en-GB" w:bidi="en-GB"/>
              </w:rPr>
              <w:t>(1)</w:t>
            </w:r>
          </w:p>
        </w:tc>
        <w:tc>
          <w:tcPr>
            <w:tcW w:w="2879" w:type="dxa"/>
            <w:shd w:val="clear" w:color="auto" w:fill="DBE5F1"/>
          </w:tcPr>
          <w:p w:rsidR="00BD2383" w:rsidRPr="00BD6A76" w:rsidRDefault="00BD2383" w:rsidP="00B630DA">
            <w:pPr>
              <w:widowControl w:val="0"/>
              <w:autoSpaceDE w:val="0"/>
              <w:autoSpaceDN w:val="0"/>
              <w:spacing w:before="20"/>
              <w:jc w:val="left"/>
              <w:rPr>
                <w:rFonts w:ascii="Trebuchet MS" w:eastAsia="Trebuchet MS" w:hAnsi="Trebuchet MS" w:cs="Trebuchet MS"/>
                <w:noProof/>
                <w:sz w:val="18"/>
                <w:szCs w:val="22"/>
                <w:lang w:eastAsia="en-GB" w:bidi="en-GB"/>
              </w:rPr>
            </w:pPr>
            <w:r w:rsidRPr="00BD6A76">
              <w:rPr>
                <w:rFonts w:ascii="Trebuchet MS" w:hAnsi="Trebuchet MS"/>
                <w:sz w:val="18"/>
                <w:szCs w:val="18"/>
              </w:rPr>
              <w:t>SENEGAL</w:t>
            </w:r>
          </w:p>
        </w:tc>
        <w:tc>
          <w:tcPr>
            <w:tcW w:w="1143" w:type="dxa"/>
          </w:tcPr>
          <w:p w:rsidR="00BD2383" w:rsidRPr="00BD6A76" w:rsidRDefault="00BD2383" w:rsidP="00B630DA">
            <w:pPr>
              <w:widowControl w:val="0"/>
              <w:autoSpaceDE w:val="0"/>
              <w:autoSpaceDN w:val="0"/>
              <w:spacing w:before="21"/>
              <w:jc w:val="left"/>
              <w:rPr>
                <w:rFonts w:ascii="Trebuchet MS" w:eastAsia="Trebuchet MS" w:hAnsi="Trebuchet MS" w:cs="Trebuchet MS"/>
                <w:noProof/>
                <w:szCs w:val="22"/>
                <w:lang w:eastAsia="en-GB" w:bidi="en-GB"/>
              </w:rPr>
            </w:pPr>
            <w:r w:rsidRPr="00BD6A76">
              <w:rPr>
                <w:rFonts w:ascii="Trebuchet MS" w:eastAsia="Trebuchet MS" w:hAnsi="Trebuchet MS" w:cs="Trebuchet MS"/>
                <w:noProof/>
                <w:szCs w:val="22"/>
                <w:lang w:eastAsia="en-GB" w:bidi="en-GB"/>
              </w:rPr>
              <w:t>(2)</w:t>
            </w:r>
          </w:p>
        </w:tc>
      </w:tr>
      <w:tr w:rsidR="00BD2383" w:rsidRPr="00BD6A76" w:rsidTr="00B630DA">
        <w:trPr>
          <w:trHeight w:val="272"/>
        </w:trPr>
        <w:tc>
          <w:tcPr>
            <w:tcW w:w="2482" w:type="dxa"/>
            <w:shd w:val="clear" w:color="auto" w:fill="DBE5F1"/>
          </w:tcPr>
          <w:p w:rsidR="00BD2383" w:rsidRPr="00BD6A76" w:rsidRDefault="00BD2383" w:rsidP="00B630DA">
            <w:pPr>
              <w:widowControl w:val="0"/>
              <w:autoSpaceDE w:val="0"/>
              <w:autoSpaceDN w:val="0"/>
              <w:spacing w:before="19"/>
              <w:jc w:val="left"/>
              <w:rPr>
                <w:rFonts w:ascii="Trebuchet MS" w:eastAsia="Trebuchet MS" w:hAnsi="Trebuchet MS" w:cs="Trebuchet MS"/>
                <w:noProof/>
                <w:sz w:val="18"/>
                <w:szCs w:val="22"/>
                <w:lang w:eastAsia="en-GB" w:bidi="en-GB"/>
              </w:rPr>
            </w:pPr>
            <w:r w:rsidRPr="00BD6A76">
              <w:rPr>
                <w:rFonts w:ascii="Trebuchet MS" w:hAnsi="Trebuchet MS"/>
                <w:sz w:val="18"/>
                <w:szCs w:val="18"/>
              </w:rPr>
              <w:t>FINNLAND</w:t>
            </w:r>
          </w:p>
        </w:tc>
        <w:tc>
          <w:tcPr>
            <w:tcW w:w="1438" w:type="dxa"/>
          </w:tcPr>
          <w:p w:rsidR="00BD2383" w:rsidRPr="00BD6A76" w:rsidRDefault="00BD2383" w:rsidP="00B630DA">
            <w:pPr>
              <w:widowControl w:val="0"/>
              <w:autoSpaceDE w:val="0"/>
              <w:autoSpaceDN w:val="0"/>
              <w:spacing w:before="19"/>
              <w:jc w:val="left"/>
              <w:rPr>
                <w:rFonts w:ascii="Trebuchet MS" w:eastAsia="Trebuchet MS" w:hAnsi="Trebuchet MS" w:cs="Trebuchet MS"/>
                <w:noProof/>
                <w:sz w:val="18"/>
                <w:szCs w:val="22"/>
                <w:lang w:eastAsia="en-GB" w:bidi="en-GB"/>
              </w:rPr>
            </w:pPr>
            <w:r w:rsidRPr="00BD6A76">
              <w:rPr>
                <w:rFonts w:ascii="Trebuchet MS" w:eastAsia="Trebuchet MS" w:hAnsi="Trebuchet MS" w:cs="Trebuchet MS"/>
                <w:noProof/>
                <w:sz w:val="18"/>
                <w:szCs w:val="22"/>
                <w:lang w:eastAsia="en-GB" w:bidi="en-GB"/>
              </w:rPr>
              <w:t>(1)</w:t>
            </w:r>
          </w:p>
        </w:tc>
        <w:tc>
          <w:tcPr>
            <w:tcW w:w="2879" w:type="dxa"/>
            <w:shd w:val="clear" w:color="auto" w:fill="DBE5F1"/>
          </w:tcPr>
          <w:p w:rsidR="00BD2383" w:rsidRPr="00BD6A76" w:rsidRDefault="00BD2383" w:rsidP="00B630DA">
            <w:pPr>
              <w:widowControl w:val="0"/>
              <w:autoSpaceDE w:val="0"/>
              <w:autoSpaceDN w:val="0"/>
              <w:spacing w:before="19"/>
              <w:jc w:val="left"/>
              <w:rPr>
                <w:rFonts w:ascii="Trebuchet MS" w:eastAsia="Trebuchet MS" w:hAnsi="Trebuchet MS" w:cs="Trebuchet MS"/>
                <w:noProof/>
                <w:sz w:val="18"/>
                <w:szCs w:val="22"/>
                <w:lang w:eastAsia="en-GB" w:bidi="en-GB"/>
              </w:rPr>
            </w:pPr>
            <w:r w:rsidRPr="00BD6A76">
              <w:rPr>
                <w:rFonts w:ascii="Trebuchet MS" w:hAnsi="Trebuchet MS"/>
                <w:sz w:val="18"/>
                <w:szCs w:val="18"/>
              </w:rPr>
              <w:t>SERBIEN</w:t>
            </w:r>
          </w:p>
        </w:tc>
        <w:tc>
          <w:tcPr>
            <w:tcW w:w="1143" w:type="dxa"/>
          </w:tcPr>
          <w:p w:rsidR="00BD2383" w:rsidRPr="00BD6A76" w:rsidRDefault="00BD2383" w:rsidP="00B630DA">
            <w:pPr>
              <w:widowControl w:val="0"/>
              <w:autoSpaceDE w:val="0"/>
              <w:autoSpaceDN w:val="0"/>
              <w:spacing w:before="19"/>
              <w:jc w:val="left"/>
              <w:rPr>
                <w:rFonts w:ascii="Trebuchet MS" w:eastAsia="Trebuchet MS" w:hAnsi="Trebuchet MS" w:cs="Trebuchet MS"/>
                <w:noProof/>
                <w:szCs w:val="22"/>
                <w:lang w:eastAsia="en-GB" w:bidi="en-GB"/>
              </w:rPr>
            </w:pPr>
            <w:r w:rsidRPr="00BD6A76">
              <w:rPr>
                <w:rFonts w:ascii="Trebuchet MS" w:eastAsia="Trebuchet MS" w:hAnsi="Trebuchet MS" w:cs="Trebuchet MS"/>
                <w:noProof/>
                <w:szCs w:val="22"/>
                <w:lang w:eastAsia="en-GB" w:bidi="en-GB"/>
              </w:rPr>
              <w:t>(2)</w:t>
            </w:r>
          </w:p>
        </w:tc>
      </w:tr>
      <w:tr w:rsidR="00BD2383" w:rsidRPr="00BD6A76" w:rsidTr="00B630DA">
        <w:trPr>
          <w:trHeight w:val="272"/>
        </w:trPr>
        <w:tc>
          <w:tcPr>
            <w:tcW w:w="2482" w:type="dxa"/>
            <w:shd w:val="clear" w:color="auto" w:fill="DBE5F1"/>
          </w:tcPr>
          <w:p w:rsidR="00BD2383" w:rsidRPr="00BD6A76" w:rsidRDefault="00BD2383" w:rsidP="00B630DA">
            <w:pPr>
              <w:widowControl w:val="0"/>
              <w:autoSpaceDE w:val="0"/>
              <w:autoSpaceDN w:val="0"/>
              <w:spacing w:before="20"/>
              <w:jc w:val="left"/>
              <w:rPr>
                <w:rFonts w:ascii="Trebuchet MS" w:eastAsia="Trebuchet MS" w:hAnsi="Trebuchet MS" w:cs="Trebuchet MS"/>
                <w:noProof/>
                <w:sz w:val="18"/>
                <w:szCs w:val="22"/>
                <w:lang w:eastAsia="en-GB" w:bidi="en-GB"/>
              </w:rPr>
            </w:pPr>
            <w:r w:rsidRPr="00BD6A76">
              <w:rPr>
                <w:rFonts w:ascii="Trebuchet MS" w:hAnsi="Trebuchet MS"/>
                <w:sz w:val="18"/>
                <w:szCs w:val="18"/>
              </w:rPr>
              <w:t>FRANKREICH</w:t>
            </w:r>
          </w:p>
        </w:tc>
        <w:tc>
          <w:tcPr>
            <w:tcW w:w="1438" w:type="dxa"/>
          </w:tcPr>
          <w:p w:rsidR="00BD2383" w:rsidRPr="00BD6A76" w:rsidRDefault="00BD2383" w:rsidP="00B630DA">
            <w:pPr>
              <w:widowControl w:val="0"/>
              <w:autoSpaceDE w:val="0"/>
              <w:autoSpaceDN w:val="0"/>
              <w:spacing w:before="20"/>
              <w:jc w:val="left"/>
              <w:rPr>
                <w:rFonts w:ascii="Trebuchet MS" w:eastAsia="Trebuchet MS" w:hAnsi="Trebuchet MS" w:cs="Trebuchet MS"/>
                <w:noProof/>
                <w:sz w:val="18"/>
                <w:szCs w:val="22"/>
                <w:lang w:eastAsia="en-GB" w:bidi="en-GB"/>
              </w:rPr>
            </w:pPr>
            <w:r w:rsidRPr="00BD6A76">
              <w:rPr>
                <w:rFonts w:ascii="Trebuchet MS" w:eastAsia="Trebuchet MS" w:hAnsi="Trebuchet MS" w:cs="Trebuchet MS"/>
                <w:noProof/>
                <w:sz w:val="18"/>
                <w:szCs w:val="22"/>
                <w:lang w:eastAsia="en-GB" w:bidi="en-GB"/>
              </w:rPr>
              <w:t>(1)</w:t>
            </w:r>
          </w:p>
        </w:tc>
        <w:tc>
          <w:tcPr>
            <w:tcW w:w="2879" w:type="dxa"/>
            <w:shd w:val="clear" w:color="auto" w:fill="DBE5F1"/>
          </w:tcPr>
          <w:p w:rsidR="00BD2383" w:rsidRPr="00BD6A76" w:rsidRDefault="00BD2383" w:rsidP="00B630DA">
            <w:pPr>
              <w:widowControl w:val="0"/>
              <w:autoSpaceDE w:val="0"/>
              <w:autoSpaceDN w:val="0"/>
              <w:spacing w:before="20"/>
              <w:jc w:val="left"/>
              <w:rPr>
                <w:rFonts w:ascii="Trebuchet MS" w:eastAsia="Trebuchet MS" w:hAnsi="Trebuchet MS" w:cs="Trebuchet MS"/>
                <w:noProof/>
                <w:sz w:val="18"/>
                <w:szCs w:val="22"/>
                <w:lang w:eastAsia="en-GB" w:bidi="en-GB"/>
              </w:rPr>
            </w:pPr>
            <w:r w:rsidRPr="00BD6A76">
              <w:rPr>
                <w:rFonts w:ascii="Trebuchet MS" w:hAnsi="Trebuchet MS"/>
                <w:sz w:val="18"/>
                <w:szCs w:val="18"/>
              </w:rPr>
              <w:t>SLOWAKEI</w:t>
            </w:r>
          </w:p>
        </w:tc>
        <w:tc>
          <w:tcPr>
            <w:tcW w:w="1143" w:type="dxa"/>
          </w:tcPr>
          <w:p w:rsidR="00BD2383" w:rsidRPr="00BD6A76" w:rsidRDefault="00BD2383" w:rsidP="00B630DA">
            <w:pPr>
              <w:widowControl w:val="0"/>
              <w:autoSpaceDE w:val="0"/>
              <w:autoSpaceDN w:val="0"/>
              <w:spacing w:before="21"/>
              <w:jc w:val="left"/>
              <w:rPr>
                <w:rFonts w:ascii="Trebuchet MS" w:eastAsia="Trebuchet MS" w:hAnsi="Trebuchet MS" w:cs="Trebuchet MS"/>
                <w:noProof/>
                <w:szCs w:val="22"/>
                <w:lang w:eastAsia="en-GB" w:bidi="en-GB"/>
              </w:rPr>
            </w:pPr>
            <w:r w:rsidRPr="00BD6A76">
              <w:rPr>
                <w:rFonts w:ascii="Trebuchet MS" w:eastAsia="Trebuchet MS" w:hAnsi="Trebuchet MS" w:cs="Trebuchet MS"/>
                <w:noProof/>
                <w:szCs w:val="22"/>
                <w:lang w:eastAsia="en-GB" w:bidi="en-GB"/>
              </w:rPr>
              <w:t>(1)</w:t>
            </w:r>
          </w:p>
        </w:tc>
      </w:tr>
      <w:tr w:rsidR="00BD2383" w:rsidRPr="00BD6A76" w:rsidTr="00B630DA">
        <w:trPr>
          <w:trHeight w:val="271"/>
        </w:trPr>
        <w:tc>
          <w:tcPr>
            <w:tcW w:w="2482" w:type="dxa"/>
            <w:shd w:val="clear" w:color="auto" w:fill="DBE5F1"/>
          </w:tcPr>
          <w:p w:rsidR="00BD2383" w:rsidRPr="00BD6A76" w:rsidRDefault="00BD2383" w:rsidP="00B630DA">
            <w:pPr>
              <w:widowControl w:val="0"/>
              <w:autoSpaceDE w:val="0"/>
              <w:autoSpaceDN w:val="0"/>
              <w:spacing w:before="19"/>
              <w:jc w:val="left"/>
              <w:rPr>
                <w:rFonts w:ascii="Trebuchet MS" w:eastAsia="Trebuchet MS" w:hAnsi="Trebuchet MS" w:cs="Trebuchet MS"/>
                <w:noProof/>
                <w:sz w:val="18"/>
                <w:szCs w:val="22"/>
                <w:lang w:eastAsia="en-GB" w:bidi="en-GB"/>
              </w:rPr>
            </w:pPr>
            <w:r w:rsidRPr="00BD6A76">
              <w:rPr>
                <w:rFonts w:ascii="Trebuchet MS" w:hAnsi="Trebuchet MS"/>
                <w:sz w:val="18"/>
                <w:szCs w:val="18"/>
              </w:rPr>
              <w:t>GRIECHENLAND</w:t>
            </w:r>
          </w:p>
        </w:tc>
        <w:tc>
          <w:tcPr>
            <w:tcW w:w="1438" w:type="dxa"/>
          </w:tcPr>
          <w:p w:rsidR="00BD2383" w:rsidRPr="00BD6A76" w:rsidRDefault="00BD2383" w:rsidP="00B630DA">
            <w:pPr>
              <w:widowControl w:val="0"/>
              <w:autoSpaceDE w:val="0"/>
              <w:autoSpaceDN w:val="0"/>
              <w:spacing w:before="19"/>
              <w:jc w:val="left"/>
              <w:rPr>
                <w:rFonts w:ascii="Trebuchet MS" w:eastAsia="Trebuchet MS" w:hAnsi="Trebuchet MS" w:cs="Trebuchet MS"/>
                <w:noProof/>
                <w:sz w:val="18"/>
                <w:szCs w:val="22"/>
                <w:lang w:eastAsia="en-GB" w:bidi="en-GB"/>
              </w:rPr>
            </w:pPr>
            <w:r w:rsidRPr="00BD6A76">
              <w:rPr>
                <w:rFonts w:ascii="Trebuchet MS" w:eastAsia="Trebuchet MS" w:hAnsi="Trebuchet MS" w:cs="Trebuchet MS"/>
                <w:noProof/>
                <w:sz w:val="18"/>
                <w:szCs w:val="22"/>
                <w:lang w:eastAsia="en-GB" w:bidi="en-GB"/>
              </w:rPr>
              <w:t>(1)</w:t>
            </w:r>
          </w:p>
        </w:tc>
        <w:tc>
          <w:tcPr>
            <w:tcW w:w="2879" w:type="dxa"/>
            <w:shd w:val="clear" w:color="auto" w:fill="DBE5F1"/>
          </w:tcPr>
          <w:p w:rsidR="00BD2383" w:rsidRPr="00BD6A76" w:rsidRDefault="00BD2383" w:rsidP="00B630DA">
            <w:pPr>
              <w:widowControl w:val="0"/>
              <w:autoSpaceDE w:val="0"/>
              <w:autoSpaceDN w:val="0"/>
              <w:spacing w:before="19"/>
              <w:jc w:val="left"/>
              <w:rPr>
                <w:rFonts w:ascii="Trebuchet MS" w:eastAsia="Trebuchet MS" w:hAnsi="Trebuchet MS" w:cs="Trebuchet MS"/>
                <w:noProof/>
                <w:sz w:val="18"/>
                <w:szCs w:val="22"/>
                <w:lang w:eastAsia="en-GB" w:bidi="en-GB"/>
              </w:rPr>
            </w:pPr>
            <w:r w:rsidRPr="00BD6A76">
              <w:rPr>
                <w:rFonts w:ascii="Trebuchet MS" w:hAnsi="Trebuchet MS"/>
                <w:sz w:val="18"/>
                <w:szCs w:val="18"/>
              </w:rPr>
              <w:t>SLOWENIEN</w:t>
            </w:r>
          </w:p>
        </w:tc>
        <w:tc>
          <w:tcPr>
            <w:tcW w:w="1143" w:type="dxa"/>
          </w:tcPr>
          <w:p w:rsidR="00BD2383" w:rsidRPr="00BD6A76" w:rsidRDefault="00BD2383" w:rsidP="00B630DA">
            <w:pPr>
              <w:widowControl w:val="0"/>
              <w:autoSpaceDE w:val="0"/>
              <w:autoSpaceDN w:val="0"/>
              <w:spacing w:before="19"/>
              <w:jc w:val="left"/>
              <w:rPr>
                <w:rFonts w:ascii="Trebuchet MS" w:eastAsia="Trebuchet MS" w:hAnsi="Trebuchet MS" w:cs="Trebuchet MS"/>
                <w:noProof/>
                <w:szCs w:val="22"/>
                <w:lang w:eastAsia="en-GB" w:bidi="en-GB"/>
              </w:rPr>
            </w:pPr>
            <w:r w:rsidRPr="00BD6A76">
              <w:rPr>
                <w:rFonts w:ascii="Trebuchet MS" w:eastAsia="Trebuchet MS" w:hAnsi="Trebuchet MS" w:cs="Trebuchet MS"/>
                <w:noProof/>
                <w:szCs w:val="22"/>
                <w:lang w:eastAsia="en-GB" w:bidi="en-GB"/>
              </w:rPr>
              <w:t>(1)</w:t>
            </w:r>
          </w:p>
        </w:tc>
      </w:tr>
      <w:tr w:rsidR="00BD2383" w:rsidRPr="00BD6A76" w:rsidTr="00B630DA">
        <w:trPr>
          <w:trHeight w:val="272"/>
        </w:trPr>
        <w:tc>
          <w:tcPr>
            <w:tcW w:w="2482" w:type="dxa"/>
            <w:shd w:val="clear" w:color="auto" w:fill="DBE5F1"/>
          </w:tcPr>
          <w:p w:rsidR="00BD2383" w:rsidRPr="00BD6A76" w:rsidRDefault="00BD2383" w:rsidP="00B630DA">
            <w:pPr>
              <w:widowControl w:val="0"/>
              <w:autoSpaceDE w:val="0"/>
              <w:autoSpaceDN w:val="0"/>
              <w:spacing w:before="19"/>
              <w:jc w:val="left"/>
              <w:rPr>
                <w:rFonts w:ascii="Trebuchet MS" w:eastAsia="Trebuchet MS" w:hAnsi="Trebuchet MS" w:cs="Trebuchet MS"/>
                <w:noProof/>
                <w:sz w:val="18"/>
                <w:szCs w:val="22"/>
                <w:lang w:eastAsia="en-GB" w:bidi="en-GB"/>
              </w:rPr>
            </w:pPr>
            <w:r w:rsidRPr="00BD6A76">
              <w:rPr>
                <w:rFonts w:ascii="Trebuchet MS" w:hAnsi="Trebuchet MS"/>
                <w:sz w:val="18"/>
                <w:szCs w:val="18"/>
              </w:rPr>
              <w:t>INDIEN</w:t>
            </w:r>
          </w:p>
        </w:tc>
        <w:tc>
          <w:tcPr>
            <w:tcW w:w="1438" w:type="dxa"/>
          </w:tcPr>
          <w:p w:rsidR="00BD2383" w:rsidRPr="00BD6A76" w:rsidRDefault="00BD2383" w:rsidP="00B630DA">
            <w:pPr>
              <w:widowControl w:val="0"/>
              <w:autoSpaceDE w:val="0"/>
              <w:autoSpaceDN w:val="0"/>
              <w:spacing w:before="19"/>
              <w:jc w:val="left"/>
              <w:rPr>
                <w:rFonts w:ascii="Trebuchet MS" w:eastAsia="Trebuchet MS" w:hAnsi="Trebuchet MS" w:cs="Trebuchet MS"/>
                <w:noProof/>
                <w:sz w:val="18"/>
                <w:szCs w:val="22"/>
                <w:lang w:eastAsia="en-GB" w:bidi="en-GB"/>
              </w:rPr>
            </w:pPr>
            <w:r w:rsidRPr="00BD6A76">
              <w:rPr>
                <w:rFonts w:ascii="Trebuchet MS" w:eastAsia="Trebuchet MS" w:hAnsi="Trebuchet MS" w:cs="Trebuchet MS"/>
                <w:noProof/>
                <w:sz w:val="18"/>
                <w:szCs w:val="22"/>
                <w:lang w:eastAsia="en-GB" w:bidi="en-GB"/>
              </w:rPr>
              <w:t>(2)</w:t>
            </w:r>
          </w:p>
        </w:tc>
        <w:tc>
          <w:tcPr>
            <w:tcW w:w="2879" w:type="dxa"/>
            <w:shd w:val="clear" w:color="auto" w:fill="DBE5F1"/>
          </w:tcPr>
          <w:p w:rsidR="00BD2383" w:rsidRPr="00BD6A76" w:rsidRDefault="00BD2383" w:rsidP="00B630DA">
            <w:pPr>
              <w:widowControl w:val="0"/>
              <w:autoSpaceDE w:val="0"/>
              <w:autoSpaceDN w:val="0"/>
              <w:spacing w:before="19"/>
              <w:jc w:val="left"/>
              <w:rPr>
                <w:rFonts w:ascii="Trebuchet MS" w:eastAsia="Trebuchet MS" w:hAnsi="Trebuchet MS" w:cs="Trebuchet MS"/>
                <w:noProof/>
                <w:sz w:val="18"/>
                <w:szCs w:val="22"/>
                <w:lang w:eastAsia="en-GB" w:bidi="en-GB"/>
              </w:rPr>
            </w:pPr>
            <w:r w:rsidRPr="00BD6A76">
              <w:rPr>
                <w:rFonts w:ascii="Trebuchet MS" w:hAnsi="Trebuchet MS"/>
                <w:sz w:val="18"/>
                <w:szCs w:val="18"/>
              </w:rPr>
              <w:t>SPANIEN</w:t>
            </w:r>
          </w:p>
        </w:tc>
        <w:tc>
          <w:tcPr>
            <w:tcW w:w="1143" w:type="dxa"/>
          </w:tcPr>
          <w:p w:rsidR="00BD2383" w:rsidRPr="00BD6A76" w:rsidRDefault="00BD2383" w:rsidP="00B630DA">
            <w:pPr>
              <w:widowControl w:val="0"/>
              <w:autoSpaceDE w:val="0"/>
              <w:autoSpaceDN w:val="0"/>
              <w:spacing w:before="19"/>
              <w:jc w:val="left"/>
              <w:rPr>
                <w:rFonts w:ascii="Trebuchet MS" w:eastAsia="Trebuchet MS" w:hAnsi="Trebuchet MS" w:cs="Trebuchet MS"/>
                <w:noProof/>
                <w:szCs w:val="22"/>
                <w:lang w:eastAsia="en-GB" w:bidi="en-GB"/>
              </w:rPr>
            </w:pPr>
            <w:r w:rsidRPr="00BD6A76">
              <w:rPr>
                <w:rFonts w:ascii="Trebuchet MS" w:eastAsia="Trebuchet MS" w:hAnsi="Trebuchet MS" w:cs="Trebuchet MS"/>
                <w:noProof/>
                <w:szCs w:val="22"/>
                <w:lang w:eastAsia="en-GB" w:bidi="en-GB"/>
              </w:rPr>
              <w:t>(1)</w:t>
            </w:r>
          </w:p>
        </w:tc>
      </w:tr>
      <w:tr w:rsidR="00BD2383" w:rsidRPr="00BD6A76" w:rsidTr="00B630DA">
        <w:trPr>
          <w:trHeight w:val="272"/>
        </w:trPr>
        <w:tc>
          <w:tcPr>
            <w:tcW w:w="2482" w:type="dxa"/>
            <w:shd w:val="clear" w:color="auto" w:fill="DBE5F1"/>
          </w:tcPr>
          <w:p w:rsidR="00BD2383" w:rsidRPr="00BD6A76" w:rsidRDefault="00BD2383" w:rsidP="00B630DA">
            <w:pPr>
              <w:widowControl w:val="0"/>
              <w:autoSpaceDE w:val="0"/>
              <w:autoSpaceDN w:val="0"/>
              <w:spacing w:before="21"/>
              <w:jc w:val="left"/>
              <w:rPr>
                <w:rFonts w:ascii="Trebuchet MS" w:eastAsia="Trebuchet MS" w:hAnsi="Trebuchet MS" w:cs="Trebuchet MS"/>
                <w:noProof/>
                <w:sz w:val="18"/>
                <w:szCs w:val="22"/>
                <w:lang w:eastAsia="en-GB" w:bidi="en-GB"/>
              </w:rPr>
            </w:pPr>
            <w:r w:rsidRPr="00BD6A76">
              <w:rPr>
                <w:rFonts w:ascii="Trebuchet MS" w:hAnsi="Trebuchet MS"/>
                <w:sz w:val="18"/>
                <w:szCs w:val="18"/>
              </w:rPr>
              <w:t>IRAN</w:t>
            </w:r>
          </w:p>
        </w:tc>
        <w:tc>
          <w:tcPr>
            <w:tcW w:w="1438" w:type="dxa"/>
          </w:tcPr>
          <w:p w:rsidR="00BD2383" w:rsidRPr="00BD6A76" w:rsidRDefault="00BD2383" w:rsidP="00B630DA">
            <w:pPr>
              <w:widowControl w:val="0"/>
              <w:autoSpaceDE w:val="0"/>
              <w:autoSpaceDN w:val="0"/>
              <w:spacing w:before="21"/>
              <w:jc w:val="left"/>
              <w:rPr>
                <w:rFonts w:ascii="Trebuchet MS" w:eastAsia="Trebuchet MS" w:hAnsi="Trebuchet MS" w:cs="Trebuchet MS"/>
                <w:noProof/>
                <w:sz w:val="18"/>
                <w:szCs w:val="22"/>
                <w:lang w:eastAsia="en-GB" w:bidi="en-GB"/>
              </w:rPr>
            </w:pPr>
            <w:r w:rsidRPr="00BD6A76">
              <w:rPr>
                <w:rFonts w:ascii="Trebuchet MS" w:eastAsia="Trebuchet MS" w:hAnsi="Trebuchet MS" w:cs="Trebuchet MS"/>
                <w:noProof/>
                <w:sz w:val="18"/>
                <w:szCs w:val="22"/>
                <w:lang w:eastAsia="en-GB" w:bidi="en-GB"/>
              </w:rPr>
              <w:t>(2)</w:t>
            </w:r>
          </w:p>
        </w:tc>
        <w:tc>
          <w:tcPr>
            <w:tcW w:w="2879" w:type="dxa"/>
            <w:shd w:val="clear" w:color="auto" w:fill="DBE5F1"/>
          </w:tcPr>
          <w:p w:rsidR="00BD2383" w:rsidRPr="00BD6A76" w:rsidRDefault="00BD2383" w:rsidP="00B630DA">
            <w:pPr>
              <w:widowControl w:val="0"/>
              <w:autoSpaceDE w:val="0"/>
              <w:autoSpaceDN w:val="0"/>
              <w:spacing w:before="21"/>
              <w:jc w:val="left"/>
              <w:rPr>
                <w:rFonts w:ascii="Trebuchet MS" w:eastAsia="Trebuchet MS" w:hAnsi="Trebuchet MS" w:cs="Trebuchet MS"/>
                <w:noProof/>
                <w:sz w:val="18"/>
                <w:szCs w:val="22"/>
                <w:lang w:eastAsia="en-GB" w:bidi="en-GB"/>
              </w:rPr>
            </w:pPr>
            <w:r w:rsidRPr="00BD6A76">
              <w:rPr>
                <w:rFonts w:ascii="Trebuchet MS" w:hAnsi="Trebuchet MS"/>
                <w:sz w:val="18"/>
                <w:szCs w:val="18"/>
              </w:rPr>
              <w:t>SÜDAFRIKA</w:t>
            </w:r>
          </w:p>
        </w:tc>
        <w:tc>
          <w:tcPr>
            <w:tcW w:w="1143" w:type="dxa"/>
          </w:tcPr>
          <w:p w:rsidR="00BD2383" w:rsidRPr="00BD6A76" w:rsidRDefault="00BD2383" w:rsidP="00B630DA">
            <w:pPr>
              <w:widowControl w:val="0"/>
              <w:autoSpaceDE w:val="0"/>
              <w:autoSpaceDN w:val="0"/>
              <w:spacing w:before="21"/>
              <w:jc w:val="left"/>
              <w:rPr>
                <w:rFonts w:ascii="Trebuchet MS" w:eastAsia="Trebuchet MS" w:hAnsi="Trebuchet MS" w:cs="Trebuchet MS"/>
                <w:noProof/>
                <w:szCs w:val="22"/>
                <w:lang w:eastAsia="en-GB" w:bidi="en-GB"/>
              </w:rPr>
            </w:pPr>
            <w:r w:rsidRPr="00BD6A76">
              <w:rPr>
                <w:rFonts w:ascii="Trebuchet MS" w:eastAsia="Trebuchet MS" w:hAnsi="Trebuchet MS" w:cs="Trebuchet MS"/>
                <w:noProof/>
                <w:szCs w:val="22"/>
                <w:lang w:eastAsia="en-GB" w:bidi="en-GB"/>
              </w:rPr>
              <w:t>(2)</w:t>
            </w:r>
          </w:p>
        </w:tc>
      </w:tr>
      <w:tr w:rsidR="00BD2383" w:rsidRPr="00BD6A76" w:rsidTr="00B630DA">
        <w:trPr>
          <w:trHeight w:val="265"/>
        </w:trPr>
        <w:tc>
          <w:tcPr>
            <w:tcW w:w="2482" w:type="dxa"/>
            <w:shd w:val="clear" w:color="auto" w:fill="DBE5F1"/>
          </w:tcPr>
          <w:p w:rsidR="00BD2383" w:rsidRPr="00BD6A76" w:rsidRDefault="00BD2383" w:rsidP="00B630DA">
            <w:pPr>
              <w:widowControl w:val="0"/>
              <w:autoSpaceDE w:val="0"/>
              <w:autoSpaceDN w:val="0"/>
              <w:spacing w:before="19"/>
              <w:jc w:val="left"/>
              <w:rPr>
                <w:rFonts w:ascii="Trebuchet MS" w:eastAsia="Trebuchet MS" w:hAnsi="Trebuchet MS" w:cs="Trebuchet MS"/>
                <w:noProof/>
                <w:sz w:val="18"/>
                <w:szCs w:val="22"/>
                <w:lang w:eastAsia="en-GB" w:bidi="en-GB"/>
              </w:rPr>
            </w:pPr>
            <w:r w:rsidRPr="00BD6A76">
              <w:rPr>
                <w:rFonts w:ascii="Trebuchet MS" w:hAnsi="Trebuchet MS"/>
                <w:sz w:val="18"/>
                <w:szCs w:val="18"/>
              </w:rPr>
              <w:t>IRLAND</w:t>
            </w:r>
          </w:p>
        </w:tc>
        <w:tc>
          <w:tcPr>
            <w:tcW w:w="1438" w:type="dxa"/>
          </w:tcPr>
          <w:p w:rsidR="00BD2383" w:rsidRPr="00BD6A76" w:rsidRDefault="00BD2383" w:rsidP="00B630DA">
            <w:pPr>
              <w:widowControl w:val="0"/>
              <w:autoSpaceDE w:val="0"/>
              <w:autoSpaceDN w:val="0"/>
              <w:spacing w:before="19"/>
              <w:jc w:val="left"/>
              <w:rPr>
                <w:rFonts w:ascii="Trebuchet MS" w:eastAsia="Trebuchet MS" w:hAnsi="Trebuchet MS" w:cs="Trebuchet MS"/>
                <w:noProof/>
                <w:sz w:val="18"/>
                <w:szCs w:val="22"/>
                <w:lang w:eastAsia="en-GB" w:bidi="en-GB"/>
              </w:rPr>
            </w:pPr>
            <w:r w:rsidRPr="00BD6A76">
              <w:rPr>
                <w:rFonts w:ascii="Trebuchet MS" w:eastAsia="Trebuchet MS" w:hAnsi="Trebuchet MS" w:cs="Trebuchet MS"/>
                <w:noProof/>
                <w:sz w:val="18"/>
                <w:szCs w:val="22"/>
                <w:lang w:eastAsia="en-GB" w:bidi="en-GB"/>
              </w:rPr>
              <w:t>(1)</w:t>
            </w:r>
          </w:p>
        </w:tc>
        <w:tc>
          <w:tcPr>
            <w:tcW w:w="2879" w:type="dxa"/>
            <w:shd w:val="clear" w:color="auto" w:fill="DBE5F1"/>
          </w:tcPr>
          <w:p w:rsidR="00BD2383" w:rsidRPr="00BD6A76" w:rsidRDefault="00BD2383" w:rsidP="00B630DA">
            <w:pPr>
              <w:widowControl w:val="0"/>
              <w:autoSpaceDE w:val="0"/>
              <w:autoSpaceDN w:val="0"/>
              <w:spacing w:before="19"/>
              <w:jc w:val="left"/>
              <w:rPr>
                <w:rFonts w:ascii="Trebuchet MS" w:eastAsia="Trebuchet MS" w:hAnsi="Trebuchet MS" w:cs="Trebuchet MS"/>
                <w:noProof/>
                <w:sz w:val="18"/>
                <w:szCs w:val="22"/>
                <w:lang w:eastAsia="en-GB" w:bidi="en-GB"/>
              </w:rPr>
            </w:pPr>
            <w:r w:rsidRPr="00BD6A76">
              <w:rPr>
                <w:rFonts w:ascii="Trebuchet MS" w:hAnsi="Trebuchet MS"/>
                <w:sz w:val="18"/>
                <w:szCs w:val="18"/>
              </w:rPr>
              <w:t>TSCHECHISCHE REPUBLIK</w:t>
            </w:r>
          </w:p>
        </w:tc>
        <w:tc>
          <w:tcPr>
            <w:tcW w:w="1143" w:type="dxa"/>
          </w:tcPr>
          <w:p w:rsidR="00BD2383" w:rsidRPr="00BD6A76" w:rsidRDefault="00BD2383" w:rsidP="00B630DA">
            <w:pPr>
              <w:widowControl w:val="0"/>
              <w:autoSpaceDE w:val="0"/>
              <w:autoSpaceDN w:val="0"/>
              <w:spacing w:before="19"/>
              <w:jc w:val="left"/>
              <w:rPr>
                <w:rFonts w:ascii="Trebuchet MS" w:eastAsia="Trebuchet MS" w:hAnsi="Trebuchet MS" w:cs="Trebuchet MS"/>
                <w:noProof/>
                <w:szCs w:val="22"/>
                <w:lang w:eastAsia="en-GB" w:bidi="en-GB"/>
              </w:rPr>
            </w:pPr>
            <w:r w:rsidRPr="00BD6A76">
              <w:rPr>
                <w:rFonts w:ascii="Trebuchet MS" w:eastAsia="Trebuchet MS" w:hAnsi="Trebuchet MS" w:cs="Trebuchet MS"/>
                <w:noProof/>
                <w:szCs w:val="22"/>
                <w:lang w:eastAsia="en-GB" w:bidi="en-GB"/>
              </w:rPr>
              <w:t>(1)</w:t>
            </w:r>
          </w:p>
        </w:tc>
      </w:tr>
      <w:tr w:rsidR="00BD2383" w:rsidRPr="00BD6A76" w:rsidTr="00B630DA">
        <w:trPr>
          <w:trHeight w:val="265"/>
        </w:trPr>
        <w:tc>
          <w:tcPr>
            <w:tcW w:w="2482" w:type="dxa"/>
            <w:shd w:val="clear" w:color="auto" w:fill="DBE5F1"/>
          </w:tcPr>
          <w:p w:rsidR="00BD2383" w:rsidRPr="00BD6A76" w:rsidRDefault="00BD2383" w:rsidP="00B630DA">
            <w:pPr>
              <w:widowControl w:val="0"/>
              <w:autoSpaceDE w:val="0"/>
              <w:autoSpaceDN w:val="0"/>
              <w:spacing w:before="19"/>
              <w:jc w:val="left"/>
              <w:rPr>
                <w:rFonts w:ascii="Trebuchet MS" w:eastAsia="Trebuchet MS" w:hAnsi="Trebuchet MS" w:cs="Trebuchet MS"/>
                <w:noProof/>
                <w:sz w:val="18"/>
                <w:szCs w:val="22"/>
                <w:lang w:eastAsia="en-GB" w:bidi="en-GB"/>
              </w:rPr>
            </w:pPr>
            <w:r w:rsidRPr="00BD6A76">
              <w:rPr>
                <w:rFonts w:ascii="Trebuchet MS" w:hAnsi="Trebuchet MS"/>
                <w:sz w:val="18"/>
                <w:szCs w:val="18"/>
              </w:rPr>
              <w:t>ISLAND</w:t>
            </w:r>
          </w:p>
        </w:tc>
        <w:tc>
          <w:tcPr>
            <w:tcW w:w="1438" w:type="dxa"/>
          </w:tcPr>
          <w:p w:rsidR="00BD2383" w:rsidRPr="00BD6A76" w:rsidRDefault="00BD2383" w:rsidP="00B630DA">
            <w:pPr>
              <w:widowControl w:val="0"/>
              <w:autoSpaceDE w:val="0"/>
              <w:autoSpaceDN w:val="0"/>
              <w:spacing w:before="19"/>
              <w:jc w:val="left"/>
              <w:rPr>
                <w:rFonts w:ascii="Trebuchet MS" w:eastAsia="Trebuchet MS" w:hAnsi="Trebuchet MS" w:cs="Trebuchet MS"/>
                <w:noProof/>
                <w:sz w:val="18"/>
                <w:szCs w:val="22"/>
                <w:lang w:eastAsia="en-GB" w:bidi="en-GB"/>
              </w:rPr>
            </w:pPr>
            <w:r w:rsidRPr="00BD6A76">
              <w:rPr>
                <w:rFonts w:ascii="Trebuchet MS" w:eastAsia="Trebuchet MS" w:hAnsi="Trebuchet MS" w:cs="Trebuchet MS"/>
                <w:noProof/>
                <w:sz w:val="18"/>
                <w:szCs w:val="22"/>
                <w:lang w:eastAsia="en-GB" w:bidi="en-GB"/>
              </w:rPr>
              <w:t>(1)</w:t>
            </w:r>
          </w:p>
        </w:tc>
        <w:tc>
          <w:tcPr>
            <w:tcW w:w="2879" w:type="dxa"/>
            <w:shd w:val="clear" w:color="auto" w:fill="DBE5F1"/>
          </w:tcPr>
          <w:p w:rsidR="00BD2383" w:rsidRPr="00BD6A76" w:rsidRDefault="00BD2383" w:rsidP="00B630DA">
            <w:pPr>
              <w:widowControl w:val="0"/>
              <w:autoSpaceDE w:val="0"/>
              <w:autoSpaceDN w:val="0"/>
              <w:spacing w:before="19"/>
              <w:jc w:val="left"/>
              <w:rPr>
                <w:rFonts w:ascii="Trebuchet MS" w:eastAsia="Trebuchet MS" w:hAnsi="Trebuchet MS" w:cs="Trebuchet MS"/>
                <w:noProof/>
                <w:sz w:val="18"/>
                <w:szCs w:val="22"/>
                <w:lang w:eastAsia="en-GB" w:bidi="en-GB"/>
              </w:rPr>
            </w:pPr>
            <w:r w:rsidRPr="00BD6A76">
              <w:rPr>
                <w:rFonts w:ascii="Trebuchet MS" w:hAnsi="Trebuchet MS"/>
                <w:sz w:val="18"/>
                <w:szCs w:val="18"/>
              </w:rPr>
              <w:t>TÜRKEI</w:t>
            </w:r>
          </w:p>
        </w:tc>
        <w:tc>
          <w:tcPr>
            <w:tcW w:w="1143" w:type="dxa"/>
          </w:tcPr>
          <w:p w:rsidR="00BD2383" w:rsidRPr="00BD6A76" w:rsidRDefault="00BD2383" w:rsidP="00B630DA">
            <w:pPr>
              <w:widowControl w:val="0"/>
              <w:autoSpaceDE w:val="0"/>
              <w:autoSpaceDN w:val="0"/>
              <w:spacing w:before="19"/>
              <w:jc w:val="left"/>
              <w:rPr>
                <w:rFonts w:ascii="Trebuchet MS" w:eastAsia="Trebuchet MS" w:hAnsi="Trebuchet MS" w:cs="Trebuchet MS"/>
                <w:noProof/>
                <w:szCs w:val="22"/>
                <w:lang w:eastAsia="en-GB" w:bidi="en-GB"/>
              </w:rPr>
            </w:pPr>
            <w:r w:rsidRPr="00BD6A76">
              <w:rPr>
                <w:rFonts w:ascii="Trebuchet MS" w:eastAsia="Trebuchet MS" w:hAnsi="Trebuchet MS" w:cs="Trebuchet MS"/>
                <w:noProof/>
                <w:szCs w:val="22"/>
                <w:lang w:eastAsia="en-GB" w:bidi="en-GB"/>
              </w:rPr>
              <w:t>(1)</w:t>
            </w:r>
          </w:p>
        </w:tc>
      </w:tr>
      <w:tr w:rsidR="00BD2383" w:rsidRPr="00BD6A76" w:rsidTr="00B630DA">
        <w:trPr>
          <w:trHeight w:val="265"/>
        </w:trPr>
        <w:tc>
          <w:tcPr>
            <w:tcW w:w="2482" w:type="dxa"/>
            <w:shd w:val="clear" w:color="auto" w:fill="DBE5F1"/>
          </w:tcPr>
          <w:p w:rsidR="00BD2383" w:rsidRPr="00BD6A76" w:rsidRDefault="00BD2383" w:rsidP="00B630DA">
            <w:pPr>
              <w:widowControl w:val="0"/>
              <w:autoSpaceDE w:val="0"/>
              <w:autoSpaceDN w:val="0"/>
              <w:spacing w:before="19"/>
              <w:jc w:val="left"/>
              <w:rPr>
                <w:rFonts w:ascii="Trebuchet MS" w:eastAsia="Trebuchet MS" w:hAnsi="Trebuchet MS" w:cs="Trebuchet MS"/>
                <w:noProof/>
                <w:sz w:val="18"/>
                <w:szCs w:val="22"/>
                <w:lang w:eastAsia="en-GB" w:bidi="en-GB"/>
              </w:rPr>
            </w:pPr>
            <w:r w:rsidRPr="00BD6A76">
              <w:rPr>
                <w:rFonts w:ascii="Trebuchet MS" w:hAnsi="Trebuchet MS"/>
                <w:sz w:val="18"/>
                <w:szCs w:val="18"/>
              </w:rPr>
              <w:t>ISRAEL</w:t>
            </w:r>
          </w:p>
        </w:tc>
        <w:tc>
          <w:tcPr>
            <w:tcW w:w="1438" w:type="dxa"/>
          </w:tcPr>
          <w:p w:rsidR="00BD2383" w:rsidRPr="00BD6A76" w:rsidRDefault="00BD2383" w:rsidP="00B630DA">
            <w:pPr>
              <w:widowControl w:val="0"/>
              <w:autoSpaceDE w:val="0"/>
              <w:autoSpaceDN w:val="0"/>
              <w:spacing w:before="19"/>
              <w:jc w:val="left"/>
              <w:rPr>
                <w:rFonts w:ascii="Trebuchet MS" w:eastAsia="Trebuchet MS" w:hAnsi="Trebuchet MS" w:cs="Trebuchet MS"/>
                <w:noProof/>
                <w:sz w:val="18"/>
                <w:szCs w:val="22"/>
                <w:lang w:eastAsia="en-GB" w:bidi="en-GB"/>
              </w:rPr>
            </w:pPr>
            <w:r w:rsidRPr="00BD6A76">
              <w:rPr>
                <w:rFonts w:ascii="Trebuchet MS" w:eastAsia="Trebuchet MS" w:hAnsi="Trebuchet MS" w:cs="Trebuchet MS"/>
                <w:noProof/>
                <w:sz w:val="18"/>
                <w:szCs w:val="22"/>
                <w:lang w:eastAsia="en-GB" w:bidi="en-GB"/>
              </w:rPr>
              <w:t>(1)</w:t>
            </w:r>
          </w:p>
        </w:tc>
        <w:tc>
          <w:tcPr>
            <w:tcW w:w="2879" w:type="dxa"/>
            <w:shd w:val="clear" w:color="auto" w:fill="DBE5F1"/>
          </w:tcPr>
          <w:p w:rsidR="00BD2383" w:rsidRPr="00BD6A76" w:rsidRDefault="00BD2383" w:rsidP="00B630DA">
            <w:pPr>
              <w:widowControl w:val="0"/>
              <w:autoSpaceDE w:val="0"/>
              <w:autoSpaceDN w:val="0"/>
              <w:spacing w:before="19"/>
              <w:jc w:val="left"/>
              <w:rPr>
                <w:rFonts w:ascii="Trebuchet MS" w:eastAsia="Trebuchet MS" w:hAnsi="Trebuchet MS" w:cs="Trebuchet MS"/>
                <w:noProof/>
                <w:sz w:val="18"/>
                <w:szCs w:val="22"/>
                <w:lang w:eastAsia="en-GB" w:bidi="en-GB"/>
              </w:rPr>
            </w:pPr>
            <w:r w:rsidRPr="00BD6A76">
              <w:rPr>
                <w:rFonts w:ascii="Trebuchet MS" w:hAnsi="Trebuchet MS"/>
                <w:sz w:val="18"/>
                <w:szCs w:val="18"/>
              </w:rPr>
              <w:t>TUNESIEN</w:t>
            </w:r>
          </w:p>
        </w:tc>
        <w:tc>
          <w:tcPr>
            <w:tcW w:w="1143" w:type="dxa"/>
          </w:tcPr>
          <w:p w:rsidR="00BD2383" w:rsidRPr="00BD6A76" w:rsidRDefault="00BD2383" w:rsidP="00B630DA">
            <w:pPr>
              <w:widowControl w:val="0"/>
              <w:autoSpaceDE w:val="0"/>
              <w:autoSpaceDN w:val="0"/>
              <w:spacing w:before="19"/>
              <w:jc w:val="left"/>
              <w:rPr>
                <w:rFonts w:ascii="Trebuchet MS" w:eastAsia="Trebuchet MS" w:hAnsi="Trebuchet MS" w:cs="Trebuchet MS"/>
                <w:noProof/>
                <w:szCs w:val="22"/>
                <w:lang w:eastAsia="en-GB" w:bidi="en-GB"/>
              </w:rPr>
            </w:pPr>
            <w:r w:rsidRPr="00BD6A76">
              <w:rPr>
                <w:rFonts w:ascii="Trebuchet MS" w:eastAsia="Trebuchet MS" w:hAnsi="Trebuchet MS" w:cs="Trebuchet MS"/>
                <w:noProof/>
                <w:szCs w:val="22"/>
                <w:lang w:eastAsia="en-GB" w:bidi="en-GB"/>
              </w:rPr>
              <w:t>(2)</w:t>
            </w:r>
          </w:p>
        </w:tc>
      </w:tr>
      <w:tr w:rsidR="00BD2383" w:rsidRPr="00BD6A76" w:rsidTr="00B630DA">
        <w:trPr>
          <w:trHeight w:val="272"/>
        </w:trPr>
        <w:tc>
          <w:tcPr>
            <w:tcW w:w="2482" w:type="dxa"/>
            <w:shd w:val="clear" w:color="auto" w:fill="DBE5F1"/>
          </w:tcPr>
          <w:p w:rsidR="00BD2383" w:rsidRPr="00BD6A76" w:rsidRDefault="00BD2383" w:rsidP="00B630DA">
            <w:pPr>
              <w:widowControl w:val="0"/>
              <w:autoSpaceDE w:val="0"/>
              <w:autoSpaceDN w:val="0"/>
              <w:spacing w:before="20"/>
              <w:jc w:val="left"/>
              <w:rPr>
                <w:rFonts w:ascii="Trebuchet MS" w:hAnsi="Trebuchet MS"/>
                <w:sz w:val="18"/>
                <w:szCs w:val="18"/>
              </w:rPr>
            </w:pPr>
            <w:r w:rsidRPr="00BD6A76">
              <w:rPr>
                <w:rFonts w:ascii="Trebuchet MS" w:hAnsi="Trebuchet MS"/>
                <w:sz w:val="18"/>
                <w:szCs w:val="18"/>
              </w:rPr>
              <w:t>ITALIEN</w:t>
            </w:r>
          </w:p>
        </w:tc>
        <w:tc>
          <w:tcPr>
            <w:tcW w:w="1438" w:type="dxa"/>
          </w:tcPr>
          <w:p w:rsidR="00BD2383" w:rsidRPr="00BD6A76" w:rsidRDefault="00BD2383" w:rsidP="00B630DA">
            <w:pPr>
              <w:widowControl w:val="0"/>
              <w:autoSpaceDE w:val="0"/>
              <w:autoSpaceDN w:val="0"/>
              <w:spacing w:before="20"/>
              <w:jc w:val="left"/>
              <w:rPr>
                <w:rFonts w:ascii="Trebuchet MS" w:eastAsia="Trebuchet MS" w:hAnsi="Trebuchet MS" w:cs="Trebuchet MS"/>
                <w:noProof/>
                <w:sz w:val="18"/>
                <w:szCs w:val="22"/>
                <w:lang w:eastAsia="en-GB" w:bidi="en-GB"/>
              </w:rPr>
            </w:pPr>
            <w:r w:rsidRPr="00BD6A76">
              <w:rPr>
                <w:rFonts w:ascii="Trebuchet MS" w:eastAsia="Trebuchet MS" w:hAnsi="Trebuchet MS" w:cs="Trebuchet MS"/>
                <w:noProof/>
                <w:sz w:val="18"/>
                <w:szCs w:val="22"/>
                <w:lang w:eastAsia="en-GB" w:bidi="en-GB"/>
              </w:rPr>
              <w:t>(1)</w:t>
            </w:r>
          </w:p>
        </w:tc>
        <w:tc>
          <w:tcPr>
            <w:tcW w:w="2879" w:type="dxa"/>
            <w:shd w:val="clear" w:color="auto" w:fill="DBE5F1"/>
          </w:tcPr>
          <w:p w:rsidR="00BD2383" w:rsidRPr="00BD6A76" w:rsidRDefault="00BD2383" w:rsidP="00B630DA">
            <w:pPr>
              <w:widowControl w:val="0"/>
              <w:autoSpaceDE w:val="0"/>
              <w:autoSpaceDN w:val="0"/>
              <w:spacing w:before="20"/>
              <w:jc w:val="left"/>
              <w:rPr>
                <w:rFonts w:ascii="Trebuchet MS" w:hAnsi="Trebuchet MS"/>
                <w:sz w:val="18"/>
                <w:szCs w:val="18"/>
              </w:rPr>
            </w:pPr>
            <w:r w:rsidRPr="00BD6A76">
              <w:rPr>
                <w:rFonts w:ascii="Trebuchet MS" w:hAnsi="Trebuchet MS"/>
                <w:sz w:val="18"/>
                <w:szCs w:val="18"/>
              </w:rPr>
              <w:t>UGANDA</w:t>
            </w:r>
          </w:p>
        </w:tc>
        <w:tc>
          <w:tcPr>
            <w:tcW w:w="1143" w:type="dxa"/>
          </w:tcPr>
          <w:p w:rsidR="00BD2383" w:rsidRPr="00BD6A76" w:rsidRDefault="00BD2383" w:rsidP="00B630DA">
            <w:pPr>
              <w:widowControl w:val="0"/>
              <w:autoSpaceDE w:val="0"/>
              <w:autoSpaceDN w:val="0"/>
              <w:spacing w:before="21"/>
              <w:ind w:right="427"/>
              <w:rPr>
                <w:rFonts w:ascii="Trebuchet MS" w:eastAsia="Trebuchet MS" w:hAnsi="Trebuchet MS" w:cs="Trebuchet MS"/>
                <w:noProof/>
                <w:szCs w:val="22"/>
                <w:lang w:eastAsia="en-GB" w:bidi="en-GB"/>
              </w:rPr>
            </w:pPr>
            <w:r w:rsidRPr="00BD6A76">
              <w:rPr>
                <w:rFonts w:ascii="Trebuchet MS" w:eastAsia="Trebuchet MS" w:hAnsi="Trebuchet MS" w:cs="Trebuchet MS"/>
                <w:noProof/>
                <w:szCs w:val="22"/>
                <w:lang w:eastAsia="en-GB" w:bidi="en-GB"/>
              </w:rPr>
              <w:t>(2)</w:t>
            </w:r>
          </w:p>
        </w:tc>
      </w:tr>
      <w:tr w:rsidR="00BD2383" w:rsidRPr="00BD6A76" w:rsidTr="00B630DA">
        <w:trPr>
          <w:trHeight w:val="272"/>
        </w:trPr>
        <w:tc>
          <w:tcPr>
            <w:tcW w:w="2482" w:type="dxa"/>
            <w:shd w:val="clear" w:color="auto" w:fill="DBE5F1"/>
          </w:tcPr>
          <w:p w:rsidR="00BD2383" w:rsidRPr="00BD6A76" w:rsidRDefault="00BD2383" w:rsidP="00B630DA">
            <w:pPr>
              <w:widowControl w:val="0"/>
              <w:autoSpaceDE w:val="0"/>
              <w:autoSpaceDN w:val="0"/>
              <w:spacing w:before="20"/>
              <w:jc w:val="left"/>
              <w:rPr>
                <w:rFonts w:ascii="Trebuchet MS" w:hAnsi="Trebuchet MS"/>
                <w:sz w:val="18"/>
                <w:szCs w:val="18"/>
              </w:rPr>
            </w:pPr>
            <w:r w:rsidRPr="00BD6A76">
              <w:rPr>
                <w:rFonts w:ascii="Trebuchet MS" w:hAnsi="Trebuchet MS"/>
                <w:sz w:val="18"/>
                <w:szCs w:val="18"/>
              </w:rPr>
              <w:t>JAPAN</w:t>
            </w:r>
          </w:p>
        </w:tc>
        <w:tc>
          <w:tcPr>
            <w:tcW w:w="1438" w:type="dxa"/>
          </w:tcPr>
          <w:p w:rsidR="00BD2383" w:rsidRPr="00BD6A76" w:rsidRDefault="00BD2383" w:rsidP="00B630DA">
            <w:pPr>
              <w:widowControl w:val="0"/>
              <w:autoSpaceDE w:val="0"/>
              <w:autoSpaceDN w:val="0"/>
              <w:spacing w:before="20"/>
              <w:jc w:val="left"/>
              <w:rPr>
                <w:rFonts w:ascii="Trebuchet MS" w:eastAsia="Trebuchet MS" w:hAnsi="Trebuchet MS" w:cs="Trebuchet MS"/>
                <w:noProof/>
                <w:sz w:val="18"/>
                <w:szCs w:val="22"/>
                <w:lang w:eastAsia="en-GB" w:bidi="en-GB"/>
              </w:rPr>
            </w:pPr>
            <w:r w:rsidRPr="00BD6A76">
              <w:rPr>
                <w:rFonts w:ascii="Trebuchet MS" w:eastAsia="Trebuchet MS" w:hAnsi="Trebuchet MS" w:cs="Trebuchet MS"/>
                <w:noProof/>
                <w:sz w:val="18"/>
                <w:szCs w:val="22"/>
                <w:lang w:eastAsia="en-GB" w:bidi="en-GB"/>
              </w:rPr>
              <w:t>(1)</w:t>
            </w:r>
          </w:p>
        </w:tc>
        <w:tc>
          <w:tcPr>
            <w:tcW w:w="2879" w:type="dxa"/>
            <w:shd w:val="clear" w:color="auto" w:fill="DBE5F1"/>
          </w:tcPr>
          <w:p w:rsidR="00BD2383" w:rsidRPr="00BD6A76" w:rsidRDefault="00BD2383" w:rsidP="00B630DA">
            <w:pPr>
              <w:widowControl w:val="0"/>
              <w:autoSpaceDE w:val="0"/>
              <w:autoSpaceDN w:val="0"/>
              <w:spacing w:before="20"/>
              <w:jc w:val="left"/>
              <w:rPr>
                <w:rFonts w:ascii="Trebuchet MS" w:hAnsi="Trebuchet MS"/>
                <w:sz w:val="18"/>
                <w:szCs w:val="18"/>
              </w:rPr>
            </w:pPr>
            <w:r w:rsidRPr="00BD6A76">
              <w:rPr>
                <w:rFonts w:ascii="Trebuchet MS" w:hAnsi="Trebuchet MS"/>
                <w:sz w:val="18"/>
                <w:szCs w:val="18"/>
              </w:rPr>
              <w:t>UKRAINE</w:t>
            </w:r>
          </w:p>
        </w:tc>
        <w:tc>
          <w:tcPr>
            <w:tcW w:w="1143" w:type="dxa"/>
          </w:tcPr>
          <w:p w:rsidR="00BD2383" w:rsidRPr="00BD6A76" w:rsidRDefault="00BD2383" w:rsidP="00B630DA">
            <w:pPr>
              <w:widowControl w:val="0"/>
              <w:autoSpaceDE w:val="0"/>
              <w:autoSpaceDN w:val="0"/>
              <w:spacing w:before="21"/>
              <w:ind w:right="427"/>
              <w:rPr>
                <w:rFonts w:ascii="Trebuchet MS" w:eastAsia="Trebuchet MS" w:hAnsi="Trebuchet MS" w:cs="Trebuchet MS"/>
                <w:noProof/>
                <w:sz w:val="18"/>
                <w:szCs w:val="22"/>
                <w:lang w:eastAsia="en-GB" w:bidi="en-GB"/>
              </w:rPr>
            </w:pPr>
            <w:r w:rsidRPr="00BD6A76">
              <w:rPr>
                <w:rFonts w:ascii="Trebuchet MS" w:eastAsia="Trebuchet MS" w:hAnsi="Trebuchet MS" w:cs="Trebuchet MS"/>
                <w:noProof/>
                <w:sz w:val="18"/>
                <w:szCs w:val="22"/>
                <w:lang w:eastAsia="en-GB" w:bidi="en-GB"/>
              </w:rPr>
              <w:t>(2)</w:t>
            </w:r>
          </w:p>
        </w:tc>
      </w:tr>
      <w:tr w:rsidR="00BD2383" w:rsidRPr="00BD6A76" w:rsidTr="00B630DA">
        <w:trPr>
          <w:trHeight w:val="272"/>
        </w:trPr>
        <w:tc>
          <w:tcPr>
            <w:tcW w:w="2482" w:type="dxa"/>
            <w:shd w:val="clear" w:color="auto" w:fill="DBE5F1"/>
          </w:tcPr>
          <w:p w:rsidR="00BD2383" w:rsidRPr="00BD6A76" w:rsidRDefault="00BD2383" w:rsidP="00B630DA">
            <w:pPr>
              <w:widowControl w:val="0"/>
              <w:autoSpaceDE w:val="0"/>
              <w:autoSpaceDN w:val="0"/>
              <w:spacing w:before="20"/>
              <w:jc w:val="left"/>
              <w:rPr>
                <w:rFonts w:ascii="Trebuchet MS" w:eastAsia="Trebuchet MS" w:hAnsi="Trebuchet MS" w:cs="Trebuchet MS"/>
                <w:noProof/>
                <w:sz w:val="18"/>
                <w:szCs w:val="22"/>
                <w:lang w:eastAsia="en-GB" w:bidi="en-GB"/>
              </w:rPr>
            </w:pPr>
            <w:r w:rsidRPr="00BD6A76">
              <w:rPr>
                <w:rFonts w:ascii="Trebuchet MS" w:hAnsi="Trebuchet MS"/>
                <w:sz w:val="18"/>
                <w:szCs w:val="18"/>
              </w:rPr>
              <w:t>KANADA</w:t>
            </w:r>
          </w:p>
        </w:tc>
        <w:tc>
          <w:tcPr>
            <w:tcW w:w="1438" w:type="dxa"/>
          </w:tcPr>
          <w:p w:rsidR="00BD2383" w:rsidRPr="00BD6A76" w:rsidRDefault="00BD2383" w:rsidP="00B630DA">
            <w:pPr>
              <w:widowControl w:val="0"/>
              <w:autoSpaceDE w:val="0"/>
              <w:autoSpaceDN w:val="0"/>
              <w:spacing w:before="20"/>
              <w:jc w:val="left"/>
              <w:rPr>
                <w:rFonts w:ascii="Trebuchet MS" w:eastAsia="Trebuchet MS" w:hAnsi="Trebuchet MS" w:cs="Trebuchet MS"/>
                <w:noProof/>
                <w:sz w:val="18"/>
                <w:szCs w:val="22"/>
                <w:lang w:eastAsia="en-GB" w:bidi="en-GB"/>
              </w:rPr>
            </w:pPr>
            <w:r w:rsidRPr="00BD6A76">
              <w:rPr>
                <w:rFonts w:ascii="Trebuchet MS" w:eastAsia="Trebuchet MS" w:hAnsi="Trebuchet MS" w:cs="Trebuchet MS"/>
                <w:noProof/>
                <w:sz w:val="18"/>
                <w:szCs w:val="22"/>
                <w:lang w:eastAsia="en-GB" w:bidi="en-GB"/>
              </w:rPr>
              <w:t>(1)</w:t>
            </w:r>
          </w:p>
        </w:tc>
        <w:tc>
          <w:tcPr>
            <w:tcW w:w="2879" w:type="dxa"/>
            <w:shd w:val="clear" w:color="auto" w:fill="DBE5F1"/>
          </w:tcPr>
          <w:p w:rsidR="00BD2383" w:rsidRPr="00BD6A76" w:rsidRDefault="00BD2383" w:rsidP="00B630DA">
            <w:pPr>
              <w:widowControl w:val="0"/>
              <w:autoSpaceDE w:val="0"/>
              <w:autoSpaceDN w:val="0"/>
              <w:spacing w:before="20"/>
              <w:jc w:val="left"/>
              <w:rPr>
                <w:rFonts w:ascii="Trebuchet MS" w:eastAsia="Trebuchet MS" w:hAnsi="Trebuchet MS" w:cs="Trebuchet MS"/>
                <w:noProof/>
                <w:sz w:val="18"/>
                <w:szCs w:val="22"/>
                <w:lang w:eastAsia="en-GB" w:bidi="en-GB"/>
              </w:rPr>
            </w:pPr>
            <w:r w:rsidRPr="00BD6A76">
              <w:rPr>
                <w:rFonts w:ascii="Trebuchet MS" w:hAnsi="Trebuchet MS"/>
                <w:sz w:val="18"/>
                <w:szCs w:val="18"/>
              </w:rPr>
              <w:t>UNGARN</w:t>
            </w:r>
          </w:p>
        </w:tc>
        <w:tc>
          <w:tcPr>
            <w:tcW w:w="1143" w:type="dxa"/>
          </w:tcPr>
          <w:p w:rsidR="00BD2383" w:rsidRPr="00BD6A76" w:rsidRDefault="00BD2383" w:rsidP="00B630DA">
            <w:pPr>
              <w:widowControl w:val="0"/>
              <w:autoSpaceDE w:val="0"/>
              <w:autoSpaceDN w:val="0"/>
              <w:spacing w:before="21"/>
              <w:ind w:right="427"/>
              <w:rPr>
                <w:rFonts w:ascii="Trebuchet MS" w:eastAsia="Trebuchet MS" w:hAnsi="Trebuchet MS" w:cs="Trebuchet MS"/>
                <w:noProof/>
                <w:szCs w:val="22"/>
                <w:lang w:eastAsia="en-GB" w:bidi="en-GB"/>
              </w:rPr>
            </w:pPr>
            <w:r w:rsidRPr="00BD6A76">
              <w:rPr>
                <w:rFonts w:ascii="Trebuchet MS" w:eastAsia="Trebuchet MS" w:hAnsi="Trebuchet MS" w:cs="Trebuchet MS"/>
                <w:noProof/>
                <w:szCs w:val="22"/>
                <w:lang w:eastAsia="en-GB" w:bidi="en-GB"/>
              </w:rPr>
              <w:t>(1)</w:t>
            </w:r>
          </w:p>
        </w:tc>
      </w:tr>
      <w:tr w:rsidR="00BD2383" w:rsidRPr="00BD6A76" w:rsidTr="00B630DA">
        <w:trPr>
          <w:trHeight w:val="272"/>
        </w:trPr>
        <w:tc>
          <w:tcPr>
            <w:tcW w:w="2482" w:type="dxa"/>
            <w:shd w:val="clear" w:color="auto" w:fill="DBE5F1"/>
          </w:tcPr>
          <w:p w:rsidR="00BD2383" w:rsidRPr="00BD6A76" w:rsidRDefault="00BD2383" w:rsidP="00B630DA">
            <w:pPr>
              <w:widowControl w:val="0"/>
              <w:autoSpaceDE w:val="0"/>
              <w:autoSpaceDN w:val="0"/>
              <w:spacing w:before="20"/>
              <w:jc w:val="left"/>
              <w:rPr>
                <w:rFonts w:ascii="Trebuchet MS" w:eastAsia="Trebuchet MS" w:hAnsi="Trebuchet MS" w:cs="Trebuchet MS"/>
                <w:noProof/>
                <w:sz w:val="18"/>
                <w:szCs w:val="22"/>
                <w:lang w:eastAsia="en-GB" w:bidi="en-GB"/>
              </w:rPr>
            </w:pPr>
            <w:r w:rsidRPr="00BD6A76">
              <w:rPr>
                <w:rFonts w:ascii="Trebuchet MS" w:hAnsi="Trebuchet MS"/>
                <w:sz w:val="18"/>
                <w:szCs w:val="18"/>
              </w:rPr>
              <w:t>KENIA</w:t>
            </w:r>
          </w:p>
        </w:tc>
        <w:tc>
          <w:tcPr>
            <w:tcW w:w="1438" w:type="dxa"/>
          </w:tcPr>
          <w:p w:rsidR="00BD2383" w:rsidRPr="00BD6A76" w:rsidRDefault="00BD2383" w:rsidP="00B630DA">
            <w:pPr>
              <w:widowControl w:val="0"/>
              <w:autoSpaceDE w:val="0"/>
              <w:autoSpaceDN w:val="0"/>
              <w:spacing w:before="20"/>
              <w:jc w:val="left"/>
              <w:rPr>
                <w:rFonts w:ascii="Trebuchet MS" w:eastAsia="Trebuchet MS" w:hAnsi="Trebuchet MS" w:cs="Trebuchet MS"/>
                <w:noProof/>
                <w:sz w:val="18"/>
                <w:szCs w:val="22"/>
                <w:lang w:eastAsia="en-GB" w:bidi="en-GB"/>
              </w:rPr>
            </w:pPr>
            <w:r w:rsidRPr="00BD6A76">
              <w:rPr>
                <w:rFonts w:ascii="Trebuchet MS" w:eastAsia="Trebuchet MS" w:hAnsi="Trebuchet MS" w:cs="Trebuchet MS"/>
                <w:noProof/>
                <w:sz w:val="18"/>
                <w:szCs w:val="22"/>
                <w:lang w:eastAsia="en-GB" w:bidi="en-GB"/>
              </w:rPr>
              <w:t>(2)</w:t>
            </w:r>
          </w:p>
        </w:tc>
        <w:tc>
          <w:tcPr>
            <w:tcW w:w="2879" w:type="dxa"/>
            <w:shd w:val="clear" w:color="auto" w:fill="DBE5F1"/>
          </w:tcPr>
          <w:p w:rsidR="00BD2383" w:rsidRPr="00BD6A76" w:rsidRDefault="00BD2383" w:rsidP="00B630DA">
            <w:pPr>
              <w:widowControl w:val="0"/>
              <w:autoSpaceDE w:val="0"/>
              <w:autoSpaceDN w:val="0"/>
              <w:spacing w:before="20"/>
              <w:jc w:val="left"/>
              <w:rPr>
                <w:rFonts w:ascii="Trebuchet MS" w:eastAsia="Trebuchet MS" w:hAnsi="Trebuchet MS" w:cs="Trebuchet MS"/>
                <w:noProof/>
                <w:sz w:val="18"/>
                <w:szCs w:val="22"/>
                <w:lang w:eastAsia="en-GB" w:bidi="en-GB"/>
              </w:rPr>
            </w:pPr>
            <w:r w:rsidRPr="00BD6A76">
              <w:rPr>
                <w:rFonts w:ascii="Trebuchet MS" w:hAnsi="Trebuchet MS"/>
                <w:sz w:val="18"/>
                <w:szCs w:val="18"/>
              </w:rPr>
              <w:t>URUGUAY</w:t>
            </w:r>
          </w:p>
        </w:tc>
        <w:tc>
          <w:tcPr>
            <w:tcW w:w="1143" w:type="dxa"/>
          </w:tcPr>
          <w:p w:rsidR="00BD2383" w:rsidRPr="00BD6A76" w:rsidRDefault="00BD2383" w:rsidP="00B630DA">
            <w:pPr>
              <w:widowControl w:val="0"/>
              <w:autoSpaceDE w:val="0"/>
              <w:autoSpaceDN w:val="0"/>
              <w:spacing w:before="21"/>
              <w:ind w:right="427"/>
              <w:rPr>
                <w:rFonts w:ascii="Trebuchet MS" w:eastAsia="Trebuchet MS" w:hAnsi="Trebuchet MS" w:cs="Trebuchet MS"/>
                <w:noProof/>
                <w:sz w:val="18"/>
                <w:szCs w:val="22"/>
                <w:lang w:eastAsia="en-GB" w:bidi="en-GB"/>
              </w:rPr>
            </w:pPr>
            <w:r w:rsidRPr="00BD6A76">
              <w:rPr>
                <w:rFonts w:ascii="Trebuchet MS" w:eastAsia="Trebuchet MS" w:hAnsi="Trebuchet MS" w:cs="Trebuchet MS"/>
                <w:noProof/>
                <w:sz w:val="18"/>
                <w:szCs w:val="22"/>
                <w:lang w:eastAsia="en-GB" w:bidi="en-GB"/>
              </w:rPr>
              <w:t>(2)</w:t>
            </w:r>
          </w:p>
        </w:tc>
      </w:tr>
      <w:tr w:rsidR="00BD2383" w:rsidRPr="00BD6A76" w:rsidTr="00B630DA">
        <w:trPr>
          <w:trHeight w:val="272"/>
        </w:trPr>
        <w:tc>
          <w:tcPr>
            <w:tcW w:w="2482" w:type="dxa"/>
            <w:shd w:val="clear" w:color="auto" w:fill="DBE5F1"/>
          </w:tcPr>
          <w:p w:rsidR="00BD2383" w:rsidRPr="00BD6A76" w:rsidRDefault="00BD2383" w:rsidP="00B630DA">
            <w:pPr>
              <w:widowControl w:val="0"/>
              <w:autoSpaceDE w:val="0"/>
              <w:autoSpaceDN w:val="0"/>
              <w:spacing w:before="20"/>
              <w:jc w:val="left"/>
              <w:rPr>
                <w:rFonts w:ascii="Trebuchet MS" w:eastAsia="Trebuchet MS" w:hAnsi="Trebuchet MS" w:cs="Trebuchet MS"/>
                <w:noProof/>
                <w:sz w:val="18"/>
                <w:szCs w:val="22"/>
                <w:lang w:eastAsia="en-GB" w:bidi="en-GB"/>
              </w:rPr>
            </w:pPr>
            <w:r w:rsidRPr="00BD6A76">
              <w:rPr>
                <w:rFonts w:ascii="Trebuchet MS" w:hAnsi="Trebuchet MS"/>
                <w:sz w:val="18"/>
                <w:szCs w:val="18"/>
              </w:rPr>
              <w:t>KROATIEN</w:t>
            </w:r>
          </w:p>
        </w:tc>
        <w:tc>
          <w:tcPr>
            <w:tcW w:w="1438" w:type="dxa"/>
          </w:tcPr>
          <w:p w:rsidR="00BD2383" w:rsidRPr="00BD6A76" w:rsidRDefault="00BD2383" w:rsidP="00B630DA">
            <w:pPr>
              <w:widowControl w:val="0"/>
              <w:autoSpaceDE w:val="0"/>
              <w:autoSpaceDN w:val="0"/>
              <w:spacing w:before="20"/>
              <w:jc w:val="left"/>
              <w:rPr>
                <w:rFonts w:ascii="Trebuchet MS" w:eastAsia="Trebuchet MS" w:hAnsi="Trebuchet MS" w:cs="Trebuchet MS"/>
                <w:noProof/>
                <w:sz w:val="18"/>
                <w:szCs w:val="22"/>
                <w:lang w:eastAsia="en-GB" w:bidi="en-GB"/>
              </w:rPr>
            </w:pPr>
            <w:r w:rsidRPr="00BD6A76">
              <w:rPr>
                <w:rFonts w:ascii="Trebuchet MS" w:eastAsia="Trebuchet MS" w:hAnsi="Trebuchet MS" w:cs="Trebuchet MS"/>
                <w:noProof/>
                <w:sz w:val="18"/>
                <w:szCs w:val="22"/>
                <w:lang w:eastAsia="en-GB" w:bidi="en-GB"/>
              </w:rPr>
              <w:t>(2)</w:t>
            </w:r>
          </w:p>
        </w:tc>
        <w:tc>
          <w:tcPr>
            <w:tcW w:w="2879" w:type="dxa"/>
            <w:shd w:val="clear" w:color="auto" w:fill="DBE5F1"/>
          </w:tcPr>
          <w:p w:rsidR="00BD2383" w:rsidRPr="00BD6A76" w:rsidRDefault="00BD2383" w:rsidP="00B630DA">
            <w:pPr>
              <w:widowControl w:val="0"/>
              <w:autoSpaceDE w:val="0"/>
              <w:autoSpaceDN w:val="0"/>
              <w:spacing w:before="20"/>
              <w:jc w:val="left"/>
              <w:rPr>
                <w:rFonts w:ascii="Trebuchet MS" w:eastAsia="Trebuchet MS" w:hAnsi="Trebuchet MS" w:cs="Trebuchet MS"/>
                <w:noProof/>
                <w:sz w:val="18"/>
                <w:szCs w:val="22"/>
                <w:lang w:eastAsia="en-GB" w:bidi="en-GB"/>
              </w:rPr>
            </w:pPr>
            <w:r w:rsidRPr="00BD6A76">
              <w:rPr>
                <w:rFonts w:ascii="Trebuchet MS" w:hAnsi="Trebuchet MS"/>
                <w:sz w:val="18"/>
                <w:szCs w:val="18"/>
              </w:rPr>
              <w:t>VEREINIGTES KÖNIGREICH</w:t>
            </w:r>
          </w:p>
        </w:tc>
        <w:tc>
          <w:tcPr>
            <w:tcW w:w="1143" w:type="dxa"/>
          </w:tcPr>
          <w:p w:rsidR="00BD2383" w:rsidRPr="00BD6A76" w:rsidRDefault="00BD2383" w:rsidP="00B630DA">
            <w:pPr>
              <w:widowControl w:val="0"/>
              <w:autoSpaceDE w:val="0"/>
              <w:autoSpaceDN w:val="0"/>
              <w:spacing w:before="21"/>
              <w:ind w:right="427"/>
              <w:rPr>
                <w:rFonts w:ascii="Trebuchet MS" w:eastAsia="Trebuchet MS" w:hAnsi="Trebuchet MS" w:cs="Trebuchet MS"/>
                <w:noProof/>
                <w:sz w:val="18"/>
                <w:szCs w:val="22"/>
                <w:lang w:eastAsia="en-GB" w:bidi="en-GB"/>
              </w:rPr>
            </w:pPr>
            <w:r w:rsidRPr="00BD6A76">
              <w:rPr>
                <w:rFonts w:ascii="Trebuchet MS" w:eastAsia="Trebuchet MS" w:hAnsi="Trebuchet MS" w:cs="Trebuchet MS"/>
                <w:noProof/>
                <w:sz w:val="18"/>
                <w:szCs w:val="22"/>
                <w:lang w:eastAsia="en-GB" w:bidi="en-GB"/>
              </w:rPr>
              <w:t>(1)</w:t>
            </w:r>
          </w:p>
        </w:tc>
      </w:tr>
      <w:tr w:rsidR="00BD2383" w:rsidRPr="00BD6A76" w:rsidTr="00B630DA">
        <w:trPr>
          <w:trHeight w:val="272"/>
        </w:trPr>
        <w:tc>
          <w:tcPr>
            <w:tcW w:w="2482" w:type="dxa"/>
            <w:shd w:val="clear" w:color="auto" w:fill="DBE5F1"/>
          </w:tcPr>
          <w:p w:rsidR="00BD2383" w:rsidRPr="00BD6A76" w:rsidRDefault="00BD2383" w:rsidP="00B630DA">
            <w:pPr>
              <w:widowControl w:val="0"/>
              <w:autoSpaceDE w:val="0"/>
              <w:autoSpaceDN w:val="0"/>
              <w:spacing w:before="20"/>
              <w:jc w:val="left"/>
              <w:rPr>
                <w:rFonts w:ascii="Trebuchet MS" w:eastAsia="Trebuchet MS" w:hAnsi="Trebuchet MS" w:cs="Trebuchet MS"/>
                <w:noProof/>
                <w:sz w:val="18"/>
                <w:szCs w:val="22"/>
                <w:lang w:eastAsia="en-GB" w:bidi="en-GB"/>
              </w:rPr>
            </w:pPr>
            <w:r w:rsidRPr="00BD6A76">
              <w:rPr>
                <w:rFonts w:ascii="Trebuchet MS" w:hAnsi="Trebuchet MS"/>
                <w:sz w:val="18"/>
                <w:szCs w:val="18"/>
              </w:rPr>
              <w:t>KIRGISISTAN</w:t>
            </w:r>
          </w:p>
        </w:tc>
        <w:tc>
          <w:tcPr>
            <w:tcW w:w="1438" w:type="dxa"/>
          </w:tcPr>
          <w:p w:rsidR="00BD2383" w:rsidRPr="00BD6A76" w:rsidRDefault="00BD2383" w:rsidP="00B630DA">
            <w:pPr>
              <w:widowControl w:val="0"/>
              <w:autoSpaceDE w:val="0"/>
              <w:autoSpaceDN w:val="0"/>
              <w:spacing w:before="20"/>
              <w:jc w:val="left"/>
              <w:rPr>
                <w:rFonts w:ascii="Trebuchet MS" w:eastAsia="Trebuchet MS" w:hAnsi="Trebuchet MS" w:cs="Trebuchet MS"/>
                <w:noProof/>
                <w:sz w:val="18"/>
                <w:szCs w:val="22"/>
                <w:lang w:eastAsia="en-GB" w:bidi="en-GB"/>
              </w:rPr>
            </w:pPr>
            <w:r w:rsidRPr="00BD6A76">
              <w:rPr>
                <w:rFonts w:ascii="Trebuchet MS" w:eastAsia="Trebuchet MS" w:hAnsi="Trebuchet MS" w:cs="Trebuchet MS"/>
                <w:noProof/>
                <w:sz w:val="18"/>
                <w:szCs w:val="22"/>
                <w:lang w:eastAsia="en-GB" w:bidi="en-GB"/>
              </w:rPr>
              <w:t>(2)</w:t>
            </w:r>
          </w:p>
        </w:tc>
        <w:tc>
          <w:tcPr>
            <w:tcW w:w="2879" w:type="dxa"/>
            <w:shd w:val="clear" w:color="auto" w:fill="DBE5F1"/>
          </w:tcPr>
          <w:p w:rsidR="00BD2383" w:rsidRPr="00BD6A76" w:rsidRDefault="00BD2383" w:rsidP="00B630DA">
            <w:pPr>
              <w:widowControl w:val="0"/>
              <w:autoSpaceDE w:val="0"/>
              <w:autoSpaceDN w:val="0"/>
              <w:spacing w:before="20"/>
              <w:jc w:val="left"/>
              <w:rPr>
                <w:rFonts w:ascii="Trebuchet MS" w:eastAsia="Trebuchet MS" w:hAnsi="Trebuchet MS" w:cs="Trebuchet MS"/>
                <w:noProof/>
                <w:sz w:val="18"/>
                <w:szCs w:val="22"/>
                <w:lang w:eastAsia="en-GB" w:bidi="en-GB"/>
              </w:rPr>
            </w:pPr>
            <w:r w:rsidRPr="00BD6A76">
              <w:rPr>
                <w:rFonts w:ascii="Trebuchet MS" w:hAnsi="Trebuchet MS"/>
                <w:sz w:val="18"/>
                <w:szCs w:val="18"/>
              </w:rPr>
              <w:t>VEREINIGTE STAATEN</w:t>
            </w:r>
          </w:p>
        </w:tc>
        <w:tc>
          <w:tcPr>
            <w:tcW w:w="1143" w:type="dxa"/>
          </w:tcPr>
          <w:p w:rsidR="00BD2383" w:rsidRPr="00BD6A76" w:rsidRDefault="00BD2383" w:rsidP="00B630DA">
            <w:pPr>
              <w:widowControl w:val="0"/>
              <w:autoSpaceDE w:val="0"/>
              <w:autoSpaceDN w:val="0"/>
              <w:spacing w:before="21"/>
              <w:ind w:right="427"/>
              <w:rPr>
                <w:rFonts w:ascii="Trebuchet MS" w:eastAsia="Trebuchet MS" w:hAnsi="Trebuchet MS" w:cs="Trebuchet MS"/>
                <w:noProof/>
                <w:sz w:val="18"/>
                <w:szCs w:val="22"/>
                <w:lang w:eastAsia="en-GB" w:bidi="en-GB"/>
              </w:rPr>
            </w:pPr>
            <w:r w:rsidRPr="00BD6A76">
              <w:rPr>
                <w:rFonts w:ascii="Trebuchet MS" w:eastAsia="Trebuchet MS" w:hAnsi="Trebuchet MS" w:cs="Trebuchet MS"/>
                <w:noProof/>
                <w:sz w:val="18"/>
                <w:szCs w:val="22"/>
                <w:lang w:eastAsia="en-GB" w:bidi="en-GB"/>
              </w:rPr>
              <w:t>(1)</w:t>
            </w:r>
          </w:p>
        </w:tc>
      </w:tr>
      <w:tr w:rsidR="00BD2383" w:rsidRPr="00BD6A76" w:rsidTr="00B630DA">
        <w:trPr>
          <w:trHeight w:val="272"/>
        </w:trPr>
        <w:tc>
          <w:tcPr>
            <w:tcW w:w="2482" w:type="dxa"/>
            <w:shd w:val="clear" w:color="auto" w:fill="DBE5F1"/>
          </w:tcPr>
          <w:p w:rsidR="00BD2383" w:rsidRPr="00BD6A76" w:rsidRDefault="00BD2383" w:rsidP="00B630DA">
            <w:pPr>
              <w:widowControl w:val="0"/>
              <w:autoSpaceDE w:val="0"/>
              <w:autoSpaceDN w:val="0"/>
              <w:spacing w:before="20"/>
              <w:jc w:val="left"/>
              <w:rPr>
                <w:rFonts w:ascii="Trebuchet MS" w:eastAsia="Trebuchet MS" w:hAnsi="Trebuchet MS" w:cs="Trebuchet MS"/>
                <w:noProof/>
                <w:sz w:val="18"/>
                <w:szCs w:val="22"/>
                <w:lang w:eastAsia="en-GB" w:bidi="en-GB"/>
              </w:rPr>
            </w:pPr>
            <w:r w:rsidRPr="00BD6A76">
              <w:rPr>
                <w:rFonts w:ascii="Trebuchet MS" w:hAnsi="Trebuchet MS"/>
                <w:sz w:val="18"/>
                <w:szCs w:val="18"/>
              </w:rPr>
              <w:t>LETTLAND</w:t>
            </w:r>
          </w:p>
        </w:tc>
        <w:tc>
          <w:tcPr>
            <w:tcW w:w="1438" w:type="dxa"/>
          </w:tcPr>
          <w:p w:rsidR="00BD2383" w:rsidRPr="00BD6A76" w:rsidRDefault="00BD2383" w:rsidP="00B630DA">
            <w:pPr>
              <w:widowControl w:val="0"/>
              <w:autoSpaceDE w:val="0"/>
              <w:autoSpaceDN w:val="0"/>
              <w:spacing w:before="20"/>
              <w:jc w:val="left"/>
              <w:rPr>
                <w:rFonts w:ascii="Trebuchet MS" w:eastAsia="Trebuchet MS" w:hAnsi="Trebuchet MS" w:cs="Trebuchet MS"/>
                <w:noProof/>
                <w:sz w:val="18"/>
                <w:szCs w:val="22"/>
                <w:lang w:eastAsia="en-GB" w:bidi="en-GB"/>
              </w:rPr>
            </w:pPr>
            <w:r w:rsidRPr="00BD6A76">
              <w:rPr>
                <w:rFonts w:ascii="Trebuchet MS" w:eastAsia="Trebuchet MS" w:hAnsi="Trebuchet MS" w:cs="Trebuchet MS"/>
                <w:noProof/>
                <w:sz w:val="18"/>
                <w:szCs w:val="22"/>
                <w:lang w:eastAsia="en-GB" w:bidi="en-GB"/>
              </w:rPr>
              <w:t>(2)</w:t>
            </w:r>
          </w:p>
        </w:tc>
        <w:tc>
          <w:tcPr>
            <w:tcW w:w="2879" w:type="dxa"/>
            <w:shd w:val="clear" w:color="auto" w:fill="DBE5F1"/>
          </w:tcPr>
          <w:p w:rsidR="00BD2383" w:rsidRPr="00BD6A76" w:rsidRDefault="00BD2383" w:rsidP="00B630DA">
            <w:pPr>
              <w:widowControl w:val="0"/>
              <w:autoSpaceDE w:val="0"/>
              <w:autoSpaceDN w:val="0"/>
              <w:spacing w:before="20"/>
              <w:jc w:val="left"/>
              <w:rPr>
                <w:rFonts w:ascii="Trebuchet MS" w:eastAsia="Trebuchet MS" w:hAnsi="Trebuchet MS" w:cs="Trebuchet MS"/>
                <w:noProof/>
                <w:sz w:val="18"/>
                <w:szCs w:val="22"/>
                <w:lang w:eastAsia="en-GB" w:bidi="en-GB"/>
              </w:rPr>
            </w:pPr>
            <w:r w:rsidRPr="00BD6A76">
              <w:rPr>
                <w:rFonts w:ascii="Trebuchet MS" w:hAnsi="Trebuchet MS"/>
                <w:sz w:val="18"/>
                <w:szCs w:val="18"/>
              </w:rPr>
              <w:t>SIMBABWE</w:t>
            </w:r>
          </w:p>
        </w:tc>
        <w:tc>
          <w:tcPr>
            <w:tcW w:w="1143" w:type="dxa"/>
          </w:tcPr>
          <w:p w:rsidR="00BD2383" w:rsidRPr="00BD6A76" w:rsidRDefault="00BD2383" w:rsidP="00B630DA">
            <w:pPr>
              <w:widowControl w:val="0"/>
              <w:autoSpaceDE w:val="0"/>
              <w:autoSpaceDN w:val="0"/>
              <w:spacing w:before="21"/>
              <w:ind w:right="427"/>
              <w:rPr>
                <w:rFonts w:ascii="Trebuchet MS" w:eastAsia="Trebuchet MS" w:hAnsi="Trebuchet MS" w:cs="Trebuchet MS"/>
                <w:noProof/>
                <w:sz w:val="18"/>
                <w:szCs w:val="22"/>
                <w:lang w:eastAsia="en-GB" w:bidi="en-GB"/>
              </w:rPr>
            </w:pPr>
            <w:r w:rsidRPr="00BD6A76">
              <w:rPr>
                <w:rFonts w:ascii="Trebuchet MS" w:eastAsia="Trebuchet MS" w:hAnsi="Trebuchet MS" w:cs="Trebuchet MS"/>
                <w:noProof/>
                <w:sz w:val="18"/>
                <w:szCs w:val="22"/>
                <w:lang w:eastAsia="en-GB" w:bidi="en-GB"/>
              </w:rPr>
              <w:t>(2)</w:t>
            </w:r>
          </w:p>
        </w:tc>
      </w:tr>
      <w:tr w:rsidR="00BD2383" w:rsidRPr="00BD6A76" w:rsidTr="00B630DA">
        <w:trPr>
          <w:trHeight w:val="256"/>
        </w:trPr>
        <w:tc>
          <w:tcPr>
            <w:tcW w:w="2482" w:type="dxa"/>
            <w:shd w:val="clear" w:color="auto" w:fill="DBE5F1"/>
          </w:tcPr>
          <w:p w:rsidR="00BD2383" w:rsidRPr="00BD6A76" w:rsidRDefault="00BD2383" w:rsidP="00B630DA">
            <w:pPr>
              <w:widowControl w:val="0"/>
              <w:autoSpaceDE w:val="0"/>
              <w:autoSpaceDN w:val="0"/>
              <w:spacing w:before="27"/>
              <w:jc w:val="left"/>
              <w:rPr>
                <w:rFonts w:ascii="Trebuchet MS" w:hAnsi="Trebuchet MS"/>
                <w:sz w:val="18"/>
                <w:szCs w:val="18"/>
              </w:rPr>
            </w:pPr>
            <w:r w:rsidRPr="00BD6A76">
              <w:rPr>
                <w:rFonts w:ascii="Trebuchet MS" w:hAnsi="Trebuchet MS"/>
                <w:sz w:val="18"/>
                <w:szCs w:val="18"/>
              </w:rPr>
              <w:t>LITAUEN</w:t>
            </w:r>
          </w:p>
        </w:tc>
        <w:tc>
          <w:tcPr>
            <w:tcW w:w="1438" w:type="dxa"/>
          </w:tcPr>
          <w:p w:rsidR="00BD2383" w:rsidRPr="00BD6A76" w:rsidRDefault="00BD2383" w:rsidP="00B630DA">
            <w:pPr>
              <w:widowControl w:val="0"/>
              <w:autoSpaceDE w:val="0"/>
              <w:autoSpaceDN w:val="0"/>
              <w:spacing w:before="27"/>
              <w:jc w:val="left"/>
              <w:rPr>
                <w:rFonts w:ascii="Trebuchet MS" w:eastAsia="Trebuchet MS" w:hAnsi="Trebuchet MS" w:cs="Trebuchet MS"/>
                <w:noProof/>
                <w:sz w:val="18"/>
                <w:szCs w:val="22"/>
                <w:lang w:eastAsia="en-GB" w:bidi="en-GB"/>
              </w:rPr>
            </w:pPr>
            <w:r w:rsidRPr="00BD6A76">
              <w:rPr>
                <w:rFonts w:ascii="Trebuchet MS" w:eastAsia="Trebuchet MS" w:hAnsi="Trebuchet MS" w:cs="Trebuchet MS"/>
                <w:noProof/>
                <w:sz w:val="18"/>
                <w:szCs w:val="22"/>
                <w:lang w:eastAsia="en-GB" w:bidi="en-GB"/>
              </w:rPr>
              <w:t>(2)</w:t>
            </w:r>
          </w:p>
        </w:tc>
        <w:tc>
          <w:tcPr>
            <w:tcW w:w="2879" w:type="dxa"/>
            <w:shd w:val="clear" w:color="auto" w:fill="DBE5F1"/>
          </w:tcPr>
          <w:p w:rsidR="00BD2383" w:rsidRPr="00BD6A76" w:rsidRDefault="00BD2383" w:rsidP="00B630DA">
            <w:pPr>
              <w:widowControl w:val="0"/>
              <w:autoSpaceDE w:val="0"/>
              <w:autoSpaceDN w:val="0"/>
              <w:jc w:val="left"/>
              <w:rPr>
                <w:rFonts w:ascii="Times New Roman" w:eastAsia="Trebuchet MS" w:hAnsi="Trebuchet MS" w:cs="Trebuchet MS"/>
                <w:noProof/>
                <w:sz w:val="18"/>
                <w:szCs w:val="22"/>
                <w:lang w:eastAsia="en-GB" w:bidi="en-GB"/>
              </w:rPr>
            </w:pPr>
            <w:r w:rsidRPr="00BD6A76">
              <w:rPr>
                <w:rFonts w:ascii="Trebuchet MS" w:hAnsi="Trebuchet MS"/>
                <w:sz w:val="18"/>
                <w:szCs w:val="18"/>
              </w:rPr>
              <w:t>ZYPERN</w:t>
            </w:r>
            <w:r w:rsidRPr="00BD6A76">
              <w:rPr>
                <w:rFonts w:ascii="Trebuchet MS" w:eastAsia="Trebuchet MS" w:hAnsi="Trebuchet MS" w:cs="Trebuchet MS"/>
                <w:sz w:val="18"/>
                <w:szCs w:val="22"/>
                <w:vertAlign w:val="superscript"/>
                <w:lang w:val="en-GB" w:eastAsia="en-GB" w:bidi="en-GB"/>
              </w:rPr>
              <w:t>1</w:t>
            </w:r>
          </w:p>
        </w:tc>
        <w:tc>
          <w:tcPr>
            <w:tcW w:w="1143" w:type="dxa"/>
          </w:tcPr>
          <w:p w:rsidR="00BD2383" w:rsidRPr="00BD6A76" w:rsidRDefault="00BD2383" w:rsidP="00B630DA">
            <w:pPr>
              <w:widowControl w:val="0"/>
              <w:autoSpaceDE w:val="0"/>
              <w:autoSpaceDN w:val="0"/>
              <w:jc w:val="left"/>
              <w:rPr>
                <w:rFonts w:ascii="Times New Roman" w:eastAsia="Trebuchet MS" w:hAnsi="Trebuchet MS" w:cs="Trebuchet MS"/>
                <w:noProof/>
                <w:sz w:val="18"/>
                <w:szCs w:val="22"/>
                <w:lang w:eastAsia="en-GB" w:bidi="en-GB"/>
              </w:rPr>
            </w:pPr>
            <w:r w:rsidRPr="00BD6A76">
              <w:rPr>
                <w:rFonts w:ascii="Trebuchet MS" w:eastAsia="Trebuchet MS" w:hAnsi="Trebuchet MS" w:cs="Trebuchet MS"/>
                <w:noProof/>
                <w:sz w:val="18"/>
                <w:szCs w:val="22"/>
                <w:lang w:eastAsia="en-GB" w:bidi="en-GB"/>
              </w:rPr>
              <w:t>(2)</w:t>
            </w:r>
          </w:p>
        </w:tc>
      </w:tr>
      <w:tr w:rsidR="00BD2383" w:rsidRPr="00BD6A76" w:rsidTr="00B630DA">
        <w:trPr>
          <w:trHeight w:val="256"/>
        </w:trPr>
        <w:tc>
          <w:tcPr>
            <w:tcW w:w="2482" w:type="dxa"/>
            <w:shd w:val="clear" w:color="auto" w:fill="DBE5F1"/>
          </w:tcPr>
          <w:p w:rsidR="00BD2383" w:rsidRPr="00BD6A76" w:rsidRDefault="00BD2383" w:rsidP="00B630DA">
            <w:pPr>
              <w:widowControl w:val="0"/>
              <w:autoSpaceDE w:val="0"/>
              <w:autoSpaceDN w:val="0"/>
              <w:spacing w:before="27"/>
              <w:jc w:val="left"/>
              <w:rPr>
                <w:rFonts w:ascii="Trebuchet MS" w:eastAsia="Trebuchet MS" w:hAnsi="Trebuchet MS" w:cs="Trebuchet MS"/>
                <w:noProof/>
                <w:sz w:val="18"/>
                <w:szCs w:val="22"/>
                <w:lang w:eastAsia="en-GB" w:bidi="en-GB"/>
              </w:rPr>
            </w:pPr>
            <w:r w:rsidRPr="00BD6A76">
              <w:rPr>
                <w:rFonts w:ascii="Trebuchet MS" w:hAnsi="Trebuchet MS"/>
                <w:sz w:val="18"/>
                <w:szCs w:val="18"/>
              </w:rPr>
              <w:t>LUXEMBURG</w:t>
            </w:r>
          </w:p>
        </w:tc>
        <w:tc>
          <w:tcPr>
            <w:tcW w:w="1438" w:type="dxa"/>
          </w:tcPr>
          <w:p w:rsidR="00BD2383" w:rsidRPr="00BD6A76" w:rsidRDefault="00BD2383" w:rsidP="00B630DA">
            <w:pPr>
              <w:widowControl w:val="0"/>
              <w:autoSpaceDE w:val="0"/>
              <w:autoSpaceDN w:val="0"/>
              <w:spacing w:before="27"/>
              <w:jc w:val="left"/>
              <w:rPr>
                <w:rFonts w:ascii="Trebuchet MS" w:eastAsia="Trebuchet MS" w:hAnsi="Trebuchet MS" w:cs="Trebuchet MS"/>
                <w:noProof/>
                <w:sz w:val="18"/>
                <w:szCs w:val="22"/>
                <w:lang w:eastAsia="en-GB" w:bidi="en-GB"/>
              </w:rPr>
            </w:pPr>
            <w:r w:rsidRPr="00BD6A76">
              <w:rPr>
                <w:rFonts w:ascii="Trebuchet MS" w:eastAsia="Trebuchet MS" w:hAnsi="Trebuchet MS" w:cs="Trebuchet MS"/>
                <w:noProof/>
                <w:sz w:val="18"/>
                <w:szCs w:val="22"/>
                <w:lang w:eastAsia="en-GB" w:bidi="en-GB"/>
              </w:rPr>
              <w:t>(1)</w:t>
            </w:r>
          </w:p>
        </w:tc>
        <w:tc>
          <w:tcPr>
            <w:tcW w:w="2879" w:type="dxa"/>
            <w:tcBorders>
              <w:top w:val="single" w:sz="8" w:space="0" w:color="000000"/>
            </w:tcBorders>
          </w:tcPr>
          <w:p w:rsidR="00BD2383" w:rsidRPr="00BD6A76" w:rsidRDefault="00BD2383" w:rsidP="00B630DA">
            <w:pPr>
              <w:widowControl w:val="0"/>
              <w:autoSpaceDE w:val="0"/>
              <w:autoSpaceDN w:val="0"/>
              <w:jc w:val="left"/>
              <w:rPr>
                <w:rFonts w:ascii="Trebuchet MS" w:eastAsia="Trebuchet MS" w:hAnsi="Trebuchet MS" w:cs="Trebuchet MS"/>
                <w:sz w:val="18"/>
                <w:szCs w:val="22"/>
                <w:lang w:val="en-GB" w:eastAsia="en-GB" w:bidi="en-GB"/>
              </w:rPr>
            </w:pPr>
          </w:p>
        </w:tc>
        <w:tc>
          <w:tcPr>
            <w:tcW w:w="1143" w:type="dxa"/>
          </w:tcPr>
          <w:p w:rsidR="00BD2383" w:rsidRPr="00BD6A76" w:rsidRDefault="00BD2383" w:rsidP="00B630DA">
            <w:pPr>
              <w:widowControl w:val="0"/>
              <w:autoSpaceDE w:val="0"/>
              <w:autoSpaceDN w:val="0"/>
              <w:jc w:val="left"/>
              <w:rPr>
                <w:rFonts w:ascii="Times New Roman" w:eastAsia="Trebuchet MS" w:hAnsi="Trebuchet MS" w:cs="Trebuchet MS"/>
                <w:noProof/>
                <w:sz w:val="18"/>
                <w:szCs w:val="22"/>
                <w:lang w:eastAsia="en-GB" w:bidi="en-GB"/>
              </w:rPr>
            </w:pPr>
          </w:p>
        </w:tc>
      </w:tr>
      <w:tr w:rsidR="00BD2383" w:rsidRPr="00BD6A76" w:rsidTr="00B630DA">
        <w:trPr>
          <w:trHeight w:val="256"/>
        </w:trPr>
        <w:tc>
          <w:tcPr>
            <w:tcW w:w="2482" w:type="dxa"/>
            <w:shd w:val="clear" w:color="auto" w:fill="DBE5F1"/>
          </w:tcPr>
          <w:p w:rsidR="00BD2383" w:rsidRPr="00BD6A76" w:rsidRDefault="00BD2383" w:rsidP="00B630DA">
            <w:pPr>
              <w:widowControl w:val="0"/>
              <w:autoSpaceDE w:val="0"/>
              <w:autoSpaceDN w:val="0"/>
              <w:spacing w:before="27"/>
              <w:jc w:val="left"/>
              <w:rPr>
                <w:rFonts w:ascii="Trebuchet MS" w:eastAsia="Trebuchet MS" w:hAnsi="Trebuchet MS" w:cs="Trebuchet MS"/>
                <w:noProof/>
                <w:sz w:val="18"/>
                <w:szCs w:val="22"/>
                <w:lang w:eastAsia="en-GB" w:bidi="en-GB"/>
              </w:rPr>
            </w:pPr>
            <w:r w:rsidRPr="00BD6A76">
              <w:rPr>
                <w:rFonts w:ascii="Trebuchet MS" w:hAnsi="Trebuchet MS"/>
                <w:sz w:val="18"/>
                <w:szCs w:val="18"/>
              </w:rPr>
              <w:t>MAROKKO</w:t>
            </w:r>
          </w:p>
        </w:tc>
        <w:tc>
          <w:tcPr>
            <w:tcW w:w="1438" w:type="dxa"/>
          </w:tcPr>
          <w:p w:rsidR="00BD2383" w:rsidRPr="00BD6A76" w:rsidRDefault="00BD2383" w:rsidP="00B630DA">
            <w:pPr>
              <w:widowControl w:val="0"/>
              <w:autoSpaceDE w:val="0"/>
              <w:autoSpaceDN w:val="0"/>
              <w:spacing w:before="27"/>
              <w:jc w:val="left"/>
              <w:rPr>
                <w:rFonts w:ascii="Trebuchet MS" w:eastAsia="Trebuchet MS" w:hAnsi="Trebuchet MS" w:cs="Trebuchet MS"/>
                <w:noProof/>
                <w:sz w:val="18"/>
                <w:szCs w:val="22"/>
                <w:lang w:eastAsia="en-GB" w:bidi="en-GB"/>
              </w:rPr>
            </w:pPr>
            <w:r w:rsidRPr="00BD6A76">
              <w:rPr>
                <w:rFonts w:ascii="Trebuchet MS" w:eastAsia="Trebuchet MS" w:hAnsi="Trebuchet MS" w:cs="Trebuchet MS"/>
                <w:noProof/>
                <w:sz w:val="18"/>
                <w:szCs w:val="22"/>
                <w:lang w:eastAsia="en-GB" w:bidi="en-GB"/>
              </w:rPr>
              <w:t>(2)</w:t>
            </w:r>
          </w:p>
        </w:tc>
        <w:tc>
          <w:tcPr>
            <w:tcW w:w="2879" w:type="dxa"/>
          </w:tcPr>
          <w:p w:rsidR="00BD2383" w:rsidRPr="00BD6A76" w:rsidRDefault="00BD2383" w:rsidP="00B630DA">
            <w:pPr>
              <w:widowControl w:val="0"/>
              <w:autoSpaceDE w:val="0"/>
              <w:autoSpaceDN w:val="0"/>
              <w:jc w:val="left"/>
              <w:rPr>
                <w:rFonts w:ascii="Trebuchet MS" w:eastAsia="Trebuchet MS" w:hAnsi="Trebuchet MS" w:cs="Trebuchet MS"/>
                <w:sz w:val="18"/>
                <w:szCs w:val="22"/>
                <w:lang w:val="en-GB" w:eastAsia="en-GB" w:bidi="en-GB"/>
              </w:rPr>
            </w:pPr>
            <w:r w:rsidRPr="00BD6A76">
              <w:rPr>
                <w:rFonts w:ascii="Trebuchet MS" w:eastAsia="Trebuchet MS" w:hAnsi="Trebuchet MS" w:cs="Trebuchet MS"/>
                <w:noProof/>
                <w:sz w:val="18"/>
                <w:szCs w:val="22"/>
                <w:lang w:eastAsia="en-GB" w:bidi="en-GB"/>
              </w:rPr>
              <w:t>(1) OECD-Mitgliedsland</w:t>
            </w:r>
          </w:p>
        </w:tc>
        <w:tc>
          <w:tcPr>
            <w:tcW w:w="1143" w:type="dxa"/>
          </w:tcPr>
          <w:p w:rsidR="00BD2383" w:rsidRPr="00BD6A76" w:rsidRDefault="00BD2383" w:rsidP="00B630DA">
            <w:pPr>
              <w:widowControl w:val="0"/>
              <w:autoSpaceDE w:val="0"/>
              <w:autoSpaceDN w:val="0"/>
              <w:jc w:val="left"/>
              <w:rPr>
                <w:rFonts w:ascii="Times New Roman" w:eastAsia="Trebuchet MS" w:hAnsi="Trebuchet MS" w:cs="Trebuchet MS"/>
                <w:noProof/>
                <w:sz w:val="18"/>
                <w:szCs w:val="22"/>
                <w:lang w:eastAsia="en-GB" w:bidi="en-GB"/>
              </w:rPr>
            </w:pPr>
          </w:p>
        </w:tc>
      </w:tr>
      <w:tr w:rsidR="00BD2383" w:rsidRPr="00BD6A76" w:rsidTr="00B630DA">
        <w:trPr>
          <w:trHeight w:val="256"/>
        </w:trPr>
        <w:tc>
          <w:tcPr>
            <w:tcW w:w="2482" w:type="dxa"/>
            <w:shd w:val="clear" w:color="auto" w:fill="DBE5F1"/>
          </w:tcPr>
          <w:p w:rsidR="00BD2383" w:rsidRPr="00BD6A76" w:rsidRDefault="00BD2383" w:rsidP="00B630DA">
            <w:pPr>
              <w:widowControl w:val="0"/>
              <w:autoSpaceDE w:val="0"/>
              <w:autoSpaceDN w:val="0"/>
              <w:spacing w:before="27"/>
              <w:jc w:val="left"/>
              <w:rPr>
                <w:rFonts w:ascii="Trebuchet MS" w:eastAsia="Trebuchet MS" w:hAnsi="Trebuchet MS" w:cs="Trebuchet MS"/>
                <w:noProof/>
                <w:sz w:val="18"/>
                <w:szCs w:val="22"/>
                <w:lang w:eastAsia="en-GB" w:bidi="en-GB"/>
              </w:rPr>
            </w:pPr>
            <w:r w:rsidRPr="00BD6A76">
              <w:rPr>
                <w:rFonts w:ascii="Trebuchet MS" w:hAnsi="Trebuchet MS"/>
                <w:sz w:val="18"/>
                <w:szCs w:val="18"/>
              </w:rPr>
              <w:t>MEXIKO</w:t>
            </w:r>
          </w:p>
        </w:tc>
        <w:tc>
          <w:tcPr>
            <w:tcW w:w="1438" w:type="dxa"/>
          </w:tcPr>
          <w:p w:rsidR="00BD2383" w:rsidRPr="00BD6A76" w:rsidRDefault="00BD2383" w:rsidP="00B630DA">
            <w:pPr>
              <w:widowControl w:val="0"/>
              <w:autoSpaceDE w:val="0"/>
              <w:autoSpaceDN w:val="0"/>
              <w:spacing w:before="27"/>
              <w:jc w:val="left"/>
              <w:rPr>
                <w:rFonts w:ascii="Trebuchet MS" w:eastAsia="Trebuchet MS" w:hAnsi="Trebuchet MS" w:cs="Trebuchet MS"/>
                <w:noProof/>
                <w:sz w:val="18"/>
                <w:szCs w:val="22"/>
                <w:lang w:eastAsia="en-GB" w:bidi="en-GB"/>
              </w:rPr>
            </w:pPr>
            <w:r w:rsidRPr="00BD6A76">
              <w:rPr>
                <w:rFonts w:ascii="Trebuchet MS" w:eastAsia="Trebuchet MS" w:hAnsi="Trebuchet MS" w:cs="Trebuchet MS"/>
                <w:noProof/>
                <w:sz w:val="18"/>
                <w:szCs w:val="22"/>
                <w:lang w:eastAsia="en-GB" w:bidi="en-GB"/>
              </w:rPr>
              <w:t>(1)</w:t>
            </w:r>
          </w:p>
        </w:tc>
        <w:tc>
          <w:tcPr>
            <w:tcW w:w="2879" w:type="dxa"/>
          </w:tcPr>
          <w:p w:rsidR="00BD2383" w:rsidRPr="00BD6A76" w:rsidRDefault="00BD2383" w:rsidP="00B630DA">
            <w:pPr>
              <w:widowControl w:val="0"/>
              <w:autoSpaceDE w:val="0"/>
              <w:autoSpaceDN w:val="0"/>
              <w:jc w:val="left"/>
              <w:rPr>
                <w:rFonts w:ascii="Trebuchet MS" w:eastAsia="Trebuchet MS" w:hAnsi="Trebuchet MS" w:cs="Trebuchet MS"/>
                <w:sz w:val="18"/>
                <w:szCs w:val="22"/>
                <w:lang w:val="en-GB" w:eastAsia="en-GB" w:bidi="en-GB"/>
              </w:rPr>
            </w:pPr>
            <w:r w:rsidRPr="00BD6A76">
              <w:rPr>
                <w:rFonts w:ascii="Trebuchet MS" w:eastAsia="Trebuchet MS" w:hAnsi="Trebuchet MS" w:cs="Trebuchet MS"/>
                <w:noProof/>
                <w:sz w:val="18"/>
                <w:szCs w:val="22"/>
                <w:lang w:eastAsia="en-GB" w:bidi="en-GB"/>
              </w:rPr>
              <w:t>(2) Nicht OECD-Mitgliedsland</w:t>
            </w:r>
          </w:p>
        </w:tc>
        <w:tc>
          <w:tcPr>
            <w:tcW w:w="1143" w:type="dxa"/>
          </w:tcPr>
          <w:p w:rsidR="00BD2383" w:rsidRPr="00BD6A76" w:rsidRDefault="00BD2383" w:rsidP="00B630DA">
            <w:pPr>
              <w:widowControl w:val="0"/>
              <w:autoSpaceDE w:val="0"/>
              <w:autoSpaceDN w:val="0"/>
              <w:jc w:val="left"/>
              <w:rPr>
                <w:rFonts w:ascii="Times New Roman" w:eastAsia="Trebuchet MS" w:hAnsi="Trebuchet MS" w:cs="Trebuchet MS"/>
                <w:noProof/>
                <w:sz w:val="18"/>
                <w:szCs w:val="22"/>
                <w:lang w:eastAsia="en-GB" w:bidi="en-GB"/>
              </w:rPr>
            </w:pPr>
          </w:p>
        </w:tc>
      </w:tr>
    </w:tbl>
    <w:p w:rsidR="00BD2383" w:rsidRPr="00BD6A76" w:rsidRDefault="00BD2383" w:rsidP="00BD2383">
      <w:pPr>
        <w:rPr>
          <w:rFonts w:ascii="Trebuchet MS"/>
          <w:noProof/>
        </w:rPr>
      </w:pPr>
    </w:p>
    <w:p w:rsidR="00BD2383" w:rsidRPr="00BD6A76" w:rsidRDefault="00BD2383" w:rsidP="00BD2383">
      <w:pPr>
        <w:spacing w:before="5"/>
        <w:rPr>
          <w:rFonts w:ascii="Trebuchet MS"/>
          <w:noProof/>
        </w:rPr>
      </w:pPr>
    </w:p>
    <w:p w:rsidR="00BD2383" w:rsidRPr="00BD6A76" w:rsidRDefault="00BD2383" w:rsidP="00BD2383">
      <w:r w:rsidRPr="00BD6A76">
        <w:rPr>
          <w:noProof/>
          <w:sz w:val="22"/>
        </w:rPr>
        <mc:AlternateContent>
          <mc:Choice Requires="wpg">
            <w:drawing>
              <wp:anchor distT="0" distB="0" distL="114300" distR="114300" simplePos="0" relativeHeight="251661312" behindDoc="0" locked="0" layoutInCell="1" allowOverlap="1" wp14:anchorId="38864ED6" wp14:editId="138B32F9">
                <wp:simplePos x="0" y="0"/>
                <wp:positionH relativeFrom="page">
                  <wp:posOffset>1356360</wp:posOffset>
                </wp:positionH>
                <wp:positionV relativeFrom="paragraph">
                  <wp:posOffset>-319405</wp:posOffset>
                </wp:positionV>
                <wp:extent cx="2030730" cy="6350"/>
                <wp:effectExtent l="13335" t="2540" r="13335" b="10160"/>
                <wp:wrapNone/>
                <wp:docPr id="15" name="Group 1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30730" cy="6350"/>
                          <a:chOff x="2136" y="-503"/>
                          <a:chExt cx="3198" cy="10"/>
                        </a:xfrm>
                      </wpg:grpSpPr>
                      <wps:wsp>
                        <wps:cNvPr id="18" name="Line 5"/>
                        <wps:cNvCnPr>
                          <a:cxnSpLocks noChangeShapeType="1"/>
                        </wps:cNvCnPr>
                        <wps:spPr bwMode="auto">
                          <a:xfrm>
                            <a:off x="2136" y="-498"/>
                            <a:ext cx="2497"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9" name="Rectangle 6"/>
                        <wps:cNvSpPr>
                          <a:spLocks noChangeArrowheads="1"/>
                        </wps:cNvSpPr>
                        <wps:spPr bwMode="auto">
                          <a:xfrm>
                            <a:off x="4618" y="-503"/>
                            <a:ext cx="10"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0" name="Line 7"/>
                        <wps:cNvCnPr>
                          <a:cxnSpLocks noChangeShapeType="1"/>
                        </wps:cNvCnPr>
                        <wps:spPr bwMode="auto">
                          <a:xfrm>
                            <a:off x="4628" y="-498"/>
                            <a:ext cx="706"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36718906" id="Group 15" o:spid="_x0000_s1026" style="position:absolute;margin-left:106.8pt;margin-top:-25.15pt;width:159.9pt;height:.5pt;z-index:251661312;mso-position-horizontal-relative:page" coordorigin="2136,-503" coordsize="3198,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">
                <v:line id="Line 5" o:spid="_x0000_s1027" style="position:absolute;visibility:visible;mso-wrap-style:square" from="2136,-498" to="4633,-49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" strokeweight=".48pt"/>
                <v:rect id="Rectangle 6" o:spid="_x0000_s1028" style="position:absolute;left:4618;top:-503;width:10;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" fillcolor="black" stroked="f"/>
                <v:line id="Line 7" o:spid="_x0000_s1029" style="position:absolute;visibility:visible;mso-wrap-style:square" from="4628,-498" to="5334,-49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" strokeweight=".48pt"/>
                <w10:wrap anchorx="page"/>
              </v:group>
            </w:pict>
          </mc:Fallback>
        </mc:AlternateContent>
      </w:r>
      <w:r w:rsidRPr="00BD6A76">
        <w:t xml:space="preserve"> </w:t>
      </w:r>
    </w:p>
    <w:p w:rsidR="00BD2383" w:rsidRPr="00BD6A76" w:rsidRDefault="00BD2383" w:rsidP="00BD2383">
      <w:pPr>
        <w:rPr>
          <w:noProof/>
        </w:rPr>
      </w:pPr>
    </w:p>
    <w:p w:rsidR="00BD2383" w:rsidRPr="00BD2383" w:rsidRDefault="00BD2383" w:rsidP="00BD2383">
      <w:pPr>
        <w:rPr>
          <w:noProof/>
          <w:lang w:val="de-DE"/>
        </w:rPr>
      </w:pPr>
      <w:r w:rsidRPr="00BD2383">
        <w:rPr>
          <w:noProof/>
          <w:lang w:val="de-DE"/>
        </w:rPr>
        <w:t>Abbildung 1 Karte der an den Saatgutsystemen der OECD teilnehmenden Länder (2016)</w:t>
      </w:r>
    </w:p>
    <w:p w:rsidR="00BD2383" w:rsidRPr="00BD2383" w:rsidRDefault="00BD2383" w:rsidP="00BD2383">
      <w:pPr>
        <w:rPr>
          <w:b/>
          <w:noProof/>
          <w:lang w:val="de-DE"/>
        </w:rPr>
      </w:pPr>
    </w:p>
    <w:p w:rsidR="00BD2383" w:rsidRPr="00BD2383" w:rsidRDefault="00BD2383" w:rsidP="00BD2383">
      <w:pPr>
        <w:spacing w:before="5"/>
        <w:rPr>
          <w:b/>
          <w:noProof/>
          <w:sz w:val="15"/>
          <w:lang w:val="de-DE"/>
        </w:rPr>
      </w:pPr>
      <w:r w:rsidRPr="00BD6A76">
        <w:rPr>
          <w:noProof/>
        </w:rPr>
        <w:drawing>
          <wp:anchor distT="0" distB="0" distL="0" distR="0" simplePos="0" relativeHeight="251660288" behindDoc="0" locked="0" layoutInCell="1" allowOverlap="1" wp14:anchorId="7BD22130" wp14:editId="475021AD">
            <wp:simplePos x="0" y="0"/>
            <wp:positionH relativeFrom="page">
              <wp:posOffset>676909</wp:posOffset>
            </wp:positionH>
            <wp:positionV relativeFrom="paragraph">
              <wp:posOffset>137582</wp:posOffset>
            </wp:positionV>
            <wp:extent cx="6348250" cy="2987040"/>
            <wp:effectExtent l="0" t="0" r="0" b="0"/>
            <wp:wrapTopAndBottom/>
            <wp:docPr id="2" name="image2.jpeg" descr="\\FS-CH-1.main.oecd.org\Users2\gaspar_c\Desktop\OECD seed map201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jpeg"/>
                    <pic:cNvPicPr/>
                  </pic:nvPicPr>
                  <pic:blipFill>
                    <a:blip r:embed="rId10" cstate="print"/>
                    <a:stretch>
                      <a:fillRect/>
                    </a:stretch>
                  </pic:blipFill>
                  <pic:spPr>
                    <a:xfrm>
                      <a:off x="0" y="0"/>
                      <a:ext cx="6348250" cy="2987040"/>
                    </a:xfrm>
                    <a:prstGeom prst="rect">
                      <a:avLst/>
                    </a:prstGeom>
                  </pic:spPr>
                </pic:pic>
              </a:graphicData>
            </a:graphic>
          </wp:anchor>
        </w:drawing>
      </w:r>
    </w:p>
    <w:p w:rsidR="00BD2383" w:rsidRPr="00BD2383" w:rsidRDefault="00BD2383" w:rsidP="00BD2383">
      <w:pPr>
        <w:spacing w:before="11"/>
        <w:rPr>
          <w:b/>
          <w:noProof/>
          <w:sz w:val="23"/>
          <w:lang w:val="de-DE"/>
        </w:rPr>
      </w:pPr>
    </w:p>
    <w:p w:rsidR="00BD2383" w:rsidRPr="00BD2383" w:rsidRDefault="00BD2383" w:rsidP="00BD2383">
      <w:pPr>
        <w:rPr>
          <w:i/>
          <w:noProof/>
          <w:lang w:val="de-DE"/>
        </w:rPr>
      </w:pPr>
    </w:p>
    <w:p w:rsidR="00BD2383" w:rsidRPr="00BD2383" w:rsidRDefault="00BD2383" w:rsidP="00BD2383">
      <w:pPr>
        <w:rPr>
          <w:i/>
          <w:noProof/>
          <w:lang w:val="de-DE"/>
        </w:rPr>
      </w:pPr>
      <w:r w:rsidRPr="00BD2383">
        <w:rPr>
          <w:i/>
          <w:noProof/>
          <w:lang w:val="de-DE"/>
        </w:rPr>
        <w:t>Ziele</w:t>
      </w:r>
    </w:p>
    <w:p w:rsidR="00BD2383" w:rsidRPr="00BD2383" w:rsidRDefault="00BD2383" w:rsidP="00BD2383">
      <w:pPr>
        <w:spacing w:before="4"/>
        <w:rPr>
          <w:rFonts w:cs="Arial"/>
          <w:b/>
          <w:noProof/>
          <w:lang w:val="de-DE"/>
        </w:rPr>
      </w:pPr>
    </w:p>
    <w:p w:rsidR="00BD2383" w:rsidRPr="00BD2383" w:rsidRDefault="00BD2383" w:rsidP="00BD2383">
      <w:pPr>
        <w:widowControl w:val="0"/>
        <w:tabs>
          <w:tab w:val="left" w:pos="1069"/>
          <w:tab w:val="left" w:pos="1071"/>
        </w:tabs>
        <w:autoSpaceDE w:val="0"/>
        <w:autoSpaceDN w:val="0"/>
        <w:ind w:right="213"/>
        <w:rPr>
          <w:rFonts w:cs="Arial"/>
          <w:noProof/>
          <w:lang w:val="de-DE" w:eastAsia="en-GB" w:bidi="en-GB"/>
        </w:rPr>
      </w:pPr>
      <w:r w:rsidRPr="00BD2383">
        <w:rPr>
          <w:rFonts w:cs="Arial"/>
          <w:noProof/>
          <w:lang w:val="de-DE" w:eastAsia="en-GB" w:bidi="en-GB"/>
        </w:rPr>
        <w:t>Die Ziele der Systeme sind die Förderung der Produktion und Verwendung von Saatgut mit „Qualitätsgarantie“ in den Teilnehmerländern. Im Rahmen der vereinbarten Richtlinien zur Sicherung der Sortenidentität und Sortenreinheit wird durch die Systeme die Nutzung von Kennzeichen und Zertifikaten für Saatgut genehmigt, das für den internationalen Handel produziert und weiterverarbeitet wird.</w:t>
      </w:r>
    </w:p>
    <w:p w:rsidR="00BD2383" w:rsidRPr="00BD2383" w:rsidRDefault="00BD2383" w:rsidP="00BD2383">
      <w:pPr>
        <w:rPr>
          <w:rFonts w:cs="Arial"/>
          <w:noProof/>
          <w:lang w:val="de-DE"/>
        </w:rPr>
      </w:pPr>
    </w:p>
    <w:p w:rsidR="00BD2383" w:rsidRPr="00BD2383" w:rsidRDefault="00BD2383" w:rsidP="00BD2383">
      <w:pPr>
        <w:widowControl w:val="0"/>
        <w:tabs>
          <w:tab w:val="left" w:pos="1069"/>
          <w:tab w:val="left" w:pos="1071"/>
        </w:tabs>
        <w:autoSpaceDE w:val="0"/>
        <w:autoSpaceDN w:val="0"/>
        <w:spacing w:before="1"/>
        <w:ind w:right="212"/>
        <w:rPr>
          <w:rFonts w:cs="Arial"/>
          <w:noProof/>
          <w:lang w:val="de-DE" w:eastAsia="en-GB" w:bidi="en-GB"/>
        </w:rPr>
      </w:pPr>
      <w:r w:rsidRPr="00BD2383">
        <w:rPr>
          <w:rFonts w:cs="Arial"/>
          <w:noProof/>
          <w:lang w:val="de-DE" w:eastAsia="en-GB" w:bidi="en-GB"/>
        </w:rPr>
        <w:t>Die Systeme erleichtern die Ein- und Ausfuhr von Saatgut durch den Abbau technischer Handelsbarrieren, der im Wege einer Identitäts- und Herkunftsgarantie mittels international anerkannter Kennzeichen („Pässe“) herbeigeführt wird. Zudem sind darin Richtlinien für die Vermehrung von Saatgut im Ausland niedergelegt, ebenso wie für die Delegierung einiger Überwachungsaufgaben an die Privatwirtschaft („Genehmigung“). Die Menge des durch die OECD-Systeme zertifizierten Saatguts ist während der letzten Jahre rasant angestiegen und überschreitet mittlerweile die 1-Millionen-Tonnen-Marke.</w:t>
      </w:r>
    </w:p>
    <w:p w:rsidR="00BD2383" w:rsidRPr="00BD2383" w:rsidRDefault="00BD2383" w:rsidP="00BD2383">
      <w:pPr>
        <w:spacing w:before="5"/>
        <w:rPr>
          <w:noProof/>
          <w:sz w:val="14"/>
          <w:lang w:val="de-DE"/>
        </w:rPr>
      </w:pPr>
    </w:p>
    <w:p w:rsidR="00BD2383" w:rsidRPr="00BD2383" w:rsidRDefault="00BD2383" w:rsidP="00BD2383">
      <w:pPr>
        <w:rPr>
          <w:i/>
          <w:noProof/>
          <w:lang w:val="de-DE"/>
        </w:rPr>
      </w:pPr>
      <w:bookmarkStart w:id="28" w:name="How_do_the_Seed_Schemes_operate"/>
      <w:bookmarkEnd w:id="28"/>
      <w:r w:rsidRPr="00BD2383">
        <w:rPr>
          <w:i/>
          <w:noProof/>
          <w:lang w:val="de-DE"/>
        </w:rPr>
        <w:t>Arbeitsweise der Saatgutsysteme</w:t>
      </w:r>
    </w:p>
    <w:p w:rsidR="00BD2383" w:rsidRPr="00BD2383" w:rsidRDefault="00BD2383" w:rsidP="00BD2383">
      <w:pPr>
        <w:spacing w:before="4"/>
        <w:rPr>
          <w:rFonts w:cs="Arial"/>
          <w:b/>
          <w:noProof/>
          <w:lang w:val="de-DE"/>
        </w:rPr>
      </w:pPr>
    </w:p>
    <w:p w:rsidR="00BD2383" w:rsidRPr="00BD2383" w:rsidRDefault="00BD2383" w:rsidP="00BD2383">
      <w:pPr>
        <w:widowControl w:val="0"/>
        <w:tabs>
          <w:tab w:val="left" w:pos="1069"/>
          <w:tab w:val="left" w:pos="1071"/>
        </w:tabs>
        <w:autoSpaceDE w:val="0"/>
        <w:autoSpaceDN w:val="0"/>
        <w:ind w:right="216"/>
        <w:rPr>
          <w:rFonts w:cs="Arial"/>
          <w:noProof/>
          <w:lang w:val="de-DE" w:eastAsia="en-GB" w:bidi="en-GB"/>
        </w:rPr>
      </w:pPr>
      <w:r w:rsidRPr="00BD2383">
        <w:rPr>
          <w:rFonts w:cs="Arial"/>
          <w:noProof/>
          <w:lang w:val="de-DE" w:eastAsia="en-GB" w:bidi="en-GB"/>
        </w:rPr>
        <w:t>Der Erfolg der internationalen Zertifizierung ist abhängig von einer engen Zusammenarbeit zwischen Erhaltungszüchtern, Saatgutherstellern, Händlern und der bezeichneten (von der Regierung ernannten) Behörde in jedem einzelnen Teilnehmerland. Häufige Tagungen ermöglichen einen alle Interessengruppen einbeziehenden Dialog mit dem Ziel, Informationen auszutauschen, Fallstudien zu erörtern, Regelungen zu überarbeiten und die Systeme auf den neuesten Stand zu bringen. Ein breites Spektrum internationaler und nichtstaatlicher Organisationen sowie Netzwerke der Saatgutindustrie sind aktiv an den Systemen beteiligt.</w:t>
      </w:r>
    </w:p>
    <w:p w:rsidR="00BD2383" w:rsidRPr="00BD2383" w:rsidRDefault="00BD2383" w:rsidP="00BD2383">
      <w:pPr>
        <w:spacing w:before="2"/>
        <w:rPr>
          <w:noProof/>
          <w:sz w:val="15"/>
          <w:lang w:val="de-DE"/>
        </w:rPr>
      </w:pPr>
    </w:p>
    <w:p w:rsidR="00BD2383" w:rsidRPr="00BD2383" w:rsidRDefault="00BD2383" w:rsidP="00BD2383">
      <w:pPr>
        <w:spacing w:before="2"/>
        <w:rPr>
          <w:noProof/>
          <w:sz w:val="15"/>
          <w:lang w:val="de-DE"/>
        </w:rPr>
      </w:pPr>
    </w:p>
    <w:p w:rsidR="00BD2383" w:rsidRPr="00BD2383" w:rsidRDefault="00BD2383" w:rsidP="00BD2383">
      <w:pPr>
        <w:spacing w:before="2"/>
        <w:rPr>
          <w:noProof/>
          <w:sz w:val="15"/>
          <w:lang w:val="de-DE"/>
        </w:rPr>
      </w:pPr>
    </w:p>
    <w:p w:rsidR="00BD2383" w:rsidRPr="00BD2383" w:rsidRDefault="00BD2383" w:rsidP="00BD2383">
      <w:pPr>
        <w:spacing w:before="2"/>
        <w:rPr>
          <w:noProof/>
          <w:sz w:val="15"/>
          <w:lang w:val="de-DE"/>
        </w:rPr>
      </w:pPr>
    </w:p>
    <w:p w:rsidR="00BD2383" w:rsidRPr="00BD2383" w:rsidRDefault="00BD2383" w:rsidP="00BD2383">
      <w:pPr>
        <w:spacing w:before="2"/>
        <w:rPr>
          <w:noProof/>
          <w:sz w:val="15"/>
          <w:lang w:val="de-DE"/>
        </w:rPr>
      </w:pPr>
    </w:p>
    <w:p w:rsidR="00BD2383" w:rsidRPr="00BD2383" w:rsidRDefault="00BD2383" w:rsidP="00BD2383">
      <w:pPr>
        <w:spacing w:before="2"/>
        <w:rPr>
          <w:noProof/>
          <w:sz w:val="15"/>
          <w:lang w:val="de-DE"/>
        </w:rPr>
      </w:pPr>
      <w:r w:rsidRPr="00BD6A76">
        <w:rPr>
          <w:noProof/>
          <w:sz w:val="22"/>
        </w:rPr>
        <mc:AlternateContent>
          <mc:Choice Requires="wps">
            <w:drawing>
              <wp:anchor distT="0" distB="0" distL="0" distR="0" simplePos="0" relativeHeight="251662336" behindDoc="1" locked="0" layoutInCell="1" allowOverlap="1" wp14:anchorId="45216CA5" wp14:editId="2E51CC56">
                <wp:simplePos x="0" y="0"/>
                <wp:positionH relativeFrom="page">
                  <wp:posOffset>457200</wp:posOffset>
                </wp:positionH>
                <wp:positionV relativeFrom="paragraph">
                  <wp:posOffset>139700</wp:posOffset>
                </wp:positionV>
                <wp:extent cx="1829435" cy="1270"/>
                <wp:effectExtent l="9525" t="11430" r="8890" b="6350"/>
                <wp:wrapTopAndBottom/>
                <wp:docPr id="21" name="Freeform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29435" cy="1270"/>
                        </a:xfrm>
                        <a:custGeom>
                          <a:avLst/>
                          <a:gdLst>
                            <a:gd name="T0" fmla="+- 0 720 720"/>
                            <a:gd name="T1" fmla="*/ T0 w 2881"/>
                            <a:gd name="T2" fmla="+- 0 3600 720"/>
                            <a:gd name="T3" fmla="*/ T2 w 2881"/>
                          </a:gdLst>
                          <a:ahLst/>
                          <a:cxnLst>
                            <a:cxn ang="0">
                              <a:pos x="T1" y="0"/>
                            </a:cxn>
                            <a:cxn ang="0">
                              <a:pos x="T3" y="0"/>
                            </a:cxn>
                          </a:cxnLst>
                          <a:rect l="0" t="0" r="r" b="b"/>
                          <a:pathLst>
                            <a:path w="2881">
                              <a:moveTo>
                                <a:pt x="0" y="0"/>
                              </a:moveTo>
                              <a:lnTo>
                                <a:pt x="2880" y="0"/>
                              </a:lnTo>
                            </a:path>
                          </a:pathLst>
                        </a:custGeom>
                        <a:noFill/>
                        <a:ln w="762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3764BE7" id="Freeform 21" o:spid="_x0000_s1026" style="position:absolute;margin-left:36pt;margin-top:11pt;width:144.05pt;height:.1pt;z-index:-25165414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288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" path="m,l2880,e" filled="f" strokeweight=".6pt">
                <v:path arrowok="t" o:connecttype="custom" o:connectlocs="0,0;1828800,0" o:connectangles="0,0"/>
                <w10:wrap type="topAndBottom" anchorx="page"/>
              </v:shape>
            </w:pict>
          </mc:Fallback>
        </mc:AlternateContent>
      </w:r>
    </w:p>
    <w:p w:rsidR="00BD2383" w:rsidRPr="00BD2383" w:rsidRDefault="00BD2383" w:rsidP="00BD2383">
      <w:pPr>
        <w:spacing w:before="35"/>
        <w:rPr>
          <w:rFonts w:ascii="Trebuchet MS"/>
          <w:noProof/>
          <w:sz w:val="18"/>
          <w:lang w:val="de-DE"/>
        </w:rPr>
      </w:pPr>
      <w:r w:rsidRPr="00BD2383">
        <w:rPr>
          <w:rFonts w:ascii="Trebuchet MS"/>
          <w:noProof/>
          <w:position w:val="9"/>
          <w:sz w:val="13"/>
          <w:lang w:val="de-DE"/>
        </w:rPr>
        <w:t xml:space="preserve">1 </w:t>
      </w:r>
      <w:r w:rsidR="0022017F">
        <w:rPr>
          <w:rFonts w:ascii="Trebuchet MS"/>
          <w:noProof/>
          <w:sz w:val="18"/>
          <w:lang w:val="de-DE"/>
        </w:rPr>
        <w:t xml:space="preserve">Quelle OECD </w:t>
      </w:r>
      <w:r w:rsidR="0022017F">
        <w:rPr>
          <w:rFonts w:ascii="Trebuchet MS"/>
          <w:noProof/>
          <w:sz w:val="18"/>
          <w:lang w:val="de-DE"/>
        </w:rPr>
        <w:t>„</w:t>
      </w:r>
      <w:r w:rsidR="0022017F">
        <w:rPr>
          <w:rFonts w:ascii="Trebuchet MS"/>
          <w:noProof/>
          <w:sz w:val="18"/>
          <w:lang w:val="de-DE"/>
        </w:rPr>
        <w:t>A</w:t>
      </w:r>
      <w:r w:rsidRPr="00BD2383">
        <w:rPr>
          <w:rFonts w:ascii="Trebuchet MS"/>
          <w:noProof/>
          <w:sz w:val="18"/>
          <w:lang w:val="de-DE"/>
        </w:rPr>
        <w:t>nmerkung der T</w:t>
      </w:r>
      <w:r w:rsidRPr="00BD2383">
        <w:rPr>
          <w:rFonts w:ascii="Trebuchet MS"/>
          <w:noProof/>
          <w:sz w:val="18"/>
          <w:lang w:val="de-DE"/>
        </w:rPr>
        <w:t>ü</w:t>
      </w:r>
      <w:r w:rsidRPr="00BD2383">
        <w:rPr>
          <w:rFonts w:ascii="Trebuchet MS"/>
          <w:noProof/>
          <w:sz w:val="18"/>
          <w:lang w:val="de-DE"/>
        </w:rPr>
        <w:t>rkei</w:t>
      </w:r>
    </w:p>
    <w:p w:rsidR="00BD2383" w:rsidRPr="00BD2383" w:rsidRDefault="00BD2383" w:rsidP="00BD2383">
      <w:pPr>
        <w:spacing w:before="120"/>
        <w:ind w:right="216"/>
        <w:rPr>
          <w:rFonts w:ascii="Trebuchet MS" w:hAnsi="Trebuchet MS"/>
          <w:noProof/>
          <w:sz w:val="18"/>
          <w:lang w:val="de-DE"/>
        </w:rPr>
      </w:pPr>
      <w:r w:rsidRPr="00BD2383">
        <w:rPr>
          <w:rFonts w:ascii="Trebuchet MS" w:hAnsi="Trebuchet MS"/>
          <w:noProof/>
          <w:sz w:val="18"/>
          <w:lang w:val="de-DE"/>
        </w:rPr>
        <w:t xml:space="preserve">Die Informationen in diesem Dokument mit Bezug auf </w:t>
      </w:r>
      <w:r w:rsidR="0022017F" w:rsidRPr="0022017F">
        <w:rPr>
          <w:rFonts w:ascii="Trebuchet MS" w:hAnsi="Trebuchet MS"/>
          <w:sz w:val="18"/>
          <w:lang w:val="de-DE"/>
        </w:rPr>
        <w:t>‘</w:t>
      </w:r>
      <w:r w:rsidR="0022017F">
        <w:rPr>
          <w:rFonts w:ascii="Trebuchet MS" w:hAnsi="Trebuchet MS"/>
          <w:sz w:val="18"/>
          <w:lang w:val="de-DE"/>
        </w:rPr>
        <w:t>Zypern</w:t>
      </w:r>
      <w:r w:rsidR="0022017F" w:rsidRPr="0022017F">
        <w:rPr>
          <w:rFonts w:ascii="Trebuchet MS" w:hAnsi="Trebuchet MS"/>
          <w:sz w:val="18"/>
          <w:lang w:val="de-DE"/>
        </w:rPr>
        <w:t>’</w:t>
      </w:r>
      <w:r w:rsidRPr="00BD2383">
        <w:rPr>
          <w:rFonts w:ascii="Trebuchet MS" w:hAnsi="Trebuchet MS"/>
          <w:noProof/>
          <w:sz w:val="18"/>
          <w:lang w:val="de-DE"/>
        </w:rPr>
        <w:t xml:space="preserve"> beziehen sich auf den südlichen Teil der Insel. Es gibt keine einheitliche Behörde, die sowohl die türkische als auch die griechisch-zypriotische Bevölkerung auf der Insel vertritt. Die Türkei erkennt die Türkische Republik Nordzypern (TRNC) an. Bis eine dauerhafte und gerechte Lösung im Rahmen der Vereinten Nationen gefunden wird, behält d</w:t>
      </w:r>
      <w:r w:rsidR="0022017F">
        <w:rPr>
          <w:rFonts w:ascii="Trebuchet MS" w:hAnsi="Trebuchet MS"/>
          <w:noProof/>
          <w:sz w:val="18"/>
          <w:lang w:val="de-DE"/>
        </w:rPr>
        <w:t xml:space="preserve">ie Türkei ihren Standpunkt zur </w:t>
      </w:r>
      <w:r w:rsidR="0022017F" w:rsidRPr="0022017F">
        <w:rPr>
          <w:rFonts w:ascii="Trebuchet MS" w:hAnsi="Trebuchet MS"/>
          <w:sz w:val="18"/>
          <w:lang w:val="de-DE"/>
        </w:rPr>
        <w:t>‘</w:t>
      </w:r>
      <w:r w:rsidR="0022017F">
        <w:rPr>
          <w:rFonts w:ascii="Trebuchet MS" w:hAnsi="Trebuchet MS"/>
          <w:sz w:val="18"/>
          <w:lang w:val="de-DE"/>
        </w:rPr>
        <w:t>Zypernfrage</w:t>
      </w:r>
      <w:r w:rsidR="0022017F" w:rsidRPr="0022017F">
        <w:rPr>
          <w:rFonts w:ascii="Trebuchet MS" w:hAnsi="Trebuchet MS"/>
          <w:sz w:val="18"/>
          <w:lang w:val="de-DE"/>
        </w:rPr>
        <w:t>’</w:t>
      </w:r>
      <w:r w:rsidRPr="00BD2383">
        <w:rPr>
          <w:rFonts w:ascii="Trebuchet MS" w:hAnsi="Trebuchet MS"/>
          <w:noProof/>
          <w:sz w:val="18"/>
          <w:lang w:val="de-DE"/>
        </w:rPr>
        <w:t xml:space="preserve"> bei.</w:t>
      </w:r>
      <w:r w:rsidR="0022017F">
        <w:rPr>
          <w:rFonts w:ascii="Trebuchet MS" w:hAnsi="Trebuchet MS"/>
          <w:noProof/>
          <w:sz w:val="18"/>
          <w:lang w:val="de-DE"/>
        </w:rPr>
        <w:t>“</w:t>
      </w:r>
    </w:p>
    <w:p w:rsidR="00BD2383" w:rsidRPr="00BD2383" w:rsidRDefault="00BD2383" w:rsidP="00BD2383">
      <w:pPr>
        <w:spacing w:before="120"/>
        <w:ind w:right="216"/>
        <w:rPr>
          <w:rFonts w:ascii="Trebuchet MS" w:hAnsi="Trebuchet MS"/>
          <w:noProof/>
          <w:sz w:val="18"/>
          <w:lang w:val="de-DE"/>
        </w:rPr>
      </w:pPr>
      <w:r w:rsidRPr="00BD2383">
        <w:rPr>
          <w:rFonts w:ascii="Trebuchet MS" w:hAnsi="Trebuchet MS"/>
          <w:noProof/>
          <w:sz w:val="18"/>
          <w:lang w:val="de-DE"/>
        </w:rPr>
        <w:t>Anmerkung aller Mitgliedstaaten der Europäischen Union und der OECD</w:t>
      </w:r>
    </w:p>
    <w:p w:rsidR="00BD2383" w:rsidRPr="00BD2383" w:rsidRDefault="00BD2383" w:rsidP="00BD2383">
      <w:pPr>
        <w:spacing w:before="120"/>
        <w:ind w:right="216"/>
        <w:rPr>
          <w:rFonts w:ascii="Trebuchet MS"/>
          <w:noProof/>
          <w:sz w:val="18"/>
          <w:lang w:val="de-DE"/>
        </w:rPr>
      </w:pPr>
      <w:r w:rsidRPr="00BD2383">
        <w:rPr>
          <w:rFonts w:ascii="Trebuchet MS" w:hAnsi="Trebuchet MS"/>
          <w:noProof/>
          <w:sz w:val="18"/>
          <w:lang w:val="de-DE"/>
        </w:rPr>
        <w:t>Die Republik Zypern wird von allen Mitgliedern der Vereinten Nationen mit Ausnahme der Türkei anerkannt. Die Informationen in diesem Dokument beziehen sich auf das Gebiet unter der tatsächlichen Kontrolle der Regierung der Republik Zypern</w:t>
      </w:r>
      <w:r w:rsidRPr="00BD2383">
        <w:rPr>
          <w:rFonts w:ascii="Trebuchet MS"/>
          <w:noProof/>
          <w:sz w:val="18"/>
          <w:lang w:val="de-DE"/>
        </w:rPr>
        <w:t>.</w:t>
      </w:r>
    </w:p>
    <w:p w:rsidR="00BD2383" w:rsidRPr="00BD2383" w:rsidRDefault="00BD2383" w:rsidP="00BD2383">
      <w:pPr>
        <w:spacing w:before="3"/>
        <w:rPr>
          <w:rFonts w:cs="Arial"/>
          <w:noProof/>
          <w:lang w:val="de-DE"/>
        </w:rPr>
      </w:pPr>
    </w:p>
    <w:p w:rsidR="00BD2383" w:rsidRPr="00BD6A76" w:rsidRDefault="00BD2383" w:rsidP="00BD2383">
      <w:pPr>
        <w:rPr>
          <w:i/>
          <w:noProof/>
        </w:rPr>
      </w:pPr>
      <w:bookmarkStart w:id="29" w:name="Benefits_of_the_Schemes"/>
      <w:bookmarkEnd w:id="29"/>
      <w:r w:rsidRPr="00BD6A76">
        <w:rPr>
          <w:i/>
          <w:noProof/>
        </w:rPr>
        <w:t>Vorteile der Saatgutsysteme</w:t>
      </w:r>
    </w:p>
    <w:p w:rsidR="00BD2383" w:rsidRPr="00BD6A76" w:rsidRDefault="00BD2383" w:rsidP="00BD2383">
      <w:pPr>
        <w:spacing w:before="5"/>
        <w:rPr>
          <w:rFonts w:cs="Arial"/>
          <w:b/>
          <w:noProof/>
        </w:rPr>
      </w:pPr>
    </w:p>
    <w:p w:rsidR="00BD2383" w:rsidRPr="00BD2383" w:rsidRDefault="00BD2383" w:rsidP="00BD2383">
      <w:pPr>
        <w:widowControl w:val="0"/>
        <w:numPr>
          <w:ilvl w:val="1"/>
          <w:numId w:val="13"/>
        </w:numPr>
        <w:tabs>
          <w:tab w:val="left" w:pos="1071"/>
        </w:tabs>
        <w:autoSpaceDE w:val="0"/>
        <w:autoSpaceDN w:val="0"/>
        <w:ind w:right="219"/>
        <w:rPr>
          <w:rFonts w:cs="Arial"/>
          <w:noProof/>
          <w:lang w:val="de-DE" w:eastAsia="en-GB" w:bidi="en-GB"/>
        </w:rPr>
      </w:pPr>
      <w:r w:rsidRPr="00BD2383">
        <w:rPr>
          <w:rFonts w:cs="Arial"/>
          <w:noProof/>
          <w:lang w:val="de-DE" w:eastAsia="en-GB" w:bidi="en-GB"/>
        </w:rPr>
        <w:t>Erleichterung des internationalen Handels durch harmonisierte Zertifizierungsverfahren, Verfahren zur Pflanzenbegutachtung und Testsaatparzellen. Auch die Vereinbarung und Normierung der Anforderungen an die Sortenreinheit geeigneter Arten erfolgt durch alle Mitgliedstaaten.</w:t>
      </w:r>
    </w:p>
    <w:p w:rsidR="00BD2383" w:rsidRPr="00BD2383" w:rsidRDefault="00BD2383" w:rsidP="00BD2383">
      <w:pPr>
        <w:widowControl w:val="0"/>
        <w:numPr>
          <w:ilvl w:val="1"/>
          <w:numId w:val="13"/>
        </w:numPr>
        <w:tabs>
          <w:tab w:val="left" w:pos="1069"/>
          <w:tab w:val="left" w:pos="1071"/>
        </w:tabs>
        <w:autoSpaceDE w:val="0"/>
        <w:autoSpaceDN w:val="0"/>
        <w:ind w:hanging="410"/>
        <w:jc w:val="left"/>
        <w:rPr>
          <w:rFonts w:cs="Arial"/>
          <w:noProof/>
          <w:lang w:val="de-DE" w:eastAsia="en-GB" w:bidi="en-GB"/>
        </w:rPr>
      </w:pPr>
      <w:r w:rsidRPr="00BD2383">
        <w:rPr>
          <w:rFonts w:cs="Arial"/>
          <w:noProof/>
          <w:lang w:val="de-DE" w:eastAsia="en-GB" w:bidi="en-GB"/>
        </w:rPr>
        <w:t>Schaffung eines Rahmens für die Förderung der Saatgutproduktion mit anderen Nationen oder Unternehmen.</w:t>
      </w:r>
    </w:p>
    <w:p w:rsidR="00BD2383" w:rsidRPr="00BD2383" w:rsidRDefault="00BD2383" w:rsidP="00BD2383">
      <w:pPr>
        <w:widowControl w:val="0"/>
        <w:numPr>
          <w:ilvl w:val="1"/>
          <w:numId w:val="13"/>
        </w:numPr>
        <w:tabs>
          <w:tab w:val="left" w:pos="1069"/>
          <w:tab w:val="left" w:pos="1071"/>
        </w:tabs>
        <w:autoSpaceDE w:val="0"/>
        <w:autoSpaceDN w:val="0"/>
        <w:ind w:hanging="410"/>
        <w:jc w:val="left"/>
        <w:rPr>
          <w:rFonts w:cs="Arial"/>
          <w:noProof/>
          <w:lang w:val="de-DE" w:eastAsia="en-GB" w:bidi="en-GB"/>
        </w:rPr>
      </w:pPr>
      <w:r w:rsidRPr="00BD2383">
        <w:rPr>
          <w:rFonts w:cs="Arial"/>
          <w:noProof/>
          <w:lang w:val="de-DE" w:eastAsia="en-GB" w:bidi="en-GB"/>
        </w:rPr>
        <w:t>Mitarbeit an der Erstellung internationaler Regelungen für die Saatgutzertifizierung.</w:t>
      </w:r>
    </w:p>
    <w:p w:rsidR="00BD2383" w:rsidRPr="00BD2383" w:rsidRDefault="00BD2383" w:rsidP="00BD2383">
      <w:pPr>
        <w:widowControl w:val="0"/>
        <w:numPr>
          <w:ilvl w:val="1"/>
          <w:numId w:val="13"/>
        </w:numPr>
        <w:tabs>
          <w:tab w:val="left" w:pos="1069"/>
          <w:tab w:val="left" w:pos="1071"/>
        </w:tabs>
        <w:autoSpaceDE w:val="0"/>
        <w:autoSpaceDN w:val="0"/>
        <w:ind w:hanging="410"/>
        <w:jc w:val="left"/>
        <w:rPr>
          <w:rFonts w:cs="Arial"/>
          <w:noProof/>
          <w:lang w:val="de-DE" w:eastAsia="en-GB" w:bidi="en-GB"/>
        </w:rPr>
      </w:pPr>
      <w:r w:rsidRPr="00BD2383">
        <w:rPr>
          <w:rFonts w:cs="Arial"/>
          <w:noProof/>
          <w:lang w:val="de-DE" w:eastAsia="en-GB" w:bidi="en-GB"/>
        </w:rPr>
        <w:t>Ausbau der Zusammenarbeit von öffentlichem und privatem Sektor.</w:t>
      </w:r>
    </w:p>
    <w:p w:rsidR="00BD2383" w:rsidRPr="00BD2383" w:rsidRDefault="00BD2383" w:rsidP="00BD2383">
      <w:pPr>
        <w:widowControl w:val="0"/>
        <w:numPr>
          <w:ilvl w:val="1"/>
          <w:numId w:val="13"/>
        </w:numPr>
        <w:tabs>
          <w:tab w:val="left" w:pos="1071"/>
        </w:tabs>
        <w:autoSpaceDE w:val="0"/>
        <w:autoSpaceDN w:val="0"/>
        <w:ind w:right="225"/>
        <w:rPr>
          <w:rFonts w:cs="Arial"/>
          <w:noProof/>
          <w:lang w:val="de-DE" w:eastAsia="en-GB" w:bidi="en-GB"/>
        </w:rPr>
      </w:pPr>
      <w:r w:rsidRPr="00BD2383">
        <w:rPr>
          <w:rFonts w:cs="Arial"/>
          <w:noProof/>
          <w:lang w:val="de-DE" w:eastAsia="en-GB" w:bidi="en-GB"/>
        </w:rPr>
        <w:t>Nutzen ziehen aus dem regelmäßigen Informationsaustausch mit anderen staatlichen Zertifizierungsstellen und Beobachterorganisationen.</w:t>
      </w:r>
    </w:p>
    <w:p w:rsidR="00BD2383" w:rsidRPr="00BD2383" w:rsidRDefault="00BD2383" w:rsidP="00BD2383">
      <w:pPr>
        <w:spacing w:before="5"/>
        <w:rPr>
          <w:rFonts w:cs="Arial"/>
          <w:noProof/>
          <w:lang w:val="de-DE"/>
        </w:rPr>
      </w:pPr>
    </w:p>
    <w:p w:rsidR="00BD2383" w:rsidRPr="00BD2383" w:rsidRDefault="00BD2383" w:rsidP="00BD2383">
      <w:pPr>
        <w:rPr>
          <w:i/>
          <w:noProof/>
          <w:lang w:val="de-DE"/>
        </w:rPr>
      </w:pPr>
      <w:bookmarkStart w:id="30" w:name="Annual_List_of_Varieties"/>
      <w:bookmarkEnd w:id="30"/>
      <w:r w:rsidRPr="00BD2383">
        <w:rPr>
          <w:i/>
          <w:noProof/>
          <w:lang w:val="de-DE"/>
        </w:rPr>
        <w:t>Jahresliste der Sorten</w:t>
      </w:r>
    </w:p>
    <w:p w:rsidR="00BD2383" w:rsidRPr="00BD2383" w:rsidRDefault="00BD2383" w:rsidP="00BD2383">
      <w:pPr>
        <w:spacing w:before="4"/>
        <w:rPr>
          <w:rFonts w:cs="Arial"/>
          <w:b/>
          <w:noProof/>
          <w:lang w:val="de-DE"/>
        </w:rPr>
      </w:pPr>
    </w:p>
    <w:p w:rsidR="00BD2383" w:rsidRPr="00BD2383" w:rsidRDefault="00BD2383" w:rsidP="00BD2383">
      <w:pPr>
        <w:widowControl w:val="0"/>
        <w:tabs>
          <w:tab w:val="left" w:pos="1127"/>
          <w:tab w:val="left" w:pos="1128"/>
        </w:tabs>
        <w:autoSpaceDE w:val="0"/>
        <w:autoSpaceDN w:val="0"/>
        <w:ind w:right="216"/>
        <w:rPr>
          <w:rFonts w:cs="Arial"/>
          <w:noProof/>
          <w:lang w:val="de-DE" w:eastAsia="en-GB" w:bidi="en-GB"/>
        </w:rPr>
      </w:pPr>
      <w:r w:rsidRPr="00BD2383">
        <w:rPr>
          <w:rFonts w:cs="Arial"/>
          <w:noProof/>
          <w:w w:val="105"/>
          <w:lang w:val="de-DE" w:eastAsia="en-GB" w:bidi="en-GB"/>
        </w:rPr>
        <w:t>Auf der Jahresliste der für die OECD-Zertifizierung zulässigen Sorten sind Sorten genannt, die amtlich als unterscheidbar, homogen und beständig anerkannt sind und die in einem oder mehreren Teilnehmerländern einen hinreichenden Wert haben. Die Liste enthält diejenigen Saatgutsorten, die im Rahmen der OECD-Saatgutsysteme international gehandelt werden. Während der vergangenen dreißig Jahre ist die Zahl der gelisteten Arten stetig gewachsen. Derzeit beläuft sich die Anzahl an gelisteten Sorten auf über 62 000, was 200 Arten entspricht. Die Liste ist online verfügbar und wird regelmäßig aktualisiert.</w:t>
      </w:r>
    </w:p>
    <w:p w:rsidR="00BD2383" w:rsidRPr="00BD2383" w:rsidRDefault="00BD2383" w:rsidP="00BD2383">
      <w:pPr>
        <w:spacing w:before="4"/>
        <w:rPr>
          <w:rFonts w:cs="Arial"/>
          <w:noProof/>
          <w:lang w:val="de-DE"/>
        </w:rPr>
      </w:pPr>
    </w:p>
    <w:p w:rsidR="00BD2383" w:rsidRPr="00BD2383" w:rsidRDefault="00BD2383" w:rsidP="00BD2383">
      <w:pPr>
        <w:rPr>
          <w:i/>
          <w:noProof/>
          <w:lang w:val="de-DE"/>
        </w:rPr>
      </w:pPr>
      <w:bookmarkStart w:id="31" w:name="Outlook"/>
      <w:bookmarkEnd w:id="31"/>
      <w:r w:rsidRPr="00BD2383">
        <w:rPr>
          <w:i/>
          <w:noProof/>
          <w:lang w:val="de-DE"/>
        </w:rPr>
        <w:t>Ausblick</w:t>
      </w:r>
    </w:p>
    <w:p w:rsidR="00BD2383" w:rsidRPr="00BD2383" w:rsidRDefault="00BD2383" w:rsidP="00BD2383">
      <w:pPr>
        <w:spacing w:before="6"/>
        <w:rPr>
          <w:rFonts w:cs="Arial"/>
          <w:b/>
          <w:noProof/>
          <w:lang w:val="de-DE"/>
        </w:rPr>
      </w:pPr>
    </w:p>
    <w:p w:rsidR="00BD2383" w:rsidRPr="00BD2383" w:rsidRDefault="00BD2383" w:rsidP="00BD2383">
      <w:pPr>
        <w:spacing w:before="1"/>
        <w:rPr>
          <w:rFonts w:cs="Arial"/>
          <w:noProof/>
          <w:lang w:val="de-DE" w:eastAsia="en-GB" w:bidi="en-GB"/>
        </w:rPr>
      </w:pPr>
      <w:r w:rsidRPr="00BD2383">
        <w:rPr>
          <w:rFonts w:cs="Arial"/>
          <w:noProof/>
          <w:lang w:val="de-DE" w:eastAsia="en-GB" w:bidi="en-GB"/>
        </w:rPr>
        <w:t>Da die Saatgut-„Verbraucher“ immer anspruchsvoller werden, besteht ein größerer Bedarf an einheitlichen Saatgutstandards, während die öffentlichen Finanzmittel für Regulierung und Qualitätskontrolle gleichzeitig begrenzt sind.</w:t>
      </w:r>
    </w:p>
    <w:p w:rsidR="00BD2383" w:rsidRPr="00BD2383" w:rsidRDefault="00BD2383" w:rsidP="00BD2383">
      <w:pPr>
        <w:spacing w:before="1"/>
        <w:rPr>
          <w:rFonts w:cs="Arial"/>
          <w:noProof/>
          <w:lang w:val="de-DE" w:eastAsia="en-GB" w:bidi="en-GB"/>
        </w:rPr>
      </w:pPr>
    </w:p>
    <w:p w:rsidR="00BD2383" w:rsidRPr="00BD2383" w:rsidRDefault="00BD2383" w:rsidP="00BD2383">
      <w:pPr>
        <w:spacing w:before="1"/>
        <w:rPr>
          <w:rFonts w:cs="Arial"/>
          <w:noProof/>
          <w:lang w:val="de-DE" w:eastAsia="en-GB" w:bidi="en-GB"/>
        </w:rPr>
      </w:pPr>
      <w:r w:rsidRPr="00BD2383">
        <w:rPr>
          <w:rFonts w:cs="Arial"/>
          <w:noProof/>
          <w:lang w:val="de-DE" w:eastAsia="en-GB" w:bidi="en-GB"/>
        </w:rPr>
        <w:t>Die Zusammenarbeit zwischen Ländern und Interessenvertretern im Rahmen der Systeme ist eine Antwort auf das Anliegen eines marktgerechten Regulierungsansatzes. Jedes Land ist mit einem anderen rechtlichen Rahmen, institutionellen Barrieren und Handelsbeziehungen konfrontiert, während die unterschiedlichen Ansätze zwischen den Ländern, die als Importeure oder Exporteure von Saatgut auf internationale Märkte gehen, konsistent bleiben müssen.</w:t>
      </w:r>
    </w:p>
    <w:p w:rsidR="00BD2383" w:rsidRPr="00BD2383" w:rsidRDefault="00BD2383" w:rsidP="00BD2383">
      <w:pPr>
        <w:spacing w:before="1"/>
        <w:rPr>
          <w:rFonts w:cs="Arial"/>
          <w:noProof/>
          <w:lang w:val="de-DE" w:eastAsia="en-GB" w:bidi="en-GB"/>
        </w:rPr>
      </w:pPr>
    </w:p>
    <w:p w:rsidR="00BD2383" w:rsidRPr="00BD2383" w:rsidRDefault="00BD2383" w:rsidP="00BD2383">
      <w:pPr>
        <w:spacing w:before="1"/>
        <w:rPr>
          <w:rFonts w:cs="Arial"/>
          <w:noProof/>
          <w:lang w:val="de-DE" w:eastAsia="en-GB" w:bidi="en-GB"/>
        </w:rPr>
      </w:pPr>
      <w:r w:rsidRPr="00BD2383">
        <w:rPr>
          <w:rFonts w:cs="Arial"/>
          <w:noProof/>
          <w:lang w:val="de-DE" w:eastAsia="en-GB" w:bidi="en-GB"/>
        </w:rPr>
        <w:t>Erhaltungszüchter und Saatgutunternehmen sind dafür verantwortlich, sicherzustellen, dass ihre Sorten nicht nur im Inland, sondern auch grenzüberschreitend rein und getreu der Beschreibung und der definitiven Probe (das die „lebende Beschreibung“ der Sorte ist) bleiben. Für die Vermehrung von Saatgut in großen Mengen für den Handel müssen jedoch Mindestkriterien gemeinsam definiert, gebilligt und durchgesetzt werden. Die Saatgutsysteme der OECD stellen diesen rechtlichen Rahmen auf internationaler Ebene bereit.</w:t>
      </w:r>
    </w:p>
    <w:p w:rsidR="00BD2383" w:rsidRPr="00BD2383" w:rsidRDefault="00BD2383" w:rsidP="00BD2383">
      <w:pPr>
        <w:spacing w:before="1"/>
        <w:rPr>
          <w:rFonts w:cs="Arial"/>
          <w:noProof/>
          <w:lang w:val="de-DE" w:eastAsia="en-GB" w:bidi="en-GB"/>
        </w:rPr>
      </w:pPr>
    </w:p>
    <w:p w:rsidR="00BD2383" w:rsidRPr="00BD2383" w:rsidRDefault="00BD2383" w:rsidP="00BD2383">
      <w:pPr>
        <w:spacing w:before="1"/>
        <w:rPr>
          <w:rFonts w:cs="Arial"/>
          <w:i/>
          <w:iCs/>
          <w:noProof/>
          <w:lang w:val="de-DE" w:eastAsia="en-GB" w:bidi="en-GB"/>
        </w:rPr>
      </w:pPr>
      <w:r w:rsidRPr="00BD2383">
        <w:rPr>
          <w:rFonts w:cs="Arial"/>
          <w:i/>
          <w:iCs/>
          <w:noProof/>
          <w:lang w:val="de-DE" w:eastAsia="en-GB" w:bidi="en-GB"/>
        </w:rPr>
        <w:t>Stand der biochemischen und molekularen Techniken (BMT) in den Saatgutsystemen der OECD</w:t>
      </w:r>
    </w:p>
    <w:p w:rsidR="00BD2383" w:rsidRPr="00BD2383" w:rsidRDefault="00BD2383" w:rsidP="00BD2383">
      <w:pPr>
        <w:spacing w:before="1"/>
        <w:rPr>
          <w:rFonts w:cs="Arial"/>
          <w:noProof/>
          <w:lang w:val="de-DE" w:eastAsia="en-GB" w:bidi="en-GB"/>
        </w:rPr>
      </w:pPr>
    </w:p>
    <w:p w:rsidR="00BD2383" w:rsidRPr="00BD2383" w:rsidRDefault="00BD2383" w:rsidP="00BD2383">
      <w:pPr>
        <w:spacing w:before="1"/>
        <w:rPr>
          <w:rFonts w:cs="Arial"/>
          <w:noProof/>
          <w:lang w:val="de-DE" w:eastAsia="en-GB" w:bidi="en-GB"/>
        </w:rPr>
      </w:pPr>
      <w:r w:rsidRPr="00BD2383">
        <w:rPr>
          <w:rFonts w:cs="Arial"/>
          <w:noProof/>
          <w:lang w:val="de-DE" w:eastAsia="en-GB" w:bidi="en-GB"/>
        </w:rPr>
        <w:t>Die Saatgutsysteme der OECD befürworten keine speziellen Laborverfahren zur Bestimmung der Sortenidentität oder zur Bestimmung der Sortenreinheit. Die herkömmlichen Verfahren der OECD der Verwendung von Feldprüfungsverfahren zusammen mit Vor- und Nach</w:t>
      </w:r>
      <w:r w:rsidRPr="00BD2383">
        <w:rPr>
          <w:lang w:val="de-DE"/>
        </w:rPr>
        <w:t>-Kontroll</w:t>
      </w:r>
      <w:r w:rsidRPr="00BD2383">
        <w:rPr>
          <w:rFonts w:cs="Arial"/>
          <w:noProof/>
          <w:lang w:val="de-DE" w:eastAsia="en-GB" w:bidi="en-GB"/>
        </w:rPr>
        <w:t>parzellen sind als die erforderlichen Verfahren zur Bestimmung der Sortenidentität und Sortenreinheit anzusehen.</w:t>
      </w:r>
    </w:p>
    <w:p w:rsidR="00BD2383" w:rsidRPr="00BD2383" w:rsidRDefault="00BD2383" w:rsidP="00BD2383">
      <w:pPr>
        <w:spacing w:before="1"/>
        <w:rPr>
          <w:rFonts w:cs="Arial"/>
          <w:noProof/>
          <w:lang w:val="de-DE" w:eastAsia="en-GB" w:bidi="en-GB"/>
        </w:rPr>
      </w:pPr>
    </w:p>
    <w:p w:rsidR="00BD2383" w:rsidRPr="00BD2383" w:rsidRDefault="00BD2383" w:rsidP="00BD2383">
      <w:pPr>
        <w:spacing w:before="1"/>
        <w:rPr>
          <w:rFonts w:cs="Arial"/>
          <w:noProof/>
          <w:lang w:val="de-DE" w:eastAsia="en-GB" w:bidi="en-GB"/>
        </w:rPr>
      </w:pPr>
      <w:r w:rsidRPr="00BD2383">
        <w:rPr>
          <w:rFonts w:cs="Arial"/>
          <w:noProof/>
          <w:lang w:val="de-DE" w:eastAsia="en-GB" w:bidi="en-GB"/>
        </w:rPr>
        <w:t>Die Saatgutsysteme der OECD erkennen jedoch an, dass es Fälle gibt, in denen diese herkömmlichen Verfahren die Sicherheit der Sortenbestimmung einschränken, und in einigen Fällen können Sorten einiger Arten mit diesen herkömmlichen Verfahren nicht mit Sicherheit identifiziert werden. Unter diesen besonderen Umständen kann es vorteilhaft sein, nicht feldbasierte Verfahren wie BMT zu verwenden, die als Ergänzung und nicht als Ersatz für die herkömmlicheren Verfahren anzusehen sind.</w:t>
      </w:r>
    </w:p>
    <w:p w:rsidR="00BD2383" w:rsidRPr="00BD2383" w:rsidRDefault="00BD2383" w:rsidP="00BD2383">
      <w:pPr>
        <w:spacing w:before="1"/>
        <w:rPr>
          <w:rFonts w:cs="Arial"/>
          <w:noProof/>
          <w:lang w:val="de-DE" w:eastAsia="en-GB" w:bidi="en-GB"/>
        </w:rPr>
      </w:pPr>
    </w:p>
    <w:p w:rsidR="00BD2383" w:rsidRPr="00BD2383" w:rsidRDefault="00BD2383" w:rsidP="00BD2383">
      <w:pPr>
        <w:spacing w:before="1"/>
        <w:rPr>
          <w:b/>
          <w:noProof/>
          <w:lang w:val="de-DE"/>
        </w:rPr>
      </w:pPr>
      <w:r w:rsidRPr="00BD2383">
        <w:rPr>
          <w:rFonts w:cs="Arial"/>
          <w:noProof/>
          <w:lang w:val="de-DE" w:eastAsia="en-GB" w:bidi="en-GB"/>
        </w:rPr>
        <w:t>Für weitere Informationen über die Saatgutsysteme der OECD siehe</w:t>
      </w:r>
      <w:r w:rsidRPr="00BD2383">
        <w:rPr>
          <w:noProof/>
          <w:lang w:val="de-DE"/>
        </w:rPr>
        <w:t xml:space="preserve">: </w:t>
      </w:r>
      <w:hyperlink r:id="rId11">
        <w:r w:rsidRPr="00BD2383">
          <w:rPr>
            <w:b/>
            <w:noProof/>
            <w:lang w:val="de-DE"/>
          </w:rPr>
          <w:t>www.oecd.org/tad</w:t>
        </w:r>
        <w:r w:rsidRPr="00BD2383">
          <w:rPr>
            <w:noProof/>
            <w:lang w:val="de-DE"/>
          </w:rPr>
          <w:t>/</w:t>
        </w:r>
        <w:r w:rsidRPr="00BD2383">
          <w:rPr>
            <w:b/>
            <w:noProof/>
            <w:lang w:val="de-DE"/>
          </w:rPr>
          <w:t>seed</w:t>
        </w:r>
      </w:hyperlink>
    </w:p>
    <w:p w:rsidR="00BD2383" w:rsidRPr="00BD2383" w:rsidRDefault="00BD2383" w:rsidP="00BD2383">
      <w:pPr>
        <w:jc w:val="left"/>
        <w:rPr>
          <w:b/>
          <w:noProof/>
          <w:lang w:val="de-DE"/>
        </w:rPr>
      </w:pPr>
      <w:r w:rsidRPr="00BD2383">
        <w:rPr>
          <w:b/>
          <w:noProof/>
          <w:lang w:val="de-DE"/>
        </w:rPr>
        <w:br w:type="page"/>
      </w:r>
    </w:p>
    <w:p w:rsidR="00BD2383" w:rsidRPr="00BD2383" w:rsidRDefault="00BD2383" w:rsidP="00BD2383">
      <w:pPr>
        <w:rPr>
          <w:noProof/>
          <w:lang w:val="de-DE"/>
        </w:rPr>
      </w:pPr>
    </w:p>
    <w:p w:rsidR="00BD2383" w:rsidRPr="00BD2383" w:rsidRDefault="00BD2383" w:rsidP="00BD2383">
      <w:pPr>
        <w:rPr>
          <w:bCs/>
          <w:noProof/>
          <w:u w:val="single"/>
          <w:lang w:val="de-DE"/>
        </w:rPr>
      </w:pPr>
      <w:r w:rsidRPr="00BD2383">
        <w:rPr>
          <w:bCs/>
          <w:noProof/>
          <w:u w:val="single"/>
          <w:lang w:val="de-DE"/>
        </w:rPr>
        <w:t>Internationaler Verband zum Schutz von Pflanzenzüchtungen (UPOV)</w:t>
      </w:r>
    </w:p>
    <w:p w:rsidR="00BD2383" w:rsidRPr="00BD2383" w:rsidRDefault="00BD2383" w:rsidP="00BD2383">
      <w:pPr>
        <w:rPr>
          <w:noProof/>
          <w:lang w:val="de-DE"/>
        </w:rPr>
      </w:pPr>
    </w:p>
    <w:p w:rsidR="00BD2383" w:rsidRPr="00BD2383" w:rsidRDefault="00BD2383" w:rsidP="00BD2383">
      <w:pPr>
        <w:rPr>
          <w:noProof/>
          <w:lang w:val="de-DE"/>
        </w:rPr>
      </w:pPr>
      <w:r w:rsidRPr="00BD2383">
        <w:rPr>
          <w:bCs/>
          <w:noProof/>
          <w:lang w:val="de-DE"/>
        </w:rPr>
        <w:t xml:space="preserve">Art der Organisation: </w:t>
      </w:r>
      <w:r w:rsidRPr="00BD2383">
        <w:rPr>
          <w:noProof/>
          <w:lang w:val="de-DE"/>
        </w:rPr>
        <w:t>Zwischenstaatlich</w:t>
      </w:r>
    </w:p>
    <w:p w:rsidR="00BD2383" w:rsidRPr="00BD2383" w:rsidRDefault="00BD2383" w:rsidP="00BD2383">
      <w:pPr>
        <w:rPr>
          <w:noProof/>
          <w:lang w:val="de-DE"/>
        </w:rPr>
      </w:pPr>
      <w:r w:rsidRPr="00BD2383">
        <w:rPr>
          <w:noProof/>
          <w:lang w:val="de-DE"/>
        </w:rPr>
        <w:t> </w:t>
      </w:r>
    </w:p>
    <w:p w:rsidR="00BD2383" w:rsidRPr="00BD2383" w:rsidRDefault="00BD2383" w:rsidP="00BD2383">
      <w:pPr>
        <w:rPr>
          <w:bCs/>
          <w:noProof/>
          <w:lang w:val="de-DE"/>
        </w:rPr>
      </w:pPr>
      <w:r w:rsidRPr="00BD2383">
        <w:rPr>
          <w:bCs/>
          <w:noProof/>
          <w:lang w:val="de-DE"/>
        </w:rPr>
        <w:t>Mitgliedschaft</w:t>
      </w:r>
    </w:p>
    <w:p w:rsidR="00BD2383" w:rsidRPr="00BD2383" w:rsidRDefault="00BD2383" w:rsidP="00BD2383">
      <w:pPr>
        <w:rPr>
          <w:bCs/>
          <w:noProof/>
          <w:lang w:val="de-DE"/>
        </w:rPr>
      </w:pPr>
    </w:p>
    <w:p w:rsidR="00BD2383" w:rsidRPr="00BD2383" w:rsidRDefault="00164B48" w:rsidP="00BD2383">
      <w:pPr>
        <w:rPr>
          <w:noProof/>
          <w:lang w:val="de-DE"/>
        </w:rPr>
      </w:pPr>
      <w:hyperlink r:id="rId12" w:history="1">
        <w:r w:rsidR="00BD2383" w:rsidRPr="00BD2383">
          <w:rPr>
            <w:rStyle w:val="Hyperlink"/>
            <w:noProof/>
            <w:lang w:val="de-DE"/>
          </w:rPr>
          <w:t>Liste der UPOV-Mitglieder</w:t>
        </w:r>
      </w:hyperlink>
      <w:r w:rsidR="00BD2383" w:rsidRPr="00BD2383">
        <w:rPr>
          <w:noProof/>
          <w:lang w:val="de-DE"/>
        </w:rPr>
        <w:t xml:space="preserve">  / </w:t>
      </w:r>
      <w:hyperlink r:id="rId13" w:history="1">
        <w:r w:rsidR="00BD2383" w:rsidRPr="00BD2383">
          <w:rPr>
            <w:rStyle w:val="Hyperlink"/>
            <w:noProof/>
            <w:lang w:val="de-DE"/>
          </w:rPr>
          <w:t>Lage in Bezug auf die UPOV</w:t>
        </w:r>
      </w:hyperlink>
    </w:p>
    <w:p w:rsidR="00BD2383" w:rsidRPr="00BD2383" w:rsidRDefault="00BD2383" w:rsidP="00BD2383">
      <w:pPr>
        <w:rPr>
          <w:bCs/>
          <w:i/>
          <w:noProof/>
          <w:lang w:val="de-DE"/>
        </w:rPr>
      </w:pPr>
    </w:p>
    <w:p w:rsidR="00BD2383" w:rsidRPr="00BD2383" w:rsidRDefault="00BD2383" w:rsidP="00BD2383">
      <w:pPr>
        <w:rPr>
          <w:bCs/>
          <w:i/>
          <w:noProof/>
          <w:lang w:val="de-DE"/>
        </w:rPr>
      </w:pPr>
      <w:r w:rsidRPr="00BD2383">
        <w:rPr>
          <w:bCs/>
          <w:i/>
          <w:noProof/>
          <w:lang w:val="de-DE"/>
        </w:rPr>
        <w:t>Was ist die UPOV?</w:t>
      </w:r>
    </w:p>
    <w:p w:rsidR="00BD2383" w:rsidRPr="00BD2383" w:rsidRDefault="00BD2383" w:rsidP="00BD2383">
      <w:pPr>
        <w:rPr>
          <w:bCs/>
          <w:noProof/>
          <w:lang w:val="de-DE"/>
        </w:rPr>
      </w:pPr>
    </w:p>
    <w:p w:rsidR="00BD2383" w:rsidRPr="00BD2383" w:rsidRDefault="00BD2383" w:rsidP="00BD2383">
      <w:pPr>
        <w:rPr>
          <w:noProof/>
          <w:lang w:val="de-DE"/>
        </w:rPr>
      </w:pPr>
      <w:r w:rsidRPr="00BD2383">
        <w:rPr>
          <w:noProof/>
          <w:lang w:val="de-DE"/>
        </w:rPr>
        <w:t>Der Internationale Verband zum Schutz von Pflanzenzüchtungen (UPOV) ist eine zwischenstaatliche Organisation mit Sitz in Genf, Schweiz. Die UPOV wurde durch das 1961 unterzeichnete Internationale Übereinkommen zum Schutz von Pflanzenzüchtungen („UPOV-Übereinkommen") geschaffen.</w:t>
      </w:r>
    </w:p>
    <w:p w:rsidR="00BD2383" w:rsidRPr="00BD2383" w:rsidRDefault="00BD2383" w:rsidP="00BD2383">
      <w:pPr>
        <w:rPr>
          <w:noProof/>
          <w:lang w:val="de-DE"/>
        </w:rPr>
      </w:pPr>
      <w:r w:rsidRPr="00BD2383">
        <w:rPr>
          <w:noProof/>
          <w:lang w:val="de-DE"/>
        </w:rPr>
        <w:t>Das Ziel der UPOV ist die Bereitstellung und Förderung eines wirksamen Sortenschutzsystems mit dem Ziel, die Entwicklung neuer Pflanzensorten zum Nutzen der Gesellschaft zu begünstigen.</w:t>
      </w:r>
    </w:p>
    <w:p w:rsidR="00BD2383" w:rsidRPr="00BD2383" w:rsidRDefault="00BD2383" w:rsidP="00BD2383">
      <w:pPr>
        <w:rPr>
          <w:noProof/>
          <w:lang w:val="de-DE"/>
        </w:rPr>
      </w:pPr>
      <w:r w:rsidRPr="00BD2383">
        <w:rPr>
          <w:noProof/>
          <w:lang w:val="de-DE"/>
        </w:rPr>
        <w:t>Das UPOV-Übereinkommen bildet die Grundlage einer Förderung der Pflanzenzüchtung, indem Züchtern neuer Pflanzensorten ein Recht des geistigen Eigentums erteilt wird: das Züchterrecht.</w:t>
      </w:r>
    </w:p>
    <w:p w:rsidR="00BD2383" w:rsidRPr="00BD2383" w:rsidRDefault="00BD2383" w:rsidP="00BD2383">
      <w:pPr>
        <w:rPr>
          <w:noProof/>
          <w:lang w:val="de-DE"/>
        </w:rPr>
      </w:pPr>
      <w:r w:rsidRPr="00BD2383">
        <w:rPr>
          <w:noProof/>
          <w:lang w:val="de-DE"/>
        </w:rPr>
        <w:t> </w:t>
      </w:r>
    </w:p>
    <w:p w:rsidR="00BD2383" w:rsidRPr="00BD2383" w:rsidRDefault="00BD2383" w:rsidP="00BD2383">
      <w:pPr>
        <w:rPr>
          <w:bCs/>
          <w:i/>
          <w:noProof/>
          <w:lang w:val="de-DE"/>
        </w:rPr>
      </w:pPr>
      <w:r w:rsidRPr="00BD2383">
        <w:rPr>
          <w:bCs/>
          <w:i/>
          <w:noProof/>
          <w:lang w:val="de-DE"/>
        </w:rPr>
        <w:t>Was macht die UPOV?</w:t>
      </w:r>
    </w:p>
    <w:p w:rsidR="00BD2383" w:rsidRPr="00BD2383" w:rsidRDefault="00BD2383" w:rsidP="00BD2383">
      <w:pPr>
        <w:rPr>
          <w:bCs/>
          <w:noProof/>
          <w:lang w:val="de-DE"/>
        </w:rPr>
      </w:pPr>
    </w:p>
    <w:p w:rsidR="00BD2383" w:rsidRPr="00BD2383" w:rsidRDefault="00BD2383" w:rsidP="00BD2383">
      <w:pPr>
        <w:rPr>
          <w:noProof/>
          <w:lang w:val="de-DE"/>
        </w:rPr>
      </w:pPr>
      <w:r w:rsidRPr="00BD2383">
        <w:rPr>
          <w:noProof/>
          <w:lang w:val="de-DE"/>
        </w:rPr>
        <w:t>Das Ziel der UPOV ist die Bereitstellung und Förderung eines wirksamen Sortenschutzsystems mit dem Ziel, die Entwicklung neuer Pflanzensorten zum Nutzen der Gesellschaft zu begünstigen. Die hauptsächlichen Ziele der UPOV sind gemäß dem UPOV-Übereinkommen:</w:t>
      </w:r>
    </w:p>
    <w:p w:rsidR="00BD2383" w:rsidRPr="00BD2383" w:rsidRDefault="00BD2383" w:rsidP="00BD2383">
      <w:pPr>
        <w:numPr>
          <w:ilvl w:val="0"/>
          <w:numId w:val="10"/>
        </w:numPr>
        <w:rPr>
          <w:noProof/>
          <w:lang w:val="de-DE"/>
        </w:rPr>
      </w:pPr>
      <w:r w:rsidRPr="00BD2383">
        <w:rPr>
          <w:noProof/>
          <w:lang w:val="de-DE"/>
        </w:rPr>
        <w:t>Bereitstellung und Entwicklung der rechtlichen, administrativen und technischen Grundlage für die internationale Zusammenarbeit auf dem Gebiet des Sortenschutzes;</w:t>
      </w:r>
    </w:p>
    <w:p w:rsidR="00BD2383" w:rsidRPr="00BD2383" w:rsidRDefault="00BD2383" w:rsidP="00BD2383">
      <w:pPr>
        <w:numPr>
          <w:ilvl w:val="0"/>
          <w:numId w:val="10"/>
        </w:numPr>
        <w:rPr>
          <w:noProof/>
          <w:lang w:val="de-DE"/>
        </w:rPr>
      </w:pPr>
      <w:r w:rsidRPr="00BD2383">
        <w:rPr>
          <w:noProof/>
          <w:lang w:val="de-DE"/>
        </w:rPr>
        <w:t>Unterstützung von Staaten und Organisationen bei der Ausarbeitung von Rechtsvorschriften und der Umsetzung eines wirksamen Sortenschutzsystems; und</w:t>
      </w:r>
    </w:p>
    <w:p w:rsidR="00BD2383" w:rsidRPr="00BD2383" w:rsidRDefault="00BD2383" w:rsidP="00BD2383">
      <w:pPr>
        <w:numPr>
          <w:ilvl w:val="0"/>
          <w:numId w:val="10"/>
        </w:numPr>
        <w:rPr>
          <w:noProof/>
          <w:lang w:val="de-DE"/>
        </w:rPr>
      </w:pPr>
      <w:r w:rsidRPr="00BD2383">
        <w:rPr>
          <w:noProof/>
          <w:lang w:val="de-DE"/>
        </w:rPr>
        <w:t>Sensibilisierung und Erhöhung des Verständnisses der Öffentlichkeit für das UPOV-Sortenschutzsystem.</w:t>
      </w:r>
    </w:p>
    <w:p w:rsidR="00BD2383" w:rsidRPr="00BD2383" w:rsidRDefault="00BD2383" w:rsidP="00BD2383">
      <w:pPr>
        <w:rPr>
          <w:noProof/>
          <w:lang w:val="de-DE"/>
        </w:rPr>
      </w:pPr>
      <w:r w:rsidRPr="00BD2383">
        <w:rPr>
          <w:bCs/>
          <w:noProof/>
          <w:lang w:val="de-DE"/>
        </w:rPr>
        <w:t> </w:t>
      </w:r>
    </w:p>
    <w:p w:rsidR="00BD2383" w:rsidRPr="00BD2383" w:rsidRDefault="00BD2383" w:rsidP="00BD2383">
      <w:pPr>
        <w:rPr>
          <w:bCs/>
          <w:i/>
          <w:noProof/>
          <w:lang w:val="de-DE"/>
        </w:rPr>
      </w:pPr>
      <w:r w:rsidRPr="00BD2383">
        <w:rPr>
          <w:bCs/>
          <w:i/>
          <w:noProof/>
          <w:lang w:val="de-DE"/>
        </w:rPr>
        <w:t>Was sind die Vorteile des Sortenschutzes und der UPOV-Mitgliedschaft?</w:t>
      </w:r>
    </w:p>
    <w:p w:rsidR="00BD2383" w:rsidRPr="00BD2383" w:rsidRDefault="00BD2383" w:rsidP="00BD2383">
      <w:pPr>
        <w:rPr>
          <w:bCs/>
          <w:noProof/>
          <w:lang w:val="de-DE"/>
        </w:rPr>
      </w:pPr>
    </w:p>
    <w:p w:rsidR="00BD2383" w:rsidRPr="00BD2383" w:rsidRDefault="00BD2383" w:rsidP="00BD2383">
      <w:pPr>
        <w:rPr>
          <w:noProof/>
          <w:lang w:val="de-DE"/>
        </w:rPr>
      </w:pPr>
      <w:r w:rsidRPr="00BD2383">
        <w:rPr>
          <w:noProof/>
          <w:lang w:val="de-DE"/>
        </w:rPr>
        <w:t>Aus dem UPOV-Bericht über die Auswirkungen des Sortenschutzes ging hervor, dass sowohl die Umsetzung des UPOV-Übereinkommens als auch die Mitgliedschaft bei der UPOV wichtig sind, um in den Genuss sämtlicher Vorteile, die der Sortenschutz zu bieten hat, zu gelangen. Die Einführung des UPOV-Sortenschutzsystems und der UPOV-Mitgliedschaft werden in Verbindung gebracht mit:</w:t>
      </w:r>
    </w:p>
    <w:p w:rsidR="00BD2383" w:rsidRPr="00BD2383" w:rsidRDefault="00BD2383" w:rsidP="00BD2383">
      <w:pPr>
        <w:rPr>
          <w:noProof/>
          <w:lang w:val="de-DE"/>
        </w:rPr>
      </w:pPr>
    </w:p>
    <w:p w:rsidR="00BD2383" w:rsidRPr="00BD2383" w:rsidRDefault="00BD2383" w:rsidP="00BD2383">
      <w:pPr>
        <w:rPr>
          <w:noProof/>
          <w:lang w:val="de-DE"/>
        </w:rPr>
      </w:pPr>
      <w:r w:rsidRPr="00BD2383">
        <w:rPr>
          <w:noProof/>
          <w:lang w:val="de-DE"/>
        </w:rPr>
        <w:t>a)</w:t>
      </w:r>
      <w:r w:rsidRPr="00BD2383">
        <w:rPr>
          <w:noProof/>
          <w:lang w:val="de-DE"/>
        </w:rPr>
        <w:tab/>
        <w:t>vermehrter Züchtungstätigkeit,</w:t>
      </w:r>
    </w:p>
    <w:p w:rsidR="00BD2383" w:rsidRPr="00BD2383" w:rsidRDefault="00BD2383" w:rsidP="00BD2383">
      <w:pPr>
        <w:rPr>
          <w:noProof/>
          <w:lang w:val="de-DE"/>
        </w:rPr>
      </w:pPr>
      <w:r w:rsidRPr="00BD2383">
        <w:rPr>
          <w:noProof/>
          <w:lang w:val="de-DE"/>
        </w:rPr>
        <w:t>b)</w:t>
      </w:r>
      <w:r w:rsidRPr="00BD2383">
        <w:rPr>
          <w:noProof/>
          <w:lang w:val="de-DE"/>
        </w:rPr>
        <w:tab/>
        <w:t>höherer Verfügbarkeit verbesserter Sorten,</w:t>
      </w:r>
    </w:p>
    <w:p w:rsidR="00BD2383" w:rsidRPr="00BD2383" w:rsidRDefault="00BD2383" w:rsidP="00BD2383">
      <w:pPr>
        <w:rPr>
          <w:noProof/>
          <w:lang w:val="de-DE"/>
        </w:rPr>
      </w:pPr>
      <w:r w:rsidRPr="00BD2383">
        <w:rPr>
          <w:noProof/>
          <w:lang w:val="de-DE"/>
        </w:rPr>
        <w:t>c)</w:t>
      </w:r>
      <w:r w:rsidRPr="00BD2383">
        <w:rPr>
          <w:noProof/>
          <w:lang w:val="de-DE"/>
        </w:rPr>
        <w:tab/>
        <w:t>höherer Anzahl neuer Sorten,</w:t>
      </w:r>
    </w:p>
    <w:p w:rsidR="00BD2383" w:rsidRPr="00BD2383" w:rsidRDefault="00BD2383" w:rsidP="00BD2383">
      <w:pPr>
        <w:rPr>
          <w:noProof/>
          <w:lang w:val="de-DE"/>
        </w:rPr>
      </w:pPr>
      <w:r w:rsidRPr="00BD2383">
        <w:rPr>
          <w:noProof/>
          <w:lang w:val="de-DE"/>
        </w:rPr>
        <w:t>d)</w:t>
      </w:r>
      <w:r w:rsidRPr="00BD2383">
        <w:rPr>
          <w:noProof/>
          <w:lang w:val="de-DE"/>
        </w:rPr>
        <w:tab/>
        <w:t>Diversifikation der Arten von Züchtern (z.B. private Züchter, Forscher),</w:t>
      </w:r>
    </w:p>
    <w:p w:rsidR="00BD2383" w:rsidRPr="00BD2383" w:rsidRDefault="00BD2383" w:rsidP="00BD2383">
      <w:pPr>
        <w:rPr>
          <w:noProof/>
          <w:lang w:val="de-DE"/>
        </w:rPr>
      </w:pPr>
      <w:r w:rsidRPr="00BD2383">
        <w:rPr>
          <w:noProof/>
          <w:lang w:val="de-DE"/>
        </w:rPr>
        <w:t>e)</w:t>
      </w:r>
      <w:r w:rsidRPr="00BD2383">
        <w:rPr>
          <w:noProof/>
          <w:lang w:val="de-DE"/>
        </w:rPr>
        <w:tab/>
        <w:t>größerer Zahl ausländischer neuer Sorten,</w:t>
      </w:r>
    </w:p>
    <w:p w:rsidR="00BD2383" w:rsidRPr="00BD2383" w:rsidRDefault="00BD2383" w:rsidP="00BD2383">
      <w:pPr>
        <w:rPr>
          <w:noProof/>
          <w:lang w:val="de-DE"/>
        </w:rPr>
      </w:pPr>
      <w:r w:rsidRPr="00BD2383">
        <w:rPr>
          <w:noProof/>
          <w:lang w:val="de-DE"/>
        </w:rPr>
        <w:t>f)</w:t>
      </w:r>
      <w:r w:rsidRPr="00BD2383">
        <w:rPr>
          <w:noProof/>
          <w:lang w:val="de-DE"/>
        </w:rPr>
        <w:tab/>
        <w:t>Förderung der Entwicklung einer neuen Wettbewerbsfähigkeit der Branche auf ausländischen Märkten, und</w:t>
      </w:r>
    </w:p>
    <w:p w:rsidR="00BD2383" w:rsidRPr="00BD2383" w:rsidRDefault="00BD2383" w:rsidP="00BD2383">
      <w:pPr>
        <w:rPr>
          <w:noProof/>
          <w:lang w:val="de-DE"/>
        </w:rPr>
      </w:pPr>
      <w:r w:rsidRPr="00BD2383">
        <w:rPr>
          <w:noProof/>
          <w:lang w:val="de-DE"/>
        </w:rPr>
        <w:t>g)</w:t>
      </w:r>
      <w:r w:rsidRPr="00BD2383">
        <w:rPr>
          <w:noProof/>
          <w:lang w:val="de-DE"/>
        </w:rPr>
        <w:tab/>
        <w:t>verbessertem Zugang zu ausländischen Pflanzensorten und verbesserten inländischen Züchterprogrammen.</w:t>
      </w:r>
    </w:p>
    <w:p w:rsidR="00BD2383" w:rsidRPr="00BD2383" w:rsidRDefault="00BD2383" w:rsidP="00BD2383">
      <w:pPr>
        <w:rPr>
          <w:noProof/>
          <w:lang w:val="de-DE"/>
        </w:rPr>
      </w:pPr>
      <w:r w:rsidRPr="00BD2383">
        <w:rPr>
          <w:noProof/>
          <w:lang w:val="de-DE"/>
        </w:rPr>
        <w:t>Für den Beitritt zur UPOV ist die Stellungnahme des UPOV-Rates im Hinblick auf die Vereinbarkeit des Gesetzes eines künftigen Mitglieds mit den Bestimmungen des UPOV-Übereinkommens erforderlich. Dieses Verfahren führt als solches zu einem hohen Grad an Übereinstimmung dieser Gesetze, was in der Folge die Zusammenarbeit unter den Mitgliedern bei der Umsetzung des Systems erleichtert.</w:t>
      </w:r>
    </w:p>
    <w:p w:rsidR="00BD2383" w:rsidRPr="00BD2383" w:rsidRDefault="00BD2383" w:rsidP="00BD2383">
      <w:pPr>
        <w:keepNext/>
        <w:rPr>
          <w:i/>
          <w:noProof/>
          <w:lang w:val="de-DE"/>
        </w:rPr>
      </w:pPr>
    </w:p>
    <w:p w:rsidR="00BD2383" w:rsidRPr="00BD2383" w:rsidRDefault="00BD2383" w:rsidP="00BD2383">
      <w:pPr>
        <w:keepNext/>
        <w:rPr>
          <w:i/>
          <w:noProof/>
          <w:lang w:val="de-DE"/>
        </w:rPr>
      </w:pPr>
      <w:r w:rsidRPr="00BD2383">
        <w:rPr>
          <w:i/>
          <w:noProof/>
          <w:lang w:val="de-DE"/>
        </w:rPr>
        <w:t>Erlaubt die UPOV die Verwendung molekularer Marker (DNS-Profile) bei der Prüfung von Unterscheidbarkeit, Homogenität und Beständigkeit („DUS-Prüfung“)?</w:t>
      </w:r>
    </w:p>
    <w:p w:rsidR="00BD2383" w:rsidRPr="00BD2383" w:rsidRDefault="00BD2383" w:rsidP="00BD2383">
      <w:pPr>
        <w:keepNext/>
        <w:rPr>
          <w:noProof/>
          <w:lang w:val="de-DE"/>
        </w:rPr>
      </w:pPr>
    </w:p>
    <w:p w:rsidR="00BD2383" w:rsidRPr="00BD2383" w:rsidRDefault="00BD2383" w:rsidP="00BD2383">
      <w:pPr>
        <w:rPr>
          <w:noProof/>
          <w:lang w:val="de-DE"/>
        </w:rPr>
      </w:pPr>
      <w:r w:rsidRPr="00BD2383">
        <w:rPr>
          <w:noProof/>
          <w:lang w:val="de-DE"/>
        </w:rPr>
        <w:t>Es ist wichtig anzumerken, dass in einigen Fällen Sorten ein unterschiedliches DNS-Profil haben, jedoch phänotypisch identisch sein können, während in anderen Fällen Sorten, die einen großen phänotypischen Unterschied aufweisen, dasselbe DNS-Profil für eine bestimmte Serie von molekularen Markern haben können (z.B. einige Mutationen).</w:t>
      </w:r>
    </w:p>
    <w:p w:rsidR="00BD2383" w:rsidRPr="00BD2383" w:rsidRDefault="00BD2383" w:rsidP="00BD2383">
      <w:pPr>
        <w:rPr>
          <w:noProof/>
          <w:lang w:val="de-DE"/>
        </w:rPr>
      </w:pPr>
    </w:p>
    <w:p w:rsidR="00BD2383" w:rsidRPr="00BD2383" w:rsidRDefault="00BD2383" w:rsidP="00BD2383">
      <w:pPr>
        <w:rPr>
          <w:noProof/>
          <w:lang w:val="de-DE"/>
        </w:rPr>
      </w:pPr>
      <w:r w:rsidRPr="00BD2383">
        <w:rPr>
          <w:noProof/>
          <w:lang w:val="de-DE"/>
        </w:rPr>
        <w:t xml:space="preserve">Was die Verwendung molekularer Marker betrifft, die nicht im Zusammenhang mit phänotypischen Unterschieden stehen, besteht die Sorge, dass womöglich eine unbegrenzte Anzahl von Markern verwendet werden könnte, um zwischen Sorten Unterschiede auf genetischer Ebene zu festzustellen, die bei phänotypischen Merkmalen nicht zu finden sind. </w:t>
      </w:r>
    </w:p>
    <w:p w:rsidR="00BD2383" w:rsidRPr="00BD2383" w:rsidRDefault="00BD2383" w:rsidP="00BD2383">
      <w:pPr>
        <w:rPr>
          <w:noProof/>
          <w:lang w:val="de-DE"/>
        </w:rPr>
      </w:pPr>
    </w:p>
    <w:p w:rsidR="00BD2383" w:rsidRPr="00BD2383" w:rsidRDefault="00BD2383" w:rsidP="00BD2383">
      <w:pPr>
        <w:rPr>
          <w:noProof/>
          <w:lang w:val="de-DE"/>
        </w:rPr>
      </w:pPr>
      <w:r w:rsidRPr="00BD2383">
        <w:rPr>
          <w:noProof/>
          <w:lang w:val="de-DE"/>
        </w:rPr>
        <w:t>Auf dieser Grundlage vereinbarte die UPOV die folgenden Verwendungen von molekularen Markern im Zusammenhang mit der DUS-Prüfung:</w:t>
      </w:r>
    </w:p>
    <w:p w:rsidR="00BD2383" w:rsidRPr="00BD2383" w:rsidRDefault="00BD2383" w:rsidP="00BD2383">
      <w:pPr>
        <w:rPr>
          <w:noProof/>
          <w:lang w:val="de-DE"/>
        </w:rPr>
      </w:pPr>
    </w:p>
    <w:p w:rsidR="00BD2383" w:rsidRPr="00BD2383" w:rsidRDefault="00BD2383" w:rsidP="00BD2383">
      <w:pPr>
        <w:rPr>
          <w:noProof/>
          <w:lang w:val="de-DE"/>
        </w:rPr>
      </w:pPr>
      <w:r w:rsidRPr="00BD2383">
        <w:rPr>
          <w:noProof/>
          <w:lang w:val="de-DE"/>
        </w:rPr>
        <w:t xml:space="preserve">a) </w:t>
      </w:r>
      <w:r w:rsidRPr="00BD2383">
        <w:rPr>
          <w:noProof/>
          <w:lang w:val="de-DE"/>
        </w:rPr>
        <w:tab/>
        <w:t>Molekulare Marker können als eine Methode zur Prüfung von DUS-Merkmalen, die die Kriterien für die in der Allgemeinen Einführung dargelegten Merkmale erfüllen, verwendet werden, falls es eine zuverlässige Kopplung zwischen dem Marker und dem Merkmal gibt.</w:t>
      </w:r>
    </w:p>
    <w:p w:rsidR="00BD2383" w:rsidRPr="00BD2383" w:rsidRDefault="00BD2383" w:rsidP="00BD2383">
      <w:pPr>
        <w:rPr>
          <w:noProof/>
          <w:lang w:val="de-DE"/>
        </w:rPr>
      </w:pPr>
    </w:p>
    <w:p w:rsidR="00BD2383" w:rsidRPr="00BD2383" w:rsidRDefault="00BD2383" w:rsidP="00BD2383">
      <w:pPr>
        <w:rPr>
          <w:noProof/>
          <w:lang w:val="de-DE"/>
        </w:rPr>
      </w:pPr>
      <w:r w:rsidRPr="00BD2383">
        <w:rPr>
          <w:noProof/>
          <w:lang w:val="de-DE"/>
        </w:rPr>
        <w:t xml:space="preserve">b) </w:t>
      </w:r>
      <w:r w:rsidRPr="00BD2383">
        <w:rPr>
          <w:noProof/>
          <w:lang w:val="de-DE"/>
        </w:rPr>
        <w:tab/>
        <w:t>Es kann eine Kombination aus phänotypischen Unterschieden und molekularen Abständen verwendet werden, um die Auswahl von in der Anbauprüfung zu vergleichenden Sorten zu verbessern, wenn die molekularen Abstände in ausreichendem Bezug zu phänotypischen Unterschieden stehen, so dass die Methode kein erhöhtes Risiko schafft, dass eine Sorte in der Sortensammlung, die im Feld mit den Kandidatensorten verglichen werden muss, nicht ausgewählt wird.</w:t>
      </w:r>
    </w:p>
    <w:p w:rsidR="00BD2383" w:rsidRPr="00BD2383" w:rsidRDefault="00BD2383" w:rsidP="00BD2383">
      <w:pPr>
        <w:rPr>
          <w:noProof/>
          <w:lang w:val="de-DE"/>
        </w:rPr>
      </w:pPr>
    </w:p>
    <w:p w:rsidR="00BD2383" w:rsidRPr="00BD2383" w:rsidRDefault="00BD2383" w:rsidP="00BD2383">
      <w:pPr>
        <w:rPr>
          <w:noProof/>
          <w:lang w:val="de-DE"/>
        </w:rPr>
      </w:pPr>
      <w:r w:rsidRPr="00BD2383">
        <w:rPr>
          <w:noProof/>
          <w:lang w:val="de-DE"/>
        </w:rPr>
        <w:t>Die Lage in der UPOV wird in den Dokumenten TGP/15 „Anleitung zur Verwendung biochemischer und molekularer Marker bei der Prüfung der Unterscheidbarkeit, Homogenität und Beständigkeit (DUS)“ und UPOV/INF/18 „Etwaige Verwendung molekularer Marker bei der Prüfung der Unterscheidbarkeit, der Homogenität und der Beständigkeit (DUS)“ erläutert.</w:t>
      </w:r>
    </w:p>
    <w:p w:rsidR="00BD2383" w:rsidRPr="00BD2383" w:rsidRDefault="00BD2383" w:rsidP="00BD2383">
      <w:pPr>
        <w:rPr>
          <w:noProof/>
          <w:lang w:val="de-DE"/>
        </w:rPr>
      </w:pPr>
    </w:p>
    <w:p w:rsidR="00BD2383" w:rsidRPr="00BD2383" w:rsidRDefault="00164B48" w:rsidP="00BD2383">
      <w:pPr>
        <w:rPr>
          <w:noProof/>
          <w:lang w:val="de-DE"/>
        </w:rPr>
      </w:pPr>
      <w:hyperlink r:id="rId14" w:anchor="QB80" w:history="1">
        <w:r w:rsidR="00BD2383" w:rsidRPr="00BD2383">
          <w:rPr>
            <w:noProof/>
            <w:color w:val="0000FF"/>
            <w:u w:val="single"/>
            <w:lang w:val="de-DE"/>
          </w:rPr>
          <w:t>https://www.upov.int/about/de/faq.html - QB80</w:t>
        </w:r>
      </w:hyperlink>
    </w:p>
    <w:p w:rsidR="00BD2383" w:rsidRPr="00BD2383" w:rsidRDefault="00BD2383" w:rsidP="00BD2383">
      <w:pPr>
        <w:rPr>
          <w:noProof/>
          <w:lang w:val="de-DE"/>
        </w:rPr>
      </w:pPr>
    </w:p>
    <w:p w:rsidR="00BD2383" w:rsidRPr="00BD2383" w:rsidRDefault="00BD2383" w:rsidP="00BD2383">
      <w:pPr>
        <w:rPr>
          <w:noProof/>
          <w:lang w:val="de-DE"/>
        </w:rPr>
      </w:pPr>
    </w:p>
    <w:p w:rsidR="00BD2383" w:rsidRPr="00BD2383" w:rsidRDefault="00BD2383" w:rsidP="00BD2383">
      <w:pPr>
        <w:rPr>
          <w:noProof/>
          <w:lang w:val="de-DE"/>
        </w:rPr>
      </w:pPr>
    </w:p>
    <w:p w:rsidR="00BD2383" w:rsidRPr="00BD2383" w:rsidRDefault="00BD2383" w:rsidP="00BD2383">
      <w:pPr>
        <w:rPr>
          <w:bCs/>
          <w:noProof/>
          <w:u w:val="single"/>
          <w:lang w:val="de-DE"/>
        </w:rPr>
      </w:pPr>
      <w:r w:rsidRPr="00BD2383">
        <w:rPr>
          <w:bCs/>
          <w:noProof/>
          <w:u w:val="single"/>
          <w:lang w:val="de-DE"/>
        </w:rPr>
        <w:t>Internationale Vereinigung für Saatgutprüfung (ISTA)</w:t>
      </w:r>
    </w:p>
    <w:p w:rsidR="00BD2383" w:rsidRPr="00BD2383" w:rsidRDefault="00BD2383" w:rsidP="00BD2383">
      <w:pPr>
        <w:rPr>
          <w:noProof/>
          <w:lang w:val="de-DE"/>
        </w:rPr>
      </w:pPr>
    </w:p>
    <w:p w:rsidR="00BD2383" w:rsidRPr="00BD2383" w:rsidRDefault="00BD2383" w:rsidP="00BD2383">
      <w:pPr>
        <w:rPr>
          <w:rFonts w:eastAsia="Calibri"/>
          <w:noProof/>
          <w:lang w:val="de-DE"/>
        </w:rPr>
      </w:pPr>
      <w:r w:rsidRPr="00BD2383">
        <w:rPr>
          <w:rFonts w:eastAsia="Calibri"/>
          <w:noProof/>
          <w:lang w:val="de-DE"/>
        </w:rPr>
        <w:t>DIE VISION DER ISTA: EINHEITLICHKEIT BEI DER SAATGUTPRÜFUNG</w:t>
      </w:r>
    </w:p>
    <w:p w:rsidR="00BD2383" w:rsidRPr="00BD2383" w:rsidRDefault="00BD2383" w:rsidP="00BD2383">
      <w:pPr>
        <w:rPr>
          <w:rFonts w:eastAsia="Calibri"/>
          <w:noProof/>
          <w:lang w:val="de-DE"/>
        </w:rPr>
      </w:pPr>
    </w:p>
    <w:p w:rsidR="00BD2383" w:rsidRPr="00BD2383" w:rsidRDefault="00BD2383" w:rsidP="00BD2383">
      <w:pPr>
        <w:spacing w:after="160"/>
        <w:rPr>
          <w:rFonts w:eastAsia="Calibri" w:cs="Arial"/>
          <w:noProof/>
          <w:color w:val="000000"/>
          <w:shd w:val="clear" w:color="auto" w:fill="FFFFFF"/>
          <w:lang w:val="de-DE"/>
        </w:rPr>
      </w:pPr>
      <w:r w:rsidRPr="00BD2383">
        <w:rPr>
          <w:rFonts w:eastAsia="Calibri" w:cs="Arial"/>
          <w:noProof/>
          <w:color w:val="000000"/>
          <w:shd w:val="clear" w:color="auto" w:fill="FFFFFF"/>
          <w:lang w:val="de-DE"/>
        </w:rPr>
        <w:t>Gegründet 1924 mit dem Ziel, standardisierte Verfahren auf dem Gebiet der Saatgutprüfung zu entwickeln und in Umlauf zu bringen, ist die ISTA untrennbar mit der Geschichte der Saatgutprüfung verbunden. Mit Mitgliedslaboren in über 80 Ländern/unterschiedlichen Volkswirtschaften weltweit ist die ISTA wirklich ein globales Netzwerk.</w:t>
      </w:r>
    </w:p>
    <w:p w:rsidR="00BD2383" w:rsidRPr="00BD2383" w:rsidRDefault="00BD2383" w:rsidP="00BD2383">
      <w:pPr>
        <w:spacing w:after="160"/>
        <w:rPr>
          <w:rFonts w:eastAsia="Calibri" w:cs="Arial"/>
          <w:noProof/>
          <w:color w:val="000000"/>
          <w:shd w:val="clear" w:color="auto" w:fill="FFFFFF"/>
          <w:lang w:val="de-DE"/>
        </w:rPr>
      </w:pPr>
      <w:r w:rsidRPr="00BD2383">
        <w:rPr>
          <w:rFonts w:eastAsia="Calibri" w:cs="Arial"/>
          <w:noProof/>
          <w:color w:val="000000"/>
          <w:shd w:val="clear" w:color="auto" w:fill="FFFFFF"/>
          <w:lang w:val="de-DE"/>
        </w:rPr>
        <w:t>Unsere Vereinigung erstellt international vereinbarte Vorschriften für die Beprobung und Prüfung von Saatgut, akkreditiert Labore, fördert die Forschung, stellt internationale Zertifikate für Saatgutanalyse und Schulungen bereit und verbreitet im Namen ihrer Mitglieder und unter der Leitung ihrer Mitgliedsländer/unterschiedlichen Volkswirtschaften Wissen betreffend Saatgutwissenschaft und -technologie. Dies erleichtert den Saatguthandel auf nationaler und internationaler Ebene und trägt somit zur Ernährungssicherheit bei.</w:t>
      </w:r>
    </w:p>
    <w:p w:rsidR="00BD2383" w:rsidRPr="00BD2383" w:rsidRDefault="00BD2383" w:rsidP="00BD2383">
      <w:pPr>
        <w:spacing w:after="160"/>
        <w:jc w:val="left"/>
        <w:rPr>
          <w:rFonts w:eastAsia="Calibri" w:cs="Arial"/>
          <w:bCs/>
          <w:noProof/>
          <w:lang w:val="de-DE"/>
        </w:rPr>
      </w:pPr>
      <w:r w:rsidRPr="00BD2383">
        <w:rPr>
          <w:rFonts w:eastAsia="Calibri" w:cs="Arial"/>
          <w:bCs/>
          <w:noProof/>
          <w:lang w:val="de-DE"/>
        </w:rPr>
        <w:t>ISTA-MITGLIEDER IM JAHR 2019</w:t>
      </w:r>
    </w:p>
    <w:p w:rsidR="00BD2383" w:rsidRPr="00BD6A76" w:rsidRDefault="00BD2383" w:rsidP="00BD2383">
      <w:pPr>
        <w:spacing w:after="160"/>
        <w:rPr>
          <w:rFonts w:eastAsia="Calibri" w:cs="Arial"/>
          <w:noProof/>
        </w:rPr>
      </w:pPr>
      <w:r w:rsidRPr="00BD2383">
        <w:rPr>
          <w:rFonts w:eastAsia="Calibri" w:cs="Arial"/>
          <w:noProof/>
          <w:lang w:val="de-DE"/>
        </w:rPr>
        <w:t xml:space="preserve">Mit Mitgliedslaboren in 82 Ländern/unterschiedlichen Volkswirtschaften weltweit ist die ISTA mit ihren Mitgliedern ein wirklich globales Netzwerk. </w:t>
      </w:r>
      <w:r w:rsidRPr="00BD6A76">
        <w:rPr>
          <w:rFonts w:eastAsia="Calibri" w:cs="Arial"/>
          <w:noProof/>
        </w:rPr>
        <w:t>Derzeit besteht die ISTA aus:</w:t>
      </w:r>
    </w:p>
    <w:p w:rsidR="00BD2383" w:rsidRPr="00BD6A76" w:rsidRDefault="00BD2383" w:rsidP="00BD2383">
      <w:pPr>
        <w:autoSpaceDE w:val="0"/>
        <w:autoSpaceDN w:val="0"/>
        <w:adjustRightInd w:val="0"/>
        <w:jc w:val="left"/>
        <w:rPr>
          <w:rFonts w:eastAsia="Calibri" w:cs="Arial"/>
          <w:strike/>
          <w:noProof/>
          <w:color w:val="C00000"/>
        </w:rPr>
      </w:pPr>
    </w:p>
    <w:p w:rsidR="00BD2383" w:rsidRPr="00BD2383" w:rsidRDefault="00BD2383" w:rsidP="00BD2383">
      <w:pPr>
        <w:numPr>
          <w:ilvl w:val="0"/>
          <w:numId w:val="12"/>
        </w:numPr>
        <w:autoSpaceDE w:val="0"/>
        <w:autoSpaceDN w:val="0"/>
        <w:adjustRightInd w:val="0"/>
        <w:spacing w:after="278"/>
        <w:jc w:val="left"/>
        <w:rPr>
          <w:rFonts w:eastAsia="Calibri" w:cs="Arial"/>
          <w:noProof/>
          <w:color w:val="000000"/>
          <w:lang w:val="de-DE"/>
        </w:rPr>
      </w:pPr>
      <w:r w:rsidRPr="00BD2383">
        <w:rPr>
          <w:rFonts w:eastAsia="Calibri" w:cs="Arial"/>
          <w:noProof/>
          <w:color w:val="000000"/>
          <w:lang w:val="de-DE"/>
        </w:rPr>
        <w:t xml:space="preserve">235 Mitgliedslaboren, von denen 136 ISTA-akkreditiert sind </w:t>
      </w:r>
    </w:p>
    <w:p w:rsidR="00BD2383" w:rsidRPr="00BD6A76" w:rsidRDefault="00BD2383" w:rsidP="00BD2383">
      <w:pPr>
        <w:numPr>
          <w:ilvl w:val="0"/>
          <w:numId w:val="12"/>
        </w:numPr>
        <w:autoSpaceDE w:val="0"/>
        <w:autoSpaceDN w:val="0"/>
        <w:adjustRightInd w:val="0"/>
        <w:spacing w:after="278"/>
        <w:jc w:val="left"/>
        <w:rPr>
          <w:rFonts w:eastAsia="Calibri" w:cs="Arial"/>
          <w:noProof/>
          <w:color w:val="000000"/>
        </w:rPr>
      </w:pPr>
      <w:r w:rsidRPr="00BD6A76">
        <w:rPr>
          <w:rFonts w:eastAsia="Calibri" w:cs="Arial"/>
          <w:noProof/>
          <w:color w:val="000000"/>
        </w:rPr>
        <w:t>63   Assoziierte</w:t>
      </w:r>
      <w:r>
        <w:rPr>
          <w:rFonts w:eastAsia="Calibri" w:cs="Arial"/>
          <w:noProof/>
          <w:color w:val="000000"/>
        </w:rPr>
        <w:t>n</w:t>
      </w:r>
      <w:r w:rsidRPr="00BD6A76">
        <w:rPr>
          <w:rFonts w:eastAsia="Calibri" w:cs="Arial"/>
          <w:noProof/>
          <w:color w:val="000000"/>
        </w:rPr>
        <w:t xml:space="preserve"> Mitglieder</w:t>
      </w:r>
      <w:r>
        <w:rPr>
          <w:rFonts w:eastAsia="Calibri" w:cs="Arial"/>
          <w:noProof/>
          <w:color w:val="000000"/>
        </w:rPr>
        <w:t>n</w:t>
      </w:r>
    </w:p>
    <w:p w:rsidR="00BD2383" w:rsidRPr="00BD6A76" w:rsidRDefault="00BD2383" w:rsidP="00BD2383">
      <w:pPr>
        <w:numPr>
          <w:ilvl w:val="0"/>
          <w:numId w:val="12"/>
        </w:numPr>
        <w:autoSpaceDE w:val="0"/>
        <w:autoSpaceDN w:val="0"/>
        <w:adjustRightInd w:val="0"/>
        <w:spacing w:after="278"/>
        <w:jc w:val="left"/>
        <w:rPr>
          <w:rFonts w:eastAsia="Calibri" w:cs="Arial"/>
          <w:noProof/>
          <w:color w:val="000000"/>
        </w:rPr>
      </w:pPr>
      <w:r w:rsidRPr="00BD6A76">
        <w:rPr>
          <w:rFonts w:eastAsia="Calibri" w:cs="Arial"/>
          <w:noProof/>
          <w:color w:val="000000"/>
        </w:rPr>
        <w:t>39   Persönliche</w:t>
      </w:r>
      <w:r>
        <w:rPr>
          <w:rFonts w:eastAsia="Calibri" w:cs="Arial"/>
          <w:noProof/>
          <w:color w:val="000000"/>
        </w:rPr>
        <w:t>n</w:t>
      </w:r>
      <w:r w:rsidRPr="00BD6A76">
        <w:rPr>
          <w:rFonts w:eastAsia="Calibri" w:cs="Arial"/>
          <w:noProof/>
          <w:color w:val="000000"/>
        </w:rPr>
        <w:t xml:space="preserve"> Mitglieder</w:t>
      </w:r>
      <w:r>
        <w:rPr>
          <w:rFonts w:eastAsia="Calibri" w:cs="Arial"/>
          <w:noProof/>
          <w:color w:val="000000"/>
        </w:rPr>
        <w:t>n</w:t>
      </w:r>
    </w:p>
    <w:p w:rsidR="00BD2383" w:rsidRPr="00BD6A76" w:rsidRDefault="00BD2383" w:rsidP="00BD2383">
      <w:pPr>
        <w:autoSpaceDE w:val="0"/>
        <w:autoSpaceDN w:val="0"/>
        <w:adjustRightInd w:val="0"/>
        <w:jc w:val="left"/>
        <w:rPr>
          <w:rFonts w:eastAsia="Calibri" w:cs="Arial"/>
          <w:bCs/>
          <w:noProof/>
        </w:rPr>
      </w:pPr>
      <w:r w:rsidRPr="00BD6A76">
        <w:rPr>
          <w:rFonts w:eastAsia="Calibri" w:cs="Arial"/>
          <w:bCs/>
          <w:noProof/>
        </w:rPr>
        <w:t>DIE TECHNISCHE ARBEIT DER ISTA</w:t>
      </w:r>
    </w:p>
    <w:p w:rsidR="00BD2383" w:rsidRPr="00BD6A76" w:rsidRDefault="00BD2383" w:rsidP="00BD2383">
      <w:pPr>
        <w:autoSpaceDE w:val="0"/>
        <w:autoSpaceDN w:val="0"/>
        <w:adjustRightInd w:val="0"/>
        <w:rPr>
          <w:rFonts w:eastAsia="Calibri" w:cs="Arial"/>
          <w:noProof/>
          <w:color w:val="000000"/>
        </w:rPr>
      </w:pPr>
    </w:p>
    <w:p w:rsidR="00BD2383" w:rsidRPr="00BD2383" w:rsidRDefault="00BD2383" w:rsidP="00164B48">
      <w:pPr>
        <w:autoSpaceDE w:val="0"/>
        <w:autoSpaceDN w:val="0"/>
        <w:adjustRightInd w:val="0"/>
        <w:rPr>
          <w:rFonts w:eastAsia="Calibri" w:cs="Arial"/>
          <w:noProof/>
          <w:color w:val="000000"/>
          <w:lang w:val="de-DE"/>
        </w:rPr>
      </w:pPr>
      <w:r w:rsidRPr="00BD2383">
        <w:rPr>
          <w:rFonts w:eastAsia="Calibri" w:cs="Arial"/>
          <w:noProof/>
          <w:color w:val="000000"/>
          <w:lang w:val="de-DE"/>
        </w:rPr>
        <w:t xml:space="preserve">Das wesentliche Ziel der technischen Ausschüsse der ISTA ist die Entwicklung, Standardisierung und Validierung von Verfahren für die Beprobung und Prüfung der Saatgutqualität unter Verwendung der besten verfügbaren wissenschaftlichen Erkenntnisse. Sie verbessern die </w:t>
      </w:r>
      <w:r w:rsidRPr="00BD2383">
        <w:rPr>
          <w:rFonts w:eastAsia="Calibri" w:cs="Arial"/>
          <w:b/>
          <w:bCs/>
          <w:noProof/>
          <w:color w:val="000000"/>
          <w:lang w:val="de-DE"/>
        </w:rPr>
        <w:t>‚Internationalen Vorschriften für die Prüfung von Saatgut‘</w:t>
      </w:r>
      <w:r w:rsidRPr="00BD2383">
        <w:rPr>
          <w:rFonts w:eastAsia="Calibri" w:cs="Arial"/>
          <w:noProof/>
          <w:color w:val="000000"/>
          <w:lang w:val="de-DE"/>
        </w:rPr>
        <w:t xml:space="preserve"> </w:t>
      </w:r>
      <w:r w:rsidRPr="00BD2383">
        <w:rPr>
          <w:rFonts w:eastAsia="Calibri" w:cs="Arial"/>
          <w:b/>
          <w:bCs/>
          <w:noProof/>
          <w:color w:val="000000"/>
          <w:lang w:val="de-DE"/>
        </w:rPr>
        <w:t>der ISTA</w:t>
      </w:r>
      <w:r w:rsidRPr="00BD2383">
        <w:rPr>
          <w:rFonts w:eastAsia="Calibri" w:cs="Arial"/>
          <w:noProof/>
          <w:color w:val="000000"/>
          <w:lang w:val="de-DE"/>
        </w:rPr>
        <w:t xml:space="preserve"> und entwickeln ISTA-Handbücher zu Saatgutverfahren einschließlich Beprobung und Prüfung. Außerdem sind sie für die Organisation von Symposien, Seminaren und Arbeitstagungen verantwortlich. Die technischen Ausschüsse der ISTA veranstalten regelmäßig Arbeitstagungen, die eine Plattform für Schulungen sowie für den Austausch von Informationen, Erfahrungen und Ideen bereitstellen.</w:t>
      </w:r>
      <w:bookmarkStart w:id="32" w:name="_GoBack"/>
      <w:bookmarkEnd w:id="32"/>
      <w:r w:rsidRPr="00BD2383">
        <w:rPr>
          <w:rFonts w:eastAsia="Calibri" w:cs="Arial"/>
          <w:noProof/>
          <w:color w:val="000000"/>
          <w:lang w:val="de-DE"/>
        </w:rPr>
        <w:br w:type="page"/>
      </w:r>
    </w:p>
    <w:p w:rsidR="00BD2383" w:rsidRPr="00BD2383" w:rsidRDefault="00BD2383" w:rsidP="00BD2383">
      <w:pPr>
        <w:autoSpaceDE w:val="0"/>
        <w:autoSpaceDN w:val="0"/>
        <w:adjustRightInd w:val="0"/>
        <w:jc w:val="left"/>
        <w:rPr>
          <w:rFonts w:eastAsia="Calibri" w:cs="Arial"/>
          <w:noProof/>
          <w:color w:val="000000"/>
          <w:lang w:val="de-DE"/>
        </w:rPr>
      </w:pPr>
    </w:p>
    <w:p w:rsidR="00BD2383" w:rsidRPr="00BD2383" w:rsidRDefault="00BD2383" w:rsidP="00BD2383">
      <w:pPr>
        <w:autoSpaceDE w:val="0"/>
        <w:autoSpaceDN w:val="0"/>
        <w:adjustRightInd w:val="0"/>
        <w:jc w:val="left"/>
        <w:rPr>
          <w:rFonts w:eastAsia="Calibri" w:cs="Arial"/>
          <w:noProof/>
          <w:color w:val="000000"/>
          <w:lang w:val="de-DE"/>
        </w:rPr>
      </w:pPr>
      <w:r w:rsidRPr="00BD2383">
        <w:rPr>
          <w:rFonts w:eastAsia="Calibri" w:cs="Arial"/>
          <w:noProof/>
          <w:color w:val="000000"/>
          <w:lang w:val="de-DE"/>
        </w:rPr>
        <w:t>Es gibt 20 technische Ausschüsse in der ISTA:</w:t>
      </w:r>
    </w:p>
    <w:p w:rsidR="00BD2383" w:rsidRPr="00BD2383" w:rsidRDefault="00BD2383" w:rsidP="00BD2383">
      <w:pPr>
        <w:autoSpaceDE w:val="0"/>
        <w:autoSpaceDN w:val="0"/>
        <w:adjustRightInd w:val="0"/>
        <w:jc w:val="left"/>
        <w:rPr>
          <w:rFonts w:eastAsia="Calibri" w:cs="Arial"/>
          <w:noProof/>
          <w:color w:val="000000"/>
          <w:lang w:val="de-DE"/>
        </w:rPr>
      </w:pPr>
    </w:p>
    <w:tbl>
      <w:tblPr>
        <w:tblStyle w:val="TableGrid1"/>
        <w:tblW w:w="0" w:type="auto"/>
        <w:tblLook w:val="04A0" w:firstRow="1" w:lastRow="0" w:firstColumn="1" w:lastColumn="0" w:noHBand="0" w:noVBand="1"/>
      </w:tblPr>
      <w:tblGrid>
        <w:gridCol w:w="495"/>
        <w:gridCol w:w="5312"/>
      </w:tblGrid>
      <w:tr w:rsidR="00BD2383" w:rsidRPr="00BD6A76" w:rsidTr="00B630DA">
        <w:trPr>
          <w:trHeight w:val="474"/>
        </w:trPr>
        <w:tc>
          <w:tcPr>
            <w:tcW w:w="495" w:type="dxa"/>
          </w:tcPr>
          <w:p w:rsidR="00BD2383" w:rsidRPr="00BD6A76" w:rsidRDefault="00BD2383" w:rsidP="00B630DA">
            <w:pPr>
              <w:autoSpaceDE w:val="0"/>
              <w:autoSpaceDN w:val="0"/>
              <w:adjustRightInd w:val="0"/>
              <w:jc w:val="left"/>
              <w:rPr>
                <w:rFonts w:ascii="Calibri" w:hAnsi="Calibri" w:cs="Arial"/>
                <w:noProof/>
              </w:rPr>
            </w:pPr>
          </w:p>
        </w:tc>
        <w:tc>
          <w:tcPr>
            <w:tcW w:w="5312" w:type="dxa"/>
            <w:vAlign w:val="center"/>
          </w:tcPr>
          <w:p w:rsidR="00BD2383" w:rsidRPr="00BD6A76" w:rsidRDefault="00BD2383" w:rsidP="00B630DA">
            <w:pPr>
              <w:autoSpaceDE w:val="0"/>
              <w:autoSpaceDN w:val="0"/>
              <w:adjustRightInd w:val="0"/>
              <w:jc w:val="left"/>
              <w:rPr>
                <w:rFonts w:ascii="Calibri" w:hAnsi="Calibri" w:cs="Arial"/>
                <w:b/>
                <w:bCs/>
                <w:noProof/>
                <w:color w:val="000000"/>
              </w:rPr>
            </w:pPr>
            <w:r w:rsidRPr="00BD6A76">
              <w:rPr>
                <w:rFonts w:ascii="Calibri" w:hAnsi="Calibri" w:cs="Arial"/>
                <w:noProof/>
                <w:color w:val="000000"/>
              </w:rPr>
              <w:t>Technische Ausschüsse</w:t>
            </w:r>
          </w:p>
        </w:tc>
      </w:tr>
      <w:tr w:rsidR="00BD2383" w:rsidRPr="00BD6A76" w:rsidTr="00B630DA">
        <w:tc>
          <w:tcPr>
            <w:tcW w:w="495" w:type="dxa"/>
          </w:tcPr>
          <w:p w:rsidR="00BD2383" w:rsidRPr="00BD6A76" w:rsidRDefault="00BD2383" w:rsidP="00B630DA">
            <w:pPr>
              <w:autoSpaceDE w:val="0"/>
              <w:autoSpaceDN w:val="0"/>
              <w:adjustRightInd w:val="0"/>
              <w:jc w:val="left"/>
              <w:rPr>
                <w:rFonts w:ascii="Calibri" w:hAnsi="Calibri" w:cs="Arial"/>
                <w:noProof/>
              </w:rPr>
            </w:pPr>
            <w:r w:rsidRPr="00BD6A76">
              <w:rPr>
                <w:rFonts w:ascii="Calibri" w:hAnsi="Calibri" w:cs="Arial"/>
                <w:noProof/>
              </w:rPr>
              <w:t>1.</w:t>
            </w:r>
          </w:p>
        </w:tc>
        <w:tc>
          <w:tcPr>
            <w:tcW w:w="5312" w:type="dxa"/>
          </w:tcPr>
          <w:p w:rsidR="00BD2383" w:rsidRPr="00BD6A76" w:rsidRDefault="00BD2383" w:rsidP="00B630DA">
            <w:pPr>
              <w:autoSpaceDE w:val="0"/>
              <w:autoSpaceDN w:val="0"/>
              <w:adjustRightInd w:val="0"/>
              <w:jc w:val="left"/>
              <w:rPr>
                <w:rFonts w:asciiTheme="minorHAnsi" w:hAnsiTheme="minorHAnsi" w:cstheme="minorHAnsi"/>
                <w:noProof/>
              </w:rPr>
            </w:pPr>
            <w:r w:rsidRPr="00BD6A76">
              <w:rPr>
                <w:rFonts w:asciiTheme="minorHAnsi" w:hAnsiTheme="minorHAnsi" w:cstheme="minorHAnsi"/>
              </w:rPr>
              <w:t>Ausschuss für fortschrittliche Technologien</w:t>
            </w:r>
          </w:p>
        </w:tc>
      </w:tr>
      <w:tr w:rsidR="00BD2383" w:rsidRPr="00285445" w:rsidTr="00B630DA">
        <w:tc>
          <w:tcPr>
            <w:tcW w:w="495" w:type="dxa"/>
          </w:tcPr>
          <w:p w:rsidR="00BD2383" w:rsidRPr="00BD6A76" w:rsidRDefault="00BD2383" w:rsidP="00B630DA">
            <w:pPr>
              <w:autoSpaceDE w:val="0"/>
              <w:autoSpaceDN w:val="0"/>
              <w:adjustRightInd w:val="0"/>
              <w:jc w:val="left"/>
              <w:rPr>
                <w:rFonts w:ascii="Calibri" w:hAnsi="Calibri" w:cs="Arial"/>
                <w:noProof/>
              </w:rPr>
            </w:pPr>
            <w:r w:rsidRPr="00BD6A76">
              <w:rPr>
                <w:rFonts w:ascii="Calibri" w:hAnsi="Calibri" w:cs="Arial"/>
                <w:noProof/>
              </w:rPr>
              <w:t>2.</w:t>
            </w:r>
          </w:p>
        </w:tc>
        <w:tc>
          <w:tcPr>
            <w:tcW w:w="5312" w:type="dxa"/>
          </w:tcPr>
          <w:p w:rsidR="00BD2383" w:rsidRPr="00BD6A76" w:rsidRDefault="00BD2383" w:rsidP="00B630DA">
            <w:pPr>
              <w:autoSpaceDE w:val="0"/>
              <w:autoSpaceDN w:val="0"/>
              <w:adjustRightInd w:val="0"/>
              <w:jc w:val="left"/>
              <w:rPr>
                <w:rFonts w:asciiTheme="minorHAnsi" w:hAnsiTheme="minorHAnsi" w:cstheme="minorHAnsi"/>
                <w:noProof/>
              </w:rPr>
            </w:pPr>
            <w:r w:rsidRPr="00BD6A76">
              <w:rPr>
                <w:rFonts w:asciiTheme="minorHAnsi" w:hAnsiTheme="minorHAnsi" w:cstheme="minorHAnsi"/>
              </w:rPr>
              <w:t>Ausschuss für Mischprobenahme und Beprobung</w:t>
            </w:r>
          </w:p>
        </w:tc>
      </w:tr>
      <w:tr w:rsidR="00BD2383" w:rsidRPr="00285445" w:rsidTr="00B630DA">
        <w:tc>
          <w:tcPr>
            <w:tcW w:w="495" w:type="dxa"/>
          </w:tcPr>
          <w:p w:rsidR="00BD2383" w:rsidRPr="00BD6A76" w:rsidRDefault="00BD2383" w:rsidP="00B630DA">
            <w:pPr>
              <w:autoSpaceDE w:val="0"/>
              <w:autoSpaceDN w:val="0"/>
              <w:adjustRightInd w:val="0"/>
              <w:jc w:val="left"/>
              <w:rPr>
                <w:rFonts w:ascii="Calibri" w:hAnsi="Calibri" w:cs="Arial"/>
                <w:noProof/>
              </w:rPr>
            </w:pPr>
            <w:r w:rsidRPr="00BD6A76">
              <w:rPr>
                <w:rFonts w:ascii="Calibri" w:hAnsi="Calibri" w:cs="Arial"/>
                <w:noProof/>
              </w:rPr>
              <w:t>3.</w:t>
            </w:r>
          </w:p>
        </w:tc>
        <w:tc>
          <w:tcPr>
            <w:tcW w:w="5312" w:type="dxa"/>
          </w:tcPr>
          <w:p w:rsidR="00BD2383" w:rsidRPr="00BD6A76" w:rsidRDefault="00BD2383" w:rsidP="00B630DA">
            <w:pPr>
              <w:autoSpaceDE w:val="0"/>
              <w:autoSpaceDN w:val="0"/>
              <w:adjustRightInd w:val="0"/>
              <w:jc w:val="left"/>
              <w:rPr>
                <w:rFonts w:asciiTheme="minorHAnsi" w:hAnsiTheme="minorHAnsi" w:cstheme="minorHAnsi"/>
                <w:noProof/>
              </w:rPr>
            </w:pPr>
            <w:r w:rsidRPr="00BD6A76">
              <w:rPr>
                <w:rFonts w:asciiTheme="minorHAnsi" w:hAnsiTheme="minorHAnsi" w:cstheme="minorHAnsi"/>
              </w:rPr>
              <w:t>Redaktionsleitung für Saatgutwissenschaft und -technologie</w:t>
            </w:r>
          </w:p>
        </w:tc>
      </w:tr>
      <w:tr w:rsidR="00BD2383" w:rsidRPr="00285445" w:rsidTr="00B630DA">
        <w:tc>
          <w:tcPr>
            <w:tcW w:w="495" w:type="dxa"/>
          </w:tcPr>
          <w:p w:rsidR="00BD2383" w:rsidRPr="00BD6A76" w:rsidRDefault="00BD2383" w:rsidP="00B630DA">
            <w:pPr>
              <w:autoSpaceDE w:val="0"/>
              <w:autoSpaceDN w:val="0"/>
              <w:adjustRightInd w:val="0"/>
              <w:jc w:val="left"/>
              <w:rPr>
                <w:rFonts w:ascii="Calibri" w:hAnsi="Calibri" w:cs="Arial"/>
                <w:noProof/>
              </w:rPr>
            </w:pPr>
            <w:r w:rsidRPr="00BD6A76">
              <w:rPr>
                <w:rFonts w:ascii="Calibri" w:hAnsi="Calibri" w:cs="Arial"/>
                <w:noProof/>
              </w:rPr>
              <w:t>4.</w:t>
            </w:r>
          </w:p>
        </w:tc>
        <w:tc>
          <w:tcPr>
            <w:tcW w:w="5312" w:type="dxa"/>
          </w:tcPr>
          <w:p w:rsidR="00BD2383" w:rsidRPr="00BD6A76" w:rsidRDefault="00BD2383" w:rsidP="00B630DA">
            <w:pPr>
              <w:autoSpaceDE w:val="0"/>
              <w:autoSpaceDN w:val="0"/>
              <w:adjustRightInd w:val="0"/>
              <w:jc w:val="left"/>
              <w:rPr>
                <w:rFonts w:asciiTheme="minorHAnsi" w:hAnsiTheme="minorHAnsi" w:cstheme="minorHAnsi"/>
                <w:noProof/>
              </w:rPr>
            </w:pPr>
            <w:r w:rsidRPr="00BD6A76">
              <w:rPr>
                <w:rFonts w:asciiTheme="minorHAnsi" w:hAnsiTheme="minorHAnsi" w:cstheme="minorHAnsi"/>
              </w:rPr>
              <w:t>Ausschuss für Prüfung von Blumensaatgut</w:t>
            </w:r>
          </w:p>
        </w:tc>
      </w:tr>
      <w:tr w:rsidR="00BD2383" w:rsidRPr="00285445" w:rsidTr="00B630DA">
        <w:tc>
          <w:tcPr>
            <w:tcW w:w="495" w:type="dxa"/>
          </w:tcPr>
          <w:p w:rsidR="00BD2383" w:rsidRPr="00BD6A76" w:rsidRDefault="00BD2383" w:rsidP="00B630DA">
            <w:pPr>
              <w:autoSpaceDE w:val="0"/>
              <w:autoSpaceDN w:val="0"/>
              <w:adjustRightInd w:val="0"/>
              <w:jc w:val="left"/>
              <w:rPr>
                <w:rFonts w:ascii="Calibri" w:hAnsi="Calibri" w:cs="Arial"/>
                <w:noProof/>
              </w:rPr>
            </w:pPr>
            <w:r w:rsidRPr="00BD6A76">
              <w:rPr>
                <w:rFonts w:ascii="Calibri" w:hAnsi="Calibri" w:cs="Arial"/>
                <w:noProof/>
              </w:rPr>
              <w:t xml:space="preserve">5. </w:t>
            </w:r>
          </w:p>
        </w:tc>
        <w:tc>
          <w:tcPr>
            <w:tcW w:w="5312" w:type="dxa"/>
          </w:tcPr>
          <w:p w:rsidR="00BD2383" w:rsidRPr="00BD6A76" w:rsidRDefault="00BD2383" w:rsidP="00B630DA">
            <w:pPr>
              <w:autoSpaceDE w:val="0"/>
              <w:autoSpaceDN w:val="0"/>
              <w:adjustRightInd w:val="0"/>
              <w:jc w:val="left"/>
              <w:rPr>
                <w:rFonts w:asciiTheme="minorHAnsi" w:hAnsiTheme="minorHAnsi" w:cstheme="minorHAnsi"/>
                <w:noProof/>
              </w:rPr>
            </w:pPr>
            <w:r w:rsidRPr="00BD6A76">
              <w:rPr>
                <w:rFonts w:asciiTheme="minorHAnsi" w:hAnsiTheme="minorHAnsi" w:cstheme="minorHAnsi"/>
              </w:rPr>
              <w:t>Ausschuss für Saatgut von Waldbäumen und Sträuchern</w:t>
            </w:r>
          </w:p>
        </w:tc>
      </w:tr>
      <w:tr w:rsidR="00BD2383" w:rsidRPr="00BD6A76" w:rsidTr="00B630DA">
        <w:tc>
          <w:tcPr>
            <w:tcW w:w="495" w:type="dxa"/>
          </w:tcPr>
          <w:p w:rsidR="00BD2383" w:rsidRPr="00BD6A76" w:rsidRDefault="00BD2383" w:rsidP="00B630DA">
            <w:pPr>
              <w:autoSpaceDE w:val="0"/>
              <w:autoSpaceDN w:val="0"/>
              <w:adjustRightInd w:val="0"/>
              <w:jc w:val="left"/>
              <w:rPr>
                <w:rFonts w:ascii="Calibri" w:hAnsi="Calibri" w:cs="Arial"/>
                <w:noProof/>
              </w:rPr>
            </w:pPr>
            <w:r w:rsidRPr="00BD6A76">
              <w:rPr>
                <w:rFonts w:ascii="Calibri" w:hAnsi="Calibri" w:cs="Arial"/>
                <w:noProof/>
              </w:rPr>
              <w:t>6.</w:t>
            </w:r>
          </w:p>
        </w:tc>
        <w:tc>
          <w:tcPr>
            <w:tcW w:w="5312" w:type="dxa"/>
          </w:tcPr>
          <w:p w:rsidR="00BD2383" w:rsidRPr="00BD6A76" w:rsidRDefault="00BD2383" w:rsidP="00B630DA">
            <w:pPr>
              <w:autoSpaceDE w:val="0"/>
              <w:autoSpaceDN w:val="0"/>
              <w:adjustRightInd w:val="0"/>
              <w:jc w:val="left"/>
              <w:rPr>
                <w:rFonts w:asciiTheme="minorHAnsi" w:hAnsiTheme="minorHAnsi" w:cstheme="minorHAnsi"/>
                <w:noProof/>
              </w:rPr>
            </w:pPr>
            <w:r w:rsidRPr="00BD6A76">
              <w:rPr>
                <w:rFonts w:asciiTheme="minorHAnsi" w:hAnsiTheme="minorHAnsi" w:cstheme="minorHAnsi"/>
              </w:rPr>
              <w:t>Ausschuss für Keimung</w:t>
            </w:r>
          </w:p>
        </w:tc>
      </w:tr>
      <w:tr w:rsidR="00BD2383" w:rsidRPr="00BD6A76" w:rsidTr="00B630DA">
        <w:tc>
          <w:tcPr>
            <w:tcW w:w="495" w:type="dxa"/>
          </w:tcPr>
          <w:p w:rsidR="00BD2383" w:rsidRPr="00BD6A76" w:rsidRDefault="00BD2383" w:rsidP="00B630DA">
            <w:pPr>
              <w:autoSpaceDE w:val="0"/>
              <w:autoSpaceDN w:val="0"/>
              <w:adjustRightInd w:val="0"/>
              <w:jc w:val="left"/>
              <w:rPr>
                <w:rFonts w:ascii="Calibri" w:hAnsi="Calibri" w:cs="Arial"/>
                <w:noProof/>
              </w:rPr>
            </w:pPr>
            <w:r w:rsidRPr="00BD6A76">
              <w:rPr>
                <w:rFonts w:ascii="Calibri" w:hAnsi="Calibri" w:cs="Arial"/>
                <w:noProof/>
              </w:rPr>
              <w:t>7.</w:t>
            </w:r>
          </w:p>
        </w:tc>
        <w:tc>
          <w:tcPr>
            <w:tcW w:w="5312" w:type="dxa"/>
          </w:tcPr>
          <w:p w:rsidR="00BD2383" w:rsidRPr="00BD6A76" w:rsidRDefault="00BD2383" w:rsidP="00B630DA">
            <w:pPr>
              <w:autoSpaceDE w:val="0"/>
              <w:autoSpaceDN w:val="0"/>
              <w:adjustRightInd w:val="0"/>
              <w:jc w:val="left"/>
              <w:rPr>
                <w:rFonts w:asciiTheme="minorHAnsi" w:hAnsiTheme="minorHAnsi" w:cstheme="minorHAnsi"/>
                <w:noProof/>
              </w:rPr>
            </w:pPr>
            <w:r w:rsidRPr="00BD6A76">
              <w:rPr>
                <w:rFonts w:asciiTheme="minorHAnsi" w:hAnsiTheme="minorHAnsi" w:cstheme="minorHAnsi"/>
              </w:rPr>
              <w:t>Ausschuss für GVO</w:t>
            </w:r>
          </w:p>
        </w:tc>
      </w:tr>
      <w:tr w:rsidR="00BD2383" w:rsidRPr="00BD6A76" w:rsidTr="00B630DA">
        <w:tc>
          <w:tcPr>
            <w:tcW w:w="495" w:type="dxa"/>
          </w:tcPr>
          <w:p w:rsidR="00BD2383" w:rsidRPr="00BD6A76" w:rsidRDefault="00BD2383" w:rsidP="00B630DA">
            <w:pPr>
              <w:autoSpaceDE w:val="0"/>
              <w:autoSpaceDN w:val="0"/>
              <w:adjustRightInd w:val="0"/>
              <w:jc w:val="left"/>
              <w:rPr>
                <w:rFonts w:ascii="Calibri" w:hAnsi="Calibri" w:cs="Arial"/>
                <w:noProof/>
              </w:rPr>
            </w:pPr>
            <w:r w:rsidRPr="00BD6A76">
              <w:rPr>
                <w:rFonts w:ascii="Calibri" w:hAnsi="Calibri" w:cs="Arial"/>
                <w:noProof/>
              </w:rPr>
              <w:t>8.</w:t>
            </w:r>
          </w:p>
        </w:tc>
        <w:tc>
          <w:tcPr>
            <w:tcW w:w="5312" w:type="dxa"/>
          </w:tcPr>
          <w:p w:rsidR="00BD2383" w:rsidRPr="00BD6A76" w:rsidRDefault="00BD2383" w:rsidP="00B630DA">
            <w:pPr>
              <w:autoSpaceDE w:val="0"/>
              <w:autoSpaceDN w:val="0"/>
              <w:adjustRightInd w:val="0"/>
              <w:jc w:val="left"/>
              <w:rPr>
                <w:rFonts w:asciiTheme="minorHAnsi" w:hAnsiTheme="minorHAnsi" w:cstheme="minorHAnsi"/>
                <w:noProof/>
              </w:rPr>
            </w:pPr>
            <w:r w:rsidRPr="00BD6A76">
              <w:rPr>
                <w:rFonts w:asciiTheme="minorHAnsi" w:hAnsiTheme="minorHAnsi" w:cstheme="minorHAnsi"/>
              </w:rPr>
              <w:t>Ausschuss für Feuchtigkeit</w:t>
            </w:r>
          </w:p>
        </w:tc>
      </w:tr>
      <w:tr w:rsidR="00BD2383" w:rsidRPr="00BD6A76" w:rsidTr="00B630DA">
        <w:tc>
          <w:tcPr>
            <w:tcW w:w="495" w:type="dxa"/>
          </w:tcPr>
          <w:p w:rsidR="00BD2383" w:rsidRPr="00BD6A76" w:rsidRDefault="00BD2383" w:rsidP="00B630DA">
            <w:pPr>
              <w:autoSpaceDE w:val="0"/>
              <w:autoSpaceDN w:val="0"/>
              <w:adjustRightInd w:val="0"/>
              <w:jc w:val="left"/>
              <w:rPr>
                <w:rFonts w:ascii="Calibri" w:hAnsi="Calibri" w:cs="Arial"/>
                <w:noProof/>
              </w:rPr>
            </w:pPr>
            <w:r w:rsidRPr="00BD6A76">
              <w:rPr>
                <w:rFonts w:ascii="Calibri" w:hAnsi="Calibri" w:cs="Arial"/>
                <w:noProof/>
              </w:rPr>
              <w:t>9.</w:t>
            </w:r>
          </w:p>
        </w:tc>
        <w:tc>
          <w:tcPr>
            <w:tcW w:w="5312" w:type="dxa"/>
          </w:tcPr>
          <w:p w:rsidR="00BD2383" w:rsidRPr="00BD6A76" w:rsidRDefault="00BD2383" w:rsidP="00B630DA">
            <w:pPr>
              <w:autoSpaceDE w:val="0"/>
              <w:autoSpaceDN w:val="0"/>
              <w:adjustRightInd w:val="0"/>
              <w:jc w:val="left"/>
              <w:rPr>
                <w:rFonts w:asciiTheme="minorHAnsi" w:hAnsiTheme="minorHAnsi" w:cstheme="minorHAnsi"/>
                <w:noProof/>
              </w:rPr>
            </w:pPr>
            <w:r w:rsidRPr="00BD6A76">
              <w:rPr>
                <w:rFonts w:asciiTheme="minorHAnsi" w:hAnsiTheme="minorHAnsi" w:cstheme="minorHAnsi"/>
              </w:rPr>
              <w:t>Ausschuss für Nomenklatur</w:t>
            </w:r>
          </w:p>
        </w:tc>
      </w:tr>
      <w:tr w:rsidR="00BD2383" w:rsidRPr="00BD6A76" w:rsidTr="00B630DA">
        <w:tc>
          <w:tcPr>
            <w:tcW w:w="495" w:type="dxa"/>
          </w:tcPr>
          <w:p w:rsidR="00BD2383" w:rsidRPr="00BD6A76" w:rsidRDefault="00BD2383" w:rsidP="00B630DA">
            <w:pPr>
              <w:autoSpaceDE w:val="0"/>
              <w:autoSpaceDN w:val="0"/>
              <w:adjustRightInd w:val="0"/>
              <w:jc w:val="left"/>
              <w:rPr>
                <w:rFonts w:ascii="Calibri" w:hAnsi="Calibri" w:cs="Arial"/>
                <w:noProof/>
              </w:rPr>
            </w:pPr>
            <w:r w:rsidRPr="00BD6A76">
              <w:rPr>
                <w:rFonts w:ascii="Calibri" w:hAnsi="Calibri" w:cs="Arial"/>
                <w:noProof/>
              </w:rPr>
              <w:t>10.</w:t>
            </w:r>
          </w:p>
        </w:tc>
        <w:tc>
          <w:tcPr>
            <w:tcW w:w="5312" w:type="dxa"/>
          </w:tcPr>
          <w:p w:rsidR="00BD2383" w:rsidRPr="00BD6A76" w:rsidRDefault="00BD2383" w:rsidP="00B630DA">
            <w:pPr>
              <w:autoSpaceDE w:val="0"/>
              <w:autoSpaceDN w:val="0"/>
              <w:adjustRightInd w:val="0"/>
              <w:jc w:val="left"/>
              <w:rPr>
                <w:rFonts w:asciiTheme="minorHAnsi" w:hAnsiTheme="minorHAnsi" w:cstheme="minorHAnsi"/>
                <w:noProof/>
              </w:rPr>
            </w:pPr>
            <w:r w:rsidRPr="00BD6A76">
              <w:rPr>
                <w:rFonts w:asciiTheme="minorHAnsi" w:hAnsiTheme="minorHAnsi" w:cstheme="minorHAnsi"/>
              </w:rPr>
              <w:t>Ausschuss für Leistungstests</w:t>
            </w:r>
          </w:p>
        </w:tc>
      </w:tr>
      <w:tr w:rsidR="00BD2383" w:rsidRPr="00BD6A76" w:rsidTr="00B630DA">
        <w:tc>
          <w:tcPr>
            <w:tcW w:w="495" w:type="dxa"/>
          </w:tcPr>
          <w:p w:rsidR="00BD2383" w:rsidRPr="00BD6A76" w:rsidRDefault="00BD2383" w:rsidP="00B630DA">
            <w:pPr>
              <w:autoSpaceDE w:val="0"/>
              <w:autoSpaceDN w:val="0"/>
              <w:adjustRightInd w:val="0"/>
              <w:jc w:val="left"/>
              <w:rPr>
                <w:rFonts w:ascii="Calibri" w:hAnsi="Calibri" w:cs="Arial"/>
                <w:noProof/>
              </w:rPr>
            </w:pPr>
            <w:r w:rsidRPr="00BD6A76">
              <w:rPr>
                <w:rFonts w:ascii="Calibri" w:hAnsi="Calibri" w:cs="Arial"/>
                <w:noProof/>
              </w:rPr>
              <w:t>11.</w:t>
            </w:r>
          </w:p>
        </w:tc>
        <w:tc>
          <w:tcPr>
            <w:tcW w:w="5312" w:type="dxa"/>
          </w:tcPr>
          <w:p w:rsidR="00BD2383" w:rsidRPr="00BD6A76" w:rsidRDefault="00BD2383" w:rsidP="00B630DA">
            <w:pPr>
              <w:autoSpaceDE w:val="0"/>
              <w:autoSpaceDN w:val="0"/>
              <w:adjustRightInd w:val="0"/>
              <w:jc w:val="left"/>
              <w:rPr>
                <w:rFonts w:asciiTheme="minorHAnsi" w:hAnsiTheme="minorHAnsi" w:cstheme="minorHAnsi"/>
                <w:noProof/>
              </w:rPr>
            </w:pPr>
            <w:r w:rsidRPr="00BD6A76">
              <w:rPr>
                <w:rFonts w:asciiTheme="minorHAnsi" w:hAnsiTheme="minorHAnsi" w:cstheme="minorHAnsi"/>
              </w:rPr>
              <w:t>Ausschuss für Reinheit</w:t>
            </w:r>
          </w:p>
        </w:tc>
      </w:tr>
      <w:tr w:rsidR="00BD2383" w:rsidRPr="00BD6A76" w:rsidTr="00B630DA">
        <w:tc>
          <w:tcPr>
            <w:tcW w:w="495" w:type="dxa"/>
          </w:tcPr>
          <w:p w:rsidR="00BD2383" w:rsidRPr="00BD6A76" w:rsidRDefault="00BD2383" w:rsidP="00B630DA">
            <w:pPr>
              <w:autoSpaceDE w:val="0"/>
              <w:autoSpaceDN w:val="0"/>
              <w:adjustRightInd w:val="0"/>
              <w:jc w:val="left"/>
              <w:rPr>
                <w:rFonts w:ascii="Calibri" w:hAnsi="Calibri" w:cs="Arial"/>
                <w:noProof/>
              </w:rPr>
            </w:pPr>
            <w:r w:rsidRPr="00BD6A76">
              <w:rPr>
                <w:rFonts w:ascii="Calibri" w:hAnsi="Calibri" w:cs="Arial"/>
                <w:noProof/>
              </w:rPr>
              <w:t>12.</w:t>
            </w:r>
          </w:p>
        </w:tc>
        <w:tc>
          <w:tcPr>
            <w:tcW w:w="5312" w:type="dxa"/>
          </w:tcPr>
          <w:p w:rsidR="00BD2383" w:rsidRPr="00BD6A76" w:rsidRDefault="00BD2383" w:rsidP="00B630DA">
            <w:pPr>
              <w:autoSpaceDE w:val="0"/>
              <w:autoSpaceDN w:val="0"/>
              <w:adjustRightInd w:val="0"/>
              <w:jc w:val="left"/>
              <w:rPr>
                <w:rFonts w:asciiTheme="minorHAnsi" w:hAnsiTheme="minorHAnsi" w:cstheme="minorHAnsi"/>
                <w:noProof/>
              </w:rPr>
            </w:pPr>
            <w:r w:rsidRPr="00BD6A76">
              <w:rPr>
                <w:rFonts w:asciiTheme="minorHAnsi" w:hAnsiTheme="minorHAnsi" w:cstheme="minorHAnsi"/>
              </w:rPr>
              <w:t>Ausschuss für Vorschriften</w:t>
            </w:r>
          </w:p>
        </w:tc>
      </w:tr>
      <w:tr w:rsidR="00BD2383" w:rsidRPr="00BD6A76" w:rsidTr="00B630DA">
        <w:tc>
          <w:tcPr>
            <w:tcW w:w="495" w:type="dxa"/>
          </w:tcPr>
          <w:p w:rsidR="00BD2383" w:rsidRPr="00BD6A76" w:rsidRDefault="00BD2383" w:rsidP="00B630DA">
            <w:pPr>
              <w:autoSpaceDE w:val="0"/>
              <w:autoSpaceDN w:val="0"/>
              <w:adjustRightInd w:val="0"/>
              <w:jc w:val="left"/>
              <w:rPr>
                <w:rFonts w:ascii="Calibri" w:hAnsi="Calibri" w:cs="Arial"/>
                <w:noProof/>
              </w:rPr>
            </w:pPr>
            <w:r w:rsidRPr="00BD6A76">
              <w:rPr>
                <w:rFonts w:ascii="Calibri" w:hAnsi="Calibri" w:cs="Arial"/>
                <w:noProof/>
              </w:rPr>
              <w:t>13.</w:t>
            </w:r>
          </w:p>
        </w:tc>
        <w:tc>
          <w:tcPr>
            <w:tcW w:w="5312" w:type="dxa"/>
          </w:tcPr>
          <w:p w:rsidR="00BD2383" w:rsidRPr="00BD6A76" w:rsidRDefault="00BD2383" w:rsidP="00B630DA">
            <w:pPr>
              <w:autoSpaceDE w:val="0"/>
              <w:autoSpaceDN w:val="0"/>
              <w:adjustRightInd w:val="0"/>
              <w:jc w:val="left"/>
              <w:rPr>
                <w:rFonts w:asciiTheme="minorHAnsi" w:hAnsiTheme="minorHAnsi" w:cstheme="minorHAnsi"/>
                <w:noProof/>
              </w:rPr>
            </w:pPr>
            <w:r w:rsidRPr="00BD6A76">
              <w:rPr>
                <w:rFonts w:asciiTheme="minorHAnsi" w:hAnsiTheme="minorHAnsi" w:cstheme="minorHAnsi"/>
              </w:rPr>
              <w:t>Ausschuss für Saatgutgesundheit</w:t>
            </w:r>
          </w:p>
        </w:tc>
      </w:tr>
      <w:tr w:rsidR="00BD2383" w:rsidRPr="00BD6A76" w:rsidTr="00B630DA">
        <w:tc>
          <w:tcPr>
            <w:tcW w:w="495" w:type="dxa"/>
          </w:tcPr>
          <w:p w:rsidR="00BD2383" w:rsidRPr="00BD6A76" w:rsidRDefault="00BD2383" w:rsidP="00B630DA">
            <w:pPr>
              <w:autoSpaceDE w:val="0"/>
              <w:autoSpaceDN w:val="0"/>
              <w:adjustRightInd w:val="0"/>
              <w:jc w:val="left"/>
              <w:rPr>
                <w:rFonts w:ascii="Calibri" w:hAnsi="Calibri" w:cs="Arial"/>
                <w:noProof/>
              </w:rPr>
            </w:pPr>
            <w:r w:rsidRPr="00BD6A76">
              <w:rPr>
                <w:rFonts w:ascii="Calibri" w:hAnsi="Calibri" w:cs="Arial"/>
                <w:noProof/>
              </w:rPr>
              <w:t>14.</w:t>
            </w:r>
          </w:p>
        </w:tc>
        <w:tc>
          <w:tcPr>
            <w:tcW w:w="5312" w:type="dxa"/>
          </w:tcPr>
          <w:p w:rsidR="00BD2383" w:rsidRPr="00BD6A76" w:rsidRDefault="00BD2383" w:rsidP="00B630DA">
            <w:pPr>
              <w:autoSpaceDE w:val="0"/>
              <w:autoSpaceDN w:val="0"/>
              <w:adjustRightInd w:val="0"/>
              <w:jc w:val="left"/>
              <w:rPr>
                <w:rFonts w:asciiTheme="minorHAnsi" w:hAnsiTheme="minorHAnsi" w:cstheme="minorHAnsi"/>
                <w:noProof/>
              </w:rPr>
            </w:pPr>
            <w:r w:rsidRPr="00BD6A76">
              <w:rPr>
                <w:rFonts w:asciiTheme="minorHAnsi" w:hAnsiTheme="minorHAnsi" w:cstheme="minorHAnsi"/>
              </w:rPr>
              <w:t>Beratende Gruppe für Saatgutwissenschaft</w:t>
            </w:r>
          </w:p>
        </w:tc>
      </w:tr>
      <w:tr w:rsidR="00BD2383" w:rsidRPr="00BD6A76" w:rsidTr="00B630DA">
        <w:tc>
          <w:tcPr>
            <w:tcW w:w="495" w:type="dxa"/>
          </w:tcPr>
          <w:p w:rsidR="00BD2383" w:rsidRPr="00BD6A76" w:rsidRDefault="00BD2383" w:rsidP="00B630DA">
            <w:pPr>
              <w:autoSpaceDE w:val="0"/>
              <w:autoSpaceDN w:val="0"/>
              <w:adjustRightInd w:val="0"/>
              <w:jc w:val="left"/>
              <w:rPr>
                <w:rFonts w:ascii="Calibri" w:hAnsi="Calibri" w:cs="Arial"/>
                <w:noProof/>
              </w:rPr>
            </w:pPr>
            <w:r w:rsidRPr="00BD6A76">
              <w:rPr>
                <w:rFonts w:ascii="Calibri" w:hAnsi="Calibri" w:cs="Arial"/>
                <w:noProof/>
              </w:rPr>
              <w:t>15.</w:t>
            </w:r>
          </w:p>
        </w:tc>
        <w:tc>
          <w:tcPr>
            <w:tcW w:w="5312" w:type="dxa"/>
          </w:tcPr>
          <w:p w:rsidR="00BD2383" w:rsidRPr="00BD6A76" w:rsidRDefault="00BD2383" w:rsidP="00B630DA">
            <w:pPr>
              <w:autoSpaceDE w:val="0"/>
              <w:autoSpaceDN w:val="0"/>
              <w:adjustRightInd w:val="0"/>
              <w:jc w:val="left"/>
              <w:rPr>
                <w:rFonts w:asciiTheme="minorHAnsi" w:hAnsiTheme="minorHAnsi" w:cstheme="minorHAnsi"/>
                <w:noProof/>
              </w:rPr>
            </w:pPr>
            <w:r w:rsidRPr="00BD6A76">
              <w:rPr>
                <w:rFonts w:asciiTheme="minorHAnsi" w:hAnsiTheme="minorHAnsi" w:cstheme="minorHAnsi"/>
              </w:rPr>
              <w:t>Ausschuss für Statistik</w:t>
            </w:r>
          </w:p>
        </w:tc>
      </w:tr>
      <w:tr w:rsidR="00BD2383" w:rsidRPr="00BD6A76" w:rsidTr="00B630DA">
        <w:tc>
          <w:tcPr>
            <w:tcW w:w="495" w:type="dxa"/>
          </w:tcPr>
          <w:p w:rsidR="00BD2383" w:rsidRPr="00BD6A76" w:rsidRDefault="00BD2383" w:rsidP="00B630DA">
            <w:pPr>
              <w:autoSpaceDE w:val="0"/>
              <w:autoSpaceDN w:val="0"/>
              <w:adjustRightInd w:val="0"/>
              <w:jc w:val="left"/>
              <w:rPr>
                <w:rFonts w:ascii="Calibri" w:hAnsi="Calibri" w:cs="Arial"/>
                <w:noProof/>
              </w:rPr>
            </w:pPr>
            <w:r w:rsidRPr="00BD6A76">
              <w:rPr>
                <w:rFonts w:ascii="Calibri" w:hAnsi="Calibri" w:cs="Arial"/>
                <w:noProof/>
              </w:rPr>
              <w:t>16.</w:t>
            </w:r>
          </w:p>
        </w:tc>
        <w:tc>
          <w:tcPr>
            <w:tcW w:w="5312" w:type="dxa"/>
          </w:tcPr>
          <w:p w:rsidR="00BD2383" w:rsidRPr="00BD6A76" w:rsidRDefault="00BD2383" w:rsidP="00B630DA">
            <w:pPr>
              <w:autoSpaceDE w:val="0"/>
              <w:autoSpaceDN w:val="0"/>
              <w:adjustRightInd w:val="0"/>
              <w:jc w:val="left"/>
              <w:rPr>
                <w:rFonts w:asciiTheme="minorHAnsi" w:hAnsiTheme="minorHAnsi" w:cstheme="minorHAnsi"/>
                <w:noProof/>
              </w:rPr>
            </w:pPr>
            <w:r w:rsidRPr="00BD6A76">
              <w:rPr>
                <w:rFonts w:asciiTheme="minorHAnsi" w:hAnsiTheme="minorHAnsi" w:cstheme="minorHAnsi"/>
              </w:rPr>
              <w:t>Ausschuss für Saatgutlagerung</w:t>
            </w:r>
          </w:p>
        </w:tc>
      </w:tr>
      <w:tr w:rsidR="00BD2383" w:rsidRPr="00BD6A76" w:rsidTr="00B630DA">
        <w:tc>
          <w:tcPr>
            <w:tcW w:w="495" w:type="dxa"/>
          </w:tcPr>
          <w:p w:rsidR="00BD2383" w:rsidRPr="00BD6A76" w:rsidRDefault="00BD2383" w:rsidP="00B630DA">
            <w:pPr>
              <w:autoSpaceDE w:val="0"/>
              <w:autoSpaceDN w:val="0"/>
              <w:adjustRightInd w:val="0"/>
              <w:jc w:val="left"/>
              <w:rPr>
                <w:rFonts w:ascii="Calibri" w:hAnsi="Calibri" w:cs="Arial"/>
                <w:noProof/>
              </w:rPr>
            </w:pPr>
            <w:r w:rsidRPr="00BD6A76">
              <w:rPr>
                <w:rFonts w:ascii="Calibri" w:hAnsi="Calibri" w:cs="Arial"/>
                <w:noProof/>
              </w:rPr>
              <w:t>17.</w:t>
            </w:r>
          </w:p>
        </w:tc>
        <w:tc>
          <w:tcPr>
            <w:tcW w:w="5312" w:type="dxa"/>
          </w:tcPr>
          <w:p w:rsidR="00BD2383" w:rsidRPr="00BD6A76" w:rsidRDefault="00BD2383" w:rsidP="00B630DA">
            <w:pPr>
              <w:autoSpaceDE w:val="0"/>
              <w:autoSpaceDN w:val="0"/>
              <w:adjustRightInd w:val="0"/>
              <w:jc w:val="left"/>
              <w:rPr>
                <w:rFonts w:asciiTheme="minorHAnsi" w:hAnsiTheme="minorHAnsi" w:cstheme="minorHAnsi"/>
                <w:noProof/>
              </w:rPr>
            </w:pPr>
            <w:r w:rsidRPr="00BD6A76">
              <w:rPr>
                <w:rFonts w:asciiTheme="minorHAnsi" w:hAnsiTheme="minorHAnsi" w:cstheme="minorHAnsi"/>
              </w:rPr>
              <w:t>Ausschuss für Tetrazolium</w:t>
            </w:r>
          </w:p>
        </w:tc>
      </w:tr>
      <w:tr w:rsidR="00BD2383" w:rsidRPr="00BD6A76" w:rsidTr="00B630DA">
        <w:tc>
          <w:tcPr>
            <w:tcW w:w="495" w:type="dxa"/>
          </w:tcPr>
          <w:p w:rsidR="00BD2383" w:rsidRPr="00BD6A76" w:rsidRDefault="00BD2383" w:rsidP="00B630DA">
            <w:pPr>
              <w:autoSpaceDE w:val="0"/>
              <w:autoSpaceDN w:val="0"/>
              <w:adjustRightInd w:val="0"/>
              <w:jc w:val="left"/>
              <w:rPr>
                <w:rFonts w:ascii="Calibri" w:hAnsi="Calibri" w:cs="Arial"/>
                <w:noProof/>
              </w:rPr>
            </w:pPr>
            <w:r w:rsidRPr="00BD6A76">
              <w:rPr>
                <w:rFonts w:ascii="Calibri" w:hAnsi="Calibri" w:cs="Arial"/>
                <w:noProof/>
              </w:rPr>
              <w:t>18.</w:t>
            </w:r>
          </w:p>
        </w:tc>
        <w:tc>
          <w:tcPr>
            <w:tcW w:w="5312" w:type="dxa"/>
          </w:tcPr>
          <w:p w:rsidR="00BD2383" w:rsidRPr="00BD6A76" w:rsidRDefault="00BD2383" w:rsidP="00B630DA">
            <w:pPr>
              <w:autoSpaceDE w:val="0"/>
              <w:autoSpaceDN w:val="0"/>
              <w:adjustRightInd w:val="0"/>
              <w:jc w:val="left"/>
              <w:rPr>
                <w:rFonts w:asciiTheme="minorHAnsi" w:hAnsiTheme="minorHAnsi" w:cstheme="minorHAnsi"/>
                <w:noProof/>
              </w:rPr>
            </w:pPr>
            <w:r w:rsidRPr="00BD6A76">
              <w:rPr>
                <w:rFonts w:asciiTheme="minorHAnsi" w:hAnsiTheme="minorHAnsi" w:cstheme="minorHAnsi"/>
              </w:rPr>
              <w:t>Ausschuss für Sorten</w:t>
            </w:r>
          </w:p>
        </w:tc>
      </w:tr>
      <w:tr w:rsidR="00BD2383" w:rsidRPr="00BD6A76" w:rsidTr="00B630DA">
        <w:tc>
          <w:tcPr>
            <w:tcW w:w="495" w:type="dxa"/>
          </w:tcPr>
          <w:p w:rsidR="00BD2383" w:rsidRPr="00BD6A76" w:rsidRDefault="00BD2383" w:rsidP="00B630DA">
            <w:pPr>
              <w:autoSpaceDE w:val="0"/>
              <w:autoSpaceDN w:val="0"/>
              <w:adjustRightInd w:val="0"/>
              <w:jc w:val="left"/>
              <w:rPr>
                <w:rFonts w:ascii="Calibri" w:hAnsi="Calibri" w:cs="Arial"/>
                <w:noProof/>
              </w:rPr>
            </w:pPr>
            <w:r w:rsidRPr="00BD6A76">
              <w:rPr>
                <w:rFonts w:ascii="Calibri" w:hAnsi="Calibri" w:cs="Arial"/>
                <w:noProof/>
              </w:rPr>
              <w:t>19.</w:t>
            </w:r>
          </w:p>
        </w:tc>
        <w:tc>
          <w:tcPr>
            <w:tcW w:w="5312" w:type="dxa"/>
          </w:tcPr>
          <w:p w:rsidR="00BD2383" w:rsidRPr="00BD6A76" w:rsidRDefault="00BD2383" w:rsidP="00B630DA">
            <w:pPr>
              <w:autoSpaceDE w:val="0"/>
              <w:autoSpaceDN w:val="0"/>
              <w:adjustRightInd w:val="0"/>
              <w:jc w:val="left"/>
              <w:rPr>
                <w:rFonts w:asciiTheme="minorHAnsi" w:hAnsiTheme="minorHAnsi" w:cstheme="minorHAnsi"/>
                <w:noProof/>
              </w:rPr>
            </w:pPr>
            <w:r w:rsidRPr="00BD6A76">
              <w:rPr>
                <w:rFonts w:asciiTheme="minorHAnsi" w:hAnsiTheme="minorHAnsi" w:cstheme="minorHAnsi"/>
              </w:rPr>
              <w:t>Ausschuss für Wüchsigkeit</w:t>
            </w:r>
          </w:p>
        </w:tc>
      </w:tr>
      <w:tr w:rsidR="00BD2383" w:rsidRPr="00BD6A76" w:rsidTr="00B630DA">
        <w:tc>
          <w:tcPr>
            <w:tcW w:w="495" w:type="dxa"/>
          </w:tcPr>
          <w:p w:rsidR="00BD2383" w:rsidRPr="00BD6A76" w:rsidRDefault="00BD2383" w:rsidP="00B630DA">
            <w:pPr>
              <w:autoSpaceDE w:val="0"/>
              <w:autoSpaceDN w:val="0"/>
              <w:adjustRightInd w:val="0"/>
              <w:jc w:val="left"/>
              <w:rPr>
                <w:rFonts w:ascii="Calibri" w:hAnsi="Calibri" w:cs="Arial"/>
                <w:noProof/>
              </w:rPr>
            </w:pPr>
            <w:r w:rsidRPr="00BD6A76">
              <w:rPr>
                <w:rFonts w:ascii="Calibri" w:hAnsi="Calibri" w:cs="Arial"/>
                <w:noProof/>
              </w:rPr>
              <w:t>20.</w:t>
            </w:r>
          </w:p>
        </w:tc>
        <w:tc>
          <w:tcPr>
            <w:tcW w:w="5312" w:type="dxa"/>
          </w:tcPr>
          <w:p w:rsidR="00BD2383" w:rsidRPr="00BD6A76" w:rsidRDefault="00BD2383" w:rsidP="00B630DA">
            <w:pPr>
              <w:autoSpaceDE w:val="0"/>
              <w:autoSpaceDN w:val="0"/>
              <w:adjustRightInd w:val="0"/>
              <w:jc w:val="left"/>
              <w:rPr>
                <w:rFonts w:asciiTheme="minorHAnsi" w:hAnsiTheme="minorHAnsi" w:cstheme="minorHAnsi"/>
                <w:noProof/>
              </w:rPr>
            </w:pPr>
            <w:r w:rsidRPr="00BD6A76">
              <w:rPr>
                <w:rFonts w:asciiTheme="minorHAnsi" w:hAnsiTheme="minorHAnsi" w:cstheme="minorHAnsi"/>
              </w:rPr>
              <w:t>Arbeitsgruppe für wilde Arten</w:t>
            </w:r>
          </w:p>
        </w:tc>
      </w:tr>
    </w:tbl>
    <w:p w:rsidR="00BD2383" w:rsidRPr="00BD6A76" w:rsidRDefault="00BD2383" w:rsidP="00BD2383">
      <w:pPr>
        <w:spacing w:after="160"/>
        <w:jc w:val="left"/>
        <w:rPr>
          <w:rFonts w:ascii="Calibri" w:eastAsia="Calibri" w:hAnsi="Calibri"/>
          <w:b/>
          <w:bCs/>
          <w:noProof/>
          <w:sz w:val="22"/>
          <w:szCs w:val="22"/>
        </w:rPr>
      </w:pPr>
    </w:p>
    <w:p w:rsidR="00BD2383" w:rsidRPr="00BD6A76" w:rsidRDefault="00BD2383" w:rsidP="00BD2383">
      <w:pPr>
        <w:spacing w:after="160"/>
        <w:jc w:val="left"/>
        <w:rPr>
          <w:rFonts w:ascii="Calibri" w:eastAsia="Calibri" w:hAnsi="Calibri"/>
          <w:bCs/>
          <w:noProof/>
          <w:sz w:val="22"/>
          <w:szCs w:val="22"/>
        </w:rPr>
      </w:pPr>
      <w:r w:rsidRPr="00BD6A76">
        <w:rPr>
          <w:rFonts w:ascii="Calibri" w:eastAsia="Calibri" w:hAnsi="Calibri"/>
          <w:bCs/>
          <w:noProof/>
          <w:sz w:val="22"/>
          <w:szCs w:val="22"/>
        </w:rPr>
        <w:t>ISTA-AKKREDITIERUNGSPROGRAMM:</w:t>
      </w:r>
    </w:p>
    <w:p w:rsidR="00BD2383" w:rsidRPr="00BD6A76" w:rsidRDefault="00BD2383" w:rsidP="00BD2383">
      <w:pPr>
        <w:rPr>
          <w:rFonts w:eastAsia="Calibri" w:cs="Arial"/>
          <w:noProof/>
          <w:color w:val="000000"/>
        </w:rPr>
      </w:pPr>
      <w:r w:rsidRPr="00BD2383">
        <w:rPr>
          <w:rFonts w:eastAsia="Calibri" w:cs="Arial"/>
          <w:noProof/>
          <w:color w:val="000000"/>
          <w:lang w:val="de-DE"/>
        </w:rPr>
        <w:t xml:space="preserve">Mit der ISTA-Akkreditierung wird überprüft, ob ein Labor technisch in der Lage ist, Saatgutbeprobungen und Prüfungsverfahren gemäß den Internationalen Vorschriften für die Prüfung von Saatgut der ISTA durchzuführen. Akkreditierte Labore müssen ein Qualitätssicherungssystem betreiben, das die Anforderungen des ISTA-Akkreditierungsstandards erfüllt. </w:t>
      </w:r>
      <w:r w:rsidRPr="00BD6A76">
        <w:rPr>
          <w:rFonts w:eastAsia="Calibri" w:cs="Arial"/>
          <w:noProof/>
          <w:color w:val="000000"/>
        </w:rPr>
        <w:t>Die Akkreditierung kann erteilt werden für:</w:t>
      </w:r>
    </w:p>
    <w:p w:rsidR="00BD2383" w:rsidRPr="00BD2383" w:rsidRDefault="00BD2383" w:rsidP="00BD2383">
      <w:pPr>
        <w:numPr>
          <w:ilvl w:val="0"/>
          <w:numId w:val="11"/>
        </w:numPr>
        <w:shd w:val="clear" w:color="auto" w:fill="FFFFFF"/>
        <w:spacing w:before="100" w:beforeAutospacing="1" w:after="100" w:afterAutospacing="1"/>
        <w:jc w:val="left"/>
        <w:rPr>
          <w:rFonts w:eastAsia="Calibri" w:cs="Arial"/>
          <w:noProof/>
          <w:color w:val="000000"/>
          <w:lang w:val="de-DE"/>
        </w:rPr>
      </w:pPr>
      <w:r w:rsidRPr="00BD2383">
        <w:rPr>
          <w:rFonts w:eastAsia="Calibri" w:cs="Arial"/>
          <w:noProof/>
          <w:color w:val="000000"/>
          <w:lang w:val="de-DE"/>
        </w:rPr>
        <w:t>Einrichtungen, die nur Beprobungen durchführen</w:t>
      </w:r>
      <w:r w:rsidRPr="00BD2383">
        <w:rPr>
          <w:rFonts w:eastAsia="Calibri" w:cs="Arial"/>
          <w:noProof/>
          <w:color w:val="000000"/>
          <w:lang w:val="de-DE"/>
        </w:rPr>
        <w:br/>
      </w:r>
    </w:p>
    <w:p w:rsidR="00BD2383" w:rsidRPr="00BD2383" w:rsidRDefault="00BD2383" w:rsidP="00BD2383">
      <w:pPr>
        <w:numPr>
          <w:ilvl w:val="0"/>
          <w:numId w:val="11"/>
        </w:numPr>
        <w:shd w:val="clear" w:color="auto" w:fill="FFFFFF"/>
        <w:spacing w:before="100" w:beforeAutospacing="1" w:after="100" w:afterAutospacing="1"/>
        <w:jc w:val="left"/>
        <w:rPr>
          <w:rFonts w:eastAsia="Calibri" w:cs="Arial"/>
          <w:noProof/>
          <w:color w:val="000000"/>
          <w:lang w:val="de-DE"/>
        </w:rPr>
      </w:pPr>
      <w:r w:rsidRPr="00BD2383">
        <w:rPr>
          <w:rFonts w:eastAsia="Calibri" w:cs="Arial"/>
          <w:noProof/>
          <w:color w:val="000000"/>
          <w:lang w:val="de-DE"/>
        </w:rPr>
        <w:t>Labore, die nur Prüfungen durchführen</w:t>
      </w:r>
      <w:r w:rsidRPr="00BD2383">
        <w:rPr>
          <w:rFonts w:eastAsia="Calibri" w:cs="Arial"/>
          <w:noProof/>
          <w:color w:val="000000"/>
          <w:lang w:val="de-DE"/>
        </w:rPr>
        <w:br/>
      </w:r>
    </w:p>
    <w:p w:rsidR="00BD2383" w:rsidRPr="00BD2383" w:rsidRDefault="00BD2383" w:rsidP="00BD2383">
      <w:pPr>
        <w:numPr>
          <w:ilvl w:val="0"/>
          <w:numId w:val="11"/>
        </w:numPr>
        <w:shd w:val="clear" w:color="auto" w:fill="FFFFFF"/>
        <w:spacing w:before="100" w:beforeAutospacing="1" w:after="100" w:afterAutospacing="1"/>
        <w:jc w:val="left"/>
        <w:rPr>
          <w:rFonts w:eastAsia="Calibri" w:cs="Arial"/>
          <w:noProof/>
          <w:color w:val="000000"/>
          <w:lang w:val="de-DE"/>
        </w:rPr>
      </w:pPr>
      <w:r w:rsidRPr="00BD2383">
        <w:rPr>
          <w:rFonts w:eastAsia="Calibri" w:cs="Arial"/>
          <w:noProof/>
          <w:color w:val="000000"/>
          <w:lang w:val="de-DE"/>
        </w:rPr>
        <w:t>Labore, die Beprobungen und Prüfungen durchführen.</w:t>
      </w:r>
    </w:p>
    <w:p w:rsidR="00BD2383" w:rsidRPr="00BD2383" w:rsidRDefault="00BD2383" w:rsidP="00BD2383">
      <w:pPr>
        <w:spacing w:after="160"/>
        <w:rPr>
          <w:rFonts w:ascii="Calibri" w:eastAsia="Calibri" w:hAnsi="Calibri"/>
          <w:bCs/>
          <w:noProof/>
          <w:sz w:val="22"/>
          <w:szCs w:val="22"/>
          <w:lang w:val="de-DE"/>
        </w:rPr>
      </w:pPr>
      <w:r w:rsidRPr="00BD2383">
        <w:rPr>
          <w:rFonts w:ascii="Calibri" w:eastAsia="Calibri" w:hAnsi="Calibri"/>
          <w:bCs/>
          <w:noProof/>
          <w:sz w:val="22"/>
          <w:szCs w:val="22"/>
          <w:lang w:val="de-DE"/>
        </w:rPr>
        <w:t xml:space="preserve">ISTA-ZERTIFIKATE: PASS FÜR DEN INTERNATIONALEN SAATGUTHANDEL </w:t>
      </w:r>
    </w:p>
    <w:p w:rsidR="00BD2383" w:rsidRPr="00BD2383" w:rsidRDefault="00BD2383" w:rsidP="00BD2383">
      <w:pPr>
        <w:spacing w:after="160"/>
        <w:rPr>
          <w:rFonts w:eastAsia="Calibri" w:cs="Arial"/>
          <w:noProof/>
          <w:color w:val="000000"/>
          <w:lang w:val="de-DE"/>
        </w:rPr>
      </w:pPr>
      <w:r w:rsidRPr="00BD2383">
        <w:rPr>
          <w:rFonts w:eastAsia="Calibri" w:cs="Arial"/>
          <w:noProof/>
          <w:color w:val="000000"/>
          <w:lang w:val="de-DE"/>
        </w:rPr>
        <w:t>Nur ISTA-akkreditierte Labore sind berechtigt, ISTA-Zertifikate für Saatgutanalysen auszustellen.</w:t>
      </w:r>
    </w:p>
    <w:p w:rsidR="00BD2383" w:rsidRPr="00BD2383" w:rsidRDefault="00BD2383" w:rsidP="00BD2383">
      <w:pPr>
        <w:spacing w:after="160"/>
        <w:rPr>
          <w:rFonts w:eastAsia="Calibri" w:cs="Arial"/>
          <w:noProof/>
          <w:color w:val="000000"/>
          <w:lang w:val="de-DE"/>
        </w:rPr>
      </w:pPr>
      <w:r w:rsidRPr="00BD2383">
        <w:rPr>
          <w:rFonts w:eastAsia="Calibri" w:cs="Arial"/>
          <w:noProof/>
          <w:color w:val="000000"/>
          <w:lang w:val="de-DE"/>
        </w:rPr>
        <w:t>Durch die Angabe von Prüfungsergebnissen von Saatgut auf ISTA-Zertifikaten versichert das ausstellende Labor, dass die Beprobung und Prüfung gemäß den ISTA-Vorschriften durchgeführt wurde. ISTA-Zertifikate werden von den meisten Behörden akzeptiert und sind in den Saatgutgesetzen mehrerer Länder erwähnt.</w:t>
      </w:r>
    </w:p>
    <w:p w:rsidR="00BD2383" w:rsidRPr="00BD2383" w:rsidRDefault="00BD2383" w:rsidP="00BD2383">
      <w:pPr>
        <w:spacing w:after="160"/>
        <w:rPr>
          <w:rFonts w:eastAsia="Calibri" w:cs="Arial"/>
          <w:noProof/>
          <w:color w:val="000000"/>
          <w:lang w:val="de-DE"/>
        </w:rPr>
      </w:pPr>
      <w:r w:rsidRPr="00BD2383">
        <w:rPr>
          <w:rFonts w:eastAsia="Calibri" w:cs="Arial"/>
          <w:noProof/>
          <w:color w:val="000000"/>
          <w:lang w:val="de-DE"/>
        </w:rPr>
        <w:t>Die ISTA-Zertifikate stellen sicher, dass die Ergebnisse reproduzierbar und wahrheitsgetreu sind und die Qualität des Saatguts repräsentieren.</w:t>
      </w:r>
    </w:p>
    <w:p w:rsidR="00BD2383" w:rsidRPr="00BD2383" w:rsidRDefault="00BD2383" w:rsidP="00BD2383">
      <w:pPr>
        <w:jc w:val="left"/>
        <w:rPr>
          <w:rFonts w:eastAsia="Calibri" w:cs="Arial"/>
          <w:noProof/>
          <w:color w:val="000000"/>
          <w:lang w:val="de-DE"/>
        </w:rPr>
      </w:pPr>
      <w:r w:rsidRPr="00BD2383">
        <w:rPr>
          <w:rFonts w:eastAsia="Calibri" w:cs="Arial"/>
          <w:noProof/>
          <w:color w:val="000000"/>
          <w:lang w:val="de-DE"/>
        </w:rPr>
        <w:br w:type="page"/>
      </w:r>
    </w:p>
    <w:p w:rsidR="00BD2383" w:rsidRPr="00BD2383" w:rsidRDefault="00BD2383" w:rsidP="00BD2383">
      <w:pPr>
        <w:tabs>
          <w:tab w:val="left" w:pos="6104"/>
        </w:tabs>
        <w:spacing w:after="160"/>
        <w:jc w:val="left"/>
        <w:rPr>
          <w:rFonts w:ascii="Calibri" w:eastAsia="Calibri" w:hAnsi="Calibri"/>
          <w:noProof/>
          <w:sz w:val="22"/>
          <w:szCs w:val="22"/>
          <w:lang w:val="de-DE"/>
        </w:rPr>
      </w:pPr>
    </w:p>
    <w:p w:rsidR="00BD2383" w:rsidRPr="00BD2383" w:rsidRDefault="00BD2383" w:rsidP="00BD2383">
      <w:pPr>
        <w:tabs>
          <w:tab w:val="left" w:pos="6104"/>
        </w:tabs>
        <w:spacing w:after="160"/>
        <w:jc w:val="left"/>
        <w:rPr>
          <w:rFonts w:ascii="Calibri" w:eastAsia="Calibri" w:hAnsi="Calibri"/>
          <w:noProof/>
          <w:sz w:val="22"/>
          <w:szCs w:val="22"/>
          <w:lang w:val="de-DE"/>
        </w:rPr>
      </w:pPr>
      <w:r w:rsidRPr="00BD6A76">
        <w:rPr>
          <w:rFonts w:eastAsia="Calibri" w:cs="Arial"/>
          <w:noProof/>
          <w:color w:val="000000"/>
        </w:rPr>
        <w:drawing>
          <wp:anchor distT="0" distB="0" distL="114300" distR="114300" simplePos="0" relativeHeight="251659264" behindDoc="0" locked="0" layoutInCell="1" allowOverlap="1" wp14:anchorId="6DAA6E6C" wp14:editId="3E5B27AF">
            <wp:simplePos x="0" y="0"/>
            <wp:positionH relativeFrom="margin">
              <wp:posOffset>760040</wp:posOffset>
            </wp:positionH>
            <wp:positionV relativeFrom="paragraph">
              <wp:posOffset>12175</wp:posOffset>
            </wp:positionV>
            <wp:extent cx="4126727" cy="1741336"/>
            <wp:effectExtent l="0" t="0" r="45720" b="0"/>
            <wp:wrapNone/>
            <wp:docPr id="16" name="Diagram 16"/>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5" r:lo="rId16" r:qs="rId17" r:cs="rId18"/>
              </a:graphicData>
            </a:graphic>
            <wp14:sizeRelH relativeFrom="page">
              <wp14:pctWidth>0</wp14:pctWidth>
            </wp14:sizeRelH>
            <wp14:sizeRelV relativeFrom="page">
              <wp14:pctHeight>0</wp14:pctHeight>
            </wp14:sizeRelV>
          </wp:anchor>
        </w:drawing>
      </w:r>
      <w:r w:rsidRPr="00BD2383">
        <w:rPr>
          <w:rFonts w:ascii="Calibri" w:eastAsia="Calibri" w:hAnsi="Calibri"/>
          <w:noProof/>
          <w:sz w:val="22"/>
          <w:szCs w:val="22"/>
          <w:lang w:val="de-DE"/>
        </w:rPr>
        <w:tab/>
      </w:r>
    </w:p>
    <w:p w:rsidR="00BD2383" w:rsidRPr="00BD2383" w:rsidRDefault="00BD2383" w:rsidP="00BD2383">
      <w:pPr>
        <w:tabs>
          <w:tab w:val="left" w:pos="2434"/>
          <w:tab w:val="left" w:pos="6871"/>
        </w:tabs>
        <w:spacing w:after="160"/>
        <w:jc w:val="left"/>
        <w:rPr>
          <w:rFonts w:ascii="Calibri" w:eastAsia="Calibri" w:hAnsi="Calibri"/>
          <w:noProof/>
          <w:sz w:val="22"/>
          <w:szCs w:val="22"/>
          <w:lang w:val="de-DE"/>
        </w:rPr>
      </w:pPr>
      <w:r w:rsidRPr="00BD2383">
        <w:rPr>
          <w:rFonts w:ascii="Calibri" w:eastAsia="Calibri" w:hAnsi="Calibri"/>
          <w:noProof/>
          <w:sz w:val="22"/>
          <w:szCs w:val="22"/>
          <w:lang w:val="de-DE"/>
        </w:rPr>
        <w:tab/>
      </w:r>
      <w:r w:rsidRPr="00BD2383">
        <w:rPr>
          <w:rFonts w:ascii="Calibri" w:eastAsia="Calibri" w:hAnsi="Calibri"/>
          <w:noProof/>
          <w:sz w:val="22"/>
          <w:szCs w:val="22"/>
          <w:lang w:val="de-DE"/>
        </w:rPr>
        <w:tab/>
      </w:r>
    </w:p>
    <w:p w:rsidR="00BD2383" w:rsidRPr="00BD2383" w:rsidRDefault="00BD2383" w:rsidP="00BD2383">
      <w:pPr>
        <w:tabs>
          <w:tab w:val="left" w:pos="1702"/>
        </w:tabs>
        <w:spacing w:after="160"/>
        <w:jc w:val="left"/>
        <w:rPr>
          <w:rFonts w:ascii="Calibri" w:eastAsia="Calibri" w:hAnsi="Calibri"/>
          <w:noProof/>
          <w:sz w:val="22"/>
          <w:szCs w:val="22"/>
          <w:lang w:val="de-DE"/>
        </w:rPr>
      </w:pPr>
      <w:r w:rsidRPr="00BD2383">
        <w:rPr>
          <w:rFonts w:ascii="Calibri" w:eastAsia="Calibri" w:hAnsi="Calibri"/>
          <w:noProof/>
          <w:sz w:val="22"/>
          <w:szCs w:val="22"/>
          <w:lang w:val="de-DE"/>
        </w:rPr>
        <w:tab/>
      </w:r>
    </w:p>
    <w:p w:rsidR="00BD2383" w:rsidRPr="00BD2383" w:rsidRDefault="00BD2383" w:rsidP="00BD2383">
      <w:pPr>
        <w:spacing w:after="160"/>
        <w:jc w:val="left"/>
        <w:rPr>
          <w:rFonts w:ascii="Calibri" w:eastAsia="Calibri" w:hAnsi="Calibri"/>
          <w:noProof/>
          <w:sz w:val="22"/>
          <w:szCs w:val="22"/>
          <w:lang w:val="de-DE"/>
        </w:rPr>
      </w:pPr>
    </w:p>
    <w:p w:rsidR="00BD2383" w:rsidRPr="00BD2383" w:rsidRDefault="00BD2383" w:rsidP="00BD2383">
      <w:pPr>
        <w:spacing w:after="160"/>
        <w:jc w:val="left"/>
        <w:rPr>
          <w:rFonts w:ascii="Calibri" w:eastAsia="Calibri" w:hAnsi="Calibri"/>
          <w:noProof/>
          <w:sz w:val="22"/>
          <w:szCs w:val="22"/>
          <w:lang w:val="de-DE"/>
        </w:rPr>
      </w:pPr>
    </w:p>
    <w:p w:rsidR="00BD2383" w:rsidRPr="00BD2383" w:rsidRDefault="00BD2383" w:rsidP="00BD2383">
      <w:pPr>
        <w:tabs>
          <w:tab w:val="left" w:pos="3102"/>
          <w:tab w:val="left" w:pos="6961"/>
        </w:tabs>
        <w:spacing w:after="160"/>
        <w:jc w:val="left"/>
        <w:rPr>
          <w:rFonts w:ascii="Calibri" w:eastAsia="Calibri" w:hAnsi="Calibri"/>
          <w:noProof/>
          <w:sz w:val="22"/>
          <w:szCs w:val="22"/>
          <w:lang w:val="de-DE"/>
        </w:rPr>
      </w:pPr>
      <w:r w:rsidRPr="00BD2383">
        <w:rPr>
          <w:rFonts w:ascii="Calibri" w:eastAsia="Calibri" w:hAnsi="Calibri"/>
          <w:noProof/>
          <w:sz w:val="22"/>
          <w:szCs w:val="22"/>
          <w:lang w:val="de-DE"/>
        </w:rPr>
        <w:tab/>
      </w:r>
      <w:r w:rsidRPr="00BD2383">
        <w:rPr>
          <w:rFonts w:ascii="Calibri" w:eastAsia="Calibri" w:hAnsi="Calibri"/>
          <w:noProof/>
          <w:sz w:val="22"/>
          <w:szCs w:val="22"/>
          <w:lang w:val="de-DE"/>
        </w:rPr>
        <w:tab/>
      </w:r>
    </w:p>
    <w:p w:rsidR="00BD2383" w:rsidRPr="00BD2383" w:rsidRDefault="00BD2383" w:rsidP="00BD2383">
      <w:pPr>
        <w:tabs>
          <w:tab w:val="left" w:pos="7433"/>
        </w:tabs>
        <w:spacing w:after="160"/>
        <w:jc w:val="left"/>
        <w:rPr>
          <w:rFonts w:ascii="Calibri" w:eastAsia="Calibri" w:hAnsi="Calibri"/>
          <w:noProof/>
          <w:sz w:val="22"/>
          <w:szCs w:val="22"/>
          <w:lang w:val="de-DE"/>
        </w:rPr>
      </w:pPr>
      <w:r w:rsidRPr="00BD2383">
        <w:rPr>
          <w:rFonts w:ascii="Calibri" w:eastAsia="Calibri" w:hAnsi="Calibri"/>
          <w:noProof/>
          <w:sz w:val="22"/>
          <w:szCs w:val="22"/>
          <w:lang w:val="de-DE"/>
        </w:rPr>
        <w:tab/>
      </w:r>
    </w:p>
    <w:p w:rsidR="00BD2383" w:rsidRPr="00BD2383" w:rsidRDefault="00BD2383" w:rsidP="00BD2383">
      <w:pPr>
        <w:spacing w:after="160"/>
        <w:rPr>
          <w:rFonts w:eastAsia="Calibri" w:cs="Arial"/>
          <w:noProof/>
          <w:lang w:val="de-DE"/>
        </w:rPr>
      </w:pPr>
      <w:r w:rsidRPr="00BD2383">
        <w:rPr>
          <w:rFonts w:eastAsia="Calibri" w:cs="Arial"/>
          <w:noProof/>
          <w:lang w:val="de-DE"/>
        </w:rPr>
        <w:t>Mehr als 200.000 orange und blaue ISTA-Zertifikate werden jedes Jahr erteilt und erleichtern den internationalen Handel mit Saatgut.</w:t>
      </w:r>
    </w:p>
    <w:p w:rsidR="00BD2383" w:rsidRPr="00BD2383" w:rsidRDefault="00BD2383" w:rsidP="00BD2383">
      <w:pPr>
        <w:rPr>
          <w:rFonts w:eastAsia="Calibri" w:cs="Arial"/>
          <w:noProof/>
          <w:lang w:val="de-DE"/>
        </w:rPr>
      </w:pPr>
    </w:p>
    <w:p w:rsidR="00BD2383" w:rsidRPr="00BD2383" w:rsidRDefault="00BD2383" w:rsidP="00BD2383">
      <w:pPr>
        <w:spacing w:after="160"/>
        <w:rPr>
          <w:rFonts w:eastAsia="Calibri" w:cs="Arial"/>
          <w:b/>
          <w:bCs/>
          <w:noProof/>
          <w:lang w:val="de-DE"/>
        </w:rPr>
      </w:pPr>
      <w:r w:rsidRPr="00BD2383">
        <w:rPr>
          <w:rFonts w:eastAsia="Calibri" w:cs="Arial"/>
          <w:b/>
          <w:bCs/>
          <w:noProof/>
          <w:lang w:val="de-DE"/>
        </w:rPr>
        <w:t>DER STAND VON BIOCHEMISCHEN UND MOLEKULAREN VERFAHREN (BMT) IN DER ISTA.</w:t>
      </w:r>
    </w:p>
    <w:p w:rsidR="00BD2383" w:rsidRPr="00BD2383" w:rsidRDefault="00BD2383" w:rsidP="00BD2383">
      <w:pPr>
        <w:rPr>
          <w:rFonts w:eastAsia="Calibri" w:cs="Arial"/>
          <w:noProof/>
          <w:color w:val="000000"/>
          <w:lang w:val="de-DE"/>
        </w:rPr>
      </w:pPr>
      <w:r w:rsidRPr="00BD2383">
        <w:rPr>
          <w:rFonts w:eastAsia="Calibri" w:cs="Arial"/>
          <w:noProof/>
          <w:color w:val="000000"/>
          <w:lang w:val="de-DE"/>
        </w:rPr>
        <w:t>Die Internationalen Vorschriften der ISTA für die Prüfung von Saatgut umfassen seit vielen Jahren BMT. Beispielsweise sind BMT für GVO-Prüfungen im Rahmen eines „leistungsbasierten Ansatzes“ zulässig; die häufig verwendeten Verfahren umfassen qualitative und quantitative Proteinnachweisanalysen und verschiedene DNA-basierte Verfahren. BMT werden als diagnostische und quantitative Bewertungsinstrumente bei Saatgutgesundheitsprüfungsverfahren eingesetzt. Auch bei der Prüfung zur Arten- und Sortenverifizierung werden BMT eingesetzt durch Analysieren von Speicherproteinprofilen für Sonnenblume, Mais, Hafer, Gerste, Weizen, Weidelgras und Erbse oder Erstellen eines DNA-Fingerabdrucks mit molekularen Markern für Mais und Weizen. Da die Vielseitigkeit dieser Verfahren zunimmt und die Kosten für ihre Verwendung sinken, könnten sie in Zukunft eine noch größere Rolle bei der Prüfung von Saatgut spielen.</w:t>
      </w:r>
    </w:p>
    <w:p w:rsidR="00BD2383" w:rsidRPr="00BD2383" w:rsidRDefault="00BD2383" w:rsidP="00BD2383">
      <w:pPr>
        <w:spacing w:after="160"/>
        <w:jc w:val="left"/>
        <w:rPr>
          <w:rFonts w:eastAsia="Calibri" w:cs="Arial"/>
          <w:noProof/>
          <w:color w:val="000000"/>
          <w:lang w:val="de-DE"/>
        </w:rPr>
      </w:pPr>
    </w:p>
    <w:p w:rsidR="00BD2383" w:rsidRPr="00BD2383" w:rsidRDefault="00BD2383" w:rsidP="00BD2383">
      <w:pPr>
        <w:spacing w:after="160"/>
        <w:rPr>
          <w:rFonts w:eastAsia="Calibri" w:cs="Arial"/>
          <w:noProof/>
          <w:color w:val="000000"/>
          <w:lang w:val="de-DE"/>
        </w:rPr>
      </w:pPr>
      <w:r w:rsidRPr="00BD2383">
        <w:rPr>
          <w:rFonts w:eastAsia="Calibri" w:cs="Arial"/>
          <w:noProof/>
          <w:color w:val="000000"/>
          <w:lang w:val="de-DE"/>
        </w:rPr>
        <w:t xml:space="preserve">Wenn Sie mehr über die ISTA erfahren möchten, besuchen Sie unsere Website: </w:t>
      </w:r>
      <w:hyperlink r:id="rId20" w:history="1">
        <w:r w:rsidRPr="00BD2383">
          <w:rPr>
            <w:rFonts w:eastAsia="Calibri" w:cs="Arial"/>
            <w:noProof/>
            <w:color w:val="000000"/>
            <w:lang w:val="de-DE"/>
          </w:rPr>
          <w:t>www.seedtest.org</w:t>
        </w:r>
      </w:hyperlink>
    </w:p>
    <w:p w:rsidR="00EB74E5" w:rsidRPr="00BD2383" w:rsidRDefault="00EB74E5" w:rsidP="00EB74E5">
      <w:pPr>
        <w:spacing w:after="160" w:line="259" w:lineRule="auto"/>
        <w:jc w:val="left"/>
        <w:rPr>
          <w:rFonts w:eastAsia="Calibri" w:cs="Arial"/>
          <w:color w:val="000000"/>
          <w:lang w:val="de-DE"/>
        </w:rPr>
      </w:pPr>
    </w:p>
    <w:p w:rsidR="00A16EC8" w:rsidRPr="00BD2383" w:rsidRDefault="00A16EC8" w:rsidP="00445B73">
      <w:pPr>
        <w:rPr>
          <w:rFonts w:cs="Arial"/>
          <w:lang w:val="de-DE"/>
        </w:rPr>
      </w:pPr>
    </w:p>
    <w:p w:rsidR="00B06F4E" w:rsidRPr="00BD2383" w:rsidRDefault="00B06F4E" w:rsidP="00B06F4E">
      <w:pPr>
        <w:rPr>
          <w:lang w:val="de-DE"/>
        </w:rPr>
      </w:pPr>
    </w:p>
    <w:p w:rsidR="00B06F4E" w:rsidRPr="00BD2383" w:rsidRDefault="00BD2383" w:rsidP="00450501">
      <w:pPr>
        <w:jc w:val="right"/>
        <w:rPr>
          <w:lang w:val="de-DE"/>
        </w:rPr>
      </w:pPr>
      <w:r w:rsidRPr="00BD2383">
        <w:rPr>
          <w:lang w:val="de-DE"/>
        </w:rPr>
        <w:t>[Ende der Anlage und des Dokuments</w:t>
      </w:r>
      <w:r w:rsidR="00B06F4E" w:rsidRPr="00BD2383">
        <w:rPr>
          <w:lang w:val="de-DE"/>
        </w:rPr>
        <w:t>]</w:t>
      </w:r>
    </w:p>
    <w:p w:rsidR="00445B73" w:rsidRPr="00BD2383" w:rsidRDefault="00445B73" w:rsidP="00445B73">
      <w:pPr>
        <w:jc w:val="right"/>
        <w:rPr>
          <w:rFonts w:cs="Arial"/>
          <w:lang w:val="de-DE"/>
        </w:rPr>
      </w:pPr>
    </w:p>
    <w:p w:rsidR="00445B73" w:rsidRPr="00BD2383" w:rsidRDefault="00445B73" w:rsidP="00445B73">
      <w:pPr>
        <w:jc w:val="left"/>
        <w:rPr>
          <w:lang w:val="de-DE"/>
        </w:rPr>
      </w:pPr>
    </w:p>
    <w:p w:rsidR="00050E16" w:rsidRPr="00BD2383" w:rsidRDefault="00050E16" w:rsidP="009B440E">
      <w:pPr>
        <w:jc w:val="left"/>
        <w:rPr>
          <w:lang w:val="de-DE"/>
        </w:rPr>
      </w:pPr>
    </w:p>
    <w:sectPr w:rsidR="00050E16" w:rsidRPr="00BD2383" w:rsidSect="0004198B">
      <w:headerReference w:type="default" r:id="rId21"/>
      <w:headerReference w:type="first" r:id="rId22"/>
      <w:pgSz w:w="11907" w:h="16840" w:code="9"/>
      <w:pgMar w:top="510" w:right="1134" w:bottom="1134"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906BD" w:rsidRDefault="006906BD" w:rsidP="006655D3">
      <w:r>
        <w:separator/>
      </w:r>
    </w:p>
    <w:p w:rsidR="006906BD" w:rsidRDefault="006906BD" w:rsidP="006655D3"/>
    <w:p w:rsidR="006906BD" w:rsidRDefault="006906BD" w:rsidP="006655D3"/>
  </w:endnote>
  <w:endnote w:type="continuationSeparator" w:id="0">
    <w:p w:rsidR="006906BD" w:rsidRDefault="006906BD" w:rsidP="006655D3">
      <w:r>
        <w:separator/>
      </w:r>
    </w:p>
    <w:p w:rsidR="006906BD" w:rsidRPr="00294751" w:rsidRDefault="006906BD">
      <w:pPr>
        <w:pStyle w:val="Footer"/>
        <w:spacing w:after="60"/>
        <w:rPr>
          <w:sz w:val="18"/>
          <w:lang w:val="fr-FR"/>
        </w:rPr>
      </w:pPr>
      <w:r w:rsidRPr="00294751">
        <w:rPr>
          <w:sz w:val="18"/>
          <w:lang w:val="fr-FR"/>
        </w:rPr>
        <w:t>[Suite de la note de la page précédente]</w:t>
      </w:r>
    </w:p>
    <w:p w:rsidR="006906BD" w:rsidRPr="00294751" w:rsidRDefault="006906BD" w:rsidP="006655D3">
      <w:pPr>
        <w:rPr>
          <w:lang w:val="fr-FR"/>
        </w:rPr>
      </w:pPr>
    </w:p>
    <w:p w:rsidR="006906BD" w:rsidRPr="00294751" w:rsidRDefault="006906BD" w:rsidP="006655D3">
      <w:pPr>
        <w:rPr>
          <w:lang w:val="fr-FR"/>
        </w:rPr>
      </w:pPr>
    </w:p>
  </w:endnote>
  <w:endnote w:type="continuationNotice" w:id="1">
    <w:p w:rsidR="006906BD" w:rsidRPr="00294751" w:rsidRDefault="006906BD" w:rsidP="006655D3">
      <w:pPr>
        <w:rPr>
          <w:lang w:val="fr-FR"/>
        </w:rPr>
      </w:pPr>
      <w:r w:rsidRPr="00294751">
        <w:rPr>
          <w:lang w:val="fr-FR"/>
        </w:rPr>
        <w:t>[Suite de la note page suivante]</w:t>
      </w:r>
    </w:p>
    <w:p w:rsidR="006906BD" w:rsidRPr="00294751" w:rsidRDefault="006906BD" w:rsidP="006655D3">
      <w:pPr>
        <w:rPr>
          <w:lang w:val="fr-FR"/>
        </w:rPr>
      </w:pPr>
    </w:p>
    <w:p w:rsidR="006906BD" w:rsidRPr="00294751" w:rsidRDefault="006906BD"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Yu Gothic UI"/>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rebuchet MS">
    <w:panose1 w:val="020B0603020202020204"/>
    <w:charset w:val="00"/>
    <w:family w:val="swiss"/>
    <w:pitch w:val="variable"/>
    <w:sig w:usb0="000006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906BD" w:rsidRDefault="006906BD" w:rsidP="006655D3">
      <w:r>
        <w:separator/>
      </w:r>
    </w:p>
  </w:footnote>
  <w:footnote w:type="continuationSeparator" w:id="0">
    <w:p w:rsidR="006906BD" w:rsidRDefault="006906BD" w:rsidP="006655D3">
      <w:r>
        <w:separator/>
      </w:r>
    </w:p>
  </w:footnote>
  <w:footnote w:type="continuationNotice" w:id="1">
    <w:p w:rsidR="006906BD" w:rsidRPr="00AB530F" w:rsidRDefault="006906BD" w:rsidP="00AB530F">
      <w:pPr>
        <w:pStyle w:val="Footer"/>
      </w:pPr>
    </w:p>
  </w:footnote>
  <w:footnote w:id="2">
    <w:p w:rsidR="00B630DA" w:rsidRPr="00ED5D41" w:rsidRDefault="00B630DA" w:rsidP="00ED5D41">
      <w:pPr>
        <w:pStyle w:val="FootnoteText"/>
        <w:rPr>
          <w:lang w:val="de-DE"/>
        </w:rPr>
      </w:pPr>
      <w:r>
        <w:rPr>
          <w:rStyle w:val="FootnoteReference"/>
        </w:rPr>
        <w:footnoteRef/>
      </w:r>
      <w:r w:rsidRPr="00ED5D41">
        <w:rPr>
          <w:lang w:val="de-DE"/>
        </w:rPr>
        <w:t xml:space="preserve"> auf ihrer sechsundfünfzigsten Tagung vom 18. bis 22. April 2022, auf elektronischem Wege abgehalten.</w:t>
      </w:r>
    </w:p>
  </w:footnote>
  <w:footnote w:id="3">
    <w:p w:rsidR="00B630DA" w:rsidRPr="00ED5D41" w:rsidRDefault="00B630DA" w:rsidP="00ED5D41">
      <w:pPr>
        <w:pStyle w:val="FootnoteText"/>
        <w:rPr>
          <w:highlight w:val="cyan"/>
          <w:lang w:val="de-DE"/>
        </w:rPr>
      </w:pPr>
      <w:r>
        <w:rPr>
          <w:rStyle w:val="FootnoteReference"/>
        </w:rPr>
        <w:footnoteRef/>
      </w:r>
      <w:r w:rsidRPr="00ED5D41">
        <w:rPr>
          <w:lang w:val="de-DE"/>
        </w:rPr>
        <w:t xml:space="preserve"> auf ihrer einundfünfzigsten Tagung vom 23. bis 27. Mai 2022, vom Vereinigten Königreich ausgerichtet und auf elektronischem Wege abgehalten</w:t>
      </w:r>
    </w:p>
  </w:footnote>
  <w:footnote w:id="4">
    <w:p w:rsidR="00B630DA" w:rsidRPr="00ED5D41" w:rsidRDefault="00B630DA" w:rsidP="00ED5D41">
      <w:pPr>
        <w:pStyle w:val="FootnoteText"/>
        <w:rPr>
          <w:highlight w:val="cyan"/>
          <w:lang w:val="de-DE"/>
        </w:rPr>
      </w:pPr>
      <w:r>
        <w:rPr>
          <w:rStyle w:val="FootnoteReference"/>
        </w:rPr>
        <w:footnoteRef/>
      </w:r>
      <w:r w:rsidRPr="00ED5D41">
        <w:rPr>
          <w:lang w:val="de-DE"/>
        </w:rPr>
        <w:t xml:space="preserve"> auf ihrer vierundfünfzigsten Tagung vom 13. bis 17. Juni 2022 Deutschland ausgerichtet und auf elektronischem Wege abgehalten</w:t>
      </w:r>
    </w:p>
  </w:footnote>
  <w:footnote w:id="5">
    <w:p w:rsidR="00B630DA" w:rsidRPr="00ED5D41" w:rsidRDefault="00B630DA" w:rsidP="00ED5D41">
      <w:pPr>
        <w:pStyle w:val="FootnoteText"/>
        <w:rPr>
          <w:lang w:val="de-DE"/>
        </w:rPr>
      </w:pPr>
      <w:r>
        <w:rPr>
          <w:rStyle w:val="FootnoteReference"/>
        </w:rPr>
        <w:footnoteRef/>
      </w:r>
      <w:r w:rsidRPr="00ED5D41">
        <w:rPr>
          <w:lang w:val="de-DE"/>
        </w:rPr>
        <w:t xml:space="preserve"> auf ihrer dreiundfünfzigsten Tagung vom 11. bis 15. Juli 2022, auf elektronischem Wege abgehalten.</w:t>
      </w:r>
    </w:p>
  </w:footnote>
  <w:footnote w:id="6">
    <w:p w:rsidR="00B630DA" w:rsidRPr="00ED5D41" w:rsidRDefault="00B630DA" w:rsidP="00ED5D41">
      <w:pPr>
        <w:pStyle w:val="FootnoteText"/>
        <w:rPr>
          <w:lang w:val="de-DE"/>
        </w:rPr>
      </w:pPr>
      <w:r>
        <w:rPr>
          <w:rStyle w:val="FootnoteReference"/>
        </w:rPr>
        <w:footnoteRef/>
      </w:r>
      <w:r w:rsidRPr="00ED5D41">
        <w:rPr>
          <w:lang w:val="de-DE"/>
        </w:rPr>
        <w:t xml:space="preserve"> auf ihrer ersten Tagung vom 19. bis 23. September 2022, auf elektronischem Wege abgehalten.</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30DA" w:rsidRDefault="00B630DA" w:rsidP="00B06F4E">
    <w:pPr>
      <w:jc w:val="center"/>
      <w:rPr>
        <w:rStyle w:val="PageNumber"/>
      </w:rPr>
    </w:pPr>
    <w:r w:rsidRPr="00EB74E5">
      <w:rPr>
        <w:rStyle w:val="PageNumber"/>
      </w:rPr>
      <w:t>TC/58/INF/6</w:t>
    </w:r>
  </w:p>
  <w:p w:rsidR="00B630DA" w:rsidRPr="00B630DA" w:rsidRDefault="00B630DA" w:rsidP="00B06F4E">
    <w:pPr>
      <w:jc w:val="center"/>
      <w:rPr>
        <w:lang w:val="de-DE"/>
      </w:rPr>
    </w:pPr>
    <w:r w:rsidRPr="00B630DA">
      <w:rPr>
        <w:lang w:val="de-DE"/>
      </w:rPr>
      <w:t xml:space="preserve">Seite </w:t>
    </w:r>
    <w:r w:rsidRPr="00B630DA">
      <w:rPr>
        <w:lang w:val="de-DE"/>
      </w:rPr>
      <w:fldChar w:fldCharType="begin"/>
    </w:r>
    <w:r w:rsidRPr="00B630DA">
      <w:rPr>
        <w:lang w:val="de-DE"/>
      </w:rPr>
      <w:instrText xml:space="preserve"> PAGE </w:instrText>
    </w:r>
    <w:r w:rsidRPr="00B630DA">
      <w:rPr>
        <w:lang w:val="de-DE"/>
      </w:rPr>
      <w:fldChar w:fldCharType="separate"/>
    </w:r>
    <w:r w:rsidR="00164B48">
      <w:rPr>
        <w:noProof/>
        <w:lang w:val="de-DE"/>
      </w:rPr>
      <w:t>5</w:t>
    </w:r>
    <w:r w:rsidRPr="00B630DA">
      <w:rPr>
        <w:lang w:val="de-DE"/>
      </w:rPr>
      <w:fldChar w:fldCharType="end"/>
    </w:r>
  </w:p>
  <w:p w:rsidR="00B630DA" w:rsidRPr="00C5280D" w:rsidRDefault="00B630DA" w:rsidP="006655D3"/>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30DA" w:rsidRPr="00EB74E5" w:rsidRDefault="00B630DA" w:rsidP="00B06F4E">
    <w:pPr>
      <w:jc w:val="center"/>
      <w:rPr>
        <w:rStyle w:val="PageNumber"/>
        <w:lang w:val="fr-FR"/>
      </w:rPr>
    </w:pPr>
    <w:r w:rsidRPr="00EB74E5">
      <w:rPr>
        <w:rStyle w:val="PageNumber"/>
        <w:lang w:val="fr-FR"/>
      </w:rPr>
      <w:t>TC/58/INF/6</w:t>
    </w:r>
  </w:p>
  <w:p w:rsidR="00B630DA" w:rsidRPr="00BD2383" w:rsidRDefault="00B630DA" w:rsidP="00B06F4E">
    <w:pPr>
      <w:jc w:val="center"/>
      <w:rPr>
        <w:lang w:val="de-DE"/>
      </w:rPr>
    </w:pPr>
    <w:r w:rsidRPr="00BD2383">
      <w:rPr>
        <w:lang w:val="de-DE"/>
      </w:rPr>
      <w:t xml:space="preserve">Anlage, Seite </w:t>
    </w:r>
    <w:r w:rsidRPr="00BD2383">
      <w:rPr>
        <w:lang w:val="de-DE"/>
      </w:rPr>
      <w:fldChar w:fldCharType="begin"/>
    </w:r>
    <w:r w:rsidRPr="00BD2383">
      <w:rPr>
        <w:lang w:val="de-DE"/>
      </w:rPr>
      <w:instrText xml:space="preserve"> PAGE </w:instrText>
    </w:r>
    <w:r w:rsidRPr="00BD2383">
      <w:rPr>
        <w:lang w:val="de-DE"/>
      </w:rPr>
      <w:fldChar w:fldCharType="separate"/>
    </w:r>
    <w:r w:rsidR="00164B48">
      <w:rPr>
        <w:noProof/>
        <w:lang w:val="de-DE"/>
      </w:rPr>
      <w:t>7</w:t>
    </w:r>
    <w:r w:rsidRPr="00BD2383">
      <w:rPr>
        <w:lang w:val="de-DE"/>
      </w:rPr>
      <w:fldChar w:fldCharType="end"/>
    </w:r>
  </w:p>
  <w:p w:rsidR="00B630DA" w:rsidRPr="00EB74E5" w:rsidRDefault="00B630DA" w:rsidP="006655D3">
    <w:pPr>
      <w:rPr>
        <w:lang w:val="fr-FR"/>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30DA" w:rsidRDefault="00B630DA" w:rsidP="00A16EC8">
    <w:pPr>
      <w:jc w:val="center"/>
      <w:rPr>
        <w:rStyle w:val="PageNumber"/>
      </w:rPr>
    </w:pPr>
    <w:r w:rsidRPr="00EB74E5">
      <w:rPr>
        <w:rStyle w:val="PageNumber"/>
      </w:rPr>
      <w:t>TC/58/INF/6</w:t>
    </w:r>
  </w:p>
  <w:p w:rsidR="00B630DA" w:rsidRDefault="00B630DA" w:rsidP="00A16EC8">
    <w:pPr>
      <w:jc w:val="center"/>
      <w:rPr>
        <w:rStyle w:val="PageNumber"/>
      </w:rPr>
    </w:pPr>
  </w:p>
  <w:p w:rsidR="00B630DA" w:rsidRPr="00ED5D41" w:rsidRDefault="00B630DA" w:rsidP="00A16EC8">
    <w:pPr>
      <w:jc w:val="center"/>
      <w:rPr>
        <w:lang w:val="de-DE"/>
      </w:rPr>
    </w:pPr>
    <w:r w:rsidRPr="00ED5D41">
      <w:rPr>
        <w:lang w:val="de-DE"/>
      </w:rPr>
      <w:t>ANLAGE</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707EF2"/>
    <w:multiLevelType w:val="hybridMultilevel"/>
    <w:tmpl w:val="C352DBF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 w15:restartNumberingAfterBreak="0">
    <w:nsid w:val="1D6439B4"/>
    <w:multiLevelType w:val="hybridMultilevel"/>
    <w:tmpl w:val="E97A8FDE"/>
    <w:lvl w:ilvl="0" w:tplc="4216DB54">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0230D00"/>
    <w:multiLevelType w:val="hybridMultilevel"/>
    <w:tmpl w:val="CFF2F340"/>
    <w:lvl w:ilvl="0" w:tplc="0628ADF2">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580919"/>
    <w:multiLevelType w:val="hybridMultilevel"/>
    <w:tmpl w:val="A7EC8664"/>
    <w:lvl w:ilvl="0" w:tplc="50124E3C">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A362292"/>
    <w:multiLevelType w:val="hybridMultilevel"/>
    <w:tmpl w:val="DCCAC554"/>
    <w:lvl w:ilvl="0" w:tplc="C5DC1DF8">
      <w:start w:val="1"/>
      <w:numFmt w:val="decimal"/>
      <w:lvlText w:val="%1."/>
      <w:lvlJc w:val="left"/>
      <w:pPr>
        <w:ind w:left="220" w:hanging="906"/>
      </w:pPr>
      <w:rPr>
        <w:rFonts w:ascii="Times New Roman" w:eastAsia="Times New Roman" w:hAnsi="Times New Roman" w:cs="Times New Roman" w:hint="default"/>
        <w:w w:val="100"/>
        <w:sz w:val="22"/>
        <w:szCs w:val="22"/>
        <w:lang w:val="en-GB" w:eastAsia="en-GB" w:bidi="en-GB"/>
      </w:rPr>
    </w:lvl>
    <w:lvl w:ilvl="1" w:tplc="378EC1DE">
      <w:numFmt w:val="bullet"/>
      <w:lvlText w:val=""/>
      <w:lvlJc w:val="left"/>
      <w:pPr>
        <w:ind w:left="1070" w:hanging="409"/>
      </w:pPr>
      <w:rPr>
        <w:rFonts w:ascii="Symbol" w:eastAsia="Symbol" w:hAnsi="Symbol" w:cs="Symbol" w:hint="default"/>
        <w:w w:val="100"/>
        <w:sz w:val="22"/>
        <w:szCs w:val="22"/>
        <w:lang w:val="en-GB" w:eastAsia="en-GB" w:bidi="en-GB"/>
      </w:rPr>
    </w:lvl>
    <w:lvl w:ilvl="2" w:tplc="09903808">
      <w:numFmt w:val="bullet"/>
      <w:lvlText w:val="•"/>
      <w:lvlJc w:val="left"/>
      <w:pPr>
        <w:ind w:left="2208" w:hanging="409"/>
      </w:pPr>
      <w:rPr>
        <w:rFonts w:hint="default"/>
        <w:lang w:val="en-GB" w:eastAsia="en-GB" w:bidi="en-GB"/>
      </w:rPr>
    </w:lvl>
    <w:lvl w:ilvl="3" w:tplc="DFA420FE">
      <w:numFmt w:val="bullet"/>
      <w:lvlText w:val="•"/>
      <w:lvlJc w:val="left"/>
      <w:pPr>
        <w:ind w:left="3337" w:hanging="409"/>
      </w:pPr>
      <w:rPr>
        <w:rFonts w:hint="default"/>
        <w:lang w:val="en-GB" w:eastAsia="en-GB" w:bidi="en-GB"/>
      </w:rPr>
    </w:lvl>
    <w:lvl w:ilvl="4" w:tplc="26B42B78">
      <w:numFmt w:val="bullet"/>
      <w:lvlText w:val="•"/>
      <w:lvlJc w:val="left"/>
      <w:pPr>
        <w:ind w:left="4466" w:hanging="409"/>
      </w:pPr>
      <w:rPr>
        <w:rFonts w:hint="default"/>
        <w:lang w:val="en-GB" w:eastAsia="en-GB" w:bidi="en-GB"/>
      </w:rPr>
    </w:lvl>
    <w:lvl w:ilvl="5" w:tplc="E292BF4E">
      <w:numFmt w:val="bullet"/>
      <w:lvlText w:val="•"/>
      <w:lvlJc w:val="left"/>
      <w:pPr>
        <w:ind w:left="5595" w:hanging="409"/>
      </w:pPr>
      <w:rPr>
        <w:rFonts w:hint="default"/>
        <w:lang w:val="en-GB" w:eastAsia="en-GB" w:bidi="en-GB"/>
      </w:rPr>
    </w:lvl>
    <w:lvl w:ilvl="6" w:tplc="C338AFB2">
      <w:numFmt w:val="bullet"/>
      <w:lvlText w:val="•"/>
      <w:lvlJc w:val="left"/>
      <w:pPr>
        <w:ind w:left="6724" w:hanging="409"/>
      </w:pPr>
      <w:rPr>
        <w:rFonts w:hint="default"/>
        <w:lang w:val="en-GB" w:eastAsia="en-GB" w:bidi="en-GB"/>
      </w:rPr>
    </w:lvl>
    <w:lvl w:ilvl="7" w:tplc="E0F8143E">
      <w:numFmt w:val="bullet"/>
      <w:lvlText w:val="•"/>
      <w:lvlJc w:val="left"/>
      <w:pPr>
        <w:ind w:left="7853" w:hanging="409"/>
      </w:pPr>
      <w:rPr>
        <w:rFonts w:hint="default"/>
        <w:lang w:val="en-GB" w:eastAsia="en-GB" w:bidi="en-GB"/>
      </w:rPr>
    </w:lvl>
    <w:lvl w:ilvl="8" w:tplc="E094185C">
      <w:numFmt w:val="bullet"/>
      <w:lvlText w:val="•"/>
      <w:lvlJc w:val="left"/>
      <w:pPr>
        <w:ind w:left="8982" w:hanging="409"/>
      </w:pPr>
      <w:rPr>
        <w:rFonts w:hint="default"/>
        <w:lang w:val="en-GB" w:eastAsia="en-GB" w:bidi="en-GB"/>
      </w:rPr>
    </w:lvl>
  </w:abstractNum>
  <w:abstractNum w:abstractNumId="5" w15:restartNumberingAfterBreak="0">
    <w:nsid w:val="2CEB783F"/>
    <w:multiLevelType w:val="hybridMultilevel"/>
    <w:tmpl w:val="354C1F2A"/>
    <w:lvl w:ilvl="0" w:tplc="EE26DAB2">
      <w:start w:val="1"/>
      <w:numFmt w:val="decimal"/>
      <w:lvlText w:val="%1."/>
      <w:lvlJc w:val="left"/>
      <w:pPr>
        <w:ind w:left="360" w:hanging="360"/>
      </w:pPr>
      <w:rPr>
        <w:rFonts w:ascii="Arial" w:hAnsi="Arial" w:cs="Arial" w:hint="default"/>
        <w:i w:val="0"/>
        <w:sz w:val="20"/>
        <w:szCs w:val="20"/>
      </w:rPr>
    </w:lvl>
    <w:lvl w:ilvl="1" w:tplc="08090001">
      <w:start w:val="1"/>
      <w:numFmt w:val="bullet"/>
      <w:lvlText w:val=""/>
      <w:lvlJc w:val="left"/>
      <w:pPr>
        <w:ind w:left="1080" w:hanging="360"/>
      </w:pPr>
      <w:rPr>
        <w:rFonts w:ascii="Symbol" w:hAnsi="Symbol" w:hint="default"/>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 w15:restartNumberingAfterBreak="0">
    <w:nsid w:val="2DD04FC4"/>
    <w:multiLevelType w:val="hybridMultilevel"/>
    <w:tmpl w:val="978071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5413021"/>
    <w:multiLevelType w:val="multilevel"/>
    <w:tmpl w:val="40F20C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2533CFD"/>
    <w:multiLevelType w:val="hybridMultilevel"/>
    <w:tmpl w:val="F894C6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487D356A"/>
    <w:multiLevelType w:val="hybridMultilevel"/>
    <w:tmpl w:val="D1C02E6C"/>
    <w:lvl w:ilvl="0" w:tplc="01C2BD9E">
      <w:start w:val="1"/>
      <w:numFmt w:val="bullet"/>
      <w:lvlText w:val=""/>
      <w:lvlJc w:val="left"/>
      <w:pPr>
        <w:ind w:left="2628" w:hanging="360"/>
      </w:pPr>
      <w:rPr>
        <w:rFonts w:ascii="Symbol" w:hAnsi="Symbol" w:hint="default"/>
      </w:rPr>
    </w:lvl>
    <w:lvl w:ilvl="1" w:tplc="04090003" w:tentative="1">
      <w:start w:val="1"/>
      <w:numFmt w:val="bullet"/>
      <w:lvlText w:val="o"/>
      <w:lvlJc w:val="left"/>
      <w:pPr>
        <w:ind w:left="3348" w:hanging="360"/>
      </w:pPr>
      <w:rPr>
        <w:rFonts w:ascii="Courier New" w:hAnsi="Courier New" w:cs="Courier New" w:hint="default"/>
      </w:rPr>
    </w:lvl>
    <w:lvl w:ilvl="2" w:tplc="04090005" w:tentative="1">
      <w:start w:val="1"/>
      <w:numFmt w:val="bullet"/>
      <w:lvlText w:val=""/>
      <w:lvlJc w:val="left"/>
      <w:pPr>
        <w:ind w:left="4068" w:hanging="360"/>
      </w:pPr>
      <w:rPr>
        <w:rFonts w:ascii="Wingdings" w:hAnsi="Wingdings" w:hint="default"/>
      </w:rPr>
    </w:lvl>
    <w:lvl w:ilvl="3" w:tplc="04090001" w:tentative="1">
      <w:start w:val="1"/>
      <w:numFmt w:val="bullet"/>
      <w:lvlText w:val=""/>
      <w:lvlJc w:val="left"/>
      <w:pPr>
        <w:ind w:left="4788" w:hanging="360"/>
      </w:pPr>
      <w:rPr>
        <w:rFonts w:ascii="Symbol" w:hAnsi="Symbol" w:hint="default"/>
      </w:rPr>
    </w:lvl>
    <w:lvl w:ilvl="4" w:tplc="04090003" w:tentative="1">
      <w:start w:val="1"/>
      <w:numFmt w:val="bullet"/>
      <w:lvlText w:val="o"/>
      <w:lvlJc w:val="left"/>
      <w:pPr>
        <w:ind w:left="5508" w:hanging="360"/>
      </w:pPr>
      <w:rPr>
        <w:rFonts w:ascii="Courier New" w:hAnsi="Courier New" w:cs="Courier New" w:hint="default"/>
      </w:rPr>
    </w:lvl>
    <w:lvl w:ilvl="5" w:tplc="04090005" w:tentative="1">
      <w:start w:val="1"/>
      <w:numFmt w:val="bullet"/>
      <w:lvlText w:val=""/>
      <w:lvlJc w:val="left"/>
      <w:pPr>
        <w:ind w:left="6228" w:hanging="360"/>
      </w:pPr>
      <w:rPr>
        <w:rFonts w:ascii="Wingdings" w:hAnsi="Wingdings" w:hint="default"/>
      </w:rPr>
    </w:lvl>
    <w:lvl w:ilvl="6" w:tplc="04090001" w:tentative="1">
      <w:start w:val="1"/>
      <w:numFmt w:val="bullet"/>
      <w:lvlText w:val=""/>
      <w:lvlJc w:val="left"/>
      <w:pPr>
        <w:ind w:left="6948" w:hanging="360"/>
      </w:pPr>
      <w:rPr>
        <w:rFonts w:ascii="Symbol" w:hAnsi="Symbol" w:hint="default"/>
      </w:rPr>
    </w:lvl>
    <w:lvl w:ilvl="7" w:tplc="04090003" w:tentative="1">
      <w:start w:val="1"/>
      <w:numFmt w:val="bullet"/>
      <w:lvlText w:val="o"/>
      <w:lvlJc w:val="left"/>
      <w:pPr>
        <w:ind w:left="7668" w:hanging="360"/>
      </w:pPr>
      <w:rPr>
        <w:rFonts w:ascii="Courier New" w:hAnsi="Courier New" w:cs="Courier New" w:hint="default"/>
      </w:rPr>
    </w:lvl>
    <w:lvl w:ilvl="8" w:tplc="04090005" w:tentative="1">
      <w:start w:val="1"/>
      <w:numFmt w:val="bullet"/>
      <w:lvlText w:val=""/>
      <w:lvlJc w:val="left"/>
      <w:pPr>
        <w:ind w:left="8388" w:hanging="360"/>
      </w:pPr>
      <w:rPr>
        <w:rFonts w:ascii="Wingdings" w:hAnsi="Wingdings" w:hint="default"/>
      </w:rPr>
    </w:lvl>
  </w:abstractNum>
  <w:abstractNum w:abstractNumId="10" w15:restartNumberingAfterBreak="0">
    <w:nsid w:val="4B985B1E"/>
    <w:multiLevelType w:val="hybridMultilevel"/>
    <w:tmpl w:val="A308E4E6"/>
    <w:lvl w:ilvl="0" w:tplc="08070005">
      <w:start w:val="1"/>
      <w:numFmt w:val="bullet"/>
      <w:lvlText w:val=""/>
      <w:lvlJc w:val="left"/>
      <w:pPr>
        <w:ind w:left="720" w:hanging="360"/>
      </w:pPr>
      <w:rPr>
        <w:rFonts w:ascii="Wingdings" w:hAnsi="Wingdings" w:hint="default"/>
        <w:color w:val="FF9900"/>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1" w15:restartNumberingAfterBreak="0">
    <w:nsid w:val="61B104BD"/>
    <w:multiLevelType w:val="multilevel"/>
    <w:tmpl w:val="E47E4CC2"/>
    <w:lvl w:ilvl="0">
      <w:start w:val="1"/>
      <w:numFmt w:val="bullet"/>
      <w:lvlText w:val=""/>
      <w:lvlJc w:val="left"/>
      <w:pPr>
        <w:tabs>
          <w:tab w:val="num" w:pos="720"/>
        </w:tabs>
        <w:ind w:left="720" w:hanging="360"/>
      </w:pPr>
      <w:rPr>
        <w:rFonts w:ascii="Wingdings" w:hAnsi="Wingdings" w:hint="default"/>
        <w:color w:val="FF9900"/>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B6B30A8"/>
    <w:multiLevelType w:val="hybridMultilevel"/>
    <w:tmpl w:val="2BB41828"/>
    <w:lvl w:ilvl="0" w:tplc="81D65FE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DA5320D"/>
    <w:multiLevelType w:val="hybridMultilevel"/>
    <w:tmpl w:val="FEBADD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5"/>
  </w:num>
  <w:num w:numId="3">
    <w:abstractNumId w:val="1"/>
  </w:num>
  <w:num w:numId="4">
    <w:abstractNumId w:val="0"/>
  </w:num>
  <w:num w:numId="5">
    <w:abstractNumId w:val="13"/>
  </w:num>
  <w:num w:numId="6">
    <w:abstractNumId w:val="12"/>
  </w:num>
  <w:num w:numId="7">
    <w:abstractNumId w:val="8"/>
  </w:num>
  <w:num w:numId="8">
    <w:abstractNumId w:val="6"/>
  </w:num>
  <w:num w:numId="9">
    <w:abstractNumId w:val="2"/>
  </w:num>
  <w:num w:numId="10">
    <w:abstractNumId w:val="7"/>
  </w:num>
  <w:num w:numId="11">
    <w:abstractNumId w:val="11"/>
  </w:num>
  <w:num w:numId="12">
    <w:abstractNumId w:val="10"/>
  </w:num>
  <w:num w:numId="13">
    <w:abstractNumId w:val="4"/>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1482"/>
    <w:rsid w:val="00010CF3"/>
    <w:rsid w:val="00011E27"/>
    <w:rsid w:val="0001413A"/>
    <w:rsid w:val="000148BC"/>
    <w:rsid w:val="00017EC0"/>
    <w:rsid w:val="00024AB8"/>
    <w:rsid w:val="00025ADC"/>
    <w:rsid w:val="00030854"/>
    <w:rsid w:val="00036028"/>
    <w:rsid w:val="0004198B"/>
    <w:rsid w:val="00044642"/>
    <w:rsid w:val="000446B9"/>
    <w:rsid w:val="00047E21"/>
    <w:rsid w:val="00050E16"/>
    <w:rsid w:val="00051FED"/>
    <w:rsid w:val="000571F7"/>
    <w:rsid w:val="00085505"/>
    <w:rsid w:val="000C4E25"/>
    <w:rsid w:val="000C7021"/>
    <w:rsid w:val="000D1DF9"/>
    <w:rsid w:val="000D6BBC"/>
    <w:rsid w:val="000D7780"/>
    <w:rsid w:val="000E636A"/>
    <w:rsid w:val="000F0880"/>
    <w:rsid w:val="000F2F11"/>
    <w:rsid w:val="000F6B3F"/>
    <w:rsid w:val="00100A5F"/>
    <w:rsid w:val="00105929"/>
    <w:rsid w:val="00110BED"/>
    <w:rsid w:val="00110C36"/>
    <w:rsid w:val="001131D5"/>
    <w:rsid w:val="00114547"/>
    <w:rsid w:val="00141DB8"/>
    <w:rsid w:val="00144612"/>
    <w:rsid w:val="0015619C"/>
    <w:rsid w:val="00164B48"/>
    <w:rsid w:val="00172084"/>
    <w:rsid w:val="0017474A"/>
    <w:rsid w:val="001758C6"/>
    <w:rsid w:val="00182B99"/>
    <w:rsid w:val="001A49CE"/>
    <w:rsid w:val="001C1525"/>
    <w:rsid w:val="001C6546"/>
    <w:rsid w:val="001D14EA"/>
    <w:rsid w:val="001D2ACB"/>
    <w:rsid w:val="0021332C"/>
    <w:rsid w:val="00213982"/>
    <w:rsid w:val="0022017F"/>
    <w:rsid w:val="00233311"/>
    <w:rsid w:val="0024416D"/>
    <w:rsid w:val="00270348"/>
    <w:rsid w:val="00271911"/>
    <w:rsid w:val="00273187"/>
    <w:rsid w:val="002776BE"/>
    <w:rsid w:val="002800A0"/>
    <w:rsid w:val="002801B3"/>
    <w:rsid w:val="00281060"/>
    <w:rsid w:val="00284050"/>
    <w:rsid w:val="00284ACE"/>
    <w:rsid w:val="00285445"/>
    <w:rsid w:val="00285BD0"/>
    <w:rsid w:val="002940E8"/>
    <w:rsid w:val="00294751"/>
    <w:rsid w:val="002A6E50"/>
    <w:rsid w:val="002B4298"/>
    <w:rsid w:val="002B587E"/>
    <w:rsid w:val="002B7A36"/>
    <w:rsid w:val="002C256A"/>
    <w:rsid w:val="002D5226"/>
    <w:rsid w:val="002D7623"/>
    <w:rsid w:val="00302764"/>
    <w:rsid w:val="00305A7F"/>
    <w:rsid w:val="003065A8"/>
    <w:rsid w:val="00306A90"/>
    <w:rsid w:val="003152FE"/>
    <w:rsid w:val="00327436"/>
    <w:rsid w:val="0034068E"/>
    <w:rsid w:val="00344BD6"/>
    <w:rsid w:val="003509ED"/>
    <w:rsid w:val="0035528D"/>
    <w:rsid w:val="00361821"/>
    <w:rsid w:val="00361E9E"/>
    <w:rsid w:val="00367A58"/>
    <w:rsid w:val="00374CE4"/>
    <w:rsid w:val="003753EE"/>
    <w:rsid w:val="00392E40"/>
    <w:rsid w:val="0039544A"/>
    <w:rsid w:val="003A0835"/>
    <w:rsid w:val="003A5AAF"/>
    <w:rsid w:val="003B5240"/>
    <w:rsid w:val="003B700A"/>
    <w:rsid w:val="003C7FBE"/>
    <w:rsid w:val="003D0839"/>
    <w:rsid w:val="003D227C"/>
    <w:rsid w:val="003D2B4D"/>
    <w:rsid w:val="003D5F5B"/>
    <w:rsid w:val="003F37F5"/>
    <w:rsid w:val="00407A9C"/>
    <w:rsid w:val="004133B2"/>
    <w:rsid w:val="00440A9A"/>
    <w:rsid w:val="00444A88"/>
    <w:rsid w:val="00445B73"/>
    <w:rsid w:val="00447E75"/>
    <w:rsid w:val="00450501"/>
    <w:rsid w:val="00474DA4"/>
    <w:rsid w:val="00476B4D"/>
    <w:rsid w:val="004805FA"/>
    <w:rsid w:val="004935D2"/>
    <w:rsid w:val="0049526B"/>
    <w:rsid w:val="004B1215"/>
    <w:rsid w:val="004D047D"/>
    <w:rsid w:val="004D34C0"/>
    <w:rsid w:val="004F1E9E"/>
    <w:rsid w:val="004F305A"/>
    <w:rsid w:val="004F7B12"/>
    <w:rsid w:val="005007AA"/>
    <w:rsid w:val="00512164"/>
    <w:rsid w:val="00513419"/>
    <w:rsid w:val="00520297"/>
    <w:rsid w:val="005338F9"/>
    <w:rsid w:val="005414A0"/>
    <w:rsid w:val="0054281C"/>
    <w:rsid w:val="00542955"/>
    <w:rsid w:val="00544581"/>
    <w:rsid w:val="0055268D"/>
    <w:rsid w:val="00575DE2"/>
    <w:rsid w:val="00576BE4"/>
    <w:rsid w:val="005779DB"/>
    <w:rsid w:val="005A2A67"/>
    <w:rsid w:val="005A400A"/>
    <w:rsid w:val="005A618A"/>
    <w:rsid w:val="005B269D"/>
    <w:rsid w:val="005C548D"/>
    <w:rsid w:val="005D4DA7"/>
    <w:rsid w:val="005E7118"/>
    <w:rsid w:val="005F7B92"/>
    <w:rsid w:val="00602BA5"/>
    <w:rsid w:val="00604B35"/>
    <w:rsid w:val="00605D26"/>
    <w:rsid w:val="00612379"/>
    <w:rsid w:val="00614F2B"/>
    <w:rsid w:val="006153B6"/>
    <w:rsid w:val="0061555F"/>
    <w:rsid w:val="006245ED"/>
    <w:rsid w:val="00636CA6"/>
    <w:rsid w:val="00641200"/>
    <w:rsid w:val="00645CA8"/>
    <w:rsid w:val="006655D3"/>
    <w:rsid w:val="00667404"/>
    <w:rsid w:val="00673997"/>
    <w:rsid w:val="0067537F"/>
    <w:rsid w:val="0068353F"/>
    <w:rsid w:val="00686083"/>
    <w:rsid w:val="00687EB4"/>
    <w:rsid w:val="006906BD"/>
    <w:rsid w:val="00695C56"/>
    <w:rsid w:val="006A5CDE"/>
    <w:rsid w:val="006A644A"/>
    <w:rsid w:val="006B17D2"/>
    <w:rsid w:val="006C224E"/>
    <w:rsid w:val="006D780A"/>
    <w:rsid w:val="00700DD6"/>
    <w:rsid w:val="007022C5"/>
    <w:rsid w:val="0070630F"/>
    <w:rsid w:val="0071271E"/>
    <w:rsid w:val="0072507E"/>
    <w:rsid w:val="00732DEC"/>
    <w:rsid w:val="00735BD5"/>
    <w:rsid w:val="007451EC"/>
    <w:rsid w:val="00751613"/>
    <w:rsid w:val="00753EE9"/>
    <w:rsid w:val="007556F6"/>
    <w:rsid w:val="00760EEF"/>
    <w:rsid w:val="00777EE5"/>
    <w:rsid w:val="00784836"/>
    <w:rsid w:val="0079023E"/>
    <w:rsid w:val="007915C4"/>
    <w:rsid w:val="007A2854"/>
    <w:rsid w:val="007B1BA8"/>
    <w:rsid w:val="007C1D92"/>
    <w:rsid w:val="007C4CB9"/>
    <w:rsid w:val="007D0B9D"/>
    <w:rsid w:val="007D19B0"/>
    <w:rsid w:val="007F498F"/>
    <w:rsid w:val="00800C5A"/>
    <w:rsid w:val="0080679D"/>
    <w:rsid w:val="008108B0"/>
    <w:rsid w:val="00811B20"/>
    <w:rsid w:val="00812609"/>
    <w:rsid w:val="008211B5"/>
    <w:rsid w:val="0082296E"/>
    <w:rsid w:val="00824099"/>
    <w:rsid w:val="00827704"/>
    <w:rsid w:val="00836B13"/>
    <w:rsid w:val="008422AD"/>
    <w:rsid w:val="00846D7C"/>
    <w:rsid w:val="008537B9"/>
    <w:rsid w:val="00853C01"/>
    <w:rsid w:val="0086245B"/>
    <w:rsid w:val="00867AC1"/>
    <w:rsid w:val="008751DE"/>
    <w:rsid w:val="00881F5A"/>
    <w:rsid w:val="00890DF8"/>
    <w:rsid w:val="008A0ADE"/>
    <w:rsid w:val="008A743F"/>
    <w:rsid w:val="008B563B"/>
    <w:rsid w:val="008C0970"/>
    <w:rsid w:val="008D0BC5"/>
    <w:rsid w:val="008D2CF7"/>
    <w:rsid w:val="008E15E2"/>
    <w:rsid w:val="00900C26"/>
    <w:rsid w:val="0090197F"/>
    <w:rsid w:val="00903264"/>
    <w:rsid w:val="00906DDC"/>
    <w:rsid w:val="0093224D"/>
    <w:rsid w:val="00932468"/>
    <w:rsid w:val="00934E09"/>
    <w:rsid w:val="00936253"/>
    <w:rsid w:val="00940D46"/>
    <w:rsid w:val="009413F1"/>
    <w:rsid w:val="00952DD4"/>
    <w:rsid w:val="009561F4"/>
    <w:rsid w:val="00965AE7"/>
    <w:rsid w:val="00970FED"/>
    <w:rsid w:val="00973E35"/>
    <w:rsid w:val="00985E41"/>
    <w:rsid w:val="00992D82"/>
    <w:rsid w:val="00997029"/>
    <w:rsid w:val="009A7339"/>
    <w:rsid w:val="009B1294"/>
    <w:rsid w:val="009B440E"/>
    <w:rsid w:val="009D3227"/>
    <w:rsid w:val="009D690D"/>
    <w:rsid w:val="009E65B6"/>
    <w:rsid w:val="009F0A51"/>
    <w:rsid w:val="009F0B7F"/>
    <w:rsid w:val="009F77CF"/>
    <w:rsid w:val="00A12795"/>
    <w:rsid w:val="00A16EC8"/>
    <w:rsid w:val="00A2054A"/>
    <w:rsid w:val="00A24C10"/>
    <w:rsid w:val="00A36C59"/>
    <w:rsid w:val="00A42AC3"/>
    <w:rsid w:val="00A430CF"/>
    <w:rsid w:val="00A54309"/>
    <w:rsid w:val="00A5499F"/>
    <w:rsid w:val="00A55168"/>
    <w:rsid w:val="00A610A9"/>
    <w:rsid w:val="00A65330"/>
    <w:rsid w:val="00A80F2A"/>
    <w:rsid w:val="00A96C33"/>
    <w:rsid w:val="00AB2B93"/>
    <w:rsid w:val="00AB4207"/>
    <w:rsid w:val="00AB530F"/>
    <w:rsid w:val="00AB7D8B"/>
    <w:rsid w:val="00AB7E5B"/>
    <w:rsid w:val="00AC2883"/>
    <w:rsid w:val="00AE0EF1"/>
    <w:rsid w:val="00AE2937"/>
    <w:rsid w:val="00AE3F08"/>
    <w:rsid w:val="00AF7A39"/>
    <w:rsid w:val="00B06F4E"/>
    <w:rsid w:val="00B07301"/>
    <w:rsid w:val="00B11F3E"/>
    <w:rsid w:val="00B224DE"/>
    <w:rsid w:val="00B324D4"/>
    <w:rsid w:val="00B330F2"/>
    <w:rsid w:val="00B36B85"/>
    <w:rsid w:val="00B46575"/>
    <w:rsid w:val="00B50005"/>
    <w:rsid w:val="00B61777"/>
    <w:rsid w:val="00B622E6"/>
    <w:rsid w:val="00B630DA"/>
    <w:rsid w:val="00B83E82"/>
    <w:rsid w:val="00B84BBD"/>
    <w:rsid w:val="00B91195"/>
    <w:rsid w:val="00BA43FB"/>
    <w:rsid w:val="00BC127D"/>
    <w:rsid w:val="00BC1FE6"/>
    <w:rsid w:val="00BD0C0C"/>
    <w:rsid w:val="00BD2383"/>
    <w:rsid w:val="00BD42F5"/>
    <w:rsid w:val="00BE7EB4"/>
    <w:rsid w:val="00C061B6"/>
    <w:rsid w:val="00C2446C"/>
    <w:rsid w:val="00C36AE5"/>
    <w:rsid w:val="00C41F17"/>
    <w:rsid w:val="00C45098"/>
    <w:rsid w:val="00C527FA"/>
    <w:rsid w:val="00C5280D"/>
    <w:rsid w:val="00C53EB3"/>
    <w:rsid w:val="00C5459B"/>
    <w:rsid w:val="00C5791C"/>
    <w:rsid w:val="00C639E2"/>
    <w:rsid w:val="00C66290"/>
    <w:rsid w:val="00C72B7A"/>
    <w:rsid w:val="00C87187"/>
    <w:rsid w:val="00C916AB"/>
    <w:rsid w:val="00C973F2"/>
    <w:rsid w:val="00CA1EF5"/>
    <w:rsid w:val="00CA304C"/>
    <w:rsid w:val="00CA774A"/>
    <w:rsid w:val="00CB4921"/>
    <w:rsid w:val="00CC11B0"/>
    <w:rsid w:val="00CC2841"/>
    <w:rsid w:val="00CC6619"/>
    <w:rsid w:val="00CF1330"/>
    <w:rsid w:val="00CF4074"/>
    <w:rsid w:val="00CF7E36"/>
    <w:rsid w:val="00D27BB4"/>
    <w:rsid w:val="00D323D5"/>
    <w:rsid w:val="00D3708D"/>
    <w:rsid w:val="00D40426"/>
    <w:rsid w:val="00D57C96"/>
    <w:rsid w:val="00D57D18"/>
    <w:rsid w:val="00D644CD"/>
    <w:rsid w:val="00D70E65"/>
    <w:rsid w:val="00D91203"/>
    <w:rsid w:val="00D95174"/>
    <w:rsid w:val="00DA4973"/>
    <w:rsid w:val="00DA6F36"/>
    <w:rsid w:val="00DB596E"/>
    <w:rsid w:val="00DB7773"/>
    <w:rsid w:val="00DC00EA"/>
    <w:rsid w:val="00DC3802"/>
    <w:rsid w:val="00DD1482"/>
    <w:rsid w:val="00DD6208"/>
    <w:rsid w:val="00DF7E99"/>
    <w:rsid w:val="00E07D87"/>
    <w:rsid w:val="00E217B5"/>
    <w:rsid w:val="00E249C8"/>
    <w:rsid w:val="00E32F7E"/>
    <w:rsid w:val="00E5267B"/>
    <w:rsid w:val="00E559F0"/>
    <w:rsid w:val="00E63C0E"/>
    <w:rsid w:val="00E7232A"/>
    <w:rsid w:val="00E72D49"/>
    <w:rsid w:val="00E7593C"/>
    <w:rsid w:val="00E7678A"/>
    <w:rsid w:val="00E91B19"/>
    <w:rsid w:val="00E935F1"/>
    <w:rsid w:val="00E94A81"/>
    <w:rsid w:val="00EA1FFB"/>
    <w:rsid w:val="00EB048E"/>
    <w:rsid w:val="00EB4E9C"/>
    <w:rsid w:val="00EB74E5"/>
    <w:rsid w:val="00EC634B"/>
    <w:rsid w:val="00EC6E4C"/>
    <w:rsid w:val="00ED5D41"/>
    <w:rsid w:val="00EE34DF"/>
    <w:rsid w:val="00EF2F89"/>
    <w:rsid w:val="00EF757F"/>
    <w:rsid w:val="00F019CB"/>
    <w:rsid w:val="00F03E98"/>
    <w:rsid w:val="00F1237A"/>
    <w:rsid w:val="00F17B5F"/>
    <w:rsid w:val="00F22CBD"/>
    <w:rsid w:val="00F23F1E"/>
    <w:rsid w:val="00F272F1"/>
    <w:rsid w:val="00F31412"/>
    <w:rsid w:val="00F45372"/>
    <w:rsid w:val="00F560F7"/>
    <w:rsid w:val="00F6334D"/>
    <w:rsid w:val="00F63599"/>
    <w:rsid w:val="00F6677A"/>
    <w:rsid w:val="00F71781"/>
    <w:rsid w:val="00F72BBA"/>
    <w:rsid w:val="00FA49AB"/>
    <w:rsid w:val="00FA5F92"/>
    <w:rsid w:val="00FC5FD0"/>
    <w:rsid w:val="00FE39C7"/>
    <w:rsid w:val="00FF4D0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5:docId w15:val="{E4F13F93-E770-4B3C-BDA9-E4377F7313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MS Mincho"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6575"/>
    <w:pPr>
      <w:jc w:val="both"/>
    </w:pPr>
    <w:rPr>
      <w:rFonts w:ascii="Arial" w:hAnsi="Arial"/>
    </w:rPr>
  </w:style>
  <w:style w:type="paragraph" w:styleId="Heading1">
    <w:name w:val="heading 1"/>
    <w:next w:val="Normal"/>
    <w:link w:val="Heading1Char"/>
    <w:autoRedefine/>
    <w:qFormat/>
    <w:rsid w:val="00CA1EF5"/>
    <w:pPr>
      <w:keepNext/>
      <w:jc w:val="both"/>
      <w:outlineLvl w:val="0"/>
    </w:pPr>
    <w:rPr>
      <w:rFonts w:ascii="Arial" w:hAnsi="Arial"/>
      <w:caps/>
    </w:rPr>
  </w:style>
  <w:style w:type="paragraph" w:styleId="Heading2">
    <w:name w:val="heading 2"/>
    <w:aliases w:val="VARIETY,variety"/>
    <w:next w:val="Normal"/>
    <w:link w:val="Heading2Char"/>
    <w:autoRedefine/>
    <w:qFormat/>
    <w:rsid w:val="005C548D"/>
    <w:pPr>
      <w:jc w:val="both"/>
      <w:outlineLvl w:val="1"/>
    </w:pPr>
    <w:rPr>
      <w:rFonts w:ascii="Arial" w:hAnsi="Arial"/>
      <w:u w:val="single"/>
      <w:lang w:eastAsia="ja-JP"/>
    </w:rPr>
  </w:style>
  <w:style w:type="paragraph" w:styleId="Heading3">
    <w:name w:val="heading 3"/>
    <w:next w:val="Normal"/>
    <w:link w:val="Heading3Char"/>
    <w:autoRedefine/>
    <w:qFormat/>
    <w:rsid w:val="004805FA"/>
    <w:pPr>
      <w:keepNext/>
      <w:jc w:val="both"/>
      <w:outlineLvl w:val="2"/>
    </w:pPr>
    <w:rPr>
      <w:rFonts w:ascii="Arial" w:hAnsi="Arial"/>
      <w:i/>
    </w:rPr>
  </w:style>
  <w:style w:type="paragraph" w:styleId="Heading4">
    <w:name w:val="heading 4"/>
    <w:next w:val="Normal"/>
    <w:link w:val="Heading4Char"/>
    <w:autoRedefine/>
    <w:qFormat/>
    <w:rsid w:val="004805FA"/>
    <w:pPr>
      <w:keepNext/>
      <w:ind w:left="567"/>
      <w:jc w:val="both"/>
      <w:outlineLvl w:val="3"/>
    </w:pPr>
    <w:rPr>
      <w:rFonts w:ascii="Arial" w:hAnsi="Arial"/>
      <w:u w:val="single"/>
      <w:lang w:val="fr-FR"/>
    </w:rPr>
  </w:style>
  <w:style w:type="paragraph" w:styleId="Heading5">
    <w:name w:val="heading 5"/>
    <w:next w:val="Normal"/>
    <w:link w:val="Heading5Char"/>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rsid w:val="00AE2937"/>
    <w:pPr>
      <w:jc w:val="center"/>
    </w:pPr>
    <w:rPr>
      <w:rFonts w:ascii="Arial" w:hAnsi="Arial"/>
      <w:lang w:val="fr-FR"/>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5779DB"/>
    <w:pPr>
      <w:tabs>
        <w:tab w:val="left" w:pos="5387"/>
        <w:tab w:val="left" w:pos="5954"/>
      </w:tabs>
      <w:ind w:left="4820"/>
    </w:pPr>
    <w:rPr>
      <w:i/>
    </w:rPr>
  </w:style>
  <w:style w:type="paragraph" w:styleId="FootnoteText">
    <w:name w:val="footnote text"/>
    <w:link w:val="FootnoteTextChar"/>
    <w:autoRedefine/>
    <w:rsid w:val="009D690D"/>
    <w:pPr>
      <w:spacing w:before="60"/>
      <w:ind w:left="567" w:hanging="567"/>
      <w:jc w:val="both"/>
    </w:pPr>
    <w:rPr>
      <w:rFonts w:ascii="Arial" w:hAnsi="Arial"/>
      <w:sz w:val="16"/>
    </w:rPr>
  </w:style>
  <w:style w:type="character" w:styleId="FootnoteReference">
    <w:name w:val="footnote reference"/>
    <w:basedOn w:val="DefaultParagraphFont"/>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7451EC"/>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link w:val="TitleofdocChar"/>
    <w:rsid w:val="007451EC"/>
    <w:pPr>
      <w:spacing w:before="600" w:after="240"/>
      <w:jc w:val="left"/>
    </w:pPr>
    <w:rPr>
      <w:b/>
    </w:rPr>
  </w:style>
  <w:style w:type="paragraph" w:customStyle="1" w:styleId="preparedby1">
    <w:name w:val="prepared_by"/>
    <w:basedOn w:val="preparedby0"/>
    <w:rsid w:val="006A644A"/>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basedOn w:val="Normal"/>
    <w:next w:val="Normal"/>
    <w:autoRedefine/>
    <w:uiPriority w:val="39"/>
    <w:rsid w:val="005C548D"/>
    <w:pPr>
      <w:tabs>
        <w:tab w:val="right" w:leader="dot" w:pos="9639"/>
      </w:tabs>
      <w:ind w:left="568" w:right="851" w:hanging="284"/>
      <w:contextualSpacing/>
      <w:jc w:val="left"/>
    </w:pPr>
    <w:rPr>
      <w:sz w:val="18"/>
    </w:rPr>
  </w:style>
  <w:style w:type="paragraph" w:styleId="TOC3">
    <w:name w:val="toc 3"/>
    <w:next w:val="Normal"/>
    <w:autoRedefine/>
    <w:uiPriority w:val="39"/>
    <w:rsid w:val="00753EE9"/>
    <w:pPr>
      <w:tabs>
        <w:tab w:val="right" w:leader="dot" w:pos="9639"/>
      </w:tabs>
      <w:spacing w:after="120"/>
      <w:ind w:left="568" w:right="851" w:hanging="284"/>
    </w:pPr>
    <w:rPr>
      <w:rFonts w:ascii="Arial" w:hAnsi="Arial"/>
      <w:sz w:val="18"/>
      <w:lang w:val="fr-FR"/>
    </w:rPr>
  </w:style>
  <w:style w:type="character" w:styleId="Hyperlink">
    <w:name w:val="Hyperlink"/>
    <w:basedOn w:val="DefaultParagraphFont"/>
    <w:uiPriority w:val="99"/>
    <w:rsid w:val="00AB530F"/>
    <w:rPr>
      <w:rFonts w:ascii="Arial" w:hAnsi="Arial"/>
      <w:color w:val="0000FF"/>
      <w:u w:val="single"/>
    </w:rPr>
  </w:style>
  <w:style w:type="paragraph" w:styleId="TOC4">
    <w:name w:val="toc 4"/>
    <w:next w:val="Normal"/>
    <w:autoRedefine/>
    <w:rsid w:val="00753EE9"/>
    <w:pPr>
      <w:tabs>
        <w:tab w:val="right" w:leader="dot" w:pos="9639"/>
      </w:tabs>
      <w:spacing w:after="120"/>
      <w:ind w:left="738" w:right="851" w:hanging="284"/>
    </w:pPr>
    <w:rPr>
      <w:rFonts w:ascii="Arial" w:hAnsi="Arial"/>
      <w:i/>
      <w:sz w:val="18"/>
      <w:lang w:val="fr-FR"/>
    </w:rPr>
  </w:style>
  <w:style w:type="paragraph" w:styleId="TOC1">
    <w:name w:val="toc 1"/>
    <w:basedOn w:val="Normal"/>
    <w:next w:val="Normal"/>
    <w:autoRedefine/>
    <w:uiPriority w:val="39"/>
    <w:qFormat/>
    <w:rsid w:val="005C548D"/>
    <w:pPr>
      <w:tabs>
        <w:tab w:val="right" w:leader="dot" w:pos="9639"/>
      </w:tabs>
      <w:spacing w:before="60"/>
      <w:ind w:right="1418"/>
      <w:jc w:val="left"/>
    </w:pPr>
    <w:rPr>
      <w:caps/>
      <w:sz w:val="18"/>
    </w:rPr>
  </w:style>
  <w:style w:type="paragraph" w:styleId="TOC5">
    <w:name w:val="toc 5"/>
    <w:next w:val="Normal"/>
    <w:autoRedefine/>
    <w:rsid w:val="00753EE9"/>
    <w:pPr>
      <w:tabs>
        <w:tab w:val="right" w:leader="dot" w:pos="9639"/>
      </w:tabs>
      <w:spacing w:after="120"/>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character" w:customStyle="1" w:styleId="Heading4Char">
    <w:name w:val="Heading 4 Char"/>
    <w:basedOn w:val="DefaultParagraphFont"/>
    <w:link w:val="Heading4"/>
    <w:rsid w:val="004133B2"/>
    <w:rPr>
      <w:rFonts w:ascii="Arial" w:hAnsi="Arial"/>
      <w:u w:val="single"/>
      <w:lang w:val="fr-FR"/>
    </w:rPr>
  </w:style>
  <w:style w:type="character" w:customStyle="1" w:styleId="Heading5Char">
    <w:name w:val="Heading 5 Char"/>
    <w:link w:val="Heading5"/>
    <w:locked/>
    <w:rsid w:val="004133B2"/>
    <w:rPr>
      <w:rFonts w:ascii="Arial" w:hAnsi="Arial"/>
      <w:i/>
    </w:rPr>
  </w:style>
  <w:style w:type="character" w:customStyle="1" w:styleId="FootnoteTextChar">
    <w:name w:val="Footnote Text Char"/>
    <w:basedOn w:val="DefaultParagraphFont"/>
    <w:link w:val="FootnoteText"/>
    <w:rsid w:val="008422AD"/>
    <w:rPr>
      <w:rFonts w:ascii="Arial" w:hAnsi="Arial"/>
      <w:sz w:val="16"/>
    </w:rPr>
  </w:style>
  <w:style w:type="paragraph" w:styleId="ListParagraph">
    <w:name w:val="List Paragraph"/>
    <w:aliases w:val="auto_list_(i),List Paragraph1"/>
    <w:basedOn w:val="Normal"/>
    <w:link w:val="ListParagraphChar"/>
    <w:uiPriority w:val="34"/>
    <w:qFormat/>
    <w:rsid w:val="008422AD"/>
    <w:pPr>
      <w:ind w:left="720"/>
      <w:contextualSpacing/>
    </w:pPr>
  </w:style>
  <w:style w:type="character" w:customStyle="1" w:styleId="TitleofdocChar">
    <w:name w:val="Title_of_doc Char"/>
    <w:link w:val="Titleofdoc0"/>
    <w:rsid w:val="00B06F4E"/>
    <w:rPr>
      <w:rFonts w:ascii="Arial" w:hAnsi="Arial"/>
      <w:b/>
      <w:caps/>
    </w:rPr>
  </w:style>
  <w:style w:type="table" w:styleId="TableGrid">
    <w:name w:val="Table Grid"/>
    <w:basedOn w:val="TableNormal"/>
    <w:uiPriority w:val="39"/>
    <w:rsid w:val="00B06F4E"/>
    <w:rPr>
      <w:rFonts w:ascii="Calibri" w:eastAsia="Calibri" w:hAnsi="Calibri"/>
      <w:sz w:val="22"/>
      <w:szCs w:val="22"/>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lainTable51">
    <w:name w:val="Plain Table 51"/>
    <w:basedOn w:val="TableNormal"/>
    <w:next w:val="PlainTable52"/>
    <w:uiPriority w:val="45"/>
    <w:rsid w:val="00B06F4E"/>
    <w:rPr>
      <w:rFonts w:ascii="Calibri" w:eastAsia="Calibri" w:hAnsi="Calibri"/>
      <w:sz w:val="22"/>
      <w:szCs w:val="22"/>
      <w:lang w:val="en-GB"/>
    </w:rPr>
    <w:tblPr>
      <w:tblStyleRowBandSize w:val="1"/>
      <w:tblStyleColBandSize w:val="1"/>
    </w:tblPr>
    <w:tblStylePr w:type="firstRow">
      <w:rPr>
        <w:rFonts w:ascii="Calibri Light" w:eastAsia="Times New Roman" w:hAnsi="Calibri Light" w:cs="Times New Roman"/>
        <w:i/>
        <w:iCs/>
        <w:sz w:val="26"/>
      </w:rPr>
      <w:tblPr/>
      <w:tcPr>
        <w:tcBorders>
          <w:bottom w:val="single" w:sz="4" w:space="0" w:color="7F7F7F"/>
        </w:tcBorders>
        <w:shd w:val="clear" w:color="auto" w:fill="FFFFFF"/>
      </w:tcPr>
    </w:tblStylePr>
    <w:tblStylePr w:type="lastRow">
      <w:rPr>
        <w:rFonts w:ascii="Calibri Light" w:eastAsia="Times New Roman" w:hAnsi="Calibri Light" w:cs="Times New Roman"/>
        <w:i/>
        <w:iCs/>
        <w:sz w:val="26"/>
      </w:rPr>
      <w:tblPr/>
      <w:tcPr>
        <w:tcBorders>
          <w:top w:val="single" w:sz="4" w:space="0" w:color="7F7F7F"/>
        </w:tcBorders>
        <w:shd w:val="clear" w:color="auto" w:fill="FFFFFF"/>
      </w:tcPr>
    </w:tblStylePr>
    <w:tblStylePr w:type="firstCol">
      <w:pPr>
        <w:jc w:val="right"/>
      </w:pPr>
      <w:rPr>
        <w:rFonts w:ascii="Calibri Light" w:eastAsia="Times New Roman" w:hAnsi="Calibri Light" w:cs="Times New Roman"/>
        <w:i/>
        <w:iCs/>
        <w:sz w:val="26"/>
      </w:rPr>
      <w:tblPr/>
      <w:tcPr>
        <w:tcBorders>
          <w:right w:val="single" w:sz="4" w:space="0" w:color="7F7F7F"/>
        </w:tcBorders>
        <w:shd w:val="clear" w:color="auto" w:fill="FFFFFF"/>
      </w:tcPr>
    </w:tblStylePr>
    <w:tblStylePr w:type="lastCol">
      <w:rPr>
        <w:rFonts w:ascii="Calibri Light" w:eastAsia="Times New Roman" w:hAnsi="Calibri Light"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PlainTable52">
    <w:name w:val="Plain Table 52"/>
    <w:basedOn w:val="TableNormal"/>
    <w:uiPriority w:val="45"/>
    <w:rsid w:val="00B06F4E"/>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customStyle="1" w:styleId="Heading2Char">
    <w:name w:val="Heading 2 Char"/>
    <w:aliases w:val="VARIETY Char,variety Char"/>
    <w:link w:val="Heading2"/>
    <w:locked/>
    <w:rsid w:val="005C548D"/>
    <w:rPr>
      <w:rFonts w:ascii="Arial" w:hAnsi="Arial"/>
      <w:u w:val="single"/>
      <w:lang w:eastAsia="ja-JP"/>
    </w:rPr>
  </w:style>
  <w:style w:type="character" w:customStyle="1" w:styleId="Heading3Char">
    <w:name w:val="Heading 3 Char"/>
    <w:basedOn w:val="DefaultParagraphFont"/>
    <w:link w:val="Heading3"/>
    <w:rsid w:val="00EB74E5"/>
    <w:rPr>
      <w:rFonts w:ascii="Arial" w:hAnsi="Arial"/>
      <w:i/>
    </w:rPr>
  </w:style>
  <w:style w:type="table" w:customStyle="1" w:styleId="TableGrid1">
    <w:name w:val="Table Grid1"/>
    <w:basedOn w:val="TableNormal"/>
    <w:next w:val="TableGrid"/>
    <w:uiPriority w:val="39"/>
    <w:rsid w:val="00EB74E5"/>
    <w:rPr>
      <w:rFonts w:ascii="Calibri" w:eastAsia="Calibri" w:hAnsi="Calibri"/>
      <w:sz w:val="22"/>
      <w:szCs w:val="22"/>
      <w:lang w:val="de-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rsid w:val="00CA1EF5"/>
    <w:rPr>
      <w:rFonts w:ascii="Arial" w:hAnsi="Arial"/>
      <w:caps/>
    </w:rPr>
  </w:style>
  <w:style w:type="character" w:customStyle="1" w:styleId="ListParagraphChar">
    <w:name w:val="List Paragraph Char"/>
    <w:aliases w:val="auto_list_(i) Char,List Paragraph1 Char"/>
    <w:basedOn w:val="DefaultParagraphFont"/>
    <w:link w:val="ListParagraph"/>
    <w:uiPriority w:val="34"/>
    <w:rsid w:val="00374CE4"/>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6821947">
      <w:bodyDiv w:val="1"/>
      <w:marLeft w:val="0"/>
      <w:marRight w:val="0"/>
      <w:marTop w:val="0"/>
      <w:marBottom w:val="0"/>
      <w:divBdr>
        <w:top w:val="none" w:sz="0" w:space="0" w:color="auto"/>
        <w:left w:val="none" w:sz="0" w:space="0" w:color="auto"/>
        <w:bottom w:val="none" w:sz="0" w:space="0" w:color="auto"/>
        <w:right w:val="none" w:sz="0" w:space="0" w:color="auto"/>
      </w:divBdr>
    </w:div>
    <w:div w:id="163637716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upov.int/export/sites/upov/images/worldmap_de.jpg" TargetMode="External"/><Relationship Id="rId18" Type="http://schemas.openxmlformats.org/officeDocument/2006/relationships/diagramColors" Target="diagrams/colors1.xm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s://www.upov.int/export/sites/upov/members/de/pdf/pub423.pdf" TargetMode="External"/><Relationship Id="rId17" Type="http://schemas.openxmlformats.org/officeDocument/2006/relationships/diagramQuickStyle" Target="diagrams/quickStyle1.xml"/><Relationship Id="rId2" Type="http://schemas.openxmlformats.org/officeDocument/2006/relationships/numbering" Target="numbering.xml"/><Relationship Id="rId16" Type="http://schemas.openxmlformats.org/officeDocument/2006/relationships/diagramLayout" Target="diagrams/layout1.xml"/><Relationship Id="rId20" Type="http://schemas.openxmlformats.org/officeDocument/2006/relationships/hyperlink" Target="http://www.seedtest.org"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oecd.org/tad/seed"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diagramData" Target="diagrams/data1.xml"/><Relationship Id="rId23" Type="http://schemas.openxmlformats.org/officeDocument/2006/relationships/fontTable" Target="fontTable.xml"/><Relationship Id="rId10" Type="http://schemas.openxmlformats.org/officeDocument/2006/relationships/image" Target="media/image2.jpeg"/><Relationship Id="rId19" Type="http://schemas.microsoft.com/office/2007/relationships/diagramDrawing" Target="diagrams/drawing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www.upov.int/about/de/faq.html" TargetMode="External"/><Relationship Id="rId22"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UPOV\Shared\Document\TC\TC58%20(2022)\templates\routing_slip_with_doc_tc_58.dotm" TargetMode="Externa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03952CA9-C758-47E0-8313-93B1F913A98D}" type="doc">
      <dgm:prSet loTypeId="urn:microsoft.com/office/officeart/2005/8/layout/hierarchy3" loCatId="list" qsTypeId="urn:microsoft.com/office/officeart/2005/8/quickstyle/simple1" qsCatId="simple" csTypeId="urn:microsoft.com/office/officeart/2005/8/colors/accent1_2" csCatId="accent1" phldr="1"/>
      <dgm:spPr/>
      <dgm:t>
        <a:bodyPr/>
        <a:lstStyle/>
        <a:p>
          <a:endParaRPr lang="de-CH"/>
        </a:p>
      </dgm:t>
    </dgm:pt>
    <dgm:pt modelId="{D9C435B6-CA06-41AF-87DD-21B230F0E89E}">
      <dgm:prSet phldrT="[Text]" custT="1"/>
      <dgm:spPr>
        <a:xfrm>
          <a:off x="503" y="108863"/>
          <a:ext cx="1833653" cy="373982"/>
        </a:xfrm>
        <a:solidFill>
          <a:srgbClr val="FA7C18"/>
        </a:solidFill>
        <a:ln w="12700" cap="flat" cmpd="sng" algn="ctr">
          <a:solidFill>
            <a:sysClr val="window" lastClr="FFFFFF">
              <a:hueOff val="0"/>
              <a:satOff val="0"/>
              <a:lumOff val="0"/>
              <a:alphaOff val="0"/>
            </a:sysClr>
          </a:solidFill>
          <a:prstDash val="solid"/>
          <a:miter lim="800000"/>
        </a:ln>
        <a:effectLst/>
      </dgm:spPr>
      <dgm:t>
        <a:bodyPr/>
        <a:lstStyle/>
        <a:p>
          <a:pPr algn="ctr"/>
          <a:r>
            <a:rPr lang="de-CH" sz="1000">
              <a:solidFill>
                <a:sysClr val="window" lastClr="FFFFFF"/>
              </a:solidFill>
              <a:latin typeface="Arial" panose="020B0604020202020204" pitchFamily="34" charset="0"/>
              <a:ea typeface="+mn-ea"/>
              <a:cs typeface="Arial" panose="020B0604020202020204" pitchFamily="34" charset="0"/>
            </a:rPr>
            <a:t>Oranges </a:t>
          </a:r>
          <a:r>
            <a:rPr lang="de-DE" sz="1000">
              <a:solidFill>
                <a:sysClr val="window" lastClr="FFFFFF"/>
              </a:solidFill>
              <a:latin typeface="Arial" panose="020B0604020202020204" pitchFamily="34" charset="0"/>
              <a:ea typeface="+mn-ea"/>
              <a:cs typeface="Arial" panose="020B0604020202020204" pitchFamily="34" charset="0"/>
            </a:rPr>
            <a:t>Internationales Saatgutpartie-Zertifikat</a:t>
          </a:r>
          <a:endParaRPr lang="de-CH" sz="1000">
            <a:solidFill>
              <a:sysClr val="window" lastClr="FFFFFF"/>
            </a:solidFill>
            <a:latin typeface="Arial" panose="020B0604020202020204" pitchFamily="34" charset="0"/>
            <a:ea typeface="+mn-ea"/>
            <a:cs typeface="Arial" panose="020B0604020202020204" pitchFamily="34" charset="0"/>
          </a:endParaRPr>
        </a:p>
      </dgm:t>
    </dgm:pt>
    <dgm:pt modelId="{60F0F445-5A1F-466E-A879-552C6E220B91}" type="parTrans" cxnId="{BBD38531-A795-4472-A241-14040624A61C}">
      <dgm:prSet/>
      <dgm:spPr/>
      <dgm:t>
        <a:bodyPr/>
        <a:lstStyle/>
        <a:p>
          <a:endParaRPr lang="de-CH"/>
        </a:p>
      </dgm:t>
    </dgm:pt>
    <dgm:pt modelId="{F434DDCD-BE05-4BB0-B100-B26C93922D6B}" type="sibTrans" cxnId="{BBD38531-A795-4472-A241-14040624A61C}">
      <dgm:prSet/>
      <dgm:spPr/>
      <dgm:t>
        <a:bodyPr/>
        <a:lstStyle/>
        <a:p>
          <a:endParaRPr lang="de-CH"/>
        </a:p>
      </dgm:t>
    </dgm:pt>
    <dgm:pt modelId="{4E0612E4-7DE3-44E1-8880-3956F30B1785}">
      <dgm:prSet phldrT="[Text]"/>
      <dgm:spPr>
        <a:xfrm>
          <a:off x="367234" y="712052"/>
          <a:ext cx="1466922" cy="916826"/>
        </a:xfrm>
        <a:solidFill>
          <a:sysClr val="window" lastClr="FFFFFF">
            <a:alpha val="90000"/>
            <a:hueOff val="0"/>
            <a:satOff val="0"/>
            <a:lumOff val="0"/>
            <a:alphaOff val="0"/>
          </a:sysClr>
        </a:solidFill>
        <a:ln w="12700" cap="flat" cmpd="sng" algn="ctr">
          <a:solidFill>
            <a:srgbClr val="FA7C18"/>
          </a:solidFill>
          <a:prstDash val="solid"/>
          <a:miter lim="800000"/>
        </a:ln>
        <a:effectLst/>
      </dgm:spPr>
      <dgm:t>
        <a:bodyPr/>
        <a:lstStyle/>
        <a:p>
          <a:r>
            <a:rPr lang="de-DE">
              <a:solidFill>
                <a:sysClr val="windowText" lastClr="000000">
                  <a:hueOff val="0"/>
                  <a:satOff val="0"/>
                  <a:lumOff val="0"/>
                  <a:alphaOff val="0"/>
                </a:sysClr>
              </a:solidFill>
              <a:latin typeface="Arial" panose="020B0604020202020204" pitchFamily="34" charset="0"/>
              <a:ea typeface="+mn-ea"/>
              <a:cs typeface="Arial" panose="020B0604020202020204" pitchFamily="34" charset="0"/>
            </a:rPr>
            <a:t>wird ausgestellt, wenn sowohl die Beprobung aus der Partie als auch die Prüfung der Probe unter der Verantwortung eines ISTA-akkreditierten Saatgutprüflabors durchgeführt werden</a:t>
          </a:r>
          <a:r>
            <a:rPr lang="de-CH">
              <a:solidFill>
                <a:sysClr val="windowText" lastClr="000000">
                  <a:hueOff val="0"/>
                  <a:satOff val="0"/>
                  <a:lumOff val="0"/>
                  <a:alphaOff val="0"/>
                </a:sysClr>
              </a:solidFill>
              <a:latin typeface="Arial" panose="020B0604020202020204" pitchFamily="34" charset="0"/>
              <a:ea typeface="+mn-ea"/>
              <a:cs typeface="Arial" panose="020B0604020202020204" pitchFamily="34" charset="0"/>
            </a:rPr>
            <a:t>.</a:t>
          </a:r>
        </a:p>
      </dgm:t>
    </dgm:pt>
    <dgm:pt modelId="{076A0B1D-E446-4335-AE64-FDABA5C77E38}" type="parTrans" cxnId="{6CFC5D1C-D684-46B9-97C6-67593215A77D}">
      <dgm:prSet>
        <dgm:style>
          <a:lnRef idx="1">
            <a:schemeClr val="accent2"/>
          </a:lnRef>
          <a:fillRef idx="0">
            <a:schemeClr val="accent2"/>
          </a:fillRef>
          <a:effectRef idx="0">
            <a:schemeClr val="accent2"/>
          </a:effectRef>
          <a:fontRef idx="minor">
            <a:schemeClr val="tx1"/>
          </a:fontRef>
        </dgm:style>
      </dgm:prSet>
      <dgm:spPr>
        <a:xfrm>
          <a:off x="183869" y="482845"/>
          <a:ext cx="183365" cy="687619"/>
        </a:xfrm>
        <a:noFill/>
        <a:ln w="12700" cap="flat" cmpd="sng" algn="ctr">
          <a:solidFill>
            <a:srgbClr val="FA7C18"/>
          </a:solidFill>
          <a:prstDash val="solid"/>
          <a:miter lim="800000"/>
        </a:ln>
        <a:effectLst/>
      </dgm:spPr>
      <dgm:t>
        <a:bodyPr/>
        <a:lstStyle/>
        <a:p>
          <a:endParaRPr lang="de-CH"/>
        </a:p>
      </dgm:t>
    </dgm:pt>
    <dgm:pt modelId="{E0BB8903-8419-4644-B34B-FDAF75049E5F}" type="sibTrans" cxnId="{6CFC5D1C-D684-46B9-97C6-67593215A77D}">
      <dgm:prSet/>
      <dgm:spPr/>
      <dgm:t>
        <a:bodyPr/>
        <a:lstStyle/>
        <a:p>
          <a:endParaRPr lang="de-CH"/>
        </a:p>
      </dgm:t>
    </dgm:pt>
    <dgm:pt modelId="{955721B5-58CA-4695-8D31-B7D79B661D4C}">
      <dgm:prSet phldrT="[Text]" custT="1"/>
      <dgm:spPr>
        <a:xfrm>
          <a:off x="2292570" y="108863"/>
          <a:ext cx="1833653" cy="377576"/>
        </a:xfrm>
        <a:solidFill>
          <a:srgbClr val="5B9BD5"/>
        </a:solidFill>
        <a:ln w="12700" cap="flat" cmpd="sng" algn="ctr">
          <a:solidFill>
            <a:sysClr val="window" lastClr="FFFFFF">
              <a:hueOff val="0"/>
              <a:satOff val="0"/>
              <a:lumOff val="0"/>
              <a:alphaOff val="0"/>
            </a:sysClr>
          </a:solidFill>
          <a:prstDash val="solid"/>
          <a:miter lim="800000"/>
        </a:ln>
        <a:effectLst/>
      </dgm:spPr>
      <dgm:t>
        <a:bodyPr/>
        <a:lstStyle/>
        <a:p>
          <a:pPr algn="ctr"/>
          <a:r>
            <a:rPr lang="de-DE" sz="1000">
              <a:solidFill>
                <a:sysClr val="window" lastClr="FFFFFF"/>
              </a:solidFill>
              <a:latin typeface="Arial" panose="020B0604020202020204" pitchFamily="34" charset="0"/>
              <a:ea typeface="+mn-ea"/>
              <a:cs typeface="Arial" panose="020B0604020202020204" pitchFamily="34" charset="0"/>
            </a:rPr>
            <a:t>Blaues Internationales Saatgutbeprobungs-Zertifikat</a:t>
          </a:r>
          <a:endParaRPr lang="de-CH" sz="1000">
            <a:solidFill>
              <a:sysClr val="window" lastClr="FFFFFF"/>
            </a:solidFill>
            <a:latin typeface="Arial" panose="020B0604020202020204" pitchFamily="34" charset="0"/>
            <a:ea typeface="+mn-ea"/>
            <a:cs typeface="Arial" panose="020B0604020202020204" pitchFamily="34" charset="0"/>
          </a:endParaRPr>
        </a:p>
      </dgm:t>
    </dgm:pt>
    <dgm:pt modelId="{A7F5E5F9-EC3D-4825-A194-DBFAAC55B49C}" type="parTrans" cxnId="{31C28D41-F13C-4891-9DEE-2EB2CED64D01}">
      <dgm:prSet/>
      <dgm:spPr/>
      <dgm:t>
        <a:bodyPr/>
        <a:lstStyle/>
        <a:p>
          <a:endParaRPr lang="de-CH"/>
        </a:p>
      </dgm:t>
    </dgm:pt>
    <dgm:pt modelId="{321BE7A8-357B-4AC9-A61B-9966AF862E5F}" type="sibTrans" cxnId="{31C28D41-F13C-4891-9DEE-2EB2CED64D01}">
      <dgm:prSet/>
      <dgm:spPr/>
      <dgm:t>
        <a:bodyPr/>
        <a:lstStyle/>
        <a:p>
          <a:endParaRPr lang="de-CH"/>
        </a:p>
      </dgm:t>
    </dgm:pt>
    <dgm:pt modelId="{00850504-3439-4058-A245-665152206831}">
      <dgm:prSet phldrT="[Text]"/>
      <dgm:spPr>
        <a:xfrm>
          <a:off x="2659300" y="715646"/>
          <a:ext cx="1466922" cy="916826"/>
        </a:xfrm>
        <a:solidFill>
          <a:sysClr val="window" lastClr="FFFFFF">
            <a:alpha val="90000"/>
            <a:hueOff val="0"/>
            <a:satOff val="0"/>
            <a:lumOff val="0"/>
            <a:alphaOff val="0"/>
          </a:sysClr>
        </a:solidFill>
        <a:ln w="12700" cap="flat" cmpd="sng" algn="ctr">
          <a:solidFill>
            <a:srgbClr val="5B9BD5"/>
          </a:solidFill>
          <a:prstDash val="solid"/>
          <a:miter lim="800000"/>
        </a:ln>
        <a:effectLst/>
      </dgm:spPr>
      <dgm:t>
        <a:bodyPr/>
        <a:lstStyle/>
        <a:p>
          <a:r>
            <a:rPr lang="de-DE">
              <a:solidFill>
                <a:sysClr val="windowText" lastClr="000000">
                  <a:hueOff val="0"/>
                  <a:satOff val="0"/>
                  <a:lumOff val="0"/>
                  <a:alphaOff val="0"/>
                </a:sysClr>
              </a:solidFill>
              <a:latin typeface="Arial" panose="020B0604020202020204" pitchFamily="34" charset="0"/>
              <a:ea typeface="+mn-ea"/>
              <a:cs typeface="Arial" panose="020B0604020202020204" pitchFamily="34" charset="0"/>
            </a:rPr>
            <a:t>wird ausgestellt, wenn die Beprobung aus der Partie nicht unter der Verantwortung eines ISTA-akkreditierten Labors erfolgt. Daher gelten die von dem ISTA-akkreditierten Labor erzielten Ergebnisse nur für die Probe und nicht für die Saatgutprobe, der die Probe entnommen wurde</a:t>
          </a:r>
          <a:r>
            <a:rPr lang="de-CH">
              <a:solidFill>
                <a:sysClr val="windowText" lastClr="000000">
                  <a:hueOff val="0"/>
                  <a:satOff val="0"/>
                  <a:lumOff val="0"/>
                  <a:alphaOff val="0"/>
                </a:sysClr>
              </a:solidFill>
              <a:latin typeface="Arial" panose="020B0604020202020204" pitchFamily="34" charset="0"/>
              <a:ea typeface="+mn-ea"/>
              <a:cs typeface="Arial" panose="020B0604020202020204" pitchFamily="34" charset="0"/>
            </a:rPr>
            <a:t>.</a:t>
          </a:r>
        </a:p>
      </dgm:t>
    </dgm:pt>
    <dgm:pt modelId="{A54E6803-71BC-4123-9179-1A77314244FC}" type="parTrans" cxnId="{A4FD51F1-B7FE-4139-B878-784FDD951FC9}">
      <dgm:prSet/>
      <dgm:spPr>
        <a:xfrm>
          <a:off x="2475935" y="486439"/>
          <a:ext cx="183365" cy="687619"/>
        </a:xfrm>
        <a:noFill/>
        <a:ln w="12700" cap="flat" cmpd="sng" algn="ctr">
          <a:solidFill>
            <a:srgbClr val="5B9BD5"/>
          </a:solidFill>
          <a:prstDash val="solid"/>
          <a:miter lim="800000"/>
        </a:ln>
        <a:effectLst/>
      </dgm:spPr>
      <dgm:t>
        <a:bodyPr/>
        <a:lstStyle/>
        <a:p>
          <a:endParaRPr lang="de-CH"/>
        </a:p>
      </dgm:t>
    </dgm:pt>
    <dgm:pt modelId="{CDD9A283-4ACE-4179-9AC9-377E2482305B}" type="sibTrans" cxnId="{A4FD51F1-B7FE-4139-B878-784FDD951FC9}">
      <dgm:prSet/>
      <dgm:spPr/>
      <dgm:t>
        <a:bodyPr/>
        <a:lstStyle/>
        <a:p>
          <a:endParaRPr lang="de-CH"/>
        </a:p>
      </dgm:t>
    </dgm:pt>
    <dgm:pt modelId="{310A1E43-F36E-4A87-9425-43095855FC1C}" type="pres">
      <dgm:prSet presAssocID="{03952CA9-C758-47E0-8313-93B1F913A98D}" presName="diagram" presStyleCnt="0">
        <dgm:presLayoutVars>
          <dgm:chPref val="1"/>
          <dgm:dir/>
          <dgm:animOne val="branch"/>
          <dgm:animLvl val="lvl"/>
          <dgm:resizeHandles/>
        </dgm:presLayoutVars>
      </dgm:prSet>
      <dgm:spPr/>
      <dgm:t>
        <a:bodyPr/>
        <a:lstStyle/>
        <a:p>
          <a:endParaRPr lang="de-DE"/>
        </a:p>
      </dgm:t>
    </dgm:pt>
    <dgm:pt modelId="{EE8568D5-56BE-4C5E-B521-55C2960B5C7E}" type="pres">
      <dgm:prSet presAssocID="{D9C435B6-CA06-41AF-87DD-21B230F0E89E}" presName="root" presStyleCnt="0"/>
      <dgm:spPr/>
    </dgm:pt>
    <dgm:pt modelId="{42D807D9-08C7-442A-9E44-4F0BC0A41562}" type="pres">
      <dgm:prSet presAssocID="{D9C435B6-CA06-41AF-87DD-21B230F0E89E}" presName="rootComposite" presStyleCnt="0"/>
      <dgm:spPr/>
    </dgm:pt>
    <dgm:pt modelId="{48E9BA03-7739-4D6F-A1C0-DF79115C6FDE}" type="pres">
      <dgm:prSet presAssocID="{D9C435B6-CA06-41AF-87DD-21B230F0E89E}" presName="rootText" presStyleLbl="node1" presStyleIdx="0" presStyleCnt="2" custScaleY="40791"/>
      <dgm:spPr>
        <a:prstGeom prst="roundRect">
          <a:avLst>
            <a:gd name="adj" fmla="val 10000"/>
          </a:avLst>
        </a:prstGeom>
      </dgm:spPr>
      <dgm:t>
        <a:bodyPr/>
        <a:lstStyle/>
        <a:p>
          <a:endParaRPr lang="de-DE"/>
        </a:p>
      </dgm:t>
    </dgm:pt>
    <dgm:pt modelId="{283657B9-F591-4BA6-A67D-314150D7B551}" type="pres">
      <dgm:prSet presAssocID="{D9C435B6-CA06-41AF-87DD-21B230F0E89E}" presName="rootConnector" presStyleLbl="node1" presStyleIdx="0" presStyleCnt="2"/>
      <dgm:spPr/>
      <dgm:t>
        <a:bodyPr/>
        <a:lstStyle/>
        <a:p>
          <a:endParaRPr lang="de-DE"/>
        </a:p>
      </dgm:t>
    </dgm:pt>
    <dgm:pt modelId="{998D10DC-E806-42AE-A6B6-D17C71BCE90D}" type="pres">
      <dgm:prSet presAssocID="{D9C435B6-CA06-41AF-87DD-21B230F0E89E}" presName="childShape" presStyleCnt="0"/>
      <dgm:spPr/>
    </dgm:pt>
    <dgm:pt modelId="{9716A20C-CD2C-4073-8675-311BA46592F5}" type="pres">
      <dgm:prSet presAssocID="{076A0B1D-E446-4335-AE64-FDABA5C77E38}" presName="Name13" presStyleLbl="parChTrans1D2" presStyleIdx="0" presStyleCnt="2"/>
      <dgm:spPr>
        <a:custGeom>
          <a:avLst/>
          <a:gdLst/>
          <a:ahLst/>
          <a:cxnLst/>
          <a:rect l="0" t="0" r="0" b="0"/>
          <a:pathLst>
            <a:path>
              <a:moveTo>
                <a:pt x="0" y="0"/>
              </a:moveTo>
              <a:lnTo>
                <a:pt x="0" y="687619"/>
              </a:lnTo>
              <a:lnTo>
                <a:pt x="183365" y="687619"/>
              </a:lnTo>
            </a:path>
          </a:pathLst>
        </a:custGeom>
      </dgm:spPr>
      <dgm:t>
        <a:bodyPr/>
        <a:lstStyle/>
        <a:p>
          <a:endParaRPr lang="de-DE"/>
        </a:p>
      </dgm:t>
    </dgm:pt>
    <dgm:pt modelId="{7BE9336B-A08B-4FD0-87A7-703A2A8906C8}" type="pres">
      <dgm:prSet presAssocID="{4E0612E4-7DE3-44E1-8880-3956F30B1785}" presName="childText" presStyleLbl="bgAcc1" presStyleIdx="0" presStyleCnt="2">
        <dgm:presLayoutVars>
          <dgm:bulletEnabled val="1"/>
        </dgm:presLayoutVars>
      </dgm:prSet>
      <dgm:spPr>
        <a:prstGeom prst="roundRect">
          <a:avLst>
            <a:gd name="adj" fmla="val 10000"/>
          </a:avLst>
        </a:prstGeom>
      </dgm:spPr>
      <dgm:t>
        <a:bodyPr/>
        <a:lstStyle/>
        <a:p>
          <a:endParaRPr lang="de-DE"/>
        </a:p>
      </dgm:t>
    </dgm:pt>
    <dgm:pt modelId="{9AD994E1-EF94-4A0C-B097-38F4E436903B}" type="pres">
      <dgm:prSet presAssocID="{955721B5-58CA-4695-8D31-B7D79B661D4C}" presName="root" presStyleCnt="0"/>
      <dgm:spPr/>
    </dgm:pt>
    <dgm:pt modelId="{81FCE613-3A14-46D7-8271-F171F93F7E79}" type="pres">
      <dgm:prSet presAssocID="{955721B5-58CA-4695-8D31-B7D79B661D4C}" presName="rootComposite" presStyleCnt="0"/>
      <dgm:spPr/>
    </dgm:pt>
    <dgm:pt modelId="{9E23BC41-006F-43C3-B525-B187D23D71C7}" type="pres">
      <dgm:prSet presAssocID="{955721B5-58CA-4695-8D31-B7D79B661D4C}" presName="rootText" presStyleLbl="node1" presStyleIdx="1" presStyleCnt="2" custScaleY="41183"/>
      <dgm:spPr>
        <a:prstGeom prst="roundRect">
          <a:avLst>
            <a:gd name="adj" fmla="val 10000"/>
          </a:avLst>
        </a:prstGeom>
      </dgm:spPr>
      <dgm:t>
        <a:bodyPr/>
        <a:lstStyle/>
        <a:p>
          <a:endParaRPr lang="de-DE"/>
        </a:p>
      </dgm:t>
    </dgm:pt>
    <dgm:pt modelId="{FBCDD0BF-8055-49CF-8D9E-6C440A9D31CC}" type="pres">
      <dgm:prSet presAssocID="{955721B5-58CA-4695-8D31-B7D79B661D4C}" presName="rootConnector" presStyleLbl="node1" presStyleIdx="1" presStyleCnt="2"/>
      <dgm:spPr/>
      <dgm:t>
        <a:bodyPr/>
        <a:lstStyle/>
        <a:p>
          <a:endParaRPr lang="de-DE"/>
        </a:p>
      </dgm:t>
    </dgm:pt>
    <dgm:pt modelId="{0D3BC009-24AA-448B-8AAA-7D23793AB5C2}" type="pres">
      <dgm:prSet presAssocID="{955721B5-58CA-4695-8D31-B7D79B661D4C}" presName="childShape" presStyleCnt="0"/>
      <dgm:spPr/>
    </dgm:pt>
    <dgm:pt modelId="{1967C7AE-0426-4D3C-90E0-E227DFA0551B}" type="pres">
      <dgm:prSet presAssocID="{A54E6803-71BC-4123-9179-1A77314244FC}" presName="Name13" presStyleLbl="parChTrans1D2" presStyleIdx="1" presStyleCnt="2"/>
      <dgm:spPr>
        <a:custGeom>
          <a:avLst/>
          <a:gdLst/>
          <a:ahLst/>
          <a:cxnLst/>
          <a:rect l="0" t="0" r="0" b="0"/>
          <a:pathLst>
            <a:path>
              <a:moveTo>
                <a:pt x="0" y="0"/>
              </a:moveTo>
              <a:lnTo>
                <a:pt x="0" y="687619"/>
              </a:lnTo>
              <a:lnTo>
                <a:pt x="183365" y="687619"/>
              </a:lnTo>
            </a:path>
          </a:pathLst>
        </a:custGeom>
      </dgm:spPr>
      <dgm:t>
        <a:bodyPr/>
        <a:lstStyle/>
        <a:p>
          <a:endParaRPr lang="de-DE"/>
        </a:p>
      </dgm:t>
    </dgm:pt>
    <dgm:pt modelId="{324828C7-EE9E-44F7-B1DA-9F9F3CE0E904}" type="pres">
      <dgm:prSet presAssocID="{00850504-3439-4058-A245-665152206831}" presName="childText" presStyleLbl="bgAcc1" presStyleIdx="1" presStyleCnt="2">
        <dgm:presLayoutVars>
          <dgm:bulletEnabled val="1"/>
        </dgm:presLayoutVars>
      </dgm:prSet>
      <dgm:spPr>
        <a:prstGeom prst="roundRect">
          <a:avLst>
            <a:gd name="adj" fmla="val 10000"/>
          </a:avLst>
        </a:prstGeom>
      </dgm:spPr>
      <dgm:t>
        <a:bodyPr/>
        <a:lstStyle/>
        <a:p>
          <a:endParaRPr lang="de-DE"/>
        </a:p>
      </dgm:t>
    </dgm:pt>
  </dgm:ptLst>
  <dgm:cxnLst>
    <dgm:cxn modelId="{F499D7B8-E058-48AE-ACD3-99A7A371D517}" type="presOf" srcId="{00850504-3439-4058-A245-665152206831}" destId="{324828C7-EE9E-44F7-B1DA-9F9F3CE0E904}" srcOrd="0" destOrd="0" presId="urn:microsoft.com/office/officeart/2005/8/layout/hierarchy3"/>
    <dgm:cxn modelId="{A2DFA6E2-0461-4CE2-8646-E2792C626DAA}" type="presOf" srcId="{03952CA9-C758-47E0-8313-93B1F913A98D}" destId="{310A1E43-F36E-4A87-9425-43095855FC1C}" srcOrd="0" destOrd="0" presId="urn:microsoft.com/office/officeart/2005/8/layout/hierarchy3"/>
    <dgm:cxn modelId="{147DDB4E-DA7D-42A8-9FC9-4463AF1D77A1}" type="presOf" srcId="{D9C435B6-CA06-41AF-87DD-21B230F0E89E}" destId="{283657B9-F591-4BA6-A67D-314150D7B551}" srcOrd="1" destOrd="0" presId="urn:microsoft.com/office/officeart/2005/8/layout/hierarchy3"/>
    <dgm:cxn modelId="{CEF06F4A-00CE-4598-8C72-9620BDE5C56C}" type="presOf" srcId="{955721B5-58CA-4695-8D31-B7D79B661D4C}" destId="{9E23BC41-006F-43C3-B525-B187D23D71C7}" srcOrd="0" destOrd="0" presId="urn:microsoft.com/office/officeart/2005/8/layout/hierarchy3"/>
    <dgm:cxn modelId="{6CFC5D1C-D684-46B9-97C6-67593215A77D}" srcId="{D9C435B6-CA06-41AF-87DD-21B230F0E89E}" destId="{4E0612E4-7DE3-44E1-8880-3956F30B1785}" srcOrd="0" destOrd="0" parTransId="{076A0B1D-E446-4335-AE64-FDABA5C77E38}" sibTransId="{E0BB8903-8419-4644-B34B-FDAF75049E5F}"/>
    <dgm:cxn modelId="{3ACA96A0-41CD-4B56-ABF6-CAEB1A03D6C0}" type="presOf" srcId="{955721B5-58CA-4695-8D31-B7D79B661D4C}" destId="{FBCDD0BF-8055-49CF-8D9E-6C440A9D31CC}" srcOrd="1" destOrd="0" presId="urn:microsoft.com/office/officeart/2005/8/layout/hierarchy3"/>
    <dgm:cxn modelId="{EDE2DE5E-43B0-466D-8D5A-089820577A56}" type="presOf" srcId="{A54E6803-71BC-4123-9179-1A77314244FC}" destId="{1967C7AE-0426-4D3C-90E0-E227DFA0551B}" srcOrd="0" destOrd="0" presId="urn:microsoft.com/office/officeart/2005/8/layout/hierarchy3"/>
    <dgm:cxn modelId="{BBD38531-A795-4472-A241-14040624A61C}" srcId="{03952CA9-C758-47E0-8313-93B1F913A98D}" destId="{D9C435B6-CA06-41AF-87DD-21B230F0E89E}" srcOrd="0" destOrd="0" parTransId="{60F0F445-5A1F-466E-A879-552C6E220B91}" sibTransId="{F434DDCD-BE05-4BB0-B100-B26C93922D6B}"/>
    <dgm:cxn modelId="{3E771C18-6F61-449B-BE80-C9ECE8629E90}" type="presOf" srcId="{4E0612E4-7DE3-44E1-8880-3956F30B1785}" destId="{7BE9336B-A08B-4FD0-87A7-703A2A8906C8}" srcOrd="0" destOrd="0" presId="urn:microsoft.com/office/officeart/2005/8/layout/hierarchy3"/>
    <dgm:cxn modelId="{A4FD51F1-B7FE-4139-B878-784FDD951FC9}" srcId="{955721B5-58CA-4695-8D31-B7D79B661D4C}" destId="{00850504-3439-4058-A245-665152206831}" srcOrd="0" destOrd="0" parTransId="{A54E6803-71BC-4123-9179-1A77314244FC}" sibTransId="{CDD9A283-4ACE-4179-9AC9-377E2482305B}"/>
    <dgm:cxn modelId="{E815A1EF-ECA6-422C-A826-6A9843CF8FEF}" type="presOf" srcId="{D9C435B6-CA06-41AF-87DD-21B230F0E89E}" destId="{48E9BA03-7739-4D6F-A1C0-DF79115C6FDE}" srcOrd="0" destOrd="0" presId="urn:microsoft.com/office/officeart/2005/8/layout/hierarchy3"/>
    <dgm:cxn modelId="{31C28D41-F13C-4891-9DEE-2EB2CED64D01}" srcId="{03952CA9-C758-47E0-8313-93B1F913A98D}" destId="{955721B5-58CA-4695-8D31-B7D79B661D4C}" srcOrd="1" destOrd="0" parTransId="{A7F5E5F9-EC3D-4825-A194-DBFAAC55B49C}" sibTransId="{321BE7A8-357B-4AC9-A61B-9966AF862E5F}"/>
    <dgm:cxn modelId="{96DC0216-0786-4E7B-8930-1D7AE15974AF}" type="presOf" srcId="{076A0B1D-E446-4335-AE64-FDABA5C77E38}" destId="{9716A20C-CD2C-4073-8675-311BA46592F5}" srcOrd="0" destOrd="0" presId="urn:microsoft.com/office/officeart/2005/8/layout/hierarchy3"/>
    <dgm:cxn modelId="{D2B091ED-DB5C-4AE0-A6C7-F541B552DF4C}" type="presParOf" srcId="{310A1E43-F36E-4A87-9425-43095855FC1C}" destId="{EE8568D5-56BE-4C5E-B521-55C2960B5C7E}" srcOrd="0" destOrd="0" presId="urn:microsoft.com/office/officeart/2005/8/layout/hierarchy3"/>
    <dgm:cxn modelId="{60860B63-4E48-4D41-9B01-E47E0339D8CA}" type="presParOf" srcId="{EE8568D5-56BE-4C5E-B521-55C2960B5C7E}" destId="{42D807D9-08C7-442A-9E44-4F0BC0A41562}" srcOrd="0" destOrd="0" presId="urn:microsoft.com/office/officeart/2005/8/layout/hierarchy3"/>
    <dgm:cxn modelId="{B7476249-4C92-4D9C-91F2-5CE36E45C444}" type="presParOf" srcId="{42D807D9-08C7-442A-9E44-4F0BC0A41562}" destId="{48E9BA03-7739-4D6F-A1C0-DF79115C6FDE}" srcOrd="0" destOrd="0" presId="urn:microsoft.com/office/officeart/2005/8/layout/hierarchy3"/>
    <dgm:cxn modelId="{EBE02AC7-48D2-458C-BCDB-7671E7459C01}" type="presParOf" srcId="{42D807D9-08C7-442A-9E44-4F0BC0A41562}" destId="{283657B9-F591-4BA6-A67D-314150D7B551}" srcOrd="1" destOrd="0" presId="urn:microsoft.com/office/officeart/2005/8/layout/hierarchy3"/>
    <dgm:cxn modelId="{732912AA-7503-4160-8D43-871D1E27AA4A}" type="presParOf" srcId="{EE8568D5-56BE-4C5E-B521-55C2960B5C7E}" destId="{998D10DC-E806-42AE-A6B6-D17C71BCE90D}" srcOrd="1" destOrd="0" presId="urn:microsoft.com/office/officeart/2005/8/layout/hierarchy3"/>
    <dgm:cxn modelId="{0B3AE641-CBDF-4265-96A6-46FD6532ED3A}" type="presParOf" srcId="{998D10DC-E806-42AE-A6B6-D17C71BCE90D}" destId="{9716A20C-CD2C-4073-8675-311BA46592F5}" srcOrd="0" destOrd="0" presId="urn:microsoft.com/office/officeart/2005/8/layout/hierarchy3"/>
    <dgm:cxn modelId="{DC9D5FCA-A02B-46F4-A624-59C3899CF9C0}" type="presParOf" srcId="{998D10DC-E806-42AE-A6B6-D17C71BCE90D}" destId="{7BE9336B-A08B-4FD0-87A7-703A2A8906C8}" srcOrd="1" destOrd="0" presId="urn:microsoft.com/office/officeart/2005/8/layout/hierarchy3"/>
    <dgm:cxn modelId="{489893C0-C8ED-466B-9537-8BC91A598AB0}" type="presParOf" srcId="{310A1E43-F36E-4A87-9425-43095855FC1C}" destId="{9AD994E1-EF94-4A0C-B097-38F4E436903B}" srcOrd="1" destOrd="0" presId="urn:microsoft.com/office/officeart/2005/8/layout/hierarchy3"/>
    <dgm:cxn modelId="{324EC8C6-6B17-4381-9F98-F20B983C8D73}" type="presParOf" srcId="{9AD994E1-EF94-4A0C-B097-38F4E436903B}" destId="{81FCE613-3A14-46D7-8271-F171F93F7E79}" srcOrd="0" destOrd="0" presId="urn:microsoft.com/office/officeart/2005/8/layout/hierarchy3"/>
    <dgm:cxn modelId="{A3DE14E6-F20F-4CB1-B097-D79666219E5F}" type="presParOf" srcId="{81FCE613-3A14-46D7-8271-F171F93F7E79}" destId="{9E23BC41-006F-43C3-B525-B187D23D71C7}" srcOrd="0" destOrd="0" presId="urn:microsoft.com/office/officeart/2005/8/layout/hierarchy3"/>
    <dgm:cxn modelId="{DA2958BE-90E3-4FA7-98F9-4D80504F4412}" type="presParOf" srcId="{81FCE613-3A14-46D7-8271-F171F93F7E79}" destId="{FBCDD0BF-8055-49CF-8D9E-6C440A9D31CC}" srcOrd="1" destOrd="0" presId="urn:microsoft.com/office/officeart/2005/8/layout/hierarchy3"/>
    <dgm:cxn modelId="{8A3D7C1B-3429-42D8-ACD4-4E0463471278}" type="presParOf" srcId="{9AD994E1-EF94-4A0C-B097-38F4E436903B}" destId="{0D3BC009-24AA-448B-8AAA-7D23793AB5C2}" srcOrd="1" destOrd="0" presId="urn:microsoft.com/office/officeart/2005/8/layout/hierarchy3"/>
    <dgm:cxn modelId="{0762D519-A272-47D1-86D3-3C822231CAA7}" type="presParOf" srcId="{0D3BC009-24AA-448B-8AAA-7D23793AB5C2}" destId="{1967C7AE-0426-4D3C-90E0-E227DFA0551B}" srcOrd="0" destOrd="0" presId="urn:microsoft.com/office/officeart/2005/8/layout/hierarchy3"/>
    <dgm:cxn modelId="{7A60B675-00DA-4350-BBBC-F9FDFF94620E}" type="presParOf" srcId="{0D3BC009-24AA-448B-8AAA-7D23793AB5C2}" destId="{324828C7-EE9E-44F7-B1DA-9F9F3CE0E904}" srcOrd="1" destOrd="0" presId="urn:microsoft.com/office/officeart/2005/8/layout/hierarchy3"/>
  </dgm:cxnLst>
  <dgm:bg/>
  <dgm:whole/>
  <dgm:extLst>
    <a:ext uri="http://schemas.microsoft.com/office/drawing/2008/diagram">
      <dsp:dataModelExt xmlns:dsp="http://schemas.microsoft.com/office/drawing/2008/diagram" relId="rId19"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48E9BA03-7739-4D6F-A1C0-DF79115C6FDE}">
      <dsp:nvSpPr>
        <dsp:cNvPr id="0" name=""/>
        <dsp:cNvSpPr/>
      </dsp:nvSpPr>
      <dsp:spPr>
        <a:xfrm>
          <a:off x="503" y="108863"/>
          <a:ext cx="1833653" cy="373982"/>
        </a:xfrm>
        <a:prstGeom prst="roundRect">
          <a:avLst>
            <a:gd name="adj" fmla="val 10000"/>
          </a:avLst>
        </a:prstGeom>
        <a:solidFill>
          <a:srgbClr val="FA7C18"/>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9050" tIns="12700" rIns="19050" bIns="12700" numCol="1" spcCol="1270" anchor="ctr" anchorCtr="0">
          <a:noAutofit/>
        </a:bodyPr>
        <a:lstStyle/>
        <a:p>
          <a:pPr lvl="0" algn="ctr" defTabSz="444500">
            <a:lnSpc>
              <a:spcPct val="90000"/>
            </a:lnSpc>
            <a:spcBef>
              <a:spcPct val="0"/>
            </a:spcBef>
            <a:spcAft>
              <a:spcPct val="35000"/>
            </a:spcAft>
          </a:pPr>
          <a:r>
            <a:rPr lang="de-CH" sz="1000" kern="1200">
              <a:solidFill>
                <a:sysClr val="window" lastClr="FFFFFF"/>
              </a:solidFill>
              <a:latin typeface="Arial" panose="020B0604020202020204" pitchFamily="34" charset="0"/>
              <a:ea typeface="+mn-ea"/>
              <a:cs typeface="Arial" panose="020B0604020202020204" pitchFamily="34" charset="0"/>
            </a:rPr>
            <a:t>Oranges </a:t>
          </a:r>
          <a:r>
            <a:rPr lang="de-DE" sz="1000" kern="1200">
              <a:solidFill>
                <a:sysClr val="window" lastClr="FFFFFF"/>
              </a:solidFill>
              <a:latin typeface="Arial" panose="020B0604020202020204" pitchFamily="34" charset="0"/>
              <a:ea typeface="+mn-ea"/>
              <a:cs typeface="Arial" panose="020B0604020202020204" pitchFamily="34" charset="0"/>
            </a:rPr>
            <a:t>Internationales Saatgutpartie-Zertifikat</a:t>
          </a:r>
          <a:endParaRPr lang="de-CH" sz="1000" kern="1200">
            <a:solidFill>
              <a:sysClr val="window" lastClr="FFFFFF"/>
            </a:solidFill>
            <a:latin typeface="Arial" panose="020B0604020202020204" pitchFamily="34" charset="0"/>
            <a:ea typeface="+mn-ea"/>
            <a:cs typeface="Arial" panose="020B0604020202020204" pitchFamily="34" charset="0"/>
          </a:endParaRPr>
        </a:p>
      </dsp:txBody>
      <dsp:txXfrm>
        <a:off x="11457" y="119817"/>
        <a:ext cx="1811745" cy="352074"/>
      </dsp:txXfrm>
    </dsp:sp>
    <dsp:sp modelId="{9716A20C-CD2C-4073-8675-311BA46592F5}">
      <dsp:nvSpPr>
        <dsp:cNvPr id="0" name=""/>
        <dsp:cNvSpPr/>
      </dsp:nvSpPr>
      <dsp:spPr>
        <a:xfrm>
          <a:off x="183869" y="482845"/>
          <a:ext cx="183365" cy="687619"/>
        </a:xfrm>
        <a:custGeom>
          <a:avLst/>
          <a:gdLst/>
          <a:ahLst/>
          <a:cxnLst/>
          <a:rect l="0" t="0" r="0" b="0"/>
          <a:pathLst>
            <a:path>
              <a:moveTo>
                <a:pt x="0" y="0"/>
              </a:moveTo>
              <a:lnTo>
                <a:pt x="0" y="687619"/>
              </a:lnTo>
              <a:lnTo>
                <a:pt x="183365" y="687619"/>
              </a:lnTo>
            </a:path>
          </a:pathLst>
        </a:custGeom>
        <a:noFill/>
        <a:ln w="12700" cap="flat" cmpd="sng" algn="ctr">
          <a:solidFill>
            <a:srgbClr val="FA7C18"/>
          </a:solidFill>
          <a:prstDash val="solid"/>
          <a:miter lim="800000"/>
        </a:ln>
        <a:effectLst/>
      </dsp:spPr>
      <dsp:style>
        <a:lnRef idx="1">
          <a:schemeClr val="accent2"/>
        </a:lnRef>
        <a:fillRef idx="0">
          <a:schemeClr val="accent2"/>
        </a:fillRef>
        <a:effectRef idx="0">
          <a:schemeClr val="accent2"/>
        </a:effectRef>
        <a:fontRef idx="minor">
          <a:schemeClr val="tx1"/>
        </a:fontRef>
      </dsp:style>
    </dsp:sp>
    <dsp:sp modelId="{7BE9336B-A08B-4FD0-87A7-703A2A8906C8}">
      <dsp:nvSpPr>
        <dsp:cNvPr id="0" name=""/>
        <dsp:cNvSpPr/>
      </dsp:nvSpPr>
      <dsp:spPr>
        <a:xfrm>
          <a:off x="367234" y="712052"/>
          <a:ext cx="1466922" cy="916826"/>
        </a:xfrm>
        <a:prstGeom prst="roundRect">
          <a:avLst>
            <a:gd name="adj" fmla="val 10000"/>
          </a:avLst>
        </a:prstGeom>
        <a:solidFill>
          <a:sysClr val="window" lastClr="FFFFFF">
            <a:alpha val="90000"/>
            <a:hueOff val="0"/>
            <a:satOff val="0"/>
            <a:lumOff val="0"/>
            <a:alphaOff val="0"/>
          </a:sysClr>
        </a:solidFill>
        <a:ln w="12700" cap="flat" cmpd="sng" algn="ctr">
          <a:solidFill>
            <a:srgbClr val="FA7C18"/>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13335" tIns="8890" rIns="13335" bIns="8890" numCol="1" spcCol="1270" anchor="ctr" anchorCtr="0">
          <a:noAutofit/>
        </a:bodyPr>
        <a:lstStyle/>
        <a:p>
          <a:pPr lvl="0" algn="ctr" defTabSz="311150">
            <a:lnSpc>
              <a:spcPct val="90000"/>
            </a:lnSpc>
            <a:spcBef>
              <a:spcPct val="0"/>
            </a:spcBef>
            <a:spcAft>
              <a:spcPct val="35000"/>
            </a:spcAft>
          </a:pPr>
          <a:r>
            <a:rPr lang="de-DE" sz="700" kern="1200">
              <a:solidFill>
                <a:sysClr val="windowText" lastClr="000000">
                  <a:hueOff val="0"/>
                  <a:satOff val="0"/>
                  <a:lumOff val="0"/>
                  <a:alphaOff val="0"/>
                </a:sysClr>
              </a:solidFill>
              <a:latin typeface="Arial" panose="020B0604020202020204" pitchFamily="34" charset="0"/>
              <a:ea typeface="+mn-ea"/>
              <a:cs typeface="Arial" panose="020B0604020202020204" pitchFamily="34" charset="0"/>
            </a:rPr>
            <a:t>wird ausgestellt, wenn sowohl die Beprobung aus der Partie als auch die Prüfung der Probe unter der Verantwortung eines ISTA-akkreditierten Saatgutprüflabors durchgeführt werden</a:t>
          </a:r>
          <a:r>
            <a:rPr lang="de-CH" sz="700" kern="1200">
              <a:solidFill>
                <a:sysClr val="windowText" lastClr="000000">
                  <a:hueOff val="0"/>
                  <a:satOff val="0"/>
                  <a:lumOff val="0"/>
                  <a:alphaOff val="0"/>
                </a:sysClr>
              </a:solidFill>
              <a:latin typeface="Arial" panose="020B0604020202020204" pitchFamily="34" charset="0"/>
              <a:ea typeface="+mn-ea"/>
              <a:cs typeface="Arial" panose="020B0604020202020204" pitchFamily="34" charset="0"/>
            </a:rPr>
            <a:t>.</a:t>
          </a:r>
        </a:p>
      </dsp:txBody>
      <dsp:txXfrm>
        <a:off x="394087" y="738905"/>
        <a:ext cx="1413216" cy="863120"/>
      </dsp:txXfrm>
    </dsp:sp>
    <dsp:sp modelId="{9E23BC41-006F-43C3-B525-B187D23D71C7}">
      <dsp:nvSpPr>
        <dsp:cNvPr id="0" name=""/>
        <dsp:cNvSpPr/>
      </dsp:nvSpPr>
      <dsp:spPr>
        <a:xfrm>
          <a:off x="2292570" y="108863"/>
          <a:ext cx="1833653" cy="377576"/>
        </a:xfrm>
        <a:prstGeom prst="roundRect">
          <a:avLst>
            <a:gd name="adj" fmla="val 10000"/>
          </a:avLst>
        </a:prstGeom>
        <a:solidFill>
          <a:srgbClr val="5B9BD5"/>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9050" tIns="12700" rIns="19050" bIns="12700" numCol="1" spcCol="1270" anchor="ctr" anchorCtr="0">
          <a:noAutofit/>
        </a:bodyPr>
        <a:lstStyle/>
        <a:p>
          <a:pPr lvl="0" algn="ctr" defTabSz="444500">
            <a:lnSpc>
              <a:spcPct val="90000"/>
            </a:lnSpc>
            <a:spcBef>
              <a:spcPct val="0"/>
            </a:spcBef>
            <a:spcAft>
              <a:spcPct val="35000"/>
            </a:spcAft>
          </a:pPr>
          <a:r>
            <a:rPr lang="de-DE" sz="1000" kern="1200">
              <a:solidFill>
                <a:sysClr val="window" lastClr="FFFFFF"/>
              </a:solidFill>
              <a:latin typeface="Arial" panose="020B0604020202020204" pitchFamily="34" charset="0"/>
              <a:ea typeface="+mn-ea"/>
              <a:cs typeface="Arial" panose="020B0604020202020204" pitchFamily="34" charset="0"/>
            </a:rPr>
            <a:t>Blaues Internationales Saatgutbeprobungs-Zertifikat</a:t>
          </a:r>
          <a:endParaRPr lang="de-CH" sz="1000" kern="1200">
            <a:solidFill>
              <a:sysClr val="window" lastClr="FFFFFF"/>
            </a:solidFill>
            <a:latin typeface="Arial" panose="020B0604020202020204" pitchFamily="34" charset="0"/>
            <a:ea typeface="+mn-ea"/>
            <a:cs typeface="Arial" panose="020B0604020202020204" pitchFamily="34" charset="0"/>
          </a:endParaRPr>
        </a:p>
      </dsp:txBody>
      <dsp:txXfrm>
        <a:off x="2303629" y="119922"/>
        <a:ext cx="1811535" cy="355458"/>
      </dsp:txXfrm>
    </dsp:sp>
    <dsp:sp modelId="{1967C7AE-0426-4D3C-90E0-E227DFA0551B}">
      <dsp:nvSpPr>
        <dsp:cNvPr id="0" name=""/>
        <dsp:cNvSpPr/>
      </dsp:nvSpPr>
      <dsp:spPr>
        <a:xfrm>
          <a:off x="2475935" y="486439"/>
          <a:ext cx="183365" cy="687619"/>
        </a:xfrm>
        <a:custGeom>
          <a:avLst/>
          <a:gdLst/>
          <a:ahLst/>
          <a:cxnLst/>
          <a:rect l="0" t="0" r="0" b="0"/>
          <a:pathLst>
            <a:path>
              <a:moveTo>
                <a:pt x="0" y="0"/>
              </a:moveTo>
              <a:lnTo>
                <a:pt x="0" y="687619"/>
              </a:lnTo>
              <a:lnTo>
                <a:pt x="183365" y="687619"/>
              </a:lnTo>
            </a:path>
          </a:pathLst>
        </a:custGeom>
        <a:noFill/>
        <a:ln w="12700" cap="flat" cmpd="sng" algn="ctr">
          <a:solidFill>
            <a:srgbClr val="5B9BD5"/>
          </a:solidFill>
          <a:prstDash val="solid"/>
          <a:miter lim="800000"/>
        </a:ln>
        <a:effectLst/>
      </dsp:spPr>
      <dsp:style>
        <a:lnRef idx="2">
          <a:scrgbClr r="0" g="0" b="0"/>
        </a:lnRef>
        <a:fillRef idx="0">
          <a:scrgbClr r="0" g="0" b="0"/>
        </a:fillRef>
        <a:effectRef idx="0">
          <a:scrgbClr r="0" g="0" b="0"/>
        </a:effectRef>
        <a:fontRef idx="minor"/>
      </dsp:style>
    </dsp:sp>
    <dsp:sp modelId="{324828C7-EE9E-44F7-B1DA-9F9F3CE0E904}">
      <dsp:nvSpPr>
        <dsp:cNvPr id="0" name=""/>
        <dsp:cNvSpPr/>
      </dsp:nvSpPr>
      <dsp:spPr>
        <a:xfrm>
          <a:off x="2659300" y="715646"/>
          <a:ext cx="1466922" cy="916826"/>
        </a:xfrm>
        <a:prstGeom prst="roundRect">
          <a:avLst>
            <a:gd name="adj" fmla="val 10000"/>
          </a:avLst>
        </a:prstGeom>
        <a:solidFill>
          <a:sysClr val="window" lastClr="FFFFFF">
            <a:alpha val="90000"/>
            <a:hueOff val="0"/>
            <a:satOff val="0"/>
            <a:lumOff val="0"/>
            <a:alphaOff val="0"/>
          </a:sysClr>
        </a:solidFill>
        <a:ln w="12700" cap="flat" cmpd="sng" algn="ctr">
          <a:solidFill>
            <a:srgbClr val="5B9BD5"/>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13335" tIns="8890" rIns="13335" bIns="8890" numCol="1" spcCol="1270" anchor="ctr" anchorCtr="0">
          <a:noAutofit/>
        </a:bodyPr>
        <a:lstStyle/>
        <a:p>
          <a:pPr lvl="0" algn="ctr" defTabSz="311150">
            <a:lnSpc>
              <a:spcPct val="90000"/>
            </a:lnSpc>
            <a:spcBef>
              <a:spcPct val="0"/>
            </a:spcBef>
            <a:spcAft>
              <a:spcPct val="35000"/>
            </a:spcAft>
          </a:pPr>
          <a:r>
            <a:rPr lang="de-DE" sz="700" kern="1200">
              <a:solidFill>
                <a:sysClr val="windowText" lastClr="000000">
                  <a:hueOff val="0"/>
                  <a:satOff val="0"/>
                  <a:lumOff val="0"/>
                  <a:alphaOff val="0"/>
                </a:sysClr>
              </a:solidFill>
              <a:latin typeface="Arial" panose="020B0604020202020204" pitchFamily="34" charset="0"/>
              <a:ea typeface="+mn-ea"/>
              <a:cs typeface="Arial" panose="020B0604020202020204" pitchFamily="34" charset="0"/>
            </a:rPr>
            <a:t>wird ausgestellt, wenn die Beprobung aus der Partie nicht unter der Verantwortung eines ISTA-akkreditierten Labors erfolgt. Daher gelten die von dem ISTA-akkreditierten Labor erzielten Ergebnisse nur für die Probe und nicht für die Saatgutprobe, der die Probe entnommen wurde</a:t>
          </a:r>
          <a:r>
            <a:rPr lang="de-CH" sz="700" kern="1200">
              <a:solidFill>
                <a:sysClr val="windowText" lastClr="000000">
                  <a:hueOff val="0"/>
                  <a:satOff val="0"/>
                  <a:lumOff val="0"/>
                  <a:alphaOff val="0"/>
                </a:sysClr>
              </a:solidFill>
              <a:latin typeface="Arial" panose="020B0604020202020204" pitchFamily="34" charset="0"/>
              <a:ea typeface="+mn-ea"/>
              <a:cs typeface="Arial" panose="020B0604020202020204" pitchFamily="34" charset="0"/>
            </a:rPr>
            <a:t>.</a:t>
          </a:r>
        </a:p>
      </dsp:txBody>
      <dsp:txXfrm>
        <a:off x="2686153" y="742499"/>
        <a:ext cx="1413216" cy="863120"/>
      </dsp:txXfrm>
    </dsp:sp>
  </dsp:spTree>
</dsp:drawing>
</file>

<file path=word/diagrams/layout1.xml><?xml version="1.0" encoding="utf-8"?>
<dgm:layoutDef xmlns:dgm="http://schemas.openxmlformats.org/drawingml/2006/diagram" xmlns:a="http://schemas.openxmlformats.org/drawingml/2006/main" uniqueId="urn:microsoft.com/office/officeart/2005/8/layout/hierarchy3">
  <dgm:title val=""/>
  <dgm:desc val=""/>
  <dgm:catLst>
    <dgm:cat type="hierarchy" pri="7000"/>
    <dgm:cat type="list" pri="23000"/>
    <dgm:cat type="relationship" pri="15000"/>
    <dgm:cat type="convert" pri="7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Lst>
      <dgm:cxnLst>
        <dgm:cxn modelId="4" srcId="0" destId="1" srcOrd="0" destOrd="0"/>
        <dgm:cxn modelId="5" srcId="1" destId="11" srcOrd="0" destOrd="0"/>
        <dgm:cxn modelId="6" srcId="1" destId="12" srcOrd="1" destOrd="0"/>
        <dgm:cxn modelId="7" srcId="0" destId="2" srcOrd="1" destOrd="0"/>
        <dgm:cxn modelId="8" srcId="2" destId="21" srcOrd="0" destOrd="0"/>
        <dgm:cxn modelId="9" srcId="2" destId="22" srcOrd="1"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diagram">
    <dgm:varLst>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primFontSz" for="des" forName="rootText" op="equ" val="65"/>
      <dgm:constr type="primFontSz" for="des" forName="childText" op="equ" val="65"/>
      <dgm:constr type="w" for="des" forName="rootComposite" refType="w"/>
      <dgm:constr type="h" for="des" forName="rootComposite" refType="w" fact="0.5"/>
      <dgm:constr type="w" for="des" forName="childText" refType="w" refFor="des" refForName="rootComposite" fact="0.8"/>
      <dgm:constr type="h" for="des" forName="childText" refType="h" refFor="des" refForName="rootComposite"/>
      <dgm:constr type="sibSp" refType="w" refFor="des" refForName="rootComposite" fact="0.25"/>
      <dgm:constr type="sibSp" for="des" forName="childShape" refType="h" refFor="des" refForName="childText" fact="0.25"/>
      <dgm:constr type="sp" for="des" forName="root" refType="h" refFor="des" refForName="childText" fact="0.25"/>
    </dgm:constrLst>
    <dgm:ruleLst/>
    <dgm:forEach name="Name3" axis="ch">
      <dgm:forEach name="Name4" axis="self" ptType="node" cnt="1">
        <dgm:layoutNode name="root">
          <dgm:choose name="Name5">
            <dgm:if name="Name6" func="var" arg="dir" op="equ" val="norm">
              <dgm:alg type="hierRoot">
                <dgm:param type="hierAlign" val="tL"/>
              </dgm:alg>
            </dgm:if>
            <dgm:else name="Name7">
              <dgm:alg type="hierRoot">
                <dgm:param type="hierAlign" val="tR"/>
              </dgm:alg>
            </dgm:else>
          </dgm:choose>
          <dgm:shape xmlns:r="http://schemas.openxmlformats.org/officeDocument/2006/relationships" r:blip="">
            <dgm:adjLst/>
          </dgm:shape>
          <dgm:presOf/>
          <dgm:constrLst>
            <dgm:constr type="alignOff" val="0.2"/>
          </dgm:constrLst>
          <dgm:ruleLst/>
          <dgm:layoutNode name="rootComposite">
            <dgm:alg type="composite"/>
            <dgm:shape xmlns:r="http://schemas.openxmlformats.org/officeDocument/2006/relationships" r:blip="">
              <dgm:adjLst/>
            </dgm:shape>
            <dgm:presOf axis="self" ptType="node" cnt="1"/>
            <dgm:choose name="Name8">
              <dgm:if name="Name9" func="var" arg="dir" op="equ" val="norm">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10">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styleLbl="node1">
              <dgm:alg type="tx"/>
              <dgm:shape xmlns:r="http://schemas.openxmlformats.org/officeDocument/2006/relationships" type="roundRect" r:blip="">
                <dgm:adjLst>
                  <dgm:adj idx="1" val="0.1"/>
                </dgm:adjLst>
              </dgm:shape>
              <dgm:presOf axis="self" ptType="node" cnt="1"/>
              <dgm:constrLst>
                <dgm:constr type="tMarg" refType="primFontSz" fact="0.1"/>
                <dgm:constr type="bMarg" refType="primFontSz" fact="0.1"/>
                <dgm:constr type="lMarg" refType="primFontSz" fact="0.15"/>
                <dgm:constr type="rMarg" refType="primFontSz" fact="0.15"/>
              </dgm:constrLst>
              <dgm:ruleLst>
                <dgm:rule type="primFontSz" val="5" fact="NaN" max="NaN"/>
              </dgm:ruleLst>
            </dgm:layoutNode>
            <dgm:layoutNode name="rootConnector" moveWith="rootText">
              <dgm:alg type="sp"/>
              <dgm:shape xmlns:r="http://schemas.openxmlformats.org/officeDocument/2006/relationships" type="roundRect" r:blip="" hideGeom="1">
                <dgm:adjLst>
                  <dgm:adj idx="1" val="0.1"/>
                </dgm:adjLst>
              </dgm:shape>
              <dgm:presOf axis="self" ptType="node" cnt="1"/>
              <dgm:constrLst/>
              <dgm:ruleLst/>
            </dgm:layoutNode>
          </dgm:layoutNode>
          <dgm:layoutNode name="childShape">
            <dgm:alg type="hierChild">
              <dgm:param type="chAlign" val="l"/>
              <dgm:param type="linDir" val="fromT"/>
            </dgm:alg>
            <dgm:shape xmlns:r="http://schemas.openxmlformats.org/officeDocument/2006/relationships" r:blip="">
              <dgm:adjLst/>
            </dgm:shape>
            <dgm:presOf/>
            <dgm:constrLst/>
            <dgm:ruleLst/>
            <dgm:forEach name="Name11" axis="ch">
              <dgm:forEach name="Name12" axis="self" ptType="parTrans" cnt="1">
                <dgm:layoutNode name="Name13">
                  <dgm:choose name="Name14">
                    <dgm:if name="Name15" func="var" arg="dir" op="equ" val="norm">
                      <dgm:alg type="conn">
                        <dgm:param type="dim" val="1D"/>
                        <dgm:param type="endSty" val="noArr"/>
                        <dgm:param type="connRout" val="bend"/>
                        <dgm:param type="srcNode" val="rootConnector"/>
                        <dgm:param type="begPts" val="bCtr"/>
                        <dgm:param type="endPts" val="midL"/>
                      </dgm:alg>
                    </dgm:if>
                    <dgm:else name="Name16">
                      <dgm:alg type="conn">
                        <dgm:param type="dim" val="1D"/>
                        <dgm:param type="endSty" val="noArr"/>
                        <dgm:param type="connRout" val="bend"/>
                        <dgm:param type="srcNode" val="rootConnector"/>
                        <dgm:param type="begPts" val="bCtr"/>
                        <dgm:param type="endPts" val="midR"/>
                      </dgm:alg>
                    </dgm:else>
                  </dgm:choose>
                  <dgm:shape xmlns:r="http://schemas.openxmlformats.org/officeDocument/2006/relationships" type="conn" r:blip="">
                    <dgm:adjLst/>
                  </dgm:shape>
                  <dgm:presOf axis="self"/>
                  <dgm:constrLst>
                    <dgm:constr type="begPad"/>
                    <dgm:constr type="endPad"/>
                  </dgm:constrLst>
                  <dgm:ruleLst/>
                </dgm:layoutNode>
              </dgm:forEach>
              <dgm:forEach name="Name17" axis="self" ptType="node">
                <dgm:layoutNode name="childText" styleLbl="bgAcc1">
                  <dgm:varLst>
                    <dgm:bulletEnabled val="1"/>
                  </dgm:varLst>
                  <dgm:alg type="tx"/>
                  <dgm:shape xmlns:r="http://schemas.openxmlformats.org/officeDocument/2006/relationships" type="roundRect" r:blip="">
                    <dgm:adjLst>
                      <dgm:adj idx="1" val="0.1"/>
                    </dgm:adjLst>
                  </dgm:shape>
                  <dgm:presOf axis="self desOrSelf" ptType="node node" st="1 1" cnt="1 0"/>
                  <dgm:constrLst>
                    <dgm:constr type="tMarg" refType="primFontSz" fact="0.1"/>
                    <dgm:constr type="bMarg" refType="primFontSz" fact="0.1"/>
                    <dgm:constr type="lMarg" refType="primFontSz" fact="0.15"/>
                    <dgm:constr type="rMarg" refType="primFontSz" fact="0.15"/>
                  </dgm:constrLst>
                  <dgm:ruleLst>
                    <dgm:rule type="primFontSz" val="5" fact="NaN" max="NaN"/>
                  </dgm:ruleLst>
                </dgm:layoutNode>
              </dgm:forEach>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BAAF28-91BE-457B-8BF4-9B74180430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routing_slip_with_doc_tc_58</Template>
  <TotalTime>0</TotalTime>
  <Pages>12</Pages>
  <Words>4912</Words>
  <Characters>28147</Characters>
  <Application>Microsoft Office Word</Application>
  <DocSecurity>0</DocSecurity>
  <Lines>703</Lines>
  <Paragraphs>408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TC/58</vt:lpstr>
      <vt:lpstr>TC/57</vt:lpstr>
    </vt:vector>
  </TitlesOfParts>
  <Company>UPOV</Company>
  <LinksUpToDate>false</LinksUpToDate>
  <CharactersWithSpaces>32651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TC/58</dc:title>
  <dc:creator>MAY Jessica</dc:creator>
  <cp:lastModifiedBy>MAY Jessica</cp:lastModifiedBy>
  <cp:revision>8</cp:revision>
  <cp:lastPrinted>2016-11-22T15:41:00Z</cp:lastPrinted>
  <dcterms:created xsi:type="dcterms:W3CDTF">2022-10-14T07:24:00Z</dcterms:created>
  <dcterms:modified xsi:type="dcterms:W3CDTF">2022-10-25T12:12:00Z</dcterms:modified>
</cp:coreProperties>
</file>