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C2C37" w:rsidRPr="001E52CE" w14:paraId="4312A447" w14:textId="77777777" w:rsidTr="00AB71B3">
        <w:tc>
          <w:tcPr>
            <w:tcW w:w="6522" w:type="dxa"/>
          </w:tcPr>
          <w:p w14:paraId="65B694D7" w14:textId="77777777" w:rsidR="001C2C37" w:rsidRPr="001E52CE" w:rsidRDefault="001C2C37" w:rsidP="00F76AA9">
            <w:pPr>
              <w:rPr>
                <w:lang w:val="de-DE"/>
              </w:rPr>
            </w:pPr>
            <w:r w:rsidRPr="001E52CE">
              <w:rPr>
                <w:noProof/>
              </w:rPr>
              <w:drawing>
                <wp:inline distT="0" distB="0" distL="0" distR="0" wp14:anchorId="26E89837" wp14:editId="442443A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878F318" w14:textId="77777777" w:rsidR="001C2C37" w:rsidRPr="001E52CE" w:rsidRDefault="001C2C37" w:rsidP="00F76AA9">
            <w:pPr>
              <w:pStyle w:val="Lettrine"/>
              <w:rPr>
                <w:lang w:val="de-DE"/>
              </w:rPr>
            </w:pPr>
            <w:r w:rsidRPr="001E52CE">
              <w:rPr>
                <w:lang w:val="de-DE"/>
              </w:rPr>
              <w:t>G</w:t>
            </w:r>
          </w:p>
        </w:tc>
      </w:tr>
      <w:tr w:rsidR="001C2C37" w:rsidRPr="008D66CC" w14:paraId="42B699CF" w14:textId="77777777" w:rsidTr="00AB71B3">
        <w:trPr>
          <w:trHeight w:val="219"/>
        </w:trPr>
        <w:tc>
          <w:tcPr>
            <w:tcW w:w="6522" w:type="dxa"/>
          </w:tcPr>
          <w:p w14:paraId="3D35195A" w14:textId="77777777" w:rsidR="001C2C37" w:rsidRPr="008B37C7" w:rsidRDefault="001C2C37" w:rsidP="00F76AA9">
            <w:pPr>
              <w:pStyle w:val="upove"/>
              <w:rPr>
                <w:lang w:val="de-DE"/>
              </w:rPr>
            </w:pPr>
            <w:r w:rsidRPr="008B37C7">
              <w:rPr>
                <w:lang w:val="de-DE"/>
              </w:rPr>
              <w:t>Internationaler Verband zum Schutz von Pflanzenzüchtungen</w:t>
            </w:r>
          </w:p>
        </w:tc>
        <w:tc>
          <w:tcPr>
            <w:tcW w:w="3117" w:type="dxa"/>
          </w:tcPr>
          <w:p w14:paraId="391A5834" w14:textId="77777777" w:rsidR="001C2C37" w:rsidRPr="008B37C7" w:rsidRDefault="001C2C37" w:rsidP="00F76AA9">
            <w:pPr>
              <w:rPr>
                <w:lang w:val="de-DE"/>
              </w:rPr>
            </w:pPr>
          </w:p>
        </w:tc>
      </w:tr>
    </w:tbl>
    <w:p w14:paraId="723768A5" w14:textId="77777777" w:rsidR="001C2C37" w:rsidRPr="001E52CE" w:rsidRDefault="001C2C37" w:rsidP="00F76AA9">
      <w:pPr>
        <w:rPr>
          <w:lang w:val="de-DE"/>
        </w:rPr>
      </w:pPr>
    </w:p>
    <w:p w14:paraId="52B688F6" w14:textId="77777777" w:rsidR="001C2C37" w:rsidRPr="001E52CE" w:rsidRDefault="001C2C37" w:rsidP="00F76AA9">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C2C37" w:rsidRPr="001E52CE" w14:paraId="73C9A1B9" w14:textId="77777777" w:rsidTr="00AB71B3">
        <w:tc>
          <w:tcPr>
            <w:tcW w:w="6512" w:type="dxa"/>
          </w:tcPr>
          <w:p w14:paraId="3FB12B7F" w14:textId="77777777" w:rsidR="001C2C37" w:rsidRPr="001E52CE" w:rsidRDefault="001C2C37" w:rsidP="00F76AA9">
            <w:pPr>
              <w:pStyle w:val="Sessiontc"/>
              <w:spacing w:line="240" w:lineRule="auto"/>
              <w:rPr>
                <w:lang w:val="de-DE"/>
              </w:rPr>
            </w:pPr>
            <w:r w:rsidRPr="001E52CE">
              <w:rPr>
                <w:lang w:val="de-DE"/>
              </w:rPr>
              <w:t>Technischer Ausschuss</w:t>
            </w:r>
          </w:p>
          <w:p w14:paraId="0ADE70B8" w14:textId="44C6FABE" w:rsidR="001C2C37" w:rsidRPr="001E52CE" w:rsidRDefault="001C2C37" w:rsidP="00F76AA9">
            <w:pPr>
              <w:pStyle w:val="Sessiontcplacedate"/>
              <w:rPr>
                <w:sz w:val="22"/>
                <w:lang w:val="de-DE"/>
              </w:rPr>
            </w:pPr>
            <w:r w:rsidRPr="001E52CE">
              <w:rPr>
                <w:lang w:val="de-DE"/>
              </w:rPr>
              <w:t>S</w:t>
            </w:r>
            <w:r w:rsidR="0052197E" w:rsidRPr="001E52CE">
              <w:rPr>
                <w:lang w:val="de-DE"/>
              </w:rPr>
              <w:t>ieben</w:t>
            </w:r>
            <w:r w:rsidRPr="001E52CE">
              <w:rPr>
                <w:lang w:val="de-DE"/>
              </w:rPr>
              <w:t>undfünfzigste Tagung</w:t>
            </w:r>
            <w:r w:rsidRPr="001E52CE">
              <w:rPr>
                <w:lang w:val="de-DE"/>
              </w:rPr>
              <w:br/>
              <w:t>Genf, 2</w:t>
            </w:r>
            <w:r w:rsidR="00AB71B3" w:rsidRPr="001E52CE">
              <w:rPr>
                <w:lang w:val="de-DE"/>
              </w:rPr>
              <w:t>5</w:t>
            </w:r>
            <w:r w:rsidRPr="001E52CE">
              <w:rPr>
                <w:lang w:val="de-DE"/>
              </w:rPr>
              <w:t>. und 2</w:t>
            </w:r>
            <w:r w:rsidR="00AB71B3" w:rsidRPr="001E52CE">
              <w:rPr>
                <w:lang w:val="de-DE"/>
              </w:rPr>
              <w:t>6</w:t>
            </w:r>
            <w:r w:rsidRPr="001E52CE">
              <w:rPr>
                <w:lang w:val="de-DE"/>
              </w:rPr>
              <w:t>. Oktober 202</w:t>
            </w:r>
            <w:r w:rsidR="00AB71B3" w:rsidRPr="008B37C7">
              <w:rPr>
                <w:lang w:val="de-DE"/>
              </w:rPr>
              <w:t>1</w:t>
            </w:r>
          </w:p>
        </w:tc>
        <w:tc>
          <w:tcPr>
            <w:tcW w:w="3127" w:type="dxa"/>
          </w:tcPr>
          <w:p w14:paraId="1297048F" w14:textId="208E2DDB" w:rsidR="001C2C37" w:rsidRPr="008B37C7" w:rsidRDefault="001C2C37" w:rsidP="00F76AA9">
            <w:pPr>
              <w:pStyle w:val="Doccode"/>
              <w:rPr>
                <w:lang w:val="de-DE"/>
              </w:rPr>
            </w:pPr>
            <w:r w:rsidRPr="008B37C7">
              <w:rPr>
                <w:lang w:val="de-DE"/>
              </w:rPr>
              <w:t>TC/5</w:t>
            </w:r>
            <w:r w:rsidR="0052197E" w:rsidRPr="008B37C7">
              <w:rPr>
                <w:lang w:val="de-DE"/>
              </w:rPr>
              <w:t>7</w:t>
            </w:r>
            <w:r w:rsidRPr="008B37C7">
              <w:rPr>
                <w:lang w:val="de-DE"/>
              </w:rPr>
              <w:t>/INF/3</w:t>
            </w:r>
          </w:p>
          <w:p w14:paraId="4696A0E4" w14:textId="77777777" w:rsidR="001C2C37" w:rsidRPr="008B37C7" w:rsidRDefault="001C2C37" w:rsidP="00F76AA9">
            <w:pPr>
              <w:pStyle w:val="Docoriginal"/>
              <w:rPr>
                <w:lang w:val="de-DE"/>
              </w:rPr>
            </w:pPr>
            <w:r w:rsidRPr="008B37C7">
              <w:rPr>
                <w:lang w:val="de-DE"/>
              </w:rPr>
              <w:t>Original:</w:t>
            </w:r>
            <w:r w:rsidRPr="008B37C7">
              <w:rPr>
                <w:b w:val="0"/>
                <w:lang w:val="de-DE"/>
              </w:rPr>
              <w:t xml:space="preserve">  englisch</w:t>
            </w:r>
          </w:p>
          <w:p w14:paraId="1BA7147C" w14:textId="598B4A46" w:rsidR="001C2C37" w:rsidRPr="001E52CE" w:rsidRDefault="001C2C37" w:rsidP="00F76AA9">
            <w:pPr>
              <w:pStyle w:val="Docoriginal"/>
              <w:rPr>
                <w:lang w:val="de-DE"/>
              </w:rPr>
            </w:pPr>
            <w:r w:rsidRPr="008B37C7">
              <w:rPr>
                <w:lang w:val="de-DE"/>
              </w:rPr>
              <w:t>Datum</w:t>
            </w:r>
            <w:r w:rsidRPr="001E52CE">
              <w:rPr>
                <w:lang w:val="de-DE"/>
              </w:rPr>
              <w:t>:</w:t>
            </w:r>
            <w:r w:rsidRPr="001E52CE">
              <w:rPr>
                <w:b w:val="0"/>
                <w:lang w:val="de-DE"/>
              </w:rPr>
              <w:t xml:space="preserve">  </w:t>
            </w:r>
            <w:r w:rsidR="0052197E" w:rsidRPr="001E52CE">
              <w:rPr>
                <w:b w:val="0"/>
                <w:lang w:val="de-DE"/>
              </w:rPr>
              <w:t>15</w:t>
            </w:r>
            <w:r w:rsidRPr="001E52CE">
              <w:rPr>
                <w:b w:val="0"/>
                <w:lang w:val="de-DE"/>
              </w:rPr>
              <w:t xml:space="preserve">. Oktober </w:t>
            </w:r>
            <w:r w:rsidR="0052197E" w:rsidRPr="001E52CE">
              <w:rPr>
                <w:b w:val="0"/>
                <w:lang w:val="de-DE"/>
              </w:rPr>
              <w:t>2021</w:t>
            </w:r>
          </w:p>
        </w:tc>
      </w:tr>
    </w:tbl>
    <w:p w14:paraId="194E3DC1" w14:textId="77777777" w:rsidR="001C2C37" w:rsidRPr="001E52CE" w:rsidRDefault="001C2C37" w:rsidP="00F76AA9">
      <w:pPr>
        <w:pStyle w:val="Titleofdoc0"/>
        <w:rPr>
          <w:lang w:val="de-DE"/>
        </w:rPr>
      </w:pPr>
      <w:bookmarkStart w:id="0" w:name="TitleOfDoc"/>
      <w:bookmarkEnd w:id="0"/>
      <w:r w:rsidRPr="001E52CE">
        <w:rPr>
          <w:lang w:val="de-DE"/>
        </w:rPr>
        <w:t>UPOV-Informationsdatenbanken</w:t>
      </w:r>
    </w:p>
    <w:p w14:paraId="69A3DF37" w14:textId="77777777" w:rsidR="001C2C37" w:rsidRPr="001E52CE" w:rsidRDefault="001C2C37" w:rsidP="00F76AA9">
      <w:pPr>
        <w:pStyle w:val="preparedby1"/>
        <w:jc w:val="left"/>
        <w:rPr>
          <w:lang w:val="de-DE"/>
        </w:rPr>
      </w:pPr>
      <w:bookmarkStart w:id="1" w:name="Prepared"/>
      <w:bookmarkEnd w:id="1"/>
      <w:r w:rsidRPr="001E52CE">
        <w:rPr>
          <w:lang w:val="de-DE"/>
        </w:rPr>
        <w:t>vom Verbandsbüro erstelltes Dokument</w:t>
      </w:r>
    </w:p>
    <w:p w14:paraId="4EB73378" w14:textId="77777777" w:rsidR="001C2C37" w:rsidRPr="008B37C7" w:rsidRDefault="001C2C37" w:rsidP="00F76AA9">
      <w:pPr>
        <w:pStyle w:val="Disclaimer"/>
        <w:rPr>
          <w:lang w:val="de-DE"/>
        </w:rPr>
      </w:pPr>
      <w:r w:rsidRPr="008B37C7">
        <w:rPr>
          <w:lang w:val="de-DE"/>
        </w:rPr>
        <w:t>Haftungsausschluss:  dieses Dokument gibt nicht die Grundsätze oder eine Anleitung der UPOV wieder</w:t>
      </w:r>
    </w:p>
    <w:p w14:paraId="653E7169" w14:textId="77777777" w:rsidR="001C2C37" w:rsidRPr="008B37C7" w:rsidRDefault="001C2C37" w:rsidP="00F76AA9">
      <w:pPr>
        <w:keepNext/>
        <w:outlineLvl w:val="0"/>
        <w:rPr>
          <w:rFonts w:eastAsiaTheme="minorEastAsia"/>
          <w:caps/>
          <w:lang w:val="de-DE"/>
        </w:rPr>
      </w:pPr>
      <w:bookmarkStart w:id="2" w:name="_Toc438657852"/>
      <w:bookmarkStart w:id="3" w:name="_Toc477797635"/>
      <w:bookmarkStart w:id="4" w:name="_Toc53852898"/>
      <w:bookmarkStart w:id="5" w:name="_Toc85636324"/>
      <w:bookmarkStart w:id="6" w:name="_Toc86067840"/>
      <w:r w:rsidRPr="008B37C7">
        <w:rPr>
          <w:caps/>
          <w:lang w:val="de-DE"/>
        </w:rPr>
        <w:t>Zusammenfassung</w:t>
      </w:r>
      <w:bookmarkEnd w:id="2"/>
      <w:bookmarkEnd w:id="3"/>
      <w:bookmarkEnd w:id="4"/>
      <w:bookmarkEnd w:id="5"/>
      <w:bookmarkEnd w:id="6"/>
    </w:p>
    <w:p w14:paraId="2791BBC9" w14:textId="77777777" w:rsidR="001C2C37" w:rsidRPr="008B37C7" w:rsidRDefault="001C2C37" w:rsidP="00F76AA9">
      <w:pPr>
        <w:rPr>
          <w:rFonts w:eastAsiaTheme="minorEastAsia"/>
          <w:lang w:val="de-DE" w:eastAsia="ja-JP"/>
        </w:rPr>
      </w:pPr>
    </w:p>
    <w:p w14:paraId="1CDDE46A" w14:textId="77777777" w:rsidR="001C2C37" w:rsidRPr="008B37C7" w:rsidRDefault="001C2C37" w:rsidP="00F76AA9">
      <w:pPr>
        <w:rPr>
          <w:rFonts w:eastAsiaTheme="minorEastAsia"/>
          <w:lang w:val="de-DE"/>
        </w:rPr>
      </w:pPr>
      <w:r w:rsidRPr="001E52CE">
        <w:rPr>
          <w:rFonts w:eastAsiaTheme="minorEastAsia"/>
          <w:lang w:val="de-DE"/>
        </w:rPr>
        <w:fldChar w:fldCharType="begin"/>
      </w:r>
      <w:r w:rsidRPr="001E52CE">
        <w:rPr>
          <w:rFonts w:eastAsiaTheme="minorEastAsia"/>
          <w:lang w:val="de-DE"/>
        </w:rPr>
        <w:instrText xml:space="preserve"> AUTONUM  </w:instrText>
      </w:r>
      <w:r w:rsidRPr="001E52CE">
        <w:rPr>
          <w:rFonts w:eastAsiaTheme="minorEastAsia"/>
          <w:lang w:val="de-DE"/>
        </w:rPr>
        <w:fldChar w:fldCharType="end"/>
      </w:r>
      <w:r w:rsidRPr="008B37C7">
        <w:rPr>
          <w:lang w:val="de-DE"/>
        </w:rPr>
        <w:tab/>
        <w:t>Zweck dieses Dokuments ist es, einen aktuellen Bericht über Entwicklungen bezüglich der GENIE-Datenbank, der UPOV-Codes und der PLUTO-Datenbank zu vermitteln</w:t>
      </w:r>
      <w:r w:rsidRPr="008B37C7">
        <w:rPr>
          <w:snapToGrid w:val="0"/>
          <w:lang w:val="de-DE"/>
        </w:rPr>
        <w:t>, über die nicht in anderen Dokumenten berichtet wird.</w:t>
      </w:r>
      <w:r w:rsidRPr="008B37C7">
        <w:rPr>
          <w:lang w:val="de-DE"/>
        </w:rPr>
        <w:t xml:space="preserve"> </w:t>
      </w:r>
    </w:p>
    <w:p w14:paraId="07907A8C" w14:textId="77777777" w:rsidR="001C2C37" w:rsidRPr="008B37C7" w:rsidRDefault="001C2C37" w:rsidP="00F76AA9">
      <w:pPr>
        <w:ind w:firstLine="567"/>
        <w:rPr>
          <w:rFonts w:eastAsia="MS Mincho"/>
          <w:lang w:val="de-DE"/>
        </w:rPr>
      </w:pPr>
    </w:p>
    <w:p w14:paraId="4CB9FDA3" w14:textId="77777777" w:rsidR="001C2C37" w:rsidRPr="008B37C7" w:rsidRDefault="001C2C37" w:rsidP="00F76AA9">
      <w:pPr>
        <w:keepNext/>
        <w:rPr>
          <w:rFonts w:eastAsiaTheme="minorEastAsia"/>
          <w:color w:val="000000"/>
          <w:lang w:val="de-DE"/>
        </w:rPr>
      </w:pPr>
      <w:r w:rsidRPr="001E52CE">
        <w:rPr>
          <w:rFonts w:eastAsiaTheme="minorEastAsia"/>
          <w:color w:val="000000"/>
          <w:lang w:val="de-DE"/>
        </w:rPr>
        <w:fldChar w:fldCharType="begin"/>
      </w:r>
      <w:r w:rsidRPr="001E52CE">
        <w:rPr>
          <w:rFonts w:eastAsiaTheme="minorEastAsia"/>
          <w:color w:val="000000"/>
          <w:lang w:val="de-DE"/>
        </w:rPr>
        <w:instrText xml:space="preserve"> AUTONUM  </w:instrText>
      </w:r>
      <w:r w:rsidRPr="001E52CE">
        <w:rPr>
          <w:rFonts w:eastAsiaTheme="minorEastAsia"/>
          <w:color w:val="000000"/>
          <w:lang w:val="de-DE"/>
        </w:rPr>
        <w:fldChar w:fldCharType="end"/>
      </w:r>
      <w:r w:rsidRPr="008B37C7">
        <w:rPr>
          <w:lang w:val="de-DE"/>
        </w:rPr>
        <w:tab/>
        <w:t>In diesem Dokument werden folgende Abkürzungen verwendet:</w:t>
      </w:r>
    </w:p>
    <w:p w14:paraId="16443993" w14:textId="77777777" w:rsidR="001C2C37" w:rsidRPr="008B37C7" w:rsidRDefault="001C2C37" w:rsidP="00F76AA9">
      <w:pPr>
        <w:keepNext/>
        <w:rPr>
          <w:rFonts w:eastAsiaTheme="minorEastAsia"/>
          <w:color w:val="000000"/>
          <w:lang w:val="de-DE"/>
        </w:rPr>
      </w:pPr>
    </w:p>
    <w:p w14:paraId="52616A55" w14:textId="77777777" w:rsidR="001C2C37" w:rsidRPr="008B37C7" w:rsidRDefault="001C2C37" w:rsidP="00F76AA9">
      <w:pPr>
        <w:keepNext/>
        <w:tabs>
          <w:tab w:val="left" w:pos="567"/>
          <w:tab w:val="left" w:pos="1701"/>
        </w:tabs>
        <w:ind w:left="567"/>
        <w:rPr>
          <w:rFonts w:eastAsiaTheme="minorEastAsia"/>
          <w:lang w:val="de-DE"/>
        </w:rPr>
      </w:pPr>
      <w:r w:rsidRPr="008B37C7">
        <w:rPr>
          <w:lang w:val="de-DE"/>
        </w:rPr>
        <w:t xml:space="preserve">CAJ: </w:t>
      </w:r>
      <w:r w:rsidRPr="008B37C7">
        <w:rPr>
          <w:lang w:val="de-DE"/>
        </w:rPr>
        <w:tab/>
        <w:t xml:space="preserve">Verwaltungs- und Rechtsausschuss </w:t>
      </w:r>
    </w:p>
    <w:p w14:paraId="7E3925FA" w14:textId="77777777" w:rsidR="001C2C37" w:rsidRPr="008B37C7" w:rsidRDefault="001C2C37" w:rsidP="00F76AA9">
      <w:pPr>
        <w:keepNext/>
        <w:tabs>
          <w:tab w:val="left" w:pos="567"/>
          <w:tab w:val="left" w:pos="1701"/>
        </w:tabs>
        <w:ind w:left="567"/>
        <w:rPr>
          <w:rFonts w:eastAsiaTheme="minorEastAsia"/>
          <w:lang w:val="de-DE"/>
        </w:rPr>
      </w:pPr>
      <w:r w:rsidRPr="008B37C7">
        <w:rPr>
          <w:snapToGrid w:val="0"/>
          <w:lang w:val="de-DE"/>
        </w:rPr>
        <w:t>GRIN:</w:t>
      </w:r>
      <w:r w:rsidRPr="008B37C7">
        <w:rPr>
          <w:snapToGrid w:val="0"/>
          <w:lang w:val="de-DE"/>
        </w:rPr>
        <w:tab/>
        <w:t>Germplasm Resources Information Network</w:t>
      </w:r>
    </w:p>
    <w:p w14:paraId="5FE00410" w14:textId="7298ED96" w:rsidR="001C2C37" w:rsidRPr="001E52CE" w:rsidRDefault="001C2C37" w:rsidP="00F76AA9">
      <w:pPr>
        <w:tabs>
          <w:tab w:val="left" w:pos="567"/>
          <w:tab w:val="left" w:pos="1701"/>
        </w:tabs>
        <w:rPr>
          <w:rFonts w:eastAsia="PMingLiU"/>
          <w:szCs w:val="24"/>
          <w:lang w:val="de-DE"/>
        </w:rPr>
      </w:pPr>
      <w:r w:rsidRPr="001E52CE">
        <w:rPr>
          <w:lang w:val="de-DE"/>
        </w:rPr>
        <w:tab/>
        <w:t xml:space="preserve">TC:  </w:t>
      </w:r>
      <w:r w:rsidRPr="001E52CE">
        <w:rPr>
          <w:lang w:val="de-DE"/>
        </w:rPr>
        <w:tab/>
        <w:t xml:space="preserve">Technischer Ausschuss </w:t>
      </w:r>
    </w:p>
    <w:p w14:paraId="3008CB08" w14:textId="77777777" w:rsidR="001C2C37" w:rsidRPr="001E52CE" w:rsidRDefault="001C2C37" w:rsidP="00F76AA9">
      <w:pPr>
        <w:keepNext/>
        <w:tabs>
          <w:tab w:val="left" w:pos="567"/>
          <w:tab w:val="left" w:pos="1701"/>
        </w:tabs>
        <w:rPr>
          <w:rFonts w:eastAsia="PMingLiU"/>
          <w:szCs w:val="24"/>
          <w:lang w:val="de-DE"/>
        </w:rPr>
      </w:pPr>
      <w:r w:rsidRPr="001E52CE">
        <w:rPr>
          <w:lang w:val="de-DE"/>
        </w:rPr>
        <w:tab/>
        <w:t>TWA:</w:t>
      </w:r>
      <w:r w:rsidRPr="001E52CE">
        <w:rPr>
          <w:lang w:val="de-DE"/>
        </w:rPr>
        <w:tab/>
        <w:t>Technische Arbeitsgruppe für landwirtschaftliche Arten</w:t>
      </w:r>
    </w:p>
    <w:p w14:paraId="5C61B6FD" w14:textId="77777777" w:rsidR="001C2C37" w:rsidRPr="001E52CE" w:rsidRDefault="001C2C37" w:rsidP="00F76AA9">
      <w:pPr>
        <w:keepNext/>
        <w:tabs>
          <w:tab w:val="left" w:pos="567"/>
          <w:tab w:val="left" w:pos="1701"/>
        </w:tabs>
        <w:rPr>
          <w:rFonts w:eastAsia="PMingLiU"/>
          <w:szCs w:val="24"/>
          <w:lang w:val="de-DE"/>
        </w:rPr>
      </w:pPr>
      <w:r w:rsidRPr="001E52CE">
        <w:rPr>
          <w:lang w:val="de-DE"/>
        </w:rPr>
        <w:tab/>
        <w:t>TWC:</w:t>
      </w:r>
      <w:r w:rsidRPr="001E52CE">
        <w:rPr>
          <w:lang w:val="de-DE"/>
        </w:rPr>
        <w:tab/>
        <w:t>Technische Arbeitsgruppe für Automatisierung und Computerprogramme</w:t>
      </w:r>
    </w:p>
    <w:p w14:paraId="2BB5F3E2" w14:textId="77777777" w:rsidR="001C2C37" w:rsidRPr="001E52CE" w:rsidRDefault="001C2C37" w:rsidP="00F76AA9">
      <w:pPr>
        <w:keepNext/>
        <w:tabs>
          <w:tab w:val="left" w:pos="567"/>
          <w:tab w:val="left" w:pos="1701"/>
        </w:tabs>
        <w:rPr>
          <w:rFonts w:eastAsia="PMingLiU"/>
          <w:szCs w:val="24"/>
          <w:lang w:val="de-DE"/>
        </w:rPr>
      </w:pPr>
      <w:r w:rsidRPr="001E52CE">
        <w:rPr>
          <w:lang w:val="de-DE"/>
        </w:rPr>
        <w:tab/>
        <w:t xml:space="preserve">TWF: </w:t>
      </w:r>
      <w:r w:rsidRPr="001E52CE">
        <w:rPr>
          <w:lang w:val="de-DE"/>
        </w:rPr>
        <w:tab/>
        <w:t>Technische Arbeitsgruppe für Obstarten</w:t>
      </w:r>
    </w:p>
    <w:p w14:paraId="7E59F51F" w14:textId="77777777" w:rsidR="001C2C37" w:rsidRPr="001E52CE" w:rsidRDefault="001C2C37" w:rsidP="00F76AA9">
      <w:pPr>
        <w:keepNext/>
        <w:tabs>
          <w:tab w:val="left" w:pos="567"/>
          <w:tab w:val="left" w:pos="1701"/>
        </w:tabs>
        <w:rPr>
          <w:rFonts w:eastAsia="PMingLiU"/>
          <w:szCs w:val="24"/>
          <w:lang w:val="de-DE"/>
        </w:rPr>
      </w:pPr>
      <w:r w:rsidRPr="001E52CE">
        <w:rPr>
          <w:lang w:val="de-DE"/>
        </w:rPr>
        <w:tab/>
        <w:t>TWO:</w:t>
      </w:r>
      <w:r w:rsidRPr="001E52CE">
        <w:rPr>
          <w:lang w:val="de-DE"/>
        </w:rPr>
        <w:tab/>
        <w:t>Technische Arbeitsgruppe für Zierpflanzen und forstliche Baumarten</w:t>
      </w:r>
    </w:p>
    <w:p w14:paraId="5C1DA62A" w14:textId="77777777" w:rsidR="001C2C37" w:rsidRPr="001E52CE" w:rsidRDefault="001C2C37" w:rsidP="00F76AA9">
      <w:pPr>
        <w:keepNext/>
        <w:tabs>
          <w:tab w:val="left" w:pos="567"/>
          <w:tab w:val="left" w:pos="1701"/>
        </w:tabs>
        <w:rPr>
          <w:rFonts w:eastAsia="PMingLiU"/>
          <w:szCs w:val="24"/>
          <w:lang w:val="de-DE"/>
        </w:rPr>
      </w:pPr>
      <w:r w:rsidRPr="001E52CE">
        <w:rPr>
          <w:lang w:val="de-DE"/>
        </w:rPr>
        <w:tab/>
        <w:t>TWP:</w:t>
      </w:r>
      <w:r w:rsidRPr="001E52CE">
        <w:rPr>
          <w:lang w:val="de-DE"/>
        </w:rPr>
        <w:tab/>
        <w:t>Technische Arbeitsgruppe(n)</w:t>
      </w:r>
    </w:p>
    <w:p w14:paraId="787C757E" w14:textId="77777777" w:rsidR="001C2C37" w:rsidRPr="001E52CE" w:rsidRDefault="001C2C37" w:rsidP="00F76AA9">
      <w:pPr>
        <w:tabs>
          <w:tab w:val="left" w:pos="567"/>
          <w:tab w:val="left" w:pos="1701"/>
        </w:tabs>
        <w:rPr>
          <w:rFonts w:eastAsiaTheme="minorEastAsia"/>
          <w:lang w:val="de-DE"/>
        </w:rPr>
      </w:pPr>
      <w:r w:rsidRPr="001E52CE">
        <w:rPr>
          <w:lang w:val="de-DE"/>
        </w:rPr>
        <w:tab/>
        <w:t>TWV:</w:t>
      </w:r>
      <w:r w:rsidRPr="001E52CE">
        <w:rPr>
          <w:lang w:val="de-DE"/>
        </w:rPr>
        <w:tab/>
        <w:t>Technische Arbeitsgruppe für Gemüsearten</w:t>
      </w:r>
    </w:p>
    <w:p w14:paraId="59B4539D" w14:textId="77777777" w:rsidR="001C2C37" w:rsidRPr="001E52CE" w:rsidRDefault="001C2C37" w:rsidP="00F76AA9">
      <w:pPr>
        <w:tabs>
          <w:tab w:val="left" w:pos="567"/>
          <w:tab w:val="left" w:pos="1701"/>
        </w:tabs>
        <w:rPr>
          <w:rFonts w:eastAsiaTheme="minorEastAsia" w:cs="Arial"/>
          <w:lang w:val="de-DE"/>
        </w:rPr>
      </w:pPr>
      <w:r w:rsidRPr="001E52CE">
        <w:rPr>
          <w:snapToGrid w:val="0"/>
          <w:lang w:val="de-DE"/>
        </w:rPr>
        <w:tab/>
        <w:t>WG-DEN:</w:t>
      </w:r>
      <w:r w:rsidRPr="001E52CE">
        <w:rPr>
          <w:snapToGrid w:val="0"/>
          <w:lang w:val="de-DE"/>
        </w:rPr>
        <w:tab/>
      </w:r>
      <w:r w:rsidRPr="001E52CE">
        <w:rPr>
          <w:lang w:val="de-DE"/>
        </w:rPr>
        <w:t>Arbeitsgruppe für Sortenbezeichnungen</w:t>
      </w:r>
    </w:p>
    <w:p w14:paraId="75F89D27" w14:textId="77777777" w:rsidR="001C2C37" w:rsidRPr="001E52CE" w:rsidRDefault="001C2C37" w:rsidP="00F76AA9">
      <w:pPr>
        <w:keepNext/>
        <w:keepLines/>
        <w:rPr>
          <w:rFonts w:eastAsia="MS Mincho" w:cs="Arial"/>
          <w:snapToGrid w:val="0"/>
          <w:lang w:val="de-DE"/>
        </w:rPr>
      </w:pPr>
    </w:p>
    <w:p w14:paraId="5DB1C951" w14:textId="6470BDDC" w:rsidR="001C2C37" w:rsidRDefault="001C2C37" w:rsidP="00F76AA9">
      <w:pPr>
        <w:keepNext/>
        <w:keepLines/>
        <w:rPr>
          <w:lang w:val="de-DE"/>
        </w:rPr>
      </w:pPr>
      <w:r w:rsidRPr="001E52CE">
        <w:rPr>
          <w:rFonts w:eastAsia="MS Mincho"/>
          <w:lang w:val="de-DE"/>
        </w:rPr>
        <w:fldChar w:fldCharType="begin"/>
      </w:r>
      <w:r w:rsidRPr="001E52CE">
        <w:rPr>
          <w:rFonts w:eastAsia="MS Mincho"/>
          <w:lang w:val="de-DE"/>
        </w:rPr>
        <w:instrText xml:space="preserve"> AUTONUM  </w:instrText>
      </w:r>
      <w:r w:rsidRPr="001E52CE">
        <w:rPr>
          <w:rFonts w:eastAsia="MS Mincho"/>
          <w:lang w:val="de-DE"/>
        </w:rPr>
        <w:fldChar w:fldCharType="end"/>
      </w:r>
      <w:r w:rsidRPr="008B37C7">
        <w:rPr>
          <w:lang w:val="de-DE"/>
        </w:rPr>
        <w:tab/>
        <w:t>Der Aufbau dieses Dokuments ist wie folgt:</w:t>
      </w:r>
    </w:p>
    <w:p w14:paraId="54308E77" w14:textId="72936BB3" w:rsidR="001E52CE" w:rsidRDefault="001E52CE" w:rsidP="00F76AA9">
      <w:pPr>
        <w:keepNext/>
        <w:keepLines/>
        <w:rPr>
          <w:lang w:val="de-DE"/>
        </w:rPr>
      </w:pPr>
    </w:p>
    <w:sdt>
      <w:sdtPr>
        <w:rPr>
          <w:i/>
          <w:caps w:val="0"/>
          <w:smallCaps/>
          <w:noProof/>
        </w:rPr>
        <w:id w:val="-454788501"/>
        <w:docPartObj>
          <w:docPartGallery w:val="Table of Contents"/>
          <w:docPartUnique/>
        </w:docPartObj>
      </w:sdtPr>
      <w:sdtEndPr>
        <w:rPr>
          <w:i w:val="0"/>
          <w:smallCaps w:val="0"/>
        </w:rPr>
      </w:sdtEndPr>
      <w:sdtContent>
        <w:p w14:paraId="64B6D929" w14:textId="0822470D" w:rsidR="00B266B7" w:rsidRDefault="001E52CE" w:rsidP="00B266B7">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6067840" w:history="1">
            <w:r w:rsidR="00B266B7" w:rsidRPr="00EB3C85">
              <w:rPr>
                <w:rStyle w:val="Hyperlink"/>
                <w:noProof/>
                <w:lang w:val="de-DE"/>
              </w:rPr>
              <w:t>Zusammenfassung</w:t>
            </w:r>
            <w:r w:rsidR="00B266B7">
              <w:rPr>
                <w:noProof/>
                <w:webHidden/>
              </w:rPr>
              <w:tab/>
            </w:r>
            <w:r w:rsidR="00B266B7">
              <w:rPr>
                <w:noProof/>
                <w:webHidden/>
              </w:rPr>
              <w:fldChar w:fldCharType="begin"/>
            </w:r>
            <w:r w:rsidR="00B266B7">
              <w:rPr>
                <w:noProof/>
                <w:webHidden/>
              </w:rPr>
              <w:instrText xml:space="preserve"> PAGEREF _Toc86067840 \h </w:instrText>
            </w:r>
            <w:r w:rsidR="00B266B7">
              <w:rPr>
                <w:noProof/>
                <w:webHidden/>
              </w:rPr>
            </w:r>
            <w:r w:rsidR="00B266B7">
              <w:rPr>
                <w:noProof/>
                <w:webHidden/>
              </w:rPr>
              <w:fldChar w:fldCharType="separate"/>
            </w:r>
            <w:r w:rsidR="00B266B7">
              <w:rPr>
                <w:noProof/>
                <w:webHidden/>
              </w:rPr>
              <w:t>1</w:t>
            </w:r>
            <w:r w:rsidR="00B266B7">
              <w:rPr>
                <w:noProof/>
                <w:webHidden/>
              </w:rPr>
              <w:fldChar w:fldCharType="end"/>
            </w:r>
          </w:hyperlink>
        </w:p>
        <w:p w14:paraId="55B5D83A" w14:textId="6E7E2DE2" w:rsidR="00B266B7" w:rsidRDefault="008D66CC" w:rsidP="00B266B7">
          <w:pPr>
            <w:pStyle w:val="TOC1"/>
            <w:rPr>
              <w:rFonts w:asciiTheme="minorHAnsi" w:eastAsiaTheme="minorEastAsia" w:hAnsiTheme="minorHAnsi" w:cstheme="minorBidi"/>
              <w:noProof/>
              <w:sz w:val="22"/>
              <w:szCs w:val="22"/>
            </w:rPr>
          </w:pPr>
          <w:hyperlink w:anchor="_Toc86067841" w:history="1">
            <w:r w:rsidR="00B266B7" w:rsidRPr="00EB3C85">
              <w:rPr>
                <w:rStyle w:val="Hyperlink"/>
                <w:noProof/>
                <w:lang w:val="de-DE"/>
              </w:rPr>
              <w:t>GENIE-DATENBANK</w:t>
            </w:r>
            <w:r w:rsidR="00B266B7">
              <w:rPr>
                <w:noProof/>
                <w:webHidden/>
              </w:rPr>
              <w:tab/>
            </w:r>
            <w:r w:rsidR="00B266B7">
              <w:rPr>
                <w:noProof/>
                <w:webHidden/>
              </w:rPr>
              <w:fldChar w:fldCharType="begin"/>
            </w:r>
            <w:r w:rsidR="00B266B7">
              <w:rPr>
                <w:noProof/>
                <w:webHidden/>
              </w:rPr>
              <w:instrText xml:space="preserve"> PAGEREF _Toc86067841 \h </w:instrText>
            </w:r>
            <w:r w:rsidR="00B266B7">
              <w:rPr>
                <w:noProof/>
                <w:webHidden/>
              </w:rPr>
            </w:r>
            <w:r w:rsidR="00B266B7">
              <w:rPr>
                <w:noProof/>
                <w:webHidden/>
              </w:rPr>
              <w:fldChar w:fldCharType="separate"/>
            </w:r>
            <w:r w:rsidR="00B266B7">
              <w:rPr>
                <w:noProof/>
                <w:webHidden/>
              </w:rPr>
              <w:t>1</w:t>
            </w:r>
            <w:r w:rsidR="00B266B7">
              <w:rPr>
                <w:noProof/>
                <w:webHidden/>
              </w:rPr>
              <w:fldChar w:fldCharType="end"/>
            </w:r>
          </w:hyperlink>
        </w:p>
        <w:p w14:paraId="3C351D36" w14:textId="31315CD9" w:rsidR="00B266B7" w:rsidRDefault="008D66CC">
          <w:pPr>
            <w:pStyle w:val="TOC2"/>
            <w:rPr>
              <w:rFonts w:asciiTheme="minorHAnsi" w:eastAsiaTheme="minorEastAsia" w:hAnsiTheme="minorHAnsi" w:cstheme="minorBidi"/>
              <w:i/>
              <w:sz w:val="22"/>
              <w:szCs w:val="22"/>
            </w:rPr>
          </w:pPr>
          <w:hyperlink w:anchor="_Toc86067842" w:history="1">
            <w:r w:rsidR="00B266B7" w:rsidRPr="00EB3C85">
              <w:rPr>
                <w:rStyle w:val="Hyperlink"/>
                <w:lang w:val="de-DE"/>
              </w:rPr>
              <w:t>Hintergrund</w:t>
            </w:r>
            <w:r w:rsidR="00B266B7">
              <w:rPr>
                <w:webHidden/>
              </w:rPr>
              <w:tab/>
            </w:r>
            <w:r w:rsidR="00B266B7">
              <w:rPr>
                <w:webHidden/>
              </w:rPr>
              <w:fldChar w:fldCharType="begin"/>
            </w:r>
            <w:r w:rsidR="00B266B7">
              <w:rPr>
                <w:webHidden/>
              </w:rPr>
              <w:instrText xml:space="preserve"> PAGEREF _Toc86067842 \h </w:instrText>
            </w:r>
            <w:r w:rsidR="00B266B7">
              <w:rPr>
                <w:webHidden/>
              </w:rPr>
            </w:r>
            <w:r w:rsidR="00B266B7">
              <w:rPr>
                <w:webHidden/>
              </w:rPr>
              <w:fldChar w:fldCharType="separate"/>
            </w:r>
            <w:r w:rsidR="00B266B7">
              <w:rPr>
                <w:webHidden/>
              </w:rPr>
              <w:t>1</w:t>
            </w:r>
            <w:r w:rsidR="00B266B7">
              <w:rPr>
                <w:webHidden/>
              </w:rPr>
              <w:fldChar w:fldCharType="end"/>
            </w:r>
          </w:hyperlink>
        </w:p>
        <w:p w14:paraId="5CAE68EC" w14:textId="50CCF95E" w:rsidR="00B266B7" w:rsidRDefault="008D66CC" w:rsidP="00B266B7">
          <w:pPr>
            <w:pStyle w:val="TOC1"/>
            <w:rPr>
              <w:rFonts w:asciiTheme="minorHAnsi" w:eastAsiaTheme="minorEastAsia" w:hAnsiTheme="minorHAnsi" w:cstheme="minorBidi"/>
              <w:noProof/>
              <w:sz w:val="22"/>
              <w:szCs w:val="22"/>
            </w:rPr>
          </w:pPr>
          <w:hyperlink w:anchor="_Toc86067843" w:history="1">
            <w:r w:rsidR="00B266B7" w:rsidRPr="00EB3C85">
              <w:rPr>
                <w:rStyle w:val="Hyperlink"/>
                <w:noProof/>
                <w:lang w:val="de-DE"/>
              </w:rPr>
              <w:t>UPOV-Code-System</w:t>
            </w:r>
            <w:r w:rsidR="00B266B7">
              <w:rPr>
                <w:noProof/>
                <w:webHidden/>
              </w:rPr>
              <w:tab/>
            </w:r>
            <w:r w:rsidR="00B266B7">
              <w:rPr>
                <w:noProof/>
                <w:webHidden/>
              </w:rPr>
              <w:fldChar w:fldCharType="begin"/>
            </w:r>
            <w:r w:rsidR="00B266B7">
              <w:rPr>
                <w:noProof/>
                <w:webHidden/>
              </w:rPr>
              <w:instrText xml:space="preserve"> PAGEREF _Toc86067843 \h </w:instrText>
            </w:r>
            <w:r w:rsidR="00B266B7">
              <w:rPr>
                <w:noProof/>
                <w:webHidden/>
              </w:rPr>
            </w:r>
            <w:r w:rsidR="00B266B7">
              <w:rPr>
                <w:noProof/>
                <w:webHidden/>
              </w:rPr>
              <w:fldChar w:fldCharType="separate"/>
            </w:r>
            <w:r w:rsidR="00B266B7">
              <w:rPr>
                <w:noProof/>
                <w:webHidden/>
              </w:rPr>
              <w:t>2</w:t>
            </w:r>
            <w:r w:rsidR="00B266B7">
              <w:rPr>
                <w:noProof/>
                <w:webHidden/>
              </w:rPr>
              <w:fldChar w:fldCharType="end"/>
            </w:r>
          </w:hyperlink>
        </w:p>
        <w:p w14:paraId="29FC0A71" w14:textId="3C8C9C7C" w:rsidR="00B266B7" w:rsidRDefault="008D66CC">
          <w:pPr>
            <w:pStyle w:val="TOC2"/>
            <w:rPr>
              <w:rFonts w:asciiTheme="minorHAnsi" w:eastAsiaTheme="minorEastAsia" w:hAnsiTheme="minorHAnsi" w:cstheme="minorBidi"/>
              <w:i/>
              <w:sz w:val="22"/>
              <w:szCs w:val="22"/>
            </w:rPr>
          </w:pPr>
          <w:hyperlink w:anchor="_Toc86067844" w:history="1">
            <w:r w:rsidR="00B266B7" w:rsidRPr="00EB3C85">
              <w:rPr>
                <w:rStyle w:val="Hyperlink"/>
                <w:lang w:val="de-DE"/>
              </w:rPr>
              <w:t>Entwicklungen betreffend die UPOV-Codes</w:t>
            </w:r>
            <w:r w:rsidR="00B266B7">
              <w:rPr>
                <w:webHidden/>
              </w:rPr>
              <w:tab/>
            </w:r>
            <w:r w:rsidR="00B266B7">
              <w:rPr>
                <w:webHidden/>
              </w:rPr>
              <w:fldChar w:fldCharType="begin"/>
            </w:r>
            <w:r w:rsidR="00B266B7">
              <w:rPr>
                <w:webHidden/>
              </w:rPr>
              <w:instrText xml:space="preserve"> PAGEREF _Toc86067844 \h </w:instrText>
            </w:r>
            <w:r w:rsidR="00B266B7">
              <w:rPr>
                <w:webHidden/>
              </w:rPr>
            </w:r>
            <w:r w:rsidR="00B266B7">
              <w:rPr>
                <w:webHidden/>
              </w:rPr>
              <w:fldChar w:fldCharType="separate"/>
            </w:r>
            <w:r w:rsidR="00B266B7">
              <w:rPr>
                <w:webHidden/>
              </w:rPr>
              <w:t>2</w:t>
            </w:r>
            <w:r w:rsidR="00B266B7">
              <w:rPr>
                <w:webHidden/>
              </w:rPr>
              <w:fldChar w:fldCharType="end"/>
            </w:r>
          </w:hyperlink>
        </w:p>
        <w:p w14:paraId="45294952" w14:textId="2DB84539" w:rsidR="00B266B7" w:rsidRDefault="008D66CC">
          <w:pPr>
            <w:pStyle w:val="TOC2"/>
            <w:rPr>
              <w:rFonts w:asciiTheme="minorHAnsi" w:eastAsiaTheme="minorEastAsia" w:hAnsiTheme="minorHAnsi" w:cstheme="minorBidi"/>
              <w:i/>
              <w:sz w:val="22"/>
              <w:szCs w:val="22"/>
            </w:rPr>
          </w:pPr>
          <w:hyperlink w:anchor="_Toc86067845" w:history="1">
            <w:r w:rsidR="00B266B7" w:rsidRPr="00EB3C85">
              <w:rPr>
                <w:rStyle w:val="Hyperlink"/>
                <w:lang w:val="de-DE"/>
              </w:rPr>
              <w:t>Überprüfung durch die TWP</w:t>
            </w:r>
            <w:r w:rsidR="00B266B7">
              <w:rPr>
                <w:webHidden/>
              </w:rPr>
              <w:tab/>
            </w:r>
            <w:r w:rsidR="00B266B7">
              <w:rPr>
                <w:webHidden/>
              </w:rPr>
              <w:fldChar w:fldCharType="begin"/>
            </w:r>
            <w:r w:rsidR="00B266B7">
              <w:rPr>
                <w:webHidden/>
              </w:rPr>
              <w:instrText xml:space="preserve"> PAGEREF _Toc86067845 \h </w:instrText>
            </w:r>
            <w:r w:rsidR="00B266B7">
              <w:rPr>
                <w:webHidden/>
              </w:rPr>
            </w:r>
            <w:r w:rsidR="00B266B7">
              <w:rPr>
                <w:webHidden/>
              </w:rPr>
              <w:fldChar w:fldCharType="separate"/>
            </w:r>
            <w:r w:rsidR="00B266B7">
              <w:rPr>
                <w:webHidden/>
              </w:rPr>
              <w:t>3</w:t>
            </w:r>
            <w:r w:rsidR="00B266B7">
              <w:rPr>
                <w:webHidden/>
              </w:rPr>
              <w:fldChar w:fldCharType="end"/>
            </w:r>
          </w:hyperlink>
        </w:p>
        <w:p w14:paraId="5BEEB870" w14:textId="369B6827" w:rsidR="00B266B7" w:rsidRDefault="008D66CC" w:rsidP="00B266B7">
          <w:pPr>
            <w:pStyle w:val="TOC1"/>
            <w:rPr>
              <w:rFonts w:asciiTheme="minorHAnsi" w:eastAsiaTheme="minorEastAsia" w:hAnsiTheme="minorHAnsi" w:cstheme="minorBidi"/>
              <w:noProof/>
              <w:sz w:val="22"/>
              <w:szCs w:val="22"/>
            </w:rPr>
          </w:pPr>
          <w:hyperlink w:anchor="_Toc86067846" w:history="1">
            <w:r w:rsidR="00B266B7" w:rsidRPr="00EB3C85">
              <w:rPr>
                <w:rStyle w:val="Hyperlink"/>
                <w:noProof/>
                <w:lang w:val="de-DE"/>
              </w:rPr>
              <w:t>PLUTO-Datenbank</w:t>
            </w:r>
            <w:r w:rsidR="00B266B7">
              <w:rPr>
                <w:noProof/>
                <w:webHidden/>
              </w:rPr>
              <w:tab/>
            </w:r>
            <w:r w:rsidR="00B266B7">
              <w:rPr>
                <w:noProof/>
                <w:webHidden/>
              </w:rPr>
              <w:fldChar w:fldCharType="begin"/>
            </w:r>
            <w:r w:rsidR="00B266B7">
              <w:rPr>
                <w:noProof/>
                <w:webHidden/>
              </w:rPr>
              <w:instrText xml:space="preserve"> PAGEREF _Toc86067846 \h </w:instrText>
            </w:r>
            <w:r w:rsidR="00B266B7">
              <w:rPr>
                <w:noProof/>
                <w:webHidden/>
              </w:rPr>
            </w:r>
            <w:r w:rsidR="00B266B7">
              <w:rPr>
                <w:noProof/>
                <w:webHidden/>
              </w:rPr>
              <w:fldChar w:fldCharType="separate"/>
            </w:r>
            <w:r w:rsidR="00B266B7">
              <w:rPr>
                <w:noProof/>
                <w:webHidden/>
              </w:rPr>
              <w:t>3</w:t>
            </w:r>
            <w:r w:rsidR="00B266B7">
              <w:rPr>
                <w:noProof/>
                <w:webHidden/>
              </w:rPr>
              <w:fldChar w:fldCharType="end"/>
            </w:r>
          </w:hyperlink>
        </w:p>
        <w:p w14:paraId="70267EDF" w14:textId="7ED4DF1E" w:rsidR="00B266B7" w:rsidRDefault="008D66CC">
          <w:pPr>
            <w:pStyle w:val="TOC2"/>
            <w:rPr>
              <w:rFonts w:asciiTheme="minorHAnsi" w:eastAsiaTheme="minorEastAsia" w:hAnsiTheme="minorHAnsi" w:cstheme="minorBidi"/>
              <w:i/>
              <w:sz w:val="22"/>
              <w:szCs w:val="22"/>
            </w:rPr>
          </w:pPr>
          <w:hyperlink w:anchor="_Toc86067847" w:history="1">
            <w:r w:rsidR="00B266B7" w:rsidRPr="00EB3C85">
              <w:rPr>
                <w:rStyle w:val="Hyperlink"/>
                <w:lang w:val="de-DE"/>
              </w:rPr>
              <w:t>Hintergrund</w:t>
            </w:r>
            <w:r w:rsidR="00B266B7">
              <w:rPr>
                <w:webHidden/>
              </w:rPr>
              <w:tab/>
            </w:r>
            <w:r w:rsidR="00B266B7">
              <w:rPr>
                <w:webHidden/>
              </w:rPr>
              <w:fldChar w:fldCharType="begin"/>
            </w:r>
            <w:r w:rsidR="00B266B7">
              <w:rPr>
                <w:webHidden/>
              </w:rPr>
              <w:instrText xml:space="preserve"> PAGEREF _Toc86067847 \h </w:instrText>
            </w:r>
            <w:r w:rsidR="00B266B7">
              <w:rPr>
                <w:webHidden/>
              </w:rPr>
            </w:r>
            <w:r w:rsidR="00B266B7">
              <w:rPr>
                <w:webHidden/>
              </w:rPr>
              <w:fldChar w:fldCharType="separate"/>
            </w:r>
            <w:r w:rsidR="00B266B7">
              <w:rPr>
                <w:webHidden/>
              </w:rPr>
              <w:t>3</w:t>
            </w:r>
            <w:r w:rsidR="00B266B7">
              <w:rPr>
                <w:webHidden/>
              </w:rPr>
              <w:fldChar w:fldCharType="end"/>
            </w:r>
          </w:hyperlink>
        </w:p>
        <w:p w14:paraId="0FDE1738" w14:textId="517ECE12" w:rsidR="00B266B7" w:rsidRDefault="008D66CC">
          <w:pPr>
            <w:pStyle w:val="TOC2"/>
            <w:rPr>
              <w:rFonts w:asciiTheme="minorHAnsi" w:eastAsiaTheme="minorEastAsia" w:hAnsiTheme="minorHAnsi" w:cstheme="minorBidi"/>
              <w:i/>
              <w:sz w:val="22"/>
              <w:szCs w:val="22"/>
            </w:rPr>
          </w:pPr>
          <w:hyperlink w:anchor="_Toc86067848" w:history="1">
            <w:r w:rsidR="00B266B7" w:rsidRPr="00EB3C85">
              <w:rPr>
                <w:rStyle w:val="Hyperlink"/>
                <w:lang w:val="de-DE"/>
              </w:rPr>
              <w:t>Neue PLUTO-Version</w:t>
            </w:r>
            <w:r w:rsidR="00B266B7">
              <w:rPr>
                <w:webHidden/>
              </w:rPr>
              <w:tab/>
            </w:r>
            <w:r w:rsidR="00B266B7">
              <w:rPr>
                <w:webHidden/>
              </w:rPr>
              <w:fldChar w:fldCharType="begin"/>
            </w:r>
            <w:r w:rsidR="00B266B7">
              <w:rPr>
                <w:webHidden/>
              </w:rPr>
              <w:instrText xml:space="preserve"> PAGEREF _Toc86067848 \h </w:instrText>
            </w:r>
            <w:r w:rsidR="00B266B7">
              <w:rPr>
                <w:webHidden/>
              </w:rPr>
            </w:r>
            <w:r w:rsidR="00B266B7">
              <w:rPr>
                <w:webHidden/>
              </w:rPr>
              <w:fldChar w:fldCharType="separate"/>
            </w:r>
            <w:r w:rsidR="00B266B7">
              <w:rPr>
                <w:webHidden/>
              </w:rPr>
              <w:t>4</w:t>
            </w:r>
            <w:r w:rsidR="00B266B7">
              <w:rPr>
                <w:webHidden/>
              </w:rPr>
              <w:fldChar w:fldCharType="end"/>
            </w:r>
          </w:hyperlink>
        </w:p>
        <w:p w14:paraId="5AF5D181" w14:textId="74DD313D" w:rsidR="001E52CE" w:rsidRDefault="001E52CE" w:rsidP="00F76AA9">
          <w:pPr>
            <w:pStyle w:val="TOC2"/>
            <w:rPr>
              <w:sz w:val="20"/>
            </w:rPr>
          </w:pPr>
          <w:r>
            <w:fldChar w:fldCharType="end"/>
          </w:r>
        </w:p>
      </w:sdtContent>
    </w:sdt>
    <w:p w14:paraId="1F465456" w14:textId="16E72604" w:rsidR="001C2C37" w:rsidRPr="001E52CE" w:rsidRDefault="001C2C37" w:rsidP="00F76AA9">
      <w:pPr>
        <w:rPr>
          <w:rFonts w:eastAsia="MS Mincho"/>
          <w:b/>
          <w:lang w:val="de-DE"/>
        </w:rPr>
      </w:pPr>
    </w:p>
    <w:p w14:paraId="36F3EB77" w14:textId="106196BD" w:rsidR="00491867" w:rsidRDefault="00491867" w:rsidP="00F76AA9">
      <w:pPr>
        <w:spacing w:before="120"/>
        <w:ind w:left="1138" w:hanging="1138"/>
        <w:rPr>
          <w:sz w:val="18"/>
          <w:lang w:val="de-DE"/>
        </w:rPr>
      </w:pPr>
      <w:r>
        <w:rPr>
          <w:sz w:val="18"/>
          <w:lang w:val="de-DE"/>
        </w:rPr>
        <w:t>ANLAGE I:</w:t>
      </w:r>
      <w:r>
        <w:rPr>
          <w:sz w:val="18"/>
          <w:lang w:val="de-DE"/>
        </w:rPr>
        <w:tab/>
        <w:t>PROGRAMM ZUR VERBESSERUNG DER DATENBANK FÜR PFLANZENSORTEN</w:t>
      </w:r>
    </w:p>
    <w:p w14:paraId="4B60BE42" w14:textId="7AFC2A69" w:rsidR="000E601C" w:rsidRDefault="000E601C" w:rsidP="00F76AA9">
      <w:pPr>
        <w:spacing w:before="120"/>
        <w:ind w:left="1138" w:hanging="1138"/>
        <w:rPr>
          <w:sz w:val="18"/>
          <w:lang w:val="de-DE"/>
        </w:rPr>
      </w:pPr>
      <w:r w:rsidRPr="001E52CE">
        <w:rPr>
          <w:sz w:val="18"/>
          <w:lang w:val="de-DE"/>
        </w:rPr>
        <w:t xml:space="preserve">ANLAGE II: </w:t>
      </w:r>
      <w:r w:rsidRPr="001E52CE">
        <w:rPr>
          <w:sz w:val="18"/>
          <w:lang w:val="de-DE"/>
        </w:rPr>
        <w:tab/>
        <w:t>BERICHT ÜBER DIE VON DEN VERBANDSMITGLIEDERN UND ANDEREN BEITRAGSLEISTENEN EINGEREICHTEN DATEN FÜR DIE DATENBANK FÜR PFLANZENSORTEN UND UNTERSTÜTZUNG FÜR DIE EINREICHUNG VON DATEN</w:t>
      </w:r>
    </w:p>
    <w:p w14:paraId="0C58F922" w14:textId="77777777" w:rsidR="00B02348" w:rsidRPr="001E52CE" w:rsidRDefault="00B02348" w:rsidP="00F76AA9">
      <w:pPr>
        <w:spacing w:before="120"/>
        <w:ind w:left="1138" w:hanging="1138"/>
        <w:rPr>
          <w:sz w:val="18"/>
          <w:lang w:val="de-DE"/>
        </w:rPr>
      </w:pPr>
    </w:p>
    <w:p w14:paraId="55BEB0B3" w14:textId="77777777" w:rsidR="001C2C37" w:rsidRPr="008B37C7" w:rsidRDefault="001C2C37" w:rsidP="00F76AA9">
      <w:pPr>
        <w:rPr>
          <w:rFonts w:eastAsiaTheme="minorEastAsia"/>
          <w:lang w:val="de-DE"/>
        </w:rPr>
      </w:pPr>
    </w:p>
    <w:p w14:paraId="0F8DB047" w14:textId="77777777" w:rsidR="001C2C37" w:rsidRPr="008B37C7" w:rsidRDefault="001C2C37" w:rsidP="00F76AA9">
      <w:pPr>
        <w:rPr>
          <w:rFonts w:eastAsiaTheme="minorEastAsia"/>
          <w:lang w:val="de-DE"/>
        </w:rPr>
      </w:pPr>
    </w:p>
    <w:p w14:paraId="49B040D3" w14:textId="77777777" w:rsidR="001C2C37" w:rsidRPr="008B37C7" w:rsidRDefault="001C2C37" w:rsidP="00B266B7">
      <w:pPr>
        <w:keepNext/>
        <w:outlineLvl w:val="0"/>
        <w:rPr>
          <w:rFonts w:eastAsiaTheme="minorEastAsia"/>
          <w:caps/>
          <w:lang w:val="de-DE"/>
        </w:rPr>
      </w:pPr>
      <w:bookmarkStart w:id="7" w:name="_Toc477797636"/>
      <w:bookmarkStart w:id="8" w:name="_Toc53852899"/>
      <w:bookmarkStart w:id="9" w:name="_Toc85636325"/>
      <w:bookmarkStart w:id="10" w:name="_Toc86067841"/>
      <w:r w:rsidRPr="008B37C7">
        <w:rPr>
          <w:caps/>
          <w:lang w:val="de-DE"/>
        </w:rPr>
        <w:lastRenderedPageBreak/>
        <w:t>GENIE-DATENBANK</w:t>
      </w:r>
      <w:bookmarkStart w:id="11" w:name="_GoBack"/>
      <w:bookmarkEnd w:id="7"/>
      <w:bookmarkEnd w:id="8"/>
      <w:bookmarkEnd w:id="9"/>
      <w:bookmarkEnd w:id="10"/>
      <w:bookmarkEnd w:id="11"/>
    </w:p>
    <w:p w14:paraId="09B3BEDD" w14:textId="77777777" w:rsidR="001C2C37" w:rsidRPr="008B37C7" w:rsidRDefault="001C2C37" w:rsidP="00B266B7">
      <w:pPr>
        <w:keepNext/>
        <w:rPr>
          <w:rFonts w:eastAsiaTheme="minorEastAsia"/>
          <w:lang w:val="de-DE" w:eastAsia="ja-JP"/>
        </w:rPr>
      </w:pPr>
    </w:p>
    <w:p w14:paraId="4FADE074" w14:textId="77777777" w:rsidR="001C2C37" w:rsidRPr="008B37C7" w:rsidRDefault="001C2C37" w:rsidP="00B266B7">
      <w:pPr>
        <w:keepNext/>
        <w:outlineLvl w:val="1"/>
        <w:rPr>
          <w:rFonts w:eastAsiaTheme="minorEastAsia"/>
          <w:u w:val="single"/>
          <w:lang w:val="de-DE"/>
        </w:rPr>
      </w:pPr>
      <w:bookmarkStart w:id="12" w:name="_Toc477797637"/>
      <w:bookmarkStart w:id="13" w:name="_Toc53852900"/>
      <w:bookmarkStart w:id="14" w:name="_Toc85636326"/>
      <w:bookmarkStart w:id="15" w:name="_Toc86067842"/>
      <w:r w:rsidRPr="008B37C7">
        <w:rPr>
          <w:u w:val="single"/>
          <w:lang w:val="de-DE"/>
        </w:rPr>
        <w:t>Hintergrund</w:t>
      </w:r>
      <w:bookmarkEnd w:id="12"/>
      <w:bookmarkEnd w:id="13"/>
      <w:bookmarkEnd w:id="14"/>
      <w:bookmarkEnd w:id="15"/>
    </w:p>
    <w:p w14:paraId="5C889682" w14:textId="77777777" w:rsidR="001C2C37" w:rsidRPr="008B37C7" w:rsidRDefault="001C2C37" w:rsidP="00B266B7">
      <w:pPr>
        <w:keepNext/>
        <w:rPr>
          <w:rFonts w:eastAsiaTheme="minorEastAsia"/>
          <w:lang w:val="de-DE" w:eastAsia="ja-JP"/>
        </w:rPr>
      </w:pPr>
    </w:p>
    <w:p w14:paraId="7F02E74B" w14:textId="77777777" w:rsidR="001C2C37" w:rsidRPr="008B37C7" w:rsidRDefault="001C2C37" w:rsidP="00B266B7">
      <w:pPr>
        <w:keepNext/>
        <w:rPr>
          <w:rFonts w:eastAsiaTheme="minorEastAsia"/>
          <w:caps/>
          <w:lang w:val="de-DE"/>
        </w:rPr>
      </w:pPr>
      <w:r w:rsidRPr="001E52CE">
        <w:rPr>
          <w:rFonts w:eastAsiaTheme="minorEastAsia" w:cs="Arial"/>
          <w:lang w:val="de-DE"/>
        </w:rPr>
        <w:fldChar w:fldCharType="begin"/>
      </w:r>
      <w:r w:rsidRPr="001E52CE">
        <w:rPr>
          <w:rFonts w:eastAsiaTheme="minorEastAsia" w:cs="Arial"/>
          <w:lang w:val="de-DE"/>
        </w:rPr>
        <w:instrText xml:space="preserve"> AUTONUM  </w:instrText>
      </w:r>
      <w:r w:rsidRPr="001E52CE">
        <w:rPr>
          <w:rFonts w:eastAsiaTheme="minorEastAsia" w:cs="Arial"/>
          <w:lang w:val="de-DE"/>
        </w:rPr>
        <w:fldChar w:fldCharType="end"/>
      </w:r>
      <w:r w:rsidRPr="008B37C7">
        <w:rPr>
          <w:lang w:val="de-DE"/>
        </w:rPr>
        <w:tab/>
        <w:t xml:space="preserve">Die GENIE-Datenbank </w:t>
      </w:r>
      <w:hyperlink r:id="rId9" w:history="1">
        <w:r w:rsidRPr="001E52CE">
          <w:rPr>
            <w:color w:val="0000FF"/>
            <w:u w:val="single"/>
            <w:lang w:val="de-DE"/>
          </w:rPr>
          <w:t>(http://www.upov.int/genie/de/</w:t>
        </w:r>
      </w:hyperlink>
      <w:r w:rsidRPr="008B37C7">
        <w:rPr>
          <w:lang w:val="de-DE"/>
        </w:rPr>
        <w:t>) wurde entwickelt, um Online-Informationen über den Stand des Schutzes, die Zusammenarbeit bei der Prüfung, die Erfahrung bei der DUS-Prüfung und die Existenz von UPOV-Prüfungsrichtlinien für Gattungen und Arten (englisch GENera und specIEs, daher GENIE) zu erteilen. Die GENIE-Datenbank dient auch der Erstellung der in dieser Hinsicht maßgeblichen Dokumente für den Rat und den TC</w:t>
      </w:r>
      <w:r w:rsidRPr="001E52CE">
        <w:rPr>
          <w:rFonts w:eastAsiaTheme="minorEastAsia" w:cs="Arial"/>
          <w:vertAlign w:val="superscript"/>
          <w:lang w:val="de-DE"/>
        </w:rPr>
        <w:footnoteReference w:id="2"/>
      </w:r>
      <w:r w:rsidRPr="008B37C7">
        <w:rPr>
          <w:lang w:val="de-DE"/>
        </w:rPr>
        <w:t>.</w:t>
      </w:r>
    </w:p>
    <w:p w14:paraId="2D7021EE" w14:textId="77777777" w:rsidR="001C2C37" w:rsidRPr="008B37C7" w:rsidRDefault="001C2C37" w:rsidP="00F76AA9">
      <w:pPr>
        <w:rPr>
          <w:rFonts w:eastAsiaTheme="minorEastAsia" w:cs="Arial"/>
          <w:lang w:val="de-DE"/>
        </w:rPr>
      </w:pPr>
    </w:p>
    <w:p w14:paraId="41D280B3" w14:textId="77777777" w:rsidR="001C2C37" w:rsidRPr="008B37C7" w:rsidRDefault="001C2C37" w:rsidP="00F76AA9">
      <w:pPr>
        <w:rPr>
          <w:rFonts w:eastAsiaTheme="minorEastAsia" w:cs="Arial"/>
          <w:lang w:val="de-DE"/>
        </w:rPr>
      </w:pPr>
      <w:r w:rsidRPr="001E52CE">
        <w:rPr>
          <w:rFonts w:eastAsiaTheme="minorEastAsia" w:cs="Arial"/>
          <w:lang w:val="de-DE"/>
        </w:rPr>
        <w:fldChar w:fldCharType="begin"/>
      </w:r>
      <w:r w:rsidRPr="001E52CE">
        <w:rPr>
          <w:rFonts w:eastAsiaTheme="minorEastAsia" w:cs="Arial"/>
          <w:lang w:val="de-DE"/>
        </w:rPr>
        <w:instrText xml:space="preserve"> AUTONUM  </w:instrText>
      </w:r>
      <w:r w:rsidRPr="001E52CE">
        <w:rPr>
          <w:rFonts w:eastAsiaTheme="minorEastAsia" w:cs="Arial"/>
          <w:lang w:val="de-DE"/>
        </w:rPr>
        <w:fldChar w:fldCharType="end"/>
      </w:r>
      <w:r w:rsidRPr="008B37C7">
        <w:rPr>
          <w:lang w:val="de-DE"/>
        </w:rPr>
        <w:tab/>
        <w:t>Die GENIE-Datenbank ist auch die Sammelstelle der UPOV-Codes und informiert über alternative botanische und landesübliche Namen.</w:t>
      </w:r>
    </w:p>
    <w:p w14:paraId="43A039AE" w14:textId="77777777" w:rsidR="001C2C37" w:rsidRPr="008B37C7" w:rsidRDefault="001C2C37" w:rsidP="00F76AA9">
      <w:pPr>
        <w:rPr>
          <w:rFonts w:eastAsiaTheme="minorEastAsia"/>
          <w:caps/>
          <w:lang w:val="de-DE"/>
        </w:rPr>
      </w:pPr>
      <w:bookmarkStart w:id="16" w:name="_Toc477797639"/>
    </w:p>
    <w:p w14:paraId="74D19C34" w14:textId="77777777" w:rsidR="001C2C37" w:rsidRPr="008B37C7" w:rsidRDefault="001C2C37" w:rsidP="00F76AA9">
      <w:pPr>
        <w:rPr>
          <w:rFonts w:eastAsiaTheme="minorEastAsia"/>
          <w:caps/>
          <w:lang w:val="de-DE"/>
        </w:rPr>
      </w:pPr>
    </w:p>
    <w:p w14:paraId="2862687C" w14:textId="77777777" w:rsidR="001C2C37" w:rsidRPr="008B37C7" w:rsidRDefault="001C2C37" w:rsidP="00F76AA9">
      <w:pPr>
        <w:keepNext/>
        <w:outlineLvl w:val="0"/>
        <w:rPr>
          <w:rFonts w:eastAsiaTheme="minorEastAsia"/>
          <w:caps/>
          <w:lang w:val="de-DE"/>
        </w:rPr>
      </w:pPr>
      <w:bookmarkStart w:id="17" w:name="_Toc53852901"/>
      <w:bookmarkStart w:id="18" w:name="_Toc85636327"/>
      <w:bookmarkStart w:id="19" w:name="_Toc86067843"/>
      <w:r w:rsidRPr="008B37C7">
        <w:rPr>
          <w:caps/>
          <w:lang w:val="de-DE"/>
        </w:rPr>
        <w:t>UPOV-Code-System</w:t>
      </w:r>
      <w:bookmarkEnd w:id="16"/>
      <w:bookmarkEnd w:id="17"/>
      <w:bookmarkEnd w:id="18"/>
      <w:bookmarkEnd w:id="19"/>
    </w:p>
    <w:p w14:paraId="624F1E9B" w14:textId="77777777" w:rsidR="001C2C37" w:rsidRPr="008B37C7" w:rsidRDefault="001C2C37" w:rsidP="00F76AA9">
      <w:pPr>
        <w:keepNext/>
        <w:rPr>
          <w:rFonts w:eastAsiaTheme="minorEastAsia" w:cs="Arial"/>
          <w:snapToGrid w:val="0"/>
          <w:lang w:val="de-DE"/>
        </w:rPr>
      </w:pPr>
    </w:p>
    <w:p w14:paraId="10561E0B" w14:textId="2E545E4E" w:rsidR="001C2C37" w:rsidRPr="008B37C7" w:rsidRDefault="001C2C37" w:rsidP="00F76AA9">
      <w:pPr>
        <w:rPr>
          <w:rFonts w:eastAsiaTheme="minorEastAsia" w:cs="Arial"/>
          <w:lang w:val="de-DE"/>
        </w:rPr>
      </w:pPr>
      <w:r w:rsidRPr="001E52CE">
        <w:rPr>
          <w:rFonts w:eastAsiaTheme="minorEastAsia" w:cs="Arial"/>
          <w:snapToGrid w:val="0"/>
          <w:lang w:val="de-DE"/>
        </w:rPr>
        <w:fldChar w:fldCharType="begin"/>
      </w:r>
      <w:r w:rsidRPr="001E52CE">
        <w:rPr>
          <w:rFonts w:eastAsiaTheme="minorEastAsia" w:cs="Arial"/>
          <w:snapToGrid w:val="0"/>
          <w:lang w:val="de-DE"/>
        </w:rPr>
        <w:instrText xml:space="preserve"> AUTONUM  </w:instrText>
      </w:r>
      <w:r w:rsidRPr="001E52CE">
        <w:rPr>
          <w:rFonts w:eastAsiaTheme="minorEastAsia" w:cs="Arial"/>
          <w:snapToGrid w:val="0"/>
          <w:lang w:val="de-DE"/>
        </w:rPr>
        <w:fldChar w:fldCharType="end"/>
      </w:r>
      <w:r w:rsidRPr="008B37C7">
        <w:rPr>
          <w:snapToGrid w:val="0"/>
          <w:lang w:val="de-DE"/>
        </w:rPr>
        <w:tab/>
        <w:t>Die „Einführung in das UPOV-Code-System“</w:t>
      </w:r>
      <w:r w:rsidR="00F812C8" w:rsidRPr="008B37C7">
        <w:rPr>
          <w:snapToGrid w:val="0"/>
          <w:lang w:val="de-DE"/>
        </w:rPr>
        <w:t>, vom TC auf seiner achtundvierzisten Tagung</w:t>
      </w:r>
      <w:r w:rsidR="00F812C8" w:rsidRPr="008B37C7">
        <w:rPr>
          <w:rStyle w:val="FootnoteReference"/>
          <w:snapToGrid w:val="0"/>
          <w:lang w:val="de-DE"/>
        </w:rPr>
        <w:footnoteReference w:id="3"/>
      </w:r>
      <w:r w:rsidR="00F812C8" w:rsidRPr="008B37C7">
        <w:rPr>
          <w:snapToGrid w:val="0"/>
          <w:lang w:val="de-DE"/>
        </w:rPr>
        <w:t xml:space="preserve"> und dem CAJ auf seiner sechsundfünfzigsten Tagung</w:t>
      </w:r>
      <w:r w:rsidR="00F812C8" w:rsidRPr="008B37C7">
        <w:rPr>
          <w:rStyle w:val="FootnoteReference"/>
          <w:snapToGrid w:val="0"/>
          <w:lang w:val="de-DE"/>
        </w:rPr>
        <w:footnoteReference w:id="4"/>
      </w:r>
      <w:r w:rsidR="00F812C8" w:rsidRPr="008B37C7">
        <w:rPr>
          <w:snapToGrid w:val="0"/>
          <w:lang w:val="de-DE"/>
        </w:rPr>
        <w:t xml:space="preserve"> geändert </w:t>
      </w:r>
      <w:r w:rsidRPr="008B37C7">
        <w:rPr>
          <w:lang w:val="de-DE"/>
        </w:rPr>
        <w:t xml:space="preserve"> </w:t>
      </w:r>
      <w:r w:rsidRPr="008B37C7">
        <w:rPr>
          <w:snapToGrid w:val="0"/>
          <w:lang w:val="de-DE"/>
        </w:rPr>
        <w:t>ist auf der UPOV-Website verfügbar</w:t>
      </w:r>
      <w:r w:rsidRPr="008B37C7">
        <w:rPr>
          <w:lang w:val="de-DE"/>
        </w:rPr>
        <w:t xml:space="preserve"> (siehe </w:t>
      </w:r>
      <w:hyperlink r:id="rId10" w:history="1">
        <w:r w:rsidR="00A17055" w:rsidRPr="00C06A1B">
          <w:rPr>
            <w:rStyle w:val="Hyperlink"/>
            <w:rFonts w:eastAsia="MS Mincho"/>
            <w:spacing w:val="2"/>
            <w:lang w:val="de-DE"/>
          </w:rPr>
          <w:t>https://www.upov.int/genie/resources/pdfs/upov_code_system_de.pdf</w:t>
        </w:r>
      </w:hyperlink>
      <w:r w:rsidRPr="008B37C7">
        <w:rPr>
          <w:lang w:val="de-DE"/>
        </w:rPr>
        <w:t>)</w:t>
      </w:r>
      <w:r w:rsidRPr="008B37C7">
        <w:rPr>
          <w:snapToGrid w:val="0"/>
          <w:lang w:val="de-DE"/>
        </w:rPr>
        <w:t>.</w:t>
      </w:r>
      <w:r w:rsidRPr="008B37C7">
        <w:rPr>
          <w:lang w:val="de-DE"/>
        </w:rPr>
        <w:t xml:space="preserve"> </w:t>
      </w:r>
    </w:p>
    <w:p w14:paraId="52CB3787" w14:textId="77777777" w:rsidR="001C2C37" w:rsidRPr="008B37C7" w:rsidRDefault="001C2C37" w:rsidP="00F76AA9">
      <w:pPr>
        <w:keepNext/>
        <w:rPr>
          <w:rFonts w:eastAsiaTheme="minorEastAsia" w:cs="Arial"/>
          <w:snapToGrid w:val="0"/>
          <w:lang w:val="de-DE"/>
        </w:rPr>
      </w:pPr>
    </w:p>
    <w:p w14:paraId="127192F2" w14:textId="1FA0D53C" w:rsidR="001E55B8" w:rsidRPr="008B37C7" w:rsidRDefault="001C2C37" w:rsidP="00F76AA9">
      <w:pPr>
        <w:keepNext/>
        <w:rPr>
          <w:snapToGrid w:val="0"/>
          <w:lang w:val="de-DE"/>
        </w:rPr>
      </w:pPr>
      <w:r w:rsidRPr="001E52CE">
        <w:rPr>
          <w:rFonts w:eastAsiaTheme="minorEastAsia" w:cs="Arial"/>
          <w:snapToGrid w:val="0"/>
          <w:lang w:val="de-DE"/>
        </w:rPr>
        <w:fldChar w:fldCharType="begin"/>
      </w:r>
      <w:r w:rsidRPr="001E52CE">
        <w:rPr>
          <w:rFonts w:eastAsiaTheme="minorEastAsia" w:cs="Arial"/>
          <w:snapToGrid w:val="0"/>
          <w:lang w:val="de-DE"/>
        </w:rPr>
        <w:instrText xml:space="preserve"> AUTONUM  </w:instrText>
      </w:r>
      <w:r w:rsidRPr="001E52CE">
        <w:rPr>
          <w:rFonts w:eastAsiaTheme="minorEastAsia" w:cs="Arial"/>
          <w:snapToGrid w:val="0"/>
          <w:lang w:val="de-DE"/>
        </w:rPr>
        <w:fldChar w:fldCharType="end"/>
      </w:r>
      <w:r w:rsidRPr="008B37C7">
        <w:rPr>
          <w:snapToGrid w:val="0"/>
          <w:lang w:val="de-DE"/>
        </w:rPr>
        <w:tab/>
      </w:r>
      <w:r w:rsidR="001E55B8" w:rsidRPr="008B37C7">
        <w:rPr>
          <w:snapToGrid w:val="0"/>
          <w:lang w:val="de-DE"/>
        </w:rPr>
        <w:t>A</w:t>
      </w:r>
      <w:r w:rsidR="00F812C8" w:rsidRPr="008B37C7">
        <w:rPr>
          <w:snapToGrid w:val="0"/>
          <w:lang w:val="de-DE"/>
        </w:rPr>
        <w:t>uf seiner sechsundneunzigsten Tagung</w:t>
      </w:r>
      <w:r w:rsidR="001E55B8" w:rsidRPr="008B37C7">
        <w:rPr>
          <w:snapToGrid w:val="0"/>
          <w:lang w:val="de-DE"/>
        </w:rPr>
        <w:t>,</w:t>
      </w:r>
      <w:r w:rsidR="00F812C8" w:rsidRPr="008B37C7">
        <w:rPr>
          <w:snapToGrid w:val="0"/>
          <w:lang w:val="de-DE"/>
        </w:rPr>
        <w:t xml:space="preserve"> am 31. Otkober 2019 </w:t>
      </w:r>
      <w:r w:rsidR="001E55B8" w:rsidRPr="008B37C7">
        <w:rPr>
          <w:snapToGrid w:val="0"/>
          <w:lang w:val="de-DE"/>
        </w:rPr>
        <w:t xml:space="preserve">in Genf, </w:t>
      </w:r>
      <w:r w:rsidR="00F812C8" w:rsidRPr="008B37C7">
        <w:rPr>
          <w:snapToGrid w:val="0"/>
          <w:lang w:val="de-DE"/>
        </w:rPr>
        <w:t xml:space="preserve">nahm </w:t>
      </w:r>
      <w:r w:rsidR="001E55B8" w:rsidRPr="008B37C7">
        <w:rPr>
          <w:snapToGrid w:val="0"/>
          <w:lang w:val="de-DE"/>
        </w:rPr>
        <w:t xml:space="preserve">der Beratende Ausschuss </w:t>
      </w:r>
      <w:r w:rsidR="00F812C8" w:rsidRPr="008B37C7">
        <w:rPr>
          <w:snapToGrid w:val="0"/>
          <w:lang w:val="de-DE"/>
        </w:rPr>
        <w:t>zur Kenntnis, dass der Rat zu gegebener Zeit ersucht werden würde, das „Programm zur Verbesserung der PLUTO-Datenbank“ und die „Einführung in das UPOV-Code System“ anzunehmen, die über die UPOV-Sammling</w:t>
      </w:r>
      <w:r w:rsidR="001E55B8" w:rsidRPr="008B37C7">
        <w:rPr>
          <w:snapToGrid w:val="0"/>
          <w:lang w:val="de-DE"/>
        </w:rPr>
        <w:t xml:space="preserve"> UPOV/INF-Dokumentenserie (Dokument CC/96/14, „Report“, Absatz 85) zugänglich gemacht werden würde.</w:t>
      </w:r>
    </w:p>
    <w:p w14:paraId="264001AA" w14:textId="45B83AED" w:rsidR="001E55B8" w:rsidRPr="008B37C7" w:rsidRDefault="001E55B8" w:rsidP="00F76AA9">
      <w:pPr>
        <w:keepNext/>
        <w:rPr>
          <w:snapToGrid w:val="0"/>
          <w:lang w:val="de-DE"/>
        </w:rPr>
      </w:pPr>
    </w:p>
    <w:p w14:paraId="47B96320" w14:textId="77777777" w:rsidR="001E55B8" w:rsidRPr="008B37C7" w:rsidRDefault="001E55B8" w:rsidP="00F76AA9">
      <w:pPr>
        <w:keepNext/>
        <w:rPr>
          <w:snapToGrid w:val="0"/>
          <w:lang w:val="de-DE"/>
        </w:rPr>
      </w:pPr>
    </w:p>
    <w:p w14:paraId="189DC9D1" w14:textId="77777777" w:rsidR="00B13636" w:rsidRPr="001E52CE" w:rsidRDefault="001E55B8" w:rsidP="00F76AA9">
      <w:pPr>
        <w:keepNext/>
        <w:rPr>
          <w:rFonts w:eastAsia="MS Mincho"/>
          <w:lang w:val="de-DE"/>
        </w:rPr>
      </w:pPr>
      <w:r w:rsidRPr="001E52CE">
        <w:rPr>
          <w:rFonts w:eastAsiaTheme="minorEastAsia"/>
          <w:snapToGrid w:val="0"/>
          <w:lang w:val="de-DE"/>
        </w:rPr>
        <w:fldChar w:fldCharType="begin"/>
      </w:r>
      <w:r w:rsidRPr="001E52CE">
        <w:rPr>
          <w:rFonts w:eastAsiaTheme="minorEastAsia"/>
          <w:snapToGrid w:val="0"/>
          <w:lang w:val="de-DE"/>
        </w:rPr>
        <w:instrText xml:space="preserve"> AUTONUM  </w:instrText>
      </w:r>
      <w:r w:rsidRPr="001E52CE">
        <w:rPr>
          <w:rFonts w:eastAsiaTheme="minorEastAsia"/>
          <w:snapToGrid w:val="0"/>
          <w:lang w:val="de-DE"/>
        </w:rPr>
        <w:fldChar w:fldCharType="end"/>
      </w:r>
      <w:r w:rsidRPr="008B37C7">
        <w:rPr>
          <w:snapToGrid w:val="0"/>
          <w:lang w:val="de-DE"/>
        </w:rPr>
        <w:tab/>
        <w:t>Auf seiner fünfundsechsigsten Tagung</w:t>
      </w:r>
      <w:r w:rsidRPr="008B37C7">
        <w:rPr>
          <w:rStyle w:val="FootnoteReference"/>
          <w:snapToGrid w:val="0"/>
          <w:lang w:val="de-DE"/>
        </w:rPr>
        <w:footnoteReference w:id="5"/>
      </w:r>
      <w:r w:rsidRPr="008B37C7">
        <w:rPr>
          <w:snapToGrid w:val="0"/>
          <w:lang w:val="de-DE"/>
        </w:rPr>
        <w:t xml:space="preserve"> nahm der TC den Bericht des Verbandsbüros zur Kenntnis, dass der CAJ am 25. Oktober 2020 die „Einführung in das UPOV-Code-System“ auf der Grundlage von Dokument </w:t>
      </w:r>
      <w:r w:rsidRPr="001E52CE">
        <w:rPr>
          <w:rFonts w:eastAsia="MS Mincho"/>
          <w:lang w:val="de-DE"/>
        </w:rPr>
        <w:t>UPOV/INF/23/1 Draft 1 gebilligt hatte, und vorgeschlagen hatte, dass der TC im Jahr 2021 einen neuen Entwurf des Dokuments UPOV/INF/23/1 “Einführung in das UPOV-Code-System” prüfen sole</w:t>
      </w:r>
      <w:r w:rsidR="00B13636" w:rsidRPr="001E52CE">
        <w:rPr>
          <w:rFonts w:eastAsia="MS Mincho"/>
          <w:lang w:val="de-DE"/>
        </w:rPr>
        <w:t xml:space="preserve"> (vergleiche Dokument CAJ/77/9 “Ergebnis der Prüfung von Dokumenten auf dem Schriftweg”, Absätze 26 und 27).</w:t>
      </w:r>
    </w:p>
    <w:p w14:paraId="3E35D00C" w14:textId="77777777" w:rsidR="00B13636" w:rsidRPr="008B37C7" w:rsidRDefault="00B13636" w:rsidP="00F76AA9">
      <w:pPr>
        <w:keepNext/>
        <w:rPr>
          <w:rFonts w:eastAsia="MS Mincho"/>
          <w:lang w:val="de-DE"/>
        </w:rPr>
      </w:pPr>
    </w:p>
    <w:p w14:paraId="591E2456" w14:textId="3FE9823A" w:rsidR="001C2C37" w:rsidRPr="008B37C7" w:rsidRDefault="00B13636" w:rsidP="00F76AA9">
      <w:pPr>
        <w:keepNext/>
        <w:rPr>
          <w:rFonts w:eastAsiaTheme="minorEastAsia" w:cs="Arial"/>
          <w:snapToGrid w:val="0"/>
          <w:lang w:val="de-DE"/>
        </w:rPr>
      </w:pPr>
      <w:r w:rsidRPr="001E52CE">
        <w:rPr>
          <w:rFonts w:eastAsiaTheme="minorEastAsia"/>
          <w:snapToGrid w:val="0"/>
          <w:lang w:val="de-DE"/>
        </w:rPr>
        <w:fldChar w:fldCharType="begin"/>
      </w:r>
      <w:r w:rsidRPr="001E52CE">
        <w:rPr>
          <w:rFonts w:eastAsiaTheme="minorEastAsia"/>
          <w:snapToGrid w:val="0"/>
          <w:lang w:val="de-DE"/>
        </w:rPr>
        <w:instrText xml:space="preserve"> AUTONUM  </w:instrText>
      </w:r>
      <w:r w:rsidRPr="001E52CE">
        <w:rPr>
          <w:rFonts w:eastAsiaTheme="minorEastAsia"/>
          <w:snapToGrid w:val="0"/>
          <w:lang w:val="de-DE"/>
        </w:rPr>
        <w:fldChar w:fldCharType="end"/>
      </w:r>
      <w:r w:rsidRPr="008B37C7">
        <w:rPr>
          <w:snapToGrid w:val="0"/>
          <w:lang w:val="de-DE"/>
        </w:rPr>
        <w:tab/>
      </w:r>
      <w:r w:rsidR="001C2C37" w:rsidRPr="008B37C7">
        <w:rPr>
          <w:snapToGrid w:val="0"/>
          <w:lang w:val="de-DE"/>
        </w:rPr>
        <w:t xml:space="preserve">Über </w:t>
      </w:r>
      <w:r w:rsidRPr="008B37C7">
        <w:rPr>
          <w:snapToGrid w:val="0"/>
          <w:lang w:val="de-DE"/>
        </w:rPr>
        <w:t xml:space="preserve">Angelegenheiten </w:t>
      </w:r>
      <w:r w:rsidR="00725565" w:rsidRPr="008B37C7">
        <w:rPr>
          <w:snapToGrid w:val="0"/>
          <w:lang w:val="de-DE"/>
        </w:rPr>
        <w:t xml:space="preserve">ieilligung von Dokument </w:t>
      </w:r>
      <w:r w:rsidR="00725565" w:rsidRPr="008B37C7">
        <w:rPr>
          <w:rFonts w:eastAsia="MS Mincho"/>
          <w:lang w:val="de-DE"/>
        </w:rPr>
        <w:t xml:space="preserve">UPOV/INF/23/1 “Einführung in </w:t>
      </w:r>
      <w:r w:rsidR="00725565" w:rsidRPr="008B37C7">
        <w:rPr>
          <w:snapToGrid w:val="0"/>
          <w:lang w:val="de-DE"/>
        </w:rPr>
        <w:t xml:space="preserve">das UPOV-Code-System“ </w:t>
      </w:r>
      <w:r w:rsidR="001C2C37" w:rsidRPr="008B37C7">
        <w:rPr>
          <w:snapToGrid w:val="0"/>
          <w:lang w:val="de-DE"/>
        </w:rPr>
        <w:t>betreffend wird in Dokument TC/</w:t>
      </w:r>
      <w:r w:rsidR="00725565" w:rsidRPr="008B37C7">
        <w:rPr>
          <w:snapToGrid w:val="0"/>
          <w:lang w:val="de-DE"/>
        </w:rPr>
        <w:t>57/4 Rev. „Ausarbeitung von Anleitungen und Informationsmaterial – Angelegenheiten zur Annahme durch den Rat 2021</w:t>
      </w:r>
      <w:r w:rsidR="001C2C37" w:rsidRPr="008B37C7">
        <w:rPr>
          <w:snapToGrid w:val="0"/>
          <w:lang w:val="de-DE"/>
        </w:rPr>
        <w:t>“ berichtet.</w:t>
      </w:r>
    </w:p>
    <w:p w14:paraId="7464DF77" w14:textId="77777777" w:rsidR="001C2C37" w:rsidRPr="008B37C7" w:rsidRDefault="001C2C37" w:rsidP="00F76AA9">
      <w:pPr>
        <w:keepNext/>
        <w:rPr>
          <w:rFonts w:eastAsiaTheme="minorEastAsia" w:cs="Arial"/>
          <w:snapToGrid w:val="0"/>
          <w:lang w:val="de-DE"/>
        </w:rPr>
      </w:pPr>
    </w:p>
    <w:p w14:paraId="5CDDCB78" w14:textId="77777777" w:rsidR="001C2C37" w:rsidRPr="008B37C7" w:rsidRDefault="001C2C37" w:rsidP="00F76AA9">
      <w:pPr>
        <w:keepNext/>
        <w:outlineLvl w:val="1"/>
        <w:rPr>
          <w:rFonts w:eastAsiaTheme="minorEastAsia"/>
          <w:u w:val="single"/>
          <w:lang w:val="de-DE"/>
        </w:rPr>
      </w:pPr>
      <w:bookmarkStart w:id="20" w:name="_Toc316492046"/>
      <w:bookmarkStart w:id="21" w:name="_Toc477797641"/>
      <w:bookmarkStart w:id="22" w:name="_Toc53852902"/>
      <w:bookmarkStart w:id="23" w:name="_Toc85636328"/>
      <w:bookmarkStart w:id="24" w:name="_Toc86067844"/>
      <w:r w:rsidRPr="008B37C7">
        <w:rPr>
          <w:u w:val="single"/>
          <w:lang w:val="de-DE"/>
        </w:rPr>
        <w:t>Entwicklungen betreffend die UPOV-Codes</w:t>
      </w:r>
      <w:bookmarkEnd w:id="20"/>
      <w:bookmarkEnd w:id="21"/>
      <w:bookmarkEnd w:id="22"/>
      <w:bookmarkEnd w:id="23"/>
      <w:bookmarkEnd w:id="24"/>
    </w:p>
    <w:p w14:paraId="43D3A285" w14:textId="77777777" w:rsidR="001C2C37" w:rsidRPr="008B37C7" w:rsidRDefault="001C2C37" w:rsidP="00F76AA9">
      <w:pPr>
        <w:rPr>
          <w:rFonts w:eastAsiaTheme="minorEastAsia"/>
          <w:snapToGrid w:val="0"/>
          <w:lang w:val="de-DE"/>
        </w:rPr>
      </w:pPr>
    </w:p>
    <w:p w14:paraId="290E9FAF" w14:textId="2D2B0696" w:rsidR="001C2C37" w:rsidRPr="008B37C7" w:rsidRDefault="001C2C37" w:rsidP="00F76AA9">
      <w:pPr>
        <w:rPr>
          <w:rFonts w:eastAsiaTheme="minorEastAsia"/>
          <w:snapToGrid w:val="0"/>
          <w:lang w:val="de-DE"/>
        </w:rPr>
      </w:pPr>
      <w:r w:rsidRPr="001E52CE">
        <w:rPr>
          <w:rFonts w:eastAsiaTheme="minorEastAsia"/>
          <w:snapToGrid w:val="0"/>
          <w:lang w:val="de-DE"/>
        </w:rPr>
        <w:fldChar w:fldCharType="begin"/>
      </w:r>
      <w:r w:rsidRPr="001E52CE">
        <w:rPr>
          <w:rFonts w:eastAsiaTheme="minorEastAsia"/>
          <w:snapToGrid w:val="0"/>
          <w:lang w:val="de-DE"/>
        </w:rPr>
        <w:instrText xml:space="preserve"> AUTONUM  </w:instrText>
      </w:r>
      <w:r w:rsidRPr="001E52CE">
        <w:rPr>
          <w:rFonts w:eastAsiaTheme="minorEastAsia"/>
          <w:snapToGrid w:val="0"/>
          <w:lang w:val="de-DE"/>
        </w:rPr>
        <w:fldChar w:fldCharType="end"/>
      </w:r>
      <w:r w:rsidRPr="008B37C7">
        <w:rPr>
          <w:snapToGrid w:val="0"/>
          <w:lang w:val="de-DE"/>
        </w:rPr>
        <w:tab/>
        <w:t>Im Jahre 20</w:t>
      </w:r>
      <w:r w:rsidR="00725565" w:rsidRPr="008B37C7">
        <w:rPr>
          <w:snapToGrid w:val="0"/>
          <w:lang w:val="de-DE"/>
        </w:rPr>
        <w:t>20</w:t>
      </w:r>
      <w:r w:rsidRPr="008B37C7">
        <w:rPr>
          <w:snapToGrid w:val="0"/>
          <w:lang w:val="de-DE"/>
        </w:rPr>
        <w:t xml:space="preserve"> wurden </w:t>
      </w:r>
      <w:r w:rsidR="00725565" w:rsidRPr="008B37C7">
        <w:rPr>
          <w:snapToGrid w:val="0"/>
          <w:lang w:val="de-DE"/>
        </w:rPr>
        <w:t xml:space="preserve">177 </w:t>
      </w:r>
      <w:r w:rsidRPr="008B37C7">
        <w:rPr>
          <w:snapToGrid w:val="0"/>
          <w:lang w:val="de-DE"/>
        </w:rPr>
        <w:t xml:space="preserve">neue UPOV-Codes erstellt. Zum 31. Dezember </w:t>
      </w:r>
      <w:r w:rsidR="00725565" w:rsidRPr="008B37C7">
        <w:rPr>
          <w:snapToGrid w:val="0"/>
          <w:lang w:val="de-DE"/>
        </w:rPr>
        <w:t xml:space="preserve">2020 </w:t>
      </w:r>
      <w:r w:rsidRPr="008B37C7">
        <w:rPr>
          <w:snapToGrid w:val="0"/>
          <w:lang w:val="de-DE"/>
        </w:rPr>
        <w:t xml:space="preserve">umfasste die GENIE-Datenbank insgesamt 9 </w:t>
      </w:r>
      <w:r w:rsidR="00725565" w:rsidRPr="008B37C7">
        <w:rPr>
          <w:snapToGrid w:val="0"/>
          <w:lang w:val="de-DE"/>
        </w:rPr>
        <w:t>213</w:t>
      </w:r>
      <w:r w:rsidRPr="008B37C7">
        <w:rPr>
          <w:snapToGrid w:val="0"/>
          <w:lang w:val="de-DE"/>
        </w:rPr>
        <w:t xml:space="preserve"> UPOV-Codes.</w:t>
      </w:r>
    </w:p>
    <w:p w14:paraId="3110CE79" w14:textId="77777777" w:rsidR="001C2C37" w:rsidRPr="008B37C7" w:rsidRDefault="001C2C37" w:rsidP="00F76AA9">
      <w:pPr>
        <w:rPr>
          <w:rFonts w:eastAsiaTheme="minorEastAsia"/>
          <w:snapToGrid w:val="0"/>
          <w:lang w:val="de-DE" w:eastAsia="ja-JP"/>
        </w:rPr>
      </w:pPr>
    </w:p>
    <w:tbl>
      <w:tblPr>
        <w:tblW w:w="8789"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701"/>
        <w:gridCol w:w="709"/>
        <w:gridCol w:w="709"/>
        <w:gridCol w:w="708"/>
        <w:gridCol w:w="709"/>
        <w:gridCol w:w="709"/>
        <w:gridCol w:w="709"/>
        <w:gridCol w:w="708"/>
        <w:gridCol w:w="709"/>
        <w:gridCol w:w="709"/>
        <w:gridCol w:w="709"/>
      </w:tblGrid>
      <w:tr w:rsidR="001C2C37" w:rsidRPr="001E52CE" w14:paraId="46C90641" w14:textId="77777777" w:rsidTr="00AB71B3">
        <w:tc>
          <w:tcPr>
            <w:tcW w:w="1701" w:type="dxa"/>
            <w:tcBorders>
              <w:top w:val="nil"/>
              <w:left w:val="nil"/>
              <w:bottom w:val="nil"/>
            </w:tcBorders>
          </w:tcPr>
          <w:p w14:paraId="6CCDBFE3" w14:textId="77777777" w:rsidR="001C2C37" w:rsidRPr="008B37C7" w:rsidRDefault="001C2C37" w:rsidP="00F76AA9">
            <w:pPr>
              <w:keepNext/>
              <w:spacing w:before="40" w:after="40"/>
              <w:jc w:val="right"/>
              <w:rPr>
                <w:rFonts w:eastAsiaTheme="minorEastAsia" w:cs="Arial"/>
                <w:snapToGrid w:val="0"/>
                <w:sz w:val="18"/>
                <w:szCs w:val="18"/>
                <w:highlight w:val="cyan"/>
                <w:lang w:val="de-DE"/>
              </w:rPr>
            </w:pPr>
          </w:p>
        </w:tc>
        <w:tc>
          <w:tcPr>
            <w:tcW w:w="7088" w:type="dxa"/>
            <w:gridSpan w:val="10"/>
            <w:tcBorders>
              <w:bottom w:val="dotted" w:sz="4" w:space="0" w:color="auto"/>
            </w:tcBorders>
          </w:tcPr>
          <w:p w14:paraId="2C474FB1" w14:textId="77777777" w:rsidR="001C2C37" w:rsidRPr="001E52CE" w:rsidRDefault="001C2C37" w:rsidP="00F76AA9">
            <w:pPr>
              <w:keepNext/>
              <w:spacing w:before="40" w:after="40"/>
              <w:jc w:val="center"/>
              <w:rPr>
                <w:rFonts w:eastAsiaTheme="minorEastAsia" w:cs="Arial"/>
                <w:snapToGrid w:val="0"/>
                <w:sz w:val="18"/>
                <w:szCs w:val="18"/>
                <w:highlight w:val="cyan"/>
                <w:lang w:val="de-DE"/>
              </w:rPr>
            </w:pPr>
            <w:r w:rsidRPr="001E52CE">
              <w:rPr>
                <w:snapToGrid w:val="0"/>
                <w:sz w:val="18"/>
                <w:lang w:val="de-DE"/>
              </w:rPr>
              <w:t>Jahr</w:t>
            </w:r>
          </w:p>
        </w:tc>
      </w:tr>
      <w:tr w:rsidR="001C2C37" w:rsidRPr="001E52CE" w14:paraId="6F0B7631" w14:textId="77777777" w:rsidTr="00AB71B3">
        <w:trPr>
          <w:trHeight w:val="393"/>
        </w:trPr>
        <w:tc>
          <w:tcPr>
            <w:tcW w:w="1701" w:type="dxa"/>
            <w:tcBorders>
              <w:top w:val="nil"/>
              <w:left w:val="nil"/>
            </w:tcBorders>
            <w:vAlign w:val="center"/>
          </w:tcPr>
          <w:p w14:paraId="2901B3FF" w14:textId="77777777" w:rsidR="001C2C37" w:rsidRPr="001E52CE" w:rsidRDefault="001C2C37" w:rsidP="00F76AA9">
            <w:pPr>
              <w:keepNext/>
              <w:spacing w:before="40" w:after="40"/>
              <w:jc w:val="left"/>
              <w:rPr>
                <w:rFonts w:eastAsiaTheme="minorEastAsia" w:cs="Arial"/>
                <w:snapToGrid w:val="0"/>
                <w:sz w:val="18"/>
                <w:szCs w:val="18"/>
                <w:highlight w:val="cyan"/>
                <w:u w:val="single"/>
                <w:lang w:val="de-DE"/>
              </w:rPr>
            </w:pPr>
          </w:p>
        </w:tc>
        <w:tc>
          <w:tcPr>
            <w:tcW w:w="709" w:type="dxa"/>
            <w:vAlign w:val="center"/>
          </w:tcPr>
          <w:p w14:paraId="416302F2" w14:textId="66A86F26" w:rsidR="001C2C37" w:rsidRPr="001E52CE" w:rsidRDefault="001C2C37" w:rsidP="00F76AA9">
            <w:pPr>
              <w:keepNext/>
              <w:spacing w:before="40" w:after="40"/>
              <w:jc w:val="center"/>
              <w:rPr>
                <w:rFonts w:eastAsiaTheme="minorEastAsia" w:cs="Arial"/>
                <w:snapToGrid w:val="0"/>
                <w:sz w:val="18"/>
                <w:szCs w:val="18"/>
                <w:u w:val="single"/>
                <w:lang w:val="de-DE"/>
              </w:rPr>
            </w:pPr>
            <w:r w:rsidRPr="001E52CE">
              <w:rPr>
                <w:snapToGrid w:val="0"/>
                <w:sz w:val="18"/>
                <w:u w:val="single"/>
                <w:lang w:val="de-DE"/>
              </w:rPr>
              <w:t>201</w:t>
            </w:r>
            <w:r w:rsidR="00725565" w:rsidRPr="001E52CE">
              <w:rPr>
                <w:snapToGrid w:val="0"/>
                <w:sz w:val="18"/>
                <w:u w:val="single"/>
                <w:lang w:val="de-DE"/>
              </w:rPr>
              <w:t>1</w:t>
            </w:r>
          </w:p>
        </w:tc>
        <w:tc>
          <w:tcPr>
            <w:tcW w:w="709" w:type="dxa"/>
            <w:vAlign w:val="center"/>
          </w:tcPr>
          <w:p w14:paraId="0E74D86E" w14:textId="66BCE9A8" w:rsidR="001C2C37" w:rsidRPr="001E52CE" w:rsidRDefault="001C2C37" w:rsidP="00F76AA9">
            <w:pPr>
              <w:keepNext/>
              <w:spacing w:before="40" w:after="40"/>
              <w:jc w:val="center"/>
              <w:rPr>
                <w:rFonts w:eastAsiaTheme="minorEastAsia" w:cs="Arial"/>
                <w:snapToGrid w:val="0"/>
                <w:sz w:val="18"/>
                <w:szCs w:val="18"/>
                <w:u w:val="single"/>
                <w:lang w:val="de-DE"/>
              </w:rPr>
            </w:pPr>
            <w:r w:rsidRPr="001E52CE">
              <w:rPr>
                <w:snapToGrid w:val="0"/>
                <w:sz w:val="18"/>
                <w:u w:val="single"/>
                <w:lang w:val="de-DE"/>
              </w:rPr>
              <w:t>201</w:t>
            </w:r>
            <w:r w:rsidR="00725565" w:rsidRPr="001E52CE">
              <w:rPr>
                <w:snapToGrid w:val="0"/>
                <w:sz w:val="18"/>
                <w:u w:val="single"/>
                <w:lang w:val="de-DE"/>
              </w:rPr>
              <w:t>2</w:t>
            </w:r>
          </w:p>
        </w:tc>
        <w:tc>
          <w:tcPr>
            <w:tcW w:w="708" w:type="dxa"/>
            <w:vAlign w:val="center"/>
          </w:tcPr>
          <w:p w14:paraId="339FB79F" w14:textId="785CBE99" w:rsidR="001C2C37" w:rsidRPr="001E52CE" w:rsidRDefault="001C2C37" w:rsidP="00F76AA9">
            <w:pPr>
              <w:keepNext/>
              <w:spacing w:before="40" w:after="40"/>
              <w:jc w:val="center"/>
              <w:rPr>
                <w:rFonts w:eastAsiaTheme="minorEastAsia" w:cs="Arial"/>
                <w:snapToGrid w:val="0"/>
                <w:sz w:val="18"/>
                <w:szCs w:val="18"/>
                <w:u w:val="single"/>
                <w:lang w:val="de-DE"/>
              </w:rPr>
            </w:pPr>
            <w:r w:rsidRPr="001E52CE">
              <w:rPr>
                <w:snapToGrid w:val="0"/>
                <w:sz w:val="18"/>
                <w:u w:val="single"/>
                <w:lang w:val="de-DE"/>
              </w:rPr>
              <w:t>201</w:t>
            </w:r>
            <w:r w:rsidR="00725565" w:rsidRPr="001E52CE">
              <w:rPr>
                <w:snapToGrid w:val="0"/>
                <w:sz w:val="18"/>
                <w:u w:val="single"/>
                <w:lang w:val="de-DE"/>
              </w:rPr>
              <w:t>3</w:t>
            </w:r>
          </w:p>
        </w:tc>
        <w:tc>
          <w:tcPr>
            <w:tcW w:w="709" w:type="dxa"/>
            <w:vAlign w:val="center"/>
          </w:tcPr>
          <w:p w14:paraId="1154296E" w14:textId="1908FB5B" w:rsidR="001C2C37" w:rsidRPr="001E52CE" w:rsidRDefault="001C2C37" w:rsidP="00F76AA9">
            <w:pPr>
              <w:keepNext/>
              <w:spacing w:before="40" w:after="40"/>
              <w:jc w:val="center"/>
              <w:rPr>
                <w:rFonts w:eastAsiaTheme="minorEastAsia" w:cs="Arial"/>
                <w:snapToGrid w:val="0"/>
                <w:sz w:val="18"/>
                <w:szCs w:val="18"/>
                <w:u w:val="single"/>
                <w:lang w:val="de-DE"/>
              </w:rPr>
            </w:pPr>
            <w:r w:rsidRPr="001E52CE">
              <w:rPr>
                <w:snapToGrid w:val="0"/>
                <w:sz w:val="18"/>
                <w:u w:val="single"/>
                <w:lang w:val="de-DE"/>
              </w:rPr>
              <w:t>201</w:t>
            </w:r>
            <w:r w:rsidR="00725565" w:rsidRPr="001E52CE">
              <w:rPr>
                <w:snapToGrid w:val="0"/>
                <w:sz w:val="18"/>
                <w:u w:val="single"/>
                <w:lang w:val="de-DE"/>
              </w:rPr>
              <w:t>4</w:t>
            </w:r>
          </w:p>
        </w:tc>
        <w:tc>
          <w:tcPr>
            <w:tcW w:w="709" w:type="dxa"/>
            <w:vAlign w:val="center"/>
          </w:tcPr>
          <w:p w14:paraId="64C60C31" w14:textId="089F8AA2" w:rsidR="001C2C37" w:rsidRPr="001E52CE" w:rsidRDefault="001C2C37" w:rsidP="00F76AA9">
            <w:pPr>
              <w:keepNext/>
              <w:spacing w:before="40" w:after="40"/>
              <w:jc w:val="center"/>
              <w:rPr>
                <w:rFonts w:eastAsiaTheme="minorEastAsia" w:cs="Arial"/>
                <w:snapToGrid w:val="0"/>
                <w:sz w:val="18"/>
                <w:szCs w:val="18"/>
                <w:u w:val="single"/>
                <w:lang w:val="de-DE"/>
              </w:rPr>
            </w:pPr>
            <w:r w:rsidRPr="001E52CE">
              <w:rPr>
                <w:snapToGrid w:val="0"/>
                <w:sz w:val="18"/>
                <w:u w:val="single"/>
                <w:lang w:val="de-DE"/>
              </w:rPr>
              <w:t>201</w:t>
            </w:r>
            <w:r w:rsidR="00725565" w:rsidRPr="001E52CE">
              <w:rPr>
                <w:snapToGrid w:val="0"/>
                <w:sz w:val="18"/>
                <w:u w:val="single"/>
                <w:lang w:val="de-DE"/>
              </w:rPr>
              <w:t>5</w:t>
            </w:r>
          </w:p>
        </w:tc>
        <w:tc>
          <w:tcPr>
            <w:tcW w:w="709" w:type="dxa"/>
            <w:shd w:val="clear" w:color="auto" w:fill="auto"/>
            <w:vAlign w:val="center"/>
          </w:tcPr>
          <w:p w14:paraId="1CCEAC96" w14:textId="6B9621A5" w:rsidR="001C2C37" w:rsidRPr="001E52CE" w:rsidRDefault="001C2C37" w:rsidP="00F76AA9">
            <w:pPr>
              <w:keepNext/>
              <w:spacing w:before="40" w:after="40"/>
              <w:jc w:val="center"/>
              <w:rPr>
                <w:rFonts w:eastAsiaTheme="minorEastAsia" w:cs="Arial"/>
                <w:snapToGrid w:val="0"/>
                <w:sz w:val="18"/>
                <w:szCs w:val="18"/>
                <w:u w:val="single"/>
                <w:lang w:val="de-DE"/>
              </w:rPr>
            </w:pPr>
            <w:r w:rsidRPr="001E52CE">
              <w:rPr>
                <w:snapToGrid w:val="0"/>
                <w:sz w:val="18"/>
                <w:u w:val="single"/>
                <w:lang w:val="de-DE"/>
              </w:rPr>
              <w:t>201</w:t>
            </w:r>
            <w:r w:rsidR="00725565" w:rsidRPr="001E52CE">
              <w:rPr>
                <w:snapToGrid w:val="0"/>
                <w:sz w:val="18"/>
                <w:u w:val="single"/>
                <w:lang w:val="de-DE"/>
              </w:rPr>
              <w:t>6</w:t>
            </w:r>
          </w:p>
        </w:tc>
        <w:tc>
          <w:tcPr>
            <w:tcW w:w="708" w:type="dxa"/>
            <w:shd w:val="clear" w:color="auto" w:fill="auto"/>
            <w:vAlign w:val="center"/>
          </w:tcPr>
          <w:p w14:paraId="3FBFC8D7" w14:textId="7995AB01" w:rsidR="001C2C37" w:rsidRPr="001E52CE" w:rsidRDefault="001C2C37" w:rsidP="00F76AA9">
            <w:pPr>
              <w:keepNext/>
              <w:spacing w:before="40" w:after="40"/>
              <w:jc w:val="center"/>
              <w:rPr>
                <w:rFonts w:eastAsiaTheme="minorEastAsia" w:cs="Arial"/>
                <w:snapToGrid w:val="0"/>
                <w:sz w:val="18"/>
                <w:szCs w:val="18"/>
                <w:u w:val="single"/>
                <w:lang w:val="de-DE"/>
              </w:rPr>
            </w:pPr>
            <w:r w:rsidRPr="001E52CE">
              <w:rPr>
                <w:snapToGrid w:val="0"/>
                <w:sz w:val="18"/>
                <w:u w:val="single"/>
                <w:lang w:val="de-DE"/>
              </w:rPr>
              <w:t>201</w:t>
            </w:r>
            <w:r w:rsidR="00725565" w:rsidRPr="001E52CE">
              <w:rPr>
                <w:snapToGrid w:val="0"/>
                <w:sz w:val="18"/>
                <w:u w:val="single"/>
                <w:lang w:val="de-DE"/>
              </w:rPr>
              <w:t>7</w:t>
            </w:r>
          </w:p>
        </w:tc>
        <w:tc>
          <w:tcPr>
            <w:tcW w:w="709" w:type="dxa"/>
            <w:vAlign w:val="center"/>
          </w:tcPr>
          <w:p w14:paraId="3B88AB7C" w14:textId="7DCE2D23" w:rsidR="001C2C37" w:rsidRPr="001E52CE" w:rsidRDefault="001C2C37" w:rsidP="00F76AA9">
            <w:pPr>
              <w:keepNext/>
              <w:spacing w:before="40" w:after="40"/>
              <w:jc w:val="center"/>
              <w:rPr>
                <w:rFonts w:eastAsiaTheme="minorEastAsia" w:cs="Arial"/>
                <w:snapToGrid w:val="0"/>
                <w:sz w:val="18"/>
                <w:szCs w:val="18"/>
                <w:highlight w:val="cyan"/>
                <w:u w:val="single"/>
                <w:lang w:val="de-DE"/>
              </w:rPr>
            </w:pPr>
            <w:r w:rsidRPr="001E52CE">
              <w:rPr>
                <w:snapToGrid w:val="0"/>
                <w:sz w:val="18"/>
                <w:u w:val="single"/>
                <w:lang w:val="de-DE"/>
              </w:rPr>
              <w:t>201</w:t>
            </w:r>
            <w:r w:rsidR="00725565" w:rsidRPr="001E52CE">
              <w:rPr>
                <w:snapToGrid w:val="0"/>
                <w:sz w:val="18"/>
                <w:u w:val="single"/>
                <w:lang w:val="de-DE"/>
              </w:rPr>
              <w:t>8</w:t>
            </w:r>
          </w:p>
        </w:tc>
        <w:tc>
          <w:tcPr>
            <w:tcW w:w="709" w:type="dxa"/>
            <w:vAlign w:val="center"/>
          </w:tcPr>
          <w:p w14:paraId="0527838D" w14:textId="69A68795" w:rsidR="001C2C37" w:rsidRPr="001E52CE" w:rsidRDefault="001C2C37" w:rsidP="00F76AA9">
            <w:pPr>
              <w:keepNext/>
              <w:spacing w:before="40" w:after="40"/>
              <w:jc w:val="center"/>
              <w:rPr>
                <w:rFonts w:eastAsiaTheme="minorEastAsia" w:cs="Arial"/>
                <w:snapToGrid w:val="0"/>
                <w:sz w:val="18"/>
                <w:szCs w:val="18"/>
                <w:highlight w:val="cyan"/>
                <w:u w:val="single"/>
                <w:lang w:val="de-DE"/>
              </w:rPr>
            </w:pPr>
            <w:r w:rsidRPr="001E52CE">
              <w:rPr>
                <w:snapToGrid w:val="0"/>
                <w:sz w:val="18"/>
                <w:u w:val="single"/>
                <w:lang w:val="de-DE"/>
              </w:rPr>
              <w:t>201</w:t>
            </w:r>
            <w:r w:rsidR="00725565" w:rsidRPr="001E52CE">
              <w:rPr>
                <w:snapToGrid w:val="0"/>
                <w:sz w:val="18"/>
                <w:u w:val="single"/>
                <w:lang w:val="de-DE"/>
              </w:rPr>
              <w:t>9</w:t>
            </w:r>
          </w:p>
        </w:tc>
        <w:tc>
          <w:tcPr>
            <w:tcW w:w="709" w:type="dxa"/>
            <w:vAlign w:val="center"/>
          </w:tcPr>
          <w:p w14:paraId="57EE60FC" w14:textId="34AC4050" w:rsidR="001C2C37" w:rsidRPr="001E52CE" w:rsidRDefault="001C2C37" w:rsidP="00F76AA9">
            <w:pPr>
              <w:keepNext/>
              <w:spacing w:before="40" w:after="40"/>
              <w:jc w:val="center"/>
              <w:rPr>
                <w:rFonts w:eastAsiaTheme="minorEastAsia" w:cs="Arial"/>
                <w:snapToGrid w:val="0"/>
                <w:sz w:val="18"/>
                <w:szCs w:val="18"/>
                <w:highlight w:val="cyan"/>
                <w:lang w:val="de-DE"/>
              </w:rPr>
            </w:pPr>
            <w:r w:rsidRPr="001E52CE">
              <w:rPr>
                <w:snapToGrid w:val="0"/>
                <w:sz w:val="18"/>
                <w:u w:val="single"/>
                <w:lang w:val="de-DE"/>
              </w:rPr>
              <w:t>20</w:t>
            </w:r>
            <w:r w:rsidR="00725565" w:rsidRPr="001E52CE">
              <w:rPr>
                <w:snapToGrid w:val="0"/>
                <w:sz w:val="18"/>
                <w:u w:val="single"/>
                <w:lang w:val="de-DE"/>
              </w:rPr>
              <w:t>20</w:t>
            </w:r>
          </w:p>
        </w:tc>
      </w:tr>
      <w:tr w:rsidR="001C2C37" w:rsidRPr="001E52CE" w14:paraId="335DA010" w14:textId="77777777" w:rsidTr="00AB71B3">
        <w:trPr>
          <w:trHeight w:val="426"/>
        </w:trPr>
        <w:tc>
          <w:tcPr>
            <w:tcW w:w="1701" w:type="dxa"/>
            <w:vAlign w:val="center"/>
          </w:tcPr>
          <w:p w14:paraId="25C21D0E" w14:textId="77777777" w:rsidR="001C2C37" w:rsidRPr="001E52CE" w:rsidRDefault="001C2C37" w:rsidP="00F76AA9">
            <w:pPr>
              <w:keepNext/>
              <w:spacing w:before="40" w:after="40"/>
              <w:jc w:val="left"/>
              <w:rPr>
                <w:rFonts w:eastAsiaTheme="minorEastAsia" w:cs="Arial"/>
                <w:snapToGrid w:val="0"/>
                <w:sz w:val="18"/>
                <w:szCs w:val="18"/>
                <w:lang w:val="de-DE"/>
              </w:rPr>
            </w:pPr>
            <w:r w:rsidRPr="001E52CE">
              <w:rPr>
                <w:snapToGrid w:val="0"/>
                <w:sz w:val="18"/>
                <w:lang w:val="de-DE"/>
              </w:rPr>
              <w:t>Neue UPOV-Codes</w:t>
            </w:r>
          </w:p>
        </w:tc>
        <w:tc>
          <w:tcPr>
            <w:tcW w:w="709" w:type="dxa"/>
            <w:vAlign w:val="center"/>
          </w:tcPr>
          <w:p w14:paraId="22E16141" w14:textId="4F2C0717" w:rsidR="001C2C37" w:rsidRPr="001E52CE" w:rsidRDefault="001C2C37" w:rsidP="00F76AA9">
            <w:pPr>
              <w:keepNext/>
              <w:spacing w:before="40" w:after="40"/>
              <w:ind w:right="113"/>
              <w:jc w:val="center"/>
              <w:rPr>
                <w:rFonts w:eastAsiaTheme="minorEastAsia" w:cs="Arial"/>
                <w:snapToGrid w:val="0"/>
                <w:sz w:val="18"/>
                <w:szCs w:val="18"/>
                <w:lang w:val="de-DE"/>
              </w:rPr>
            </w:pPr>
            <w:r w:rsidRPr="001E52CE">
              <w:rPr>
                <w:snapToGrid w:val="0"/>
                <w:sz w:val="18"/>
                <w:lang w:val="de-DE"/>
              </w:rPr>
              <w:t>1</w:t>
            </w:r>
            <w:r w:rsidR="00725565" w:rsidRPr="001E52CE">
              <w:rPr>
                <w:snapToGrid w:val="0"/>
                <w:sz w:val="18"/>
                <w:lang w:val="de-DE"/>
              </w:rPr>
              <w:t>73</w:t>
            </w:r>
          </w:p>
        </w:tc>
        <w:tc>
          <w:tcPr>
            <w:tcW w:w="709" w:type="dxa"/>
            <w:vAlign w:val="center"/>
          </w:tcPr>
          <w:p w14:paraId="3B5CB2CF" w14:textId="6718E8E0" w:rsidR="001C2C37" w:rsidRPr="001E52CE" w:rsidRDefault="00725565" w:rsidP="00F76AA9">
            <w:pPr>
              <w:keepNext/>
              <w:spacing w:before="40" w:after="40"/>
              <w:ind w:right="113"/>
              <w:jc w:val="center"/>
              <w:rPr>
                <w:rFonts w:eastAsiaTheme="minorEastAsia" w:cs="Arial"/>
                <w:snapToGrid w:val="0"/>
                <w:sz w:val="18"/>
                <w:szCs w:val="18"/>
                <w:lang w:val="de-DE"/>
              </w:rPr>
            </w:pPr>
            <w:r w:rsidRPr="001E52CE">
              <w:rPr>
                <w:snapToGrid w:val="0"/>
                <w:sz w:val="18"/>
                <w:lang w:val="de-DE"/>
              </w:rPr>
              <w:t>212</w:t>
            </w:r>
          </w:p>
        </w:tc>
        <w:tc>
          <w:tcPr>
            <w:tcW w:w="708" w:type="dxa"/>
            <w:vAlign w:val="center"/>
          </w:tcPr>
          <w:p w14:paraId="6E4491E1" w14:textId="41AACC51" w:rsidR="001C2C37" w:rsidRPr="001E52CE" w:rsidRDefault="00725565" w:rsidP="00F76AA9">
            <w:pPr>
              <w:keepNext/>
              <w:spacing w:before="40" w:after="40"/>
              <w:ind w:right="113"/>
              <w:jc w:val="center"/>
              <w:rPr>
                <w:rFonts w:eastAsiaTheme="minorEastAsia" w:cs="Arial"/>
                <w:snapToGrid w:val="0"/>
                <w:sz w:val="18"/>
                <w:szCs w:val="18"/>
                <w:lang w:val="de-DE"/>
              </w:rPr>
            </w:pPr>
            <w:r w:rsidRPr="001E52CE">
              <w:rPr>
                <w:snapToGrid w:val="0"/>
                <w:sz w:val="18"/>
                <w:lang w:val="de-DE"/>
              </w:rPr>
              <w:t>209</w:t>
            </w:r>
          </w:p>
        </w:tc>
        <w:tc>
          <w:tcPr>
            <w:tcW w:w="709" w:type="dxa"/>
            <w:vAlign w:val="center"/>
          </w:tcPr>
          <w:p w14:paraId="579D470B" w14:textId="506D0B54" w:rsidR="001C2C37" w:rsidRPr="001E52CE" w:rsidRDefault="00725565" w:rsidP="00F76AA9">
            <w:pPr>
              <w:keepNext/>
              <w:spacing w:before="40" w:after="40"/>
              <w:ind w:right="165"/>
              <w:jc w:val="center"/>
              <w:rPr>
                <w:rFonts w:eastAsiaTheme="minorEastAsia" w:cs="Arial"/>
                <w:snapToGrid w:val="0"/>
                <w:sz w:val="18"/>
                <w:szCs w:val="18"/>
                <w:lang w:val="de-DE"/>
              </w:rPr>
            </w:pPr>
            <w:r w:rsidRPr="001E52CE">
              <w:rPr>
                <w:snapToGrid w:val="0"/>
                <w:sz w:val="18"/>
                <w:lang w:val="de-DE"/>
              </w:rPr>
              <w:t>577</w:t>
            </w:r>
          </w:p>
        </w:tc>
        <w:tc>
          <w:tcPr>
            <w:tcW w:w="709" w:type="dxa"/>
            <w:vAlign w:val="center"/>
          </w:tcPr>
          <w:p w14:paraId="47BB56D3" w14:textId="02586F6F" w:rsidR="001C2C37" w:rsidRPr="001E52CE" w:rsidRDefault="00725565" w:rsidP="00F76AA9">
            <w:pPr>
              <w:keepNext/>
              <w:spacing w:before="40" w:after="40"/>
              <w:ind w:right="165"/>
              <w:jc w:val="center"/>
              <w:rPr>
                <w:rFonts w:eastAsiaTheme="minorEastAsia" w:cs="Arial"/>
                <w:snapToGrid w:val="0"/>
                <w:sz w:val="18"/>
                <w:szCs w:val="18"/>
                <w:lang w:val="de-DE"/>
              </w:rPr>
            </w:pPr>
            <w:r w:rsidRPr="001E52CE">
              <w:rPr>
                <w:snapToGrid w:val="0"/>
                <w:sz w:val="18"/>
                <w:lang w:val="de-DE"/>
              </w:rPr>
              <w:t>188</w:t>
            </w:r>
          </w:p>
        </w:tc>
        <w:tc>
          <w:tcPr>
            <w:tcW w:w="709" w:type="dxa"/>
            <w:shd w:val="clear" w:color="auto" w:fill="auto"/>
            <w:vAlign w:val="center"/>
          </w:tcPr>
          <w:p w14:paraId="78FEB0B8" w14:textId="15B7A79B" w:rsidR="001C2C37" w:rsidRPr="001E52CE" w:rsidRDefault="00725565" w:rsidP="00F76AA9">
            <w:pPr>
              <w:keepNext/>
              <w:spacing w:before="40" w:after="40"/>
              <w:ind w:right="165"/>
              <w:jc w:val="center"/>
              <w:rPr>
                <w:rFonts w:eastAsiaTheme="minorEastAsia" w:cs="Arial"/>
                <w:snapToGrid w:val="0"/>
                <w:sz w:val="18"/>
                <w:szCs w:val="18"/>
                <w:lang w:val="de-DE"/>
              </w:rPr>
            </w:pPr>
            <w:r w:rsidRPr="001E52CE">
              <w:rPr>
                <w:snapToGrid w:val="0"/>
                <w:sz w:val="18"/>
                <w:lang w:val="de-DE"/>
              </w:rPr>
              <w:t>173</w:t>
            </w:r>
          </w:p>
        </w:tc>
        <w:tc>
          <w:tcPr>
            <w:tcW w:w="708" w:type="dxa"/>
            <w:shd w:val="clear" w:color="auto" w:fill="auto"/>
            <w:vAlign w:val="center"/>
          </w:tcPr>
          <w:p w14:paraId="5DCE7B67" w14:textId="41A59437" w:rsidR="001C2C37" w:rsidRPr="001E52CE" w:rsidRDefault="00725565" w:rsidP="00F76AA9">
            <w:pPr>
              <w:keepNext/>
              <w:spacing w:before="40" w:after="40"/>
              <w:jc w:val="center"/>
              <w:rPr>
                <w:rFonts w:eastAsiaTheme="minorEastAsia" w:cs="Arial"/>
                <w:snapToGrid w:val="0"/>
                <w:sz w:val="18"/>
                <w:szCs w:val="18"/>
                <w:lang w:val="de-DE"/>
              </w:rPr>
            </w:pPr>
            <w:r w:rsidRPr="001E52CE">
              <w:rPr>
                <w:snapToGrid w:val="0"/>
                <w:sz w:val="18"/>
                <w:lang w:val="de-DE"/>
              </w:rPr>
              <w:t>440</w:t>
            </w:r>
          </w:p>
        </w:tc>
        <w:tc>
          <w:tcPr>
            <w:tcW w:w="709" w:type="dxa"/>
            <w:vAlign w:val="center"/>
          </w:tcPr>
          <w:p w14:paraId="5561024C" w14:textId="0833E796" w:rsidR="001C2C37" w:rsidRPr="001E52CE" w:rsidRDefault="00725565" w:rsidP="00F76AA9">
            <w:pPr>
              <w:keepNext/>
              <w:spacing w:before="40" w:after="40"/>
              <w:jc w:val="center"/>
              <w:rPr>
                <w:rFonts w:eastAsiaTheme="minorEastAsia" w:cs="Arial"/>
                <w:snapToGrid w:val="0"/>
                <w:sz w:val="18"/>
                <w:szCs w:val="18"/>
                <w:lang w:val="de-DE"/>
              </w:rPr>
            </w:pPr>
            <w:r w:rsidRPr="001E52CE">
              <w:rPr>
                <w:snapToGrid w:val="0"/>
                <w:sz w:val="18"/>
                <w:lang w:val="de-DE"/>
              </w:rPr>
              <w:t>242</w:t>
            </w:r>
          </w:p>
        </w:tc>
        <w:tc>
          <w:tcPr>
            <w:tcW w:w="709" w:type="dxa"/>
            <w:vAlign w:val="center"/>
          </w:tcPr>
          <w:p w14:paraId="05A1FC53" w14:textId="4A4824A8" w:rsidR="001C2C37" w:rsidRPr="001E52CE" w:rsidRDefault="00725565" w:rsidP="00F76AA9">
            <w:pPr>
              <w:keepNext/>
              <w:spacing w:before="40" w:after="40"/>
              <w:jc w:val="center"/>
              <w:rPr>
                <w:rFonts w:eastAsiaTheme="minorEastAsia" w:cs="Arial"/>
                <w:snapToGrid w:val="0"/>
                <w:sz w:val="18"/>
                <w:szCs w:val="18"/>
                <w:highlight w:val="yellow"/>
                <w:lang w:val="de-DE"/>
              </w:rPr>
            </w:pPr>
            <w:r w:rsidRPr="001E52CE">
              <w:rPr>
                <w:snapToGrid w:val="0"/>
                <w:sz w:val="18"/>
                <w:lang w:val="de-DE"/>
              </w:rPr>
              <w:t>208</w:t>
            </w:r>
          </w:p>
        </w:tc>
        <w:tc>
          <w:tcPr>
            <w:tcW w:w="709" w:type="dxa"/>
            <w:vAlign w:val="center"/>
          </w:tcPr>
          <w:p w14:paraId="3259A00B" w14:textId="4CB31F97" w:rsidR="001C2C37" w:rsidRPr="001E52CE" w:rsidRDefault="00725565" w:rsidP="00F76AA9">
            <w:pPr>
              <w:keepNext/>
              <w:spacing w:before="40" w:after="40"/>
              <w:ind w:right="165"/>
              <w:jc w:val="center"/>
              <w:rPr>
                <w:rFonts w:eastAsiaTheme="minorEastAsia" w:cs="Arial"/>
                <w:snapToGrid w:val="0"/>
                <w:sz w:val="18"/>
                <w:szCs w:val="18"/>
                <w:highlight w:val="yellow"/>
                <w:lang w:val="de-DE"/>
              </w:rPr>
            </w:pPr>
            <w:r w:rsidRPr="001E52CE">
              <w:rPr>
                <w:snapToGrid w:val="0"/>
                <w:sz w:val="18"/>
                <w:lang w:val="de-DE"/>
              </w:rPr>
              <w:t>177</w:t>
            </w:r>
          </w:p>
        </w:tc>
      </w:tr>
      <w:tr w:rsidR="001C2C37" w:rsidRPr="001E52CE" w14:paraId="3898852C" w14:textId="77777777" w:rsidTr="00AB71B3">
        <w:trPr>
          <w:trHeight w:val="404"/>
        </w:trPr>
        <w:tc>
          <w:tcPr>
            <w:tcW w:w="1701" w:type="dxa"/>
            <w:vAlign w:val="center"/>
          </w:tcPr>
          <w:p w14:paraId="29D24607" w14:textId="77777777" w:rsidR="001C2C37" w:rsidRPr="001E52CE" w:rsidRDefault="001C2C37" w:rsidP="00F76AA9">
            <w:pPr>
              <w:keepNext/>
              <w:spacing w:before="40" w:after="40"/>
              <w:jc w:val="left"/>
              <w:rPr>
                <w:rFonts w:eastAsiaTheme="minorEastAsia" w:cs="Arial"/>
                <w:snapToGrid w:val="0"/>
                <w:sz w:val="18"/>
                <w:szCs w:val="18"/>
                <w:lang w:val="de-DE"/>
              </w:rPr>
            </w:pPr>
            <w:r w:rsidRPr="001E52CE">
              <w:rPr>
                <w:snapToGrid w:val="0"/>
                <w:sz w:val="18"/>
                <w:lang w:val="de-DE"/>
              </w:rPr>
              <w:t>Änderungen</w:t>
            </w:r>
          </w:p>
        </w:tc>
        <w:tc>
          <w:tcPr>
            <w:tcW w:w="709" w:type="dxa"/>
            <w:vAlign w:val="center"/>
          </w:tcPr>
          <w:p w14:paraId="02D54793" w14:textId="0ECFC68A" w:rsidR="001C2C37" w:rsidRPr="001E52CE" w:rsidRDefault="00725565" w:rsidP="00F76AA9">
            <w:pPr>
              <w:keepNext/>
              <w:spacing w:before="40" w:after="40"/>
              <w:ind w:right="113"/>
              <w:jc w:val="center"/>
              <w:rPr>
                <w:rFonts w:eastAsiaTheme="minorEastAsia" w:cs="Arial"/>
                <w:snapToGrid w:val="0"/>
                <w:sz w:val="18"/>
                <w:szCs w:val="18"/>
                <w:lang w:val="de-DE"/>
              </w:rPr>
            </w:pPr>
            <w:r w:rsidRPr="001E52CE">
              <w:rPr>
                <w:snapToGrid w:val="0"/>
                <w:sz w:val="18"/>
                <w:lang w:val="de-DE"/>
              </w:rPr>
              <w:t>12</w:t>
            </w:r>
          </w:p>
        </w:tc>
        <w:tc>
          <w:tcPr>
            <w:tcW w:w="709" w:type="dxa"/>
            <w:vAlign w:val="center"/>
          </w:tcPr>
          <w:p w14:paraId="4B277B63" w14:textId="54005813" w:rsidR="001C2C37" w:rsidRPr="001E52CE" w:rsidRDefault="00725565" w:rsidP="00F76AA9">
            <w:pPr>
              <w:keepNext/>
              <w:spacing w:before="40" w:after="40"/>
              <w:ind w:right="113"/>
              <w:jc w:val="center"/>
              <w:rPr>
                <w:rFonts w:eastAsiaTheme="minorEastAsia" w:cs="Arial"/>
                <w:snapToGrid w:val="0"/>
                <w:sz w:val="18"/>
                <w:szCs w:val="18"/>
                <w:lang w:val="de-DE"/>
              </w:rPr>
            </w:pPr>
            <w:r w:rsidRPr="001E52CE">
              <w:rPr>
                <w:snapToGrid w:val="0"/>
                <w:sz w:val="18"/>
                <w:lang w:val="de-DE"/>
              </w:rPr>
              <w:t>5</w:t>
            </w:r>
          </w:p>
        </w:tc>
        <w:tc>
          <w:tcPr>
            <w:tcW w:w="708" w:type="dxa"/>
            <w:vAlign w:val="center"/>
          </w:tcPr>
          <w:p w14:paraId="44B56C85" w14:textId="2C3FB6BB" w:rsidR="001C2C37" w:rsidRPr="001E52CE" w:rsidRDefault="00725565" w:rsidP="00F76AA9">
            <w:pPr>
              <w:keepNext/>
              <w:spacing w:before="40" w:after="40"/>
              <w:ind w:right="113"/>
              <w:jc w:val="center"/>
              <w:rPr>
                <w:rFonts w:eastAsiaTheme="minorEastAsia" w:cs="Arial"/>
                <w:snapToGrid w:val="0"/>
                <w:sz w:val="18"/>
                <w:szCs w:val="18"/>
                <w:lang w:val="de-DE"/>
              </w:rPr>
            </w:pPr>
            <w:r w:rsidRPr="001E52CE">
              <w:rPr>
                <w:snapToGrid w:val="0"/>
                <w:sz w:val="18"/>
                <w:lang w:val="de-DE"/>
              </w:rPr>
              <w:t>47*</w:t>
            </w:r>
          </w:p>
        </w:tc>
        <w:tc>
          <w:tcPr>
            <w:tcW w:w="709" w:type="dxa"/>
            <w:vAlign w:val="center"/>
          </w:tcPr>
          <w:p w14:paraId="7F10F5D7" w14:textId="2351F801" w:rsidR="001C2C37" w:rsidRPr="001E52CE" w:rsidRDefault="00725565" w:rsidP="00F76AA9">
            <w:pPr>
              <w:keepNext/>
              <w:spacing w:before="40" w:after="40"/>
              <w:jc w:val="center"/>
              <w:rPr>
                <w:rFonts w:eastAsiaTheme="minorEastAsia" w:cs="Arial"/>
                <w:snapToGrid w:val="0"/>
                <w:sz w:val="18"/>
                <w:szCs w:val="18"/>
                <w:lang w:val="de-DE"/>
              </w:rPr>
            </w:pPr>
            <w:r w:rsidRPr="001E52CE">
              <w:rPr>
                <w:snapToGrid w:val="0"/>
                <w:sz w:val="18"/>
                <w:lang w:val="de-DE"/>
              </w:rPr>
              <w:t>37</w:t>
            </w:r>
          </w:p>
        </w:tc>
        <w:tc>
          <w:tcPr>
            <w:tcW w:w="709" w:type="dxa"/>
            <w:vAlign w:val="center"/>
          </w:tcPr>
          <w:p w14:paraId="48B43CE7" w14:textId="1AA41090" w:rsidR="001C2C37" w:rsidRPr="001E52CE" w:rsidRDefault="00725565" w:rsidP="00F76AA9">
            <w:pPr>
              <w:keepNext/>
              <w:spacing w:before="40" w:after="40"/>
              <w:ind w:right="165"/>
              <w:jc w:val="center"/>
              <w:rPr>
                <w:rFonts w:eastAsiaTheme="minorEastAsia" w:cs="Arial"/>
                <w:snapToGrid w:val="0"/>
                <w:sz w:val="18"/>
                <w:szCs w:val="18"/>
                <w:lang w:val="de-DE"/>
              </w:rPr>
            </w:pPr>
            <w:r w:rsidRPr="001E52CE">
              <w:rPr>
                <w:snapToGrid w:val="0"/>
                <w:sz w:val="18"/>
                <w:lang w:val="de-DE"/>
              </w:rPr>
              <w:t>11</w:t>
            </w:r>
          </w:p>
        </w:tc>
        <w:tc>
          <w:tcPr>
            <w:tcW w:w="709" w:type="dxa"/>
            <w:shd w:val="clear" w:color="auto" w:fill="auto"/>
            <w:vAlign w:val="center"/>
          </w:tcPr>
          <w:p w14:paraId="4591573D" w14:textId="231C21C1" w:rsidR="001C2C37" w:rsidRPr="001E52CE" w:rsidRDefault="00725565" w:rsidP="00F76AA9">
            <w:pPr>
              <w:keepNext/>
              <w:spacing w:before="40" w:after="40"/>
              <w:ind w:right="165"/>
              <w:jc w:val="center"/>
              <w:rPr>
                <w:rFonts w:eastAsiaTheme="minorEastAsia" w:cs="Arial"/>
                <w:snapToGrid w:val="0"/>
                <w:sz w:val="18"/>
                <w:szCs w:val="18"/>
                <w:lang w:val="de-DE"/>
              </w:rPr>
            </w:pPr>
            <w:r w:rsidRPr="001E52CE">
              <w:rPr>
                <w:snapToGrid w:val="0"/>
                <w:sz w:val="18"/>
                <w:lang w:val="de-DE"/>
              </w:rPr>
              <w:t>16</w:t>
            </w:r>
          </w:p>
        </w:tc>
        <w:tc>
          <w:tcPr>
            <w:tcW w:w="708" w:type="dxa"/>
            <w:shd w:val="clear" w:color="auto" w:fill="auto"/>
            <w:vAlign w:val="center"/>
          </w:tcPr>
          <w:p w14:paraId="73CC9985" w14:textId="0947C0DC" w:rsidR="001C2C37" w:rsidRPr="001E52CE" w:rsidRDefault="00725565" w:rsidP="00F76AA9">
            <w:pPr>
              <w:keepNext/>
              <w:spacing w:before="40" w:after="40"/>
              <w:ind w:right="165"/>
              <w:jc w:val="center"/>
              <w:rPr>
                <w:rFonts w:eastAsiaTheme="minorEastAsia" w:cs="Arial"/>
                <w:snapToGrid w:val="0"/>
                <w:sz w:val="18"/>
                <w:szCs w:val="18"/>
                <w:lang w:val="de-DE"/>
              </w:rPr>
            </w:pPr>
            <w:r w:rsidRPr="001E52CE">
              <w:rPr>
                <w:snapToGrid w:val="0"/>
                <w:sz w:val="18"/>
                <w:lang w:val="de-DE"/>
              </w:rPr>
              <w:t>1</w:t>
            </w:r>
          </w:p>
        </w:tc>
        <w:tc>
          <w:tcPr>
            <w:tcW w:w="709" w:type="dxa"/>
            <w:vAlign w:val="center"/>
          </w:tcPr>
          <w:p w14:paraId="0B2A85C5" w14:textId="20BE5FF0" w:rsidR="001C2C37" w:rsidRPr="001E52CE" w:rsidRDefault="00725565" w:rsidP="00F76AA9">
            <w:pPr>
              <w:keepNext/>
              <w:spacing w:before="40" w:after="40"/>
              <w:ind w:right="165"/>
              <w:jc w:val="center"/>
              <w:rPr>
                <w:rFonts w:eastAsiaTheme="minorEastAsia" w:cs="Arial"/>
                <w:snapToGrid w:val="0"/>
                <w:sz w:val="18"/>
                <w:szCs w:val="18"/>
                <w:lang w:val="de-DE"/>
              </w:rPr>
            </w:pPr>
            <w:r w:rsidRPr="001E52CE">
              <w:rPr>
                <w:snapToGrid w:val="0"/>
                <w:sz w:val="18"/>
                <w:lang w:val="de-DE"/>
              </w:rPr>
              <w:t>5</w:t>
            </w:r>
          </w:p>
        </w:tc>
        <w:tc>
          <w:tcPr>
            <w:tcW w:w="709" w:type="dxa"/>
            <w:vAlign w:val="center"/>
          </w:tcPr>
          <w:p w14:paraId="795A932E" w14:textId="42732D83" w:rsidR="001C2C37" w:rsidRPr="001E52CE" w:rsidRDefault="00725565" w:rsidP="00F76AA9">
            <w:pPr>
              <w:keepNext/>
              <w:spacing w:before="40" w:after="40"/>
              <w:ind w:right="165"/>
              <w:jc w:val="center"/>
              <w:rPr>
                <w:rFonts w:eastAsiaTheme="minorEastAsia" w:cs="Arial"/>
                <w:snapToGrid w:val="0"/>
                <w:sz w:val="18"/>
                <w:szCs w:val="18"/>
                <w:highlight w:val="yellow"/>
                <w:lang w:val="de-DE"/>
              </w:rPr>
            </w:pPr>
            <w:r w:rsidRPr="001E52CE">
              <w:rPr>
                <w:snapToGrid w:val="0"/>
                <w:sz w:val="18"/>
                <w:lang w:val="de-DE"/>
              </w:rPr>
              <w:t>0</w:t>
            </w:r>
          </w:p>
        </w:tc>
        <w:tc>
          <w:tcPr>
            <w:tcW w:w="709" w:type="dxa"/>
            <w:vAlign w:val="center"/>
          </w:tcPr>
          <w:p w14:paraId="22CD49E4" w14:textId="57A5E4B0" w:rsidR="001C2C37" w:rsidRPr="001E52CE" w:rsidRDefault="00725565" w:rsidP="00F76AA9">
            <w:pPr>
              <w:keepNext/>
              <w:spacing w:before="40" w:after="40"/>
              <w:ind w:right="165"/>
              <w:jc w:val="center"/>
              <w:rPr>
                <w:rFonts w:eastAsiaTheme="minorEastAsia" w:cs="Arial"/>
                <w:snapToGrid w:val="0"/>
                <w:sz w:val="18"/>
                <w:szCs w:val="18"/>
                <w:highlight w:val="yellow"/>
                <w:lang w:val="de-DE"/>
              </w:rPr>
            </w:pPr>
            <w:r w:rsidRPr="001E52CE">
              <w:rPr>
                <w:snapToGrid w:val="0"/>
                <w:sz w:val="18"/>
                <w:lang w:val="de-DE"/>
              </w:rPr>
              <w:t>44</w:t>
            </w:r>
          </w:p>
        </w:tc>
      </w:tr>
      <w:tr w:rsidR="006D2B96" w:rsidRPr="001E52CE" w14:paraId="567D19C3" w14:textId="77777777" w:rsidTr="00AB71B3">
        <w:trPr>
          <w:trHeight w:val="425"/>
        </w:trPr>
        <w:tc>
          <w:tcPr>
            <w:tcW w:w="1701" w:type="dxa"/>
            <w:vAlign w:val="center"/>
          </w:tcPr>
          <w:p w14:paraId="4E39BE8D" w14:textId="77777777" w:rsidR="006D2B96" w:rsidRPr="001E52CE" w:rsidRDefault="006D2B96" w:rsidP="00F76AA9">
            <w:pPr>
              <w:spacing w:before="40" w:after="40"/>
              <w:jc w:val="left"/>
              <w:rPr>
                <w:rFonts w:eastAsiaTheme="minorEastAsia" w:cs="Arial"/>
                <w:snapToGrid w:val="0"/>
                <w:sz w:val="18"/>
                <w:szCs w:val="18"/>
                <w:lang w:val="de-DE"/>
              </w:rPr>
            </w:pPr>
            <w:r w:rsidRPr="001E52CE">
              <w:rPr>
                <w:snapToGrid w:val="0"/>
                <w:sz w:val="18"/>
                <w:lang w:val="de-DE"/>
              </w:rPr>
              <w:t>UPOV-Codes insgesamt</w:t>
            </w:r>
          </w:p>
        </w:tc>
        <w:tc>
          <w:tcPr>
            <w:tcW w:w="709" w:type="dxa"/>
            <w:vAlign w:val="center"/>
          </w:tcPr>
          <w:p w14:paraId="185011B3" w14:textId="12431592" w:rsidR="006D2B96" w:rsidRPr="001E52CE" w:rsidRDefault="006D2B96" w:rsidP="00F76AA9">
            <w:pPr>
              <w:keepNext/>
              <w:spacing w:before="40" w:after="40"/>
              <w:ind w:right="113"/>
              <w:jc w:val="center"/>
              <w:rPr>
                <w:rFonts w:eastAsiaTheme="minorEastAsia" w:cs="Arial"/>
                <w:snapToGrid w:val="0"/>
                <w:sz w:val="18"/>
                <w:szCs w:val="18"/>
                <w:lang w:val="de-DE"/>
              </w:rPr>
            </w:pPr>
            <w:r w:rsidRPr="001E52CE">
              <w:rPr>
                <w:snapToGrid w:val="0"/>
                <w:sz w:val="18"/>
                <w:lang w:val="de-DE"/>
              </w:rPr>
              <w:t>6 851</w:t>
            </w:r>
          </w:p>
        </w:tc>
        <w:tc>
          <w:tcPr>
            <w:tcW w:w="709" w:type="dxa"/>
            <w:vAlign w:val="center"/>
          </w:tcPr>
          <w:p w14:paraId="52C3B7C6" w14:textId="329F4F84" w:rsidR="006D2B96" w:rsidRPr="001E52CE" w:rsidRDefault="006D2B96" w:rsidP="00F76AA9">
            <w:pPr>
              <w:keepNext/>
              <w:spacing w:before="40" w:after="40"/>
              <w:ind w:right="113"/>
              <w:jc w:val="center"/>
              <w:rPr>
                <w:rFonts w:eastAsiaTheme="minorEastAsia" w:cs="Arial"/>
                <w:snapToGrid w:val="0"/>
                <w:sz w:val="18"/>
                <w:szCs w:val="18"/>
                <w:lang w:val="de-DE"/>
              </w:rPr>
            </w:pPr>
            <w:r w:rsidRPr="001E52CE">
              <w:rPr>
                <w:snapToGrid w:val="0"/>
                <w:sz w:val="18"/>
                <w:lang w:val="de-DE"/>
              </w:rPr>
              <w:t>6 061</w:t>
            </w:r>
          </w:p>
        </w:tc>
        <w:tc>
          <w:tcPr>
            <w:tcW w:w="708" w:type="dxa"/>
            <w:vAlign w:val="center"/>
          </w:tcPr>
          <w:p w14:paraId="396E062A" w14:textId="24BA4DC0" w:rsidR="006D2B96" w:rsidRPr="001E52CE" w:rsidRDefault="006D2B96" w:rsidP="00F76AA9">
            <w:pPr>
              <w:keepNext/>
              <w:spacing w:before="40" w:after="40"/>
              <w:ind w:right="113"/>
              <w:jc w:val="center"/>
              <w:rPr>
                <w:rFonts w:eastAsiaTheme="minorEastAsia" w:cs="Arial"/>
                <w:snapToGrid w:val="0"/>
                <w:sz w:val="18"/>
                <w:szCs w:val="18"/>
                <w:lang w:val="de-DE"/>
              </w:rPr>
            </w:pPr>
            <w:r w:rsidRPr="001E52CE">
              <w:rPr>
                <w:snapToGrid w:val="0"/>
                <w:sz w:val="18"/>
                <w:lang w:val="de-DE"/>
              </w:rPr>
              <w:t>7 251</w:t>
            </w:r>
          </w:p>
        </w:tc>
        <w:tc>
          <w:tcPr>
            <w:tcW w:w="709" w:type="dxa"/>
            <w:vAlign w:val="center"/>
          </w:tcPr>
          <w:p w14:paraId="4CEF4DED" w14:textId="1A458D94" w:rsidR="006D2B96" w:rsidRPr="001E52CE" w:rsidRDefault="006D2B96" w:rsidP="00F76AA9">
            <w:pPr>
              <w:keepNext/>
              <w:tabs>
                <w:tab w:val="left" w:pos="630"/>
                <w:tab w:val="left" w:pos="748"/>
              </w:tabs>
              <w:spacing w:before="40" w:after="40"/>
              <w:ind w:right="23"/>
              <w:jc w:val="center"/>
              <w:rPr>
                <w:rFonts w:eastAsiaTheme="minorEastAsia" w:cs="Arial"/>
                <w:snapToGrid w:val="0"/>
                <w:sz w:val="18"/>
                <w:szCs w:val="18"/>
                <w:lang w:val="de-DE"/>
              </w:rPr>
            </w:pPr>
            <w:r w:rsidRPr="001E52CE">
              <w:rPr>
                <w:snapToGrid w:val="0"/>
                <w:sz w:val="18"/>
                <w:lang w:val="de-DE"/>
              </w:rPr>
              <w:t>7 808</w:t>
            </w:r>
          </w:p>
        </w:tc>
        <w:tc>
          <w:tcPr>
            <w:tcW w:w="709" w:type="dxa"/>
            <w:vAlign w:val="center"/>
          </w:tcPr>
          <w:p w14:paraId="138D60AE" w14:textId="79551D89" w:rsidR="006D2B96" w:rsidRPr="001E52CE" w:rsidRDefault="006D2B96" w:rsidP="00F76AA9">
            <w:pPr>
              <w:keepNext/>
              <w:tabs>
                <w:tab w:val="left" w:pos="630"/>
                <w:tab w:val="left" w:pos="748"/>
              </w:tabs>
              <w:spacing w:before="40" w:after="40"/>
              <w:ind w:right="23"/>
              <w:jc w:val="center"/>
              <w:rPr>
                <w:rFonts w:eastAsiaTheme="minorEastAsia" w:cs="Arial"/>
                <w:snapToGrid w:val="0"/>
                <w:sz w:val="18"/>
                <w:szCs w:val="18"/>
                <w:lang w:val="de-DE"/>
              </w:rPr>
            </w:pPr>
            <w:r w:rsidRPr="001E52CE">
              <w:rPr>
                <w:snapToGrid w:val="0"/>
                <w:sz w:val="18"/>
                <w:lang w:val="de-DE"/>
              </w:rPr>
              <w:t>7 992</w:t>
            </w:r>
          </w:p>
        </w:tc>
        <w:tc>
          <w:tcPr>
            <w:tcW w:w="709" w:type="dxa"/>
            <w:shd w:val="clear" w:color="auto" w:fill="auto"/>
            <w:vAlign w:val="center"/>
          </w:tcPr>
          <w:p w14:paraId="31C2B60C" w14:textId="515B0881" w:rsidR="006D2B96" w:rsidRPr="001E52CE" w:rsidRDefault="006D2B96" w:rsidP="00F76AA9">
            <w:pPr>
              <w:keepNext/>
              <w:tabs>
                <w:tab w:val="left" w:pos="630"/>
                <w:tab w:val="left" w:pos="748"/>
              </w:tabs>
              <w:spacing w:before="40" w:after="40"/>
              <w:ind w:right="23"/>
              <w:jc w:val="center"/>
              <w:rPr>
                <w:rFonts w:eastAsiaTheme="minorEastAsia" w:cs="Arial"/>
                <w:snapToGrid w:val="0"/>
                <w:sz w:val="18"/>
                <w:szCs w:val="18"/>
                <w:lang w:val="de-DE"/>
              </w:rPr>
            </w:pPr>
            <w:r w:rsidRPr="001E52CE">
              <w:rPr>
                <w:snapToGrid w:val="0"/>
                <w:sz w:val="18"/>
                <w:lang w:val="de-DE"/>
              </w:rPr>
              <w:t>8 149</w:t>
            </w:r>
          </w:p>
        </w:tc>
        <w:tc>
          <w:tcPr>
            <w:tcW w:w="708" w:type="dxa"/>
            <w:shd w:val="clear" w:color="auto" w:fill="auto"/>
            <w:vAlign w:val="center"/>
          </w:tcPr>
          <w:p w14:paraId="15CEC51A" w14:textId="2C6220E5" w:rsidR="006D2B96" w:rsidRPr="001E52CE" w:rsidRDefault="006D2B96" w:rsidP="00F76AA9">
            <w:pPr>
              <w:keepNext/>
              <w:tabs>
                <w:tab w:val="left" w:pos="630"/>
                <w:tab w:val="left" w:pos="748"/>
              </w:tabs>
              <w:spacing w:before="40" w:after="40"/>
              <w:ind w:right="23"/>
              <w:jc w:val="center"/>
              <w:rPr>
                <w:rFonts w:eastAsiaTheme="minorEastAsia" w:cs="Arial"/>
                <w:snapToGrid w:val="0"/>
                <w:sz w:val="18"/>
                <w:szCs w:val="18"/>
                <w:lang w:val="de-DE"/>
              </w:rPr>
            </w:pPr>
            <w:r w:rsidRPr="001E52CE">
              <w:rPr>
                <w:snapToGrid w:val="0"/>
                <w:sz w:val="18"/>
                <w:lang w:val="de-DE"/>
              </w:rPr>
              <w:t>8 589</w:t>
            </w:r>
          </w:p>
        </w:tc>
        <w:tc>
          <w:tcPr>
            <w:tcW w:w="709" w:type="dxa"/>
            <w:vAlign w:val="center"/>
          </w:tcPr>
          <w:p w14:paraId="386C28A6" w14:textId="4B94B779" w:rsidR="006D2B96" w:rsidRPr="001E52CE" w:rsidRDefault="006D2B96" w:rsidP="00F76AA9">
            <w:pPr>
              <w:keepNext/>
              <w:tabs>
                <w:tab w:val="left" w:pos="630"/>
                <w:tab w:val="left" w:pos="748"/>
              </w:tabs>
              <w:spacing w:before="40" w:after="40"/>
              <w:ind w:right="23"/>
              <w:jc w:val="center"/>
              <w:rPr>
                <w:rFonts w:eastAsiaTheme="minorEastAsia" w:cs="Arial"/>
                <w:snapToGrid w:val="0"/>
                <w:sz w:val="18"/>
                <w:szCs w:val="18"/>
                <w:lang w:val="de-DE"/>
              </w:rPr>
            </w:pPr>
            <w:r w:rsidRPr="001E52CE">
              <w:rPr>
                <w:snapToGrid w:val="0"/>
                <w:sz w:val="18"/>
                <w:lang w:val="de-DE"/>
              </w:rPr>
              <w:t>8 844</w:t>
            </w:r>
          </w:p>
        </w:tc>
        <w:tc>
          <w:tcPr>
            <w:tcW w:w="709" w:type="dxa"/>
            <w:vAlign w:val="center"/>
          </w:tcPr>
          <w:p w14:paraId="2860369B" w14:textId="234F8556" w:rsidR="006D2B96" w:rsidRPr="001E52CE" w:rsidRDefault="006D2B96" w:rsidP="00F76AA9">
            <w:pPr>
              <w:keepNext/>
              <w:tabs>
                <w:tab w:val="left" w:pos="630"/>
                <w:tab w:val="left" w:pos="748"/>
              </w:tabs>
              <w:spacing w:before="40" w:after="40"/>
              <w:ind w:right="23"/>
              <w:jc w:val="center"/>
              <w:rPr>
                <w:rFonts w:eastAsiaTheme="minorEastAsia" w:cs="Arial"/>
                <w:snapToGrid w:val="0"/>
                <w:sz w:val="18"/>
                <w:szCs w:val="18"/>
                <w:highlight w:val="yellow"/>
                <w:lang w:val="de-DE"/>
              </w:rPr>
            </w:pPr>
            <w:r w:rsidRPr="001E52CE">
              <w:rPr>
                <w:snapToGrid w:val="0"/>
                <w:sz w:val="18"/>
                <w:lang w:val="de-DE"/>
              </w:rPr>
              <w:t>9 049</w:t>
            </w:r>
          </w:p>
        </w:tc>
        <w:tc>
          <w:tcPr>
            <w:tcW w:w="709" w:type="dxa"/>
            <w:vAlign w:val="center"/>
          </w:tcPr>
          <w:p w14:paraId="0E1BAB08" w14:textId="697DADD5" w:rsidR="006D2B96" w:rsidRPr="001E52CE" w:rsidRDefault="006D2B96" w:rsidP="00F76AA9">
            <w:pPr>
              <w:keepNext/>
              <w:tabs>
                <w:tab w:val="left" w:pos="630"/>
                <w:tab w:val="left" w:pos="748"/>
              </w:tabs>
              <w:spacing w:before="40" w:after="40"/>
              <w:ind w:right="23"/>
              <w:jc w:val="center"/>
              <w:rPr>
                <w:rFonts w:eastAsiaTheme="minorEastAsia" w:cs="Arial"/>
                <w:snapToGrid w:val="0"/>
                <w:sz w:val="18"/>
                <w:szCs w:val="18"/>
                <w:highlight w:val="yellow"/>
                <w:lang w:val="de-DE"/>
              </w:rPr>
            </w:pPr>
            <w:r w:rsidRPr="001E52CE">
              <w:rPr>
                <w:snapToGrid w:val="0"/>
                <w:sz w:val="18"/>
                <w:lang w:val="de-DE"/>
              </w:rPr>
              <w:t>9 213</w:t>
            </w:r>
          </w:p>
        </w:tc>
      </w:tr>
    </w:tbl>
    <w:p w14:paraId="18522F19" w14:textId="77777777" w:rsidR="001C2C37" w:rsidRPr="008B37C7" w:rsidRDefault="001C2C37" w:rsidP="00F76AA9">
      <w:pPr>
        <w:spacing w:before="120"/>
        <w:ind w:left="567" w:right="567" w:hanging="284"/>
        <w:rPr>
          <w:rFonts w:eastAsiaTheme="minorEastAsia" w:cs="Arial"/>
          <w:sz w:val="16"/>
          <w:szCs w:val="18"/>
          <w:lang w:val="de-DE"/>
        </w:rPr>
      </w:pPr>
      <w:r w:rsidRPr="008B37C7">
        <w:rPr>
          <w:sz w:val="16"/>
          <w:lang w:val="de-DE"/>
        </w:rPr>
        <w:t xml:space="preserve">* </w:t>
      </w:r>
      <w:r w:rsidRPr="008B37C7">
        <w:rPr>
          <w:sz w:val="16"/>
          <w:lang w:val="de-DE"/>
        </w:rPr>
        <w:tab/>
        <w:t>einschließlich Änderungen der UPOV-Codes infolge der Änderung der „Einführung in das UPOV-Code-System“ betreffend Hybride (vgl. Dokument TC/49/6).</w:t>
      </w:r>
    </w:p>
    <w:p w14:paraId="23E5A315" w14:textId="77777777" w:rsidR="001C2C37" w:rsidRPr="008B37C7" w:rsidRDefault="001C2C37" w:rsidP="00F76AA9">
      <w:pPr>
        <w:keepNext/>
        <w:outlineLvl w:val="1"/>
        <w:rPr>
          <w:rFonts w:eastAsiaTheme="minorEastAsia"/>
          <w:u w:val="single"/>
          <w:lang w:val="de-DE" w:eastAsia="ja-JP"/>
        </w:rPr>
      </w:pPr>
    </w:p>
    <w:p w14:paraId="3BAE1DAB" w14:textId="77777777" w:rsidR="001C2C37" w:rsidRPr="008B37C7" w:rsidRDefault="001C2C37" w:rsidP="00F76AA9">
      <w:pPr>
        <w:keepNext/>
        <w:outlineLvl w:val="1"/>
        <w:rPr>
          <w:rFonts w:eastAsiaTheme="minorEastAsia"/>
          <w:u w:val="single"/>
          <w:lang w:val="de-DE"/>
        </w:rPr>
      </w:pPr>
      <w:bookmarkStart w:id="25" w:name="_Toc53852903"/>
      <w:bookmarkStart w:id="26" w:name="_Toc85636329"/>
      <w:bookmarkStart w:id="27" w:name="_Toc86067845"/>
      <w:r w:rsidRPr="008B37C7">
        <w:rPr>
          <w:u w:val="single"/>
          <w:lang w:val="de-DE"/>
        </w:rPr>
        <w:t>Überprüfung durch die TWP</w:t>
      </w:r>
      <w:bookmarkEnd w:id="25"/>
      <w:bookmarkEnd w:id="26"/>
      <w:bookmarkEnd w:id="27"/>
    </w:p>
    <w:p w14:paraId="21B4F613" w14:textId="77777777" w:rsidR="001C2C37" w:rsidRPr="008B37C7" w:rsidRDefault="001C2C37" w:rsidP="00F76AA9">
      <w:pPr>
        <w:keepNext/>
        <w:outlineLvl w:val="1"/>
        <w:rPr>
          <w:rFonts w:eastAsiaTheme="minorEastAsia"/>
          <w:u w:val="single"/>
          <w:lang w:val="de-DE"/>
        </w:rPr>
      </w:pPr>
    </w:p>
    <w:p w14:paraId="3650FF49" w14:textId="77777777" w:rsidR="001C2C37" w:rsidRPr="008B37C7" w:rsidRDefault="001C2C37" w:rsidP="00F76AA9">
      <w:pPr>
        <w:keepNext/>
        <w:keepLines/>
        <w:rPr>
          <w:rFonts w:eastAsia="MS Mincho"/>
          <w:lang w:val="de-DE"/>
        </w:rPr>
      </w:pPr>
      <w:r w:rsidRPr="001E52CE">
        <w:rPr>
          <w:rFonts w:eastAsia="MS Mincho"/>
          <w:snapToGrid w:val="0"/>
          <w:lang w:val="de-DE"/>
        </w:rPr>
        <w:fldChar w:fldCharType="begin"/>
      </w:r>
      <w:r w:rsidRPr="001E52CE">
        <w:rPr>
          <w:rFonts w:eastAsia="MS Mincho"/>
          <w:snapToGrid w:val="0"/>
          <w:lang w:val="de-DE"/>
        </w:rPr>
        <w:instrText xml:space="preserve"> AUTONUM  </w:instrText>
      </w:r>
      <w:r w:rsidRPr="001E52CE">
        <w:rPr>
          <w:rFonts w:eastAsia="MS Mincho"/>
          <w:snapToGrid w:val="0"/>
          <w:lang w:val="de-DE"/>
        </w:rPr>
        <w:fldChar w:fldCharType="end"/>
      </w:r>
      <w:r w:rsidRPr="008B37C7">
        <w:rPr>
          <w:snapToGrid w:val="0"/>
          <w:lang w:val="de-DE"/>
        </w:rPr>
        <w:tab/>
        <w:t>Abschnitt 3.3 der „Einführung in das UPOV-Code-System“</w:t>
      </w:r>
      <w:r w:rsidRPr="008B37C7">
        <w:rPr>
          <w:lang w:val="de-DE"/>
        </w:rPr>
        <w:t xml:space="preserve"> sieht Folgendes vor:</w:t>
      </w:r>
    </w:p>
    <w:p w14:paraId="5C5E58D4" w14:textId="77777777" w:rsidR="001C2C37" w:rsidRPr="008B37C7" w:rsidRDefault="001C2C37" w:rsidP="00F76AA9">
      <w:pPr>
        <w:keepNext/>
        <w:rPr>
          <w:rFonts w:eastAsia="MS Mincho"/>
          <w:lang w:val="de-DE"/>
        </w:rPr>
      </w:pPr>
    </w:p>
    <w:p w14:paraId="2A829788" w14:textId="77777777" w:rsidR="001C2C37" w:rsidRPr="008B37C7" w:rsidRDefault="001C2C37" w:rsidP="00F76AA9">
      <w:pPr>
        <w:keepNext/>
        <w:ind w:left="567" w:right="566"/>
        <w:rPr>
          <w:rFonts w:eastAsia="MS Mincho"/>
          <w:snapToGrid w:val="0"/>
          <w:sz w:val="18"/>
          <w:szCs w:val="18"/>
          <w:lang w:val="de-DE"/>
        </w:rPr>
      </w:pPr>
      <w:r w:rsidRPr="008B37C7">
        <w:rPr>
          <w:snapToGrid w:val="0"/>
          <w:sz w:val="18"/>
          <w:lang w:val="de-DE"/>
        </w:rPr>
        <w:t xml:space="preserve">„Änderungen der UPOV-Codes werden mit demselben Verfahren gehandhabt wie die Einführung neuer UPOV-Codes […]. </w:t>
      </w:r>
      <w:r w:rsidRPr="008B37C7">
        <w:rPr>
          <w:snapToGrid w:val="0"/>
          <w:lang w:val="de-DE"/>
        </w:rPr>
        <w:t>Darüber hinaus werden jedoch alle Verbandsmitglieder und Parteien, die Daten zur Datenbank für Pflanzensorten beisteuern, über alle Änderungen unterrichtet.“</w:t>
      </w:r>
    </w:p>
    <w:p w14:paraId="6EFC0010" w14:textId="77777777" w:rsidR="001C2C37" w:rsidRPr="008B37C7" w:rsidRDefault="001C2C37" w:rsidP="00F76AA9">
      <w:pPr>
        <w:rPr>
          <w:rFonts w:eastAsiaTheme="minorEastAsia" w:cs="Arial"/>
          <w:lang w:val="de-DE" w:eastAsia="ja-JP"/>
        </w:rPr>
      </w:pPr>
    </w:p>
    <w:p w14:paraId="549B66D7" w14:textId="05D329A0" w:rsidR="001C2C37" w:rsidRDefault="001C2C37" w:rsidP="00F76AA9">
      <w:pPr>
        <w:rPr>
          <w:lang w:val="de-DE"/>
        </w:rPr>
      </w:pPr>
      <w:r w:rsidRPr="001E52CE">
        <w:rPr>
          <w:rFonts w:eastAsiaTheme="minorEastAsia" w:cs="Arial"/>
          <w:snapToGrid w:val="0"/>
          <w:lang w:val="de-DE"/>
        </w:rPr>
        <w:fldChar w:fldCharType="begin"/>
      </w:r>
      <w:r w:rsidRPr="001E52CE">
        <w:rPr>
          <w:rFonts w:eastAsiaTheme="minorEastAsia" w:cs="Arial"/>
          <w:snapToGrid w:val="0"/>
          <w:lang w:val="de-DE"/>
        </w:rPr>
        <w:instrText xml:space="preserve"> AUTONUM  </w:instrText>
      </w:r>
      <w:r w:rsidRPr="001E52CE">
        <w:rPr>
          <w:rFonts w:eastAsiaTheme="minorEastAsia" w:cs="Arial"/>
          <w:snapToGrid w:val="0"/>
          <w:lang w:val="de-DE"/>
        </w:rPr>
        <w:fldChar w:fldCharType="end"/>
      </w:r>
      <w:r w:rsidRPr="008B37C7">
        <w:rPr>
          <w:snapToGrid w:val="0"/>
          <w:lang w:val="de-DE"/>
        </w:rPr>
        <w:tab/>
        <w:t xml:space="preserve">Gemäß dem </w:t>
      </w:r>
      <w:r w:rsidRPr="008B37C7">
        <w:rPr>
          <w:lang w:val="de-DE"/>
        </w:rPr>
        <w:t xml:space="preserve">in Abschnitt 3.3 der Einführung in das UPOV-Code-System beschriebenen Verfahren erstellte </w:t>
      </w:r>
      <w:r w:rsidRPr="008B37C7">
        <w:rPr>
          <w:snapToGrid w:val="0"/>
          <w:lang w:val="de-DE"/>
        </w:rPr>
        <w:t>das</w:t>
      </w:r>
      <w:r w:rsidRPr="008B37C7">
        <w:rPr>
          <w:lang w:val="de-DE"/>
        </w:rPr>
        <w:t xml:space="preserve"> Verbandsbüro für jede Tagung der Technischen Arbeitsgruppen (TWP) im Jahr 2020 Tabellen mit den neu hinzugefügten und geänderten UPOV­Codes, die von den zuständigen Behörden überprüft werden sollten.</w:t>
      </w:r>
    </w:p>
    <w:p w14:paraId="10F0A230" w14:textId="36C5CCDF" w:rsidR="00AD495A" w:rsidRDefault="00AD495A" w:rsidP="00F76AA9">
      <w:pPr>
        <w:rPr>
          <w:lang w:val="de-DE"/>
        </w:rPr>
      </w:pPr>
    </w:p>
    <w:p w14:paraId="6C30E68D" w14:textId="45B25507" w:rsidR="001C2C37" w:rsidRPr="008B37C7" w:rsidRDefault="00AD495A" w:rsidP="00AD495A">
      <w:pPr>
        <w:rPr>
          <w:lang w:val="de-DE"/>
        </w:rPr>
      </w:pPr>
      <w:r w:rsidRPr="001E52CE">
        <w:rPr>
          <w:rFonts w:eastAsiaTheme="minorEastAsia" w:cs="Arial"/>
          <w:snapToGrid w:val="0"/>
          <w:lang w:val="de-DE"/>
        </w:rPr>
        <w:fldChar w:fldCharType="begin"/>
      </w:r>
      <w:r w:rsidRPr="001E52CE">
        <w:rPr>
          <w:rFonts w:eastAsiaTheme="minorEastAsia" w:cs="Arial"/>
          <w:snapToGrid w:val="0"/>
          <w:lang w:val="de-DE"/>
        </w:rPr>
        <w:instrText xml:space="preserve"> AUTONUM  </w:instrText>
      </w:r>
      <w:r w:rsidRPr="001E52CE">
        <w:rPr>
          <w:rFonts w:eastAsiaTheme="minorEastAsia" w:cs="Arial"/>
          <w:snapToGrid w:val="0"/>
          <w:lang w:val="de-DE"/>
        </w:rPr>
        <w:fldChar w:fldCharType="end"/>
      </w:r>
      <w:r>
        <w:rPr>
          <w:snapToGrid w:val="0"/>
          <w:lang w:val="de-DE"/>
        </w:rPr>
        <w:tab/>
      </w:r>
      <w:r w:rsidR="001C2C37" w:rsidRPr="008B37C7">
        <w:rPr>
          <w:lang w:val="de-DE"/>
        </w:rPr>
        <w:t xml:space="preserve">Sachverständige der Technischen Arbeitsgruppe für Gemüsearten (TWV), der Technischen Arbeitsgruppe für Zierpflanzen und forstliche Baumarten (TWO), der Technischen Arbeitsgruppe für landwirtschaftliche Arten (TWA) und der Technischen Arbeitsgruppe für Obstarten (TWF) wurden ersucht, die Änderungen der UPOV-Codes und die neuen UPOV-Codes oder neue Informationen, die zu den bestehenden UPOV-Codes hinzugefügt wurden, zu prüfen und Bemerkungen bis zum 31. Dezember </w:t>
      </w:r>
      <w:r w:rsidR="006D2B96" w:rsidRPr="008B37C7">
        <w:rPr>
          <w:lang w:val="de-DE"/>
        </w:rPr>
        <w:t xml:space="preserve">2021 </w:t>
      </w:r>
      <w:r w:rsidR="001C2C37" w:rsidRPr="008B37C7">
        <w:rPr>
          <w:lang w:val="de-DE"/>
        </w:rPr>
        <w:t>einzureichen.</w:t>
      </w:r>
    </w:p>
    <w:p w14:paraId="184D0667" w14:textId="6D9AD940" w:rsidR="007C4974" w:rsidRPr="008B37C7" w:rsidRDefault="007C4974" w:rsidP="00F76AA9">
      <w:pPr>
        <w:jc w:val="left"/>
        <w:rPr>
          <w:rFonts w:eastAsiaTheme="minorEastAsia"/>
          <w:u w:val="single"/>
          <w:lang w:val="de-DE"/>
        </w:rPr>
      </w:pPr>
    </w:p>
    <w:p w14:paraId="5DFB5DEE" w14:textId="77777777" w:rsidR="001C2C37" w:rsidRPr="008B37C7" w:rsidRDefault="001C2C37" w:rsidP="00F76AA9">
      <w:pPr>
        <w:jc w:val="left"/>
        <w:rPr>
          <w:rFonts w:eastAsiaTheme="minorEastAsia"/>
          <w:u w:val="single"/>
          <w:lang w:val="de-DE"/>
        </w:rPr>
      </w:pPr>
    </w:p>
    <w:p w14:paraId="0F4F5C5D" w14:textId="77777777" w:rsidR="007C4974" w:rsidRPr="008B37C7" w:rsidRDefault="007C4974" w:rsidP="00F76AA9">
      <w:pPr>
        <w:keepNext/>
        <w:keepLines/>
        <w:outlineLvl w:val="0"/>
        <w:rPr>
          <w:rFonts w:eastAsiaTheme="minorEastAsia"/>
          <w:caps/>
          <w:lang w:val="de-DE"/>
        </w:rPr>
      </w:pPr>
      <w:bookmarkStart w:id="28" w:name="_Toc477797643"/>
      <w:bookmarkStart w:id="29" w:name="_Toc52992465"/>
      <w:bookmarkStart w:id="30" w:name="_Toc53852905"/>
      <w:bookmarkStart w:id="31" w:name="_Toc85636330"/>
      <w:bookmarkStart w:id="32" w:name="_Toc86067846"/>
      <w:r w:rsidRPr="008B37C7">
        <w:rPr>
          <w:rFonts w:eastAsiaTheme="minorEastAsia"/>
          <w:caps/>
          <w:lang w:val="de-DE"/>
        </w:rPr>
        <w:t>PLUTO</w:t>
      </w:r>
      <w:bookmarkEnd w:id="28"/>
      <w:bookmarkEnd w:id="29"/>
      <w:r w:rsidR="00D422BE" w:rsidRPr="008B37C7">
        <w:rPr>
          <w:rFonts w:eastAsiaTheme="minorEastAsia"/>
          <w:caps/>
          <w:lang w:val="de-DE"/>
        </w:rPr>
        <w:t>-Datenbank</w:t>
      </w:r>
      <w:bookmarkEnd w:id="30"/>
      <w:bookmarkEnd w:id="31"/>
      <w:bookmarkEnd w:id="32"/>
    </w:p>
    <w:p w14:paraId="72971AA6" w14:textId="77777777" w:rsidR="003C3C72" w:rsidRPr="008B37C7" w:rsidRDefault="003C3C72" w:rsidP="00F76AA9">
      <w:pPr>
        <w:rPr>
          <w:lang w:val="de-DE"/>
        </w:rPr>
      </w:pPr>
    </w:p>
    <w:p w14:paraId="6728F288" w14:textId="77777777" w:rsidR="006D2B96" w:rsidRPr="008B37C7" w:rsidRDefault="006D2B96" w:rsidP="00F76AA9">
      <w:pPr>
        <w:keepNext/>
        <w:outlineLvl w:val="1"/>
        <w:rPr>
          <w:rFonts w:eastAsiaTheme="minorEastAsia"/>
          <w:u w:val="single"/>
          <w:lang w:val="de-DE"/>
        </w:rPr>
      </w:pPr>
      <w:bookmarkStart w:id="33" w:name="_Toc85636331"/>
      <w:bookmarkStart w:id="34" w:name="_Toc86067847"/>
      <w:bookmarkStart w:id="35" w:name="_Toc53852906"/>
      <w:bookmarkStart w:id="36" w:name="_Toc52992466"/>
      <w:r w:rsidRPr="008B37C7">
        <w:rPr>
          <w:u w:val="single"/>
          <w:lang w:val="de-DE"/>
        </w:rPr>
        <w:t>Hintergrund</w:t>
      </w:r>
      <w:bookmarkEnd w:id="33"/>
      <w:bookmarkEnd w:id="34"/>
    </w:p>
    <w:bookmarkEnd w:id="35"/>
    <w:p w14:paraId="007FDF04" w14:textId="77777777" w:rsidR="00D422BE" w:rsidRPr="008B37C7" w:rsidRDefault="00D422BE" w:rsidP="00F76AA9">
      <w:pPr>
        <w:keepNext/>
        <w:rPr>
          <w:lang w:val="de-DE"/>
        </w:rPr>
      </w:pPr>
    </w:p>
    <w:p w14:paraId="449B3E78" w14:textId="77777777" w:rsidR="00D422BE" w:rsidRPr="008B37C7" w:rsidRDefault="00D422BE" w:rsidP="00F76AA9">
      <w:pPr>
        <w:keepLines/>
        <w:rPr>
          <w:lang w:val="de-DE"/>
        </w:rPr>
      </w:pPr>
      <w:r w:rsidRPr="001E52CE">
        <w:rPr>
          <w:rFonts w:eastAsiaTheme="minorEastAsia" w:cs="Arial"/>
          <w:lang w:val="de-DE"/>
        </w:rPr>
        <w:fldChar w:fldCharType="begin"/>
      </w:r>
      <w:r w:rsidRPr="001E52CE">
        <w:rPr>
          <w:rFonts w:eastAsiaTheme="minorEastAsia" w:cs="Arial"/>
          <w:lang w:val="de-DE"/>
        </w:rPr>
        <w:instrText xml:space="preserve"> AUTONUM  </w:instrText>
      </w:r>
      <w:r w:rsidRPr="001E52CE">
        <w:rPr>
          <w:rFonts w:eastAsiaTheme="minorEastAsia" w:cs="Arial"/>
          <w:lang w:val="de-DE"/>
        </w:rPr>
        <w:fldChar w:fldCharType="end"/>
      </w:r>
      <w:r w:rsidRPr="008B37C7">
        <w:rPr>
          <w:lang w:val="de-DE"/>
        </w:rPr>
        <w:tab/>
        <w:t>Der Rat entschied auf seiner dreiundfünfzigsten ordentlichen Tagung am 1. November 2019 in Genf (vergleiche Dokument C/53/15, Absatz 23), die Vereinbarung zwischen UPOV und WIPO bezüglich der UPOV-Datenbank für Pflanzensorten (UPOV-WIPO-Vereinbarung</w:t>
      </w:r>
      <w:r w:rsidRPr="008B37C7">
        <w:rPr>
          <w:bCs/>
          <w:vertAlign w:val="superscript"/>
          <w:lang w:val="de-DE"/>
        </w:rPr>
        <w:footnoteReference w:id="6"/>
      </w:r>
      <w:r w:rsidRPr="008B37C7">
        <w:rPr>
          <w:lang w:val="de-DE"/>
        </w:rPr>
        <w:t>) zu beenden, sobald der Wissenstransfer und die Rationalisierung im Rahmen der Datenverwaltung der PLUTO-Datenbank zur Zufriedenheit des Verbandsbüros abgeschlossen ist. Der Rat vereinbarte des Weiteren, bezüglich der PLUTO-Datenbank ab November 2020 den folgenden Ansatz zu verfolgen:</w:t>
      </w:r>
    </w:p>
    <w:p w14:paraId="12B86D45" w14:textId="77777777" w:rsidR="00D422BE" w:rsidRPr="008B37C7" w:rsidRDefault="00D422BE" w:rsidP="00F76AA9">
      <w:pPr>
        <w:rPr>
          <w:lang w:val="de-DE"/>
        </w:rPr>
      </w:pPr>
    </w:p>
    <w:p w14:paraId="4844AFAE" w14:textId="77777777" w:rsidR="00D422BE" w:rsidRPr="008B37C7" w:rsidRDefault="00D422BE" w:rsidP="00F76AA9">
      <w:pPr>
        <w:numPr>
          <w:ilvl w:val="0"/>
          <w:numId w:val="4"/>
        </w:numPr>
        <w:autoSpaceDE w:val="0"/>
        <w:autoSpaceDN w:val="0"/>
        <w:adjustRightInd w:val="0"/>
        <w:ind w:left="993" w:right="103" w:hanging="284"/>
        <w:rPr>
          <w:rFonts w:cs="Arial"/>
          <w:lang w:val="de-DE"/>
        </w:rPr>
      </w:pPr>
      <w:r w:rsidRPr="008B37C7">
        <w:rPr>
          <w:rFonts w:cs="Arial"/>
          <w:szCs w:val="24"/>
          <w:lang w:val="de-DE"/>
        </w:rPr>
        <w:t>Gratisvariante:  Die PLUTO-Datenbank mit Suchfunktion würde allen Nutzern offenstehen. Die Suchergebnisse würden sich auf eine einzelne, auf dem Bildschirm angezeigte Seite beschränken. Die Möglichkeit, Suchergebnisse oder Daten aus der PLUTO-Datenbank herunterzuladen, wäre nicht gegeben.</w:t>
      </w:r>
    </w:p>
    <w:p w14:paraId="0E148838" w14:textId="77777777" w:rsidR="00D422BE" w:rsidRPr="008B37C7" w:rsidRDefault="00D422BE" w:rsidP="00F76AA9">
      <w:pPr>
        <w:rPr>
          <w:lang w:val="de-DE"/>
        </w:rPr>
      </w:pPr>
    </w:p>
    <w:p w14:paraId="44BA964C" w14:textId="77777777" w:rsidR="00D422BE" w:rsidRPr="008B37C7" w:rsidRDefault="00D422BE" w:rsidP="00F76AA9">
      <w:pPr>
        <w:numPr>
          <w:ilvl w:val="0"/>
          <w:numId w:val="4"/>
        </w:numPr>
        <w:autoSpaceDE w:val="0"/>
        <w:autoSpaceDN w:val="0"/>
        <w:adjustRightInd w:val="0"/>
        <w:ind w:left="993" w:right="103" w:hanging="284"/>
        <w:rPr>
          <w:rFonts w:cs="Arial"/>
          <w:lang w:val="de-DE"/>
        </w:rPr>
      </w:pPr>
      <w:r w:rsidRPr="008B37C7">
        <w:rPr>
          <w:rFonts w:cs="Arial"/>
          <w:szCs w:val="24"/>
          <w:lang w:val="de-DE"/>
        </w:rPr>
        <w:t>Premiumvariante:  Nutzer, die eine Gebühr zahlen, hätten Zugang zu allen Datenbankfunktionen und könnten unbeschränkt Daten herunterladen. Die Gebühr würde CHF 750 jährlich betragen;</w:t>
      </w:r>
    </w:p>
    <w:p w14:paraId="4524C62A" w14:textId="77777777" w:rsidR="00D422BE" w:rsidRPr="008B37C7" w:rsidRDefault="00D422BE" w:rsidP="00F76AA9">
      <w:pPr>
        <w:rPr>
          <w:lang w:val="de-DE"/>
        </w:rPr>
      </w:pPr>
    </w:p>
    <w:p w14:paraId="2ED309F5" w14:textId="77777777" w:rsidR="00D422BE" w:rsidRPr="008B37C7" w:rsidRDefault="00D422BE" w:rsidP="00F76AA9">
      <w:pPr>
        <w:numPr>
          <w:ilvl w:val="0"/>
          <w:numId w:val="4"/>
        </w:numPr>
        <w:autoSpaceDE w:val="0"/>
        <w:autoSpaceDN w:val="0"/>
        <w:adjustRightInd w:val="0"/>
        <w:ind w:left="993" w:right="103" w:hanging="284"/>
        <w:rPr>
          <w:rFonts w:cs="Arial"/>
          <w:lang w:val="de-DE"/>
        </w:rPr>
      </w:pPr>
      <w:r w:rsidRPr="008B37C7">
        <w:rPr>
          <w:rFonts w:cs="Arial"/>
          <w:szCs w:val="24"/>
          <w:lang w:val="de-DE"/>
        </w:rPr>
        <w:t>Verbandsmitglieder und Datenlieferanten: Alle Verbandsmitglieder und Datenlieferanten (z. B. OECD) hätten freien Zugang zu allen „Premium“-Funktionen der PLUTO-Datenbank; und</w:t>
      </w:r>
    </w:p>
    <w:p w14:paraId="7131C787" w14:textId="77777777" w:rsidR="00D422BE" w:rsidRPr="008B37C7" w:rsidRDefault="00D422BE" w:rsidP="00F76AA9">
      <w:pPr>
        <w:rPr>
          <w:lang w:val="de-DE"/>
        </w:rPr>
      </w:pPr>
    </w:p>
    <w:p w14:paraId="1DC089D8" w14:textId="60B8E0CC" w:rsidR="00D422BE" w:rsidRPr="00A87E63" w:rsidRDefault="00D422BE" w:rsidP="00F76AA9">
      <w:pPr>
        <w:numPr>
          <w:ilvl w:val="0"/>
          <w:numId w:val="4"/>
        </w:numPr>
        <w:autoSpaceDE w:val="0"/>
        <w:autoSpaceDN w:val="0"/>
        <w:adjustRightInd w:val="0"/>
        <w:ind w:left="993" w:right="103" w:hanging="284"/>
        <w:rPr>
          <w:rFonts w:cs="Arial"/>
          <w:lang w:val="de-DE"/>
        </w:rPr>
      </w:pPr>
      <w:r w:rsidRPr="008B37C7">
        <w:rPr>
          <w:rFonts w:cs="Arial"/>
          <w:szCs w:val="24"/>
          <w:lang w:val="de-DE"/>
        </w:rPr>
        <w:t>der Zugang zur PLUTO-Datenbank könnte auch in vom Beratenden Ausschuss gebilligten Fällen gewährt werden, ähnlich wie die Unterstützung, die das Verbandsbüro für den Internationalen Vertrag über pflanzengenetische Ressourcen für Ernährung und Landwirtschaft (ITPGRFA) leistet.</w:t>
      </w:r>
    </w:p>
    <w:p w14:paraId="338509EF" w14:textId="77777777" w:rsidR="00A87E63" w:rsidRDefault="00A87E63" w:rsidP="00A87E63">
      <w:pPr>
        <w:pStyle w:val="ListParagraph"/>
        <w:rPr>
          <w:rFonts w:cs="Arial"/>
          <w:lang w:val="de-DE"/>
        </w:rPr>
      </w:pPr>
    </w:p>
    <w:p w14:paraId="2F94EBA5" w14:textId="77777777" w:rsidR="00A87E63" w:rsidRPr="008B37C7" w:rsidRDefault="00A87E63" w:rsidP="00A87E63">
      <w:pPr>
        <w:autoSpaceDE w:val="0"/>
        <w:autoSpaceDN w:val="0"/>
        <w:adjustRightInd w:val="0"/>
        <w:ind w:left="993" w:right="103"/>
        <w:rPr>
          <w:rFonts w:cs="Arial"/>
          <w:lang w:val="de-DE"/>
        </w:rPr>
      </w:pPr>
    </w:p>
    <w:p w14:paraId="72B6FDD6" w14:textId="7BA696D2" w:rsidR="006D2B96" w:rsidRPr="008B37C7" w:rsidRDefault="006D2B96" w:rsidP="00F76AA9">
      <w:pPr>
        <w:keepNext/>
        <w:outlineLvl w:val="1"/>
        <w:rPr>
          <w:rFonts w:eastAsiaTheme="minorEastAsia"/>
          <w:u w:val="single"/>
          <w:lang w:val="de-DE"/>
        </w:rPr>
      </w:pPr>
      <w:bookmarkStart w:id="37" w:name="_Toc85636332"/>
      <w:bookmarkStart w:id="38" w:name="_Toc86067848"/>
      <w:bookmarkEnd w:id="36"/>
      <w:r w:rsidRPr="008B37C7">
        <w:rPr>
          <w:u w:val="single"/>
          <w:lang w:val="de-DE"/>
        </w:rPr>
        <w:t>Neue PLUTO-Version</w:t>
      </w:r>
      <w:bookmarkEnd w:id="37"/>
      <w:bookmarkEnd w:id="38"/>
    </w:p>
    <w:p w14:paraId="47483608" w14:textId="77777777" w:rsidR="006D2B96" w:rsidRPr="008B37C7" w:rsidRDefault="006D2B96" w:rsidP="00F76AA9">
      <w:pPr>
        <w:rPr>
          <w:lang w:val="de-DE"/>
        </w:rPr>
      </w:pPr>
    </w:p>
    <w:p w14:paraId="665231F6" w14:textId="3EBE781B" w:rsidR="00026F7C" w:rsidRPr="008B37C7" w:rsidRDefault="003C3C72" w:rsidP="00F76AA9">
      <w:pPr>
        <w:rPr>
          <w:lang w:val="de-DE"/>
        </w:rPr>
      </w:pPr>
      <w:r w:rsidRPr="001E52CE">
        <w:rPr>
          <w:lang w:val="de-DE"/>
        </w:rPr>
        <w:fldChar w:fldCharType="begin"/>
      </w:r>
      <w:r w:rsidRPr="001E52CE">
        <w:rPr>
          <w:lang w:val="de-DE"/>
        </w:rPr>
        <w:instrText xml:space="preserve"> AUTONUM  </w:instrText>
      </w:r>
      <w:r w:rsidRPr="001E52CE">
        <w:rPr>
          <w:lang w:val="de-DE"/>
        </w:rPr>
        <w:fldChar w:fldCharType="end"/>
      </w:r>
      <w:r w:rsidRPr="008B37C7">
        <w:rPr>
          <w:lang w:val="de-DE"/>
        </w:rPr>
        <w:tab/>
      </w:r>
      <w:r w:rsidR="00026F7C" w:rsidRPr="008B37C7">
        <w:rPr>
          <w:lang w:val="de-DE"/>
        </w:rPr>
        <w:t xml:space="preserve">Am 30. Juni 2020 wurde ein Webinar abgehalten, um einen Überblick über Änderungen an der PLUTO-Datenbank zu geben und den Nutzern Gelegenheit zu bieten, zum vorgeschlagenen Design und den neuen Funktionen Feedback zu äußern. An dem Webinar nahmen 185 Teilnehmer teil. </w:t>
      </w:r>
      <w:r w:rsidR="0032421C" w:rsidRPr="008B37C7">
        <w:rPr>
          <w:lang w:val="de-DE"/>
        </w:rPr>
        <w:t xml:space="preserve">Das Feedback der Teilnehmer erfolgte in Form einer Live-Befragung während des Webinars, einer Fragerunde am Ende des Webinars und der Möglichkeit, nach dem Webinar Fragen per E-Mail einzusenden. </w:t>
      </w:r>
      <w:r w:rsidR="00026F7C" w:rsidRPr="008B37C7">
        <w:rPr>
          <w:lang w:val="de-DE"/>
        </w:rPr>
        <w:t xml:space="preserve">Eine Video-Aufzeichnung des Webinars (ohne Live-Befragung und Fragerunde) </w:t>
      </w:r>
      <w:r w:rsidR="006D2B96" w:rsidRPr="008B37C7">
        <w:rPr>
          <w:lang w:val="de-DE"/>
        </w:rPr>
        <w:t>wurde auf der Webseite der UPOV zur Verfügung gestellt</w:t>
      </w:r>
      <w:r w:rsidR="00026F7C" w:rsidRPr="008B37C7">
        <w:rPr>
          <w:lang w:val="de-DE"/>
        </w:rPr>
        <w:t xml:space="preserve">. </w:t>
      </w:r>
    </w:p>
    <w:p w14:paraId="7A53869A" w14:textId="77777777" w:rsidR="00026F7C" w:rsidRPr="008B37C7" w:rsidRDefault="00026F7C" w:rsidP="00F76AA9">
      <w:pPr>
        <w:rPr>
          <w:lang w:val="de-DE"/>
        </w:rPr>
      </w:pPr>
    </w:p>
    <w:p w14:paraId="715FB2C9" w14:textId="77777777" w:rsidR="00026F7C" w:rsidRPr="008B37C7" w:rsidRDefault="00026F7C" w:rsidP="00F76AA9">
      <w:pPr>
        <w:rPr>
          <w:lang w:val="de-DE"/>
        </w:rPr>
      </w:pPr>
      <w:r w:rsidRPr="001E52CE">
        <w:rPr>
          <w:lang w:val="de-DE"/>
        </w:rPr>
        <w:fldChar w:fldCharType="begin"/>
      </w:r>
      <w:r w:rsidRPr="001E52CE">
        <w:rPr>
          <w:lang w:val="de-DE"/>
        </w:rPr>
        <w:instrText xml:space="preserve"> AUTONUM  </w:instrText>
      </w:r>
      <w:r w:rsidRPr="001E52CE">
        <w:rPr>
          <w:lang w:val="de-DE"/>
        </w:rPr>
        <w:fldChar w:fldCharType="end"/>
      </w:r>
      <w:r w:rsidRPr="008B37C7">
        <w:rPr>
          <w:lang w:val="de-DE"/>
        </w:rPr>
        <w:tab/>
        <w:t>Aufgrund des während und nach dem Webinar gewonnenen Feedbacks wurde die Schlussfolgerung gezogen, dass eine erneute Umfrage eine wertvolle Gelegenheit bieten würde, mehr über die Bedürfnisse der Nutzer zu erfahren</w:t>
      </w:r>
      <w:r w:rsidR="0032421C" w:rsidRPr="008B37C7">
        <w:rPr>
          <w:lang w:val="de-DE"/>
        </w:rPr>
        <w:t xml:space="preserve">. </w:t>
      </w:r>
      <w:r w:rsidRPr="008B37C7">
        <w:rPr>
          <w:lang w:val="de-DE"/>
        </w:rPr>
        <w:t>Eine Einladung zur Teilnahme an einer Umfrage wurde an alle UPOV-Gremien, PLUTO-Nutzer und Teilnehmer des Webinars geschickt.</w:t>
      </w:r>
    </w:p>
    <w:p w14:paraId="7F5AB822" w14:textId="77777777" w:rsidR="00026F7C" w:rsidRPr="008B37C7" w:rsidRDefault="00026F7C" w:rsidP="00F76AA9">
      <w:pPr>
        <w:rPr>
          <w:lang w:val="de-DE"/>
        </w:rPr>
      </w:pPr>
    </w:p>
    <w:p w14:paraId="5656FEF0" w14:textId="756514D0" w:rsidR="00026F7C" w:rsidRPr="008B37C7" w:rsidRDefault="00026F7C" w:rsidP="00F76AA9">
      <w:pPr>
        <w:rPr>
          <w:lang w:val="de-DE"/>
        </w:rPr>
      </w:pPr>
      <w:r w:rsidRPr="001E52CE">
        <w:rPr>
          <w:lang w:val="de-DE"/>
        </w:rPr>
        <w:fldChar w:fldCharType="begin"/>
      </w:r>
      <w:r w:rsidRPr="001E52CE">
        <w:rPr>
          <w:lang w:val="de-DE"/>
        </w:rPr>
        <w:instrText xml:space="preserve"> AUTONUM  </w:instrText>
      </w:r>
      <w:r w:rsidRPr="001E52CE">
        <w:rPr>
          <w:lang w:val="de-DE"/>
        </w:rPr>
        <w:fldChar w:fldCharType="end"/>
      </w:r>
      <w:r w:rsidRPr="008B37C7">
        <w:rPr>
          <w:lang w:val="de-DE"/>
        </w:rPr>
        <w:tab/>
        <w:t xml:space="preserve">Auf Grundlage des Webinars und der Umfrage </w:t>
      </w:r>
      <w:r w:rsidR="0049429C" w:rsidRPr="008B37C7">
        <w:rPr>
          <w:lang w:val="de-DE"/>
        </w:rPr>
        <w:t xml:space="preserve">wurde </w:t>
      </w:r>
      <w:r w:rsidRPr="008B37C7">
        <w:rPr>
          <w:lang w:val="de-DE"/>
        </w:rPr>
        <w:t xml:space="preserve">die </w:t>
      </w:r>
      <w:r w:rsidR="0049429C" w:rsidRPr="008B37C7">
        <w:rPr>
          <w:lang w:val="de-DE"/>
        </w:rPr>
        <w:t>neue PLUTO-Version fertiggestellt</w:t>
      </w:r>
      <w:r w:rsidRPr="008B37C7">
        <w:rPr>
          <w:lang w:val="de-DE"/>
        </w:rPr>
        <w:t>.</w:t>
      </w:r>
    </w:p>
    <w:p w14:paraId="627F3080" w14:textId="77777777" w:rsidR="00026F7C" w:rsidRPr="008B37C7" w:rsidRDefault="00026F7C" w:rsidP="00F76AA9">
      <w:pPr>
        <w:rPr>
          <w:lang w:val="de-DE"/>
        </w:rPr>
      </w:pPr>
    </w:p>
    <w:bookmarkStart w:id="39" w:name="_Toc52992467"/>
    <w:p w14:paraId="778046AC" w14:textId="605A2DB4" w:rsidR="00026F7C" w:rsidRPr="008B37C7" w:rsidRDefault="00026F7C" w:rsidP="00F76AA9">
      <w:pPr>
        <w:rPr>
          <w:lang w:val="de-DE"/>
        </w:rPr>
      </w:pPr>
      <w:r w:rsidRPr="001E52CE">
        <w:rPr>
          <w:rFonts w:eastAsiaTheme="minorEastAsia" w:cs="Arial"/>
          <w:lang w:val="de-DE"/>
        </w:rPr>
        <w:fldChar w:fldCharType="begin"/>
      </w:r>
      <w:r w:rsidRPr="001E52CE">
        <w:rPr>
          <w:rFonts w:eastAsiaTheme="minorEastAsia" w:cs="Arial"/>
          <w:lang w:val="de-DE"/>
        </w:rPr>
        <w:instrText xml:space="preserve"> AUTONUM  </w:instrText>
      </w:r>
      <w:r w:rsidRPr="001E52CE">
        <w:rPr>
          <w:rFonts w:eastAsiaTheme="minorEastAsia" w:cs="Arial"/>
          <w:lang w:val="de-DE"/>
        </w:rPr>
        <w:fldChar w:fldCharType="end"/>
      </w:r>
      <w:r w:rsidRPr="008B37C7">
        <w:rPr>
          <w:lang w:val="de-DE"/>
        </w:rPr>
        <w:tab/>
      </w:r>
      <w:r w:rsidR="00AB3D9D" w:rsidRPr="008B37C7">
        <w:rPr>
          <w:lang w:val="de-DE"/>
        </w:rPr>
        <w:t xml:space="preserve"> Vom 30. August 2021 bis 10. September 2021 fand eine Testphase für Sortenschutzämter und andere Nutzer statt, um</w:t>
      </w:r>
      <w:r w:rsidR="003A15A5">
        <w:rPr>
          <w:lang w:val="de-DE"/>
        </w:rPr>
        <w:t xml:space="preserve"> </w:t>
      </w:r>
      <w:r w:rsidR="00AB3D9D" w:rsidRPr="008B37C7">
        <w:rPr>
          <w:lang w:val="de-DE"/>
        </w:rPr>
        <w:t>das neue Design und die neuen Funktionen</w:t>
      </w:r>
      <w:r w:rsidR="003A15A5">
        <w:rPr>
          <w:lang w:val="de-DE"/>
        </w:rPr>
        <w:t xml:space="preserve"> </w:t>
      </w:r>
      <w:r w:rsidR="00AB3D9D" w:rsidRPr="008B37C7">
        <w:rPr>
          <w:lang w:val="de-DE"/>
        </w:rPr>
        <w:t xml:space="preserve">der Datenbank zu testen. </w:t>
      </w:r>
      <w:r w:rsidR="003A15A5">
        <w:rPr>
          <w:lang w:val="de-DE"/>
        </w:rPr>
        <w:t>Anhand</w:t>
      </w:r>
      <w:r w:rsidR="00AB3D9D" w:rsidRPr="008B37C7">
        <w:rPr>
          <w:lang w:val="de-DE"/>
        </w:rPr>
        <w:t xml:space="preserve"> de</w:t>
      </w:r>
      <w:r w:rsidR="003A15A5">
        <w:rPr>
          <w:lang w:val="de-DE"/>
        </w:rPr>
        <w:t xml:space="preserve">s während der gesamten Testphase eingegangenen Feedbacks </w:t>
      </w:r>
      <w:r w:rsidR="00AB3D9D" w:rsidRPr="008B37C7">
        <w:rPr>
          <w:lang w:val="de-DE"/>
        </w:rPr>
        <w:t>konnte die endgültige Version verbessert werden.</w:t>
      </w:r>
    </w:p>
    <w:p w14:paraId="60E1DF25" w14:textId="15A6EFE1" w:rsidR="00AB3D9D" w:rsidRPr="008B37C7" w:rsidRDefault="00AB3D9D" w:rsidP="00F76AA9">
      <w:pPr>
        <w:rPr>
          <w:lang w:val="de-DE"/>
        </w:rPr>
      </w:pPr>
    </w:p>
    <w:p w14:paraId="404D3E4A" w14:textId="166F4973" w:rsidR="00AB3D9D" w:rsidRPr="00AD703C" w:rsidRDefault="00AB3D9D" w:rsidP="00F76AA9">
      <w:pPr>
        <w:rPr>
          <w:u w:val="single"/>
          <w:lang w:val="de-DE"/>
        </w:rPr>
      </w:pPr>
      <w:r w:rsidRPr="00AD703C">
        <w:rPr>
          <w:u w:val="single"/>
          <w:lang w:val="de-DE"/>
        </w:rPr>
        <w:t>Datenlieferung</w:t>
      </w:r>
    </w:p>
    <w:p w14:paraId="0F242C73" w14:textId="77777777" w:rsidR="00026F7C" w:rsidRPr="008B37C7" w:rsidRDefault="00026F7C" w:rsidP="00F76AA9">
      <w:pPr>
        <w:rPr>
          <w:rFonts w:eastAsiaTheme="minorEastAsia" w:cs="Arial"/>
          <w:bCs/>
          <w:lang w:val="de-DE"/>
        </w:rPr>
      </w:pPr>
    </w:p>
    <w:p w14:paraId="79C9E3E8" w14:textId="77777777" w:rsidR="00026F7C" w:rsidRPr="008B37C7" w:rsidRDefault="00026F7C" w:rsidP="00F76AA9">
      <w:pPr>
        <w:rPr>
          <w:rFonts w:eastAsiaTheme="minorEastAsia" w:cs="Arial"/>
          <w:bCs/>
          <w:lang w:val="de-DE"/>
        </w:rPr>
      </w:pPr>
      <w:r w:rsidRPr="001E52CE">
        <w:rPr>
          <w:rFonts w:eastAsiaTheme="minorEastAsia" w:cs="Arial"/>
          <w:lang w:val="de-DE"/>
        </w:rPr>
        <w:fldChar w:fldCharType="begin"/>
      </w:r>
      <w:r w:rsidRPr="001E52CE">
        <w:rPr>
          <w:rFonts w:eastAsiaTheme="minorEastAsia" w:cs="Arial"/>
          <w:lang w:val="de-DE"/>
        </w:rPr>
        <w:instrText xml:space="preserve"> AUTONUM  </w:instrText>
      </w:r>
      <w:r w:rsidRPr="001E52CE">
        <w:rPr>
          <w:rFonts w:eastAsiaTheme="minorEastAsia" w:cs="Arial"/>
          <w:lang w:val="de-DE"/>
        </w:rPr>
        <w:fldChar w:fldCharType="end"/>
      </w:r>
      <w:r w:rsidRPr="008B37C7">
        <w:rPr>
          <w:lang w:val="de-DE"/>
        </w:rPr>
        <w:tab/>
        <w:t xml:space="preserve">Das Programm für Verbesserungen der Datenbank für Pflanzensorten („Programm“) erläutert das Ziel der Hilfestellung für Datenlieferanten unter Berücksichtigung der vom CAJ vereinbarten, </w:t>
      </w:r>
      <w:r w:rsidRPr="00443177">
        <w:rPr>
          <w:lang w:val="de-DE"/>
        </w:rPr>
        <w:t>in Anlage I dieses</w:t>
      </w:r>
      <w:r w:rsidRPr="008B37C7">
        <w:rPr>
          <w:lang w:val="de-DE"/>
        </w:rPr>
        <w:t xml:space="preserve"> Dokuments dargelegten Änderungen:    </w:t>
      </w:r>
    </w:p>
    <w:p w14:paraId="51393AF5" w14:textId="77777777" w:rsidR="00026F7C" w:rsidRPr="001E52CE" w:rsidRDefault="00026F7C" w:rsidP="00F76AA9">
      <w:pPr>
        <w:rPr>
          <w:rFonts w:eastAsiaTheme="minorEastAsia" w:cs="Arial"/>
          <w:bCs/>
          <w:lang w:val="de-DE"/>
        </w:rPr>
      </w:pPr>
    </w:p>
    <w:p w14:paraId="1B97B6A0" w14:textId="77777777" w:rsidR="00026F7C" w:rsidRPr="001E52CE" w:rsidRDefault="00026F7C" w:rsidP="00F76AA9">
      <w:pPr>
        <w:ind w:left="567" w:right="567"/>
        <w:rPr>
          <w:bCs/>
          <w:i/>
          <w:iCs/>
          <w:sz w:val="18"/>
          <w:lang w:val="de-DE"/>
        </w:rPr>
      </w:pPr>
      <w:r w:rsidRPr="001E52CE">
        <w:rPr>
          <w:i/>
          <w:sz w:val="18"/>
          <w:lang w:val="de-DE"/>
        </w:rPr>
        <w:t>„2.</w:t>
      </w:r>
      <w:r w:rsidRPr="001E52CE">
        <w:rPr>
          <w:i/>
          <w:sz w:val="18"/>
          <w:lang w:val="de-DE"/>
        </w:rPr>
        <w:tab/>
        <w:t>Hilfestellung für Datenlieferanten</w:t>
      </w:r>
    </w:p>
    <w:p w14:paraId="2645E800" w14:textId="77777777" w:rsidR="00026F7C" w:rsidRPr="001E52CE" w:rsidRDefault="00026F7C" w:rsidP="00F76AA9">
      <w:pPr>
        <w:ind w:left="567" w:right="567"/>
        <w:rPr>
          <w:bCs/>
          <w:i/>
          <w:iCs/>
          <w:sz w:val="18"/>
          <w:lang w:val="de-DE"/>
        </w:rPr>
      </w:pPr>
    </w:p>
    <w:p w14:paraId="62E2139A" w14:textId="77777777" w:rsidR="00026F7C" w:rsidRPr="001E52CE" w:rsidRDefault="00026F7C" w:rsidP="00F76AA9">
      <w:pPr>
        <w:ind w:left="567" w:right="567"/>
        <w:rPr>
          <w:bCs/>
          <w:sz w:val="18"/>
          <w:lang w:val="de-DE"/>
        </w:rPr>
      </w:pPr>
      <w:r w:rsidRPr="001E52CE">
        <w:rPr>
          <w:sz w:val="18"/>
          <w:lang w:val="de-DE"/>
        </w:rPr>
        <w:t xml:space="preserve">2.1 </w:t>
      </w:r>
      <w:r w:rsidRPr="001E52CE">
        <w:rPr>
          <w:sz w:val="18"/>
          <w:lang w:val="de-DE"/>
        </w:rPr>
        <w:tab/>
        <w:t>Der PLUTO-Datenbank-Administrator wird weiterhin Verbindung mit allen Verbandsmitgliedern und Beitragsleistenden zur PLUTO-Datenbank aufnehmen, die gegenwärtig keine Daten für die PLUTO-Datenbank einreichen, nicht regelmäßig Daten einreichen oder keine Daten mit UPOV-Codes einreichen</w:t>
      </w:r>
      <w:r w:rsidR="0032421C" w:rsidRPr="001E52CE">
        <w:rPr>
          <w:sz w:val="18"/>
          <w:lang w:val="de-DE"/>
        </w:rPr>
        <w:t xml:space="preserve">. </w:t>
      </w:r>
      <w:r w:rsidRPr="001E52CE">
        <w:rPr>
          <w:sz w:val="18"/>
          <w:lang w:val="de-DE"/>
        </w:rPr>
        <w:t>Sie werden in jedem einzelnen Fall ersucht, die Art der Unterstützung zu erläutern, die es ihnen ermöglichen würde, regelmäßig vollständige Daten für die PLUTO-Datenbank einzureichen.</w:t>
      </w:r>
    </w:p>
    <w:p w14:paraId="1616DF5A" w14:textId="77777777" w:rsidR="00026F7C" w:rsidRPr="001E52CE" w:rsidRDefault="00026F7C" w:rsidP="00F76AA9">
      <w:pPr>
        <w:ind w:left="567" w:right="567"/>
        <w:rPr>
          <w:bCs/>
          <w:sz w:val="18"/>
          <w:lang w:val="de-DE"/>
        </w:rPr>
      </w:pPr>
    </w:p>
    <w:p w14:paraId="06834276" w14:textId="77777777" w:rsidR="00026F7C" w:rsidRPr="001E52CE" w:rsidRDefault="00026F7C" w:rsidP="00F76AA9">
      <w:pPr>
        <w:ind w:left="567" w:right="567"/>
        <w:rPr>
          <w:bCs/>
          <w:sz w:val="18"/>
          <w:lang w:val="de-DE"/>
        </w:rPr>
      </w:pPr>
      <w:r w:rsidRPr="001E52CE">
        <w:rPr>
          <w:sz w:val="18"/>
          <w:lang w:val="de-DE"/>
        </w:rPr>
        <w:t xml:space="preserve">2.2 </w:t>
      </w:r>
      <w:r w:rsidRPr="001E52CE">
        <w:rPr>
          <w:sz w:val="18"/>
          <w:lang w:val="de-DE"/>
        </w:rPr>
        <w:tab/>
        <w:t>Der PLUTO-Datenbank-Administrator wird als Reaktion auf den von den Verbandsmitgliedern und den unter 2.1 aufgeführten Beitragsleistenden ausgewiesenen Unterstützungsbedarf nach Lösungen für all diejenigen suchen, die Beiträge zur PLUTO-Datenbank leisten.</w:t>
      </w:r>
    </w:p>
    <w:p w14:paraId="74995645" w14:textId="77777777" w:rsidR="00026F7C" w:rsidRPr="001E52CE" w:rsidRDefault="00026F7C" w:rsidP="00F76AA9">
      <w:pPr>
        <w:ind w:left="567" w:right="567"/>
        <w:rPr>
          <w:bCs/>
          <w:sz w:val="18"/>
          <w:lang w:val="de-DE"/>
        </w:rPr>
      </w:pPr>
    </w:p>
    <w:p w14:paraId="398F981E" w14:textId="77777777" w:rsidR="00026F7C" w:rsidRPr="001E52CE" w:rsidRDefault="00026F7C" w:rsidP="00F76AA9">
      <w:pPr>
        <w:ind w:left="567" w:right="567"/>
        <w:rPr>
          <w:bCs/>
          <w:sz w:val="18"/>
          <w:lang w:val="de-DE"/>
        </w:rPr>
      </w:pPr>
      <w:r w:rsidRPr="001E52CE">
        <w:rPr>
          <w:sz w:val="18"/>
          <w:lang w:val="de-DE"/>
        </w:rPr>
        <w:t xml:space="preserve">2.3 </w:t>
      </w:r>
      <w:r w:rsidRPr="001E52CE">
        <w:rPr>
          <w:sz w:val="18"/>
          <w:lang w:val="de-DE"/>
        </w:rPr>
        <w:tab/>
        <w:t>Dem Verwaltungs- und Rechtsausschuss (CAJ) und dem Technischen Ausschuss (TC) wird jährlich ein Lagebericht vorgelegt.“</w:t>
      </w:r>
    </w:p>
    <w:bookmarkEnd w:id="39"/>
    <w:p w14:paraId="54CB84E6" w14:textId="77777777" w:rsidR="003C3C72" w:rsidRPr="001E52CE" w:rsidRDefault="003C3C72" w:rsidP="00F76AA9">
      <w:pPr>
        <w:rPr>
          <w:rFonts w:eastAsia="SimSun"/>
          <w:lang w:val="de-DE"/>
        </w:rPr>
      </w:pPr>
    </w:p>
    <w:p w14:paraId="41B794A5" w14:textId="3FFD5130" w:rsidR="00525066" w:rsidRPr="008B37C7" w:rsidRDefault="003C3C72" w:rsidP="00F76AA9">
      <w:pPr>
        <w:rPr>
          <w:lang w:val="de-DE"/>
        </w:rPr>
      </w:pPr>
      <w:r w:rsidRPr="001E52CE">
        <w:rPr>
          <w:rFonts w:eastAsia="SimSun"/>
          <w:lang w:val="de-DE"/>
        </w:rPr>
        <w:fldChar w:fldCharType="begin"/>
      </w:r>
      <w:r w:rsidRPr="001E52CE">
        <w:rPr>
          <w:rFonts w:eastAsia="SimSun"/>
          <w:lang w:val="de-DE"/>
        </w:rPr>
        <w:instrText xml:space="preserve"> AUTONUM  </w:instrText>
      </w:r>
      <w:r w:rsidRPr="001E52CE">
        <w:rPr>
          <w:rFonts w:eastAsia="SimSun"/>
          <w:lang w:val="de-DE"/>
        </w:rPr>
        <w:fldChar w:fldCharType="end"/>
      </w:r>
      <w:r w:rsidRPr="008B37C7">
        <w:rPr>
          <w:rFonts w:eastAsia="SimSun"/>
          <w:lang w:val="de-DE"/>
        </w:rPr>
        <w:tab/>
      </w:r>
      <w:r w:rsidR="00525066" w:rsidRPr="008B37C7">
        <w:rPr>
          <w:lang w:val="de-DE"/>
        </w:rPr>
        <w:t xml:space="preserve">Am 30. Juni 2020 wurde ein Webinar über Änderungen bei der PLUTO-Datenbank für Datenlieferanten abgehalten, </w:t>
      </w:r>
      <w:r w:rsidR="00443177">
        <w:rPr>
          <w:lang w:val="de-DE"/>
        </w:rPr>
        <w:t xml:space="preserve">um die </w:t>
      </w:r>
      <w:r w:rsidR="00525066" w:rsidRPr="008B37C7">
        <w:rPr>
          <w:lang w:val="de-DE"/>
        </w:rPr>
        <w:t xml:space="preserve">an dem Verfahren zur Einreichung von Daten zur PLUTO-Datenbank und der </w:t>
      </w:r>
      <w:r w:rsidR="00443177">
        <w:rPr>
          <w:lang w:val="de-DE"/>
        </w:rPr>
        <w:t xml:space="preserve">Qualitätskontrolle der </w:t>
      </w:r>
      <w:r w:rsidR="00525066" w:rsidRPr="008B37C7">
        <w:rPr>
          <w:lang w:val="de-DE"/>
        </w:rPr>
        <w:t>hochgeladenen Date</w:t>
      </w:r>
      <w:r w:rsidR="00443177">
        <w:rPr>
          <w:lang w:val="de-DE"/>
        </w:rPr>
        <w:t>n vorzunehmenden Änderungen zu erläuter</w:t>
      </w:r>
      <w:r w:rsidR="00525066" w:rsidRPr="008B37C7">
        <w:rPr>
          <w:lang w:val="de-DE"/>
        </w:rPr>
        <w:t>n.</w:t>
      </w:r>
    </w:p>
    <w:p w14:paraId="7D66C4B9" w14:textId="3598B83B" w:rsidR="00525066" w:rsidRPr="008B37C7" w:rsidRDefault="00525066" w:rsidP="00F76AA9">
      <w:pPr>
        <w:rPr>
          <w:lang w:val="de-DE"/>
        </w:rPr>
      </w:pPr>
    </w:p>
    <w:p w14:paraId="3EE0805B" w14:textId="5F3252A6" w:rsidR="00525066" w:rsidRPr="008B37C7" w:rsidRDefault="00525066" w:rsidP="00F76AA9">
      <w:pPr>
        <w:rPr>
          <w:lang w:val="de-DE"/>
        </w:rPr>
      </w:pPr>
      <w:r w:rsidRPr="001E52CE">
        <w:rPr>
          <w:rFonts w:eastAsia="SimSun" w:cs="Arial"/>
          <w:bCs/>
          <w:lang w:val="de-DE"/>
        </w:rPr>
        <w:fldChar w:fldCharType="begin"/>
      </w:r>
      <w:r w:rsidRPr="001E52CE">
        <w:rPr>
          <w:rFonts w:eastAsia="SimSun" w:cs="Arial"/>
          <w:bCs/>
          <w:lang w:val="de-DE"/>
        </w:rPr>
        <w:instrText xml:space="preserve"> AUTONUM  </w:instrText>
      </w:r>
      <w:r w:rsidRPr="001E52CE">
        <w:rPr>
          <w:rFonts w:eastAsia="SimSun" w:cs="Arial"/>
          <w:bCs/>
          <w:lang w:val="de-DE"/>
        </w:rPr>
        <w:fldChar w:fldCharType="end"/>
      </w:r>
      <w:r w:rsidRPr="001E52CE">
        <w:rPr>
          <w:rFonts w:eastAsia="SimSun" w:cs="Arial"/>
          <w:bCs/>
          <w:lang w:val="de-DE"/>
        </w:rPr>
        <w:tab/>
      </w:r>
      <w:r w:rsidRPr="008B37C7">
        <w:rPr>
          <w:lang w:val="de-DE"/>
        </w:rPr>
        <w:t xml:space="preserve">Die Qualität der Daten wurde anhand zusätzlicher </w:t>
      </w:r>
      <w:r w:rsidR="009A1E9D" w:rsidRPr="008B37C7">
        <w:rPr>
          <w:lang w:val="de-DE"/>
        </w:rPr>
        <w:t xml:space="preserve">Qualitätskontrollen unter den neuen Vereinbarungen für Datenlieferungen zur PLUTO-Datenbank </w:t>
      </w:r>
      <w:r w:rsidRPr="008B37C7">
        <w:rPr>
          <w:lang w:val="de-DE"/>
        </w:rPr>
        <w:t>verbessert</w:t>
      </w:r>
      <w:r w:rsidR="009A1E9D" w:rsidRPr="008B37C7">
        <w:rPr>
          <w:lang w:val="de-DE"/>
        </w:rPr>
        <w:t>. Die</w:t>
      </w:r>
      <w:r w:rsidR="00443177">
        <w:rPr>
          <w:lang w:val="de-DE"/>
        </w:rPr>
        <w:t xml:space="preserve"> V</w:t>
      </w:r>
      <w:r w:rsidR="009A1E9D" w:rsidRPr="008B37C7">
        <w:rPr>
          <w:lang w:val="de-DE"/>
        </w:rPr>
        <w:t xml:space="preserve">erarbeitung </w:t>
      </w:r>
      <w:r w:rsidR="00443177">
        <w:rPr>
          <w:lang w:val="de-DE"/>
        </w:rPr>
        <w:t>bereits vorhandener</w:t>
      </w:r>
      <w:r w:rsidR="009A1E9D" w:rsidRPr="008B37C7">
        <w:rPr>
          <w:lang w:val="de-DE"/>
        </w:rPr>
        <w:t xml:space="preserve"> Daten unter Anwendung des neuen Datenvalidierungsverfahrens</w:t>
      </w:r>
      <w:r w:rsidR="003107C4" w:rsidRPr="008B37C7">
        <w:rPr>
          <w:lang w:val="de-DE"/>
        </w:rPr>
        <w:t xml:space="preserve"> </w:t>
      </w:r>
      <w:r w:rsidR="00443177">
        <w:rPr>
          <w:lang w:val="de-DE"/>
        </w:rPr>
        <w:t>ergab</w:t>
      </w:r>
      <w:r w:rsidR="003107C4" w:rsidRPr="008B37C7">
        <w:rPr>
          <w:lang w:val="de-DE"/>
        </w:rPr>
        <w:t>:</w:t>
      </w:r>
    </w:p>
    <w:p w14:paraId="579DEEAE" w14:textId="043F9AEF" w:rsidR="003107C4" w:rsidRPr="008B37C7" w:rsidRDefault="003107C4" w:rsidP="00F76AA9">
      <w:pPr>
        <w:rPr>
          <w:lang w:val="de-DE"/>
        </w:rPr>
      </w:pPr>
    </w:p>
    <w:p w14:paraId="001AD017" w14:textId="3249BE8B" w:rsidR="003107C4" w:rsidRPr="001E52CE" w:rsidRDefault="003107C4" w:rsidP="00F76AA9">
      <w:pPr>
        <w:pStyle w:val="ListParagraph"/>
        <w:numPr>
          <w:ilvl w:val="0"/>
          <w:numId w:val="5"/>
        </w:numPr>
        <w:autoSpaceDE w:val="0"/>
        <w:autoSpaceDN w:val="0"/>
        <w:adjustRightInd w:val="0"/>
        <w:ind w:right="103"/>
        <w:contextualSpacing w:val="0"/>
        <w:rPr>
          <w:bCs/>
          <w:lang w:val="de-DE"/>
        </w:rPr>
      </w:pPr>
      <w:r w:rsidRPr="001E52CE">
        <w:rPr>
          <w:bCs/>
          <w:lang w:val="de-DE"/>
        </w:rPr>
        <w:t>8 916 validierten Empfehlungen;</w:t>
      </w:r>
    </w:p>
    <w:p w14:paraId="1FADB1B6" w14:textId="1F6C1558" w:rsidR="003107C4" w:rsidRPr="001E52CE" w:rsidRDefault="003107C4" w:rsidP="00F76AA9">
      <w:pPr>
        <w:pStyle w:val="ListParagraph"/>
        <w:numPr>
          <w:ilvl w:val="0"/>
          <w:numId w:val="5"/>
        </w:numPr>
        <w:autoSpaceDE w:val="0"/>
        <w:autoSpaceDN w:val="0"/>
        <w:adjustRightInd w:val="0"/>
        <w:ind w:right="103"/>
        <w:contextualSpacing w:val="0"/>
        <w:rPr>
          <w:bCs/>
          <w:lang w:val="de-DE"/>
        </w:rPr>
      </w:pPr>
      <w:r w:rsidRPr="001E52CE">
        <w:rPr>
          <w:bCs/>
          <w:lang w:val="de-DE"/>
        </w:rPr>
        <w:t>Ermittlung von 636 Duplikaten; und</w:t>
      </w:r>
    </w:p>
    <w:p w14:paraId="6587652A" w14:textId="666E91C8" w:rsidR="003107C4" w:rsidRPr="001E52CE" w:rsidRDefault="003107C4" w:rsidP="00F76AA9">
      <w:pPr>
        <w:pStyle w:val="ListParagraph"/>
        <w:numPr>
          <w:ilvl w:val="0"/>
          <w:numId w:val="5"/>
        </w:numPr>
        <w:autoSpaceDE w:val="0"/>
        <w:autoSpaceDN w:val="0"/>
        <w:adjustRightInd w:val="0"/>
        <w:ind w:right="103"/>
        <w:contextualSpacing w:val="0"/>
        <w:rPr>
          <w:bCs/>
          <w:lang w:val="de-DE"/>
        </w:rPr>
      </w:pPr>
      <w:r w:rsidRPr="008B37C7">
        <w:rPr>
          <w:bCs/>
          <w:lang w:val="de-DE"/>
        </w:rPr>
        <w:t>Erstellung</w:t>
      </w:r>
      <w:r w:rsidRPr="001E52CE">
        <w:rPr>
          <w:bCs/>
          <w:lang w:val="de-DE"/>
        </w:rPr>
        <w:t xml:space="preserve"> von 18 neuen UPOV-Codes.</w:t>
      </w:r>
    </w:p>
    <w:p w14:paraId="17276405" w14:textId="77777777" w:rsidR="003107C4" w:rsidRPr="008B37C7" w:rsidRDefault="003107C4" w:rsidP="00F76AA9">
      <w:pPr>
        <w:rPr>
          <w:rFonts w:eastAsia="SimSun"/>
          <w:lang w:val="de-DE"/>
        </w:rPr>
      </w:pPr>
    </w:p>
    <w:p w14:paraId="52125F8B" w14:textId="77777777" w:rsidR="003C3C72" w:rsidRPr="008B37C7" w:rsidRDefault="003C3C72" w:rsidP="00F76AA9">
      <w:pPr>
        <w:rPr>
          <w:rFonts w:eastAsia="SimSun"/>
          <w:lang w:val="de-DE"/>
        </w:rPr>
      </w:pPr>
    </w:p>
    <w:p w14:paraId="25E83742" w14:textId="47E136A9" w:rsidR="003C3C72" w:rsidRPr="008B37C7" w:rsidRDefault="003C3C72" w:rsidP="00F76AA9">
      <w:pPr>
        <w:rPr>
          <w:lang w:val="de-DE"/>
        </w:rPr>
      </w:pPr>
      <w:r w:rsidRPr="001E52CE">
        <w:rPr>
          <w:rFonts w:eastAsia="SimSun" w:cs="Arial"/>
          <w:bCs/>
          <w:lang w:val="de-DE"/>
        </w:rPr>
        <w:fldChar w:fldCharType="begin"/>
      </w:r>
      <w:r w:rsidRPr="001E52CE">
        <w:rPr>
          <w:rFonts w:eastAsia="SimSun" w:cs="Arial"/>
          <w:bCs/>
          <w:lang w:val="de-DE"/>
        </w:rPr>
        <w:instrText xml:space="preserve"> AUTONUM  </w:instrText>
      </w:r>
      <w:r w:rsidRPr="001E52CE">
        <w:rPr>
          <w:rFonts w:eastAsia="SimSun" w:cs="Arial"/>
          <w:bCs/>
          <w:lang w:val="de-DE"/>
        </w:rPr>
        <w:fldChar w:fldCharType="end"/>
      </w:r>
      <w:r w:rsidRPr="008B37C7">
        <w:rPr>
          <w:rFonts w:eastAsia="SimSun" w:cs="Arial"/>
          <w:bCs/>
          <w:lang w:val="de-DE"/>
        </w:rPr>
        <w:tab/>
      </w:r>
      <w:r w:rsidR="00026F7C" w:rsidRPr="00443177">
        <w:rPr>
          <w:lang w:val="de-DE"/>
        </w:rPr>
        <w:t>In Anlage II dieses</w:t>
      </w:r>
      <w:r w:rsidR="00026F7C" w:rsidRPr="008B37C7">
        <w:rPr>
          <w:lang w:val="de-DE"/>
        </w:rPr>
        <w:t xml:space="preserve"> Dokuments sind die Beiträge zur PLUTO-Datenbank von </w:t>
      </w:r>
      <w:r w:rsidR="003107C4" w:rsidRPr="008B37C7">
        <w:rPr>
          <w:lang w:val="de-DE"/>
        </w:rPr>
        <w:t xml:space="preserve">2016 </w:t>
      </w:r>
      <w:r w:rsidR="00026F7C" w:rsidRPr="008B37C7">
        <w:rPr>
          <w:lang w:val="de-DE"/>
        </w:rPr>
        <w:t xml:space="preserve">bis </w:t>
      </w:r>
      <w:r w:rsidR="003107C4" w:rsidRPr="008B37C7">
        <w:rPr>
          <w:lang w:val="de-DE"/>
        </w:rPr>
        <w:t xml:space="preserve">2021 </w:t>
      </w:r>
      <w:r w:rsidR="00026F7C" w:rsidRPr="008B37C7">
        <w:rPr>
          <w:lang w:val="de-DE"/>
        </w:rPr>
        <w:t>zusammengefasst.</w:t>
      </w:r>
    </w:p>
    <w:p w14:paraId="400D66D0" w14:textId="660D0977" w:rsidR="003107C4" w:rsidRPr="008B37C7" w:rsidRDefault="003107C4" w:rsidP="00F76AA9">
      <w:pPr>
        <w:rPr>
          <w:lang w:val="de-DE"/>
        </w:rPr>
      </w:pPr>
    </w:p>
    <w:p w14:paraId="589C97B2" w14:textId="4B4ECB33" w:rsidR="00372800" w:rsidRPr="00443177" w:rsidRDefault="00443177" w:rsidP="00F76AA9">
      <w:pPr>
        <w:jc w:val="left"/>
        <w:rPr>
          <w:u w:val="single"/>
          <w:lang w:val="de-DE"/>
        </w:rPr>
      </w:pPr>
      <w:r w:rsidRPr="00443177">
        <w:rPr>
          <w:u w:val="single"/>
          <w:lang w:val="de-DE"/>
        </w:rPr>
        <w:t>E</w:t>
      </w:r>
      <w:r w:rsidR="00220C37">
        <w:rPr>
          <w:u w:val="single"/>
          <w:lang w:val="de-DE"/>
        </w:rPr>
        <w:t>inführung</w:t>
      </w:r>
      <w:r w:rsidR="003107C4" w:rsidRPr="00443177">
        <w:rPr>
          <w:u w:val="single"/>
          <w:lang w:val="de-DE"/>
        </w:rPr>
        <w:t xml:space="preserve"> der neuen PLUTO-Version für Nutzer</w:t>
      </w:r>
    </w:p>
    <w:p w14:paraId="7E0A2E0E" w14:textId="77777777" w:rsidR="00443177" w:rsidRPr="001E52CE" w:rsidRDefault="00443177" w:rsidP="00F76AA9">
      <w:pPr>
        <w:jc w:val="left"/>
        <w:rPr>
          <w:rFonts w:cs="Arial"/>
          <w:lang w:val="de-DE"/>
        </w:rPr>
      </w:pPr>
    </w:p>
    <w:p w14:paraId="0A7474C3" w14:textId="067172EB" w:rsidR="003C3C72" w:rsidRPr="008B37C7" w:rsidRDefault="00F21973" w:rsidP="00F76AA9">
      <w:pPr>
        <w:rPr>
          <w:rFonts w:eastAsia="SimSun" w:cs="Arial"/>
          <w:bCs/>
          <w:lang w:val="de-DE"/>
        </w:rPr>
      </w:pPr>
      <w:r w:rsidRPr="001E52CE">
        <w:rPr>
          <w:rFonts w:eastAsia="SimSun" w:cs="Arial"/>
          <w:bCs/>
          <w:lang w:val="de-DE"/>
        </w:rPr>
        <w:fldChar w:fldCharType="begin"/>
      </w:r>
      <w:r w:rsidRPr="001E52CE">
        <w:rPr>
          <w:rFonts w:eastAsia="SimSun" w:cs="Arial"/>
          <w:bCs/>
          <w:lang w:val="de-DE"/>
        </w:rPr>
        <w:instrText xml:space="preserve"> AUTONUM  </w:instrText>
      </w:r>
      <w:r w:rsidRPr="001E52CE">
        <w:rPr>
          <w:rFonts w:eastAsia="SimSun" w:cs="Arial"/>
          <w:bCs/>
          <w:lang w:val="de-DE"/>
        </w:rPr>
        <w:fldChar w:fldCharType="end"/>
      </w:r>
      <w:r w:rsidRPr="001E52CE">
        <w:rPr>
          <w:rFonts w:eastAsia="SimSun" w:cs="Arial"/>
          <w:bCs/>
          <w:lang w:val="de-DE"/>
        </w:rPr>
        <w:t xml:space="preserve"> Am 14. September 2021 versandte das Verbandsbüro </w:t>
      </w:r>
      <w:r w:rsidRPr="008B37C7">
        <w:rPr>
          <w:rFonts w:eastAsia="SimSun" w:cs="Arial"/>
          <w:bCs/>
          <w:lang w:val="de-DE"/>
        </w:rPr>
        <w:t xml:space="preserve">Rundschreiben E-21/136 an PLUTO-Datenlieferanten und an Vertreter und Stellvertreter im </w:t>
      </w:r>
      <w:r w:rsidR="00220C37">
        <w:rPr>
          <w:rFonts w:eastAsia="SimSun" w:cs="Arial"/>
          <w:bCs/>
          <w:lang w:val="de-DE"/>
        </w:rPr>
        <w:t xml:space="preserve">Rat der </w:t>
      </w:r>
      <w:r w:rsidRPr="008B37C7">
        <w:rPr>
          <w:rFonts w:eastAsia="SimSun" w:cs="Arial"/>
          <w:bCs/>
          <w:lang w:val="de-DE"/>
        </w:rPr>
        <w:t xml:space="preserve">UPOV, </w:t>
      </w:r>
      <w:r w:rsidR="00FB33C7" w:rsidRPr="008B37C7">
        <w:rPr>
          <w:rFonts w:eastAsia="SimSun" w:cs="Arial"/>
          <w:bCs/>
          <w:lang w:val="de-DE"/>
        </w:rPr>
        <w:t xml:space="preserve">in dem der </w:t>
      </w:r>
      <w:r w:rsidR="00FB33C7" w:rsidRPr="00220C37">
        <w:rPr>
          <w:rFonts w:eastAsia="SimSun" w:cs="Arial"/>
          <w:bCs/>
          <w:lang w:val="de-DE"/>
        </w:rPr>
        <w:t>Zeitrahmen der Enführung des neuen Service</w:t>
      </w:r>
      <w:r w:rsidR="00220C37" w:rsidRPr="00220C37">
        <w:rPr>
          <w:rFonts w:eastAsia="SimSun" w:cs="Arial"/>
          <w:bCs/>
          <w:lang w:val="de-DE"/>
        </w:rPr>
        <w:t xml:space="preserve"> und die geplante</w:t>
      </w:r>
      <w:r w:rsidR="00FB33C7" w:rsidRPr="00220C37">
        <w:rPr>
          <w:rFonts w:eastAsia="SimSun" w:cs="Arial"/>
          <w:bCs/>
          <w:lang w:val="de-DE"/>
        </w:rPr>
        <w:t xml:space="preserve"> Reihe von Webinaren für Pluto-Datenlieferanten darge</w:t>
      </w:r>
      <w:r w:rsidR="00FB33C7" w:rsidRPr="008B37C7">
        <w:rPr>
          <w:rFonts w:eastAsia="SimSun" w:cs="Arial"/>
          <w:bCs/>
          <w:lang w:val="de-DE"/>
        </w:rPr>
        <w:t>legt wurden. Um einen reibungslosen Übergang zu</w:t>
      </w:r>
      <w:r w:rsidR="00220C37">
        <w:rPr>
          <w:rFonts w:eastAsia="SimSun" w:cs="Arial"/>
          <w:bCs/>
          <w:lang w:val="de-DE"/>
        </w:rPr>
        <w:t xml:space="preserve"> der</w:t>
      </w:r>
      <w:r w:rsidR="00FB33C7" w:rsidRPr="008B37C7">
        <w:rPr>
          <w:rFonts w:eastAsia="SimSun" w:cs="Arial"/>
          <w:bCs/>
          <w:lang w:val="de-DE"/>
        </w:rPr>
        <w:t xml:space="preserve"> neuen PLUTO-Version zu planen, wurden Datenlieferanten ersucht, bis 1. Oktober 2021 keine neuen Daten zu übermitteln.</w:t>
      </w:r>
    </w:p>
    <w:p w14:paraId="657E013C" w14:textId="7B089CFF" w:rsidR="009F0DEC" w:rsidRPr="008B37C7" w:rsidRDefault="009F0DEC" w:rsidP="00F76AA9">
      <w:pPr>
        <w:rPr>
          <w:rFonts w:eastAsia="SimSun" w:cs="Arial"/>
          <w:bCs/>
          <w:lang w:val="de-DE"/>
        </w:rPr>
      </w:pPr>
    </w:p>
    <w:p w14:paraId="147BCF10" w14:textId="09658AEF" w:rsidR="009F0DEC" w:rsidRPr="008B37C7" w:rsidRDefault="009F0DEC" w:rsidP="00F76AA9">
      <w:pPr>
        <w:rPr>
          <w:lang w:val="de-DE"/>
        </w:rPr>
      </w:pPr>
      <w:r w:rsidRPr="008B37C7">
        <w:rPr>
          <w:rFonts w:eastAsia="SimSun" w:cs="Arial"/>
          <w:bCs/>
          <w:lang w:val="de-DE"/>
        </w:rPr>
        <w:fldChar w:fldCharType="begin"/>
      </w:r>
      <w:r w:rsidRPr="008B37C7">
        <w:rPr>
          <w:rFonts w:eastAsia="SimSun" w:cs="Arial"/>
          <w:bCs/>
          <w:lang w:val="de-DE"/>
        </w:rPr>
        <w:instrText xml:space="preserve"> AUTONUM  </w:instrText>
      </w:r>
      <w:r w:rsidRPr="008B37C7">
        <w:rPr>
          <w:rFonts w:eastAsia="SimSun" w:cs="Arial"/>
          <w:bCs/>
          <w:lang w:val="de-DE"/>
        </w:rPr>
        <w:fldChar w:fldCharType="end"/>
      </w:r>
      <w:r w:rsidRPr="008B37C7">
        <w:rPr>
          <w:rFonts w:eastAsia="SimSun" w:cs="Arial"/>
          <w:bCs/>
          <w:lang w:val="de-DE"/>
        </w:rPr>
        <w:tab/>
      </w:r>
      <w:r w:rsidR="00E10B4F">
        <w:rPr>
          <w:rFonts w:eastAsia="SimSun" w:cs="Arial"/>
          <w:bCs/>
          <w:lang w:val="de-DE"/>
        </w:rPr>
        <w:t>A</w:t>
      </w:r>
      <w:r w:rsidR="00BA594E" w:rsidRPr="008B37C7">
        <w:rPr>
          <w:rFonts w:eastAsia="SimSun" w:cs="Arial"/>
          <w:bCs/>
          <w:lang w:val="de-DE"/>
        </w:rPr>
        <w:t>m 28. u</w:t>
      </w:r>
      <w:r w:rsidR="00E10B4F">
        <w:rPr>
          <w:rFonts w:eastAsia="SimSun" w:cs="Arial"/>
          <w:bCs/>
          <w:lang w:val="de-DE"/>
        </w:rPr>
        <w:t>nd 30</w:t>
      </w:r>
      <w:r w:rsidR="00BA594E" w:rsidRPr="008B37C7">
        <w:rPr>
          <w:rFonts w:eastAsia="SimSun" w:cs="Arial"/>
          <w:bCs/>
          <w:lang w:val="de-DE"/>
        </w:rPr>
        <w:t>. September 2021 wurde e</w:t>
      </w:r>
      <w:r w:rsidRPr="008B37C7">
        <w:rPr>
          <w:rFonts w:eastAsia="SimSun" w:cs="Arial"/>
          <w:bCs/>
          <w:lang w:val="de-DE"/>
        </w:rPr>
        <w:t>ine Reihe von Webinaren für PLUTO-Datenlieferanten (Englisch, Französisch und Spanisch)</w:t>
      </w:r>
      <w:r w:rsidR="00BA594E" w:rsidRPr="008B37C7">
        <w:rPr>
          <w:rFonts w:eastAsia="SimSun" w:cs="Arial"/>
          <w:bCs/>
          <w:lang w:val="de-DE"/>
        </w:rPr>
        <w:t xml:space="preserve"> abgehalten, um das neue Verfahren für das Einreichen von Daten für PLUTO zu erläutern. Die vier Webinare wurden von 19 Teilnehmern wahrgenommen. Die Webinare wurden aufgezeichn</w:t>
      </w:r>
      <w:r w:rsidR="00282D6D">
        <w:rPr>
          <w:rFonts w:eastAsia="SimSun" w:cs="Arial"/>
          <w:bCs/>
          <w:lang w:val="de-DE"/>
        </w:rPr>
        <w:t xml:space="preserve">et und Videoaufzeichnungen sind: </w:t>
      </w:r>
      <w:hyperlink r:id="rId11" w:history="1">
        <w:r w:rsidR="00BA594E" w:rsidRPr="001E52CE">
          <w:rPr>
            <w:rStyle w:val="Hyperlink"/>
            <w:lang w:val="de-DE"/>
          </w:rPr>
          <w:t>https://www.upov.int/pluto/en/help.html</w:t>
        </w:r>
      </w:hyperlink>
      <w:r w:rsidR="00BA594E" w:rsidRPr="00E10B4F">
        <w:rPr>
          <w:rStyle w:val="Hyperlink"/>
          <w:u w:val="none"/>
          <w:lang w:val="de-DE"/>
        </w:rPr>
        <w:t xml:space="preserve"> </w:t>
      </w:r>
      <w:r w:rsidR="00E10B4F">
        <w:rPr>
          <w:lang w:val="de-DE"/>
        </w:rPr>
        <w:t>verfügbar. A</w:t>
      </w:r>
      <w:r w:rsidR="00282D6D">
        <w:rPr>
          <w:lang w:val="de-DE"/>
        </w:rPr>
        <w:t>uf Anfrage können zusätzlich</w:t>
      </w:r>
      <w:r w:rsidR="00E10B4F">
        <w:rPr>
          <w:lang w:val="de-DE"/>
        </w:rPr>
        <w:t xml:space="preserve"> virtuelle Einzelsitzungen </w:t>
      </w:r>
      <w:r w:rsidR="009357FC" w:rsidRPr="008B37C7">
        <w:rPr>
          <w:lang w:val="de-DE"/>
        </w:rPr>
        <w:t xml:space="preserve">für Datenlieferanten abgehalten werden, um das neue Verfahren für das Einreichen von Daten für PLUTO zu erläutern. Die neuen Vereinbarungen, die für PLUTO-Datenlieferanten gelten, wurden am 27. September 2021 </w:t>
      </w:r>
      <w:r w:rsidR="00282D6D">
        <w:rPr>
          <w:lang w:val="de-DE"/>
        </w:rPr>
        <w:t>eingeführt</w:t>
      </w:r>
      <w:r w:rsidR="009357FC" w:rsidRPr="008B37C7">
        <w:rPr>
          <w:lang w:val="de-DE"/>
        </w:rPr>
        <w:t>.</w:t>
      </w:r>
      <w:r w:rsidR="00BA594E" w:rsidRPr="001E52CE">
        <w:rPr>
          <w:lang w:val="de-DE"/>
        </w:rPr>
        <w:t xml:space="preserve"> </w:t>
      </w:r>
    </w:p>
    <w:p w14:paraId="7C9476D3" w14:textId="74968633" w:rsidR="009357FC" w:rsidRPr="008B37C7" w:rsidRDefault="009357FC" w:rsidP="00F76AA9">
      <w:pPr>
        <w:rPr>
          <w:lang w:val="de-DE"/>
        </w:rPr>
      </w:pPr>
    </w:p>
    <w:p w14:paraId="4DA752BB" w14:textId="7AE34717" w:rsidR="009357FC" w:rsidRPr="00220C37" w:rsidRDefault="00220C37" w:rsidP="00F76AA9">
      <w:pPr>
        <w:rPr>
          <w:u w:val="single"/>
          <w:lang w:val="de-DE"/>
        </w:rPr>
      </w:pPr>
      <w:r w:rsidRPr="00220C37">
        <w:rPr>
          <w:u w:val="single"/>
          <w:lang w:val="de-DE"/>
        </w:rPr>
        <w:t>E</w:t>
      </w:r>
      <w:r w:rsidR="002F0C59">
        <w:rPr>
          <w:u w:val="single"/>
          <w:lang w:val="de-DE"/>
        </w:rPr>
        <w:t>inführung des</w:t>
      </w:r>
      <w:r w:rsidR="009357FC" w:rsidRPr="00220C37">
        <w:rPr>
          <w:u w:val="single"/>
          <w:lang w:val="de-DE"/>
        </w:rPr>
        <w:t xml:space="preserve"> neuen PLUTO-</w:t>
      </w:r>
      <w:r w:rsidRPr="00220C37">
        <w:rPr>
          <w:u w:val="single"/>
          <w:lang w:val="de-DE"/>
        </w:rPr>
        <w:t>Services</w:t>
      </w:r>
    </w:p>
    <w:p w14:paraId="362E6C08" w14:textId="27EDE04E" w:rsidR="009357FC" w:rsidRPr="008B37C7" w:rsidRDefault="009357FC" w:rsidP="00F76AA9">
      <w:pPr>
        <w:rPr>
          <w:lang w:val="de-DE"/>
        </w:rPr>
      </w:pPr>
    </w:p>
    <w:p w14:paraId="6BC2C83B" w14:textId="08EAE399" w:rsidR="009357FC" w:rsidRPr="008B37C7" w:rsidRDefault="009357FC" w:rsidP="00F76AA9">
      <w:pPr>
        <w:rPr>
          <w:rFonts w:eastAsia="SimSun" w:cs="Arial"/>
          <w:bCs/>
          <w:lang w:val="de-DE"/>
        </w:rPr>
      </w:pPr>
      <w:r w:rsidRPr="008B37C7">
        <w:rPr>
          <w:rFonts w:eastAsia="SimSun" w:cs="Arial"/>
          <w:bCs/>
          <w:lang w:val="de-DE"/>
        </w:rPr>
        <w:fldChar w:fldCharType="begin"/>
      </w:r>
      <w:r w:rsidRPr="008B37C7">
        <w:rPr>
          <w:rFonts w:eastAsia="SimSun" w:cs="Arial"/>
          <w:bCs/>
          <w:lang w:val="de-DE"/>
        </w:rPr>
        <w:instrText xml:space="preserve"> AUTONUM  </w:instrText>
      </w:r>
      <w:r w:rsidRPr="008B37C7">
        <w:rPr>
          <w:rFonts w:eastAsia="SimSun" w:cs="Arial"/>
          <w:bCs/>
          <w:lang w:val="de-DE"/>
        </w:rPr>
        <w:fldChar w:fldCharType="end"/>
      </w:r>
      <w:r w:rsidRPr="008B37C7">
        <w:rPr>
          <w:rFonts w:eastAsia="SimSun" w:cs="Arial"/>
          <w:bCs/>
          <w:lang w:val="de-DE"/>
        </w:rPr>
        <w:tab/>
        <w:t>Am 24. September 2021 versandte das Vereinsbüro Rundschreiben E-21/154 an alle UPOV-Gremien und PLUTO-Nutzer, in dem die Einführung der neuen Version der PLUTO-Datenbank angekündigt wurde.</w:t>
      </w:r>
      <w:r w:rsidR="00F66C1F" w:rsidRPr="008B37C7">
        <w:rPr>
          <w:rFonts w:eastAsia="SimSun" w:cs="Arial"/>
          <w:bCs/>
          <w:lang w:val="de-DE"/>
        </w:rPr>
        <w:t xml:space="preserve"> </w:t>
      </w:r>
      <w:r w:rsidRPr="008B37C7">
        <w:rPr>
          <w:rFonts w:eastAsia="SimSun" w:cs="Arial"/>
          <w:bCs/>
          <w:lang w:val="de-DE"/>
        </w:rPr>
        <w:t xml:space="preserve">Außerdem ersuchte das Rundschreiben </w:t>
      </w:r>
      <w:r w:rsidR="00F66C1F" w:rsidRPr="008B37C7">
        <w:rPr>
          <w:rFonts w:eastAsia="SimSun" w:cs="Arial"/>
          <w:bCs/>
          <w:lang w:val="de-DE"/>
        </w:rPr>
        <w:t>Nutzer um Teilnahme an einer Reihe von Webinaren am 5. und 6. Oktober 2021</w:t>
      </w:r>
      <w:r w:rsidR="0067705A">
        <w:rPr>
          <w:rFonts w:eastAsia="SimSun" w:cs="Arial"/>
          <w:bCs/>
          <w:lang w:val="de-DE"/>
        </w:rPr>
        <w:t xml:space="preserve"> zwecks Vorstellung des neuen </w:t>
      </w:r>
      <w:r w:rsidR="00F66C1F" w:rsidRPr="008B37C7">
        <w:rPr>
          <w:rFonts w:eastAsia="SimSun" w:cs="Arial"/>
          <w:bCs/>
          <w:lang w:val="de-DE"/>
        </w:rPr>
        <w:t>Design</w:t>
      </w:r>
      <w:r w:rsidR="0067705A">
        <w:rPr>
          <w:rFonts w:eastAsia="SimSun" w:cs="Arial"/>
          <w:bCs/>
          <w:lang w:val="de-DE"/>
        </w:rPr>
        <w:t>s oder der</w:t>
      </w:r>
      <w:r w:rsidR="00F66C1F" w:rsidRPr="008B37C7">
        <w:rPr>
          <w:rFonts w:eastAsia="SimSun" w:cs="Arial"/>
          <w:bCs/>
          <w:lang w:val="de-DE"/>
        </w:rPr>
        <w:t xml:space="preserve"> neuen Funktionen der PLUTO-Datenbank.</w:t>
      </w:r>
    </w:p>
    <w:p w14:paraId="48E3763C" w14:textId="385807F5" w:rsidR="00F66C1F" w:rsidRPr="008B37C7" w:rsidRDefault="00F66C1F" w:rsidP="00F76AA9">
      <w:pPr>
        <w:rPr>
          <w:rFonts w:eastAsia="SimSun" w:cs="Arial"/>
          <w:bCs/>
          <w:lang w:val="de-DE"/>
        </w:rPr>
      </w:pPr>
    </w:p>
    <w:p w14:paraId="017A3453" w14:textId="1F972C04" w:rsidR="00F66C1F" w:rsidRPr="00982CDB" w:rsidRDefault="00F66C1F" w:rsidP="00F76AA9">
      <w:pPr>
        <w:rPr>
          <w:rStyle w:val="Hyperlink"/>
          <w:color w:val="auto"/>
          <w:u w:val="none"/>
          <w:lang w:val="de-DE"/>
        </w:rPr>
      </w:pPr>
      <w:r w:rsidRPr="008B37C7">
        <w:rPr>
          <w:rFonts w:eastAsia="SimSun" w:cs="Arial"/>
          <w:bCs/>
          <w:lang w:val="de-DE"/>
        </w:rPr>
        <w:fldChar w:fldCharType="begin"/>
      </w:r>
      <w:r w:rsidRPr="008B37C7">
        <w:rPr>
          <w:rFonts w:eastAsia="SimSun" w:cs="Arial"/>
          <w:bCs/>
          <w:lang w:val="de-DE"/>
        </w:rPr>
        <w:instrText xml:space="preserve"> AUTONUM  </w:instrText>
      </w:r>
      <w:r w:rsidRPr="008B37C7">
        <w:rPr>
          <w:rFonts w:eastAsia="SimSun" w:cs="Arial"/>
          <w:bCs/>
          <w:lang w:val="de-DE"/>
        </w:rPr>
        <w:fldChar w:fldCharType="end"/>
      </w:r>
      <w:r w:rsidRPr="008B37C7">
        <w:rPr>
          <w:rFonts w:eastAsia="SimSun" w:cs="Arial"/>
          <w:bCs/>
          <w:lang w:val="de-DE"/>
        </w:rPr>
        <w:tab/>
        <w:t xml:space="preserve">Die vier Webinare wurden von 89 Teilnehmern wahrgenommen. Die Webinare wurden aufgezeichnet und sind unter </w:t>
      </w:r>
      <w:hyperlink r:id="rId12" w:history="1">
        <w:r w:rsidRPr="001E52CE">
          <w:rPr>
            <w:rStyle w:val="Hyperlink"/>
            <w:lang w:val="de-DE"/>
          </w:rPr>
          <w:t>https://www.upov.int/pluto/en/help.html</w:t>
        </w:r>
      </w:hyperlink>
      <w:r w:rsidR="00CF3B92">
        <w:rPr>
          <w:rFonts w:eastAsia="SimSun" w:cs="Arial"/>
          <w:bCs/>
          <w:lang w:val="de-DE"/>
        </w:rPr>
        <w:t xml:space="preserve"> verfügbar.</w:t>
      </w:r>
    </w:p>
    <w:p w14:paraId="0BB0DC17" w14:textId="473655F7" w:rsidR="00F66C1F" w:rsidRPr="00982CDB" w:rsidRDefault="00F66C1F" w:rsidP="00982CDB">
      <w:pPr>
        <w:rPr>
          <w:rStyle w:val="Hyperlink"/>
          <w:color w:val="auto"/>
          <w:u w:val="none"/>
          <w:lang w:val="de-DE"/>
        </w:rPr>
      </w:pPr>
    </w:p>
    <w:p w14:paraId="0A8CBE20" w14:textId="58521E02" w:rsidR="00F66C1F" w:rsidRPr="001E52CE" w:rsidRDefault="00F66C1F" w:rsidP="00F76AA9">
      <w:pPr>
        <w:rPr>
          <w:lang w:val="de-DE"/>
        </w:rPr>
      </w:pPr>
      <w:r w:rsidRPr="008B37C7">
        <w:rPr>
          <w:rFonts w:eastAsia="SimSun" w:cs="Arial"/>
          <w:bCs/>
          <w:lang w:val="de-DE"/>
        </w:rPr>
        <w:fldChar w:fldCharType="begin"/>
      </w:r>
      <w:r w:rsidRPr="008B37C7">
        <w:rPr>
          <w:rFonts w:eastAsia="SimSun" w:cs="Arial"/>
          <w:bCs/>
          <w:lang w:val="de-DE"/>
        </w:rPr>
        <w:instrText xml:space="preserve"> AUTONUM  </w:instrText>
      </w:r>
      <w:r w:rsidRPr="008B37C7">
        <w:rPr>
          <w:rFonts w:eastAsia="SimSun" w:cs="Arial"/>
          <w:bCs/>
          <w:lang w:val="de-DE"/>
        </w:rPr>
        <w:fldChar w:fldCharType="end"/>
      </w:r>
      <w:r w:rsidRPr="00CF3B92">
        <w:rPr>
          <w:rFonts w:eastAsia="SimSun" w:cs="Arial"/>
          <w:bCs/>
          <w:lang w:val="de-DE"/>
        </w:rPr>
        <w:tab/>
      </w:r>
      <w:r w:rsidRPr="00CF3B92">
        <w:rPr>
          <w:rStyle w:val="Hyperlink"/>
          <w:color w:val="auto"/>
          <w:u w:val="none"/>
          <w:lang w:val="de-DE"/>
        </w:rPr>
        <w:t>Die neue Version der PLUTO-Datenbank wurde am 11. Oktober 2021 unter der neuen URL</w:t>
      </w:r>
      <w:r w:rsidR="00CF3B92">
        <w:rPr>
          <w:rStyle w:val="Hyperlink"/>
          <w:color w:val="auto"/>
          <w:u w:val="none"/>
          <w:lang w:val="de-DE"/>
        </w:rPr>
        <w:t xml:space="preserve"> </w:t>
      </w:r>
      <w:hyperlink r:id="rId13" w:history="1">
        <w:r w:rsidR="00CF3B92" w:rsidRPr="00C06A1B">
          <w:rPr>
            <w:rStyle w:val="Hyperlink"/>
            <w:lang w:val="de-DE"/>
          </w:rPr>
          <w:t>https://pluto.upov.int</w:t>
        </w:r>
      </w:hyperlink>
      <w:r w:rsidRPr="00CF3B92">
        <w:rPr>
          <w:rStyle w:val="Hyperlink"/>
          <w:color w:val="auto"/>
          <w:u w:val="none"/>
          <w:lang w:val="de-DE"/>
        </w:rPr>
        <w:t xml:space="preserve"> </w:t>
      </w:r>
      <w:r w:rsidR="00CF3B92">
        <w:rPr>
          <w:rStyle w:val="Hyperlink"/>
          <w:color w:val="auto"/>
          <w:u w:val="none"/>
          <w:lang w:val="de-DE"/>
        </w:rPr>
        <w:t>gestartet</w:t>
      </w:r>
      <w:r w:rsidRPr="00CF3B92">
        <w:rPr>
          <w:rStyle w:val="Hyperlink"/>
          <w:color w:val="auto"/>
          <w:u w:val="none"/>
          <w:lang w:val="de-DE"/>
        </w:rPr>
        <w:t>.</w:t>
      </w:r>
    </w:p>
    <w:p w14:paraId="2436072A" w14:textId="5E9E956C" w:rsidR="00F66C1F" w:rsidRPr="008B37C7" w:rsidRDefault="00F66C1F" w:rsidP="00F76AA9">
      <w:pPr>
        <w:rPr>
          <w:lang w:val="de-DE"/>
        </w:rPr>
      </w:pPr>
    </w:p>
    <w:p w14:paraId="30B0224D" w14:textId="21D02C8B" w:rsidR="003C3C72" w:rsidRPr="008B37C7" w:rsidRDefault="00F66C1F" w:rsidP="00F76AA9">
      <w:pPr>
        <w:rPr>
          <w:rFonts w:eastAsia="SimSun" w:cs="Arial"/>
          <w:bCs/>
          <w:lang w:val="de-DE"/>
        </w:rPr>
      </w:pPr>
      <w:r w:rsidRPr="008B37C7">
        <w:rPr>
          <w:rFonts w:eastAsia="SimSun" w:cs="Arial"/>
          <w:bCs/>
          <w:lang w:val="de-DE"/>
        </w:rPr>
        <w:fldChar w:fldCharType="begin"/>
      </w:r>
      <w:r w:rsidRPr="008B37C7">
        <w:rPr>
          <w:rFonts w:eastAsia="SimSun" w:cs="Arial"/>
          <w:bCs/>
          <w:lang w:val="de-DE"/>
        </w:rPr>
        <w:instrText xml:space="preserve"> AUTONUM  </w:instrText>
      </w:r>
      <w:r w:rsidRPr="008B37C7">
        <w:rPr>
          <w:rFonts w:eastAsia="SimSun" w:cs="Arial"/>
          <w:bCs/>
          <w:lang w:val="de-DE"/>
        </w:rPr>
        <w:fldChar w:fldCharType="end"/>
      </w:r>
      <w:r w:rsidRPr="008B37C7">
        <w:rPr>
          <w:rFonts w:eastAsia="SimSun" w:cs="Arial"/>
          <w:bCs/>
          <w:lang w:val="de-DE"/>
        </w:rPr>
        <w:tab/>
        <w:t>Um Nutzern die Gelegenheit zu geben, f</w:t>
      </w:r>
      <w:r w:rsidR="00892A9C" w:rsidRPr="008B37C7">
        <w:rPr>
          <w:rFonts w:eastAsia="SimSun" w:cs="Arial"/>
          <w:bCs/>
          <w:lang w:val="de-DE"/>
        </w:rPr>
        <w:t>estzustellen, ob sie den Standard-Service oder den Premium-Service</w:t>
      </w:r>
      <w:r w:rsidRPr="008B37C7">
        <w:rPr>
          <w:rFonts w:eastAsia="SimSun" w:cs="Arial"/>
          <w:bCs/>
          <w:lang w:val="de-DE"/>
        </w:rPr>
        <w:t xml:space="preserve"> nutzen möchten, </w:t>
      </w:r>
      <w:r w:rsidR="00B13E66" w:rsidRPr="008B37C7">
        <w:rPr>
          <w:rFonts w:eastAsia="SimSun" w:cs="Arial"/>
          <w:bCs/>
          <w:lang w:val="de-DE"/>
        </w:rPr>
        <w:t>steht</w:t>
      </w:r>
      <w:r w:rsidRPr="008B37C7">
        <w:rPr>
          <w:rFonts w:eastAsia="SimSun" w:cs="Arial"/>
          <w:bCs/>
          <w:lang w:val="de-DE"/>
        </w:rPr>
        <w:t xml:space="preserve"> die Premiumversion </w:t>
      </w:r>
      <w:r w:rsidR="00D06637">
        <w:rPr>
          <w:rFonts w:eastAsia="SimSun" w:cs="Arial"/>
          <w:bCs/>
          <w:lang w:val="de-DE"/>
        </w:rPr>
        <w:t>zwischen dem</w:t>
      </w:r>
      <w:r w:rsidRPr="008B37C7">
        <w:rPr>
          <w:rFonts w:eastAsia="SimSun" w:cs="Arial"/>
          <w:bCs/>
          <w:lang w:val="de-DE"/>
        </w:rPr>
        <w:t xml:space="preserve"> 11. Oktober 2021 (</w:t>
      </w:r>
      <w:r w:rsidRPr="00CF3B92">
        <w:rPr>
          <w:rFonts w:eastAsia="SimSun" w:cs="Arial"/>
          <w:bCs/>
          <w:lang w:val="de-DE"/>
        </w:rPr>
        <w:t>Einführung des</w:t>
      </w:r>
      <w:r w:rsidRPr="008B37C7">
        <w:rPr>
          <w:rFonts w:eastAsia="SimSun" w:cs="Arial"/>
          <w:bCs/>
          <w:lang w:val="de-DE"/>
        </w:rPr>
        <w:t xml:space="preserve"> neuen PLUTO)</w:t>
      </w:r>
      <w:r w:rsidR="00B13E66" w:rsidRPr="008B37C7">
        <w:rPr>
          <w:rFonts w:eastAsia="SimSun" w:cs="Arial"/>
          <w:bCs/>
          <w:lang w:val="de-DE"/>
        </w:rPr>
        <w:t xml:space="preserve"> </w:t>
      </w:r>
      <w:r w:rsidR="00D06637">
        <w:rPr>
          <w:rFonts w:eastAsia="SimSun" w:cs="Arial"/>
          <w:bCs/>
          <w:lang w:val="de-DE"/>
        </w:rPr>
        <w:t>und dem</w:t>
      </w:r>
      <w:r w:rsidR="00B13E66" w:rsidRPr="008B37C7">
        <w:rPr>
          <w:rFonts w:eastAsia="SimSun" w:cs="Arial"/>
          <w:bCs/>
          <w:lang w:val="de-DE"/>
        </w:rPr>
        <w:t xml:space="preserve"> 5. November 2021 kostenlos zur Verfügung</w:t>
      </w:r>
      <w:r w:rsidRPr="008B37C7">
        <w:rPr>
          <w:rFonts w:eastAsia="SimSun" w:cs="Arial"/>
          <w:bCs/>
          <w:lang w:val="de-DE"/>
        </w:rPr>
        <w:t>.</w:t>
      </w:r>
    </w:p>
    <w:p w14:paraId="09461085" w14:textId="77777777" w:rsidR="00B13E66" w:rsidRPr="008B37C7" w:rsidRDefault="00B13E66" w:rsidP="00F76AA9">
      <w:pPr>
        <w:rPr>
          <w:rFonts w:eastAsia="SimSun" w:cs="Arial"/>
          <w:bCs/>
          <w:lang w:val="de-DE"/>
        </w:rPr>
      </w:pPr>
    </w:p>
    <w:p w14:paraId="736B6D59" w14:textId="3E01730D" w:rsidR="00F66C1F" w:rsidRPr="008B37C7" w:rsidRDefault="00F66C1F" w:rsidP="00F76AA9">
      <w:pPr>
        <w:rPr>
          <w:rFonts w:eastAsia="SimSun" w:cs="Arial"/>
          <w:bCs/>
          <w:lang w:val="de-DE"/>
        </w:rPr>
      </w:pPr>
      <w:r w:rsidRPr="008B37C7">
        <w:rPr>
          <w:rFonts w:eastAsia="SimSun" w:cs="Arial"/>
          <w:bCs/>
          <w:lang w:val="de-DE"/>
        </w:rPr>
        <w:fldChar w:fldCharType="begin"/>
      </w:r>
      <w:r w:rsidRPr="008B37C7">
        <w:rPr>
          <w:rFonts w:eastAsia="SimSun" w:cs="Arial"/>
          <w:bCs/>
          <w:lang w:val="de-DE"/>
        </w:rPr>
        <w:instrText xml:space="preserve"> AUTONUM  </w:instrText>
      </w:r>
      <w:r w:rsidRPr="008B37C7">
        <w:rPr>
          <w:rFonts w:eastAsia="SimSun" w:cs="Arial"/>
          <w:bCs/>
          <w:lang w:val="de-DE"/>
        </w:rPr>
        <w:fldChar w:fldCharType="end"/>
      </w:r>
      <w:r w:rsidRPr="008B37C7">
        <w:rPr>
          <w:rFonts w:eastAsia="SimSun" w:cs="Arial"/>
          <w:bCs/>
          <w:lang w:val="de-DE"/>
        </w:rPr>
        <w:tab/>
      </w:r>
      <w:r w:rsidR="00B13E66" w:rsidRPr="008B37C7">
        <w:rPr>
          <w:rFonts w:eastAsia="SimSun" w:cs="Arial"/>
          <w:bCs/>
          <w:lang w:val="de-DE"/>
        </w:rPr>
        <w:t>UPOV-Mitglieder und Datenlieferanten haben kostenlosen Zugang zur Premium</w:t>
      </w:r>
      <w:r w:rsidR="00892A9C" w:rsidRPr="008B37C7">
        <w:rPr>
          <w:rFonts w:eastAsia="SimSun" w:cs="Arial"/>
          <w:bCs/>
          <w:lang w:val="de-DE"/>
        </w:rPr>
        <w:t xml:space="preserve">-Service, </w:t>
      </w:r>
      <w:r w:rsidR="00B13E66" w:rsidRPr="008B37C7">
        <w:rPr>
          <w:rFonts w:eastAsia="SimSun" w:cs="Arial"/>
          <w:bCs/>
          <w:lang w:val="de-DE"/>
        </w:rPr>
        <w:t>insofern dies von dem Vertreter des betreffenden UPOV-Mitglieds im Rat genehmigt wurde. Um diesen kostenlosen Zugang</w:t>
      </w:r>
      <w:r w:rsidR="00892A9C" w:rsidRPr="008B37C7">
        <w:rPr>
          <w:rFonts w:eastAsia="SimSun" w:cs="Arial"/>
          <w:bCs/>
          <w:lang w:val="de-DE"/>
        </w:rPr>
        <w:t xml:space="preserve"> zu veranlassen, wurde am 26. Juli 2021 Rundschreiben E-21/114 versandt, um die Vertreter des Rates der UPOV zu ersuchen, für den kostenlosen Premium-Service in Frage kommende Beamte zu ernennen.</w:t>
      </w:r>
    </w:p>
    <w:p w14:paraId="58A78840" w14:textId="77777777" w:rsidR="00892A9C" w:rsidRPr="008B37C7" w:rsidRDefault="00892A9C" w:rsidP="00F76AA9">
      <w:pPr>
        <w:rPr>
          <w:rFonts w:eastAsia="SimSun" w:cs="Arial"/>
          <w:bCs/>
          <w:lang w:val="de-DE"/>
        </w:rPr>
      </w:pPr>
    </w:p>
    <w:p w14:paraId="45CE55D8" w14:textId="41C0625B" w:rsidR="00F66C1F" w:rsidRPr="00982CDB" w:rsidRDefault="00F66C1F" w:rsidP="00F76AA9">
      <w:pPr>
        <w:rPr>
          <w:rStyle w:val="Hyperlink"/>
          <w:rFonts w:cs="Arial"/>
          <w:bCs/>
          <w:color w:val="auto"/>
          <w:lang w:val="de-DE"/>
        </w:rPr>
      </w:pPr>
      <w:r w:rsidRPr="008B37C7">
        <w:rPr>
          <w:rFonts w:eastAsia="SimSun" w:cs="Arial"/>
          <w:bCs/>
          <w:lang w:val="de-DE"/>
        </w:rPr>
        <w:fldChar w:fldCharType="begin"/>
      </w:r>
      <w:r w:rsidRPr="008B37C7">
        <w:rPr>
          <w:rFonts w:eastAsia="SimSun" w:cs="Arial"/>
          <w:bCs/>
          <w:lang w:val="de-DE"/>
        </w:rPr>
        <w:instrText xml:space="preserve"> AUTONUM  </w:instrText>
      </w:r>
      <w:r w:rsidRPr="008B37C7">
        <w:rPr>
          <w:rFonts w:eastAsia="SimSun" w:cs="Arial"/>
          <w:bCs/>
          <w:lang w:val="de-DE"/>
        </w:rPr>
        <w:fldChar w:fldCharType="end"/>
      </w:r>
      <w:r w:rsidRPr="008B37C7">
        <w:rPr>
          <w:rFonts w:eastAsia="SimSun" w:cs="Arial"/>
          <w:bCs/>
          <w:lang w:val="de-DE"/>
        </w:rPr>
        <w:tab/>
      </w:r>
      <w:r w:rsidR="00D74ABE">
        <w:rPr>
          <w:rFonts w:eastAsia="SimSun" w:cs="Arial"/>
          <w:bCs/>
          <w:lang w:val="de-DE"/>
        </w:rPr>
        <w:t>Anleitung</w:t>
      </w:r>
      <w:r w:rsidR="00892A9C" w:rsidRPr="008B37C7">
        <w:rPr>
          <w:rFonts w:eastAsia="SimSun" w:cs="Arial"/>
          <w:bCs/>
          <w:lang w:val="de-DE"/>
        </w:rPr>
        <w:t xml:space="preserve"> für PLUTO-Datenlieferanten ist unter </w:t>
      </w:r>
      <w:hyperlink r:id="rId14" w:history="1">
        <w:r w:rsidR="00892A9C" w:rsidRPr="001E52CE">
          <w:rPr>
            <w:rStyle w:val="Hyperlink"/>
            <w:rFonts w:cs="Arial"/>
            <w:bCs/>
            <w:lang w:val="de-DE"/>
          </w:rPr>
          <w:t>https://www.upov.int/pluto</w:t>
        </w:r>
      </w:hyperlink>
      <w:r w:rsidR="00D74ABE">
        <w:rPr>
          <w:rFonts w:eastAsia="SimSun" w:cs="Arial"/>
          <w:bCs/>
          <w:lang w:val="de-DE"/>
        </w:rPr>
        <w:t xml:space="preserve"> verfügbar.</w:t>
      </w:r>
    </w:p>
    <w:p w14:paraId="6D2125CC" w14:textId="77777777" w:rsidR="002D0A40" w:rsidRPr="008B37C7" w:rsidRDefault="002D0A40" w:rsidP="00F76AA9">
      <w:pPr>
        <w:rPr>
          <w:rFonts w:eastAsia="SimSun" w:cs="Arial"/>
          <w:bCs/>
          <w:lang w:val="de-DE"/>
        </w:rPr>
      </w:pPr>
    </w:p>
    <w:p w14:paraId="7C9F691D" w14:textId="08E08603" w:rsidR="00F66C1F" w:rsidRPr="008B37C7" w:rsidRDefault="00F66C1F" w:rsidP="00F76AA9">
      <w:pPr>
        <w:rPr>
          <w:rFonts w:eastAsia="SimSun" w:cs="Arial"/>
          <w:bCs/>
          <w:lang w:val="de-DE"/>
        </w:rPr>
      </w:pPr>
      <w:r w:rsidRPr="008B37C7">
        <w:rPr>
          <w:rFonts w:eastAsia="SimSun" w:cs="Arial"/>
          <w:bCs/>
          <w:lang w:val="de-DE"/>
        </w:rPr>
        <w:fldChar w:fldCharType="begin"/>
      </w:r>
      <w:r w:rsidRPr="008B37C7">
        <w:rPr>
          <w:rFonts w:eastAsia="SimSun" w:cs="Arial"/>
          <w:bCs/>
          <w:lang w:val="de-DE"/>
        </w:rPr>
        <w:instrText xml:space="preserve"> AUTONUM  </w:instrText>
      </w:r>
      <w:r w:rsidRPr="008B37C7">
        <w:rPr>
          <w:rFonts w:eastAsia="SimSun" w:cs="Arial"/>
          <w:bCs/>
          <w:lang w:val="de-DE"/>
        </w:rPr>
        <w:fldChar w:fldCharType="end"/>
      </w:r>
      <w:r w:rsidRPr="008B37C7">
        <w:rPr>
          <w:rFonts w:eastAsia="SimSun" w:cs="Arial"/>
          <w:bCs/>
          <w:lang w:val="de-DE"/>
        </w:rPr>
        <w:tab/>
      </w:r>
      <w:r w:rsidR="0054424E" w:rsidRPr="008B37C7">
        <w:rPr>
          <w:rFonts w:eastAsia="SimSun" w:cs="Arial"/>
          <w:bCs/>
          <w:lang w:val="de-DE"/>
        </w:rPr>
        <w:t>Die</w:t>
      </w:r>
      <w:r w:rsidR="002D0A40" w:rsidRPr="008B37C7">
        <w:rPr>
          <w:rFonts w:eastAsia="SimSun" w:cs="Arial"/>
          <w:bCs/>
          <w:lang w:val="de-DE"/>
        </w:rPr>
        <w:t xml:space="preserve"> neue PLUTO-Datenbank</w:t>
      </w:r>
      <w:r w:rsidR="0054424E" w:rsidRPr="008B37C7">
        <w:rPr>
          <w:rFonts w:eastAsia="SimSun" w:cs="Arial"/>
          <w:bCs/>
          <w:lang w:val="de-DE"/>
        </w:rPr>
        <w:t>, die</w:t>
      </w:r>
      <w:r w:rsidR="002D0A40" w:rsidRPr="008B37C7">
        <w:rPr>
          <w:rFonts w:eastAsia="SimSun" w:cs="Arial"/>
          <w:bCs/>
          <w:lang w:val="de-DE"/>
        </w:rPr>
        <w:t xml:space="preserve"> neuen Vereinbarungen zur Datenlieferung und die PLUTO-Webseiten werden auf der siebenundfünfzigsten Tagung des TC vorgestellt</w:t>
      </w:r>
      <w:r w:rsidR="0054424E" w:rsidRPr="008B37C7">
        <w:rPr>
          <w:rFonts w:eastAsia="SimSun" w:cs="Arial"/>
          <w:bCs/>
          <w:lang w:val="de-DE"/>
        </w:rPr>
        <w:t xml:space="preserve"> werden</w:t>
      </w:r>
      <w:r w:rsidR="002D0A40" w:rsidRPr="008B37C7">
        <w:rPr>
          <w:rFonts w:eastAsia="SimSun" w:cs="Arial"/>
          <w:bCs/>
          <w:lang w:val="de-DE"/>
        </w:rPr>
        <w:t>.</w:t>
      </w:r>
    </w:p>
    <w:p w14:paraId="52F6043B" w14:textId="6858CBB4" w:rsidR="00F66C1F" w:rsidRDefault="00F66C1F" w:rsidP="00F76AA9">
      <w:pPr>
        <w:rPr>
          <w:lang w:val="de-DE"/>
        </w:rPr>
      </w:pPr>
    </w:p>
    <w:p w14:paraId="318B98F9" w14:textId="0E032F35" w:rsidR="00C23771" w:rsidRDefault="00C23771" w:rsidP="00F76AA9">
      <w:pPr>
        <w:rPr>
          <w:lang w:val="de-DE"/>
        </w:rPr>
      </w:pPr>
    </w:p>
    <w:p w14:paraId="2B36CDE9" w14:textId="77777777" w:rsidR="00C23771" w:rsidRPr="008B37C7" w:rsidRDefault="00C23771" w:rsidP="00F76AA9">
      <w:pPr>
        <w:rPr>
          <w:lang w:val="de-DE"/>
        </w:rPr>
      </w:pPr>
    </w:p>
    <w:p w14:paraId="7020A60F" w14:textId="77777777" w:rsidR="003C3C72" w:rsidRPr="008B37C7" w:rsidRDefault="00026F7C" w:rsidP="00F76AA9">
      <w:pPr>
        <w:jc w:val="right"/>
        <w:rPr>
          <w:lang w:val="de-DE"/>
        </w:rPr>
      </w:pPr>
      <w:r w:rsidRPr="008B37C7">
        <w:rPr>
          <w:lang w:val="de-DE"/>
        </w:rPr>
        <w:t>[Anlagen folgen</w:t>
      </w:r>
      <w:r w:rsidR="003C3C72" w:rsidRPr="008B37C7">
        <w:rPr>
          <w:lang w:val="de-DE"/>
        </w:rPr>
        <w:t>]</w:t>
      </w:r>
    </w:p>
    <w:p w14:paraId="2F8F6F3B" w14:textId="77777777" w:rsidR="003C3C72" w:rsidRPr="008B37C7" w:rsidRDefault="003C3C72" w:rsidP="00F76AA9">
      <w:pPr>
        <w:jc w:val="left"/>
        <w:rPr>
          <w:lang w:val="de-DE"/>
        </w:rPr>
      </w:pPr>
    </w:p>
    <w:p w14:paraId="2CAB05EC" w14:textId="77777777" w:rsidR="003C3C72" w:rsidRPr="001E52CE" w:rsidRDefault="003C3C72" w:rsidP="00F76AA9">
      <w:pPr>
        <w:jc w:val="left"/>
        <w:rPr>
          <w:lang w:val="de-DE"/>
        </w:rPr>
        <w:sectPr w:rsidR="003C3C72" w:rsidRPr="001E52CE" w:rsidSect="009704C9">
          <w:headerReference w:type="default" r:id="rId15"/>
          <w:type w:val="continuous"/>
          <w:pgSz w:w="11907" w:h="16840"/>
          <w:pgMar w:top="510" w:right="1134" w:bottom="1134" w:left="1134" w:header="510" w:footer="680" w:gutter="0"/>
          <w:cols w:space="720"/>
          <w:titlePg/>
          <w:docGrid w:linePitch="272"/>
        </w:sectPr>
      </w:pPr>
    </w:p>
    <w:p w14:paraId="380F0042" w14:textId="75B0E519" w:rsidR="00962B5A" w:rsidRPr="001E52CE" w:rsidRDefault="00962B5A" w:rsidP="00F76AA9">
      <w:pPr>
        <w:jc w:val="center"/>
        <w:rPr>
          <w:rFonts w:cs="Angsana New"/>
          <w:szCs w:val="24"/>
          <w:lang w:val="de-DE"/>
        </w:rPr>
      </w:pPr>
      <w:r w:rsidRPr="001E52CE">
        <w:rPr>
          <w:lang w:val="de-DE"/>
        </w:rPr>
        <w:t>VERBESSERUNGEN DER DATENBANK FÜR PFLANZENSORTEN</w:t>
      </w:r>
    </w:p>
    <w:p w14:paraId="3289AF6E" w14:textId="77777777" w:rsidR="00962B5A" w:rsidRPr="001E52CE" w:rsidRDefault="00962B5A" w:rsidP="00F76AA9">
      <w:pPr>
        <w:jc w:val="center"/>
        <w:rPr>
          <w:rFonts w:cs="Angsana New"/>
          <w:szCs w:val="24"/>
          <w:lang w:val="de-DE" w:bidi="th-TH"/>
        </w:rPr>
      </w:pPr>
    </w:p>
    <w:p w14:paraId="671BE56D" w14:textId="77777777" w:rsidR="00962B5A" w:rsidRPr="001E52CE" w:rsidRDefault="00962B5A" w:rsidP="00F76AA9">
      <w:pPr>
        <w:jc w:val="center"/>
        <w:rPr>
          <w:i/>
          <w:sz w:val="18"/>
          <w:lang w:val="de-DE"/>
        </w:rPr>
      </w:pPr>
      <w:r w:rsidRPr="001E52CE">
        <w:rPr>
          <w:i/>
          <w:sz w:val="18"/>
          <w:lang w:val="de-DE"/>
        </w:rPr>
        <w:t>wie vom Verwaltungs- und Rechtsausschuss (CAJ)</w:t>
      </w:r>
    </w:p>
    <w:p w14:paraId="343D77F7" w14:textId="77777777" w:rsidR="00962B5A" w:rsidRPr="001E52CE" w:rsidRDefault="00962B5A" w:rsidP="00F76AA9">
      <w:pPr>
        <w:jc w:val="center"/>
        <w:rPr>
          <w:i/>
          <w:sz w:val="18"/>
          <w:lang w:val="de-DE"/>
        </w:rPr>
      </w:pPr>
      <w:r w:rsidRPr="001E52CE">
        <w:rPr>
          <w:i/>
          <w:sz w:val="18"/>
          <w:lang w:val="de-DE"/>
        </w:rPr>
        <w:t xml:space="preserve"> auf seiner neunundfünfzigsten Tagung vom 2. April 2009 in Genf gebilligt </w:t>
      </w:r>
    </w:p>
    <w:p w14:paraId="353011C1" w14:textId="77777777" w:rsidR="00962B5A" w:rsidRPr="001E52CE" w:rsidRDefault="00962B5A" w:rsidP="00F76AA9">
      <w:pPr>
        <w:jc w:val="center"/>
        <w:rPr>
          <w:i/>
          <w:sz w:val="18"/>
          <w:lang w:val="de-DE"/>
        </w:rPr>
      </w:pPr>
      <w:r w:rsidRPr="001E52CE">
        <w:rPr>
          <w:i/>
          <w:sz w:val="18"/>
          <w:lang w:val="de-DE"/>
        </w:rPr>
        <w:t xml:space="preserve">und vom CAJ auf seiner fünfundsechzigsten Tagung vom 21. März 2012 in Genf, </w:t>
      </w:r>
    </w:p>
    <w:p w14:paraId="1025D67C" w14:textId="77777777" w:rsidR="00962B5A" w:rsidRPr="001E52CE" w:rsidRDefault="00962B5A" w:rsidP="00F76AA9">
      <w:pPr>
        <w:jc w:val="center"/>
        <w:rPr>
          <w:i/>
          <w:sz w:val="18"/>
          <w:lang w:val="de-DE"/>
        </w:rPr>
      </w:pPr>
      <w:r w:rsidRPr="001E52CE">
        <w:rPr>
          <w:i/>
          <w:sz w:val="18"/>
          <w:lang w:val="de-DE"/>
        </w:rPr>
        <w:t xml:space="preserve">sowie auf seiner achtundsechzigsten Tagung vom 21. Oktober 2013 </w:t>
      </w:r>
    </w:p>
    <w:p w14:paraId="16A1FD76" w14:textId="77777777" w:rsidR="00962B5A" w:rsidRPr="001E52CE" w:rsidRDefault="00962B5A" w:rsidP="00F76AA9">
      <w:pPr>
        <w:jc w:val="center"/>
        <w:rPr>
          <w:bCs/>
          <w:i/>
          <w:sz w:val="18"/>
          <w:lang w:val="de-DE"/>
        </w:rPr>
      </w:pPr>
      <w:r w:rsidRPr="001E52CE">
        <w:rPr>
          <w:i/>
          <w:sz w:val="18"/>
          <w:lang w:val="de-DE"/>
        </w:rPr>
        <w:t>und auf seiner sechsundsiebzigsten Tagung vom 30. Oktober 2019 in Genf geändert</w:t>
      </w:r>
    </w:p>
    <w:p w14:paraId="5F854400" w14:textId="77777777" w:rsidR="00962B5A" w:rsidRPr="001E52CE" w:rsidRDefault="00962B5A" w:rsidP="00F76AA9">
      <w:pPr>
        <w:rPr>
          <w:bCs/>
          <w:lang w:val="de-DE"/>
        </w:rPr>
      </w:pPr>
    </w:p>
    <w:p w14:paraId="168E8D51" w14:textId="77777777" w:rsidR="00962B5A" w:rsidRPr="001E52CE" w:rsidRDefault="00962B5A" w:rsidP="00F76AA9">
      <w:pPr>
        <w:rPr>
          <w:bCs/>
          <w:i/>
          <w:iCs/>
          <w:lang w:val="de-DE"/>
        </w:rPr>
      </w:pPr>
      <w:r w:rsidRPr="001E52CE">
        <w:rPr>
          <w:i/>
          <w:lang w:val="de-DE"/>
        </w:rPr>
        <w:t>1.</w:t>
      </w:r>
      <w:r w:rsidRPr="001E52CE">
        <w:rPr>
          <w:i/>
          <w:lang w:val="de-DE"/>
        </w:rPr>
        <w:tab/>
        <w:t>Bezeichnung der Datenbank für Pflanzensorten</w:t>
      </w:r>
    </w:p>
    <w:p w14:paraId="75D023AE" w14:textId="77777777" w:rsidR="00962B5A" w:rsidRPr="001E52CE" w:rsidRDefault="00962B5A" w:rsidP="00F76AA9">
      <w:pPr>
        <w:rPr>
          <w:bCs/>
          <w:lang w:val="de-DE"/>
        </w:rPr>
      </w:pPr>
    </w:p>
    <w:p w14:paraId="4CF5C073" w14:textId="77777777" w:rsidR="00962B5A" w:rsidRPr="001E52CE" w:rsidRDefault="00962B5A" w:rsidP="00F76AA9">
      <w:pPr>
        <w:rPr>
          <w:bCs/>
          <w:lang w:val="de-DE"/>
        </w:rPr>
      </w:pPr>
      <w:r w:rsidRPr="001E52CE">
        <w:rPr>
          <w:lang w:val="de-DE"/>
        </w:rPr>
        <w:t xml:space="preserve">Der Name der Datenbank für Pflanzensorten ist „PLUTO-Datenbank" (PLUTO nach dem Englischen </w:t>
      </w:r>
      <w:r w:rsidRPr="001E52CE">
        <w:rPr>
          <w:b/>
          <w:bCs/>
          <w:lang w:val="de-DE"/>
        </w:rPr>
        <w:t>PL</w:t>
      </w:r>
      <w:r w:rsidRPr="001E52CE">
        <w:rPr>
          <w:lang w:val="de-DE"/>
        </w:rPr>
        <w:t xml:space="preserve">ant varieties in the </w:t>
      </w:r>
      <w:r w:rsidRPr="001E52CE">
        <w:rPr>
          <w:b/>
          <w:bCs/>
          <w:lang w:val="de-DE"/>
        </w:rPr>
        <w:t>U</w:t>
      </w:r>
      <w:r w:rsidRPr="001E52CE">
        <w:rPr>
          <w:lang w:val="de-DE"/>
        </w:rPr>
        <w:t xml:space="preserve">POV system:  </w:t>
      </w:r>
      <w:r w:rsidRPr="001E52CE">
        <w:rPr>
          <w:b/>
          <w:bCs/>
          <w:lang w:val="de-DE"/>
        </w:rPr>
        <w:t>T</w:t>
      </w:r>
      <w:r w:rsidRPr="001E52CE">
        <w:rPr>
          <w:lang w:val="de-DE"/>
        </w:rPr>
        <w:t xml:space="preserve">he </w:t>
      </w:r>
      <w:r w:rsidRPr="001E52CE">
        <w:rPr>
          <w:b/>
          <w:bCs/>
          <w:lang w:val="de-DE"/>
        </w:rPr>
        <w:t>O</w:t>
      </w:r>
      <w:r w:rsidRPr="001E52CE">
        <w:rPr>
          <w:lang w:val="de-DE"/>
        </w:rPr>
        <w:t>mnibus).</w:t>
      </w:r>
    </w:p>
    <w:p w14:paraId="0AE4C789" w14:textId="77777777" w:rsidR="00962B5A" w:rsidRPr="001E52CE" w:rsidRDefault="00962B5A" w:rsidP="00F76AA9">
      <w:pPr>
        <w:rPr>
          <w:bCs/>
          <w:lang w:val="de-DE"/>
        </w:rPr>
      </w:pPr>
    </w:p>
    <w:p w14:paraId="05C77863" w14:textId="77777777" w:rsidR="00962B5A" w:rsidRPr="001E52CE" w:rsidRDefault="00962B5A" w:rsidP="00F76AA9">
      <w:pPr>
        <w:rPr>
          <w:bCs/>
          <w:lang w:val="de-DE"/>
        </w:rPr>
      </w:pPr>
    </w:p>
    <w:p w14:paraId="5062287C" w14:textId="77777777" w:rsidR="00962B5A" w:rsidRPr="001E52CE" w:rsidRDefault="00962B5A" w:rsidP="00F76AA9">
      <w:pPr>
        <w:rPr>
          <w:bCs/>
          <w:i/>
          <w:iCs/>
          <w:lang w:val="de-DE"/>
        </w:rPr>
      </w:pPr>
      <w:r w:rsidRPr="001E52CE">
        <w:rPr>
          <w:i/>
          <w:lang w:val="de-DE"/>
        </w:rPr>
        <w:t>2.</w:t>
      </w:r>
      <w:r w:rsidRPr="001E52CE">
        <w:rPr>
          <w:i/>
          <w:lang w:val="de-DE"/>
        </w:rPr>
        <w:tab/>
        <w:t>Hilfestellung für Datenlieferanten</w:t>
      </w:r>
    </w:p>
    <w:p w14:paraId="60B7F190" w14:textId="77777777" w:rsidR="00962B5A" w:rsidRPr="001E52CE" w:rsidRDefault="00962B5A" w:rsidP="00F76AA9">
      <w:pPr>
        <w:rPr>
          <w:bCs/>
          <w:i/>
          <w:iCs/>
          <w:lang w:val="de-DE"/>
        </w:rPr>
      </w:pPr>
    </w:p>
    <w:p w14:paraId="0BBB1D53" w14:textId="77777777" w:rsidR="00962B5A" w:rsidRPr="008B37C7" w:rsidRDefault="00962B5A" w:rsidP="00F76AA9">
      <w:pPr>
        <w:rPr>
          <w:bCs/>
          <w:lang w:val="de-DE"/>
        </w:rPr>
      </w:pPr>
      <w:r w:rsidRPr="001E52CE">
        <w:rPr>
          <w:lang w:val="de-DE"/>
        </w:rPr>
        <w:t xml:space="preserve">2.1 </w:t>
      </w:r>
      <w:r w:rsidRPr="001E52CE">
        <w:rPr>
          <w:lang w:val="de-DE"/>
        </w:rPr>
        <w:tab/>
        <w:t>Der PLUTO-Datenbank-Administrator</w:t>
      </w:r>
      <w:r w:rsidRPr="008B37C7">
        <w:rPr>
          <w:bCs/>
          <w:vertAlign w:val="superscript"/>
          <w:lang w:val="de-DE"/>
        </w:rPr>
        <w:footnoteReference w:id="7"/>
      </w:r>
      <w:r w:rsidRPr="008B37C7">
        <w:rPr>
          <w:lang w:val="de-DE"/>
        </w:rPr>
        <w:t xml:space="preserve"> wird weiterhin Verbindung mit allen Verbandsmitgliedern und Beitragsleistenden zur PLUTO-Datenbank aufnehmen, die gegenwärtig keine Daten für die PLUTO-Datenbank einreichen, nicht regelmäßig Daten einreichen oder keine Daten mit UPOV-Codes einreichen</w:t>
      </w:r>
      <w:r w:rsidR="0032421C" w:rsidRPr="008B37C7">
        <w:rPr>
          <w:lang w:val="de-DE"/>
        </w:rPr>
        <w:t xml:space="preserve">. </w:t>
      </w:r>
      <w:r w:rsidRPr="008B37C7">
        <w:rPr>
          <w:lang w:val="de-DE"/>
        </w:rPr>
        <w:t>Sie werden in jedem einzelnen Fall ersucht, die Art der Unterstützung zu erläutern, die es ihnen ermöglichen würde, regelmäßig vollständige Daten für die PLUTO-Datenbank einzureichen.</w:t>
      </w:r>
    </w:p>
    <w:p w14:paraId="24609DDF" w14:textId="77777777" w:rsidR="00962B5A" w:rsidRPr="008B37C7" w:rsidRDefault="00962B5A" w:rsidP="00F76AA9">
      <w:pPr>
        <w:rPr>
          <w:bCs/>
          <w:lang w:val="de-DE"/>
        </w:rPr>
      </w:pPr>
    </w:p>
    <w:p w14:paraId="299527A4" w14:textId="77777777" w:rsidR="00962B5A" w:rsidRPr="008B37C7" w:rsidRDefault="00962B5A" w:rsidP="00F76AA9">
      <w:pPr>
        <w:rPr>
          <w:bCs/>
          <w:lang w:val="de-DE"/>
        </w:rPr>
      </w:pPr>
      <w:r w:rsidRPr="008B37C7">
        <w:rPr>
          <w:lang w:val="de-DE"/>
        </w:rPr>
        <w:t xml:space="preserve">2.2 </w:t>
      </w:r>
      <w:r w:rsidRPr="008B37C7">
        <w:rPr>
          <w:lang w:val="de-DE"/>
        </w:rPr>
        <w:tab/>
        <w:t>Der PLUTO-Datenbank-Administrator wird als Reaktion auf den von den Verbandsmitgliedern und den unter 2.1 aufgeführten Beitragsleistenden ausgewiesenen Unterstützungsbedarf nach Lösungen für all diejenigen suchen, die Beiträge zur PLUTO-Datenbank leisten.</w:t>
      </w:r>
    </w:p>
    <w:p w14:paraId="5A1E77D2" w14:textId="77777777" w:rsidR="00962B5A" w:rsidRPr="008B37C7" w:rsidRDefault="00962B5A" w:rsidP="00F76AA9">
      <w:pPr>
        <w:rPr>
          <w:bCs/>
          <w:lang w:val="de-DE"/>
        </w:rPr>
      </w:pPr>
    </w:p>
    <w:p w14:paraId="5DE7AACC" w14:textId="77777777" w:rsidR="00962B5A" w:rsidRPr="008B37C7" w:rsidRDefault="00962B5A" w:rsidP="00F76AA9">
      <w:pPr>
        <w:rPr>
          <w:bCs/>
          <w:lang w:val="de-DE"/>
        </w:rPr>
      </w:pPr>
      <w:r w:rsidRPr="008B37C7">
        <w:rPr>
          <w:lang w:val="de-DE"/>
        </w:rPr>
        <w:t xml:space="preserve">2.3 </w:t>
      </w:r>
      <w:r w:rsidRPr="008B37C7">
        <w:rPr>
          <w:lang w:val="de-DE"/>
        </w:rPr>
        <w:tab/>
        <w:t xml:space="preserve">Dem Verwaltungs- und Rechtsausschuss (CAJ) und dem Technischen Ausschuss (TC) wird jährlich ein Lagebericht vorgelegt. </w:t>
      </w:r>
    </w:p>
    <w:p w14:paraId="1B904973" w14:textId="77777777" w:rsidR="00962B5A" w:rsidRPr="008B37C7" w:rsidRDefault="00962B5A" w:rsidP="00F76AA9">
      <w:pPr>
        <w:rPr>
          <w:bCs/>
          <w:lang w:val="de-DE"/>
        </w:rPr>
      </w:pPr>
    </w:p>
    <w:p w14:paraId="095E857E" w14:textId="77777777" w:rsidR="00962B5A" w:rsidRPr="001E52CE" w:rsidRDefault="00962B5A" w:rsidP="00F76AA9">
      <w:pPr>
        <w:rPr>
          <w:lang w:val="de-DE"/>
        </w:rPr>
      </w:pPr>
      <w:r w:rsidRPr="001E52CE">
        <w:rPr>
          <w:lang w:val="de-DE"/>
        </w:rPr>
        <w:t xml:space="preserve">2.4 </w:t>
      </w:r>
      <w:r w:rsidRPr="001E52CE">
        <w:rPr>
          <w:lang w:val="de-DE"/>
        </w:rPr>
        <w:tab/>
        <w:t>Hinsichtlich der den Beitragsleistenden zu leistenden Unterstützung besagt die „Allgemeine Anmerkung und Haftungsausschluss" für die PLUTO-Datenbank: „[…] Wer Beiträge zur PLUTO-Datenbank leistet, ist für die Richtigkeit und Vollständigkeit der eingereichten Daten verantwortlich</w:t>
      </w:r>
      <w:r w:rsidR="0032421C" w:rsidRPr="001E52CE">
        <w:rPr>
          <w:lang w:val="de-DE"/>
        </w:rPr>
        <w:t xml:space="preserve">. </w:t>
      </w:r>
      <w:r w:rsidRPr="001E52CE">
        <w:rPr>
          <w:lang w:val="de-DE"/>
        </w:rPr>
        <w:t>[…]”</w:t>
      </w:r>
      <w:r w:rsidR="0032421C" w:rsidRPr="001E52CE">
        <w:rPr>
          <w:lang w:val="de-DE"/>
        </w:rPr>
        <w:t xml:space="preserve">. </w:t>
      </w:r>
      <w:r w:rsidRPr="001E52CE">
        <w:rPr>
          <w:lang w:val="de-DE"/>
        </w:rPr>
        <w:t xml:space="preserve">Somit wird der Beitragsleistende in Fällen, in denen Beitragsleistenden Unterstützung geleistet wird, weiterhin für die Richtigkeit und Vollständigkeit der eingereichten Daten verantwortlich sein. In Fällen, in denen der </w:t>
      </w:r>
      <w:r w:rsidRPr="001E52CE">
        <w:rPr>
          <w:snapToGrid w:val="0"/>
          <w:lang w:val="de-DE"/>
        </w:rPr>
        <w:t>PLUTO-Datenbank-Administrator</w:t>
      </w:r>
      <w:r w:rsidRPr="001E52CE">
        <w:rPr>
          <w:lang w:val="de-DE"/>
        </w:rPr>
        <w:t xml:space="preserve"> vom Beitragsleistenden ersucht wird, UPOV-Codes zuzuordnen, oder in denen eine Änderung des vom Beitragsleistenden zugeordneten UPOV-Code als zweckmäßig erachtet wird, legt der PLUTO-Datenbank-Administrator dem Beitragsleistenden Vorschläge zur Genehmigung vor. Wird innerhalb der angegebenen Frist keine Information übermittelt, werden die vorgeschlagenen UPOV-Codes in der PLUTO-Datenbank verwendet</w:t>
      </w:r>
      <w:r w:rsidR="0032421C" w:rsidRPr="001E52CE">
        <w:rPr>
          <w:lang w:val="de-DE"/>
        </w:rPr>
        <w:t xml:space="preserve">. </w:t>
      </w:r>
      <w:r w:rsidRPr="001E52CE">
        <w:rPr>
          <w:lang w:val="de-DE"/>
        </w:rPr>
        <w:t xml:space="preserve">Wenn der Beitragsleistende dem </w:t>
      </w:r>
      <w:r w:rsidRPr="001E52CE">
        <w:rPr>
          <w:snapToGrid w:val="0"/>
          <w:lang w:val="de-DE"/>
        </w:rPr>
        <w:t>PLUTO-Datenbank-Administrator in der Folge die Notwendigkeit einer Berichtigung mitteilt, wird diese Berichtigung bei der ersten Gelegenheit gemäß Abschnitt 4 „Häufigkeit der Aktualisierung von Daten"</w:t>
      </w:r>
      <w:r w:rsidRPr="001E52CE">
        <w:rPr>
          <w:lang w:val="de-DE"/>
        </w:rPr>
        <w:t xml:space="preserve"> vorgenommen."</w:t>
      </w:r>
    </w:p>
    <w:p w14:paraId="0A33D58B" w14:textId="77777777" w:rsidR="00962B5A" w:rsidRPr="001E52CE" w:rsidRDefault="00962B5A" w:rsidP="00F76AA9">
      <w:pPr>
        <w:rPr>
          <w:bCs/>
          <w:lang w:val="de-DE"/>
        </w:rPr>
      </w:pPr>
    </w:p>
    <w:p w14:paraId="0193F3C4" w14:textId="77777777" w:rsidR="00962B5A" w:rsidRPr="001E52CE" w:rsidRDefault="00962B5A" w:rsidP="00F76AA9">
      <w:pPr>
        <w:rPr>
          <w:bCs/>
          <w:lang w:val="de-DE"/>
        </w:rPr>
      </w:pPr>
    </w:p>
    <w:p w14:paraId="23FB5782" w14:textId="77777777" w:rsidR="00962B5A" w:rsidRPr="001E52CE" w:rsidRDefault="00962B5A" w:rsidP="00F76AA9">
      <w:pPr>
        <w:keepNext/>
        <w:rPr>
          <w:bCs/>
          <w:i/>
          <w:iCs/>
          <w:lang w:val="de-DE"/>
        </w:rPr>
      </w:pPr>
      <w:r w:rsidRPr="001E52CE">
        <w:rPr>
          <w:i/>
          <w:lang w:val="de-DE"/>
        </w:rPr>
        <w:t>3.</w:t>
      </w:r>
      <w:r w:rsidRPr="001E52CE">
        <w:rPr>
          <w:i/>
          <w:lang w:val="de-DE"/>
        </w:rPr>
        <w:tab/>
        <w:t>In die PLUTO-Datenbank aufzunehmende Daten</w:t>
      </w:r>
    </w:p>
    <w:p w14:paraId="7C58DDA2" w14:textId="77777777" w:rsidR="00962B5A" w:rsidRPr="001E52CE" w:rsidRDefault="00962B5A" w:rsidP="00F76AA9">
      <w:pPr>
        <w:keepNext/>
        <w:rPr>
          <w:bCs/>
          <w:i/>
          <w:iCs/>
          <w:lang w:val="de-DE"/>
        </w:rPr>
      </w:pPr>
    </w:p>
    <w:p w14:paraId="783B7929" w14:textId="77777777" w:rsidR="00962B5A" w:rsidRPr="001E52CE" w:rsidRDefault="00962B5A" w:rsidP="00F76AA9">
      <w:pPr>
        <w:keepNext/>
        <w:ind w:left="567"/>
        <w:rPr>
          <w:bCs/>
          <w:i/>
          <w:iCs/>
          <w:lang w:val="de-DE"/>
        </w:rPr>
      </w:pPr>
      <w:r w:rsidRPr="001E52CE">
        <w:rPr>
          <w:i/>
          <w:lang w:val="de-DE"/>
        </w:rPr>
        <w:t>3.1</w:t>
      </w:r>
      <w:r w:rsidRPr="001E52CE">
        <w:rPr>
          <w:i/>
          <w:lang w:val="de-DE"/>
        </w:rPr>
        <w:tab/>
        <w:t>Datenformat</w:t>
      </w:r>
    </w:p>
    <w:p w14:paraId="1CA4124F" w14:textId="77777777" w:rsidR="00962B5A" w:rsidRPr="001E52CE" w:rsidRDefault="00962B5A" w:rsidP="00F76AA9">
      <w:pPr>
        <w:keepNext/>
        <w:rPr>
          <w:bCs/>
          <w:lang w:val="de-DE"/>
        </w:rPr>
      </w:pPr>
    </w:p>
    <w:p w14:paraId="5D5F1047" w14:textId="77777777" w:rsidR="00962B5A" w:rsidRPr="001E52CE" w:rsidRDefault="00962B5A" w:rsidP="00F76AA9">
      <w:pPr>
        <w:rPr>
          <w:bCs/>
          <w:spacing w:val="-2"/>
          <w:lang w:val="de-DE"/>
        </w:rPr>
      </w:pPr>
      <w:r w:rsidRPr="001E52CE">
        <w:rPr>
          <w:lang w:val="de-DE"/>
        </w:rPr>
        <w:t xml:space="preserve">3.1.1 </w:t>
      </w:r>
      <w:r w:rsidRPr="001E52CE">
        <w:rPr>
          <w:lang w:val="de-DE"/>
        </w:rPr>
        <w:tab/>
        <w:t>Für die Einreichung von Daten für die PLUTO-Datenbank sollen insbesondere folgende Optionen für Datenformate entwickelt werden:</w:t>
      </w:r>
    </w:p>
    <w:p w14:paraId="23005ABF" w14:textId="77777777" w:rsidR="00962B5A" w:rsidRPr="001E52CE" w:rsidRDefault="00962B5A" w:rsidP="00F76AA9">
      <w:pPr>
        <w:rPr>
          <w:bCs/>
          <w:sz w:val="16"/>
          <w:lang w:val="de-DE"/>
        </w:rPr>
      </w:pPr>
    </w:p>
    <w:p w14:paraId="5FA61AE4" w14:textId="77777777" w:rsidR="00962B5A" w:rsidRPr="001E52CE" w:rsidRDefault="00962B5A" w:rsidP="00F76AA9">
      <w:pPr>
        <w:spacing w:after="120"/>
        <w:ind w:left="567"/>
        <w:rPr>
          <w:bCs/>
          <w:lang w:val="de-DE"/>
        </w:rPr>
      </w:pPr>
      <w:r w:rsidRPr="001E52CE">
        <w:rPr>
          <w:lang w:val="de-DE"/>
        </w:rPr>
        <w:t xml:space="preserve">a) </w:t>
      </w:r>
      <w:r w:rsidRPr="001E52CE">
        <w:rPr>
          <w:lang w:val="de-DE"/>
        </w:rPr>
        <w:tab/>
        <w:t>Daten im XML-Format;</w:t>
      </w:r>
    </w:p>
    <w:p w14:paraId="02627DF0" w14:textId="77777777" w:rsidR="00962B5A" w:rsidRPr="001E52CE" w:rsidRDefault="00962B5A" w:rsidP="00F76AA9">
      <w:pPr>
        <w:spacing w:after="120"/>
        <w:ind w:left="567"/>
        <w:rPr>
          <w:bCs/>
          <w:lang w:val="de-DE"/>
        </w:rPr>
      </w:pPr>
      <w:r w:rsidRPr="001E52CE">
        <w:rPr>
          <w:lang w:val="de-DE"/>
        </w:rPr>
        <w:t xml:space="preserve">b) </w:t>
      </w:r>
      <w:r w:rsidRPr="001E52CE">
        <w:rPr>
          <w:lang w:val="de-DE"/>
        </w:rPr>
        <w:tab/>
        <w:t>Daten in Excel-Spreadsheets oder Word-Tabellen;</w:t>
      </w:r>
    </w:p>
    <w:p w14:paraId="17862340" w14:textId="77777777" w:rsidR="00962B5A" w:rsidRPr="001E52CE" w:rsidRDefault="00962B5A" w:rsidP="00F76AA9">
      <w:pPr>
        <w:spacing w:after="120"/>
        <w:ind w:left="567"/>
        <w:rPr>
          <w:bCs/>
          <w:lang w:val="de-DE"/>
        </w:rPr>
      </w:pPr>
      <w:r w:rsidRPr="001E52CE">
        <w:rPr>
          <w:lang w:val="de-DE"/>
        </w:rPr>
        <w:t xml:space="preserve">c) </w:t>
      </w:r>
      <w:r w:rsidRPr="001E52CE">
        <w:rPr>
          <w:lang w:val="de-DE"/>
        </w:rPr>
        <w:tab/>
        <w:t>Datenlieferung mittels Online-Webformular;</w:t>
      </w:r>
    </w:p>
    <w:p w14:paraId="10031789" w14:textId="77777777" w:rsidR="00962B5A" w:rsidRPr="001E52CE" w:rsidRDefault="00962B5A" w:rsidP="00F76AA9">
      <w:pPr>
        <w:ind w:left="567"/>
        <w:rPr>
          <w:bCs/>
          <w:lang w:val="de-DE"/>
        </w:rPr>
      </w:pPr>
      <w:r w:rsidRPr="001E52CE">
        <w:rPr>
          <w:lang w:val="de-DE"/>
        </w:rPr>
        <w:t xml:space="preserve">d) </w:t>
      </w:r>
      <w:r w:rsidRPr="001E52CE">
        <w:rPr>
          <w:lang w:val="de-DE"/>
        </w:rPr>
        <w:tab/>
        <w:t>eine Option für Beitragsleistende, nur neue oder geänderte Daten einzureichen.</w:t>
      </w:r>
    </w:p>
    <w:p w14:paraId="61AA9F9C" w14:textId="77777777" w:rsidR="00962B5A" w:rsidRPr="001E52CE" w:rsidRDefault="00962B5A" w:rsidP="00F76AA9">
      <w:pPr>
        <w:ind w:left="567"/>
        <w:rPr>
          <w:bCs/>
          <w:lang w:val="de-DE"/>
        </w:rPr>
      </w:pPr>
    </w:p>
    <w:p w14:paraId="69BA1064" w14:textId="77777777" w:rsidR="00962B5A" w:rsidRPr="001E52CE" w:rsidRDefault="00962B5A" w:rsidP="00F76AA9">
      <w:pPr>
        <w:rPr>
          <w:bCs/>
          <w:lang w:val="de-DE"/>
        </w:rPr>
      </w:pPr>
      <w:r w:rsidRPr="001E52CE">
        <w:rPr>
          <w:lang w:val="de-DE"/>
        </w:rPr>
        <w:t xml:space="preserve">3.1.2 </w:t>
      </w:r>
      <w:r w:rsidRPr="001E52CE">
        <w:rPr>
          <w:lang w:val="de-DE"/>
        </w:rPr>
        <w:tab/>
        <w:t>Gegebenenfalls ist die Neustrukturierung von Datenfeldelementen zu erwägen, beispielsweise, wenn Teile der Felder obligatorisch sind und andere nicht.</w:t>
      </w:r>
    </w:p>
    <w:p w14:paraId="2213BBAC" w14:textId="77777777" w:rsidR="00962B5A" w:rsidRPr="001E52CE" w:rsidRDefault="00962B5A" w:rsidP="00F76AA9">
      <w:pPr>
        <w:rPr>
          <w:bCs/>
          <w:lang w:val="de-DE"/>
        </w:rPr>
      </w:pPr>
    </w:p>
    <w:p w14:paraId="6A138C2D" w14:textId="77777777" w:rsidR="00962B5A" w:rsidRPr="001E52CE" w:rsidRDefault="00962B5A" w:rsidP="00F76AA9">
      <w:pPr>
        <w:rPr>
          <w:rFonts w:cs="Arial"/>
          <w:bCs/>
          <w:lang w:val="de-DE"/>
        </w:rPr>
      </w:pPr>
      <w:r w:rsidRPr="001E52CE">
        <w:rPr>
          <w:lang w:val="de-DE"/>
        </w:rPr>
        <w:t xml:space="preserve">3.1.3 </w:t>
      </w:r>
      <w:r w:rsidRPr="001E52CE">
        <w:rPr>
          <w:lang w:val="de-DE"/>
        </w:rPr>
        <w:tab/>
        <w:t>Vorbehaltlich von Abschnitt 3.1.4 gilt für den Zeichensatz die Darstellung in dem erweiterten ASCII [American Standard Code für Information Interchange, gemäß ISO [International Standards Organization]/IEC [International Electrotechnical Commission] Norm 8859 1: 1998 646. 1998.</w:t>
      </w:r>
    </w:p>
    <w:p w14:paraId="0AF57A42" w14:textId="77777777" w:rsidR="00962B5A" w:rsidRPr="001E52CE" w:rsidRDefault="00962B5A" w:rsidP="00F76AA9">
      <w:pPr>
        <w:rPr>
          <w:rFonts w:cs="Arial"/>
          <w:bCs/>
          <w:lang w:val="de-DE"/>
        </w:rPr>
      </w:pPr>
    </w:p>
    <w:p w14:paraId="065FFCA3" w14:textId="77777777" w:rsidR="00962B5A" w:rsidRPr="001E52CE" w:rsidRDefault="00962B5A" w:rsidP="00F76AA9">
      <w:pPr>
        <w:rPr>
          <w:rFonts w:cs="Arial"/>
          <w:bCs/>
          <w:lang w:val="de-DE"/>
        </w:rPr>
      </w:pPr>
      <w:r w:rsidRPr="001E52CE">
        <w:rPr>
          <w:lang w:val="de-DE"/>
        </w:rPr>
        <w:t>3.1.4 Für die Datenfelder TAG &lt;520&gt;, &lt;550&gt;, &lt;551&gt;, &lt;552&gt;, &lt;553&gt;, &lt;650&gt; &lt;651&gt;, &lt;652&gt;, &lt;750&gt;, &lt;751&gt;, &lt;752&gt;, &lt;753&gt;, &lt;760&gt;, &lt;950&gt; und &lt;960&gt;, müssen die Daten in Unicode Transformation Format-8 (UTF-8) eingereicht werden.</w:t>
      </w:r>
    </w:p>
    <w:p w14:paraId="2B6BB7B5" w14:textId="77777777" w:rsidR="00962B5A" w:rsidRPr="001E52CE" w:rsidRDefault="00962B5A" w:rsidP="00F76AA9">
      <w:pPr>
        <w:spacing w:line="360" w:lineRule="auto"/>
        <w:rPr>
          <w:bCs/>
          <w:lang w:val="de-DE"/>
        </w:rPr>
      </w:pPr>
    </w:p>
    <w:p w14:paraId="5E7360F6" w14:textId="77777777" w:rsidR="00962B5A" w:rsidRPr="001E52CE" w:rsidRDefault="00962B5A" w:rsidP="00F76AA9">
      <w:pPr>
        <w:keepNext/>
        <w:ind w:left="567"/>
        <w:rPr>
          <w:bCs/>
          <w:i/>
          <w:iCs/>
          <w:lang w:val="de-DE"/>
        </w:rPr>
      </w:pPr>
      <w:r w:rsidRPr="001E52CE">
        <w:rPr>
          <w:i/>
          <w:lang w:val="de-DE"/>
        </w:rPr>
        <w:t xml:space="preserve">3.2 </w:t>
      </w:r>
      <w:r w:rsidRPr="001E52CE">
        <w:rPr>
          <w:i/>
          <w:lang w:val="de-DE"/>
        </w:rPr>
        <w:tab/>
        <w:t>Qualität und Vollständigkeit der Daten</w:t>
      </w:r>
    </w:p>
    <w:p w14:paraId="0B5B9EC7" w14:textId="77777777" w:rsidR="00962B5A" w:rsidRPr="001E52CE" w:rsidRDefault="00962B5A" w:rsidP="00F76AA9">
      <w:pPr>
        <w:keepNext/>
        <w:rPr>
          <w:bCs/>
          <w:lang w:val="de-DE"/>
        </w:rPr>
      </w:pPr>
    </w:p>
    <w:p w14:paraId="54E6F0DD" w14:textId="77777777" w:rsidR="00962B5A" w:rsidRPr="001E52CE" w:rsidRDefault="00962B5A" w:rsidP="00F76AA9">
      <w:pPr>
        <w:keepNext/>
        <w:rPr>
          <w:bCs/>
          <w:lang w:val="de-DE"/>
        </w:rPr>
      </w:pPr>
      <w:r w:rsidRPr="001E52CE">
        <w:rPr>
          <w:lang w:val="de-DE"/>
        </w:rPr>
        <w:t>Folgende Datenanforderungen sind in die PLUTO-Datenbank aufzunehmen:</w:t>
      </w:r>
    </w:p>
    <w:p w14:paraId="3AB32D72" w14:textId="77777777" w:rsidR="00962B5A" w:rsidRPr="001E52CE" w:rsidRDefault="00962B5A" w:rsidP="00F76AA9">
      <w:pPr>
        <w:keepNext/>
        <w:ind w:left="567"/>
        <w:rPr>
          <w:bCs/>
          <w:lang w:val="de-DE"/>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962B5A" w:rsidRPr="001E52CE" w14:paraId="7352FE13" w14:textId="77777777" w:rsidTr="00AB71B3">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14:paraId="06E33C1E" w14:textId="77777777" w:rsidR="00962B5A" w:rsidRPr="001E52CE" w:rsidRDefault="00962B5A" w:rsidP="00F76AA9">
            <w:pPr>
              <w:spacing w:before="60" w:after="60"/>
              <w:rPr>
                <w:rFonts w:cs="Arial"/>
                <w:color w:val="000000"/>
                <w:sz w:val="18"/>
                <w:szCs w:val="18"/>
                <w:u w:val="single"/>
                <w:lang w:val="de-DE"/>
              </w:rPr>
            </w:pPr>
            <w:r w:rsidRPr="001E52CE">
              <w:rPr>
                <w:color w:val="000000"/>
                <w:sz w:val="18"/>
                <w:u w:val="single"/>
                <w:lang w:val="de-DE"/>
              </w:rPr>
              <w:t>DATEN-FELD</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14:paraId="56860C3C" w14:textId="77777777" w:rsidR="00962B5A" w:rsidRPr="001E52CE" w:rsidRDefault="00962B5A" w:rsidP="00F76AA9">
            <w:pPr>
              <w:spacing w:before="60" w:after="60"/>
              <w:jc w:val="left"/>
              <w:rPr>
                <w:rFonts w:cs="Arial"/>
                <w:color w:val="000000"/>
                <w:sz w:val="18"/>
                <w:szCs w:val="18"/>
                <w:u w:val="single"/>
                <w:lang w:val="de-DE"/>
              </w:rPr>
            </w:pPr>
            <w:r w:rsidRPr="001E52CE">
              <w:rPr>
                <w:color w:val="000000"/>
                <w:sz w:val="18"/>
                <w:u w:val="single"/>
                <w:lang w:val="de-DE"/>
              </w:rPr>
              <w:t>Beschreibung des Elements</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14:paraId="6F90429E" w14:textId="77777777" w:rsidR="00962B5A" w:rsidRPr="001E52CE" w:rsidRDefault="00962B5A" w:rsidP="00F76AA9">
            <w:pPr>
              <w:spacing w:before="60" w:after="60"/>
              <w:jc w:val="left"/>
              <w:rPr>
                <w:rFonts w:cs="Arial"/>
                <w:color w:val="000000"/>
                <w:sz w:val="18"/>
                <w:szCs w:val="18"/>
                <w:u w:val="single"/>
                <w:lang w:val="de-DE"/>
              </w:rPr>
            </w:pPr>
            <w:r w:rsidRPr="001E52CE">
              <w:rPr>
                <w:color w:val="000000"/>
                <w:sz w:val="18"/>
                <w:u w:val="single"/>
                <w:lang w:val="de-DE"/>
              </w:rPr>
              <w:t xml:space="preserve">Derzeitiger Status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14:paraId="0C58AC06" w14:textId="77777777" w:rsidR="00962B5A" w:rsidRPr="001E52CE" w:rsidRDefault="00962B5A" w:rsidP="00F76AA9">
            <w:pPr>
              <w:tabs>
                <w:tab w:val="left" w:pos="386"/>
              </w:tabs>
              <w:spacing w:before="60" w:after="60"/>
              <w:jc w:val="left"/>
              <w:rPr>
                <w:rFonts w:cs="Arial"/>
                <w:color w:val="000000"/>
                <w:sz w:val="18"/>
                <w:szCs w:val="18"/>
                <w:u w:val="single"/>
                <w:lang w:val="de-DE"/>
              </w:rPr>
            </w:pPr>
            <w:r w:rsidRPr="001E52CE">
              <w:rPr>
                <w:color w:val="000000"/>
                <w:sz w:val="18"/>
                <w:u w:val="single"/>
                <w:lang w:val="de-DE"/>
              </w:rPr>
              <w:t>Vorgeschlagener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14:paraId="40CC2923" w14:textId="77777777" w:rsidR="00962B5A" w:rsidRPr="001E52CE" w:rsidRDefault="00962B5A" w:rsidP="00F76AA9">
            <w:pPr>
              <w:tabs>
                <w:tab w:val="left" w:pos="385"/>
              </w:tabs>
              <w:spacing w:before="60" w:after="60"/>
              <w:jc w:val="left"/>
              <w:rPr>
                <w:rFonts w:cs="Arial"/>
                <w:color w:val="000000"/>
                <w:sz w:val="18"/>
                <w:szCs w:val="18"/>
                <w:u w:val="single"/>
                <w:lang w:val="de-DE"/>
              </w:rPr>
            </w:pPr>
            <w:r w:rsidRPr="001E52CE">
              <w:rPr>
                <w:color w:val="000000"/>
                <w:sz w:val="18"/>
                <w:u w:val="single"/>
                <w:lang w:val="de-DE"/>
              </w:rPr>
              <w:t>Erforderliche Datenbankentwicklungen</w:t>
            </w:r>
          </w:p>
        </w:tc>
      </w:tr>
      <w:tr w:rsidR="00962B5A" w:rsidRPr="00DF7E6C" w14:paraId="23E94391" w14:textId="77777777" w:rsidTr="00AB71B3">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51EA215A" w14:textId="77777777" w:rsidR="00962B5A" w:rsidRPr="008B37C7" w:rsidRDefault="00962B5A" w:rsidP="00F76AA9">
            <w:pPr>
              <w:spacing w:before="20" w:after="20"/>
              <w:rPr>
                <w:rFonts w:cs="Arial"/>
                <w:b/>
                <w:bCs/>
                <w:color w:val="000000"/>
                <w:sz w:val="18"/>
                <w:szCs w:val="18"/>
                <w:lang w:val="de-DE"/>
              </w:rPr>
            </w:pPr>
            <w:r w:rsidRPr="008B37C7">
              <w:rPr>
                <w:b/>
                <w:color w:val="000000"/>
                <w:sz w:val="18"/>
                <w:lang w:val="de-DE"/>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14:paraId="1E0E5CAE" w14:textId="77777777" w:rsidR="00962B5A" w:rsidRPr="008B37C7" w:rsidRDefault="00962B5A" w:rsidP="00F76AA9">
            <w:pPr>
              <w:spacing w:before="20" w:after="20"/>
              <w:jc w:val="left"/>
              <w:rPr>
                <w:rFonts w:cs="Arial"/>
                <w:b/>
                <w:bCs/>
                <w:color w:val="000000"/>
                <w:sz w:val="18"/>
                <w:szCs w:val="18"/>
                <w:lang w:val="de-DE"/>
              </w:rPr>
            </w:pPr>
            <w:r w:rsidRPr="008B37C7">
              <w:rPr>
                <w:b/>
                <w:color w:val="000000"/>
                <w:sz w:val="18"/>
                <w:lang w:val="de-DE"/>
              </w:rPr>
              <w:t xml:space="preserve">Anfang des Datensatzes und Datensatzstatus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280630AA"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085BF1B" w14:textId="77777777" w:rsidR="00962B5A" w:rsidRPr="008B37C7" w:rsidRDefault="00962B5A" w:rsidP="00F76AA9">
            <w:pPr>
              <w:tabs>
                <w:tab w:val="left" w:pos="386"/>
              </w:tabs>
              <w:spacing w:before="20" w:after="20"/>
              <w:jc w:val="left"/>
              <w:rPr>
                <w:rFonts w:cs="Arial"/>
                <w:b/>
                <w:bCs/>
                <w:color w:val="000000"/>
                <w:sz w:val="18"/>
                <w:szCs w:val="18"/>
                <w:lang w:val="de-DE"/>
              </w:rPr>
            </w:pPr>
            <w:r w:rsidRPr="008B37C7">
              <w:rPr>
                <w:b/>
                <w:color w:val="000000"/>
                <w:sz w:val="18"/>
                <w:lang w:val="de-DE"/>
              </w:rPr>
              <w:t>Anfang des Datensatzes soll obligatorisch sein</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6011E03" w14:textId="77777777" w:rsidR="00962B5A" w:rsidRPr="008B37C7" w:rsidRDefault="00962B5A" w:rsidP="00F76AA9">
            <w:pPr>
              <w:tabs>
                <w:tab w:val="left" w:pos="385"/>
              </w:tabs>
              <w:spacing w:before="20" w:after="20"/>
              <w:jc w:val="left"/>
              <w:rPr>
                <w:rFonts w:cs="Arial"/>
                <w:color w:val="000000"/>
                <w:sz w:val="18"/>
                <w:szCs w:val="18"/>
                <w:lang w:val="de-DE"/>
              </w:rPr>
            </w:pPr>
            <w:r w:rsidRPr="008B37C7">
              <w:rPr>
                <w:color w:val="000000"/>
                <w:sz w:val="18"/>
                <w:lang w:val="de-DE"/>
              </w:rPr>
              <w:t>obligatorisch, vorbehaltlich der Entwicklung einer Möglichkeit, den Datensatzstatus zu berechnen (durch Vergleich mit früher eingereichten Daten)</w:t>
            </w:r>
          </w:p>
        </w:tc>
      </w:tr>
      <w:tr w:rsidR="00962B5A" w:rsidRPr="00DF7E6C" w14:paraId="374BB093" w14:textId="77777777" w:rsidTr="00AB71B3">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46D1C97F" w14:textId="77777777" w:rsidR="00962B5A" w:rsidRPr="001E52CE" w:rsidRDefault="00962B5A" w:rsidP="00F76AA9">
            <w:pPr>
              <w:spacing w:before="20" w:after="20"/>
              <w:rPr>
                <w:rFonts w:cs="Arial"/>
                <w:b/>
                <w:bCs/>
                <w:color w:val="000000"/>
                <w:sz w:val="18"/>
                <w:szCs w:val="18"/>
                <w:lang w:val="de-DE"/>
              </w:rPr>
            </w:pPr>
            <w:r w:rsidRPr="001E52CE">
              <w:rPr>
                <w:b/>
                <w:color w:val="000000"/>
                <w:sz w:val="18"/>
                <w:lang w:val="de-DE"/>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14:paraId="792BF356" w14:textId="77777777" w:rsidR="00962B5A" w:rsidRPr="001E52CE" w:rsidRDefault="00962B5A" w:rsidP="00F76AA9">
            <w:pPr>
              <w:spacing w:before="20" w:after="20"/>
              <w:jc w:val="left"/>
              <w:rPr>
                <w:rFonts w:cs="Arial"/>
                <w:b/>
                <w:bCs/>
                <w:color w:val="000000"/>
                <w:sz w:val="18"/>
                <w:szCs w:val="18"/>
                <w:lang w:val="de-DE"/>
              </w:rPr>
            </w:pPr>
            <w:r w:rsidRPr="001E52CE">
              <w:rPr>
                <w:b/>
                <w:color w:val="000000"/>
                <w:sz w:val="18"/>
                <w:lang w:val="de-DE"/>
              </w:rPr>
              <w:t>Land oder Organisation, das/die Informationen erteilt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26232128" w14:textId="77777777" w:rsidR="00962B5A" w:rsidRPr="001E52CE" w:rsidRDefault="00962B5A" w:rsidP="00F76AA9">
            <w:pPr>
              <w:spacing w:before="20" w:after="20"/>
              <w:jc w:val="left"/>
              <w:rPr>
                <w:rFonts w:cs="Arial"/>
                <w:color w:val="000000"/>
                <w:sz w:val="18"/>
                <w:szCs w:val="18"/>
                <w:lang w:val="de-DE"/>
              </w:rPr>
            </w:pPr>
            <w:r w:rsidRPr="001E52CE">
              <w:rPr>
                <w:color w:val="000000"/>
                <w:sz w:val="18"/>
                <w:lang w:val="de-DE"/>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CBBB933" w14:textId="77777777" w:rsidR="00962B5A" w:rsidRPr="001E52CE" w:rsidRDefault="00962B5A" w:rsidP="00F76AA9">
            <w:pPr>
              <w:tabs>
                <w:tab w:val="left" w:pos="386"/>
              </w:tabs>
              <w:spacing w:before="20" w:after="20"/>
              <w:jc w:val="left"/>
              <w:rPr>
                <w:rFonts w:cs="Arial"/>
                <w:color w:val="000000"/>
                <w:sz w:val="18"/>
                <w:szCs w:val="18"/>
                <w:lang w:val="de-DE"/>
              </w:rPr>
            </w:pPr>
            <w:r w:rsidRPr="001E52CE">
              <w:rPr>
                <w:b/>
                <w:color w:val="000000"/>
                <w:sz w:val="18"/>
                <w:lang w:val="de-DE"/>
              </w:rPr>
              <w:t xml:space="preserve">obligatorisch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8BC9FD0" w14:textId="77777777" w:rsidR="00962B5A" w:rsidRPr="001E52CE" w:rsidRDefault="00962B5A" w:rsidP="00F76AA9">
            <w:pPr>
              <w:tabs>
                <w:tab w:val="left" w:pos="385"/>
              </w:tabs>
              <w:spacing w:before="20" w:after="20"/>
              <w:jc w:val="left"/>
              <w:rPr>
                <w:rFonts w:cs="Arial"/>
                <w:color w:val="000000"/>
                <w:sz w:val="18"/>
                <w:szCs w:val="18"/>
                <w:lang w:val="de-DE"/>
              </w:rPr>
            </w:pPr>
            <w:r w:rsidRPr="001E52CE">
              <w:rPr>
                <w:color w:val="000000"/>
                <w:sz w:val="18"/>
                <w:lang w:val="de-DE"/>
              </w:rPr>
              <w:t>Datenqualitätskontrolle:  anhand der Liste der Codes kontrollieren</w:t>
            </w:r>
          </w:p>
        </w:tc>
      </w:tr>
      <w:tr w:rsidR="00962B5A" w:rsidRPr="00DF7E6C" w14:paraId="3DE0EE4A" w14:textId="77777777" w:rsidTr="00AB71B3">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6DC1D237" w14:textId="77777777" w:rsidR="00962B5A" w:rsidRPr="001E52CE" w:rsidRDefault="00962B5A" w:rsidP="00F76AA9">
            <w:pPr>
              <w:spacing w:before="20" w:after="20"/>
              <w:rPr>
                <w:rFonts w:cs="Arial"/>
                <w:b/>
                <w:bCs/>
                <w:color w:val="000000"/>
                <w:sz w:val="18"/>
                <w:szCs w:val="18"/>
                <w:lang w:val="de-DE"/>
              </w:rPr>
            </w:pPr>
            <w:r w:rsidRPr="001E52CE">
              <w:rPr>
                <w:b/>
                <w:color w:val="000000"/>
                <w:sz w:val="18"/>
                <w:lang w:val="de-DE"/>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14:paraId="3FAA6784" w14:textId="77777777" w:rsidR="00962B5A" w:rsidRPr="001E52CE" w:rsidRDefault="00962B5A" w:rsidP="00F76AA9">
            <w:pPr>
              <w:spacing w:before="20" w:after="20"/>
              <w:jc w:val="left"/>
              <w:rPr>
                <w:rFonts w:cs="Arial"/>
                <w:b/>
                <w:bCs/>
                <w:color w:val="000000"/>
                <w:sz w:val="18"/>
                <w:szCs w:val="18"/>
                <w:lang w:val="de-DE"/>
              </w:rPr>
            </w:pPr>
            <w:r w:rsidRPr="001E52CE">
              <w:rPr>
                <w:b/>
                <w:color w:val="000000"/>
                <w:sz w:val="18"/>
                <w:lang w:val="de-DE"/>
              </w:rPr>
              <w:t>Datensatztyp und (Sorten-) Kennzeichen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0751FD36" w14:textId="77777777" w:rsidR="00962B5A" w:rsidRPr="001E52CE" w:rsidRDefault="00962B5A" w:rsidP="00F76AA9">
            <w:pPr>
              <w:spacing w:before="20" w:after="20"/>
              <w:jc w:val="left"/>
              <w:rPr>
                <w:rFonts w:cs="Arial"/>
                <w:color w:val="000000"/>
                <w:sz w:val="18"/>
                <w:szCs w:val="18"/>
                <w:lang w:val="de-DE"/>
              </w:rPr>
            </w:pPr>
            <w:r w:rsidRPr="001E52CE">
              <w:rPr>
                <w:color w:val="000000"/>
                <w:sz w:val="18"/>
                <w:lang w:val="de-DE"/>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F6BB451" w14:textId="77777777" w:rsidR="00962B5A" w:rsidRPr="001E52CE" w:rsidRDefault="00962B5A" w:rsidP="00F76AA9">
            <w:pPr>
              <w:tabs>
                <w:tab w:val="left" w:pos="386"/>
              </w:tabs>
              <w:spacing w:before="20" w:after="20"/>
              <w:jc w:val="left"/>
              <w:rPr>
                <w:rFonts w:cs="Arial"/>
                <w:color w:val="000000"/>
                <w:sz w:val="18"/>
                <w:szCs w:val="18"/>
                <w:lang w:val="de-DE"/>
              </w:rPr>
            </w:pPr>
            <w:r w:rsidRPr="001E52CE">
              <w:rPr>
                <w:b/>
                <w:color w:val="000000"/>
                <w:sz w:val="18"/>
                <w:lang w:val="de-DE"/>
              </w:rPr>
              <w:t xml:space="preserve">beide obligatorisch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1F16E01" w14:textId="77777777" w:rsidR="00962B5A" w:rsidRPr="001E52CE" w:rsidRDefault="00962B5A" w:rsidP="00F76AA9">
            <w:pPr>
              <w:tabs>
                <w:tab w:val="left" w:pos="385"/>
              </w:tabs>
              <w:spacing w:before="20" w:after="20"/>
              <w:jc w:val="left"/>
              <w:rPr>
                <w:rFonts w:cs="Arial"/>
                <w:color w:val="000000"/>
                <w:sz w:val="18"/>
                <w:szCs w:val="18"/>
                <w:lang w:val="de-DE"/>
              </w:rPr>
            </w:pPr>
            <w:r w:rsidRPr="001E52CE">
              <w:rPr>
                <w:color w:val="000000"/>
                <w:sz w:val="18"/>
                <w:lang w:val="de-DE"/>
              </w:rPr>
              <w:t xml:space="preserve">i) </w:t>
            </w:r>
            <w:r w:rsidRPr="001E52CE">
              <w:rPr>
                <w:color w:val="000000"/>
                <w:sz w:val="18"/>
                <w:lang w:val="de-DE"/>
              </w:rPr>
              <w:tab/>
              <w:t>Bedeutung von „(Sorten-) Kennzeichen" in Bezug auf Element &lt;210&gt; klären;</w:t>
            </w:r>
          </w:p>
          <w:p w14:paraId="7615E976" w14:textId="77777777" w:rsidR="00962B5A" w:rsidRPr="001E52CE" w:rsidRDefault="00962B5A" w:rsidP="00F76AA9">
            <w:pPr>
              <w:tabs>
                <w:tab w:val="left" w:pos="385"/>
              </w:tabs>
              <w:spacing w:before="20" w:after="20"/>
              <w:jc w:val="left"/>
              <w:rPr>
                <w:rFonts w:cs="Arial"/>
                <w:color w:val="000000"/>
                <w:sz w:val="18"/>
                <w:szCs w:val="18"/>
                <w:lang w:val="de-DE"/>
              </w:rPr>
            </w:pPr>
            <w:r w:rsidRPr="001E52CE">
              <w:rPr>
                <w:color w:val="000000"/>
                <w:sz w:val="18"/>
                <w:lang w:val="de-DE"/>
              </w:rPr>
              <w:t>ii)     überprüfen, ob der Datensatztyp „BIL" beizubehalten ist;</w:t>
            </w:r>
          </w:p>
          <w:p w14:paraId="41AA508C" w14:textId="77777777" w:rsidR="00962B5A" w:rsidRPr="001E52CE" w:rsidRDefault="00962B5A" w:rsidP="00F76AA9">
            <w:pPr>
              <w:tabs>
                <w:tab w:val="left" w:pos="385"/>
              </w:tabs>
              <w:spacing w:before="20" w:after="20"/>
              <w:jc w:val="left"/>
              <w:rPr>
                <w:rFonts w:cs="Arial"/>
                <w:color w:val="000000"/>
                <w:sz w:val="18"/>
                <w:szCs w:val="18"/>
                <w:lang w:val="de-DE"/>
              </w:rPr>
            </w:pPr>
            <w:r w:rsidRPr="001E52CE">
              <w:rPr>
                <w:color w:val="000000"/>
                <w:sz w:val="18"/>
                <w:lang w:val="de-DE"/>
              </w:rPr>
              <w:t xml:space="preserve">iii) </w:t>
            </w:r>
            <w:r w:rsidRPr="001E52CE">
              <w:rPr>
                <w:color w:val="000000"/>
                <w:sz w:val="18"/>
                <w:lang w:val="de-DE"/>
              </w:rPr>
              <w:tab/>
              <w:t>Datenqualitätskontrolle:   anhand der Liste der Arten des Datensatzes kontrollieren</w:t>
            </w:r>
          </w:p>
        </w:tc>
      </w:tr>
      <w:tr w:rsidR="00962B5A" w:rsidRPr="00DF7E6C" w14:paraId="734631B2" w14:textId="77777777" w:rsidTr="00AB71B3">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79226824" w14:textId="77777777" w:rsidR="00962B5A" w:rsidRPr="001E52CE" w:rsidRDefault="00962B5A" w:rsidP="00F76AA9">
            <w:pPr>
              <w:spacing w:before="20" w:after="20"/>
              <w:rPr>
                <w:rFonts w:cs="Arial"/>
                <w:b/>
                <w:bCs/>
                <w:color w:val="000000"/>
                <w:sz w:val="18"/>
                <w:szCs w:val="18"/>
                <w:lang w:val="de-DE"/>
              </w:rPr>
            </w:pPr>
            <w:r w:rsidRPr="001E52CE">
              <w:rPr>
                <w:b/>
                <w:color w:val="000000"/>
                <w:sz w:val="18"/>
                <w:lang w:val="de-DE"/>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14:paraId="3802366C" w14:textId="77777777" w:rsidR="00962B5A" w:rsidRPr="001E52CE" w:rsidRDefault="00962B5A" w:rsidP="00F76AA9">
            <w:pPr>
              <w:spacing w:before="20" w:after="20"/>
              <w:jc w:val="left"/>
              <w:rPr>
                <w:rFonts w:cs="Arial"/>
                <w:b/>
                <w:bCs/>
                <w:color w:val="000000"/>
                <w:sz w:val="18"/>
                <w:szCs w:val="18"/>
                <w:lang w:val="de-DE"/>
              </w:rPr>
            </w:pPr>
            <w:r w:rsidRPr="001E52CE">
              <w:rPr>
                <w:b/>
                <w:color w:val="000000"/>
                <w:sz w:val="18"/>
                <w:lang w:val="de-DE"/>
              </w:rPr>
              <w:t>Art--lateinischer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47EEA520" w14:textId="77777777" w:rsidR="00962B5A" w:rsidRPr="001E52CE" w:rsidRDefault="00962B5A" w:rsidP="00F76AA9">
            <w:pPr>
              <w:spacing w:before="20" w:after="20"/>
              <w:jc w:val="left"/>
              <w:rPr>
                <w:rFonts w:cs="Arial"/>
                <w:color w:val="000000"/>
                <w:sz w:val="18"/>
                <w:szCs w:val="18"/>
                <w:lang w:val="de-DE"/>
              </w:rPr>
            </w:pPr>
            <w:r w:rsidRPr="001E52CE">
              <w:rPr>
                <w:color w:val="000000"/>
                <w:sz w:val="18"/>
                <w:lang w:val="de-DE"/>
              </w:rPr>
              <w:t>obligatorisch, bis der UPOV-Code angegeben wird</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94198F0" w14:textId="77777777" w:rsidR="00962B5A" w:rsidRPr="001E52CE" w:rsidRDefault="00962B5A" w:rsidP="00F76AA9">
            <w:pPr>
              <w:tabs>
                <w:tab w:val="left" w:pos="386"/>
              </w:tabs>
              <w:spacing w:before="20" w:after="20"/>
              <w:jc w:val="left"/>
              <w:rPr>
                <w:rFonts w:cs="Arial"/>
                <w:b/>
                <w:bCs/>
                <w:color w:val="000000"/>
                <w:sz w:val="18"/>
                <w:szCs w:val="18"/>
                <w:lang w:val="de-DE"/>
              </w:rPr>
            </w:pPr>
            <w:r w:rsidRPr="001E52CE">
              <w:rPr>
                <w:b/>
                <w:color w:val="000000"/>
                <w:sz w:val="18"/>
                <w:lang w:val="de-DE"/>
              </w:rPr>
              <w:t>obligatorisch (auch wenn der UPOV-Code angegeben ist)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49500A2" w14:textId="77777777" w:rsidR="00962B5A" w:rsidRPr="001E52CE" w:rsidRDefault="00962B5A" w:rsidP="00F76AA9">
            <w:pPr>
              <w:tabs>
                <w:tab w:val="left" w:pos="385"/>
              </w:tabs>
              <w:spacing w:before="20" w:after="20"/>
              <w:jc w:val="left"/>
              <w:rPr>
                <w:rFonts w:cs="Arial"/>
                <w:color w:val="000000"/>
                <w:sz w:val="18"/>
                <w:szCs w:val="18"/>
                <w:lang w:val="de-DE"/>
              </w:rPr>
            </w:pPr>
          </w:p>
        </w:tc>
      </w:tr>
      <w:tr w:rsidR="00962B5A" w:rsidRPr="001E52CE" w14:paraId="1A3843F7" w14:textId="77777777" w:rsidTr="00AB71B3">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66ED7A9D" w14:textId="77777777" w:rsidR="00962B5A" w:rsidRPr="001E52CE" w:rsidRDefault="00962B5A" w:rsidP="00F76AA9">
            <w:pPr>
              <w:spacing w:before="20" w:after="20"/>
              <w:rPr>
                <w:rFonts w:cs="Arial"/>
                <w:color w:val="000000"/>
                <w:sz w:val="18"/>
                <w:szCs w:val="18"/>
                <w:lang w:val="de-DE"/>
              </w:rPr>
            </w:pPr>
            <w:r w:rsidRPr="001E52CE">
              <w:rPr>
                <w:color w:val="000000"/>
                <w:sz w:val="18"/>
                <w:lang w:val="de-DE"/>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14:paraId="3F85CA1A" w14:textId="77777777" w:rsidR="00962B5A" w:rsidRPr="001E52CE" w:rsidRDefault="00962B5A" w:rsidP="00F76AA9">
            <w:pPr>
              <w:spacing w:before="20" w:after="20"/>
              <w:jc w:val="left"/>
              <w:rPr>
                <w:rFonts w:cs="Arial"/>
                <w:color w:val="000000"/>
                <w:sz w:val="18"/>
                <w:szCs w:val="18"/>
                <w:lang w:val="de-DE"/>
              </w:rPr>
            </w:pPr>
            <w:r w:rsidRPr="001E52CE">
              <w:rPr>
                <w:color w:val="000000"/>
                <w:sz w:val="18"/>
                <w:lang w:val="de-DE"/>
              </w:rPr>
              <w:t>Art--landesüblicher Name in Englisch</w:t>
            </w:r>
            <w:r w:rsidRPr="001E52CE">
              <w:rPr>
                <w:color w:val="000000"/>
                <w:sz w:val="18"/>
                <w:lang w:val="de-DE"/>
              </w:rPr>
              <w:cr/>
            </w:r>
            <w:r w:rsidRPr="001E52CE">
              <w:rPr>
                <w:color w:val="000000"/>
                <w:sz w:val="18"/>
                <w:lang w:val="de-DE"/>
              </w:rPr>
              <w:br/>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0AA724F6" w14:textId="77777777" w:rsidR="00962B5A" w:rsidRPr="001E52CE" w:rsidRDefault="00962B5A" w:rsidP="00F76AA9">
            <w:pPr>
              <w:spacing w:before="20" w:after="20"/>
              <w:jc w:val="left"/>
              <w:rPr>
                <w:rFonts w:cs="Arial"/>
                <w:color w:val="000000"/>
                <w:sz w:val="18"/>
                <w:szCs w:val="18"/>
                <w:lang w:val="de-DE"/>
              </w:rPr>
            </w:pPr>
            <w:r w:rsidRPr="001E52CE">
              <w:rPr>
                <w:color w:val="000000"/>
                <w:sz w:val="18"/>
                <w:lang w:val="de-DE"/>
              </w:rPr>
              <w:t>obligatorisch, wenn kein landesüblicher Name in der Landessprache (&lt;510&gt;) angegeben wird</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94198DB" w14:textId="77777777" w:rsidR="00962B5A" w:rsidRPr="001E52CE" w:rsidRDefault="00962B5A" w:rsidP="00F76AA9">
            <w:pPr>
              <w:tabs>
                <w:tab w:val="left" w:pos="386"/>
              </w:tabs>
              <w:spacing w:before="20" w:after="20"/>
              <w:jc w:val="left"/>
              <w:rPr>
                <w:rFonts w:cs="Arial"/>
                <w:color w:val="000000"/>
                <w:sz w:val="18"/>
                <w:szCs w:val="18"/>
                <w:lang w:val="de-DE"/>
              </w:rPr>
            </w:pPr>
            <w:r w:rsidRPr="001E52CE">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491D8D4" w14:textId="77777777" w:rsidR="00962B5A" w:rsidRPr="001E52CE" w:rsidRDefault="00962B5A" w:rsidP="00F76AA9">
            <w:pPr>
              <w:tabs>
                <w:tab w:val="left" w:pos="385"/>
              </w:tabs>
              <w:spacing w:before="20" w:after="20"/>
              <w:jc w:val="left"/>
              <w:rPr>
                <w:rFonts w:cs="Arial"/>
                <w:color w:val="000000"/>
                <w:sz w:val="18"/>
                <w:szCs w:val="18"/>
                <w:lang w:val="de-DE"/>
              </w:rPr>
            </w:pPr>
          </w:p>
        </w:tc>
      </w:tr>
      <w:tr w:rsidR="00962B5A" w:rsidRPr="001E52CE" w14:paraId="57219D48" w14:textId="77777777" w:rsidTr="00AB71B3">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7B941373" w14:textId="77777777" w:rsidR="00962B5A" w:rsidRPr="008B37C7" w:rsidRDefault="00962B5A" w:rsidP="00F76AA9">
            <w:pPr>
              <w:spacing w:before="20" w:after="20"/>
              <w:rPr>
                <w:rFonts w:cs="Arial"/>
                <w:color w:val="000000"/>
                <w:sz w:val="18"/>
                <w:szCs w:val="18"/>
                <w:lang w:val="de-DE"/>
              </w:rPr>
            </w:pPr>
            <w:r w:rsidRPr="008B37C7">
              <w:rPr>
                <w:color w:val="000000"/>
                <w:sz w:val="18"/>
                <w:lang w:val="de-DE"/>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14:paraId="7ABB0FDF"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Art--landesüblicher Name in einer anderen Landessprache als Englisch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755CC9D5"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 xml:space="preserve">obligatorisch, wenn kein englischer landesüblicher Name (&lt;509&gt;) angegeben wird </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3B7D8E8"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ERFORDERLICH, wenn &lt;520&gt;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F08FEBE" w14:textId="77777777" w:rsidR="00962B5A" w:rsidRPr="008B37C7" w:rsidRDefault="00962B5A" w:rsidP="00F76AA9">
            <w:pPr>
              <w:tabs>
                <w:tab w:val="left" w:pos="385"/>
              </w:tabs>
              <w:spacing w:before="20" w:after="20"/>
              <w:jc w:val="left"/>
              <w:rPr>
                <w:rFonts w:cs="Arial"/>
                <w:color w:val="000000"/>
                <w:sz w:val="18"/>
                <w:szCs w:val="18"/>
                <w:lang w:val="de-DE"/>
              </w:rPr>
            </w:pPr>
          </w:p>
        </w:tc>
      </w:tr>
      <w:tr w:rsidR="00962B5A" w:rsidRPr="001E52CE" w14:paraId="5EE7CEF0" w14:textId="77777777" w:rsidTr="00AB71B3">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3F9BC054" w14:textId="77777777" w:rsidR="00962B5A" w:rsidRPr="008B37C7" w:rsidRDefault="00962B5A" w:rsidP="00F76AA9">
            <w:pPr>
              <w:spacing w:before="20" w:after="20"/>
              <w:rPr>
                <w:rFonts w:cs="Arial"/>
                <w:color w:val="000000"/>
                <w:sz w:val="18"/>
                <w:szCs w:val="18"/>
                <w:lang w:val="de-DE"/>
              </w:rPr>
            </w:pPr>
            <w:r w:rsidRPr="008B37C7">
              <w:rPr>
                <w:color w:val="000000"/>
                <w:sz w:val="18"/>
                <w:lang w:val="de-DE"/>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14:paraId="552E22F1"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Art--landesüblicher Name in einer anderen Landessprache als Englisch in nicht-lateinischem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65FF5BE1" w14:textId="77777777" w:rsidR="00962B5A" w:rsidRPr="008B37C7"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074A8E6"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6803115" w14:textId="77777777" w:rsidR="00962B5A" w:rsidRPr="008B37C7" w:rsidRDefault="00962B5A" w:rsidP="00F76AA9">
            <w:pPr>
              <w:tabs>
                <w:tab w:val="left" w:pos="385"/>
              </w:tabs>
              <w:spacing w:before="20" w:after="20"/>
              <w:jc w:val="left"/>
              <w:rPr>
                <w:rFonts w:cs="Arial"/>
                <w:color w:val="000000"/>
                <w:sz w:val="18"/>
                <w:szCs w:val="18"/>
                <w:lang w:val="de-DE"/>
              </w:rPr>
            </w:pPr>
          </w:p>
        </w:tc>
      </w:tr>
      <w:tr w:rsidR="00962B5A" w:rsidRPr="00DF7E6C" w14:paraId="04D5C10A" w14:textId="77777777" w:rsidTr="00AB71B3">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14:paraId="7DFAC4FF" w14:textId="77777777" w:rsidR="00962B5A" w:rsidRPr="008B37C7" w:rsidRDefault="00962B5A" w:rsidP="00F76AA9">
            <w:pPr>
              <w:spacing w:before="20" w:after="20"/>
              <w:rPr>
                <w:rFonts w:cs="Arial"/>
                <w:b/>
                <w:bCs/>
                <w:color w:val="000000"/>
                <w:sz w:val="18"/>
                <w:szCs w:val="18"/>
                <w:lang w:val="de-DE"/>
              </w:rPr>
            </w:pPr>
            <w:r w:rsidRPr="008B37C7">
              <w:rPr>
                <w:b/>
                <w:color w:val="000000"/>
                <w:sz w:val="18"/>
                <w:lang w:val="de-DE"/>
              </w:rPr>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14:paraId="1864557D" w14:textId="77777777" w:rsidR="00962B5A" w:rsidRPr="008B37C7" w:rsidRDefault="00962B5A" w:rsidP="00F76AA9">
            <w:pPr>
              <w:spacing w:before="20" w:after="20"/>
              <w:jc w:val="left"/>
              <w:rPr>
                <w:rFonts w:cs="Arial"/>
                <w:b/>
                <w:bCs/>
                <w:color w:val="000000"/>
                <w:sz w:val="18"/>
                <w:szCs w:val="18"/>
                <w:lang w:val="de-DE"/>
              </w:rPr>
            </w:pPr>
            <w:r w:rsidRPr="008B37C7">
              <w:rPr>
                <w:b/>
                <w:color w:val="000000"/>
                <w:sz w:val="18"/>
                <w:lang w:val="de-DE"/>
              </w:rPr>
              <w:t xml:space="preserve">Art--UPOV-Taxoncode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14:paraId="5C3050C9"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 xml:space="preserve">obligatorisch </w:t>
            </w: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44980796" w14:textId="77777777" w:rsidR="00962B5A" w:rsidRPr="008B37C7" w:rsidRDefault="00962B5A" w:rsidP="00F76AA9">
            <w:pPr>
              <w:tabs>
                <w:tab w:val="left" w:pos="386"/>
              </w:tabs>
              <w:spacing w:before="20" w:after="20"/>
              <w:jc w:val="left"/>
              <w:rPr>
                <w:rFonts w:cs="Arial"/>
                <w:b/>
                <w:bCs/>
                <w:color w:val="000000"/>
                <w:sz w:val="18"/>
                <w:szCs w:val="18"/>
                <w:lang w:val="de-DE"/>
              </w:rPr>
            </w:pPr>
            <w:r w:rsidRPr="008B37C7">
              <w:rPr>
                <w:b/>
                <w:color w:val="000000"/>
                <w:sz w:val="18"/>
                <w:lang w:val="de-DE"/>
              </w:rPr>
              <w:t>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1767D3CC" w14:textId="77777777" w:rsidR="00962B5A" w:rsidRPr="008B37C7" w:rsidRDefault="00962B5A" w:rsidP="00F76AA9">
            <w:pPr>
              <w:tabs>
                <w:tab w:val="left" w:pos="385"/>
              </w:tabs>
              <w:spacing w:before="20" w:after="20"/>
              <w:jc w:val="left"/>
              <w:rPr>
                <w:rFonts w:cs="Arial"/>
                <w:color w:val="000000"/>
                <w:sz w:val="18"/>
                <w:szCs w:val="18"/>
                <w:lang w:val="de-DE"/>
              </w:rPr>
            </w:pPr>
            <w:r w:rsidRPr="008B37C7">
              <w:rPr>
                <w:sz w:val="18"/>
                <w:lang w:val="de-DE"/>
              </w:rPr>
              <w:t xml:space="preserve">i) </w:t>
            </w:r>
            <w:r w:rsidRPr="008B37C7">
              <w:rPr>
                <w:sz w:val="18"/>
                <w:lang w:val="de-DE"/>
              </w:rPr>
              <w:tab/>
              <w:t>auf Anfrage soll der PLUTO-Datenbank-Administrator den Beitragsleistenden bei der Zuordnung der UPOV-Codes unterstützen;</w:t>
            </w:r>
          </w:p>
          <w:p w14:paraId="0534E579" w14:textId="77777777" w:rsidR="00962B5A" w:rsidRPr="008B37C7" w:rsidRDefault="00962B5A" w:rsidP="00F76AA9">
            <w:pPr>
              <w:tabs>
                <w:tab w:val="left" w:pos="385"/>
              </w:tabs>
              <w:spacing w:before="20" w:after="20"/>
              <w:jc w:val="left"/>
              <w:rPr>
                <w:rFonts w:cs="Arial"/>
                <w:color w:val="000000"/>
                <w:sz w:val="18"/>
                <w:szCs w:val="18"/>
                <w:lang w:val="de-DE"/>
              </w:rPr>
            </w:pPr>
            <w:r w:rsidRPr="008B37C7">
              <w:rPr>
                <w:color w:val="000000"/>
                <w:sz w:val="18"/>
                <w:lang w:val="de-DE"/>
              </w:rPr>
              <w:t xml:space="preserve">ii) </w:t>
            </w:r>
            <w:r w:rsidRPr="008B37C7">
              <w:rPr>
                <w:color w:val="000000"/>
                <w:sz w:val="18"/>
                <w:lang w:val="de-DE"/>
              </w:rPr>
              <w:tab/>
              <w:t>Datenqualitätskontrolle:  die UPOV-Codes anhand der Liste der UPOV-Codes kontrollieren;</w:t>
            </w:r>
            <w:r w:rsidRPr="008B37C7">
              <w:rPr>
                <w:color w:val="000000"/>
                <w:sz w:val="18"/>
                <w:lang w:val="de-DE"/>
              </w:rPr>
              <w:cr/>
            </w:r>
            <w:r w:rsidRPr="008B37C7">
              <w:rPr>
                <w:color w:val="000000"/>
                <w:sz w:val="18"/>
                <w:lang w:val="de-DE"/>
              </w:rPr>
              <w:br/>
              <w:t xml:space="preserve"> </w:t>
            </w:r>
          </w:p>
          <w:p w14:paraId="5953F473" w14:textId="77777777" w:rsidR="00962B5A" w:rsidRPr="001E52CE" w:rsidRDefault="00962B5A" w:rsidP="00F76AA9">
            <w:pPr>
              <w:tabs>
                <w:tab w:val="left" w:pos="385"/>
              </w:tabs>
              <w:spacing w:before="20" w:after="20"/>
              <w:jc w:val="left"/>
              <w:rPr>
                <w:rFonts w:cs="Arial"/>
                <w:color w:val="000000"/>
                <w:sz w:val="18"/>
                <w:szCs w:val="18"/>
                <w:lang w:val="de-DE"/>
              </w:rPr>
            </w:pPr>
            <w:r w:rsidRPr="001E52CE">
              <w:rPr>
                <w:color w:val="000000"/>
                <w:sz w:val="18"/>
                <w:lang w:val="de-DE"/>
              </w:rPr>
              <w:t xml:space="preserve">iii) </w:t>
            </w:r>
            <w:r w:rsidRPr="001E52CE">
              <w:rPr>
                <w:color w:val="000000"/>
                <w:sz w:val="18"/>
                <w:lang w:val="de-DE"/>
              </w:rPr>
              <w:tab/>
              <w:t>Datenqualitätskontrolle: auf anscheinend falsche Zuordnung von UPOV-Codes überprüfen (z. B. falscher Code für die Art)</w:t>
            </w:r>
          </w:p>
        </w:tc>
      </w:tr>
      <w:tr w:rsidR="00962B5A" w:rsidRPr="001E52CE" w14:paraId="23C9E31B" w14:textId="77777777" w:rsidTr="00AB71B3">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14:paraId="175B4745" w14:textId="77777777" w:rsidR="00962B5A" w:rsidRPr="001E52CE" w:rsidRDefault="00962B5A" w:rsidP="00F76AA9">
            <w:pPr>
              <w:keepNext/>
              <w:tabs>
                <w:tab w:val="left" w:pos="386"/>
              </w:tabs>
              <w:spacing w:before="60" w:after="60"/>
              <w:jc w:val="left"/>
              <w:rPr>
                <w:rFonts w:cs="Arial"/>
                <w:color w:val="000000"/>
                <w:sz w:val="18"/>
                <w:szCs w:val="18"/>
                <w:lang w:val="de-DE"/>
              </w:rPr>
            </w:pPr>
            <w:r w:rsidRPr="001E52CE">
              <w:rPr>
                <w:color w:val="000000"/>
                <w:sz w:val="18"/>
                <w:lang w:val="de-DE"/>
              </w:rPr>
              <w:t>SORTEN-BEZEICHNUNGEN</w:t>
            </w:r>
          </w:p>
        </w:tc>
      </w:tr>
      <w:tr w:rsidR="00962B5A" w:rsidRPr="00DF7E6C" w14:paraId="697CF680"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31A4FC3" w14:textId="77777777" w:rsidR="00962B5A" w:rsidRPr="008B37C7" w:rsidRDefault="00962B5A" w:rsidP="00F76AA9">
            <w:pPr>
              <w:spacing w:before="20" w:after="20"/>
              <w:rPr>
                <w:rFonts w:cs="Arial"/>
                <w:b/>
                <w:bCs/>
                <w:color w:val="000000"/>
                <w:sz w:val="18"/>
                <w:szCs w:val="18"/>
                <w:lang w:val="de-DE"/>
              </w:rPr>
            </w:pPr>
            <w:r w:rsidRPr="008B37C7">
              <w:rPr>
                <w:b/>
                <w:color w:val="000000"/>
                <w:sz w:val="18"/>
                <w:lang w:val="de-DE"/>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7372B438" w14:textId="77777777" w:rsidR="00962B5A" w:rsidRPr="008B37C7" w:rsidRDefault="00962B5A" w:rsidP="00F76AA9">
            <w:pPr>
              <w:spacing w:before="20" w:after="20"/>
              <w:jc w:val="left"/>
              <w:rPr>
                <w:rFonts w:cs="Arial"/>
                <w:b/>
                <w:bCs/>
                <w:color w:val="000000"/>
                <w:sz w:val="18"/>
                <w:szCs w:val="18"/>
                <w:lang w:val="de-DE"/>
              </w:rPr>
            </w:pPr>
            <w:r w:rsidRPr="008B37C7">
              <w:rPr>
                <w:b/>
                <w:color w:val="000000"/>
                <w:sz w:val="18"/>
                <w:lang w:val="de-DE"/>
              </w:rPr>
              <w:t>Datum + Bezeichnung, vorgeschlagen, erstes Erscheinen oder erster Eintrag in die Datenbank</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278B405"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 xml:space="preserve">obligatorisch, wenn keine Anmeldebezeichnung (&lt;600&gt;) angegeben wird </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B9ED80B" w14:textId="77777777" w:rsidR="00962B5A" w:rsidRPr="008B37C7" w:rsidRDefault="00962B5A" w:rsidP="00F76AA9">
            <w:pPr>
              <w:tabs>
                <w:tab w:val="left" w:pos="386"/>
              </w:tabs>
              <w:spacing w:before="20" w:after="20"/>
              <w:jc w:val="left"/>
              <w:rPr>
                <w:rFonts w:cs="Arial"/>
                <w:b/>
                <w:bCs/>
                <w:color w:val="000000"/>
                <w:sz w:val="18"/>
                <w:szCs w:val="18"/>
                <w:lang w:val="de-DE"/>
              </w:rPr>
            </w:pPr>
            <w:r w:rsidRPr="008B37C7">
              <w:rPr>
                <w:b/>
                <w:color w:val="000000"/>
                <w:sz w:val="18"/>
                <w:lang w:val="de-DE"/>
              </w:rPr>
              <w:t>i)</w:t>
            </w:r>
            <w:r w:rsidRPr="008B37C7">
              <w:rPr>
                <w:b/>
                <w:color w:val="000000"/>
                <w:sz w:val="18"/>
                <w:lang w:val="de-DE"/>
              </w:rPr>
              <w:tab/>
              <w:t xml:space="preserve"> &lt;540&gt;, &lt;541&gt;, &lt;542&gt;, oder &lt;543&gt; sind obligatorisch, wenn &lt;600&gt; nicht angegeben ist </w:t>
            </w:r>
          </w:p>
          <w:p w14:paraId="57D2E8A0"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 xml:space="preserve">ii) </w:t>
            </w:r>
            <w:r w:rsidRPr="008B37C7">
              <w:rPr>
                <w:color w:val="000000"/>
                <w:sz w:val="18"/>
                <w:lang w:val="de-DE"/>
              </w:rPr>
              <w:tab/>
              <w:t xml:space="preserve">Datum nicht obligatorisch </w:t>
            </w:r>
          </w:p>
          <w:p w14:paraId="513318AB"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iii) ERFORDERLICH, wenn &lt;550&gt;, &lt;551&gt;, &lt;552&gt; oder &lt;553&gt; angegeben werden</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0462A18" w14:textId="77777777" w:rsidR="00962B5A" w:rsidRPr="008B37C7" w:rsidRDefault="00962B5A" w:rsidP="00F76AA9">
            <w:pPr>
              <w:tabs>
                <w:tab w:val="left" w:pos="385"/>
              </w:tabs>
              <w:spacing w:before="20" w:after="20"/>
              <w:jc w:val="left"/>
              <w:rPr>
                <w:rFonts w:cs="Arial"/>
                <w:color w:val="000000"/>
                <w:sz w:val="18"/>
                <w:szCs w:val="18"/>
                <w:lang w:val="de-DE"/>
              </w:rPr>
            </w:pPr>
            <w:r w:rsidRPr="008B37C7">
              <w:rPr>
                <w:color w:val="000000"/>
                <w:sz w:val="18"/>
                <w:lang w:val="de-DE"/>
              </w:rPr>
              <w:t xml:space="preserve">i) </w:t>
            </w:r>
            <w:r w:rsidRPr="008B37C7">
              <w:rPr>
                <w:color w:val="000000"/>
                <w:sz w:val="18"/>
                <w:lang w:val="de-DE"/>
              </w:rPr>
              <w:tab/>
              <w:t>Bedeutung klären und umbenennen;</w:t>
            </w:r>
          </w:p>
          <w:p w14:paraId="0EC9A99F" w14:textId="77777777" w:rsidR="00962B5A" w:rsidRPr="001E52CE" w:rsidRDefault="00962B5A" w:rsidP="00F76AA9">
            <w:pPr>
              <w:tabs>
                <w:tab w:val="left" w:pos="385"/>
              </w:tabs>
              <w:spacing w:before="20" w:after="20"/>
              <w:jc w:val="left"/>
              <w:rPr>
                <w:rFonts w:cs="Arial"/>
                <w:color w:val="000000"/>
                <w:sz w:val="18"/>
                <w:szCs w:val="18"/>
                <w:lang w:val="de-DE"/>
              </w:rPr>
            </w:pPr>
            <w:r w:rsidRPr="001E52CE">
              <w:rPr>
                <w:color w:val="000000"/>
                <w:sz w:val="18"/>
                <w:lang w:val="de-DE"/>
              </w:rPr>
              <w:t xml:space="preserve">ii) </w:t>
            </w:r>
            <w:r w:rsidRPr="001E52CE">
              <w:rPr>
                <w:color w:val="000000"/>
                <w:sz w:val="18"/>
                <w:lang w:val="de-DE"/>
              </w:rPr>
              <w:tab/>
              <w:t>Datenqualitätskontrolle: obligatorische Bedingung in Bezug auf andere Elemente</w:t>
            </w:r>
          </w:p>
        </w:tc>
      </w:tr>
      <w:tr w:rsidR="00962B5A" w:rsidRPr="001E52CE" w14:paraId="355C1FD8"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A09801C" w14:textId="77777777" w:rsidR="00962B5A" w:rsidRPr="001E52CE" w:rsidRDefault="00962B5A" w:rsidP="00F76AA9">
            <w:pPr>
              <w:spacing w:before="20" w:after="20"/>
              <w:rPr>
                <w:rFonts w:cs="Arial"/>
                <w:b/>
                <w:bCs/>
                <w:color w:val="000000"/>
                <w:sz w:val="18"/>
                <w:szCs w:val="18"/>
                <w:lang w:val="de-DE"/>
              </w:rPr>
            </w:pPr>
            <w:r w:rsidRPr="001E52CE">
              <w:rPr>
                <w:b/>
                <w:color w:val="000000"/>
                <w:sz w:val="18"/>
                <w:lang w:val="de-DE"/>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5984BCCA" w14:textId="77777777" w:rsidR="00962B5A" w:rsidRPr="001E52CE" w:rsidRDefault="00962B5A" w:rsidP="00F76AA9">
            <w:pPr>
              <w:spacing w:before="20" w:after="20"/>
              <w:jc w:val="left"/>
              <w:rPr>
                <w:rFonts w:cs="Arial"/>
                <w:b/>
                <w:bCs/>
                <w:color w:val="000000"/>
                <w:sz w:val="18"/>
                <w:szCs w:val="18"/>
                <w:lang w:val="de-DE"/>
              </w:rPr>
            </w:pPr>
            <w:r w:rsidRPr="001E52CE">
              <w:rPr>
                <w:color w:val="000000"/>
                <w:sz w:val="18"/>
                <w:lang w:val="de-DE"/>
              </w:rPr>
              <w:t>Datum + Bezeichnung, vorgeschlagen, erstes Erscheinen oder erster Eintrag in die Datenbank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44B6CB8" w14:textId="77777777" w:rsidR="00962B5A" w:rsidRPr="001E52CE"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C96B8CA" w14:textId="77777777" w:rsidR="00962B5A" w:rsidRPr="001E52CE" w:rsidRDefault="00962B5A" w:rsidP="00F76AA9">
            <w:pPr>
              <w:tabs>
                <w:tab w:val="left" w:pos="386"/>
              </w:tabs>
              <w:spacing w:before="20" w:after="20"/>
              <w:jc w:val="left"/>
              <w:rPr>
                <w:rFonts w:cs="Arial"/>
                <w:b/>
                <w:bCs/>
                <w:color w:val="000000"/>
                <w:sz w:val="18"/>
                <w:szCs w:val="18"/>
                <w:lang w:val="de-DE"/>
              </w:rPr>
            </w:pPr>
            <w:r w:rsidRPr="001E52CE">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D3C1770" w14:textId="77777777" w:rsidR="00962B5A" w:rsidRPr="001E52CE" w:rsidRDefault="00962B5A" w:rsidP="00F76AA9">
            <w:pPr>
              <w:tabs>
                <w:tab w:val="left" w:pos="385"/>
              </w:tabs>
              <w:spacing w:before="20" w:after="20"/>
              <w:jc w:val="left"/>
              <w:rPr>
                <w:rFonts w:cs="Arial"/>
                <w:color w:val="000000"/>
                <w:sz w:val="18"/>
                <w:szCs w:val="18"/>
                <w:lang w:val="de-DE"/>
              </w:rPr>
            </w:pPr>
          </w:p>
        </w:tc>
      </w:tr>
      <w:tr w:rsidR="00962B5A" w:rsidRPr="00DF7E6C" w14:paraId="4558C16A"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A3E7A8F" w14:textId="77777777" w:rsidR="00962B5A" w:rsidRPr="008B37C7" w:rsidRDefault="00962B5A" w:rsidP="00F76AA9">
            <w:pPr>
              <w:spacing w:before="20" w:after="20"/>
              <w:rPr>
                <w:rFonts w:cs="Arial"/>
                <w:b/>
                <w:bCs/>
                <w:color w:val="000000"/>
                <w:sz w:val="18"/>
                <w:szCs w:val="18"/>
                <w:lang w:val="de-DE"/>
              </w:rPr>
            </w:pPr>
            <w:r w:rsidRPr="008B37C7">
              <w:rPr>
                <w:b/>
                <w:color w:val="000000"/>
                <w:sz w:val="18"/>
                <w:lang w:val="de-DE"/>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39F098AA" w14:textId="77777777" w:rsidR="00962B5A" w:rsidRPr="008B37C7" w:rsidRDefault="00962B5A" w:rsidP="00F76AA9">
            <w:pPr>
              <w:spacing w:before="20" w:after="20"/>
              <w:jc w:val="left"/>
              <w:rPr>
                <w:rFonts w:cs="Arial"/>
                <w:b/>
                <w:bCs/>
                <w:color w:val="000000"/>
                <w:sz w:val="18"/>
                <w:szCs w:val="18"/>
                <w:lang w:val="de-DE"/>
              </w:rPr>
            </w:pPr>
            <w:r w:rsidRPr="008B37C7">
              <w:rPr>
                <w:b/>
                <w:color w:val="000000"/>
                <w:sz w:val="18"/>
                <w:lang w:val="de-DE"/>
              </w:rPr>
              <w:t>Datum + vorgeschlagene Bezeichnung, veröffentlicht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E1D8DFE" w14:textId="77777777" w:rsidR="00962B5A" w:rsidRPr="008B37C7"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EDD3A1E" w14:textId="77777777" w:rsidR="00962B5A" w:rsidRPr="008B37C7" w:rsidRDefault="00962B5A" w:rsidP="00F76AA9">
            <w:pPr>
              <w:tabs>
                <w:tab w:val="left" w:pos="386"/>
              </w:tabs>
              <w:spacing w:before="20" w:after="20"/>
              <w:jc w:val="left"/>
              <w:rPr>
                <w:rFonts w:cs="Arial"/>
                <w:b/>
                <w:bCs/>
                <w:color w:val="000000"/>
                <w:sz w:val="18"/>
                <w:szCs w:val="18"/>
                <w:lang w:val="de-DE"/>
              </w:rPr>
            </w:pPr>
            <w:r w:rsidRPr="008B37C7">
              <w:rPr>
                <w:b/>
                <w:color w:val="000000"/>
                <w:sz w:val="18"/>
                <w:lang w:val="de-DE"/>
              </w:rPr>
              <w:t>vergleiche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80B5980" w14:textId="77777777" w:rsidR="00962B5A" w:rsidRPr="008B37C7" w:rsidRDefault="00962B5A" w:rsidP="00F76AA9">
            <w:pPr>
              <w:tabs>
                <w:tab w:val="left" w:pos="385"/>
              </w:tabs>
              <w:spacing w:before="20" w:after="20"/>
              <w:jc w:val="left"/>
              <w:rPr>
                <w:rFonts w:cs="Arial"/>
                <w:color w:val="000000"/>
                <w:sz w:val="18"/>
                <w:szCs w:val="18"/>
                <w:lang w:val="de-DE"/>
              </w:rPr>
            </w:pPr>
            <w:r w:rsidRPr="008B37C7">
              <w:rPr>
                <w:color w:val="000000"/>
                <w:sz w:val="18"/>
                <w:lang w:val="de-DE"/>
              </w:rPr>
              <w:t xml:space="preserve">i) </w:t>
            </w:r>
            <w:r w:rsidRPr="008B37C7">
              <w:rPr>
                <w:color w:val="000000"/>
                <w:sz w:val="18"/>
                <w:lang w:val="de-DE"/>
              </w:rPr>
              <w:tab/>
              <w:t>Bedeutung klären und umbenennen</w:t>
            </w:r>
          </w:p>
          <w:p w14:paraId="66758413" w14:textId="77777777" w:rsidR="00962B5A" w:rsidRPr="008B37C7" w:rsidRDefault="00962B5A" w:rsidP="00F76AA9">
            <w:pPr>
              <w:tabs>
                <w:tab w:val="left" w:pos="385"/>
              </w:tabs>
              <w:spacing w:before="20" w:after="20"/>
              <w:jc w:val="left"/>
              <w:rPr>
                <w:rFonts w:cs="Arial"/>
                <w:color w:val="000000"/>
                <w:sz w:val="18"/>
                <w:szCs w:val="18"/>
                <w:lang w:val="de-DE"/>
              </w:rPr>
            </w:pPr>
            <w:r w:rsidRPr="008B37C7">
              <w:rPr>
                <w:color w:val="000000"/>
                <w:sz w:val="18"/>
                <w:lang w:val="de-DE"/>
              </w:rPr>
              <w:t xml:space="preserve">ii) </w:t>
            </w:r>
            <w:r w:rsidRPr="008B37C7">
              <w:rPr>
                <w:color w:val="000000"/>
                <w:sz w:val="18"/>
                <w:lang w:val="de-DE"/>
              </w:rPr>
              <w:tab/>
              <w:t>Datenqualitätskontrolle: obligatorische Bedingung in Bezug auf andere Elemente</w:t>
            </w:r>
          </w:p>
        </w:tc>
      </w:tr>
      <w:tr w:rsidR="00962B5A" w:rsidRPr="001E52CE" w14:paraId="2DD337FE"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900EAA7" w14:textId="77777777" w:rsidR="00962B5A" w:rsidRPr="001E52CE" w:rsidRDefault="00962B5A" w:rsidP="00F76AA9">
            <w:pPr>
              <w:spacing w:before="20" w:after="20"/>
              <w:rPr>
                <w:rFonts w:cs="Arial"/>
                <w:bCs/>
                <w:color w:val="000000"/>
                <w:sz w:val="18"/>
                <w:szCs w:val="18"/>
                <w:lang w:val="de-DE"/>
              </w:rPr>
            </w:pPr>
            <w:r w:rsidRPr="001E52CE">
              <w:rPr>
                <w:color w:val="000000"/>
                <w:sz w:val="18"/>
                <w:lang w:val="de-DE"/>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3336FF21" w14:textId="77777777" w:rsidR="00962B5A" w:rsidRPr="001E52CE" w:rsidRDefault="00962B5A" w:rsidP="00F76AA9">
            <w:pPr>
              <w:spacing w:before="20" w:after="20"/>
              <w:jc w:val="left"/>
              <w:rPr>
                <w:rFonts w:cs="Arial"/>
                <w:bCs/>
                <w:color w:val="000000"/>
                <w:sz w:val="18"/>
                <w:szCs w:val="18"/>
                <w:lang w:val="de-DE"/>
              </w:rPr>
            </w:pPr>
            <w:r w:rsidRPr="001E52CE">
              <w:rPr>
                <w:color w:val="000000"/>
                <w:sz w:val="18"/>
                <w:lang w:val="de-DE"/>
              </w:rPr>
              <w:t>Datum + vorgeschlagene Bezeichnung, veröffentlicht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FE67592" w14:textId="77777777" w:rsidR="00962B5A" w:rsidRPr="001E52CE"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739410D" w14:textId="77777777" w:rsidR="00962B5A" w:rsidRPr="001E52CE" w:rsidRDefault="00962B5A" w:rsidP="00F76AA9">
            <w:pPr>
              <w:tabs>
                <w:tab w:val="left" w:pos="386"/>
              </w:tabs>
              <w:spacing w:before="20" w:after="20"/>
              <w:jc w:val="left"/>
              <w:rPr>
                <w:rFonts w:cs="Arial"/>
                <w:bCs/>
                <w:color w:val="000000"/>
                <w:sz w:val="18"/>
                <w:szCs w:val="18"/>
                <w:lang w:val="de-DE"/>
              </w:rPr>
            </w:pPr>
            <w:r w:rsidRPr="001E52CE">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A814F7C" w14:textId="77777777" w:rsidR="00962B5A" w:rsidRPr="001E52CE" w:rsidRDefault="00962B5A" w:rsidP="00F76AA9">
            <w:pPr>
              <w:tabs>
                <w:tab w:val="left" w:pos="385"/>
              </w:tabs>
              <w:spacing w:before="20" w:after="20"/>
              <w:jc w:val="left"/>
              <w:rPr>
                <w:rFonts w:cs="Arial"/>
                <w:color w:val="000000"/>
                <w:sz w:val="18"/>
                <w:szCs w:val="18"/>
                <w:lang w:val="de-DE"/>
              </w:rPr>
            </w:pPr>
          </w:p>
        </w:tc>
      </w:tr>
      <w:tr w:rsidR="00962B5A" w:rsidRPr="00DF7E6C" w14:paraId="430621DC"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B17CCFD" w14:textId="77777777" w:rsidR="00962B5A" w:rsidRPr="008B37C7" w:rsidRDefault="00962B5A" w:rsidP="00F76AA9">
            <w:pPr>
              <w:spacing w:before="20" w:after="20"/>
              <w:rPr>
                <w:rFonts w:cs="Arial"/>
                <w:b/>
                <w:bCs/>
                <w:color w:val="000000"/>
                <w:sz w:val="18"/>
                <w:szCs w:val="18"/>
                <w:lang w:val="de-DE"/>
              </w:rPr>
            </w:pPr>
            <w:r w:rsidRPr="008B37C7">
              <w:rPr>
                <w:b/>
                <w:color w:val="000000"/>
                <w:sz w:val="18"/>
                <w:lang w:val="de-DE"/>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7B1FC4D9" w14:textId="77777777" w:rsidR="00962B5A" w:rsidRPr="008B37C7" w:rsidRDefault="00962B5A" w:rsidP="00F76AA9">
            <w:pPr>
              <w:spacing w:before="20" w:after="20"/>
              <w:jc w:val="left"/>
              <w:rPr>
                <w:rFonts w:cs="Arial"/>
                <w:b/>
                <w:bCs/>
                <w:color w:val="000000"/>
                <w:sz w:val="18"/>
                <w:szCs w:val="18"/>
                <w:lang w:val="de-DE"/>
              </w:rPr>
            </w:pPr>
            <w:r w:rsidRPr="008B37C7">
              <w:rPr>
                <w:b/>
                <w:color w:val="000000"/>
                <w:sz w:val="18"/>
                <w:lang w:val="de-DE"/>
              </w:rPr>
              <w:t>Datum + Bezeichnung, genehmigt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CCFA8DA"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obligatorisch, wenn geschützt oder in eine Liste eingetragen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58D7BF4"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b/>
                <w:color w:val="000000"/>
                <w:sz w:val="18"/>
                <w:lang w:val="de-DE"/>
              </w:rPr>
              <w:t>vergleiche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FD9016D" w14:textId="77777777" w:rsidR="00962B5A" w:rsidRPr="008B37C7" w:rsidRDefault="00962B5A" w:rsidP="00F76AA9">
            <w:pPr>
              <w:tabs>
                <w:tab w:val="left" w:pos="385"/>
              </w:tabs>
              <w:spacing w:before="20" w:after="20"/>
              <w:jc w:val="left"/>
              <w:rPr>
                <w:rFonts w:cs="Arial"/>
                <w:color w:val="000000"/>
                <w:sz w:val="18"/>
                <w:szCs w:val="18"/>
                <w:lang w:val="de-DE"/>
              </w:rPr>
            </w:pPr>
            <w:r w:rsidRPr="008B37C7">
              <w:rPr>
                <w:color w:val="000000"/>
                <w:sz w:val="18"/>
                <w:lang w:val="de-DE"/>
              </w:rPr>
              <w:t xml:space="preserve">i) </w:t>
            </w:r>
            <w:r w:rsidRPr="008B37C7">
              <w:rPr>
                <w:color w:val="000000"/>
                <w:sz w:val="18"/>
                <w:lang w:val="de-DE"/>
              </w:rPr>
              <w:tab/>
              <w:t>Bedeutung klären und umbenennen;</w:t>
            </w:r>
          </w:p>
          <w:p w14:paraId="73189EDE" w14:textId="77777777" w:rsidR="00962B5A" w:rsidRPr="001E52CE" w:rsidRDefault="00962B5A" w:rsidP="00F76AA9">
            <w:pPr>
              <w:tabs>
                <w:tab w:val="left" w:pos="385"/>
              </w:tabs>
              <w:spacing w:before="20" w:after="20"/>
              <w:jc w:val="left"/>
              <w:rPr>
                <w:rFonts w:cs="Arial"/>
                <w:color w:val="000000"/>
                <w:sz w:val="18"/>
                <w:szCs w:val="18"/>
                <w:lang w:val="de-DE"/>
              </w:rPr>
            </w:pPr>
            <w:r w:rsidRPr="008B37C7">
              <w:rPr>
                <w:color w:val="000000"/>
                <w:sz w:val="18"/>
                <w:lang w:val="de-DE"/>
              </w:rPr>
              <w:t xml:space="preserve">ii) </w:t>
            </w:r>
            <w:r w:rsidRPr="008B37C7">
              <w:rPr>
                <w:color w:val="000000"/>
                <w:sz w:val="18"/>
                <w:lang w:val="de-DE"/>
              </w:rPr>
              <w:tab/>
              <w:t>mehr als eine genehmigte Bezeichnung für eine Sorte zulassen (d. h. wenn eine Bezeichnung genehmigt ist, dann aber ersetzt wird)</w:t>
            </w:r>
          </w:p>
          <w:p w14:paraId="129396A0" w14:textId="77777777" w:rsidR="00962B5A" w:rsidRPr="001E52CE" w:rsidRDefault="00962B5A" w:rsidP="00F76AA9">
            <w:pPr>
              <w:tabs>
                <w:tab w:val="left" w:pos="385"/>
              </w:tabs>
              <w:spacing w:before="20" w:after="20"/>
              <w:jc w:val="left"/>
              <w:rPr>
                <w:rFonts w:cs="Arial"/>
                <w:color w:val="000000"/>
                <w:sz w:val="18"/>
                <w:szCs w:val="18"/>
                <w:lang w:val="de-DE"/>
              </w:rPr>
            </w:pPr>
            <w:r w:rsidRPr="001E52CE">
              <w:rPr>
                <w:color w:val="000000"/>
                <w:sz w:val="18"/>
                <w:lang w:val="de-DE"/>
              </w:rPr>
              <w:t xml:space="preserve">iii) </w:t>
            </w:r>
            <w:r w:rsidRPr="001E52CE">
              <w:rPr>
                <w:color w:val="000000"/>
                <w:sz w:val="18"/>
                <w:lang w:val="de-DE"/>
              </w:rPr>
              <w:tab/>
              <w:t>Datenqualitätskontrolle: obligatorische Bedingung in Bezug auf andere Elemente</w:t>
            </w:r>
          </w:p>
        </w:tc>
      </w:tr>
      <w:tr w:rsidR="00962B5A" w:rsidRPr="001E52CE" w14:paraId="1955B614"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D4DD56E" w14:textId="77777777" w:rsidR="00962B5A" w:rsidRPr="001E52CE" w:rsidRDefault="00962B5A" w:rsidP="00F76AA9">
            <w:pPr>
              <w:spacing w:before="20" w:after="20"/>
              <w:rPr>
                <w:rFonts w:cs="Arial"/>
                <w:bCs/>
                <w:color w:val="000000"/>
                <w:sz w:val="18"/>
                <w:szCs w:val="18"/>
                <w:lang w:val="de-DE"/>
              </w:rPr>
            </w:pPr>
            <w:r w:rsidRPr="001E52CE">
              <w:rPr>
                <w:color w:val="000000"/>
                <w:sz w:val="18"/>
                <w:lang w:val="de-DE"/>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0E01B501" w14:textId="77777777" w:rsidR="00962B5A" w:rsidRPr="001E52CE" w:rsidRDefault="00962B5A" w:rsidP="00F76AA9">
            <w:pPr>
              <w:spacing w:before="20" w:after="20"/>
              <w:jc w:val="left"/>
              <w:rPr>
                <w:rFonts w:cs="Arial"/>
                <w:b/>
                <w:bCs/>
                <w:color w:val="000000"/>
                <w:sz w:val="18"/>
                <w:szCs w:val="18"/>
                <w:lang w:val="de-DE"/>
              </w:rPr>
            </w:pPr>
            <w:r w:rsidRPr="001E52CE">
              <w:rPr>
                <w:color w:val="000000"/>
                <w:sz w:val="18"/>
                <w:lang w:val="de-DE"/>
              </w:rPr>
              <w:t>Datum + Bezeichnung, genehmigt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289AB3F" w14:textId="77777777" w:rsidR="00962B5A" w:rsidRPr="001E52CE"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67B7F75" w14:textId="77777777" w:rsidR="00962B5A" w:rsidRPr="001E52CE" w:rsidRDefault="00962B5A" w:rsidP="00F76AA9">
            <w:pPr>
              <w:tabs>
                <w:tab w:val="left" w:pos="386"/>
              </w:tabs>
              <w:spacing w:before="20" w:after="20"/>
              <w:jc w:val="left"/>
              <w:rPr>
                <w:rFonts w:cs="Arial"/>
                <w:color w:val="000000"/>
                <w:sz w:val="18"/>
                <w:szCs w:val="18"/>
                <w:lang w:val="de-DE"/>
              </w:rPr>
            </w:pPr>
            <w:r w:rsidRPr="001E52CE">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AD570CF" w14:textId="77777777" w:rsidR="00962B5A" w:rsidRPr="001E52CE" w:rsidRDefault="00962B5A" w:rsidP="00F76AA9">
            <w:pPr>
              <w:tabs>
                <w:tab w:val="left" w:pos="385"/>
              </w:tabs>
              <w:spacing w:before="20" w:after="20"/>
              <w:jc w:val="left"/>
              <w:rPr>
                <w:rFonts w:cs="Arial"/>
                <w:color w:val="000000"/>
                <w:sz w:val="18"/>
                <w:szCs w:val="18"/>
                <w:lang w:val="de-DE"/>
              </w:rPr>
            </w:pPr>
          </w:p>
        </w:tc>
      </w:tr>
      <w:tr w:rsidR="00962B5A" w:rsidRPr="00DF7E6C" w14:paraId="36FFEC2A"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836E0EE" w14:textId="77777777" w:rsidR="00962B5A" w:rsidRPr="008B37C7" w:rsidRDefault="00962B5A" w:rsidP="00F76AA9">
            <w:pPr>
              <w:spacing w:before="20" w:after="20"/>
              <w:rPr>
                <w:rFonts w:cs="Arial"/>
                <w:b/>
                <w:bCs/>
                <w:color w:val="000000"/>
                <w:sz w:val="18"/>
                <w:szCs w:val="18"/>
                <w:lang w:val="de-DE"/>
              </w:rPr>
            </w:pPr>
            <w:r w:rsidRPr="008B37C7">
              <w:rPr>
                <w:b/>
                <w:color w:val="000000"/>
                <w:sz w:val="18"/>
                <w:lang w:val="de-DE"/>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3C5FBEC3" w14:textId="77777777" w:rsidR="00962B5A" w:rsidRPr="008B37C7" w:rsidRDefault="00962B5A" w:rsidP="00F76AA9">
            <w:pPr>
              <w:spacing w:before="20" w:after="20"/>
              <w:jc w:val="left"/>
              <w:rPr>
                <w:rFonts w:cs="Arial"/>
                <w:b/>
                <w:bCs/>
                <w:color w:val="000000"/>
                <w:sz w:val="18"/>
                <w:szCs w:val="18"/>
                <w:lang w:val="de-DE"/>
              </w:rPr>
            </w:pPr>
            <w:r w:rsidRPr="008B37C7">
              <w:rPr>
                <w:b/>
                <w:color w:val="000000"/>
                <w:sz w:val="18"/>
                <w:lang w:val="de-DE"/>
              </w:rPr>
              <w:t>Datum + Bezeichnung, zurückgewiesen oder zurückgenommen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0261070" w14:textId="77777777" w:rsidR="00962B5A" w:rsidRPr="008B37C7"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F516B1D"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b/>
                <w:color w:val="000000"/>
                <w:sz w:val="18"/>
                <w:lang w:val="de-DE"/>
              </w:rPr>
              <w:t>vergleiche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186E385" w14:textId="77777777" w:rsidR="00962B5A" w:rsidRPr="008B37C7" w:rsidRDefault="00962B5A" w:rsidP="00F76AA9">
            <w:pPr>
              <w:tabs>
                <w:tab w:val="left" w:pos="385"/>
              </w:tabs>
              <w:spacing w:before="20" w:after="20"/>
              <w:jc w:val="left"/>
              <w:rPr>
                <w:rFonts w:cs="Arial"/>
                <w:color w:val="000000"/>
                <w:sz w:val="18"/>
                <w:szCs w:val="18"/>
                <w:lang w:val="de-DE"/>
              </w:rPr>
            </w:pPr>
            <w:r w:rsidRPr="008B37C7">
              <w:rPr>
                <w:color w:val="000000"/>
                <w:sz w:val="18"/>
                <w:lang w:val="de-DE"/>
              </w:rPr>
              <w:t xml:space="preserve">i) </w:t>
            </w:r>
            <w:r w:rsidRPr="008B37C7">
              <w:rPr>
                <w:color w:val="000000"/>
                <w:sz w:val="18"/>
                <w:lang w:val="de-DE"/>
              </w:rPr>
              <w:tab/>
              <w:t>Bedeutung klären und umbenennen</w:t>
            </w:r>
          </w:p>
          <w:p w14:paraId="6ED330B1" w14:textId="77777777" w:rsidR="00962B5A" w:rsidRPr="008B37C7" w:rsidRDefault="00962B5A" w:rsidP="00F76AA9">
            <w:pPr>
              <w:tabs>
                <w:tab w:val="left" w:pos="385"/>
              </w:tabs>
              <w:spacing w:before="20" w:after="20"/>
              <w:jc w:val="left"/>
              <w:rPr>
                <w:rFonts w:cs="Arial"/>
                <w:color w:val="000000"/>
                <w:sz w:val="18"/>
                <w:szCs w:val="18"/>
                <w:lang w:val="de-DE"/>
              </w:rPr>
            </w:pPr>
            <w:r w:rsidRPr="008B37C7">
              <w:rPr>
                <w:color w:val="000000"/>
                <w:sz w:val="18"/>
                <w:lang w:val="de-DE"/>
              </w:rPr>
              <w:t xml:space="preserve">ii) </w:t>
            </w:r>
            <w:r w:rsidRPr="008B37C7">
              <w:rPr>
                <w:color w:val="000000"/>
                <w:sz w:val="18"/>
                <w:lang w:val="de-DE"/>
              </w:rPr>
              <w:tab/>
              <w:t>Datenqualitätskontrolle: obligatorische Bedingung in Bezug auf andere Elemente</w:t>
            </w:r>
          </w:p>
        </w:tc>
      </w:tr>
      <w:tr w:rsidR="00962B5A" w:rsidRPr="001E52CE" w14:paraId="3D9D0253"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313D676" w14:textId="77777777" w:rsidR="00962B5A" w:rsidRPr="001E52CE" w:rsidRDefault="00962B5A" w:rsidP="00F76AA9">
            <w:pPr>
              <w:spacing w:before="20" w:after="20"/>
              <w:rPr>
                <w:rFonts w:cs="Arial"/>
                <w:bCs/>
                <w:color w:val="000000"/>
                <w:sz w:val="18"/>
                <w:szCs w:val="18"/>
                <w:lang w:val="de-DE"/>
              </w:rPr>
            </w:pPr>
            <w:r w:rsidRPr="001E52CE">
              <w:rPr>
                <w:color w:val="000000"/>
                <w:sz w:val="18"/>
                <w:lang w:val="de-DE"/>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7B17201D" w14:textId="77777777" w:rsidR="00962B5A" w:rsidRPr="001E52CE" w:rsidRDefault="00962B5A" w:rsidP="00F76AA9">
            <w:pPr>
              <w:spacing w:before="20" w:after="20"/>
              <w:jc w:val="left"/>
              <w:rPr>
                <w:rFonts w:cs="Arial"/>
                <w:bCs/>
                <w:color w:val="000000"/>
                <w:sz w:val="18"/>
                <w:szCs w:val="18"/>
                <w:lang w:val="de-DE"/>
              </w:rPr>
            </w:pPr>
            <w:r w:rsidRPr="001E52CE">
              <w:rPr>
                <w:color w:val="000000"/>
                <w:sz w:val="18"/>
                <w:lang w:val="de-DE"/>
              </w:rPr>
              <w:t>Datum + Bezeichnung, zurückgewiesen oder zurückgenommen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1380207" w14:textId="77777777" w:rsidR="00962B5A" w:rsidRPr="001E52CE"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CB2AC5F" w14:textId="77777777" w:rsidR="00962B5A" w:rsidRPr="001E52CE" w:rsidRDefault="00962B5A" w:rsidP="00F76AA9">
            <w:pPr>
              <w:tabs>
                <w:tab w:val="left" w:pos="386"/>
              </w:tabs>
              <w:spacing w:before="20" w:after="20"/>
              <w:jc w:val="left"/>
              <w:rPr>
                <w:rFonts w:cs="Arial"/>
                <w:color w:val="000000"/>
                <w:sz w:val="18"/>
                <w:szCs w:val="18"/>
                <w:lang w:val="de-DE"/>
              </w:rPr>
            </w:pPr>
            <w:r w:rsidRPr="001E52CE">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D8B8C96" w14:textId="77777777" w:rsidR="00962B5A" w:rsidRPr="001E52CE" w:rsidRDefault="00962B5A" w:rsidP="00F76AA9">
            <w:pPr>
              <w:tabs>
                <w:tab w:val="left" w:pos="385"/>
              </w:tabs>
              <w:spacing w:before="20" w:after="20"/>
              <w:jc w:val="left"/>
              <w:rPr>
                <w:rFonts w:cs="Arial"/>
                <w:color w:val="000000"/>
                <w:sz w:val="18"/>
                <w:szCs w:val="18"/>
                <w:lang w:val="de-DE"/>
              </w:rPr>
            </w:pPr>
          </w:p>
        </w:tc>
      </w:tr>
      <w:tr w:rsidR="00962B5A" w:rsidRPr="001E52CE" w14:paraId="6862C5A4"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B6F0DF5" w14:textId="77777777" w:rsidR="00962B5A" w:rsidRPr="008B37C7" w:rsidRDefault="00962B5A" w:rsidP="00F76AA9">
            <w:pPr>
              <w:spacing w:before="20" w:after="20"/>
              <w:rPr>
                <w:rFonts w:cs="Arial"/>
                <w:color w:val="000000"/>
                <w:sz w:val="18"/>
                <w:szCs w:val="18"/>
                <w:lang w:val="de-DE"/>
              </w:rPr>
            </w:pPr>
            <w:r w:rsidRPr="008B37C7">
              <w:rPr>
                <w:color w:val="000000"/>
                <w:sz w:val="18"/>
                <w:lang w:val="de-DE"/>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7E7747BE"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 xml:space="preserve">Anmeldebezeichnung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10838C3"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obligatorisch, falls vorhanden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3766AAD"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ERFORDERLICH, wenn &lt;650&gt;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0E766E3" w14:textId="77777777" w:rsidR="00962B5A" w:rsidRPr="008B37C7" w:rsidRDefault="00962B5A" w:rsidP="00F76AA9">
            <w:pPr>
              <w:tabs>
                <w:tab w:val="left" w:pos="385"/>
              </w:tabs>
              <w:spacing w:before="20" w:after="20"/>
              <w:jc w:val="left"/>
              <w:rPr>
                <w:rFonts w:cs="Arial"/>
                <w:color w:val="000000"/>
                <w:sz w:val="18"/>
                <w:szCs w:val="18"/>
                <w:lang w:val="de-DE"/>
              </w:rPr>
            </w:pPr>
          </w:p>
        </w:tc>
      </w:tr>
      <w:tr w:rsidR="00962B5A" w:rsidRPr="001E52CE" w14:paraId="14310C09"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04500BE" w14:textId="77777777" w:rsidR="00962B5A" w:rsidRPr="008B37C7" w:rsidRDefault="00962B5A" w:rsidP="00F76AA9">
            <w:pPr>
              <w:spacing w:before="20" w:after="20"/>
              <w:rPr>
                <w:rFonts w:cs="Arial"/>
                <w:color w:val="000000"/>
                <w:sz w:val="18"/>
                <w:szCs w:val="18"/>
                <w:lang w:val="de-DE"/>
              </w:rPr>
            </w:pPr>
            <w:r w:rsidRPr="008B37C7">
              <w:rPr>
                <w:color w:val="000000"/>
                <w:sz w:val="18"/>
                <w:lang w:val="de-DE"/>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623A3C88"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Anmeldebezeichnung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F31207E" w14:textId="77777777" w:rsidR="00962B5A" w:rsidRPr="008B37C7"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AB881FA"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35F2592" w14:textId="77777777" w:rsidR="00962B5A" w:rsidRPr="008B37C7" w:rsidRDefault="00962B5A" w:rsidP="00F76AA9">
            <w:pPr>
              <w:tabs>
                <w:tab w:val="left" w:pos="385"/>
              </w:tabs>
              <w:spacing w:before="20" w:after="20"/>
              <w:jc w:val="left"/>
              <w:rPr>
                <w:rFonts w:cs="Arial"/>
                <w:color w:val="000000"/>
                <w:sz w:val="18"/>
                <w:szCs w:val="18"/>
                <w:lang w:val="de-DE"/>
              </w:rPr>
            </w:pPr>
          </w:p>
        </w:tc>
      </w:tr>
      <w:tr w:rsidR="00962B5A" w:rsidRPr="001E52CE" w14:paraId="5AB91F93"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8A77F60" w14:textId="77777777" w:rsidR="00962B5A" w:rsidRPr="008B37C7" w:rsidRDefault="00962B5A" w:rsidP="00F76AA9">
            <w:pPr>
              <w:keepNext/>
              <w:spacing w:before="20" w:after="20"/>
              <w:rPr>
                <w:rFonts w:cs="Arial"/>
                <w:color w:val="000000"/>
                <w:sz w:val="18"/>
                <w:szCs w:val="18"/>
                <w:lang w:val="de-DE"/>
              </w:rPr>
            </w:pPr>
            <w:r w:rsidRPr="008B37C7">
              <w:rPr>
                <w:color w:val="000000"/>
                <w:sz w:val="18"/>
                <w:lang w:val="de-DE"/>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0CCE5201" w14:textId="77777777" w:rsidR="00962B5A" w:rsidRPr="008B37C7" w:rsidRDefault="00962B5A" w:rsidP="00F76AA9">
            <w:pPr>
              <w:keepNext/>
              <w:spacing w:before="20" w:after="20"/>
              <w:jc w:val="left"/>
              <w:rPr>
                <w:rFonts w:cs="Arial"/>
                <w:color w:val="000000"/>
                <w:sz w:val="18"/>
                <w:szCs w:val="18"/>
                <w:lang w:val="de-DE"/>
              </w:rPr>
            </w:pPr>
            <w:r w:rsidRPr="008B37C7">
              <w:rPr>
                <w:color w:val="000000"/>
                <w:sz w:val="18"/>
                <w:lang w:val="de-DE"/>
              </w:rPr>
              <w:t>Synonym der Sortenbezeichnung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22CB8D1" w14:textId="77777777" w:rsidR="00962B5A" w:rsidRPr="008B37C7" w:rsidRDefault="00962B5A" w:rsidP="00F76AA9">
            <w:pPr>
              <w:keepNext/>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8BB1C90" w14:textId="77777777" w:rsidR="00962B5A" w:rsidRPr="008B37C7" w:rsidRDefault="00962B5A" w:rsidP="00F76AA9">
            <w:pPr>
              <w:keepNext/>
              <w:tabs>
                <w:tab w:val="left" w:pos="386"/>
              </w:tabs>
              <w:spacing w:before="20" w:after="20"/>
              <w:jc w:val="left"/>
              <w:rPr>
                <w:rFonts w:cs="Arial"/>
                <w:color w:val="000000"/>
                <w:sz w:val="18"/>
                <w:szCs w:val="18"/>
                <w:lang w:val="de-DE"/>
              </w:rPr>
            </w:pPr>
            <w:r w:rsidRPr="008B37C7">
              <w:rPr>
                <w:color w:val="000000"/>
                <w:sz w:val="18"/>
                <w:lang w:val="de-DE"/>
              </w:rPr>
              <w:t>ERFORDERLICH, wenn &lt;651&gt;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D43BD11" w14:textId="77777777" w:rsidR="00962B5A" w:rsidRPr="008B37C7" w:rsidRDefault="00962B5A" w:rsidP="00F76AA9">
            <w:pPr>
              <w:keepNext/>
              <w:tabs>
                <w:tab w:val="left" w:pos="385"/>
              </w:tabs>
              <w:spacing w:before="20" w:after="20"/>
              <w:jc w:val="left"/>
              <w:rPr>
                <w:rFonts w:cs="Arial"/>
                <w:color w:val="000000"/>
                <w:sz w:val="18"/>
                <w:szCs w:val="18"/>
                <w:lang w:val="de-DE"/>
              </w:rPr>
            </w:pPr>
          </w:p>
        </w:tc>
      </w:tr>
      <w:tr w:rsidR="00962B5A" w:rsidRPr="001E52CE" w14:paraId="2216A1C6"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AFD218C" w14:textId="77777777" w:rsidR="00962B5A" w:rsidRPr="008B37C7" w:rsidRDefault="00962B5A" w:rsidP="00F76AA9">
            <w:pPr>
              <w:spacing w:before="20" w:after="20"/>
              <w:rPr>
                <w:rFonts w:cs="Arial"/>
                <w:color w:val="000000"/>
                <w:sz w:val="18"/>
                <w:szCs w:val="18"/>
                <w:lang w:val="de-DE"/>
              </w:rPr>
            </w:pPr>
            <w:r w:rsidRPr="008B37C7">
              <w:rPr>
                <w:color w:val="000000"/>
                <w:sz w:val="18"/>
                <w:lang w:val="de-DE"/>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2BFCB4DA"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Synonym der Sortenbezeichnung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8B2E37E" w14:textId="77777777" w:rsidR="00962B5A" w:rsidRPr="008B37C7"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1CE1983"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AB58E07" w14:textId="77777777" w:rsidR="00962B5A" w:rsidRPr="008B37C7" w:rsidRDefault="00962B5A" w:rsidP="00F76AA9">
            <w:pPr>
              <w:tabs>
                <w:tab w:val="left" w:pos="385"/>
              </w:tabs>
              <w:spacing w:before="20" w:after="20"/>
              <w:jc w:val="left"/>
              <w:rPr>
                <w:rFonts w:cs="Arial"/>
                <w:color w:val="000000"/>
                <w:sz w:val="18"/>
                <w:szCs w:val="18"/>
                <w:lang w:val="de-DE"/>
              </w:rPr>
            </w:pPr>
          </w:p>
        </w:tc>
      </w:tr>
      <w:tr w:rsidR="00962B5A" w:rsidRPr="00DF7E6C" w14:paraId="3EE23062"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948ECE3" w14:textId="77777777" w:rsidR="00962B5A" w:rsidRPr="008B37C7" w:rsidRDefault="00962B5A" w:rsidP="00F76AA9">
            <w:pPr>
              <w:spacing w:before="20" w:after="20"/>
              <w:rPr>
                <w:rFonts w:cs="Arial"/>
                <w:color w:val="000000"/>
                <w:sz w:val="18"/>
                <w:szCs w:val="18"/>
                <w:lang w:val="de-DE"/>
              </w:rPr>
            </w:pPr>
            <w:r w:rsidRPr="008B37C7">
              <w:rPr>
                <w:color w:val="000000"/>
                <w:sz w:val="18"/>
                <w:lang w:val="de-DE"/>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5DB4B700"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Handelsbezeichnung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8DD6279" w14:textId="77777777" w:rsidR="00962B5A" w:rsidRPr="008B37C7"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017B63D"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ERFORDERLICH, wenn &lt;652&gt;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8B72CC9" w14:textId="77777777" w:rsidR="00962B5A" w:rsidRPr="008B37C7" w:rsidRDefault="00962B5A" w:rsidP="00F76AA9">
            <w:pPr>
              <w:tabs>
                <w:tab w:val="left" w:pos="385"/>
              </w:tabs>
              <w:spacing w:before="20" w:after="20"/>
              <w:jc w:val="left"/>
              <w:rPr>
                <w:rFonts w:cs="Arial"/>
                <w:color w:val="000000"/>
                <w:sz w:val="18"/>
                <w:szCs w:val="18"/>
                <w:lang w:val="de-DE"/>
              </w:rPr>
            </w:pPr>
            <w:r w:rsidRPr="008B37C7">
              <w:rPr>
                <w:color w:val="000000"/>
                <w:sz w:val="18"/>
                <w:lang w:val="de-DE"/>
              </w:rPr>
              <w:t xml:space="preserve">i) </w:t>
            </w:r>
            <w:r w:rsidRPr="008B37C7">
              <w:rPr>
                <w:color w:val="000000"/>
                <w:sz w:val="18"/>
                <w:lang w:val="de-DE"/>
              </w:rPr>
              <w:tab/>
              <w:t>Bedeutung klären</w:t>
            </w:r>
          </w:p>
          <w:p w14:paraId="763DE0B3" w14:textId="77777777" w:rsidR="00962B5A" w:rsidRPr="008B37C7" w:rsidRDefault="00962B5A" w:rsidP="00F76AA9">
            <w:pPr>
              <w:tabs>
                <w:tab w:val="left" w:pos="385"/>
              </w:tabs>
              <w:spacing w:before="20" w:after="20"/>
              <w:jc w:val="left"/>
              <w:rPr>
                <w:rFonts w:cs="Arial"/>
                <w:color w:val="000000"/>
                <w:sz w:val="18"/>
                <w:szCs w:val="18"/>
                <w:lang w:val="de-DE"/>
              </w:rPr>
            </w:pPr>
            <w:r w:rsidRPr="008B37C7">
              <w:rPr>
                <w:color w:val="000000"/>
                <w:sz w:val="18"/>
                <w:lang w:val="de-DE"/>
              </w:rPr>
              <w:t xml:space="preserve">ii) </w:t>
            </w:r>
            <w:r w:rsidRPr="008B37C7">
              <w:rPr>
                <w:color w:val="000000"/>
                <w:sz w:val="18"/>
                <w:lang w:val="de-DE"/>
              </w:rPr>
              <w:tab/>
              <w:t>mehrere Einträge zulassen</w:t>
            </w:r>
          </w:p>
        </w:tc>
      </w:tr>
      <w:tr w:rsidR="00962B5A" w:rsidRPr="001E52CE" w14:paraId="3E82B60B"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666F519" w14:textId="77777777" w:rsidR="00962B5A" w:rsidRPr="001E52CE" w:rsidRDefault="00962B5A" w:rsidP="00F76AA9">
            <w:pPr>
              <w:spacing w:before="20" w:after="20"/>
              <w:rPr>
                <w:rFonts w:cs="Arial"/>
                <w:color w:val="000000"/>
                <w:sz w:val="18"/>
                <w:szCs w:val="18"/>
                <w:lang w:val="de-DE"/>
              </w:rPr>
            </w:pPr>
            <w:r w:rsidRPr="001E52CE">
              <w:rPr>
                <w:color w:val="000000"/>
                <w:sz w:val="18"/>
                <w:lang w:val="de-DE"/>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36D57D39" w14:textId="77777777" w:rsidR="00962B5A" w:rsidRPr="001E52CE" w:rsidRDefault="00962B5A" w:rsidP="00F76AA9">
            <w:pPr>
              <w:spacing w:before="20" w:after="20"/>
              <w:jc w:val="left"/>
              <w:rPr>
                <w:rFonts w:cs="Arial"/>
                <w:color w:val="000000"/>
                <w:sz w:val="18"/>
                <w:szCs w:val="18"/>
                <w:lang w:val="de-DE"/>
              </w:rPr>
            </w:pPr>
            <w:r w:rsidRPr="001E52CE">
              <w:rPr>
                <w:color w:val="000000"/>
                <w:sz w:val="18"/>
                <w:lang w:val="de-DE"/>
              </w:rPr>
              <w:t>Handelsbezeichnung in nichtrömischem Alphabet</w:t>
            </w:r>
            <w:r w:rsidRPr="001E52CE">
              <w:rPr>
                <w:color w:val="000000"/>
                <w:sz w:val="18"/>
                <w:lang w:val="de-DE"/>
              </w:rPr>
              <w:cr/>
            </w:r>
            <w:r w:rsidRPr="001E52CE">
              <w:rPr>
                <w:color w:val="000000"/>
                <w:sz w:val="18"/>
                <w:lang w:val="de-DE"/>
              </w:rPr>
              <w:br/>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731D5F0" w14:textId="77777777" w:rsidR="00962B5A" w:rsidRPr="001E52CE"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DE9370D" w14:textId="77777777" w:rsidR="00962B5A" w:rsidRPr="001E52CE" w:rsidRDefault="00962B5A" w:rsidP="00F76AA9">
            <w:pPr>
              <w:tabs>
                <w:tab w:val="left" w:pos="386"/>
              </w:tabs>
              <w:spacing w:before="20" w:after="20"/>
              <w:jc w:val="left"/>
              <w:rPr>
                <w:rFonts w:cs="Arial"/>
                <w:color w:val="000000"/>
                <w:sz w:val="18"/>
                <w:szCs w:val="18"/>
                <w:lang w:val="de-DE"/>
              </w:rPr>
            </w:pPr>
            <w:r w:rsidRPr="001E52CE">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6F19F8D" w14:textId="77777777" w:rsidR="00962B5A" w:rsidRPr="001E52CE" w:rsidRDefault="00962B5A" w:rsidP="00F76AA9">
            <w:pPr>
              <w:tabs>
                <w:tab w:val="left" w:pos="385"/>
              </w:tabs>
              <w:spacing w:before="20" w:after="20"/>
              <w:jc w:val="left"/>
              <w:rPr>
                <w:rFonts w:cs="Arial"/>
                <w:color w:val="000000"/>
                <w:sz w:val="18"/>
                <w:szCs w:val="18"/>
                <w:lang w:val="de-DE"/>
              </w:rPr>
            </w:pPr>
          </w:p>
        </w:tc>
      </w:tr>
      <w:tr w:rsidR="00962B5A" w:rsidRPr="00DF7E6C" w14:paraId="7BEEB12B"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78EAB53" w14:textId="77777777" w:rsidR="00962B5A" w:rsidRPr="008B37C7" w:rsidRDefault="00962B5A" w:rsidP="00F76AA9">
            <w:pPr>
              <w:spacing w:before="20" w:after="20"/>
              <w:rPr>
                <w:rFonts w:cs="Arial"/>
                <w:b/>
                <w:bCs/>
                <w:color w:val="000000"/>
                <w:sz w:val="18"/>
                <w:szCs w:val="18"/>
                <w:lang w:val="de-DE"/>
              </w:rPr>
            </w:pPr>
            <w:r w:rsidRPr="008B37C7">
              <w:rPr>
                <w:b/>
                <w:color w:val="000000"/>
                <w:sz w:val="18"/>
                <w:lang w:val="de-DE"/>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774F5522" w14:textId="77777777" w:rsidR="00962B5A" w:rsidRPr="008B37C7" w:rsidRDefault="00962B5A" w:rsidP="00F76AA9">
            <w:pPr>
              <w:spacing w:before="20" w:after="20"/>
              <w:jc w:val="left"/>
              <w:rPr>
                <w:rFonts w:cs="Arial"/>
                <w:b/>
                <w:bCs/>
                <w:color w:val="000000"/>
                <w:sz w:val="18"/>
                <w:szCs w:val="18"/>
                <w:lang w:val="de-DE"/>
              </w:rPr>
            </w:pPr>
            <w:r w:rsidRPr="008B37C7">
              <w:rPr>
                <w:b/>
                <w:color w:val="000000"/>
                <w:sz w:val="18"/>
                <w:lang w:val="de-DE"/>
              </w:rPr>
              <w:t>Anmeldenummer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981EC38"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obligatorisch, wenn ein Antrag vorhanden ist</w:t>
            </w:r>
          </w:p>
        </w:tc>
        <w:tc>
          <w:tcPr>
            <w:tcW w:w="1985" w:type="dxa"/>
            <w:tcBorders>
              <w:top w:val="dotted" w:sz="4" w:space="0" w:color="auto"/>
              <w:left w:val="dotted" w:sz="4" w:space="0" w:color="auto"/>
              <w:bottom w:val="dotted" w:sz="4" w:space="0" w:color="auto"/>
            </w:tcBorders>
            <w:shd w:val="clear" w:color="auto" w:fill="auto"/>
          </w:tcPr>
          <w:p w14:paraId="484FE55A" w14:textId="77777777" w:rsidR="00962B5A" w:rsidRPr="008B37C7" w:rsidRDefault="00962B5A" w:rsidP="00F76AA9">
            <w:pPr>
              <w:tabs>
                <w:tab w:val="left" w:pos="386"/>
              </w:tabs>
              <w:spacing w:before="20" w:after="20"/>
              <w:jc w:val="left"/>
              <w:rPr>
                <w:rFonts w:cs="Arial"/>
                <w:b/>
                <w:bCs/>
                <w:color w:val="000000"/>
                <w:sz w:val="18"/>
                <w:szCs w:val="18"/>
                <w:lang w:val="de-DE"/>
              </w:rPr>
            </w:pPr>
            <w:r w:rsidRPr="008B37C7">
              <w:rPr>
                <w:b/>
                <w:color w:val="000000"/>
                <w:sz w:val="18"/>
                <w:lang w:val="de-DE"/>
              </w:rPr>
              <w:t>obligatorisch, wenn ein Antrag vorhanden ist</w:t>
            </w:r>
          </w:p>
        </w:tc>
        <w:tc>
          <w:tcPr>
            <w:tcW w:w="3419" w:type="dxa"/>
            <w:tcBorders>
              <w:top w:val="dotted" w:sz="4" w:space="0" w:color="auto"/>
              <w:bottom w:val="dotted" w:sz="4" w:space="0" w:color="auto"/>
              <w:right w:val="dotted" w:sz="4" w:space="0" w:color="auto"/>
            </w:tcBorders>
            <w:shd w:val="clear" w:color="auto" w:fill="auto"/>
            <w:noWrap/>
          </w:tcPr>
          <w:p w14:paraId="3C1E92B3" w14:textId="77777777" w:rsidR="00962B5A" w:rsidRPr="008B37C7" w:rsidRDefault="00962B5A" w:rsidP="00F76AA9">
            <w:pPr>
              <w:tabs>
                <w:tab w:val="left" w:pos="385"/>
              </w:tabs>
              <w:spacing w:before="20" w:after="20"/>
              <w:jc w:val="left"/>
              <w:rPr>
                <w:rFonts w:cs="Arial"/>
                <w:color w:val="000000"/>
                <w:sz w:val="18"/>
                <w:szCs w:val="18"/>
                <w:lang w:val="de-DE"/>
              </w:rPr>
            </w:pPr>
            <w:r w:rsidRPr="008B37C7">
              <w:rPr>
                <w:color w:val="000000"/>
                <w:sz w:val="18"/>
                <w:lang w:val="de-DE"/>
              </w:rPr>
              <w:t>in Verbindung mit &lt;010&gt; zu prüfen</w:t>
            </w:r>
          </w:p>
        </w:tc>
      </w:tr>
      <w:tr w:rsidR="00962B5A" w:rsidRPr="00DF7E6C" w14:paraId="2725E6ED"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F0FBE27" w14:textId="77777777" w:rsidR="00962B5A" w:rsidRPr="001E52CE" w:rsidRDefault="00962B5A" w:rsidP="00F76AA9">
            <w:pPr>
              <w:spacing w:before="20" w:after="20"/>
              <w:rPr>
                <w:rFonts w:cs="Arial"/>
                <w:color w:val="000000"/>
                <w:sz w:val="18"/>
                <w:szCs w:val="18"/>
                <w:lang w:val="de-DE"/>
              </w:rPr>
            </w:pPr>
            <w:r w:rsidRPr="001E52CE">
              <w:rPr>
                <w:color w:val="000000"/>
                <w:sz w:val="18"/>
                <w:lang w:val="de-DE"/>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69FE97A3" w14:textId="77777777" w:rsidR="00962B5A" w:rsidRPr="001E52CE" w:rsidRDefault="00962B5A" w:rsidP="00F76AA9">
            <w:pPr>
              <w:spacing w:before="20" w:after="20"/>
              <w:jc w:val="left"/>
              <w:rPr>
                <w:rFonts w:cs="Arial"/>
                <w:color w:val="000000"/>
                <w:sz w:val="18"/>
                <w:szCs w:val="18"/>
                <w:lang w:val="de-DE"/>
              </w:rPr>
            </w:pPr>
            <w:r w:rsidRPr="001E52CE">
              <w:rPr>
                <w:color w:val="000000"/>
                <w:sz w:val="18"/>
                <w:lang w:val="de-DE"/>
              </w:rPr>
              <w:t>Antragstag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70C2E44" w14:textId="77777777" w:rsidR="00962B5A" w:rsidRPr="001E52CE" w:rsidRDefault="00962B5A" w:rsidP="00F76AA9">
            <w:pPr>
              <w:spacing w:before="20" w:after="20"/>
              <w:jc w:val="left"/>
              <w:rPr>
                <w:rFonts w:cs="Arial"/>
                <w:color w:val="000000"/>
                <w:sz w:val="18"/>
                <w:szCs w:val="18"/>
                <w:lang w:val="de-DE"/>
              </w:rPr>
            </w:pPr>
            <w:r w:rsidRPr="001E52CE">
              <w:rPr>
                <w:color w:val="000000"/>
                <w:sz w:val="18"/>
                <w:lang w:val="de-DE"/>
              </w:rPr>
              <w:t>obligatorisch, wenn ein Antrag vorhanden ist</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957CFAD" w14:textId="77777777" w:rsidR="00962B5A" w:rsidRPr="001E52CE" w:rsidRDefault="00962B5A" w:rsidP="00F76AA9">
            <w:pPr>
              <w:tabs>
                <w:tab w:val="left" w:pos="386"/>
              </w:tabs>
              <w:spacing w:before="20" w:after="20"/>
              <w:jc w:val="left"/>
              <w:rPr>
                <w:rFonts w:cs="Arial"/>
                <w:b/>
                <w:bCs/>
                <w:color w:val="000000"/>
                <w:sz w:val="18"/>
                <w:szCs w:val="18"/>
                <w:lang w:val="de-DE"/>
              </w:rPr>
            </w:pPr>
            <w:r w:rsidRPr="001E52CE">
              <w:rPr>
                <w:b/>
                <w:color w:val="000000"/>
                <w:sz w:val="18"/>
                <w:lang w:val="de-DE"/>
              </w:rPr>
              <w:t>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8C70C0C" w14:textId="77777777" w:rsidR="00962B5A" w:rsidRPr="001E52CE" w:rsidRDefault="00962B5A" w:rsidP="00F76AA9">
            <w:pPr>
              <w:tabs>
                <w:tab w:val="left" w:pos="385"/>
              </w:tabs>
              <w:spacing w:before="20" w:after="20"/>
              <w:jc w:val="left"/>
              <w:rPr>
                <w:rFonts w:cs="Arial"/>
                <w:color w:val="000000"/>
                <w:sz w:val="18"/>
                <w:szCs w:val="18"/>
                <w:lang w:val="de-DE"/>
              </w:rPr>
            </w:pPr>
            <w:r w:rsidRPr="001E52CE">
              <w:rPr>
                <w:color w:val="000000"/>
                <w:sz w:val="18"/>
                <w:lang w:val="de-DE"/>
              </w:rPr>
              <w:t>Erläuterung abgeben, wenn DATENFELD &lt;220&gt; nicht ausgefüllt ist</w:t>
            </w:r>
          </w:p>
        </w:tc>
      </w:tr>
      <w:tr w:rsidR="00962B5A" w:rsidRPr="001E52CE" w14:paraId="18E3311A"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418DF45" w14:textId="77777777" w:rsidR="00962B5A" w:rsidRPr="001E52CE" w:rsidRDefault="00962B5A" w:rsidP="00F76AA9">
            <w:pPr>
              <w:spacing w:before="20" w:after="20"/>
              <w:rPr>
                <w:rFonts w:cs="Arial"/>
                <w:color w:val="000000"/>
                <w:sz w:val="18"/>
                <w:szCs w:val="18"/>
                <w:lang w:val="de-DE"/>
              </w:rPr>
            </w:pPr>
            <w:r w:rsidRPr="001E52CE">
              <w:rPr>
                <w:color w:val="000000"/>
                <w:sz w:val="18"/>
                <w:lang w:val="de-DE"/>
              </w:rPr>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793A5DB6" w14:textId="77777777" w:rsidR="00962B5A" w:rsidRPr="001E52CE" w:rsidRDefault="00962B5A" w:rsidP="00F76AA9">
            <w:pPr>
              <w:spacing w:before="20" w:after="20"/>
              <w:jc w:val="left"/>
              <w:rPr>
                <w:rFonts w:cs="Arial"/>
                <w:color w:val="000000"/>
                <w:sz w:val="18"/>
                <w:szCs w:val="18"/>
                <w:lang w:val="de-DE"/>
              </w:rPr>
            </w:pPr>
            <w:r w:rsidRPr="001E52CE">
              <w:rPr>
                <w:color w:val="000000"/>
                <w:sz w:val="18"/>
                <w:lang w:val="de-DE"/>
              </w:rPr>
              <w:t>Datum der Veröffentlichung der Daten des Antrags (Schutzerteilung)/Einreichung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F2A14DD" w14:textId="77777777" w:rsidR="00962B5A" w:rsidRPr="001E52CE"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C6F44F8" w14:textId="77777777" w:rsidR="00962B5A" w:rsidRPr="001E52CE" w:rsidRDefault="00962B5A" w:rsidP="00F76AA9">
            <w:pPr>
              <w:tabs>
                <w:tab w:val="left" w:pos="386"/>
              </w:tabs>
              <w:spacing w:before="20" w:after="20"/>
              <w:jc w:val="left"/>
              <w:rPr>
                <w:rFonts w:cs="Arial"/>
                <w:color w:val="000000"/>
                <w:sz w:val="18"/>
                <w:szCs w:val="18"/>
                <w:lang w:val="de-DE"/>
              </w:rPr>
            </w:pPr>
            <w:r w:rsidRPr="001E52CE">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3B59A09" w14:textId="77777777" w:rsidR="00962B5A" w:rsidRPr="001E52CE" w:rsidRDefault="00962B5A" w:rsidP="00F76AA9">
            <w:pPr>
              <w:tabs>
                <w:tab w:val="left" w:pos="385"/>
              </w:tabs>
              <w:spacing w:before="20" w:after="20"/>
              <w:jc w:val="left"/>
              <w:rPr>
                <w:rFonts w:cs="Arial"/>
                <w:color w:val="000000"/>
                <w:sz w:val="18"/>
                <w:szCs w:val="18"/>
                <w:lang w:val="de-DE"/>
              </w:rPr>
            </w:pPr>
          </w:p>
        </w:tc>
      </w:tr>
      <w:tr w:rsidR="00962B5A" w:rsidRPr="00DF7E6C" w14:paraId="0C1007B0"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EDF603A" w14:textId="77777777" w:rsidR="00962B5A" w:rsidRPr="008B37C7" w:rsidRDefault="00962B5A" w:rsidP="00F76AA9">
            <w:pPr>
              <w:spacing w:before="20" w:after="20"/>
              <w:rPr>
                <w:rFonts w:cs="Arial"/>
                <w:b/>
                <w:bCs/>
                <w:color w:val="000000"/>
                <w:sz w:val="18"/>
                <w:szCs w:val="18"/>
                <w:lang w:val="de-DE"/>
              </w:rPr>
            </w:pPr>
            <w:r w:rsidRPr="008B37C7">
              <w:rPr>
                <w:b/>
                <w:color w:val="000000"/>
                <w:sz w:val="18"/>
                <w:lang w:val="de-DE"/>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3A7B6A3C" w14:textId="77777777" w:rsidR="00962B5A" w:rsidRPr="008B37C7" w:rsidRDefault="00962B5A" w:rsidP="00F76AA9">
            <w:pPr>
              <w:spacing w:before="20" w:after="20"/>
              <w:jc w:val="left"/>
              <w:rPr>
                <w:rFonts w:cs="Arial"/>
                <w:b/>
                <w:bCs/>
                <w:color w:val="000000"/>
                <w:sz w:val="18"/>
                <w:szCs w:val="18"/>
                <w:lang w:val="de-DE"/>
              </w:rPr>
            </w:pPr>
            <w:r w:rsidRPr="008B37C7">
              <w:rPr>
                <w:b/>
                <w:color w:val="000000"/>
                <w:sz w:val="18"/>
                <w:lang w:val="de-DE"/>
              </w:rPr>
              <w:t>Nummer der Erteilung (Schutz)/Eintragung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BA75F7B"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obligatorisch, falls vorhanden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F06C9CC" w14:textId="77777777" w:rsidR="00962B5A" w:rsidRPr="008B37C7" w:rsidRDefault="00962B5A" w:rsidP="00F76AA9">
            <w:pPr>
              <w:tabs>
                <w:tab w:val="left" w:pos="386"/>
              </w:tabs>
              <w:spacing w:before="20" w:after="20"/>
              <w:jc w:val="left"/>
              <w:rPr>
                <w:rFonts w:cs="Arial"/>
                <w:b/>
                <w:bCs/>
                <w:color w:val="000000"/>
                <w:sz w:val="18"/>
                <w:szCs w:val="18"/>
                <w:lang w:val="de-DE"/>
              </w:rPr>
            </w:pPr>
            <w:r w:rsidRPr="008B37C7">
              <w:rPr>
                <w:b/>
                <w:color w:val="000000"/>
                <w:sz w:val="18"/>
                <w:lang w:val="de-DE"/>
              </w:rPr>
              <w:t xml:space="preserve">i) </w:t>
            </w:r>
            <w:r w:rsidRPr="008B37C7">
              <w:rPr>
                <w:b/>
                <w:color w:val="000000"/>
                <w:sz w:val="18"/>
                <w:lang w:val="de-DE"/>
              </w:rPr>
              <w:tab/>
              <w:t>&lt;111&gt; / &lt;151&gt; / &lt;610&gt; oder &lt;620&gt; sind obligatorisch, wenn erteilt oder eingetragen</w:t>
            </w:r>
          </w:p>
          <w:p w14:paraId="52788853"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 xml:space="preserve">ii) </w:t>
            </w:r>
            <w:r w:rsidRPr="008B37C7">
              <w:rPr>
                <w:color w:val="000000"/>
                <w:sz w:val="18"/>
                <w:lang w:val="de-DE"/>
              </w:rPr>
              <w:tab/>
              <w:t>Datum 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512C399" w14:textId="77777777" w:rsidR="00962B5A" w:rsidRPr="008B37C7" w:rsidRDefault="00962B5A" w:rsidP="00F76AA9">
            <w:pPr>
              <w:tabs>
                <w:tab w:val="left" w:pos="385"/>
              </w:tabs>
              <w:spacing w:before="20" w:after="20"/>
              <w:jc w:val="left"/>
              <w:rPr>
                <w:rFonts w:cs="Arial"/>
                <w:color w:val="000000"/>
                <w:sz w:val="18"/>
                <w:szCs w:val="18"/>
                <w:lang w:val="de-DE"/>
              </w:rPr>
            </w:pPr>
            <w:r w:rsidRPr="008B37C7">
              <w:rPr>
                <w:color w:val="000000"/>
                <w:sz w:val="18"/>
                <w:lang w:val="de-DE"/>
              </w:rPr>
              <w:t xml:space="preserve">i) </w:t>
            </w:r>
            <w:r w:rsidRPr="008B37C7">
              <w:rPr>
                <w:color w:val="000000"/>
                <w:sz w:val="18"/>
                <w:lang w:val="de-DE"/>
              </w:rPr>
              <w:tab/>
              <w:t>Datenqualitätskontrolle: obligatorische Bedingung in Bezug auf andere Elemente;</w:t>
            </w:r>
          </w:p>
          <w:p w14:paraId="6BE6B08D" w14:textId="77777777" w:rsidR="00962B5A" w:rsidRPr="001E52CE" w:rsidRDefault="00962B5A" w:rsidP="00F76AA9">
            <w:pPr>
              <w:tabs>
                <w:tab w:val="left" w:pos="385"/>
              </w:tabs>
              <w:spacing w:before="20" w:after="20"/>
              <w:jc w:val="left"/>
              <w:rPr>
                <w:rFonts w:cs="Arial"/>
                <w:color w:val="000000"/>
                <w:sz w:val="18"/>
                <w:szCs w:val="18"/>
                <w:lang w:val="de-DE"/>
              </w:rPr>
            </w:pPr>
            <w:r w:rsidRPr="001E52CE">
              <w:rPr>
                <w:color w:val="000000"/>
                <w:sz w:val="18"/>
                <w:lang w:val="de-DE"/>
              </w:rPr>
              <w:t xml:space="preserve">ii) </w:t>
            </w:r>
            <w:r w:rsidRPr="001E52CE">
              <w:rPr>
                <w:color w:val="000000"/>
                <w:sz w:val="18"/>
                <w:lang w:val="de-DE"/>
              </w:rPr>
              <w:tab/>
              <w:t>Beseitigung von Unstimmigkeiten bezüglich des Status des DATENFELDES &lt;220&gt;</w:t>
            </w:r>
          </w:p>
        </w:tc>
      </w:tr>
      <w:tr w:rsidR="00962B5A" w:rsidRPr="00DF7E6C" w14:paraId="55412E7F"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E03A528" w14:textId="77777777" w:rsidR="00962B5A" w:rsidRPr="001E52CE" w:rsidRDefault="00962B5A" w:rsidP="00F76AA9">
            <w:pPr>
              <w:spacing w:before="20" w:after="20"/>
              <w:rPr>
                <w:rFonts w:cs="Arial"/>
                <w:b/>
                <w:bCs/>
                <w:color w:val="000000"/>
                <w:sz w:val="18"/>
                <w:szCs w:val="18"/>
                <w:lang w:val="de-DE"/>
              </w:rPr>
            </w:pPr>
            <w:r w:rsidRPr="001E52CE">
              <w:rPr>
                <w:b/>
                <w:color w:val="000000"/>
                <w:sz w:val="18"/>
                <w:lang w:val="de-DE"/>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4CE3CE8A" w14:textId="77777777" w:rsidR="00962B5A" w:rsidRPr="001E52CE" w:rsidRDefault="00962B5A" w:rsidP="00F76AA9">
            <w:pPr>
              <w:spacing w:before="20" w:after="20"/>
              <w:jc w:val="left"/>
              <w:rPr>
                <w:rFonts w:cs="Arial"/>
                <w:b/>
                <w:bCs/>
                <w:color w:val="000000"/>
                <w:sz w:val="18"/>
                <w:szCs w:val="18"/>
                <w:lang w:val="de-DE"/>
              </w:rPr>
            </w:pPr>
            <w:r w:rsidRPr="001E52CE">
              <w:rPr>
                <w:b/>
                <w:color w:val="000000"/>
                <w:sz w:val="18"/>
                <w:lang w:val="de-DE"/>
              </w:rPr>
              <w:t>Datum der Veröffentlichung der Daten bezüglich der Erteilung (Schutz)/ 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A776A42" w14:textId="77777777" w:rsidR="00962B5A" w:rsidRPr="001E52CE"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23455EC" w14:textId="77777777" w:rsidR="00962B5A" w:rsidRPr="001E52CE" w:rsidRDefault="00962B5A" w:rsidP="00F76AA9">
            <w:pPr>
              <w:tabs>
                <w:tab w:val="left" w:pos="386"/>
              </w:tabs>
              <w:spacing w:before="20" w:after="20"/>
              <w:jc w:val="left"/>
              <w:rPr>
                <w:rFonts w:cs="Arial"/>
                <w:b/>
                <w:bCs/>
                <w:color w:val="000000"/>
                <w:sz w:val="18"/>
                <w:szCs w:val="18"/>
                <w:lang w:val="de-DE"/>
              </w:rPr>
            </w:pPr>
            <w:r w:rsidRPr="001E52CE">
              <w:rPr>
                <w:b/>
                <w:color w:val="000000"/>
                <w:sz w:val="18"/>
                <w:lang w:val="de-DE"/>
              </w:rPr>
              <w:t>vergleiche &lt;111&gt;</w:t>
            </w:r>
          </w:p>
          <w:p w14:paraId="1CD10073" w14:textId="77777777" w:rsidR="00962B5A" w:rsidRPr="001E52CE" w:rsidRDefault="00962B5A" w:rsidP="00F76AA9">
            <w:pPr>
              <w:tabs>
                <w:tab w:val="left" w:pos="386"/>
              </w:tabs>
              <w:spacing w:before="20" w:after="20"/>
              <w:jc w:val="left"/>
              <w:rPr>
                <w:rFonts w:cs="Arial"/>
                <w:b/>
                <w:bCs/>
                <w:color w:val="000000"/>
                <w:sz w:val="18"/>
                <w:szCs w:val="18"/>
                <w:lang w:val="de-DE"/>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90AFAB8" w14:textId="77777777" w:rsidR="00962B5A" w:rsidRPr="001E52CE" w:rsidRDefault="00962B5A" w:rsidP="00F76AA9">
            <w:pPr>
              <w:tabs>
                <w:tab w:val="left" w:pos="385"/>
              </w:tabs>
              <w:spacing w:before="20" w:after="20"/>
              <w:jc w:val="left"/>
              <w:rPr>
                <w:rFonts w:cs="Arial"/>
                <w:color w:val="000000"/>
                <w:sz w:val="18"/>
                <w:szCs w:val="18"/>
                <w:lang w:val="de-DE"/>
              </w:rPr>
            </w:pPr>
            <w:r w:rsidRPr="001E52CE">
              <w:rPr>
                <w:color w:val="000000"/>
                <w:sz w:val="18"/>
                <w:lang w:val="de-DE"/>
              </w:rPr>
              <w:t>Datenqualitätskontrolle: obligatorische Bedingung in Bezug auf andere Elemente</w:t>
            </w:r>
          </w:p>
        </w:tc>
      </w:tr>
      <w:tr w:rsidR="00962B5A" w:rsidRPr="00DF7E6C" w14:paraId="03EE2B1E"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0A1AD2E" w14:textId="77777777" w:rsidR="00962B5A" w:rsidRPr="001E52CE" w:rsidRDefault="00962B5A" w:rsidP="00F76AA9">
            <w:pPr>
              <w:spacing w:before="20" w:after="20"/>
              <w:rPr>
                <w:rFonts w:cs="Arial"/>
                <w:b/>
                <w:bCs/>
                <w:color w:val="000000"/>
                <w:sz w:val="18"/>
                <w:szCs w:val="18"/>
                <w:lang w:val="de-DE"/>
              </w:rPr>
            </w:pPr>
            <w:r w:rsidRPr="001E52CE">
              <w:rPr>
                <w:b/>
                <w:color w:val="000000"/>
                <w:sz w:val="18"/>
                <w:lang w:val="de-DE"/>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157D9EE5" w14:textId="77777777" w:rsidR="00962B5A" w:rsidRPr="001E52CE" w:rsidRDefault="00962B5A" w:rsidP="00F76AA9">
            <w:pPr>
              <w:spacing w:before="20" w:after="20"/>
              <w:jc w:val="left"/>
              <w:rPr>
                <w:rFonts w:cs="Arial"/>
                <w:b/>
                <w:bCs/>
                <w:color w:val="000000"/>
                <w:sz w:val="18"/>
                <w:szCs w:val="18"/>
                <w:lang w:val="de-DE"/>
              </w:rPr>
            </w:pPr>
            <w:r w:rsidRPr="001E52CE">
              <w:rPr>
                <w:b/>
                <w:color w:val="000000"/>
                <w:sz w:val="18"/>
                <w:lang w:val="de-DE"/>
              </w:rPr>
              <w:t>Anfangsdatum--Erteilung(Schutz)/Eintragung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F458139" w14:textId="77777777" w:rsidR="00962B5A" w:rsidRPr="001E52CE" w:rsidRDefault="00962B5A" w:rsidP="00F76AA9">
            <w:pPr>
              <w:spacing w:before="20" w:after="20"/>
              <w:jc w:val="left"/>
              <w:rPr>
                <w:rFonts w:cs="Arial"/>
                <w:color w:val="000000"/>
                <w:sz w:val="18"/>
                <w:szCs w:val="18"/>
                <w:lang w:val="de-DE"/>
              </w:rPr>
            </w:pPr>
            <w:r w:rsidRPr="001E52CE">
              <w:rPr>
                <w:color w:val="000000"/>
                <w:sz w:val="18"/>
                <w:lang w:val="de-DE"/>
              </w:rPr>
              <w:t>obligatorisch, falls vorhanden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87B2CDD" w14:textId="77777777" w:rsidR="00962B5A" w:rsidRPr="001E52CE" w:rsidRDefault="00962B5A" w:rsidP="00F76AA9">
            <w:pPr>
              <w:tabs>
                <w:tab w:val="left" w:pos="386"/>
              </w:tabs>
              <w:spacing w:before="20" w:after="20"/>
              <w:jc w:val="left"/>
              <w:rPr>
                <w:rFonts w:cs="Arial"/>
                <w:color w:val="000000"/>
                <w:sz w:val="18"/>
                <w:szCs w:val="18"/>
                <w:lang w:val="de-DE"/>
              </w:rPr>
            </w:pPr>
            <w:r w:rsidRPr="001E52CE">
              <w:rPr>
                <w:b/>
                <w:color w:val="000000"/>
                <w:sz w:val="18"/>
                <w:lang w:val="de-DE"/>
              </w:rPr>
              <w:t>vergleiche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8750D3A" w14:textId="77777777" w:rsidR="00962B5A" w:rsidRPr="001E52CE" w:rsidRDefault="00962B5A" w:rsidP="00F76AA9">
            <w:pPr>
              <w:tabs>
                <w:tab w:val="left" w:pos="385"/>
              </w:tabs>
              <w:spacing w:before="20" w:after="20"/>
              <w:jc w:val="left"/>
              <w:rPr>
                <w:rFonts w:cs="Arial"/>
                <w:color w:val="000000"/>
                <w:sz w:val="18"/>
                <w:szCs w:val="18"/>
                <w:lang w:val="de-DE"/>
              </w:rPr>
            </w:pPr>
            <w:r w:rsidRPr="001E52CE">
              <w:rPr>
                <w:color w:val="000000"/>
                <w:sz w:val="18"/>
                <w:lang w:val="de-DE"/>
              </w:rPr>
              <w:t xml:space="preserve">i) </w:t>
            </w:r>
            <w:r w:rsidRPr="001E52CE">
              <w:rPr>
                <w:color w:val="000000"/>
                <w:sz w:val="18"/>
                <w:lang w:val="de-DE"/>
              </w:rPr>
              <w:tab/>
              <w:t>Datenqualitätskontrolle: obligatorische Bedingung in Bezug auf andere Elemente;</w:t>
            </w:r>
          </w:p>
          <w:p w14:paraId="2D893620" w14:textId="77777777" w:rsidR="00962B5A" w:rsidRPr="001E52CE" w:rsidRDefault="00962B5A" w:rsidP="00F76AA9">
            <w:pPr>
              <w:tabs>
                <w:tab w:val="left" w:pos="385"/>
              </w:tabs>
              <w:spacing w:before="20" w:after="20"/>
              <w:jc w:val="left"/>
              <w:rPr>
                <w:rFonts w:cs="Arial"/>
                <w:color w:val="000000"/>
                <w:sz w:val="18"/>
                <w:szCs w:val="18"/>
                <w:lang w:val="de-DE"/>
              </w:rPr>
            </w:pPr>
            <w:r w:rsidRPr="001E52CE">
              <w:rPr>
                <w:color w:val="000000"/>
                <w:sz w:val="18"/>
                <w:lang w:val="de-DE"/>
              </w:rPr>
              <w:t xml:space="preserve">ii) </w:t>
            </w:r>
            <w:r w:rsidRPr="001E52CE">
              <w:rPr>
                <w:color w:val="000000"/>
                <w:sz w:val="18"/>
                <w:lang w:val="de-DE"/>
              </w:rPr>
              <w:tab/>
              <w:t>Datenqualitätskontrolle: Datum kann nicht früher sein als &lt;220&gt;</w:t>
            </w:r>
          </w:p>
        </w:tc>
      </w:tr>
      <w:tr w:rsidR="00962B5A" w:rsidRPr="001E52CE" w14:paraId="65DFB556"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2F8C7EE" w14:textId="77777777" w:rsidR="00962B5A" w:rsidRPr="001E52CE" w:rsidRDefault="00962B5A" w:rsidP="00F76AA9">
            <w:pPr>
              <w:spacing w:before="20" w:after="20"/>
              <w:rPr>
                <w:rFonts w:cs="Arial"/>
                <w:b/>
                <w:bCs/>
                <w:color w:val="000000"/>
                <w:sz w:val="18"/>
                <w:szCs w:val="18"/>
                <w:lang w:val="de-DE"/>
              </w:rPr>
            </w:pPr>
            <w:r w:rsidRPr="001E52CE">
              <w:rPr>
                <w:b/>
                <w:color w:val="000000"/>
                <w:sz w:val="18"/>
                <w:lang w:val="de-DE"/>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7D1AF1D7" w14:textId="77777777" w:rsidR="00962B5A" w:rsidRPr="001E52CE" w:rsidRDefault="00962B5A" w:rsidP="00F76AA9">
            <w:pPr>
              <w:spacing w:before="20" w:after="20"/>
              <w:jc w:val="left"/>
              <w:rPr>
                <w:rFonts w:cs="Arial"/>
                <w:b/>
                <w:bCs/>
                <w:color w:val="000000"/>
                <w:sz w:val="18"/>
                <w:szCs w:val="18"/>
                <w:lang w:val="de-DE"/>
              </w:rPr>
            </w:pPr>
            <w:r w:rsidRPr="001E52CE">
              <w:rPr>
                <w:b/>
                <w:color w:val="000000"/>
                <w:sz w:val="18"/>
                <w:lang w:val="de-DE"/>
              </w:rPr>
              <w:t>Anfangsdatum--Erneuerung der 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DBCB307" w14:textId="77777777" w:rsidR="00962B5A" w:rsidRPr="001E52CE"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B2CD901" w14:textId="77777777" w:rsidR="00962B5A" w:rsidRPr="001E52CE" w:rsidRDefault="00962B5A" w:rsidP="00F76AA9">
            <w:pPr>
              <w:tabs>
                <w:tab w:val="left" w:pos="386"/>
              </w:tabs>
              <w:spacing w:before="20" w:after="20"/>
              <w:jc w:val="left"/>
              <w:rPr>
                <w:rFonts w:cs="Arial"/>
                <w:color w:val="000000"/>
                <w:sz w:val="18"/>
                <w:szCs w:val="18"/>
                <w:lang w:val="de-DE"/>
              </w:rPr>
            </w:pPr>
            <w:r w:rsidRPr="001E52CE">
              <w:rPr>
                <w:b/>
                <w:color w:val="000000"/>
                <w:sz w:val="18"/>
                <w:lang w:val="de-DE"/>
              </w:rPr>
              <w:t>vergleiche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28DBD74" w14:textId="77777777" w:rsidR="00962B5A" w:rsidRPr="001E52CE" w:rsidRDefault="00962B5A" w:rsidP="00F76AA9">
            <w:pPr>
              <w:tabs>
                <w:tab w:val="left" w:pos="385"/>
              </w:tabs>
              <w:spacing w:before="20" w:after="20"/>
              <w:jc w:val="left"/>
              <w:rPr>
                <w:rFonts w:cs="Arial"/>
                <w:color w:val="000000"/>
                <w:sz w:val="18"/>
                <w:szCs w:val="18"/>
                <w:lang w:val="de-DE"/>
              </w:rPr>
            </w:pPr>
            <w:r w:rsidRPr="001E52CE">
              <w:rPr>
                <w:color w:val="000000"/>
                <w:sz w:val="18"/>
                <w:lang w:val="de-DE"/>
              </w:rPr>
              <w:t xml:space="preserve">i) </w:t>
            </w:r>
            <w:r w:rsidRPr="001E52CE">
              <w:rPr>
                <w:color w:val="000000"/>
                <w:sz w:val="18"/>
                <w:lang w:val="de-DE"/>
              </w:rPr>
              <w:tab/>
              <w:t>Datenqualitätskontrolle: obligatorische Bedingung in Bezug auf andere Elemente:</w:t>
            </w:r>
          </w:p>
          <w:p w14:paraId="32A9C68F" w14:textId="77777777" w:rsidR="00962B5A" w:rsidRPr="001E52CE" w:rsidRDefault="00962B5A" w:rsidP="00F76AA9">
            <w:pPr>
              <w:tabs>
                <w:tab w:val="left" w:pos="385"/>
              </w:tabs>
              <w:spacing w:before="20" w:after="20"/>
              <w:jc w:val="left"/>
              <w:rPr>
                <w:rFonts w:cs="Arial"/>
                <w:color w:val="000000"/>
                <w:sz w:val="18"/>
                <w:szCs w:val="18"/>
                <w:lang w:val="de-DE"/>
              </w:rPr>
            </w:pPr>
            <w:r w:rsidRPr="001E52CE">
              <w:rPr>
                <w:color w:val="000000"/>
                <w:sz w:val="18"/>
                <w:lang w:val="de-DE"/>
              </w:rPr>
              <w:t xml:space="preserve">ii) </w:t>
            </w:r>
            <w:r w:rsidRPr="001E52CE">
              <w:rPr>
                <w:color w:val="000000"/>
                <w:sz w:val="18"/>
                <w:lang w:val="de-DE"/>
              </w:rPr>
              <w:tab/>
              <w:t>Datenqualitätskontrolle: Datum kann nicht früher sein als &lt;610&gt;</w:t>
            </w:r>
          </w:p>
          <w:p w14:paraId="3633375D" w14:textId="77777777" w:rsidR="00962B5A" w:rsidRPr="001E52CE" w:rsidRDefault="00962B5A" w:rsidP="00F76AA9">
            <w:pPr>
              <w:tabs>
                <w:tab w:val="left" w:pos="385"/>
              </w:tabs>
              <w:spacing w:before="20" w:after="20"/>
              <w:jc w:val="left"/>
              <w:rPr>
                <w:rFonts w:cs="Arial"/>
                <w:color w:val="000000"/>
                <w:sz w:val="18"/>
                <w:szCs w:val="18"/>
                <w:lang w:val="de-DE"/>
              </w:rPr>
            </w:pPr>
            <w:r w:rsidRPr="001E52CE">
              <w:rPr>
                <w:color w:val="000000"/>
                <w:sz w:val="18"/>
                <w:lang w:val="de-DE"/>
              </w:rPr>
              <w:t xml:space="preserve">iii) </w:t>
            </w:r>
            <w:r w:rsidRPr="001E52CE">
              <w:rPr>
                <w:color w:val="000000"/>
                <w:sz w:val="18"/>
                <w:lang w:val="de-DE"/>
              </w:rPr>
              <w:tab/>
              <w:t xml:space="preserve">Bedeutung klären </w:t>
            </w:r>
          </w:p>
        </w:tc>
      </w:tr>
      <w:tr w:rsidR="00962B5A" w:rsidRPr="001E52CE" w14:paraId="01061C84"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23C9A2E" w14:textId="77777777" w:rsidR="00962B5A" w:rsidRPr="008B37C7" w:rsidRDefault="00962B5A" w:rsidP="00F76AA9">
            <w:pPr>
              <w:spacing w:before="20" w:after="20"/>
              <w:rPr>
                <w:rFonts w:cs="Arial"/>
                <w:color w:val="000000"/>
                <w:sz w:val="18"/>
                <w:szCs w:val="18"/>
                <w:lang w:val="de-DE"/>
              </w:rPr>
            </w:pPr>
            <w:r w:rsidRPr="008B37C7">
              <w:rPr>
                <w:color w:val="000000"/>
                <w:sz w:val="18"/>
                <w:lang w:val="de-DE"/>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79F3ACCD"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Berechnetes künftiges Ablaufdatum</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439295D"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obligatorisch, falls Erteilung/Eintragung in eine Liste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FF4960C"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52D2C38" w14:textId="77777777" w:rsidR="00962B5A" w:rsidRPr="008B37C7" w:rsidRDefault="00962B5A" w:rsidP="00F76AA9">
            <w:pPr>
              <w:tabs>
                <w:tab w:val="left" w:pos="385"/>
              </w:tabs>
              <w:spacing w:before="20" w:after="20"/>
              <w:jc w:val="left"/>
              <w:rPr>
                <w:rFonts w:cs="Arial"/>
                <w:color w:val="000000"/>
                <w:sz w:val="18"/>
                <w:szCs w:val="18"/>
                <w:lang w:val="de-DE"/>
              </w:rPr>
            </w:pPr>
          </w:p>
        </w:tc>
      </w:tr>
      <w:tr w:rsidR="00962B5A" w:rsidRPr="001E52CE" w14:paraId="05E90297" w14:textId="77777777" w:rsidTr="00AB71B3">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6280A1F5" w14:textId="77777777" w:rsidR="00962B5A" w:rsidRPr="008B37C7" w:rsidRDefault="00962B5A" w:rsidP="00F76AA9">
            <w:pPr>
              <w:spacing w:before="20" w:after="20"/>
              <w:rPr>
                <w:rFonts w:cs="Arial"/>
                <w:color w:val="000000"/>
                <w:sz w:val="18"/>
                <w:szCs w:val="18"/>
                <w:lang w:val="de-DE"/>
              </w:rPr>
            </w:pPr>
            <w:r w:rsidRPr="008B37C7">
              <w:rPr>
                <w:color w:val="000000"/>
                <w:sz w:val="18"/>
                <w:lang w:val="de-DE"/>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14:paraId="7BD22212"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Art des Datums, gefolgt von „Enddatum“</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477211B0"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obligatorisch, falls vorhanden</w:t>
            </w: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7E1D5E3B"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47B500B5" w14:textId="77777777" w:rsidR="00962B5A" w:rsidRPr="008B37C7" w:rsidRDefault="00962B5A" w:rsidP="00F76AA9">
            <w:pPr>
              <w:tabs>
                <w:tab w:val="left" w:pos="385"/>
              </w:tabs>
              <w:spacing w:before="20" w:after="20"/>
              <w:jc w:val="left"/>
              <w:rPr>
                <w:rFonts w:cs="Arial"/>
                <w:color w:val="000000"/>
                <w:sz w:val="18"/>
                <w:szCs w:val="18"/>
                <w:lang w:val="de-DE"/>
              </w:rPr>
            </w:pPr>
          </w:p>
        </w:tc>
      </w:tr>
      <w:tr w:rsidR="00962B5A" w:rsidRPr="001E52CE" w14:paraId="5B6F6019" w14:textId="77777777" w:rsidTr="00AB71B3">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14:paraId="5714FE5F" w14:textId="77777777" w:rsidR="00962B5A" w:rsidRPr="008B37C7" w:rsidRDefault="00962B5A" w:rsidP="00F76AA9">
            <w:pPr>
              <w:keepNext/>
              <w:tabs>
                <w:tab w:val="left" w:pos="386"/>
              </w:tabs>
              <w:spacing w:before="60" w:after="60"/>
              <w:jc w:val="left"/>
              <w:rPr>
                <w:rFonts w:cs="Arial"/>
                <w:color w:val="000000"/>
                <w:sz w:val="18"/>
                <w:szCs w:val="18"/>
                <w:lang w:val="de-DE"/>
              </w:rPr>
            </w:pPr>
            <w:r w:rsidRPr="008B37C7">
              <w:rPr>
                <w:color w:val="000000"/>
                <w:sz w:val="18"/>
                <w:lang w:val="de-DE"/>
              </w:rPr>
              <w:t>PARTEIEN</w:t>
            </w:r>
          </w:p>
        </w:tc>
      </w:tr>
      <w:tr w:rsidR="00962B5A" w:rsidRPr="00DF7E6C" w14:paraId="518BB4C2"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AC673E6" w14:textId="77777777" w:rsidR="00962B5A" w:rsidRPr="008B37C7" w:rsidRDefault="00962B5A" w:rsidP="00F76AA9">
            <w:pPr>
              <w:spacing w:before="20" w:after="20"/>
              <w:rPr>
                <w:rFonts w:cs="Arial"/>
                <w:b/>
                <w:bCs/>
                <w:color w:val="000000"/>
                <w:sz w:val="18"/>
                <w:szCs w:val="18"/>
                <w:lang w:val="de-DE"/>
              </w:rPr>
            </w:pPr>
            <w:r w:rsidRPr="008B37C7">
              <w:rPr>
                <w:b/>
                <w:color w:val="000000"/>
                <w:sz w:val="18"/>
                <w:lang w:val="de-DE"/>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0A593013" w14:textId="77777777" w:rsidR="00962B5A" w:rsidRPr="008B37C7" w:rsidRDefault="00962B5A" w:rsidP="00F76AA9">
            <w:pPr>
              <w:spacing w:before="20" w:after="20"/>
              <w:jc w:val="left"/>
              <w:rPr>
                <w:rFonts w:cs="Arial"/>
                <w:b/>
                <w:bCs/>
                <w:color w:val="000000"/>
                <w:sz w:val="18"/>
                <w:szCs w:val="18"/>
                <w:lang w:val="de-DE"/>
              </w:rPr>
            </w:pPr>
            <w:r w:rsidRPr="008B37C7">
              <w:rPr>
                <w:b/>
                <w:color w:val="000000"/>
                <w:sz w:val="18"/>
                <w:lang w:val="de-DE"/>
              </w:rPr>
              <w:t xml:space="preserve">Anmeldername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A960380"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obligatorisch, wenn ein Antrag vorhanden ist</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810FAA1" w14:textId="77777777" w:rsidR="00962B5A" w:rsidRPr="008B37C7" w:rsidRDefault="00962B5A" w:rsidP="00F76AA9">
            <w:pPr>
              <w:tabs>
                <w:tab w:val="left" w:pos="386"/>
              </w:tabs>
              <w:spacing w:before="20" w:after="20"/>
              <w:jc w:val="left"/>
              <w:rPr>
                <w:rFonts w:cs="Arial"/>
                <w:b/>
                <w:bCs/>
                <w:color w:val="000000"/>
                <w:sz w:val="18"/>
                <w:szCs w:val="18"/>
                <w:lang w:val="de-DE"/>
              </w:rPr>
            </w:pPr>
            <w:r w:rsidRPr="008B37C7">
              <w:rPr>
                <w:b/>
                <w:bCs/>
                <w:color w:val="000000"/>
                <w:sz w:val="18"/>
                <w:lang w:val="de-DE"/>
              </w:rPr>
              <w:t>obligatorisch, wenn ein Antrag vorhanden ist, oder</w:t>
            </w:r>
            <w:r w:rsidRPr="008B37C7">
              <w:rPr>
                <w:color w:val="000000"/>
                <w:sz w:val="18"/>
                <w:lang w:val="de-DE"/>
              </w:rPr>
              <w:t xml:space="preserve"> ERFORDERLICH, wenn &lt;750&gt;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E6B9DA6" w14:textId="77777777" w:rsidR="00962B5A" w:rsidRPr="008B37C7" w:rsidRDefault="00962B5A" w:rsidP="00F76AA9">
            <w:pPr>
              <w:tabs>
                <w:tab w:val="left" w:pos="385"/>
              </w:tabs>
              <w:spacing w:before="20" w:after="20"/>
              <w:jc w:val="left"/>
              <w:rPr>
                <w:rFonts w:cs="Arial"/>
                <w:color w:val="000000"/>
                <w:sz w:val="18"/>
                <w:szCs w:val="18"/>
                <w:lang w:val="de-DE"/>
              </w:rPr>
            </w:pPr>
          </w:p>
        </w:tc>
      </w:tr>
      <w:tr w:rsidR="00962B5A" w:rsidRPr="001E52CE" w14:paraId="42FC5968"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7A24CF1" w14:textId="77777777" w:rsidR="00962B5A" w:rsidRPr="001E52CE" w:rsidRDefault="00962B5A" w:rsidP="00F76AA9">
            <w:pPr>
              <w:spacing w:before="20" w:after="20"/>
              <w:rPr>
                <w:rFonts w:cs="Arial"/>
                <w:bCs/>
                <w:color w:val="000000"/>
                <w:sz w:val="18"/>
                <w:szCs w:val="18"/>
                <w:lang w:val="de-DE"/>
              </w:rPr>
            </w:pPr>
            <w:r w:rsidRPr="001E52CE">
              <w:rPr>
                <w:color w:val="000000"/>
                <w:sz w:val="18"/>
                <w:lang w:val="de-DE"/>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286EAAEB" w14:textId="77777777" w:rsidR="00962B5A" w:rsidRPr="001E52CE" w:rsidRDefault="00962B5A" w:rsidP="00F76AA9">
            <w:pPr>
              <w:spacing w:before="20" w:after="20"/>
              <w:jc w:val="left"/>
              <w:rPr>
                <w:rFonts w:cs="Arial"/>
                <w:bCs/>
                <w:color w:val="000000"/>
                <w:sz w:val="18"/>
                <w:szCs w:val="18"/>
                <w:lang w:val="de-DE"/>
              </w:rPr>
            </w:pPr>
            <w:r w:rsidRPr="001E52CE">
              <w:rPr>
                <w:color w:val="000000"/>
                <w:sz w:val="18"/>
                <w:lang w:val="de-DE"/>
              </w:rPr>
              <w:t>Name des Antragstellers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89FCC78" w14:textId="77777777" w:rsidR="00962B5A" w:rsidRPr="001E52CE"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573DBED" w14:textId="77777777" w:rsidR="00962B5A" w:rsidRPr="001E52CE" w:rsidRDefault="00962B5A" w:rsidP="00F76AA9">
            <w:pPr>
              <w:tabs>
                <w:tab w:val="left" w:pos="386"/>
              </w:tabs>
              <w:spacing w:before="20" w:after="20"/>
              <w:jc w:val="left"/>
              <w:rPr>
                <w:rFonts w:cs="Arial"/>
                <w:bCs/>
                <w:color w:val="000000"/>
                <w:sz w:val="18"/>
                <w:szCs w:val="18"/>
                <w:lang w:val="de-DE"/>
              </w:rPr>
            </w:pPr>
            <w:r w:rsidRPr="001E52CE">
              <w:rPr>
                <w:color w:val="000000"/>
                <w:sz w:val="18"/>
                <w:lang w:val="de-DE"/>
              </w:rPr>
              <w:t xml:space="preserve">nicht obligatorisch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8C9061D" w14:textId="77777777" w:rsidR="00962B5A" w:rsidRPr="001E52CE" w:rsidRDefault="00962B5A" w:rsidP="00F76AA9">
            <w:pPr>
              <w:tabs>
                <w:tab w:val="left" w:pos="385"/>
              </w:tabs>
              <w:spacing w:before="20" w:after="20"/>
              <w:jc w:val="left"/>
              <w:rPr>
                <w:rFonts w:cs="Arial"/>
                <w:color w:val="000000"/>
                <w:sz w:val="18"/>
                <w:szCs w:val="18"/>
                <w:lang w:val="de-DE"/>
              </w:rPr>
            </w:pPr>
          </w:p>
        </w:tc>
      </w:tr>
      <w:tr w:rsidR="00962B5A" w:rsidRPr="00DF7E6C" w14:paraId="0E630D26"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5FEC092" w14:textId="77777777" w:rsidR="00962B5A" w:rsidRPr="008B37C7" w:rsidRDefault="00962B5A" w:rsidP="00F76AA9">
            <w:pPr>
              <w:spacing w:before="20" w:after="20"/>
              <w:rPr>
                <w:rFonts w:cs="Arial"/>
                <w:b/>
                <w:bCs/>
                <w:color w:val="000000"/>
                <w:sz w:val="18"/>
                <w:szCs w:val="18"/>
                <w:lang w:val="de-DE"/>
              </w:rPr>
            </w:pPr>
            <w:r w:rsidRPr="008B37C7">
              <w:rPr>
                <w:b/>
                <w:color w:val="000000"/>
                <w:sz w:val="18"/>
                <w:lang w:val="de-DE"/>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792EA06A" w14:textId="77777777" w:rsidR="00962B5A" w:rsidRPr="008B37C7" w:rsidRDefault="00962B5A" w:rsidP="00F76AA9">
            <w:pPr>
              <w:spacing w:before="20" w:after="20"/>
              <w:jc w:val="left"/>
              <w:rPr>
                <w:rFonts w:cs="Arial"/>
                <w:b/>
                <w:bCs/>
                <w:color w:val="000000"/>
                <w:sz w:val="18"/>
                <w:szCs w:val="18"/>
                <w:lang w:val="de-DE"/>
              </w:rPr>
            </w:pPr>
            <w:r w:rsidRPr="008B37C7">
              <w:rPr>
                <w:b/>
                <w:color w:val="000000"/>
                <w:sz w:val="18"/>
                <w:lang w:val="de-DE"/>
              </w:rPr>
              <w:t>Name des Züchters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CCCFA9F"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EB75FD5" w14:textId="77777777" w:rsidR="00962B5A" w:rsidRPr="008B37C7" w:rsidRDefault="00962B5A" w:rsidP="00F76AA9">
            <w:pPr>
              <w:tabs>
                <w:tab w:val="left" w:pos="386"/>
              </w:tabs>
              <w:spacing w:before="20" w:after="20"/>
              <w:jc w:val="left"/>
              <w:rPr>
                <w:rFonts w:cs="Arial"/>
                <w:b/>
                <w:bCs/>
                <w:color w:val="000000"/>
                <w:sz w:val="18"/>
                <w:szCs w:val="18"/>
                <w:lang w:val="de-DE"/>
              </w:rPr>
            </w:pPr>
            <w:r w:rsidRPr="008B37C7">
              <w:rPr>
                <w:b/>
                <w:color w:val="000000"/>
                <w:sz w:val="18"/>
                <w:lang w:val="de-DE"/>
              </w:rPr>
              <w:t>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BE43F73" w14:textId="77777777" w:rsidR="00962B5A" w:rsidRPr="008B37C7" w:rsidRDefault="00962B5A" w:rsidP="00F76AA9">
            <w:pPr>
              <w:tabs>
                <w:tab w:val="left" w:pos="385"/>
              </w:tabs>
              <w:spacing w:before="20" w:after="20"/>
              <w:jc w:val="left"/>
              <w:rPr>
                <w:rFonts w:cs="Arial"/>
                <w:color w:val="000000"/>
                <w:sz w:val="18"/>
                <w:szCs w:val="18"/>
                <w:lang w:val="de-DE"/>
              </w:rPr>
            </w:pPr>
            <w:r w:rsidRPr="008B37C7">
              <w:rPr>
                <w:color w:val="000000"/>
                <w:sz w:val="18"/>
                <w:lang w:val="de-DE"/>
              </w:rPr>
              <w:t>Bedeutung von „Züchter" gemäß Dokument TGP/5 klären (vergleiche &lt;733&gt;)</w:t>
            </w:r>
          </w:p>
        </w:tc>
      </w:tr>
      <w:tr w:rsidR="00962B5A" w:rsidRPr="001E52CE" w14:paraId="4BC959FF"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8FC33A4" w14:textId="77777777" w:rsidR="00962B5A" w:rsidRPr="001E52CE" w:rsidRDefault="00962B5A" w:rsidP="00F76AA9">
            <w:pPr>
              <w:spacing w:before="20" w:after="20"/>
              <w:rPr>
                <w:rFonts w:cs="Arial"/>
                <w:bCs/>
                <w:color w:val="000000"/>
                <w:sz w:val="18"/>
                <w:szCs w:val="18"/>
                <w:lang w:val="de-DE"/>
              </w:rPr>
            </w:pPr>
            <w:r w:rsidRPr="001E52CE">
              <w:rPr>
                <w:color w:val="000000"/>
                <w:sz w:val="18"/>
                <w:lang w:val="de-DE"/>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4E55BCF8" w14:textId="77777777" w:rsidR="00962B5A" w:rsidRPr="001E52CE" w:rsidRDefault="00962B5A" w:rsidP="00F76AA9">
            <w:pPr>
              <w:spacing w:before="20" w:after="20"/>
              <w:jc w:val="left"/>
              <w:rPr>
                <w:rFonts w:cs="Arial"/>
                <w:bCs/>
                <w:color w:val="000000"/>
                <w:sz w:val="18"/>
                <w:szCs w:val="18"/>
                <w:lang w:val="de-DE"/>
              </w:rPr>
            </w:pPr>
            <w:r w:rsidRPr="001E52CE">
              <w:rPr>
                <w:color w:val="000000"/>
                <w:sz w:val="18"/>
                <w:lang w:val="de-DE"/>
              </w:rPr>
              <w:t>Name des Züchters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A3F5E3E" w14:textId="77777777" w:rsidR="00962B5A" w:rsidRPr="001E52CE"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C0F5CCB" w14:textId="77777777" w:rsidR="00962B5A" w:rsidRPr="001E52CE" w:rsidRDefault="00962B5A" w:rsidP="00F76AA9">
            <w:pPr>
              <w:tabs>
                <w:tab w:val="left" w:pos="386"/>
              </w:tabs>
              <w:spacing w:before="20" w:after="20"/>
              <w:jc w:val="left"/>
              <w:rPr>
                <w:rFonts w:cs="Arial"/>
                <w:bCs/>
                <w:color w:val="000000"/>
                <w:sz w:val="18"/>
                <w:szCs w:val="18"/>
                <w:lang w:val="de-DE"/>
              </w:rPr>
            </w:pPr>
            <w:r w:rsidRPr="001E52CE">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467C3A4" w14:textId="77777777" w:rsidR="00962B5A" w:rsidRPr="001E52CE" w:rsidRDefault="00962B5A" w:rsidP="00F76AA9">
            <w:pPr>
              <w:tabs>
                <w:tab w:val="left" w:pos="385"/>
              </w:tabs>
              <w:spacing w:before="20" w:after="20"/>
              <w:jc w:val="left"/>
              <w:rPr>
                <w:rFonts w:cs="Arial"/>
                <w:color w:val="000000"/>
                <w:sz w:val="18"/>
                <w:szCs w:val="18"/>
                <w:lang w:val="de-DE"/>
              </w:rPr>
            </w:pPr>
          </w:p>
        </w:tc>
      </w:tr>
      <w:tr w:rsidR="00962B5A" w:rsidRPr="00DF7E6C" w14:paraId="29671616"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68E6960" w14:textId="77777777" w:rsidR="00962B5A" w:rsidRPr="008B37C7" w:rsidRDefault="00962B5A" w:rsidP="00F76AA9">
            <w:pPr>
              <w:spacing w:before="20" w:after="20"/>
              <w:rPr>
                <w:rFonts w:cs="Arial"/>
                <w:color w:val="000000"/>
                <w:sz w:val="18"/>
                <w:szCs w:val="18"/>
                <w:lang w:val="de-DE"/>
              </w:rPr>
            </w:pPr>
            <w:r w:rsidRPr="008B37C7">
              <w:rPr>
                <w:color w:val="000000"/>
                <w:sz w:val="18"/>
                <w:lang w:val="de-DE"/>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206D4445"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Name des Erhaltungszüchters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AE0CDFB"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obligatorisch, falls in eine Liste eingetragen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D4AD187"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ERFORDERLICH, wenn &lt;752&gt;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A54FC7C" w14:textId="77777777" w:rsidR="00962B5A" w:rsidRPr="008B37C7" w:rsidRDefault="00962B5A" w:rsidP="00F76AA9">
            <w:pPr>
              <w:tabs>
                <w:tab w:val="left" w:pos="385"/>
              </w:tabs>
              <w:spacing w:before="20" w:after="20"/>
              <w:jc w:val="left"/>
              <w:rPr>
                <w:rFonts w:cs="Arial"/>
                <w:color w:val="000000"/>
                <w:sz w:val="18"/>
                <w:szCs w:val="18"/>
                <w:lang w:val="de-DE"/>
              </w:rPr>
            </w:pPr>
            <w:r w:rsidRPr="008B37C7">
              <w:rPr>
                <w:color w:val="000000"/>
                <w:sz w:val="18"/>
                <w:lang w:val="de-DE"/>
              </w:rPr>
              <w:t>mit Angabe des Anfangs- und des Enddatums (der Erhaltungszüchter kann sich ändern)</w:t>
            </w:r>
          </w:p>
        </w:tc>
      </w:tr>
      <w:tr w:rsidR="00962B5A" w:rsidRPr="001E52CE" w14:paraId="3C7A96B3"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2C71957" w14:textId="77777777" w:rsidR="00962B5A" w:rsidRPr="001E52CE" w:rsidRDefault="00962B5A" w:rsidP="00F76AA9">
            <w:pPr>
              <w:spacing w:before="20" w:after="20"/>
              <w:rPr>
                <w:rFonts w:cs="Arial"/>
                <w:color w:val="000000"/>
                <w:sz w:val="18"/>
                <w:szCs w:val="18"/>
                <w:lang w:val="de-DE"/>
              </w:rPr>
            </w:pPr>
            <w:r w:rsidRPr="001E52CE">
              <w:rPr>
                <w:color w:val="000000"/>
                <w:sz w:val="18"/>
                <w:lang w:val="de-DE"/>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5B240628" w14:textId="77777777" w:rsidR="00962B5A" w:rsidRPr="001E52CE" w:rsidRDefault="00962B5A" w:rsidP="00F76AA9">
            <w:pPr>
              <w:spacing w:before="20" w:after="20"/>
              <w:jc w:val="left"/>
              <w:rPr>
                <w:rFonts w:cs="Arial"/>
                <w:color w:val="000000"/>
                <w:sz w:val="18"/>
                <w:szCs w:val="18"/>
                <w:lang w:val="de-DE"/>
              </w:rPr>
            </w:pPr>
            <w:r w:rsidRPr="001E52CE">
              <w:rPr>
                <w:color w:val="000000"/>
                <w:sz w:val="18"/>
                <w:lang w:val="de-DE"/>
              </w:rPr>
              <w:t>Name des Erhaltungszüchters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00D0793" w14:textId="77777777" w:rsidR="00962B5A" w:rsidRPr="001E52CE"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EE83A1D" w14:textId="77777777" w:rsidR="00962B5A" w:rsidRPr="001E52CE" w:rsidRDefault="00962B5A" w:rsidP="00F76AA9">
            <w:pPr>
              <w:tabs>
                <w:tab w:val="left" w:pos="386"/>
              </w:tabs>
              <w:spacing w:before="20" w:after="20"/>
              <w:jc w:val="left"/>
              <w:rPr>
                <w:rFonts w:cs="Arial"/>
                <w:color w:val="000000"/>
                <w:sz w:val="18"/>
                <w:szCs w:val="18"/>
                <w:lang w:val="de-DE"/>
              </w:rPr>
            </w:pPr>
            <w:r w:rsidRPr="001E52CE">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E0A4EB8" w14:textId="77777777" w:rsidR="00962B5A" w:rsidRPr="001E52CE" w:rsidRDefault="00962B5A" w:rsidP="00F76AA9">
            <w:pPr>
              <w:tabs>
                <w:tab w:val="left" w:pos="385"/>
              </w:tabs>
              <w:spacing w:before="20" w:after="20"/>
              <w:jc w:val="left"/>
              <w:rPr>
                <w:rFonts w:cs="Arial"/>
                <w:color w:val="000000"/>
                <w:sz w:val="18"/>
                <w:szCs w:val="18"/>
                <w:lang w:val="de-DE"/>
              </w:rPr>
            </w:pPr>
          </w:p>
        </w:tc>
      </w:tr>
      <w:tr w:rsidR="00962B5A" w:rsidRPr="00DF7E6C" w14:paraId="73A4A4E6"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5F43129" w14:textId="77777777" w:rsidR="00962B5A" w:rsidRPr="008B37C7" w:rsidRDefault="00962B5A" w:rsidP="00F76AA9">
            <w:pPr>
              <w:spacing w:before="20" w:after="20"/>
              <w:rPr>
                <w:rFonts w:cs="Arial"/>
                <w:b/>
                <w:bCs/>
                <w:color w:val="000000"/>
                <w:sz w:val="18"/>
                <w:szCs w:val="18"/>
                <w:lang w:val="de-DE"/>
              </w:rPr>
            </w:pPr>
            <w:r w:rsidRPr="008B37C7">
              <w:rPr>
                <w:b/>
                <w:color w:val="000000"/>
                <w:sz w:val="18"/>
                <w:lang w:val="de-DE"/>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440ECD75" w14:textId="77777777" w:rsidR="00962B5A" w:rsidRPr="008B37C7" w:rsidRDefault="00962B5A" w:rsidP="00F76AA9">
            <w:pPr>
              <w:spacing w:before="20" w:after="20"/>
              <w:jc w:val="left"/>
              <w:rPr>
                <w:rFonts w:cs="Arial"/>
                <w:b/>
                <w:bCs/>
                <w:color w:val="000000"/>
                <w:sz w:val="18"/>
                <w:szCs w:val="18"/>
                <w:lang w:val="de-DE"/>
              </w:rPr>
            </w:pPr>
            <w:r w:rsidRPr="008B37C7">
              <w:rPr>
                <w:b/>
                <w:color w:val="000000"/>
                <w:sz w:val="18"/>
                <w:lang w:val="de-DE"/>
              </w:rPr>
              <w:t>Name des Rechtsinhabers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6ECD9FF"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obligatorisch, falls geschützt</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773D2F8"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b/>
                <w:bCs/>
                <w:color w:val="000000"/>
                <w:sz w:val="18"/>
                <w:lang w:val="de-DE"/>
              </w:rPr>
              <w:t>obligatorisch, falls geschützt</w:t>
            </w:r>
            <w:r w:rsidRPr="008B37C7">
              <w:rPr>
                <w:color w:val="000000"/>
                <w:sz w:val="18"/>
                <w:lang w:val="de-DE"/>
              </w:rPr>
              <w:t xml:space="preserve"> oder ERFORDERLICH, wenn &lt;753&gt;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1714AF0" w14:textId="77777777" w:rsidR="00962B5A" w:rsidRPr="008B37C7" w:rsidRDefault="00962B5A" w:rsidP="00F76AA9">
            <w:pPr>
              <w:tabs>
                <w:tab w:val="left" w:pos="385"/>
              </w:tabs>
              <w:spacing w:before="20" w:after="20"/>
              <w:jc w:val="left"/>
              <w:rPr>
                <w:rFonts w:cs="Arial"/>
                <w:color w:val="000000"/>
                <w:sz w:val="18"/>
                <w:szCs w:val="18"/>
                <w:lang w:val="de-DE"/>
              </w:rPr>
            </w:pPr>
            <w:r w:rsidRPr="008B37C7">
              <w:rPr>
                <w:color w:val="000000"/>
                <w:sz w:val="18"/>
                <w:lang w:val="de-DE"/>
              </w:rPr>
              <w:t xml:space="preserve">i) </w:t>
            </w:r>
            <w:r w:rsidRPr="008B37C7">
              <w:rPr>
                <w:color w:val="000000"/>
                <w:sz w:val="18"/>
                <w:lang w:val="de-DE"/>
              </w:rPr>
              <w:tab/>
              <w:t>Bedeutung von „Rechtsinhaber" gemäß Dokument TGP/5 klären (vergleiche &lt;731&gt;)</w:t>
            </w:r>
          </w:p>
          <w:p w14:paraId="3254A0AC" w14:textId="77777777" w:rsidR="00962B5A" w:rsidRPr="001E52CE" w:rsidRDefault="00962B5A" w:rsidP="00F76AA9">
            <w:pPr>
              <w:tabs>
                <w:tab w:val="left" w:pos="385"/>
              </w:tabs>
              <w:spacing w:before="20" w:after="20"/>
              <w:jc w:val="left"/>
              <w:rPr>
                <w:rFonts w:cs="Arial"/>
                <w:color w:val="000000"/>
                <w:sz w:val="18"/>
                <w:szCs w:val="18"/>
                <w:lang w:val="de-DE"/>
              </w:rPr>
            </w:pPr>
            <w:r w:rsidRPr="001E52CE">
              <w:rPr>
                <w:color w:val="000000"/>
                <w:sz w:val="18"/>
                <w:lang w:val="de-DE"/>
              </w:rPr>
              <w:t xml:space="preserve">ii) </w:t>
            </w:r>
            <w:r w:rsidRPr="001E52CE">
              <w:rPr>
                <w:color w:val="000000"/>
                <w:sz w:val="18"/>
                <w:lang w:val="de-DE"/>
              </w:rPr>
              <w:tab/>
              <w:t>mit Angabe des Anfangs- und des Enddatums (der Rechtsinhaber kann sich ändern)</w:t>
            </w:r>
          </w:p>
        </w:tc>
      </w:tr>
      <w:tr w:rsidR="00962B5A" w:rsidRPr="001E52CE" w14:paraId="6AA467B0"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E56F129" w14:textId="77777777" w:rsidR="00962B5A" w:rsidRPr="001E52CE" w:rsidRDefault="00962B5A" w:rsidP="00F76AA9">
            <w:pPr>
              <w:spacing w:before="20" w:after="20"/>
              <w:rPr>
                <w:rFonts w:cs="Arial"/>
                <w:bCs/>
                <w:color w:val="000000"/>
                <w:sz w:val="18"/>
                <w:szCs w:val="18"/>
                <w:lang w:val="de-DE"/>
              </w:rPr>
            </w:pPr>
            <w:r w:rsidRPr="001E52CE">
              <w:rPr>
                <w:color w:val="000000"/>
                <w:sz w:val="18"/>
                <w:lang w:val="de-DE"/>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386E710F" w14:textId="77777777" w:rsidR="00962B5A" w:rsidRPr="001E52CE" w:rsidRDefault="00962B5A" w:rsidP="00F76AA9">
            <w:pPr>
              <w:spacing w:before="20" w:after="20"/>
              <w:jc w:val="left"/>
              <w:rPr>
                <w:rFonts w:cs="Arial"/>
                <w:bCs/>
                <w:color w:val="000000"/>
                <w:sz w:val="18"/>
                <w:szCs w:val="18"/>
                <w:lang w:val="de-DE"/>
              </w:rPr>
            </w:pPr>
            <w:r w:rsidRPr="001E52CE">
              <w:rPr>
                <w:color w:val="000000"/>
                <w:sz w:val="18"/>
                <w:lang w:val="de-DE"/>
              </w:rPr>
              <w:t>Name des Rechtsinhabers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FF42B01" w14:textId="77777777" w:rsidR="00962B5A" w:rsidRPr="001E52CE"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522CE68" w14:textId="77777777" w:rsidR="00962B5A" w:rsidRPr="001E52CE" w:rsidRDefault="00962B5A" w:rsidP="00F76AA9">
            <w:pPr>
              <w:tabs>
                <w:tab w:val="left" w:pos="386"/>
              </w:tabs>
              <w:spacing w:before="20" w:after="20"/>
              <w:jc w:val="left"/>
              <w:rPr>
                <w:rFonts w:cs="Arial"/>
                <w:color w:val="000000"/>
                <w:sz w:val="18"/>
                <w:szCs w:val="18"/>
                <w:lang w:val="de-DE"/>
              </w:rPr>
            </w:pPr>
            <w:r w:rsidRPr="001E52CE">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3554E2A" w14:textId="77777777" w:rsidR="00962B5A" w:rsidRPr="001E52CE" w:rsidRDefault="00962B5A" w:rsidP="00F76AA9">
            <w:pPr>
              <w:tabs>
                <w:tab w:val="left" w:pos="385"/>
              </w:tabs>
              <w:spacing w:before="20" w:after="20"/>
              <w:jc w:val="left"/>
              <w:rPr>
                <w:rFonts w:cs="Arial"/>
                <w:color w:val="000000"/>
                <w:sz w:val="18"/>
                <w:szCs w:val="18"/>
                <w:lang w:val="de-DE"/>
              </w:rPr>
            </w:pPr>
          </w:p>
        </w:tc>
      </w:tr>
      <w:tr w:rsidR="00962B5A" w:rsidRPr="001E52CE" w14:paraId="13E5F5C3"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02AC140" w14:textId="77777777" w:rsidR="00962B5A" w:rsidRPr="008B37C7" w:rsidRDefault="00962B5A" w:rsidP="00F76AA9">
            <w:pPr>
              <w:spacing w:before="20" w:after="20"/>
              <w:rPr>
                <w:rFonts w:cs="Arial"/>
                <w:color w:val="000000"/>
                <w:sz w:val="18"/>
                <w:szCs w:val="18"/>
                <w:lang w:val="de-DE"/>
              </w:rPr>
            </w:pPr>
            <w:r w:rsidRPr="008B37C7">
              <w:rPr>
                <w:color w:val="000000"/>
                <w:sz w:val="18"/>
                <w:lang w:val="de-DE"/>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434486D2"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Art anderer Parteien, gefolgt von Namen der Partei</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6F50693" w14:textId="77777777" w:rsidR="00962B5A" w:rsidRPr="008B37C7"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109F889"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ERFORDERLICH, wenn &lt;760&gt;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6909662" w14:textId="77777777" w:rsidR="00962B5A" w:rsidRPr="008B37C7" w:rsidRDefault="00962B5A" w:rsidP="00F76AA9">
            <w:pPr>
              <w:tabs>
                <w:tab w:val="left" w:pos="385"/>
              </w:tabs>
              <w:spacing w:before="20" w:after="20"/>
              <w:jc w:val="left"/>
              <w:rPr>
                <w:rFonts w:cs="Arial"/>
                <w:color w:val="000000"/>
                <w:sz w:val="18"/>
                <w:szCs w:val="18"/>
                <w:lang w:val="de-DE"/>
              </w:rPr>
            </w:pPr>
          </w:p>
        </w:tc>
      </w:tr>
      <w:tr w:rsidR="00962B5A" w:rsidRPr="001E52CE" w14:paraId="7935BE07" w14:textId="77777777" w:rsidTr="00AB71B3">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7811EA3E" w14:textId="77777777" w:rsidR="00962B5A" w:rsidRPr="008B37C7" w:rsidRDefault="00962B5A" w:rsidP="00F76AA9">
            <w:pPr>
              <w:spacing w:before="20" w:after="20"/>
              <w:rPr>
                <w:rFonts w:cs="Arial"/>
                <w:color w:val="000000"/>
                <w:sz w:val="18"/>
                <w:szCs w:val="18"/>
                <w:lang w:val="de-DE"/>
              </w:rPr>
            </w:pPr>
            <w:r w:rsidRPr="008B37C7">
              <w:rPr>
                <w:color w:val="000000"/>
                <w:sz w:val="18"/>
                <w:lang w:val="de-DE"/>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14:paraId="62543366"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Art anderer Parteien, gefolgt von Namen der Partei in nichtrömischem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5344B907" w14:textId="77777777" w:rsidR="00962B5A" w:rsidRPr="008B37C7"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0E7B2DBE"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26969097" w14:textId="77777777" w:rsidR="00962B5A" w:rsidRPr="008B37C7" w:rsidRDefault="00962B5A" w:rsidP="00F76AA9">
            <w:pPr>
              <w:tabs>
                <w:tab w:val="left" w:pos="385"/>
              </w:tabs>
              <w:spacing w:before="20" w:after="20"/>
              <w:jc w:val="left"/>
              <w:rPr>
                <w:rFonts w:cs="Arial"/>
                <w:color w:val="000000"/>
                <w:sz w:val="18"/>
                <w:szCs w:val="18"/>
                <w:lang w:val="de-DE"/>
              </w:rPr>
            </w:pPr>
          </w:p>
        </w:tc>
      </w:tr>
      <w:tr w:rsidR="00962B5A" w:rsidRPr="00DF7E6C" w14:paraId="20083530" w14:textId="77777777" w:rsidTr="00AB71B3">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14:paraId="1DC81632" w14:textId="77777777" w:rsidR="00962B5A" w:rsidRPr="008B37C7" w:rsidRDefault="00962B5A" w:rsidP="00F76AA9">
            <w:pPr>
              <w:tabs>
                <w:tab w:val="left" w:pos="386"/>
              </w:tabs>
              <w:spacing w:before="60" w:after="60"/>
              <w:jc w:val="left"/>
              <w:rPr>
                <w:rFonts w:cs="Arial"/>
                <w:color w:val="000000"/>
                <w:sz w:val="18"/>
                <w:szCs w:val="18"/>
                <w:lang w:val="de-DE"/>
              </w:rPr>
            </w:pPr>
            <w:r w:rsidRPr="008B37C7">
              <w:rPr>
                <w:color w:val="000000"/>
                <w:sz w:val="18"/>
                <w:lang w:val="de-DE"/>
              </w:rPr>
              <w:t>INFORMATIONEN ÜBER GLEICHWERTIGE ANTRÄGE IN ANDEREN HOHEITSGEBIETEN</w:t>
            </w:r>
          </w:p>
        </w:tc>
      </w:tr>
      <w:tr w:rsidR="00962B5A" w:rsidRPr="001E52CE" w14:paraId="7AD4CAE4"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5ED2EAD" w14:textId="77777777" w:rsidR="00962B5A" w:rsidRPr="001E52CE" w:rsidRDefault="00962B5A" w:rsidP="00F76AA9">
            <w:pPr>
              <w:spacing w:before="20" w:after="20"/>
              <w:rPr>
                <w:rFonts w:cs="Arial"/>
                <w:color w:val="000000"/>
                <w:sz w:val="18"/>
                <w:szCs w:val="18"/>
                <w:lang w:val="de-DE"/>
              </w:rPr>
            </w:pPr>
            <w:r w:rsidRPr="001E52CE">
              <w:rPr>
                <w:color w:val="000000"/>
                <w:sz w:val="18"/>
                <w:lang w:val="de-DE"/>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2724A48D" w14:textId="77777777" w:rsidR="00962B5A" w:rsidRPr="001E52CE" w:rsidRDefault="00962B5A" w:rsidP="00F76AA9">
            <w:pPr>
              <w:spacing w:before="20" w:after="20"/>
              <w:jc w:val="left"/>
              <w:rPr>
                <w:rFonts w:cs="Arial"/>
                <w:color w:val="000000"/>
                <w:sz w:val="18"/>
                <w:szCs w:val="18"/>
                <w:lang w:val="de-DE"/>
              </w:rPr>
            </w:pPr>
            <w:r w:rsidRPr="001E52CE">
              <w:rPr>
                <w:color w:val="000000"/>
                <w:sz w:val="18"/>
                <w:lang w:val="de-DE"/>
              </w:rPr>
              <w:t>Vorrangiger Antrag: Land, Datensatztyp, Antragstag, Antragsnummer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3C978E2" w14:textId="77777777" w:rsidR="00962B5A" w:rsidRPr="001E52CE"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32F50C4" w14:textId="77777777" w:rsidR="00962B5A" w:rsidRPr="001E52CE" w:rsidRDefault="00962B5A" w:rsidP="00F76AA9">
            <w:pPr>
              <w:tabs>
                <w:tab w:val="left" w:pos="386"/>
              </w:tabs>
              <w:spacing w:before="20" w:after="20"/>
              <w:jc w:val="left"/>
              <w:rPr>
                <w:rFonts w:cs="Arial"/>
                <w:color w:val="000000"/>
                <w:sz w:val="18"/>
                <w:szCs w:val="18"/>
                <w:lang w:val="de-DE"/>
              </w:rPr>
            </w:pPr>
            <w:r w:rsidRPr="001E52CE">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93A40CC" w14:textId="77777777" w:rsidR="00962B5A" w:rsidRPr="001E52CE" w:rsidRDefault="00962B5A" w:rsidP="00F76AA9">
            <w:pPr>
              <w:tabs>
                <w:tab w:val="left" w:pos="385"/>
              </w:tabs>
              <w:spacing w:before="20" w:after="20"/>
              <w:jc w:val="left"/>
              <w:rPr>
                <w:rFonts w:cs="Arial"/>
                <w:color w:val="000000"/>
                <w:sz w:val="18"/>
                <w:szCs w:val="18"/>
                <w:lang w:val="de-DE"/>
              </w:rPr>
            </w:pPr>
          </w:p>
        </w:tc>
      </w:tr>
      <w:tr w:rsidR="00962B5A" w:rsidRPr="001E52CE" w14:paraId="06A71A24"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0788589" w14:textId="77777777" w:rsidR="00962B5A" w:rsidRPr="008B37C7" w:rsidRDefault="00962B5A" w:rsidP="00F76AA9">
            <w:pPr>
              <w:spacing w:before="20" w:after="20"/>
              <w:rPr>
                <w:rFonts w:cs="Arial"/>
                <w:color w:val="000000"/>
                <w:sz w:val="18"/>
                <w:szCs w:val="18"/>
                <w:lang w:val="de-DE"/>
              </w:rPr>
            </w:pPr>
            <w:r w:rsidRPr="008B37C7">
              <w:rPr>
                <w:color w:val="000000"/>
                <w:sz w:val="18"/>
                <w:lang w:val="de-DE"/>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3AA7CA96"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Sonstige Anträge: Land, Datensatztyp, Antragstag, Antragsnummer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213B2F5" w14:textId="77777777" w:rsidR="00962B5A" w:rsidRPr="008B37C7"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8C5525F"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4F5D989" w14:textId="77777777" w:rsidR="00962B5A" w:rsidRPr="008B37C7" w:rsidRDefault="00962B5A" w:rsidP="00F76AA9">
            <w:pPr>
              <w:tabs>
                <w:tab w:val="left" w:pos="385"/>
              </w:tabs>
              <w:spacing w:before="20" w:after="20"/>
              <w:jc w:val="left"/>
              <w:rPr>
                <w:rFonts w:cs="Arial"/>
                <w:color w:val="000000"/>
                <w:sz w:val="18"/>
                <w:szCs w:val="18"/>
                <w:lang w:val="de-DE"/>
              </w:rPr>
            </w:pPr>
          </w:p>
        </w:tc>
      </w:tr>
      <w:tr w:rsidR="00962B5A" w:rsidRPr="001E52CE" w14:paraId="2AC4E2CA"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3A2817D" w14:textId="77777777" w:rsidR="00962B5A" w:rsidRPr="008B37C7" w:rsidRDefault="00962B5A" w:rsidP="00F76AA9">
            <w:pPr>
              <w:spacing w:before="20" w:after="20"/>
              <w:rPr>
                <w:rFonts w:cs="Arial"/>
                <w:color w:val="000000"/>
                <w:sz w:val="18"/>
                <w:szCs w:val="18"/>
                <w:lang w:val="de-DE"/>
              </w:rPr>
            </w:pPr>
            <w:r w:rsidRPr="008B37C7">
              <w:rPr>
                <w:color w:val="000000"/>
                <w:sz w:val="18"/>
                <w:lang w:val="de-DE"/>
              </w:rPr>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1C4E6AE9"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Andere Länder: Land, Bezeichnung, falls von der Bezeichnung im Antrag verschieden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7681F99" w14:textId="77777777" w:rsidR="00962B5A" w:rsidRPr="008B37C7"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090F7D7"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480C2FB" w14:textId="77777777" w:rsidR="00962B5A" w:rsidRPr="008B37C7" w:rsidRDefault="00962B5A" w:rsidP="00F76AA9">
            <w:pPr>
              <w:tabs>
                <w:tab w:val="left" w:pos="385"/>
              </w:tabs>
              <w:spacing w:before="20" w:after="20"/>
              <w:jc w:val="left"/>
              <w:rPr>
                <w:rFonts w:cs="Arial"/>
                <w:color w:val="000000"/>
                <w:sz w:val="18"/>
                <w:szCs w:val="18"/>
                <w:lang w:val="de-DE"/>
              </w:rPr>
            </w:pPr>
          </w:p>
        </w:tc>
      </w:tr>
      <w:tr w:rsidR="00962B5A" w:rsidRPr="001E52CE" w14:paraId="039AD47D"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E3D1D6C" w14:textId="77777777" w:rsidR="00962B5A" w:rsidRPr="008B37C7" w:rsidRDefault="00962B5A" w:rsidP="00F76AA9">
            <w:pPr>
              <w:spacing w:before="20" w:after="20"/>
              <w:rPr>
                <w:rFonts w:cs="Arial"/>
                <w:color w:val="000000"/>
                <w:sz w:val="18"/>
                <w:szCs w:val="18"/>
                <w:lang w:val="de-DE"/>
              </w:rPr>
            </w:pPr>
            <w:r w:rsidRPr="008B37C7">
              <w:rPr>
                <w:color w:val="000000"/>
                <w:sz w:val="18"/>
                <w:lang w:val="de-DE"/>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699EA15B"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Andere Länder: Land, Anmeldebezeichnung, falls von der Anmeldebezeichnung im Antrag verschieden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5A11A32" w14:textId="77777777" w:rsidR="00962B5A" w:rsidRPr="008B37C7"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076A67E"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2DDD756" w14:textId="77777777" w:rsidR="00962B5A" w:rsidRPr="008B37C7" w:rsidRDefault="00962B5A" w:rsidP="00F76AA9">
            <w:pPr>
              <w:tabs>
                <w:tab w:val="left" w:pos="385"/>
              </w:tabs>
              <w:spacing w:before="20" w:after="20"/>
              <w:jc w:val="left"/>
              <w:rPr>
                <w:rFonts w:cs="Arial"/>
                <w:color w:val="000000"/>
                <w:sz w:val="18"/>
                <w:szCs w:val="18"/>
                <w:lang w:val="de-DE"/>
              </w:rPr>
            </w:pPr>
          </w:p>
        </w:tc>
      </w:tr>
      <w:tr w:rsidR="00962B5A" w:rsidRPr="001E52CE" w14:paraId="40882AE2"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5D67582" w14:textId="77777777" w:rsidR="00962B5A" w:rsidRPr="008B37C7" w:rsidRDefault="00962B5A" w:rsidP="00F76AA9">
            <w:pPr>
              <w:spacing w:before="20" w:after="20"/>
              <w:rPr>
                <w:rFonts w:cs="Arial"/>
                <w:color w:val="000000"/>
                <w:sz w:val="18"/>
                <w:szCs w:val="18"/>
                <w:lang w:val="de-DE"/>
              </w:rPr>
            </w:pPr>
            <w:r w:rsidRPr="008B37C7">
              <w:rPr>
                <w:color w:val="000000"/>
                <w:sz w:val="18"/>
                <w:lang w:val="de-DE"/>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6F66DB9C"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Sonstige einschlägige Informationen (phrasenindexiert)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803D247" w14:textId="77777777" w:rsidR="00962B5A" w:rsidRPr="008B37C7"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5A6C922"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ERFORDERLICH, wenn &lt;950&gt;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A7EE0F1" w14:textId="77777777" w:rsidR="00962B5A" w:rsidRPr="008B37C7" w:rsidRDefault="00962B5A" w:rsidP="00F76AA9">
            <w:pPr>
              <w:tabs>
                <w:tab w:val="left" w:pos="385"/>
              </w:tabs>
              <w:spacing w:before="20" w:after="20"/>
              <w:jc w:val="left"/>
              <w:rPr>
                <w:rFonts w:cs="Arial"/>
                <w:color w:val="000000"/>
                <w:sz w:val="18"/>
                <w:szCs w:val="18"/>
                <w:lang w:val="de-DE"/>
              </w:rPr>
            </w:pPr>
          </w:p>
        </w:tc>
      </w:tr>
      <w:tr w:rsidR="00962B5A" w:rsidRPr="001E52CE" w14:paraId="1D7FC90C"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2E1F5D2" w14:textId="77777777" w:rsidR="00962B5A" w:rsidRPr="008B37C7" w:rsidRDefault="00962B5A" w:rsidP="00F76AA9">
            <w:pPr>
              <w:spacing w:before="20" w:after="20"/>
              <w:rPr>
                <w:rFonts w:cs="Arial"/>
                <w:color w:val="000000"/>
                <w:sz w:val="18"/>
                <w:szCs w:val="18"/>
                <w:lang w:val="de-DE"/>
              </w:rPr>
            </w:pPr>
            <w:r w:rsidRPr="008B37C7">
              <w:rPr>
                <w:color w:val="000000"/>
                <w:sz w:val="18"/>
                <w:lang w:val="de-DE"/>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71A04B55"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Sonstige einschlägige Informationen (phrasenindexiert)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D76F81D" w14:textId="77777777" w:rsidR="00962B5A" w:rsidRPr="008B37C7"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8192A4E"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878CDE7" w14:textId="77777777" w:rsidR="00962B5A" w:rsidRPr="008B37C7" w:rsidRDefault="00962B5A" w:rsidP="00F76AA9">
            <w:pPr>
              <w:tabs>
                <w:tab w:val="left" w:pos="385"/>
              </w:tabs>
              <w:spacing w:before="20" w:after="20"/>
              <w:jc w:val="left"/>
              <w:rPr>
                <w:rFonts w:cs="Arial"/>
                <w:color w:val="000000"/>
                <w:sz w:val="18"/>
                <w:szCs w:val="18"/>
                <w:lang w:val="de-DE"/>
              </w:rPr>
            </w:pPr>
          </w:p>
        </w:tc>
      </w:tr>
      <w:tr w:rsidR="00962B5A" w:rsidRPr="001E52CE" w14:paraId="5CC35954"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A5098B1" w14:textId="77777777" w:rsidR="00962B5A" w:rsidRPr="008B37C7" w:rsidRDefault="00962B5A" w:rsidP="00F76AA9">
            <w:pPr>
              <w:spacing w:before="20" w:after="20"/>
              <w:rPr>
                <w:rFonts w:cs="Arial"/>
                <w:color w:val="000000"/>
                <w:sz w:val="18"/>
                <w:szCs w:val="18"/>
                <w:lang w:val="de-DE"/>
              </w:rPr>
            </w:pPr>
            <w:r w:rsidRPr="008B37C7">
              <w:rPr>
                <w:color w:val="000000"/>
                <w:sz w:val="18"/>
                <w:lang w:val="de-DE"/>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10FE9525"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Bemerkungen (wortindexiert)</w:t>
            </w:r>
            <w:r w:rsidRPr="008B37C7">
              <w:rPr>
                <w:color w:val="000000"/>
                <w:sz w:val="18"/>
                <w:lang w:val="de-DE"/>
              </w:rPr>
              <w:cr/>
            </w:r>
            <w:r w:rsidRPr="008B37C7">
              <w:rPr>
                <w:color w:val="000000"/>
                <w:sz w:val="18"/>
                <w:lang w:val="de-DE"/>
              </w:rPr>
              <w:br/>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1AC73ED" w14:textId="77777777" w:rsidR="00962B5A" w:rsidRPr="008B37C7"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FE80984"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ERFORDERLICH, wenn &lt;960&gt;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3C1CC32" w14:textId="77777777" w:rsidR="00962B5A" w:rsidRPr="008B37C7" w:rsidRDefault="00962B5A" w:rsidP="00F76AA9">
            <w:pPr>
              <w:tabs>
                <w:tab w:val="left" w:pos="385"/>
              </w:tabs>
              <w:spacing w:before="20" w:after="20"/>
              <w:jc w:val="left"/>
              <w:rPr>
                <w:rFonts w:cs="Arial"/>
                <w:color w:val="000000"/>
                <w:sz w:val="18"/>
                <w:szCs w:val="18"/>
                <w:lang w:val="de-DE"/>
              </w:rPr>
            </w:pPr>
          </w:p>
        </w:tc>
      </w:tr>
      <w:tr w:rsidR="00962B5A" w:rsidRPr="001E52CE" w14:paraId="70D6D539"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D46CA13" w14:textId="77777777" w:rsidR="00962B5A" w:rsidRPr="008B37C7" w:rsidRDefault="00962B5A" w:rsidP="00F76AA9">
            <w:pPr>
              <w:spacing w:before="20" w:after="20"/>
              <w:rPr>
                <w:rFonts w:cs="Arial"/>
                <w:color w:val="000000"/>
                <w:sz w:val="18"/>
                <w:szCs w:val="18"/>
                <w:lang w:val="de-DE"/>
              </w:rPr>
            </w:pPr>
            <w:r w:rsidRPr="008B37C7">
              <w:rPr>
                <w:color w:val="000000"/>
                <w:sz w:val="18"/>
                <w:lang w:val="de-DE"/>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2FC31D96"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Bemerkungen (wortindexiert)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B52BF6F" w14:textId="77777777" w:rsidR="00962B5A" w:rsidRPr="008B37C7"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086EB26"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2F80B50" w14:textId="77777777" w:rsidR="00962B5A" w:rsidRPr="008B37C7" w:rsidRDefault="00962B5A" w:rsidP="00F76AA9">
            <w:pPr>
              <w:tabs>
                <w:tab w:val="left" w:pos="385"/>
              </w:tabs>
              <w:spacing w:before="20" w:after="20"/>
              <w:jc w:val="left"/>
              <w:rPr>
                <w:rFonts w:cs="Arial"/>
                <w:color w:val="000000"/>
                <w:sz w:val="18"/>
                <w:szCs w:val="18"/>
                <w:lang w:val="de-DE"/>
              </w:rPr>
            </w:pPr>
          </w:p>
        </w:tc>
      </w:tr>
      <w:tr w:rsidR="00962B5A" w:rsidRPr="00DF7E6C" w14:paraId="29CF01FD"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CBEF1C0" w14:textId="77777777" w:rsidR="00962B5A" w:rsidRPr="008B37C7" w:rsidRDefault="00962B5A" w:rsidP="00F76AA9">
            <w:pPr>
              <w:spacing w:before="20" w:after="20"/>
              <w:rPr>
                <w:rFonts w:cs="Arial"/>
                <w:color w:val="000000"/>
                <w:sz w:val="18"/>
                <w:szCs w:val="18"/>
                <w:lang w:val="de-DE"/>
              </w:rPr>
            </w:pPr>
            <w:r w:rsidRPr="008B37C7">
              <w:rPr>
                <w:color w:val="000000"/>
                <w:sz w:val="18"/>
                <w:lang w:val="de-DE"/>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444D514E"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Datenfelder von Informationselementen, die sich seit der letzten Übertragung geändert haben (fakultativ)</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534EF3B" w14:textId="77777777" w:rsidR="00962B5A" w:rsidRPr="008B37C7"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ACA98BB"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951FFCD" w14:textId="77777777" w:rsidR="00962B5A" w:rsidRPr="008B37C7" w:rsidRDefault="00962B5A" w:rsidP="00F76AA9">
            <w:pPr>
              <w:tabs>
                <w:tab w:val="left" w:pos="385"/>
              </w:tabs>
              <w:spacing w:before="20" w:after="20"/>
              <w:jc w:val="left"/>
              <w:rPr>
                <w:rFonts w:cs="Arial"/>
                <w:color w:val="000000"/>
                <w:sz w:val="18"/>
                <w:szCs w:val="18"/>
                <w:lang w:val="de-DE"/>
              </w:rPr>
            </w:pPr>
            <w:r w:rsidRPr="008B37C7">
              <w:rPr>
                <w:color w:val="000000"/>
                <w:sz w:val="18"/>
                <w:lang w:val="de-DE"/>
              </w:rPr>
              <w:t>Option für automatische Generierung entwickeln (vergleiche 2.1.1. a))</w:t>
            </w:r>
          </w:p>
        </w:tc>
      </w:tr>
      <w:tr w:rsidR="00962B5A" w:rsidRPr="001E52CE" w14:paraId="386A1341" w14:textId="77777777" w:rsidTr="00AB71B3">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58C0854" w14:textId="77777777" w:rsidR="00962B5A" w:rsidRPr="001E52CE" w:rsidRDefault="00962B5A" w:rsidP="00F76AA9">
            <w:pPr>
              <w:spacing w:before="20" w:after="20"/>
              <w:rPr>
                <w:rFonts w:cs="Arial"/>
                <w:color w:val="000000"/>
                <w:sz w:val="18"/>
                <w:szCs w:val="18"/>
                <w:lang w:val="de-DE"/>
              </w:rPr>
            </w:pPr>
            <w:r w:rsidRPr="001E52CE">
              <w:rPr>
                <w:color w:val="000000"/>
                <w:sz w:val="18"/>
                <w:lang w:val="de-DE"/>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14:paraId="68282194" w14:textId="77777777" w:rsidR="00962B5A" w:rsidRPr="001E52CE" w:rsidRDefault="00962B5A" w:rsidP="00F76AA9">
            <w:pPr>
              <w:spacing w:before="20" w:after="20"/>
              <w:jc w:val="left"/>
              <w:rPr>
                <w:rFonts w:cs="Arial"/>
                <w:color w:val="000000"/>
                <w:sz w:val="18"/>
                <w:szCs w:val="18"/>
                <w:lang w:val="de-DE"/>
              </w:rPr>
            </w:pPr>
            <w:r w:rsidRPr="001E52CE">
              <w:rPr>
                <w:color w:val="000000"/>
                <w:sz w:val="18"/>
                <w:lang w:val="de-DE"/>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69D2B44" w14:textId="77777777" w:rsidR="00962B5A" w:rsidRPr="001E52CE"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691BD40" w14:textId="77777777" w:rsidR="00962B5A" w:rsidRPr="001E52CE" w:rsidRDefault="00962B5A" w:rsidP="00F76AA9">
            <w:pPr>
              <w:tabs>
                <w:tab w:val="left" w:pos="386"/>
              </w:tabs>
              <w:spacing w:before="20" w:after="20"/>
              <w:jc w:val="left"/>
              <w:rPr>
                <w:rFonts w:cs="Arial"/>
                <w:color w:val="000000"/>
                <w:sz w:val="18"/>
                <w:szCs w:val="18"/>
                <w:lang w:val="de-DE"/>
              </w:rPr>
            </w:pPr>
            <w:r w:rsidRPr="001E52CE">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0160929" w14:textId="77777777" w:rsidR="00962B5A" w:rsidRPr="001E52CE" w:rsidRDefault="00962B5A" w:rsidP="00F76AA9">
            <w:pPr>
              <w:tabs>
                <w:tab w:val="left" w:pos="385"/>
              </w:tabs>
              <w:spacing w:before="20" w:after="20"/>
              <w:jc w:val="left"/>
              <w:rPr>
                <w:rFonts w:cs="Arial"/>
                <w:color w:val="000000"/>
                <w:sz w:val="18"/>
                <w:szCs w:val="18"/>
                <w:lang w:val="de-DE"/>
              </w:rPr>
            </w:pPr>
          </w:p>
        </w:tc>
      </w:tr>
      <w:tr w:rsidR="00962B5A" w:rsidRPr="00DF7E6C" w14:paraId="7476C1AB" w14:textId="77777777" w:rsidTr="00AB71B3">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587188A4" w14:textId="77777777" w:rsidR="00962B5A" w:rsidRPr="008B37C7" w:rsidRDefault="00962B5A" w:rsidP="00F76AA9">
            <w:pPr>
              <w:spacing w:before="20" w:after="20"/>
              <w:rPr>
                <w:rFonts w:cs="Arial"/>
                <w:color w:val="000000"/>
                <w:sz w:val="18"/>
                <w:szCs w:val="18"/>
                <w:lang w:val="de-DE"/>
              </w:rPr>
            </w:pPr>
            <w:r w:rsidRPr="008B37C7">
              <w:rPr>
                <w:color w:val="000000"/>
                <w:sz w:val="18"/>
                <w:lang w:val="de-DE"/>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14:paraId="1693E83A"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Bildkennzeichen (für künftige Anwendung)</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4340BB15" w14:textId="77777777" w:rsidR="00962B5A" w:rsidRPr="008B37C7"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2555EF72"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6CCFA195" w14:textId="77777777" w:rsidR="00962B5A" w:rsidRPr="008B37C7" w:rsidRDefault="00962B5A" w:rsidP="00F76AA9">
            <w:pPr>
              <w:tabs>
                <w:tab w:val="left" w:pos="385"/>
              </w:tabs>
              <w:spacing w:before="20" w:after="20"/>
              <w:jc w:val="left"/>
              <w:rPr>
                <w:rFonts w:cs="Arial"/>
                <w:color w:val="000000"/>
                <w:sz w:val="18"/>
                <w:szCs w:val="18"/>
                <w:lang w:val="de-DE"/>
              </w:rPr>
            </w:pPr>
            <w:r w:rsidRPr="008B37C7">
              <w:rPr>
                <w:color w:val="000000"/>
                <w:sz w:val="18"/>
                <w:lang w:val="de-DE"/>
              </w:rPr>
              <w:t>Möglichkeit schaffen, einen Hyperlink zum Bild anzugeben (z. B. Website einer Behörde)</w:t>
            </w:r>
          </w:p>
        </w:tc>
      </w:tr>
      <w:tr w:rsidR="00962B5A" w:rsidRPr="001E52CE" w14:paraId="4F9EF647" w14:textId="77777777" w:rsidTr="00AB71B3">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14:paraId="0AF0B6BC" w14:textId="77777777" w:rsidR="00962B5A" w:rsidRPr="001E52CE" w:rsidRDefault="00962B5A" w:rsidP="00F76AA9">
            <w:pPr>
              <w:keepNext/>
              <w:tabs>
                <w:tab w:val="left" w:pos="386"/>
              </w:tabs>
              <w:spacing w:before="60" w:after="60"/>
              <w:jc w:val="left"/>
              <w:rPr>
                <w:rFonts w:cs="Arial"/>
                <w:color w:val="000000"/>
                <w:sz w:val="18"/>
                <w:szCs w:val="18"/>
                <w:lang w:val="de-DE"/>
              </w:rPr>
            </w:pPr>
            <w:r w:rsidRPr="001E52CE">
              <w:rPr>
                <w:color w:val="000000"/>
                <w:sz w:val="18"/>
                <w:lang w:val="de-DE"/>
              </w:rPr>
              <w:t>ZEITPUNKTE DES GEWERBSMÄSSIGEN VERTRIEBS</w:t>
            </w:r>
          </w:p>
        </w:tc>
      </w:tr>
      <w:tr w:rsidR="00962B5A" w:rsidRPr="001E52CE" w14:paraId="2C4DA123" w14:textId="77777777" w:rsidTr="00AB71B3">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205AF389" w14:textId="77777777" w:rsidR="00962B5A" w:rsidRPr="008B37C7" w:rsidRDefault="00962B5A" w:rsidP="00F76AA9">
            <w:pPr>
              <w:spacing w:before="20" w:after="20"/>
              <w:rPr>
                <w:rFonts w:cs="Arial"/>
                <w:color w:val="000000"/>
                <w:sz w:val="18"/>
                <w:szCs w:val="18"/>
                <w:lang w:val="de-DE"/>
              </w:rPr>
            </w:pPr>
            <w:r w:rsidRPr="008B37C7">
              <w:rPr>
                <w:color w:val="000000"/>
                <w:sz w:val="18"/>
                <w:lang w:val="de-DE"/>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14:paraId="5C3D9E44" w14:textId="77777777" w:rsidR="00962B5A" w:rsidRPr="008B37C7" w:rsidRDefault="00962B5A" w:rsidP="00F76AA9">
            <w:pPr>
              <w:spacing w:before="20" w:after="20"/>
              <w:jc w:val="left"/>
              <w:rPr>
                <w:rFonts w:cs="Arial"/>
                <w:color w:val="000000"/>
                <w:sz w:val="18"/>
                <w:szCs w:val="18"/>
                <w:lang w:val="de-DE"/>
              </w:rPr>
            </w:pPr>
            <w:r w:rsidRPr="008B37C7">
              <w:rPr>
                <w:color w:val="000000"/>
                <w:sz w:val="18"/>
                <w:lang w:val="de-DE"/>
              </w:rPr>
              <w:t>Zeitpunkte des gewerbsmäßigen Vertriebs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42ED8C31" w14:textId="77777777" w:rsidR="00962B5A" w:rsidRPr="008B37C7" w:rsidRDefault="00962B5A" w:rsidP="00F76AA9">
            <w:pPr>
              <w:spacing w:before="20" w:after="20"/>
              <w:jc w:val="left"/>
              <w:rPr>
                <w:rFonts w:cs="Arial"/>
                <w:color w:val="000000"/>
                <w:sz w:val="18"/>
                <w:szCs w:val="18"/>
                <w:lang w:val="de-DE"/>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2E280673" w14:textId="77777777" w:rsidR="00962B5A" w:rsidRPr="008B37C7" w:rsidRDefault="00962B5A" w:rsidP="00F76AA9">
            <w:pPr>
              <w:tabs>
                <w:tab w:val="left" w:pos="386"/>
              </w:tabs>
              <w:spacing w:before="20" w:after="20"/>
              <w:jc w:val="left"/>
              <w:rPr>
                <w:rFonts w:cs="Arial"/>
                <w:color w:val="000000"/>
                <w:sz w:val="18"/>
                <w:szCs w:val="18"/>
                <w:lang w:val="de-DE"/>
              </w:rPr>
            </w:pPr>
            <w:r w:rsidRPr="008B37C7">
              <w:rPr>
                <w:color w:val="000000"/>
                <w:sz w:val="18"/>
                <w:lang w:val="de-DE"/>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508C2AAA" w14:textId="77777777" w:rsidR="00962B5A" w:rsidRPr="008B37C7" w:rsidRDefault="00962B5A" w:rsidP="00F76AA9">
            <w:pPr>
              <w:tabs>
                <w:tab w:val="left" w:pos="385"/>
              </w:tabs>
              <w:spacing w:before="20" w:after="20"/>
              <w:jc w:val="left"/>
              <w:rPr>
                <w:rFonts w:cs="Arial"/>
                <w:color w:val="000000"/>
                <w:sz w:val="18"/>
                <w:szCs w:val="18"/>
                <w:lang w:val="de-DE"/>
              </w:rPr>
            </w:pPr>
          </w:p>
        </w:tc>
      </w:tr>
    </w:tbl>
    <w:p w14:paraId="392B8C57" w14:textId="77777777" w:rsidR="00962B5A" w:rsidRPr="008B37C7" w:rsidRDefault="00962B5A" w:rsidP="00F76AA9">
      <w:pPr>
        <w:spacing w:line="360" w:lineRule="auto"/>
        <w:ind w:left="567"/>
        <w:rPr>
          <w:bCs/>
          <w:lang w:val="de-DE"/>
        </w:rPr>
      </w:pPr>
    </w:p>
    <w:p w14:paraId="56B3AA2A" w14:textId="77777777" w:rsidR="00962B5A" w:rsidRPr="008B37C7" w:rsidRDefault="00962B5A" w:rsidP="00F76AA9">
      <w:pPr>
        <w:rPr>
          <w:rFonts w:cs="Arial"/>
          <w:color w:val="000000"/>
          <w:lang w:val="de-DE"/>
        </w:rPr>
      </w:pPr>
      <w:r w:rsidRPr="008B37C7">
        <w:rPr>
          <w:color w:val="000000"/>
          <w:lang w:val="de-DE"/>
        </w:rPr>
        <w:t xml:space="preserve">&lt;800&gt; Beispiel:  </w:t>
      </w:r>
      <w:r w:rsidRPr="008B37C7">
        <w:rPr>
          <w:color w:val="000000"/>
          <w:lang w:val="de-DE"/>
        </w:rPr>
        <w:tab/>
        <w:t>"AB CD 20120119 Status der Quelle“</w:t>
      </w:r>
    </w:p>
    <w:p w14:paraId="4593EED0" w14:textId="77777777" w:rsidR="00962B5A" w:rsidRPr="008B37C7" w:rsidRDefault="00962B5A" w:rsidP="00F76AA9">
      <w:pPr>
        <w:rPr>
          <w:rFonts w:cs="Arial"/>
          <w:color w:val="000000"/>
          <w:lang w:val="de-DE"/>
        </w:rPr>
      </w:pPr>
      <w:r w:rsidRPr="008B37C7">
        <w:rPr>
          <w:color w:val="000000"/>
          <w:lang w:val="de-DE"/>
        </w:rPr>
        <w:tab/>
      </w:r>
      <w:r w:rsidRPr="008B37C7">
        <w:rPr>
          <w:color w:val="000000"/>
          <w:lang w:val="de-DE"/>
        </w:rPr>
        <w:tab/>
        <w:t xml:space="preserve">oder </w:t>
      </w:r>
      <w:r w:rsidRPr="008B37C7">
        <w:rPr>
          <w:color w:val="000000"/>
          <w:lang w:val="de-DE"/>
        </w:rPr>
        <w:tab/>
        <w:t>"AB CD 2012 Status der Quelle"</w:t>
      </w:r>
    </w:p>
    <w:p w14:paraId="573D8E6F" w14:textId="77777777" w:rsidR="00962B5A" w:rsidRPr="008B37C7" w:rsidRDefault="00962B5A" w:rsidP="00F76AA9">
      <w:pPr>
        <w:spacing w:line="360" w:lineRule="auto"/>
        <w:ind w:left="567"/>
        <w:rPr>
          <w:bCs/>
          <w:lang w:val="de-DE"/>
        </w:rPr>
      </w:pPr>
    </w:p>
    <w:p w14:paraId="6F8E0F3D" w14:textId="77777777" w:rsidR="00962B5A" w:rsidRPr="008B37C7" w:rsidRDefault="00962B5A" w:rsidP="00F76AA9">
      <w:pPr>
        <w:keepNext/>
        <w:ind w:left="567"/>
        <w:rPr>
          <w:rFonts w:cs="Arial"/>
          <w:bCs/>
          <w:i/>
          <w:iCs/>
          <w:lang w:val="de-DE"/>
        </w:rPr>
      </w:pPr>
      <w:r w:rsidRPr="008B37C7">
        <w:rPr>
          <w:i/>
          <w:lang w:val="de-DE"/>
        </w:rPr>
        <w:t xml:space="preserve">3.3 </w:t>
      </w:r>
      <w:r w:rsidRPr="008B37C7">
        <w:rPr>
          <w:i/>
          <w:lang w:val="de-DE"/>
        </w:rPr>
        <w:tab/>
        <w:t>Obligatorische und erforderliche „Elemente“</w:t>
      </w:r>
    </w:p>
    <w:p w14:paraId="37EB8BF9" w14:textId="77777777" w:rsidR="00962B5A" w:rsidRPr="008B37C7" w:rsidRDefault="00962B5A" w:rsidP="00F76AA9">
      <w:pPr>
        <w:keepNext/>
        <w:ind w:left="567"/>
        <w:rPr>
          <w:bCs/>
          <w:lang w:val="de-DE"/>
        </w:rPr>
      </w:pPr>
    </w:p>
    <w:p w14:paraId="6265B030" w14:textId="77777777" w:rsidR="00962B5A" w:rsidRPr="008B37C7" w:rsidRDefault="00962B5A" w:rsidP="00F76AA9">
      <w:pPr>
        <w:rPr>
          <w:rFonts w:cs="Angsana New"/>
          <w:bCs/>
          <w:szCs w:val="24"/>
          <w:lang w:val="de-DE"/>
        </w:rPr>
      </w:pPr>
      <w:r w:rsidRPr="008B37C7">
        <w:rPr>
          <w:lang w:val="de-DE"/>
        </w:rPr>
        <w:t xml:space="preserve">3.3.1 </w:t>
      </w:r>
      <w:r w:rsidRPr="008B37C7">
        <w:rPr>
          <w:lang w:val="de-DE"/>
        </w:rPr>
        <w:tab/>
        <w:t>Was die Elemente betrifft, die in Abschnitt 3.2 als „obligatorisch" angegeben sind, werden die Daten nicht von der PLUTO-Datenbank ausgeschlossen, wenn dieses Element fehlt. Dem Beitragsleistenden wird jedoch ein Bericht über die Nichteinhaltung zugestellt.</w:t>
      </w:r>
    </w:p>
    <w:p w14:paraId="72250E61" w14:textId="77777777" w:rsidR="00962B5A" w:rsidRPr="001E52CE" w:rsidRDefault="00962B5A" w:rsidP="00F76AA9">
      <w:pPr>
        <w:rPr>
          <w:rFonts w:cs="Angsana New"/>
          <w:bCs/>
          <w:szCs w:val="24"/>
          <w:lang w:val="de-DE" w:bidi="th-TH"/>
        </w:rPr>
      </w:pPr>
    </w:p>
    <w:p w14:paraId="12A5A37D" w14:textId="77777777" w:rsidR="00962B5A" w:rsidRPr="001E52CE" w:rsidRDefault="00962B5A" w:rsidP="00F76AA9">
      <w:pPr>
        <w:rPr>
          <w:rFonts w:cs="Angsana New"/>
          <w:bCs/>
          <w:szCs w:val="24"/>
          <w:lang w:val="de-DE"/>
        </w:rPr>
      </w:pPr>
      <w:r w:rsidRPr="001E52CE">
        <w:rPr>
          <w:lang w:val="de-DE"/>
        </w:rPr>
        <w:t xml:space="preserve">3.3.2 </w:t>
      </w:r>
      <w:r w:rsidRPr="001E52CE">
        <w:rPr>
          <w:lang w:val="de-DE"/>
        </w:rPr>
        <w:tab/>
        <w:t>Eine Zusammenfassung der Nichteinhaltungen wird dem TC und dem CAJ jährlich vorgelegt.</w:t>
      </w:r>
    </w:p>
    <w:p w14:paraId="777DBCD0" w14:textId="77777777" w:rsidR="00962B5A" w:rsidRPr="001E52CE" w:rsidRDefault="00962B5A" w:rsidP="00F76AA9">
      <w:pPr>
        <w:spacing w:line="360" w:lineRule="auto"/>
        <w:rPr>
          <w:bCs/>
          <w:lang w:val="de-DE"/>
        </w:rPr>
      </w:pPr>
    </w:p>
    <w:p w14:paraId="2DC15F90" w14:textId="77777777" w:rsidR="00962B5A" w:rsidRPr="001E52CE" w:rsidRDefault="00962B5A" w:rsidP="00F76AA9">
      <w:pPr>
        <w:rPr>
          <w:bCs/>
          <w:lang w:val="de-DE"/>
        </w:rPr>
      </w:pPr>
      <w:r w:rsidRPr="001E52CE">
        <w:rPr>
          <w:lang w:val="de-DE"/>
        </w:rPr>
        <w:t xml:space="preserve">3.3.3 </w:t>
      </w:r>
      <w:r w:rsidRPr="001E52CE">
        <w:rPr>
          <w:lang w:val="de-DE"/>
        </w:rPr>
        <w:tab/>
        <w:t>Was die Elemente betrifft, die in Abschnitt 3.2 als „ERFORDERLICH" angegeben sind, werden die Daten von der PLUTO-Datenbank für Pflanzensorten ausgeschlossen, wenn dieses Element in römischem Alphabet fehlt.</w:t>
      </w:r>
      <w:r w:rsidRPr="001E52CE">
        <w:rPr>
          <w:lang w:val="de-DE"/>
        </w:rPr>
        <w:cr/>
      </w:r>
      <w:r w:rsidRPr="001E52CE">
        <w:rPr>
          <w:lang w:val="de-DE"/>
        </w:rPr>
        <w:br/>
      </w:r>
    </w:p>
    <w:p w14:paraId="6E7BF5A5" w14:textId="77777777" w:rsidR="00962B5A" w:rsidRPr="001E52CE" w:rsidRDefault="00962B5A" w:rsidP="00F76AA9">
      <w:pPr>
        <w:ind w:left="567"/>
        <w:rPr>
          <w:bCs/>
          <w:i/>
          <w:iCs/>
          <w:lang w:val="de-DE"/>
        </w:rPr>
      </w:pPr>
      <w:r w:rsidRPr="001E52CE">
        <w:rPr>
          <w:i/>
          <w:lang w:val="de-DE"/>
        </w:rPr>
        <w:t xml:space="preserve">3.4 </w:t>
      </w:r>
      <w:r w:rsidRPr="001E52CE">
        <w:rPr>
          <w:i/>
          <w:lang w:val="de-DE"/>
        </w:rPr>
        <w:tab/>
        <w:t>Zeitpunkte des gewerbsmäßigen Vertriebs</w:t>
      </w:r>
    </w:p>
    <w:p w14:paraId="248BAF15" w14:textId="77777777" w:rsidR="00962B5A" w:rsidRPr="001E52CE" w:rsidRDefault="00962B5A" w:rsidP="00F76AA9">
      <w:pPr>
        <w:ind w:left="567"/>
        <w:rPr>
          <w:bCs/>
          <w:i/>
          <w:iCs/>
          <w:lang w:val="de-DE"/>
        </w:rPr>
      </w:pPr>
    </w:p>
    <w:p w14:paraId="1DC88116" w14:textId="77777777" w:rsidR="00962B5A" w:rsidRPr="001E52CE" w:rsidRDefault="00962B5A" w:rsidP="00F76AA9">
      <w:pPr>
        <w:rPr>
          <w:iCs/>
          <w:lang w:val="de-DE"/>
        </w:rPr>
      </w:pPr>
      <w:r w:rsidRPr="001E52CE">
        <w:rPr>
          <w:lang w:val="de-DE"/>
        </w:rPr>
        <w:t>3.4.1</w:t>
      </w:r>
      <w:r w:rsidRPr="001E52CE">
        <w:rPr>
          <w:lang w:val="de-DE"/>
        </w:rPr>
        <w:tab/>
        <w:t>In der PLUTO-Datenbank wurde auf der nachstehenden Grundlage ein Element erstellt, um die Erteilung von Informationen über die Zeitpunkte zu ermöglichen, zu denen eine Sorte im Hoheitsgebiet des Antrags und in anderen Hoheitsgebieten erstmals gewerbsmäßig vertrieben wurde:</w:t>
      </w:r>
    </w:p>
    <w:p w14:paraId="300CF545" w14:textId="77777777" w:rsidR="00962B5A" w:rsidRPr="001E52CE" w:rsidRDefault="00962B5A" w:rsidP="00F76AA9">
      <w:pPr>
        <w:rPr>
          <w:i/>
          <w:iCs/>
          <w:lang w:val="de-DE"/>
        </w:rPr>
      </w:pPr>
    </w:p>
    <w:p w14:paraId="7C2A2E75" w14:textId="77777777" w:rsidR="00962B5A" w:rsidRPr="001E52CE" w:rsidRDefault="00962B5A" w:rsidP="00F76AA9">
      <w:pPr>
        <w:ind w:left="567"/>
        <w:rPr>
          <w:lang w:val="de-DE"/>
        </w:rPr>
      </w:pPr>
      <w:r w:rsidRPr="001E52CE">
        <w:rPr>
          <w:lang w:val="de-DE"/>
        </w:rPr>
        <w:t>Element &lt;XXX&gt;:  Zeitpunkte, zu denen eine Sorte im Hoheitsgebiet des Antrags und in anderen Hoheitsgebieten erstmals gewerbsmäßig vertrieben wurde (nicht obligatorisch)</w:t>
      </w:r>
    </w:p>
    <w:p w14:paraId="794528E6" w14:textId="77777777" w:rsidR="00962B5A" w:rsidRPr="001E52CE" w:rsidRDefault="00962B5A" w:rsidP="00F76AA9">
      <w:pPr>
        <w:rPr>
          <w:i/>
          <w:iCs/>
          <w:lang w:val="de-DE"/>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962B5A" w:rsidRPr="001E52CE" w14:paraId="38F79214" w14:textId="77777777" w:rsidTr="00AB71B3">
        <w:trPr>
          <w:cantSplit/>
          <w:tblHeader/>
        </w:trPr>
        <w:tc>
          <w:tcPr>
            <w:tcW w:w="5165" w:type="dxa"/>
            <w:tcBorders>
              <w:top w:val="dotted" w:sz="4" w:space="0" w:color="auto"/>
              <w:left w:val="dotted" w:sz="4" w:space="0" w:color="auto"/>
              <w:bottom w:val="dotted" w:sz="4" w:space="0" w:color="auto"/>
              <w:right w:val="dotted" w:sz="4" w:space="0" w:color="auto"/>
            </w:tcBorders>
          </w:tcPr>
          <w:p w14:paraId="6D3EFD0F" w14:textId="77777777" w:rsidR="00962B5A" w:rsidRPr="001E52CE" w:rsidRDefault="00962B5A" w:rsidP="00F76AA9">
            <w:pPr>
              <w:spacing w:before="40" w:after="40"/>
              <w:jc w:val="left"/>
              <w:rPr>
                <w:sz w:val="18"/>
                <w:szCs w:val="24"/>
                <w:lang w:val="de-DE"/>
              </w:rPr>
            </w:pPr>
          </w:p>
        </w:tc>
        <w:tc>
          <w:tcPr>
            <w:tcW w:w="4030" w:type="dxa"/>
            <w:tcBorders>
              <w:top w:val="dotted" w:sz="4" w:space="0" w:color="auto"/>
              <w:left w:val="dotted" w:sz="4" w:space="0" w:color="auto"/>
              <w:bottom w:val="dotted" w:sz="4" w:space="0" w:color="auto"/>
              <w:right w:val="dotted" w:sz="4" w:space="0" w:color="auto"/>
            </w:tcBorders>
            <w:noWrap/>
          </w:tcPr>
          <w:p w14:paraId="247F0BE2" w14:textId="77777777" w:rsidR="00962B5A" w:rsidRPr="001E52CE" w:rsidRDefault="00962B5A" w:rsidP="00F76AA9">
            <w:pPr>
              <w:spacing w:before="40" w:after="40"/>
              <w:jc w:val="left"/>
              <w:rPr>
                <w:sz w:val="18"/>
                <w:szCs w:val="24"/>
                <w:u w:val="single"/>
                <w:lang w:val="de-DE"/>
              </w:rPr>
            </w:pPr>
            <w:r w:rsidRPr="001E52CE">
              <w:rPr>
                <w:sz w:val="18"/>
                <w:u w:val="single"/>
                <w:lang w:val="de-DE"/>
              </w:rPr>
              <w:t>Bemerkung</w:t>
            </w:r>
          </w:p>
        </w:tc>
      </w:tr>
      <w:tr w:rsidR="00962B5A" w:rsidRPr="001E52CE" w14:paraId="37E8F28C" w14:textId="77777777" w:rsidTr="00AB71B3">
        <w:trPr>
          <w:cantSplit/>
        </w:trPr>
        <w:tc>
          <w:tcPr>
            <w:tcW w:w="5165" w:type="dxa"/>
            <w:tcBorders>
              <w:top w:val="dotted" w:sz="4" w:space="0" w:color="auto"/>
              <w:left w:val="dotted" w:sz="4" w:space="0" w:color="auto"/>
              <w:bottom w:val="dotted" w:sz="4" w:space="0" w:color="auto"/>
              <w:right w:val="dotted" w:sz="4" w:space="0" w:color="auto"/>
            </w:tcBorders>
          </w:tcPr>
          <w:p w14:paraId="0CABCCDB" w14:textId="77777777" w:rsidR="00962B5A" w:rsidRPr="008B37C7" w:rsidRDefault="00962B5A" w:rsidP="00F76AA9">
            <w:pPr>
              <w:spacing w:before="40" w:after="40"/>
              <w:jc w:val="left"/>
              <w:rPr>
                <w:sz w:val="18"/>
                <w:szCs w:val="24"/>
                <w:lang w:val="de-DE"/>
              </w:rPr>
            </w:pPr>
            <w:r w:rsidRPr="008B37C7">
              <w:rPr>
                <w:sz w:val="18"/>
                <w:lang w:val="de-DE"/>
              </w:rPr>
              <w:t xml:space="preserve">i) </w:t>
            </w:r>
            <w:r w:rsidRPr="008B37C7">
              <w:rPr>
                <w:sz w:val="18"/>
                <w:lang w:val="de-DE"/>
              </w:rPr>
              <w:tab/>
              <w:t>Behörde, die [folgende] Informationen erteilt</w:t>
            </w:r>
          </w:p>
        </w:tc>
        <w:tc>
          <w:tcPr>
            <w:tcW w:w="4030" w:type="dxa"/>
            <w:tcBorders>
              <w:top w:val="dotted" w:sz="4" w:space="0" w:color="auto"/>
              <w:left w:val="dotted" w:sz="4" w:space="0" w:color="auto"/>
              <w:bottom w:val="dotted" w:sz="4" w:space="0" w:color="auto"/>
              <w:right w:val="dotted" w:sz="4" w:space="0" w:color="auto"/>
            </w:tcBorders>
            <w:noWrap/>
          </w:tcPr>
          <w:p w14:paraId="35DE9AE4" w14:textId="77777777" w:rsidR="00962B5A" w:rsidRPr="008B37C7" w:rsidRDefault="00962B5A" w:rsidP="00F76AA9">
            <w:pPr>
              <w:spacing w:before="40" w:after="40"/>
              <w:jc w:val="left"/>
              <w:rPr>
                <w:sz w:val="18"/>
                <w:szCs w:val="24"/>
                <w:lang w:val="de-DE"/>
              </w:rPr>
            </w:pPr>
            <w:r w:rsidRPr="008B37C7">
              <w:rPr>
                <w:sz w:val="18"/>
                <w:lang w:val="de-DE"/>
              </w:rPr>
              <w:t>Zweibuchstabencode der ISO</w:t>
            </w:r>
          </w:p>
        </w:tc>
      </w:tr>
      <w:tr w:rsidR="00962B5A" w:rsidRPr="001E52CE" w14:paraId="0BFB69F1" w14:textId="77777777" w:rsidTr="00AB71B3">
        <w:trPr>
          <w:cantSplit/>
        </w:trPr>
        <w:tc>
          <w:tcPr>
            <w:tcW w:w="5165" w:type="dxa"/>
            <w:tcBorders>
              <w:top w:val="dotted" w:sz="4" w:space="0" w:color="auto"/>
              <w:left w:val="dotted" w:sz="4" w:space="0" w:color="auto"/>
              <w:bottom w:val="dotted" w:sz="4" w:space="0" w:color="auto"/>
              <w:right w:val="dotted" w:sz="4" w:space="0" w:color="auto"/>
            </w:tcBorders>
          </w:tcPr>
          <w:p w14:paraId="7EADB6E7" w14:textId="77777777" w:rsidR="00962B5A" w:rsidRPr="008B37C7" w:rsidRDefault="00962B5A" w:rsidP="00F76AA9">
            <w:pPr>
              <w:spacing w:before="40" w:after="40"/>
              <w:jc w:val="left"/>
              <w:rPr>
                <w:sz w:val="18"/>
                <w:lang w:val="de-DE"/>
              </w:rPr>
            </w:pPr>
            <w:r w:rsidRPr="008B37C7">
              <w:rPr>
                <w:sz w:val="18"/>
                <w:lang w:val="de-DE"/>
              </w:rPr>
              <w:t xml:space="preserve">ii) </w:t>
            </w:r>
            <w:r w:rsidRPr="008B37C7">
              <w:rPr>
                <w:sz w:val="18"/>
                <w:lang w:val="de-DE"/>
              </w:rPr>
              <w:tab/>
              <w:t>Hoheitsgebiet des gewerbsmäßigen Vertriebs</w:t>
            </w:r>
          </w:p>
        </w:tc>
        <w:tc>
          <w:tcPr>
            <w:tcW w:w="4030" w:type="dxa"/>
            <w:tcBorders>
              <w:top w:val="dotted" w:sz="4" w:space="0" w:color="auto"/>
              <w:left w:val="dotted" w:sz="4" w:space="0" w:color="auto"/>
              <w:bottom w:val="dotted" w:sz="4" w:space="0" w:color="auto"/>
              <w:right w:val="dotted" w:sz="4" w:space="0" w:color="auto"/>
            </w:tcBorders>
            <w:noWrap/>
          </w:tcPr>
          <w:p w14:paraId="694EB826" w14:textId="77777777" w:rsidR="00962B5A" w:rsidRPr="008B37C7" w:rsidRDefault="00962B5A" w:rsidP="00F76AA9">
            <w:pPr>
              <w:spacing w:before="40" w:after="40"/>
              <w:jc w:val="left"/>
              <w:rPr>
                <w:sz w:val="18"/>
                <w:szCs w:val="24"/>
                <w:lang w:val="de-DE"/>
              </w:rPr>
            </w:pPr>
            <w:r w:rsidRPr="008B37C7">
              <w:rPr>
                <w:sz w:val="18"/>
                <w:lang w:val="de-DE"/>
              </w:rPr>
              <w:t>Zweibuchstabencode der ISO</w:t>
            </w:r>
          </w:p>
        </w:tc>
      </w:tr>
      <w:tr w:rsidR="00962B5A" w:rsidRPr="00DF7E6C" w14:paraId="798EB666" w14:textId="77777777" w:rsidTr="00AB71B3">
        <w:trPr>
          <w:cantSplit/>
        </w:trPr>
        <w:tc>
          <w:tcPr>
            <w:tcW w:w="5165" w:type="dxa"/>
            <w:tcBorders>
              <w:top w:val="dotted" w:sz="4" w:space="0" w:color="auto"/>
              <w:left w:val="dotted" w:sz="4" w:space="0" w:color="auto"/>
              <w:bottom w:val="dotted" w:sz="4" w:space="0" w:color="auto"/>
              <w:right w:val="dotted" w:sz="4" w:space="0" w:color="auto"/>
            </w:tcBorders>
          </w:tcPr>
          <w:p w14:paraId="471BF7C0" w14:textId="77777777" w:rsidR="00962B5A" w:rsidRPr="008B37C7" w:rsidRDefault="00962B5A" w:rsidP="00F76AA9">
            <w:pPr>
              <w:spacing w:before="40" w:after="40"/>
              <w:jc w:val="left"/>
              <w:rPr>
                <w:sz w:val="18"/>
                <w:lang w:val="de-DE"/>
              </w:rPr>
            </w:pPr>
            <w:r w:rsidRPr="008B37C7">
              <w:rPr>
                <w:sz w:val="18"/>
                <w:lang w:val="de-DE"/>
              </w:rPr>
              <w:t xml:space="preserve">iii) </w:t>
            </w:r>
            <w:r w:rsidRPr="008B37C7">
              <w:rPr>
                <w:sz w:val="18"/>
                <w:lang w:val="de-DE"/>
              </w:rPr>
              <w:tab/>
              <w:t>Zeitpunkt, an dem die Sorte im Hoheitsgebiet erstmals gewerbsmäßig vertrieben* wurde</w:t>
            </w:r>
          </w:p>
          <w:p w14:paraId="16FC593E" w14:textId="77777777" w:rsidR="00962B5A" w:rsidRPr="008B37C7" w:rsidRDefault="00962B5A" w:rsidP="00F76AA9">
            <w:pPr>
              <w:spacing w:before="40" w:after="40"/>
              <w:jc w:val="left"/>
              <w:rPr>
                <w:sz w:val="18"/>
                <w:lang w:val="de-DE"/>
              </w:rPr>
            </w:pPr>
            <w:r w:rsidRPr="008B37C7">
              <w:rPr>
                <w:sz w:val="18"/>
                <w:lang w:val="de-DE"/>
              </w:rPr>
              <w:t>(*Der Begriff „gewerbsmäßiger Vertrieb" wird verwendet, um „durch den Züchter oder mit seiner Zustimmung zum Zwecke der Auswertung der Sorte verkauft oder auf andere Weise an andere abgegeben" (Artikel 6 Absatz 1 der Akte von 1991 des UPOV-Übereinkommens) oder gegebenenfalls „mit Zustimmung des Züchters feilgehalten oder gewerbsmäßig vertrieben worden sein" (Artikel 6 Absatz 1 Buchstabe b der Akte von 1978 des UPOV-Übereinkommens) zu erfassen.</w:t>
            </w:r>
          </w:p>
        </w:tc>
        <w:tc>
          <w:tcPr>
            <w:tcW w:w="4030" w:type="dxa"/>
            <w:tcBorders>
              <w:top w:val="dotted" w:sz="4" w:space="0" w:color="auto"/>
              <w:left w:val="dotted" w:sz="4" w:space="0" w:color="auto"/>
              <w:bottom w:val="dotted" w:sz="4" w:space="0" w:color="auto"/>
              <w:right w:val="dotted" w:sz="4" w:space="0" w:color="auto"/>
            </w:tcBorders>
            <w:noWrap/>
          </w:tcPr>
          <w:p w14:paraId="69F866DA" w14:textId="77777777" w:rsidR="00962B5A" w:rsidRPr="008B37C7" w:rsidRDefault="00962B5A" w:rsidP="00F76AA9">
            <w:pPr>
              <w:spacing w:before="40" w:after="40"/>
              <w:jc w:val="left"/>
              <w:rPr>
                <w:sz w:val="18"/>
                <w:szCs w:val="24"/>
                <w:lang w:val="de-DE"/>
              </w:rPr>
            </w:pPr>
            <w:r w:rsidRPr="008B37C7">
              <w:rPr>
                <w:sz w:val="18"/>
                <w:lang w:val="de-DE"/>
              </w:rPr>
              <w:t>gemäß dem Format JJJJ [MMTT] (Jahr[MonatTag]):  Monat und Tag werden nicht obligatorisch sein, falls nicht verfügbar</w:t>
            </w:r>
          </w:p>
        </w:tc>
      </w:tr>
      <w:tr w:rsidR="00962B5A" w:rsidRPr="00DF7E6C" w14:paraId="49F9C24C" w14:textId="77777777" w:rsidTr="00AB71B3">
        <w:trPr>
          <w:cantSplit/>
        </w:trPr>
        <w:tc>
          <w:tcPr>
            <w:tcW w:w="5165" w:type="dxa"/>
            <w:tcBorders>
              <w:top w:val="dotted" w:sz="4" w:space="0" w:color="auto"/>
              <w:left w:val="dotted" w:sz="4" w:space="0" w:color="auto"/>
              <w:bottom w:val="dotted" w:sz="4" w:space="0" w:color="auto"/>
              <w:right w:val="dotted" w:sz="4" w:space="0" w:color="auto"/>
            </w:tcBorders>
          </w:tcPr>
          <w:p w14:paraId="72F854E6" w14:textId="77777777" w:rsidR="00962B5A" w:rsidRPr="001E52CE" w:rsidRDefault="00962B5A" w:rsidP="00F76AA9">
            <w:pPr>
              <w:spacing w:before="40" w:after="40"/>
              <w:jc w:val="left"/>
              <w:rPr>
                <w:sz w:val="18"/>
                <w:lang w:val="de-DE"/>
              </w:rPr>
            </w:pPr>
            <w:r w:rsidRPr="001E52CE">
              <w:rPr>
                <w:sz w:val="18"/>
                <w:lang w:val="de-DE"/>
              </w:rPr>
              <w:t xml:space="preserve">iv) </w:t>
            </w:r>
            <w:r w:rsidRPr="001E52CE">
              <w:rPr>
                <w:sz w:val="18"/>
                <w:lang w:val="de-DE"/>
              </w:rPr>
              <w:tab/>
              <w:t>Informationsquelle</w:t>
            </w:r>
          </w:p>
        </w:tc>
        <w:tc>
          <w:tcPr>
            <w:tcW w:w="4030" w:type="dxa"/>
            <w:tcBorders>
              <w:top w:val="dotted" w:sz="4" w:space="0" w:color="auto"/>
              <w:left w:val="dotted" w:sz="4" w:space="0" w:color="auto"/>
              <w:bottom w:val="dotted" w:sz="4" w:space="0" w:color="auto"/>
              <w:right w:val="dotted" w:sz="4" w:space="0" w:color="auto"/>
            </w:tcBorders>
            <w:noWrap/>
          </w:tcPr>
          <w:p w14:paraId="3BDDE07C" w14:textId="77777777" w:rsidR="00962B5A" w:rsidRPr="001E52CE" w:rsidRDefault="00962B5A" w:rsidP="00F76AA9">
            <w:pPr>
              <w:spacing w:before="40" w:after="40"/>
              <w:jc w:val="left"/>
              <w:rPr>
                <w:sz w:val="18"/>
                <w:szCs w:val="24"/>
                <w:lang w:val="de-DE"/>
              </w:rPr>
            </w:pPr>
            <w:r w:rsidRPr="001E52CE">
              <w:rPr>
                <w:sz w:val="18"/>
                <w:lang w:val="de-DE"/>
              </w:rPr>
              <w:t xml:space="preserve">obligatorisch für jeden Eintrag in das Element &lt;XXX&gt; </w:t>
            </w:r>
          </w:p>
        </w:tc>
      </w:tr>
      <w:tr w:rsidR="00962B5A" w:rsidRPr="00DF7E6C" w14:paraId="43D63508" w14:textId="77777777" w:rsidTr="00AB71B3">
        <w:trPr>
          <w:cantSplit/>
        </w:trPr>
        <w:tc>
          <w:tcPr>
            <w:tcW w:w="5165" w:type="dxa"/>
            <w:tcBorders>
              <w:top w:val="dotted" w:sz="4" w:space="0" w:color="auto"/>
              <w:left w:val="dotted" w:sz="4" w:space="0" w:color="auto"/>
              <w:bottom w:val="dotted" w:sz="4" w:space="0" w:color="auto"/>
              <w:right w:val="dotted" w:sz="4" w:space="0" w:color="auto"/>
            </w:tcBorders>
          </w:tcPr>
          <w:p w14:paraId="0D9FC1DE" w14:textId="77777777" w:rsidR="00962B5A" w:rsidRPr="001E52CE" w:rsidRDefault="00962B5A" w:rsidP="00F76AA9">
            <w:pPr>
              <w:spacing w:before="40" w:after="40"/>
              <w:jc w:val="left"/>
              <w:rPr>
                <w:sz w:val="18"/>
                <w:lang w:val="de-DE"/>
              </w:rPr>
            </w:pPr>
            <w:r w:rsidRPr="001E52CE">
              <w:rPr>
                <w:sz w:val="18"/>
                <w:lang w:val="de-DE"/>
              </w:rPr>
              <w:t xml:space="preserve">v) </w:t>
            </w:r>
            <w:r w:rsidRPr="001E52CE">
              <w:rPr>
                <w:sz w:val="18"/>
                <w:lang w:val="de-DE"/>
              </w:rPr>
              <w:tab/>
              <w:t>Stand der Information</w:t>
            </w:r>
          </w:p>
        </w:tc>
        <w:tc>
          <w:tcPr>
            <w:tcW w:w="4030" w:type="dxa"/>
            <w:tcBorders>
              <w:top w:val="dotted" w:sz="4" w:space="0" w:color="auto"/>
              <w:left w:val="dotted" w:sz="4" w:space="0" w:color="auto"/>
              <w:bottom w:val="dotted" w:sz="4" w:space="0" w:color="auto"/>
              <w:right w:val="dotted" w:sz="4" w:space="0" w:color="auto"/>
            </w:tcBorders>
            <w:noWrap/>
          </w:tcPr>
          <w:p w14:paraId="44DD1679" w14:textId="77777777" w:rsidR="00962B5A" w:rsidRPr="001E52CE" w:rsidRDefault="00962B5A" w:rsidP="00F76AA9">
            <w:pPr>
              <w:spacing w:before="40" w:after="40"/>
              <w:jc w:val="left"/>
              <w:rPr>
                <w:spacing w:val="-2"/>
                <w:sz w:val="18"/>
                <w:szCs w:val="24"/>
                <w:lang w:val="de-DE"/>
              </w:rPr>
            </w:pPr>
            <w:r w:rsidRPr="001E52CE">
              <w:rPr>
                <w:sz w:val="18"/>
                <w:lang w:val="de-DE"/>
              </w:rPr>
              <w:t xml:space="preserve">obligatorisch für jeden Eintrag in das Element &lt;XXX&gt; </w:t>
            </w:r>
          </w:p>
          <w:p w14:paraId="70B3FBF7" w14:textId="77777777" w:rsidR="00962B5A" w:rsidRPr="001E52CE" w:rsidRDefault="00962B5A" w:rsidP="00F76AA9">
            <w:pPr>
              <w:spacing w:before="40" w:after="40"/>
              <w:jc w:val="left"/>
              <w:rPr>
                <w:sz w:val="18"/>
                <w:szCs w:val="24"/>
                <w:lang w:val="de-DE"/>
              </w:rPr>
            </w:pPr>
            <w:r w:rsidRPr="001E52CE">
              <w:rPr>
                <w:sz w:val="18"/>
                <w:lang w:val="de-DE"/>
              </w:rPr>
              <w:t>(eine Erläuterung oder ein Verweis ist anzugeben, wo eine Erläuterung erteilt wird (z. B. Webseite der Behörde, die die Daten für dieses Element einreicht)</w:t>
            </w:r>
          </w:p>
        </w:tc>
      </w:tr>
      <w:tr w:rsidR="00962B5A" w:rsidRPr="00DF7E6C" w14:paraId="7AC321D5" w14:textId="77777777" w:rsidTr="00AB71B3">
        <w:trPr>
          <w:cantSplit/>
        </w:trPr>
        <w:tc>
          <w:tcPr>
            <w:tcW w:w="5165" w:type="dxa"/>
            <w:tcBorders>
              <w:top w:val="dotted" w:sz="4" w:space="0" w:color="auto"/>
              <w:left w:val="dotted" w:sz="4" w:space="0" w:color="auto"/>
              <w:bottom w:val="dotted" w:sz="4" w:space="0" w:color="auto"/>
              <w:right w:val="dotted" w:sz="4" w:space="0" w:color="auto"/>
            </w:tcBorders>
          </w:tcPr>
          <w:p w14:paraId="0BBD48F4" w14:textId="77777777" w:rsidR="00962B5A" w:rsidRPr="001E52CE" w:rsidRDefault="00962B5A" w:rsidP="00F76AA9">
            <w:pPr>
              <w:spacing w:before="40" w:after="40"/>
              <w:jc w:val="left"/>
              <w:rPr>
                <w:i/>
                <w:iCs/>
                <w:sz w:val="18"/>
                <w:szCs w:val="22"/>
                <w:lang w:val="de-DE"/>
              </w:rPr>
            </w:pPr>
            <w:r w:rsidRPr="001E52CE">
              <w:rPr>
                <w:i/>
                <w:sz w:val="18"/>
                <w:lang w:val="de-DE"/>
              </w:rPr>
              <w:t xml:space="preserve">Hinweis:  Für denselben Antrag könnte die Behörde unter i) mehr als einen Eintrag für die Elemente ii) bis v) vornehmen.  Sie könnte insbesondere Informationen über den gewerbsmäßigen Vertrieb im „Hoheitsgebiet des Antrags", jedoch auch in „anderen Hoheitsgebieten" erteilen. </w:t>
            </w:r>
          </w:p>
        </w:tc>
        <w:tc>
          <w:tcPr>
            <w:tcW w:w="4030" w:type="dxa"/>
            <w:tcBorders>
              <w:top w:val="dotted" w:sz="4" w:space="0" w:color="auto"/>
              <w:left w:val="dotted" w:sz="4" w:space="0" w:color="auto"/>
              <w:bottom w:val="dotted" w:sz="4" w:space="0" w:color="auto"/>
              <w:right w:val="dotted" w:sz="4" w:space="0" w:color="auto"/>
            </w:tcBorders>
            <w:noWrap/>
          </w:tcPr>
          <w:p w14:paraId="77A47255" w14:textId="77777777" w:rsidR="00962B5A" w:rsidRPr="001E52CE" w:rsidRDefault="00962B5A" w:rsidP="00F76AA9">
            <w:pPr>
              <w:spacing w:before="40" w:after="40"/>
              <w:jc w:val="left"/>
              <w:rPr>
                <w:sz w:val="18"/>
                <w:szCs w:val="24"/>
                <w:lang w:val="de-DE"/>
              </w:rPr>
            </w:pPr>
          </w:p>
        </w:tc>
      </w:tr>
    </w:tbl>
    <w:p w14:paraId="2AF5EB6E" w14:textId="77777777" w:rsidR="00962B5A" w:rsidRPr="001E52CE" w:rsidRDefault="00962B5A" w:rsidP="00F76AA9">
      <w:pPr>
        <w:rPr>
          <w:lang w:val="de-DE"/>
        </w:rPr>
      </w:pPr>
    </w:p>
    <w:p w14:paraId="3755A8F6" w14:textId="77777777" w:rsidR="00962B5A" w:rsidRPr="001E52CE" w:rsidRDefault="00962B5A" w:rsidP="00F76AA9">
      <w:pPr>
        <w:rPr>
          <w:lang w:val="de-DE"/>
        </w:rPr>
      </w:pPr>
      <w:r w:rsidRPr="001E52CE">
        <w:rPr>
          <w:lang w:val="de-DE"/>
        </w:rPr>
        <w:t xml:space="preserve">3.4.2 </w:t>
      </w:r>
      <w:r w:rsidRPr="001E52CE">
        <w:rPr>
          <w:lang w:val="de-DE"/>
        </w:rPr>
        <w:tab/>
        <w:t>Folgender Haftungsausschluss soll neben der Überschrift des Elements in der Datenbank erscheinen:</w:t>
      </w:r>
    </w:p>
    <w:p w14:paraId="6C3FC293" w14:textId="77777777" w:rsidR="00962B5A" w:rsidRPr="001E52CE" w:rsidRDefault="00962B5A" w:rsidP="00F76AA9">
      <w:pPr>
        <w:rPr>
          <w:sz w:val="14"/>
          <w:lang w:val="de-DE"/>
        </w:rPr>
      </w:pPr>
    </w:p>
    <w:p w14:paraId="6518801B" w14:textId="77777777" w:rsidR="00962B5A" w:rsidRPr="001E52CE" w:rsidRDefault="00962B5A" w:rsidP="00F76AA9">
      <w:pPr>
        <w:ind w:left="567" w:right="567"/>
        <w:rPr>
          <w:i/>
          <w:sz w:val="18"/>
          <w:lang w:val="de-DE"/>
        </w:rPr>
      </w:pPr>
      <w:r w:rsidRPr="001E52CE">
        <w:rPr>
          <w:i/>
          <w:sz w:val="18"/>
          <w:lang w:val="de-DE"/>
        </w:rPr>
        <w:t xml:space="preserve">„Das Fehlen von Informationen in [Element XXX] bedeutet nicht, daß die Sorte nicht gewerbsmäßig vertrieben wurde.  Hinsichtlich der erteilten Informationen wird auf den Stand und die Quelle der Informationen aufmerksam gemacht, wie in den Feldern ‚Quelle der Informationen‛ und ‚Stand der Informationen‛ dargelegt. Es ist jedoch auch anzumerken, daß die erteilten Informationen möglicherweise nicht vollständig und genau sind.“  </w:t>
      </w:r>
    </w:p>
    <w:p w14:paraId="77F76BA4" w14:textId="77777777" w:rsidR="00962B5A" w:rsidRPr="001E52CE" w:rsidRDefault="00962B5A" w:rsidP="00F76AA9">
      <w:pPr>
        <w:rPr>
          <w:i/>
          <w:iCs/>
          <w:lang w:val="de-DE"/>
        </w:rPr>
      </w:pPr>
    </w:p>
    <w:p w14:paraId="69E958A1" w14:textId="77777777" w:rsidR="00962B5A" w:rsidRPr="001E52CE" w:rsidRDefault="00962B5A" w:rsidP="00F76AA9">
      <w:pPr>
        <w:rPr>
          <w:i/>
          <w:iCs/>
          <w:lang w:val="de-DE"/>
        </w:rPr>
      </w:pPr>
    </w:p>
    <w:p w14:paraId="37FA019D" w14:textId="77777777" w:rsidR="00962B5A" w:rsidRPr="001E52CE" w:rsidRDefault="00962B5A" w:rsidP="00F76AA9">
      <w:pPr>
        <w:keepNext/>
        <w:rPr>
          <w:bCs/>
          <w:i/>
          <w:iCs/>
          <w:lang w:val="de-DE"/>
        </w:rPr>
      </w:pPr>
      <w:r w:rsidRPr="001E52CE">
        <w:rPr>
          <w:i/>
          <w:lang w:val="de-DE"/>
        </w:rPr>
        <w:t>4.</w:t>
      </w:r>
      <w:r w:rsidRPr="001E52CE">
        <w:rPr>
          <w:i/>
          <w:lang w:val="de-DE"/>
        </w:rPr>
        <w:tab/>
        <w:t>Häufigkeit der Einreichung von Daten</w:t>
      </w:r>
    </w:p>
    <w:p w14:paraId="0D1CB7CF" w14:textId="77777777" w:rsidR="00962B5A" w:rsidRPr="001E52CE" w:rsidRDefault="00962B5A" w:rsidP="00F76AA9">
      <w:pPr>
        <w:keepNext/>
        <w:rPr>
          <w:bCs/>
          <w:lang w:val="de-DE"/>
        </w:rPr>
      </w:pPr>
    </w:p>
    <w:p w14:paraId="21C43686" w14:textId="77777777" w:rsidR="00962B5A" w:rsidRPr="001E52CE" w:rsidRDefault="00962B5A" w:rsidP="00F76AA9">
      <w:pPr>
        <w:rPr>
          <w:bCs/>
          <w:lang w:val="de-DE"/>
        </w:rPr>
      </w:pPr>
      <w:r w:rsidRPr="001E52CE">
        <w:rPr>
          <w:lang w:val="de-DE"/>
        </w:rPr>
        <w:t>Die Beitragsleistenden werden ersucht, ihre Daten sobald dies möglich ist nach ihrer Veröffentlichung durch die zuständige(n) Behörde(n) einzureichen. Die PLUTO-Datenbank wird mit den neuen Daten so bald wie möglich nach ihrem Eingang und gemäß dem Verfahren für das Hochladen aktualisiert. Die PLUTO-Datenbank kann erforderlichenfalls und gemäß dem Verfahren für das Hochladen mit berichtigten Daten aktualisiert werden.</w:t>
      </w:r>
    </w:p>
    <w:p w14:paraId="7F6C809A" w14:textId="77777777" w:rsidR="00962B5A" w:rsidRPr="001E52CE" w:rsidRDefault="00962B5A" w:rsidP="00F76AA9">
      <w:pPr>
        <w:rPr>
          <w:bCs/>
          <w:lang w:val="de-DE"/>
        </w:rPr>
      </w:pPr>
    </w:p>
    <w:p w14:paraId="008E908E" w14:textId="77777777" w:rsidR="00962B5A" w:rsidRPr="001E52CE" w:rsidRDefault="00962B5A" w:rsidP="00F76AA9">
      <w:pPr>
        <w:rPr>
          <w:bCs/>
          <w:lang w:val="de-DE"/>
        </w:rPr>
      </w:pPr>
    </w:p>
    <w:p w14:paraId="784C4DC2" w14:textId="77777777" w:rsidR="00962B5A" w:rsidRPr="001E52CE" w:rsidRDefault="00962B5A" w:rsidP="00F76AA9">
      <w:pPr>
        <w:keepNext/>
        <w:rPr>
          <w:bCs/>
          <w:i/>
          <w:lang w:val="de-DE"/>
        </w:rPr>
      </w:pPr>
      <w:r w:rsidRPr="001E52CE">
        <w:rPr>
          <w:i/>
          <w:lang w:val="de-DE"/>
        </w:rPr>
        <w:t>5.</w:t>
      </w:r>
      <w:r w:rsidRPr="001E52CE">
        <w:rPr>
          <w:i/>
          <w:lang w:val="de-DE"/>
        </w:rPr>
        <w:tab/>
        <w:t>Haftungsausschluss</w:t>
      </w:r>
    </w:p>
    <w:p w14:paraId="224FF1D5" w14:textId="77777777" w:rsidR="00962B5A" w:rsidRPr="001E52CE" w:rsidRDefault="00962B5A" w:rsidP="00F76AA9">
      <w:pPr>
        <w:keepNext/>
        <w:rPr>
          <w:bCs/>
          <w:lang w:val="de-DE"/>
        </w:rPr>
      </w:pPr>
    </w:p>
    <w:p w14:paraId="6FFD3C09" w14:textId="77777777" w:rsidR="00962B5A" w:rsidRPr="001E52CE" w:rsidRDefault="00962B5A" w:rsidP="00F76AA9">
      <w:pPr>
        <w:keepNext/>
        <w:rPr>
          <w:bCs/>
          <w:lang w:val="de-DE"/>
        </w:rPr>
      </w:pPr>
      <w:r w:rsidRPr="001E52CE">
        <w:rPr>
          <w:lang w:val="de-DE"/>
        </w:rPr>
        <w:t xml:space="preserve">5.1 </w:t>
      </w:r>
      <w:r w:rsidRPr="001E52CE">
        <w:rPr>
          <w:lang w:val="de-DE"/>
        </w:rPr>
        <w:tab/>
        <w:t>Folgender Haftungsausschluss erscheint auf der PLUTO-Seite der UPOV-Website:</w:t>
      </w:r>
    </w:p>
    <w:p w14:paraId="60F5264B" w14:textId="77777777" w:rsidR="00962B5A" w:rsidRPr="001E52CE" w:rsidRDefault="00962B5A" w:rsidP="00F76AA9">
      <w:pPr>
        <w:keepNext/>
        <w:rPr>
          <w:bCs/>
          <w:lang w:val="de-DE"/>
        </w:rPr>
      </w:pPr>
    </w:p>
    <w:p w14:paraId="37CB035B" w14:textId="77777777" w:rsidR="00962B5A" w:rsidRPr="001E52CE" w:rsidRDefault="00962B5A" w:rsidP="00F76AA9">
      <w:pPr>
        <w:ind w:left="567" w:right="567"/>
        <w:rPr>
          <w:snapToGrid w:val="0"/>
          <w:sz w:val="18"/>
          <w:szCs w:val="18"/>
          <w:lang w:val="de-DE"/>
        </w:rPr>
      </w:pPr>
      <w:r w:rsidRPr="001E52CE">
        <w:rPr>
          <w:snapToGrid w:val="0"/>
          <w:sz w:val="18"/>
          <w:lang w:val="de-DE"/>
        </w:rPr>
        <w:t xml:space="preserve">„Die Daten in der Datenbank für Pflanzensorten (PLUTO-Datenbank) wurden zuletzt am [TT/MM/JJJJ] aktualisiert. </w:t>
      </w:r>
    </w:p>
    <w:p w14:paraId="024C9A6C" w14:textId="77777777" w:rsidR="00962B5A" w:rsidRPr="001E52CE" w:rsidRDefault="00962B5A" w:rsidP="00F76AA9">
      <w:pPr>
        <w:ind w:left="567" w:right="567"/>
        <w:rPr>
          <w:snapToGrid w:val="0"/>
          <w:sz w:val="18"/>
          <w:szCs w:val="18"/>
          <w:lang w:val="de-DE"/>
        </w:rPr>
      </w:pPr>
    </w:p>
    <w:p w14:paraId="4FCCC4F9" w14:textId="77777777" w:rsidR="00962B5A" w:rsidRPr="001E52CE" w:rsidRDefault="00962B5A" w:rsidP="00F76AA9">
      <w:pPr>
        <w:ind w:left="567" w:right="567"/>
        <w:rPr>
          <w:snapToGrid w:val="0"/>
          <w:sz w:val="18"/>
          <w:szCs w:val="18"/>
          <w:lang w:val="de-DE"/>
        </w:rPr>
      </w:pPr>
      <w:r w:rsidRPr="001E52CE">
        <w:rPr>
          <w:snapToGrid w:val="0"/>
          <w:sz w:val="18"/>
          <w:lang w:val="de-DE"/>
        </w:rPr>
        <w:t xml:space="preserve">„Um Zugang zu PLUTO zu erhalten, müssen Sie zunächst den nachstehenden Haftungsausschluss zur Kenntnis nehmen. </w:t>
      </w:r>
    </w:p>
    <w:p w14:paraId="7DAD76F2" w14:textId="77777777" w:rsidR="00962B5A" w:rsidRPr="001E52CE" w:rsidRDefault="00962B5A" w:rsidP="00F76AA9">
      <w:pPr>
        <w:ind w:left="567" w:right="567"/>
        <w:rPr>
          <w:snapToGrid w:val="0"/>
          <w:sz w:val="18"/>
          <w:szCs w:val="18"/>
          <w:lang w:val="de-DE"/>
        </w:rPr>
      </w:pPr>
    </w:p>
    <w:p w14:paraId="02B927BD" w14:textId="77777777" w:rsidR="00962B5A" w:rsidRPr="008B37C7" w:rsidRDefault="00962B5A" w:rsidP="00F76AA9">
      <w:pPr>
        <w:ind w:left="567" w:right="567"/>
        <w:rPr>
          <w:snapToGrid w:val="0"/>
          <w:spacing w:val="-2"/>
          <w:sz w:val="18"/>
          <w:szCs w:val="18"/>
          <w:lang w:val="de-DE"/>
        </w:rPr>
      </w:pPr>
      <w:r w:rsidRPr="001E52CE">
        <w:rPr>
          <w:snapToGrid w:val="0"/>
          <w:sz w:val="18"/>
          <w:lang w:val="de-DE"/>
        </w:rPr>
        <w:t>„Bitte beachten Sie, daß die Informationen über Züchterrechte in der PLUTO-Datenbank nicht der amtlichen Veröffentlichung der betre</w:t>
      </w:r>
      <w:r w:rsidR="0032421C" w:rsidRPr="001E52CE">
        <w:rPr>
          <w:snapToGrid w:val="0"/>
          <w:sz w:val="18"/>
          <w:lang w:val="de-DE"/>
        </w:rPr>
        <w:t xml:space="preserve">ffenden Behörden entsprechen.  </w:t>
      </w:r>
      <w:r w:rsidRPr="001E52CE">
        <w:rPr>
          <w:snapToGrid w:val="0"/>
          <w:sz w:val="18"/>
          <w:lang w:val="de-DE"/>
        </w:rPr>
        <w:t xml:space="preserve">Um die amtliche Veröffentlichung einzusehen oder Einzelheiten zum Status und zur Vollständigkeit der Informationen in der PLUTO-Datenbank zu erhalten, bitte Verbindung mit der entsprechenden Behörde aufnehmen, deren Kontaktdaten unter  </w:t>
      </w:r>
      <w:hyperlink r:id="rId16" w:history="1">
        <w:r w:rsidRPr="001E52CE">
          <w:rPr>
            <w:snapToGrid w:val="0"/>
            <w:color w:val="0000FF"/>
            <w:sz w:val="18"/>
            <w:u w:val="single"/>
            <w:lang w:val="de-DE"/>
          </w:rPr>
          <w:t>http://www.upov.int/members/en/pvp_offices.html</w:t>
        </w:r>
      </w:hyperlink>
      <w:r w:rsidRPr="008B37C7">
        <w:rPr>
          <w:snapToGrid w:val="0"/>
          <w:sz w:val="18"/>
          <w:lang w:val="de-DE"/>
        </w:rPr>
        <w:t>.</w:t>
      </w:r>
    </w:p>
    <w:p w14:paraId="14364106" w14:textId="77777777" w:rsidR="00962B5A" w:rsidRPr="008B37C7" w:rsidRDefault="00962B5A" w:rsidP="00F76AA9">
      <w:pPr>
        <w:ind w:left="567" w:right="567"/>
        <w:rPr>
          <w:snapToGrid w:val="0"/>
          <w:sz w:val="18"/>
          <w:szCs w:val="18"/>
          <w:lang w:val="de-DE"/>
        </w:rPr>
      </w:pPr>
    </w:p>
    <w:p w14:paraId="006941FA" w14:textId="77777777" w:rsidR="00962B5A" w:rsidRPr="008B37C7" w:rsidRDefault="00962B5A" w:rsidP="00F76AA9">
      <w:pPr>
        <w:ind w:left="567" w:right="567"/>
        <w:rPr>
          <w:snapToGrid w:val="0"/>
          <w:sz w:val="18"/>
          <w:szCs w:val="18"/>
          <w:lang w:val="de-DE"/>
        </w:rPr>
      </w:pPr>
      <w:r w:rsidRPr="008B37C7">
        <w:rPr>
          <w:snapToGrid w:val="0"/>
          <w:sz w:val="18"/>
          <w:lang w:val="de-DE"/>
        </w:rPr>
        <w:t>„Wer Beiträge zu der PLUTO-Datenbank leistet, ist für die Richtigkeit und Vollständigkeit der eingereichten Daten verantwortlich.</w:t>
      </w:r>
      <w:r w:rsidRPr="008B37C7">
        <w:rPr>
          <w:snapToGrid w:val="0"/>
          <w:sz w:val="18"/>
          <w:lang w:val="de-DE"/>
        </w:rPr>
        <w:cr/>
      </w:r>
      <w:r w:rsidRPr="008B37C7">
        <w:rPr>
          <w:snapToGrid w:val="0"/>
          <w:sz w:val="18"/>
          <w:lang w:val="de-DE"/>
        </w:rPr>
        <w:br/>
        <w:t xml:space="preserve">  Die Benutzer werden insbesondere gebeten zu beachten, daß die Verbandsmitglieder nicht verpflichtet sind, Daten für die PLUTO-Datenbank einzureichen, und diejenigen Verbandsmitglieder, die Daten einreichen, nicht für alle Informationsteile Daten einreichen müssen."</w:t>
      </w:r>
      <w:r w:rsidRPr="008B37C7">
        <w:rPr>
          <w:snapToGrid w:val="0"/>
          <w:sz w:val="18"/>
          <w:lang w:val="de-DE"/>
        </w:rPr>
        <w:cr/>
      </w:r>
      <w:r w:rsidRPr="008B37C7">
        <w:rPr>
          <w:snapToGrid w:val="0"/>
          <w:sz w:val="18"/>
          <w:lang w:val="de-DE"/>
        </w:rPr>
        <w:br/>
      </w:r>
    </w:p>
    <w:p w14:paraId="6114C02D" w14:textId="77777777" w:rsidR="00962B5A" w:rsidRPr="008B37C7" w:rsidRDefault="00962B5A" w:rsidP="00F76AA9">
      <w:pPr>
        <w:rPr>
          <w:bCs/>
          <w:lang w:val="de-DE"/>
        </w:rPr>
      </w:pPr>
    </w:p>
    <w:p w14:paraId="741D6C91" w14:textId="77777777" w:rsidR="00962B5A" w:rsidRPr="008B37C7" w:rsidRDefault="00962B5A" w:rsidP="00F76AA9">
      <w:pPr>
        <w:rPr>
          <w:bCs/>
          <w:lang w:val="de-DE"/>
        </w:rPr>
      </w:pPr>
      <w:r w:rsidRPr="008B37C7">
        <w:rPr>
          <w:lang w:val="de-DE"/>
        </w:rPr>
        <w:t xml:space="preserve">5.2 </w:t>
      </w:r>
      <w:r w:rsidRPr="008B37C7">
        <w:rPr>
          <w:lang w:val="de-DE"/>
        </w:rPr>
        <w:tab/>
        <w:t>Folgender Haftungsausschluss erscheint mit Berichten, die durch die PLUTO-Datenbank generiert wurden:</w:t>
      </w:r>
    </w:p>
    <w:p w14:paraId="27DAE652" w14:textId="77777777" w:rsidR="00962B5A" w:rsidRPr="008B37C7" w:rsidRDefault="00962B5A" w:rsidP="00F76AA9">
      <w:pPr>
        <w:rPr>
          <w:bCs/>
          <w:lang w:val="de-DE"/>
        </w:rPr>
      </w:pPr>
    </w:p>
    <w:p w14:paraId="13C2A425" w14:textId="77777777" w:rsidR="00962B5A" w:rsidRPr="008B37C7" w:rsidRDefault="00962B5A" w:rsidP="00F76AA9">
      <w:pPr>
        <w:keepNext/>
        <w:ind w:left="567" w:right="567"/>
        <w:rPr>
          <w:snapToGrid w:val="0"/>
          <w:color w:val="000000" w:themeColor="text1"/>
          <w:sz w:val="18"/>
          <w:szCs w:val="18"/>
          <w:lang w:val="de-DE"/>
        </w:rPr>
      </w:pPr>
      <w:r w:rsidRPr="008B37C7">
        <w:rPr>
          <w:snapToGrid w:val="0"/>
          <w:sz w:val="18"/>
          <w:lang w:val="de-DE"/>
        </w:rPr>
        <w:t xml:space="preserve">„Die </w:t>
      </w:r>
      <w:hyperlink r:id="rId17" w:tgtFrame="_blank" w:history="1">
        <w:r w:rsidRPr="001E52CE">
          <w:rPr>
            <w:snapToGrid w:val="0"/>
            <w:color w:val="000000" w:themeColor="text1"/>
            <w:sz w:val="18"/>
            <w:u w:val="single"/>
            <w:lang w:val="de-DE"/>
          </w:rPr>
          <w:t>Daten in diesem Bericht</w:t>
        </w:r>
      </w:hyperlink>
      <w:r w:rsidRPr="008B37C7">
        <w:rPr>
          <w:snapToGrid w:val="0"/>
          <w:color w:val="000000" w:themeColor="text1"/>
          <w:sz w:val="18"/>
          <w:u w:val="single"/>
          <w:lang w:val="de-DE"/>
        </w:rPr>
        <w:t xml:space="preserve"> wurden am [TT/MM/JJJJ] von der PLUTO-Datenbank erstellt..  </w:t>
      </w:r>
      <w:r w:rsidRPr="008B37C7">
        <w:rPr>
          <w:snapToGrid w:val="0"/>
          <w:color w:val="000000" w:themeColor="text1"/>
          <w:sz w:val="18"/>
          <w:lang w:val="de-DE"/>
        </w:rPr>
        <w:t xml:space="preserve"> </w:t>
      </w:r>
    </w:p>
    <w:p w14:paraId="2D1FD671" w14:textId="77777777" w:rsidR="00962B5A" w:rsidRPr="008B37C7" w:rsidRDefault="00962B5A" w:rsidP="00F76AA9">
      <w:pPr>
        <w:keepNext/>
        <w:ind w:left="567" w:right="567"/>
        <w:rPr>
          <w:snapToGrid w:val="0"/>
          <w:color w:val="000000" w:themeColor="text1"/>
          <w:sz w:val="18"/>
          <w:szCs w:val="18"/>
          <w:lang w:val="de-DE"/>
        </w:rPr>
      </w:pPr>
    </w:p>
    <w:p w14:paraId="39726CF7" w14:textId="77777777" w:rsidR="00962B5A" w:rsidRPr="008B37C7" w:rsidRDefault="00962B5A" w:rsidP="00F76AA9">
      <w:pPr>
        <w:ind w:left="567" w:right="567"/>
        <w:rPr>
          <w:snapToGrid w:val="0"/>
          <w:spacing w:val="-2"/>
          <w:sz w:val="18"/>
          <w:szCs w:val="18"/>
          <w:lang w:val="de-DE"/>
        </w:rPr>
      </w:pPr>
      <w:r w:rsidRPr="008B37C7">
        <w:rPr>
          <w:snapToGrid w:val="0"/>
          <w:sz w:val="18"/>
          <w:lang w:val="de-DE"/>
        </w:rPr>
        <w:t xml:space="preserve">„Bitte beachten Sie, daß die Informationen über Züchterrechte in der PLUTO-Datenbank nicht der amtlichen Veröffentlichung der betreffenden Behörden entsprechen. </w:t>
      </w:r>
      <w:r w:rsidR="0032421C" w:rsidRPr="008B37C7">
        <w:rPr>
          <w:snapToGrid w:val="0"/>
          <w:sz w:val="18"/>
          <w:lang w:val="de-DE"/>
        </w:rPr>
        <w:t xml:space="preserve">Um die amtliche Veröffentlichung einzusehen oder Einzelheiten zum Status und zur Vollständigkeit der Informationen in der PLUTO-Datenbank zu erhalten, bitte Verbindung mit der entsprechenden Behörde aufnehmen, deren Kontaktdaten unter  </w:t>
      </w:r>
      <w:hyperlink r:id="rId18" w:history="1">
        <w:r w:rsidR="0032421C" w:rsidRPr="001E52CE">
          <w:rPr>
            <w:snapToGrid w:val="0"/>
            <w:color w:val="0000FF"/>
            <w:sz w:val="18"/>
            <w:u w:val="single"/>
            <w:lang w:val="de-DE"/>
          </w:rPr>
          <w:t>http://www.upov.int/members/en/pvp_offices.html</w:t>
        </w:r>
      </w:hyperlink>
      <w:r w:rsidR="0032421C" w:rsidRPr="008B37C7">
        <w:rPr>
          <w:snapToGrid w:val="0"/>
          <w:sz w:val="18"/>
          <w:lang w:val="de-DE"/>
        </w:rPr>
        <w:t>.</w:t>
      </w:r>
    </w:p>
    <w:p w14:paraId="75CB173E" w14:textId="77777777" w:rsidR="00962B5A" w:rsidRPr="008B37C7" w:rsidRDefault="00962B5A" w:rsidP="00F76AA9">
      <w:pPr>
        <w:ind w:left="567" w:right="567"/>
        <w:rPr>
          <w:snapToGrid w:val="0"/>
          <w:sz w:val="18"/>
          <w:szCs w:val="18"/>
          <w:lang w:val="de-DE"/>
        </w:rPr>
      </w:pPr>
    </w:p>
    <w:p w14:paraId="0B47ABB9" w14:textId="77777777" w:rsidR="00962B5A" w:rsidRPr="008B37C7" w:rsidRDefault="00962B5A" w:rsidP="00F76AA9">
      <w:pPr>
        <w:ind w:left="567" w:right="567"/>
        <w:rPr>
          <w:snapToGrid w:val="0"/>
          <w:sz w:val="18"/>
          <w:szCs w:val="18"/>
          <w:lang w:val="de-DE"/>
        </w:rPr>
      </w:pPr>
      <w:r w:rsidRPr="008B37C7">
        <w:rPr>
          <w:snapToGrid w:val="0"/>
          <w:sz w:val="18"/>
          <w:lang w:val="de-DE"/>
        </w:rPr>
        <w:t>„Wer Beiträge zu der PLUTO-Datenbank leistet, ist für die Richtigkeit und Vollständigkeit der eingereichten Daten verantwortlich</w:t>
      </w:r>
      <w:r w:rsidR="0032421C" w:rsidRPr="008B37C7">
        <w:rPr>
          <w:snapToGrid w:val="0"/>
          <w:sz w:val="18"/>
          <w:lang w:val="de-DE"/>
        </w:rPr>
        <w:t xml:space="preserve">. </w:t>
      </w:r>
      <w:r w:rsidRPr="008B37C7">
        <w:rPr>
          <w:snapToGrid w:val="0"/>
          <w:sz w:val="18"/>
          <w:lang w:val="de-DE"/>
        </w:rPr>
        <w:t xml:space="preserve">Die Benutzer werden insbesondere gebeten zu beachten, daß die Verbandsmitglieder nicht verpflichtet sind, Daten für die PLUTO-Datenbank einzureichen, und diejenigen Verbandsmitglieder, die Daten einreichen, nicht für alle Informationsteile Daten einreichen müssen." </w:t>
      </w:r>
    </w:p>
    <w:p w14:paraId="579397F8" w14:textId="77777777" w:rsidR="00962B5A" w:rsidRPr="008B37C7" w:rsidRDefault="00962B5A" w:rsidP="00F76AA9">
      <w:pPr>
        <w:rPr>
          <w:bCs/>
          <w:lang w:val="de-DE"/>
        </w:rPr>
      </w:pPr>
    </w:p>
    <w:p w14:paraId="5439F509" w14:textId="77777777" w:rsidR="00962B5A" w:rsidRPr="008B37C7" w:rsidRDefault="00962B5A" w:rsidP="00F76AA9">
      <w:pPr>
        <w:rPr>
          <w:bCs/>
          <w:lang w:val="de-DE"/>
        </w:rPr>
      </w:pPr>
    </w:p>
    <w:p w14:paraId="4E7A4258" w14:textId="77777777" w:rsidR="00962B5A" w:rsidRPr="008B37C7" w:rsidRDefault="00962B5A" w:rsidP="00F76AA9">
      <w:pPr>
        <w:keepNext/>
        <w:rPr>
          <w:bCs/>
          <w:i/>
          <w:iCs/>
          <w:lang w:val="de-DE"/>
        </w:rPr>
      </w:pPr>
      <w:r w:rsidRPr="008B37C7">
        <w:rPr>
          <w:i/>
          <w:lang w:val="de-DE"/>
        </w:rPr>
        <w:t>6.</w:t>
      </w:r>
      <w:r w:rsidRPr="008B37C7">
        <w:rPr>
          <w:i/>
          <w:lang w:val="de-DE"/>
        </w:rPr>
        <w:tab/>
        <w:t>Gemeinsame Suchplattform</w:t>
      </w:r>
    </w:p>
    <w:p w14:paraId="43500F46" w14:textId="77777777" w:rsidR="00962B5A" w:rsidRPr="008B37C7" w:rsidRDefault="00962B5A" w:rsidP="00F76AA9">
      <w:pPr>
        <w:keepNext/>
        <w:rPr>
          <w:bCs/>
          <w:i/>
          <w:iCs/>
          <w:lang w:val="de-DE"/>
        </w:rPr>
      </w:pPr>
    </w:p>
    <w:p w14:paraId="7166BA15" w14:textId="77777777" w:rsidR="00962B5A" w:rsidRPr="008B37C7" w:rsidRDefault="00962B5A" w:rsidP="00F76AA9">
      <w:pPr>
        <w:rPr>
          <w:bCs/>
          <w:lang w:val="de-DE"/>
        </w:rPr>
      </w:pPr>
      <w:r w:rsidRPr="001E52CE">
        <w:rPr>
          <w:noProof/>
        </w:rPr>
        <mc:AlternateContent>
          <mc:Choice Requires="wps">
            <w:drawing>
              <wp:anchor distT="0" distB="0" distL="114300" distR="114300" simplePos="0" relativeHeight="251659264" behindDoc="0" locked="0" layoutInCell="0" allowOverlap="1" wp14:anchorId="3E4551EA" wp14:editId="04644079">
                <wp:simplePos x="0" y="0"/>
                <wp:positionH relativeFrom="column">
                  <wp:posOffset>4225925</wp:posOffset>
                </wp:positionH>
                <wp:positionV relativeFrom="paragraph">
                  <wp:posOffset>754380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643D0" w14:textId="191BA40F" w:rsidR="006E4365" w:rsidRPr="009929A5" w:rsidRDefault="006E4365" w:rsidP="00962B5A">
                            <w:pPr>
                              <w:ind w:right="53"/>
                              <w:jc w:val="right"/>
                              <w:rPr>
                                <w:rFonts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551EA" id="_x0000_t202" coordsize="21600,21600" o:spt="202" path="m,l,21600r21600,l21600,xe">
                <v:stroke joinstyle="miter"/>
                <v:path gradientshapeok="t" o:connecttype="rect"/>
              </v:shapetype>
              <v:shape id="Text Box 4" o:spid="_x0000_s1026" type="#_x0000_t202" style="position:absolute;left:0;text-align:left;margin-left:332.75pt;margin-top:59.4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" o:allowincell="f" filled="f" stroked="f">
                <v:textbox inset="0,0,0,0">
                  <w:txbxContent>
                    <w:p w14:paraId="10A643D0" w14:textId="191BA40F" w:rsidR="006E4365" w:rsidRPr="009929A5" w:rsidRDefault="006E4365" w:rsidP="00962B5A">
                      <w:pPr>
                        <w:ind w:right="53"/>
                        <w:jc w:val="right"/>
                        <w:rPr>
                          <w:rFonts w:cs="Arial"/>
                        </w:rPr>
                      </w:pPr>
                    </w:p>
                  </w:txbxContent>
                </v:textbox>
              </v:shape>
            </w:pict>
          </mc:Fallback>
        </mc:AlternateContent>
      </w:r>
      <w:r w:rsidRPr="008B37C7">
        <w:rPr>
          <w:lang w:val="de-DE"/>
        </w:rPr>
        <w:t>Dem CAJ und dem TC wird über die Entwicklungen bei der Einrichtung einer gemeinsamen Suchplattform Bericht erstattet werden</w:t>
      </w:r>
      <w:r w:rsidR="0032421C" w:rsidRPr="008B37C7">
        <w:rPr>
          <w:lang w:val="de-DE"/>
        </w:rPr>
        <w:t xml:space="preserve">. </w:t>
      </w:r>
      <w:r w:rsidRPr="008B37C7">
        <w:rPr>
          <w:lang w:val="de-DE"/>
        </w:rPr>
        <w:t>Vorschläge bezüglich einer gemeinsamen Suchplattform werden dem TC und dem CAJ zur Prüfung vorgelegt werden.</w:t>
      </w:r>
    </w:p>
    <w:p w14:paraId="0CFDA6AD" w14:textId="1E696384" w:rsidR="003C3C72" w:rsidRDefault="003C3C72" w:rsidP="00F76AA9">
      <w:pPr>
        <w:jc w:val="left"/>
        <w:rPr>
          <w:bCs/>
          <w:lang w:val="de-DE"/>
        </w:rPr>
      </w:pPr>
    </w:p>
    <w:p w14:paraId="52759B41" w14:textId="69E5CE38" w:rsidR="00753350" w:rsidRDefault="00753350" w:rsidP="00F76AA9">
      <w:pPr>
        <w:jc w:val="left"/>
        <w:rPr>
          <w:bCs/>
          <w:lang w:val="de-DE"/>
        </w:rPr>
      </w:pPr>
      <w:r w:rsidRPr="00AE246C">
        <w:rPr>
          <w:rFonts w:cs="Arial"/>
          <w:bCs/>
          <w:noProof/>
        </w:rPr>
        <mc:AlternateContent>
          <mc:Choice Requires="wps">
            <w:drawing>
              <wp:anchor distT="0" distB="0" distL="114300" distR="114300" simplePos="0" relativeHeight="251661312" behindDoc="0" locked="0" layoutInCell="0" allowOverlap="1" wp14:anchorId="5BB27EEB" wp14:editId="07727EB5">
                <wp:simplePos x="0" y="0"/>
                <wp:positionH relativeFrom="margin">
                  <wp:align>right</wp:align>
                </wp:positionH>
                <wp:positionV relativeFrom="paragraph">
                  <wp:posOffset>18415</wp:posOffset>
                </wp:positionV>
                <wp:extent cx="1920875" cy="228600"/>
                <wp:effectExtent l="0" t="0"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8DCD0" w14:textId="76A6B57E" w:rsidR="00753350" w:rsidRPr="009929A5" w:rsidRDefault="00753350" w:rsidP="00753350">
                            <w:pPr>
                              <w:ind w:right="53"/>
                              <w:jc w:val="right"/>
                              <w:rPr>
                                <w:rFonts w:cs="Arial"/>
                              </w:rPr>
                            </w:pPr>
                            <w:r>
                              <w:rPr>
                                <w:snapToGrid w:val="0"/>
                              </w:rPr>
                              <w:t>[Anlage II folgt]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27EEB" id="_x0000_s1027" type="#_x0000_t202" style="position:absolute;margin-left:100.05pt;margin-top:1.45pt;width:151.25pt;height:1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XWrwIAALA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" o:allowincell="f" filled="f" stroked="f">
                <v:textbox inset="0,0,0,0">
                  <w:txbxContent>
                    <w:p w14:paraId="1238DCD0" w14:textId="76A6B57E" w:rsidR="00753350" w:rsidRPr="009929A5" w:rsidRDefault="00753350" w:rsidP="00753350">
                      <w:pPr>
                        <w:ind w:right="53"/>
                        <w:jc w:val="right"/>
                        <w:rPr>
                          <w:rFonts w:cs="Arial"/>
                        </w:rPr>
                      </w:pPr>
                      <w:r>
                        <w:rPr>
                          <w:snapToGrid w:val="0"/>
                        </w:rPr>
                        <w:t>[Anlage II folgt]</w:t>
                      </w:r>
                    </w:p>
                  </w:txbxContent>
                </v:textbox>
                <w10:wrap anchorx="margin"/>
              </v:shape>
            </w:pict>
          </mc:Fallback>
        </mc:AlternateContent>
      </w:r>
    </w:p>
    <w:p w14:paraId="7A1E7325" w14:textId="31D23FC9" w:rsidR="00753350" w:rsidRPr="001E52CE" w:rsidRDefault="00753350" w:rsidP="00F76AA9">
      <w:pPr>
        <w:jc w:val="left"/>
        <w:rPr>
          <w:bCs/>
          <w:lang w:val="de-DE"/>
        </w:rPr>
        <w:sectPr w:rsidR="00753350" w:rsidRPr="001E52CE" w:rsidSect="009704C9">
          <w:headerReference w:type="default" r:id="rId19"/>
          <w:footerReference w:type="default" r:id="rId20"/>
          <w:headerReference w:type="first" r:id="rId21"/>
          <w:footerReference w:type="first" r:id="rId22"/>
          <w:pgSz w:w="11907" w:h="16840"/>
          <w:pgMar w:top="510" w:right="1134" w:bottom="851" w:left="1134" w:header="510" w:footer="525" w:gutter="0"/>
          <w:pgNumType w:start="1"/>
          <w:cols w:space="720"/>
          <w:titlePg/>
          <w:docGrid w:linePitch="272"/>
        </w:sectPr>
      </w:pPr>
    </w:p>
    <w:p w14:paraId="79EFF5D0" w14:textId="77777777" w:rsidR="003C3C72" w:rsidRPr="001E52CE" w:rsidRDefault="003C3C72" w:rsidP="00F76AA9">
      <w:pPr>
        <w:jc w:val="center"/>
        <w:rPr>
          <w:rFonts w:eastAsia="SimSun" w:cs="Arial"/>
          <w:lang w:val="de-DE"/>
        </w:rPr>
      </w:pPr>
    </w:p>
    <w:p w14:paraId="05B62AE5" w14:textId="311A873D" w:rsidR="00E2384E" w:rsidRPr="008B37C7" w:rsidRDefault="00E2384E" w:rsidP="00F76AA9">
      <w:pPr>
        <w:jc w:val="center"/>
        <w:rPr>
          <w:lang w:val="de-DE"/>
        </w:rPr>
      </w:pPr>
      <w:r w:rsidRPr="001E52CE">
        <w:rPr>
          <w:lang w:val="de-DE"/>
        </w:rPr>
        <w:t>BERICHT ÜBER DIE VON DEN VERBANDSMITGLIEDERN UND ANDEREN BEITRAGSLEISTENDEN EINGEREICHTEN DATEN FÜR DIE DATENBANK FÜR PFLANZENSORTEN UND UNTERSTÜTZUNG FÜR DIE EINREICHUNG VON DATEN</w:t>
      </w:r>
    </w:p>
    <w:p w14:paraId="61C308D9" w14:textId="73523FDA" w:rsidR="006E4365" w:rsidRPr="008B37C7" w:rsidRDefault="006E4365" w:rsidP="00F76AA9">
      <w:pPr>
        <w:jc w:val="center"/>
        <w:rPr>
          <w:lang w:val="de-DE"/>
        </w:rPr>
      </w:pPr>
    </w:p>
    <w:tbl>
      <w:tblPr>
        <w:tblW w:w="9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2245"/>
        <w:gridCol w:w="450"/>
        <w:gridCol w:w="1350"/>
        <w:gridCol w:w="720"/>
        <w:gridCol w:w="630"/>
        <w:gridCol w:w="720"/>
        <w:gridCol w:w="720"/>
        <w:gridCol w:w="810"/>
        <w:gridCol w:w="1620"/>
      </w:tblGrid>
      <w:tr w:rsidR="006E4365" w:rsidRPr="00DF7E6C" w14:paraId="31DEE435" w14:textId="77777777" w:rsidTr="006E4365">
        <w:trPr>
          <w:cantSplit/>
          <w:tblHeader/>
        </w:trPr>
        <w:tc>
          <w:tcPr>
            <w:tcW w:w="2695" w:type="dxa"/>
            <w:gridSpan w:val="2"/>
            <w:vMerge w:val="restart"/>
            <w:shd w:val="clear" w:color="auto" w:fill="E6E6E6"/>
            <w:vAlign w:val="center"/>
          </w:tcPr>
          <w:p w14:paraId="2E05E984" w14:textId="5E543ABD"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Beitragsleistende</w:t>
            </w:r>
          </w:p>
        </w:tc>
        <w:tc>
          <w:tcPr>
            <w:tcW w:w="1350" w:type="dxa"/>
            <w:vMerge w:val="restart"/>
            <w:shd w:val="clear" w:color="auto" w:fill="E6E6E6"/>
            <w:vAlign w:val="center"/>
          </w:tcPr>
          <w:p w14:paraId="33DC3B2E" w14:textId="673D54DE" w:rsidR="006E4365" w:rsidRPr="008B37C7" w:rsidRDefault="006E4365" w:rsidP="00F76AA9">
            <w:pPr>
              <w:jc w:val="center"/>
              <w:rPr>
                <w:rFonts w:cs="Arial"/>
                <w:color w:val="000000"/>
                <w:sz w:val="16"/>
                <w:szCs w:val="16"/>
                <w:lang w:val="de-DE"/>
              </w:rPr>
            </w:pPr>
            <w:r w:rsidRPr="008B37C7">
              <w:rPr>
                <w:color w:val="000000"/>
                <w:sz w:val="16"/>
                <w:lang w:val="de-DE"/>
              </w:rPr>
              <w:t xml:space="preserve">Anzahl Anträge auf Erteilung von Züchterrechten im Jahr </w:t>
            </w:r>
            <w:r w:rsidRPr="008B37C7">
              <w:rPr>
                <w:rFonts w:cs="Arial"/>
                <w:color w:val="000000"/>
                <w:sz w:val="16"/>
                <w:szCs w:val="16"/>
                <w:lang w:val="de-DE"/>
              </w:rPr>
              <w:t>2019</w:t>
            </w:r>
            <w:r w:rsidRPr="008B37C7">
              <w:rPr>
                <w:rStyle w:val="FootnoteReference"/>
                <w:rFonts w:cs="Arial"/>
                <w:color w:val="000000"/>
                <w:sz w:val="16"/>
                <w:szCs w:val="16"/>
                <w:lang w:val="de-DE"/>
              </w:rPr>
              <w:footnoteReference w:id="8"/>
            </w:r>
          </w:p>
        </w:tc>
        <w:tc>
          <w:tcPr>
            <w:tcW w:w="5220" w:type="dxa"/>
            <w:gridSpan w:val="6"/>
            <w:tcBorders>
              <w:bottom w:val="single" w:sz="4" w:space="0" w:color="auto"/>
            </w:tcBorders>
            <w:shd w:val="clear" w:color="auto" w:fill="E6E6E6"/>
            <w:vAlign w:val="center"/>
          </w:tcPr>
          <w:p w14:paraId="22D71F77" w14:textId="362B2E18"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 xml:space="preserve">Anzahl neuer Einreichungen von Daten für die PLUTO-Datenbank </w:t>
            </w:r>
          </w:p>
        </w:tc>
      </w:tr>
      <w:tr w:rsidR="006E4365" w:rsidRPr="008B37C7" w14:paraId="01662242" w14:textId="77777777" w:rsidTr="006E4365">
        <w:trPr>
          <w:cantSplit/>
          <w:tblHeader/>
        </w:trPr>
        <w:tc>
          <w:tcPr>
            <w:tcW w:w="2695" w:type="dxa"/>
            <w:gridSpan w:val="2"/>
            <w:vMerge/>
            <w:tcBorders>
              <w:bottom w:val="single" w:sz="4" w:space="0" w:color="auto"/>
            </w:tcBorders>
            <w:shd w:val="clear" w:color="auto" w:fill="E6E6E6"/>
            <w:vAlign w:val="center"/>
          </w:tcPr>
          <w:p w14:paraId="4EE5A623" w14:textId="77777777" w:rsidR="006E4365" w:rsidRPr="008B37C7" w:rsidRDefault="006E4365" w:rsidP="00F76AA9">
            <w:pPr>
              <w:jc w:val="center"/>
              <w:rPr>
                <w:rFonts w:cs="Arial"/>
                <w:color w:val="000000"/>
                <w:sz w:val="16"/>
                <w:szCs w:val="16"/>
                <w:lang w:val="de-DE"/>
              </w:rPr>
            </w:pPr>
          </w:p>
        </w:tc>
        <w:tc>
          <w:tcPr>
            <w:tcW w:w="1350" w:type="dxa"/>
            <w:vMerge/>
            <w:tcBorders>
              <w:bottom w:val="single" w:sz="4" w:space="0" w:color="auto"/>
            </w:tcBorders>
            <w:shd w:val="clear" w:color="auto" w:fill="E6E6E6"/>
            <w:vAlign w:val="center"/>
          </w:tcPr>
          <w:p w14:paraId="5B23613C" w14:textId="77777777" w:rsidR="006E4365" w:rsidRPr="008B37C7" w:rsidRDefault="006E4365" w:rsidP="00F76AA9">
            <w:pPr>
              <w:jc w:val="center"/>
              <w:rPr>
                <w:rFonts w:cs="Arial"/>
                <w:color w:val="000000"/>
                <w:sz w:val="16"/>
                <w:szCs w:val="16"/>
                <w:lang w:val="de-DE"/>
              </w:rPr>
            </w:pPr>
          </w:p>
        </w:tc>
        <w:tc>
          <w:tcPr>
            <w:tcW w:w="720" w:type="dxa"/>
            <w:tcBorders>
              <w:bottom w:val="single" w:sz="4" w:space="0" w:color="auto"/>
            </w:tcBorders>
            <w:shd w:val="clear" w:color="auto" w:fill="E6E6E6"/>
            <w:vAlign w:val="center"/>
          </w:tcPr>
          <w:p w14:paraId="7756107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2016</w:t>
            </w:r>
          </w:p>
        </w:tc>
        <w:tc>
          <w:tcPr>
            <w:tcW w:w="630" w:type="dxa"/>
            <w:tcBorders>
              <w:bottom w:val="single" w:sz="4" w:space="0" w:color="auto"/>
            </w:tcBorders>
            <w:shd w:val="clear" w:color="auto" w:fill="E6E6E6"/>
            <w:vAlign w:val="center"/>
          </w:tcPr>
          <w:p w14:paraId="3BC18A21" w14:textId="77777777" w:rsidR="006E4365" w:rsidRPr="008B37C7" w:rsidRDefault="006E4365" w:rsidP="00F76AA9">
            <w:pPr>
              <w:jc w:val="center"/>
              <w:rPr>
                <w:rFonts w:cs="Arial"/>
                <w:sz w:val="16"/>
                <w:szCs w:val="16"/>
                <w:lang w:val="de-DE"/>
              </w:rPr>
            </w:pPr>
            <w:r w:rsidRPr="008B37C7">
              <w:rPr>
                <w:rFonts w:cs="Arial"/>
                <w:sz w:val="16"/>
                <w:szCs w:val="16"/>
                <w:lang w:val="de-DE"/>
              </w:rPr>
              <w:t>2017</w:t>
            </w:r>
          </w:p>
        </w:tc>
        <w:tc>
          <w:tcPr>
            <w:tcW w:w="720" w:type="dxa"/>
            <w:tcBorders>
              <w:bottom w:val="single" w:sz="4" w:space="0" w:color="auto"/>
            </w:tcBorders>
            <w:shd w:val="clear" w:color="auto" w:fill="E6E6E6"/>
            <w:vAlign w:val="center"/>
          </w:tcPr>
          <w:p w14:paraId="0ADCEE21" w14:textId="77777777" w:rsidR="006E4365" w:rsidRPr="008B37C7" w:rsidRDefault="006E4365" w:rsidP="00F76AA9">
            <w:pPr>
              <w:jc w:val="center"/>
              <w:rPr>
                <w:rFonts w:cs="Arial"/>
                <w:sz w:val="16"/>
                <w:szCs w:val="16"/>
                <w:lang w:val="de-DE"/>
              </w:rPr>
            </w:pPr>
            <w:r w:rsidRPr="008B37C7">
              <w:rPr>
                <w:rFonts w:cs="Arial"/>
                <w:sz w:val="16"/>
                <w:szCs w:val="16"/>
                <w:lang w:val="de-DE"/>
              </w:rPr>
              <w:t>2018</w:t>
            </w:r>
          </w:p>
        </w:tc>
        <w:tc>
          <w:tcPr>
            <w:tcW w:w="720" w:type="dxa"/>
            <w:tcBorders>
              <w:bottom w:val="single" w:sz="4" w:space="0" w:color="auto"/>
            </w:tcBorders>
            <w:shd w:val="clear" w:color="auto" w:fill="E6E6E6"/>
            <w:vAlign w:val="center"/>
          </w:tcPr>
          <w:p w14:paraId="58A82F2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2019</w:t>
            </w:r>
          </w:p>
        </w:tc>
        <w:tc>
          <w:tcPr>
            <w:tcW w:w="810" w:type="dxa"/>
            <w:tcBorders>
              <w:bottom w:val="single" w:sz="4" w:space="0" w:color="auto"/>
            </w:tcBorders>
            <w:shd w:val="clear" w:color="auto" w:fill="E6E6E6"/>
            <w:vAlign w:val="center"/>
          </w:tcPr>
          <w:p w14:paraId="472673E4"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2020</w:t>
            </w:r>
          </w:p>
        </w:tc>
        <w:tc>
          <w:tcPr>
            <w:tcW w:w="1620" w:type="dxa"/>
            <w:tcBorders>
              <w:bottom w:val="single" w:sz="4" w:space="0" w:color="auto"/>
            </w:tcBorders>
            <w:shd w:val="clear" w:color="auto" w:fill="E6E6E6"/>
          </w:tcPr>
          <w:p w14:paraId="2938C18E" w14:textId="5BCA040B" w:rsidR="006E4365" w:rsidRPr="008B37C7" w:rsidRDefault="006E4365" w:rsidP="00F76AA9">
            <w:pPr>
              <w:jc w:val="center"/>
              <w:rPr>
                <w:rFonts w:cs="Arial"/>
                <w:color w:val="000000"/>
                <w:sz w:val="16"/>
                <w:szCs w:val="16"/>
                <w:lang w:val="de-DE"/>
              </w:rPr>
            </w:pPr>
            <w:r w:rsidRPr="008B37C7">
              <w:rPr>
                <w:rFonts w:cs="Arial"/>
                <w:color w:val="000000" w:themeColor="text1"/>
                <w:sz w:val="16"/>
                <w:szCs w:val="16"/>
                <w:lang w:val="de-DE"/>
              </w:rPr>
              <w:t>2021</w:t>
            </w:r>
            <w:r w:rsidR="008B37C7">
              <w:rPr>
                <w:rFonts w:cs="Arial"/>
                <w:color w:val="000000"/>
                <w:sz w:val="16"/>
                <w:szCs w:val="16"/>
                <w:lang w:val="de-DE"/>
              </w:rPr>
              <w:t xml:space="preserve"> (bis zum 30. September</w:t>
            </w:r>
            <w:r w:rsidRPr="008B37C7">
              <w:rPr>
                <w:rFonts w:cs="Arial"/>
                <w:color w:val="000000"/>
                <w:sz w:val="16"/>
                <w:szCs w:val="16"/>
                <w:lang w:val="de-DE"/>
              </w:rPr>
              <w:t xml:space="preserve"> 2021)</w:t>
            </w:r>
          </w:p>
        </w:tc>
      </w:tr>
      <w:tr w:rsidR="006E4365" w:rsidRPr="008B37C7" w14:paraId="48189BF3" w14:textId="77777777" w:rsidTr="006E4365">
        <w:trPr>
          <w:cantSplit/>
        </w:trPr>
        <w:tc>
          <w:tcPr>
            <w:tcW w:w="2245" w:type="dxa"/>
            <w:shd w:val="clear" w:color="auto" w:fill="auto"/>
          </w:tcPr>
          <w:p w14:paraId="463CDDE5" w14:textId="77777777" w:rsidR="006E4365" w:rsidRPr="008B37C7" w:rsidRDefault="006E4365" w:rsidP="00F76AA9">
            <w:pPr>
              <w:jc w:val="left"/>
              <w:rPr>
                <w:rFonts w:cs="Arial"/>
                <w:sz w:val="16"/>
                <w:szCs w:val="16"/>
                <w:lang w:val="de-DE"/>
              </w:rPr>
            </w:pPr>
            <w:r w:rsidRPr="008B37C7">
              <w:rPr>
                <w:rFonts w:cs="Arial"/>
                <w:sz w:val="16"/>
                <w:szCs w:val="16"/>
                <w:lang w:val="de-DE"/>
              </w:rPr>
              <w:t>African Intellectual Property Organization</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28198292" w14:textId="77777777" w:rsidR="006E4365" w:rsidRPr="008B37C7" w:rsidRDefault="006E4365" w:rsidP="00F76AA9">
            <w:pPr>
              <w:jc w:val="center"/>
              <w:rPr>
                <w:rFonts w:cs="Arial"/>
                <w:sz w:val="16"/>
                <w:szCs w:val="16"/>
                <w:lang w:val="de-DE"/>
              </w:rPr>
            </w:pPr>
            <w:r w:rsidRPr="008B37C7">
              <w:rPr>
                <w:rFonts w:cs="Arial"/>
                <w:sz w:val="16"/>
                <w:szCs w:val="16"/>
                <w:lang w:val="de-DE"/>
              </w:rPr>
              <w:t>OA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5B2DAF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12</w:t>
            </w:r>
          </w:p>
        </w:tc>
        <w:tc>
          <w:tcPr>
            <w:tcW w:w="720" w:type="dxa"/>
            <w:tcBorders>
              <w:top w:val="single" w:sz="4" w:space="0" w:color="auto"/>
              <w:left w:val="nil"/>
              <w:bottom w:val="single" w:sz="4" w:space="0" w:color="auto"/>
              <w:right w:val="single" w:sz="4" w:space="0" w:color="auto"/>
            </w:tcBorders>
            <w:shd w:val="clear" w:color="auto" w:fill="auto"/>
            <w:vAlign w:val="center"/>
          </w:tcPr>
          <w:p w14:paraId="69869A2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single" w:sz="4" w:space="0" w:color="auto"/>
              <w:left w:val="nil"/>
              <w:bottom w:val="single" w:sz="4" w:space="0" w:color="auto"/>
              <w:right w:val="single" w:sz="4" w:space="0" w:color="auto"/>
            </w:tcBorders>
            <w:shd w:val="clear" w:color="auto" w:fill="auto"/>
            <w:vAlign w:val="center"/>
          </w:tcPr>
          <w:p w14:paraId="6BD4D05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single" w:sz="4" w:space="0" w:color="auto"/>
              <w:left w:val="nil"/>
              <w:bottom w:val="single" w:sz="4" w:space="0" w:color="auto"/>
              <w:right w:val="single" w:sz="4" w:space="0" w:color="auto"/>
            </w:tcBorders>
            <w:shd w:val="clear" w:color="000000" w:fill="FFFFFF"/>
            <w:vAlign w:val="center"/>
          </w:tcPr>
          <w:p w14:paraId="5E4A65D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single" w:sz="4" w:space="0" w:color="auto"/>
              <w:left w:val="nil"/>
              <w:bottom w:val="single" w:sz="4" w:space="0" w:color="auto"/>
              <w:right w:val="single" w:sz="4" w:space="0" w:color="auto"/>
            </w:tcBorders>
            <w:shd w:val="clear" w:color="auto" w:fill="auto"/>
            <w:vAlign w:val="center"/>
          </w:tcPr>
          <w:p w14:paraId="6731ABD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single" w:sz="4" w:space="0" w:color="auto"/>
              <w:left w:val="nil"/>
              <w:bottom w:val="single" w:sz="4" w:space="0" w:color="auto"/>
              <w:right w:val="single" w:sz="4" w:space="0" w:color="auto"/>
            </w:tcBorders>
            <w:shd w:val="clear" w:color="auto" w:fill="auto"/>
            <w:vAlign w:val="center"/>
          </w:tcPr>
          <w:p w14:paraId="779B376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single" w:sz="4" w:space="0" w:color="auto"/>
              <w:left w:val="nil"/>
              <w:bottom w:val="single" w:sz="4" w:space="0" w:color="auto"/>
              <w:right w:val="single" w:sz="4" w:space="0" w:color="auto"/>
            </w:tcBorders>
            <w:shd w:val="clear" w:color="auto" w:fill="auto"/>
            <w:vAlign w:val="center"/>
          </w:tcPr>
          <w:p w14:paraId="18A9E08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639A0288" w14:textId="77777777" w:rsidTr="006E4365">
        <w:trPr>
          <w:cantSplit/>
        </w:trPr>
        <w:tc>
          <w:tcPr>
            <w:tcW w:w="2245" w:type="dxa"/>
            <w:shd w:val="clear" w:color="auto" w:fill="auto"/>
          </w:tcPr>
          <w:p w14:paraId="7323967C" w14:textId="09B74142" w:rsidR="006E4365" w:rsidRPr="008B37C7" w:rsidRDefault="006E4365" w:rsidP="00F76AA9">
            <w:pPr>
              <w:jc w:val="left"/>
              <w:rPr>
                <w:rFonts w:cs="Arial"/>
                <w:sz w:val="16"/>
                <w:szCs w:val="16"/>
                <w:lang w:val="de-DE"/>
              </w:rPr>
            </w:pPr>
            <w:r w:rsidRPr="008B37C7">
              <w:rPr>
                <w:rFonts w:cs="Arial"/>
                <w:sz w:val="16"/>
                <w:szCs w:val="16"/>
                <w:lang w:val="de-DE"/>
              </w:rPr>
              <w:t>Albanien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375111C0" w14:textId="77777777" w:rsidR="006E4365" w:rsidRPr="008B37C7" w:rsidRDefault="006E4365" w:rsidP="00F76AA9">
            <w:pPr>
              <w:jc w:val="center"/>
              <w:rPr>
                <w:rFonts w:cs="Arial"/>
                <w:sz w:val="16"/>
                <w:szCs w:val="16"/>
                <w:lang w:val="de-DE"/>
              </w:rPr>
            </w:pPr>
            <w:r w:rsidRPr="008B37C7">
              <w:rPr>
                <w:rFonts w:cs="Arial"/>
                <w:sz w:val="16"/>
                <w:szCs w:val="16"/>
                <w:lang w:val="de-DE"/>
              </w:rPr>
              <w:t>AL</w:t>
            </w:r>
          </w:p>
        </w:tc>
        <w:tc>
          <w:tcPr>
            <w:tcW w:w="1350" w:type="dxa"/>
            <w:tcBorders>
              <w:top w:val="nil"/>
              <w:left w:val="single" w:sz="4" w:space="0" w:color="auto"/>
              <w:bottom w:val="single" w:sz="4" w:space="0" w:color="auto"/>
              <w:right w:val="single" w:sz="4" w:space="0" w:color="auto"/>
            </w:tcBorders>
            <w:shd w:val="clear" w:color="auto" w:fill="auto"/>
            <w:vAlign w:val="center"/>
          </w:tcPr>
          <w:p w14:paraId="3C22D295" w14:textId="582BD836" w:rsidR="006E4365" w:rsidRPr="008B37C7" w:rsidRDefault="008B37C7" w:rsidP="00F76AA9">
            <w:pPr>
              <w:jc w:val="center"/>
              <w:rPr>
                <w:rFonts w:cs="Arial"/>
                <w:color w:val="000000"/>
                <w:sz w:val="16"/>
                <w:szCs w:val="16"/>
                <w:lang w:val="de-DE"/>
              </w:rPr>
            </w:pPr>
            <w:r>
              <w:rPr>
                <w:rFonts w:cs="Arial"/>
                <w:color w:val="000000"/>
                <w:sz w:val="16"/>
                <w:szCs w:val="16"/>
                <w:lang w:val="de-DE"/>
              </w:rPr>
              <w:t>k.A.</w:t>
            </w:r>
          </w:p>
        </w:tc>
        <w:tc>
          <w:tcPr>
            <w:tcW w:w="720" w:type="dxa"/>
            <w:tcBorders>
              <w:top w:val="nil"/>
              <w:left w:val="nil"/>
              <w:bottom w:val="single" w:sz="4" w:space="0" w:color="auto"/>
              <w:right w:val="single" w:sz="4" w:space="0" w:color="auto"/>
            </w:tcBorders>
            <w:shd w:val="clear" w:color="auto" w:fill="auto"/>
            <w:vAlign w:val="center"/>
          </w:tcPr>
          <w:p w14:paraId="1EF5842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4BDCC1A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000000" w:fill="FFFFFF"/>
            <w:vAlign w:val="center"/>
          </w:tcPr>
          <w:p w14:paraId="6EFF42C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51B1647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1D692964"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66659F3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1BE193A9" w14:textId="77777777" w:rsidTr="006E4365">
        <w:trPr>
          <w:cantSplit/>
        </w:trPr>
        <w:tc>
          <w:tcPr>
            <w:tcW w:w="2245" w:type="dxa"/>
            <w:shd w:val="clear" w:color="auto" w:fill="auto"/>
          </w:tcPr>
          <w:p w14:paraId="265FF76C" w14:textId="632D03D1" w:rsidR="006E4365" w:rsidRPr="008B37C7" w:rsidRDefault="006E4365" w:rsidP="00F76AA9">
            <w:pPr>
              <w:jc w:val="left"/>
              <w:rPr>
                <w:rFonts w:cs="Arial"/>
                <w:sz w:val="16"/>
                <w:szCs w:val="16"/>
                <w:lang w:val="de-DE"/>
              </w:rPr>
            </w:pPr>
            <w:r w:rsidRPr="008B37C7">
              <w:rPr>
                <w:rFonts w:cs="Arial"/>
                <w:sz w:val="16"/>
                <w:szCs w:val="16"/>
                <w:lang w:val="de-DE"/>
              </w:rPr>
              <w:t>Argentinen</w:t>
            </w:r>
          </w:p>
        </w:tc>
        <w:tc>
          <w:tcPr>
            <w:tcW w:w="450" w:type="dxa"/>
            <w:tcBorders>
              <w:top w:val="nil"/>
              <w:left w:val="single" w:sz="4" w:space="0" w:color="auto"/>
              <w:bottom w:val="single" w:sz="4" w:space="0" w:color="auto"/>
              <w:right w:val="single" w:sz="4" w:space="0" w:color="auto"/>
            </w:tcBorders>
            <w:shd w:val="clear" w:color="auto" w:fill="auto"/>
            <w:vAlign w:val="bottom"/>
          </w:tcPr>
          <w:p w14:paraId="4AA39FCF" w14:textId="77777777" w:rsidR="006E4365" w:rsidRPr="008B37C7" w:rsidRDefault="006E4365" w:rsidP="00F76AA9">
            <w:pPr>
              <w:jc w:val="center"/>
              <w:rPr>
                <w:rFonts w:cs="Arial"/>
                <w:sz w:val="16"/>
                <w:szCs w:val="16"/>
                <w:lang w:val="de-DE"/>
              </w:rPr>
            </w:pPr>
            <w:r w:rsidRPr="008B37C7">
              <w:rPr>
                <w:rFonts w:cs="Arial"/>
                <w:sz w:val="16"/>
                <w:szCs w:val="16"/>
                <w:lang w:val="de-DE"/>
              </w:rPr>
              <w:t>AR</w:t>
            </w:r>
          </w:p>
        </w:tc>
        <w:tc>
          <w:tcPr>
            <w:tcW w:w="1350" w:type="dxa"/>
            <w:tcBorders>
              <w:top w:val="nil"/>
              <w:left w:val="single" w:sz="4" w:space="0" w:color="auto"/>
              <w:bottom w:val="single" w:sz="4" w:space="0" w:color="auto"/>
              <w:right w:val="single" w:sz="4" w:space="0" w:color="auto"/>
            </w:tcBorders>
            <w:shd w:val="clear" w:color="auto" w:fill="auto"/>
            <w:vAlign w:val="center"/>
          </w:tcPr>
          <w:p w14:paraId="02369D2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377</w:t>
            </w:r>
          </w:p>
        </w:tc>
        <w:tc>
          <w:tcPr>
            <w:tcW w:w="720" w:type="dxa"/>
            <w:tcBorders>
              <w:top w:val="nil"/>
              <w:left w:val="nil"/>
              <w:bottom w:val="single" w:sz="4" w:space="0" w:color="auto"/>
              <w:right w:val="single" w:sz="4" w:space="0" w:color="auto"/>
            </w:tcBorders>
            <w:shd w:val="clear" w:color="auto" w:fill="auto"/>
            <w:vAlign w:val="center"/>
          </w:tcPr>
          <w:p w14:paraId="043853B7"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630" w:type="dxa"/>
            <w:tcBorders>
              <w:top w:val="nil"/>
              <w:left w:val="nil"/>
              <w:bottom w:val="single" w:sz="4" w:space="0" w:color="auto"/>
              <w:right w:val="single" w:sz="4" w:space="0" w:color="auto"/>
            </w:tcBorders>
            <w:shd w:val="clear" w:color="auto" w:fill="auto"/>
            <w:vAlign w:val="center"/>
          </w:tcPr>
          <w:p w14:paraId="7FF045D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000000" w:fill="FFFFFF"/>
            <w:vAlign w:val="center"/>
          </w:tcPr>
          <w:p w14:paraId="3FB3EF9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74FC0C4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810" w:type="dxa"/>
            <w:tcBorders>
              <w:top w:val="nil"/>
              <w:left w:val="nil"/>
              <w:bottom w:val="single" w:sz="4" w:space="0" w:color="auto"/>
              <w:right w:val="single" w:sz="4" w:space="0" w:color="auto"/>
            </w:tcBorders>
            <w:shd w:val="clear" w:color="auto" w:fill="auto"/>
            <w:vAlign w:val="center"/>
          </w:tcPr>
          <w:p w14:paraId="04712E5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1620" w:type="dxa"/>
            <w:tcBorders>
              <w:top w:val="nil"/>
              <w:left w:val="nil"/>
              <w:bottom w:val="single" w:sz="4" w:space="0" w:color="auto"/>
              <w:right w:val="single" w:sz="4" w:space="0" w:color="auto"/>
            </w:tcBorders>
            <w:shd w:val="clear" w:color="auto" w:fill="auto"/>
            <w:vAlign w:val="center"/>
          </w:tcPr>
          <w:p w14:paraId="050B41A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r>
      <w:tr w:rsidR="006E4365" w:rsidRPr="008B37C7" w14:paraId="53DB1A9A" w14:textId="77777777" w:rsidTr="006E4365">
        <w:trPr>
          <w:cantSplit/>
        </w:trPr>
        <w:tc>
          <w:tcPr>
            <w:tcW w:w="2245" w:type="dxa"/>
            <w:tcBorders>
              <w:bottom w:val="single" w:sz="4" w:space="0" w:color="auto"/>
            </w:tcBorders>
            <w:shd w:val="clear" w:color="auto" w:fill="auto"/>
          </w:tcPr>
          <w:p w14:paraId="37EA6986" w14:textId="1E3EFE2F" w:rsidR="006E4365" w:rsidRPr="008B37C7" w:rsidRDefault="006E4365" w:rsidP="00F76AA9">
            <w:pPr>
              <w:jc w:val="left"/>
              <w:rPr>
                <w:rFonts w:cs="Arial"/>
                <w:sz w:val="16"/>
                <w:szCs w:val="16"/>
                <w:lang w:val="de-DE"/>
              </w:rPr>
            </w:pPr>
            <w:r w:rsidRPr="008B37C7">
              <w:rPr>
                <w:rFonts w:cs="Arial"/>
                <w:sz w:val="16"/>
                <w:szCs w:val="16"/>
                <w:lang w:val="de-DE"/>
              </w:rPr>
              <w:t>Australien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36DF1D2F" w14:textId="77777777" w:rsidR="006E4365" w:rsidRPr="008B37C7" w:rsidRDefault="006E4365" w:rsidP="00F76AA9">
            <w:pPr>
              <w:jc w:val="center"/>
              <w:rPr>
                <w:rFonts w:cs="Arial"/>
                <w:sz w:val="16"/>
                <w:szCs w:val="16"/>
                <w:lang w:val="de-DE"/>
              </w:rPr>
            </w:pPr>
            <w:r w:rsidRPr="008B37C7">
              <w:rPr>
                <w:rFonts w:cs="Arial"/>
                <w:sz w:val="16"/>
                <w:szCs w:val="16"/>
                <w:lang w:val="de-DE"/>
              </w:rPr>
              <w:t>AU</w:t>
            </w:r>
          </w:p>
        </w:tc>
        <w:tc>
          <w:tcPr>
            <w:tcW w:w="1350" w:type="dxa"/>
            <w:tcBorders>
              <w:top w:val="nil"/>
              <w:left w:val="single" w:sz="4" w:space="0" w:color="auto"/>
              <w:bottom w:val="single" w:sz="4" w:space="0" w:color="auto"/>
              <w:right w:val="single" w:sz="4" w:space="0" w:color="auto"/>
            </w:tcBorders>
            <w:shd w:val="clear" w:color="auto" w:fill="auto"/>
            <w:vAlign w:val="center"/>
          </w:tcPr>
          <w:p w14:paraId="286F764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281</w:t>
            </w:r>
          </w:p>
        </w:tc>
        <w:tc>
          <w:tcPr>
            <w:tcW w:w="720" w:type="dxa"/>
            <w:tcBorders>
              <w:top w:val="nil"/>
              <w:left w:val="nil"/>
              <w:bottom w:val="single" w:sz="4" w:space="0" w:color="auto"/>
              <w:right w:val="single" w:sz="4" w:space="0" w:color="auto"/>
            </w:tcBorders>
            <w:shd w:val="clear" w:color="auto" w:fill="auto"/>
            <w:vAlign w:val="center"/>
          </w:tcPr>
          <w:p w14:paraId="571A6D3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7</w:t>
            </w:r>
          </w:p>
        </w:tc>
        <w:tc>
          <w:tcPr>
            <w:tcW w:w="630" w:type="dxa"/>
            <w:tcBorders>
              <w:top w:val="nil"/>
              <w:left w:val="nil"/>
              <w:bottom w:val="single" w:sz="4" w:space="0" w:color="auto"/>
              <w:right w:val="single" w:sz="4" w:space="0" w:color="auto"/>
            </w:tcBorders>
            <w:shd w:val="clear" w:color="auto" w:fill="auto"/>
            <w:vAlign w:val="center"/>
          </w:tcPr>
          <w:p w14:paraId="2BDBEF5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c>
          <w:tcPr>
            <w:tcW w:w="720" w:type="dxa"/>
            <w:tcBorders>
              <w:top w:val="nil"/>
              <w:left w:val="nil"/>
              <w:bottom w:val="single" w:sz="4" w:space="0" w:color="auto"/>
              <w:right w:val="single" w:sz="4" w:space="0" w:color="auto"/>
            </w:tcBorders>
            <w:shd w:val="clear" w:color="000000" w:fill="FFFFFF"/>
            <w:vAlign w:val="center"/>
          </w:tcPr>
          <w:p w14:paraId="2F7A47E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22</w:t>
            </w:r>
          </w:p>
        </w:tc>
        <w:tc>
          <w:tcPr>
            <w:tcW w:w="720" w:type="dxa"/>
            <w:tcBorders>
              <w:top w:val="nil"/>
              <w:left w:val="nil"/>
              <w:bottom w:val="single" w:sz="4" w:space="0" w:color="auto"/>
              <w:right w:val="single" w:sz="4" w:space="0" w:color="auto"/>
            </w:tcBorders>
            <w:shd w:val="clear" w:color="auto" w:fill="auto"/>
            <w:vAlign w:val="center"/>
          </w:tcPr>
          <w:p w14:paraId="01246A1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19</w:t>
            </w:r>
          </w:p>
        </w:tc>
        <w:tc>
          <w:tcPr>
            <w:tcW w:w="810" w:type="dxa"/>
            <w:tcBorders>
              <w:top w:val="nil"/>
              <w:left w:val="nil"/>
              <w:bottom w:val="single" w:sz="4" w:space="0" w:color="auto"/>
              <w:right w:val="single" w:sz="4" w:space="0" w:color="auto"/>
            </w:tcBorders>
            <w:shd w:val="clear" w:color="auto" w:fill="auto"/>
            <w:vAlign w:val="center"/>
          </w:tcPr>
          <w:p w14:paraId="6D05D42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21</w:t>
            </w:r>
          </w:p>
        </w:tc>
        <w:tc>
          <w:tcPr>
            <w:tcW w:w="1620" w:type="dxa"/>
            <w:tcBorders>
              <w:top w:val="nil"/>
              <w:left w:val="nil"/>
              <w:bottom w:val="single" w:sz="4" w:space="0" w:color="auto"/>
              <w:right w:val="single" w:sz="4" w:space="0" w:color="auto"/>
            </w:tcBorders>
            <w:shd w:val="clear" w:color="auto" w:fill="auto"/>
            <w:vAlign w:val="center"/>
          </w:tcPr>
          <w:p w14:paraId="13A8F567"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r>
      <w:tr w:rsidR="006E4365" w:rsidRPr="008B37C7" w14:paraId="347EC885" w14:textId="77777777" w:rsidTr="006E4365">
        <w:trPr>
          <w:cantSplit/>
        </w:trPr>
        <w:tc>
          <w:tcPr>
            <w:tcW w:w="2245" w:type="dxa"/>
            <w:tcBorders>
              <w:bottom w:val="single" w:sz="4" w:space="0" w:color="auto"/>
            </w:tcBorders>
            <w:shd w:val="clear" w:color="auto" w:fill="auto"/>
          </w:tcPr>
          <w:p w14:paraId="179869E7" w14:textId="07913BB8" w:rsidR="006E4365" w:rsidRPr="008B37C7" w:rsidRDefault="00C94111" w:rsidP="00F76AA9">
            <w:pPr>
              <w:jc w:val="left"/>
              <w:rPr>
                <w:rFonts w:cs="Arial"/>
                <w:sz w:val="16"/>
                <w:szCs w:val="16"/>
                <w:lang w:val="de-DE"/>
              </w:rPr>
            </w:pPr>
            <w:r>
              <w:rPr>
                <w:rFonts w:cs="Arial"/>
                <w:sz w:val="16"/>
                <w:szCs w:val="16"/>
                <w:lang w:val="de-DE"/>
              </w:rPr>
              <w:t>Ö</w:t>
            </w:r>
            <w:r w:rsidR="006E4365" w:rsidRPr="008B37C7">
              <w:rPr>
                <w:rFonts w:cs="Arial"/>
                <w:sz w:val="16"/>
                <w:szCs w:val="16"/>
                <w:lang w:val="de-DE"/>
              </w:rPr>
              <w:t>sterreich</w:t>
            </w:r>
          </w:p>
        </w:tc>
        <w:tc>
          <w:tcPr>
            <w:tcW w:w="450" w:type="dxa"/>
            <w:tcBorders>
              <w:top w:val="nil"/>
              <w:left w:val="single" w:sz="4" w:space="0" w:color="auto"/>
              <w:bottom w:val="single" w:sz="4" w:space="0" w:color="auto"/>
              <w:right w:val="single" w:sz="4" w:space="0" w:color="auto"/>
            </w:tcBorders>
            <w:shd w:val="clear" w:color="auto" w:fill="auto"/>
            <w:vAlign w:val="bottom"/>
          </w:tcPr>
          <w:p w14:paraId="4D23823B" w14:textId="77777777" w:rsidR="006E4365" w:rsidRPr="008B37C7" w:rsidRDefault="006E4365" w:rsidP="00F76AA9">
            <w:pPr>
              <w:jc w:val="center"/>
              <w:rPr>
                <w:rFonts w:cs="Arial"/>
                <w:sz w:val="16"/>
                <w:szCs w:val="16"/>
                <w:lang w:val="de-DE"/>
              </w:rPr>
            </w:pPr>
            <w:r w:rsidRPr="008B37C7">
              <w:rPr>
                <w:rFonts w:cs="Arial"/>
                <w:sz w:val="16"/>
                <w:szCs w:val="16"/>
                <w:lang w:val="de-DE"/>
              </w:rPr>
              <w:t>AT</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6647FDE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000000" w:fill="BFBFBF"/>
            <w:vAlign w:val="center"/>
          </w:tcPr>
          <w:p w14:paraId="72E56DE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c>
          <w:tcPr>
            <w:tcW w:w="630" w:type="dxa"/>
            <w:tcBorders>
              <w:top w:val="nil"/>
              <w:left w:val="nil"/>
              <w:bottom w:val="single" w:sz="4" w:space="0" w:color="auto"/>
              <w:right w:val="single" w:sz="4" w:space="0" w:color="auto"/>
            </w:tcBorders>
            <w:shd w:val="clear" w:color="000000" w:fill="BFBFBF"/>
            <w:vAlign w:val="center"/>
          </w:tcPr>
          <w:p w14:paraId="66B5F39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c>
          <w:tcPr>
            <w:tcW w:w="720" w:type="dxa"/>
            <w:tcBorders>
              <w:top w:val="nil"/>
              <w:left w:val="nil"/>
              <w:bottom w:val="single" w:sz="4" w:space="0" w:color="auto"/>
              <w:right w:val="single" w:sz="4" w:space="0" w:color="auto"/>
            </w:tcBorders>
            <w:shd w:val="clear" w:color="000000" w:fill="BFBFBF"/>
            <w:vAlign w:val="center"/>
          </w:tcPr>
          <w:p w14:paraId="6D4F869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c>
          <w:tcPr>
            <w:tcW w:w="720" w:type="dxa"/>
            <w:tcBorders>
              <w:top w:val="nil"/>
              <w:left w:val="nil"/>
              <w:bottom w:val="single" w:sz="4" w:space="0" w:color="auto"/>
              <w:right w:val="single" w:sz="4" w:space="0" w:color="auto"/>
            </w:tcBorders>
            <w:shd w:val="clear" w:color="000000" w:fill="BFBFBF"/>
            <w:vAlign w:val="center"/>
          </w:tcPr>
          <w:p w14:paraId="1EEBC77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c>
          <w:tcPr>
            <w:tcW w:w="810" w:type="dxa"/>
            <w:tcBorders>
              <w:top w:val="nil"/>
              <w:left w:val="nil"/>
              <w:bottom w:val="single" w:sz="4" w:space="0" w:color="auto"/>
              <w:right w:val="single" w:sz="4" w:space="0" w:color="auto"/>
            </w:tcBorders>
            <w:shd w:val="clear" w:color="000000" w:fill="BFBFBF"/>
            <w:vAlign w:val="center"/>
          </w:tcPr>
          <w:p w14:paraId="56501471"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c>
          <w:tcPr>
            <w:tcW w:w="1620" w:type="dxa"/>
            <w:tcBorders>
              <w:top w:val="nil"/>
              <w:left w:val="nil"/>
              <w:bottom w:val="single" w:sz="4" w:space="0" w:color="auto"/>
              <w:right w:val="single" w:sz="4" w:space="0" w:color="auto"/>
            </w:tcBorders>
            <w:shd w:val="clear" w:color="000000" w:fill="BFBFBF"/>
            <w:vAlign w:val="center"/>
          </w:tcPr>
          <w:p w14:paraId="592D28B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r>
      <w:tr w:rsidR="006E4365" w:rsidRPr="008B37C7" w14:paraId="18DB61AD" w14:textId="77777777" w:rsidTr="006E4365">
        <w:trPr>
          <w:cantSplit/>
        </w:trPr>
        <w:tc>
          <w:tcPr>
            <w:tcW w:w="2245" w:type="dxa"/>
            <w:tcBorders>
              <w:bottom w:val="single" w:sz="4" w:space="0" w:color="auto"/>
            </w:tcBorders>
            <w:shd w:val="clear" w:color="auto" w:fill="auto"/>
          </w:tcPr>
          <w:p w14:paraId="7EDF7552" w14:textId="36CAAEDA" w:rsidR="006E4365" w:rsidRPr="008B37C7" w:rsidRDefault="006E4365" w:rsidP="00F76AA9">
            <w:pPr>
              <w:jc w:val="left"/>
              <w:rPr>
                <w:rFonts w:cs="Arial"/>
                <w:sz w:val="16"/>
                <w:szCs w:val="16"/>
                <w:lang w:val="de-DE"/>
              </w:rPr>
            </w:pPr>
            <w:r w:rsidRPr="008B37C7">
              <w:rPr>
                <w:sz w:val="16"/>
                <w:lang w:val="de-DE"/>
              </w:rPr>
              <w:t>Aserbaidschan</w:t>
            </w:r>
          </w:p>
        </w:tc>
        <w:tc>
          <w:tcPr>
            <w:tcW w:w="450" w:type="dxa"/>
            <w:tcBorders>
              <w:top w:val="nil"/>
              <w:left w:val="single" w:sz="4" w:space="0" w:color="auto"/>
              <w:bottom w:val="single" w:sz="4" w:space="0" w:color="auto"/>
              <w:right w:val="single" w:sz="4" w:space="0" w:color="auto"/>
            </w:tcBorders>
            <w:shd w:val="clear" w:color="auto" w:fill="auto"/>
            <w:vAlign w:val="bottom"/>
          </w:tcPr>
          <w:p w14:paraId="5DA4D747" w14:textId="77777777" w:rsidR="006E4365" w:rsidRPr="008B37C7" w:rsidRDefault="006E4365" w:rsidP="00F76AA9">
            <w:pPr>
              <w:jc w:val="center"/>
              <w:rPr>
                <w:rFonts w:cs="Arial"/>
                <w:sz w:val="16"/>
                <w:szCs w:val="16"/>
                <w:lang w:val="de-DE"/>
              </w:rPr>
            </w:pPr>
            <w:r w:rsidRPr="008B37C7">
              <w:rPr>
                <w:rFonts w:cs="Arial"/>
                <w:sz w:val="16"/>
                <w:szCs w:val="16"/>
                <w:lang w:val="de-DE"/>
              </w:rPr>
              <w:t>AZ</w:t>
            </w:r>
          </w:p>
        </w:tc>
        <w:tc>
          <w:tcPr>
            <w:tcW w:w="1350" w:type="dxa"/>
            <w:tcBorders>
              <w:top w:val="nil"/>
              <w:left w:val="single" w:sz="4" w:space="0" w:color="auto"/>
              <w:bottom w:val="single" w:sz="4" w:space="0" w:color="auto"/>
              <w:right w:val="single" w:sz="4" w:space="0" w:color="auto"/>
            </w:tcBorders>
            <w:shd w:val="clear" w:color="auto" w:fill="auto"/>
            <w:vAlign w:val="center"/>
          </w:tcPr>
          <w:p w14:paraId="17E3AED0" w14:textId="15C274D4" w:rsidR="006E4365" w:rsidRPr="008B37C7" w:rsidRDefault="008B37C7" w:rsidP="00F76AA9">
            <w:pPr>
              <w:jc w:val="center"/>
              <w:rPr>
                <w:rFonts w:cs="Arial"/>
                <w:color w:val="000000"/>
                <w:sz w:val="16"/>
                <w:szCs w:val="16"/>
                <w:lang w:val="de-DE"/>
              </w:rPr>
            </w:pPr>
            <w:r>
              <w:rPr>
                <w:rFonts w:cs="Arial"/>
                <w:color w:val="000000"/>
                <w:sz w:val="16"/>
                <w:szCs w:val="16"/>
                <w:lang w:val="de-DE"/>
              </w:rPr>
              <w:t>k.A.</w:t>
            </w:r>
          </w:p>
        </w:tc>
        <w:tc>
          <w:tcPr>
            <w:tcW w:w="720" w:type="dxa"/>
            <w:tcBorders>
              <w:top w:val="nil"/>
              <w:left w:val="nil"/>
              <w:bottom w:val="single" w:sz="4" w:space="0" w:color="auto"/>
              <w:right w:val="single" w:sz="4" w:space="0" w:color="auto"/>
            </w:tcBorders>
            <w:shd w:val="clear" w:color="auto" w:fill="auto"/>
            <w:vAlign w:val="center"/>
          </w:tcPr>
          <w:p w14:paraId="14B62A3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2B7F6DB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52A082C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72C61E2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3580974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2138BDF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075A23DE" w14:textId="77777777" w:rsidTr="006E4365">
        <w:trPr>
          <w:cantSplit/>
        </w:trPr>
        <w:tc>
          <w:tcPr>
            <w:tcW w:w="2245" w:type="dxa"/>
            <w:tcBorders>
              <w:bottom w:val="single" w:sz="4" w:space="0" w:color="auto"/>
            </w:tcBorders>
            <w:shd w:val="clear" w:color="auto" w:fill="auto"/>
          </w:tcPr>
          <w:p w14:paraId="333EFA3F" w14:textId="77777777" w:rsidR="006E4365" w:rsidRPr="008B37C7" w:rsidRDefault="006E4365" w:rsidP="00F76AA9">
            <w:pPr>
              <w:jc w:val="left"/>
              <w:rPr>
                <w:rFonts w:cs="Arial"/>
                <w:sz w:val="16"/>
                <w:szCs w:val="16"/>
                <w:lang w:val="de-DE"/>
              </w:rPr>
            </w:pPr>
            <w:r w:rsidRPr="008B37C7">
              <w:rPr>
                <w:rFonts w:cs="Arial"/>
                <w:sz w:val="16"/>
                <w:szCs w:val="16"/>
                <w:lang w:val="de-DE"/>
              </w:rPr>
              <w:t>Belarus</w:t>
            </w:r>
          </w:p>
        </w:tc>
        <w:tc>
          <w:tcPr>
            <w:tcW w:w="450" w:type="dxa"/>
            <w:tcBorders>
              <w:top w:val="nil"/>
              <w:left w:val="single" w:sz="4" w:space="0" w:color="auto"/>
              <w:bottom w:val="single" w:sz="4" w:space="0" w:color="auto"/>
              <w:right w:val="single" w:sz="4" w:space="0" w:color="auto"/>
            </w:tcBorders>
            <w:shd w:val="clear" w:color="auto" w:fill="auto"/>
            <w:vAlign w:val="bottom"/>
          </w:tcPr>
          <w:p w14:paraId="121318E8" w14:textId="77777777" w:rsidR="006E4365" w:rsidRPr="008B37C7" w:rsidRDefault="006E4365" w:rsidP="00F76AA9">
            <w:pPr>
              <w:jc w:val="center"/>
              <w:rPr>
                <w:rFonts w:cs="Arial"/>
                <w:sz w:val="16"/>
                <w:szCs w:val="16"/>
                <w:lang w:val="de-DE"/>
              </w:rPr>
            </w:pPr>
            <w:r w:rsidRPr="008B37C7">
              <w:rPr>
                <w:rFonts w:cs="Arial"/>
                <w:sz w:val="16"/>
                <w:szCs w:val="16"/>
                <w:lang w:val="de-DE"/>
              </w:rPr>
              <w:t>BY</w:t>
            </w:r>
          </w:p>
        </w:tc>
        <w:tc>
          <w:tcPr>
            <w:tcW w:w="1350" w:type="dxa"/>
            <w:tcBorders>
              <w:top w:val="nil"/>
              <w:left w:val="single" w:sz="4" w:space="0" w:color="auto"/>
              <w:bottom w:val="single" w:sz="4" w:space="0" w:color="auto"/>
              <w:right w:val="single" w:sz="4" w:space="0" w:color="auto"/>
            </w:tcBorders>
            <w:shd w:val="clear" w:color="auto" w:fill="auto"/>
            <w:vAlign w:val="center"/>
          </w:tcPr>
          <w:p w14:paraId="01AF43D8" w14:textId="7D2D2398" w:rsidR="006E4365" w:rsidRPr="008B37C7" w:rsidRDefault="008B37C7" w:rsidP="00F76AA9">
            <w:pPr>
              <w:jc w:val="center"/>
              <w:rPr>
                <w:rFonts w:cs="Arial"/>
                <w:color w:val="000000"/>
                <w:sz w:val="16"/>
                <w:szCs w:val="16"/>
                <w:lang w:val="de-DE"/>
              </w:rPr>
            </w:pPr>
            <w:r>
              <w:rPr>
                <w:rFonts w:cs="Arial"/>
                <w:color w:val="000000"/>
                <w:sz w:val="16"/>
                <w:szCs w:val="16"/>
                <w:lang w:val="de-DE"/>
              </w:rPr>
              <w:t>k.A.</w:t>
            </w:r>
          </w:p>
        </w:tc>
        <w:tc>
          <w:tcPr>
            <w:tcW w:w="720" w:type="dxa"/>
            <w:tcBorders>
              <w:top w:val="nil"/>
              <w:left w:val="nil"/>
              <w:bottom w:val="single" w:sz="4" w:space="0" w:color="auto"/>
              <w:right w:val="single" w:sz="4" w:space="0" w:color="auto"/>
            </w:tcBorders>
            <w:shd w:val="clear" w:color="auto" w:fill="auto"/>
            <w:vAlign w:val="center"/>
          </w:tcPr>
          <w:p w14:paraId="3BCA547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5C1820E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720" w:type="dxa"/>
            <w:tcBorders>
              <w:top w:val="nil"/>
              <w:left w:val="nil"/>
              <w:bottom w:val="single" w:sz="4" w:space="0" w:color="auto"/>
              <w:right w:val="single" w:sz="4" w:space="0" w:color="auto"/>
            </w:tcBorders>
            <w:shd w:val="clear" w:color="auto" w:fill="auto"/>
            <w:vAlign w:val="center"/>
          </w:tcPr>
          <w:p w14:paraId="24B2C7B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79A54944"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54F8AAF7"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62C3A9E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r>
      <w:tr w:rsidR="006E4365" w:rsidRPr="008B37C7" w14:paraId="2DDA5921" w14:textId="77777777" w:rsidTr="006E4365">
        <w:trPr>
          <w:cantSplit/>
        </w:trPr>
        <w:tc>
          <w:tcPr>
            <w:tcW w:w="2245" w:type="dxa"/>
            <w:tcBorders>
              <w:bottom w:val="single" w:sz="4" w:space="0" w:color="auto"/>
            </w:tcBorders>
            <w:shd w:val="clear" w:color="auto" w:fill="auto"/>
          </w:tcPr>
          <w:p w14:paraId="281EB56C" w14:textId="04046064" w:rsidR="006E4365" w:rsidRPr="008B37C7" w:rsidRDefault="006E4365" w:rsidP="00F76AA9">
            <w:pPr>
              <w:jc w:val="left"/>
              <w:rPr>
                <w:rFonts w:cs="Arial"/>
                <w:sz w:val="16"/>
                <w:szCs w:val="16"/>
                <w:lang w:val="de-DE"/>
              </w:rPr>
            </w:pPr>
            <w:r w:rsidRPr="008B37C7">
              <w:rPr>
                <w:sz w:val="16"/>
                <w:lang w:val="de-DE"/>
              </w:rPr>
              <w:t>Belgien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3D22A56F" w14:textId="77777777" w:rsidR="006E4365" w:rsidRPr="008B37C7" w:rsidRDefault="006E4365" w:rsidP="00F76AA9">
            <w:pPr>
              <w:jc w:val="center"/>
              <w:rPr>
                <w:rFonts w:cs="Arial"/>
                <w:sz w:val="16"/>
                <w:szCs w:val="16"/>
                <w:lang w:val="de-DE"/>
              </w:rPr>
            </w:pPr>
            <w:r w:rsidRPr="008B37C7">
              <w:rPr>
                <w:rFonts w:cs="Arial"/>
                <w:sz w:val="16"/>
                <w:szCs w:val="16"/>
                <w:lang w:val="de-DE"/>
              </w:rPr>
              <w:t>BE</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75316BD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720" w:type="dxa"/>
            <w:tcBorders>
              <w:top w:val="nil"/>
              <w:left w:val="nil"/>
              <w:bottom w:val="single" w:sz="4" w:space="0" w:color="auto"/>
              <w:right w:val="single" w:sz="4" w:space="0" w:color="auto"/>
            </w:tcBorders>
            <w:shd w:val="clear" w:color="000000" w:fill="BFBFBF"/>
            <w:vAlign w:val="center"/>
          </w:tcPr>
          <w:p w14:paraId="0401F84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c>
          <w:tcPr>
            <w:tcW w:w="630" w:type="dxa"/>
            <w:tcBorders>
              <w:top w:val="nil"/>
              <w:left w:val="nil"/>
              <w:bottom w:val="single" w:sz="4" w:space="0" w:color="auto"/>
              <w:right w:val="single" w:sz="4" w:space="0" w:color="auto"/>
            </w:tcBorders>
            <w:shd w:val="clear" w:color="000000" w:fill="BFBFBF"/>
            <w:vAlign w:val="center"/>
          </w:tcPr>
          <w:p w14:paraId="5A9DD2D1"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720" w:type="dxa"/>
            <w:tcBorders>
              <w:top w:val="nil"/>
              <w:left w:val="nil"/>
              <w:bottom w:val="single" w:sz="4" w:space="0" w:color="auto"/>
              <w:right w:val="single" w:sz="4" w:space="0" w:color="auto"/>
            </w:tcBorders>
            <w:shd w:val="clear" w:color="000000" w:fill="BFBFBF"/>
            <w:vAlign w:val="center"/>
          </w:tcPr>
          <w:p w14:paraId="73AD89C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c>
          <w:tcPr>
            <w:tcW w:w="720" w:type="dxa"/>
            <w:tcBorders>
              <w:top w:val="nil"/>
              <w:left w:val="nil"/>
              <w:bottom w:val="single" w:sz="4" w:space="0" w:color="auto"/>
              <w:right w:val="single" w:sz="4" w:space="0" w:color="auto"/>
            </w:tcBorders>
            <w:shd w:val="clear" w:color="000000" w:fill="BFBFBF"/>
            <w:vAlign w:val="center"/>
          </w:tcPr>
          <w:p w14:paraId="638B2F5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w:t>
            </w:r>
          </w:p>
        </w:tc>
        <w:tc>
          <w:tcPr>
            <w:tcW w:w="810" w:type="dxa"/>
            <w:tcBorders>
              <w:top w:val="nil"/>
              <w:left w:val="nil"/>
              <w:bottom w:val="single" w:sz="4" w:space="0" w:color="auto"/>
              <w:right w:val="single" w:sz="4" w:space="0" w:color="auto"/>
            </w:tcBorders>
            <w:shd w:val="clear" w:color="000000" w:fill="BFBFBF"/>
            <w:vAlign w:val="center"/>
          </w:tcPr>
          <w:p w14:paraId="6DA428A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c>
          <w:tcPr>
            <w:tcW w:w="1620" w:type="dxa"/>
            <w:tcBorders>
              <w:top w:val="nil"/>
              <w:left w:val="nil"/>
              <w:bottom w:val="single" w:sz="4" w:space="0" w:color="auto"/>
              <w:right w:val="single" w:sz="4" w:space="0" w:color="auto"/>
            </w:tcBorders>
            <w:shd w:val="clear" w:color="000000" w:fill="BFBFBF"/>
            <w:vAlign w:val="center"/>
          </w:tcPr>
          <w:p w14:paraId="4DB82E7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r>
      <w:tr w:rsidR="006E4365" w:rsidRPr="008B37C7" w14:paraId="37FC8742" w14:textId="77777777" w:rsidTr="006E4365">
        <w:trPr>
          <w:cantSplit/>
        </w:trPr>
        <w:tc>
          <w:tcPr>
            <w:tcW w:w="2245" w:type="dxa"/>
            <w:shd w:val="clear" w:color="auto" w:fill="auto"/>
          </w:tcPr>
          <w:p w14:paraId="2C9A03AF" w14:textId="19028E4C" w:rsidR="006E4365" w:rsidRPr="008B37C7" w:rsidRDefault="006E4365" w:rsidP="00F76AA9">
            <w:pPr>
              <w:jc w:val="left"/>
              <w:rPr>
                <w:rFonts w:cs="Arial"/>
                <w:sz w:val="16"/>
                <w:szCs w:val="16"/>
                <w:lang w:val="de-DE"/>
              </w:rPr>
            </w:pPr>
            <w:r w:rsidRPr="008B37C7">
              <w:rPr>
                <w:sz w:val="16"/>
                <w:lang w:val="de-DE"/>
              </w:rPr>
              <w:t>Bolivien (plurinationaler Staat)</w:t>
            </w:r>
          </w:p>
        </w:tc>
        <w:tc>
          <w:tcPr>
            <w:tcW w:w="450" w:type="dxa"/>
            <w:tcBorders>
              <w:top w:val="nil"/>
              <w:left w:val="single" w:sz="4" w:space="0" w:color="auto"/>
              <w:bottom w:val="single" w:sz="4" w:space="0" w:color="auto"/>
              <w:right w:val="single" w:sz="4" w:space="0" w:color="auto"/>
            </w:tcBorders>
            <w:shd w:val="clear" w:color="auto" w:fill="auto"/>
            <w:vAlign w:val="bottom"/>
          </w:tcPr>
          <w:p w14:paraId="2B8C08FF" w14:textId="77777777" w:rsidR="006E4365" w:rsidRPr="008B37C7" w:rsidRDefault="006E4365" w:rsidP="00F76AA9">
            <w:pPr>
              <w:jc w:val="center"/>
              <w:rPr>
                <w:rFonts w:cs="Arial"/>
                <w:sz w:val="16"/>
                <w:szCs w:val="16"/>
                <w:lang w:val="de-DE"/>
              </w:rPr>
            </w:pPr>
            <w:r w:rsidRPr="008B37C7">
              <w:rPr>
                <w:rFonts w:cs="Arial"/>
                <w:sz w:val="16"/>
                <w:szCs w:val="16"/>
                <w:lang w:val="de-DE"/>
              </w:rPr>
              <w:t>BO</w:t>
            </w:r>
          </w:p>
        </w:tc>
        <w:tc>
          <w:tcPr>
            <w:tcW w:w="1350" w:type="dxa"/>
            <w:tcBorders>
              <w:top w:val="nil"/>
              <w:left w:val="single" w:sz="4" w:space="0" w:color="auto"/>
              <w:bottom w:val="single" w:sz="4" w:space="0" w:color="auto"/>
              <w:right w:val="single" w:sz="4" w:space="0" w:color="auto"/>
            </w:tcBorders>
            <w:shd w:val="clear" w:color="auto" w:fill="auto"/>
            <w:vAlign w:val="center"/>
          </w:tcPr>
          <w:p w14:paraId="3641EFDC" w14:textId="0F850005" w:rsidR="006E4365" w:rsidRPr="008B37C7" w:rsidRDefault="008B37C7" w:rsidP="00F76AA9">
            <w:pPr>
              <w:jc w:val="center"/>
              <w:rPr>
                <w:rFonts w:cs="Arial"/>
                <w:color w:val="000000"/>
                <w:sz w:val="16"/>
                <w:szCs w:val="16"/>
                <w:lang w:val="de-DE"/>
              </w:rPr>
            </w:pPr>
            <w:r>
              <w:rPr>
                <w:rFonts w:cs="Arial"/>
                <w:color w:val="000000"/>
                <w:sz w:val="16"/>
                <w:szCs w:val="16"/>
                <w:lang w:val="de-DE"/>
              </w:rPr>
              <w:t>k.A.</w:t>
            </w:r>
          </w:p>
        </w:tc>
        <w:tc>
          <w:tcPr>
            <w:tcW w:w="720" w:type="dxa"/>
            <w:tcBorders>
              <w:top w:val="nil"/>
              <w:left w:val="nil"/>
              <w:bottom w:val="single" w:sz="4" w:space="0" w:color="auto"/>
              <w:right w:val="single" w:sz="4" w:space="0" w:color="auto"/>
            </w:tcBorders>
            <w:shd w:val="clear" w:color="auto" w:fill="auto"/>
            <w:vAlign w:val="center"/>
          </w:tcPr>
          <w:p w14:paraId="1A9BA0D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5F77253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720" w:type="dxa"/>
            <w:tcBorders>
              <w:top w:val="nil"/>
              <w:left w:val="nil"/>
              <w:bottom w:val="single" w:sz="4" w:space="0" w:color="auto"/>
              <w:right w:val="single" w:sz="4" w:space="0" w:color="auto"/>
            </w:tcBorders>
            <w:shd w:val="clear" w:color="auto" w:fill="auto"/>
            <w:vAlign w:val="center"/>
          </w:tcPr>
          <w:p w14:paraId="78DC5EA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392880D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61E487B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17371A6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r>
      <w:tr w:rsidR="006E4365" w:rsidRPr="008B37C7" w14:paraId="1A7931ED" w14:textId="77777777" w:rsidTr="006E4365">
        <w:trPr>
          <w:cantSplit/>
        </w:trPr>
        <w:tc>
          <w:tcPr>
            <w:tcW w:w="2245" w:type="dxa"/>
            <w:shd w:val="clear" w:color="auto" w:fill="auto"/>
          </w:tcPr>
          <w:p w14:paraId="6DDDBE66" w14:textId="30D24B1F" w:rsidR="006E4365" w:rsidRPr="008B37C7" w:rsidRDefault="006E4365" w:rsidP="00F76AA9">
            <w:pPr>
              <w:jc w:val="left"/>
              <w:rPr>
                <w:rFonts w:cs="Arial"/>
                <w:sz w:val="16"/>
                <w:szCs w:val="16"/>
                <w:lang w:val="de-DE"/>
              </w:rPr>
            </w:pPr>
            <w:r w:rsidRPr="008B37C7">
              <w:rPr>
                <w:sz w:val="16"/>
                <w:lang w:val="de-DE"/>
              </w:rPr>
              <w:t>Bosnien-Herzegowina</w:t>
            </w:r>
          </w:p>
        </w:tc>
        <w:tc>
          <w:tcPr>
            <w:tcW w:w="450" w:type="dxa"/>
            <w:tcBorders>
              <w:top w:val="nil"/>
              <w:left w:val="single" w:sz="4" w:space="0" w:color="auto"/>
              <w:bottom w:val="single" w:sz="4" w:space="0" w:color="auto"/>
              <w:right w:val="single" w:sz="4" w:space="0" w:color="auto"/>
            </w:tcBorders>
            <w:shd w:val="clear" w:color="auto" w:fill="auto"/>
            <w:vAlign w:val="bottom"/>
          </w:tcPr>
          <w:p w14:paraId="6EDE3D92" w14:textId="77777777" w:rsidR="006E4365" w:rsidRPr="008B37C7" w:rsidRDefault="006E4365" w:rsidP="00F76AA9">
            <w:pPr>
              <w:jc w:val="center"/>
              <w:rPr>
                <w:rFonts w:cs="Arial"/>
                <w:sz w:val="16"/>
                <w:szCs w:val="16"/>
                <w:lang w:val="de-DE"/>
              </w:rPr>
            </w:pPr>
            <w:r w:rsidRPr="008B37C7">
              <w:rPr>
                <w:rFonts w:cs="Arial"/>
                <w:sz w:val="16"/>
                <w:szCs w:val="16"/>
                <w:lang w:val="de-DE"/>
              </w:rPr>
              <w:t>BA</w:t>
            </w:r>
          </w:p>
        </w:tc>
        <w:tc>
          <w:tcPr>
            <w:tcW w:w="1350" w:type="dxa"/>
            <w:tcBorders>
              <w:top w:val="nil"/>
              <w:left w:val="single" w:sz="4" w:space="0" w:color="auto"/>
              <w:bottom w:val="single" w:sz="4" w:space="0" w:color="auto"/>
              <w:right w:val="single" w:sz="4" w:space="0" w:color="auto"/>
            </w:tcBorders>
            <w:shd w:val="clear" w:color="auto" w:fill="auto"/>
            <w:vAlign w:val="center"/>
          </w:tcPr>
          <w:p w14:paraId="5EED073E" w14:textId="098E92A0" w:rsidR="006E4365" w:rsidRPr="008B37C7" w:rsidRDefault="008B37C7" w:rsidP="00F76AA9">
            <w:pPr>
              <w:jc w:val="center"/>
              <w:rPr>
                <w:rFonts w:cs="Arial"/>
                <w:color w:val="000000"/>
                <w:sz w:val="16"/>
                <w:szCs w:val="16"/>
                <w:lang w:val="de-DE"/>
              </w:rPr>
            </w:pPr>
            <w:r>
              <w:rPr>
                <w:rFonts w:cs="Arial"/>
                <w:color w:val="000000"/>
                <w:sz w:val="16"/>
                <w:szCs w:val="16"/>
                <w:lang w:val="de-DE"/>
              </w:rPr>
              <w:t>k.A.</w:t>
            </w:r>
          </w:p>
        </w:tc>
        <w:tc>
          <w:tcPr>
            <w:tcW w:w="720" w:type="dxa"/>
            <w:tcBorders>
              <w:top w:val="nil"/>
              <w:left w:val="nil"/>
              <w:bottom w:val="single" w:sz="4" w:space="0" w:color="auto"/>
              <w:right w:val="single" w:sz="4" w:space="0" w:color="auto"/>
            </w:tcBorders>
            <w:shd w:val="clear" w:color="auto" w:fill="auto"/>
            <w:vAlign w:val="center"/>
          </w:tcPr>
          <w:p w14:paraId="463BC371" w14:textId="7FE2BE53" w:rsidR="006E4365" w:rsidRPr="008B37C7" w:rsidRDefault="00A1708F" w:rsidP="00F76AA9">
            <w:pPr>
              <w:jc w:val="center"/>
              <w:rPr>
                <w:rFonts w:cs="Arial"/>
                <w:color w:val="000000"/>
                <w:sz w:val="16"/>
                <w:szCs w:val="16"/>
                <w:lang w:val="de-DE"/>
              </w:rPr>
            </w:pPr>
            <w:r>
              <w:rPr>
                <w:rFonts w:cs="Arial"/>
                <w:color w:val="000000"/>
                <w:sz w:val="16"/>
                <w:szCs w:val="16"/>
                <w:lang w:val="de-DE"/>
              </w:rPr>
              <w:t>k.A.</w:t>
            </w:r>
          </w:p>
        </w:tc>
        <w:tc>
          <w:tcPr>
            <w:tcW w:w="630" w:type="dxa"/>
            <w:tcBorders>
              <w:top w:val="nil"/>
              <w:left w:val="nil"/>
              <w:bottom w:val="single" w:sz="4" w:space="0" w:color="auto"/>
              <w:right w:val="single" w:sz="4" w:space="0" w:color="auto"/>
            </w:tcBorders>
            <w:shd w:val="clear" w:color="auto" w:fill="auto"/>
            <w:vAlign w:val="center"/>
          </w:tcPr>
          <w:p w14:paraId="7DC5B1C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2442C09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2FE346D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3D213B6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3EF00EE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7B601A04" w14:textId="77777777" w:rsidTr="006E4365">
        <w:trPr>
          <w:cantSplit/>
        </w:trPr>
        <w:tc>
          <w:tcPr>
            <w:tcW w:w="2245" w:type="dxa"/>
            <w:tcBorders>
              <w:bottom w:val="single" w:sz="4" w:space="0" w:color="auto"/>
            </w:tcBorders>
            <w:shd w:val="clear" w:color="auto" w:fill="auto"/>
          </w:tcPr>
          <w:p w14:paraId="367D21CC" w14:textId="0B1C0E1A" w:rsidR="006E4365" w:rsidRPr="008B37C7" w:rsidRDefault="006E4365" w:rsidP="00F76AA9">
            <w:pPr>
              <w:jc w:val="left"/>
              <w:rPr>
                <w:rFonts w:cs="Arial"/>
                <w:sz w:val="16"/>
                <w:szCs w:val="16"/>
                <w:lang w:val="de-DE"/>
              </w:rPr>
            </w:pPr>
            <w:r w:rsidRPr="008B37C7">
              <w:rPr>
                <w:sz w:val="16"/>
                <w:lang w:val="de-DE"/>
              </w:rPr>
              <w:t>Brasilien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79865AA2" w14:textId="77777777" w:rsidR="006E4365" w:rsidRPr="008B37C7" w:rsidRDefault="006E4365" w:rsidP="00F76AA9">
            <w:pPr>
              <w:jc w:val="center"/>
              <w:rPr>
                <w:rFonts w:cs="Arial"/>
                <w:sz w:val="16"/>
                <w:szCs w:val="16"/>
                <w:lang w:val="de-DE"/>
              </w:rPr>
            </w:pPr>
            <w:r w:rsidRPr="008B37C7">
              <w:rPr>
                <w:rFonts w:cs="Arial"/>
                <w:sz w:val="16"/>
                <w:szCs w:val="16"/>
                <w:lang w:val="de-DE"/>
              </w:rPr>
              <w:t>BR</w:t>
            </w:r>
          </w:p>
        </w:tc>
        <w:tc>
          <w:tcPr>
            <w:tcW w:w="1350" w:type="dxa"/>
            <w:tcBorders>
              <w:top w:val="nil"/>
              <w:left w:val="single" w:sz="4" w:space="0" w:color="auto"/>
              <w:bottom w:val="single" w:sz="4" w:space="0" w:color="auto"/>
              <w:right w:val="single" w:sz="4" w:space="0" w:color="auto"/>
            </w:tcBorders>
            <w:shd w:val="clear" w:color="auto" w:fill="auto"/>
            <w:vAlign w:val="center"/>
          </w:tcPr>
          <w:p w14:paraId="324FFCA7"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283</w:t>
            </w:r>
          </w:p>
        </w:tc>
        <w:tc>
          <w:tcPr>
            <w:tcW w:w="720" w:type="dxa"/>
            <w:tcBorders>
              <w:top w:val="nil"/>
              <w:left w:val="nil"/>
              <w:bottom w:val="single" w:sz="4" w:space="0" w:color="auto"/>
              <w:right w:val="single" w:sz="4" w:space="0" w:color="auto"/>
            </w:tcBorders>
            <w:shd w:val="clear" w:color="auto" w:fill="auto"/>
            <w:vAlign w:val="center"/>
          </w:tcPr>
          <w:p w14:paraId="419C59A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2627297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720" w:type="dxa"/>
            <w:tcBorders>
              <w:top w:val="nil"/>
              <w:left w:val="nil"/>
              <w:bottom w:val="single" w:sz="4" w:space="0" w:color="auto"/>
              <w:right w:val="single" w:sz="4" w:space="0" w:color="auto"/>
            </w:tcBorders>
            <w:shd w:val="clear" w:color="000000" w:fill="FFFFFF"/>
            <w:vAlign w:val="center"/>
          </w:tcPr>
          <w:p w14:paraId="476F7C7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c>
          <w:tcPr>
            <w:tcW w:w="720" w:type="dxa"/>
            <w:tcBorders>
              <w:top w:val="nil"/>
              <w:left w:val="nil"/>
              <w:bottom w:val="single" w:sz="4" w:space="0" w:color="auto"/>
              <w:right w:val="single" w:sz="4" w:space="0" w:color="auto"/>
            </w:tcBorders>
            <w:shd w:val="clear" w:color="auto" w:fill="auto"/>
            <w:vAlign w:val="center"/>
          </w:tcPr>
          <w:p w14:paraId="1B07F70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11</w:t>
            </w:r>
          </w:p>
        </w:tc>
        <w:tc>
          <w:tcPr>
            <w:tcW w:w="810" w:type="dxa"/>
            <w:tcBorders>
              <w:top w:val="nil"/>
              <w:left w:val="nil"/>
              <w:bottom w:val="single" w:sz="4" w:space="0" w:color="auto"/>
              <w:right w:val="single" w:sz="4" w:space="0" w:color="auto"/>
            </w:tcBorders>
            <w:shd w:val="clear" w:color="auto" w:fill="auto"/>
            <w:vAlign w:val="center"/>
          </w:tcPr>
          <w:p w14:paraId="1B9D31D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11</w:t>
            </w:r>
          </w:p>
        </w:tc>
        <w:tc>
          <w:tcPr>
            <w:tcW w:w="1620" w:type="dxa"/>
            <w:tcBorders>
              <w:top w:val="nil"/>
              <w:left w:val="nil"/>
              <w:bottom w:val="single" w:sz="4" w:space="0" w:color="auto"/>
              <w:right w:val="single" w:sz="4" w:space="0" w:color="auto"/>
            </w:tcBorders>
            <w:shd w:val="clear" w:color="auto" w:fill="auto"/>
            <w:vAlign w:val="center"/>
          </w:tcPr>
          <w:p w14:paraId="788E04E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8</w:t>
            </w:r>
          </w:p>
        </w:tc>
      </w:tr>
      <w:tr w:rsidR="006E4365" w:rsidRPr="008B37C7" w14:paraId="3A260F32" w14:textId="77777777" w:rsidTr="006E4365">
        <w:trPr>
          <w:cantSplit/>
        </w:trPr>
        <w:tc>
          <w:tcPr>
            <w:tcW w:w="2245" w:type="dxa"/>
            <w:shd w:val="clear" w:color="auto" w:fill="auto"/>
          </w:tcPr>
          <w:p w14:paraId="30D2F986" w14:textId="61ABB31C" w:rsidR="006E4365" w:rsidRPr="008B37C7" w:rsidRDefault="006E4365" w:rsidP="00F76AA9">
            <w:pPr>
              <w:jc w:val="left"/>
              <w:rPr>
                <w:rFonts w:cs="Arial"/>
                <w:sz w:val="16"/>
                <w:szCs w:val="16"/>
                <w:lang w:val="de-DE"/>
              </w:rPr>
            </w:pPr>
            <w:r w:rsidRPr="008B37C7">
              <w:rPr>
                <w:sz w:val="16"/>
                <w:lang w:val="de-DE"/>
              </w:rPr>
              <w:t>Bulgarien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28BB5D14" w14:textId="77777777" w:rsidR="006E4365" w:rsidRPr="008B37C7" w:rsidRDefault="006E4365" w:rsidP="00F76AA9">
            <w:pPr>
              <w:jc w:val="center"/>
              <w:rPr>
                <w:rFonts w:cs="Arial"/>
                <w:sz w:val="16"/>
                <w:szCs w:val="16"/>
                <w:lang w:val="de-DE"/>
              </w:rPr>
            </w:pPr>
            <w:r w:rsidRPr="008B37C7">
              <w:rPr>
                <w:rFonts w:cs="Arial"/>
                <w:sz w:val="16"/>
                <w:szCs w:val="16"/>
                <w:lang w:val="de-DE"/>
              </w:rPr>
              <w:t>BG</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36EE821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25</w:t>
            </w:r>
          </w:p>
        </w:tc>
        <w:tc>
          <w:tcPr>
            <w:tcW w:w="720" w:type="dxa"/>
            <w:tcBorders>
              <w:top w:val="nil"/>
              <w:left w:val="nil"/>
              <w:bottom w:val="single" w:sz="4" w:space="0" w:color="auto"/>
              <w:right w:val="single" w:sz="4" w:space="0" w:color="auto"/>
            </w:tcBorders>
            <w:shd w:val="clear" w:color="000000" w:fill="BFBFBF"/>
            <w:vAlign w:val="center"/>
          </w:tcPr>
          <w:p w14:paraId="77024EB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w:t>
            </w:r>
          </w:p>
        </w:tc>
        <w:tc>
          <w:tcPr>
            <w:tcW w:w="630" w:type="dxa"/>
            <w:tcBorders>
              <w:top w:val="nil"/>
              <w:left w:val="nil"/>
              <w:bottom w:val="single" w:sz="4" w:space="0" w:color="auto"/>
              <w:right w:val="single" w:sz="4" w:space="0" w:color="auto"/>
            </w:tcBorders>
            <w:shd w:val="clear" w:color="000000" w:fill="BFBFBF"/>
            <w:vAlign w:val="center"/>
          </w:tcPr>
          <w:p w14:paraId="2E9223C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720" w:type="dxa"/>
            <w:tcBorders>
              <w:top w:val="nil"/>
              <w:left w:val="nil"/>
              <w:bottom w:val="single" w:sz="4" w:space="0" w:color="auto"/>
              <w:right w:val="single" w:sz="4" w:space="0" w:color="auto"/>
            </w:tcBorders>
            <w:shd w:val="clear" w:color="000000" w:fill="BFBFBF"/>
            <w:vAlign w:val="center"/>
          </w:tcPr>
          <w:p w14:paraId="3772B7B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c>
          <w:tcPr>
            <w:tcW w:w="720" w:type="dxa"/>
            <w:tcBorders>
              <w:top w:val="nil"/>
              <w:left w:val="nil"/>
              <w:bottom w:val="single" w:sz="4" w:space="0" w:color="auto"/>
              <w:right w:val="single" w:sz="4" w:space="0" w:color="auto"/>
            </w:tcBorders>
            <w:shd w:val="clear" w:color="000000" w:fill="BFBFBF"/>
            <w:vAlign w:val="center"/>
          </w:tcPr>
          <w:p w14:paraId="46FE08E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10</w:t>
            </w:r>
          </w:p>
        </w:tc>
        <w:tc>
          <w:tcPr>
            <w:tcW w:w="810" w:type="dxa"/>
            <w:tcBorders>
              <w:top w:val="nil"/>
              <w:left w:val="nil"/>
              <w:bottom w:val="single" w:sz="4" w:space="0" w:color="auto"/>
              <w:right w:val="single" w:sz="4" w:space="0" w:color="auto"/>
            </w:tcBorders>
            <w:shd w:val="clear" w:color="000000" w:fill="BFBFBF"/>
            <w:vAlign w:val="center"/>
          </w:tcPr>
          <w:p w14:paraId="1AA916B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10</w:t>
            </w:r>
          </w:p>
        </w:tc>
        <w:tc>
          <w:tcPr>
            <w:tcW w:w="1620" w:type="dxa"/>
            <w:tcBorders>
              <w:top w:val="nil"/>
              <w:left w:val="nil"/>
              <w:bottom w:val="single" w:sz="4" w:space="0" w:color="auto"/>
              <w:right w:val="single" w:sz="4" w:space="0" w:color="auto"/>
            </w:tcBorders>
            <w:shd w:val="clear" w:color="000000" w:fill="BFBFBF"/>
            <w:vAlign w:val="center"/>
          </w:tcPr>
          <w:p w14:paraId="63D9EB5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w:t>
            </w:r>
          </w:p>
        </w:tc>
      </w:tr>
      <w:tr w:rsidR="006E4365" w:rsidRPr="008B37C7" w14:paraId="3AB95A60" w14:textId="77777777" w:rsidTr="006E4365">
        <w:trPr>
          <w:cantSplit/>
        </w:trPr>
        <w:tc>
          <w:tcPr>
            <w:tcW w:w="2245" w:type="dxa"/>
            <w:shd w:val="clear" w:color="auto" w:fill="auto"/>
          </w:tcPr>
          <w:p w14:paraId="6121B98B" w14:textId="09A8351F" w:rsidR="006E4365" w:rsidRPr="008B37C7" w:rsidRDefault="006E4365" w:rsidP="00F76AA9">
            <w:pPr>
              <w:jc w:val="left"/>
              <w:rPr>
                <w:rFonts w:cs="Arial"/>
                <w:sz w:val="16"/>
                <w:szCs w:val="16"/>
                <w:lang w:val="de-DE"/>
              </w:rPr>
            </w:pPr>
            <w:r w:rsidRPr="008B37C7">
              <w:rPr>
                <w:sz w:val="16"/>
                <w:lang w:val="de-DE"/>
              </w:rPr>
              <w:t>Kanada</w:t>
            </w:r>
          </w:p>
        </w:tc>
        <w:tc>
          <w:tcPr>
            <w:tcW w:w="450" w:type="dxa"/>
            <w:tcBorders>
              <w:top w:val="nil"/>
              <w:left w:val="single" w:sz="4" w:space="0" w:color="auto"/>
              <w:bottom w:val="single" w:sz="4" w:space="0" w:color="auto"/>
              <w:right w:val="single" w:sz="4" w:space="0" w:color="auto"/>
            </w:tcBorders>
            <w:shd w:val="clear" w:color="auto" w:fill="auto"/>
            <w:vAlign w:val="bottom"/>
          </w:tcPr>
          <w:p w14:paraId="65D7F52B" w14:textId="77777777" w:rsidR="006E4365" w:rsidRPr="008B37C7" w:rsidRDefault="006E4365" w:rsidP="00F76AA9">
            <w:pPr>
              <w:jc w:val="center"/>
              <w:rPr>
                <w:rFonts w:cs="Arial"/>
                <w:sz w:val="16"/>
                <w:szCs w:val="16"/>
                <w:lang w:val="de-DE"/>
              </w:rPr>
            </w:pPr>
            <w:r w:rsidRPr="008B37C7">
              <w:rPr>
                <w:rFonts w:cs="Arial"/>
                <w:sz w:val="16"/>
                <w:szCs w:val="16"/>
                <w:lang w:val="de-DE"/>
              </w:rPr>
              <w:t>CA</w:t>
            </w:r>
          </w:p>
        </w:tc>
        <w:tc>
          <w:tcPr>
            <w:tcW w:w="1350" w:type="dxa"/>
            <w:tcBorders>
              <w:top w:val="nil"/>
              <w:left w:val="single" w:sz="4" w:space="0" w:color="auto"/>
              <w:bottom w:val="single" w:sz="4" w:space="0" w:color="auto"/>
              <w:right w:val="single" w:sz="4" w:space="0" w:color="auto"/>
            </w:tcBorders>
            <w:shd w:val="clear" w:color="auto" w:fill="auto"/>
            <w:vAlign w:val="center"/>
          </w:tcPr>
          <w:p w14:paraId="28E54D2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366</w:t>
            </w:r>
          </w:p>
        </w:tc>
        <w:tc>
          <w:tcPr>
            <w:tcW w:w="720" w:type="dxa"/>
            <w:tcBorders>
              <w:top w:val="nil"/>
              <w:left w:val="nil"/>
              <w:bottom w:val="single" w:sz="4" w:space="0" w:color="auto"/>
              <w:right w:val="single" w:sz="4" w:space="0" w:color="auto"/>
            </w:tcBorders>
            <w:shd w:val="clear" w:color="auto" w:fill="auto"/>
            <w:vAlign w:val="center"/>
          </w:tcPr>
          <w:p w14:paraId="7FCCFB5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10</w:t>
            </w:r>
          </w:p>
        </w:tc>
        <w:tc>
          <w:tcPr>
            <w:tcW w:w="630" w:type="dxa"/>
            <w:tcBorders>
              <w:top w:val="nil"/>
              <w:left w:val="nil"/>
              <w:bottom w:val="single" w:sz="4" w:space="0" w:color="auto"/>
              <w:right w:val="single" w:sz="4" w:space="0" w:color="auto"/>
            </w:tcBorders>
            <w:shd w:val="clear" w:color="auto" w:fill="auto"/>
            <w:vAlign w:val="center"/>
          </w:tcPr>
          <w:p w14:paraId="75D46C8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11</w:t>
            </w:r>
          </w:p>
        </w:tc>
        <w:tc>
          <w:tcPr>
            <w:tcW w:w="720" w:type="dxa"/>
            <w:tcBorders>
              <w:top w:val="nil"/>
              <w:left w:val="nil"/>
              <w:bottom w:val="single" w:sz="4" w:space="0" w:color="auto"/>
              <w:right w:val="single" w:sz="4" w:space="0" w:color="auto"/>
            </w:tcBorders>
            <w:shd w:val="clear" w:color="000000" w:fill="FFFFFF"/>
            <w:vAlign w:val="center"/>
          </w:tcPr>
          <w:p w14:paraId="7154BBE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10</w:t>
            </w:r>
          </w:p>
        </w:tc>
        <w:tc>
          <w:tcPr>
            <w:tcW w:w="720" w:type="dxa"/>
            <w:tcBorders>
              <w:top w:val="nil"/>
              <w:left w:val="nil"/>
              <w:bottom w:val="single" w:sz="4" w:space="0" w:color="auto"/>
              <w:right w:val="single" w:sz="4" w:space="0" w:color="auto"/>
            </w:tcBorders>
            <w:shd w:val="clear" w:color="auto" w:fill="auto"/>
            <w:vAlign w:val="center"/>
          </w:tcPr>
          <w:p w14:paraId="5AB8872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12</w:t>
            </w:r>
          </w:p>
        </w:tc>
        <w:tc>
          <w:tcPr>
            <w:tcW w:w="810" w:type="dxa"/>
            <w:tcBorders>
              <w:top w:val="nil"/>
              <w:left w:val="nil"/>
              <w:bottom w:val="single" w:sz="4" w:space="0" w:color="auto"/>
              <w:right w:val="single" w:sz="4" w:space="0" w:color="auto"/>
            </w:tcBorders>
            <w:shd w:val="clear" w:color="auto" w:fill="auto"/>
            <w:vAlign w:val="center"/>
          </w:tcPr>
          <w:p w14:paraId="74267421"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11</w:t>
            </w:r>
          </w:p>
        </w:tc>
        <w:tc>
          <w:tcPr>
            <w:tcW w:w="1620" w:type="dxa"/>
            <w:tcBorders>
              <w:top w:val="nil"/>
              <w:left w:val="nil"/>
              <w:bottom w:val="single" w:sz="4" w:space="0" w:color="auto"/>
              <w:right w:val="single" w:sz="4" w:space="0" w:color="auto"/>
            </w:tcBorders>
            <w:shd w:val="clear" w:color="auto" w:fill="auto"/>
            <w:vAlign w:val="center"/>
          </w:tcPr>
          <w:p w14:paraId="02420B5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7</w:t>
            </w:r>
          </w:p>
        </w:tc>
      </w:tr>
      <w:tr w:rsidR="006E4365" w:rsidRPr="008B37C7" w14:paraId="79AB9260" w14:textId="77777777" w:rsidTr="006E4365">
        <w:trPr>
          <w:cantSplit/>
        </w:trPr>
        <w:tc>
          <w:tcPr>
            <w:tcW w:w="2245" w:type="dxa"/>
            <w:tcBorders>
              <w:bottom w:val="single" w:sz="4" w:space="0" w:color="auto"/>
            </w:tcBorders>
            <w:shd w:val="clear" w:color="auto" w:fill="auto"/>
          </w:tcPr>
          <w:p w14:paraId="73CCEBF1" w14:textId="77777777" w:rsidR="006E4365" w:rsidRPr="008B37C7" w:rsidRDefault="006E4365" w:rsidP="00F76AA9">
            <w:pPr>
              <w:jc w:val="left"/>
              <w:rPr>
                <w:rFonts w:cs="Arial"/>
                <w:sz w:val="16"/>
                <w:szCs w:val="16"/>
                <w:lang w:val="de-DE"/>
              </w:rPr>
            </w:pPr>
            <w:r w:rsidRPr="008B37C7">
              <w:rPr>
                <w:rFonts w:cs="Arial"/>
                <w:sz w:val="16"/>
                <w:szCs w:val="16"/>
                <w:lang w:val="de-DE"/>
              </w:rPr>
              <w:t>Chile</w:t>
            </w:r>
          </w:p>
        </w:tc>
        <w:tc>
          <w:tcPr>
            <w:tcW w:w="450" w:type="dxa"/>
            <w:tcBorders>
              <w:top w:val="nil"/>
              <w:left w:val="single" w:sz="4" w:space="0" w:color="auto"/>
              <w:bottom w:val="single" w:sz="4" w:space="0" w:color="auto"/>
              <w:right w:val="single" w:sz="4" w:space="0" w:color="auto"/>
            </w:tcBorders>
            <w:shd w:val="clear" w:color="auto" w:fill="auto"/>
            <w:vAlign w:val="bottom"/>
          </w:tcPr>
          <w:p w14:paraId="17846FF1" w14:textId="77777777" w:rsidR="006E4365" w:rsidRPr="008B37C7" w:rsidRDefault="006E4365" w:rsidP="00F76AA9">
            <w:pPr>
              <w:jc w:val="center"/>
              <w:rPr>
                <w:rFonts w:cs="Arial"/>
                <w:sz w:val="16"/>
                <w:szCs w:val="16"/>
                <w:lang w:val="de-DE"/>
              </w:rPr>
            </w:pPr>
            <w:r w:rsidRPr="008B37C7">
              <w:rPr>
                <w:rFonts w:cs="Arial"/>
                <w:sz w:val="16"/>
                <w:szCs w:val="16"/>
                <w:lang w:val="de-DE"/>
              </w:rPr>
              <w:t>CL</w:t>
            </w:r>
          </w:p>
        </w:tc>
        <w:tc>
          <w:tcPr>
            <w:tcW w:w="1350" w:type="dxa"/>
            <w:tcBorders>
              <w:top w:val="nil"/>
              <w:left w:val="single" w:sz="4" w:space="0" w:color="auto"/>
              <w:bottom w:val="single" w:sz="4" w:space="0" w:color="auto"/>
              <w:right w:val="single" w:sz="4" w:space="0" w:color="auto"/>
            </w:tcBorders>
            <w:shd w:val="clear" w:color="auto" w:fill="auto"/>
            <w:vAlign w:val="center"/>
          </w:tcPr>
          <w:p w14:paraId="4EC73FE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82</w:t>
            </w:r>
          </w:p>
        </w:tc>
        <w:tc>
          <w:tcPr>
            <w:tcW w:w="720" w:type="dxa"/>
            <w:tcBorders>
              <w:top w:val="nil"/>
              <w:left w:val="nil"/>
              <w:bottom w:val="single" w:sz="4" w:space="0" w:color="auto"/>
              <w:right w:val="single" w:sz="4" w:space="0" w:color="auto"/>
            </w:tcBorders>
            <w:shd w:val="clear" w:color="auto" w:fill="auto"/>
            <w:vAlign w:val="center"/>
          </w:tcPr>
          <w:p w14:paraId="4CEB421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w:t>
            </w:r>
          </w:p>
        </w:tc>
        <w:tc>
          <w:tcPr>
            <w:tcW w:w="630" w:type="dxa"/>
            <w:tcBorders>
              <w:top w:val="nil"/>
              <w:left w:val="nil"/>
              <w:bottom w:val="single" w:sz="4" w:space="0" w:color="auto"/>
              <w:right w:val="single" w:sz="4" w:space="0" w:color="auto"/>
            </w:tcBorders>
            <w:shd w:val="clear" w:color="auto" w:fill="auto"/>
            <w:vAlign w:val="center"/>
          </w:tcPr>
          <w:p w14:paraId="7853E0B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c>
          <w:tcPr>
            <w:tcW w:w="720" w:type="dxa"/>
            <w:tcBorders>
              <w:top w:val="nil"/>
              <w:left w:val="nil"/>
              <w:bottom w:val="single" w:sz="4" w:space="0" w:color="auto"/>
              <w:right w:val="single" w:sz="4" w:space="0" w:color="auto"/>
            </w:tcBorders>
            <w:shd w:val="clear" w:color="000000" w:fill="FFFFFF"/>
            <w:vAlign w:val="center"/>
          </w:tcPr>
          <w:p w14:paraId="44DFF32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7</w:t>
            </w:r>
          </w:p>
        </w:tc>
        <w:tc>
          <w:tcPr>
            <w:tcW w:w="720" w:type="dxa"/>
            <w:tcBorders>
              <w:top w:val="nil"/>
              <w:left w:val="nil"/>
              <w:bottom w:val="single" w:sz="4" w:space="0" w:color="auto"/>
              <w:right w:val="single" w:sz="4" w:space="0" w:color="auto"/>
            </w:tcBorders>
            <w:shd w:val="clear" w:color="auto" w:fill="auto"/>
            <w:vAlign w:val="center"/>
          </w:tcPr>
          <w:p w14:paraId="5E807EA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w:t>
            </w:r>
          </w:p>
        </w:tc>
        <w:tc>
          <w:tcPr>
            <w:tcW w:w="810" w:type="dxa"/>
            <w:tcBorders>
              <w:top w:val="nil"/>
              <w:left w:val="nil"/>
              <w:bottom w:val="single" w:sz="4" w:space="0" w:color="auto"/>
              <w:right w:val="single" w:sz="4" w:space="0" w:color="auto"/>
            </w:tcBorders>
            <w:shd w:val="clear" w:color="auto" w:fill="auto"/>
            <w:vAlign w:val="center"/>
          </w:tcPr>
          <w:p w14:paraId="0288ACA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c>
          <w:tcPr>
            <w:tcW w:w="1620" w:type="dxa"/>
            <w:tcBorders>
              <w:top w:val="nil"/>
              <w:left w:val="nil"/>
              <w:bottom w:val="single" w:sz="4" w:space="0" w:color="auto"/>
              <w:right w:val="single" w:sz="4" w:space="0" w:color="auto"/>
            </w:tcBorders>
            <w:shd w:val="clear" w:color="auto" w:fill="auto"/>
            <w:vAlign w:val="center"/>
          </w:tcPr>
          <w:p w14:paraId="5055766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r>
      <w:tr w:rsidR="006E4365" w:rsidRPr="008B37C7" w14:paraId="75040907" w14:textId="77777777" w:rsidTr="006E4365">
        <w:trPr>
          <w:cantSplit/>
        </w:trPr>
        <w:tc>
          <w:tcPr>
            <w:tcW w:w="2245" w:type="dxa"/>
            <w:shd w:val="clear" w:color="auto" w:fill="auto"/>
          </w:tcPr>
          <w:p w14:paraId="461B589F" w14:textId="77777777" w:rsidR="006E4365" w:rsidRPr="008B37C7" w:rsidRDefault="006E4365" w:rsidP="00F76AA9">
            <w:pPr>
              <w:jc w:val="left"/>
              <w:rPr>
                <w:rFonts w:cs="Arial"/>
                <w:sz w:val="16"/>
                <w:szCs w:val="16"/>
                <w:lang w:val="de-DE"/>
              </w:rPr>
            </w:pPr>
            <w:r w:rsidRPr="008B37C7">
              <w:rPr>
                <w:rFonts w:cs="Arial"/>
                <w:sz w:val="16"/>
                <w:szCs w:val="16"/>
                <w:lang w:val="de-DE"/>
              </w:rPr>
              <w:t>China</w:t>
            </w:r>
          </w:p>
        </w:tc>
        <w:tc>
          <w:tcPr>
            <w:tcW w:w="450" w:type="dxa"/>
            <w:tcBorders>
              <w:top w:val="nil"/>
              <w:left w:val="single" w:sz="4" w:space="0" w:color="auto"/>
              <w:bottom w:val="single" w:sz="4" w:space="0" w:color="auto"/>
              <w:right w:val="single" w:sz="4" w:space="0" w:color="auto"/>
            </w:tcBorders>
            <w:shd w:val="clear" w:color="auto" w:fill="auto"/>
            <w:vAlign w:val="bottom"/>
          </w:tcPr>
          <w:p w14:paraId="2223AD65" w14:textId="77777777" w:rsidR="006E4365" w:rsidRPr="008B37C7" w:rsidRDefault="006E4365" w:rsidP="00F76AA9">
            <w:pPr>
              <w:jc w:val="center"/>
              <w:rPr>
                <w:rFonts w:cs="Arial"/>
                <w:sz w:val="16"/>
                <w:szCs w:val="16"/>
                <w:lang w:val="de-DE"/>
              </w:rPr>
            </w:pPr>
            <w:r w:rsidRPr="008B37C7">
              <w:rPr>
                <w:rFonts w:cs="Arial"/>
                <w:sz w:val="16"/>
                <w:szCs w:val="16"/>
                <w:lang w:val="de-DE"/>
              </w:rPr>
              <w:t>CN</w:t>
            </w:r>
          </w:p>
        </w:tc>
        <w:tc>
          <w:tcPr>
            <w:tcW w:w="1350" w:type="dxa"/>
            <w:tcBorders>
              <w:top w:val="nil"/>
              <w:left w:val="single" w:sz="4" w:space="0" w:color="auto"/>
              <w:bottom w:val="single" w:sz="4" w:space="0" w:color="auto"/>
              <w:right w:val="single" w:sz="4" w:space="0" w:color="auto"/>
            </w:tcBorders>
            <w:shd w:val="clear" w:color="auto" w:fill="auto"/>
            <w:vAlign w:val="center"/>
          </w:tcPr>
          <w:p w14:paraId="4DBFC92B" w14:textId="6CC5F61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7</w:t>
            </w:r>
            <w:r w:rsidR="008B37C7">
              <w:rPr>
                <w:rFonts w:cs="Arial"/>
                <w:color w:val="000000"/>
                <w:sz w:val="16"/>
                <w:szCs w:val="16"/>
                <w:lang w:val="de-DE"/>
              </w:rPr>
              <w:t xml:space="preserve"> </w:t>
            </w:r>
            <w:r w:rsidRPr="008B37C7">
              <w:rPr>
                <w:rFonts w:cs="Arial"/>
                <w:color w:val="000000"/>
                <w:sz w:val="16"/>
                <w:szCs w:val="16"/>
                <w:lang w:val="de-DE"/>
              </w:rPr>
              <w:t>834</w:t>
            </w:r>
          </w:p>
        </w:tc>
        <w:tc>
          <w:tcPr>
            <w:tcW w:w="720" w:type="dxa"/>
            <w:tcBorders>
              <w:top w:val="nil"/>
              <w:left w:val="nil"/>
              <w:bottom w:val="single" w:sz="4" w:space="0" w:color="auto"/>
              <w:right w:val="single" w:sz="4" w:space="0" w:color="auto"/>
            </w:tcBorders>
            <w:shd w:val="clear" w:color="auto" w:fill="auto"/>
            <w:vAlign w:val="center"/>
          </w:tcPr>
          <w:p w14:paraId="5195496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630" w:type="dxa"/>
            <w:tcBorders>
              <w:top w:val="nil"/>
              <w:left w:val="nil"/>
              <w:bottom w:val="single" w:sz="4" w:space="0" w:color="auto"/>
              <w:right w:val="single" w:sz="4" w:space="0" w:color="auto"/>
            </w:tcBorders>
            <w:shd w:val="clear" w:color="auto" w:fill="auto"/>
            <w:vAlign w:val="center"/>
          </w:tcPr>
          <w:p w14:paraId="672E5CB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720" w:type="dxa"/>
            <w:tcBorders>
              <w:top w:val="nil"/>
              <w:left w:val="nil"/>
              <w:bottom w:val="single" w:sz="4" w:space="0" w:color="auto"/>
              <w:right w:val="single" w:sz="4" w:space="0" w:color="auto"/>
            </w:tcBorders>
            <w:shd w:val="clear" w:color="000000" w:fill="FFFFFF"/>
            <w:vAlign w:val="center"/>
          </w:tcPr>
          <w:p w14:paraId="78A6F5C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38308AD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810" w:type="dxa"/>
            <w:tcBorders>
              <w:top w:val="nil"/>
              <w:left w:val="nil"/>
              <w:bottom w:val="single" w:sz="4" w:space="0" w:color="auto"/>
              <w:right w:val="single" w:sz="4" w:space="0" w:color="auto"/>
            </w:tcBorders>
            <w:shd w:val="clear" w:color="auto" w:fill="auto"/>
            <w:vAlign w:val="center"/>
          </w:tcPr>
          <w:p w14:paraId="394B648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1620" w:type="dxa"/>
            <w:tcBorders>
              <w:top w:val="nil"/>
              <w:left w:val="nil"/>
              <w:bottom w:val="single" w:sz="4" w:space="0" w:color="auto"/>
              <w:right w:val="single" w:sz="4" w:space="0" w:color="auto"/>
            </w:tcBorders>
            <w:shd w:val="clear" w:color="auto" w:fill="auto"/>
            <w:vAlign w:val="center"/>
          </w:tcPr>
          <w:p w14:paraId="1C5B48C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r>
      <w:tr w:rsidR="006E4365" w:rsidRPr="008B37C7" w14:paraId="4CEFC336" w14:textId="77777777" w:rsidTr="006E4365">
        <w:trPr>
          <w:cantSplit/>
        </w:trPr>
        <w:tc>
          <w:tcPr>
            <w:tcW w:w="2245" w:type="dxa"/>
            <w:tcBorders>
              <w:bottom w:val="single" w:sz="4" w:space="0" w:color="auto"/>
            </w:tcBorders>
            <w:shd w:val="clear" w:color="auto" w:fill="auto"/>
          </w:tcPr>
          <w:p w14:paraId="36DB52B8" w14:textId="7414F85C" w:rsidR="006E4365" w:rsidRPr="008B37C7" w:rsidRDefault="006E4365" w:rsidP="00F76AA9">
            <w:pPr>
              <w:jc w:val="left"/>
              <w:rPr>
                <w:rFonts w:cs="Arial"/>
                <w:sz w:val="16"/>
                <w:szCs w:val="16"/>
                <w:lang w:val="de-DE"/>
              </w:rPr>
            </w:pPr>
            <w:r w:rsidRPr="008B37C7">
              <w:rPr>
                <w:sz w:val="16"/>
                <w:lang w:val="de-DE"/>
              </w:rPr>
              <w:t>Kolumbien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17013C61" w14:textId="77777777" w:rsidR="006E4365" w:rsidRPr="008B37C7" w:rsidRDefault="006E4365" w:rsidP="00F76AA9">
            <w:pPr>
              <w:jc w:val="center"/>
              <w:rPr>
                <w:rFonts w:cs="Arial"/>
                <w:sz w:val="16"/>
                <w:szCs w:val="16"/>
                <w:lang w:val="de-DE"/>
              </w:rPr>
            </w:pPr>
            <w:r w:rsidRPr="008B37C7">
              <w:rPr>
                <w:rFonts w:cs="Arial"/>
                <w:sz w:val="16"/>
                <w:szCs w:val="16"/>
                <w:lang w:val="de-DE"/>
              </w:rPr>
              <w:t>CO</w:t>
            </w:r>
          </w:p>
        </w:tc>
        <w:tc>
          <w:tcPr>
            <w:tcW w:w="1350" w:type="dxa"/>
            <w:tcBorders>
              <w:top w:val="nil"/>
              <w:left w:val="single" w:sz="4" w:space="0" w:color="auto"/>
              <w:bottom w:val="single" w:sz="4" w:space="0" w:color="auto"/>
              <w:right w:val="single" w:sz="4" w:space="0" w:color="auto"/>
            </w:tcBorders>
            <w:shd w:val="clear" w:color="auto" w:fill="auto"/>
            <w:vAlign w:val="center"/>
          </w:tcPr>
          <w:p w14:paraId="25761F6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107</w:t>
            </w:r>
          </w:p>
        </w:tc>
        <w:tc>
          <w:tcPr>
            <w:tcW w:w="720" w:type="dxa"/>
            <w:tcBorders>
              <w:top w:val="nil"/>
              <w:left w:val="nil"/>
              <w:bottom w:val="single" w:sz="4" w:space="0" w:color="auto"/>
              <w:right w:val="single" w:sz="4" w:space="0" w:color="auto"/>
            </w:tcBorders>
            <w:shd w:val="clear" w:color="auto" w:fill="auto"/>
            <w:vAlign w:val="center"/>
          </w:tcPr>
          <w:p w14:paraId="3FA01EF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7CD0D46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720" w:type="dxa"/>
            <w:tcBorders>
              <w:top w:val="nil"/>
              <w:left w:val="nil"/>
              <w:bottom w:val="single" w:sz="4" w:space="0" w:color="auto"/>
              <w:right w:val="single" w:sz="4" w:space="0" w:color="auto"/>
            </w:tcBorders>
            <w:shd w:val="clear" w:color="000000" w:fill="FFFFFF"/>
            <w:vAlign w:val="center"/>
          </w:tcPr>
          <w:p w14:paraId="72724C9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25F1F5F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810" w:type="dxa"/>
            <w:tcBorders>
              <w:top w:val="nil"/>
              <w:left w:val="nil"/>
              <w:bottom w:val="single" w:sz="4" w:space="0" w:color="auto"/>
              <w:right w:val="single" w:sz="4" w:space="0" w:color="auto"/>
            </w:tcBorders>
            <w:shd w:val="clear" w:color="auto" w:fill="auto"/>
            <w:vAlign w:val="center"/>
          </w:tcPr>
          <w:p w14:paraId="4E767B0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325A4AA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5AC039C8" w14:textId="77777777" w:rsidTr="006E4365">
        <w:trPr>
          <w:cantSplit/>
        </w:trPr>
        <w:tc>
          <w:tcPr>
            <w:tcW w:w="2245" w:type="dxa"/>
            <w:tcBorders>
              <w:bottom w:val="single" w:sz="4" w:space="0" w:color="auto"/>
            </w:tcBorders>
            <w:shd w:val="clear" w:color="auto" w:fill="auto"/>
          </w:tcPr>
          <w:p w14:paraId="2520CBD4" w14:textId="77777777" w:rsidR="006E4365" w:rsidRPr="008B37C7" w:rsidRDefault="006E4365" w:rsidP="00F76AA9">
            <w:pPr>
              <w:jc w:val="left"/>
              <w:rPr>
                <w:rFonts w:cs="Arial"/>
                <w:sz w:val="16"/>
                <w:szCs w:val="16"/>
                <w:lang w:val="de-DE"/>
              </w:rPr>
            </w:pPr>
            <w:r w:rsidRPr="008B37C7">
              <w:rPr>
                <w:rFonts w:cs="Arial"/>
                <w:sz w:val="16"/>
                <w:szCs w:val="16"/>
                <w:lang w:val="de-DE"/>
              </w:rPr>
              <w:t>Costa Rica</w:t>
            </w:r>
          </w:p>
        </w:tc>
        <w:tc>
          <w:tcPr>
            <w:tcW w:w="450" w:type="dxa"/>
            <w:tcBorders>
              <w:top w:val="nil"/>
              <w:left w:val="single" w:sz="4" w:space="0" w:color="auto"/>
              <w:bottom w:val="single" w:sz="4" w:space="0" w:color="auto"/>
              <w:right w:val="single" w:sz="4" w:space="0" w:color="auto"/>
            </w:tcBorders>
            <w:shd w:val="clear" w:color="auto" w:fill="auto"/>
            <w:vAlign w:val="bottom"/>
          </w:tcPr>
          <w:p w14:paraId="76385C5A" w14:textId="77777777" w:rsidR="006E4365" w:rsidRPr="008B37C7" w:rsidRDefault="006E4365" w:rsidP="00F76AA9">
            <w:pPr>
              <w:jc w:val="center"/>
              <w:rPr>
                <w:rFonts w:cs="Arial"/>
                <w:sz w:val="16"/>
                <w:szCs w:val="16"/>
                <w:lang w:val="de-DE"/>
              </w:rPr>
            </w:pPr>
            <w:r w:rsidRPr="008B37C7">
              <w:rPr>
                <w:rFonts w:cs="Arial"/>
                <w:sz w:val="16"/>
                <w:szCs w:val="16"/>
                <w:lang w:val="de-DE"/>
              </w:rPr>
              <w:t>CR</w:t>
            </w:r>
          </w:p>
        </w:tc>
        <w:tc>
          <w:tcPr>
            <w:tcW w:w="1350" w:type="dxa"/>
            <w:tcBorders>
              <w:top w:val="nil"/>
              <w:left w:val="single" w:sz="4" w:space="0" w:color="auto"/>
              <w:bottom w:val="single" w:sz="4" w:space="0" w:color="auto"/>
              <w:right w:val="single" w:sz="4" w:space="0" w:color="auto"/>
            </w:tcBorders>
            <w:shd w:val="clear" w:color="auto" w:fill="auto"/>
            <w:vAlign w:val="center"/>
          </w:tcPr>
          <w:p w14:paraId="6B3BEED1"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c>
          <w:tcPr>
            <w:tcW w:w="720" w:type="dxa"/>
            <w:tcBorders>
              <w:top w:val="nil"/>
              <w:left w:val="nil"/>
              <w:bottom w:val="single" w:sz="4" w:space="0" w:color="auto"/>
              <w:right w:val="single" w:sz="4" w:space="0" w:color="auto"/>
            </w:tcBorders>
            <w:shd w:val="clear" w:color="auto" w:fill="auto"/>
            <w:vAlign w:val="center"/>
          </w:tcPr>
          <w:p w14:paraId="7545A72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630" w:type="dxa"/>
            <w:tcBorders>
              <w:top w:val="nil"/>
              <w:left w:val="nil"/>
              <w:bottom w:val="single" w:sz="4" w:space="0" w:color="auto"/>
              <w:right w:val="single" w:sz="4" w:space="0" w:color="auto"/>
            </w:tcBorders>
            <w:shd w:val="clear" w:color="auto" w:fill="auto"/>
            <w:vAlign w:val="center"/>
          </w:tcPr>
          <w:p w14:paraId="0C2AA4A4"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720" w:type="dxa"/>
            <w:tcBorders>
              <w:top w:val="nil"/>
              <w:left w:val="nil"/>
              <w:bottom w:val="single" w:sz="4" w:space="0" w:color="auto"/>
              <w:right w:val="single" w:sz="4" w:space="0" w:color="auto"/>
            </w:tcBorders>
            <w:shd w:val="clear" w:color="000000" w:fill="FFFFFF"/>
            <w:vAlign w:val="center"/>
          </w:tcPr>
          <w:p w14:paraId="5AFAEBD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720" w:type="dxa"/>
            <w:tcBorders>
              <w:top w:val="nil"/>
              <w:left w:val="nil"/>
              <w:bottom w:val="single" w:sz="4" w:space="0" w:color="auto"/>
              <w:right w:val="single" w:sz="4" w:space="0" w:color="auto"/>
            </w:tcBorders>
            <w:shd w:val="clear" w:color="auto" w:fill="auto"/>
            <w:vAlign w:val="center"/>
          </w:tcPr>
          <w:p w14:paraId="67365CC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810" w:type="dxa"/>
            <w:tcBorders>
              <w:top w:val="nil"/>
              <w:left w:val="nil"/>
              <w:bottom w:val="single" w:sz="4" w:space="0" w:color="auto"/>
              <w:right w:val="single" w:sz="4" w:space="0" w:color="auto"/>
            </w:tcBorders>
            <w:shd w:val="clear" w:color="auto" w:fill="auto"/>
            <w:vAlign w:val="center"/>
          </w:tcPr>
          <w:p w14:paraId="2B92886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2F86A04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094DF7D3" w14:textId="77777777" w:rsidTr="006E4365">
        <w:trPr>
          <w:cantSplit/>
        </w:trPr>
        <w:tc>
          <w:tcPr>
            <w:tcW w:w="2245" w:type="dxa"/>
            <w:tcBorders>
              <w:bottom w:val="single" w:sz="4" w:space="0" w:color="auto"/>
            </w:tcBorders>
            <w:shd w:val="clear" w:color="auto" w:fill="auto"/>
          </w:tcPr>
          <w:p w14:paraId="1B759403" w14:textId="1B5D8E82" w:rsidR="006E4365" w:rsidRPr="008B37C7" w:rsidRDefault="006E4365" w:rsidP="00F76AA9">
            <w:pPr>
              <w:jc w:val="left"/>
              <w:rPr>
                <w:rFonts w:cs="Arial"/>
                <w:sz w:val="16"/>
                <w:szCs w:val="16"/>
                <w:lang w:val="de-DE"/>
              </w:rPr>
            </w:pPr>
            <w:r w:rsidRPr="008B37C7">
              <w:rPr>
                <w:sz w:val="16"/>
                <w:lang w:val="de-DE"/>
              </w:rPr>
              <w:t>Kroatien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08BBEF37" w14:textId="77777777" w:rsidR="006E4365" w:rsidRPr="008B37C7" w:rsidRDefault="006E4365" w:rsidP="00F76AA9">
            <w:pPr>
              <w:jc w:val="center"/>
              <w:rPr>
                <w:rFonts w:cs="Arial"/>
                <w:sz w:val="16"/>
                <w:szCs w:val="16"/>
                <w:lang w:val="de-DE"/>
              </w:rPr>
            </w:pPr>
            <w:r w:rsidRPr="008B37C7">
              <w:rPr>
                <w:rFonts w:cs="Arial"/>
                <w:sz w:val="16"/>
                <w:szCs w:val="16"/>
                <w:lang w:val="de-DE"/>
              </w:rPr>
              <w:t>HR</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2CD4C65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720" w:type="dxa"/>
            <w:tcBorders>
              <w:top w:val="nil"/>
              <w:left w:val="nil"/>
              <w:bottom w:val="single" w:sz="4" w:space="0" w:color="auto"/>
              <w:right w:val="single" w:sz="4" w:space="0" w:color="auto"/>
            </w:tcBorders>
            <w:shd w:val="clear" w:color="000000" w:fill="BFBFBF"/>
            <w:vAlign w:val="center"/>
          </w:tcPr>
          <w:p w14:paraId="79C96AF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630" w:type="dxa"/>
            <w:tcBorders>
              <w:top w:val="nil"/>
              <w:left w:val="nil"/>
              <w:bottom w:val="single" w:sz="4" w:space="0" w:color="auto"/>
              <w:right w:val="single" w:sz="4" w:space="0" w:color="auto"/>
            </w:tcBorders>
            <w:shd w:val="clear" w:color="000000" w:fill="BFBFBF"/>
            <w:vAlign w:val="center"/>
          </w:tcPr>
          <w:p w14:paraId="3F188501"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720" w:type="dxa"/>
            <w:tcBorders>
              <w:top w:val="nil"/>
              <w:left w:val="nil"/>
              <w:bottom w:val="single" w:sz="4" w:space="0" w:color="auto"/>
              <w:right w:val="single" w:sz="4" w:space="0" w:color="auto"/>
            </w:tcBorders>
            <w:shd w:val="clear" w:color="000000" w:fill="BFBFBF"/>
            <w:vAlign w:val="center"/>
          </w:tcPr>
          <w:p w14:paraId="2AB34F1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720" w:type="dxa"/>
            <w:tcBorders>
              <w:top w:val="nil"/>
              <w:left w:val="nil"/>
              <w:bottom w:val="single" w:sz="4" w:space="0" w:color="auto"/>
              <w:right w:val="single" w:sz="4" w:space="0" w:color="auto"/>
            </w:tcBorders>
            <w:shd w:val="clear" w:color="000000" w:fill="BFBFBF"/>
            <w:vAlign w:val="center"/>
          </w:tcPr>
          <w:p w14:paraId="3BEE8D2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810" w:type="dxa"/>
            <w:tcBorders>
              <w:top w:val="nil"/>
              <w:left w:val="nil"/>
              <w:bottom w:val="single" w:sz="4" w:space="0" w:color="auto"/>
              <w:right w:val="single" w:sz="4" w:space="0" w:color="auto"/>
            </w:tcBorders>
            <w:shd w:val="clear" w:color="000000" w:fill="BFBFBF"/>
            <w:vAlign w:val="center"/>
          </w:tcPr>
          <w:p w14:paraId="49AB1DC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1620" w:type="dxa"/>
            <w:tcBorders>
              <w:top w:val="nil"/>
              <w:left w:val="nil"/>
              <w:bottom w:val="single" w:sz="4" w:space="0" w:color="auto"/>
              <w:right w:val="single" w:sz="4" w:space="0" w:color="auto"/>
            </w:tcBorders>
            <w:shd w:val="clear" w:color="000000" w:fill="BFBFBF"/>
            <w:vAlign w:val="center"/>
          </w:tcPr>
          <w:p w14:paraId="44A1ABF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r>
      <w:tr w:rsidR="006E4365" w:rsidRPr="008B37C7" w14:paraId="27B73A16" w14:textId="77777777" w:rsidTr="006E4365">
        <w:trPr>
          <w:cantSplit/>
        </w:trPr>
        <w:tc>
          <w:tcPr>
            <w:tcW w:w="2245" w:type="dxa"/>
            <w:tcBorders>
              <w:bottom w:val="single" w:sz="4" w:space="0" w:color="auto"/>
            </w:tcBorders>
            <w:shd w:val="clear" w:color="auto" w:fill="auto"/>
          </w:tcPr>
          <w:p w14:paraId="0F2900C5" w14:textId="0965D8D4" w:rsidR="006E4365" w:rsidRPr="008B37C7" w:rsidRDefault="006E4365" w:rsidP="00F76AA9">
            <w:pPr>
              <w:jc w:val="left"/>
              <w:rPr>
                <w:rFonts w:cs="Arial"/>
                <w:sz w:val="16"/>
                <w:szCs w:val="16"/>
                <w:lang w:val="de-DE"/>
              </w:rPr>
            </w:pPr>
            <w:r w:rsidRPr="008B37C7">
              <w:rPr>
                <w:sz w:val="16"/>
                <w:lang w:val="de-DE"/>
              </w:rPr>
              <w:t>Tschechische Republik</w:t>
            </w:r>
          </w:p>
        </w:tc>
        <w:tc>
          <w:tcPr>
            <w:tcW w:w="450" w:type="dxa"/>
            <w:tcBorders>
              <w:top w:val="nil"/>
              <w:left w:val="single" w:sz="4" w:space="0" w:color="auto"/>
              <w:bottom w:val="single" w:sz="4" w:space="0" w:color="auto"/>
              <w:right w:val="single" w:sz="4" w:space="0" w:color="auto"/>
            </w:tcBorders>
            <w:shd w:val="clear" w:color="auto" w:fill="auto"/>
            <w:vAlign w:val="bottom"/>
          </w:tcPr>
          <w:p w14:paraId="330F3200" w14:textId="77777777" w:rsidR="006E4365" w:rsidRPr="008B37C7" w:rsidRDefault="006E4365" w:rsidP="00F76AA9">
            <w:pPr>
              <w:jc w:val="center"/>
              <w:rPr>
                <w:rFonts w:cs="Arial"/>
                <w:sz w:val="16"/>
                <w:szCs w:val="16"/>
                <w:lang w:val="de-DE"/>
              </w:rPr>
            </w:pPr>
            <w:r w:rsidRPr="008B37C7">
              <w:rPr>
                <w:rFonts w:cs="Arial"/>
                <w:sz w:val="16"/>
                <w:szCs w:val="16"/>
                <w:lang w:val="de-DE"/>
              </w:rPr>
              <w:t>CZ</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68FDF8D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59</w:t>
            </w:r>
          </w:p>
        </w:tc>
        <w:tc>
          <w:tcPr>
            <w:tcW w:w="720" w:type="dxa"/>
            <w:tcBorders>
              <w:top w:val="nil"/>
              <w:left w:val="nil"/>
              <w:bottom w:val="single" w:sz="4" w:space="0" w:color="auto"/>
              <w:right w:val="single" w:sz="4" w:space="0" w:color="auto"/>
            </w:tcBorders>
            <w:shd w:val="clear" w:color="000000" w:fill="BFBFBF"/>
            <w:vAlign w:val="center"/>
          </w:tcPr>
          <w:p w14:paraId="723F93C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w:t>
            </w:r>
          </w:p>
        </w:tc>
        <w:tc>
          <w:tcPr>
            <w:tcW w:w="630" w:type="dxa"/>
            <w:tcBorders>
              <w:top w:val="nil"/>
              <w:left w:val="nil"/>
              <w:bottom w:val="single" w:sz="4" w:space="0" w:color="auto"/>
              <w:right w:val="single" w:sz="4" w:space="0" w:color="auto"/>
            </w:tcBorders>
            <w:shd w:val="clear" w:color="000000" w:fill="BFBFBF"/>
            <w:vAlign w:val="center"/>
          </w:tcPr>
          <w:p w14:paraId="0C157DC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9</w:t>
            </w:r>
          </w:p>
        </w:tc>
        <w:tc>
          <w:tcPr>
            <w:tcW w:w="720" w:type="dxa"/>
            <w:tcBorders>
              <w:top w:val="nil"/>
              <w:left w:val="nil"/>
              <w:bottom w:val="single" w:sz="4" w:space="0" w:color="auto"/>
              <w:right w:val="single" w:sz="4" w:space="0" w:color="auto"/>
            </w:tcBorders>
            <w:shd w:val="clear" w:color="000000" w:fill="BFBFBF"/>
            <w:vAlign w:val="center"/>
          </w:tcPr>
          <w:p w14:paraId="2F86392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w:t>
            </w:r>
          </w:p>
        </w:tc>
        <w:tc>
          <w:tcPr>
            <w:tcW w:w="720" w:type="dxa"/>
            <w:tcBorders>
              <w:top w:val="nil"/>
              <w:left w:val="nil"/>
              <w:bottom w:val="single" w:sz="4" w:space="0" w:color="auto"/>
              <w:right w:val="single" w:sz="4" w:space="0" w:color="auto"/>
            </w:tcBorders>
            <w:shd w:val="clear" w:color="000000" w:fill="BFBFBF"/>
            <w:vAlign w:val="center"/>
          </w:tcPr>
          <w:p w14:paraId="4B4B06B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w:t>
            </w:r>
          </w:p>
        </w:tc>
        <w:tc>
          <w:tcPr>
            <w:tcW w:w="810" w:type="dxa"/>
            <w:tcBorders>
              <w:top w:val="nil"/>
              <w:left w:val="nil"/>
              <w:bottom w:val="single" w:sz="4" w:space="0" w:color="auto"/>
              <w:right w:val="single" w:sz="4" w:space="0" w:color="auto"/>
            </w:tcBorders>
            <w:shd w:val="clear" w:color="000000" w:fill="BFBFBF"/>
            <w:vAlign w:val="center"/>
          </w:tcPr>
          <w:p w14:paraId="184DCF9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7</w:t>
            </w:r>
          </w:p>
        </w:tc>
        <w:tc>
          <w:tcPr>
            <w:tcW w:w="1620" w:type="dxa"/>
            <w:tcBorders>
              <w:top w:val="nil"/>
              <w:left w:val="nil"/>
              <w:bottom w:val="single" w:sz="4" w:space="0" w:color="auto"/>
              <w:right w:val="single" w:sz="4" w:space="0" w:color="auto"/>
            </w:tcBorders>
            <w:shd w:val="clear" w:color="000000" w:fill="BFBFBF"/>
            <w:vAlign w:val="center"/>
          </w:tcPr>
          <w:p w14:paraId="7C2161F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r>
      <w:tr w:rsidR="006E4365" w:rsidRPr="008B37C7" w14:paraId="6BFCECCB" w14:textId="77777777" w:rsidTr="006E4365">
        <w:trPr>
          <w:cantSplit/>
        </w:trPr>
        <w:tc>
          <w:tcPr>
            <w:tcW w:w="2245" w:type="dxa"/>
            <w:tcBorders>
              <w:bottom w:val="single" w:sz="4" w:space="0" w:color="auto"/>
            </w:tcBorders>
            <w:shd w:val="clear" w:color="auto" w:fill="auto"/>
          </w:tcPr>
          <w:p w14:paraId="3B3C283F" w14:textId="0446DD94" w:rsidR="006E4365" w:rsidRPr="008B37C7" w:rsidRDefault="006E4365" w:rsidP="00F76AA9">
            <w:pPr>
              <w:jc w:val="left"/>
              <w:rPr>
                <w:rFonts w:cs="Arial"/>
                <w:sz w:val="16"/>
                <w:szCs w:val="16"/>
                <w:lang w:val="de-DE"/>
              </w:rPr>
            </w:pPr>
            <w:r w:rsidRPr="008B37C7">
              <w:rPr>
                <w:sz w:val="16"/>
                <w:lang w:val="de-DE"/>
              </w:rPr>
              <w:t>Dänemark</w:t>
            </w:r>
          </w:p>
        </w:tc>
        <w:tc>
          <w:tcPr>
            <w:tcW w:w="450" w:type="dxa"/>
            <w:tcBorders>
              <w:top w:val="nil"/>
              <w:left w:val="single" w:sz="4" w:space="0" w:color="auto"/>
              <w:bottom w:val="single" w:sz="4" w:space="0" w:color="auto"/>
              <w:right w:val="single" w:sz="4" w:space="0" w:color="auto"/>
            </w:tcBorders>
            <w:shd w:val="clear" w:color="auto" w:fill="auto"/>
            <w:vAlign w:val="bottom"/>
          </w:tcPr>
          <w:p w14:paraId="0DE0D2F4" w14:textId="77777777" w:rsidR="006E4365" w:rsidRPr="008B37C7" w:rsidRDefault="006E4365" w:rsidP="00F76AA9">
            <w:pPr>
              <w:jc w:val="center"/>
              <w:rPr>
                <w:rFonts w:cs="Arial"/>
                <w:sz w:val="16"/>
                <w:szCs w:val="16"/>
                <w:lang w:val="de-DE"/>
              </w:rPr>
            </w:pPr>
            <w:r w:rsidRPr="008B37C7">
              <w:rPr>
                <w:rFonts w:cs="Arial"/>
                <w:sz w:val="16"/>
                <w:szCs w:val="16"/>
                <w:lang w:val="de-DE"/>
              </w:rPr>
              <w:t>DK</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05099AD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11</w:t>
            </w:r>
          </w:p>
        </w:tc>
        <w:tc>
          <w:tcPr>
            <w:tcW w:w="720" w:type="dxa"/>
            <w:tcBorders>
              <w:top w:val="nil"/>
              <w:left w:val="nil"/>
              <w:bottom w:val="single" w:sz="4" w:space="0" w:color="auto"/>
              <w:right w:val="single" w:sz="4" w:space="0" w:color="auto"/>
            </w:tcBorders>
            <w:shd w:val="clear" w:color="000000" w:fill="BFBFBF"/>
            <w:vAlign w:val="center"/>
          </w:tcPr>
          <w:p w14:paraId="5C86909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11</w:t>
            </w:r>
          </w:p>
        </w:tc>
        <w:tc>
          <w:tcPr>
            <w:tcW w:w="630" w:type="dxa"/>
            <w:tcBorders>
              <w:top w:val="nil"/>
              <w:left w:val="nil"/>
              <w:bottom w:val="single" w:sz="4" w:space="0" w:color="auto"/>
              <w:right w:val="single" w:sz="4" w:space="0" w:color="auto"/>
            </w:tcBorders>
            <w:shd w:val="clear" w:color="000000" w:fill="BFBFBF"/>
            <w:vAlign w:val="center"/>
          </w:tcPr>
          <w:p w14:paraId="316599D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10</w:t>
            </w:r>
          </w:p>
        </w:tc>
        <w:tc>
          <w:tcPr>
            <w:tcW w:w="720" w:type="dxa"/>
            <w:tcBorders>
              <w:top w:val="nil"/>
              <w:left w:val="nil"/>
              <w:bottom w:val="single" w:sz="4" w:space="0" w:color="auto"/>
              <w:right w:val="single" w:sz="4" w:space="0" w:color="auto"/>
            </w:tcBorders>
            <w:shd w:val="clear" w:color="000000" w:fill="BFBFBF"/>
            <w:vAlign w:val="center"/>
          </w:tcPr>
          <w:p w14:paraId="21CBB4A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7</w:t>
            </w:r>
          </w:p>
        </w:tc>
        <w:tc>
          <w:tcPr>
            <w:tcW w:w="720" w:type="dxa"/>
            <w:tcBorders>
              <w:top w:val="nil"/>
              <w:left w:val="nil"/>
              <w:bottom w:val="single" w:sz="4" w:space="0" w:color="auto"/>
              <w:right w:val="single" w:sz="4" w:space="0" w:color="auto"/>
            </w:tcBorders>
            <w:shd w:val="clear" w:color="000000" w:fill="BFBFBF"/>
            <w:vAlign w:val="center"/>
          </w:tcPr>
          <w:p w14:paraId="1EDE6BE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8</w:t>
            </w:r>
          </w:p>
        </w:tc>
        <w:tc>
          <w:tcPr>
            <w:tcW w:w="810" w:type="dxa"/>
            <w:tcBorders>
              <w:top w:val="nil"/>
              <w:left w:val="nil"/>
              <w:bottom w:val="single" w:sz="4" w:space="0" w:color="auto"/>
              <w:right w:val="single" w:sz="4" w:space="0" w:color="auto"/>
            </w:tcBorders>
            <w:shd w:val="clear" w:color="000000" w:fill="BFBFBF"/>
            <w:vAlign w:val="center"/>
          </w:tcPr>
          <w:p w14:paraId="55DEFCD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10</w:t>
            </w:r>
          </w:p>
        </w:tc>
        <w:tc>
          <w:tcPr>
            <w:tcW w:w="1620" w:type="dxa"/>
            <w:tcBorders>
              <w:top w:val="nil"/>
              <w:left w:val="nil"/>
              <w:bottom w:val="single" w:sz="4" w:space="0" w:color="auto"/>
              <w:right w:val="single" w:sz="4" w:space="0" w:color="auto"/>
            </w:tcBorders>
            <w:shd w:val="clear" w:color="000000" w:fill="BFBFBF"/>
            <w:vAlign w:val="center"/>
          </w:tcPr>
          <w:p w14:paraId="6697E36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10</w:t>
            </w:r>
          </w:p>
        </w:tc>
      </w:tr>
      <w:tr w:rsidR="006E4365" w:rsidRPr="008B37C7" w14:paraId="7BEAF983" w14:textId="77777777" w:rsidTr="006E4365">
        <w:trPr>
          <w:cantSplit/>
        </w:trPr>
        <w:tc>
          <w:tcPr>
            <w:tcW w:w="2245" w:type="dxa"/>
            <w:tcBorders>
              <w:bottom w:val="single" w:sz="4" w:space="0" w:color="auto"/>
            </w:tcBorders>
            <w:shd w:val="clear" w:color="auto" w:fill="auto"/>
          </w:tcPr>
          <w:p w14:paraId="61150EEC" w14:textId="78710F28" w:rsidR="006E4365" w:rsidRPr="008B37C7" w:rsidRDefault="006E4365" w:rsidP="00F76AA9">
            <w:pPr>
              <w:jc w:val="left"/>
              <w:rPr>
                <w:rFonts w:cs="Arial"/>
                <w:sz w:val="16"/>
                <w:szCs w:val="16"/>
                <w:lang w:val="de-DE"/>
              </w:rPr>
            </w:pPr>
            <w:r w:rsidRPr="008B37C7">
              <w:rPr>
                <w:sz w:val="16"/>
                <w:lang w:val="de-DE"/>
              </w:rPr>
              <w:t>Dominikanische Republik</w:t>
            </w:r>
          </w:p>
        </w:tc>
        <w:tc>
          <w:tcPr>
            <w:tcW w:w="450" w:type="dxa"/>
            <w:tcBorders>
              <w:top w:val="nil"/>
              <w:left w:val="single" w:sz="4" w:space="0" w:color="auto"/>
              <w:bottom w:val="single" w:sz="4" w:space="0" w:color="auto"/>
              <w:right w:val="single" w:sz="4" w:space="0" w:color="auto"/>
            </w:tcBorders>
            <w:shd w:val="clear" w:color="auto" w:fill="auto"/>
            <w:vAlign w:val="bottom"/>
          </w:tcPr>
          <w:p w14:paraId="7FEA5237" w14:textId="77777777" w:rsidR="006E4365" w:rsidRPr="008B37C7" w:rsidRDefault="006E4365" w:rsidP="00F76AA9">
            <w:pPr>
              <w:jc w:val="center"/>
              <w:rPr>
                <w:rFonts w:cs="Arial"/>
                <w:sz w:val="16"/>
                <w:szCs w:val="16"/>
                <w:lang w:val="de-DE"/>
              </w:rPr>
            </w:pPr>
            <w:r w:rsidRPr="008B37C7">
              <w:rPr>
                <w:rFonts w:cs="Arial"/>
                <w:sz w:val="16"/>
                <w:szCs w:val="16"/>
                <w:lang w:val="de-DE"/>
              </w:rPr>
              <w:t>DO</w:t>
            </w:r>
          </w:p>
        </w:tc>
        <w:tc>
          <w:tcPr>
            <w:tcW w:w="1350" w:type="dxa"/>
            <w:tcBorders>
              <w:top w:val="nil"/>
              <w:left w:val="single" w:sz="4" w:space="0" w:color="auto"/>
              <w:bottom w:val="single" w:sz="4" w:space="0" w:color="auto"/>
              <w:right w:val="single" w:sz="4" w:space="0" w:color="auto"/>
            </w:tcBorders>
            <w:shd w:val="clear" w:color="auto" w:fill="auto"/>
            <w:vAlign w:val="center"/>
          </w:tcPr>
          <w:p w14:paraId="5B610A0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20</w:t>
            </w:r>
          </w:p>
        </w:tc>
        <w:tc>
          <w:tcPr>
            <w:tcW w:w="720" w:type="dxa"/>
            <w:tcBorders>
              <w:top w:val="nil"/>
              <w:left w:val="nil"/>
              <w:bottom w:val="single" w:sz="4" w:space="0" w:color="auto"/>
              <w:right w:val="single" w:sz="4" w:space="0" w:color="auto"/>
            </w:tcBorders>
            <w:shd w:val="clear" w:color="auto" w:fill="auto"/>
            <w:vAlign w:val="center"/>
          </w:tcPr>
          <w:p w14:paraId="34CBA184"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0300040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32A7F197"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6FEBEE4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4921AC2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2BD7412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4B71338B" w14:textId="77777777" w:rsidTr="006E4365">
        <w:trPr>
          <w:cantSplit/>
        </w:trPr>
        <w:tc>
          <w:tcPr>
            <w:tcW w:w="2245" w:type="dxa"/>
            <w:tcBorders>
              <w:bottom w:val="single" w:sz="4" w:space="0" w:color="auto"/>
            </w:tcBorders>
            <w:shd w:val="clear" w:color="auto" w:fill="auto"/>
          </w:tcPr>
          <w:p w14:paraId="007304F7" w14:textId="6A210746" w:rsidR="006E4365" w:rsidRPr="008B37C7" w:rsidRDefault="006E4365" w:rsidP="00F76AA9">
            <w:pPr>
              <w:jc w:val="left"/>
              <w:rPr>
                <w:rFonts w:cs="Arial"/>
                <w:sz w:val="16"/>
                <w:szCs w:val="16"/>
                <w:lang w:val="de-DE"/>
              </w:rPr>
            </w:pPr>
            <w:r w:rsidRPr="008B37C7">
              <w:rPr>
                <w:sz w:val="16"/>
                <w:lang w:val="de-DE"/>
              </w:rPr>
              <w:t>Ecuador</w:t>
            </w:r>
          </w:p>
        </w:tc>
        <w:tc>
          <w:tcPr>
            <w:tcW w:w="450" w:type="dxa"/>
            <w:tcBorders>
              <w:top w:val="nil"/>
              <w:left w:val="single" w:sz="4" w:space="0" w:color="auto"/>
              <w:bottom w:val="single" w:sz="4" w:space="0" w:color="auto"/>
              <w:right w:val="single" w:sz="4" w:space="0" w:color="auto"/>
            </w:tcBorders>
            <w:shd w:val="clear" w:color="auto" w:fill="auto"/>
            <w:vAlign w:val="bottom"/>
          </w:tcPr>
          <w:p w14:paraId="57921A45" w14:textId="77777777" w:rsidR="006E4365" w:rsidRPr="008B37C7" w:rsidRDefault="006E4365" w:rsidP="00F76AA9">
            <w:pPr>
              <w:jc w:val="center"/>
              <w:rPr>
                <w:rFonts w:cs="Arial"/>
                <w:sz w:val="16"/>
                <w:szCs w:val="16"/>
                <w:lang w:val="de-DE"/>
              </w:rPr>
            </w:pPr>
            <w:r w:rsidRPr="008B37C7">
              <w:rPr>
                <w:rFonts w:cs="Arial"/>
                <w:sz w:val="16"/>
                <w:szCs w:val="16"/>
                <w:lang w:val="de-DE"/>
              </w:rPr>
              <w:t>EC</w:t>
            </w:r>
          </w:p>
        </w:tc>
        <w:tc>
          <w:tcPr>
            <w:tcW w:w="1350" w:type="dxa"/>
            <w:tcBorders>
              <w:top w:val="nil"/>
              <w:left w:val="single" w:sz="4" w:space="0" w:color="auto"/>
              <w:bottom w:val="single" w:sz="4" w:space="0" w:color="auto"/>
              <w:right w:val="single" w:sz="4" w:space="0" w:color="auto"/>
            </w:tcBorders>
            <w:shd w:val="clear" w:color="auto" w:fill="auto"/>
            <w:vAlign w:val="center"/>
          </w:tcPr>
          <w:p w14:paraId="1B06BF2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71</w:t>
            </w:r>
          </w:p>
        </w:tc>
        <w:tc>
          <w:tcPr>
            <w:tcW w:w="720" w:type="dxa"/>
            <w:tcBorders>
              <w:top w:val="nil"/>
              <w:left w:val="nil"/>
              <w:bottom w:val="single" w:sz="4" w:space="0" w:color="auto"/>
              <w:right w:val="single" w:sz="4" w:space="0" w:color="auto"/>
            </w:tcBorders>
            <w:shd w:val="clear" w:color="auto" w:fill="auto"/>
            <w:vAlign w:val="center"/>
          </w:tcPr>
          <w:p w14:paraId="6CE02AA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6ED17A0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720" w:type="dxa"/>
            <w:tcBorders>
              <w:top w:val="nil"/>
              <w:left w:val="nil"/>
              <w:bottom w:val="single" w:sz="4" w:space="0" w:color="auto"/>
              <w:right w:val="single" w:sz="4" w:space="0" w:color="auto"/>
            </w:tcBorders>
            <w:shd w:val="clear" w:color="000000" w:fill="FFFFFF"/>
            <w:vAlign w:val="center"/>
          </w:tcPr>
          <w:p w14:paraId="75430FE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720" w:type="dxa"/>
            <w:tcBorders>
              <w:top w:val="nil"/>
              <w:left w:val="nil"/>
              <w:bottom w:val="single" w:sz="4" w:space="0" w:color="auto"/>
              <w:right w:val="single" w:sz="4" w:space="0" w:color="auto"/>
            </w:tcBorders>
            <w:shd w:val="clear" w:color="auto" w:fill="auto"/>
            <w:vAlign w:val="center"/>
          </w:tcPr>
          <w:p w14:paraId="28C69F3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66D5AEC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2EA001C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7F621941" w14:textId="77777777" w:rsidTr="006E4365">
        <w:trPr>
          <w:cantSplit/>
        </w:trPr>
        <w:tc>
          <w:tcPr>
            <w:tcW w:w="2245" w:type="dxa"/>
            <w:tcBorders>
              <w:bottom w:val="single" w:sz="4" w:space="0" w:color="auto"/>
            </w:tcBorders>
            <w:shd w:val="clear" w:color="auto" w:fill="auto"/>
          </w:tcPr>
          <w:p w14:paraId="50D325D3" w14:textId="17CFF7DD" w:rsidR="006E4365" w:rsidRPr="008B37C7" w:rsidRDefault="00D838B2" w:rsidP="00F76AA9">
            <w:pPr>
              <w:jc w:val="left"/>
              <w:rPr>
                <w:rFonts w:cs="Arial"/>
                <w:sz w:val="16"/>
                <w:szCs w:val="16"/>
                <w:lang w:val="de-DE"/>
              </w:rPr>
            </w:pPr>
            <w:r w:rsidRPr="008B37C7">
              <w:rPr>
                <w:rFonts w:cs="Arial"/>
                <w:sz w:val="16"/>
                <w:szCs w:val="16"/>
                <w:lang w:val="de-DE"/>
              </w:rPr>
              <w:t>Ägypten</w:t>
            </w:r>
          </w:p>
        </w:tc>
        <w:tc>
          <w:tcPr>
            <w:tcW w:w="450" w:type="dxa"/>
            <w:tcBorders>
              <w:top w:val="nil"/>
              <w:left w:val="single" w:sz="4" w:space="0" w:color="auto"/>
              <w:bottom w:val="single" w:sz="4" w:space="0" w:color="auto"/>
              <w:right w:val="single" w:sz="4" w:space="0" w:color="auto"/>
            </w:tcBorders>
            <w:shd w:val="clear" w:color="auto" w:fill="auto"/>
            <w:vAlign w:val="bottom"/>
          </w:tcPr>
          <w:p w14:paraId="4F5EF0AF" w14:textId="77777777" w:rsidR="006E4365" w:rsidRPr="008B37C7" w:rsidRDefault="006E4365" w:rsidP="00F76AA9">
            <w:pPr>
              <w:jc w:val="center"/>
              <w:rPr>
                <w:rFonts w:cs="Arial"/>
                <w:sz w:val="16"/>
                <w:szCs w:val="16"/>
                <w:lang w:val="de-DE"/>
              </w:rPr>
            </w:pPr>
            <w:r w:rsidRPr="008B37C7">
              <w:rPr>
                <w:rFonts w:cs="Arial"/>
                <w:sz w:val="16"/>
                <w:szCs w:val="16"/>
                <w:lang w:val="de-DE"/>
              </w:rPr>
              <w:t>EG</w:t>
            </w:r>
          </w:p>
        </w:tc>
        <w:tc>
          <w:tcPr>
            <w:tcW w:w="1350" w:type="dxa"/>
            <w:tcBorders>
              <w:top w:val="nil"/>
              <w:left w:val="single" w:sz="4" w:space="0" w:color="auto"/>
              <w:bottom w:val="single" w:sz="4" w:space="0" w:color="auto"/>
              <w:right w:val="single" w:sz="4" w:space="0" w:color="auto"/>
            </w:tcBorders>
            <w:shd w:val="clear" w:color="auto" w:fill="auto"/>
            <w:vAlign w:val="center"/>
          </w:tcPr>
          <w:p w14:paraId="08444C09" w14:textId="10B44FC1" w:rsidR="006E4365" w:rsidRPr="008B37C7" w:rsidRDefault="00A1708F" w:rsidP="00F76AA9">
            <w:pPr>
              <w:jc w:val="center"/>
              <w:rPr>
                <w:rFonts w:cs="Arial"/>
                <w:color w:val="000000"/>
                <w:sz w:val="16"/>
                <w:szCs w:val="16"/>
                <w:lang w:val="de-DE"/>
              </w:rPr>
            </w:pPr>
            <w:r>
              <w:rPr>
                <w:rFonts w:cs="Arial"/>
                <w:color w:val="000000"/>
                <w:sz w:val="16"/>
                <w:szCs w:val="16"/>
                <w:lang w:val="de-DE"/>
              </w:rPr>
              <w:t>k.A.</w:t>
            </w:r>
          </w:p>
        </w:tc>
        <w:tc>
          <w:tcPr>
            <w:tcW w:w="720" w:type="dxa"/>
            <w:tcBorders>
              <w:top w:val="nil"/>
              <w:left w:val="nil"/>
              <w:bottom w:val="single" w:sz="4" w:space="0" w:color="auto"/>
              <w:right w:val="single" w:sz="4" w:space="0" w:color="auto"/>
            </w:tcBorders>
            <w:shd w:val="clear" w:color="auto" w:fill="auto"/>
            <w:vAlign w:val="center"/>
          </w:tcPr>
          <w:p w14:paraId="3F259C4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w:t>
            </w:r>
          </w:p>
        </w:tc>
        <w:tc>
          <w:tcPr>
            <w:tcW w:w="630" w:type="dxa"/>
            <w:tcBorders>
              <w:top w:val="nil"/>
              <w:left w:val="nil"/>
              <w:bottom w:val="single" w:sz="4" w:space="0" w:color="auto"/>
              <w:right w:val="single" w:sz="4" w:space="0" w:color="auto"/>
            </w:tcBorders>
            <w:shd w:val="clear" w:color="auto" w:fill="auto"/>
            <w:vAlign w:val="center"/>
          </w:tcPr>
          <w:p w14:paraId="20EA4E87"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w:t>
            </w:r>
          </w:p>
        </w:tc>
        <w:tc>
          <w:tcPr>
            <w:tcW w:w="720" w:type="dxa"/>
            <w:tcBorders>
              <w:top w:val="nil"/>
              <w:left w:val="nil"/>
              <w:bottom w:val="single" w:sz="4" w:space="0" w:color="auto"/>
              <w:right w:val="single" w:sz="4" w:space="0" w:color="auto"/>
            </w:tcBorders>
            <w:shd w:val="clear" w:color="auto" w:fill="auto"/>
            <w:vAlign w:val="center"/>
          </w:tcPr>
          <w:p w14:paraId="57D363F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w:t>
            </w:r>
          </w:p>
        </w:tc>
        <w:tc>
          <w:tcPr>
            <w:tcW w:w="720" w:type="dxa"/>
            <w:tcBorders>
              <w:top w:val="nil"/>
              <w:left w:val="nil"/>
              <w:bottom w:val="single" w:sz="4" w:space="0" w:color="auto"/>
              <w:right w:val="single" w:sz="4" w:space="0" w:color="auto"/>
            </w:tcBorders>
            <w:shd w:val="clear" w:color="auto" w:fill="auto"/>
            <w:vAlign w:val="center"/>
          </w:tcPr>
          <w:p w14:paraId="63AFBDA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w:t>
            </w:r>
          </w:p>
        </w:tc>
        <w:tc>
          <w:tcPr>
            <w:tcW w:w="810" w:type="dxa"/>
            <w:tcBorders>
              <w:top w:val="nil"/>
              <w:left w:val="nil"/>
              <w:bottom w:val="single" w:sz="4" w:space="0" w:color="auto"/>
              <w:right w:val="single" w:sz="4" w:space="0" w:color="auto"/>
            </w:tcBorders>
            <w:shd w:val="clear" w:color="auto" w:fill="auto"/>
            <w:vAlign w:val="center"/>
          </w:tcPr>
          <w:p w14:paraId="680C446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39A80F5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0063EBE6" w14:textId="77777777" w:rsidTr="006E4365">
        <w:trPr>
          <w:cantSplit/>
        </w:trPr>
        <w:tc>
          <w:tcPr>
            <w:tcW w:w="2245" w:type="dxa"/>
            <w:tcBorders>
              <w:bottom w:val="single" w:sz="4" w:space="0" w:color="auto"/>
            </w:tcBorders>
            <w:shd w:val="clear" w:color="auto" w:fill="auto"/>
          </w:tcPr>
          <w:p w14:paraId="716FD4D6" w14:textId="2482E9A4" w:rsidR="006E4365" w:rsidRPr="008B37C7" w:rsidRDefault="00D838B2" w:rsidP="00F76AA9">
            <w:pPr>
              <w:jc w:val="left"/>
              <w:rPr>
                <w:rFonts w:cs="Arial"/>
                <w:sz w:val="16"/>
                <w:szCs w:val="16"/>
                <w:lang w:val="de-DE"/>
              </w:rPr>
            </w:pPr>
            <w:r w:rsidRPr="008B37C7">
              <w:rPr>
                <w:sz w:val="16"/>
                <w:lang w:val="de-DE"/>
              </w:rPr>
              <w:t>Estland</w:t>
            </w:r>
          </w:p>
        </w:tc>
        <w:tc>
          <w:tcPr>
            <w:tcW w:w="450" w:type="dxa"/>
            <w:tcBorders>
              <w:top w:val="nil"/>
              <w:left w:val="single" w:sz="4" w:space="0" w:color="auto"/>
              <w:bottom w:val="single" w:sz="4" w:space="0" w:color="auto"/>
              <w:right w:val="single" w:sz="4" w:space="0" w:color="auto"/>
            </w:tcBorders>
            <w:shd w:val="clear" w:color="auto" w:fill="auto"/>
            <w:vAlign w:val="bottom"/>
          </w:tcPr>
          <w:p w14:paraId="6A450A41" w14:textId="77777777" w:rsidR="006E4365" w:rsidRPr="008B37C7" w:rsidRDefault="006E4365" w:rsidP="00F76AA9">
            <w:pPr>
              <w:jc w:val="center"/>
              <w:rPr>
                <w:rFonts w:cs="Arial"/>
                <w:sz w:val="16"/>
                <w:szCs w:val="16"/>
                <w:lang w:val="de-DE"/>
              </w:rPr>
            </w:pPr>
            <w:r w:rsidRPr="008B37C7">
              <w:rPr>
                <w:rFonts w:cs="Arial"/>
                <w:sz w:val="16"/>
                <w:szCs w:val="16"/>
                <w:lang w:val="de-DE"/>
              </w:rPr>
              <w:t>EE</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75A74AD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w:t>
            </w:r>
          </w:p>
        </w:tc>
        <w:tc>
          <w:tcPr>
            <w:tcW w:w="720" w:type="dxa"/>
            <w:tcBorders>
              <w:top w:val="nil"/>
              <w:left w:val="nil"/>
              <w:bottom w:val="single" w:sz="4" w:space="0" w:color="auto"/>
              <w:right w:val="single" w:sz="4" w:space="0" w:color="auto"/>
            </w:tcBorders>
            <w:shd w:val="clear" w:color="000000" w:fill="BFBFBF"/>
            <w:vAlign w:val="center"/>
          </w:tcPr>
          <w:p w14:paraId="2DEECAC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630" w:type="dxa"/>
            <w:tcBorders>
              <w:top w:val="nil"/>
              <w:left w:val="nil"/>
              <w:bottom w:val="single" w:sz="4" w:space="0" w:color="auto"/>
              <w:right w:val="single" w:sz="4" w:space="0" w:color="auto"/>
            </w:tcBorders>
            <w:shd w:val="clear" w:color="000000" w:fill="BFBFBF"/>
            <w:vAlign w:val="center"/>
          </w:tcPr>
          <w:p w14:paraId="3CE743B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720" w:type="dxa"/>
            <w:tcBorders>
              <w:top w:val="nil"/>
              <w:left w:val="nil"/>
              <w:bottom w:val="single" w:sz="4" w:space="0" w:color="auto"/>
              <w:right w:val="single" w:sz="4" w:space="0" w:color="auto"/>
            </w:tcBorders>
            <w:shd w:val="clear" w:color="000000" w:fill="BFBFBF"/>
            <w:vAlign w:val="center"/>
          </w:tcPr>
          <w:p w14:paraId="0F1E69A7"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9</w:t>
            </w:r>
          </w:p>
        </w:tc>
        <w:tc>
          <w:tcPr>
            <w:tcW w:w="720" w:type="dxa"/>
            <w:tcBorders>
              <w:top w:val="nil"/>
              <w:left w:val="nil"/>
              <w:bottom w:val="single" w:sz="4" w:space="0" w:color="auto"/>
              <w:right w:val="single" w:sz="4" w:space="0" w:color="auto"/>
            </w:tcBorders>
            <w:shd w:val="clear" w:color="000000" w:fill="BFBFBF"/>
            <w:vAlign w:val="center"/>
          </w:tcPr>
          <w:p w14:paraId="1CC7E3C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w:t>
            </w:r>
          </w:p>
        </w:tc>
        <w:tc>
          <w:tcPr>
            <w:tcW w:w="810" w:type="dxa"/>
            <w:tcBorders>
              <w:top w:val="nil"/>
              <w:left w:val="nil"/>
              <w:bottom w:val="single" w:sz="4" w:space="0" w:color="auto"/>
              <w:right w:val="single" w:sz="4" w:space="0" w:color="auto"/>
            </w:tcBorders>
            <w:shd w:val="clear" w:color="000000" w:fill="BFBFBF"/>
            <w:vAlign w:val="center"/>
          </w:tcPr>
          <w:p w14:paraId="3B7A981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w:t>
            </w:r>
          </w:p>
        </w:tc>
        <w:tc>
          <w:tcPr>
            <w:tcW w:w="1620" w:type="dxa"/>
            <w:tcBorders>
              <w:top w:val="nil"/>
              <w:left w:val="nil"/>
              <w:bottom w:val="single" w:sz="4" w:space="0" w:color="auto"/>
              <w:right w:val="single" w:sz="4" w:space="0" w:color="auto"/>
            </w:tcBorders>
            <w:shd w:val="clear" w:color="000000" w:fill="BFBFBF"/>
            <w:vAlign w:val="center"/>
          </w:tcPr>
          <w:p w14:paraId="6929B72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w:t>
            </w:r>
          </w:p>
        </w:tc>
      </w:tr>
      <w:tr w:rsidR="006E4365" w:rsidRPr="008B37C7" w14:paraId="2A187A5D" w14:textId="77777777" w:rsidTr="006E4365">
        <w:trPr>
          <w:cantSplit/>
        </w:trPr>
        <w:tc>
          <w:tcPr>
            <w:tcW w:w="2245" w:type="dxa"/>
            <w:tcBorders>
              <w:bottom w:val="single" w:sz="4" w:space="0" w:color="auto"/>
            </w:tcBorders>
            <w:shd w:val="clear" w:color="auto" w:fill="auto"/>
          </w:tcPr>
          <w:p w14:paraId="145D87C9" w14:textId="7F184DDE" w:rsidR="006E4365" w:rsidRPr="008B37C7" w:rsidRDefault="00D838B2" w:rsidP="00F76AA9">
            <w:pPr>
              <w:jc w:val="left"/>
              <w:rPr>
                <w:rFonts w:cs="Arial"/>
                <w:sz w:val="16"/>
                <w:szCs w:val="16"/>
                <w:lang w:val="de-DE"/>
              </w:rPr>
            </w:pPr>
            <w:r w:rsidRPr="008B37C7">
              <w:rPr>
                <w:sz w:val="16"/>
                <w:lang w:val="de-DE"/>
              </w:rPr>
              <w:t>Europäische Union</w:t>
            </w:r>
          </w:p>
        </w:tc>
        <w:tc>
          <w:tcPr>
            <w:tcW w:w="450" w:type="dxa"/>
            <w:tcBorders>
              <w:top w:val="nil"/>
              <w:left w:val="single" w:sz="4" w:space="0" w:color="auto"/>
              <w:bottom w:val="single" w:sz="4" w:space="0" w:color="auto"/>
              <w:right w:val="single" w:sz="4" w:space="0" w:color="auto"/>
            </w:tcBorders>
            <w:shd w:val="clear" w:color="auto" w:fill="auto"/>
            <w:vAlign w:val="bottom"/>
          </w:tcPr>
          <w:p w14:paraId="632EEA75" w14:textId="77777777" w:rsidR="006E4365" w:rsidRPr="008B37C7" w:rsidRDefault="006E4365" w:rsidP="00F76AA9">
            <w:pPr>
              <w:jc w:val="center"/>
              <w:rPr>
                <w:rFonts w:cs="Arial"/>
                <w:sz w:val="16"/>
                <w:szCs w:val="16"/>
                <w:lang w:val="de-DE"/>
              </w:rPr>
            </w:pPr>
            <w:r w:rsidRPr="008B37C7">
              <w:rPr>
                <w:rFonts w:cs="Arial"/>
                <w:sz w:val="16"/>
                <w:szCs w:val="16"/>
                <w:lang w:val="de-DE"/>
              </w:rPr>
              <w:t>QZ</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19E57ACE" w14:textId="2CCF9B6B"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r w:rsidR="008B37C7">
              <w:rPr>
                <w:rFonts w:cs="Arial"/>
                <w:color w:val="000000"/>
                <w:sz w:val="16"/>
                <w:szCs w:val="16"/>
                <w:lang w:val="de-DE"/>
              </w:rPr>
              <w:t xml:space="preserve"> </w:t>
            </w:r>
            <w:r w:rsidRPr="008B37C7">
              <w:rPr>
                <w:rFonts w:cs="Arial"/>
                <w:color w:val="000000"/>
                <w:sz w:val="16"/>
                <w:szCs w:val="16"/>
                <w:lang w:val="de-DE"/>
              </w:rPr>
              <w:t>525</w:t>
            </w:r>
          </w:p>
        </w:tc>
        <w:tc>
          <w:tcPr>
            <w:tcW w:w="720" w:type="dxa"/>
            <w:tcBorders>
              <w:top w:val="nil"/>
              <w:left w:val="nil"/>
              <w:bottom w:val="single" w:sz="4" w:space="0" w:color="auto"/>
              <w:right w:val="single" w:sz="4" w:space="0" w:color="auto"/>
            </w:tcBorders>
            <w:shd w:val="clear" w:color="000000" w:fill="BFBFBF"/>
            <w:vAlign w:val="center"/>
          </w:tcPr>
          <w:p w14:paraId="13A4F6E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13</w:t>
            </w:r>
          </w:p>
        </w:tc>
        <w:tc>
          <w:tcPr>
            <w:tcW w:w="630" w:type="dxa"/>
            <w:tcBorders>
              <w:top w:val="nil"/>
              <w:left w:val="nil"/>
              <w:bottom w:val="single" w:sz="4" w:space="0" w:color="auto"/>
              <w:right w:val="single" w:sz="4" w:space="0" w:color="auto"/>
            </w:tcBorders>
            <w:shd w:val="clear" w:color="000000" w:fill="BFBFBF"/>
            <w:vAlign w:val="center"/>
          </w:tcPr>
          <w:p w14:paraId="3AA082A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7</w:t>
            </w:r>
          </w:p>
        </w:tc>
        <w:tc>
          <w:tcPr>
            <w:tcW w:w="720" w:type="dxa"/>
            <w:tcBorders>
              <w:top w:val="nil"/>
              <w:left w:val="nil"/>
              <w:bottom w:val="single" w:sz="4" w:space="0" w:color="auto"/>
              <w:right w:val="single" w:sz="4" w:space="0" w:color="auto"/>
            </w:tcBorders>
            <w:shd w:val="clear" w:color="000000" w:fill="BFBFBF"/>
            <w:vAlign w:val="center"/>
          </w:tcPr>
          <w:p w14:paraId="3AC1749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11</w:t>
            </w:r>
          </w:p>
        </w:tc>
        <w:tc>
          <w:tcPr>
            <w:tcW w:w="720" w:type="dxa"/>
            <w:tcBorders>
              <w:top w:val="nil"/>
              <w:left w:val="nil"/>
              <w:bottom w:val="single" w:sz="4" w:space="0" w:color="auto"/>
              <w:right w:val="single" w:sz="4" w:space="0" w:color="auto"/>
            </w:tcBorders>
            <w:shd w:val="clear" w:color="000000" w:fill="BFBFBF"/>
            <w:vAlign w:val="center"/>
          </w:tcPr>
          <w:p w14:paraId="2AA1E37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w:t>
            </w:r>
          </w:p>
        </w:tc>
        <w:tc>
          <w:tcPr>
            <w:tcW w:w="810" w:type="dxa"/>
            <w:tcBorders>
              <w:top w:val="nil"/>
              <w:left w:val="nil"/>
              <w:bottom w:val="single" w:sz="4" w:space="0" w:color="auto"/>
              <w:right w:val="single" w:sz="4" w:space="0" w:color="auto"/>
            </w:tcBorders>
            <w:shd w:val="clear" w:color="000000" w:fill="BFBFBF"/>
            <w:vAlign w:val="center"/>
          </w:tcPr>
          <w:p w14:paraId="1F9F878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9</w:t>
            </w:r>
          </w:p>
        </w:tc>
        <w:tc>
          <w:tcPr>
            <w:tcW w:w="1620" w:type="dxa"/>
            <w:tcBorders>
              <w:top w:val="nil"/>
              <w:left w:val="nil"/>
              <w:bottom w:val="single" w:sz="4" w:space="0" w:color="auto"/>
              <w:right w:val="single" w:sz="4" w:space="0" w:color="auto"/>
            </w:tcBorders>
            <w:shd w:val="clear" w:color="000000" w:fill="BFBFBF"/>
            <w:vAlign w:val="center"/>
          </w:tcPr>
          <w:p w14:paraId="461EE3D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w:t>
            </w:r>
          </w:p>
        </w:tc>
      </w:tr>
      <w:tr w:rsidR="006E4365" w:rsidRPr="008B37C7" w14:paraId="01C739AB" w14:textId="77777777" w:rsidTr="006E4365">
        <w:trPr>
          <w:cantSplit/>
        </w:trPr>
        <w:tc>
          <w:tcPr>
            <w:tcW w:w="2245" w:type="dxa"/>
            <w:tcBorders>
              <w:bottom w:val="single" w:sz="4" w:space="0" w:color="auto"/>
            </w:tcBorders>
            <w:shd w:val="clear" w:color="auto" w:fill="auto"/>
          </w:tcPr>
          <w:p w14:paraId="081B1CE7" w14:textId="3CC19823" w:rsidR="006E4365" w:rsidRPr="008B37C7" w:rsidRDefault="00D838B2" w:rsidP="00F76AA9">
            <w:pPr>
              <w:jc w:val="left"/>
              <w:rPr>
                <w:rFonts w:cs="Arial"/>
                <w:sz w:val="16"/>
                <w:szCs w:val="16"/>
                <w:lang w:val="de-DE"/>
              </w:rPr>
            </w:pPr>
            <w:r w:rsidRPr="008B37C7">
              <w:rPr>
                <w:rFonts w:cs="Arial"/>
                <w:sz w:val="16"/>
                <w:szCs w:val="16"/>
                <w:lang w:val="de-DE"/>
              </w:rPr>
              <w:t>Finnland</w:t>
            </w:r>
          </w:p>
        </w:tc>
        <w:tc>
          <w:tcPr>
            <w:tcW w:w="450" w:type="dxa"/>
            <w:tcBorders>
              <w:top w:val="nil"/>
              <w:left w:val="single" w:sz="4" w:space="0" w:color="auto"/>
              <w:bottom w:val="single" w:sz="4" w:space="0" w:color="auto"/>
              <w:right w:val="single" w:sz="4" w:space="0" w:color="auto"/>
            </w:tcBorders>
            <w:shd w:val="clear" w:color="auto" w:fill="auto"/>
            <w:vAlign w:val="bottom"/>
          </w:tcPr>
          <w:p w14:paraId="1330789A" w14:textId="77777777" w:rsidR="006E4365" w:rsidRPr="008B37C7" w:rsidRDefault="006E4365" w:rsidP="00F76AA9">
            <w:pPr>
              <w:jc w:val="center"/>
              <w:rPr>
                <w:rFonts w:cs="Arial"/>
                <w:sz w:val="16"/>
                <w:szCs w:val="16"/>
                <w:lang w:val="de-DE"/>
              </w:rPr>
            </w:pPr>
            <w:r w:rsidRPr="008B37C7">
              <w:rPr>
                <w:rFonts w:cs="Arial"/>
                <w:sz w:val="16"/>
                <w:szCs w:val="16"/>
                <w:lang w:val="de-DE"/>
              </w:rPr>
              <w:t>FI</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458F65A4"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8</w:t>
            </w:r>
          </w:p>
        </w:tc>
        <w:tc>
          <w:tcPr>
            <w:tcW w:w="720" w:type="dxa"/>
            <w:tcBorders>
              <w:top w:val="nil"/>
              <w:left w:val="nil"/>
              <w:bottom w:val="single" w:sz="4" w:space="0" w:color="auto"/>
              <w:right w:val="single" w:sz="4" w:space="0" w:color="auto"/>
            </w:tcBorders>
            <w:shd w:val="clear" w:color="000000" w:fill="BFBFBF"/>
            <w:vAlign w:val="center"/>
          </w:tcPr>
          <w:p w14:paraId="293B192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630" w:type="dxa"/>
            <w:tcBorders>
              <w:top w:val="nil"/>
              <w:left w:val="nil"/>
              <w:bottom w:val="single" w:sz="4" w:space="0" w:color="auto"/>
              <w:right w:val="single" w:sz="4" w:space="0" w:color="auto"/>
            </w:tcBorders>
            <w:shd w:val="clear" w:color="000000" w:fill="BFBFBF"/>
            <w:vAlign w:val="center"/>
          </w:tcPr>
          <w:p w14:paraId="5B41899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720" w:type="dxa"/>
            <w:tcBorders>
              <w:top w:val="nil"/>
              <w:left w:val="nil"/>
              <w:bottom w:val="single" w:sz="4" w:space="0" w:color="auto"/>
              <w:right w:val="single" w:sz="4" w:space="0" w:color="auto"/>
            </w:tcBorders>
            <w:shd w:val="clear" w:color="000000" w:fill="BFBFBF"/>
            <w:vAlign w:val="center"/>
          </w:tcPr>
          <w:p w14:paraId="7C48798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720" w:type="dxa"/>
            <w:tcBorders>
              <w:top w:val="nil"/>
              <w:left w:val="nil"/>
              <w:bottom w:val="single" w:sz="4" w:space="0" w:color="auto"/>
              <w:right w:val="single" w:sz="4" w:space="0" w:color="auto"/>
            </w:tcBorders>
            <w:shd w:val="clear" w:color="000000" w:fill="BFBFBF"/>
            <w:vAlign w:val="center"/>
          </w:tcPr>
          <w:p w14:paraId="036B7D8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810" w:type="dxa"/>
            <w:tcBorders>
              <w:top w:val="nil"/>
              <w:left w:val="nil"/>
              <w:bottom w:val="single" w:sz="4" w:space="0" w:color="auto"/>
              <w:right w:val="single" w:sz="4" w:space="0" w:color="auto"/>
            </w:tcBorders>
            <w:shd w:val="clear" w:color="000000" w:fill="BFBFBF"/>
            <w:vAlign w:val="center"/>
          </w:tcPr>
          <w:p w14:paraId="4DBA4D5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1620" w:type="dxa"/>
            <w:tcBorders>
              <w:top w:val="nil"/>
              <w:left w:val="nil"/>
              <w:bottom w:val="single" w:sz="4" w:space="0" w:color="auto"/>
              <w:right w:val="single" w:sz="4" w:space="0" w:color="auto"/>
            </w:tcBorders>
            <w:shd w:val="clear" w:color="000000" w:fill="BFBFBF"/>
            <w:vAlign w:val="center"/>
          </w:tcPr>
          <w:p w14:paraId="7F37265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r>
      <w:tr w:rsidR="006E4365" w:rsidRPr="008B37C7" w14:paraId="158F89A2" w14:textId="77777777" w:rsidTr="006E4365">
        <w:trPr>
          <w:cantSplit/>
        </w:trPr>
        <w:tc>
          <w:tcPr>
            <w:tcW w:w="2245" w:type="dxa"/>
            <w:tcBorders>
              <w:bottom w:val="single" w:sz="4" w:space="0" w:color="auto"/>
            </w:tcBorders>
            <w:shd w:val="clear" w:color="auto" w:fill="auto"/>
          </w:tcPr>
          <w:p w14:paraId="52FC090C" w14:textId="76105352" w:rsidR="006E4365" w:rsidRPr="008B37C7" w:rsidRDefault="00D838B2" w:rsidP="00F76AA9">
            <w:pPr>
              <w:jc w:val="left"/>
              <w:rPr>
                <w:rFonts w:cs="Arial"/>
                <w:sz w:val="16"/>
                <w:szCs w:val="16"/>
                <w:lang w:val="de-DE"/>
              </w:rPr>
            </w:pPr>
            <w:r w:rsidRPr="008B37C7">
              <w:rPr>
                <w:rFonts w:cs="Arial"/>
                <w:sz w:val="16"/>
                <w:szCs w:val="16"/>
                <w:lang w:val="de-DE"/>
              </w:rPr>
              <w:t>Frankreich</w:t>
            </w:r>
          </w:p>
        </w:tc>
        <w:tc>
          <w:tcPr>
            <w:tcW w:w="450" w:type="dxa"/>
            <w:tcBorders>
              <w:top w:val="nil"/>
              <w:left w:val="single" w:sz="4" w:space="0" w:color="auto"/>
              <w:bottom w:val="single" w:sz="4" w:space="0" w:color="auto"/>
              <w:right w:val="single" w:sz="4" w:space="0" w:color="auto"/>
            </w:tcBorders>
            <w:shd w:val="clear" w:color="auto" w:fill="auto"/>
            <w:vAlign w:val="bottom"/>
          </w:tcPr>
          <w:p w14:paraId="29F3E67B" w14:textId="77777777" w:rsidR="006E4365" w:rsidRPr="008B37C7" w:rsidRDefault="006E4365" w:rsidP="00F76AA9">
            <w:pPr>
              <w:jc w:val="center"/>
              <w:rPr>
                <w:rFonts w:cs="Arial"/>
                <w:sz w:val="16"/>
                <w:szCs w:val="16"/>
                <w:lang w:val="de-DE"/>
              </w:rPr>
            </w:pPr>
            <w:r w:rsidRPr="008B37C7">
              <w:rPr>
                <w:rFonts w:cs="Arial"/>
                <w:sz w:val="16"/>
                <w:szCs w:val="16"/>
                <w:lang w:val="de-DE"/>
              </w:rPr>
              <w:t>FR</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0CDDD45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113</w:t>
            </w:r>
          </w:p>
        </w:tc>
        <w:tc>
          <w:tcPr>
            <w:tcW w:w="720" w:type="dxa"/>
            <w:tcBorders>
              <w:top w:val="nil"/>
              <w:left w:val="nil"/>
              <w:bottom w:val="single" w:sz="4" w:space="0" w:color="auto"/>
              <w:right w:val="single" w:sz="4" w:space="0" w:color="auto"/>
            </w:tcBorders>
            <w:shd w:val="clear" w:color="000000" w:fill="BFBFBF"/>
            <w:vAlign w:val="center"/>
          </w:tcPr>
          <w:p w14:paraId="3528481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11</w:t>
            </w:r>
          </w:p>
        </w:tc>
        <w:tc>
          <w:tcPr>
            <w:tcW w:w="630" w:type="dxa"/>
            <w:tcBorders>
              <w:top w:val="nil"/>
              <w:left w:val="nil"/>
              <w:bottom w:val="single" w:sz="4" w:space="0" w:color="auto"/>
              <w:right w:val="single" w:sz="4" w:space="0" w:color="auto"/>
            </w:tcBorders>
            <w:shd w:val="clear" w:color="000000" w:fill="BFBFBF"/>
            <w:vAlign w:val="center"/>
          </w:tcPr>
          <w:p w14:paraId="6562EB41"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8</w:t>
            </w:r>
          </w:p>
        </w:tc>
        <w:tc>
          <w:tcPr>
            <w:tcW w:w="720" w:type="dxa"/>
            <w:tcBorders>
              <w:top w:val="nil"/>
              <w:left w:val="nil"/>
              <w:bottom w:val="single" w:sz="4" w:space="0" w:color="auto"/>
              <w:right w:val="single" w:sz="4" w:space="0" w:color="auto"/>
            </w:tcBorders>
            <w:shd w:val="clear" w:color="000000" w:fill="BFBFBF"/>
            <w:vAlign w:val="center"/>
          </w:tcPr>
          <w:p w14:paraId="1EE80657"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8</w:t>
            </w:r>
          </w:p>
        </w:tc>
        <w:tc>
          <w:tcPr>
            <w:tcW w:w="720" w:type="dxa"/>
            <w:tcBorders>
              <w:top w:val="nil"/>
              <w:left w:val="nil"/>
              <w:bottom w:val="single" w:sz="4" w:space="0" w:color="auto"/>
              <w:right w:val="single" w:sz="4" w:space="0" w:color="auto"/>
            </w:tcBorders>
            <w:shd w:val="clear" w:color="000000" w:fill="BFBFBF"/>
            <w:vAlign w:val="center"/>
          </w:tcPr>
          <w:p w14:paraId="4647F66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10</w:t>
            </w:r>
          </w:p>
        </w:tc>
        <w:tc>
          <w:tcPr>
            <w:tcW w:w="810" w:type="dxa"/>
            <w:tcBorders>
              <w:top w:val="nil"/>
              <w:left w:val="nil"/>
              <w:bottom w:val="single" w:sz="4" w:space="0" w:color="auto"/>
              <w:right w:val="single" w:sz="4" w:space="0" w:color="auto"/>
            </w:tcBorders>
            <w:shd w:val="clear" w:color="000000" w:fill="BFBFBF"/>
            <w:vAlign w:val="center"/>
          </w:tcPr>
          <w:p w14:paraId="51C462C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12</w:t>
            </w:r>
          </w:p>
        </w:tc>
        <w:tc>
          <w:tcPr>
            <w:tcW w:w="1620" w:type="dxa"/>
            <w:tcBorders>
              <w:top w:val="nil"/>
              <w:left w:val="nil"/>
              <w:bottom w:val="single" w:sz="4" w:space="0" w:color="auto"/>
              <w:right w:val="single" w:sz="4" w:space="0" w:color="auto"/>
            </w:tcBorders>
            <w:shd w:val="clear" w:color="000000" w:fill="BFBFBF"/>
            <w:vAlign w:val="center"/>
          </w:tcPr>
          <w:p w14:paraId="760E16D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7</w:t>
            </w:r>
          </w:p>
        </w:tc>
      </w:tr>
      <w:tr w:rsidR="006E4365" w:rsidRPr="008B37C7" w14:paraId="43A438C5" w14:textId="77777777" w:rsidTr="006E4365">
        <w:trPr>
          <w:cantSplit/>
        </w:trPr>
        <w:tc>
          <w:tcPr>
            <w:tcW w:w="2245" w:type="dxa"/>
            <w:tcBorders>
              <w:bottom w:val="single" w:sz="4" w:space="0" w:color="auto"/>
            </w:tcBorders>
            <w:shd w:val="clear" w:color="auto" w:fill="auto"/>
          </w:tcPr>
          <w:p w14:paraId="3E9FB6A3" w14:textId="1162B815" w:rsidR="006E4365" w:rsidRPr="008B37C7" w:rsidRDefault="00D838B2" w:rsidP="00F76AA9">
            <w:pPr>
              <w:jc w:val="left"/>
              <w:rPr>
                <w:rFonts w:cs="Arial"/>
                <w:sz w:val="16"/>
                <w:szCs w:val="16"/>
                <w:lang w:val="de-DE"/>
              </w:rPr>
            </w:pPr>
            <w:r w:rsidRPr="008B37C7">
              <w:rPr>
                <w:rFonts w:cs="Arial"/>
                <w:sz w:val="16"/>
                <w:szCs w:val="16"/>
                <w:lang w:val="de-DE"/>
              </w:rPr>
              <w:t>Georgien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102E5A31" w14:textId="77777777" w:rsidR="006E4365" w:rsidRPr="008B37C7" w:rsidRDefault="006E4365" w:rsidP="00F76AA9">
            <w:pPr>
              <w:jc w:val="center"/>
              <w:rPr>
                <w:rFonts w:cs="Arial"/>
                <w:sz w:val="16"/>
                <w:szCs w:val="16"/>
                <w:lang w:val="de-DE"/>
              </w:rPr>
            </w:pPr>
            <w:r w:rsidRPr="008B37C7">
              <w:rPr>
                <w:rFonts w:cs="Arial"/>
                <w:sz w:val="16"/>
                <w:szCs w:val="16"/>
                <w:lang w:val="de-DE"/>
              </w:rPr>
              <w:t>GE</w:t>
            </w:r>
          </w:p>
        </w:tc>
        <w:tc>
          <w:tcPr>
            <w:tcW w:w="1350" w:type="dxa"/>
            <w:tcBorders>
              <w:top w:val="nil"/>
              <w:left w:val="single" w:sz="4" w:space="0" w:color="auto"/>
              <w:bottom w:val="single" w:sz="4" w:space="0" w:color="auto"/>
              <w:right w:val="single" w:sz="4" w:space="0" w:color="auto"/>
            </w:tcBorders>
            <w:shd w:val="clear" w:color="auto" w:fill="auto"/>
            <w:vAlign w:val="center"/>
          </w:tcPr>
          <w:p w14:paraId="5D46CE8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c>
          <w:tcPr>
            <w:tcW w:w="720" w:type="dxa"/>
            <w:tcBorders>
              <w:top w:val="nil"/>
              <w:left w:val="nil"/>
              <w:bottom w:val="single" w:sz="4" w:space="0" w:color="auto"/>
              <w:right w:val="single" w:sz="4" w:space="0" w:color="auto"/>
            </w:tcBorders>
            <w:shd w:val="clear" w:color="auto" w:fill="auto"/>
            <w:vAlign w:val="center"/>
          </w:tcPr>
          <w:p w14:paraId="006D40B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630" w:type="dxa"/>
            <w:tcBorders>
              <w:top w:val="nil"/>
              <w:left w:val="nil"/>
              <w:bottom w:val="single" w:sz="4" w:space="0" w:color="auto"/>
              <w:right w:val="single" w:sz="4" w:space="0" w:color="auto"/>
            </w:tcBorders>
            <w:shd w:val="clear" w:color="auto" w:fill="auto"/>
            <w:vAlign w:val="center"/>
          </w:tcPr>
          <w:p w14:paraId="7A58B77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000000" w:fill="FFFFFF"/>
            <w:vAlign w:val="center"/>
          </w:tcPr>
          <w:p w14:paraId="388374A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720" w:type="dxa"/>
            <w:tcBorders>
              <w:top w:val="nil"/>
              <w:left w:val="nil"/>
              <w:bottom w:val="single" w:sz="4" w:space="0" w:color="auto"/>
              <w:right w:val="single" w:sz="4" w:space="0" w:color="auto"/>
            </w:tcBorders>
            <w:shd w:val="clear" w:color="auto" w:fill="auto"/>
            <w:vAlign w:val="center"/>
          </w:tcPr>
          <w:p w14:paraId="261DF11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65B61C4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16688AD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63C79579" w14:textId="77777777" w:rsidTr="006E4365">
        <w:trPr>
          <w:cantSplit/>
        </w:trPr>
        <w:tc>
          <w:tcPr>
            <w:tcW w:w="2245" w:type="dxa"/>
            <w:tcBorders>
              <w:bottom w:val="single" w:sz="4" w:space="0" w:color="auto"/>
            </w:tcBorders>
            <w:shd w:val="clear" w:color="auto" w:fill="auto"/>
          </w:tcPr>
          <w:p w14:paraId="0E22BA68" w14:textId="5192265F" w:rsidR="006E4365" w:rsidRPr="008B37C7" w:rsidRDefault="00D838B2" w:rsidP="00F76AA9">
            <w:pPr>
              <w:jc w:val="left"/>
              <w:rPr>
                <w:rFonts w:cs="Arial"/>
                <w:sz w:val="16"/>
                <w:szCs w:val="16"/>
                <w:lang w:val="de-DE"/>
              </w:rPr>
            </w:pPr>
            <w:r w:rsidRPr="008B37C7">
              <w:rPr>
                <w:rFonts w:cs="Arial"/>
                <w:sz w:val="16"/>
                <w:szCs w:val="16"/>
                <w:lang w:val="de-DE"/>
              </w:rPr>
              <w:t>Deutschland</w:t>
            </w:r>
          </w:p>
        </w:tc>
        <w:tc>
          <w:tcPr>
            <w:tcW w:w="450" w:type="dxa"/>
            <w:tcBorders>
              <w:top w:val="nil"/>
              <w:left w:val="single" w:sz="4" w:space="0" w:color="auto"/>
              <w:bottom w:val="single" w:sz="4" w:space="0" w:color="auto"/>
              <w:right w:val="single" w:sz="4" w:space="0" w:color="auto"/>
            </w:tcBorders>
            <w:shd w:val="clear" w:color="auto" w:fill="auto"/>
            <w:vAlign w:val="bottom"/>
          </w:tcPr>
          <w:p w14:paraId="6555DD47" w14:textId="77777777" w:rsidR="006E4365" w:rsidRPr="008B37C7" w:rsidRDefault="006E4365" w:rsidP="00F76AA9">
            <w:pPr>
              <w:jc w:val="center"/>
              <w:rPr>
                <w:rFonts w:cs="Arial"/>
                <w:sz w:val="16"/>
                <w:szCs w:val="16"/>
                <w:lang w:val="de-DE"/>
              </w:rPr>
            </w:pPr>
            <w:r w:rsidRPr="008B37C7">
              <w:rPr>
                <w:rFonts w:cs="Arial"/>
                <w:sz w:val="16"/>
                <w:szCs w:val="16"/>
                <w:lang w:val="de-DE"/>
              </w:rPr>
              <w:t>DE</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2A16E12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58</w:t>
            </w:r>
          </w:p>
        </w:tc>
        <w:tc>
          <w:tcPr>
            <w:tcW w:w="720" w:type="dxa"/>
            <w:tcBorders>
              <w:top w:val="nil"/>
              <w:left w:val="nil"/>
              <w:bottom w:val="single" w:sz="4" w:space="0" w:color="auto"/>
              <w:right w:val="single" w:sz="4" w:space="0" w:color="auto"/>
            </w:tcBorders>
            <w:shd w:val="clear" w:color="000000" w:fill="BFBFBF"/>
            <w:vAlign w:val="center"/>
          </w:tcPr>
          <w:p w14:paraId="4AC898B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12</w:t>
            </w:r>
          </w:p>
        </w:tc>
        <w:tc>
          <w:tcPr>
            <w:tcW w:w="630" w:type="dxa"/>
            <w:tcBorders>
              <w:top w:val="nil"/>
              <w:left w:val="nil"/>
              <w:bottom w:val="single" w:sz="4" w:space="0" w:color="auto"/>
              <w:right w:val="single" w:sz="4" w:space="0" w:color="auto"/>
            </w:tcBorders>
            <w:shd w:val="clear" w:color="000000" w:fill="BFBFBF"/>
            <w:vAlign w:val="center"/>
          </w:tcPr>
          <w:p w14:paraId="0C98895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8</w:t>
            </w:r>
          </w:p>
        </w:tc>
        <w:tc>
          <w:tcPr>
            <w:tcW w:w="720" w:type="dxa"/>
            <w:tcBorders>
              <w:top w:val="nil"/>
              <w:left w:val="nil"/>
              <w:bottom w:val="single" w:sz="4" w:space="0" w:color="auto"/>
              <w:right w:val="single" w:sz="4" w:space="0" w:color="auto"/>
            </w:tcBorders>
            <w:shd w:val="clear" w:color="000000" w:fill="BFBFBF"/>
            <w:vAlign w:val="center"/>
          </w:tcPr>
          <w:p w14:paraId="52DA948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9</w:t>
            </w:r>
          </w:p>
        </w:tc>
        <w:tc>
          <w:tcPr>
            <w:tcW w:w="720" w:type="dxa"/>
            <w:tcBorders>
              <w:top w:val="nil"/>
              <w:left w:val="nil"/>
              <w:bottom w:val="single" w:sz="4" w:space="0" w:color="auto"/>
              <w:right w:val="single" w:sz="4" w:space="0" w:color="auto"/>
            </w:tcBorders>
            <w:shd w:val="clear" w:color="000000" w:fill="BFBFBF"/>
            <w:vAlign w:val="center"/>
          </w:tcPr>
          <w:p w14:paraId="2681779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10</w:t>
            </w:r>
          </w:p>
        </w:tc>
        <w:tc>
          <w:tcPr>
            <w:tcW w:w="810" w:type="dxa"/>
            <w:tcBorders>
              <w:top w:val="nil"/>
              <w:left w:val="nil"/>
              <w:bottom w:val="single" w:sz="4" w:space="0" w:color="auto"/>
              <w:right w:val="single" w:sz="4" w:space="0" w:color="auto"/>
            </w:tcBorders>
            <w:shd w:val="clear" w:color="000000" w:fill="BFBFBF"/>
            <w:vAlign w:val="center"/>
          </w:tcPr>
          <w:p w14:paraId="4FD555D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10</w:t>
            </w:r>
          </w:p>
        </w:tc>
        <w:tc>
          <w:tcPr>
            <w:tcW w:w="1620" w:type="dxa"/>
            <w:tcBorders>
              <w:top w:val="nil"/>
              <w:left w:val="nil"/>
              <w:bottom w:val="single" w:sz="4" w:space="0" w:color="auto"/>
              <w:right w:val="single" w:sz="4" w:space="0" w:color="auto"/>
            </w:tcBorders>
            <w:shd w:val="clear" w:color="000000" w:fill="BFBFBF"/>
            <w:vAlign w:val="center"/>
          </w:tcPr>
          <w:p w14:paraId="464BC4B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10</w:t>
            </w:r>
          </w:p>
        </w:tc>
      </w:tr>
      <w:tr w:rsidR="006E4365" w:rsidRPr="008B37C7" w14:paraId="21289D93" w14:textId="77777777" w:rsidTr="006E4365">
        <w:trPr>
          <w:cantSplit/>
        </w:trPr>
        <w:tc>
          <w:tcPr>
            <w:tcW w:w="2245" w:type="dxa"/>
            <w:tcBorders>
              <w:bottom w:val="single" w:sz="4" w:space="0" w:color="auto"/>
            </w:tcBorders>
            <w:shd w:val="clear" w:color="auto" w:fill="auto"/>
          </w:tcPr>
          <w:p w14:paraId="7ABE24BC" w14:textId="312B81AC" w:rsidR="006E4365" w:rsidRPr="008B37C7" w:rsidRDefault="00D838B2" w:rsidP="00F76AA9">
            <w:pPr>
              <w:jc w:val="left"/>
              <w:rPr>
                <w:rFonts w:cs="Arial"/>
                <w:sz w:val="16"/>
                <w:szCs w:val="16"/>
                <w:lang w:val="de-DE"/>
              </w:rPr>
            </w:pPr>
            <w:r w:rsidRPr="008B37C7">
              <w:rPr>
                <w:rFonts w:cs="Arial"/>
                <w:sz w:val="16"/>
                <w:szCs w:val="16"/>
                <w:lang w:val="de-DE"/>
              </w:rPr>
              <w:t>Ungarn</w:t>
            </w:r>
          </w:p>
        </w:tc>
        <w:tc>
          <w:tcPr>
            <w:tcW w:w="450" w:type="dxa"/>
            <w:tcBorders>
              <w:top w:val="nil"/>
              <w:left w:val="single" w:sz="4" w:space="0" w:color="auto"/>
              <w:bottom w:val="single" w:sz="4" w:space="0" w:color="auto"/>
              <w:right w:val="single" w:sz="4" w:space="0" w:color="auto"/>
            </w:tcBorders>
            <w:shd w:val="clear" w:color="auto" w:fill="auto"/>
            <w:vAlign w:val="bottom"/>
          </w:tcPr>
          <w:p w14:paraId="6B944212" w14:textId="77777777" w:rsidR="006E4365" w:rsidRPr="008B37C7" w:rsidRDefault="006E4365" w:rsidP="00F76AA9">
            <w:pPr>
              <w:jc w:val="center"/>
              <w:rPr>
                <w:rFonts w:cs="Arial"/>
                <w:sz w:val="16"/>
                <w:szCs w:val="16"/>
                <w:lang w:val="de-DE"/>
              </w:rPr>
            </w:pPr>
            <w:r w:rsidRPr="008B37C7">
              <w:rPr>
                <w:rFonts w:cs="Arial"/>
                <w:sz w:val="16"/>
                <w:szCs w:val="16"/>
                <w:lang w:val="de-DE"/>
              </w:rPr>
              <w:t>HU</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31B79D7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38</w:t>
            </w:r>
          </w:p>
        </w:tc>
        <w:tc>
          <w:tcPr>
            <w:tcW w:w="720" w:type="dxa"/>
            <w:tcBorders>
              <w:top w:val="nil"/>
              <w:left w:val="nil"/>
              <w:bottom w:val="single" w:sz="4" w:space="0" w:color="auto"/>
              <w:right w:val="single" w:sz="4" w:space="0" w:color="auto"/>
            </w:tcBorders>
            <w:shd w:val="clear" w:color="000000" w:fill="BFBFBF"/>
            <w:vAlign w:val="center"/>
          </w:tcPr>
          <w:p w14:paraId="6C20612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19</w:t>
            </w:r>
          </w:p>
        </w:tc>
        <w:tc>
          <w:tcPr>
            <w:tcW w:w="630" w:type="dxa"/>
            <w:tcBorders>
              <w:top w:val="nil"/>
              <w:left w:val="nil"/>
              <w:bottom w:val="single" w:sz="4" w:space="0" w:color="auto"/>
              <w:right w:val="single" w:sz="4" w:space="0" w:color="auto"/>
            </w:tcBorders>
            <w:shd w:val="clear" w:color="000000" w:fill="BFBFBF"/>
            <w:vAlign w:val="center"/>
          </w:tcPr>
          <w:p w14:paraId="313BF23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14</w:t>
            </w:r>
          </w:p>
        </w:tc>
        <w:tc>
          <w:tcPr>
            <w:tcW w:w="720" w:type="dxa"/>
            <w:tcBorders>
              <w:top w:val="nil"/>
              <w:left w:val="nil"/>
              <w:bottom w:val="single" w:sz="4" w:space="0" w:color="auto"/>
              <w:right w:val="single" w:sz="4" w:space="0" w:color="auto"/>
            </w:tcBorders>
            <w:shd w:val="clear" w:color="000000" w:fill="BFBFBF"/>
            <w:vAlign w:val="center"/>
          </w:tcPr>
          <w:p w14:paraId="63C88BF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11</w:t>
            </w:r>
          </w:p>
        </w:tc>
        <w:tc>
          <w:tcPr>
            <w:tcW w:w="720" w:type="dxa"/>
            <w:tcBorders>
              <w:top w:val="nil"/>
              <w:left w:val="nil"/>
              <w:bottom w:val="single" w:sz="4" w:space="0" w:color="auto"/>
              <w:right w:val="single" w:sz="4" w:space="0" w:color="auto"/>
            </w:tcBorders>
            <w:shd w:val="clear" w:color="000000" w:fill="BFBFBF"/>
            <w:vAlign w:val="center"/>
          </w:tcPr>
          <w:p w14:paraId="1FAF387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13</w:t>
            </w:r>
          </w:p>
        </w:tc>
        <w:tc>
          <w:tcPr>
            <w:tcW w:w="810" w:type="dxa"/>
            <w:tcBorders>
              <w:top w:val="nil"/>
              <w:left w:val="nil"/>
              <w:bottom w:val="single" w:sz="4" w:space="0" w:color="auto"/>
              <w:right w:val="single" w:sz="4" w:space="0" w:color="auto"/>
            </w:tcBorders>
            <w:shd w:val="clear" w:color="000000" w:fill="BFBFBF"/>
            <w:vAlign w:val="center"/>
          </w:tcPr>
          <w:p w14:paraId="2016C324"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13</w:t>
            </w:r>
          </w:p>
        </w:tc>
        <w:tc>
          <w:tcPr>
            <w:tcW w:w="1620" w:type="dxa"/>
            <w:tcBorders>
              <w:top w:val="nil"/>
              <w:left w:val="nil"/>
              <w:bottom w:val="single" w:sz="4" w:space="0" w:color="auto"/>
              <w:right w:val="single" w:sz="4" w:space="0" w:color="auto"/>
            </w:tcBorders>
            <w:shd w:val="clear" w:color="000000" w:fill="BFBFBF"/>
            <w:vAlign w:val="center"/>
          </w:tcPr>
          <w:p w14:paraId="24490A9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10</w:t>
            </w:r>
          </w:p>
        </w:tc>
      </w:tr>
      <w:tr w:rsidR="006E4365" w:rsidRPr="008B37C7" w14:paraId="010922B0" w14:textId="77777777" w:rsidTr="006E4365">
        <w:trPr>
          <w:cantSplit/>
        </w:trPr>
        <w:tc>
          <w:tcPr>
            <w:tcW w:w="2245" w:type="dxa"/>
            <w:tcBorders>
              <w:bottom w:val="single" w:sz="4" w:space="0" w:color="auto"/>
            </w:tcBorders>
            <w:shd w:val="clear" w:color="auto" w:fill="auto"/>
          </w:tcPr>
          <w:p w14:paraId="2E31CBE6" w14:textId="2AF60B35" w:rsidR="006E4365" w:rsidRPr="008B37C7" w:rsidRDefault="00D838B2" w:rsidP="00F76AA9">
            <w:pPr>
              <w:jc w:val="left"/>
              <w:rPr>
                <w:rFonts w:cs="Arial"/>
                <w:sz w:val="16"/>
                <w:szCs w:val="16"/>
                <w:lang w:val="de-DE"/>
              </w:rPr>
            </w:pPr>
            <w:r w:rsidRPr="008B37C7">
              <w:rPr>
                <w:rFonts w:cs="Arial"/>
                <w:sz w:val="16"/>
                <w:szCs w:val="16"/>
                <w:lang w:val="de-DE"/>
              </w:rPr>
              <w:t>Island</w:t>
            </w:r>
          </w:p>
        </w:tc>
        <w:tc>
          <w:tcPr>
            <w:tcW w:w="450" w:type="dxa"/>
            <w:tcBorders>
              <w:top w:val="nil"/>
              <w:left w:val="single" w:sz="4" w:space="0" w:color="auto"/>
              <w:bottom w:val="single" w:sz="4" w:space="0" w:color="auto"/>
              <w:right w:val="single" w:sz="4" w:space="0" w:color="auto"/>
            </w:tcBorders>
            <w:shd w:val="clear" w:color="auto" w:fill="auto"/>
            <w:vAlign w:val="bottom"/>
          </w:tcPr>
          <w:p w14:paraId="4767F292" w14:textId="77777777" w:rsidR="006E4365" w:rsidRPr="008B37C7" w:rsidRDefault="006E4365" w:rsidP="00F76AA9">
            <w:pPr>
              <w:jc w:val="center"/>
              <w:rPr>
                <w:rFonts w:cs="Arial"/>
                <w:sz w:val="16"/>
                <w:szCs w:val="16"/>
                <w:lang w:val="de-DE"/>
              </w:rPr>
            </w:pPr>
            <w:r w:rsidRPr="008B37C7">
              <w:rPr>
                <w:rFonts w:cs="Arial"/>
                <w:sz w:val="16"/>
                <w:szCs w:val="16"/>
                <w:lang w:val="de-DE"/>
              </w:rPr>
              <w:t>IS</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79D1B7D5" w14:textId="631780F3" w:rsidR="006E4365" w:rsidRPr="008B37C7" w:rsidRDefault="008B37C7" w:rsidP="00F76AA9">
            <w:pPr>
              <w:jc w:val="center"/>
              <w:rPr>
                <w:rFonts w:cs="Arial"/>
                <w:color w:val="000000"/>
                <w:sz w:val="16"/>
                <w:szCs w:val="16"/>
                <w:lang w:val="de-DE"/>
              </w:rPr>
            </w:pPr>
            <w:r>
              <w:rPr>
                <w:rFonts w:cs="Arial"/>
                <w:color w:val="000000"/>
                <w:sz w:val="16"/>
                <w:szCs w:val="16"/>
                <w:lang w:val="de-DE"/>
              </w:rPr>
              <w:t>k.A.</w:t>
            </w:r>
          </w:p>
        </w:tc>
        <w:tc>
          <w:tcPr>
            <w:tcW w:w="720" w:type="dxa"/>
            <w:tcBorders>
              <w:top w:val="nil"/>
              <w:left w:val="nil"/>
              <w:bottom w:val="single" w:sz="4" w:space="0" w:color="auto"/>
              <w:right w:val="single" w:sz="4" w:space="0" w:color="auto"/>
            </w:tcBorders>
            <w:shd w:val="clear" w:color="000000" w:fill="BFBFBF"/>
            <w:vAlign w:val="center"/>
          </w:tcPr>
          <w:p w14:paraId="7D865CB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000000" w:fill="BFBFBF"/>
            <w:vAlign w:val="center"/>
          </w:tcPr>
          <w:p w14:paraId="269EC4F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000000" w:fill="BFBFBF"/>
            <w:vAlign w:val="center"/>
          </w:tcPr>
          <w:p w14:paraId="33F65F3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000000" w:fill="BFBFBF"/>
            <w:vAlign w:val="center"/>
          </w:tcPr>
          <w:p w14:paraId="0DB0938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000000" w:fill="BFBFBF"/>
            <w:vAlign w:val="center"/>
          </w:tcPr>
          <w:p w14:paraId="4A17AEB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000000" w:fill="BFBFBF"/>
            <w:vAlign w:val="center"/>
          </w:tcPr>
          <w:p w14:paraId="099700D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562344AF" w14:textId="77777777" w:rsidTr="006E4365">
        <w:trPr>
          <w:cantSplit/>
        </w:trPr>
        <w:tc>
          <w:tcPr>
            <w:tcW w:w="2245" w:type="dxa"/>
            <w:shd w:val="clear" w:color="auto" w:fill="auto"/>
          </w:tcPr>
          <w:p w14:paraId="56846BD7" w14:textId="35B17E02" w:rsidR="006E4365" w:rsidRPr="008B37C7" w:rsidRDefault="006E4365" w:rsidP="00F76AA9">
            <w:pPr>
              <w:jc w:val="left"/>
              <w:rPr>
                <w:rFonts w:cs="Arial"/>
                <w:sz w:val="16"/>
                <w:szCs w:val="16"/>
                <w:lang w:val="de-DE"/>
              </w:rPr>
            </w:pPr>
            <w:r w:rsidRPr="008B37C7">
              <w:rPr>
                <w:rFonts w:cs="Arial"/>
                <w:sz w:val="16"/>
                <w:szCs w:val="16"/>
                <w:lang w:val="de-DE"/>
              </w:rPr>
              <w:t>Irland</w:t>
            </w:r>
          </w:p>
        </w:tc>
        <w:tc>
          <w:tcPr>
            <w:tcW w:w="450" w:type="dxa"/>
            <w:tcBorders>
              <w:top w:val="nil"/>
              <w:left w:val="single" w:sz="4" w:space="0" w:color="auto"/>
              <w:bottom w:val="single" w:sz="4" w:space="0" w:color="auto"/>
              <w:right w:val="single" w:sz="4" w:space="0" w:color="auto"/>
            </w:tcBorders>
            <w:shd w:val="clear" w:color="auto" w:fill="auto"/>
            <w:vAlign w:val="bottom"/>
          </w:tcPr>
          <w:p w14:paraId="3129EFE6" w14:textId="77777777" w:rsidR="006E4365" w:rsidRPr="008B37C7" w:rsidRDefault="006E4365" w:rsidP="00F76AA9">
            <w:pPr>
              <w:jc w:val="center"/>
              <w:rPr>
                <w:rFonts w:cs="Arial"/>
                <w:sz w:val="16"/>
                <w:szCs w:val="16"/>
                <w:lang w:val="de-DE"/>
              </w:rPr>
            </w:pPr>
            <w:r w:rsidRPr="008B37C7">
              <w:rPr>
                <w:rFonts w:cs="Arial"/>
                <w:sz w:val="16"/>
                <w:szCs w:val="16"/>
                <w:lang w:val="de-DE"/>
              </w:rPr>
              <w:t>IE</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30E512D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c>
          <w:tcPr>
            <w:tcW w:w="720" w:type="dxa"/>
            <w:tcBorders>
              <w:top w:val="nil"/>
              <w:left w:val="nil"/>
              <w:bottom w:val="single" w:sz="4" w:space="0" w:color="auto"/>
              <w:right w:val="single" w:sz="4" w:space="0" w:color="auto"/>
            </w:tcBorders>
            <w:shd w:val="clear" w:color="000000" w:fill="BFBFBF"/>
            <w:vAlign w:val="center"/>
          </w:tcPr>
          <w:p w14:paraId="5F1166A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630" w:type="dxa"/>
            <w:tcBorders>
              <w:top w:val="nil"/>
              <w:left w:val="nil"/>
              <w:bottom w:val="single" w:sz="4" w:space="0" w:color="auto"/>
              <w:right w:val="single" w:sz="4" w:space="0" w:color="auto"/>
            </w:tcBorders>
            <w:shd w:val="clear" w:color="000000" w:fill="BFBFBF"/>
            <w:vAlign w:val="center"/>
          </w:tcPr>
          <w:p w14:paraId="399AE6C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720" w:type="dxa"/>
            <w:tcBorders>
              <w:top w:val="nil"/>
              <w:left w:val="nil"/>
              <w:bottom w:val="single" w:sz="4" w:space="0" w:color="auto"/>
              <w:right w:val="single" w:sz="4" w:space="0" w:color="auto"/>
            </w:tcBorders>
            <w:shd w:val="clear" w:color="000000" w:fill="BFBFBF"/>
            <w:vAlign w:val="center"/>
          </w:tcPr>
          <w:p w14:paraId="06938A21"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720" w:type="dxa"/>
            <w:tcBorders>
              <w:top w:val="nil"/>
              <w:left w:val="nil"/>
              <w:bottom w:val="single" w:sz="4" w:space="0" w:color="auto"/>
              <w:right w:val="single" w:sz="4" w:space="0" w:color="auto"/>
            </w:tcBorders>
            <w:shd w:val="clear" w:color="000000" w:fill="BFBFBF"/>
            <w:vAlign w:val="center"/>
          </w:tcPr>
          <w:p w14:paraId="6526CBC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810" w:type="dxa"/>
            <w:tcBorders>
              <w:top w:val="nil"/>
              <w:left w:val="nil"/>
              <w:bottom w:val="single" w:sz="4" w:space="0" w:color="auto"/>
              <w:right w:val="single" w:sz="4" w:space="0" w:color="auto"/>
            </w:tcBorders>
            <w:shd w:val="clear" w:color="000000" w:fill="BFBFBF"/>
            <w:vAlign w:val="center"/>
          </w:tcPr>
          <w:p w14:paraId="1C65AA67"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1620" w:type="dxa"/>
            <w:tcBorders>
              <w:top w:val="nil"/>
              <w:left w:val="nil"/>
              <w:bottom w:val="single" w:sz="4" w:space="0" w:color="auto"/>
              <w:right w:val="single" w:sz="4" w:space="0" w:color="auto"/>
            </w:tcBorders>
            <w:shd w:val="clear" w:color="000000" w:fill="BFBFBF"/>
            <w:vAlign w:val="center"/>
          </w:tcPr>
          <w:p w14:paraId="034701F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r>
      <w:tr w:rsidR="006E4365" w:rsidRPr="008B37C7" w14:paraId="2D26BAB0" w14:textId="77777777" w:rsidTr="006E4365">
        <w:trPr>
          <w:cantSplit/>
        </w:trPr>
        <w:tc>
          <w:tcPr>
            <w:tcW w:w="2245" w:type="dxa"/>
            <w:tcBorders>
              <w:bottom w:val="single" w:sz="4" w:space="0" w:color="auto"/>
            </w:tcBorders>
            <w:shd w:val="clear" w:color="auto" w:fill="auto"/>
          </w:tcPr>
          <w:p w14:paraId="220ED342" w14:textId="77777777" w:rsidR="006E4365" w:rsidRPr="008B37C7" w:rsidRDefault="006E4365" w:rsidP="00F76AA9">
            <w:pPr>
              <w:jc w:val="left"/>
              <w:rPr>
                <w:rFonts w:cs="Arial"/>
                <w:sz w:val="16"/>
                <w:szCs w:val="16"/>
                <w:lang w:val="de-DE"/>
              </w:rPr>
            </w:pPr>
            <w:r w:rsidRPr="008B37C7">
              <w:rPr>
                <w:rFonts w:cs="Arial"/>
                <w:sz w:val="16"/>
                <w:szCs w:val="16"/>
                <w:lang w:val="de-DE"/>
              </w:rPr>
              <w:t>Israel</w:t>
            </w:r>
          </w:p>
        </w:tc>
        <w:tc>
          <w:tcPr>
            <w:tcW w:w="450" w:type="dxa"/>
            <w:tcBorders>
              <w:top w:val="nil"/>
              <w:left w:val="single" w:sz="4" w:space="0" w:color="auto"/>
              <w:bottom w:val="single" w:sz="4" w:space="0" w:color="auto"/>
              <w:right w:val="single" w:sz="4" w:space="0" w:color="auto"/>
            </w:tcBorders>
            <w:shd w:val="clear" w:color="auto" w:fill="auto"/>
            <w:vAlign w:val="bottom"/>
          </w:tcPr>
          <w:p w14:paraId="2DCB41C0" w14:textId="77777777" w:rsidR="006E4365" w:rsidRPr="008B37C7" w:rsidRDefault="006E4365" w:rsidP="00F76AA9">
            <w:pPr>
              <w:jc w:val="center"/>
              <w:rPr>
                <w:rFonts w:cs="Arial"/>
                <w:sz w:val="16"/>
                <w:szCs w:val="16"/>
                <w:lang w:val="de-DE"/>
              </w:rPr>
            </w:pPr>
            <w:r w:rsidRPr="008B37C7">
              <w:rPr>
                <w:rFonts w:cs="Arial"/>
                <w:sz w:val="16"/>
                <w:szCs w:val="16"/>
                <w:lang w:val="de-DE"/>
              </w:rPr>
              <w:t>IL</w:t>
            </w:r>
          </w:p>
        </w:tc>
        <w:tc>
          <w:tcPr>
            <w:tcW w:w="1350" w:type="dxa"/>
            <w:tcBorders>
              <w:top w:val="nil"/>
              <w:left w:val="single" w:sz="4" w:space="0" w:color="auto"/>
              <w:bottom w:val="single" w:sz="4" w:space="0" w:color="auto"/>
              <w:right w:val="single" w:sz="4" w:space="0" w:color="auto"/>
            </w:tcBorders>
            <w:shd w:val="clear" w:color="auto" w:fill="auto"/>
            <w:vAlign w:val="center"/>
          </w:tcPr>
          <w:p w14:paraId="69A6341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117</w:t>
            </w:r>
          </w:p>
        </w:tc>
        <w:tc>
          <w:tcPr>
            <w:tcW w:w="720" w:type="dxa"/>
            <w:tcBorders>
              <w:top w:val="nil"/>
              <w:left w:val="nil"/>
              <w:bottom w:val="single" w:sz="4" w:space="0" w:color="auto"/>
              <w:right w:val="single" w:sz="4" w:space="0" w:color="auto"/>
            </w:tcBorders>
            <w:shd w:val="clear" w:color="auto" w:fill="auto"/>
            <w:vAlign w:val="center"/>
          </w:tcPr>
          <w:p w14:paraId="282A6D2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630" w:type="dxa"/>
            <w:tcBorders>
              <w:top w:val="nil"/>
              <w:left w:val="nil"/>
              <w:bottom w:val="single" w:sz="4" w:space="0" w:color="auto"/>
              <w:right w:val="single" w:sz="4" w:space="0" w:color="auto"/>
            </w:tcBorders>
            <w:shd w:val="clear" w:color="auto" w:fill="auto"/>
            <w:vAlign w:val="center"/>
          </w:tcPr>
          <w:p w14:paraId="7EA9DCC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720" w:type="dxa"/>
            <w:tcBorders>
              <w:top w:val="nil"/>
              <w:left w:val="nil"/>
              <w:bottom w:val="single" w:sz="4" w:space="0" w:color="auto"/>
              <w:right w:val="single" w:sz="4" w:space="0" w:color="auto"/>
            </w:tcBorders>
            <w:shd w:val="clear" w:color="000000" w:fill="FFFFFF"/>
            <w:vAlign w:val="center"/>
          </w:tcPr>
          <w:p w14:paraId="5587FBA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5CCD765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810" w:type="dxa"/>
            <w:tcBorders>
              <w:top w:val="nil"/>
              <w:left w:val="nil"/>
              <w:bottom w:val="single" w:sz="4" w:space="0" w:color="auto"/>
              <w:right w:val="single" w:sz="4" w:space="0" w:color="auto"/>
            </w:tcBorders>
            <w:shd w:val="clear" w:color="auto" w:fill="auto"/>
            <w:vAlign w:val="center"/>
          </w:tcPr>
          <w:p w14:paraId="5142483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76DA3B6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r>
      <w:tr w:rsidR="006E4365" w:rsidRPr="008B37C7" w14:paraId="66FCAA2A" w14:textId="77777777" w:rsidTr="006E4365">
        <w:trPr>
          <w:cantSplit/>
        </w:trPr>
        <w:tc>
          <w:tcPr>
            <w:tcW w:w="2245" w:type="dxa"/>
            <w:shd w:val="clear" w:color="auto" w:fill="auto"/>
          </w:tcPr>
          <w:p w14:paraId="41D4AF9B" w14:textId="2E8E5D74" w:rsidR="006E4365" w:rsidRPr="008B37C7" w:rsidRDefault="00D838B2" w:rsidP="00F76AA9">
            <w:pPr>
              <w:jc w:val="left"/>
              <w:rPr>
                <w:rFonts w:cs="Arial"/>
                <w:sz w:val="16"/>
                <w:szCs w:val="16"/>
                <w:lang w:val="de-DE"/>
              </w:rPr>
            </w:pPr>
            <w:r w:rsidRPr="008B37C7">
              <w:rPr>
                <w:rFonts w:cs="Arial"/>
                <w:sz w:val="16"/>
                <w:szCs w:val="16"/>
                <w:lang w:val="de-DE"/>
              </w:rPr>
              <w:t>Italien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17619398" w14:textId="77777777" w:rsidR="006E4365" w:rsidRPr="008B37C7" w:rsidRDefault="006E4365" w:rsidP="00F76AA9">
            <w:pPr>
              <w:jc w:val="center"/>
              <w:rPr>
                <w:rFonts w:cs="Arial"/>
                <w:sz w:val="16"/>
                <w:szCs w:val="16"/>
                <w:lang w:val="de-DE"/>
              </w:rPr>
            </w:pPr>
            <w:r w:rsidRPr="008B37C7">
              <w:rPr>
                <w:rFonts w:cs="Arial"/>
                <w:sz w:val="16"/>
                <w:szCs w:val="16"/>
                <w:lang w:val="de-DE"/>
              </w:rPr>
              <w:t>IT</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1567F03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8</w:t>
            </w:r>
          </w:p>
        </w:tc>
        <w:tc>
          <w:tcPr>
            <w:tcW w:w="720" w:type="dxa"/>
            <w:tcBorders>
              <w:top w:val="nil"/>
              <w:left w:val="nil"/>
              <w:bottom w:val="single" w:sz="4" w:space="0" w:color="auto"/>
              <w:right w:val="single" w:sz="4" w:space="0" w:color="auto"/>
            </w:tcBorders>
            <w:shd w:val="clear" w:color="000000" w:fill="BFBFBF"/>
            <w:vAlign w:val="center"/>
          </w:tcPr>
          <w:p w14:paraId="4F77E23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w:t>
            </w:r>
          </w:p>
        </w:tc>
        <w:tc>
          <w:tcPr>
            <w:tcW w:w="630" w:type="dxa"/>
            <w:tcBorders>
              <w:top w:val="nil"/>
              <w:left w:val="nil"/>
              <w:bottom w:val="single" w:sz="4" w:space="0" w:color="auto"/>
              <w:right w:val="single" w:sz="4" w:space="0" w:color="auto"/>
            </w:tcBorders>
            <w:shd w:val="clear" w:color="000000" w:fill="BFBFBF"/>
            <w:vAlign w:val="center"/>
          </w:tcPr>
          <w:p w14:paraId="452F6A6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w:t>
            </w:r>
          </w:p>
        </w:tc>
        <w:tc>
          <w:tcPr>
            <w:tcW w:w="720" w:type="dxa"/>
            <w:tcBorders>
              <w:top w:val="nil"/>
              <w:left w:val="nil"/>
              <w:bottom w:val="single" w:sz="4" w:space="0" w:color="auto"/>
              <w:right w:val="single" w:sz="4" w:space="0" w:color="auto"/>
            </w:tcBorders>
            <w:shd w:val="clear" w:color="000000" w:fill="BFBFBF"/>
            <w:vAlign w:val="center"/>
          </w:tcPr>
          <w:p w14:paraId="47127B6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720" w:type="dxa"/>
            <w:tcBorders>
              <w:top w:val="nil"/>
              <w:left w:val="nil"/>
              <w:bottom w:val="single" w:sz="4" w:space="0" w:color="auto"/>
              <w:right w:val="single" w:sz="4" w:space="0" w:color="auto"/>
            </w:tcBorders>
            <w:shd w:val="clear" w:color="000000" w:fill="BFBFBF"/>
            <w:vAlign w:val="center"/>
          </w:tcPr>
          <w:p w14:paraId="2B15649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c>
          <w:tcPr>
            <w:tcW w:w="810" w:type="dxa"/>
            <w:tcBorders>
              <w:top w:val="nil"/>
              <w:left w:val="nil"/>
              <w:bottom w:val="single" w:sz="4" w:space="0" w:color="auto"/>
              <w:right w:val="single" w:sz="4" w:space="0" w:color="auto"/>
            </w:tcBorders>
            <w:shd w:val="clear" w:color="000000" w:fill="BFBFBF"/>
            <w:vAlign w:val="center"/>
          </w:tcPr>
          <w:p w14:paraId="6EC152A4"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c>
          <w:tcPr>
            <w:tcW w:w="1620" w:type="dxa"/>
            <w:tcBorders>
              <w:top w:val="nil"/>
              <w:left w:val="nil"/>
              <w:bottom w:val="single" w:sz="4" w:space="0" w:color="auto"/>
              <w:right w:val="single" w:sz="4" w:space="0" w:color="auto"/>
            </w:tcBorders>
            <w:shd w:val="clear" w:color="000000" w:fill="BFBFBF"/>
            <w:vAlign w:val="center"/>
          </w:tcPr>
          <w:p w14:paraId="098C509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r>
      <w:tr w:rsidR="006E4365" w:rsidRPr="008B37C7" w14:paraId="39CD2A6D" w14:textId="77777777" w:rsidTr="006E4365">
        <w:trPr>
          <w:cantSplit/>
        </w:trPr>
        <w:tc>
          <w:tcPr>
            <w:tcW w:w="2245" w:type="dxa"/>
            <w:tcBorders>
              <w:bottom w:val="single" w:sz="4" w:space="0" w:color="auto"/>
            </w:tcBorders>
            <w:shd w:val="clear" w:color="auto" w:fill="auto"/>
          </w:tcPr>
          <w:p w14:paraId="0618EA06" w14:textId="77777777" w:rsidR="006E4365" w:rsidRPr="008B37C7" w:rsidRDefault="006E4365" w:rsidP="00F76AA9">
            <w:pPr>
              <w:jc w:val="left"/>
              <w:rPr>
                <w:rFonts w:cs="Arial"/>
                <w:sz w:val="16"/>
                <w:szCs w:val="16"/>
                <w:lang w:val="de-DE"/>
              </w:rPr>
            </w:pPr>
            <w:r w:rsidRPr="008B37C7">
              <w:rPr>
                <w:rFonts w:cs="Arial"/>
                <w:sz w:val="16"/>
                <w:szCs w:val="16"/>
                <w:lang w:val="de-DE"/>
              </w:rPr>
              <w:t>Japan</w:t>
            </w:r>
          </w:p>
        </w:tc>
        <w:tc>
          <w:tcPr>
            <w:tcW w:w="450" w:type="dxa"/>
            <w:tcBorders>
              <w:top w:val="nil"/>
              <w:left w:val="single" w:sz="4" w:space="0" w:color="auto"/>
              <w:bottom w:val="single" w:sz="4" w:space="0" w:color="auto"/>
              <w:right w:val="single" w:sz="4" w:space="0" w:color="auto"/>
            </w:tcBorders>
            <w:shd w:val="clear" w:color="auto" w:fill="auto"/>
            <w:vAlign w:val="bottom"/>
          </w:tcPr>
          <w:p w14:paraId="04D696B7" w14:textId="77777777" w:rsidR="006E4365" w:rsidRPr="008B37C7" w:rsidRDefault="006E4365" w:rsidP="00F76AA9">
            <w:pPr>
              <w:jc w:val="center"/>
              <w:rPr>
                <w:rFonts w:cs="Arial"/>
                <w:sz w:val="16"/>
                <w:szCs w:val="16"/>
                <w:lang w:val="de-DE"/>
              </w:rPr>
            </w:pPr>
            <w:r w:rsidRPr="008B37C7">
              <w:rPr>
                <w:rFonts w:cs="Arial"/>
                <w:sz w:val="16"/>
                <w:szCs w:val="16"/>
                <w:lang w:val="de-DE"/>
              </w:rPr>
              <w:t>JP</w:t>
            </w:r>
          </w:p>
        </w:tc>
        <w:tc>
          <w:tcPr>
            <w:tcW w:w="1350" w:type="dxa"/>
            <w:tcBorders>
              <w:top w:val="nil"/>
              <w:left w:val="single" w:sz="4" w:space="0" w:color="auto"/>
              <w:bottom w:val="single" w:sz="4" w:space="0" w:color="auto"/>
              <w:right w:val="single" w:sz="4" w:space="0" w:color="auto"/>
            </w:tcBorders>
            <w:shd w:val="clear" w:color="auto" w:fill="auto"/>
            <w:vAlign w:val="center"/>
          </w:tcPr>
          <w:p w14:paraId="3760963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822</w:t>
            </w:r>
          </w:p>
        </w:tc>
        <w:tc>
          <w:tcPr>
            <w:tcW w:w="720" w:type="dxa"/>
            <w:tcBorders>
              <w:top w:val="nil"/>
              <w:left w:val="nil"/>
              <w:bottom w:val="single" w:sz="4" w:space="0" w:color="auto"/>
              <w:right w:val="single" w:sz="4" w:space="0" w:color="auto"/>
            </w:tcBorders>
            <w:shd w:val="clear" w:color="auto" w:fill="auto"/>
            <w:vAlign w:val="center"/>
          </w:tcPr>
          <w:p w14:paraId="0F707F0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630" w:type="dxa"/>
            <w:tcBorders>
              <w:top w:val="nil"/>
              <w:left w:val="nil"/>
              <w:bottom w:val="single" w:sz="4" w:space="0" w:color="auto"/>
              <w:right w:val="single" w:sz="4" w:space="0" w:color="auto"/>
            </w:tcBorders>
            <w:shd w:val="clear" w:color="auto" w:fill="auto"/>
            <w:vAlign w:val="center"/>
          </w:tcPr>
          <w:p w14:paraId="69C4D87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720" w:type="dxa"/>
            <w:tcBorders>
              <w:top w:val="nil"/>
              <w:left w:val="nil"/>
              <w:bottom w:val="single" w:sz="4" w:space="0" w:color="auto"/>
              <w:right w:val="single" w:sz="4" w:space="0" w:color="auto"/>
            </w:tcBorders>
            <w:shd w:val="clear" w:color="000000" w:fill="FFFFFF"/>
            <w:vAlign w:val="center"/>
          </w:tcPr>
          <w:p w14:paraId="3FB2748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720" w:type="dxa"/>
            <w:tcBorders>
              <w:top w:val="nil"/>
              <w:left w:val="nil"/>
              <w:bottom w:val="single" w:sz="4" w:space="0" w:color="auto"/>
              <w:right w:val="single" w:sz="4" w:space="0" w:color="auto"/>
            </w:tcBorders>
            <w:shd w:val="clear" w:color="auto" w:fill="auto"/>
            <w:vAlign w:val="center"/>
          </w:tcPr>
          <w:p w14:paraId="3C2C2FB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810" w:type="dxa"/>
            <w:tcBorders>
              <w:top w:val="nil"/>
              <w:left w:val="nil"/>
              <w:bottom w:val="single" w:sz="4" w:space="0" w:color="auto"/>
              <w:right w:val="single" w:sz="4" w:space="0" w:color="auto"/>
            </w:tcBorders>
            <w:shd w:val="clear" w:color="auto" w:fill="auto"/>
            <w:vAlign w:val="center"/>
          </w:tcPr>
          <w:p w14:paraId="062F317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1620" w:type="dxa"/>
            <w:tcBorders>
              <w:top w:val="nil"/>
              <w:left w:val="nil"/>
              <w:bottom w:val="single" w:sz="4" w:space="0" w:color="auto"/>
              <w:right w:val="single" w:sz="4" w:space="0" w:color="auto"/>
            </w:tcBorders>
            <w:shd w:val="clear" w:color="auto" w:fill="auto"/>
            <w:vAlign w:val="center"/>
          </w:tcPr>
          <w:p w14:paraId="5B89354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r>
      <w:tr w:rsidR="006E4365" w:rsidRPr="008B37C7" w14:paraId="2642B83E" w14:textId="77777777" w:rsidTr="006E4365">
        <w:trPr>
          <w:cantSplit/>
        </w:trPr>
        <w:tc>
          <w:tcPr>
            <w:tcW w:w="2245" w:type="dxa"/>
            <w:tcBorders>
              <w:bottom w:val="single" w:sz="4" w:space="0" w:color="auto"/>
            </w:tcBorders>
            <w:shd w:val="clear" w:color="auto" w:fill="auto"/>
          </w:tcPr>
          <w:p w14:paraId="0EE15E55" w14:textId="56C9B74B" w:rsidR="006E4365" w:rsidRPr="008B37C7" w:rsidRDefault="006E4365" w:rsidP="00F76AA9">
            <w:pPr>
              <w:jc w:val="left"/>
              <w:rPr>
                <w:rFonts w:cs="Arial"/>
                <w:sz w:val="16"/>
                <w:szCs w:val="16"/>
                <w:lang w:val="de-DE"/>
              </w:rPr>
            </w:pPr>
            <w:r w:rsidRPr="008B37C7">
              <w:rPr>
                <w:rFonts w:cs="Arial"/>
                <w:sz w:val="16"/>
                <w:szCs w:val="16"/>
                <w:lang w:val="de-DE"/>
              </w:rPr>
              <w:t>Jordan</w:t>
            </w:r>
            <w:r w:rsidR="00D838B2" w:rsidRPr="008B37C7">
              <w:rPr>
                <w:rFonts w:cs="Arial"/>
                <w:sz w:val="16"/>
                <w:szCs w:val="16"/>
                <w:lang w:val="de-DE"/>
              </w:rPr>
              <w:t>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76ECA856" w14:textId="77777777" w:rsidR="006E4365" w:rsidRPr="008B37C7" w:rsidRDefault="006E4365" w:rsidP="00F76AA9">
            <w:pPr>
              <w:jc w:val="center"/>
              <w:rPr>
                <w:rFonts w:cs="Arial"/>
                <w:sz w:val="16"/>
                <w:szCs w:val="16"/>
                <w:lang w:val="de-DE"/>
              </w:rPr>
            </w:pPr>
            <w:r w:rsidRPr="008B37C7">
              <w:rPr>
                <w:rFonts w:cs="Arial"/>
                <w:sz w:val="16"/>
                <w:szCs w:val="16"/>
                <w:lang w:val="de-DE"/>
              </w:rPr>
              <w:t>JO</w:t>
            </w:r>
          </w:p>
        </w:tc>
        <w:tc>
          <w:tcPr>
            <w:tcW w:w="1350" w:type="dxa"/>
            <w:tcBorders>
              <w:top w:val="nil"/>
              <w:left w:val="single" w:sz="4" w:space="0" w:color="auto"/>
              <w:bottom w:val="single" w:sz="4" w:space="0" w:color="auto"/>
              <w:right w:val="single" w:sz="4" w:space="0" w:color="auto"/>
            </w:tcBorders>
            <w:shd w:val="clear" w:color="auto" w:fill="auto"/>
            <w:vAlign w:val="center"/>
          </w:tcPr>
          <w:p w14:paraId="7002D3B1"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10</w:t>
            </w:r>
          </w:p>
        </w:tc>
        <w:tc>
          <w:tcPr>
            <w:tcW w:w="720" w:type="dxa"/>
            <w:tcBorders>
              <w:top w:val="nil"/>
              <w:left w:val="nil"/>
              <w:bottom w:val="single" w:sz="4" w:space="0" w:color="auto"/>
              <w:right w:val="single" w:sz="4" w:space="0" w:color="auto"/>
            </w:tcBorders>
            <w:shd w:val="clear" w:color="auto" w:fill="auto"/>
            <w:vAlign w:val="center"/>
          </w:tcPr>
          <w:p w14:paraId="37800F3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630" w:type="dxa"/>
            <w:tcBorders>
              <w:top w:val="nil"/>
              <w:left w:val="nil"/>
              <w:bottom w:val="single" w:sz="4" w:space="0" w:color="auto"/>
              <w:right w:val="single" w:sz="4" w:space="0" w:color="auto"/>
            </w:tcBorders>
            <w:shd w:val="clear" w:color="auto" w:fill="auto"/>
            <w:vAlign w:val="center"/>
          </w:tcPr>
          <w:p w14:paraId="46D533D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7C33483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5665BF17"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1860CB3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5460F27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085FAF17" w14:textId="77777777" w:rsidTr="006E4365">
        <w:trPr>
          <w:cantSplit/>
        </w:trPr>
        <w:tc>
          <w:tcPr>
            <w:tcW w:w="2245" w:type="dxa"/>
            <w:shd w:val="clear" w:color="auto" w:fill="auto"/>
          </w:tcPr>
          <w:p w14:paraId="68A2E369" w14:textId="38AAE99B" w:rsidR="006E4365" w:rsidRPr="008B37C7" w:rsidRDefault="00D838B2" w:rsidP="00F76AA9">
            <w:pPr>
              <w:jc w:val="left"/>
              <w:rPr>
                <w:rFonts w:cs="Arial"/>
                <w:sz w:val="16"/>
                <w:szCs w:val="16"/>
                <w:lang w:val="de-DE"/>
              </w:rPr>
            </w:pPr>
            <w:r w:rsidRPr="008B37C7">
              <w:rPr>
                <w:rFonts w:cs="Arial"/>
                <w:sz w:val="16"/>
                <w:szCs w:val="16"/>
                <w:lang w:val="de-DE"/>
              </w:rPr>
              <w:t>Keni</w:t>
            </w:r>
            <w:r w:rsidR="006E4365" w:rsidRPr="008B37C7">
              <w:rPr>
                <w:rFonts w:cs="Arial"/>
                <w:sz w:val="16"/>
                <w:szCs w:val="16"/>
                <w:lang w:val="de-DE"/>
              </w:rPr>
              <w:t>a</w:t>
            </w:r>
          </w:p>
        </w:tc>
        <w:tc>
          <w:tcPr>
            <w:tcW w:w="450" w:type="dxa"/>
            <w:tcBorders>
              <w:top w:val="nil"/>
              <w:left w:val="single" w:sz="4" w:space="0" w:color="auto"/>
              <w:bottom w:val="single" w:sz="4" w:space="0" w:color="auto"/>
              <w:right w:val="single" w:sz="4" w:space="0" w:color="auto"/>
            </w:tcBorders>
            <w:shd w:val="clear" w:color="auto" w:fill="auto"/>
            <w:vAlign w:val="bottom"/>
          </w:tcPr>
          <w:p w14:paraId="4BFB1886" w14:textId="77777777" w:rsidR="006E4365" w:rsidRPr="008B37C7" w:rsidRDefault="006E4365" w:rsidP="00F76AA9">
            <w:pPr>
              <w:jc w:val="center"/>
              <w:rPr>
                <w:rFonts w:cs="Arial"/>
                <w:sz w:val="16"/>
                <w:szCs w:val="16"/>
                <w:lang w:val="de-DE"/>
              </w:rPr>
            </w:pPr>
            <w:r w:rsidRPr="008B37C7">
              <w:rPr>
                <w:rFonts w:cs="Arial"/>
                <w:sz w:val="16"/>
                <w:szCs w:val="16"/>
                <w:lang w:val="de-DE"/>
              </w:rPr>
              <w:t>KE</w:t>
            </w:r>
          </w:p>
        </w:tc>
        <w:tc>
          <w:tcPr>
            <w:tcW w:w="1350" w:type="dxa"/>
            <w:tcBorders>
              <w:top w:val="nil"/>
              <w:left w:val="single" w:sz="4" w:space="0" w:color="auto"/>
              <w:bottom w:val="single" w:sz="4" w:space="0" w:color="auto"/>
              <w:right w:val="single" w:sz="4" w:space="0" w:color="auto"/>
            </w:tcBorders>
            <w:shd w:val="clear" w:color="auto" w:fill="auto"/>
            <w:vAlign w:val="center"/>
          </w:tcPr>
          <w:p w14:paraId="7AE89D4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65</w:t>
            </w:r>
          </w:p>
        </w:tc>
        <w:tc>
          <w:tcPr>
            <w:tcW w:w="720" w:type="dxa"/>
            <w:tcBorders>
              <w:top w:val="nil"/>
              <w:left w:val="nil"/>
              <w:bottom w:val="single" w:sz="4" w:space="0" w:color="auto"/>
              <w:right w:val="single" w:sz="4" w:space="0" w:color="auto"/>
            </w:tcBorders>
            <w:shd w:val="clear" w:color="auto" w:fill="auto"/>
            <w:vAlign w:val="center"/>
          </w:tcPr>
          <w:p w14:paraId="48E77DE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630" w:type="dxa"/>
            <w:tcBorders>
              <w:top w:val="nil"/>
              <w:left w:val="nil"/>
              <w:bottom w:val="single" w:sz="4" w:space="0" w:color="auto"/>
              <w:right w:val="single" w:sz="4" w:space="0" w:color="auto"/>
            </w:tcBorders>
            <w:shd w:val="clear" w:color="auto" w:fill="auto"/>
            <w:vAlign w:val="center"/>
          </w:tcPr>
          <w:p w14:paraId="73D59BD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64C7BB2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5D62B3E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2E9DB49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7325B36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2D11FFB3" w14:textId="77777777" w:rsidTr="006E4365">
        <w:trPr>
          <w:cantSplit/>
        </w:trPr>
        <w:tc>
          <w:tcPr>
            <w:tcW w:w="2245" w:type="dxa"/>
            <w:tcBorders>
              <w:bottom w:val="single" w:sz="4" w:space="0" w:color="auto"/>
            </w:tcBorders>
            <w:shd w:val="clear" w:color="auto" w:fill="auto"/>
          </w:tcPr>
          <w:p w14:paraId="59CCBBD4" w14:textId="70C09452" w:rsidR="006E4365" w:rsidRPr="008B37C7" w:rsidRDefault="00D838B2" w:rsidP="00F76AA9">
            <w:pPr>
              <w:jc w:val="left"/>
              <w:rPr>
                <w:rFonts w:cs="Arial"/>
                <w:sz w:val="16"/>
                <w:szCs w:val="16"/>
                <w:lang w:val="de-DE"/>
              </w:rPr>
            </w:pPr>
            <w:r w:rsidRPr="008B37C7">
              <w:rPr>
                <w:sz w:val="16"/>
                <w:lang w:val="de-DE"/>
              </w:rPr>
              <w:t>Kirgisistan</w:t>
            </w:r>
          </w:p>
        </w:tc>
        <w:tc>
          <w:tcPr>
            <w:tcW w:w="450" w:type="dxa"/>
            <w:tcBorders>
              <w:top w:val="nil"/>
              <w:left w:val="single" w:sz="4" w:space="0" w:color="auto"/>
              <w:bottom w:val="single" w:sz="4" w:space="0" w:color="auto"/>
              <w:right w:val="single" w:sz="4" w:space="0" w:color="auto"/>
            </w:tcBorders>
            <w:shd w:val="clear" w:color="auto" w:fill="auto"/>
            <w:vAlign w:val="bottom"/>
          </w:tcPr>
          <w:p w14:paraId="1E4E8FE1" w14:textId="77777777" w:rsidR="006E4365" w:rsidRPr="008B37C7" w:rsidRDefault="006E4365" w:rsidP="00F76AA9">
            <w:pPr>
              <w:jc w:val="center"/>
              <w:rPr>
                <w:rFonts w:cs="Arial"/>
                <w:sz w:val="16"/>
                <w:szCs w:val="16"/>
                <w:lang w:val="de-DE"/>
              </w:rPr>
            </w:pPr>
            <w:r w:rsidRPr="008B37C7">
              <w:rPr>
                <w:rFonts w:cs="Arial"/>
                <w:sz w:val="16"/>
                <w:szCs w:val="16"/>
                <w:lang w:val="de-DE"/>
              </w:rPr>
              <w:t>KG</w:t>
            </w:r>
          </w:p>
        </w:tc>
        <w:tc>
          <w:tcPr>
            <w:tcW w:w="1350" w:type="dxa"/>
            <w:tcBorders>
              <w:top w:val="nil"/>
              <w:left w:val="single" w:sz="4" w:space="0" w:color="auto"/>
              <w:bottom w:val="single" w:sz="4" w:space="0" w:color="auto"/>
              <w:right w:val="single" w:sz="4" w:space="0" w:color="auto"/>
            </w:tcBorders>
            <w:shd w:val="clear" w:color="auto" w:fill="auto"/>
            <w:vAlign w:val="center"/>
          </w:tcPr>
          <w:p w14:paraId="46F278B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5F0EC7D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55168E5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5D5FF274"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44E52B3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26B816C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7F4FA24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6A5C4B60" w14:textId="77777777" w:rsidTr="006E4365">
        <w:trPr>
          <w:cantSplit/>
          <w:trHeight w:val="15"/>
        </w:trPr>
        <w:tc>
          <w:tcPr>
            <w:tcW w:w="2245" w:type="dxa"/>
            <w:tcBorders>
              <w:bottom w:val="single" w:sz="4" w:space="0" w:color="auto"/>
            </w:tcBorders>
            <w:shd w:val="clear" w:color="auto" w:fill="auto"/>
          </w:tcPr>
          <w:p w14:paraId="268B3199" w14:textId="18DD9058" w:rsidR="006E4365" w:rsidRPr="008B37C7" w:rsidRDefault="00D838B2" w:rsidP="00F76AA9">
            <w:pPr>
              <w:jc w:val="left"/>
              <w:rPr>
                <w:rFonts w:cs="Arial"/>
                <w:sz w:val="16"/>
                <w:szCs w:val="16"/>
                <w:lang w:val="de-DE"/>
              </w:rPr>
            </w:pPr>
            <w:r w:rsidRPr="008B37C7">
              <w:rPr>
                <w:rFonts w:cs="Arial"/>
                <w:sz w:val="16"/>
                <w:szCs w:val="16"/>
                <w:lang w:val="de-DE"/>
              </w:rPr>
              <w:t>Lettland</w:t>
            </w:r>
          </w:p>
        </w:tc>
        <w:tc>
          <w:tcPr>
            <w:tcW w:w="450" w:type="dxa"/>
            <w:tcBorders>
              <w:top w:val="nil"/>
              <w:left w:val="single" w:sz="4" w:space="0" w:color="auto"/>
              <w:bottom w:val="single" w:sz="4" w:space="0" w:color="auto"/>
              <w:right w:val="single" w:sz="4" w:space="0" w:color="auto"/>
            </w:tcBorders>
            <w:shd w:val="clear" w:color="auto" w:fill="auto"/>
            <w:vAlign w:val="bottom"/>
          </w:tcPr>
          <w:p w14:paraId="44FA7D91" w14:textId="77777777" w:rsidR="006E4365" w:rsidRPr="008B37C7" w:rsidRDefault="006E4365" w:rsidP="00F76AA9">
            <w:pPr>
              <w:jc w:val="center"/>
              <w:rPr>
                <w:rFonts w:cs="Arial"/>
                <w:sz w:val="16"/>
                <w:szCs w:val="16"/>
                <w:lang w:val="de-DE"/>
              </w:rPr>
            </w:pPr>
            <w:r w:rsidRPr="008B37C7">
              <w:rPr>
                <w:rFonts w:cs="Arial"/>
                <w:sz w:val="16"/>
                <w:szCs w:val="16"/>
                <w:lang w:val="de-DE"/>
              </w:rPr>
              <w:t>LV</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58B00C5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720" w:type="dxa"/>
            <w:tcBorders>
              <w:top w:val="nil"/>
              <w:left w:val="nil"/>
              <w:bottom w:val="single" w:sz="4" w:space="0" w:color="auto"/>
              <w:right w:val="single" w:sz="4" w:space="0" w:color="auto"/>
            </w:tcBorders>
            <w:shd w:val="clear" w:color="000000" w:fill="BFBFBF"/>
            <w:vAlign w:val="center"/>
          </w:tcPr>
          <w:p w14:paraId="74D6A904"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630" w:type="dxa"/>
            <w:tcBorders>
              <w:top w:val="nil"/>
              <w:left w:val="nil"/>
              <w:bottom w:val="single" w:sz="4" w:space="0" w:color="auto"/>
              <w:right w:val="single" w:sz="4" w:space="0" w:color="auto"/>
            </w:tcBorders>
            <w:shd w:val="clear" w:color="000000" w:fill="BFBFBF"/>
            <w:vAlign w:val="center"/>
          </w:tcPr>
          <w:p w14:paraId="6A1EF3D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720" w:type="dxa"/>
            <w:tcBorders>
              <w:top w:val="nil"/>
              <w:left w:val="nil"/>
              <w:bottom w:val="single" w:sz="4" w:space="0" w:color="auto"/>
              <w:right w:val="single" w:sz="4" w:space="0" w:color="auto"/>
            </w:tcBorders>
            <w:shd w:val="clear" w:color="000000" w:fill="BFBFBF"/>
            <w:vAlign w:val="center"/>
          </w:tcPr>
          <w:p w14:paraId="407E5767"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720" w:type="dxa"/>
            <w:tcBorders>
              <w:top w:val="nil"/>
              <w:left w:val="nil"/>
              <w:bottom w:val="single" w:sz="4" w:space="0" w:color="auto"/>
              <w:right w:val="single" w:sz="4" w:space="0" w:color="auto"/>
            </w:tcBorders>
            <w:shd w:val="clear" w:color="000000" w:fill="BFBFBF"/>
            <w:vAlign w:val="center"/>
          </w:tcPr>
          <w:p w14:paraId="49EBD66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810" w:type="dxa"/>
            <w:tcBorders>
              <w:top w:val="nil"/>
              <w:left w:val="nil"/>
              <w:bottom w:val="single" w:sz="4" w:space="0" w:color="auto"/>
              <w:right w:val="single" w:sz="4" w:space="0" w:color="auto"/>
            </w:tcBorders>
            <w:shd w:val="clear" w:color="000000" w:fill="BFBFBF"/>
            <w:vAlign w:val="center"/>
          </w:tcPr>
          <w:p w14:paraId="778CC19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1620" w:type="dxa"/>
            <w:tcBorders>
              <w:top w:val="nil"/>
              <w:left w:val="nil"/>
              <w:bottom w:val="single" w:sz="4" w:space="0" w:color="auto"/>
              <w:right w:val="single" w:sz="4" w:space="0" w:color="auto"/>
            </w:tcBorders>
            <w:shd w:val="clear" w:color="000000" w:fill="BFBFBF"/>
            <w:vAlign w:val="center"/>
          </w:tcPr>
          <w:p w14:paraId="6DEAF8E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r>
      <w:tr w:rsidR="006E4365" w:rsidRPr="008B37C7" w14:paraId="05569A81" w14:textId="77777777" w:rsidTr="006E4365">
        <w:trPr>
          <w:cantSplit/>
        </w:trPr>
        <w:tc>
          <w:tcPr>
            <w:tcW w:w="2245" w:type="dxa"/>
            <w:tcBorders>
              <w:bottom w:val="single" w:sz="4" w:space="0" w:color="auto"/>
            </w:tcBorders>
            <w:shd w:val="clear" w:color="auto" w:fill="auto"/>
          </w:tcPr>
          <w:p w14:paraId="71C49363" w14:textId="1E16A872" w:rsidR="006E4365" w:rsidRPr="008B37C7" w:rsidRDefault="00D838B2" w:rsidP="00F76AA9">
            <w:pPr>
              <w:jc w:val="left"/>
              <w:rPr>
                <w:rFonts w:cs="Arial"/>
                <w:sz w:val="16"/>
                <w:szCs w:val="16"/>
                <w:lang w:val="de-DE"/>
              </w:rPr>
            </w:pPr>
            <w:r w:rsidRPr="008B37C7">
              <w:rPr>
                <w:rFonts w:cs="Arial"/>
                <w:sz w:val="16"/>
                <w:szCs w:val="16"/>
                <w:lang w:val="de-DE"/>
              </w:rPr>
              <w:t>Litauen</w:t>
            </w:r>
          </w:p>
        </w:tc>
        <w:tc>
          <w:tcPr>
            <w:tcW w:w="450" w:type="dxa"/>
            <w:tcBorders>
              <w:top w:val="nil"/>
              <w:left w:val="single" w:sz="4" w:space="0" w:color="auto"/>
              <w:bottom w:val="single" w:sz="4" w:space="0" w:color="auto"/>
              <w:right w:val="single" w:sz="4" w:space="0" w:color="auto"/>
            </w:tcBorders>
            <w:shd w:val="clear" w:color="auto" w:fill="auto"/>
            <w:vAlign w:val="bottom"/>
          </w:tcPr>
          <w:p w14:paraId="1D57444A" w14:textId="77777777" w:rsidR="006E4365" w:rsidRPr="008B37C7" w:rsidRDefault="006E4365" w:rsidP="00F76AA9">
            <w:pPr>
              <w:jc w:val="center"/>
              <w:rPr>
                <w:rFonts w:cs="Arial"/>
                <w:sz w:val="16"/>
                <w:szCs w:val="16"/>
                <w:lang w:val="de-DE"/>
              </w:rPr>
            </w:pPr>
            <w:r w:rsidRPr="008B37C7">
              <w:rPr>
                <w:rFonts w:cs="Arial"/>
                <w:sz w:val="16"/>
                <w:szCs w:val="16"/>
                <w:lang w:val="de-DE"/>
              </w:rPr>
              <w:t>LT</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37E3802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10</w:t>
            </w:r>
          </w:p>
        </w:tc>
        <w:tc>
          <w:tcPr>
            <w:tcW w:w="720" w:type="dxa"/>
            <w:tcBorders>
              <w:top w:val="nil"/>
              <w:left w:val="nil"/>
              <w:bottom w:val="single" w:sz="4" w:space="0" w:color="auto"/>
              <w:right w:val="single" w:sz="4" w:space="0" w:color="auto"/>
            </w:tcBorders>
            <w:shd w:val="clear" w:color="000000" w:fill="BFBFBF"/>
            <w:vAlign w:val="center"/>
          </w:tcPr>
          <w:p w14:paraId="2DB85DF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c>
          <w:tcPr>
            <w:tcW w:w="630" w:type="dxa"/>
            <w:tcBorders>
              <w:top w:val="nil"/>
              <w:left w:val="nil"/>
              <w:bottom w:val="single" w:sz="4" w:space="0" w:color="auto"/>
              <w:right w:val="single" w:sz="4" w:space="0" w:color="auto"/>
            </w:tcBorders>
            <w:shd w:val="clear" w:color="000000" w:fill="BFBFBF"/>
            <w:vAlign w:val="center"/>
          </w:tcPr>
          <w:p w14:paraId="14FA9C7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c>
          <w:tcPr>
            <w:tcW w:w="720" w:type="dxa"/>
            <w:tcBorders>
              <w:top w:val="nil"/>
              <w:left w:val="nil"/>
              <w:bottom w:val="single" w:sz="4" w:space="0" w:color="auto"/>
              <w:right w:val="single" w:sz="4" w:space="0" w:color="auto"/>
            </w:tcBorders>
            <w:shd w:val="clear" w:color="000000" w:fill="BFBFBF"/>
            <w:vAlign w:val="center"/>
          </w:tcPr>
          <w:p w14:paraId="6D52184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720" w:type="dxa"/>
            <w:tcBorders>
              <w:top w:val="nil"/>
              <w:left w:val="nil"/>
              <w:bottom w:val="single" w:sz="4" w:space="0" w:color="auto"/>
              <w:right w:val="single" w:sz="4" w:space="0" w:color="auto"/>
            </w:tcBorders>
            <w:shd w:val="clear" w:color="000000" w:fill="BFBFBF"/>
            <w:vAlign w:val="center"/>
          </w:tcPr>
          <w:p w14:paraId="0179ACA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c>
          <w:tcPr>
            <w:tcW w:w="810" w:type="dxa"/>
            <w:tcBorders>
              <w:top w:val="nil"/>
              <w:left w:val="nil"/>
              <w:bottom w:val="single" w:sz="4" w:space="0" w:color="auto"/>
              <w:right w:val="single" w:sz="4" w:space="0" w:color="auto"/>
            </w:tcBorders>
            <w:shd w:val="clear" w:color="000000" w:fill="BFBFBF"/>
            <w:vAlign w:val="center"/>
          </w:tcPr>
          <w:p w14:paraId="33E1C60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c>
          <w:tcPr>
            <w:tcW w:w="1620" w:type="dxa"/>
            <w:tcBorders>
              <w:top w:val="nil"/>
              <w:left w:val="nil"/>
              <w:bottom w:val="single" w:sz="4" w:space="0" w:color="auto"/>
              <w:right w:val="single" w:sz="4" w:space="0" w:color="auto"/>
            </w:tcBorders>
            <w:shd w:val="clear" w:color="000000" w:fill="BFBFBF"/>
            <w:vAlign w:val="center"/>
          </w:tcPr>
          <w:p w14:paraId="777602CE" w14:textId="1EE043FA"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r>
      <w:tr w:rsidR="006E4365" w:rsidRPr="008B37C7" w14:paraId="368F8846" w14:textId="77777777" w:rsidTr="006E4365">
        <w:trPr>
          <w:cantSplit/>
        </w:trPr>
        <w:tc>
          <w:tcPr>
            <w:tcW w:w="2245" w:type="dxa"/>
            <w:shd w:val="clear" w:color="auto" w:fill="auto"/>
          </w:tcPr>
          <w:p w14:paraId="6671F3E5" w14:textId="77777777" w:rsidR="006E4365" w:rsidRPr="008B37C7" w:rsidRDefault="006E4365" w:rsidP="00F76AA9">
            <w:pPr>
              <w:jc w:val="left"/>
              <w:rPr>
                <w:rFonts w:cs="Arial"/>
                <w:sz w:val="16"/>
                <w:szCs w:val="16"/>
                <w:lang w:val="de-DE"/>
              </w:rPr>
            </w:pPr>
            <w:r w:rsidRPr="008B37C7">
              <w:rPr>
                <w:rFonts w:cs="Arial"/>
                <w:sz w:val="16"/>
                <w:szCs w:val="16"/>
                <w:lang w:val="de-DE"/>
              </w:rPr>
              <w:t>Mexico</w:t>
            </w:r>
          </w:p>
        </w:tc>
        <w:tc>
          <w:tcPr>
            <w:tcW w:w="450" w:type="dxa"/>
            <w:tcBorders>
              <w:top w:val="nil"/>
              <w:left w:val="single" w:sz="4" w:space="0" w:color="auto"/>
              <w:bottom w:val="single" w:sz="4" w:space="0" w:color="auto"/>
              <w:right w:val="single" w:sz="4" w:space="0" w:color="auto"/>
            </w:tcBorders>
            <w:shd w:val="clear" w:color="auto" w:fill="auto"/>
            <w:vAlign w:val="bottom"/>
          </w:tcPr>
          <w:p w14:paraId="3CA67866" w14:textId="77777777" w:rsidR="006E4365" w:rsidRPr="008B37C7" w:rsidRDefault="006E4365" w:rsidP="00F76AA9">
            <w:pPr>
              <w:jc w:val="center"/>
              <w:rPr>
                <w:rFonts w:cs="Arial"/>
                <w:sz w:val="16"/>
                <w:szCs w:val="16"/>
                <w:lang w:val="de-DE"/>
              </w:rPr>
            </w:pPr>
            <w:r w:rsidRPr="008B37C7">
              <w:rPr>
                <w:rFonts w:cs="Arial"/>
                <w:sz w:val="16"/>
                <w:szCs w:val="16"/>
                <w:lang w:val="de-DE"/>
              </w:rPr>
              <w:t>MX</w:t>
            </w:r>
          </w:p>
        </w:tc>
        <w:tc>
          <w:tcPr>
            <w:tcW w:w="1350" w:type="dxa"/>
            <w:tcBorders>
              <w:top w:val="nil"/>
              <w:left w:val="single" w:sz="4" w:space="0" w:color="auto"/>
              <w:bottom w:val="single" w:sz="4" w:space="0" w:color="auto"/>
              <w:right w:val="single" w:sz="4" w:space="0" w:color="auto"/>
            </w:tcBorders>
            <w:shd w:val="clear" w:color="auto" w:fill="auto"/>
            <w:vAlign w:val="center"/>
          </w:tcPr>
          <w:p w14:paraId="5965C39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205</w:t>
            </w:r>
          </w:p>
        </w:tc>
        <w:tc>
          <w:tcPr>
            <w:tcW w:w="720" w:type="dxa"/>
            <w:tcBorders>
              <w:top w:val="nil"/>
              <w:left w:val="nil"/>
              <w:bottom w:val="single" w:sz="4" w:space="0" w:color="auto"/>
              <w:right w:val="single" w:sz="4" w:space="0" w:color="auto"/>
            </w:tcBorders>
            <w:shd w:val="clear" w:color="auto" w:fill="auto"/>
            <w:vAlign w:val="center"/>
          </w:tcPr>
          <w:p w14:paraId="300D25D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630" w:type="dxa"/>
            <w:tcBorders>
              <w:top w:val="nil"/>
              <w:left w:val="nil"/>
              <w:bottom w:val="single" w:sz="4" w:space="0" w:color="auto"/>
              <w:right w:val="single" w:sz="4" w:space="0" w:color="auto"/>
            </w:tcBorders>
            <w:shd w:val="clear" w:color="auto" w:fill="auto"/>
            <w:vAlign w:val="center"/>
          </w:tcPr>
          <w:p w14:paraId="037256F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c>
          <w:tcPr>
            <w:tcW w:w="720" w:type="dxa"/>
            <w:tcBorders>
              <w:top w:val="nil"/>
              <w:left w:val="nil"/>
              <w:bottom w:val="single" w:sz="4" w:space="0" w:color="auto"/>
              <w:right w:val="single" w:sz="4" w:space="0" w:color="auto"/>
            </w:tcBorders>
            <w:shd w:val="clear" w:color="000000" w:fill="FFFFFF"/>
            <w:vAlign w:val="center"/>
          </w:tcPr>
          <w:p w14:paraId="5480219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c>
          <w:tcPr>
            <w:tcW w:w="720" w:type="dxa"/>
            <w:tcBorders>
              <w:top w:val="nil"/>
              <w:left w:val="nil"/>
              <w:bottom w:val="single" w:sz="4" w:space="0" w:color="auto"/>
              <w:right w:val="single" w:sz="4" w:space="0" w:color="auto"/>
            </w:tcBorders>
            <w:shd w:val="clear" w:color="auto" w:fill="auto"/>
            <w:vAlign w:val="center"/>
          </w:tcPr>
          <w:p w14:paraId="52959D7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810" w:type="dxa"/>
            <w:tcBorders>
              <w:top w:val="nil"/>
              <w:left w:val="nil"/>
              <w:bottom w:val="single" w:sz="4" w:space="0" w:color="auto"/>
              <w:right w:val="single" w:sz="4" w:space="0" w:color="auto"/>
            </w:tcBorders>
            <w:shd w:val="clear" w:color="auto" w:fill="auto"/>
            <w:vAlign w:val="center"/>
          </w:tcPr>
          <w:p w14:paraId="50C6782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68FC6A8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r>
      <w:tr w:rsidR="006E4365" w:rsidRPr="008B37C7" w14:paraId="51D3E755" w14:textId="77777777" w:rsidTr="006E4365">
        <w:trPr>
          <w:cantSplit/>
        </w:trPr>
        <w:tc>
          <w:tcPr>
            <w:tcW w:w="2245" w:type="dxa"/>
            <w:tcBorders>
              <w:bottom w:val="single" w:sz="4" w:space="0" w:color="auto"/>
            </w:tcBorders>
            <w:shd w:val="clear" w:color="auto" w:fill="auto"/>
          </w:tcPr>
          <w:p w14:paraId="3B6BA6FE" w14:textId="77777777" w:rsidR="006E4365" w:rsidRPr="008B37C7" w:rsidRDefault="006E4365" w:rsidP="00F76AA9">
            <w:pPr>
              <w:jc w:val="left"/>
              <w:rPr>
                <w:rFonts w:cs="Arial"/>
                <w:sz w:val="16"/>
                <w:szCs w:val="16"/>
                <w:lang w:val="de-DE"/>
              </w:rPr>
            </w:pPr>
            <w:r w:rsidRPr="008B37C7">
              <w:rPr>
                <w:rFonts w:cs="Arial"/>
                <w:sz w:val="16"/>
                <w:szCs w:val="16"/>
                <w:lang w:val="de-DE"/>
              </w:rPr>
              <w:t>Montenegro</w:t>
            </w:r>
          </w:p>
        </w:tc>
        <w:tc>
          <w:tcPr>
            <w:tcW w:w="450" w:type="dxa"/>
            <w:tcBorders>
              <w:top w:val="nil"/>
              <w:left w:val="single" w:sz="4" w:space="0" w:color="auto"/>
              <w:bottom w:val="single" w:sz="4" w:space="0" w:color="auto"/>
              <w:right w:val="single" w:sz="4" w:space="0" w:color="auto"/>
            </w:tcBorders>
            <w:shd w:val="clear" w:color="auto" w:fill="auto"/>
            <w:vAlign w:val="bottom"/>
          </w:tcPr>
          <w:p w14:paraId="2BF235A4" w14:textId="77777777" w:rsidR="006E4365" w:rsidRPr="008B37C7" w:rsidRDefault="006E4365" w:rsidP="00F76AA9">
            <w:pPr>
              <w:jc w:val="center"/>
              <w:rPr>
                <w:rFonts w:cs="Arial"/>
                <w:sz w:val="16"/>
                <w:szCs w:val="16"/>
                <w:lang w:val="de-DE"/>
              </w:rPr>
            </w:pPr>
            <w:r w:rsidRPr="008B37C7">
              <w:rPr>
                <w:rFonts w:cs="Arial"/>
                <w:sz w:val="16"/>
                <w:szCs w:val="16"/>
                <w:lang w:val="de-DE"/>
              </w:rPr>
              <w:t>ME</w:t>
            </w:r>
          </w:p>
        </w:tc>
        <w:tc>
          <w:tcPr>
            <w:tcW w:w="1350" w:type="dxa"/>
            <w:tcBorders>
              <w:top w:val="nil"/>
              <w:left w:val="single" w:sz="4" w:space="0" w:color="auto"/>
              <w:bottom w:val="single" w:sz="4" w:space="0" w:color="auto"/>
              <w:right w:val="single" w:sz="4" w:space="0" w:color="auto"/>
            </w:tcBorders>
            <w:shd w:val="clear" w:color="auto" w:fill="auto"/>
            <w:vAlign w:val="center"/>
          </w:tcPr>
          <w:p w14:paraId="0600A67B" w14:textId="12A2BDE6" w:rsidR="006E4365" w:rsidRPr="008B37C7" w:rsidRDefault="008B37C7" w:rsidP="00F76AA9">
            <w:pPr>
              <w:jc w:val="center"/>
              <w:rPr>
                <w:rFonts w:cs="Arial"/>
                <w:color w:val="000000"/>
                <w:sz w:val="16"/>
                <w:szCs w:val="16"/>
                <w:lang w:val="de-DE"/>
              </w:rPr>
            </w:pPr>
            <w:r>
              <w:rPr>
                <w:rFonts w:cs="Arial"/>
                <w:color w:val="000000"/>
                <w:sz w:val="16"/>
                <w:szCs w:val="16"/>
                <w:lang w:val="de-DE"/>
              </w:rPr>
              <w:t>k.A.</w:t>
            </w:r>
          </w:p>
        </w:tc>
        <w:tc>
          <w:tcPr>
            <w:tcW w:w="720" w:type="dxa"/>
            <w:tcBorders>
              <w:top w:val="nil"/>
              <w:left w:val="nil"/>
              <w:bottom w:val="single" w:sz="4" w:space="0" w:color="auto"/>
              <w:right w:val="single" w:sz="4" w:space="0" w:color="auto"/>
            </w:tcBorders>
            <w:shd w:val="clear" w:color="auto" w:fill="auto"/>
            <w:vAlign w:val="center"/>
          </w:tcPr>
          <w:p w14:paraId="61FF5E4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1CCFA57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000000" w:fill="FFFFFF"/>
            <w:vAlign w:val="center"/>
          </w:tcPr>
          <w:p w14:paraId="650C063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195693F1"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29764DF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3A9A705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7105C560" w14:textId="77777777" w:rsidTr="006E4365">
        <w:trPr>
          <w:cantSplit/>
        </w:trPr>
        <w:tc>
          <w:tcPr>
            <w:tcW w:w="2245" w:type="dxa"/>
            <w:tcBorders>
              <w:bottom w:val="single" w:sz="4" w:space="0" w:color="auto"/>
            </w:tcBorders>
            <w:shd w:val="clear" w:color="auto" w:fill="auto"/>
          </w:tcPr>
          <w:p w14:paraId="495E9726" w14:textId="36973A77" w:rsidR="006E4365" w:rsidRPr="008B37C7" w:rsidRDefault="00D838B2" w:rsidP="00F76AA9">
            <w:pPr>
              <w:jc w:val="left"/>
              <w:rPr>
                <w:rFonts w:cs="Arial"/>
                <w:sz w:val="16"/>
                <w:szCs w:val="16"/>
                <w:lang w:val="de-DE"/>
              </w:rPr>
            </w:pPr>
            <w:r w:rsidRPr="008B37C7">
              <w:rPr>
                <w:rFonts w:cs="Arial"/>
                <w:sz w:val="16"/>
                <w:szCs w:val="16"/>
                <w:lang w:val="de-DE"/>
              </w:rPr>
              <w:t>Marokko</w:t>
            </w:r>
          </w:p>
        </w:tc>
        <w:tc>
          <w:tcPr>
            <w:tcW w:w="450" w:type="dxa"/>
            <w:tcBorders>
              <w:top w:val="nil"/>
              <w:left w:val="single" w:sz="4" w:space="0" w:color="auto"/>
              <w:bottom w:val="single" w:sz="4" w:space="0" w:color="auto"/>
              <w:right w:val="single" w:sz="4" w:space="0" w:color="auto"/>
            </w:tcBorders>
            <w:shd w:val="clear" w:color="auto" w:fill="auto"/>
            <w:vAlign w:val="bottom"/>
          </w:tcPr>
          <w:p w14:paraId="4CD95C87" w14:textId="77777777" w:rsidR="006E4365" w:rsidRPr="008B37C7" w:rsidRDefault="006E4365" w:rsidP="00F76AA9">
            <w:pPr>
              <w:jc w:val="center"/>
              <w:rPr>
                <w:rFonts w:cs="Arial"/>
                <w:sz w:val="16"/>
                <w:szCs w:val="16"/>
                <w:lang w:val="de-DE"/>
              </w:rPr>
            </w:pPr>
            <w:r w:rsidRPr="008B37C7">
              <w:rPr>
                <w:rFonts w:cs="Arial"/>
                <w:sz w:val="16"/>
                <w:szCs w:val="16"/>
                <w:lang w:val="de-DE"/>
              </w:rPr>
              <w:t>MA</w:t>
            </w:r>
          </w:p>
        </w:tc>
        <w:tc>
          <w:tcPr>
            <w:tcW w:w="1350" w:type="dxa"/>
            <w:tcBorders>
              <w:top w:val="nil"/>
              <w:left w:val="single" w:sz="4" w:space="0" w:color="auto"/>
              <w:bottom w:val="single" w:sz="4" w:space="0" w:color="auto"/>
              <w:right w:val="single" w:sz="4" w:space="0" w:color="auto"/>
            </w:tcBorders>
            <w:shd w:val="clear" w:color="auto" w:fill="auto"/>
            <w:vAlign w:val="center"/>
          </w:tcPr>
          <w:p w14:paraId="49BF8B1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80</w:t>
            </w:r>
          </w:p>
        </w:tc>
        <w:tc>
          <w:tcPr>
            <w:tcW w:w="720" w:type="dxa"/>
            <w:tcBorders>
              <w:top w:val="nil"/>
              <w:left w:val="nil"/>
              <w:bottom w:val="single" w:sz="4" w:space="0" w:color="auto"/>
              <w:right w:val="single" w:sz="4" w:space="0" w:color="auto"/>
            </w:tcBorders>
            <w:shd w:val="clear" w:color="auto" w:fill="auto"/>
            <w:vAlign w:val="center"/>
          </w:tcPr>
          <w:p w14:paraId="54471E2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475DD97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720" w:type="dxa"/>
            <w:tcBorders>
              <w:top w:val="nil"/>
              <w:left w:val="nil"/>
              <w:bottom w:val="single" w:sz="4" w:space="0" w:color="auto"/>
              <w:right w:val="single" w:sz="4" w:space="0" w:color="auto"/>
            </w:tcBorders>
            <w:shd w:val="clear" w:color="000000" w:fill="FFFFFF"/>
            <w:vAlign w:val="center"/>
          </w:tcPr>
          <w:p w14:paraId="766BEB9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2539DF64"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383BC99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68B13331"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01E24D76" w14:textId="77777777" w:rsidTr="006E4365">
        <w:trPr>
          <w:cantSplit/>
        </w:trPr>
        <w:tc>
          <w:tcPr>
            <w:tcW w:w="2245" w:type="dxa"/>
            <w:shd w:val="clear" w:color="auto" w:fill="auto"/>
          </w:tcPr>
          <w:p w14:paraId="0571E745" w14:textId="74BEF237" w:rsidR="006E4365" w:rsidRPr="008B37C7" w:rsidRDefault="00D838B2" w:rsidP="00F76AA9">
            <w:pPr>
              <w:jc w:val="left"/>
              <w:rPr>
                <w:rFonts w:cs="Arial"/>
                <w:sz w:val="16"/>
                <w:szCs w:val="16"/>
                <w:lang w:val="de-DE"/>
              </w:rPr>
            </w:pPr>
            <w:r w:rsidRPr="008B37C7">
              <w:rPr>
                <w:rFonts w:cs="Arial"/>
                <w:sz w:val="16"/>
                <w:szCs w:val="16"/>
                <w:lang w:val="de-DE"/>
              </w:rPr>
              <w:t>Niederlande</w:t>
            </w:r>
          </w:p>
        </w:tc>
        <w:tc>
          <w:tcPr>
            <w:tcW w:w="450" w:type="dxa"/>
            <w:tcBorders>
              <w:top w:val="nil"/>
              <w:left w:val="single" w:sz="4" w:space="0" w:color="auto"/>
              <w:bottom w:val="single" w:sz="4" w:space="0" w:color="auto"/>
              <w:right w:val="single" w:sz="4" w:space="0" w:color="auto"/>
            </w:tcBorders>
            <w:shd w:val="clear" w:color="auto" w:fill="auto"/>
            <w:vAlign w:val="bottom"/>
          </w:tcPr>
          <w:p w14:paraId="7DC1EB0C" w14:textId="77777777" w:rsidR="006E4365" w:rsidRPr="008B37C7" w:rsidRDefault="006E4365" w:rsidP="00F76AA9">
            <w:pPr>
              <w:jc w:val="center"/>
              <w:rPr>
                <w:rFonts w:cs="Arial"/>
                <w:sz w:val="16"/>
                <w:szCs w:val="16"/>
                <w:lang w:val="de-DE"/>
              </w:rPr>
            </w:pPr>
            <w:r w:rsidRPr="008B37C7">
              <w:rPr>
                <w:rFonts w:cs="Arial"/>
                <w:sz w:val="16"/>
                <w:szCs w:val="16"/>
                <w:lang w:val="de-DE"/>
              </w:rPr>
              <w:t>NL</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13633947"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767</w:t>
            </w:r>
          </w:p>
        </w:tc>
        <w:tc>
          <w:tcPr>
            <w:tcW w:w="720" w:type="dxa"/>
            <w:tcBorders>
              <w:top w:val="nil"/>
              <w:left w:val="nil"/>
              <w:bottom w:val="single" w:sz="4" w:space="0" w:color="auto"/>
              <w:right w:val="single" w:sz="4" w:space="0" w:color="auto"/>
            </w:tcBorders>
            <w:shd w:val="clear" w:color="000000" w:fill="BFBFBF"/>
            <w:vAlign w:val="center"/>
          </w:tcPr>
          <w:p w14:paraId="60990D77"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11</w:t>
            </w:r>
          </w:p>
        </w:tc>
        <w:tc>
          <w:tcPr>
            <w:tcW w:w="630" w:type="dxa"/>
            <w:tcBorders>
              <w:top w:val="nil"/>
              <w:left w:val="nil"/>
              <w:bottom w:val="single" w:sz="4" w:space="0" w:color="auto"/>
              <w:right w:val="single" w:sz="4" w:space="0" w:color="auto"/>
            </w:tcBorders>
            <w:shd w:val="clear" w:color="000000" w:fill="BFBFBF"/>
            <w:vAlign w:val="center"/>
          </w:tcPr>
          <w:p w14:paraId="6AA682A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8</w:t>
            </w:r>
          </w:p>
        </w:tc>
        <w:tc>
          <w:tcPr>
            <w:tcW w:w="720" w:type="dxa"/>
            <w:tcBorders>
              <w:top w:val="nil"/>
              <w:left w:val="nil"/>
              <w:bottom w:val="single" w:sz="4" w:space="0" w:color="auto"/>
              <w:right w:val="single" w:sz="4" w:space="0" w:color="auto"/>
            </w:tcBorders>
            <w:shd w:val="clear" w:color="000000" w:fill="BFBFBF"/>
            <w:vAlign w:val="center"/>
          </w:tcPr>
          <w:p w14:paraId="10EFBE4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9</w:t>
            </w:r>
          </w:p>
        </w:tc>
        <w:tc>
          <w:tcPr>
            <w:tcW w:w="720" w:type="dxa"/>
            <w:tcBorders>
              <w:top w:val="nil"/>
              <w:left w:val="nil"/>
              <w:bottom w:val="single" w:sz="4" w:space="0" w:color="auto"/>
              <w:right w:val="single" w:sz="4" w:space="0" w:color="auto"/>
            </w:tcBorders>
            <w:shd w:val="clear" w:color="000000" w:fill="BFBFBF"/>
            <w:vAlign w:val="center"/>
          </w:tcPr>
          <w:p w14:paraId="58646431"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12</w:t>
            </w:r>
          </w:p>
        </w:tc>
        <w:tc>
          <w:tcPr>
            <w:tcW w:w="810" w:type="dxa"/>
            <w:tcBorders>
              <w:top w:val="nil"/>
              <w:left w:val="nil"/>
              <w:bottom w:val="single" w:sz="4" w:space="0" w:color="auto"/>
              <w:right w:val="single" w:sz="4" w:space="0" w:color="auto"/>
            </w:tcBorders>
            <w:shd w:val="clear" w:color="000000" w:fill="BFBFBF"/>
            <w:vAlign w:val="center"/>
          </w:tcPr>
          <w:p w14:paraId="1E648BF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12</w:t>
            </w:r>
          </w:p>
        </w:tc>
        <w:tc>
          <w:tcPr>
            <w:tcW w:w="1620" w:type="dxa"/>
            <w:tcBorders>
              <w:top w:val="nil"/>
              <w:left w:val="nil"/>
              <w:bottom w:val="single" w:sz="4" w:space="0" w:color="auto"/>
              <w:right w:val="single" w:sz="4" w:space="0" w:color="auto"/>
            </w:tcBorders>
            <w:shd w:val="clear" w:color="000000" w:fill="BFBFBF"/>
            <w:vAlign w:val="center"/>
          </w:tcPr>
          <w:p w14:paraId="12592B64"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8</w:t>
            </w:r>
          </w:p>
        </w:tc>
      </w:tr>
      <w:tr w:rsidR="006E4365" w:rsidRPr="008B37C7" w14:paraId="3CDAE4A3" w14:textId="77777777" w:rsidTr="006E4365">
        <w:trPr>
          <w:cantSplit/>
        </w:trPr>
        <w:tc>
          <w:tcPr>
            <w:tcW w:w="2245" w:type="dxa"/>
            <w:tcBorders>
              <w:bottom w:val="single" w:sz="4" w:space="0" w:color="auto"/>
            </w:tcBorders>
            <w:shd w:val="clear" w:color="auto" w:fill="auto"/>
          </w:tcPr>
          <w:p w14:paraId="61C248D5" w14:textId="70490830" w:rsidR="006E4365" w:rsidRPr="008B37C7" w:rsidRDefault="00D838B2" w:rsidP="00F76AA9">
            <w:pPr>
              <w:jc w:val="left"/>
              <w:rPr>
                <w:rFonts w:cs="Arial"/>
                <w:sz w:val="16"/>
                <w:szCs w:val="16"/>
                <w:lang w:val="de-DE"/>
              </w:rPr>
            </w:pPr>
            <w:r w:rsidRPr="008B37C7">
              <w:rPr>
                <w:rFonts w:cs="Arial"/>
                <w:sz w:val="16"/>
                <w:szCs w:val="16"/>
                <w:lang w:val="de-DE"/>
              </w:rPr>
              <w:t>Neuseeland</w:t>
            </w:r>
          </w:p>
        </w:tc>
        <w:tc>
          <w:tcPr>
            <w:tcW w:w="450" w:type="dxa"/>
            <w:tcBorders>
              <w:top w:val="nil"/>
              <w:left w:val="single" w:sz="4" w:space="0" w:color="auto"/>
              <w:bottom w:val="single" w:sz="4" w:space="0" w:color="auto"/>
              <w:right w:val="single" w:sz="4" w:space="0" w:color="auto"/>
            </w:tcBorders>
            <w:shd w:val="clear" w:color="auto" w:fill="auto"/>
            <w:vAlign w:val="bottom"/>
          </w:tcPr>
          <w:p w14:paraId="75711095" w14:textId="77777777" w:rsidR="006E4365" w:rsidRPr="008B37C7" w:rsidRDefault="006E4365" w:rsidP="00F76AA9">
            <w:pPr>
              <w:jc w:val="center"/>
              <w:rPr>
                <w:rFonts w:cs="Arial"/>
                <w:sz w:val="16"/>
                <w:szCs w:val="16"/>
                <w:lang w:val="de-DE"/>
              </w:rPr>
            </w:pPr>
            <w:r w:rsidRPr="008B37C7">
              <w:rPr>
                <w:rFonts w:cs="Arial"/>
                <w:sz w:val="16"/>
                <w:szCs w:val="16"/>
                <w:lang w:val="de-DE"/>
              </w:rPr>
              <w:t>NZ</w:t>
            </w:r>
          </w:p>
        </w:tc>
        <w:tc>
          <w:tcPr>
            <w:tcW w:w="1350" w:type="dxa"/>
            <w:tcBorders>
              <w:top w:val="nil"/>
              <w:left w:val="single" w:sz="4" w:space="0" w:color="auto"/>
              <w:bottom w:val="single" w:sz="4" w:space="0" w:color="auto"/>
              <w:right w:val="single" w:sz="4" w:space="0" w:color="auto"/>
            </w:tcBorders>
            <w:shd w:val="clear" w:color="auto" w:fill="auto"/>
            <w:vAlign w:val="center"/>
          </w:tcPr>
          <w:p w14:paraId="0D9628F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101</w:t>
            </w:r>
          </w:p>
        </w:tc>
        <w:tc>
          <w:tcPr>
            <w:tcW w:w="720" w:type="dxa"/>
            <w:tcBorders>
              <w:top w:val="nil"/>
              <w:left w:val="nil"/>
              <w:bottom w:val="single" w:sz="4" w:space="0" w:color="auto"/>
              <w:right w:val="single" w:sz="4" w:space="0" w:color="auto"/>
            </w:tcBorders>
            <w:shd w:val="clear" w:color="auto" w:fill="auto"/>
            <w:vAlign w:val="center"/>
          </w:tcPr>
          <w:p w14:paraId="54AEDA9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c>
          <w:tcPr>
            <w:tcW w:w="630" w:type="dxa"/>
            <w:tcBorders>
              <w:top w:val="nil"/>
              <w:left w:val="nil"/>
              <w:bottom w:val="single" w:sz="4" w:space="0" w:color="auto"/>
              <w:right w:val="single" w:sz="4" w:space="0" w:color="auto"/>
            </w:tcBorders>
            <w:shd w:val="clear" w:color="auto" w:fill="auto"/>
            <w:vAlign w:val="center"/>
          </w:tcPr>
          <w:p w14:paraId="530559B4"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w:t>
            </w:r>
          </w:p>
        </w:tc>
        <w:tc>
          <w:tcPr>
            <w:tcW w:w="720" w:type="dxa"/>
            <w:tcBorders>
              <w:top w:val="nil"/>
              <w:left w:val="nil"/>
              <w:bottom w:val="single" w:sz="4" w:space="0" w:color="auto"/>
              <w:right w:val="single" w:sz="4" w:space="0" w:color="auto"/>
            </w:tcBorders>
            <w:shd w:val="clear" w:color="000000" w:fill="FFFFFF"/>
            <w:vAlign w:val="center"/>
          </w:tcPr>
          <w:p w14:paraId="0F4F2FB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w:t>
            </w:r>
          </w:p>
        </w:tc>
        <w:tc>
          <w:tcPr>
            <w:tcW w:w="720" w:type="dxa"/>
            <w:tcBorders>
              <w:top w:val="nil"/>
              <w:left w:val="nil"/>
              <w:bottom w:val="single" w:sz="4" w:space="0" w:color="auto"/>
              <w:right w:val="single" w:sz="4" w:space="0" w:color="auto"/>
            </w:tcBorders>
            <w:shd w:val="clear" w:color="auto" w:fill="auto"/>
            <w:vAlign w:val="center"/>
          </w:tcPr>
          <w:p w14:paraId="6BE6A42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w:t>
            </w:r>
          </w:p>
        </w:tc>
        <w:tc>
          <w:tcPr>
            <w:tcW w:w="810" w:type="dxa"/>
            <w:tcBorders>
              <w:top w:val="nil"/>
              <w:left w:val="nil"/>
              <w:bottom w:val="single" w:sz="4" w:space="0" w:color="auto"/>
              <w:right w:val="single" w:sz="4" w:space="0" w:color="auto"/>
            </w:tcBorders>
            <w:shd w:val="clear" w:color="auto" w:fill="auto"/>
            <w:vAlign w:val="center"/>
          </w:tcPr>
          <w:p w14:paraId="0A350F4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7</w:t>
            </w:r>
          </w:p>
        </w:tc>
        <w:tc>
          <w:tcPr>
            <w:tcW w:w="1620" w:type="dxa"/>
            <w:tcBorders>
              <w:top w:val="nil"/>
              <w:left w:val="nil"/>
              <w:bottom w:val="single" w:sz="4" w:space="0" w:color="auto"/>
              <w:right w:val="single" w:sz="4" w:space="0" w:color="auto"/>
            </w:tcBorders>
            <w:shd w:val="clear" w:color="auto" w:fill="auto"/>
            <w:vAlign w:val="center"/>
          </w:tcPr>
          <w:p w14:paraId="3097711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04532195" w14:textId="77777777" w:rsidTr="006E4365">
        <w:trPr>
          <w:cantSplit/>
        </w:trPr>
        <w:tc>
          <w:tcPr>
            <w:tcW w:w="2245" w:type="dxa"/>
            <w:tcBorders>
              <w:bottom w:val="single" w:sz="4" w:space="0" w:color="auto"/>
            </w:tcBorders>
            <w:shd w:val="clear" w:color="auto" w:fill="auto"/>
          </w:tcPr>
          <w:p w14:paraId="34821429" w14:textId="77777777" w:rsidR="006E4365" w:rsidRPr="008B37C7" w:rsidRDefault="006E4365" w:rsidP="00F76AA9">
            <w:pPr>
              <w:jc w:val="left"/>
              <w:rPr>
                <w:rFonts w:cs="Arial"/>
                <w:sz w:val="16"/>
                <w:szCs w:val="16"/>
                <w:lang w:val="de-DE"/>
              </w:rPr>
            </w:pPr>
            <w:r w:rsidRPr="008B37C7">
              <w:rPr>
                <w:rFonts w:cs="Arial"/>
                <w:sz w:val="16"/>
                <w:szCs w:val="16"/>
                <w:lang w:val="de-DE"/>
              </w:rPr>
              <w:t>Nicaragua</w:t>
            </w:r>
          </w:p>
        </w:tc>
        <w:tc>
          <w:tcPr>
            <w:tcW w:w="450" w:type="dxa"/>
            <w:tcBorders>
              <w:top w:val="nil"/>
              <w:left w:val="single" w:sz="4" w:space="0" w:color="auto"/>
              <w:bottom w:val="single" w:sz="4" w:space="0" w:color="auto"/>
              <w:right w:val="single" w:sz="4" w:space="0" w:color="auto"/>
            </w:tcBorders>
            <w:shd w:val="clear" w:color="auto" w:fill="auto"/>
            <w:vAlign w:val="bottom"/>
          </w:tcPr>
          <w:p w14:paraId="7D4C45A7" w14:textId="77777777" w:rsidR="006E4365" w:rsidRPr="008B37C7" w:rsidRDefault="006E4365" w:rsidP="00F76AA9">
            <w:pPr>
              <w:jc w:val="center"/>
              <w:rPr>
                <w:rFonts w:cs="Arial"/>
                <w:sz w:val="16"/>
                <w:szCs w:val="16"/>
                <w:lang w:val="de-DE"/>
              </w:rPr>
            </w:pPr>
            <w:r w:rsidRPr="008B37C7">
              <w:rPr>
                <w:rFonts w:cs="Arial"/>
                <w:sz w:val="16"/>
                <w:szCs w:val="16"/>
                <w:lang w:val="de-DE"/>
              </w:rPr>
              <w:t>NI</w:t>
            </w:r>
          </w:p>
        </w:tc>
        <w:tc>
          <w:tcPr>
            <w:tcW w:w="1350" w:type="dxa"/>
            <w:tcBorders>
              <w:top w:val="nil"/>
              <w:left w:val="single" w:sz="4" w:space="0" w:color="auto"/>
              <w:bottom w:val="single" w:sz="4" w:space="0" w:color="auto"/>
              <w:right w:val="single" w:sz="4" w:space="0" w:color="auto"/>
            </w:tcBorders>
            <w:shd w:val="clear" w:color="auto" w:fill="auto"/>
            <w:vAlign w:val="center"/>
          </w:tcPr>
          <w:p w14:paraId="721912E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46F7E04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2E64812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60BA875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6EE6B87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2440BA34"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1620" w:type="dxa"/>
            <w:tcBorders>
              <w:top w:val="nil"/>
              <w:left w:val="nil"/>
              <w:bottom w:val="single" w:sz="4" w:space="0" w:color="auto"/>
              <w:right w:val="single" w:sz="4" w:space="0" w:color="auto"/>
            </w:tcBorders>
            <w:shd w:val="clear" w:color="auto" w:fill="auto"/>
            <w:vAlign w:val="center"/>
          </w:tcPr>
          <w:p w14:paraId="62341D41"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r>
      <w:tr w:rsidR="00D838B2" w:rsidRPr="008B37C7" w14:paraId="076BED83" w14:textId="77777777" w:rsidTr="006E4365">
        <w:trPr>
          <w:cantSplit/>
        </w:trPr>
        <w:tc>
          <w:tcPr>
            <w:tcW w:w="2245" w:type="dxa"/>
            <w:tcBorders>
              <w:bottom w:val="single" w:sz="4" w:space="0" w:color="auto"/>
            </w:tcBorders>
            <w:shd w:val="clear" w:color="auto" w:fill="auto"/>
          </w:tcPr>
          <w:p w14:paraId="043BF1E0" w14:textId="5B21CFF6" w:rsidR="00D838B2" w:rsidRPr="008B37C7" w:rsidRDefault="00D838B2" w:rsidP="00F76AA9">
            <w:pPr>
              <w:jc w:val="left"/>
              <w:rPr>
                <w:rFonts w:cs="Arial"/>
                <w:sz w:val="16"/>
                <w:szCs w:val="16"/>
                <w:lang w:val="de-DE"/>
              </w:rPr>
            </w:pPr>
            <w:r w:rsidRPr="008B37C7">
              <w:rPr>
                <w:sz w:val="16"/>
                <w:lang w:val="de-DE"/>
              </w:rPr>
              <w:t>Nord-Mazedonien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0ABAE051" w14:textId="77777777" w:rsidR="00D838B2" w:rsidRPr="008B37C7" w:rsidRDefault="00D838B2" w:rsidP="00F76AA9">
            <w:pPr>
              <w:jc w:val="center"/>
              <w:rPr>
                <w:rFonts w:cs="Arial"/>
                <w:sz w:val="16"/>
                <w:szCs w:val="16"/>
                <w:lang w:val="de-DE"/>
              </w:rPr>
            </w:pPr>
            <w:r w:rsidRPr="008B37C7">
              <w:rPr>
                <w:rFonts w:cs="Arial"/>
                <w:sz w:val="16"/>
                <w:szCs w:val="16"/>
                <w:lang w:val="de-DE"/>
              </w:rPr>
              <w:t>MK</w:t>
            </w:r>
          </w:p>
        </w:tc>
        <w:tc>
          <w:tcPr>
            <w:tcW w:w="1350" w:type="dxa"/>
            <w:tcBorders>
              <w:top w:val="nil"/>
              <w:left w:val="single" w:sz="4" w:space="0" w:color="auto"/>
              <w:bottom w:val="single" w:sz="4" w:space="0" w:color="auto"/>
              <w:right w:val="single" w:sz="4" w:space="0" w:color="auto"/>
            </w:tcBorders>
            <w:shd w:val="clear" w:color="auto" w:fill="auto"/>
            <w:vAlign w:val="center"/>
          </w:tcPr>
          <w:p w14:paraId="3E3C30E8" w14:textId="017AB77A" w:rsidR="00D838B2" w:rsidRPr="008B37C7" w:rsidRDefault="008B37C7" w:rsidP="00F76AA9">
            <w:pPr>
              <w:jc w:val="center"/>
              <w:rPr>
                <w:rFonts w:cs="Arial"/>
                <w:color w:val="000000"/>
                <w:sz w:val="16"/>
                <w:szCs w:val="16"/>
                <w:lang w:val="de-DE"/>
              </w:rPr>
            </w:pPr>
            <w:r>
              <w:rPr>
                <w:rFonts w:cs="Arial"/>
                <w:color w:val="000000"/>
                <w:sz w:val="16"/>
                <w:szCs w:val="16"/>
                <w:lang w:val="de-DE"/>
              </w:rPr>
              <w:t>k.A.</w:t>
            </w:r>
          </w:p>
        </w:tc>
        <w:tc>
          <w:tcPr>
            <w:tcW w:w="720" w:type="dxa"/>
            <w:tcBorders>
              <w:top w:val="nil"/>
              <w:left w:val="nil"/>
              <w:bottom w:val="single" w:sz="4" w:space="0" w:color="auto"/>
              <w:right w:val="single" w:sz="4" w:space="0" w:color="auto"/>
            </w:tcBorders>
            <w:shd w:val="clear" w:color="auto" w:fill="auto"/>
            <w:vAlign w:val="center"/>
          </w:tcPr>
          <w:p w14:paraId="262D17F0" w14:textId="77777777" w:rsidR="00D838B2" w:rsidRPr="008B37C7" w:rsidRDefault="00D838B2"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2AFC1BFE" w14:textId="77777777" w:rsidR="00D838B2" w:rsidRPr="008B37C7" w:rsidRDefault="00D838B2"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24CAB5E4" w14:textId="77777777" w:rsidR="00D838B2" w:rsidRPr="008B37C7" w:rsidRDefault="00D838B2"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0FB0C4C5" w14:textId="77777777" w:rsidR="00D838B2" w:rsidRPr="008B37C7" w:rsidRDefault="00D838B2"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0B798459" w14:textId="77777777" w:rsidR="00D838B2" w:rsidRPr="008B37C7" w:rsidRDefault="00D838B2"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4FD70872" w14:textId="77777777" w:rsidR="00D838B2" w:rsidRPr="008B37C7" w:rsidRDefault="00D838B2"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73A1F435" w14:textId="77777777" w:rsidTr="006E4365">
        <w:trPr>
          <w:cantSplit/>
        </w:trPr>
        <w:tc>
          <w:tcPr>
            <w:tcW w:w="2245" w:type="dxa"/>
            <w:tcBorders>
              <w:bottom w:val="single" w:sz="4" w:space="0" w:color="auto"/>
            </w:tcBorders>
            <w:shd w:val="clear" w:color="auto" w:fill="auto"/>
          </w:tcPr>
          <w:p w14:paraId="528363E0" w14:textId="3720B15B" w:rsidR="006E4365" w:rsidRPr="008B37C7" w:rsidRDefault="00D838B2" w:rsidP="00F76AA9">
            <w:pPr>
              <w:jc w:val="left"/>
              <w:rPr>
                <w:rFonts w:cs="Arial"/>
                <w:sz w:val="16"/>
                <w:szCs w:val="16"/>
                <w:lang w:val="de-DE"/>
              </w:rPr>
            </w:pPr>
            <w:r w:rsidRPr="008B37C7">
              <w:rPr>
                <w:rFonts w:cs="Arial"/>
                <w:sz w:val="16"/>
                <w:szCs w:val="16"/>
                <w:lang w:val="de-DE"/>
              </w:rPr>
              <w:t>Norwegen</w:t>
            </w:r>
          </w:p>
        </w:tc>
        <w:tc>
          <w:tcPr>
            <w:tcW w:w="450" w:type="dxa"/>
            <w:tcBorders>
              <w:top w:val="nil"/>
              <w:left w:val="single" w:sz="4" w:space="0" w:color="auto"/>
              <w:bottom w:val="single" w:sz="4" w:space="0" w:color="auto"/>
              <w:right w:val="single" w:sz="4" w:space="0" w:color="auto"/>
            </w:tcBorders>
            <w:shd w:val="clear" w:color="auto" w:fill="auto"/>
            <w:vAlign w:val="bottom"/>
          </w:tcPr>
          <w:p w14:paraId="159B6570" w14:textId="77777777" w:rsidR="006E4365" w:rsidRPr="008B37C7" w:rsidRDefault="006E4365" w:rsidP="00F76AA9">
            <w:pPr>
              <w:jc w:val="center"/>
              <w:rPr>
                <w:rFonts w:cs="Arial"/>
                <w:sz w:val="16"/>
                <w:szCs w:val="16"/>
                <w:lang w:val="de-DE"/>
              </w:rPr>
            </w:pPr>
            <w:r w:rsidRPr="008B37C7">
              <w:rPr>
                <w:rFonts w:cs="Arial"/>
                <w:sz w:val="16"/>
                <w:szCs w:val="16"/>
                <w:lang w:val="de-DE"/>
              </w:rPr>
              <w:t>NO</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058F441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18</w:t>
            </w:r>
          </w:p>
        </w:tc>
        <w:tc>
          <w:tcPr>
            <w:tcW w:w="720" w:type="dxa"/>
            <w:tcBorders>
              <w:top w:val="nil"/>
              <w:left w:val="nil"/>
              <w:bottom w:val="single" w:sz="4" w:space="0" w:color="auto"/>
              <w:right w:val="single" w:sz="4" w:space="0" w:color="auto"/>
            </w:tcBorders>
            <w:shd w:val="clear" w:color="000000" w:fill="BFBFBF"/>
            <w:vAlign w:val="center"/>
          </w:tcPr>
          <w:p w14:paraId="64340E5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630" w:type="dxa"/>
            <w:tcBorders>
              <w:top w:val="nil"/>
              <w:left w:val="nil"/>
              <w:bottom w:val="single" w:sz="4" w:space="0" w:color="auto"/>
              <w:right w:val="single" w:sz="4" w:space="0" w:color="auto"/>
            </w:tcBorders>
            <w:shd w:val="clear" w:color="000000" w:fill="BFBFBF"/>
            <w:vAlign w:val="center"/>
          </w:tcPr>
          <w:p w14:paraId="3C17976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c>
          <w:tcPr>
            <w:tcW w:w="720" w:type="dxa"/>
            <w:tcBorders>
              <w:top w:val="nil"/>
              <w:left w:val="nil"/>
              <w:bottom w:val="single" w:sz="4" w:space="0" w:color="auto"/>
              <w:right w:val="single" w:sz="4" w:space="0" w:color="auto"/>
            </w:tcBorders>
            <w:shd w:val="clear" w:color="000000" w:fill="BFBFBF"/>
            <w:vAlign w:val="center"/>
          </w:tcPr>
          <w:p w14:paraId="7017CB77"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7</w:t>
            </w:r>
          </w:p>
        </w:tc>
        <w:tc>
          <w:tcPr>
            <w:tcW w:w="720" w:type="dxa"/>
            <w:tcBorders>
              <w:top w:val="nil"/>
              <w:left w:val="nil"/>
              <w:bottom w:val="single" w:sz="4" w:space="0" w:color="auto"/>
              <w:right w:val="single" w:sz="4" w:space="0" w:color="auto"/>
            </w:tcBorders>
            <w:shd w:val="clear" w:color="000000" w:fill="BFBFBF"/>
            <w:vAlign w:val="center"/>
          </w:tcPr>
          <w:p w14:paraId="5BE582E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7</w:t>
            </w:r>
          </w:p>
        </w:tc>
        <w:tc>
          <w:tcPr>
            <w:tcW w:w="810" w:type="dxa"/>
            <w:tcBorders>
              <w:top w:val="nil"/>
              <w:left w:val="nil"/>
              <w:bottom w:val="single" w:sz="4" w:space="0" w:color="auto"/>
              <w:right w:val="single" w:sz="4" w:space="0" w:color="auto"/>
            </w:tcBorders>
            <w:shd w:val="clear" w:color="000000" w:fill="BFBFBF"/>
            <w:vAlign w:val="center"/>
          </w:tcPr>
          <w:p w14:paraId="0EDB965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1620" w:type="dxa"/>
            <w:tcBorders>
              <w:top w:val="nil"/>
              <w:left w:val="nil"/>
              <w:bottom w:val="single" w:sz="4" w:space="0" w:color="auto"/>
              <w:right w:val="single" w:sz="4" w:space="0" w:color="auto"/>
            </w:tcBorders>
            <w:shd w:val="clear" w:color="000000" w:fill="BFBFBF"/>
            <w:vAlign w:val="center"/>
          </w:tcPr>
          <w:p w14:paraId="1923207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r>
      <w:tr w:rsidR="006E4365" w:rsidRPr="008B37C7" w14:paraId="6AC21365" w14:textId="77777777" w:rsidTr="006E4365">
        <w:trPr>
          <w:cantSplit/>
        </w:trPr>
        <w:tc>
          <w:tcPr>
            <w:tcW w:w="2245" w:type="dxa"/>
            <w:tcBorders>
              <w:bottom w:val="single" w:sz="4" w:space="0" w:color="auto"/>
            </w:tcBorders>
            <w:shd w:val="clear" w:color="auto" w:fill="auto"/>
          </w:tcPr>
          <w:p w14:paraId="27229A2E" w14:textId="77777777" w:rsidR="006E4365" w:rsidRPr="008B37C7" w:rsidRDefault="006E4365" w:rsidP="00F76AA9">
            <w:pPr>
              <w:jc w:val="left"/>
              <w:rPr>
                <w:rFonts w:cs="Arial"/>
                <w:sz w:val="16"/>
                <w:szCs w:val="16"/>
                <w:lang w:val="de-DE"/>
              </w:rPr>
            </w:pPr>
            <w:r w:rsidRPr="008B37C7">
              <w:rPr>
                <w:rFonts w:cs="Arial"/>
                <w:sz w:val="16"/>
                <w:szCs w:val="16"/>
                <w:lang w:val="de-DE"/>
              </w:rPr>
              <w:t>Oman</w:t>
            </w:r>
          </w:p>
        </w:tc>
        <w:tc>
          <w:tcPr>
            <w:tcW w:w="450" w:type="dxa"/>
            <w:tcBorders>
              <w:top w:val="nil"/>
              <w:left w:val="single" w:sz="4" w:space="0" w:color="auto"/>
              <w:bottom w:val="single" w:sz="4" w:space="0" w:color="auto"/>
              <w:right w:val="single" w:sz="4" w:space="0" w:color="auto"/>
            </w:tcBorders>
            <w:shd w:val="clear" w:color="auto" w:fill="auto"/>
            <w:vAlign w:val="bottom"/>
          </w:tcPr>
          <w:p w14:paraId="7581932D" w14:textId="77777777" w:rsidR="006E4365" w:rsidRPr="008B37C7" w:rsidRDefault="006E4365" w:rsidP="00F76AA9">
            <w:pPr>
              <w:jc w:val="center"/>
              <w:rPr>
                <w:rFonts w:cs="Arial"/>
                <w:sz w:val="16"/>
                <w:szCs w:val="16"/>
                <w:lang w:val="de-DE"/>
              </w:rPr>
            </w:pPr>
            <w:r w:rsidRPr="008B37C7">
              <w:rPr>
                <w:rFonts w:cs="Arial"/>
                <w:sz w:val="16"/>
                <w:szCs w:val="16"/>
                <w:lang w:val="de-DE"/>
              </w:rPr>
              <w:t>OM</w:t>
            </w:r>
          </w:p>
        </w:tc>
        <w:tc>
          <w:tcPr>
            <w:tcW w:w="1350" w:type="dxa"/>
            <w:tcBorders>
              <w:top w:val="nil"/>
              <w:left w:val="single" w:sz="4" w:space="0" w:color="auto"/>
              <w:bottom w:val="single" w:sz="4" w:space="0" w:color="auto"/>
              <w:right w:val="single" w:sz="4" w:space="0" w:color="auto"/>
            </w:tcBorders>
            <w:shd w:val="clear" w:color="auto" w:fill="auto"/>
            <w:vAlign w:val="center"/>
          </w:tcPr>
          <w:p w14:paraId="06F81598" w14:textId="6EDBA700" w:rsidR="006E4365" w:rsidRPr="008B37C7" w:rsidRDefault="008B37C7" w:rsidP="00F76AA9">
            <w:pPr>
              <w:jc w:val="center"/>
              <w:rPr>
                <w:rFonts w:cs="Arial"/>
                <w:color w:val="000000"/>
                <w:sz w:val="16"/>
                <w:szCs w:val="16"/>
                <w:lang w:val="de-DE"/>
              </w:rPr>
            </w:pPr>
            <w:r>
              <w:rPr>
                <w:rFonts w:cs="Arial"/>
                <w:color w:val="000000"/>
                <w:sz w:val="16"/>
                <w:szCs w:val="16"/>
                <w:lang w:val="de-DE"/>
              </w:rPr>
              <w:t>k.A.</w:t>
            </w:r>
          </w:p>
        </w:tc>
        <w:tc>
          <w:tcPr>
            <w:tcW w:w="720" w:type="dxa"/>
            <w:tcBorders>
              <w:top w:val="nil"/>
              <w:left w:val="nil"/>
              <w:bottom w:val="single" w:sz="4" w:space="0" w:color="auto"/>
              <w:right w:val="single" w:sz="4" w:space="0" w:color="auto"/>
            </w:tcBorders>
            <w:shd w:val="clear" w:color="auto" w:fill="auto"/>
            <w:vAlign w:val="center"/>
          </w:tcPr>
          <w:p w14:paraId="76611F9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0705C69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720" w:type="dxa"/>
            <w:tcBorders>
              <w:top w:val="nil"/>
              <w:left w:val="nil"/>
              <w:bottom w:val="single" w:sz="4" w:space="0" w:color="auto"/>
              <w:right w:val="single" w:sz="4" w:space="0" w:color="auto"/>
            </w:tcBorders>
            <w:shd w:val="clear" w:color="auto" w:fill="auto"/>
            <w:vAlign w:val="center"/>
          </w:tcPr>
          <w:p w14:paraId="03A1381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5AF1E05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0C391BF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05F38857"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60DB10BD" w14:textId="77777777" w:rsidTr="006E4365">
        <w:trPr>
          <w:cantSplit/>
        </w:trPr>
        <w:tc>
          <w:tcPr>
            <w:tcW w:w="2245" w:type="dxa"/>
            <w:tcBorders>
              <w:bottom w:val="single" w:sz="4" w:space="0" w:color="auto"/>
            </w:tcBorders>
            <w:shd w:val="clear" w:color="auto" w:fill="auto"/>
          </w:tcPr>
          <w:p w14:paraId="326F06D3" w14:textId="77777777" w:rsidR="006E4365" w:rsidRPr="008B37C7" w:rsidRDefault="006E4365" w:rsidP="00F76AA9">
            <w:pPr>
              <w:jc w:val="left"/>
              <w:rPr>
                <w:rFonts w:cs="Arial"/>
                <w:sz w:val="16"/>
                <w:szCs w:val="16"/>
                <w:lang w:val="de-DE"/>
              </w:rPr>
            </w:pPr>
            <w:r w:rsidRPr="008B37C7">
              <w:rPr>
                <w:rFonts w:cs="Arial"/>
                <w:sz w:val="16"/>
                <w:szCs w:val="16"/>
                <w:lang w:val="de-DE"/>
              </w:rPr>
              <w:t>Panama</w:t>
            </w:r>
          </w:p>
        </w:tc>
        <w:tc>
          <w:tcPr>
            <w:tcW w:w="450" w:type="dxa"/>
            <w:tcBorders>
              <w:top w:val="nil"/>
              <w:left w:val="single" w:sz="4" w:space="0" w:color="auto"/>
              <w:bottom w:val="single" w:sz="4" w:space="0" w:color="auto"/>
              <w:right w:val="single" w:sz="4" w:space="0" w:color="auto"/>
            </w:tcBorders>
            <w:shd w:val="clear" w:color="auto" w:fill="auto"/>
            <w:vAlign w:val="bottom"/>
          </w:tcPr>
          <w:p w14:paraId="68658D2A" w14:textId="77777777" w:rsidR="006E4365" w:rsidRPr="008B37C7" w:rsidRDefault="006E4365" w:rsidP="00F76AA9">
            <w:pPr>
              <w:jc w:val="center"/>
              <w:rPr>
                <w:rFonts w:cs="Arial"/>
                <w:sz w:val="16"/>
                <w:szCs w:val="16"/>
                <w:lang w:val="de-DE"/>
              </w:rPr>
            </w:pPr>
            <w:r w:rsidRPr="008B37C7">
              <w:rPr>
                <w:rFonts w:cs="Arial"/>
                <w:sz w:val="16"/>
                <w:szCs w:val="16"/>
                <w:lang w:val="de-DE"/>
              </w:rPr>
              <w:t>PA</w:t>
            </w:r>
          </w:p>
        </w:tc>
        <w:tc>
          <w:tcPr>
            <w:tcW w:w="1350" w:type="dxa"/>
            <w:tcBorders>
              <w:top w:val="nil"/>
              <w:left w:val="single" w:sz="4" w:space="0" w:color="auto"/>
              <w:bottom w:val="single" w:sz="4" w:space="0" w:color="auto"/>
              <w:right w:val="single" w:sz="4" w:space="0" w:color="auto"/>
            </w:tcBorders>
            <w:shd w:val="clear" w:color="auto" w:fill="auto"/>
            <w:vAlign w:val="center"/>
          </w:tcPr>
          <w:p w14:paraId="1AE56D2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720" w:type="dxa"/>
            <w:tcBorders>
              <w:top w:val="nil"/>
              <w:left w:val="nil"/>
              <w:bottom w:val="single" w:sz="4" w:space="0" w:color="auto"/>
              <w:right w:val="single" w:sz="4" w:space="0" w:color="auto"/>
            </w:tcBorders>
            <w:shd w:val="clear" w:color="auto" w:fill="auto"/>
            <w:vAlign w:val="center"/>
          </w:tcPr>
          <w:p w14:paraId="6E997CC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630" w:type="dxa"/>
            <w:tcBorders>
              <w:top w:val="nil"/>
              <w:left w:val="nil"/>
              <w:bottom w:val="single" w:sz="4" w:space="0" w:color="auto"/>
              <w:right w:val="single" w:sz="4" w:space="0" w:color="auto"/>
            </w:tcBorders>
            <w:shd w:val="clear" w:color="auto" w:fill="auto"/>
            <w:vAlign w:val="center"/>
          </w:tcPr>
          <w:p w14:paraId="11540787"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720" w:type="dxa"/>
            <w:tcBorders>
              <w:top w:val="nil"/>
              <w:left w:val="nil"/>
              <w:bottom w:val="single" w:sz="4" w:space="0" w:color="auto"/>
              <w:right w:val="single" w:sz="4" w:space="0" w:color="auto"/>
            </w:tcBorders>
            <w:shd w:val="clear" w:color="auto" w:fill="auto"/>
            <w:vAlign w:val="center"/>
          </w:tcPr>
          <w:p w14:paraId="5FB192F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3A61090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37A3CA2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218E0824"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61A06867" w14:textId="77777777" w:rsidTr="006E4365">
        <w:trPr>
          <w:cantSplit/>
        </w:trPr>
        <w:tc>
          <w:tcPr>
            <w:tcW w:w="2245" w:type="dxa"/>
            <w:tcBorders>
              <w:bottom w:val="single" w:sz="4" w:space="0" w:color="auto"/>
            </w:tcBorders>
            <w:shd w:val="clear" w:color="auto" w:fill="auto"/>
          </w:tcPr>
          <w:p w14:paraId="4F1DFD53" w14:textId="77777777" w:rsidR="006E4365" w:rsidRPr="008B37C7" w:rsidRDefault="006E4365" w:rsidP="00F76AA9">
            <w:pPr>
              <w:jc w:val="left"/>
              <w:rPr>
                <w:rFonts w:cs="Arial"/>
                <w:sz w:val="16"/>
                <w:szCs w:val="16"/>
                <w:lang w:val="de-DE"/>
              </w:rPr>
            </w:pPr>
            <w:r w:rsidRPr="008B37C7">
              <w:rPr>
                <w:rFonts w:cs="Arial"/>
                <w:sz w:val="16"/>
                <w:szCs w:val="16"/>
                <w:lang w:val="de-DE"/>
              </w:rPr>
              <w:t>Paraguay</w:t>
            </w:r>
          </w:p>
        </w:tc>
        <w:tc>
          <w:tcPr>
            <w:tcW w:w="450" w:type="dxa"/>
            <w:tcBorders>
              <w:top w:val="nil"/>
              <w:left w:val="single" w:sz="4" w:space="0" w:color="auto"/>
              <w:bottom w:val="single" w:sz="4" w:space="0" w:color="auto"/>
              <w:right w:val="single" w:sz="4" w:space="0" w:color="auto"/>
            </w:tcBorders>
            <w:shd w:val="clear" w:color="auto" w:fill="auto"/>
            <w:vAlign w:val="bottom"/>
          </w:tcPr>
          <w:p w14:paraId="4C8C2AC0" w14:textId="77777777" w:rsidR="006E4365" w:rsidRPr="008B37C7" w:rsidRDefault="006E4365" w:rsidP="00F76AA9">
            <w:pPr>
              <w:jc w:val="center"/>
              <w:rPr>
                <w:rFonts w:cs="Arial"/>
                <w:sz w:val="16"/>
                <w:szCs w:val="16"/>
                <w:lang w:val="de-DE"/>
              </w:rPr>
            </w:pPr>
            <w:r w:rsidRPr="008B37C7">
              <w:rPr>
                <w:rFonts w:cs="Arial"/>
                <w:sz w:val="16"/>
                <w:szCs w:val="16"/>
                <w:lang w:val="de-DE"/>
              </w:rPr>
              <w:t>PY</w:t>
            </w:r>
          </w:p>
        </w:tc>
        <w:tc>
          <w:tcPr>
            <w:tcW w:w="1350" w:type="dxa"/>
            <w:tcBorders>
              <w:top w:val="nil"/>
              <w:left w:val="single" w:sz="4" w:space="0" w:color="auto"/>
              <w:bottom w:val="single" w:sz="4" w:space="0" w:color="auto"/>
              <w:right w:val="single" w:sz="4" w:space="0" w:color="auto"/>
            </w:tcBorders>
            <w:shd w:val="clear" w:color="auto" w:fill="auto"/>
            <w:vAlign w:val="center"/>
          </w:tcPr>
          <w:p w14:paraId="3850DA2C" w14:textId="66DC9B91" w:rsidR="006E4365" w:rsidRPr="008B37C7" w:rsidRDefault="008B37C7" w:rsidP="00F76AA9">
            <w:pPr>
              <w:jc w:val="center"/>
              <w:rPr>
                <w:rFonts w:cs="Arial"/>
                <w:color w:val="000000"/>
                <w:sz w:val="16"/>
                <w:szCs w:val="16"/>
                <w:lang w:val="de-DE"/>
              </w:rPr>
            </w:pPr>
            <w:r>
              <w:rPr>
                <w:rFonts w:cs="Arial"/>
                <w:color w:val="000000"/>
                <w:sz w:val="16"/>
                <w:szCs w:val="16"/>
                <w:lang w:val="de-DE"/>
              </w:rPr>
              <w:t>k.A.</w:t>
            </w:r>
          </w:p>
        </w:tc>
        <w:tc>
          <w:tcPr>
            <w:tcW w:w="720" w:type="dxa"/>
            <w:tcBorders>
              <w:top w:val="nil"/>
              <w:left w:val="nil"/>
              <w:bottom w:val="single" w:sz="4" w:space="0" w:color="auto"/>
              <w:right w:val="single" w:sz="4" w:space="0" w:color="auto"/>
            </w:tcBorders>
            <w:shd w:val="clear" w:color="auto" w:fill="auto"/>
            <w:vAlign w:val="center"/>
          </w:tcPr>
          <w:p w14:paraId="10CE9C5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630" w:type="dxa"/>
            <w:tcBorders>
              <w:top w:val="nil"/>
              <w:left w:val="nil"/>
              <w:bottom w:val="single" w:sz="4" w:space="0" w:color="auto"/>
              <w:right w:val="single" w:sz="4" w:space="0" w:color="auto"/>
            </w:tcBorders>
            <w:shd w:val="clear" w:color="auto" w:fill="auto"/>
            <w:vAlign w:val="center"/>
          </w:tcPr>
          <w:p w14:paraId="61503441"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720" w:type="dxa"/>
            <w:tcBorders>
              <w:top w:val="nil"/>
              <w:left w:val="nil"/>
              <w:bottom w:val="single" w:sz="4" w:space="0" w:color="auto"/>
              <w:right w:val="single" w:sz="4" w:space="0" w:color="auto"/>
            </w:tcBorders>
            <w:shd w:val="clear" w:color="000000" w:fill="FFFFFF"/>
            <w:vAlign w:val="center"/>
          </w:tcPr>
          <w:p w14:paraId="5CF1977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720" w:type="dxa"/>
            <w:tcBorders>
              <w:top w:val="nil"/>
              <w:left w:val="nil"/>
              <w:bottom w:val="single" w:sz="4" w:space="0" w:color="auto"/>
              <w:right w:val="single" w:sz="4" w:space="0" w:color="auto"/>
            </w:tcBorders>
            <w:shd w:val="clear" w:color="auto" w:fill="auto"/>
            <w:vAlign w:val="center"/>
          </w:tcPr>
          <w:p w14:paraId="3B4CF27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11FDD21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517070B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52AFA98F" w14:textId="77777777" w:rsidTr="006E4365">
        <w:trPr>
          <w:cantSplit/>
        </w:trPr>
        <w:tc>
          <w:tcPr>
            <w:tcW w:w="2245" w:type="dxa"/>
            <w:tcBorders>
              <w:bottom w:val="single" w:sz="4" w:space="0" w:color="auto"/>
            </w:tcBorders>
            <w:shd w:val="clear" w:color="auto" w:fill="auto"/>
          </w:tcPr>
          <w:p w14:paraId="61D22E67" w14:textId="77777777" w:rsidR="006E4365" w:rsidRPr="008B37C7" w:rsidRDefault="006E4365" w:rsidP="00F76AA9">
            <w:pPr>
              <w:jc w:val="left"/>
              <w:rPr>
                <w:rFonts w:cs="Arial"/>
                <w:sz w:val="16"/>
                <w:szCs w:val="16"/>
                <w:lang w:val="de-DE"/>
              </w:rPr>
            </w:pPr>
            <w:r w:rsidRPr="008B37C7">
              <w:rPr>
                <w:rFonts w:cs="Arial"/>
                <w:sz w:val="16"/>
                <w:szCs w:val="16"/>
                <w:lang w:val="de-DE"/>
              </w:rPr>
              <w:t>Peru</w:t>
            </w:r>
          </w:p>
        </w:tc>
        <w:tc>
          <w:tcPr>
            <w:tcW w:w="450" w:type="dxa"/>
            <w:tcBorders>
              <w:top w:val="nil"/>
              <w:left w:val="single" w:sz="4" w:space="0" w:color="auto"/>
              <w:bottom w:val="single" w:sz="4" w:space="0" w:color="auto"/>
              <w:right w:val="single" w:sz="4" w:space="0" w:color="auto"/>
            </w:tcBorders>
            <w:shd w:val="clear" w:color="auto" w:fill="auto"/>
            <w:vAlign w:val="bottom"/>
          </w:tcPr>
          <w:p w14:paraId="574B1057" w14:textId="77777777" w:rsidR="006E4365" w:rsidRPr="008B37C7" w:rsidRDefault="006E4365" w:rsidP="00F76AA9">
            <w:pPr>
              <w:jc w:val="center"/>
              <w:rPr>
                <w:rFonts w:cs="Arial"/>
                <w:sz w:val="16"/>
                <w:szCs w:val="16"/>
                <w:lang w:val="de-DE"/>
              </w:rPr>
            </w:pPr>
            <w:r w:rsidRPr="008B37C7">
              <w:rPr>
                <w:rFonts w:cs="Arial"/>
                <w:sz w:val="16"/>
                <w:szCs w:val="16"/>
                <w:lang w:val="de-DE"/>
              </w:rPr>
              <w:t>PE</w:t>
            </w:r>
          </w:p>
        </w:tc>
        <w:tc>
          <w:tcPr>
            <w:tcW w:w="1350" w:type="dxa"/>
            <w:tcBorders>
              <w:top w:val="nil"/>
              <w:left w:val="single" w:sz="4" w:space="0" w:color="auto"/>
              <w:bottom w:val="single" w:sz="4" w:space="0" w:color="auto"/>
              <w:right w:val="single" w:sz="4" w:space="0" w:color="auto"/>
            </w:tcBorders>
            <w:shd w:val="clear" w:color="auto" w:fill="auto"/>
            <w:vAlign w:val="center"/>
          </w:tcPr>
          <w:p w14:paraId="75BEBB2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55</w:t>
            </w:r>
          </w:p>
        </w:tc>
        <w:tc>
          <w:tcPr>
            <w:tcW w:w="720" w:type="dxa"/>
            <w:tcBorders>
              <w:top w:val="nil"/>
              <w:left w:val="nil"/>
              <w:bottom w:val="single" w:sz="4" w:space="0" w:color="auto"/>
              <w:right w:val="single" w:sz="4" w:space="0" w:color="auto"/>
            </w:tcBorders>
            <w:shd w:val="clear" w:color="auto" w:fill="auto"/>
            <w:vAlign w:val="center"/>
          </w:tcPr>
          <w:p w14:paraId="311F00C4"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0D6D363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720" w:type="dxa"/>
            <w:tcBorders>
              <w:top w:val="nil"/>
              <w:left w:val="nil"/>
              <w:bottom w:val="single" w:sz="4" w:space="0" w:color="auto"/>
              <w:right w:val="single" w:sz="4" w:space="0" w:color="auto"/>
            </w:tcBorders>
            <w:shd w:val="clear" w:color="000000" w:fill="FFFFFF"/>
            <w:vAlign w:val="center"/>
          </w:tcPr>
          <w:p w14:paraId="31C4F19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720" w:type="dxa"/>
            <w:tcBorders>
              <w:top w:val="nil"/>
              <w:left w:val="nil"/>
              <w:bottom w:val="single" w:sz="4" w:space="0" w:color="auto"/>
              <w:right w:val="single" w:sz="4" w:space="0" w:color="auto"/>
            </w:tcBorders>
            <w:shd w:val="clear" w:color="auto" w:fill="auto"/>
            <w:vAlign w:val="center"/>
          </w:tcPr>
          <w:p w14:paraId="6B74BDA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810" w:type="dxa"/>
            <w:tcBorders>
              <w:top w:val="nil"/>
              <w:left w:val="nil"/>
              <w:bottom w:val="single" w:sz="4" w:space="0" w:color="auto"/>
              <w:right w:val="single" w:sz="4" w:space="0" w:color="auto"/>
            </w:tcBorders>
            <w:shd w:val="clear" w:color="auto" w:fill="auto"/>
            <w:vAlign w:val="center"/>
          </w:tcPr>
          <w:p w14:paraId="789D091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3B7355C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55C63F18" w14:textId="77777777" w:rsidTr="006E4365">
        <w:trPr>
          <w:cantSplit/>
        </w:trPr>
        <w:tc>
          <w:tcPr>
            <w:tcW w:w="2245" w:type="dxa"/>
            <w:tcBorders>
              <w:bottom w:val="single" w:sz="4" w:space="0" w:color="auto"/>
            </w:tcBorders>
            <w:shd w:val="clear" w:color="auto" w:fill="auto"/>
          </w:tcPr>
          <w:p w14:paraId="3808B81A" w14:textId="66DC2C1A" w:rsidR="006E4365" w:rsidRPr="008B37C7" w:rsidRDefault="00D838B2" w:rsidP="00F76AA9">
            <w:pPr>
              <w:jc w:val="left"/>
              <w:rPr>
                <w:rFonts w:cs="Arial"/>
                <w:sz w:val="16"/>
                <w:szCs w:val="16"/>
                <w:lang w:val="de-DE"/>
              </w:rPr>
            </w:pPr>
            <w:r w:rsidRPr="008B37C7">
              <w:rPr>
                <w:rFonts w:cs="Arial"/>
                <w:sz w:val="16"/>
                <w:szCs w:val="16"/>
                <w:lang w:val="de-DE"/>
              </w:rPr>
              <w:t>Polen</w:t>
            </w:r>
          </w:p>
        </w:tc>
        <w:tc>
          <w:tcPr>
            <w:tcW w:w="450" w:type="dxa"/>
            <w:tcBorders>
              <w:top w:val="nil"/>
              <w:left w:val="single" w:sz="4" w:space="0" w:color="auto"/>
              <w:bottom w:val="single" w:sz="4" w:space="0" w:color="auto"/>
              <w:right w:val="single" w:sz="4" w:space="0" w:color="auto"/>
            </w:tcBorders>
            <w:shd w:val="clear" w:color="auto" w:fill="auto"/>
            <w:vAlign w:val="bottom"/>
          </w:tcPr>
          <w:p w14:paraId="418B9F87" w14:textId="77777777" w:rsidR="006E4365" w:rsidRPr="008B37C7" w:rsidRDefault="006E4365" w:rsidP="00F76AA9">
            <w:pPr>
              <w:jc w:val="center"/>
              <w:rPr>
                <w:rFonts w:cs="Arial"/>
                <w:sz w:val="16"/>
                <w:szCs w:val="16"/>
                <w:lang w:val="de-DE"/>
              </w:rPr>
            </w:pPr>
            <w:r w:rsidRPr="008B37C7">
              <w:rPr>
                <w:rFonts w:cs="Arial"/>
                <w:sz w:val="16"/>
                <w:szCs w:val="16"/>
                <w:lang w:val="de-DE"/>
              </w:rPr>
              <w:t>PL</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2473CEF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127</w:t>
            </w:r>
          </w:p>
        </w:tc>
        <w:tc>
          <w:tcPr>
            <w:tcW w:w="720" w:type="dxa"/>
            <w:tcBorders>
              <w:top w:val="nil"/>
              <w:left w:val="nil"/>
              <w:bottom w:val="single" w:sz="4" w:space="0" w:color="auto"/>
              <w:right w:val="single" w:sz="4" w:space="0" w:color="auto"/>
            </w:tcBorders>
            <w:shd w:val="clear" w:color="000000" w:fill="BFBFBF"/>
            <w:vAlign w:val="center"/>
          </w:tcPr>
          <w:p w14:paraId="09D7BA2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c>
          <w:tcPr>
            <w:tcW w:w="630" w:type="dxa"/>
            <w:tcBorders>
              <w:top w:val="nil"/>
              <w:left w:val="nil"/>
              <w:bottom w:val="single" w:sz="4" w:space="0" w:color="auto"/>
              <w:right w:val="single" w:sz="4" w:space="0" w:color="auto"/>
            </w:tcBorders>
            <w:shd w:val="clear" w:color="000000" w:fill="BFBFBF"/>
            <w:vAlign w:val="center"/>
          </w:tcPr>
          <w:p w14:paraId="340DAE5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7</w:t>
            </w:r>
          </w:p>
        </w:tc>
        <w:tc>
          <w:tcPr>
            <w:tcW w:w="720" w:type="dxa"/>
            <w:tcBorders>
              <w:top w:val="nil"/>
              <w:left w:val="nil"/>
              <w:bottom w:val="single" w:sz="4" w:space="0" w:color="auto"/>
              <w:right w:val="single" w:sz="4" w:space="0" w:color="auto"/>
            </w:tcBorders>
            <w:shd w:val="clear" w:color="000000" w:fill="BFBFBF"/>
            <w:vAlign w:val="center"/>
          </w:tcPr>
          <w:p w14:paraId="0BE5BAE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720" w:type="dxa"/>
            <w:tcBorders>
              <w:top w:val="nil"/>
              <w:left w:val="nil"/>
              <w:bottom w:val="single" w:sz="4" w:space="0" w:color="auto"/>
              <w:right w:val="single" w:sz="4" w:space="0" w:color="auto"/>
            </w:tcBorders>
            <w:shd w:val="clear" w:color="000000" w:fill="BFBFBF"/>
            <w:vAlign w:val="center"/>
          </w:tcPr>
          <w:p w14:paraId="073F5F4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810" w:type="dxa"/>
            <w:tcBorders>
              <w:top w:val="nil"/>
              <w:left w:val="nil"/>
              <w:bottom w:val="single" w:sz="4" w:space="0" w:color="auto"/>
              <w:right w:val="single" w:sz="4" w:space="0" w:color="auto"/>
            </w:tcBorders>
            <w:shd w:val="clear" w:color="000000" w:fill="BFBFBF"/>
            <w:vAlign w:val="center"/>
          </w:tcPr>
          <w:p w14:paraId="2537AF5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c>
          <w:tcPr>
            <w:tcW w:w="1620" w:type="dxa"/>
            <w:tcBorders>
              <w:top w:val="nil"/>
              <w:left w:val="nil"/>
              <w:bottom w:val="single" w:sz="4" w:space="0" w:color="auto"/>
              <w:right w:val="single" w:sz="4" w:space="0" w:color="auto"/>
            </w:tcBorders>
            <w:shd w:val="clear" w:color="000000" w:fill="BFBFBF"/>
            <w:vAlign w:val="center"/>
          </w:tcPr>
          <w:p w14:paraId="644F6AE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r>
      <w:tr w:rsidR="006E4365" w:rsidRPr="008B37C7" w14:paraId="610AFA5F" w14:textId="77777777" w:rsidTr="006E4365">
        <w:trPr>
          <w:cantSplit/>
        </w:trPr>
        <w:tc>
          <w:tcPr>
            <w:tcW w:w="2245" w:type="dxa"/>
            <w:shd w:val="clear" w:color="auto" w:fill="auto"/>
          </w:tcPr>
          <w:p w14:paraId="316F679E" w14:textId="77777777" w:rsidR="006E4365" w:rsidRPr="008B37C7" w:rsidRDefault="006E4365" w:rsidP="00F76AA9">
            <w:pPr>
              <w:jc w:val="left"/>
              <w:rPr>
                <w:rFonts w:cs="Arial"/>
                <w:sz w:val="16"/>
                <w:szCs w:val="16"/>
                <w:lang w:val="de-DE"/>
              </w:rPr>
            </w:pPr>
            <w:r w:rsidRPr="008B37C7">
              <w:rPr>
                <w:rFonts w:cs="Arial"/>
                <w:sz w:val="16"/>
                <w:szCs w:val="16"/>
                <w:lang w:val="de-DE"/>
              </w:rPr>
              <w:t>Portugal</w:t>
            </w:r>
          </w:p>
        </w:tc>
        <w:tc>
          <w:tcPr>
            <w:tcW w:w="450" w:type="dxa"/>
            <w:tcBorders>
              <w:top w:val="nil"/>
              <w:left w:val="single" w:sz="4" w:space="0" w:color="auto"/>
              <w:bottom w:val="single" w:sz="4" w:space="0" w:color="auto"/>
              <w:right w:val="single" w:sz="4" w:space="0" w:color="auto"/>
            </w:tcBorders>
            <w:shd w:val="clear" w:color="auto" w:fill="auto"/>
            <w:vAlign w:val="bottom"/>
          </w:tcPr>
          <w:p w14:paraId="19E6E175" w14:textId="77777777" w:rsidR="006E4365" w:rsidRPr="008B37C7" w:rsidRDefault="006E4365" w:rsidP="00F76AA9">
            <w:pPr>
              <w:jc w:val="center"/>
              <w:rPr>
                <w:rFonts w:cs="Arial"/>
                <w:sz w:val="16"/>
                <w:szCs w:val="16"/>
                <w:lang w:val="de-DE"/>
              </w:rPr>
            </w:pPr>
            <w:r w:rsidRPr="008B37C7">
              <w:rPr>
                <w:rFonts w:cs="Arial"/>
                <w:sz w:val="16"/>
                <w:szCs w:val="16"/>
                <w:lang w:val="de-DE"/>
              </w:rPr>
              <w:t>PT</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4963FCC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720" w:type="dxa"/>
            <w:tcBorders>
              <w:top w:val="nil"/>
              <w:left w:val="nil"/>
              <w:bottom w:val="single" w:sz="4" w:space="0" w:color="auto"/>
              <w:right w:val="single" w:sz="4" w:space="0" w:color="auto"/>
            </w:tcBorders>
            <w:shd w:val="clear" w:color="000000" w:fill="BFBFBF"/>
            <w:vAlign w:val="center"/>
          </w:tcPr>
          <w:p w14:paraId="1BE6204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630" w:type="dxa"/>
            <w:tcBorders>
              <w:top w:val="nil"/>
              <w:left w:val="nil"/>
              <w:bottom w:val="single" w:sz="4" w:space="0" w:color="auto"/>
              <w:right w:val="single" w:sz="4" w:space="0" w:color="auto"/>
            </w:tcBorders>
            <w:shd w:val="clear" w:color="000000" w:fill="BFBFBF"/>
            <w:vAlign w:val="center"/>
          </w:tcPr>
          <w:p w14:paraId="6670715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720" w:type="dxa"/>
            <w:tcBorders>
              <w:top w:val="nil"/>
              <w:left w:val="nil"/>
              <w:bottom w:val="single" w:sz="4" w:space="0" w:color="auto"/>
              <w:right w:val="single" w:sz="4" w:space="0" w:color="auto"/>
            </w:tcBorders>
            <w:shd w:val="clear" w:color="000000" w:fill="BFBFBF"/>
            <w:vAlign w:val="center"/>
          </w:tcPr>
          <w:p w14:paraId="02BA2AD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720" w:type="dxa"/>
            <w:tcBorders>
              <w:top w:val="nil"/>
              <w:left w:val="nil"/>
              <w:bottom w:val="single" w:sz="4" w:space="0" w:color="auto"/>
              <w:right w:val="single" w:sz="4" w:space="0" w:color="auto"/>
            </w:tcBorders>
            <w:shd w:val="clear" w:color="000000" w:fill="BFBFBF"/>
            <w:vAlign w:val="center"/>
          </w:tcPr>
          <w:p w14:paraId="3B0A786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810" w:type="dxa"/>
            <w:tcBorders>
              <w:top w:val="nil"/>
              <w:left w:val="nil"/>
              <w:bottom w:val="single" w:sz="4" w:space="0" w:color="auto"/>
              <w:right w:val="single" w:sz="4" w:space="0" w:color="auto"/>
            </w:tcBorders>
            <w:shd w:val="clear" w:color="000000" w:fill="BFBFBF"/>
            <w:vAlign w:val="center"/>
          </w:tcPr>
          <w:p w14:paraId="1BBB1D9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c>
          <w:tcPr>
            <w:tcW w:w="1620" w:type="dxa"/>
            <w:tcBorders>
              <w:top w:val="nil"/>
              <w:left w:val="nil"/>
              <w:bottom w:val="single" w:sz="4" w:space="0" w:color="auto"/>
              <w:right w:val="single" w:sz="4" w:space="0" w:color="auto"/>
            </w:tcBorders>
            <w:shd w:val="clear" w:color="000000" w:fill="BFBFBF"/>
            <w:vAlign w:val="center"/>
          </w:tcPr>
          <w:p w14:paraId="746BA7A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r>
      <w:tr w:rsidR="006E4365" w:rsidRPr="008B37C7" w14:paraId="254E670F" w14:textId="77777777" w:rsidTr="006E4365">
        <w:trPr>
          <w:cantSplit/>
        </w:trPr>
        <w:tc>
          <w:tcPr>
            <w:tcW w:w="2245" w:type="dxa"/>
            <w:tcBorders>
              <w:bottom w:val="single" w:sz="4" w:space="0" w:color="auto"/>
            </w:tcBorders>
            <w:shd w:val="clear" w:color="auto" w:fill="auto"/>
          </w:tcPr>
          <w:p w14:paraId="7D33E68D" w14:textId="09A81D32" w:rsidR="006E4365" w:rsidRPr="008B37C7" w:rsidRDefault="00D838B2" w:rsidP="00F76AA9">
            <w:pPr>
              <w:jc w:val="left"/>
              <w:rPr>
                <w:rFonts w:cs="Arial"/>
                <w:sz w:val="16"/>
                <w:szCs w:val="16"/>
                <w:lang w:val="de-DE"/>
              </w:rPr>
            </w:pPr>
            <w:r w:rsidRPr="008B37C7">
              <w:rPr>
                <w:sz w:val="16"/>
                <w:lang w:val="de-DE"/>
              </w:rPr>
              <w:t>Republik Korea</w:t>
            </w:r>
          </w:p>
        </w:tc>
        <w:tc>
          <w:tcPr>
            <w:tcW w:w="450" w:type="dxa"/>
            <w:tcBorders>
              <w:top w:val="nil"/>
              <w:left w:val="single" w:sz="4" w:space="0" w:color="auto"/>
              <w:bottom w:val="single" w:sz="4" w:space="0" w:color="auto"/>
              <w:right w:val="single" w:sz="4" w:space="0" w:color="auto"/>
            </w:tcBorders>
            <w:shd w:val="clear" w:color="auto" w:fill="auto"/>
            <w:vAlign w:val="bottom"/>
          </w:tcPr>
          <w:p w14:paraId="4B209978" w14:textId="77777777" w:rsidR="006E4365" w:rsidRPr="008B37C7" w:rsidRDefault="006E4365" w:rsidP="00F76AA9">
            <w:pPr>
              <w:jc w:val="center"/>
              <w:rPr>
                <w:rFonts w:cs="Arial"/>
                <w:sz w:val="16"/>
                <w:szCs w:val="16"/>
                <w:lang w:val="de-DE"/>
              </w:rPr>
            </w:pPr>
            <w:r w:rsidRPr="008B37C7">
              <w:rPr>
                <w:rFonts w:cs="Arial"/>
                <w:sz w:val="16"/>
                <w:szCs w:val="16"/>
                <w:lang w:val="de-DE"/>
              </w:rPr>
              <w:t>KR</w:t>
            </w:r>
          </w:p>
        </w:tc>
        <w:tc>
          <w:tcPr>
            <w:tcW w:w="1350" w:type="dxa"/>
            <w:tcBorders>
              <w:top w:val="nil"/>
              <w:left w:val="single" w:sz="4" w:space="0" w:color="auto"/>
              <w:bottom w:val="single" w:sz="4" w:space="0" w:color="auto"/>
              <w:right w:val="single" w:sz="4" w:space="0" w:color="auto"/>
            </w:tcBorders>
            <w:shd w:val="clear" w:color="auto" w:fill="auto"/>
            <w:vAlign w:val="center"/>
          </w:tcPr>
          <w:p w14:paraId="3CAC805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695</w:t>
            </w:r>
          </w:p>
        </w:tc>
        <w:tc>
          <w:tcPr>
            <w:tcW w:w="720" w:type="dxa"/>
            <w:tcBorders>
              <w:top w:val="nil"/>
              <w:left w:val="nil"/>
              <w:bottom w:val="single" w:sz="4" w:space="0" w:color="auto"/>
              <w:right w:val="single" w:sz="4" w:space="0" w:color="auto"/>
            </w:tcBorders>
            <w:shd w:val="clear" w:color="auto" w:fill="auto"/>
            <w:vAlign w:val="center"/>
          </w:tcPr>
          <w:p w14:paraId="40C3503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1FE9D91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000000" w:fill="FFFFFF"/>
            <w:vAlign w:val="center"/>
          </w:tcPr>
          <w:p w14:paraId="693A82F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720" w:type="dxa"/>
            <w:tcBorders>
              <w:top w:val="nil"/>
              <w:left w:val="nil"/>
              <w:bottom w:val="single" w:sz="4" w:space="0" w:color="auto"/>
              <w:right w:val="single" w:sz="4" w:space="0" w:color="auto"/>
            </w:tcBorders>
            <w:shd w:val="clear" w:color="auto" w:fill="auto"/>
            <w:vAlign w:val="center"/>
          </w:tcPr>
          <w:p w14:paraId="04BF841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810" w:type="dxa"/>
            <w:tcBorders>
              <w:top w:val="nil"/>
              <w:left w:val="nil"/>
              <w:bottom w:val="single" w:sz="4" w:space="0" w:color="auto"/>
              <w:right w:val="single" w:sz="4" w:space="0" w:color="auto"/>
            </w:tcBorders>
            <w:shd w:val="clear" w:color="auto" w:fill="auto"/>
            <w:vAlign w:val="center"/>
          </w:tcPr>
          <w:p w14:paraId="423A527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1620" w:type="dxa"/>
            <w:tcBorders>
              <w:top w:val="nil"/>
              <w:left w:val="nil"/>
              <w:bottom w:val="single" w:sz="4" w:space="0" w:color="auto"/>
              <w:right w:val="single" w:sz="4" w:space="0" w:color="auto"/>
            </w:tcBorders>
            <w:shd w:val="clear" w:color="auto" w:fill="auto"/>
            <w:vAlign w:val="center"/>
          </w:tcPr>
          <w:p w14:paraId="5279CA3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r>
      <w:tr w:rsidR="00D838B2" w:rsidRPr="008B37C7" w14:paraId="6C385199" w14:textId="77777777" w:rsidTr="006E4365">
        <w:trPr>
          <w:cantSplit/>
        </w:trPr>
        <w:tc>
          <w:tcPr>
            <w:tcW w:w="2245" w:type="dxa"/>
            <w:tcBorders>
              <w:bottom w:val="single" w:sz="4" w:space="0" w:color="auto"/>
            </w:tcBorders>
            <w:shd w:val="clear" w:color="auto" w:fill="auto"/>
          </w:tcPr>
          <w:p w14:paraId="4BD47933" w14:textId="55A180D3" w:rsidR="00D838B2" w:rsidRPr="008B37C7" w:rsidRDefault="00D838B2" w:rsidP="00F76AA9">
            <w:pPr>
              <w:jc w:val="left"/>
              <w:rPr>
                <w:rFonts w:cs="Arial"/>
                <w:sz w:val="16"/>
                <w:szCs w:val="16"/>
                <w:lang w:val="de-DE"/>
              </w:rPr>
            </w:pPr>
            <w:r w:rsidRPr="008B37C7">
              <w:rPr>
                <w:sz w:val="16"/>
                <w:lang w:val="de-DE"/>
              </w:rPr>
              <w:t>Republik Moldau</w:t>
            </w:r>
          </w:p>
        </w:tc>
        <w:tc>
          <w:tcPr>
            <w:tcW w:w="450" w:type="dxa"/>
            <w:tcBorders>
              <w:top w:val="nil"/>
              <w:left w:val="single" w:sz="4" w:space="0" w:color="auto"/>
              <w:bottom w:val="single" w:sz="4" w:space="0" w:color="auto"/>
              <w:right w:val="single" w:sz="4" w:space="0" w:color="auto"/>
            </w:tcBorders>
            <w:shd w:val="clear" w:color="auto" w:fill="auto"/>
            <w:vAlign w:val="bottom"/>
          </w:tcPr>
          <w:p w14:paraId="313A6FB2" w14:textId="77777777" w:rsidR="00D838B2" w:rsidRPr="008B37C7" w:rsidRDefault="00D838B2" w:rsidP="00F76AA9">
            <w:pPr>
              <w:jc w:val="center"/>
              <w:rPr>
                <w:rFonts w:cs="Arial"/>
                <w:sz w:val="16"/>
                <w:szCs w:val="16"/>
                <w:lang w:val="de-DE"/>
              </w:rPr>
            </w:pPr>
            <w:r w:rsidRPr="008B37C7">
              <w:rPr>
                <w:rFonts w:cs="Arial"/>
                <w:sz w:val="16"/>
                <w:szCs w:val="16"/>
                <w:lang w:val="de-DE"/>
              </w:rPr>
              <w:t>MD</w:t>
            </w:r>
          </w:p>
        </w:tc>
        <w:tc>
          <w:tcPr>
            <w:tcW w:w="1350" w:type="dxa"/>
            <w:tcBorders>
              <w:top w:val="nil"/>
              <w:left w:val="single" w:sz="4" w:space="0" w:color="auto"/>
              <w:bottom w:val="single" w:sz="4" w:space="0" w:color="auto"/>
              <w:right w:val="single" w:sz="4" w:space="0" w:color="auto"/>
            </w:tcBorders>
            <w:shd w:val="clear" w:color="auto" w:fill="auto"/>
            <w:vAlign w:val="center"/>
          </w:tcPr>
          <w:p w14:paraId="29DBD529" w14:textId="77777777" w:rsidR="00D838B2" w:rsidRPr="008B37C7" w:rsidRDefault="00D838B2" w:rsidP="00F76AA9">
            <w:pPr>
              <w:jc w:val="center"/>
              <w:rPr>
                <w:rFonts w:cs="Arial"/>
                <w:color w:val="000000"/>
                <w:sz w:val="16"/>
                <w:szCs w:val="16"/>
                <w:lang w:val="de-DE"/>
              </w:rPr>
            </w:pPr>
            <w:r w:rsidRPr="008B37C7">
              <w:rPr>
                <w:rFonts w:cs="Arial"/>
                <w:color w:val="000000"/>
                <w:sz w:val="16"/>
                <w:szCs w:val="16"/>
                <w:lang w:val="de-DE"/>
              </w:rPr>
              <w:t>16</w:t>
            </w:r>
          </w:p>
        </w:tc>
        <w:tc>
          <w:tcPr>
            <w:tcW w:w="720" w:type="dxa"/>
            <w:tcBorders>
              <w:top w:val="nil"/>
              <w:left w:val="nil"/>
              <w:bottom w:val="single" w:sz="4" w:space="0" w:color="auto"/>
              <w:right w:val="single" w:sz="4" w:space="0" w:color="auto"/>
            </w:tcBorders>
            <w:shd w:val="clear" w:color="auto" w:fill="auto"/>
            <w:vAlign w:val="center"/>
          </w:tcPr>
          <w:p w14:paraId="718D4309" w14:textId="77777777" w:rsidR="00D838B2" w:rsidRPr="008B37C7" w:rsidRDefault="00D838B2" w:rsidP="00F76AA9">
            <w:pPr>
              <w:jc w:val="center"/>
              <w:rPr>
                <w:rFonts w:cs="Arial"/>
                <w:color w:val="000000"/>
                <w:sz w:val="16"/>
                <w:szCs w:val="16"/>
                <w:lang w:val="de-DE"/>
              </w:rPr>
            </w:pPr>
            <w:r w:rsidRPr="008B37C7">
              <w:rPr>
                <w:rFonts w:cs="Arial"/>
                <w:color w:val="000000"/>
                <w:sz w:val="16"/>
                <w:szCs w:val="16"/>
                <w:lang w:val="de-DE"/>
              </w:rPr>
              <w:t>3</w:t>
            </w:r>
          </w:p>
        </w:tc>
        <w:tc>
          <w:tcPr>
            <w:tcW w:w="630" w:type="dxa"/>
            <w:tcBorders>
              <w:top w:val="nil"/>
              <w:left w:val="nil"/>
              <w:bottom w:val="single" w:sz="4" w:space="0" w:color="auto"/>
              <w:right w:val="single" w:sz="4" w:space="0" w:color="auto"/>
            </w:tcBorders>
            <w:shd w:val="clear" w:color="auto" w:fill="auto"/>
            <w:vAlign w:val="center"/>
          </w:tcPr>
          <w:p w14:paraId="53519280" w14:textId="77777777" w:rsidR="00D838B2" w:rsidRPr="008B37C7" w:rsidRDefault="00D838B2" w:rsidP="00F76AA9">
            <w:pPr>
              <w:jc w:val="center"/>
              <w:rPr>
                <w:rFonts w:cs="Arial"/>
                <w:color w:val="000000"/>
                <w:sz w:val="16"/>
                <w:szCs w:val="16"/>
                <w:lang w:val="de-DE"/>
              </w:rPr>
            </w:pPr>
            <w:r w:rsidRPr="008B37C7">
              <w:rPr>
                <w:rFonts w:cs="Arial"/>
                <w:color w:val="000000"/>
                <w:sz w:val="16"/>
                <w:szCs w:val="16"/>
                <w:lang w:val="de-DE"/>
              </w:rPr>
              <w:t>1</w:t>
            </w:r>
          </w:p>
        </w:tc>
        <w:tc>
          <w:tcPr>
            <w:tcW w:w="720" w:type="dxa"/>
            <w:tcBorders>
              <w:top w:val="nil"/>
              <w:left w:val="nil"/>
              <w:bottom w:val="single" w:sz="4" w:space="0" w:color="auto"/>
              <w:right w:val="single" w:sz="4" w:space="0" w:color="auto"/>
            </w:tcBorders>
            <w:shd w:val="clear" w:color="000000" w:fill="FFFFFF"/>
            <w:vAlign w:val="center"/>
          </w:tcPr>
          <w:p w14:paraId="7B6E176E" w14:textId="77777777" w:rsidR="00D838B2" w:rsidRPr="008B37C7" w:rsidRDefault="00D838B2" w:rsidP="00F76AA9">
            <w:pPr>
              <w:jc w:val="center"/>
              <w:rPr>
                <w:rFonts w:cs="Arial"/>
                <w:color w:val="000000"/>
                <w:sz w:val="16"/>
                <w:szCs w:val="16"/>
                <w:lang w:val="de-DE"/>
              </w:rPr>
            </w:pPr>
            <w:r w:rsidRPr="008B37C7">
              <w:rPr>
                <w:rFonts w:cs="Arial"/>
                <w:color w:val="000000"/>
                <w:sz w:val="16"/>
                <w:szCs w:val="16"/>
                <w:lang w:val="de-DE"/>
              </w:rPr>
              <w:t>2</w:t>
            </w:r>
          </w:p>
        </w:tc>
        <w:tc>
          <w:tcPr>
            <w:tcW w:w="720" w:type="dxa"/>
            <w:tcBorders>
              <w:top w:val="nil"/>
              <w:left w:val="nil"/>
              <w:bottom w:val="single" w:sz="4" w:space="0" w:color="auto"/>
              <w:right w:val="single" w:sz="4" w:space="0" w:color="auto"/>
            </w:tcBorders>
            <w:shd w:val="clear" w:color="auto" w:fill="auto"/>
            <w:vAlign w:val="center"/>
          </w:tcPr>
          <w:p w14:paraId="4985DC7C" w14:textId="77777777" w:rsidR="00D838B2" w:rsidRPr="008B37C7" w:rsidRDefault="00D838B2" w:rsidP="00F76AA9">
            <w:pPr>
              <w:jc w:val="center"/>
              <w:rPr>
                <w:rFonts w:cs="Arial"/>
                <w:color w:val="000000"/>
                <w:sz w:val="16"/>
                <w:szCs w:val="16"/>
                <w:lang w:val="de-DE"/>
              </w:rPr>
            </w:pPr>
            <w:r w:rsidRPr="008B37C7">
              <w:rPr>
                <w:rFonts w:cs="Arial"/>
                <w:color w:val="000000"/>
                <w:sz w:val="16"/>
                <w:szCs w:val="16"/>
                <w:lang w:val="de-DE"/>
              </w:rPr>
              <w:t>2</w:t>
            </w:r>
          </w:p>
        </w:tc>
        <w:tc>
          <w:tcPr>
            <w:tcW w:w="810" w:type="dxa"/>
            <w:tcBorders>
              <w:top w:val="nil"/>
              <w:left w:val="nil"/>
              <w:bottom w:val="single" w:sz="4" w:space="0" w:color="auto"/>
              <w:right w:val="single" w:sz="4" w:space="0" w:color="auto"/>
            </w:tcBorders>
            <w:shd w:val="clear" w:color="auto" w:fill="auto"/>
            <w:vAlign w:val="center"/>
          </w:tcPr>
          <w:p w14:paraId="2F684EE6" w14:textId="77777777" w:rsidR="00D838B2" w:rsidRPr="008B37C7" w:rsidRDefault="00D838B2" w:rsidP="00F76AA9">
            <w:pPr>
              <w:jc w:val="center"/>
              <w:rPr>
                <w:rFonts w:cs="Arial"/>
                <w:color w:val="000000"/>
                <w:sz w:val="16"/>
                <w:szCs w:val="16"/>
                <w:lang w:val="de-DE"/>
              </w:rPr>
            </w:pPr>
            <w:r w:rsidRPr="008B37C7">
              <w:rPr>
                <w:rFonts w:cs="Arial"/>
                <w:color w:val="000000"/>
                <w:sz w:val="16"/>
                <w:szCs w:val="16"/>
                <w:lang w:val="de-DE"/>
              </w:rPr>
              <w:t>2</w:t>
            </w:r>
          </w:p>
        </w:tc>
        <w:tc>
          <w:tcPr>
            <w:tcW w:w="1620" w:type="dxa"/>
            <w:tcBorders>
              <w:top w:val="nil"/>
              <w:left w:val="nil"/>
              <w:bottom w:val="single" w:sz="4" w:space="0" w:color="auto"/>
              <w:right w:val="single" w:sz="4" w:space="0" w:color="auto"/>
            </w:tcBorders>
            <w:shd w:val="clear" w:color="auto" w:fill="auto"/>
            <w:vAlign w:val="center"/>
          </w:tcPr>
          <w:p w14:paraId="4FA79CD4" w14:textId="77777777" w:rsidR="00D838B2" w:rsidRPr="008B37C7" w:rsidRDefault="00D838B2" w:rsidP="00F76AA9">
            <w:pPr>
              <w:jc w:val="center"/>
              <w:rPr>
                <w:rFonts w:cs="Arial"/>
                <w:color w:val="000000"/>
                <w:sz w:val="16"/>
                <w:szCs w:val="16"/>
                <w:lang w:val="de-DE"/>
              </w:rPr>
            </w:pPr>
            <w:r w:rsidRPr="008B37C7">
              <w:rPr>
                <w:rFonts w:cs="Arial"/>
                <w:color w:val="000000"/>
                <w:sz w:val="16"/>
                <w:szCs w:val="16"/>
                <w:lang w:val="de-DE"/>
              </w:rPr>
              <w:t>0</w:t>
            </w:r>
          </w:p>
        </w:tc>
      </w:tr>
      <w:tr w:rsidR="00D838B2" w:rsidRPr="008B37C7" w14:paraId="75E00A15" w14:textId="77777777" w:rsidTr="006E4365">
        <w:trPr>
          <w:cantSplit/>
        </w:trPr>
        <w:tc>
          <w:tcPr>
            <w:tcW w:w="2245" w:type="dxa"/>
            <w:shd w:val="clear" w:color="auto" w:fill="auto"/>
          </w:tcPr>
          <w:p w14:paraId="479F3997" w14:textId="73AD06F6" w:rsidR="00D838B2" w:rsidRPr="008B37C7" w:rsidRDefault="00D838B2" w:rsidP="00F76AA9">
            <w:pPr>
              <w:jc w:val="left"/>
              <w:rPr>
                <w:rFonts w:cs="Arial"/>
                <w:sz w:val="16"/>
                <w:szCs w:val="16"/>
                <w:lang w:val="de-DE"/>
              </w:rPr>
            </w:pPr>
            <w:r w:rsidRPr="008B37C7">
              <w:rPr>
                <w:sz w:val="16"/>
                <w:lang w:val="de-DE"/>
              </w:rPr>
              <w:t>*Rumänien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42713BFC" w14:textId="77777777" w:rsidR="00D838B2" w:rsidRPr="008B37C7" w:rsidRDefault="00D838B2" w:rsidP="00F76AA9">
            <w:pPr>
              <w:jc w:val="center"/>
              <w:rPr>
                <w:rFonts w:cs="Arial"/>
                <w:sz w:val="16"/>
                <w:szCs w:val="16"/>
                <w:lang w:val="de-DE"/>
              </w:rPr>
            </w:pPr>
            <w:r w:rsidRPr="008B37C7">
              <w:rPr>
                <w:rFonts w:cs="Arial"/>
                <w:sz w:val="16"/>
                <w:szCs w:val="16"/>
                <w:lang w:val="de-DE"/>
              </w:rPr>
              <w:t>RO</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0D16FC21" w14:textId="77777777" w:rsidR="00D838B2" w:rsidRPr="008B37C7" w:rsidRDefault="00D838B2" w:rsidP="00F76AA9">
            <w:pPr>
              <w:jc w:val="center"/>
              <w:rPr>
                <w:rFonts w:cs="Arial"/>
                <w:color w:val="000000"/>
                <w:sz w:val="16"/>
                <w:szCs w:val="16"/>
                <w:lang w:val="de-DE"/>
              </w:rPr>
            </w:pPr>
            <w:r w:rsidRPr="008B37C7">
              <w:rPr>
                <w:rFonts w:cs="Arial"/>
                <w:color w:val="000000"/>
                <w:sz w:val="16"/>
                <w:szCs w:val="16"/>
                <w:lang w:val="de-DE"/>
              </w:rPr>
              <w:t>30</w:t>
            </w:r>
          </w:p>
        </w:tc>
        <w:tc>
          <w:tcPr>
            <w:tcW w:w="720" w:type="dxa"/>
            <w:tcBorders>
              <w:top w:val="nil"/>
              <w:left w:val="nil"/>
              <w:bottom w:val="single" w:sz="4" w:space="0" w:color="auto"/>
              <w:right w:val="single" w:sz="4" w:space="0" w:color="auto"/>
            </w:tcBorders>
            <w:shd w:val="clear" w:color="000000" w:fill="BFBFBF"/>
            <w:vAlign w:val="center"/>
          </w:tcPr>
          <w:p w14:paraId="45D33FB3" w14:textId="77777777" w:rsidR="00D838B2" w:rsidRPr="008B37C7" w:rsidRDefault="00D838B2" w:rsidP="00F76AA9">
            <w:pPr>
              <w:jc w:val="center"/>
              <w:rPr>
                <w:rFonts w:cs="Arial"/>
                <w:color w:val="000000"/>
                <w:sz w:val="16"/>
                <w:szCs w:val="16"/>
                <w:lang w:val="de-DE"/>
              </w:rPr>
            </w:pPr>
            <w:r w:rsidRPr="008B37C7">
              <w:rPr>
                <w:rFonts w:cs="Arial"/>
                <w:color w:val="000000"/>
                <w:sz w:val="16"/>
                <w:szCs w:val="16"/>
                <w:lang w:val="de-DE"/>
              </w:rPr>
              <w:t>4</w:t>
            </w:r>
          </w:p>
        </w:tc>
        <w:tc>
          <w:tcPr>
            <w:tcW w:w="630" w:type="dxa"/>
            <w:tcBorders>
              <w:top w:val="nil"/>
              <w:left w:val="nil"/>
              <w:bottom w:val="single" w:sz="4" w:space="0" w:color="auto"/>
              <w:right w:val="single" w:sz="4" w:space="0" w:color="auto"/>
            </w:tcBorders>
            <w:shd w:val="clear" w:color="000000" w:fill="BFBFBF"/>
            <w:vAlign w:val="center"/>
          </w:tcPr>
          <w:p w14:paraId="543F9B54" w14:textId="77777777" w:rsidR="00D838B2" w:rsidRPr="008B37C7" w:rsidRDefault="00D838B2" w:rsidP="00F76AA9">
            <w:pPr>
              <w:jc w:val="center"/>
              <w:rPr>
                <w:rFonts w:cs="Arial"/>
                <w:color w:val="000000"/>
                <w:sz w:val="16"/>
                <w:szCs w:val="16"/>
                <w:lang w:val="de-DE"/>
              </w:rPr>
            </w:pPr>
            <w:r w:rsidRPr="008B37C7">
              <w:rPr>
                <w:rFonts w:cs="Arial"/>
                <w:color w:val="000000"/>
                <w:sz w:val="16"/>
                <w:szCs w:val="16"/>
                <w:lang w:val="de-DE"/>
              </w:rPr>
              <w:t>4</w:t>
            </w:r>
          </w:p>
        </w:tc>
        <w:tc>
          <w:tcPr>
            <w:tcW w:w="720" w:type="dxa"/>
            <w:tcBorders>
              <w:top w:val="nil"/>
              <w:left w:val="nil"/>
              <w:bottom w:val="single" w:sz="4" w:space="0" w:color="auto"/>
              <w:right w:val="single" w:sz="4" w:space="0" w:color="auto"/>
            </w:tcBorders>
            <w:shd w:val="clear" w:color="000000" w:fill="BFBFBF"/>
            <w:vAlign w:val="center"/>
          </w:tcPr>
          <w:p w14:paraId="2736D589" w14:textId="77777777" w:rsidR="00D838B2" w:rsidRPr="008B37C7" w:rsidRDefault="00D838B2" w:rsidP="00F76AA9">
            <w:pPr>
              <w:jc w:val="center"/>
              <w:rPr>
                <w:rFonts w:cs="Arial"/>
                <w:color w:val="000000"/>
                <w:sz w:val="16"/>
                <w:szCs w:val="16"/>
                <w:lang w:val="de-DE"/>
              </w:rPr>
            </w:pPr>
            <w:r w:rsidRPr="008B37C7">
              <w:rPr>
                <w:rFonts w:cs="Arial"/>
                <w:color w:val="000000"/>
                <w:sz w:val="16"/>
                <w:szCs w:val="16"/>
                <w:lang w:val="de-DE"/>
              </w:rPr>
              <w:t>4</w:t>
            </w:r>
          </w:p>
        </w:tc>
        <w:tc>
          <w:tcPr>
            <w:tcW w:w="720" w:type="dxa"/>
            <w:tcBorders>
              <w:top w:val="nil"/>
              <w:left w:val="nil"/>
              <w:bottom w:val="single" w:sz="4" w:space="0" w:color="auto"/>
              <w:right w:val="single" w:sz="4" w:space="0" w:color="auto"/>
            </w:tcBorders>
            <w:shd w:val="clear" w:color="000000" w:fill="BFBFBF"/>
            <w:vAlign w:val="center"/>
          </w:tcPr>
          <w:p w14:paraId="7DAAB172" w14:textId="77777777" w:rsidR="00D838B2" w:rsidRPr="008B37C7" w:rsidRDefault="00D838B2" w:rsidP="00F76AA9">
            <w:pPr>
              <w:jc w:val="center"/>
              <w:rPr>
                <w:rFonts w:cs="Arial"/>
                <w:color w:val="000000"/>
                <w:sz w:val="16"/>
                <w:szCs w:val="16"/>
                <w:lang w:val="de-DE"/>
              </w:rPr>
            </w:pPr>
            <w:r w:rsidRPr="008B37C7">
              <w:rPr>
                <w:rFonts w:cs="Arial"/>
                <w:color w:val="000000"/>
                <w:sz w:val="16"/>
                <w:szCs w:val="16"/>
                <w:lang w:val="de-DE"/>
              </w:rPr>
              <w:t>5</w:t>
            </w:r>
          </w:p>
        </w:tc>
        <w:tc>
          <w:tcPr>
            <w:tcW w:w="810" w:type="dxa"/>
            <w:tcBorders>
              <w:top w:val="nil"/>
              <w:left w:val="nil"/>
              <w:bottom w:val="single" w:sz="4" w:space="0" w:color="auto"/>
              <w:right w:val="single" w:sz="4" w:space="0" w:color="auto"/>
            </w:tcBorders>
            <w:shd w:val="clear" w:color="000000" w:fill="BFBFBF"/>
            <w:vAlign w:val="center"/>
          </w:tcPr>
          <w:p w14:paraId="186669F6" w14:textId="77777777" w:rsidR="00D838B2" w:rsidRPr="008B37C7" w:rsidRDefault="00D838B2" w:rsidP="00F76AA9">
            <w:pPr>
              <w:jc w:val="center"/>
              <w:rPr>
                <w:rFonts w:cs="Arial"/>
                <w:color w:val="000000"/>
                <w:sz w:val="16"/>
                <w:szCs w:val="16"/>
                <w:lang w:val="de-DE"/>
              </w:rPr>
            </w:pPr>
            <w:r w:rsidRPr="008B37C7">
              <w:rPr>
                <w:rFonts w:cs="Arial"/>
                <w:color w:val="000000"/>
                <w:sz w:val="16"/>
                <w:szCs w:val="16"/>
                <w:lang w:val="de-DE"/>
              </w:rPr>
              <w:t>4</w:t>
            </w:r>
          </w:p>
        </w:tc>
        <w:tc>
          <w:tcPr>
            <w:tcW w:w="1620" w:type="dxa"/>
            <w:tcBorders>
              <w:top w:val="nil"/>
              <w:left w:val="nil"/>
              <w:bottom w:val="single" w:sz="4" w:space="0" w:color="auto"/>
              <w:right w:val="single" w:sz="4" w:space="0" w:color="auto"/>
            </w:tcBorders>
            <w:shd w:val="clear" w:color="000000" w:fill="BFBFBF"/>
            <w:vAlign w:val="center"/>
          </w:tcPr>
          <w:p w14:paraId="2BFBCC79" w14:textId="77777777" w:rsidR="00D838B2" w:rsidRPr="008B37C7" w:rsidRDefault="00D838B2" w:rsidP="00F76AA9">
            <w:pPr>
              <w:jc w:val="center"/>
              <w:rPr>
                <w:rFonts w:cs="Arial"/>
                <w:color w:val="000000"/>
                <w:sz w:val="16"/>
                <w:szCs w:val="16"/>
                <w:lang w:val="de-DE"/>
              </w:rPr>
            </w:pPr>
            <w:r w:rsidRPr="008B37C7">
              <w:rPr>
                <w:rFonts w:cs="Arial"/>
                <w:color w:val="000000"/>
                <w:sz w:val="16"/>
                <w:szCs w:val="16"/>
                <w:lang w:val="de-DE"/>
              </w:rPr>
              <w:t>4</w:t>
            </w:r>
          </w:p>
        </w:tc>
      </w:tr>
      <w:tr w:rsidR="006E4365" w:rsidRPr="008B37C7" w14:paraId="73EBF72E" w14:textId="77777777" w:rsidTr="006E4365">
        <w:trPr>
          <w:cantSplit/>
        </w:trPr>
        <w:tc>
          <w:tcPr>
            <w:tcW w:w="2245" w:type="dxa"/>
            <w:tcBorders>
              <w:bottom w:val="single" w:sz="4" w:space="0" w:color="auto"/>
            </w:tcBorders>
            <w:shd w:val="clear" w:color="auto" w:fill="auto"/>
          </w:tcPr>
          <w:p w14:paraId="2EEFB673" w14:textId="0074F85A" w:rsidR="006E4365" w:rsidRPr="008B37C7" w:rsidRDefault="00D838B2" w:rsidP="00F76AA9">
            <w:pPr>
              <w:jc w:val="left"/>
              <w:rPr>
                <w:rFonts w:cs="Arial"/>
                <w:sz w:val="16"/>
                <w:szCs w:val="16"/>
                <w:lang w:val="de-DE"/>
              </w:rPr>
            </w:pPr>
            <w:r w:rsidRPr="008B37C7">
              <w:rPr>
                <w:sz w:val="16"/>
                <w:lang w:val="de-DE"/>
              </w:rPr>
              <w:t>Russische Föderation</w:t>
            </w:r>
          </w:p>
        </w:tc>
        <w:tc>
          <w:tcPr>
            <w:tcW w:w="450" w:type="dxa"/>
            <w:tcBorders>
              <w:top w:val="nil"/>
              <w:left w:val="single" w:sz="4" w:space="0" w:color="auto"/>
              <w:bottom w:val="single" w:sz="4" w:space="0" w:color="auto"/>
              <w:right w:val="single" w:sz="4" w:space="0" w:color="auto"/>
            </w:tcBorders>
            <w:shd w:val="clear" w:color="auto" w:fill="auto"/>
            <w:vAlign w:val="bottom"/>
          </w:tcPr>
          <w:p w14:paraId="3D372621" w14:textId="77777777" w:rsidR="006E4365" w:rsidRPr="008B37C7" w:rsidRDefault="006E4365" w:rsidP="00F76AA9">
            <w:pPr>
              <w:jc w:val="center"/>
              <w:rPr>
                <w:rFonts w:cs="Arial"/>
                <w:sz w:val="16"/>
                <w:szCs w:val="16"/>
                <w:lang w:val="de-DE"/>
              </w:rPr>
            </w:pPr>
            <w:r w:rsidRPr="008B37C7">
              <w:rPr>
                <w:rFonts w:cs="Arial"/>
                <w:sz w:val="16"/>
                <w:szCs w:val="16"/>
                <w:lang w:val="de-DE"/>
              </w:rPr>
              <w:t>RU</w:t>
            </w:r>
          </w:p>
        </w:tc>
        <w:tc>
          <w:tcPr>
            <w:tcW w:w="1350" w:type="dxa"/>
            <w:tcBorders>
              <w:top w:val="nil"/>
              <w:left w:val="single" w:sz="4" w:space="0" w:color="auto"/>
              <w:bottom w:val="single" w:sz="4" w:space="0" w:color="auto"/>
              <w:right w:val="single" w:sz="4" w:space="0" w:color="auto"/>
            </w:tcBorders>
            <w:shd w:val="clear" w:color="auto" w:fill="auto"/>
            <w:vAlign w:val="center"/>
          </w:tcPr>
          <w:p w14:paraId="07BE9D5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765</w:t>
            </w:r>
          </w:p>
        </w:tc>
        <w:tc>
          <w:tcPr>
            <w:tcW w:w="720" w:type="dxa"/>
            <w:tcBorders>
              <w:top w:val="nil"/>
              <w:left w:val="nil"/>
              <w:bottom w:val="single" w:sz="4" w:space="0" w:color="auto"/>
              <w:right w:val="single" w:sz="4" w:space="0" w:color="auto"/>
            </w:tcBorders>
            <w:shd w:val="clear" w:color="auto" w:fill="auto"/>
            <w:vAlign w:val="center"/>
          </w:tcPr>
          <w:p w14:paraId="36A7459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c>
          <w:tcPr>
            <w:tcW w:w="630" w:type="dxa"/>
            <w:tcBorders>
              <w:top w:val="nil"/>
              <w:left w:val="nil"/>
              <w:bottom w:val="single" w:sz="4" w:space="0" w:color="auto"/>
              <w:right w:val="single" w:sz="4" w:space="0" w:color="auto"/>
            </w:tcBorders>
            <w:shd w:val="clear" w:color="auto" w:fill="auto"/>
            <w:vAlign w:val="center"/>
          </w:tcPr>
          <w:p w14:paraId="4A26493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c>
          <w:tcPr>
            <w:tcW w:w="720" w:type="dxa"/>
            <w:tcBorders>
              <w:top w:val="nil"/>
              <w:left w:val="nil"/>
              <w:bottom w:val="single" w:sz="4" w:space="0" w:color="auto"/>
              <w:right w:val="single" w:sz="4" w:space="0" w:color="auto"/>
            </w:tcBorders>
            <w:shd w:val="clear" w:color="000000" w:fill="FFFFFF"/>
            <w:vAlign w:val="center"/>
          </w:tcPr>
          <w:p w14:paraId="39D2964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c>
          <w:tcPr>
            <w:tcW w:w="720" w:type="dxa"/>
            <w:tcBorders>
              <w:top w:val="nil"/>
              <w:left w:val="nil"/>
              <w:bottom w:val="single" w:sz="4" w:space="0" w:color="auto"/>
              <w:right w:val="single" w:sz="4" w:space="0" w:color="auto"/>
            </w:tcBorders>
            <w:shd w:val="clear" w:color="auto" w:fill="auto"/>
            <w:vAlign w:val="center"/>
          </w:tcPr>
          <w:p w14:paraId="5EDBBB1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810" w:type="dxa"/>
            <w:tcBorders>
              <w:top w:val="nil"/>
              <w:left w:val="nil"/>
              <w:bottom w:val="single" w:sz="4" w:space="0" w:color="auto"/>
              <w:right w:val="single" w:sz="4" w:space="0" w:color="auto"/>
            </w:tcBorders>
            <w:shd w:val="clear" w:color="auto" w:fill="auto"/>
            <w:vAlign w:val="center"/>
          </w:tcPr>
          <w:p w14:paraId="2EA656E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1620" w:type="dxa"/>
            <w:tcBorders>
              <w:top w:val="nil"/>
              <w:left w:val="nil"/>
              <w:bottom w:val="single" w:sz="4" w:space="0" w:color="auto"/>
              <w:right w:val="single" w:sz="4" w:space="0" w:color="auto"/>
            </w:tcBorders>
            <w:shd w:val="clear" w:color="auto" w:fill="auto"/>
            <w:vAlign w:val="center"/>
          </w:tcPr>
          <w:p w14:paraId="3E5F953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0A2B2930" w14:textId="77777777" w:rsidTr="006E4365">
        <w:trPr>
          <w:cantSplit/>
        </w:trPr>
        <w:tc>
          <w:tcPr>
            <w:tcW w:w="2245" w:type="dxa"/>
            <w:tcBorders>
              <w:bottom w:val="single" w:sz="4" w:space="0" w:color="auto"/>
            </w:tcBorders>
            <w:shd w:val="clear" w:color="auto" w:fill="auto"/>
          </w:tcPr>
          <w:p w14:paraId="3E769340" w14:textId="55C42C3E" w:rsidR="006E4365" w:rsidRPr="008B37C7" w:rsidRDefault="00D838B2" w:rsidP="00F76AA9">
            <w:pPr>
              <w:jc w:val="left"/>
              <w:rPr>
                <w:rFonts w:cs="Arial"/>
                <w:sz w:val="16"/>
                <w:szCs w:val="16"/>
                <w:lang w:val="de-DE"/>
              </w:rPr>
            </w:pPr>
            <w:r w:rsidRPr="008B37C7">
              <w:rPr>
                <w:rFonts w:cs="Arial"/>
                <w:sz w:val="16"/>
                <w:szCs w:val="16"/>
                <w:lang w:val="de-DE"/>
              </w:rPr>
              <w:t>Serbien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65FBDBAF" w14:textId="77777777" w:rsidR="006E4365" w:rsidRPr="008B37C7" w:rsidRDefault="006E4365" w:rsidP="00F76AA9">
            <w:pPr>
              <w:jc w:val="center"/>
              <w:rPr>
                <w:rFonts w:cs="Arial"/>
                <w:sz w:val="16"/>
                <w:szCs w:val="16"/>
                <w:lang w:val="de-DE"/>
              </w:rPr>
            </w:pPr>
            <w:r w:rsidRPr="008B37C7">
              <w:rPr>
                <w:rFonts w:cs="Arial"/>
                <w:sz w:val="16"/>
                <w:szCs w:val="16"/>
                <w:lang w:val="de-DE"/>
              </w:rPr>
              <w:t>RS</w:t>
            </w:r>
          </w:p>
        </w:tc>
        <w:tc>
          <w:tcPr>
            <w:tcW w:w="1350" w:type="dxa"/>
            <w:tcBorders>
              <w:top w:val="nil"/>
              <w:left w:val="single" w:sz="4" w:space="0" w:color="auto"/>
              <w:bottom w:val="single" w:sz="4" w:space="0" w:color="auto"/>
              <w:right w:val="single" w:sz="4" w:space="0" w:color="auto"/>
            </w:tcBorders>
            <w:shd w:val="clear" w:color="auto" w:fill="auto"/>
            <w:vAlign w:val="center"/>
          </w:tcPr>
          <w:p w14:paraId="0A27B5D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51</w:t>
            </w:r>
          </w:p>
        </w:tc>
        <w:tc>
          <w:tcPr>
            <w:tcW w:w="720" w:type="dxa"/>
            <w:tcBorders>
              <w:top w:val="nil"/>
              <w:left w:val="nil"/>
              <w:bottom w:val="single" w:sz="4" w:space="0" w:color="auto"/>
              <w:right w:val="single" w:sz="4" w:space="0" w:color="auto"/>
            </w:tcBorders>
            <w:shd w:val="clear" w:color="auto" w:fill="auto"/>
            <w:vAlign w:val="center"/>
          </w:tcPr>
          <w:p w14:paraId="30770CA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c>
          <w:tcPr>
            <w:tcW w:w="630" w:type="dxa"/>
            <w:tcBorders>
              <w:top w:val="nil"/>
              <w:left w:val="nil"/>
              <w:bottom w:val="single" w:sz="4" w:space="0" w:color="auto"/>
              <w:right w:val="single" w:sz="4" w:space="0" w:color="auto"/>
            </w:tcBorders>
            <w:shd w:val="clear" w:color="auto" w:fill="auto"/>
            <w:vAlign w:val="center"/>
          </w:tcPr>
          <w:p w14:paraId="622E75C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720" w:type="dxa"/>
            <w:tcBorders>
              <w:top w:val="nil"/>
              <w:left w:val="nil"/>
              <w:bottom w:val="single" w:sz="4" w:space="0" w:color="auto"/>
              <w:right w:val="single" w:sz="4" w:space="0" w:color="auto"/>
            </w:tcBorders>
            <w:shd w:val="clear" w:color="000000" w:fill="FFFFFF"/>
            <w:vAlign w:val="center"/>
          </w:tcPr>
          <w:p w14:paraId="2B695C3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c>
          <w:tcPr>
            <w:tcW w:w="720" w:type="dxa"/>
            <w:tcBorders>
              <w:top w:val="nil"/>
              <w:left w:val="nil"/>
              <w:bottom w:val="single" w:sz="4" w:space="0" w:color="auto"/>
              <w:right w:val="single" w:sz="4" w:space="0" w:color="auto"/>
            </w:tcBorders>
            <w:shd w:val="clear" w:color="auto" w:fill="auto"/>
            <w:vAlign w:val="center"/>
          </w:tcPr>
          <w:p w14:paraId="040271D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810" w:type="dxa"/>
            <w:tcBorders>
              <w:top w:val="nil"/>
              <w:left w:val="nil"/>
              <w:bottom w:val="single" w:sz="4" w:space="0" w:color="auto"/>
              <w:right w:val="single" w:sz="4" w:space="0" w:color="auto"/>
            </w:tcBorders>
            <w:shd w:val="clear" w:color="auto" w:fill="auto"/>
            <w:vAlign w:val="center"/>
          </w:tcPr>
          <w:p w14:paraId="6CD4D9E7"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1620" w:type="dxa"/>
            <w:tcBorders>
              <w:top w:val="nil"/>
              <w:left w:val="nil"/>
              <w:bottom w:val="single" w:sz="4" w:space="0" w:color="auto"/>
              <w:right w:val="single" w:sz="4" w:space="0" w:color="auto"/>
            </w:tcBorders>
            <w:shd w:val="clear" w:color="auto" w:fill="auto"/>
            <w:vAlign w:val="center"/>
          </w:tcPr>
          <w:p w14:paraId="3CB86C9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r>
      <w:tr w:rsidR="006E4365" w:rsidRPr="008B37C7" w14:paraId="45BE713B" w14:textId="77777777" w:rsidTr="006E4365">
        <w:trPr>
          <w:cantSplit/>
        </w:trPr>
        <w:tc>
          <w:tcPr>
            <w:tcW w:w="2245" w:type="dxa"/>
            <w:tcBorders>
              <w:bottom w:val="single" w:sz="4" w:space="0" w:color="auto"/>
            </w:tcBorders>
            <w:shd w:val="clear" w:color="auto" w:fill="auto"/>
          </w:tcPr>
          <w:p w14:paraId="34D7D6BA" w14:textId="7CC7F00D" w:rsidR="006E4365" w:rsidRPr="008B37C7" w:rsidRDefault="00D838B2" w:rsidP="00F76AA9">
            <w:pPr>
              <w:jc w:val="left"/>
              <w:rPr>
                <w:rFonts w:cs="Arial"/>
                <w:sz w:val="16"/>
                <w:szCs w:val="16"/>
                <w:lang w:val="de-DE"/>
              </w:rPr>
            </w:pPr>
            <w:r w:rsidRPr="008B37C7">
              <w:rPr>
                <w:rFonts w:cs="Arial"/>
                <w:sz w:val="16"/>
                <w:szCs w:val="16"/>
                <w:lang w:val="de-DE"/>
              </w:rPr>
              <w:t>Singapu</w:t>
            </w:r>
            <w:r w:rsidR="006E4365" w:rsidRPr="008B37C7">
              <w:rPr>
                <w:rFonts w:cs="Arial"/>
                <w:sz w:val="16"/>
                <w:szCs w:val="16"/>
                <w:lang w:val="de-DE"/>
              </w:rPr>
              <w:t>re</w:t>
            </w:r>
          </w:p>
        </w:tc>
        <w:tc>
          <w:tcPr>
            <w:tcW w:w="450" w:type="dxa"/>
            <w:tcBorders>
              <w:top w:val="nil"/>
              <w:left w:val="single" w:sz="4" w:space="0" w:color="auto"/>
              <w:bottom w:val="single" w:sz="4" w:space="0" w:color="auto"/>
              <w:right w:val="single" w:sz="4" w:space="0" w:color="auto"/>
            </w:tcBorders>
            <w:shd w:val="clear" w:color="auto" w:fill="auto"/>
            <w:vAlign w:val="bottom"/>
          </w:tcPr>
          <w:p w14:paraId="57557190" w14:textId="77777777" w:rsidR="006E4365" w:rsidRPr="008B37C7" w:rsidRDefault="006E4365" w:rsidP="00F76AA9">
            <w:pPr>
              <w:jc w:val="center"/>
              <w:rPr>
                <w:rFonts w:cs="Arial"/>
                <w:sz w:val="16"/>
                <w:szCs w:val="16"/>
                <w:lang w:val="de-DE"/>
              </w:rPr>
            </w:pPr>
            <w:r w:rsidRPr="008B37C7">
              <w:rPr>
                <w:rFonts w:cs="Arial"/>
                <w:sz w:val="16"/>
                <w:szCs w:val="16"/>
                <w:lang w:val="de-DE"/>
              </w:rPr>
              <w:t>SG</w:t>
            </w:r>
          </w:p>
        </w:tc>
        <w:tc>
          <w:tcPr>
            <w:tcW w:w="1350" w:type="dxa"/>
            <w:tcBorders>
              <w:top w:val="nil"/>
              <w:left w:val="single" w:sz="4" w:space="0" w:color="auto"/>
              <w:bottom w:val="single" w:sz="4" w:space="0" w:color="auto"/>
              <w:right w:val="single" w:sz="4" w:space="0" w:color="auto"/>
            </w:tcBorders>
            <w:shd w:val="clear" w:color="auto" w:fill="auto"/>
            <w:vAlign w:val="center"/>
          </w:tcPr>
          <w:p w14:paraId="03F292E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720" w:type="dxa"/>
            <w:tcBorders>
              <w:top w:val="nil"/>
              <w:left w:val="nil"/>
              <w:bottom w:val="single" w:sz="4" w:space="0" w:color="auto"/>
              <w:right w:val="single" w:sz="4" w:space="0" w:color="auto"/>
            </w:tcBorders>
            <w:shd w:val="clear" w:color="auto" w:fill="auto"/>
            <w:vAlign w:val="center"/>
          </w:tcPr>
          <w:p w14:paraId="0BFA8FD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266D28D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44C46BA4"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3E623A8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596B757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0A85B00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195DB486" w14:textId="77777777" w:rsidTr="006E4365">
        <w:trPr>
          <w:cantSplit/>
        </w:trPr>
        <w:tc>
          <w:tcPr>
            <w:tcW w:w="2245" w:type="dxa"/>
            <w:tcBorders>
              <w:bottom w:val="single" w:sz="4" w:space="0" w:color="auto"/>
            </w:tcBorders>
            <w:shd w:val="clear" w:color="auto" w:fill="auto"/>
          </w:tcPr>
          <w:p w14:paraId="360AADDD" w14:textId="1079B47F" w:rsidR="006E4365" w:rsidRPr="008B37C7" w:rsidRDefault="00D838B2" w:rsidP="00F76AA9">
            <w:pPr>
              <w:jc w:val="left"/>
              <w:rPr>
                <w:rFonts w:cs="Arial"/>
                <w:sz w:val="16"/>
                <w:szCs w:val="16"/>
                <w:lang w:val="de-DE"/>
              </w:rPr>
            </w:pPr>
            <w:r w:rsidRPr="008B37C7">
              <w:rPr>
                <w:rFonts w:cs="Arial"/>
                <w:sz w:val="16"/>
                <w:szCs w:val="16"/>
                <w:lang w:val="de-DE"/>
              </w:rPr>
              <w:t>Slowakei</w:t>
            </w:r>
          </w:p>
        </w:tc>
        <w:tc>
          <w:tcPr>
            <w:tcW w:w="450" w:type="dxa"/>
            <w:tcBorders>
              <w:top w:val="nil"/>
              <w:left w:val="single" w:sz="4" w:space="0" w:color="auto"/>
              <w:bottom w:val="single" w:sz="4" w:space="0" w:color="auto"/>
              <w:right w:val="single" w:sz="4" w:space="0" w:color="auto"/>
            </w:tcBorders>
            <w:shd w:val="clear" w:color="auto" w:fill="auto"/>
            <w:vAlign w:val="bottom"/>
          </w:tcPr>
          <w:p w14:paraId="52BCD16C" w14:textId="77777777" w:rsidR="006E4365" w:rsidRPr="008B37C7" w:rsidRDefault="006E4365" w:rsidP="00F76AA9">
            <w:pPr>
              <w:jc w:val="center"/>
              <w:rPr>
                <w:rFonts w:cs="Arial"/>
                <w:sz w:val="16"/>
                <w:szCs w:val="16"/>
                <w:lang w:val="de-DE"/>
              </w:rPr>
            </w:pPr>
            <w:r w:rsidRPr="008B37C7">
              <w:rPr>
                <w:rFonts w:cs="Arial"/>
                <w:sz w:val="16"/>
                <w:szCs w:val="16"/>
                <w:lang w:val="de-DE"/>
              </w:rPr>
              <w:t>SK</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30BB09C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13</w:t>
            </w:r>
          </w:p>
        </w:tc>
        <w:tc>
          <w:tcPr>
            <w:tcW w:w="720" w:type="dxa"/>
            <w:tcBorders>
              <w:top w:val="nil"/>
              <w:left w:val="nil"/>
              <w:bottom w:val="single" w:sz="4" w:space="0" w:color="auto"/>
              <w:right w:val="single" w:sz="4" w:space="0" w:color="auto"/>
            </w:tcBorders>
            <w:shd w:val="clear" w:color="000000" w:fill="BFBFBF"/>
            <w:vAlign w:val="center"/>
          </w:tcPr>
          <w:p w14:paraId="12730691"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c>
          <w:tcPr>
            <w:tcW w:w="630" w:type="dxa"/>
            <w:tcBorders>
              <w:top w:val="nil"/>
              <w:left w:val="nil"/>
              <w:bottom w:val="single" w:sz="4" w:space="0" w:color="auto"/>
              <w:right w:val="single" w:sz="4" w:space="0" w:color="auto"/>
            </w:tcBorders>
            <w:shd w:val="clear" w:color="000000" w:fill="BFBFBF"/>
            <w:vAlign w:val="center"/>
          </w:tcPr>
          <w:p w14:paraId="61CF920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w:t>
            </w:r>
          </w:p>
        </w:tc>
        <w:tc>
          <w:tcPr>
            <w:tcW w:w="720" w:type="dxa"/>
            <w:tcBorders>
              <w:top w:val="nil"/>
              <w:left w:val="nil"/>
              <w:bottom w:val="single" w:sz="4" w:space="0" w:color="auto"/>
              <w:right w:val="single" w:sz="4" w:space="0" w:color="auto"/>
            </w:tcBorders>
            <w:shd w:val="clear" w:color="000000" w:fill="BFBFBF"/>
            <w:vAlign w:val="center"/>
          </w:tcPr>
          <w:p w14:paraId="7322474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c>
          <w:tcPr>
            <w:tcW w:w="720" w:type="dxa"/>
            <w:tcBorders>
              <w:top w:val="nil"/>
              <w:left w:val="nil"/>
              <w:bottom w:val="single" w:sz="4" w:space="0" w:color="auto"/>
              <w:right w:val="single" w:sz="4" w:space="0" w:color="auto"/>
            </w:tcBorders>
            <w:shd w:val="clear" w:color="000000" w:fill="BFBFBF"/>
            <w:vAlign w:val="center"/>
          </w:tcPr>
          <w:p w14:paraId="05161B4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c>
          <w:tcPr>
            <w:tcW w:w="810" w:type="dxa"/>
            <w:tcBorders>
              <w:top w:val="nil"/>
              <w:left w:val="nil"/>
              <w:bottom w:val="single" w:sz="4" w:space="0" w:color="auto"/>
              <w:right w:val="single" w:sz="4" w:space="0" w:color="auto"/>
            </w:tcBorders>
            <w:shd w:val="clear" w:color="000000" w:fill="BFBFBF"/>
            <w:vAlign w:val="center"/>
          </w:tcPr>
          <w:p w14:paraId="3C207524"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1620" w:type="dxa"/>
            <w:tcBorders>
              <w:top w:val="nil"/>
              <w:left w:val="nil"/>
              <w:bottom w:val="single" w:sz="4" w:space="0" w:color="auto"/>
              <w:right w:val="single" w:sz="4" w:space="0" w:color="auto"/>
            </w:tcBorders>
            <w:shd w:val="clear" w:color="000000" w:fill="BFBFBF"/>
            <w:vAlign w:val="center"/>
          </w:tcPr>
          <w:p w14:paraId="443AA877"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r>
      <w:tr w:rsidR="006E4365" w:rsidRPr="008B37C7" w14:paraId="14B7A503" w14:textId="77777777" w:rsidTr="006E4365">
        <w:trPr>
          <w:cantSplit/>
        </w:trPr>
        <w:tc>
          <w:tcPr>
            <w:tcW w:w="2245" w:type="dxa"/>
            <w:shd w:val="clear" w:color="auto" w:fill="auto"/>
          </w:tcPr>
          <w:p w14:paraId="3AE3439C" w14:textId="143524D8" w:rsidR="006E4365" w:rsidRPr="008B37C7" w:rsidRDefault="00D838B2" w:rsidP="00F76AA9">
            <w:pPr>
              <w:jc w:val="left"/>
              <w:rPr>
                <w:rFonts w:cs="Arial"/>
                <w:sz w:val="16"/>
                <w:szCs w:val="16"/>
                <w:lang w:val="de-DE"/>
              </w:rPr>
            </w:pPr>
            <w:r w:rsidRPr="008B37C7">
              <w:rPr>
                <w:rFonts w:cs="Arial"/>
                <w:sz w:val="16"/>
                <w:szCs w:val="16"/>
                <w:lang w:val="de-DE"/>
              </w:rPr>
              <w:t>Slowenien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3BA583BA" w14:textId="77777777" w:rsidR="006E4365" w:rsidRPr="008B37C7" w:rsidRDefault="006E4365" w:rsidP="00F76AA9">
            <w:pPr>
              <w:jc w:val="center"/>
              <w:rPr>
                <w:rFonts w:cs="Arial"/>
                <w:sz w:val="16"/>
                <w:szCs w:val="16"/>
                <w:lang w:val="de-DE"/>
              </w:rPr>
            </w:pPr>
            <w:r w:rsidRPr="008B37C7">
              <w:rPr>
                <w:rFonts w:cs="Arial"/>
                <w:sz w:val="16"/>
                <w:szCs w:val="16"/>
                <w:lang w:val="de-DE"/>
              </w:rPr>
              <w:t>SI</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57BB380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000000" w:fill="BFBFBF"/>
            <w:vAlign w:val="center"/>
          </w:tcPr>
          <w:p w14:paraId="446267D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c>
          <w:tcPr>
            <w:tcW w:w="630" w:type="dxa"/>
            <w:tcBorders>
              <w:top w:val="nil"/>
              <w:left w:val="nil"/>
              <w:bottom w:val="single" w:sz="4" w:space="0" w:color="auto"/>
              <w:right w:val="single" w:sz="4" w:space="0" w:color="auto"/>
            </w:tcBorders>
            <w:shd w:val="clear" w:color="000000" w:fill="BFBFBF"/>
            <w:vAlign w:val="center"/>
          </w:tcPr>
          <w:p w14:paraId="0E36C5D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720" w:type="dxa"/>
            <w:tcBorders>
              <w:top w:val="nil"/>
              <w:left w:val="nil"/>
              <w:bottom w:val="single" w:sz="4" w:space="0" w:color="auto"/>
              <w:right w:val="single" w:sz="4" w:space="0" w:color="auto"/>
            </w:tcBorders>
            <w:shd w:val="clear" w:color="000000" w:fill="BFBFBF"/>
            <w:vAlign w:val="center"/>
          </w:tcPr>
          <w:p w14:paraId="665103C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c>
          <w:tcPr>
            <w:tcW w:w="720" w:type="dxa"/>
            <w:tcBorders>
              <w:top w:val="nil"/>
              <w:left w:val="nil"/>
              <w:bottom w:val="single" w:sz="4" w:space="0" w:color="auto"/>
              <w:right w:val="single" w:sz="4" w:space="0" w:color="auto"/>
            </w:tcBorders>
            <w:shd w:val="clear" w:color="000000" w:fill="BFBFBF"/>
            <w:vAlign w:val="center"/>
          </w:tcPr>
          <w:p w14:paraId="4D09C87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810" w:type="dxa"/>
            <w:tcBorders>
              <w:top w:val="nil"/>
              <w:left w:val="nil"/>
              <w:bottom w:val="single" w:sz="4" w:space="0" w:color="auto"/>
              <w:right w:val="single" w:sz="4" w:space="0" w:color="auto"/>
            </w:tcBorders>
            <w:shd w:val="clear" w:color="000000" w:fill="BFBFBF"/>
            <w:vAlign w:val="center"/>
          </w:tcPr>
          <w:p w14:paraId="0B5D919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1620" w:type="dxa"/>
            <w:tcBorders>
              <w:top w:val="nil"/>
              <w:left w:val="nil"/>
              <w:bottom w:val="single" w:sz="4" w:space="0" w:color="auto"/>
              <w:right w:val="single" w:sz="4" w:space="0" w:color="auto"/>
            </w:tcBorders>
            <w:shd w:val="clear" w:color="000000" w:fill="BFBFBF"/>
            <w:vAlign w:val="center"/>
          </w:tcPr>
          <w:p w14:paraId="1FA8404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r>
      <w:tr w:rsidR="006E4365" w:rsidRPr="008B37C7" w14:paraId="13297B40" w14:textId="77777777" w:rsidTr="006E4365">
        <w:trPr>
          <w:cantSplit/>
        </w:trPr>
        <w:tc>
          <w:tcPr>
            <w:tcW w:w="2245" w:type="dxa"/>
            <w:tcBorders>
              <w:bottom w:val="single" w:sz="4" w:space="0" w:color="auto"/>
            </w:tcBorders>
            <w:shd w:val="clear" w:color="auto" w:fill="auto"/>
          </w:tcPr>
          <w:p w14:paraId="6442322A" w14:textId="614F9A8C" w:rsidR="006E4365" w:rsidRPr="008B37C7" w:rsidRDefault="00D838B2" w:rsidP="00F76AA9">
            <w:pPr>
              <w:jc w:val="left"/>
              <w:rPr>
                <w:rFonts w:cs="Arial"/>
                <w:sz w:val="16"/>
                <w:szCs w:val="16"/>
                <w:lang w:val="de-DE"/>
              </w:rPr>
            </w:pPr>
            <w:r w:rsidRPr="008B37C7">
              <w:rPr>
                <w:rFonts w:cs="Arial"/>
                <w:sz w:val="16"/>
                <w:szCs w:val="16"/>
                <w:lang w:val="de-DE"/>
              </w:rPr>
              <w:t>Südafrika</w:t>
            </w:r>
          </w:p>
        </w:tc>
        <w:tc>
          <w:tcPr>
            <w:tcW w:w="450" w:type="dxa"/>
            <w:tcBorders>
              <w:top w:val="nil"/>
              <w:left w:val="single" w:sz="4" w:space="0" w:color="auto"/>
              <w:bottom w:val="single" w:sz="4" w:space="0" w:color="auto"/>
              <w:right w:val="single" w:sz="4" w:space="0" w:color="auto"/>
            </w:tcBorders>
            <w:shd w:val="clear" w:color="auto" w:fill="auto"/>
            <w:vAlign w:val="bottom"/>
          </w:tcPr>
          <w:p w14:paraId="5A8B5970" w14:textId="77777777" w:rsidR="006E4365" w:rsidRPr="008B37C7" w:rsidRDefault="006E4365" w:rsidP="00F76AA9">
            <w:pPr>
              <w:jc w:val="center"/>
              <w:rPr>
                <w:rFonts w:cs="Arial"/>
                <w:sz w:val="16"/>
                <w:szCs w:val="16"/>
                <w:lang w:val="de-DE"/>
              </w:rPr>
            </w:pPr>
            <w:r w:rsidRPr="008B37C7">
              <w:rPr>
                <w:rFonts w:cs="Arial"/>
                <w:sz w:val="16"/>
                <w:szCs w:val="16"/>
                <w:lang w:val="de-DE"/>
              </w:rPr>
              <w:t>ZA</w:t>
            </w:r>
          </w:p>
        </w:tc>
        <w:tc>
          <w:tcPr>
            <w:tcW w:w="1350" w:type="dxa"/>
            <w:tcBorders>
              <w:top w:val="nil"/>
              <w:left w:val="single" w:sz="4" w:space="0" w:color="auto"/>
              <w:bottom w:val="single" w:sz="4" w:space="0" w:color="auto"/>
              <w:right w:val="single" w:sz="4" w:space="0" w:color="auto"/>
            </w:tcBorders>
            <w:shd w:val="clear" w:color="auto" w:fill="auto"/>
            <w:vAlign w:val="center"/>
          </w:tcPr>
          <w:p w14:paraId="2EF2F1E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282</w:t>
            </w:r>
          </w:p>
        </w:tc>
        <w:tc>
          <w:tcPr>
            <w:tcW w:w="720" w:type="dxa"/>
            <w:tcBorders>
              <w:top w:val="nil"/>
              <w:left w:val="nil"/>
              <w:bottom w:val="single" w:sz="4" w:space="0" w:color="auto"/>
              <w:right w:val="single" w:sz="4" w:space="0" w:color="auto"/>
            </w:tcBorders>
            <w:shd w:val="clear" w:color="auto" w:fill="auto"/>
            <w:vAlign w:val="center"/>
          </w:tcPr>
          <w:p w14:paraId="3937316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630" w:type="dxa"/>
            <w:tcBorders>
              <w:top w:val="nil"/>
              <w:left w:val="nil"/>
              <w:bottom w:val="single" w:sz="4" w:space="0" w:color="auto"/>
              <w:right w:val="single" w:sz="4" w:space="0" w:color="auto"/>
            </w:tcBorders>
            <w:shd w:val="clear" w:color="auto" w:fill="auto"/>
            <w:vAlign w:val="center"/>
          </w:tcPr>
          <w:p w14:paraId="156F8B1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720" w:type="dxa"/>
            <w:tcBorders>
              <w:top w:val="nil"/>
              <w:left w:val="nil"/>
              <w:bottom w:val="single" w:sz="4" w:space="0" w:color="auto"/>
              <w:right w:val="single" w:sz="4" w:space="0" w:color="auto"/>
            </w:tcBorders>
            <w:shd w:val="clear" w:color="000000" w:fill="FFFFFF"/>
            <w:vAlign w:val="center"/>
          </w:tcPr>
          <w:p w14:paraId="73370A07"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720" w:type="dxa"/>
            <w:tcBorders>
              <w:top w:val="nil"/>
              <w:left w:val="nil"/>
              <w:bottom w:val="single" w:sz="4" w:space="0" w:color="auto"/>
              <w:right w:val="single" w:sz="4" w:space="0" w:color="auto"/>
            </w:tcBorders>
            <w:shd w:val="clear" w:color="auto" w:fill="auto"/>
            <w:vAlign w:val="center"/>
          </w:tcPr>
          <w:p w14:paraId="21889C3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810" w:type="dxa"/>
            <w:tcBorders>
              <w:top w:val="nil"/>
              <w:left w:val="nil"/>
              <w:bottom w:val="single" w:sz="4" w:space="0" w:color="auto"/>
              <w:right w:val="single" w:sz="4" w:space="0" w:color="auto"/>
            </w:tcBorders>
            <w:shd w:val="clear" w:color="auto" w:fill="auto"/>
            <w:vAlign w:val="center"/>
          </w:tcPr>
          <w:p w14:paraId="10DEA701"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48B998D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116E1B24" w14:textId="77777777" w:rsidTr="006E4365">
        <w:trPr>
          <w:cantSplit/>
        </w:trPr>
        <w:tc>
          <w:tcPr>
            <w:tcW w:w="2245" w:type="dxa"/>
            <w:tcBorders>
              <w:bottom w:val="single" w:sz="4" w:space="0" w:color="auto"/>
            </w:tcBorders>
            <w:shd w:val="clear" w:color="auto" w:fill="auto"/>
          </w:tcPr>
          <w:p w14:paraId="396A057D" w14:textId="1F665AF4" w:rsidR="006E4365" w:rsidRPr="008B37C7" w:rsidRDefault="006E4365" w:rsidP="00F76AA9">
            <w:pPr>
              <w:jc w:val="left"/>
              <w:rPr>
                <w:rFonts w:cs="Arial"/>
                <w:sz w:val="16"/>
                <w:szCs w:val="16"/>
                <w:lang w:val="de-DE"/>
              </w:rPr>
            </w:pPr>
            <w:r w:rsidRPr="008B37C7">
              <w:rPr>
                <w:rFonts w:cs="Arial"/>
                <w:sz w:val="16"/>
                <w:szCs w:val="16"/>
                <w:lang w:val="de-DE"/>
              </w:rPr>
              <w:t>Spa</w:t>
            </w:r>
            <w:r w:rsidR="00D838B2" w:rsidRPr="008B37C7">
              <w:rPr>
                <w:rFonts w:cs="Arial"/>
                <w:sz w:val="16"/>
                <w:szCs w:val="16"/>
                <w:lang w:val="de-DE"/>
              </w:rPr>
              <w:t>nien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336171F0" w14:textId="77777777" w:rsidR="006E4365" w:rsidRPr="008B37C7" w:rsidRDefault="006E4365" w:rsidP="00F76AA9">
            <w:pPr>
              <w:jc w:val="center"/>
              <w:rPr>
                <w:rFonts w:cs="Arial"/>
                <w:sz w:val="16"/>
                <w:szCs w:val="16"/>
                <w:lang w:val="de-DE"/>
              </w:rPr>
            </w:pPr>
            <w:r w:rsidRPr="008B37C7">
              <w:rPr>
                <w:rFonts w:cs="Arial"/>
                <w:sz w:val="16"/>
                <w:szCs w:val="16"/>
                <w:lang w:val="de-DE"/>
              </w:rPr>
              <w:t>ES</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3C5CE2BF"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69</w:t>
            </w:r>
          </w:p>
        </w:tc>
        <w:tc>
          <w:tcPr>
            <w:tcW w:w="720" w:type="dxa"/>
            <w:tcBorders>
              <w:top w:val="nil"/>
              <w:left w:val="nil"/>
              <w:bottom w:val="single" w:sz="4" w:space="0" w:color="auto"/>
              <w:right w:val="single" w:sz="4" w:space="0" w:color="auto"/>
            </w:tcBorders>
            <w:shd w:val="clear" w:color="000000" w:fill="BFBFBF"/>
            <w:vAlign w:val="center"/>
          </w:tcPr>
          <w:p w14:paraId="52739C11"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c>
          <w:tcPr>
            <w:tcW w:w="630" w:type="dxa"/>
            <w:tcBorders>
              <w:top w:val="nil"/>
              <w:left w:val="nil"/>
              <w:bottom w:val="single" w:sz="4" w:space="0" w:color="auto"/>
              <w:right w:val="single" w:sz="4" w:space="0" w:color="auto"/>
            </w:tcBorders>
            <w:shd w:val="clear" w:color="000000" w:fill="BFBFBF"/>
            <w:vAlign w:val="center"/>
          </w:tcPr>
          <w:p w14:paraId="38371A7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c>
          <w:tcPr>
            <w:tcW w:w="720" w:type="dxa"/>
            <w:tcBorders>
              <w:top w:val="nil"/>
              <w:left w:val="nil"/>
              <w:bottom w:val="single" w:sz="4" w:space="0" w:color="auto"/>
              <w:right w:val="single" w:sz="4" w:space="0" w:color="auto"/>
            </w:tcBorders>
            <w:shd w:val="clear" w:color="000000" w:fill="BFBFBF"/>
            <w:vAlign w:val="center"/>
          </w:tcPr>
          <w:p w14:paraId="34FFC68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c>
          <w:tcPr>
            <w:tcW w:w="720" w:type="dxa"/>
            <w:tcBorders>
              <w:top w:val="nil"/>
              <w:left w:val="nil"/>
              <w:bottom w:val="single" w:sz="4" w:space="0" w:color="auto"/>
              <w:right w:val="single" w:sz="4" w:space="0" w:color="auto"/>
            </w:tcBorders>
            <w:shd w:val="clear" w:color="000000" w:fill="BFBFBF"/>
            <w:vAlign w:val="center"/>
          </w:tcPr>
          <w:p w14:paraId="536F63A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c>
          <w:tcPr>
            <w:tcW w:w="810" w:type="dxa"/>
            <w:tcBorders>
              <w:top w:val="nil"/>
              <w:left w:val="nil"/>
              <w:bottom w:val="single" w:sz="4" w:space="0" w:color="auto"/>
              <w:right w:val="single" w:sz="4" w:space="0" w:color="auto"/>
            </w:tcBorders>
            <w:shd w:val="clear" w:color="000000" w:fill="BFBFBF"/>
            <w:vAlign w:val="center"/>
          </w:tcPr>
          <w:p w14:paraId="734F1C97"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8</w:t>
            </w:r>
          </w:p>
        </w:tc>
        <w:tc>
          <w:tcPr>
            <w:tcW w:w="1620" w:type="dxa"/>
            <w:tcBorders>
              <w:top w:val="nil"/>
              <w:left w:val="nil"/>
              <w:bottom w:val="single" w:sz="4" w:space="0" w:color="auto"/>
              <w:right w:val="single" w:sz="4" w:space="0" w:color="auto"/>
            </w:tcBorders>
            <w:shd w:val="clear" w:color="000000" w:fill="BFBFBF"/>
            <w:vAlign w:val="center"/>
          </w:tcPr>
          <w:p w14:paraId="3D08B0A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4</w:t>
            </w:r>
          </w:p>
        </w:tc>
      </w:tr>
      <w:tr w:rsidR="006E4365" w:rsidRPr="008B37C7" w14:paraId="7E8F8045" w14:textId="77777777" w:rsidTr="006E4365">
        <w:trPr>
          <w:cantSplit/>
        </w:trPr>
        <w:tc>
          <w:tcPr>
            <w:tcW w:w="2245" w:type="dxa"/>
            <w:tcBorders>
              <w:bottom w:val="single" w:sz="4" w:space="0" w:color="auto"/>
            </w:tcBorders>
            <w:shd w:val="clear" w:color="auto" w:fill="auto"/>
          </w:tcPr>
          <w:p w14:paraId="4813DC17" w14:textId="13A43257" w:rsidR="006E4365" w:rsidRPr="008B37C7" w:rsidRDefault="006E4365" w:rsidP="00F76AA9">
            <w:pPr>
              <w:jc w:val="left"/>
              <w:rPr>
                <w:rFonts w:cs="Arial"/>
                <w:sz w:val="16"/>
                <w:szCs w:val="16"/>
                <w:lang w:val="de-DE"/>
              </w:rPr>
            </w:pPr>
            <w:r w:rsidRPr="008B37C7">
              <w:rPr>
                <w:rFonts w:cs="Arial"/>
                <w:sz w:val="16"/>
                <w:szCs w:val="16"/>
                <w:lang w:val="de-DE"/>
              </w:rPr>
              <w:t>S</w:t>
            </w:r>
            <w:r w:rsidR="00D838B2" w:rsidRPr="008B37C7">
              <w:rPr>
                <w:rFonts w:cs="Arial"/>
                <w:sz w:val="16"/>
                <w:szCs w:val="16"/>
                <w:lang w:val="de-DE"/>
              </w:rPr>
              <w:t>ch</w:t>
            </w:r>
            <w:r w:rsidRPr="008B37C7">
              <w:rPr>
                <w:rFonts w:cs="Arial"/>
                <w:sz w:val="16"/>
                <w:szCs w:val="16"/>
                <w:lang w:val="de-DE"/>
              </w:rPr>
              <w:t>weden</w:t>
            </w:r>
          </w:p>
        </w:tc>
        <w:tc>
          <w:tcPr>
            <w:tcW w:w="450" w:type="dxa"/>
            <w:tcBorders>
              <w:top w:val="nil"/>
              <w:left w:val="single" w:sz="4" w:space="0" w:color="auto"/>
              <w:bottom w:val="single" w:sz="4" w:space="0" w:color="auto"/>
              <w:right w:val="single" w:sz="4" w:space="0" w:color="auto"/>
            </w:tcBorders>
            <w:shd w:val="clear" w:color="auto" w:fill="auto"/>
            <w:vAlign w:val="bottom"/>
          </w:tcPr>
          <w:p w14:paraId="3CEF380C" w14:textId="77777777" w:rsidR="006E4365" w:rsidRPr="008B37C7" w:rsidRDefault="006E4365" w:rsidP="00F76AA9">
            <w:pPr>
              <w:jc w:val="center"/>
              <w:rPr>
                <w:rFonts w:cs="Arial"/>
                <w:sz w:val="16"/>
                <w:szCs w:val="16"/>
                <w:lang w:val="de-DE"/>
              </w:rPr>
            </w:pPr>
            <w:r w:rsidRPr="008B37C7">
              <w:rPr>
                <w:rFonts w:cs="Arial"/>
                <w:sz w:val="16"/>
                <w:szCs w:val="16"/>
                <w:lang w:val="de-DE"/>
              </w:rPr>
              <w:t>SE</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4045E81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720" w:type="dxa"/>
            <w:tcBorders>
              <w:top w:val="nil"/>
              <w:left w:val="nil"/>
              <w:bottom w:val="single" w:sz="4" w:space="0" w:color="auto"/>
              <w:right w:val="single" w:sz="4" w:space="0" w:color="auto"/>
            </w:tcBorders>
            <w:shd w:val="clear" w:color="000000" w:fill="BFBFBF"/>
            <w:vAlign w:val="center"/>
          </w:tcPr>
          <w:p w14:paraId="54E5C25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12</w:t>
            </w:r>
          </w:p>
        </w:tc>
        <w:tc>
          <w:tcPr>
            <w:tcW w:w="630" w:type="dxa"/>
            <w:tcBorders>
              <w:top w:val="nil"/>
              <w:left w:val="nil"/>
              <w:bottom w:val="single" w:sz="4" w:space="0" w:color="auto"/>
              <w:right w:val="single" w:sz="4" w:space="0" w:color="auto"/>
            </w:tcBorders>
            <w:shd w:val="clear" w:color="000000" w:fill="BFBFBF"/>
            <w:vAlign w:val="center"/>
          </w:tcPr>
          <w:p w14:paraId="0D5DC42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11</w:t>
            </w:r>
          </w:p>
        </w:tc>
        <w:tc>
          <w:tcPr>
            <w:tcW w:w="720" w:type="dxa"/>
            <w:tcBorders>
              <w:top w:val="nil"/>
              <w:left w:val="nil"/>
              <w:bottom w:val="single" w:sz="4" w:space="0" w:color="auto"/>
              <w:right w:val="single" w:sz="4" w:space="0" w:color="auto"/>
            </w:tcBorders>
            <w:shd w:val="clear" w:color="000000" w:fill="BFBFBF"/>
            <w:vAlign w:val="center"/>
          </w:tcPr>
          <w:p w14:paraId="613B9EC7"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9</w:t>
            </w:r>
          </w:p>
        </w:tc>
        <w:tc>
          <w:tcPr>
            <w:tcW w:w="720" w:type="dxa"/>
            <w:tcBorders>
              <w:top w:val="nil"/>
              <w:left w:val="nil"/>
              <w:bottom w:val="single" w:sz="4" w:space="0" w:color="auto"/>
              <w:right w:val="single" w:sz="4" w:space="0" w:color="auto"/>
            </w:tcBorders>
            <w:shd w:val="clear" w:color="000000" w:fill="BFBFBF"/>
            <w:vAlign w:val="center"/>
          </w:tcPr>
          <w:p w14:paraId="47472D7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8</w:t>
            </w:r>
          </w:p>
        </w:tc>
        <w:tc>
          <w:tcPr>
            <w:tcW w:w="810" w:type="dxa"/>
            <w:tcBorders>
              <w:top w:val="nil"/>
              <w:left w:val="nil"/>
              <w:bottom w:val="single" w:sz="4" w:space="0" w:color="auto"/>
              <w:right w:val="single" w:sz="4" w:space="0" w:color="auto"/>
            </w:tcBorders>
            <w:shd w:val="clear" w:color="000000" w:fill="BFBFBF"/>
            <w:vAlign w:val="center"/>
          </w:tcPr>
          <w:p w14:paraId="10A8A4D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9</w:t>
            </w:r>
          </w:p>
        </w:tc>
        <w:tc>
          <w:tcPr>
            <w:tcW w:w="1620" w:type="dxa"/>
            <w:tcBorders>
              <w:top w:val="nil"/>
              <w:left w:val="nil"/>
              <w:bottom w:val="single" w:sz="4" w:space="0" w:color="auto"/>
              <w:right w:val="single" w:sz="4" w:space="0" w:color="auto"/>
            </w:tcBorders>
            <w:shd w:val="clear" w:color="000000" w:fill="BFBFBF"/>
            <w:vAlign w:val="center"/>
          </w:tcPr>
          <w:p w14:paraId="30C7DDA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r>
      <w:tr w:rsidR="006E4365" w:rsidRPr="008B37C7" w14:paraId="0F365446" w14:textId="77777777" w:rsidTr="006E4365">
        <w:trPr>
          <w:cantSplit/>
        </w:trPr>
        <w:tc>
          <w:tcPr>
            <w:tcW w:w="2245" w:type="dxa"/>
            <w:tcBorders>
              <w:bottom w:val="single" w:sz="4" w:space="0" w:color="auto"/>
            </w:tcBorders>
            <w:shd w:val="clear" w:color="auto" w:fill="auto"/>
          </w:tcPr>
          <w:p w14:paraId="6238DC23" w14:textId="2A380B51" w:rsidR="006E4365" w:rsidRPr="008B37C7" w:rsidRDefault="006E4365" w:rsidP="00F76AA9">
            <w:pPr>
              <w:jc w:val="left"/>
              <w:rPr>
                <w:rFonts w:cs="Arial"/>
                <w:sz w:val="16"/>
                <w:szCs w:val="16"/>
                <w:lang w:val="de-DE"/>
              </w:rPr>
            </w:pPr>
            <w:r w:rsidRPr="008B37C7">
              <w:rPr>
                <w:rFonts w:cs="Arial"/>
                <w:sz w:val="16"/>
                <w:szCs w:val="16"/>
                <w:lang w:val="de-DE"/>
              </w:rPr>
              <w:t>S</w:t>
            </w:r>
            <w:r w:rsidR="00D838B2" w:rsidRPr="008B37C7">
              <w:rPr>
                <w:rFonts w:cs="Arial"/>
                <w:sz w:val="16"/>
                <w:szCs w:val="16"/>
                <w:lang w:val="de-DE"/>
              </w:rPr>
              <w:t>ch</w:t>
            </w:r>
            <w:r w:rsidRPr="008B37C7">
              <w:rPr>
                <w:rFonts w:cs="Arial"/>
                <w:sz w:val="16"/>
                <w:szCs w:val="16"/>
                <w:lang w:val="de-DE"/>
              </w:rPr>
              <w:t>wi</w:t>
            </w:r>
            <w:r w:rsidR="00D838B2" w:rsidRPr="008B37C7">
              <w:rPr>
                <w:rFonts w:cs="Arial"/>
                <w:sz w:val="16"/>
                <w:szCs w:val="16"/>
                <w:lang w:val="de-DE"/>
              </w:rPr>
              <w:t>eitz</w:t>
            </w:r>
          </w:p>
        </w:tc>
        <w:tc>
          <w:tcPr>
            <w:tcW w:w="450" w:type="dxa"/>
            <w:tcBorders>
              <w:top w:val="nil"/>
              <w:left w:val="single" w:sz="4" w:space="0" w:color="auto"/>
              <w:bottom w:val="single" w:sz="4" w:space="0" w:color="auto"/>
              <w:right w:val="single" w:sz="4" w:space="0" w:color="auto"/>
            </w:tcBorders>
            <w:shd w:val="clear" w:color="auto" w:fill="auto"/>
            <w:vAlign w:val="bottom"/>
          </w:tcPr>
          <w:p w14:paraId="3A621B55" w14:textId="77777777" w:rsidR="006E4365" w:rsidRPr="008B37C7" w:rsidRDefault="006E4365" w:rsidP="00F76AA9">
            <w:pPr>
              <w:jc w:val="center"/>
              <w:rPr>
                <w:rFonts w:cs="Arial"/>
                <w:sz w:val="16"/>
                <w:szCs w:val="16"/>
                <w:lang w:val="de-DE"/>
              </w:rPr>
            </w:pPr>
            <w:r w:rsidRPr="008B37C7">
              <w:rPr>
                <w:rFonts w:cs="Arial"/>
                <w:sz w:val="16"/>
                <w:szCs w:val="16"/>
                <w:lang w:val="de-DE"/>
              </w:rPr>
              <w:t>CH</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60BF65F1"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54</w:t>
            </w:r>
          </w:p>
        </w:tc>
        <w:tc>
          <w:tcPr>
            <w:tcW w:w="720" w:type="dxa"/>
            <w:tcBorders>
              <w:top w:val="nil"/>
              <w:left w:val="nil"/>
              <w:bottom w:val="single" w:sz="4" w:space="0" w:color="auto"/>
              <w:right w:val="single" w:sz="4" w:space="0" w:color="auto"/>
            </w:tcBorders>
            <w:shd w:val="clear" w:color="000000" w:fill="BFBFBF"/>
            <w:vAlign w:val="center"/>
          </w:tcPr>
          <w:p w14:paraId="29B6B521"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c>
          <w:tcPr>
            <w:tcW w:w="630" w:type="dxa"/>
            <w:tcBorders>
              <w:top w:val="nil"/>
              <w:left w:val="nil"/>
              <w:bottom w:val="single" w:sz="4" w:space="0" w:color="auto"/>
              <w:right w:val="single" w:sz="4" w:space="0" w:color="auto"/>
            </w:tcBorders>
            <w:shd w:val="clear" w:color="000000" w:fill="BFBFBF"/>
            <w:vAlign w:val="center"/>
          </w:tcPr>
          <w:p w14:paraId="614F800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w:t>
            </w:r>
          </w:p>
        </w:tc>
        <w:tc>
          <w:tcPr>
            <w:tcW w:w="720" w:type="dxa"/>
            <w:tcBorders>
              <w:top w:val="nil"/>
              <w:left w:val="nil"/>
              <w:bottom w:val="single" w:sz="4" w:space="0" w:color="auto"/>
              <w:right w:val="single" w:sz="4" w:space="0" w:color="auto"/>
            </w:tcBorders>
            <w:shd w:val="clear" w:color="000000" w:fill="BFBFBF"/>
            <w:vAlign w:val="center"/>
          </w:tcPr>
          <w:p w14:paraId="41EEE8C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720" w:type="dxa"/>
            <w:tcBorders>
              <w:top w:val="nil"/>
              <w:left w:val="nil"/>
              <w:bottom w:val="single" w:sz="4" w:space="0" w:color="auto"/>
              <w:right w:val="single" w:sz="4" w:space="0" w:color="auto"/>
            </w:tcBorders>
            <w:shd w:val="clear" w:color="000000" w:fill="BFBFBF"/>
            <w:vAlign w:val="center"/>
          </w:tcPr>
          <w:p w14:paraId="0565E807"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6</w:t>
            </w:r>
          </w:p>
        </w:tc>
        <w:tc>
          <w:tcPr>
            <w:tcW w:w="810" w:type="dxa"/>
            <w:tcBorders>
              <w:top w:val="nil"/>
              <w:left w:val="nil"/>
              <w:bottom w:val="single" w:sz="4" w:space="0" w:color="auto"/>
              <w:right w:val="single" w:sz="4" w:space="0" w:color="auto"/>
            </w:tcBorders>
            <w:shd w:val="clear" w:color="000000" w:fill="BFBFBF"/>
            <w:vAlign w:val="center"/>
          </w:tcPr>
          <w:p w14:paraId="3183091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8</w:t>
            </w:r>
          </w:p>
        </w:tc>
        <w:tc>
          <w:tcPr>
            <w:tcW w:w="1620" w:type="dxa"/>
            <w:tcBorders>
              <w:top w:val="nil"/>
              <w:left w:val="nil"/>
              <w:bottom w:val="single" w:sz="4" w:space="0" w:color="auto"/>
              <w:right w:val="single" w:sz="4" w:space="0" w:color="auto"/>
            </w:tcBorders>
            <w:shd w:val="clear" w:color="000000" w:fill="BFBFBF"/>
            <w:vAlign w:val="center"/>
          </w:tcPr>
          <w:p w14:paraId="0AFFB7A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r>
      <w:tr w:rsidR="006E4365" w:rsidRPr="008B37C7" w14:paraId="647C858C" w14:textId="77777777" w:rsidTr="006E4365">
        <w:trPr>
          <w:cantSplit/>
        </w:trPr>
        <w:tc>
          <w:tcPr>
            <w:tcW w:w="2245" w:type="dxa"/>
            <w:tcBorders>
              <w:bottom w:val="single" w:sz="4" w:space="0" w:color="auto"/>
            </w:tcBorders>
            <w:shd w:val="clear" w:color="auto" w:fill="auto"/>
          </w:tcPr>
          <w:p w14:paraId="324BAE8A" w14:textId="2C0167D0" w:rsidR="006E4365" w:rsidRPr="008B37C7" w:rsidRDefault="00D838B2" w:rsidP="00F76AA9">
            <w:pPr>
              <w:jc w:val="left"/>
              <w:rPr>
                <w:rFonts w:cs="Arial"/>
                <w:sz w:val="16"/>
                <w:szCs w:val="16"/>
                <w:lang w:val="de-DE"/>
              </w:rPr>
            </w:pPr>
            <w:r w:rsidRPr="008B37C7">
              <w:rPr>
                <w:rFonts w:cs="Arial"/>
                <w:sz w:val="16"/>
                <w:szCs w:val="16"/>
                <w:lang w:val="de-DE"/>
              </w:rPr>
              <w:t>Trinidad u</w:t>
            </w:r>
            <w:r w:rsidR="006E4365" w:rsidRPr="008B37C7">
              <w:rPr>
                <w:rFonts w:cs="Arial"/>
                <w:sz w:val="16"/>
                <w:szCs w:val="16"/>
                <w:lang w:val="de-DE"/>
              </w:rPr>
              <w:t>nd Tobago</w:t>
            </w:r>
          </w:p>
        </w:tc>
        <w:tc>
          <w:tcPr>
            <w:tcW w:w="450" w:type="dxa"/>
            <w:tcBorders>
              <w:top w:val="nil"/>
              <w:left w:val="single" w:sz="4" w:space="0" w:color="auto"/>
              <w:bottom w:val="single" w:sz="4" w:space="0" w:color="auto"/>
              <w:right w:val="single" w:sz="4" w:space="0" w:color="auto"/>
            </w:tcBorders>
            <w:shd w:val="clear" w:color="auto" w:fill="auto"/>
            <w:vAlign w:val="bottom"/>
          </w:tcPr>
          <w:p w14:paraId="1C73A4F3" w14:textId="77777777" w:rsidR="006E4365" w:rsidRPr="008B37C7" w:rsidRDefault="006E4365" w:rsidP="00F76AA9">
            <w:pPr>
              <w:jc w:val="center"/>
              <w:rPr>
                <w:rFonts w:cs="Arial"/>
                <w:sz w:val="16"/>
                <w:szCs w:val="16"/>
                <w:lang w:val="de-DE"/>
              </w:rPr>
            </w:pPr>
            <w:r w:rsidRPr="008B37C7">
              <w:rPr>
                <w:rFonts w:cs="Arial"/>
                <w:sz w:val="16"/>
                <w:szCs w:val="16"/>
                <w:lang w:val="de-DE"/>
              </w:rPr>
              <w:t>TT</w:t>
            </w:r>
          </w:p>
        </w:tc>
        <w:tc>
          <w:tcPr>
            <w:tcW w:w="1350" w:type="dxa"/>
            <w:tcBorders>
              <w:top w:val="nil"/>
              <w:left w:val="single" w:sz="4" w:space="0" w:color="auto"/>
              <w:bottom w:val="single" w:sz="4" w:space="0" w:color="auto"/>
              <w:right w:val="single" w:sz="4" w:space="0" w:color="auto"/>
            </w:tcBorders>
            <w:shd w:val="clear" w:color="auto" w:fill="auto"/>
            <w:vAlign w:val="center"/>
          </w:tcPr>
          <w:p w14:paraId="1B8BB654" w14:textId="04672C3D" w:rsidR="006E4365" w:rsidRPr="008B37C7" w:rsidRDefault="008B37C7" w:rsidP="00F76AA9">
            <w:pPr>
              <w:jc w:val="center"/>
              <w:rPr>
                <w:rFonts w:cs="Arial"/>
                <w:color w:val="000000"/>
                <w:sz w:val="16"/>
                <w:szCs w:val="16"/>
                <w:lang w:val="de-DE"/>
              </w:rPr>
            </w:pPr>
            <w:r>
              <w:rPr>
                <w:rFonts w:cs="Arial"/>
                <w:color w:val="000000"/>
                <w:sz w:val="16"/>
                <w:szCs w:val="16"/>
                <w:lang w:val="de-DE"/>
              </w:rPr>
              <w:t>k.A.</w:t>
            </w:r>
          </w:p>
        </w:tc>
        <w:tc>
          <w:tcPr>
            <w:tcW w:w="720" w:type="dxa"/>
            <w:tcBorders>
              <w:top w:val="nil"/>
              <w:left w:val="nil"/>
              <w:bottom w:val="single" w:sz="4" w:space="0" w:color="auto"/>
              <w:right w:val="single" w:sz="4" w:space="0" w:color="auto"/>
            </w:tcBorders>
            <w:shd w:val="clear" w:color="auto" w:fill="auto"/>
            <w:vAlign w:val="center"/>
          </w:tcPr>
          <w:p w14:paraId="59DE62E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4384D5B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5A0898B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16D865C7"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06C531FA"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561AFD84"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1C40E2E0" w14:textId="77777777" w:rsidTr="006E4365">
        <w:trPr>
          <w:cantSplit/>
        </w:trPr>
        <w:tc>
          <w:tcPr>
            <w:tcW w:w="2245" w:type="dxa"/>
            <w:tcBorders>
              <w:bottom w:val="single" w:sz="4" w:space="0" w:color="auto"/>
            </w:tcBorders>
            <w:shd w:val="clear" w:color="auto" w:fill="auto"/>
          </w:tcPr>
          <w:p w14:paraId="181C2879" w14:textId="4C78E579" w:rsidR="006E4365" w:rsidRPr="008B37C7" w:rsidRDefault="00D838B2" w:rsidP="00F76AA9">
            <w:pPr>
              <w:jc w:val="left"/>
              <w:rPr>
                <w:rFonts w:cs="Arial"/>
                <w:sz w:val="16"/>
                <w:szCs w:val="16"/>
                <w:lang w:val="de-DE"/>
              </w:rPr>
            </w:pPr>
            <w:r w:rsidRPr="008B37C7">
              <w:rPr>
                <w:rFonts w:cs="Arial"/>
                <w:sz w:val="16"/>
                <w:szCs w:val="16"/>
                <w:lang w:val="de-DE"/>
              </w:rPr>
              <w:t>Tunesien</w:t>
            </w:r>
          </w:p>
        </w:tc>
        <w:tc>
          <w:tcPr>
            <w:tcW w:w="450" w:type="dxa"/>
            <w:tcBorders>
              <w:top w:val="nil"/>
              <w:left w:val="single" w:sz="4" w:space="0" w:color="auto"/>
              <w:bottom w:val="single" w:sz="4" w:space="0" w:color="auto"/>
              <w:right w:val="single" w:sz="4" w:space="0" w:color="auto"/>
            </w:tcBorders>
            <w:shd w:val="clear" w:color="auto" w:fill="auto"/>
            <w:vAlign w:val="bottom"/>
          </w:tcPr>
          <w:p w14:paraId="0B4970EB" w14:textId="77777777" w:rsidR="006E4365" w:rsidRPr="008B37C7" w:rsidRDefault="006E4365" w:rsidP="00F76AA9">
            <w:pPr>
              <w:jc w:val="center"/>
              <w:rPr>
                <w:rFonts w:cs="Arial"/>
                <w:sz w:val="16"/>
                <w:szCs w:val="16"/>
                <w:lang w:val="de-DE"/>
              </w:rPr>
            </w:pPr>
            <w:r w:rsidRPr="008B37C7">
              <w:rPr>
                <w:rFonts w:cs="Arial"/>
                <w:sz w:val="16"/>
                <w:szCs w:val="16"/>
                <w:lang w:val="de-DE"/>
              </w:rPr>
              <w:t>TN</w:t>
            </w:r>
          </w:p>
        </w:tc>
        <w:tc>
          <w:tcPr>
            <w:tcW w:w="1350" w:type="dxa"/>
            <w:tcBorders>
              <w:top w:val="nil"/>
              <w:left w:val="single" w:sz="4" w:space="0" w:color="auto"/>
              <w:bottom w:val="single" w:sz="4" w:space="0" w:color="auto"/>
              <w:right w:val="single" w:sz="4" w:space="0" w:color="auto"/>
            </w:tcBorders>
            <w:shd w:val="clear" w:color="auto" w:fill="auto"/>
            <w:vAlign w:val="center"/>
          </w:tcPr>
          <w:p w14:paraId="1B7D9B6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10</w:t>
            </w:r>
          </w:p>
        </w:tc>
        <w:tc>
          <w:tcPr>
            <w:tcW w:w="720" w:type="dxa"/>
            <w:tcBorders>
              <w:top w:val="nil"/>
              <w:left w:val="nil"/>
              <w:bottom w:val="single" w:sz="4" w:space="0" w:color="auto"/>
              <w:right w:val="single" w:sz="4" w:space="0" w:color="auto"/>
            </w:tcBorders>
            <w:shd w:val="clear" w:color="auto" w:fill="auto"/>
            <w:vAlign w:val="center"/>
          </w:tcPr>
          <w:p w14:paraId="3CBE679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6F993B7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648BFB4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6932EC84"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61A8601D"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137C226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r>
      <w:tr w:rsidR="006E4365" w:rsidRPr="008B37C7" w14:paraId="026BC78F" w14:textId="77777777" w:rsidTr="006E4365">
        <w:trPr>
          <w:cantSplit/>
        </w:trPr>
        <w:tc>
          <w:tcPr>
            <w:tcW w:w="2245" w:type="dxa"/>
            <w:shd w:val="clear" w:color="auto" w:fill="auto"/>
          </w:tcPr>
          <w:p w14:paraId="004C5EDB" w14:textId="59E1CE48" w:rsidR="006E4365" w:rsidRPr="008B37C7" w:rsidRDefault="008B37C7" w:rsidP="00F76AA9">
            <w:pPr>
              <w:jc w:val="left"/>
              <w:rPr>
                <w:rFonts w:cs="Arial"/>
                <w:sz w:val="16"/>
                <w:szCs w:val="16"/>
                <w:lang w:val="de-DE"/>
              </w:rPr>
            </w:pPr>
            <w:r>
              <w:rPr>
                <w:rFonts w:cs="Arial"/>
                <w:sz w:val="16"/>
                <w:szCs w:val="16"/>
                <w:lang w:val="de-DE"/>
              </w:rPr>
              <w:t>Tü</w:t>
            </w:r>
            <w:r w:rsidR="00D838B2" w:rsidRPr="008B37C7">
              <w:rPr>
                <w:rFonts w:cs="Arial"/>
                <w:sz w:val="16"/>
                <w:szCs w:val="16"/>
                <w:lang w:val="de-DE"/>
              </w:rPr>
              <w:t>rkei</w:t>
            </w:r>
          </w:p>
        </w:tc>
        <w:tc>
          <w:tcPr>
            <w:tcW w:w="450" w:type="dxa"/>
            <w:tcBorders>
              <w:top w:val="nil"/>
              <w:left w:val="single" w:sz="4" w:space="0" w:color="auto"/>
              <w:bottom w:val="single" w:sz="4" w:space="0" w:color="auto"/>
              <w:right w:val="single" w:sz="4" w:space="0" w:color="auto"/>
            </w:tcBorders>
            <w:shd w:val="clear" w:color="auto" w:fill="auto"/>
            <w:vAlign w:val="bottom"/>
          </w:tcPr>
          <w:p w14:paraId="0CDFA2DF" w14:textId="77777777" w:rsidR="006E4365" w:rsidRPr="008B37C7" w:rsidRDefault="006E4365" w:rsidP="00F76AA9">
            <w:pPr>
              <w:jc w:val="center"/>
              <w:rPr>
                <w:rFonts w:cs="Arial"/>
                <w:sz w:val="16"/>
                <w:szCs w:val="16"/>
                <w:lang w:val="de-DE"/>
              </w:rPr>
            </w:pPr>
            <w:r w:rsidRPr="008B37C7">
              <w:rPr>
                <w:rFonts w:cs="Arial"/>
                <w:sz w:val="16"/>
                <w:szCs w:val="16"/>
                <w:lang w:val="de-DE"/>
              </w:rPr>
              <w:t>TR</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7A77F809"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227</w:t>
            </w:r>
          </w:p>
        </w:tc>
        <w:tc>
          <w:tcPr>
            <w:tcW w:w="720" w:type="dxa"/>
            <w:tcBorders>
              <w:top w:val="nil"/>
              <w:left w:val="nil"/>
              <w:bottom w:val="single" w:sz="4" w:space="0" w:color="auto"/>
              <w:right w:val="single" w:sz="4" w:space="0" w:color="auto"/>
            </w:tcBorders>
            <w:shd w:val="clear" w:color="000000" w:fill="BFBFBF"/>
            <w:vAlign w:val="center"/>
          </w:tcPr>
          <w:p w14:paraId="6773743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630" w:type="dxa"/>
            <w:tcBorders>
              <w:top w:val="nil"/>
              <w:left w:val="nil"/>
              <w:bottom w:val="single" w:sz="4" w:space="0" w:color="auto"/>
              <w:right w:val="single" w:sz="4" w:space="0" w:color="auto"/>
            </w:tcBorders>
            <w:shd w:val="clear" w:color="000000" w:fill="BFBFBF"/>
            <w:vAlign w:val="center"/>
          </w:tcPr>
          <w:p w14:paraId="533EFFF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000000" w:fill="BFBFBF"/>
            <w:vAlign w:val="center"/>
          </w:tcPr>
          <w:p w14:paraId="32EF266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2</w:t>
            </w:r>
          </w:p>
        </w:tc>
        <w:tc>
          <w:tcPr>
            <w:tcW w:w="720" w:type="dxa"/>
            <w:tcBorders>
              <w:top w:val="nil"/>
              <w:left w:val="nil"/>
              <w:bottom w:val="single" w:sz="4" w:space="0" w:color="auto"/>
              <w:right w:val="single" w:sz="4" w:space="0" w:color="auto"/>
            </w:tcBorders>
            <w:shd w:val="clear" w:color="000000" w:fill="BFBFBF"/>
            <w:vAlign w:val="center"/>
          </w:tcPr>
          <w:p w14:paraId="1BA07484"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c>
          <w:tcPr>
            <w:tcW w:w="810" w:type="dxa"/>
            <w:tcBorders>
              <w:top w:val="nil"/>
              <w:left w:val="nil"/>
              <w:bottom w:val="single" w:sz="4" w:space="0" w:color="auto"/>
              <w:right w:val="single" w:sz="4" w:space="0" w:color="auto"/>
            </w:tcBorders>
            <w:shd w:val="clear" w:color="000000" w:fill="BFBFBF"/>
            <w:vAlign w:val="center"/>
          </w:tcPr>
          <w:p w14:paraId="75A2A98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000000" w:fill="BFBFBF"/>
            <w:vAlign w:val="center"/>
          </w:tcPr>
          <w:p w14:paraId="7C4F1F2C"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p>
        </w:tc>
      </w:tr>
      <w:tr w:rsidR="006E4365" w:rsidRPr="008B37C7" w14:paraId="7FAE4302" w14:textId="77777777" w:rsidTr="006E4365">
        <w:trPr>
          <w:cantSplit/>
        </w:trPr>
        <w:tc>
          <w:tcPr>
            <w:tcW w:w="2245" w:type="dxa"/>
            <w:tcBorders>
              <w:bottom w:val="single" w:sz="4" w:space="0" w:color="auto"/>
            </w:tcBorders>
            <w:shd w:val="clear" w:color="auto" w:fill="auto"/>
          </w:tcPr>
          <w:p w14:paraId="7BD37410" w14:textId="77777777" w:rsidR="006E4365" w:rsidRPr="008B37C7" w:rsidRDefault="006E4365" w:rsidP="00F76AA9">
            <w:pPr>
              <w:jc w:val="left"/>
              <w:rPr>
                <w:rFonts w:cs="Arial"/>
                <w:sz w:val="16"/>
                <w:szCs w:val="16"/>
                <w:lang w:val="de-DE"/>
              </w:rPr>
            </w:pPr>
            <w:r w:rsidRPr="008B37C7">
              <w:rPr>
                <w:rFonts w:cs="Arial"/>
                <w:sz w:val="16"/>
                <w:szCs w:val="16"/>
                <w:lang w:val="de-DE"/>
              </w:rPr>
              <w:t>Ukraine</w:t>
            </w:r>
          </w:p>
        </w:tc>
        <w:tc>
          <w:tcPr>
            <w:tcW w:w="450" w:type="dxa"/>
            <w:tcBorders>
              <w:top w:val="nil"/>
              <w:left w:val="single" w:sz="4" w:space="0" w:color="auto"/>
              <w:bottom w:val="single" w:sz="4" w:space="0" w:color="auto"/>
              <w:right w:val="single" w:sz="4" w:space="0" w:color="auto"/>
            </w:tcBorders>
            <w:shd w:val="clear" w:color="auto" w:fill="auto"/>
            <w:vAlign w:val="bottom"/>
          </w:tcPr>
          <w:p w14:paraId="7A189614" w14:textId="77777777" w:rsidR="006E4365" w:rsidRPr="008B37C7" w:rsidRDefault="006E4365" w:rsidP="00F76AA9">
            <w:pPr>
              <w:jc w:val="center"/>
              <w:rPr>
                <w:rFonts w:cs="Arial"/>
                <w:sz w:val="16"/>
                <w:szCs w:val="16"/>
                <w:lang w:val="de-DE"/>
              </w:rPr>
            </w:pPr>
            <w:r w:rsidRPr="008B37C7">
              <w:rPr>
                <w:rFonts w:cs="Arial"/>
                <w:sz w:val="16"/>
                <w:szCs w:val="16"/>
                <w:lang w:val="de-DE"/>
              </w:rPr>
              <w:t>UA</w:t>
            </w:r>
          </w:p>
        </w:tc>
        <w:tc>
          <w:tcPr>
            <w:tcW w:w="1350" w:type="dxa"/>
            <w:tcBorders>
              <w:top w:val="nil"/>
              <w:left w:val="single" w:sz="4" w:space="0" w:color="auto"/>
              <w:bottom w:val="single" w:sz="4" w:space="0" w:color="auto"/>
              <w:right w:val="single" w:sz="4" w:space="0" w:color="auto"/>
            </w:tcBorders>
            <w:shd w:val="clear" w:color="auto" w:fill="auto"/>
            <w:vAlign w:val="center"/>
          </w:tcPr>
          <w:p w14:paraId="1C426F62" w14:textId="5C2FFED1"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w:t>
            </w:r>
            <w:r w:rsidR="008B37C7">
              <w:rPr>
                <w:rFonts w:cs="Arial"/>
                <w:color w:val="000000"/>
                <w:sz w:val="16"/>
                <w:szCs w:val="16"/>
                <w:lang w:val="de-DE"/>
              </w:rPr>
              <w:t xml:space="preserve"> </w:t>
            </w:r>
            <w:r w:rsidRPr="008B37C7">
              <w:rPr>
                <w:rFonts w:cs="Arial"/>
                <w:color w:val="000000"/>
                <w:sz w:val="16"/>
                <w:szCs w:val="16"/>
                <w:lang w:val="de-DE"/>
              </w:rPr>
              <w:t>238</w:t>
            </w:r>
          </w:p>
        </w:tc>
        <w:tc>
          <w:tcPr>
            <w:tcW w:w="720" w:type="dxa"/>
            <w:tcBorders>
              <w:top w:val="nil"/>
              <w:left w:val="nil"/>
              <w:bottom w:val="single" w:sz="4" w:space="0" w:color="auto"/>
              <w:right w:val="single" w:sz="4" w:space="0" w:color="auto"/>
            </w:tcBorders>
            <w:shd w:val="clear" w:color="auto" w:fill="auto"/>
            <w:vAlign w:val="center"/>
          </w:tcPr>
          <w:p w14:paraId="3BB7CEA8"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157FC48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000000" w:fill="FFFFFF"/>
            <w:vAlign w:val="center"/>
          </w:tcPr>
          <w:p w14:paraId="61A2F2B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c>
          <w:tcPr>
            <w:tcW w:w="720" w:type="dxa"/>
            <w:tcBorders>
              <w:top w:val="nil"/>
              <w:left w:val="nil"/>
              <w:bottom w:val="single" w:sz="4" w:space="0" w:color="auto"/>
              <w:right w:val="single" w:sz="4" w:space="0" w:color="auto"/>
            </w:tcBorders>
            <w:shd w:val="clear" w:color="auto" w:fill="auto"/>
            <w:vAlign w:val="center"/>
          </w:tcPr>
          <w:p w14:paraId="43462C80"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c>
          <w:tcPr>
            <w:tcW w:w="810" w:type="dxa"/>
            <w:tcBorders>
              <w:top w:val="nil"/>
              <w:left w:val="nil"/>
              <w:bottom w:val="single" w:sz="4" w:space="0" w:color="auto"/>
              <w:right w:val="single" w:sz="4" w:space="0" w:color="auto"/>
            </w:tcBorders>
            <w:shd w:val="clear" w:color="auto" w:fill="auto"/>
            <w:vAlign w:val="center"/>
          </w:tcPr>
          <w:p w14:paraId="7625F20E"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28C3EED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3</w:t>
            </w:r>
          </w:p>
        </w:tc>
      </w:tr>
      <w:tr w:rsidR="006E4365" w:rsidRPr="008B37C7" w14:paraId="6F720151" w14:textId="77777777" w:rsidTr="006E4365">
        <w:trPr>
          <w:cantSplit/>
        </w:trPr>
        <w:tc>
          <w:tcPr>
            <w:tcW w:w="2245" w:type="dxa"/>
            <w:shd w:val="clear" w:color="auto" w:fill="auto"/>
          </w:tcPr>
          <w:p w14:paraId="5B4D9790" w14:textId="3F2B15C9" w:rsidR="006E4365" w:rsidRPr="008B37C7" w:rsidRDefault="00D838B2" w:rsidP="00F76AA9">
            <w:pPr>
              <w:jc w:val="left"/>
              <w:rPr>
                <w:rFonts w:cs="Arial"/>
                <w:sz w:val="16"/>
                <w:szCs w:val="16"/>
                <w:lang w:val="de-DE"/>
              </w:rPr>
            </w:pPr>
            <w:r w:rsidRPr="008B37C7">
              <w:rPr>
                <w:sz w:val="16"/>
                <w:lang w:val="de-DE"/>
              </w:rPr>
              <w:t>Vereinigtes Königreich</w:t>
            </w:r>
          </w:p>
        </w:tc>
        <w:tc>
          <w:tcPr>
            <w:tcW w:w="450" w:type="dxa"/>
            <w:tcBorders>
              <w:top w:val="nil"/>
              <w:left w:val="single" w:sz="4" w:space="0" w:color="auto"/>
              <w:bottom w:val="single" w:sz="4" w:space="0" w:color="auto"/>
              <w:right w:val="single" w:sz="4" w:space="0" w:color="auto"/>
            </w:tcBorders>
            <w:shd w:val="clear" w:color="auto" w:fill="auto"/>
            <w:vAlign w:val="bottom"/>
          </w:tcPr>
          <w:p w14:paraId="4ABC689F" w14:textId="77777777" w:rsidR="006E4365" w:rsidRPr="008B37C7" w:rsidRDefault="006E4365" w:rsidP="00F76AA9">
            <w:pPr>
              <w:jc w:val="center"/>
              <w:rPr>
                <w:rFonts w:cs="Arial"/>
                <w:sz w:val="16"/>
                <w:szCs w:val="16"/>
                <w:lang w:val="de-DE"/>
              </w:rPr>
            </w:pPr>
            <w:r w:rsidRPr="008B37C7">
              <w:rPr>
                <w:rFonts w:cs="Arial"/>
                <w:sz w:val="16"/>
                <w:szCs w:val="16"/>
                <w:lang w:val="de-DE"/>
              </w:rPr>
              <w:t>GB</w:t>
            </w:r>
          </w:p>
        </w:tc>
        <w:tc>
          <w:tcPr>
            <w:tcW w:w="1350" w:type="dxa"/>
            <w:tcBorders>
              <w:top w:val="nil"/>
              <w:left w:val="single" w:sz="4" w:space="0" w:color="auto"/>
              <w:bottom w:val="single" w:sz="4" w:space="0" w:color="auto"/>
              <w:right w:val="single" w:sz="4" w:space="0" w:color="auto"/>
            </w:tcBorders>
            <w:shd w:val="clear" w:color="000000" w:fill="BFBFBF"/>
            <w:vAlign w:val="center"/>
          </w:tcPr>
          <w:p w14:paraId="39067886"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187</w:t>
            </w:r>
          </w:p>
        </w:tc>
        <w:tc>
          <w:tcPr>
            <w:tcW w:w="720" w:type="dxa"/>
            <w:tcBorders>
              <w:top w:val="nil"/>
              <w:left w:val="nil"/>
              <w:bottom w:val="single" w:sz="4" w:space="0" w:color="auto"/>
              <w:right w:val="single" w:sz="4" w:space="0" w:color="auto"/>
            </w:tcBorders>
            <w:shd w:val="clear" w:color="000000" w:fill="BFBFBF"/>
            <w:vAlign w:val="center"/>
          </w:tcPr>
          <w:p w14:paraId="484A8193"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13</w:t>
            </w:r>
          </w:p>
        </w:tc>
        <w:tc>
          <w:tcPr>
            <w:tcW w:w="630" w:type="dxa"/>
            <w:tcBorders>
              <w:top w:val="nil"/>
              <w:left w:val="nil"/>
              <w:bottom w:val="single" w:sz="4" w:space="0" w:color="auto"/>
              <w:right w:val="single" w:sz="4" w:space="0" w:color="auto"/>
            </w:tcBorders>
            <w:shd w:val="clear" w:color="000000" w:fill="BFBFBF"/>
            <w:vAlign w:val="center"/>
          </w:tcPr>
          <w:p w14:paraId="6D59B68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10</w:t>
            </w:r>
          </w:p>
        </w:tc>
        <w:tc>
          <w:tcPr>
            <w:tcW w:w="720" w:type="dxa"/>
            <w:tcBorders>
              <w:top w:val="nil"/>
              <w:left w:val="nil"/>
              <w:bottom w:val="single" w:sz="4" w:space="0" w:color="auto"/>
              <w:right w:val="single" w:sz="4" w:space="0" w:color="auto"/>
            </w:tcBorders>
            <w:shd w:val="clear" w:color="000000" w:fill="BFBFBF"/>
            <w:vAlign w:val="center"/>
          </w:tcPr>
          <w:p w14:paraId="25BC0F85"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12</w:t>
            </w:r>
          </w:p>
        </w:tc>
        <w:tc>
          <w:tcPr>
            <w:tcW w:w="720" w:type="dxa"/>
            <w:tcBorders>
              <w:top w:val="nil"/>
              <w:left w:val="nil"/>
              <w:bottom w:val="single" w:sz="4" w:space="0" w:color="auto"/>
              <w:right w:val="single" w:sz="4" w:space="0" w:color="auto"/>
            </w:tcBorders>
            <w:shd w:val="clear" w:color="000000" w:fill="BFBFBF"/>
            <w:vAlign w:val="center"/>
          </w:tcPr>
          <w:p w14:paraId="3AAC16E4"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8</w:t>
            </w:r>
          </w:p>
        </w:tc>
        <w:tc>
          <w:tcPr>
            <w:tcW w:w="810" w:type="dxa"/>
            <w:tcBorders>
              <w:top w:val="nil"/>
              <w:left w:val="nil"/>
              <w:bottom w:val="single" w:sz="4" w:space="0" w:color="auto"/>
              <w:right w:val="single" w:sz="4" w:space="0" w:color="auto"/>
            </w:tcBorders>
            <w:shd w:val="clear" w:color="000000" w:fill="BFBFBF"/>
            <w:vAlign w:val="center"/>
          </w:tcPr>
          <w:p w14:paraId="76F6FDCB"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8</w:t>
            </w:r>
          </w:p>
        </w:tc>
        <w:tc>
          <w:tcPr>
            <w:tcW w:w="1620" w:type="dxa"/>
            <w:tcBorders>
              <w:top w:val="nil"/>
              <w:left w:val="nil"/>
              <w:bottom w:val="single" w:sz="4" w:space="0" w:color="auto"/>
              <w:right w:val="single" w:sz="4" w:space="0" w:color="auto"/>
            </w:tcBorders>
            <w:shd w:val="clear" w:color="auto" w:fill="auto"/>
            <w:vAlign w:val="center"/>
          </w:tcPr>
          <w:p w14:paraId="7C735432" w14:textId="77777777" w:rsidR="006E4365" w:rsidRPr="008B37C7" w:rsidRDefault="006E4365" w:rsidP="00F76AA9">
            <w:pPr>
              <w:jc w:val="center"/>
              <w:rPr>
                <w:rFonts w:cs="Arial"/>
                <w:color w:val="000000"/>
                <w:sz w:val="16"/>
                <w:szCs w:val="16"/>
                <w:lang w:val="de-DE"/>
              </w:rPr>
            </w:pPr>
            <w:r w:rsidRPr="008B37C7">
              <w:rPr>
                <w:rFonts w:cs="Arial"/>
                <w:color w:val="000000"/>
                <w:sz w:val="16"/>
                <w:szCs w:val="16"/>
                <w:lang w:val="de-DE"/>
              </w:rPr>
              <w:t>5</w:t>
            </w:r>
          </w:p>
        </w:tc>
      </w:tr>
      <w:tr w:rsidR="008B37C7" w:rsidRPr="008B37C7" w14:paraId="7BDF5193" w14:textId="77777777" w:rsidTr="006E4365">
        <w:trPr>
          <w:cantSplit/>
        </w:trPr>
        <w:tc>
          <w:tcPr>
            <w:tcW w:w="2245" w:type="dxa"/>
            <w:shd w:val="clear" w:color="auto" w:fill="auto"/>
          </w:tcPr>
          <w:p w14:paraId="03A963B6" w14:textId="41D82471" w:rsidR="008B37C7" w:rsidRPr="008B37C7" w:rsidRDefault="008B37C7" w:rsidP="00F76AA9">
            <w:pPr>
              <w:jc w:val="left"/>
              <w:rPr>
                <w:rFonts w:cs="Arial"/>
                <w:sz w:val="16"/>
                <w:szCs w:val="16"/>
                <w:lang w:val="de-DE" w:eastAsia="ja-JP"/>
              </w:rPr>
            </w:pPr>
            <w:r w:rsidRPr="00E2384E">
              <w:rPr>
                <w:sz w:val="16"/>
                <w:lang w:val="de-DE"/>
              </w:rPr>
              <w:t>Vereinigte Republik Tansania</w:t>
            </w:r>
          </w:p>
        </w:tc>
        <w:tc>
          <w:tcPr>
            <w:tcW w:w="450" w:type="dxa"/>
            <w:tcBorders>
              <w:top w:val="nil"/>
              <w:left w:val="single" w:sz="4" w:space="0" w:color="auto"/>
              <w:bottom w:val="single" w:sz="4" w:space="0" w:color="auto"/>
              <w:right w:val="single" w:sz="4" w:space="0" w:color="auto"/>
            </w:tcBorders>
            <w:shd w:val="clear" w:color="auto" w:fill="auto"/>
            <w:vAlign w:val="bottom"/>
          </w:tcPr>
          <w:p w14:paraId="1462E428" w14:textId="77777777" w:rsidR="008B37C7" w:rsidRPr="008B37C7" w:rsidRDefault="008B37C7" w:rsidP="00F76AA9">
            <w:pPr>
              <w:jc w:val="center"/>
              <w:rPr>
                <w:rFonts w:cs="Arial"/>
                <w:sz w:val="16"/>
                <w:szCs w:val="16"/>
                <w:lang w:val="de-DE"/>
              </w:rPr>
            </w:pPr>
            <w:r w:rsidRPr="008B37C7">
              <w:rPr>
                <w:rFonts w:cs="Arial"/>
                <w:sz w:val="16"/>
                <w:szCs w:val="16"/>
                <w:lang w:val="de-DE"/>
              </w:rPr>
              <w:t>TZ</w:t>
            </w:r>
          </w:p>
        </w:tc>
        <w:tc>
          <w:tcPr>
            <w:tcW w:w="1350" w:type="dxa"/>
            <w:tcBorders>
              <w:top w:val="nil"/>
              <w:left w:val="single" w:sz="4" w:space="0" w:color="auto"/>
              <w:bottom w:val="single" w:sz="4" w:space="0" w:color="auto"/>
              <w:right w:val="single" w:sz="4" w:space="0" w:color="auto"/>
            </w:tcBorders>
            <w:shd w:val="clear" w:color="auto" w:fill="auto"/>
            <w:vAlign w:val="center"/>
          </w:tcPr>
          <w:p w14:paraId="30D79E5C"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10</w:t>
            </w:r>
          </w:p>
        </w:tc>
        <w:tc>
          <w:tcPr>
            <w:tcW w:w="720" w:type="dxa"/>
            <w:tcBorders>
              <w:top w:val="nil"/>
              <w:left w:val="nil"/>
              <w:bottom w:val="single" w:sz="4" w:space="0" w:color="auto"/>
              <w:right w:val="single" w:sz="4" w:space="0" w:color="auto"/>
            </w:tcBorders>
            <w:shd w:val="clear" w:color="auto" w:fill="auto"/>
            <w:vAlign w:val="center"/>
          </w:tcPr>
          <w:p w14:paraId="5AE3025E"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51DEACE9"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669C3B89"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12A4EF42"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5C7B6D73"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0622B0A5"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0</w:t>
            </w:r>
          </w:p>
        </w:tc>
      </w:tr>
      <w:tr w:rsidR="008B37C7" w:rsidRPr="008B37C7" w14:paraId="73C71D9F" w14:textId="77777777" w:rsidTr="006E4365">
        <w:trPr>
          <w:cantSplit/>
        </w:trPr>
        <w:tc>
          <w:tcPr>
            <w:tcW w:w="2245" w:type="dxa"/>
            <w:shd w:val="clear" w:color="auto" w:fill="auto"/>
          </w:tcPr>
          <w:p w14:paraId="414977FA" w14:textId="735CEFE1" w:rsidR="008B37C7" w:rsidRPr="008B37C7" w:rsidRDefault="008B37C7" w:rsidP="00F76AA9">
            <w:pPr>
              <w:jc w:val="left"/>
              <w:rPr>
                <w:rFonts w:cs="Arial"/>
                <w:sz w:val="16"/>
                <w:szCs w:val="16"/>
                <w:lang w:val="de-DE" w:eastAsia="ja-JP"/>
              </w:rPr>
            </w:pPr>
            <w:r w:rsidRPr="00E2384E">
              <w:rPr>
                <w:sz w:val="16"/>
                <w:lang w:val="de-DE"/>
              </w:rPr>
              <w:t>Vereinigte Staaten von Amerika</w:t>
            </w:r>
          </w:p>
        </w:tc>
        <w:tc>
          <w:tcPr>
            <w:tcW w:w="450" w:type="dxa"/>
            <w:tcBorders>
              <w:top w:val="nil"/>
              <w:left w:val="single" w:sz="4" w:space="0" w:color="auto"/>
              <w:bottom w:val="single" w:sz="4" w:space="0" w:color="auto"/>
              <w:right w:val="single" w:sz="4" w:space="0" w:color="auto"/>
            </w:tcBorders>
            <w:shd w:val="clear" w:color="auto" w:fill="auto"/>
            <w:vAlign w:val="bottom"/>
          </w:tcPr>
          <w:p w14:paraId="3A8C8A29" w14:textId="77777777" w:rsidR="008B37C7" w:rsidRPr="008B37C7" w:rsidRDefault="008B37C7" w:rsidP="00F76AA9">
            <w:pPr>
              <w:jc w:val="center"/>
              <w:rPr>
                <w:rFonts w:cs="Arial"/>
                <w:sz w:val="16"/>
                <w:szCs w:val="16"/>
                <w:lang w:val="de-DE"/>
              </w:rPr>
            </w:pPr>
            <w:r w:rsidRPr="008B37C7">
              <w:rPr>
                <w:rFonts w:cs="Arial"/>
                <w:sz w:val="16"/>
                <w:szCs w:val="16"/>
                <w:lang w:val="de-DE"/>
              </w:rPr>
              <w:t>US</w:t>
            </w:r>
          </w:p>
        </w:tc>
        <w:tc>
          <w:tcPr>
            <w:tcW w:w="1350" w:type="dxa"/>
            <w:tcBorders>
              <w:top w:val="nil"/>
              <w:left w:val="single" w:sz="4" w:space="0" w:color="auto"/>
              <w:bottom w:val="single" w:sz="4" w:space="0" w:color="auto"/>
              <w:right w:val="single" w:sz="4" w:space="0" w:color="auto"/>
            </w:tcBorders>
            <w:shd w:val="clear" w:color="auto" w:fill="auto"/>
            <w:vAlign w:val="center"/>
          </w:tcPr>
          <w:p w14:paraId="3C9D26A7" w14:textId="7809B74C"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1</w:t>
            </w:r>
            <w:r>
              <w:rPr>
                <w:rFonts w:cs="Arial"/>
                <w:color w:val="000000"/>
                <w:sz w:val="16"/>
                <w:szCs w:val="16"/>
                <w:lang w:val="de-DE"/>
              </w:rPr>
              <w:t xml:space="preserve"> </w:t>
            </w:r>
            <w:r w:rsidRPr="008B37C7">
              <w:rPr>
                <w:rFonts w:cs="Arial"/>
                <w:color w:val="000000"/>
                <w:sz w:val="16"/>
                <w:szCs w:val="16"/>
                <w:lang w:val="de-DE"/>
              </w:rPr>
              <w:t>590</w:t>
            </w:r>
          </w:p>
        </w:tc>
        <w:tc>
          <w:tcPr>
            <w:tcW w:w="720" w:type="dxa"/>
            <w:tcBorders>
              <w:top w:val="nil"/>
              <w:left w:val="nil"/>
              <w:bottom w:val="single" w:sz="4" w:space="0" w:color="auto"/>
              <w:right w:val="single" w:sz="4" w:space="0" w:color="auto"/>
            </w:tcBorders>
            <w:shd w:val="clear" w:color="auto" w:fill="auto"/>
            <w:vAlign w:val="center"/>
          </w:tcPr>
          <w:p w14:paraId="73E0B3C0"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16</w:t>
            </w:r>
          </w:p>
        </w:tc>
        <w:tc>
          <w:tcPr>
            <w:tcW w:w="630" w:type="dxa"/>
            <w:tcBorders>
              <w:top w:val="nil"/>
              <w:left w:val="nil"/>
              <w:bottom w:val="single" w:sz="4" w:space="0" w:color="auto"/>
              <w:right w:val="single" w:sz="4" w:space="0" w:color="auto"/>
            </w:tcBorders>
            <w:shd w:val="clear" w:color="auto" w:fill="auto"/>
            <w:vAlign w:val="center"/>
          </w:tcPr>
          <w:p w14:paraId="0E5CB9D9"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12</w:t>
            </w:r>
          </w:p>
        </w:tc>
        <w:tc>
          <w:tcPr>
            <w:tcW w:w="720" w:type="dxa"/>
            <w:tcBorders>
              <w:top w:val="nil"/>
              <w:left w:val="nil"/>
              <w:bottom w:val="single" w:sz="4" w:space="0" w:color="auto"/>
              <w:right w:val="single" w:sz="4" w:space="0" w:color="auto"/>
            </w:tcBorders>
            <w:shd w:val="clear" w:color="000000" w:fill="FFFFFF"/>
            <w:vAlign w:val="center"/>
          </w:tcPr>
          <w:p w14:paraId="16527F4B"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12</w:t>
            </w:r>
          </w:p>
        </w:tc>
        <w:tc>
          <w:tcPr>
            <w:tcW w:w="720" w:type="dxa"/>
            <w:tcBorders>
              <w:top w:val="nil"/>
              <w:left w:val="nil"/>
              <w:bottom w:val="single" w:sz="4" w:space="0" w:color="auto"/>
              <w:right w:val="single" w:sz="4" w:space="0" w:color="auto"/>
            </w:tcBorders>
            <w:shd w:val="clear" w:color="auto" w:fill="auto"/>
            <w:vAlign w:val="center"/>
          </w:tcPr>
          <w:p w14:paraId="75EA2254"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12</w:t>
            </w:r>
          </w:p>
        </w:tc>
        <w:tc>
          <w:tcPr>
            <w:tcW w:w="810" w:type="dxa"/>
            <w:tcBorders>
              <w:top w:val="nil"/>
              <w:left w:val="nil"/>
              <w:bottom w:val="single" w:sz="4" w:space="0" w:color="auto"/>
              <w:right w:val="single" w:sz="4" w:space="0" w:color="auto"/>
            </w:tcBorders>
            <w:shd w:val="clear" w:color="auto" w:fill="auto"/>
            <w:vAlign w:val="center"/>
          </w:tcPr>
          <w:p w14:paraId="3233F8A9"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10</w:t>
            </w:r>
          </w:p>
        </w:tc>
        <w:tc>
          <w:tcPr>
            <w:tcW w:w="1620" w:type="dxa"/>
            <w:tcBorders>
              <w:top w:val="nil"/>
              <w:left w:val="nil"/>
              <w:bottom w:val="single" w:sz="4" w:space="0" w:color="auto"/>
              <w:right w:val="single" w:sz="4" w:space="0" w:color="auto"/>
            </w:tcBorders>
            <w:shd w:val="clear" w:color="auto" w:fill="auto"/>
            <w:vAlign w:val="center"/>
          </w:tcPr>
          <w:p w14:paraId="0ED746E3"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4</w:t>
            </w:r>
          </w:p>
        </w:tc>
      </w:tr>
      <w:tr w:rsidR="008B37C7" w:rsidRPr="008B37C7" w14:paraId="3FB06C1C" w14:textId="77777777" w:rsidTr="006E4365">
        <w:trPr>
          <w:cantSplit/>
        </w:trPr>
        <w:tc>
          <w:tcPr>
            <w:tcW w:w="2245" w:type="dxa"/>
            <w:tcBorders>
              <w:bottom w:val="single" w:sz="4" w:space="0" w:color="auto"/>
            </w:tcBorders>
            <w:shd w:val="clear" w:color="auto" w:fill="auto"/>
          </w:tcPr>
          <w:p w14:paraId="38C84E94" w14:textId="77777777" w:rsidR="008B37C7" w:rsidRPr="008B37C7" w:rsidRDefault="008B37C7" w:rsidP="00F76AA9">
            <w:pPr>
              <w:jc w:val="left"/>
              <w:rPr>
                <w:rFonts w:cs="Arial"/>
                <w:sz w:val="16"/>
                <w:szCs w:val="16"/>
                <w:lang w:val="de-DE"/>
              </w:rPr>
            </w:pPr>
            <w:r w:rsidRPr="008B37C7">
              <w:rPr>
                <w:rFonts w:cs="Arial"/>
                <w:sz w:val="16"/>
                <w:szCs w:val="16"/>
                <w:lang w:val="de-DE"/>
              </w:rPr>
              <w:t>Uruguay</w:t>
            </w:r>
          </w:p>
        </w:tc>
        <w:tc>
          <w:tcPr>
            <w:tcW w:w="450" w:type="dxa"/>
            <w:tcBorders>
              <w:top w:val="nil"/>
              <w:left w:val="single" w:sz="4" w:space="0" w:color="auto"/>
              <w:bottom w:val="single" w:sz="4" w:space="0" w:color="auto"/>
              <w:right w:val="single" w:sz="4" w:space="0" w:color="auto"/>
            </w:tcBorders>
            <w:shd w:val="clear" w:color="auto" w:fill="auto"/>
            <w:vAlign w:val="bottom"/>
          </w:tcPr>
          <w:p w14:paraId="777B5A4E" w14:textId="77777777" w:rsidR="008B37C7" w:rsidRPr="008B37C7" w:rsidRDefault="008B37C7" w:rsidP="00F76AA9">
            <w:pPr>
              <w:jc w:val="center"/>
              <w:rPr>
                <w:rFonts w:cs="Arial"/>
                <w:sz w:val="16"/>
                <w:szCs w:val="16"/>
                <w:lang w:val="de-DE"/>
              </w:rPr>
            </w:pPr>
            <w:r w:rsidRPr="008B37C7">
              <w:rPr>
                <w:rFonts w:cs="Arial"/>
                <w:sz w:val="16"/>
                <w:szCs w:val="16"/>
                <w:lang w:val="de-DE"/>
              </w:rPr>
              <w:t>UY</w:t>
            </w:r>
          </w:p>
        </w:tc>
        <w:tc>
          <w:tcPr>
            <w:tcW w:w="1350" w:type="dxa"/>
            <w:tcBorders>
              <w:top w:val="nil"/>
              <w:left w:val="single" w:sz="4" w:space="0" w:color="auto"/>
              <w:bottom w:val="single" w:sz="4" w:space="0" w:color="auto"/>
              <w:right w:val="single" w:sz="4" w:space="0" w:color="auto"/>
            </w:tcBorders>
            <w:shd w:val="clear" w:color="auto" w:fill="auto"/>
            <w:vAlign w:val="center"/>
          </w:tcPr>
          <w:p w14:paraId="52445AAC"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68</w:t>
            </w:r>
          </w:p>
        </w:tc>
        <w:tc>
          <w:tcPr>
            <w:tcW w:w="720" w:type="dxa"/>
            <w:tcBorders>
              <w:top w:val="nil"/>
              <w:left w:val="nil"/>
              <w:bottom w:val="single" w:sz="4" w:space="0" w:color="auto"/>
              <w:right w:val="single" w:sz="4" w:space="0" w:color="auto"/>
            </w:tcBorders>
            <w:shd w:val="clear" w:color="auto" w:fill="auto"/>
            <w:vAlign w:val="center"/>
          </w:tcPr>
          <w:p w14:paraId="23574789"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66601E72"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000000" w:fill="FFFFFF"/>
            <w:vAlign w:val="center"/>
          </w:tcPr>
          <w:p w14:paraId="107CE6CA"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22AE9206"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1E24C454"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1</w:t>
            </w:r>
          </w:p>
        </w:tc>
        <w:tc>
          <w:tcPr>
            <w:tcW w:w="1620" w:type="dxa"/>
            <w:tcBorders>
              <w:top w:val="nil"/>
              <w:left w:val="nil"/>
              <w:bottom w:val="single" w:sz="4" w:space="0" w:color="auto"/>
              <w:right w:val="single" w:sz="4" w:space="0" w:color="auto"/>
            </w:tcBorders>
            <w:shd w:val="clear" w:color="auto" w:fill="auto"/>
            <w:vAlign w:val="center"/>
          </w:tcPr>
          <w:p w14:paraId="038C7D52"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1</w:t>
            </w:r>
          </w:p>
        </w:tc>
      </w:tr>
      <w:tr w:rsidR="008B37C7" w:rsidRPr="008B37C7" w14:paraId="7E2A53DE" w14:textId="77777777" w:rsidTr="006E4365">
        <w:trPr>
          <w:cantSplit/>
        </w:trPr>
        <w:tc>
          <w:tcPr>
            <w:tcW w:w="2245" w:type="dxa"/>
            <w:tcBorders>
              <w:bottom w:val="single" w:sz="4" w:space="0" w:color="auto"/>
            </w:tcBorders>
            <w:shd w:val="clear" w:color="auto" w:fill="auto"/>
          </w:tcPr>
          <w:p w14:paraId="6E304649" w14:textId="51C16760" w:rsidR="008B37C7" w:rsidRPr="008B37C7" w:rsidRDefault="008B37C7" w:rsidP="00F76AA9">
            <w:pPr>
              <w:jc w:val="left"/>
              <w:rPr>
                <w:rFonts w:cs="Arial"/>
                <w:sz w:val="16"/>
                <w:szCs w:val="16"/>
                <w:lang w:val="de-DE"/>
              </w:rPr>
            </w:pPr>
            <w:r>
              <w:rPr>
                <w:rFonts w:cs="Arial"/>
                <w:sz w:val="16"/>
                <w:szCs w:val="16"/>
                <w:lang w:val="de-DE"/>
              </w:rPr>
              <w:t>Us</w:t>
            </w:r>
            <w:r w:rsidRPr="008B37C7">
              <w:rPr>
                <w:rFonts w:cs="Arial"/>
                <w:sz w:val="16"/>
                <w:szCs w:val="16"/>
                <w:lang w:val="de-DE"/>
              </w:rPr>
              <w:t>bekistan</w:t>
            </w:r>
          </w:p>
        </w:tc>
        <w:tc>
          <w:tcPr>
            <w:tcW w:w="450" w:type="dxa"/>
            <w:tcBorders>
              <w:top w:val="nil"/>
              <w:left w:val="single" w:sz="4" w:space="0" w:color="auto"/>
              <w:bottom w:val="single" w:sz="4" w:space="0" w:color="auto"/>
              <w:right w:val="single" w:sz="4" w:space="0" w:color="auto"/>
            </w:tcBorders>
            <w:shd w:val="clear" w:color="auto" w:fill="auto"/>
            <w:vAlign w:val="bottom"/>
          </w:tcPr>
          <w:p w14:paraId="4D054FBC" w14:textId="77777777" w:rsidR="008B37C7" w:rsidRPr="008B37C7" w:rsidRDefault="008B37C7" w:rsidP="00F76AA9">
            <w:pPr>
              <w:jc w:val="center"/>
              <w:rPr>
                <w:rFonts w:cs="Arial"/>
                <w:sz w:val="16"/>
                <w:szCs w:val="16"/>
                <w:lang w:val="de-DE"/>
              </w:rPr>
            </w:pPr>
            <w:r w:rsidRPr="008B37C7">
              <w:rPr>
                <w:rFonts w:cs="Arial"/>
                <w:sz w:val="16"/>
                <w:szCs w:val="16"/>
                <w:lang w:val="de-DE"/>
              </w:rPr>
              <w:t>UZ</w:t>
            </w:r>
          </w:p>
        </w:tc>
        <w:tc>
          <w:tcPr>
            <w:tcW w:w="1350" w:type="dxa"/>
            <w:tcBorders>
              <w:top w:val="nil"/>
              <w:left w:val="single" w:sz="4" w:space="0" w:color="auto"/>
              <w:bottom w:val="single" w:sz="4" w:space="0" w:color="auto"/>
              <w:right w:val="single" w:sz="4" w:space="0" w:color="auto"/>
            </w:tcBorders>
            <w:shd w:val="clear" w:color="auto" w:fill="auto"/>
            <w:vAlign w:val="center"/>
          </w:tcPr>
          <w:p w14:paraId="5FD0CAD1"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77</w:t>
            </w:r>
          </w:p>
        </w:tc>
        <w:tc>
          <w:tcPr>
            <w:tcW w:w="720" w:type="dxa"/>
            <w:tcBorders>
              <w:top w:val="nil"/>
              <w:left w:val="nil"/>
              <w:bottom w:val="single" w:sz="4" w:space="0" w:color="auto"/>
              <w:right w:val="single" w:sz="4" w:space="0" w:color="auto"/>
            </w:tcBorders>
            <w:shd w:val="clear" w:color="auto" w:fill="auto"/>
            <w:vAlign w:val="center"/>
          </w:tcPr>
          <w:p w14:paraId="6801A6DD"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226B5E8E"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000000" w:fill="FFFFFF"/>
            <w:vAlign w:val="center"/>
          </w:tcPr>
          <w:p w14:paraId="0C172124"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1</w:t>
            </w:r>
          </w:p>
        </w:tc>
        <w:tc>
          <w:tcPr>
            <w:tcW w:w="720" w:type="dxa"/>
            <w:tcBorders>
              <w:top w:val="nil"/>
              <w:left w:val="nil"/>
              <w:bottom w:val="single" w:sz="4" w:space="0" w:color="auto"/>
              <w:right w:val="single" w:sz="4" w:space="0" w:color="auto"/>
            </w:tcBorders>
            <w:shd w:val="clear" w:color="auto" w:fill="auto"/>
            <w:vAlign w:val="center"/>
          </w:tcPr>
          <w:p w14:paraId="6E5F145A"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509CBC54"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27F1B144"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0</w:t>
            </w:r>
          </w:p>
        </w:tc>
      </w:tr>
      <w:tr w:rsidR="008B37C7" w:rsidRPr="008B37C7" w14:paraId="04914341" w14:textId="77777777" w:rsidTr="006E4365">
        <w:trPr>
          <w:cantSplit/>
        </w:trPr>
        <w:tc>
          <w:tcPr>
            <w:tcW w:w="2245" w:type="dxa"/>
            <w:shd w:val="clear" w:color="auto" w:fill="auto"/>
          </w:tcPr>
          <w:p w14:paraId="38E06781" w14:textId="7D1A0F05" w:rsidR="008B37C7" w:rsidRPr="008B37C7" w:rsidRDefault="008B37C7" w:rsidP="00F76AA9">
            <w:pPr>
              <w:jc w:val="left"/>
              <w:rPr>
                <w:rFonts w:cs="Arial"/>
                <w:sz w:val="16"/>
                <w:szCs w:val="16"/>
                <w:lang w:val="de-DE"/>
              </w:rPr>
            </w:pPr>
            <w:r>
              <w:rPr>
                <w:rFonts w:cs="Arial"/>
                <w:sz w:val="16"/>
                <w:szCs w:val="16"/>
                <w:lang w:val="de-DE"/>
              </w:rPr>
              <w:t>Vietn</w:t>
            </w:r>
            <w:r w:rsidRPr="008B37C7">
              <w:rPr>
                <w:rFonts w:cs="Arial"/>
                <w:sz w:val="16"/>
                <w:szCs w:val="16"/>
                <w:lang w:val="de-DE"/>
              </w:rPr>
              <w:t>am</w:t>
            </w:r>
          </w:p>
        </w:tc>
        <w:tc>
          <w:tcPr>
            <w:tcW w:w="450" w:type="dxa"/>
            <w:tcBorders>
              <w:top w:val="nil"/>
              <w:left w:val="single" w:sz="4" w:space="0" w:color="auto"/>
              <w:bottom w:val="single" w:sz="4" w:space="0" w:color="auto"/>
              <w:right w:val="single" w:sz="4" w:space="0" w:color="auto"/>
            </w:tcBorders>
            <w:shd w:val="clear" w:color="auto" w:fill="auto"/>
            <w:vAlign w:val="bottom"/>
          </w:tcPr>
          <w:p w14:paraId="13EFA372" w14:textId="77777777" w:rsidR="008B37C7" w:rsidRPr="008B37C7" w:rsidRDefault="008B37C7" w:rsidP="00F76AA9">
            <w:pPr>
              <w:jc w:val="center"/>
              <w:rPr>
                <w:rFonts w:cs="Arial"/>
                <w:sz w:val="16"/>
                <w:szCs w:val="16"/>
                <w:lang w:val="de-DE"/>
              </w:rPr>
            </w:pPr>
            <w:r w:rsidRPr="008B37C7">
              <w:rPr>
                <w:rFonts w:cs="Arial"/>
                <w:sz w:val="16"/>
                <w:szCs w:val="16"/>
                <w:lang w:val="de-DE"/>
              </w:rPr>
              <w:t>VN</w:t>
            </w:r>
          </w:p>
        </w:tc>
        <w:tc>
          <w:tcPr>
            <w:tcW w:w="1350" w:type="dxa"/>
            <w:tcBorders>
              <w:top w:val="nil"/>
              <w:left w:val="single" w:sz="4" w:space="0" w:color="auto"/>
              <w:bottom w:val="single" w:sz="4" w:space="0" w:color="auto"/>
              <w:right w:val="single" w:sz="4" w:space="0" w:color="auto"/>
            </w:tcBorders>
            <w:shd w:val="clear" w:color="auto" w:fill="auto"/>
            <w:vAlign w:val="center"/>
          </w:tcPr>
          <w:p w14:paraId="6B5E0F3F"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194</w:t>
            </w:r>
          </w:p>
        </w:tc>
        <w:tc>
          <w:tcPr>
            <w:tcW w:w="720" w:type="dxa"/>
            <w:tcBorders>
              <w:top w:val="nil"/>
              <w:left w:val="nil"/>
              <w:bottom w:val="single" w:sz="4" w:space="0" w:color="auto"/>
              <w:right w:val="single" w:sz="4" w:space="0" w:color="auto"/>
            </w:tcBorders>
            <w:shd w:val="clear" w:color="auto" w:fill="auto"/>
            <w:vAlign w:val="center"/>
          </w:tcPr>
          <w:p w14:paraId="127BE4FE"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0</w:t>
            </w:r>
          </w:p>
        </w:tc>
        <w:tc>
          <w:tcPr>
            <w:tcW w:w="630" w:type="dxa"/>
            <w:tcBorders>
              <w:top w:val="nil"/>
              <w:left w:val="nil"/>
              <w:bottom w:val="single" w:sz="4" w:space="0" w:color="auto"/>
              <w:right w:val="single" w:sz="4" w:space="0" w:color="auto"/>
            </w:tcBorders>
            <w:shd w:val="clear" w:color="auto" w:fill="auto"/>
            <w:vAlign w:val="center"/>
          </w:tcPr>
          <w:p w14:paraId="360C968D"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1BF8747E"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0</w:t>
            </w:r>
          </w:p>
        </w:tc>
        <w:tc>
          <w:tcPr>
            <w:tcW w:w="720" w:type="dxa"/>
            <w:tcBorders>
              <w:top w:val="nil"/>
              <w:left w:val="nil"/>
              <w:bottom w:val="single" w:sz="4" w:space="0" w:color="auto"/>
              <w:right w:val="single" w:sz="4" w:space="0" w:color="auto"/>
            </w:tcBorders>
            <w:shd w:val="clear" w:color="auto" w:fill="auto"/>
            <w:vAlign w:val="center"/>
          </w:tcPr>
          <w:p w14:paraId="2599D460"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0</w:t>
            </w:r>
          </w:p>
        </w:tc>
        <w:tc>
          <w:tcPr>
            <w:tcW w:w="810" w:type="dxa"/>
            <w:tcBorders>
              <w:top w:val="nil"/>
              <w:left w:val="nil"/>
              <w:bottom w:val="single" w:sz="4" w:space="0" w:color="auto"/>
              <w:right w:val="single" w:sz="4" w:space="0" w:color="auto"/>
            </w:tcBorders>
            <w:shd w:val="clear" w:color="auto" w:fill="auto"/>
            <w:vAlign w:val="center"/>
          </w:tcPr>
          <w:p w14:paraId="19752F1C"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0</w:t>
            </w:r>
          </w:p>
        </w:tc>
        <w:tc>
          <w:tcPr>
            <w:tcW w:w="1620" w:type="dxa"/>
            <w:tcBorders>
              <w:top w:val="nil"/>
              <w:left w:val="nil"/>
              <w:bottom w:val="single" w:sz="4" w:space="0" w:color="auto"/>
              <w:right w:val="single" w:sz="4" w:space="0" w:color="auto"/>
            </w:tcBorders>
            <w:shd w:val="clear" w:color="auto" w:fill="auto"/>
            <w:vAlign w:val="center"/>
          </w:tcPr>
          <w:p w14:paraId="3F9CFC8B"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0</w:t>
            </w:r>
          </w:p>
        </w:tc>
      </w:tr>
      <w:tr w:rsidR="008B37C7" w:rsidRPr="008B37C7" w14:paraId="6C8239D7" w14:textId="77777777" w:rsidTr="006E4365">
        <w:trPr>
          <w:cantSplit/>
        </w:trPr>
        <w:tc>
          <w:tcPr>
            <w:tcW w:w="2245" w:type="dxa"/>
            <w:shd w:val="clear" w:color="auto" w:fill="auto"/>
          </w:tcPr>
          <w:p w14:paraId="53CDD786" w14:textId="77777777" w:rsidR="008B37C7" w:rsidRPr="008B37C7" w:rsidRDefault="008B37C7" w:rsidP="00F76AA9">
            <w:pPr>
              <w:jc w:val="left"/>
              <w:rPr>
                <w:rFonts w:cs="Arial"/>
                <w:sz w:val="16"/>
                <w:szCs w:val="16"/>
                <w:lang w:val="de-DE"/>
              </w:rPr>
            </w:pPr>
            <w:r w:rsidRPr="008B37C7">
              <w:rPr>
                <w:rFonts w:cs="Arial"/>
                <w:sz w:val="16"/>
                <w:szCs w:val="16"/>
                <w:lang w:val="de-DE"/>
              </w:rPr>
              <w:t>OECD</w:t>
            </w:r>
          </w:p>
        </w:tc>
        <w:tc>
          <w:tcPr>
            <w:tcW w:w="450" w:type="dxa"/>
            <w:tcBorders>
              <w:top w:val="nil"/>
              <w:left w:val="single" w:sz="4" w:space="0" w:color="auto"/>
              <w:bottom w:val="single" w:sz="4" w:space="0" w:color="auto"/>
              <w:right w:val="single" w:sz="4" w:space="0" w:color="auto"/>
            </w:tcBorders>
            <w:shd w:val="clear" w:color="auto" w:fill="auto"/>
            <w:vAlign w:val="bottom"/>
          </w:tcPr>
          <w:p w14:paraId="1AD21164" w14:textId="77777777" w:rsidR="008B37C7" w:rsidRPr="008B37C7" w:rsidRDefault="008B37C7" w:rsidP="00F76AA9">
            <w:pPr>
              <w:jc w:val="center"/>
              <w:rPr>
                <w:rFonts w:cs="Arial"/>
                <w:sz w:val="16"/>
                <w:szCs w:val="16"/>
                <w:lang w:val="de-DE"/>
              </w:rPr>
            </w:pPr>
            <w:r w:rsidRPr="008B37C7">
              <w:rPr>
                <w:rFonts w:cs="Arial"/>
                <w:sz w:val="16"/>
                <w:szCs w:val="16"/>
                <w:lang w:val="de-DE"/>
              </w:rPr>
              <w:t>QM</w:t>
            </w:r>
          </w:p>
        </w:tc>
        <w:tc>
          <w:tcPr>
            <w:tcW w:w="1350" w:type="dxa"/>
            <w:tcBorders>
              <w:top w:val="nil"/>
              <w:left w:val="single" w:sz="4" w:space="0" w:color="auto"/>
              <w:bottom w:val="single" w:sz="4" w:space="0" w:color="auto"/>
              <w:right w:val="single" w:sz="4" w:space="0" w:color="auto"/>
            </w:tcBorders>
            <w:shd w:val="clear" w:color="000000" w:fill="FFFFFF"/>
            <w:vAlign w:val="center"/>
          </w:tcPr>
          <w:p w14:paraId="07F1D76A"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w:t>
            </w:r>
          </w:p>
        </w:tc>
        <w:tc>
          <w:tcPr>
            <w:tcW w:w="720" w:type="dxa"/>
            <w:tcBorders>
              <w:top w:val="nil"/>
              <w:left w:val="nil"/>
              <w:bottom w:val="single" w:sz="4" w:space="0" w:color="auto"/>
              <w:right w:val="single" w:sz="4" w:space="0" w:color="auto"/>
            </w:tcBorders>
            <w:shd w:val="clear" w:color="auto" w:fill="auto"/>
            <w:vAlign w:val="center"/>
          </w:tcPr>
          <w:p w14:paraId="63E1A5D1"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2</w:t>
            </w:r>
          </w:p>
        </w:tc>
        <w:tc>
          <w:tcPr>
            <w:tcW w:w="630" w:type="dxa"/>
            <w:tcBorders>
              <w:top w:val="nil"/>
              <w:left w:val="nil"/>
              <w:bottom w:val="single" w:sz="4" w:space="0" w:color="auto"/>
              <w:right w:val="single" w:sz="4" w:space="0" w:color="auto"/>
            </w:tcBorders>
            <w:shd w:val="clear" w:color="auto" w:fill="auto"/>
            <w:vAlign w:val="center"/>
          </w:tcPr>
          <w:p w14:paraId="62A3387D"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2</w:t>
            </w:r>
          </w:p>
        </w:tc>
        <w:tc>
          <w:tcPr>
            <w:tcW w:w="720" w:type="dxa"/>
            <w:tcBorders>
              <w:top w:val="nil"/>
              <w:left w:val="nil"/>
              <w:bottom w:val="single" w:sz="4" w:space="0" w:color="auto"/>
              <w:right w:val="single" w:sz="4" w:space="0" w:color="auto"/>
            </w:tcBorders>
            <w:shd w:val="clear" w:color="auto" w:fill="auto"/>
            <w:vAlign w:val="center"/>
          </w:tcPr>
          <w:p w14:paraId="2ABAED07"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2</w:t>
            </w:r>
          </w:p>
        </w:tc>
        <w:tc>
          <w:tcPr>
            <w:tcW w:w="720" w:type="dxa"/>
            <w:tcBorders>
              <w:top w:val="nil"/>
              <w:left w:val="nil"/>
              <w:bottom w:val="single" w:sz="4" w:space="0" w:color="auto"/>
              <w:right w:val="single" w:sz="4" w:space="0" w:color="auto"/>
            </w:tcBorders>
            <w:shd w:val="clear" w:color="auto" w:fill="auto"/>
            <w:vAlign w:val="center"/>
          </w:tcPr>
          <w:p w14:paraId="6023E24F"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2</w:t>
            </w:r>
          </w:p>
        </w:tc>
        <w:tc>
          <w:tcPr>
            <w:tcW w:w="810" w:type="dxa"/>
            <w:tcBorders>
              <w:top w:val="nil"/>
              <w:left w:val="nil"/>
              <w:bottom w:val="single" w:sz="4" w:space="0" w:color="auto"/>
              <w:right w:val="single" w:sz="4" w:space="0" w:color="auto"/>
            </w:tcBorders>
            <w:shd w:val="clear" w:color="auto" w:fill="auto"/>
            <w:vAlign w:val="center"/>
          </w:tcPr>
          <w:p w14:paraId="5BADD673"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2</w:t>
            </w:r>
          </w:p>
        </w:tc>
        <w:tc>
          <w:tcPr>
            <w:tcW w:w="1620" w:type="dxa"/>
            <w:tcBorders>
              <w:top w:val="nil"/>
              <w:left w:val="nil"/>
              <w:bottom w:val="single" w:sz="4" w:space="0" w:color="auto"/>
              <w:right w:val="single" w:sz="4" w:space="0" w:color="auto"/>
            </w:tcBorders>
            <w:shd w:val="clear" w:color="auto" w:fill="auto"/>
            <w:vAlign w:val="center"/>
          </w:tcPr>
          <w:p w14:paraId="3708ED3E" w14:textId="77777777" w:rsidR="008B37C7" w:rsidRPr="008B37C7" w:rsidRDefault="008B37C7" w:rsidP="00F76AA9">
            <w:pPr>
              <w:jc w:val="center"/>
              <w:rPr>
                <w:rFonts w:cs="Arial"/>
                <w:color w:val="000000"/>
                <w:sz w:val="16"/>
                <w:szCs w:val="16"/>
                <w:lang w:val="de-DE"/>
              </w:rPr>
            </w:pPr>
            <w:r w:rsidRPr="008B37C7">
              <w:rPr>
                <w:rFonts w:cs="Arial"/>
                <w:color w:val="000000"/>
                <w:sz w:val="16"/>
                <w:szCs w:val="16"/>
                <w:lang w:val="de-DE"/>
              </w:rPr>
              <w:t>1</w:t>
            </w:r>
          </w:p>
        </w:tc>
      </w:tr>
      <w:tr w:rsidR="008B37C7" w:rsidRPr="008B37C7" w14:paraId="0448D32C" w14:textId="77777777" w:rsidTr="006E4365">
        <w:trPr>
          <w:cantSplit/>
        </w:trPr>
        <w:tc>
          <w:tcPr>
            <w:tcW w:w="2245" w:type="dxa"/>
            <w:shd w:val="clear" w:color="auto" w:fill="auto"/>
          </w:tcPr>
          <w:p w14:paraId="5AF1D089" w14:textId="338A2445" w:rsidR="008B37C7" w:rsidRPr="008B37C7" w:rsidRDefault="008B37C7" w:rsidP="00F76AA9">
            <w:pPr>
              <w:jc w:val="left"/>
              <w:rPr>
                <w:rStyle w:val="FootnoteReference"/>
                <w:rFonts w:cs="Arial"/>
                <w:b/>
                <w:sz w:val="16"/>
                <w:szCs w:val="16"/>
                <w:lang w:val="de-DE"/>
              </w:rPr>
            </w:pPr>
            <w:r>
              <w:rPr>
                <w:rFonts w:cs="Arial"/>
                <w:b/>
                <w:sz w:val="16"/>
                <w:szCs w:val="16"/>
                <w:lang w:val="de-DE"/>
              </w:rPr>
              <w:t>Gesamt</w:t>
            </w:r>
          </w:p>
        </w:tc>
        <w:tc>
          <w:tcPr>
            <w:tcW w:w="450" w:type="dxa"/>
          </w:tcPr>
          <w:p w14:paraId="09D9F31C" w14:textId="77777777" w:rsidR="008B37C7" w:rsidRPr="008B37C7" w:rsidRDefault="008B37C7" w:rsidP="00F76AA9">
            <w:pPr>
              <w:ind w:right="284"/>
              <w:jc w:val="right"/>
              <w:rPr>
                <w:rFonts w:cs="Arial"/>
                <w:b/>
                <w:sz w:val="16"/>
                <w:szCs w:val="16"/>
                <w:lang w:val="de-DE"/>
              </w:rPr>
            </w:pPr>
          </w:p>
        </w:tc>
        <w:tc>
          <w:tcPr>
            <w:tcW w:w="1350" w:type="dxa"/>
            <w:tcBorders>
              <w:top w:val="nil"/>
              <w:left w:val="single" w:sz="4" w:space="0" w:color="auto"/>
              <w:bottom w:val="single" w:sz="4" w:space="0" w:color="auto"/>
              <w:right w:val="single" w:sz="4" w:space="0" w:color="auto"/>
            </w:tcBorders>
            <w:shd w:val="clear" w:color="auto" w:fill="auto"/>
            <w:vAlign w:val="center"/>
          </w:tcPr>
          <w:p w14:paraId="09503CC3" w14:textId="7AADCA4D" w:rsidR="008B37C7" w:rsidRPr="008B37C7" w:rsidRDefault="008B37C7" w:rsidP="00F76AA9">
            <w:pPr>
              <w:jc w:val="center"/>
              <w:rPr>
                <w:rFonts w:cs="Arial"/>
                <w:b/>
                <w:bCs/>
                <w:color w:val="000000"/>
                <w:sz w:val="16"/>
                <w:szCs w:val="16"/>
                <w:lang w:val="de-DE"/>
              </w:rPr>
            </w:pPr>
            <w:r w:rsidRPr="008B37C7">
              <w:rPr>
                <w:rFonts w:cs="Arial"/>
                <w:b/>
                <w:bCs/>
                <w:color w:val="000000"/>
                <w:sz w:val="16"/>
                <w:szCs w:val="16"/>
                <w:lang w:val="de-DE"/>
              </w:rPr>
              <w:t>21</w:t>
            </w:r>
            <w:r>
              <w:rPr>
                <w:rFonts w:cs="Arial"/>
                <w:b/>
                <w:bCs/>
                <w:color w:val="000000"/>
                <w:sz w:val="16"/>
                <w:szCs w:val="16"/>
                <w:lang w:val="de-DE"/>
              </w:rPr>
              <w:t xml:space="preserve"> </w:t>
            </w:r>
            <w:r w:rsidRPr="008B37C7">
              <w:rPr>
                <w:rFonts w:cs="Arial"/>
                <w:b/>
                <w:bCs/>
                <w:color w:val="000000"/>
                <w:sz w:val="16"/>
                <w:szCs w:val="16"/>
                <w:lang w:val="de-DE"/>
              </w:rPr>
              <w:t>265</w:t>
            </w:r>
          </w:p>
        </w:tc>
        <w:tc>
          <w:tcPr>
            <w:tcW w:w="720" w:type="dxa"/>
            <w:tcBorders>
              <w:top w:val="nil"/>
              <w:left w:val="nil"/>
              <w:bottom w:val="single" w:sz="4" w:space="0" w:color="auto"/>
              <w:right w:val="single" w:sz="4" w:space="0" w:color="auto"/>
            </w:tcBorders>
            <w:shd w:val="clear" w:color="auto" w:fill="auto"/>
            <w:vAlign w:val="center"/>
          </w:tcPr>
          <w:p w14:paraId="6637B22B" w14:textId="77777777" w:rsidR="008B37C7" w:rsidRPr="008B37C7" w:rsidRDefault="008B37C7" w:rsidP="00F76AA9">
            <w:pPr>
              <w:jc w:val="center"/>
              <w:rPr>
                <w:rFonts w:cs="Arial"/>
                <w:b/>
                <w:bCs/>
                <w:color w:val="000000"/>
                <w:sz w:val="16"/>
                <w:szCs w:val="16"/>
                <w:lang w:val="de-DE"/>
              </w:rPr>
            </w:pPr>
            <w:r w:rsidRPr="008B37C7">
              <w:rPr>
                <w:rFonts w:cs="Arial"/>
                <w:b/>
                <w:bCs/>
                <w:color w:val="000000"/>
                <w:sz w:val="16"/>
                <w:szCs w:val="16"/>
                <w:lang w:val="de-DE"/>
              </w:rPr>
              <w:t>255</w:t>
            </w:r>
          </w:p>
        </w:tc>
        <w:tc>
          <w:tcPr>
            <w:tcW w:w="630" w:type="dxa"/>
            <w:tcBorders>
              <w:top w:val="nil"/>
              <w:left w:val="nil"/>
              <w:bottom w:val="single" w:sz="4" w:space="0" w:color="auto"/>
              <w:right w:val="single" w:sz="4" w:space="0" w:color="auto"/>
            </w:tcBorders>
            <w:shd w:val="clear" w:color="auto" w:fill="auto"/>
            <w:vAlign w:val="center"/>
          </w:tcPr>
          <w:p w14:paraId="01BB17B5" w14:textId="77777777" w:rsidR="008B37C7" w:rsidRPr="008B37C7" w:rsidRDefault="008B37C7" w:rsidP="00F76AA9">
            <w:pPr>
              <w:jc w:val="center"/>
              <w:rPr>
                <w:rFonts w:cs="Arial"/>
                <w:b/>
                <w:bCs/>
                <w:color w:val="000000"/>
                <w:sz w:val="16"/>
                <w:szCs w:val="16"/>
                <w:lang w:val="de-DE"/>
              </w:rPr>
            </w:pPr>
            <w:r w:rsidRPr="008B37C7">
              <w:rPr>
                <w:rFonts w:cs="Arial"/>
                <w:b/>
                <w:bCs/>
                <w:color w:val="000000"/>
                <w:sz w:val="16"/>
                <w:szCs w:val="16"/>
                <w:lang w:val="de-DE"/>
              </w:rPr>
              <w:t>222</w:t>
            </w:r>
          </w:p>
        </w:tc>
        <w:tc>
          <w:tcPr>
            <w:tcW w:w="720" w:type="dxa"/>
            <w:tcBorders>
              <w:top w:val="nil"/>
              <w:left w:val="nil"/>
              <w:bottom w:val="single" w:sz="4" w:space="0" w:color="auto"/>
              <w:right w:val="single" w:sz="4" w:space="0" w:color="auto"/>
            </w:tcBorders>
            <w:shd w:val="clear" w:color="auto" w:fill="auto"/>
            <w:vAlign w:val="center"/>
          </w:tcPr>
          <w:p w14:paraId="01892671" w14:textId="77777777" w:rsidR="008B37C7" w:rsidRPr="008B37C7" w:rsidRDefault="008B37C7" w:rsidP="00F76AA9">
            <w:pPr>
              <w:jc w:val="center"/>
              <w:rPr>
                <w:rFonts w:cs="Arial"/>
                <w:b/>
                <w:bCs/>
                <w:color w:val="000000"/>
                <w:sz w:val="16"/>
                <w:szCs w:val="16"/>
                <w:lang w:val="de-DE"/>
              </w:rPr>
            </w:pPr>
            <w:r w:rsidRPr="008B37C7">
              <w:rPr>
                <w:rFonts w:cs="Arial"/>
                <w:b/>
                <w:bCs/>
                <w:color w:val="000000"/>
                <w:sz w:val="16"/>
                <w:szCs w:val="16"/>
                <w:lang w:val="de-DE"/>
              </w:rPr>
              <w:t>247</w:t>
            </w:r>
          </w:p>
        </w:tc>
        <w:tc>
          <w:tcPr>
            <w:tcW w:w="720" w:type="dxa"/>
            <w:tcBorders>
              <w:top w:val="nil"/>
              <w:left w:val="nil"/>
              <w:bottom w:val="single" w:sz="4" w:space="0" w:color="auto"/>
              <w:right w:val="single" w:sz="4" w:space="0" w:color="auto"/>
            </w:tcBorders>
            <w:shd w:val="clear" w:color="auto" w:fill="auto"/>
            <w:vAlign w:val="center"/>
          </w:tcPr>
          <w:p w14:paraId="05946C90" w14:textId="77777777" w:rsidR="008B37C7" w:rsidRPr="008B37C7" w:rsidRDefault="008B37C7" w:rsidP="00F76AA9">
            <w:pPr>
              <w:jc w:val="center"/>
              <w:rPr>
                <w:rFonts w:cs="Arial"/>
                <w:b/>
                <w:bCs/>
                <w:color w:val="000000"/>
                <w:sz w:val="16"/>
                <w:szCs w:val="16"/>
                <w:lang w:val="de-DE"/>
              </w:rPr>
            </w:pPr>
            <w:r w:rsidRPr="008B37C7">
              <w:rPr>
                <w:rFonts w:cs="Arial"/>
                <w:b/>
                <w:bCs/>
                <w:color w:val="000000"/>
                <w:sz w:val="16"/>
                <w:szCs w:val="16"/>
                <w:lang w:val="de-DE"/>
              </w:rPr>
              <w:t>254</w:t>
            </w:r>
          </w:p>
        </w:tc>
        <w:tc>
          <w:tcPr>
            <w:tcW w:w="810" w:type="dxa"/>
            <w:tcBorders>
              <w:top w:val="nil"/>
              <w:left w:val="nil"/>
              <w:bottom w:val="single" w:sz="4" w:space="0" w:color="auto"/>
              <w:right w:val="single" w:sz="4" w:space="0" w:color="auto"/>
            </w:tcBorders>
            <w:shd w:val="clear" w:color="auto" w:fill="auto"/>
            <w:vAlign w:val="center"/>
          </w:tcPr>
          <w:p w14:paraId="2A157A91" w14:textId="77777777" w:rsidR="008B37C7" w:rsidRPr="008B37C7" w:rsidRDefault="008B37C7" w:rsidP="00F76AA9">
            <w:pPr>
              <w:jc w:val="center"/>
              <w:rPr>
                <w:rFonts w:cs="Arial"/>
                <w:b/>
                <w:bCs/>
                <w:color w:val="000000"/>
                <w:sz w:val="16"/>
                <w:szCs w:val="16"/>
                <w:lang w:val="de-DE"/>
              </w:rPr>
            </w:pPr>
            <w:r w:rsidRPr="008B37C7">
              <w:rPr>
                <w:rFonts w:cs="Arial"/>
                <w:b/>
                <w:bCs/>
                <w:color w:val="000000"/>
                <w:sz w:val="16"/>
                <w:szCs w:val="16"/>
                <w:lang w:val="de-DE"/>
              </w:rPr>
              <w:t>249</w:t>
            </w:r>
          </w:p>
        </w:tc>
        <w:tc>
          <w:tcPr>
            <w:tcW w:w="1620" w:type="dxa"/>
            <w:tcBorders>
              <w:top w:val="nil"/>
              <w:left w:val="nil"/>
              <w:bottom w:val="single" w:sz="4" w:space="0" w:color="auto"/>
              <w:right w:val="single" w:sz="4" w:space="0" w:color="auto"/>
            </w:tcBorders>
            <w:shd w:val="clear" w:color="auto" w:fill="auto"/>
            <w:vAlign w:val="center"/>
          </w:tcPr>
          <w:p w14:paraId="150BE47A" w14:textId="77777777" w:rsidR="008B37C7" w:rsidRPr="008B37C7" w:rsidRDefault="008B37C7" w:rsidP="00F76AA9">
            <w:pPr>
              <w:jc w:val="center"/>
              <w:rPr>
                <w:rFonts w:cs="Arial"/>
                <w:b/>
                <w:bCs/>
                <w:color w:val="000000"/>
                <w:sz w:val="16"/>
                <w:szCs w:val="16"/>
                <w:lang w:val="de-DE"/>
              </w:rPr>
            </w:pPr>
            <w:r w:rsidRPr="008B37C7">
              <w:rPr>
                <w:rFonts w:cs="Arial"/>
                <w:b/>
                <w:bCs/>
                <w:color w:val="000000"/>
                <w:sz w:val="16"/>
                <w:szCs w:val="16"/>
                <w:lang w:val="de-DE"/>
              </w:rPr>
              <w:t>180</w:t>
            </w:r>
          </w:p>
        </w:tc>
      </w:tr>
    </w:tbl>
    <w:p w14:paraId="356884CF" w14:textId="77777777" w:rsidR="006E4365" w:rsidRPr="008B37C7" w:rsidRDefault="006E4365" w:rsidP="00F76AA9">
      <w:pPr>
        <w:jc w:val="center"/>
        <w:rPr>
          <w:rFonts w:eastAsiaTheme="minorEastAsia" w:cs="Arial"/>
          <w:lang w:val="de-DE"/>
        </w:rPr>
      </w:pPr>
    </w:p>
    <w:p w14:paraId="38985042" w14:textId="77777777" w:rsidR="00E2384E" w:rsidRPr="008B37C7" w:rsidRDefault="00E2384E" w:rsidP="00F76AA9">
      <w:pPr>
        <w:jc w:val="center"/>
        <w:rPr>
          <w:rFonts w:eastAsiaTheme="minorEastAsia" w:cs="Arial"/>
          <w:lang w:val="de-DE"/>
        </w:rPr>
      </w:pPr>
    </w:p>
    <w:p w14:paraId="52FDB4B7" w14:textId="77777777" w:rsidR="00E2384E" w:rsidRPr="008B37C7" w:rsidRDefault="00E2384E" w:rsidP="00F76AA9">
      <w:pPr>
        <w:rPr>
          <w:lang w:val="de-DE"/>
        </w:rPr>
      </w:pPr>
    </w:p>
    <w:p w14:paraId="6A0AB1E3" w14:textId="77777777" w:rsidR="003C3C72" w:rsidRPr="00C94111" w:rsidRDefault="003C3C72" w:rsidP="00F76AA9">
      <w:pPr>
        <w:jc w:val="left"/>
        <w:rPr>
          <w:rFonts w:eastAsia="SimSun" w:cs="Arial"/>
          <w:lang w:val="de-DE" w:eastAsia="ja-JP"/>
        </w:rPr>
      </w:pPr>
    </w:p>
    <w:p w14:paraId="37573066" w14:textId="77777777" w:rsidR="003C3C72" w:rsidRPr="008B37C7" w:rsidRDefault="00E2384E" w:rsidP="00F76AA9">
      <w:pPr>
        <w:jc w:val="right"/>
        <w:rPr>
          <w:rFonts w:eastAsiaTheme="minorEastAsia"/>
          <w:lang w:val="de-DE"/>
        </w:rPr>
      </w:pPr>
      <w:r w:rsidRPr="008B37C7">
        <w:rPr>
          <w:rFonts w:eastAsia="SimSun" w:cs="Arial"/>
          <w:lang w:val="de-DE" w:eastAsia="ja-JP"/>
        </w:rPr>
        <w:t>[Ende der Anlage II und des Dokuments</w:t>
      </w:r>
      <w:r w:rsidR="003C3C72" w:rsidRPr="008B37C7">
        <w:rPr>
          <w:rFonts w:eastAsia="SimSun" w:cs="Arial"/>
          <w:lang w:val="de-DE" w:eastAsia="ja-JP"/>
        </w:rPr>
        <w:t>]</w:t>
      </w:r>
      <w:r w:rsidRPr="008B37C7">
        <w:rPr>
          <w:rFonts w:eastAsiaTheme="minorEastAsia"/>
          <w:lang w:val="de-DE"/>
        </w:rPr>
        <w:t xml:space="preserve"> </w:t>
      </w:r>
    </w:p>
    <w:sectPr w:rsidR="003C3C72" w:rsidRPr="008B37C7" w:rsidSect="009704C9">
      <w:headerReference w:type="default" r:id="rId23"/>
      <w:headerReference w:type="first" r:id="rId2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F8F8D" w14:textId="77777777" w:rsidR="006E4365" w:rsidRDefault="006E4365" w:rsidP="006655D3">
      <w:r>
        <w:separator/>
      </w:r>
    </w:p>
    <w:p w14:paraId="4902D410" w14:textId="77777777" w:rsidR="006E4365" w:rsidRDefault="006E4365" w:rsidP="006655D3"/>
    <w:p w14:paraId="0C8E3A5D" w14:textId="77777777" w:rsidR="006E4365" w:rsidRDefault="006E4365" w:rsidP="006655D3"/>
  </w:endnote>
  <w:endnote w:type="continuationSeparator" w:id="0">
    <w:p w14:paraId="0BF7AB8E" w14:textId="77777777" w:rsidR="006E4365" w:rsidRDefault="006E4365" w:rsidP="006655D3">
      <w:r>
        <w:separator/>
      </w:r>
    </w:p>
    <w:p w14:paraId="377D2CB8" w14:textId="77777777" w:rsidR="006E4365" w:rsidRPr="00294751" w:rsidRDefault="006E4365">
      <w:pPr>
        <w:pStyle w:val="Footer"/>
        <w:spacing w:after="60"/>
        <w:rPr>
          <w:sz w:val="18"/>
          <w:lang w:val="fr-FR"/>
        </w:rPr>
      </w:pPr>
      <w:r w:rsidRPr="00294751">
        <w:rPr>
          <w:sz w:val="18"/>
          <w:lang w:val="fr-FR"/>
        </w:rPr>
        <w:t>[Suite de la note de la page précédente]</w:t>
      </w:r>
    </w:p>
    <w:p w14:paraId="58296948" w14:textId="77777777" w:rsidR="006E4365" w:rsidRPr="00294751" w:rsidRDefault="006E4365" w:rsidP="006655D3">
      <w:pPr>
        <w:rPr>
          <w:lang w:val="fr-FR"/>
        </w:rPr>
      </w:pPr>
    </w:p>
    <w:p w14:paraId="47B8D236" w14:textId="77777777" w:rsidR="006E4365" w:rsidRPr="00294751" w:rsidRDefault="006E4365" w:rsidP="006655D3">
      <w:pPr>
        <w:rPr>
          <w:lang w:val="fr-FR"/>
        </w:rPr>
      </w:pPr>
    </w:p>
  </w:endnote>
  <w:endnote w:type="continuationNotice" w:id="1">
    <w:p w14:paraId="7F6480A3" w14:textId="77777777" w:rsidR="006E4365" w:rsidRPr="00294751" w:rsidRDefault="006E4365" w:rsidP="006655D3">
      <w:pPr>
        <w:rPr>
          <w:lang w:val="fr-FR"/>
        </w:rPr>
      </w:pPr>
      <w:r w:rsidRPr="00294751">
        <w:rPr>
          <w:lang w:val="fr-FR"/>
        </w:rPr>
        <w:t>[Suite de la note page suivante]</w:t>
      </w:r>
    </w:p>
    <w:p w14:paraId="4DA7E985" w14:textId="77777777" w:rsidR="006E4365" w:rsidRPr="00294751" w:rsidRDefault="006E4365" w:rsidP="006655D3">
      <w:pPr>
        <w:rPr>
          <w:lang w:val="fr-FR"/>
        </w:rPr>
      </w:pPr>
    </w:p>
    <w:p w14:paraId="3DB67A58" w14:textId="77777777" w:rsidR="006E4365" w:rsidRPr="00294751" w:rsidRDefault="006E436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34CF9" w14:textId="77777777" w:rsidR="006E4365" w:rsidRDefault="006E4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B012" w14:textId="77777777" w:rsidR="006E4365" w:rsidRDefault="006E4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D4233" w14:textId="77777777" w:rsidR="006E4365" w:rsidRDefault="006E4365" w:rsidP="006655D3">
      <w:r>
        <w:separator/>
      </w:r>
    </w:p>
  </w:footnote>
  <w:footnote w:type="continuationSeparator" w:id="0">
    <w:p w14:paraId="24AA3627" w14:textId="77777777" w:rsidR="006E4365" w:rsidRDefault="006E4365" w:rsidP="006655D3">
      <w:r>
        <w:separator/>
      </w:r>
    </w:p>
  </w:footnote>
  <w:footnote w:type="continuationNotice" w:id="1">
    <w:p w14:paraId="7419B628" w14:textId="77777777" w:rsidR="006E4365" w:rsidRPr="00AB530F" w:rsidRDefault="006E4365" w:rsidP="00AB530F">
      <w:pPr>
        <w:pStyle w:val="Footer"/>
      </w:pPr>
    </w:p>
  </w:footnote>
  <w:footnote w:id="2">
    <w:p w14:paraId="0ECD7FD0" w14:textId="77777777" w:rsidR="00A17055" w:rsidRDefault="006E4365" w:rsidP="00A17055">
      <w:pPr>
        <w:pStyle w:val="FootnoteText"/>
        <w:spacing w:before="0"/>
        <w:ind w:left="562" w:hanging="562"/>
        <w:rPr>
          <w:lang w:val="de-DE"/>
        </w:rPr>
      </w:pPr>
      <w:r>
        <w:rPr>
          <w:rStyle w:val="FootnoteReference"/>
        </w:rPr>
        <w:footnoteRef/>
      </w:r>
      <w:r w:rsidR="00A17055" w:rsidRPr="00A17055">
        <w:rPr>
          <w:lang w:val="de-DE"/>
        </w:rPr>
        <w:t>Vergleiche Dokumente C/[Tagung]/INF/6 „</w:t>
      </w:r>
      <w:r w:rsidR="00A17055" w:rsidRPr="00A17055">
        <w:rPr>
          <w:i/>
          <w:lang w:val="de-DE"/>
        </w:rPr>
        <w:t>Liste der von den Verbandsmitgliedern geschützten Taxa</w:t>
      </w:r>
      <w:r w:rsidR="00A17055" w:rsidRPr="00A17055">
        <w:rPr>
          <w:lang w:val="de-DE"/>
        </w:rPr>
        <w:t>"  C/[Session]/INF/5</w:t>
      </w:r>
      <w:r w:rsidR="00A17055">
        <w:rPr>
          <w:lang w:val="de-DE"/>
        </w:rPr>
        <w:t xml:space="preserve"> </w:t>
      </w:r>
    </w:p>
    <w:p w14:paraId="184E370D" w14:textId="77777777" w:rsidR="00A17055" w:rsidRDefault="00A17055" w:rsidP="00A17055">
      <w:pPr>
        <w:pStyle w:val="FootnoteText"/>
        <w:spacing w:before="0"/>
        <w:ind w:left="562" w:hanging="562"/>
        <w:rPr>
          <w:i/>
          <w:lang w:val="de-DE"/>
        </w:rPr>
      </w:pPr>
      <w:r w:rsidRPr="00A17055">
        <w:rPr>
          <w:lang w:val="de-DE"/>
        </w:rPr>
        <w:t>„</w:t>
      </w:r>
      <w:r w:rsidRPr="00A17055">
        <w:rPr>
          <w:i/>
          <w:lang w:val="de-DE"/>
        </w:rPr>
        <w:t>Zusammenarbeit bei der Prüfung</w:t>
      </w:r>
      <w:r w:rsidRPr="00A17055">
        <w:rPr>
          <w:lang w:val="de-DE"/>
        </w:rPr>
        <w:t>“;  TC/[Tagung]/INF/4 „</w:t>
      </w:r>
      <w:r w:rsidRPr="00A17055">
        <w:rPr>
          <w:i/>
          <w:lang w:val="de-DE"/>
        </w:rPr>
        <w:t>Liste der Gattungen und Arten, für die die Behörden über praktische Erfahrung</w:t>
      </w:r>
    </w:p>
    <w:p w14:paraId="5A99AEDB" w14:textId="4584F23F" w:rsidR="006E4365" w:rsidRPr="001C2C37" w:rsidRDefault="00A17055" w:rsidP="00A17055">
      <w:pPr>
        <w:pStyle w:val="FootnoteText"/>
        <w:spacing w:before="0"/>
        <w:ind w:left="562" w:hanging="562"/>
        <w:rPr>
          <w:lang w:val="de-DE"/>
        </w:rPr>
      </w:pPr>
      <w:r w:rsidRPr="00A17055">
        <w:rPr>
          <w:i/>
          <w:lang w:val="de-DE"/>
        </w:rPr>
        <w:t>bei der Prüfung der Unterscheidbarkeit, Homogenität und Beständigkeit verfügen</w:t>
      </w:r>
      <w:r w:rsidRPr="00A17055">
        <w:rPr>
          <w:lang w:val="de-DE"/>
        </w:rPr>
        <w:t>“; und TC/[Tagung]/2 „</w:t>
      </w:r>
      <w:r w:rsidRPr="00A17055">
        <w:rPr>
          <w:i/>
          <w:lang w:val="de-DE"/>
        </w:rPr>
        <w:t>Prüfungsrichtlinien</w:t>
      </w:r>
      <w:r w:rsidRPr="00A17055">
        <w:rPr>
          <w:lang w:val="de-DE"/>
        </w:rPr>
        <w:t>“</w:t>
      </w:r>
    </w:p>
  </w:footnote>
  <w:footnote w:id="3">
    <w:p w14:paraId="339131A1" w14:textId="5F103413" w:rsidR="006E4365" w:rsidRPr="001E52CE" w:rsidRDefault="006E4365">
      <w:pPr>
        <w:pStyle w:val="FootnoteText"/>
        <w:rPr>
          <w:lang w:val="de-DE"/>
        </w:rPr>
      </w:pPr>
      <w:r>
        <w:rPr>
          <w:rStyle w:val="FootnoteReference"/>
        </w:rPr>
        <w:footnoteRef/>
      </w:r>
      <w:r w:rsidRPr="001E52CE">
        <w:rPr>
          <w:lang w:val="de-DE"/>
        </w:rPr>
        <w:t xml:space="preserve"> Vom 26. </w:t>
      </w:r>
      <w:r w:rsidRPr="00F812C8">
        <w:rPr>
          <w:lang w:val="de-DE"/>
        </w:rPr>
        <w:t>b</w:t>
      </w:r>
      <w:r w:rsidRPr="001E52CE">
        <w:rPr>
          <w:lang w:val="de-DE"/>
        </w:rPr>
        <w:t xml:space="preserve">is 28. </w:t>
      </w:r>
      <w:r>
        <w:rPr>
          <w:lang w:val="de-DE"/>
        </w:rPr>
        <w:t>März 2012 in Genf abgehalten.</w:t>
      </w:r>
    </w:p>
  </w:footnote>
  <w:footnote w:id="4">
    <w:p w14:paraId="6B48841F" w14:textId="44CAF5C8" w:rsidR="006E4365" w:rsidRPr="001E52CE" w:rsidRDefault="006E4365">
      <w:pPr>
        <w:pStyle w:val="FootnoteText"/>
        <w:rPr>
          <w:lang w:val="de-DE"/>
        </w:rPr>
      </w:pPr>
      <w:r>
        <w:rPr>
          <w:rStyle w:val="FootnoteReference"/>
        </w:rPr>
        <w:footnoteRef/>
      </w:r>
      <w:r w:rsidRPr="001E52CE">
        <w:rPr>
          <w:lang w:val="de-DE"/>
        </w:rPr>
        <w:t xml:space="preserve"> </w:t>
      </w:r>
      <w:r>
        <w:rPr>
          <w:lang w:val="de-DE"/>
        </w:rPr>
        <w:t>Am 29. März 2012 in Genf abgehalten.</w:t>
      </w:r>
    </w:p>
  </w:footnote>
  <w:footnote w:id="5">
    <w:p w14:paraId="349AF46F" w14:textId="7ED5F6CA" w:rsidR="006E4365" w:rsidRPr="001E52CE" w:rsidRDefault="006E4365">
      <w:pPr>
        <w:pStyle w:val="FootnoteText"/>
        <w:rPr>
          <w:lang w:val="de-DE"/>
        </w:rPr>
      </w:pPr>
      <w:r>
        <w:rPr>
          <w:rStyle w:val="FootnoteReference"/>
        </w:rPr>
        <w:footnoteRef/>
      </w:r>
      <w:r w:rsidRPr="001E52CE">
        <w:rPr>
          <w:lang w:val="de-DE"/>
        </w:rPr>
        <w:t xml:space="preserve"> </w:t>
      </w:r>
      <w:r>
        <w:rPr>
          <w:lang w:val="de-DE"/>
        </w:rPr>
        <w:t>Am 26. und 27. Oktober 2020 auf elektronischem Wege abgehalten.</w:t>
      </w:r>
    </w:p>
  </w:footnote>
  <w:footnote w:id="6">
    <w:p w14:paraId="54D5E67E" w14:textId="77777777" w:rsidR="006E4365" w:rsidRPr="00D422BE" w:rsidRDefault="006E4365" w:rsidP="00D422BE">
      <w:pPr>
        <w:pStyle w:val="FootnoteText"/>
        <w:rPr>
          <w:lang w:val="de-DE"/>
        </w:rPr>
      </w:pPr>
      <w:r>
        <w:rPr>
          <w:rStyle w:val="FootnoteReference"/>
        </w:rPr>
        <w:footnoteRef/>
      </w:r>
      <w:r w:rsidRPr="00D422BE">
        <w:rPr>
          <w:lang w:val="de-DE"/>
        </w:rPr>
        <w:tab/>
        <w:t>Der Beratende Ausschuss billigte auf seiner sechsundsiebzigsten Tagung am 29. Oktober 2008 in Genf eine Vereinbarung zwischen der UPOV und der Weltorganisation für geistiges Eigentum (WIPO) bezüglich der UPOV-Datenbank für Pflanzensorten (UPOV-WIPO-Vereinbarung) wie folgt:</w:t>
      </w:r>
    </w:p>
    <w:p w14:paraId="2CF84EEF" w14:textId="77777777" w:rsidR="006E4365" w:rsidRPr="00D422BE" w:rsidRDefault="006E4365" w:rsidP="00D422BE">
      <w:pPr>
        <w:pStyle w:val="FootnoteText"/>
        <w:rPr>
          <w:lang w:val="de-DE"/>
        </w:rPr>
      </w:pPr>
      <w:r w:rsidRPr="00D422BE">
        <w:rPr>
          <w:lang w:val="de-DE"/>
        </w:rPr>
        <w:t>„a)</w:t>
      </w:r>
      <w:r w:rsidRPr="00D422BE">
        <w:rPr>
          <w:lang w:val="de-DE"/>
        </w:rPr>
        <w:tab/>
        <w:t xml:space="preserve">Die WIPO soll die Datenerfassung für die UPOV-ROM übernehmen und die erforderliche Unterstützung zur Durchführung des Programms für Verbesserungen leisten, die insbesondere Optionen für den Eingang von Daten in verschiedenen Formaten und die Unterstützung bei der Zuordnung von UPOV-Codes an alle Einträge beinhaltet (vergleiche Dokumente CAJ/57/6, Absätze 3 und 8 und TC/44/6, Absätze 12 und 17). Zudem soll die WIPO die Entwicklung einer webbasierten Version der UPOV-ROM-Datenbank für Pflanzensorten und die Vorkehrungen zur Herstellung von CD-ROM-Versionen dieser Datenbank übernehmen und die erforderliche technische Unterstützung bezüglich der Entwicklung einer gemeinsamen Suchplattform leisten (vergleiche Dokument CAJ/57/6, Absätze 18 bis 21 und TC/44/6, Absätze 27 bis 30). </w:t>
      </w:r>
    </w:p>
    <w:p w14:paraId="4CF8F486" w14:textId="77777777" w:rsidR="006E4365" w:rsidRPr="00D422BE" w:rsidRDefault="006E4365" w:rsidP="00D422BE">
      <w:pPr>
        <w:pStyle w:val="FootnoteText"/>
        <w:rPr>
          <w:u w:val="single"/>
          <w:lang w:val="de-DE"/>
        </w:rPr>
      </w:pPr>
      <w:r w:rsidRPr="00D422BE">
        <w:rPr>
          <w:lang w:val="de-DE"/>
        </w:rPr>
        <w:t>„b)</w:t>
      </w:r>
      <w:r w:rsidRPr="00D422BE">
        <w:rPr>
          <w:lang w:val="de-DE"/>
        </w:rPr>
        <w:tab/>
        <w:t>Die UPOV soll zustimmen, dass Daten in der UPOV-ROM-Datenbank für Pflanzensorten in den Suchdienst der WIPO, Patentscope®, aufgenommen werden können. Werden Daten von anderen Parteien als Verbandsmitgliedern eingereicht (z. B. von der Organisation für wirtschaftliche Zusammenarbeit und Entwicklung, OECD), wäre die Genehmigung zur Nutzung der Daten im WIPO-Suchdienst Patentscope® Sache der betreffenden Parteien.“</w:t>
      </w:r>
    </w:p>
  </w:footnote>
  <w:footnote w:id="7">
    <w:p w14:paraId="05C9A062" w14:textId="77777777" w:rsidR="006E4365" w:rsidRPr="00962B5A" w:rsidRDefault="006E4365" w:rsidP="00962B5A">
      <w:pPr>
        <w:pStyle w:val="FootnoteText"/>
        <w:rPr>
          <w:lang w:val="de-DE"/>
        </w:rPr>
      </w:pPr>
      <w:r>
        <w:rPr>
          <w:rStyle w:val="FootnoteReference"/>
        </w:rPr>
        <w:footnoteRef/>
      </w:r>
      <w:r w:rsidRPr="00962B5A">
        <w:rPr>
          <w:lang w:val="de-DE"/>
        </w:rPr>
        <w:tab/>
        <w:t>Der Beratende Ausschuss billigte auf seiner sechsundsiebzigsten Tagung am 29. Oktober 2008 in Genf eine Vereinbarung zwischen der UPOV und der Weltorganisation für geistiges Eigentum (WIPO) bezüglich der UPOV‑Datenbank für Pflanzensorten (UPOV-WIPO-Vereinbarung) wie folgt:</w:t>
      </w:r>
    </w:p>
    <w:p w14:paraId="231A9211" w14:textId="77777777" w:rsidR="006E4365" w:rsidRPr="00962B5A" w:rsidRDefault="006E4365" w:rsidP="00962B5A">
      <w:pPr>
        <w:pStyle w:val="FootnoteText"/>
        <w:rPr>
          <w:lang w:val="de-DE"/>
        </w:rPr>
      </w:pPr>
      <w:r w:rsidRPr="00962B5A">
        <w:rPr>
          <w:lang w:val="de-DE"/>
        </w:rPr>
        <w:t>„a)</w:t>
      </w:r>
      <w:r w:rsidRPr="00962B5A">
        <w:rPr>
          <w:lang w:val="de-DE"/>
        </w:rPr>
        <w:tab/>
        <w:t xml:space="preserve">Die WIPO soll die Datenerfassung für die UPOV-ROM übernehmen und die erforderliche Unterstützung zur Durchführung des Programms für Verbesserungen leisten, die insbesondere Optionen für den Eingang von Daten in verschiedenen Formaten und die Unterstützung bei der Zuordnung von UPOV-Codes an alle Einträge beinhaltet (vergleiche Dokumente CAJ/57/6, Absätze 3 und 8 und TC/44/6, Absätze 12 und 17). Zudem soll die WIPO die Entwicklung einer webbasierten Version der UPOV-ROM-Datenbank für Pflanzensorten und die Vorkehrungen zur Herstellung von CD-ROM-Versionen dieser Datenbank übernehmen und die erforderliche technische Unterstützung bezüglich der Entwicklung einer gemeinsamen Suchplattform leisten (vergleiche Dokument CAJ/57/6, Absätze 18 bis 21 und TC/44/6, Absätze 27 bis 30).   </w:t>
      </w:r>
    </w:p>
    <w:p w14:paraId="4D624E12" w14:textId="77777777" w:rsidR="006E4365" w:rsidRPr="00962B5A" w:rsidRDefault="006E4365" w:rsidP="00962B5A">
      <w:pPr>
        <w:pStyle w:val="FootnoteText"/>
        <w:rPr>
          <w:u w:val="single"/>
          <w:lang w:val="de-DE"/>
        </w:rPr>
      </w:pPr>
      <w:r w:rsidRPr="00962B5A">
        <w:rPr>
          <w:lang w:val="de-DE"/>
        </w:rPr>
        <w:t>„b)</w:t>
      </w:r>
      <w:r w:rsidRPr="00962B5A">
        <w:rPr>
          <w:lang w:val="de-DE"/>
        </w:rPr>
        <w:tab/>
        <w:t xml:space="preserve">Die UPOV soll zustimmen, dass Daten in der UPOV-ROM-Datenbank für Pflanzensorten in den Suchdienst der WIPO, Patentscope®, aufgenommen werden können.  Werden Daten von anderen Parteien als Verbandsmitgliedern eingereicht (z. B. von der Organisation für wirtschaftliche Zusammenarbeit und Entwicklung, OECD), wäre die Genehmigung zur Nutzung der Daten im WIPO-Suchdienst Patentscope® Sache der betreffenden Parteien.“ </w:t>
      </w:r>
    </w:p>
  </w:footnote>
  <w:footnote w:id="8">
    <w:p w14:paraId="78D9F0F5" w14:textId="15810360" w:rsidR="006E4365" w:rsidRPr="001E52CE" w:rsidRDefault="006E4365" w:rsidP="006E4365">
      <w:pPr>
        <w:pStyle w:val="FootnoteText"/>
        <w:rPr>
          <w:lang w:val="de-DE"/>
        </w:rPr>
      </w:pPr>
      <w:r w:rsidRPr="001E52CE">
        <w:rPr>
          <w:rStyle w:val="FootnoteReference"/>
          <w:lang w:val="de-DE"/>
        </w:rPr>
        <w:footnoteRef/>
      </w:r>
      <w:r w:rsidRPr="001E52CE">
        <w:rPr>
          <w:lang w:val="de-DE"/>
        </w:rPr>
        <w:tab/>
      </w:r>
      <w:r w:rsidR="008B37C7" w:rsidRPr="001E52CE">
        <w:rPr>
          <w:lang w:val="de-DE"/>
        </w:rPr>
        <w:t xml:space="preserve">Vergleiche Document </w:t>
      </w:r>
      <w:r w:rsidRPr="001E52CE">
        <w:rPr>
          <w:lang w:val="de-DE"/>
        </w:rPr>
        <w:t>C/54/INF/7</w:t>
      </w:r>
    </w:p>
    <w:p w14:paraId="5BFDED20" w14:textId="08056661" w:rsidR="006E4365" w:rsidRPr="00A1708F" w:rsidRDefault="00A1708F" w:rsidP="006E4365">
      <w:pPr>
        <w:pStyle w:val="FootnoteText"/>
        <w:rPr>
          <w:lang w:val="de-DE"/>
        </w:rPr>
      </w:pPr>
      <w:r w:rsidRPr="00A1708F">
        <w:rPr>
          <w:highlight w:val="lightGray"/>
          <w:lang w:val="de-DE"/>
        </w:rPr>
        <w:t xml:space="preserve">In Grau hervorgehoben </w:t>
      </w:r>
      <w:r>
        <w:rPr>
          <w:highlight w:val="lightGray"/>
          <w:lang w:val="de-DE"/>
        </w:rPr>
        <w:t>zeigt</w:t>
      </w:r>
      <w:r w:rsidRPr="00A1708F">
        <w:rPr>
          <w:highlight w:val="lightGray"/>
          <w:lang w:val="de-DE"/>
        </w:rPr>
        <w:t xml:space="preserve"> über das CPVO übermittelte Daten an</w:t>
      </w:r>
      <w:r w:rsidR="006E4365" w:rsidRPr="00A1708F">
        <w:rPr>
          <w:highlight w:val="lightGray"/>
          <w:lang w:val="de-DE"/>
        </w:rPr>
        <w:t>.</w:t>
      </w:r>
    </w:p>
    <w:p w14:paraId="377EC3DC" w14:textId="77777777" w:rsidR="006E4365" w:rsidRPr="00A1708F" w:rsidRDefault="006E4365" w:rsidP="006E4365">
      <w:pPr>
        <w:pStyle w:val="Footnote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7960A" w14:textId="1EA039BE" w:rsidR="006E4365" w:rsidRDefault="006E4365">
    <w:pPr>
      <w:pStyle w:val="Header"/>
      <w:rPr>
        <w:lang w:val="en-US"/>
      </w:rPr>
    </w:pPr>
    <w:r>
      <w:rPr>
        <w:lang w:val="en-US"/>
      </w:rPr>
      <w:t>TC/5</w:t>
    </w:r>
    <w:r w:rsidR="008D66CC">
      <w:rPr>
        <w:lang w:val="en-US"/>
      </w:rPr>
      <w:t>7</w:t>
    </w:r>
    <w:r>
      <w:rPr>
        <w:lang w:val="en-US"/>
      </w:rPr>
      <w:t>/INF/3</w:t>
    </w:r>
  </w:p>
  <w:p w14:paraId="2C73C112" w14:textId="61E8EB84" w:rsidR="006E4365" w:rsidRDefault="006E4365">
    <w:pPr>
      <w:pStyle w:val="Header"/>
      <w:rPr>
        <w:rStyle w:val="PageNumber"/>
        <w:lang w:val="en-US"/>
      </w:rPr>
    </w:pPr>
    <w:r>
      <w:rPr>
        <w:lang w:val="en-US"/>
      </w:rPr>
      <w:t xml:space="preserve">Seite </w:t>
    </w:r>
    <w:r w:rsidRPr="00C5280D">
      <w:rPr>
        <w:rStyle w:val="PageNumber"/>
        <w:lang w:val="en-US"/>
      </w:rPr>
      <w:fldChar w:fldCharType="begin"/>
    </w:r>
    <w:r w:rsidRPr="007273D4">
      <w:rPr>
        <w:rStyle w:val="PageNumber"/>
        <w:lang w:val="fr-CH"/>
      </w:rPr>
      <w:instrText xml:space="preserve"> PAGE </w:instrText>
    </w:r>
    <w:r w:rsidRPr="00C5280D">
      <w:rPr>
        <w:rStyle w:val="PageNumber"/>
        <w:lang w:val="en-US"/>
      </w:rPr>
      <w:fldChar w:fldCharType="separate"/>
    </w:r>
    <w:r w:rsidR="008D66CC">
      <w:rPr>
        <w:rStyle w:val="PageNumber"/>
        <w:noProof/>
        <w:lang w:val="fr-CH"/>
      </w:rPr>
      <w:t>2</w:t>
    </w:r>
    <w:r w:rsidRPr="00C5280D">
      <w:rPr>
        <w:rStyle w:val="PageNumber"/>
        <w:lang w:val="en-US"/>
      </w:rPr>
      <w:fldChar w:fldCharType="end"/>
    </w:r>
  </w:p>
  <w:p w14:paraId="6FC2954C" w14:textId="77777777" w:rsidR="006E4365" w:rsidRPr="009704C9" w:rsidRDefault="006E4365">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2C4B6" w14:textId="3EABB1AE" w:rsidR="006E4365" w:rsidRPr="009E5AC7" w:rsidRDefault="006E4365">
    <w:pPr>
      <w:pStyle w:val="Header"/>
      <w:rPr>
        <w:lang w:val="de-DE"/>
      </w:rPr>
    </w:pPr>
    <w:r w:rsidRPr="009E5AC7">
      <w:rPr>
        <w:lang w:val="de-DE"/>
      </w:rPr>
      <w:t>TC/5</w:t>
    </w:r>
    <w:r>
      <w:rPr>
        <w:lang w:val="de-DE"/>
      </w:rPr>
      <w:t>7</w:t>
    </w:r>
    <w:r w:rsidRPr="009E5AC7">
      <w:rPr>
        <w:lang w:val="de-DE"/>
      </w:rPr>
      <w:t>/INF/3</w:t>
    </w:r>
  </w:p>
  <w:p w14:paraId="0AD13876" w14:textId="1920B7AA" w:rsidR="006E4365" w:rsidRPr="009E5AC7" w:rsidRDefault="006E4365">
    <w:pPr>
      <w:pStyle w:val="Header"/>
      <w:rPr>
        <w:lang w:val="de-DE"/>
      </w:rPr>
    </w:pPr>
    <w:r w:rsidRPr="009E5AC7">
      <w:rPr>
        <w:lang w:val="de-DE"/>
      </w:rPr>
      <w:t xml:space="preserve">Anlage I, Seite </w:t>
    </w:r>
    <w:r w:rsidRPr="00C5280D">
      <w:rPr>
        <w:rStyle w:val="PageNumber"/>
        <w:lang w:val="en-US"/>
      </w:rPr>
      <w:fldChar w:fldCharType="begin"/>
    </w:r>
    <w:r w:rsidRPr="009E5AC7">
      <w:rPr>
        <w:rStyle w:val="PageNumber"/>
        <w:lang w:val="de-DE"/>
      </w:rPr>
      <w:instrText xml:space="preserve"> PAGE </w:instrText>
    </w:r>
    <w:r w:rsidRPr="00C5280D">
      <w:rPr>
        <w:rStyle w:val="PageNumber"/>
        <w:lang w:val="en-US"/>
      </w:rPr>
      <w:fldChar w:fldCharType="separate"/>
    </w:r>
    <w:r w:rsidR="008D66CC">
      <w:rPr>
        <w:rStyle w:val="PageNumber"/>
        <w:noProof/>
        <w:lang w:val="de-DE"/>
      </w:rPr>
      <w:t>7</w:t>
    </w:r>
    <w:r w:rsidRPr="00C5280D">
      <w:rPr>
        <w:rStyle w:val="PageNumber"/>
        <w:lang w:val="en-US"/>
      </w:rPr>
      <w:fldChar w:fldCharType="end"/>
    </w:r>
  </w:p>
  <w:p w14:paraId="176FBF24" w14:textId="77777777" w:rsidR="006E4365" w:rsidRPr="009E5AC7" w:rsidRDefault="006E4365">
    <w:pPr>
      <w:pStyle w:val="Head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AB029" w14:textId="49947307" w:rsidR="006E4365" w:rsidRDefault="006E4365">
    <w:pPr>
      <w:pStyle w:val="Header"/>
      <w:rPr>
        <w:lang w:val="en-US"/>
      </w:rPr>
    </w:pPr>
    <w:r>
      <w:rPr>
        <w:lang w:val="en-US"/>
      </w:rPr>
      <w:t>TC/5</w:t>
    </w:r>
    <w:r w:rsidR="00C23771">
      <w:rPr>
        <w:lang w:val="en-US"/>
      </w:rPr>
      <w:t>7</w:t>
    </w:r>
    <w:r>
      <w:rPr>
        <w:lang w:val="en-US"/>
      </w:rPr>
      <w:t>/INF/3</w:t>
    </w:r>
  </w:p>
  <w:p w14:paraId="3604D27D" w14:textId="77777777" w:rsidR="006E4365" w:rsidRDefault="006E4365">
    <w:pPr>
      <w:pStyle w:val="Header"/>
      <w:rPr>
        <w:lang w:val="en-US"/>
      </w:rPr>
    </w:pPr>
  </w:p>
  <w:p w14:paraId="720BC4B9" w14:textId="77777777" w:rsidR="006E4365" w:rsidRDefault="006E4365">
    <w:pPr>
      <w:pStyle w:val="Header"/>
      <w:rPr>
        <w:lang w:val="en-US"/>
      </w:rPr>
    </w:pPr>
    <w:r>
      <w:rPr>
        <w:lang w:val="en-US"/>
      </w:rPr>
      <w:t>ANLAGE I</w:t>
    </w:r>
  </w:p>
  <w:p w14:paraId="4886D9B4" w14:textId="77777777" w:rsidR="006E4365" w:rsidRPr="009704C9" w:rsidRDefault="006E4365">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9DE1F" w14:textId="240A635D" w:rsidR="006E4365" w:rsidRPr="0032421C" w:rsidRDefault="006E4365" w:rsidP="00EB048E">
    <w:pPr>
      <w:pStyle w:val="Header"/>
      <w:rPr>
        <w:rStyle w:val="PageNumber"/>
        <w:lang w:val="de-DE"/>
      </w:rPr>
    </w:pPr>
    <w:r w:rsidRPr="0032421C">
      <w:rPr>
        <w:rStyle w:val="PageNumber"/>
        <w:lang w:val="de-DE"/>
      </w:rPr>
      <w:t>TC/5</w:t>
    </w:r>
    <w:r w:rsidR="00C23771">
      <w:rPr>
        <w:rStyle w:val="PageNumber"/>
        <w:lang w:val="de-DE"/>
      </w:rPr>
      <w:t>7</w:t>
    </w:r>
    <w:r w:rsidRPr="0032421C">
      <w:rPr>
        <w:rStyle w:val="PageNumber"/>
        <w:lang w:val="de-DE"/>
      </w:rPr>
      <w:t>/INF/3</w:t>
    </w:r>
  </w:p>
  <w:p w14:paraId="1A7AF29A" w14:textId="60664E94" w:rsidR="006E4365" w:rsidRPr="0032421C" w:rsidRDefault="006E4365" w:rsidP="00EB048E">
    <w:pPr>
      <w:pStyle w:val="Header"/>
      <w:rPr>
        <w:lang w:val="de-DE"/>
      </w:rPr>
    </w:pPr>
    <w:r w:rsidRPr="0032421C">
      <w:rPr>
        <w:lang w:val="de-DE"/>
      </w:rPr>
      <w:t xml:space="preserve">Anlage II, Seite </w:t>
    </w:r>
    <w:r w:rsidRPr="00C5280D">
      <w:rPr>
        <w:rStyle w:val="PageNumber"/>
        <w:lang w:val="en-US"/>
      </w:rPr>
      <w:fldChar w:fldCharType="begin"/>
    </w:r>
    <w:r w:rsidRPr="0032421C">
      <w:rPr>
        <w:rStyle w:val="PageNumber"/>
        <w:lang w:val="de-DE"/>
      </w:rPr>
      <w:instrText xml:space="preserve"> PAGE </w:instrText>
    </w:r>
    <w:r w:rsidRPr="00C5280D">
      <w:rPr>
        <w:rStyle w:val="PageNumber"/>
        <w:lang w:val="en-US"/>
      </w:rPr>
      <w:fldChar w:fldCharType="separate"/>
    </w:r>
    <w:r w:rsidR="008D66CC">
      <w:rPr>
        <w:rStyle w:val="PageNumber"/>
        <w:noProof/>
        <w:lang w:val="de-DE"/>
      </w:rPr>
      <w:t>2</w:t>
    </w:r>
    <w:r w:rsidRPr="00C5280D">
      <w:rPr>
        <w:rStyle w:val="PageNumber"/>
        <w:lang w:val="en-US"/>
      </w:rPr>
      <w:fldChar w:fldCharType="end"/>
    </w:r>
  </w:p>
  <w:p w14:paraId="79B9BF48" w14:textId="77777777" w:rsidR="006E4365" w:rsidRPr="0032421C" w:rsidRDefault="006E4365" w:rsidP="006655D3">
    <w:pPr>
      <w:rPr>
        <w:lang w:val="de-DE"/>
      </w:rPr>
    </w:pPr>
  </w:p>
  <w:p w14:paraId="65EC15FB" w14:textId="77777777" w:rsidR="006E4365" w:rsidRPr="0032421C" w:rsidRDefault="006E4365">
    <w:pP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6E817" w14:textId="14FAEE34" w:rsidR="006E4365" w:rsidRDefault="006E4365">
    <w:pPr>
      <w:pStyle w:val="Header"/>
      <w:rPr>
        <w:lang w:val="en-US"/>
      </w:rPr>
    </w:pPr>
    <w:r>
      <w:rPr>
        <w:lang w:val="en-US"/>
      </w:rPr>
      <w:t>TC/5</w:t>
    </w:r>
    <w:r w:rsidR="00C23771">
      <w:rPr>
        <w:lang w:val="en-US"/>
      </w:rPr>
      <w:t>7</w:t>
    </w:r>
    <w:r>
      <w:rPr>
        <w:lang w:val="en-US"/>
      </w:rPr>
      <w:t>/INF/3</w:t>
    </w:r>
  </w:p>
  <w:p w14:paraId="7352A906" w14:textId="77777777" w:rsidR="006E4365" w:rsidRDefault="006E4365">
    <w:pPr>
      <w:pStyle w:val="Header"/>
      <w:rPr>
        <w:lang w:val="en-US"/>
      </w:rPr>
    </w:pPr>
  </w:p>
  <w:p w14:paraId="452B2FF5" w14:textId="77777777" w:rsidR="006E4365" w:rsidRDefault="006E4365">
    <w:pPr>
      <w:pStyle w:val="Header"/>
      <w:rPr>
        <w:lang w:val="en-US"/>
      </w:rPr>
    </w:pPr>
    <w:r>
      <w:rPr>
        <w:lang w:val="en-US"/>
      </w:rPr>
      <w:t>ANLAGE II</w:t>
    </w:r>
  </w:p>
  <w:p w14:paraId="24DBAFAF" w14:textId="77777777" w:rsidR="006E4365" w:rsidRPr="009704C9" w:rsidRDefault="006E436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11"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3"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08E27CE5"/>
    <w:multiLevelType w:val="hybridMultilevel"/>
    <w:tmpl w:val="69A2E80C"/>
    <w:lvl w:ilvl="0" w:tplc="FDC4D268">
      <w:start w:val="1"/>
      <w:numFmt w:val="lowerRoman"/>
      <w:lvlText w:val="%1)"/>
      <w:lvlJc w:val="righ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5"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0CB520C0"/>
    <w:multiLevelType w:val="hybridMultilevel"/>
    <w:tmpl w:val="B802B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8"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20"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341A44"/>
    <w:multiLevelType w:val="hybridMultilevel"/>
    <w:tmpl w:val="933A97D8"/>
    <w:lvl w:ilvl="0" w:tplc="5C5A7036">
      <w:start w:val="1"/>
      <w:numFmt w:val="bullet"/>
      <w:lvlText w:val="◦"/>
      <w:lvlJc w:val="left"/>
      <w:pPr>
        <w:ind w:left="1713" w:hanging="360"/>
      </w:pPr>
      <w:rPr>
        <w:rFonts w:ascii="Segoe UI Symbol" w:hAnsi="Segoe UI 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6" w15:restartNumberingAfterBreak="0">
    <w:nsid w:val="43D34675"/>
    <w:multiLevelType w:val="hybridMultilevel"/>
    <w:tmpl w:val="EA5C7E4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8" w15:restartNumberingAfterBreak="0">
    <w:nsid w:val="48C907C9"/>
    <w:multiLevelType w:val="hybridMultilevel"/>
    <w:tmpl w:val="1D1E691C"/>
    <w:lvl w:ilvl="0" w:tplc="939420D6">
      <w:start w:val="1"/>
      <w:numFmt w:val="lowerLetter"/>
      <w:lvlText w:val="(%1)"/>
      <w:lvlJc w:val="left"/>
      <w:pPr>
        <w:ind w:left="7077" w:hanging="570"/>
      </w:pPr>
      <w:rPr>
        <w:rFonts w:hint="default"/>
      </w:rPr>
    </w:lvl>
    <w:lvl w:ilvl="1" w:tplc="04090019" w:tentative="1">
      <w:start w:val="1"/>
      <w:numFmt w:val="lowerLetter"/>
      <w:lvlText w:val="%2."/>
      <w:lvlJc w:val="left"/>
      <w:pPr>
        <w:ind w:left="7587" w:hanging="360"/>
      </w:pPr>
    </w:lvl>
    <w:lvl w:ilvl="2" w:tplc="0409001B" w:tentative="1">
      <w:start w:val="1"/>
      <w:numFmt w:val="lowerRoman"/>
      <w:lvlText w:val="%3."/>
      <w:lvlJc w:val="right"/>
      <w:pPr>
        <w:ind w:left="8307" w:hanging="180"/>
      </w:pPr>
    </w:lvl>
    <w:lvl w:ilvl="3" w:tplc="0409000F" w:tentative="1">
      <w:start w:val="1"/>
      <w:numFmt w:val="decimal"/>
      <w:lvlText w:val="%4."/>
      <w:lvlJc w:val="left"/>
      <w:pPr>
        <w:ind w:left="9027" w:hanging="360"/>
      </w:pPr>
    </w:lvl>
    <w:lvl w:ilvl="4" w:tplc="04090019" w:tentative="1">
      <w:start w:val="1"/>
      <w:numFmt w:val="lowerLetter"/>
      <w:lvlText w:val="%5."/>
      <w:lvlJc w:val="left"/>
      <w:pPr>
        <w:ind w:left="9747" w:hanging="360"/>
      </w:pPr>
    </w:lvl>
    <w:lvl w:ilvl="5" w:tplc="0409001B" w:tentative="1">
      <w:start w:val="1"/>
      <w:numFmt w:val="lowerRoman"/>
      <w:lvlText w:val="%6."/>
      <w:lvlJc w:val="right"/>
      <w:pPr>
        <w:ind w:left="10467" w:hanging="180"/>
      </w:pPr>
    </w:lvl>
    <w:lvl w:ilvl="6" w:tplc="0409000F" w:tentative="1">
      <w:start w:val="1"/>
      <w:numFmt w:val="decimal"/>
      <w:lvlText w:val="%7."/>
      <w:lvlJc w:val="left"/>
      <w:pPr>
        <w:ind w:left="11187" w:hanging="360"/>
      </w:pPr>
    </w:lvl>
    <w:lvl w:ilvl="7" w:tplc="04090019" w:tentative="1">
      <w:start w:val="1"/>
      <w:numFmt w:val="lowerLetter"/>
      <w:lvlText w:val="%8."/>
      <w:lvlJc w:val="left"/>
      <w:pPr>
        <w:ind w:left="11907" w:hanging="360"/>
      </w:pPr>
    </w:lvl>
    <w:lvl w:ilvl="8" w:tplc="0409001B" w:tentative="1">
      <w:start w:val="1"/>
      <w:numFmt w:val="lowerRoman"/>
      <w:lvlText w:val="%9."/>
      <w:lvlJc w:val="right"/>
      <w:pPr>
        <w:ind w:left="12627" w:hanging="180"/>
      </w:pPr>
    </w:lvl>
  </w:abstractNum>
  <w:abstractNum w:abstractNumId="29"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CA56686"/>
    <w:multiLevelType w:val="hybridMultilevel"/>
    <w:tmpl w:val="EF90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37"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8"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601698"/>
    <w:multiLevelType w:val="hybridMultilevel"/>
    <w:tmpl w:val="B06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356FD6"/>
    <w:multiLevelType w:val="hybridMultilevel"/>
    <w:tmpl w:val="9A508AF6"/>
    <w:lvl w:ilvl="0" w:tplc="CC6E369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num>
  <w:num w:numId="4">
    <w:abstractNumId w:val="14"/>
  </w:num>
  <w:num w:numId="5">
    <w:abstractNumId w:val="16"/>
  </w:num>
  <w:num w:numId="6">
    <w:abstractNumId w:val="27"/>
  </w:num>
  <w:num w:numId="7">
    <w:abstractNumId w:val="10"/>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6"/>
  </w:num>
  <w:num w:numId="20">
    <w:abstractNumId w:val="38"/>
  </w:num>
  <w:num w:numId="21">
    <w:abstractNumId w:val="20"/>
  </w:num>
  <w:num w:numId="22">
    <w:abstractNumId w:val="42"/>
  </w:num>
  <w:num w:numId="23">
    <w:abstractNumId w:val="32"/>
  </w:num>
  <w:num w:numId="24">
    <w:abstractNumId w:val="18"/>
  </w:num>
  <w:num w:numId="25">
    <w:abstractNumId w:val="35"/>
  </w:num>
  <w:num w:numId="26">
    <w:abstractNumId w:val="13"/>
  </w:num>
  <w:num w:numId="27">
    <w:abstractNumId w:val="15"/>
  </w:num>
  <w:num w:numId="28">
    <w:abstractNumId w:val="29"/>
  </w:num>
  <w:num w:numId="29">
    <w:abstractNumId w:val="19"/>
  </w:num>
  <w:num w:numId="30">
    <w:abstractNumId w:val="30"/>
  </w:num>
  <w:num w:numId="31">
    <w:abstractNumId w:val="24"/>
  </w:num>
  <w:num w:numId="32">
    <w:abstractNumId w:val="31"/>
  </w:num>
  <w:num w:numId="33">
    <w:abstractNumId w:val="11"/>
  </w:num>
  <w:num w:numId="34">
    <w:abstractNumId w:val="21"/>
  </w:num>
  <w:num w:numId="35">
    <w:abstractNumId w:val="17"/>
  </w:num>
  <w:num w:numId="36">
    <w:abstractNumId w:val="12"/>
  </w:num>
  <w:num w:numId="37">
    <w:abstractNumId w:val="23"/>
  </w:num>
  <w:num w:numId="38">
    <w:abstractNumId w:val="33"/>
  </w:num>
  <w:num w:numId="39">
    <w:abstractNumId w:val="25"/>
  </w:num>
  <w:num w:numId="40">
    <w:abstractNumId w:val="22"/>
  </w:num>
  <w:num w:numId="41">
    <w:abstractNumId w:val="41"/>
  </w:num>
  <w:num w:numId="42">
    <w:abstractNumId w:val="34"/>
  </w:num>
  <w:num w:numId="43">
    <w:abstractNumId w:val="26"/>
  </w:num>
  <w:num w:numId="44">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F41"/>
    <w:rsid w:val="00010CF3"/>
    <w:rsid w:val="00011E27"/>
    <w:rsid w:val="000148BC"/>
    <w:rsid w:val="00024AB8"/>
    <w:rsid w:val="00026F7C"/>
    <w:rsid w:val="00030854"/>
    <w:rsid w:val="00036028"/>
    <w:rsid w:val="00036D11"/>
    <w:rsid w:val="000375CA"/>
    <w:rsid w:val="00044642"/>
    <w:rsid w:val="000446B9"/>
    <w:rsid w:val="00047E21"/>
    <w:rsid w:val="00050E16"/>
    <w:rsid w:val="000513DE"/>
    <w:rsid w:val="00085505"/>
    <w:rsid w:val="00086559"/>
    <w:rsid w:val="000B143D"/>
    <w:rsid w:val="000B29B6"/>
    <w:rsid w:val="000C4E25"/>
    <w:rsid w:val="000C7021"/>
    <w:rsid w:val="000D6BBC"/>
    <w:rsid w:val="000D7780"/>
    <w:rsid w:val="000E601C"/>
    <w:rsid w:val="000E636A"/>
    <w:rsid w:val="000F2F11"/>
    <w:rsid w:val="00105929"/>
    <w:rsid w:val="00110C36"/>
    <w:rsid w:val="001131D5"/>
    <w:rsid w:val="0013222A"/>
    <w:rsid w:val="00141DB8"/>
    <w:rsid w:val="001661E4"/>
    <w:rsid w:val="00172084"/>
    <w:rsid w:val="0017474A"/>
    <w:rsid w:val="001758C6"/>
    <w:rsid w:val="00182B99"/>
    <w:rsid w:val="001833F7"/>
    <w:rsid w:val="001A4B0C"/>
    <w:rsid w:val="001B62CB"/>
    <w:rsid w:val="001C2C37"/>
    <w:rsid w:val="001C71EE"/>
    <w:rsid w:val="001D1213"/>
    <w:rsid w:val="001E52CE"/>
    <w:rsid w:val="001E55B8"/>
    <w:rsid w:val="0020054C"/>
    <w:rsid w:val="0021332C"/>
    <w:rsid w:val="00213982"/>
    <w:rsid w:val="00220C37"/>
    <w:rsid w:val="0024416D"/>
    <w:rsid w:val="00250C9A"/>
    <w:rsid w:val="00252944"/>
    <w:rsid w:val="00271911"/>
    <w:rsid w:val="002800A0"/>
    <w:rsid w:val="002801B3"/>
    <w:rsid w:val="00281060"/>
    <w:rsid w:val="00282D6D"/>
    <w:rsid w:val="002940E8"/>
    <w:rsid w:val="00294751"/>
    <w:rsid w:val="002A6E50"/>
    <w:rsid w:val="002B2810"/>
    <w:rsid w:val="002B4298"/>
    <w:rsid w:val="002C256A"/>
    <w:rsid w:val="002D0A40"/>
    <w:rsid w:val="002F0C59"/>
    <w:rsid w:val="00304827"/>
    <w:rsid w:val="00305A7F"/>
    <w:rsid w:val="003107C4"/>
    <w:rsid w:val="003152FE"/>
    <w:rsid w:val="0032421C"/>
    <w:rsid w:val="00327436"/>
    <w:rsid w:val="00340D10"/>
    <w:rsid w:val="00344BD6"/>
    <w:rsid w:val="0035528D"/>
    <w:rsid w:val="00357E26"/>
    <w:rsid w:val="00361821"/>
    <w:rsid w:val="00361E9E"/>
    <w:rsid w:val="003719D4"/>
    <w:rsid w:val="00372800"/>
    <w:rsid w:val="003774E7"/>
    <w:rsid w:val="003A15A5"/>
    <w:rsid w:val="003C3C72"/>
    <w:rsid w:val="003C7FBE"/>
    <w:rsid w:val="003D227C"/>
    <w:rsid w:val="003D2B4D"/>
    <w:rsid w:val="00435E97"/>
    <w:rsid w:val="00443177"/>
    <w:rsid w:val="00444A88"/>
    <w:rsid w:val="00474DA4"/>
    <w:rsid w:val="00476B4D"/>
    <w:rsid w:val="004805FA"/>
    <w:rsid w:val="00491867"/>
    <w:rsid w:val="004935D2"/>
    <w:rsid w:val="0049429C"/>
    <w:rsid w:val="00496762"/>
    <w:rsid w:val="004B1215"/>
    <w:rsid w:val="004B3BD1"/>
    <w:rsid w:val="004C5AD5"/>
    <w:rsid w:val="004D047D"/>
    <w:rsid w:val="004F1E9E"/>
    <w:rsid w:val="004F305A"/>
    <w:rsid w:val="00512164"/>
    <w:rsid w:val="00513C24"/>
    <w:rsid w:val="00515F7C"/>
    <w:rsid w:val="00520297"/>
    <w:rsid w:val="0052197E"/>
    <w:rsid w:val="00525066"/>
    <w:rsid w:val="005269A6"/>
    <w:rsid w:val="005338F9"/>
    <w:rsid w:val="0054281C"/>
    <w:rsid w:val="0054424E"/>
    <w:rsid w:val="00544581"/>
    <w:rsid w:val="0055268D"/>
    <w:rsid w:val="00576BE4"/>
    <w:rsid w:val="005817D9"/>
    <w:rsid w:val="00584128"/>
    <w:rsid w:val="00597219"/>
    <w:rsid w:val="005A400A"/>
    <w:rsid w:val="005D1380"/>
    <w:rsid w:val="005F7B92"/>
    <w:rsid w:val="00612379"/>
    <w:rsid w:val="006153B6"/>
    <w:rsid w:val="0061555F"/>
    <w:rsid w:val="00636CA6"/>
    <w:rsid w:val="00641200"/>
    <w:rsid w:val="00645CA8"/>
    <w:rsid w:val="00657FCE"/>
    <w:rsid w:val="006655D3"/>
    <w:rsid w:val="00667404"/>
    <w:rsid w:val="0067705A"/>
    <w:rsid w:val="00687EB4"/>
    <w:rsid w:val="00695C56"/>
    <w:rsid w:val="006A5CDE"/>
    <w:rsid w:val="006A644A"/>
    <w:rsid w:val="006B17D2"/>
    <w:rsid w:val="006C224E"/>
    <w:rsid w:val="006D1444"/>
    <w:rsid w:val="006D2B96"/>
    <w:rsid w:val="006D7435"/>
    <w:rsid w:val="006D780A"/>
    <w:rsid w:val="006E4365"/>
    <w:rsid w:val="0071271E"/>
    <w:rsid w:val="00725565"/>
    <w:rsid w:val="00732DEC"/>
    <w:rsid w:val="00735BD5"/>
    <w:rsid w:val="00751613"/>
    <w:rsid w:val="00751A2E"/>
    <w:rsid w:val="00753350"/>
    <w:rsid w:val="007556F6"/>
    <w:rsid w:val="00760EEF"/>
    <w:rsid w:val="007645F2"/>
    <w:rsid w:val="00777EE5"/>
    <w:rsid w:val="00780D95"/>
    <w:rsid w:val="00784836"/>
    <w:rsid w:val="0079023E"/>
    <w:rsid w:val="007A1CCA"/>
    <w:rsid w:val="007A2854"/>
    <w:rsid w:val="007A4641"/>
    <w:rsid w:val="007B1872"/>
    <w:rsid w:val="007C1D92"/>
    <w:rsid w:val="007C4974"/>
    <w:rsid w:val="007C4CB9"/>
    <w:rsid w:val="007D0B9D"/>
    <w:rsid w:val="007D19B0"/>
    <w:rsid w:val="007E4639"/>
    <w:rsid w:val="007F498F"/>
    <w:rsid w:val="0080679D"/>
    <w:rsid w:val="008108B0"/>
    <w:rsid w:val="00811B20"/>
    <w:rsid w:val="008211B5"/>
    <w:rsid w:val="00822657"/>
    <w:rsid w:val="0082296E"/>
    <w:rsid w:val="00824099"/>
    <w:rsid w:val="008326A0"/>
    <w:rsid w:val="00846D7C"/>
    <w:rsid w:val="008619BE"/>
    <w:rsid w:val="0086268E"/>
    <w:rsid w:val="00867AC1"/>
    <w:rsid w:val="00882C6F"/>
    <w:rsid w:val="00890DF8"/>
    <w:rsid w:val="00892A9C"/>
    <w:rsid w:val="008A4F03"/>
    <w:rsid w:val="008A743F"/>
    <w:rsid w:val="008B3566"/>
    <w:rsid w:val="008B37C7"/>
    <w:rsid w:val="008B6E60"/>
    <w:rsid w:val="008C0970"/>
    <w:rsid w:val="008D01EE"/>
    <w:rsid w:val="008D0BC5"/>
    <w:rsid w:val="008D2CF7"/>
    <w:rsid w:val="008D66CC"/>
    <w:rsid w:val="008D7E86"/>
    <w:rsid w:val="00900C26"/>
    <w:rsid w:val="0090197F"/>
    <w:rsid w:val="00906DDC"/>
    <w:rsid w:val="0091714B"/>
    <w:rsid w:val="00934E09"/>
    <w:rsid w:val="00935115"/>
    <w:rsid w:val="009357FC"/>
    <w:rsid w:val="00936253"/>
    <w:rsid w:val="009369B8"/>
    <w:rsid w:val="00940D46"/>
    <w:rsid w:val="00952DD4"/>
    <w:rsid w:val="00962B5A"/>
    <w:rsid w:val="00965AE7"/>
    <w:rsid w:val="009704C9"/>
    <w:rsid w:val="00970FED"/>
    <w:rsid w:val="009800E9"/>
    <w:rsid w:val="00982CDB"/>
    <w:rsid w:val="00992D82"/>
    <w:rsid w:val="00997029"/>
    <w:rsid w:val="009A1E9D"/>
    <w:rsid w:val="009A7339"/>
    <w:rsid w:val="009B440E"/>
    <w:rsid w:val="009D1ED4"/>
    <w:rsid w:val="009D690D"/>
    <w:rsid w:val="009E5AC7"/>
    <w:rsid w:val="009E65B6"/>
    <w:rsid w:val="009F0DEC"/>
    <w:rsid w:val="00A17055"/>
    <w:rsid w:val="00A1708F"/>
    <w:rsid w:val="00A174E4"/>
    <w:rsid w:val="00A24C10"/>
    <w:rsid w:val="00A308C3"/>
    <w:rsid w:val="00A37C2B"/>
    <w:rsid w:val="00A42AC3"/>
    <w:rsid w:val="00A430CF"/>
    <w:rsid w:val="00A54309"/>
    <w:rsid w:val="00A6753C"/>
    <w:rsid w:val="00A87E63"/>
    <w:rsid w:val="00AA18B2"/>
    <w:rsid w:val="00AB2B93"/>
    <w:rsid w:val="00AB3D9D"/>
    <w:rsid w:val="00AB530F"/>
    <w:rsid w:val="00AB71B3"/>
    <w:rsid w:val="00AB7E5B"/>
    <w:rsid w:val="00AC2883"/>
    <w:rsid w:val="00AD495A"/>
    <w:rsid w:val="00AD703C"/>
    <w:rsid w:val="00AE0EF1"/>
    <w:rsid w:val="00AE2937"/>
    <w:rsid w:val="00B02348"/>
    <w:rsid w:val="00B07301"/>
    <w:rsid w:val="00B104FC"/>
    <w:rsid w:val="00B11F3E"/>
    <w:rsid w:val="00B13636"/>
    <w:rsid w:val="00B13E66"/>
    <w:rsid w:val="00B224DE"/>
    <w:rsid w:val="00B266B7"/>
    <w:rsid w:val="00B31E8A"/>
    <w:rsid w:val="00B324D4"/>
    <w:rsid w:val="00B46575"/>
    <w:rsid w:val="00B61777"/>
    <w:rsid w:val="00B84BBD"/>
    <w:rsid w:val="00B92F62"/>
    <w:rsid w:val="00B97F2C"/>
    <w:rsid w:val="00BA43FB"/>
    <w:rsid w:val="00BA594E"/>
    <w:rsid w:val="00BC127D"/>
    <w:rsid w:val="00BC1FE6"/>
    <w:rsid w:val="00BE502F"/>
    <w:rsid w:val="00BE6608"/>
    <w:rsid w:val="00C061B6"/>
    <w:rsid w:val="00C23771"/>
    <w:rsid w:val="00C239B5"/>
    <w:rsid w:val="00C2446C"/>
    <w:rsid w:val="00C36AE5"/>
    <w:rsid w:val="00C41F17"/>
    <w:rsid w:val="00C527FA"/>
    <w:rsid w:val="00C5280D"/>
    <w:rsid w:val="00C53EB3"/>
    <w:rsid w:val="00C5791C"/>
    <w:rsid w:val="00C62BAE"/>
    <w:rsid w:val="00C66290"/>
    <w:rsid w:val="00C72B7A"/>
    <w:rsid w:val="00C94111"/>
    <w:rsid w:val="00C973F2"/>
    <w:rsid w:val="00CA304C"/>
    <w:rsid w:val="00CA774A"/>
    <w:rsid w:val="00CB6C35"/>
    <w:rsid w:val="00CC11B0"/>
    <w:rsid w:val="00CC2841"/>
    <w:rsid w:val="00CF1330"/>
    <w:rsid w:val="00CF3B92"/>
    <w:rsid w:val="00CF7E36"/>
    <w:rsid w:val="00D03D75"/>
    <w:rsid w:val="00D06637"/>
    <w:rsid w:val="00D3708D"/>
    <w:rsid w:val="00D40426"/>
    <w:rsid w:val="00D41714"/>
    <w:rsid w:val="00D422BE"/>
    <w:rsid w:val="00D50A18"/>
    <w:rsid w:val="00D538E2"/>
    <w:rsid w:val="00D54130"/>
    <w:rsid w:val="00D57C96"/>
    <w:rsid w:val="00D57D18"/>
    <w:rsid w:val="00D74ABE"/>
    <w:rsid w:val="00D769AD"/>
    <w:rsid w:val="00D838B2"/>
    <w:rsid w:val="00D91203"/>
    <w:rsid w:val="00D95174"/>
    <w:rsid w:val="00DA4973"/>
    <w:rsid w:val="00DA6F36"/>
    <w:rsid w:val="00DB596E"/>
    <w:rsid w:val="00DB7773"/>
    <w:rsid w:val="00DC00EA"/>
    <w:rsid w:val="00DC3802"/>
    <w:rsid w:val="00DD7591"/>
    <w:rsid w:val="00DF7E6C"/>
    <w:rsid w:val="00E07D87"/>
    <w:rsid w:val="00E10B4F"/>
    <w:rsid w:val="00E2384E"/>
    <w:rsid w:val="00E32F7E"/>
    <w:rsid w:val="00E5267B"/>
    <w:rsid w:val="00E5331A"/>
    <w:rsid w:val="00E63C0E"/>
    <w:rsid w:val="00E72D49"/>
    <w:rsid w:val="00E75233"/>
    <w:rsid w:val="00E7593C"/>
    <w:rsid w:val="00E7678A"/>
    <w:rsid w:val="00E92AA7"/>
    <w:rsid w:val="00E935F1"/>
    <w:rsid w:val="00E94A81"/>
    <w:rsid w:val="00EA1FFB"/>
    <w:rsid w:val="00EB048E"/>
    <w:rsid w:val="00EB4E9C"/>
    <w:rsid w:val="00EE34DF"/>
    <w:rsid w:val="00EE35FA"/>
    <w:rsid w:val="00EF2F89"/>
    <w:rsid w:val="00F01913"/>
    <w:rsid w:val="00F03E98"/>
    <w:rsid w:val="00F101A0"/>
    <w:rsid w:val="00F1237A"/>
    <w:rsid w:val="00F21973"/>
    <w:rsid w:val="00F22CBD"/>
    <w:rsid w:val="00F272F1"/>
    <w:rsid w:val="00F302C5"/>
    <w:rsid w:val="00F30951"/>
    <w:rsid w:val="00F345F0"/>
    <w:rsid w:val="00F45372"/>
    <w:rsid w:val="00F560F7"/>
    <w:rsid w:val="00F6334D"/>
    <w:rsid w:val="00F66C1F"/>
    <w:rsid w:val="00F76AA9"/>
    <w:rsid w:val="00F812C8"/>
    <w:rsid w:val="00F94ED8"/>
    <w:rsid w:val="00FA49AB"/>
    <w:rsid w:val="00FB33C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F1094ED"/>
  <w15:docId w15:val="{3AF02725-2A96-408D-A5B6-2C897B55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7C4974"/>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B266B7"/>
    <w:pPr>
      <w:tabs>
        <w:tab w:val="right" w:leader="dot" w:pos="9639"/>
      </w:tabs>
      <w:ind w:left="573" w:right="851" w:hanging="289"/>
      <w:contextualSpacing/>
      <w:jc w:val="left"/>
    </w:pPr>
    <w:rPr>
      <w:noProof/>
      <w:sz w:val="18"/>
    </w:rPr>
  </w:style>
  <w:style w:type="paragraph" w:styleId="TOC3">
    <w:name w:val="toc 3"/>
    <w:next w:val="Normal"/>
    <w:autoRedefine/>
    <w:uiPriority w:val="39"/>
    <w:qFormat/>
    <w:rsid w:val="00B266B7"/>
    <w:pPr>
      <w:tabs>
        <w:tab w:val="right" w:leader="dot" w:pos="9639"/>
      </w:tabs>
      <w:spacing w:before="120"/>
      <w:ind w:left="568" w:right="851"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B266B7"/>
    <w:pPr>
      <w:tabs>
        <w:tab w:val="right" w:leader="dot" w:pos="9639"/>
      </w:tabs>
      <w:spacing w:before="60"/>
      <w:ind w:right="1418"/>
      <w:contextualSpacing/>
      <w:jc w:val="center"/>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7C4974"/>
    <w:rPr>
      <w:rFonts w:eastAsia="MS Mincho"/>
      <w:sz w:val="24"/>
    </w:rPr>
  </w:style>
  <w:style w:type="paragraph" w:customStyle="1" w:styleId="Sessiontwp">
    <w:name w:val="Session_twp"/>
    <w:basedOn w:val="Normal"/>
    <w:next w:val="Normal"/>
    <w:qFormat/>
    <w:rsid w:val="007C4974"/>
    <w:rPr>
      <w:b/>
    </w:rPr>
  </w:style>
  <w:style w:type="paragraph" w:customStyle="1" w:styleId="Sessiontwpplacedate">
    <w:name w:val="Session_twp_place_date"/>
    <w:basedOn w:val="Normal"/>
    <w:next w:val="Normal"/>
    <w:qFormat/>
    <w:rsid w:val="007C4974"/>
  </w:style>
  <w:style w:type="numbering" w:customStyle="1" w:styleId="NoList1">
    <w:name w:val="No List1"/>
    <w:next w:val="NoList"/>
    <w:uiPriority w:val="99"/>
    <w:semiHidden/>
    <w:unhideWhenUsed/>
    <w:rsid w:val="007C4974"/>
  </w:style>
  <w:style w:type="numbering" w:customStyle="1" w:styleId="NoList11">
    <w:name w:val="No List11"/>
    <w:next w:val="NoList"/>
    <w:uiPriority w:val="99"/>
    <w:semiHidden/>
    <w:unhideWhenUsed/>
    <w:rsid w:val="007C4974"/>
  </w:style>
  <w:style w:type="character" w:customStyle="1" w:styleId="Heading1Char">
    <w:name w:val="Heading 1 Char"/>
    <w:basedOn w:val="DefaultParagraphFont"/>
    <w:link w:val="Heading1"/>
    <w:rsid w:val="007C4974"/>
    <w:rPr>
      <w:rFonts w:ascii="Arial" w:hAnsi="Arial"/>
      <w:caps/>
    </w:rPr>
  </w:style>
  <w:style w:type="character" w:customStyle="1" w:styleId="Heading2Char">
    <w:name w:val="Heading 2 Char"/>
    <w:basedOn w:val="DefaultParagraphFont"/>
    <w:link w:val="Heading2"/>
    <w:rsid w:val="007C4974"/>
    <w:rPr>
      <w:rFonts w:ascii="Arial" w:hAnsi="Arial"/>
      <w:u w:val="single"/>
    </w:rPr>
  </w:style>
  <w:style w:type="character" w:customStyle="1" w:styleId="Heading3Char">
    <w:name w:val="Heading 3 Char"/>
    <w:basedOn w:val="DefaultParagraphFont"/>
    <w:link w:val="Heading3"/>
    <w:rsid w:val="007C4974"/>
    <w:rPr>
      <w:rFonts w:ascii="Arial" w:hAnsi="Arial"/>
      <w:i/>
    </w:rPr>
  </w:style>
  <w:style w:type="character" w:customStyle="1" w:styleId="Heading4Char">
    <w:name w:val="Heading 4 Char"/>
    <w:basedOn w:val="DefaultParagraphFont"/>
    <w:link w:val="Heading4"/>
    <w:rsid w:val="007C4974"/>
    <w:rPr>
      <w:rFonts w:ascii="Arial" w:hAnsi="Arial"/>
      <w:u w:val="single"/>
      <w:lang w:val="fr-FR"/>
    </w:rPr>
  </w:style>
  <w:style w:type="character" w:customStyle="1" w:styleId="Heading5Char">
    <w:name w:val="Heading 5 Char"/>
    <w:basedOn w:val="DefaultParagraphFont"/>
    <w:link w:val="Heading5"/>
    <w:rsid w:val="007C4974"/>
    <w:rPr>
      <w:rFonts w:ascii="Arial" w:hAnsi="Arial"/>
      <w:i/>
    </w:rPr>
  </w:style>
  <w:style w:type="character" w:customStyle="1" w:styleId="Heading9Char">
    <w:name w:val="Heading 9 Char"/>
    <w:basedOn w:val="DefaultParagraphFont"/>
    <w:link w:val="Heading9"/>
    <w:rsid w:val="007C4974"/>
    <w:rPr>
      <w:rFonts w:ascii="Arial" w:hAnsi="Arial"/>
      <w:i/>
      <w:sz w:val="18"/>
    </w:rPr>
  </w:style>
  <w:style w:type="character" w:customStyle="1" w:styleId="HeaderChar">
    <w:name w:val="Header Char"/>
    <w:basedOn w:val="DefaultParagraphFont"/>
    <w:link w:val="Header"/>
    <w:rsid w:val="007C4974"/>
    <w:rPr>
      <w:rFonts w:ascii="Arial" w:hAnsi="Arial"/>
      <w:lang w:val="fr-FR"/>
    </w:rPr>
  </w:style>
  <w:style w:type="character" w:customStyle="1" w:styleId="FooterChar">
    <w:name w:val="Footer Char"/>
    <w:aliases w:val="doc_path_name Char"/>
    <w:basedOn w:val="DefaultParagraphFont"/>
    <w:link w:val="Footer"/>
    <w:rsid w:val="007C4974"/>
    <w:rPr>
      <w:rFonts w:ascii="Arial" w:hAnsi="Arial"/>
      <w:sz w:val="14"/>
    </w:rPr>
  </w:style>
  <w:style w:type="character" w:customStyle="1" w:styleId="TitleChar">
    <w:name w:val="Title Char"/>
    <w:basedOn w:val="DefaultParagraphFont"/>
    <w:link w:val="Title"/>
    <w:rsid w:val="007C4974"/>
    <w:rPr>
      <w:rFonts w:ascii="Arial" w:hAnsi="Arial"/>
      <w:b/>
      <w:caps/>
      <w:kern w:val="28"/>
      <w:sz w:val="30"/>
    </w:rPr>
  </w:style>
  <w:style w:type="character" w:customStyle="1" w:styleId="FootnoteTextChar">
    <w:name w:val="Footnote Text Char"/>
    <w:basedOn w:val="DefaultParagraphFont"/>
    <w:link w:val="FootnoteText"/>
    <w:rsid w:val="007C4974"/>
    <w:rPr>
      <w:rFonts w:ascii="Arial" w:hAnsi="Arial"/>
      <w:sz w:val="16"/>
    </w:rPr>
  </w:style>
  <w:style w:type="character" w:customStyle="1" w:styleId="ClosingChar">
    <w:name w:val="Closing Char"/>
    <w:basedOn w:val="DefaultParagraphFont"/>
    <w:link w:val="Closing"/>
    <w:rsid w:val="007C4974"/>
    <w:rPr>
      <w:rFonts w:ascii="Arial" w:hAnsi="Arial"/>
    </w:rPr>
  </w:style>
  <w:style w:type="character" w:customStyle="1" w:styleId="MacroTextChar">
    <w:name w:val="Macro Text Char"/>
    <w:basedOn w:val="DefaultParagraphFont"/>
    <w:link w:val="MacroText"/>
    <w:semiHidden/>
    <w:rsid w:val="007C4974"/>
    <w:rPr>
      <w:rFonts w:ascii="Courier New" w:hAnsi="Courier New"/>
      <w:sz w:val="16"/>
    </w:rPr>
  </w:style>
  <w:style w:type="character" w:customStyle="1" w:styleId="SignatureChar">
    <w:name w:val="Signature Char"/>
    <w:basedOn w:val="DefaultParagraphFont"/>
    <w:link w:val="Signature"/>
    <w:rsid w:val="007C4974"/>
    <w:rPr>
      <w:rFonts w:ascii="Arial" w:hAnsi="Arial"/>
    </w:rPr>
  </w:style>
  <w:style w:type="character" w:customStyle="1" w:styleId="BodyTextChar">
    <w:name w:val="Body Text Char"/>
    <w:basedOn w:val="DefaultParagraphFont"/>
    <w:link w:val="BodyText"/>
    <w:rsid w:val="007C4974"/>
    <w:rPr>
      <w:rFonts w:ascii="Arial" w:hAnsi="Arial"/>
    </w:rPr>
  </w:style>
  <w:style w:type="character" w:customStyle="1" w:styleId="EndnoteTextChar">
    <w:name w:val="Endnote Text Char"/>
    <w:basedOn w:val="DefaultParagraphFont"/>
    <w:link w:val="EndnoteText"/>
    <w:semiHidden/>
    <w:rsid w:val="007C4974"/>
    <w:rPr>
      <w:rFonts w:ascii="Arial" w:hAnsi="Arial"/>
    </w:rPr>
  </w:style>
  <w:style w:type="character" w:customStyle="1" w:styleId="DateChar">
    <w:name w:val="Date Char"/>
    <w:basedOn w:val="DefaultParagraphFont"/>
    <w:link w:val="Date"/>
    <w:semiHidden/>
    <w:rsid w:val="007C4974"/>
    <w:rPr>
      <w:rFonts w:ascii="Arial" w:hAnsi="Arial"/>
      <w:b/>
      <w:sz w:val="22"/>
    </w:rPr>
  </w:style>
  <w:style w:type="character" w:customStyle="1" w:styleId="StyleDocoriginalNotBold1">
    <w:name w:val="Style Doc_original + Not Bold1"/>
    <w:basedOn w:val="DefaultParagraphFont"/>
    <w:rsid w:val="007C4974"/>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7C4974"/>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7C4974"/>
    <w:rPr>
      <w:rFonts w:ascii="Arial" w:eastAsia="MS Mincho" w:hAnsi="Arial"/>
      <w:b/>
      <w:bCs/>
      <w:spacing w:val="10"/>
      <w:sz w:val="18"/>
      <w:lang w:val="fr-FR" w:eastAsia="en-US" w:bidi="ar-SA"/>
    </w:rPr>
  </w:style>
  <w:style w:type="paragraph" w:customStyle="1" w:styleId="StyleDocnumber">
    <w:name w:val="Style Doc_number"/>
    <w:basedOn w:val="Docoriginal"/>
    <w:rsid w:val="007C4974"/>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7C4974"/>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7C4974"/>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7C497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7C4974"/>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7C4974"/>
    <w:rPr>
      <w:rFonts w:ascii="Arial" w:hAnsi="Arial"/>
      <w:b/>
      <w:bCs/>
      <w:sz w:val="20"/>
      <w:lang w:val="en-US"/>
    </w:rPr>
  </w:style>
  <w:style w:type="paragraph" w:styleId="ListParagraph">
    <w:name w:val="List Paragraph"/>
    <w:basedOn w:val="Normal"/>
    <w:uiPriority w:val="34"/>
    <w:qFormat/>
    <w:rsid w:val="007C4974"/>
    <w:pPr>
      <w:ind w:left="720"/>
      <w:contextualSpacing/>
    </w:pPr>
    <w:rPr>
      <w:rFonts w:eastAsiaTheme="minorEastAsia"/>
    </w:rPr>
  </w:style>
  <w:style w:type="paragraph" w:customStyle="1" w:styleId="Default">
    <w:name w:val="Default"/>
    <w:rsid w:val="007C4974"/>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7C4974"/>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7C4974"/>
    <w:rPr>
      <w:rFonts w:ascii="Arial" w:eastAsiaTheme="minorEastAsia" w:hAnsi="Arial"/>
    </w:rPr>
  </w:style>
  <w:style w:type="character" w:styleId="CommentReference">
    <w:name w:val="annotation reference"/>
    <w:basedOn w:val="DefaultParagraphFont"/>
    <w:rsid w:val="007C4974"/>
    <w:rPr>
      <w:sz w:val="16"/>
      <w:szCs w:val="16"/>
    </w:rPr>
  </w:style>
  <w:style w:type="paragraph" w:styleId="CommentText">
    <w:name w:val="annotation text"/>
    <w:basedOn w:val="Normal"/>
    <w:link w:val="CommentTextChar"/>
    <w:rsid w:val="007C4974"/>
    <w:rPr>
      <w:rFonts w:eastAsiaTheme="minorEastAsia"/>
    </w:rPr>
  </w:style>
  <w:style w:type="character" w:customStyle="1" w:styleId="CommentTextChar">
    <w:name w:val="Comment Text Char"/>
    <w:basedOn w:val="DefaultParagraphFont"/>
    <w:link w:val="CommentText"/>
    <w:rsid w:val="007C4974"/>
    <w:rPr>
      <w:rFonts w:ascii="Arial" w:eastAsiaTheme="minorEastAsia" w:hAnsi="Arial"/>
    </w:rPr>
  </w:style>
  <w:style w:type="paragraph" w:styleId="CommentSubject">
    <w:name w:val="annotation subject"/>
    <w:basedOn w:val="CommentText"/>
    <w:next w:val="CommentText"/>
    <w:link w:val="CommentSubjectChar"/>
    <w:rsid w:val="007C4974"/>
    <w:rPr>
      <w:b/>
      <w:bCs/>
    </w:rPr>
  </w:style>
  <w:style w:type="character" w:customStyle="1" w:styleId="CommentSubjectChar">
    <w:name w:val="Comment Subject Char"/>
    <w:basedOn w:val="CommentTextChar"/>
    <w:link w:val="CommentSubject"/>
    <w:rsid w:val="007C4974"/>
    <w:rPr>
      <w:rFonts w:ascii="Arial" w:eastAsiaTheme="minorEastAsia" w:hAnsi="Arial"/>
      <w:b/>
      <w:bCs/>
    </w:rPr>
  </w:style>
  <w:style w:type="paragraph" w:customStyle="1" w:styleId="dec">
    <w:name w:val="dec"/>
    <w:basedOn w:val="Normal"/>
    <w:link w:val="decChar"/>
    <w:qFormat/>
    <w:rsid w:val="007C4974"/>
    <w:pPr>
      <w:ind w:left="4536"/>
    </w:pPr>
    <w:rPr>
      <w:rFonts w:eastAsiaTheme="minorEastAsia"/>
      <w:i/>
      <w:spacing w:val="-2"/>
    </w:rPr>
  </w:style>
  <w:style w:type="character" w:customStyle="1" w:styleId="decChar">
    <w:name w:val="dec Char"/>
    <w:basedOn w:val="DefaultParagraphFont"/>
    <w:link w:val="dec"/>
    <w:rsid w:val="007C4974"/>
    <w:rPr>
      <w:rFonts w:ascii="Arial" w:eastAsiaTheme="minorEastAsia" w:hAnsi="Arial"/>
      <w:i/>
      <w:spacing w:val="-2"/>
    </w:rPr>
  </w:style>
  <w:style w:type="paragraph" w:styleId="Caption">
    <w:name w:val="caption"/>
    <w:basedOn w:val="Normal"/>
    <w:next w:val="Normal"/>
    <w:qFormat/>
    <w:rsid w:val="007C4974"/>
    <w:pPr>
      <w:jc w:val="left"/>
    </w:pPr>
    <w:rPr>
      <w:rFonts w:ascii="Times New Roman" w:eastAsia="MS Mincho" w:hAnsi="Times New Roman"/>
      <w:b/>
      <w:bCs/>
    </w:rPr>
  </w:style>
  <w:style w:type="character" w:customStyle="1" w:styleId="CharChar19">
    <w:name w:val="Char Char19"/>
    <w:locked/>
    <w:rsid w:val="007C4974"/>
    <w:rPr>
      <w:rFonts w:ascii="Arial" w:hAnsi="Arial"/>
      <w:caps/>
      <w:lang w:val="en-US" w:eastAsia="en-US" w:bidi="ar-SA"/>
    </w:rPr>
  </w:style>
  <w:style w:type="paragraph" w:customStyle="1" w:styleId="ZchnZchn1">
    <w:name w:val="Zchn Zchn1"/>
    <w:basedOn w:val="Normal"/>
    <w:rsid w:val="007C4974"/>
    <w:pPr>
      <w:spacing w:after="160" w:line="240" w:lineRule="exact"/>
      <w:jc w:val="left"/>
    </w:pPr>
    <w:rPr>
      <w:rFonts w:ascii="Verdana" w:eastAsia="PMingLiU" w:hAnsi="Verdana"/>
    </w:rPr>
  </w:style>
  <w:style w:type="paragraph" w:styleId="BlockText">
    <w:name w:val="Block Text"/>
    <w:basedOn w:val="Normal"/>
    <w:rsid w:val="007C4974"/>
    <w:pPr>
      <w:ind w:left="1134" w:right="-1" w:hanging="567"/>
    </w:pPr>
    <w:rPr>
      <w:rFonts w:ascii="Times New Roman" w:eastAsia="MS Mincho" w:hAnsi="Times New Roman"/>
      <w:sz w:val="24"/>
    </w:rPr>
  </w:style>
  <w:style w:type="paragraph" w:customStyle="1" w:styleId="indentpara">
    <w:name w:val="indentpara"/>
    <w:basedOn w:val="Normal"/>
    <w:rsid w:val="007C4974"/>
    <w:pPr>
      <w:numPr>
        <w:numId w:val="1"/>
      </w:numPr>
    </w:pPr>
    <w:rPr>
      <w:rFonts w:ascii="Times New Roman" w:eastAsia="MS Mincho" w:hAnsi="Times New Roman"/>
      <w:sz w:val="24"/>
    </w:rPr>
  </w:style>
  <w:style w:type="paragraph" w:styleId="NormalWeb">
    <w:name w:val="Normal (Web)"/>
    <w:basedOn w:val="Normal"/>
    <w:rsid w:val="007C4974"/>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7C4974"/>
    <w:pPr>
      <w:spacing w:after="160" w:line="240" w:lineRule="exact"/>
      <w:jc w:val="left"/>
    </w:pPr>
    <w:rPr>
      <w:rFonts w:ascii="Verdana" w:eastAsia="PMingLiU" w:hAnsi="Verdana"/>
    </w:rPr>
  </w:style>
  <w:style w:type="paragraph" w:styleId="BodyTextIndent">
    <w:name w:val="Body Text Indent"/>
    <w:basedOn w:val="Normal"/>
    <w:link w:val="BodyTextIndentChar"/>
    <w:rsid w:val="007C4974"/>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7C4974"/>
    <w:rPr>
      <w:rFonts w:eastAsia="MS Mincho"/>
      <w:sz w:val="24"/>
    </w:rPr>
  </w:style>
  <w:style w:type="paragraph" w:customStyle="1" w:styleId="Committee">
    <w:name w:val="Committee"/>
    <w:basedOn w:val="Normal"/>
    <w:rsid w:val="007C4974"/>
    <w:pPr>
      <w:spacing w:after="300"/>
      <w:jc w:val="center"/>
    </w:pPr>
    <w:rPr>
      <w:rFonts w:eastAsia="MS Mincho"/>
      <w:b/>
      <w:caps/>
      <w:kern w:val="28"/>
      <w:sz w:val="30"/>
    </w:rPr>
  </w:style>
  <w:style w:type="paragraph" w:customStyle="1" w:styleId="DecisionInvitingPara">
    <w:name w:val="Decision Inviting Para."/>
    <w:basedOn w:val="Normal"/>
    <w:rsid w:val="007C4974"/>
    <w:pPr>
      <w:ind w:left="4536"/>
      <w:jc w:val="left"/>
    </w:pPr>
    <w:rPr>
      <w:rFonts w:ascii="Times New Roman" w:eastAsia="MS Mincho" w:hAnsi="Times New Roman"/>
      <w:i/>
      <w:sz w:val="24"/>
    </w:rPr>
  </w:style>
  <w:style w:type="paragraph" w:customStyle="1" w:styleId="Endofdocument">
    <w:name w:val="End of document"/>
    <w:basedOn w:val="Normal"/>
    <w:rsid w:val="007C4974"/>
    <w:pPr>
      <w:ind w:left="4536"/>
      <w:jc w:val="center"/>
    </w:pPr>
    <w:rPr>
      <w:rFonts w:ascii="Times New Roman" w:eastAsia="MS Mincho" w:hAnsi="Times New Roman"/>
      <w:sz w:val="24"/>
    </w:rPr>
  </w:style>
  <w:style w:type="paragraph" w:customStyle="1" w:styleId="MTDisplayEquation">
    <w:name w:val="MTDisplayEquation"/>
    <w:basedOn w:val="Normal"/>
    <w:next w:val="Normal"/>
    <w:rsid w:val="007C4974"/>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7C4974"/>
    <w:rPr>
      <w:rFonts w:cs="Times New Roman"/>
      <w:color w:val="800080"/>
      <w:u w:val="single"/>
    </w:rPr>
  </w:style>
  <w:style w:type="character" w:styleId="Emphasis">
    <w:name w:val="Emphasis"/>
    <w:qFormat/>
    <w:rsid w:val="007C4974"/>
    <w:rPr>
      <w:rFonts w:ascii="Arial" w:hAnsi="Arial" w:cs="Times New Roman"/>
      <w:b/>
      <w:i/>
    </w:rPr>
  </w:style>
  <w:style w:type="character" w:customStyle="1" w:styleId="StyleTimesNewRomanPSMT">
    <w:name w:val="Style TimesNewRomanPSMT"/>
    <w:rsid w:val="007C4974"/>
    <w:rPr>
      <w:rFonts w:ascii="Arial" w:hAnsi="Arial"/>
      <w:sz w:val="20"/>
    </w:rPr>
  </w:style>
  <w:style w:type="character" w:customStyle="1" w:styleId="DecisionParagraphsChar">
    <w:name w:val="DecisionParagraphs Char"/>
    <w:basedOn w:val="DefaultParagraphFont"/>
    <w:link w:val="DecisionParagraphs"/>
    <w:rsid w:val="007C4974"/>
    <w:rPr>
      <w:rFonts w:ascii="Arial" w:hAnsi="Arial"/>
      <w:i/>
    </w:rPr>
  </w:style>
  <w:style w:type="table" w:styleId="TableGrid">
    <w:name w:val="Table Grid"/>
    <w:basedOn w:val="TableNormal"/>
    <w:rsid w:val="007C497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C4974"/>
  </w:style>
  <w:style w:type="numbering" w:customStyle="1" w:styleId="NoList2">
    <w:name w:val="No List2"/>
    <w:next w:val="NoList"/>
    <w:uiPriority w:val="99"/>
    <w:semiHidden/>
    <w:unhideWhenUsed/>
    <w:rsid w:val="007C4974"/>
  </w:style>
  <w:style w:type="numbering" w:customStyle="1" w:styleId="NoList12">
    <w:name w:val="No List12"/>
    <w:next w:val="NoList"/>
    <w:uiPriority w:val="99"/>
    <w:semiHidden/>
    <w:unhideWhenUsed/>
    <w:rsid w:val="007C4974"/>
  </w:style>
  <w:style w:type="character" w:styleId="LineNumber">
    <w:name w:val="line number"/>
    <w:basedOn w:val="DefaultParagraphFont"/>
    <w:semiHidden/>
    <w:unhideWhenUsed/>
    <w:rsid w:val="007C4974"/>
  </w:style>
  <w:style w:type="paragraph" w:customStyle="1" w:styleId="msonormal0">
    <w:name w:val="msonormal"/>
    <w:basedOn w:val="Normal"/>
    <w:rsid w:val="003C3C72"/>
    <w:pPr>
      <w:spacing w:before="100" w:beforeAutospacing="1" w:after="100" w:afterAutospacing="1"/>
      <w:jc w:val="left"/>
    </w:pPr>
    <w:rPr>
      <w:rFonts w:ascii="Times New Roman" w:eastAsia="MS Mincho" w:hAnsi="Times New Roman"/>
      <w:sz w:val="24"/>
      <w:szCs w:val="24"/>
    </w:rPr>
  </w:style>
  <w:style w:type="character" w:customStyle="1" w:styleId="FooterChar1">
    <w:name w:val="Footer Char1"/>
    <w:aliases w:val="doc_path_name Char1"/>
    <w:basedOn w:val="DefaultParagraphFont"/>
    <w:semiHidden/>
    <w:rsid w:val="003C3C72"/>
    <w:rPr>
      <w:rFonts w:ascii="Arial" w:hAnsi="Arial"/>
    </w:rPr>
  </w:style>
  <w:style w:type="paragraph" w:styleId="Revision">
    <w:name w:val="Revision"/>
    <w:uiPriority w:val="99"/>
    <w:semiHidden/>
    <w:rsid w:val="003C3C72"/>
    <w:rPr>
      <w:rFonts w:ascii="Arial" w:hAnsi="Arial"/>
    </w:rPr>
  </w:style>
  <w:style w:type="table" w:customStyle="1" w:styleId="TableGrid1">
    <w:name w:val="Table Grid1"/>
    <w:basedOn w:val="TableNormal"/>
    <w:next w:val="TableGrid"/>
    <w:rsid w:val="003C3C72"/>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6E4365"/>
  </w:style>
  <w:style w:type="paragraph" w:styleId="TOCHeading">
    <w:name w:val="TOC Heading"/>
    <w:basedOn w:val="Heading1"/>
    <w:next w:val="Normal"/>
    <w:uiPriority w:val="39"/>
    <w:unhideWhenUsed/>
    <w:qFormat/>
    <w:rsid w:val="006E4365"/>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77458">
      <w:bodyDiv w:val="1"/>
      <w:marLeft w:val="0"/>
      <w:marRight w:val="0"/>
      <w:marTop w:val="0"/>
      <w:marBottom w:val="0"/>
      <w:divBdr>
        <w:top w:val="none" w:sz="0" w:space="0" w:color="auto"/>
        <w:left w:val="none" w:sz="0" w:space="0" w:color="auto"/>
        <w:bottom w:val="none" w:sz="0" w:space="0" w:color="auto"/>
        <w:right w:val="none" w:sz="0" w:space="0" w:color="auto"/>
      </w:divBdr>
    </w:div>
    <w:div w:id="2126657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uto.upov.int" TargetMode="External"/><Relationship Id="rId18" Type="http://schemas.openxmlformats.org/officeDocument/2006/relationships/hyperlink" Target="http://www.upov.int/members/en/pvp_office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pov.int/pluto/en/help.html" TargetMode="External"/><Relationship Id="rId17" Type="http://schemas.openxmlformats.org/officeDocument/2006/relationships/hyperlink" Target="http://www.upov.int/pluto/data/current.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pov.int/members/en/pvp_office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pluto/en/help.html"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https://www.upov.int/genie/resources/pdfs/upov_code_system_de.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pov.int/genie/de/" TargetMode="External"/><Relationship Id="rId14" Type="http://schemas.openxmlformats.org/officeDocument/2006/relationships/hyperlink" Target="https://www.upov.int/pluto"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19D49-8633-4FC0-AD56-BFE3C55AF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4999</Words>
  <Characters>30944</Characters>
  <Application>Microsoft Office Word</Application>
  <DocSecurity>0</DocSecurity>
  <Lines>1934</Lines>
  <Paragraphs>1382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TC/56/INF/3</vt:lpstr>
      <vt:lpstr>TC/56/INF/3</vt:lpstr>
    </vt:vector>
  </TitlesOfParts>
  <Company>UPOV</Company>
  <LinksUpToDate>false</LinksUpToDate>
  <CharactersWithSpaces>34561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TC/57/INF/3</dc:title>
  <dc:creator>MAY Jessica</dc:creator>
  <cp:lastModifiedBy>MAY Jessica</cp:lastModifiedBy>
  <cp:revision>29</cp:revision>
  <cp:lastPrinted>2016-11-22T15:41:00Z</cp:lastPrinted>
  <dcterms:created xsi:type="dcterms:W3CDTF">2021-10-20T13:29:00Z</dcterms:created>
  <dcterms:modified xsi:type="dcterms:W3CDTF">2021-10-25T13:28:00Z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9858e947-5775-4aad-929b-6cbb0764b6e1</vt:lpwstr>
  </property>
</Properties>
</file>