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6477BD7A" w14:textId="77777777" w:rsidTr="00EB4E9C">
        <w:tc>
          <w:tcPr>
            <w:tcW w:w="6522" w:type="dxa"/>
          </w:tcPr>
          <w:p w14:paraId="21DA60A2" w14:textId="77777777" w:rsidR="00DC3802" w:rsidRPr="00AC2883" w:rsidRDefault="00DC3802" w:rsidP="00AC2883">
            <w:r>
              <w:rPr>
                <w:noProof/>
                <w:lang w:val="en-US"/>
              </w:rPr>
              <w:drawing>
                <wp:inline distT="0" distB="0" distL="0" distR="0" wp14:anchorId="383016E0" wp14:editId="27EA6F9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1B9EAF6" w14:textId="77777777" w:rsidR="00DC3802" w:rsidRPr="007C1D92" w:rsidRDefault="00DC3802" w:rsidP="00AC2883">
            <w:pPr>
              <w:pStyle w:val="Lettrine"/>
            </w:pPr>
            <w:r>
              <w:t>G</w:t>
            </w:r>
          </w:p>
        </w:tc>
      </w:tr>
      <w:tr w:rsidR="00DC3802" w:rsidRPr="00DA4973" w14:paraId="33E21D32" w14:textId="77777777" w:rsidTr="00645CA8">
        <w:trPr>
          <w:trHeight w:val="219"/>
        </w:trPr>
        <w:tc>
          <w:tcPr>
            <w:tcW w:w="6522" w:type="dxa"/>
          </w:tcPr>
          <w:p w14:paraId="60ACD08D" w14:textId="77777777" w:rsidR="00DC3802" w:rsidRPr="00AC2883" w:rsidRDefault="00DC3802" w:rsidP="00AC2883">
            <w:pPr>
              <w:pStyle w:val="upove"/>
            </w:pPr>
            <w:r>
              <w:t>Internationaler Verband zum Schutz von Pflanzenzüchtungen</w:t>
            </w:r>
          </w:p>
        </w:tc>
        <w:tc>
          <w:tcPr>
            <w:tcW w:w="3117" w:type="dxa"/>
          </w:tcPr>
          <w:p w14:paraId="60C9AC41" w14:textId="77777777" w:rsidR="00DC3802" w:rsidRPr="00DA4973" w:rsidRDefault="00DC3802" w:rsidP="00DA4973"/>
        </w:tc>
      </w:tr>
    </w:tbl>
    <w:p w14:paraId="0486CA01" w14:textId="77777777" w:rsidR="00DC3802" w:rsidRDefault="00DC3802" w:rsidP="00DC3802"/>
    <w:p w14:paraId="42003CBD" w14:textId="77777777" w:rsidR="00445B73" w:rsidRPr="00365DC1" w:rsidRDefault="00445B73" w:rsidP="00445B7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45B73" w:rsidRPr="00C5280D" w14:paraId="7E23923E" w14:textId="77777777" w:rsidTr="004C24E1">
        <w:tc>
          <w:tcPr>
            <w:tcW w:w="6512" w:type="dxa"/>
          </w:tcPr>
          <w:p w14:paraId="1E26F73A" w14:textId="77777777" w:rsidR="00445B73" w:rsidRPr="00AC2883" w:rsidRDefault="00445B73" w:rsidP="004C24E1">
            <w:pPr>
              <w:pStyle w:val="Sessiontc"/>
              <w:spacing w:line="240" w:lineRule="auto"/>
            </w:pPr>
            <w:r>
              <w:t>Technischer Ausschuss</w:t>
            </w:r>
          </w:p>
          <w:p w14:paraId="57E73A5F" w14:textId="77777777" w:rsidR="00445B73" w:rsidRPr="00DC3802" w:rsidRDefault="00445B73" w:rsidP="004C24E1">
            <w:pPr>
              <w:pStyle w:val="Sessiontcplacedate"/>
              <w:rPr>
                <w:sz w:val="22"/>
              </w:rPr>
            </w:pPr>
            <w:r>
              <w:t>Siebenundfünfzigste Tagung</w:t>
            </w:r>
            <w:r>
              <w:br/>
              <w:t>Genf, 25. und 26. Oktober 2021</w:t>
            </w:r>
          </w:p>
        </w:tc>
        <w:tc>
          <w:tcPr>
            <w:tcW w:w="3127" w:type="dxa"/>
          </w:tcPr>
          <w:p w14:paraId="5CB7213B" w14:textId="77777777" w:rsidR="00445B73" w:rsidRPr="003C7FBE" w:rsidRDefault="00F62FC5" w:rsidP="004C24E1">
            <w:pPr>
              <w:pStyle w:val="Doccode"/>
            </w:pPr>
            <w:r>
              <w:t>TC/57/8 Add.</w:t>
            </w:r>
          </w:p>
          <w:p w14:paraId="7882C2A6" w14:textId="77777777" w:rsidR="00445B73" w:rsidRPr="003C7FBE" w:rsidRDefault="00445B73" w:rsidP="004C24E1">
            <w:pPr>
              <w:pStyle w:val="Docoriginal"/>
            </w:pPr>
            <w:r>
              <w:t>Original:</w:t>
            </w:r>
            <w:r>
              <w:rPr>
                <w:b w:val="0"/>
              </w:rPr>
              <w:t xml:space="preserve">  Englisch</w:t>
            </w:r>
          </w:p>
          <w:p w14:paraId="4B7261ED" w14:textId="77777777" w:rsidR="00445B73" w:rsidRPr="007C1D92" w:rsidRDefault="00445B73" w:rsidP="00BC1BF4">
            <w:pPr>
              <w:pStyle w:val="Docoriginal"/>
            </w:pPr>
            <w:r>
              <w:t>Datum:</w:t>
            </w:r>
            <w:r>
              <w:rPr>
                <w:b w:val="0"/>
              </w:rPr>
              <w:t xml:space="preserve">  8. Oktober 2021</w:t>
            </w:r>
          </w:p>
        </w:tc>
      </w:tr>
    </w:tbl>
    <w:p w14:paraId="35AE49DD" w14:textId="77777777" w:rsidR="00445B73" w:rsidRPr="006A644A" w:rsidRDefault="000F5DCC" w:rsidP="00445B73">
      <w:pPr>
        <w:pStyle w:val="Titleofdoc0"/>
      </w:pPr>
      <w:bookmarkStart w:id="0" w:name="TitleOfDoc"/>
      <w:bookmarkEnd w:id="0"/>
      <w:r>
        <w:t>Ergänzung zu molekularen Verfahren</w:t>
      </w:r>
    </w:p>
    <w:p w14:paraId="7A546824" w14:textId="77777777" w:rsidR="00445B73" w:rsidRPr="006A644A" w:rsidRDefault="00445B73" w:rsidP="00445B73">
      <w:pPr>
        <w:pStyle w:val="preparedby1"/>
        <w:jc w:val="left"/>
      </w:pPr>
      <w:bookmarkStart w:id="1" w:name="Prepared"/>
      <w:bookmarkEnd w:id="1"/>
      <w:r>
        <w:t>Vom Verbandsbüro erstelltes Dokument</w:t>
      </w:r>
    </w:p>
    <w:p w14:paraId="132C2A83" w14:textId="77777777" w:rsidR="00445B73" w:rsidRDefault="00445B73" w:rsidP="00445B73">
      <w:pPr>
        <w:pStyle w:val="Disclaimer"/>
      </w:pPr>
      <w:r>
        <w:t>Haftungsausschluss:  dieses Dokument gibt nicht die Grundsätze oder eine Anleitung der UPOV wieder</w:t>
      </w:r>
    </w:p>
    <w:p w14:paraId="206799C4" w14:textId="77777777" w:rsidR="000F5DCC" w:rsidRPr="001857B6" w:rsidRDefault="000F5DCC" w:rsidP="000F5DCC">
      <w:pPr>
        <w:pStyle w:val="Heading1"/>
        <w:rPr>
          <w:snapToGrid w:val="0"/>
        </w:rPr>
      </w:pPr>
      <w:bookmarkStart w:id="2" w:name="_Toc53597259"/>
      <w:bookmarkStart w:id="3" w:name="_Toc85625966"/>
      <w:r>
        <w:rPr>
          <w:snapToGrid w:val="0"/>
        </w:rPr>
        <w:t>Zusammenfassung</w:t>
      </w:r>
      <w:bookmarkEnd w:id="2"/>
      <w:bookmarkEnd w:id="3"/>
    </w:p>
    <w:p w14:paraId="4182B431" w14:textId="77777777" w:rsidR="000F5DCC" w:rsidRDefault="000F5DCC" w:rsidP="000F5DCC">
      <w:pPr>
        <w:rPr>
          <w:lang w:eastAsia="ja-JP"/>
        </w:rPr>
      </w:pPr>
    </w:p>
    <w:p w14:paraId="4E479A49" w14:textId="77777777" w:rsidR="000F5DCC" w:rsidRDefault="000F5DCC" w:rsidP="000F5DCC">
      <w:pPr>
        <w:rPr>
          <w:color w:val="000000"/>
        </w:rPr>
      </w:pPr>
      <w:r w:rsidRPr="00106B8C">
        <w:rPr>
          <w:color w:val="000000"/>
        </w:rPr>
        <w:fldChar w:fldCharType="begin"/>
      </w:r>
      <w:r w:rsidRPr="00106B8C">
        <w:rPr>
          <w:color w:val="000000"/>
        </w:rPr>
        <w:instrText xml:space="preserve"> AUTONUM  </w:instrText>
      </w:r>
      <w:r w:rsidRPr="00106B8C">
        <w:rPr>
          <w:color w:val="000000"/>
        </w:rPr>
        <w:fldChar w:fldCharType="end"/>
      </w:r>
      <w:r>
        <w:rPr>
          <w:color w:val="000000"/>
        </w:rPr>
        <w:tab/>
      </w:r>
      <w:r>
        <w:rPr>
          <w:snapToGrid w:val="0"/>
        </w:rPr>
        <w:t>Zweck dieser Ergänzung ist es, auf den im Jahr 2021 stattfindenden Tagungen der Technischen Arbeitsgruppen (TWP) und der Arbeitsgruppe für biochemische und molekulare Verfahren und insbesondere für DNS-Profilierungsverfahren (BMT) über folgende Entwicklungen Bericht zu erstatten:  1) Zusammenarbeit zwischen internationalen Organisationen; und 2) Sitzungen zur Erleichterung der Zusammenarbeit im Hinblick auf die Verwendung molekularer Verfahren.</w:t>
      </w:r>
    </w:p>
    <w:p w14:paraId="2BF6BE3C" w14:textId="77777777" w:rsidR="005D3A08" w:rsidRDefault="005D3A08" w:rsidP="005D3A08">
      <w:pPr>
        <w:jc w:val="left"/>
        <w:rPr>
          <w:rFonts w:cs="Arial"/>
          <w:snapToGrid w:val="0"/>
          <w:szCs w:val="24"/>
          <w:lang w:eastAsia="ja-JP"/>
        </w:rPr>
      </w:pPr>
    </w:p>
    <w:p w14:paraId="33ECC3DD" w14:textId="77777777" w:rsidR="00B13C2F" w:rsidRPr="002F2D51" w:rsidRDefault="00B13C2F" w:rsidP="00B13C2F">
      <w:pPr>
        <w:tabs>
          <w:tab w:val="left" w:pos="567"/>
          <w:tab w:val="left" w:pos="1134"/>
          <w:tab w:val="left" w:pos="5387"/>
          <w:tab w:val="left" w:pos="5954"/>
        </w:tabs>
      </w:pPr>
      <w:r w:rsidRPr="00B13C2F">
        <w:fldChar w:fldCharType="begin"/>
      </w:r>
      <w:r w:rsidRPr="00B13C2F">
        <w:instrText xml:space="preserve"> AUTONUM  </w:instrText>
      </w:r>
      <w:r w:rsidRPr="00B13C2F">
        <w:fldChar w:fldCharType="end"/>
      </w:r>
      <w:r>
        <w:tab/>
        <w:t>Der TC wird ersucht:</w:t>
      </w:r>
    </w:p>
    <w:p w14:paraId="1D22B461" w14:textId="77777777" w:rsidR="00B13C2F" w:rsidRPr="002F2D51" w:rsidRDefault="00B13C2F" w:rsidP="00B13C2F">
      <w:pPr>
        <w:tabs>
          <w:tab w:val="left" w:pos="567"/>
          <w:tab w:val="left" w:pos="1134"/>
          <w:tab w:val="left" w:pos="5387"/>
          <w:tab w:val="left" w:pos="5954"/>
        </w:tabs>
      </w:pPr>
    </w:p>
    <w:p w14:paraId="576E9E77" w14:textId="77777777" w:rsidR="00B13C2F" w:rsidRPr="002F2D51" w:rsidRDefault="00B13C2F" w:rsidP="00B13C2F">
      <w:pPr>
        <w:tabs>
          <w:tab w:val="left" w:pos="567"/>
          <w:tab w:val="left" w:pos="1134"/>
          <w:tab w:val="left" w:pos="5387"/>
          <w:tab w:val="left" w:pos="5954"/>
        </w:tabs>
      </w:pPr>
      <w:r>
        <w:tab/>
        <w:t>a)</w:t>
      </w:r>
      <w:r>
        <w:tab/>
        <w:t>die folgenden möglichen Themen im Rahmen einer künftigen gemeinsamen UPOV/OECD/ISTA-Arbeitstagung zu prüfen:</w:t>
      </w:r>
    </w:p>
    <w:p w14:paraId="49C22208" w14:textId="77777777" w:rsidR="00B13C2F" w:rsidRPr="002F2D51" w:rsidRDefault="00B13C2F" w:rsidP="00B13C2F">
      <w:pPr>
        <w:tabs>
          <w:tab w:val="left" w:pos="567"/>
          <w:tab w:val="left" w:pos="1134"/>
          <w:tab w:val="left" w:pos="5954"/>
        </w:tabs>
        <w:ind w:firstLine="567"/>
      </w:pPr>
    </w:p>
    <w:p w14:paraId="37A06ED7" w14:textId="77777777" w:rsidR="00B13C2F" w:rsidRPr="002F2D51" w:rsidRDefault="00810B7B" w:rsidP="00810B7B">
      <w:pPr>
        <w:pStyle w:val="ListParagraph"/>
        <w:tabs>
          <w:tab w:val="left" w:pos="567"/>
          <w:tab w:val="left" w:pos="1134"/>
          <w:tab w:val="left" w:pos="1701"/>
          <w:tab w:val="left" w:pos="5954"/>
        </w:tabs>
        <w:ind w:left="1134"/>
      </w:pPr>
      <w:r>
        <w:t>i)</w:t>
      </w:r>
      <w:r>
        <w:tab/>
        <w:t>Bereitstellung von Informationen zur Nutzung molekularer Verfahren in jeder Organisation;</w:t>
      </w:r>
    </w:p>
    <w:p w14:paraId="20C8F118" w14:textId="77777777" w:rsidR="00B13C2F" w:rsidRPr="002F2D51" w:rsidRDefault="00810B7B" w:rsidP="00810B7B">
      <w:pPr>
        <w:pStyle w:val="ListParagraph"/>
        <w:tabs>
          <w:tab w:val="left" w:pos="567"/>
          <w:tab w:val="left" w:pos="1134"/>
          <w:tab w:val="left" w:pos="1701"/>
          <w:tab w:val="left" w:pos="5954"/>
        </w:tabs>
        <w:ind w:left="1134"/>
      </w:pPr>
      <w:r>
        <w:t>ii)</w:t>
      </w:r>
      <w:r>
        <w:tab/>
        <w:t>Genehmigungsverfahren für biochemische und molekulare Verfahren in jeder Organisation; und</w:t>
      </w:r>
    </w:p>
    <w:p w14:paraId="57D5E807" w14:textId="77777777" w:rsidR="00B13C2F" w:rsidRPr="002F2D51" w:rsidRDefault="00810B7B" w:rsidP="00810B7B">
      <w:pPr>
        <w:pStyle w:val="ListParagraph"/>
        <w:tabs>
          <w:tab w:val="left" w:pos="567"/>
          <w:tab w:val="left" w:pos="1134"/>
          <w:tab w:val="left" w:pos="1701"/>
          <w:tab w:val="left" w:pos="5954"/>
        </w:tabs>
        <w:ind w:left="1134"/>
      </w:pPr>
      <w:r>
        <w:t>iii)</w:t>
      </w:r>
      <w:r>
        <w:tab/>
        <w:t xml:space="preserve">Möglichkeiten einer Harmonisierung der Verfahren zwischen UPOV, OECD und ISTA </w:t>
      </w:r>
    </w:p>
    <w:p w14:paraId="44334B3B" w14:textId="77777777" w:rsidR="00B13C2F" w:rsidRPr="002F2D51" w:rsidRDefault="00B13C2F" w:rsidP="00B13C2F">
      <w:pPr>
        <w:tabs>
          <w:tab w:val="left" w:pos="567"/>
          <w:tab w:val="left" w:pos="1134"/>
        </w:tabs>
        <w:jc w:val="left"/>
        <w:rPr>
          <w:rFonts w:cs="Arial"/>
          <w:snapToGrid w:val="0"/>
          <w:szCs w:val="24"/>
          <w:lang w:eastAsia="ja-JP"/>
        </w:rPr>
      </w:pPr>
    </w:p>
    <w:p w14:paraId="7ED9E57B" w14:textId="77777777" w:rsidR="00810B7B" w:rsidRDefault="00B13C2F" w:rsidP="00E40FFB">
      <w:pPr>
        <w:tabs>
          <w:tab w:val="left" w:pos="567"/>
          <w:tab w:val="left" w:pos="1134"/>
          <w:tab w:val="left" w:pos="5387"/>
        </w:tabs>
        <w:ind w:firstLine="567"/>
      </w:pPr>
      <w:r>
        <w:t>b)</w:t>
      </w:r>
      <w:r>
        <w:tab/>
        <w:t xml:space="preserve">zu prüfen, ob die Umfrage zur Verwendung molekularer Marker fortgesetzt werden soll, um Informationen von mehr UPOV-Mitgliedern zu erhalten; und </w:t>
      </w:r>
    </w:p>
    <w:p w14:paraId="084591BA" w14:textId="77777777" w:rsidR="00810B7B" w:rsidRDefault="00810B7B" w:rsidP="00E40FFB">
      <w:pPr>
        <w:tabs>
          <w:tab w:val="left" w:pos="567"/>
          <w:tab w:val="left" w:pos="1134"/>
          <w:tab w:val="left" w:pos="5387"/>
        </w:tabs>
        <w:ind w:firstLine="567"/>
      </w:pPr>
    </w:p>
    <w:p w14:paraId="6FF451BA" w14:textId="77777777" w:rsidR="00B13C2F" w:rsidRPr="00B13C2F" w:rsidRDefault="00810B7B" w:rsidP="00E40FFB">
      <w:pPr>
        <w:tabs>
          <w:tab w:val="left" w:pos="567"/>
          <w:tab w:val="left" w:pos="1134"/>
          <w:tab w:val="left" w:pos="5387"/>
        </w:tabs>
        <w:ind w:firstLine="567"/>
      </w:pPr>
      <w:r>
        <w:t>c)</w:t>
      </w:r>
      <w:r>
        <w:tab/>
        <w:t>die Gründe dafür zu untersuchen, dass Verbandsmitglieder auf die erste Umfrage nicht reagiert haben.</w:t>
      </w:r>
    </w:p>
    <w:p w14:paraId="0AF03F84" w14:textId="77777777" w:rsidR="00B13C2F" w:rsidRPr="00FA4478" w:rsidRDefault="00B13C2F" w:rsidP="005D3A08">
      <w:pPr>
        <w:jc w:val="left"/>
        <w:rPr>
          <w:rFonts w:cs="Arial"/>
          <w:snapToGrid w:val="0"/>
          <w:szCs w:val="24"/>
          <w:lang w:eastAsia="ja-JP"/>
        </w:rPr>
      </w:pPr>
    </w:p>
    <w:p w14:paraId="3DC150A4" w14:textId="77777777" w:rsidR="005D3A08" w:rsidRPr="00FA4478" w:rsidRDefault="005D3A08" w:rsidP="005D3A08">
      <w:pPr>
        <w:keepNext/>
        <w:keepLines/>
      </w:pPr>
      <w:r w:rsidRPr="00FA4478">
        <w:fldChar w:fldCharType="begin"/>
      </w:r>
      <w:r w:rsidRPr="00FA4478">
        <w:instrText xml:space="preserve"> AUTONUM  </w:instrText>
      </w:r>
      <w:r w:rsidRPr="00FA4478">
        <w:fldChar w:fldCharType="end"/>
      </w:r>
      <w:r>
        <w:tab/>
        <w:t>Dieses Dokument ist folgendermaßen gegliedert:</w:t>
      </w:r>
    </w:p>
    <w:sdt>
      <w:sdtPr>
        <w:rPr>
          <w:smallCaps/>
          <w:sz w:val="18"/>
        </w:rPr>
        <w:id w:val="-1800911247"/>
        <w:docPartObj>
          <w:docPartGallery w:val="Table of Contents"/>
          <w:docPartUnique/>
        </w:docPartObj>
      </w:sdtPr>
      <w:sdtEndPr>
        <w:rPr>
          <w:b/>
          <w:bCs/>
          <w:noProof/>
          <w:szCs w:val="18"/>
        </w:rPr>
      </w:sdtEndPr>
      <w:sdtContent>
        <w:p w14:paraId="3C3F8B6E" w14:textId="77777777" w:rsidR="005D3A08" w:rsidRPr="00FA4478" w:rsidRDefault="005D3A08" w:rsidP="005D3A08">
          <w:pPr>
            <w:keepNext/>
            <w:keepLines/>
            <w:rPr>
              <w:rFonts w:cs="Arial"/>
              <w:b/>
              <w:sz w:val="18"/>
            </w:rPr>
          </w:pPr>
        </w:p>
        <w:p w14:paraId="367FD62E" w14:textId="319DAE23" w:rsidR="00F438E0" w:rsidRDefault="005D3A08">
          <w:pPr>
            <w:pStyle w:val="TOC1"/>
            <w:rPr>
              <w:rFonts w:asciiTheme="minorHAnsi" w:eastAsiaTheme="minorEastAsia" w:hAnsiTheme="minorHAnsi" w:cstheme="minorBidi"/>
              <w:caps w:val="0"/>
              <w:noProof/>
              <w:sz w:val="22"/>
              <w:szCs w:val="22"/>
              <w:lang w:eastAsia="de-DE"/>
            </w:rPr>
          </w:pPr>
          <w:r w:rsidRPr="00FA4478">
            <w:rPr>
              <w:rFonts w:cs="Arial"/>
            </w:rPr>
            <w:fldChar w:fldCharType="begin"/>
          </w:r>
          <w:r w:rsidRPr="00FA4478">
            <w:rPr>
              <w:rFonts w:cs="Arial"/>
            </w:rPr>
            <w:instrText xml:space="preserve"> TOC \o "1-3" \h \z \u </w:instrText>
          </w:r>
          <w:r w:rsidRPr="00FA4478">
            <w:rPr>
              <w:rFonts w:cs="Arial"/>
            </w:rPr>
            <w:fldChar w:fldCharType="separate"/>
          </w:r>
          <w:hyperlink w:anchor="_Toc85625966" w:history="1">
            <w:r w:rsidR="00F438E0" w:rsidRPr="00215118">
              <w:rPr>
                <w:rStyle w:val="Hyperlink"/>
                <w:noProof/>
                <w:snapToGrid w:val="0"/>
              </w:rPr>
              <w:t>Zusammenfassung</w:t>
            </w:r>
            <w:r w:rsidR="00F438E0">
              <w:rPr>
                <w:noProof/>
                <w:webHidden/>
              </w:rPr>
              <w:tab/>
            </w:r>
            <w:r w:rsidR="00F438E0">
              <w:rPr>
                <w:noProof/>
                <w:webHidden/>
              </w:rPr>
              <w:fldChar w:fldCharType="begin"/>
            </w:r>
            <w:r w:rsidR="00F438E0">
              <w:rPr>
                <w:noProof/>
                <w:webHidden/>
              </w:rPr>
              <w:instrText xml:space="preserve"> PAGEREF _Toc85625966 \h </w:instrText>
            </w:r>
            <w:r w:rsidR="00F438E0">
              <w:rPr>
                <w:noProof/>
                <w:webHidden/>
              </w:rPr>
            </w:r>
            <w:r w:rsidR="00F438E0">
              <w:rPr>
                <w:noProof/>
                <w:webHidden/>
              </w:rPr>
              <w:fldChar w:fldCharType="separate"/>
            </w:r>
            <w:r w:rsidR="00F438E0">
              <w:rPr>
                <w:noProof/>
                <w:webHidden/>
              </w:rPr>
              <w:t>1</w:t>
            </w:r>
            <w:r w:rsidR="00F438E0">
              <w:rPr>
                <w:noProof/>
                <w:webHidden/>
              </w:rPr>
              <w:fldChar w:fldCharType="end"/>
            </w:r>
          </w:hyperlink>
        </w:p>
        <w:p w14:paraId="61487C66" w14:textId="364E75F7" w:rsidR="00F438E0" w:rsidRDefault="00A11A67">
          <w:pPr>
            <w:pStyle w:val="TOC1"/>
            <w:rPr>
              <w:rFonts w:asciiTheme="minorHAnsi" w:eastAsiaTheme="minorEastAsia" w:hAnsiTheme="minorHAnsi" w:cstheme="minorBidi"/>
              <w:caps w:val="0"/>
              <w:noProof/>
              <w:sz w:val="22"/>
              <w:szCs w:val="22"/>
              <w:lang w:eastAsia="de-DE"/>
            </w:rPr>
          </w:pPr>
          <w:hyperlink w:anchor="_Toc85625967" w:history="1">
            <w:r w:rsidR="00F438E0" w:rsidRPr="00215118">
              <w:rPr>
                <w:rStyle w:val="Hyperlink"/>
                <w:noProof/>
              </w:rPr>
              <w:t>Zusammenarbeit zwischen internationalen Organisationen</w:t>
            </w:r>
            <w:r w:rsidR="00F438E0">
              <w:rPr>
                <w:noProof/>
                <w:webHidden/>
              </w:rPr>
              <w:tab/>
            </w:r>
            <w:r w:rsidR="00F438E0">
              <w:rPr>
                <w:noProof/>
                <w:webHidden/>
              </w:rPr>
              <w:fldChar w:fldCharType="begin"/>
            </w:r>
            <w:r w:rsidR="00F438E0">
              <w:rPr>
                <w:noProof/>
                <w:webHidden/>
              </w:rPr>
              <w:instrText xml:space="preserve"> PAGEREF _Toc85625967 \h </w:instrText>
            </w:r>
            <w:r w:rsidR="00F438E0">
              <w:rPr>
                <w:noProof/>
                <w:webHidden/>
              </w:rPr>
            </w:r>
            <w:r w:rsidR="00F438E0">
              <w:rPr>
                <w:noProof/>
                <w:webHidden/>
              </w:rPr>
              <w:fldChar w:fldCharType="separate"/>
            </w:r>
            <w:r w:rsidR="00F438E0">
              <w:rPr>
                <w:noProof/>
                <w:webHidden/>
              </w:rPr>
              <w:t>2</w:t>
            </w:r>
            <w:r w:rsidR="00F438E0">
              <w:rPr>
                <w:noProof/>
                <w:webHidden/>
              </w:rPr>
              <w:fldChar w:fldCharType="end"/>
            </w:r>
          </w:hyperlink>
        </w:p>
        <w:p w14:paraId="34D93F27" w14:textId="272AAF48" w:rsidR="00F438E0" w:rsidRDefault="00A11A67">
          <w:pPr>
            <w:pStyle w:val="TOC2"/>
            <w:rPr>
              <w:rFonts w:asciiTheme="minorHAnsi" w:eastAsiaTheme="minorEastAsia" w:hAnsiTheme="minorHAnsi" w:cstheme="minorBidi"/>
              <w:noProof/>
              <w:sz w:val="22"/>
              <w:szCs w:val="22"/>
              <w:lang w:eastAsia="de-DE"/>
            </w:rPr>
          </w:pPr>
          <w:hyperlink w:anchor="_Toc85625968" w:history="1">
            <w:r w:rsidR="00F438E0" w:rsidRPr="00215118">
              <w:rPr>
                <w:rStyle w:val="Hyperlink"/>
                <w:noProof/>
              </w:rPr>
              <w:t>Listen möglicher gemeinsamer Initiativen mit OECD und ISTA hinsichtlich molekularer Verfahren</w:t>
            </w:r>
            <w:r w:rsidR="00F438E0">
              <w:rPr>
                <w:noProof/>
                <w:webHidden/>
              </w:rPr>
              <w:tab/>
            </w:r>
            <w:r w:rsidR="00F438E0">
              <w:rPr>
                <w:noProof/>
                <w:webHidden/>
              </w:rPr>
              <w:fldChar w:fldCharType="begin"/>
            </w:r>
            <w:r w:rsidR="00F438E0">
              <w:rPr>
                <w:noProof/>
                <w:webHidden/>
              </w:rPr>
              <w:instrText xml:space="preserve"> PAGEREF _Toc85625968 \h </w:instrText>
            </w:r>
            <w:r w:rsidR="00F438E0">
              <w:rPr>
                <w:noProof/>
                <w:webHidden/>
              </w:rPr>
            </w:r>
            <w:r w:rsidR="00F438E0">
              <w:rPr>
                <w:noProof/>
                <w:webHidden/>
              </w:rPr>
              <w:fldChar w:fldCharType="separate"/>
            </w:r>
            <w:r w:rsidR="00F438E0">
              <w:rPr>
                <w:noProof/>
                <w:webHidden/>
              </w:rPr>
              <w:t>2</w:t>
            </w:r>
            <w:r w:rsidR="00F438E0">
              <w:rPr>
                <w:noProof/>
                <w:webHidden/>
              </w:rPr>
              <w:fldChar w:fldCharType="end"/>
            </w:r>
          </w:hyperlink>
        </w:p>
        <w:p w14:paraId="0D589CCE" w14:textId="7F3AE552" w:rsidR="00F438E0" w:rsidRDefault="00A11A67">
          <w:pPr>
            <w:pStyle w:val="TOC2"/>
            <w:rPr>
              <w:rFonts w:asciiTheme="minorHAnsi" w:eastAsiaTheme="minorEastAsia" w:hAnsiTheme="minorHAnsi" w:cstheme="minorBidi"/>
              <w:noProof/>
              <w:sz w:val="22"/>
              <w:szCs w:val="22"/>
              <w:lang w:eastAsia="de-DE"/>
            </w:rPr>
          </w:pPr>
          <w:hyperlink w:anchor="_Toc85625969" w:history="1">
            <w:r w:rsidR="00F438E0" w:rsidRPr="00215118">
              <w:rPr>
                <w:rStyle w:val="Hyperlink"/>
                <w:noProof/>
              </w:rPr>
              <w:t>Gemeinsames Dokument zur Erläuterung der wesentlichen Besonderheiten der Systeme von OECD, UPOV und ISTA</w:t>
            </w:r>
            <w:r w:rsidR="00F438E0">
              <w:rPr>
                <w:noProof/>
                <w:webHidden/>
              </w:rPr>
              <w:tab/>
            </w:r>
            <w:r w:rsidR="00F438E0">
              <w:rPr>
                <w:noProof/>
                <w:webHidden/>
              </w:rPr>
              <w:fldChar w:fldCharType="begin"/>
            </w:r>
            <w:r w:rsidR="00F438E0">
              <w:rPr>
                <w:noProof/>
                <w:webHidden/>
              </w:rPr>
              <w:instrText xml:space="preserve"> PAGEREF _Toc85625969 \h </w:instrText>
            </w:r>
            <w:r w:rsidR="00F438E0">
              <w:rPr>
                <w:noProof/>
                <w:webHidden/>
              </w:rPr>
            </w:r>
            <w:r w:rsidR="00F438E0">
              <w:rPr>
                <w:noProof/>
                <w:webHidden/>
              </w:rPr>
              <w:fldChar w:fldCharType="separate"/>
            </w:r>
            <w:r w:rsidR="00F438E0">
              <w:rPr>
                <w:noProof/>
                <w:webHidden/>
              </w:rPr>
              <w:t>3</w:t>
            </w:r>
            <w:r w:rsidR="00F438E0">
              <w:rPr>
                <w:noProof/>
                <w:webHidden/>
              </w:rPr>
              <w:fldChar w:fldCharType="end"/>
            </w:r>
          </w:hyperlink>
        </w:p>
        <w:p w14:paraId="1B8431F3" w14:textId="296B453D" w:rsidR="00F438E0" w:rsidRDefault="00A11A67">
          <w:pPr>
            <w:pStyle w:val="TOC2"/>
            <w:rPr>
              <w:rFonts w:asciiTheme="minorHAnsi" w:eastAsiaTheme="minorEastAsia" w:hAnsiTheme="minorHAnsi" w:cstheme="minorBidi"/>
              <w:noProof/>
              <w:sz w:val="22"/>
              <w:szCs w:val="22"/>
              <w:lang w:eastAsia="de-DE"/>
            </w:rPr>
          </w:pPr>
          <w:hyperlink w:anchor="_Toc85625970" w:history="1">
            <w:r w:rsidR="00F438E0" w:rsidRPr="00215118">
              <w:rPr>
                <w:rStyle w:val="Hyperlink"/>
                <w:noProof/>
              </w:rPr>
              <w:t>Bestandsaufnahme zur Verwendung molekularer Markerverfahren nach Pflanze</w:t>
            </w:r>
            <w:r w:rsidR="00F438E0">
              <w:rPr>
                <w:noProof/>
                <w:webHidden/>
              </w:rPr>
              <w:tab/>
            </w:r>
            <w:r w:rsidR="00F438E0">
              <w:rPr>
                <w:noProof/>
                <w:webHidden/>
              </w:rPr>
              <w:fldChar w:fldCharType="begin"/>
            </w:r>
            <w:r w:rsidR="00F438E0">
              <w:rPr>
                <w:noProof/>
                <w:webHidden/>
              </w:rPr>
              <w:instrText xml:space="preserve"> PAGEREF _Toc85625970 \h </w:instrText>
            </w:r>
            <w:r w:rsidR="00F438E0">
              <w:rPr>
                <w:noProof/>
                <w:webHidden/>
              </w:rPr>
            </w:r>
            <w:r w:rsidR="00F438E0">
              <w:rPr>
                <w:noProof/>
                <w:webHidden/>
              </w:rPr>
              <w:fldChar w:fldCharType="separate"/>
            </w:r>
            <w:r w:rsidR="00F438E0">
              <w:rPr>
                <w:noProof/>
                <w:webHidden/>
              </w:rPr>
              <w:t>3</w:t>
            </w:r>
            <w:r w:rsidR="00F438E0">
              <w:rPr>
                <w:noProof/>
                <w:webHidden/>
              </w:rPr>
              <w:fldChar w:fldCharType="end"/>
            </w:r>
          </w:hyperlink>
        </w:p>
        <w:p w14:paraId="397D0A13" w14:textId="3A2D63D5" w:rsidR="00F438E0" w:rsidRDefault="00A11A67">
          <w:pPr>
            <w:pStyle w:val="TOC2"/>
            <w:rPr>
              <w:rFonts w:asciiTheme="minorHAnsi" w:eastAsiaTheme="minorEastAsia" w:hAnsiTheme="minorHAnsi" w:cstheme="minorBidi"/>
              <w:noProof/>
              <w:sz w:val="22"/>
              <w:szCs w:val="22"/>
              <w:lang w:eastAsia="de-DE"/>
            </w:rPr>
          </w:pPr>
          <w:hyperlink w:anchor="_Toc85625971" w:history="1">
            <w:r w:rsidR="00F438E0" w:rsidRPr="00215118">
              <w:rPr>
                <w:rStyle w:val="Hyperlink"/>
                <w:noProof/>
              </w:rPr>
              <w:t>Internationale Vereinigung für Saatgutprüfung</w:t>
            </w:r>
            <w:r w:rsidR="00F438E0">
              <w:rPr>
                <w:noProof/>
                <w:webHidden/>
              </w:rPr>
              <w:tab/>
            </w:r>
            <w:r w:rsidR="00F438E0">
              <w:rPr>
                <w:noProof/>
                <w:webHidden/>
              </w:rPr>
              <w:fldChar w:fldCharType="begin"/>
            </w:r>
            <w:r w:rsidR="00F438E0">
              <w:rPr>
                <w:noProof/>
                <w:webHidden/>
              </w:rPr>
              <w:instrText xml:space="preserve"> PAGEREF _Toc85625971 \h </w:instrText>
            </w:r>
            <w:r w:rsidR="00F438E0">
              <w:rPr>
                <w:noProof/>
                <w:webHidden/>
              </w:rPr>
            </w:r>
            <w:r w:rsidR="00F438E0">
              <w:rPr>
                <w:noProof/>
                <w:webHidden/>
              </w:rPr>
              <w:fldChar w:fldCharType="separate"/>
            </w:r>
            <w:r w:rsidR="00F438E0">
              <w:rPr>
                <w:noProof/>
                <w:webHidden/>
              </w:rPr>
              <w:t>3</w:t>
            </w:r>
            <w:r w:rsidR="00F438E0">
              <w:rPr>
                <w:noProof/>
                <w:webHidden/>
              </w:rPr>
              <w:fldChar w:fldCharType="end"/>
            </w:r>
          </w:hyperlink>
        </w:p>
        <w:p w14:paraId="0CF849BB" w14:textId="3331B1C4" w:rsidR="00F438E0" w:rsidRDefault="00A11A67">
          <w:pPr>
            <w:pStyle w:val="TOC2"/>
            <w:rPr>
              <w:rFonts w:asciiTheme="minorHAnsi" w:eastAsiaTheme="minorEastAsia" w:hAnsiTheme="minorHAnsi" w:cstheme="minorBidi"/>
              <w:noProof/>
              <w:sz w:val="22"/>
              <w:szCs w:val="22"/>
              <w:lang w:eastAsia="de-DE"/>
            </w:rPr>
          </w:pPr>
          <w:hyperlink w:anchor="_Toc85625972" w:history="1">
            <w:r w:rsidR="00F438E0" w:rsidRPr="00215118">
              <w:rPr>
                <w:rStyle w:val="Hyperlink"/>
                <w:noProof/>
              </w:rPr>
              <w:t>Organisation für wirtschaftliche Zusammenarbeit und Entwicklung</w:t>
            </w:r>
            <w:r w:rsidR="00F438E0">
              <w:rPr>
                <w:noProof/>
                <w:webHidden/>
              </w:rPr>
              <w:tab/>
            </w:r>
            <w:r w:rsidR="00F438E0">
              <w:rPr>
                <w:noProof/>
                <w:webHidden/>
              </w:rPr>
              <w:fldChar w:fldCharType="begin"/>
            </w:r>
            <w:r w:rsidR="00F438E0">
              <w:rPr>
                <w:noProof/>
                <w:webHidden/>
              </w:rPr>
              <w:instrText xml:space="preserve"> PAGEREF _Toc85625972 \h </w:instrText>
            </w:r>
            <w:r w:rsidR="00F438E0">
              <w:rPr>
                <w:noProof/>
                <w:webHidden/>
              </w:rPr>
            </w:r>
            <w:r w:rsidR="00F438E0">
              <w:rPr>
                <w:noProof/>
                <w:webHidden/>
              </w:rPr>
              <w:fldChar w:fldCharType="separate"/>
            </w:r>
            <w:r w:rsidR="00F438E0">
              <w:rPr>
                <w:noProof/>
                <w:webHidden/>
              </w:rPr>
              <w:t>3</w:t>
            </w:r>
            <w:r w:rsidR="00F438E0">
              <w:rPr>
                <w:noProof/>
                <w:webHidden/>
              </w:rPr>
              <w:fldChar w:fldCharType="end"/>
            </w:r>
          </w:hyperlink>
        </w:p>
        <w:p w14:paraId="2C3141B5" w14:textId="1FDC4B55" w:rsidR="00F438E0" w:rsidRDefault="00A11A67">
          <w:pPr>
            <w:pStyle w:val="TOC1"/>
            <w:rPr>
              <w:rFonts w:asciiTheme="minorHAnsi" w:eastAsiaTheme="minorEastAsia" w:hAnsiTheme="minorHAnsi" w:cstheme="minorBidi"/>
              <w:caps w:val="0"/>
              <w:noProof/>
              <w:sz w:val="22"/>
              <w:szCs w:val="22"/>
              <w:lang w:eastAsia="de-DE"/>
            </w:rPr>
          </w:pPr>
          <w:hyperlink w:anchor="_Toc85625973" w:history="1">
            <w:r w:rsidR="00F438E0" w:rsidRPr="00215118">
              <w:rPr>
                <w:rStyle w:val="Hyperlink"/>
                <w:noProof/>
                <w:snapToGrid w:val="0"/>
              </w:rPr>
              <w:t>Sitzung zur Erleichterung der Zusammenarbeit im Zusammenhang mit der Verwendung molekularer Verfahren</w:t>
            </w:r>
            <w:r w:rsidR="00F438E0">
              <w:rPr>
                <w:noProof/>
                <w:webHidden/>
              </w:rPr>
              <w:tab/>
            </w:r>
            <w:r w:rsidR="00F438E0">
              <w:rPr>
                <w:noProof/>
                <w:webHidden/>
              </w:rPr>
              <w:fldChar w:fldCharType="begin"/>
            </w:r>
            <w:r w:rsidR="00F438E0">
              <w:rPr>
                <w:noProof/>
                <w:webHidden/>
              </w:rPr>
              <w:instrText xml:space="preserve"> PAGEREF _Toc85625973 \h </w:instrText>
            </w:r>
            <w:r w:rsidR="00F438E0">
              <w:rPr>
                <w:noProof/>
                <w:webHidden/>
              </w:rPr>
            </w:r>
            <w:r w:rsidR="00F438E0">
              <w:rPr>
                <w:noProof/>
                <w:webHidden/>
              </w:rPr>
              <w:fldChar w:fldCharType="separate"/>
            </w:r>
            <w:r w:rsidR="00F438E0">
              <w:rPr>
                <w:noProof/>
                <w:webHidden/>
              </w:rPr>
              <w:t>4</w:t>
            </w:r>
            <w:r w:rsidR="00F438E0">
              <w:rPr>
                <w:noProof/>
                <w:webHidden/>
              </w:rPr>
              <w:fldChar w:fldCharType="end"/>
            </w:r>
          </w:hyperlink>
        </w:p>
        <w:p w14:paraId="78B28E1F" w14:textId="237CDDA4" w:rsidR="00F438E0" w:rsidRDefault="00A11A67">
          <w:pPr>
            <w:pStyle w:val="TOC2"/>
            <w:rPr>
              <w:rFonts w:asciiTheme="minorHAnsi" w:eastAsiaTheme="minorEastAsia" w:hAnsiTheme="minorHAnsi" w:cstheme="minorBidi"/>
              <w:noProof/>
              <w:sz w:val="22"/>
              <w:szCs w:val="22"/>
              <w:lang w:eastAsia="de-DE"/>
            </w:rPr>
          </w:pPr>
          <w:hyperlink w:anchor="_Toc85625974" w:history="1">
            <w:r w:rsidR="00F438E0" w:rsidRPr="00215118">
              <w:rPr>
                <w:rStyle w:val="Hyperlink"/>
                <w:noProof/>
              </w:rPr>
              <w:t>Technische Arbeitsgruppen (TWP)</w:t>
            </w:r>
            <w:r w:rsidR="00F438E0">
              <w:rPr>
                <w:noProof/>
                <w:webHidden/>
              </w:rPr>
              <w:tab/>
            </w:r>
            <w:r w:rsidR="00F438E0">
              <w:rPr>
                <w:noProof/>
                <w:webHidden/>
              </w:rPr>
              <w:fldChar w:fldCharType="begin"/>
            </w:r>
            <w:r w:rsidR="00F438E0">
              <w:rPr>
                <w:noProof/>
                <w:webHidden/>
              </w:rPr>
              <w:instrText xml:space="preserve"> PAGEREF _Toc85625974 \h </w:instrText>
            </w:r>
            <w:r w:rsidR="00F438E0">
              <w:rPr>
                <w:noProof/>
                <w:webHidden/>
              </w:rPr>
            </w:r>
            <w:r w:rsidR="00F438E0">
              <w:rPr>
                <w:noProof/>
                <w:webHidden/>
              </w:rPr>
              <w:fldChar w:fldCharType="separate"/>
            </w:r>
            <w:r w:rsidR="00F438E0">
              <w:rPr>
                <w:noProof/>
                <w:webHidden/>
              </w:rPr>
              <w:t>4</w:t>
            </w:r>
            <w:r w:rsidR="00F438E0">
              <w:rPr>
                <w:noProof/>
                <w:webHidden/>
              </w:rPr>
              <w:fldChar w:fldCharType="end"/>
            </w:r>
          </w:hyperlink>
        </w:p>
        <w:p w14:paraId="75034580" w14:textId="7C861678" w:rsidR="00F438E0" w:rsidRDefault="00A11A67">
          <w:pPr>
            <w:pStyle w:val="TOC2"/>
            <w:rPr>
              <w:rFonts w:asciiTheme="minorHAnsi" w:eastAsiaTheme="minorEastAsia" w:hAnsiTheme="minorHAnsi" w:cstheme="minorBidi"/>
              <w:noProof/>
              <w:sz w:val="22"/>
              <w:szCs w:val="22"/>
              <w:lang w:eastAsia="de-DE"/>
            </w:rPr>
          </w:pPr>
          <w:hyperlink w:anchor="_Toc85625975" w:history="1">
            <w:r w:rsidR="00F438E0" w:rsidRPr="00215118">
              <w:rPr>
                <w:rStyle w:val="Hyperlink"/>
                <w:noProof/>
              </w:rPr>
              <w:t>Arbeitsgruppe für biochemische und molekulare Verfahren und insbesondere für DNS-Profilierungsverfahren (BMT)</w:t>
            </w:r>
            <w:r w:rsidR="00F438E0">
              <w:rPr>
                <w:noProof/>
                <w:webHidden/>
              </w:rPr>
              <w:tab/>
            </w:r>
            <w:r w:rsidR="00F438E0">
              <w:rPr>
                <w:noProof/>
                <w:webHidden/>
              </w:rPr>
              <w:fldChar w:fldCharType="begin"/>
            </w:r>
            <w:r w:rsidR="00F438E0">
              <w:rPr>
                <w:noProof/>
                <w:webHidden/>
              </w:rPr>
              <w:instrText xml:space="preserve"> PAGEREF _Toc85625975 \h </w:instrText>
            </w:r>
            <w:r w:rsidR="00F438E0">
              <w:rPr>
                <w:noProof/>
                <w:webHidden/>
              </w:rPr>
            </w:r>
            <w:r w:rsidR="00F438E0">
              <w:rPr>
                <w:noProof/>
                <w:webHidden/>
              </w:rPr>
              <w:fldChar w:fldCharType="separate"/>
            </w:r>
            <w:r w:rsidR="00F438E0">
              <w:rPr>
                <w:noProof/>
                <w:webHidden/>
              </w:rPr>
              <w:t>4</w:t>
            </w:r>
            <w:r w:rsidR="00F438E0">
              <w:rPr>
                <w:noProof/>
                <w:webHidden/>
              </w:rPr>
              <w:fldChar w:fldCharType="end"/>
            </w:r>
          </w:hyperlink>
        </w:p>
        <w:p w14:paraId="22ABAB59" w14:textId="198E44A6" w:rsidR="005D3A08" w:rsidRPr="00FA4478" w:rsidRDefault="005D3A08" w:rsidP="005D3A08">
          <w:pPr>
            <w:pStyle w:val="TOC2"/>
            <w:rPr>
              <w:b/>
              <w:smallCaps/>
            </w:rPr>
          </w:pPr>
          <w:r w:rsidRPr="00FA4478">
            <w:rPr>
              <w:b/>
              <w:smallCaps/>
            </w:rPr>
            <w:fldChar w:fldCharType="end"/>
          </w:r>
        </w:p>
      </w:sdtContent>
    </w:sdt>
    <w:p w14:paraId="2ED94D60" w14:textId="77777777" w:rsidR="00BC1923" w:rsidRPr="00BC1923" w:rsidRDefault="00BC1923" w:rsidP="00BC1923">
      <w:pPr>
        <w:rPr>
          <w:sz w:val="18"/>
        </w:rPr>
      </w:pPr>
      <w:r>
        <w:rPr>
          <w:sz w:val="18"/>
        </w:rPr>
        <w:t xml:space="preserve">Anlage: Umfrage zur Zusammenarbeit mit der OECD und der ISTA unter den Teilnehmern der zwanzigsten Tagung der BMT </w:t>
      </w:r>
    </w:p>
    <w:p w14:paraId="617A1FC2" w14:textId="77777777" w:rsidR="00BC1923" w:rsidRDefault="00BC1923" w:rsidP="005D3A08"/>
    <w:p w14:paraId="2521450C" w14:textId="77777777" w:rsidR="005D3A08" w:rsidRPr="00FA4478" w:rsidRDefault="005D3A08" w:rsidP="00556142">
      <w:pPr>
        <w:keepNext/>
      </w:pPr>
      <w:r w:rsidRPr="00FA4478">
        <w:fldChar w:fldCharType="begin"/>
      </w:r>
      <w:r w:rsidRPr="00FA4478">
        <w:instrText xml:space="preserve"> AUTONUM  </w:instrText>
      </w:r>
      <w:r w:rsidRPr="00FA4478">
        <w:fldChar w:fldCharType="end"/>
      </w:r>
      <w:r>
        <w:tab/>
        <w:t>In diesem Dokument werden folgende Abkürzungen verwendet:</w:t>
      </w:r>
    </w:p>
    <w:p w14:paraId="0862A299" w14:textId="77777777" w:rsidR="005D3A08" w:rsidRPr="00FA4478" w:rsidRDefault="005D3A08" w:rsidP="00556142">
      <w:pPr>
        <w:keepNext/>
      </w:pPr>
    </w:p>
    <w:p w14:paraId="4B0474C3" w14:textId="77777777" w:rsidR="005D3A08" w:rsidRPr="00FA4478" w:rsidRDefault="005D3A08" w:rsidP="00556142">
      <w:pPr>
        <w:keepNext/>
        <w:tabs>
          <w:tab w:val="left" w:pos="567"/>
        </w:tabs>
        <w:ind w:left="1701" w:hanging="1134"/>
        <w:rPr>
          <w:sz w:val="18"/>
        </w:rPr>
      </w:pPr>
      <w:r>
        <w:rPr>
          <w:sz w:val="18"/>
        </w:rPr>
        <w:lastRenderedPageBreak/>
        <w:t>BMT:</w:t>
      </w:r>
      <w:r>
        <w:rPr>
          <w:sz w:val="18"/>
        </w:rPr>
        <w:tab/>
        <w:t xml:space="preserve">Arbeitsgruppe für biochemische und molekulare Verfahren und insbesondere für DNS-Profilierungsverfahren </w:t>
      </w:r>
    </w:p>
    <w:p w14:paraId="05004AFD" w14:textId="77777777" w:rsidR="005D3A08" w:rsidRPr="00FA4478" w:rsidRDefault="005D3A08" w:rsidP="005D3A08">
      <w:pPr>
        <w:ind w:left="1701" w:hanging="1134"/>
        <w:rPr>
          <w:rFonts w:cs="Arial"/>
          <w:snapToGrid w:val="0"/>
          <w:sz w:val="18"/>
          <w:szCs w:val="24"/>
        </w:rPr>
      </w:pPr>
      <w:r>
        <w:rPr>
          <w:snapToGrid w:val="0"/>
          <w:sz w:val="18"/>
        </w:rPr>
        <w:t xml:space="preserve">ISTA: </w:t>
      </w:r>
      <w:r>
        <w:rPr>
          <w:snapToGrid w:val="0"/>
          <w:sz w:val="18"/>
        </w:rPr>
        <w:tab/>
        <w:t>Internationale Vereinigung für Saatgutprüfung</w:t>
      </w:r>
    </w:p>
    <w:p w14:paraId="77497FD5" w14:textId="77777777" w:rsidR="005D3A08" w:rsidRPr="00FA4478" w:rsidRDefault="005D3A08" w:rsidP="005D3A08">
      <w:pPr>
        <w:ind w:left="1701" w:hanging="1134"/>
        <w:rPr>
          <w:rFonts w:eastAsia="PMingLiU" w:cs="Arial"/>
          <w:snapToGrid w:val="0"/>
          <w:sz w:val="18"/>
          <w:szCs w:val="24"/>
        </w:rPr>
      </w:pPr>
      <w:r>
        <w:rPr>
          <w:sz w:val="18"/>
        </w:rPr>
        <w:t>OECD:</w:t>
      </w:r>
      <w:r>
        <w:rPr>
          <w:sz w:val="18"/>
        </w:rPr>
        <w:tab/>
      </w:r>
      <w:r>
        <w:rPr>
          <w:snapToGrid w:val="0"/>
          <w:sz w:val="18"/>
        </w:rPr>
        <w:t>Organisation für wirtschaftliche Zusammenarbeit und Entwicklung</w:t>
      </w:r>
    </w:p>
    <w:p w14:paraId="59BA09DC" w14:textId="77777777" w:rsidR="005D3A08" w:rsidRPr="00FA4478" w:rsidRDefault="005D3A08" w:rsidP="005D3A08">
      <w:pPr>
        <w:keepNext/>
        <w:tabs>
          <w:tab w:val="left" w:pos="567"/>
        </w:tabs>
        <w:ind w:left="1701" w:hanging="1134"/>
        <w:rPr>
          <w:sz w:val="18"/>
        </w:rPr>
      </w:pPr>
      <w:r>
        <w:rPr>
          <w:sz w:val="18"/>
        </w:rPr>
        <w:t>TC:</w:t>
      </w:r>
      <w:r>
        <w:rPr>
          <w:sz w:val="18"/>
        </w:rPr>
        <w:tab/>
        <w:t>Technischer Ausschuss</w:t>
      </w:r>
    </w:p>
    <w:p w14:paraId="511923F3" w14:textId="77777777" w:rsidR="005D3A08" w:rsidRPr="00FA4478" w:rsidRDefault="005D3A08" w:rsidP="005D3A08">
      <w:pPr>
        <w:ind w:left="1701" w:hanging="1134"/>
        <w:rPr>
          <w:rFonts w:eastAsia="PMingLiU" w:cs="Arial"/>
          <w:sz w:val="18"/>
          <w:szCs w:val="24"/>
        </w:rPr>
      </w:pPr>
      <w:r>
        <w:rPr>
          <w:sz w:val="18"/>
        </w:rPr>
        <w:t>TWA:</w:t>
      </w:r>
      <w:r>
        <w:rPr>
          <w:sz w:val="18"/>
        </w:rPr>
        <w:tab/>
        <w:t>Technische Arbeitsgruppe für landwirtschaftliche Arten</w:t>
      </w:r>
    </w:p>
    <w:p w14:paraId="4C84F1C0" w14:textId="77777777" w:rsidR="005D3A08" w:rsidRPr="00FA4478" w:rsidRDefault="005D3A08" w:rsidP="005D3A08">
      <w:pPr>
        <w:ind w:left="1701" w:hanging="1134"/>
        <w:rPr>
          <w:rFonts w:eastAsia="PMingLiU" w:cs="Arial"/>
          <w:sz w:val="18"/>
          <w:szCs w:val="24"/>
        </w:rPr>
      </w:pPr>
      <w:r>
        <w:rPr>
          <w:sz w:val="18"/>
        </w:rPr>
        <w:t>TWC:</w:t>
      </w:r>
      <w:r>
        <w:rPr>
          <w:sz w:val="18"/>
        </w:rPr>
        <w:tab/>
        <w:t>Technische Arbeitsgruppe für Automatisierung und Computerprogramme</w:t>
      </w:r>
    </w:p>
    <w:p w14:paraId="233B2FBD" w14:textId="77777777" w:rsidR="005D3A08" w:rsidRPr="00FA4478" w:rsidRDefault="005D3A08" w:rsidP="005D3A08">
      <w:pPr>
        <w:ind w:left="1701" w:hanging="1134"/>
        <w:rPr>
          <w:rFonts w:eastAsia="PMingLiU" w:cs="Arial"/>
          <w:sz w:val="18"/>
          <w:szCs w:val="24"/>
        </w:rPr>
      </w:pPr>
      <w:r>
        <w:rPr>
          <w:sz w:val="18"/>
        </w:rPr>
        <w:t>TWF:</w:t>
      </w:r>
      <w:r>
        <w:rPr>
          <w:sz w:val="18"/>
        </w:rPr>
        <w:tab/>
        <w:t>Technische Arbeitsgruppe für Obstarten</w:t>
      </w:r>
    </w:p>
    <w:p w14:paraId="30A32919" w14:textId="77777777" w:rsidR="005D3A08" w:rsidRPr="00FA4478" w:rsidRDefault="005D3A08" w:rsidP="005D3A08">
      <w:pPr>
        <w:ind w:left="1701" w:hanging="1134"/>
        <w:rPr>
          <w:rFonts w:eastAsia="PMingLiU" w:cs="Arial"/>
          <w:sz w:val="18"/>
          <w:szCs w:val="24"/>
        </w:rPr>
      </w:pPr>
      <w:r>
        <w:rPr>
          <w:sz w:val="18"/>
        </w:rPr>
        <w:t>TWM:</w:t>
      </w:r>
      <w:r>
        <w:rPr>
          <w:sz w:val="18"/>
        </w:rPr>
        <w:tab/>
        <w:t xml:space="preserve">Technische Arbeitsgruppe für Prüfmethoden und -techniken </w:t>
      </w:r>
    </w:p>
    <w:p w14:paraId="7E6C69D6" w14:textId="77777777" w:rsidR="005D3A08" w:rsidRPr="00FA4478" w:rsidRDefault="005D3A08" w:rsidP="005D3A08">
      <w:pPr>
        <w:ind w:left="1701" w:hanging="1134"/>
        <w:rPr>
          <w:rFonts w:eastAsia="PMingLiU" w:cs="Arial"/>
          <w:sz w:val="18"/>
          <w:szCs w:val="24"/>
        </w:rPr>
      </w:pPr>
      <w:r>
        <w:rPr>
          <w:sz w:val="18"/>
        </w:rPr>
        <w:t>TWO:</w:t>
      </w:r>
      <w:r>
        <w:rPr>
          <w:sz w:val="18"/>
        </w:rPr>
        <w:tab/>
        <w:t>Technische Arbeitsgruppe für Zierpflanzen und forstliche Baumarten</w:t>
      </w:r>
    </w:p>
    <w:p w14:paraId="20253B11" w14:textId="77777777" w:rsidR="005D3A08" w:rsidRPr="00FA4478" w:rsidRDefault="005D3A08" w:rsidP="005D3A08">
      <w:pPr>
        <w:ind w:left="1701" w:hanging="1134"/>
        <w:rPr>
          <w:rFonts w:eastAsia="PMingLiU" w:cs="Arial"/>
          <w:sz w:val="18"/>
          <w:szCs w:val="24"/>
        </w:rPr>
      </w:pPr>
      <w:r>
        <w:rPr>
          <w:sz w:val="18"/>
        </w:rPr>
        <w:t>TWP:</w:t>
      </w:r>
      <w:r>
        <w:rPr>
          <w:sz w:val="18"/>
        </w:rPr>
        <w:tab/>
        <w:t>Technische Arbeitsgruppen</w:t>
      </w:r>
    </w:p>
    <w:p w14:paraId="4F57CC9F" w14:textId="77777777" w:rsidR="005D3A08" w:rsidRPr="00FA4478" w:rsidRDefault="005D3A08" w:rsidP="005D3A08">
      <w:pPr>
        <w:ind w:left="1701" w:hanging="1134"/>
        <w:rPr>
          <w:rFonts w:eastAsia="PMingLiU" w:cs="Arial"/>
          <w:sz w:val="18"/>
          <w:szCs w:val="24"/>
        </w:rPr>
      </w:pPr>
      <w:r>
        <w:rPr>
          <w:sz w:val="18"/>
        </w:rPr>
        <w:t>TWV:</w:t>
      </w:r>
      <w:r>
        <w:rPr>
          <w:sz w:val="18"/>
        </w:rPr>
        <w:tab/>
        <w:t>Technische Arbeitsgruppe für Gemüsearten</w:t>
      </w:r>
    </w:p>
    <w:p w14:paraId="7651DA9B" w14:textId="77777777" w:rsidR="00106B8C" w:rsidRDefault="00106B8C" w:rsidP="000F5DCC">
      <w:pPr>
        <w:rPr>
          <w:lang w:eastAsia="ja-JP"/>
        </w:rPr>
      </w:pPr>
    </w:p>
    <w:p w14:paraId="3D3C6D43" w14:textId="77777777" w:rsidR="00BC1BF4" w:rsidRDefault="00BC1BF4" w:rsidP="000F5DCC">
      <w:pPr>
        <w:rPr>
          <w:lang w:eastAsia="ja-JP"/>
        </w:rPr>
      </w:pPr>
    </w:p>
    <w:p w14:paraId="52386E0B" w14:textId="77777777" w:rsidR="00BC1BF4" w:rsidRDefault="00BC1BF4" w:rsidP="000F5DCC">
      <w:pPr>
        <w:rPr>
          <w:lang w:eastAsia="ja-JP"/>
        </w:rPr>
      </w:pPr>
    </w:p>
    <w:p w14:paraId="59E27981" w14:textId="77777777" w:rsidR="00081DED" w:rsidRPr="00FA4478" w:rsidRDefault="00081DED" w:rsidP="00632265">
      <w:pPr>
        <w:pStyle w:val="Heading1"/>
      </w:pPr>
      <w:bookmarkStart w:id="4" w:name="_Toc525647214"/>
      <w:bookmarkStart w:id="5" w:name="_Toc526175654"/>
      <w:bookmarkStart w:id="6" w:name="_Toc69722875"/>
      <w:bookmarkStart w:id="7" w:name="_Toc84364036"/>
      <w:bookmarkStart w:id="8" w:name="_Toc85625967"/>
      <w:r>
        <w:t>Zusammenarbeit zwischen internationalen Organisationen</w:t>
      </w:r>
      <w:bookmarkEnd w:id="4"/>
      <w:bookmarkEnd w:id="5"/>
      <w:bookmarkEnd w:id="6"/>
      <w:bookmarkEnd w:id="7"/>
      <w:bookmarkEnd w:id="8"/>
    </w:p>
    <w:p w14:paraId="605C3E13" w14:textId="77777777" w:rsidR="00247689" w:rsidRPr="00247689" w:rsidRDefault="00247689" w:rsidP="00632265">
      <w:pPr>
        <w:keepNext/>
        <w:keepLines/>
        <w:rPr>
          <w:lang w:eastAsia="ja-JP"/>
        </w:rPr>
      </w:pPr>
    </w:p>
    <w:p w14:paraId="4DC6548A" w14:textId="77777777" w:rsidR="00247689" w:rsidRPr="00FA4478" w:rsidRDefault="00247689" w:rsidP="00632265">
      <w:pPr>
        <w:keepNext/>
        <w:keepLines/>
      </w:pPr>
      <w:r>
        <w:fldChar w:fldCharType="begin"/>
      </w:r>
      <w:r>
        <w:instrText xml:space="preserve"> AUTONUM  </w:instrText>
      </w:r>
      <w:r>
        <w:fldChar w:fldCharType="end"/>
      </w:r>
      <w:r>
        <w:tab/>
        <w:t>Auf ihren 2021 stattfindenden Tagungen prüften die TWV</w:t>
      </w:r>
      <w:r w:rsidRPr="00FA4478">
        <w:rPr>
          <w:vertAlign w:val="superscript"/>
        </w:rPr>
        <w:footnoteReference w:id="2"/>
      </w:r>
      <w:r>
        <w:t>, die TWO</w:t>
      </w:r>
      <w:r w:rsidRPr="00FA4478">
        <w:rPr>
          <w:vertAlign w:val="superscript"/>
        </w:rPr>
        <w:footnoteReference w:id="3"/>
      </w:r>
      <w:r>
        <w:t>, die TWA</w:t>
      </w:r>
      <w:r w:rsidRPr="00FA4478">
        <w:rPr>
          <w:vertAlign w:val="superscript"/>
        </w:rPr>
        <w:footnoteReference w:id="4"/>
      </w:r>
      <w:r>
        <w:t>, die TWF</w:t>
      </w:r>
      <w:r w:rsidRPr="00FA4478">
        <w:rPr>
          <w:vertAlign w:val="superscript"/>
        </w:rPr>
        <w:footnoteReference w:id="5"/>
      </w:r>
      <w:r>
        <w:t xml:space="preserve"> und die TWC</w:t>
      </w:r>
      <w:r w:rsidRPr="00FA4478">
        <w:rPr>
          <w:rStyle w:val="FootnoteReference"/>
        </w:rPr>
        <w:footnoteReference w:id="6"/>
      </w:r>
      <w:r>
        <w:t xml:space="preserve"> Dokument TWP/5/7 „Molekulare Verfahren“ (vergleiche die Dokumente TWV/55/16 „Bericht“, Absätze 51 bis 55; TWO/53/10 „Bericht“, Absätze 59 bis 61; TWA/50/9 „Bericht“, Absätze 88 bis 90; TWF/52/10 „Bericht“, Absätze 13 bis 15; und TWC/39/9 „Bericht“, Absätze 72 bis 76).</w:t>
      </w:r>
    </w:p>
    <w:p w14:paraId="4CA612B7" w14:textId="77777777" w:rsidR="00247689" w:rsidRDefault="00247689" w:rsidP="00081DED"/>
    <w:p w14:paraId="1A28D57E" w14:textId="77777777" w:rsidR="00247689" w:rsidRDefault="00247689" w:rsidP="00081DED">
      <w:r>
        <w:fldChar w:fldCharType="begin"/>
      </w:r>
      <w:r>
        <w:instrText xml:space="preserve"> AUTONUM  </w:instrText>
      </w:r>
      <w:r>
        <w:fldChar w:fldCharType="end"/>
      </w:r>
      <w:r>
        <w:tab/>
        <w:t>Die BMT prüfte auf ihrer zwanzigsten Tagung</w:t>
      </w:r>
      <w:r>
        <w:rPr>
          <w:rStyle w:val="FootnoteReference"/>
        </w:rPr>
        <w:footnoteReference w:id="7"/>
      </w:r>
      <w:r>
        <w:t xml:space="preserve"> Dokument BMT/20/4 „Zusammenarbeit zwischen internationalen Organisationen“ (vergleiche Dokument BMT/20/12 „Bericht“, Absätze 13 bis 24).</w:t>
      </w:r>
    </w:p>
    <w:p w14:paraId="2B93028A" w14:textId="77777777" w:rsidR="00247689" w:rsidRDefault="00247689" w:rsidP="00081DED"/>
    <w:p w14:paraId="41D531B6" w14:textId="77777777" w:rsidR="003E7D87" w:rsidRPr="00FA4478" w:rsidRDefault="003E7D87" w:rsidP="00081DED"/>
    <w:p w14:paraId="2AE0FB32" w14:textId="77777777" w:rsidR="00081DED" w:rsidRPr="00FA4478" w:rsidRDefault="00081DED" w:rsidP="00BC1923">
      <w:pPr>
        <w:pStyle w:val="Heading2"/>
      </w:pPr>
      <w:bookmarkStart w:id="9" w:name="_Toc14980929"/>
      <w:bookmarkStart w:id="10" w:name="_Toc15059500"/>
      <w:bookmarkStart w:id="11" w:name="_Toc15295345"/>
      <w:bookmarkStart w:id="12" w:name="_Toc22564624"/>
      <w:bookmarkStart w:id="13" w:name="_Toc27663378"/>
      <w:bookmarkStart w:id="14" w:name="_Toc69722878"/>
      <w:bookmarkStart w:id="15" w:name="_Toc84364038"/>
      <w:bookmarkStart w:id="16" w:name="_Toc85625968"/>
      <w:r>
        <w:t>Listen möglicher gemeinsamer Initiativen mit OECD und ISTA hinsichtlich molekularer Verfahren</w:t>
      </w:r>
      <w:bookmarkEnd w:id="9"/>
      <w:bookmarkEnd w:id="10"/>
      <w:bookmarkEnd w:id="11"/>
      <w:bookmarkEnd w:id="12"/>
      <w:bookmarkEnd w:id="13"/>
      <w:bookmarkEnd w:id="14"/>
      <w:bookmarkEnd w:id="15"/>
      <w:bookmarkEnd w:id="16"/>
    </w:p>
    <w:p w14:paraId="14116C1B" w14:textId="77777777" w:rsidR="00081DED" w:rsidRPr="00FA4478" w:rsidRDefault="00081DED" w:rsidP="00081DED"/>
    <w:p w14:paraId="7B6D1176" w14:textId="77777777" w:rsidR="00081DED" w:rsidRPr="00FC712E" w:rsidRDefault="00081DED" w:rsidP="00081DED">
      <w:r w:rsidRPr="00FA4478">
        <w:fldChar w:fldCharType="begin"/>
      </w:r>
      <w:r w:rsidRPr="00FA4478">
        <w:instrText xml:space="preserve"> AUTONUM  </w:instrText>
      </w:r>
      <w:r w:rsidRPr="00FA4478">
        <w:fldChar w:fldCharType="end"/>
      </w:r>
      <w:r>
        <w:tab/>
        <w:t xml:space="preserve">Die TWP und die BMT merkten an, dass der TC auf seiner sechsundfünfzigsten Tagung vereinbart habe, dass in naher Zukunft eine weitere gemeinsame Arbeitstagung von OECD, UPOV und ISTA über molekulare Verfahren veranstaltet werden soll. </w:t>
      </w:r>
    </w:p>
    <w:p w14:paraId="2243CAEA" w14:textId="77777777" w:rsidR="00081DED" w:rsidRPr="00FC712E" w:rsidRDefault="00081DED" w:rsidP="00081DED"/>
    <w:p w14:paraId="1DCC2DFB" w14:textId="77777777" w:rsidR="00081DED" w:rsidRPr="00FC712E" w:rsidRDefault="00081DED" w:rsidP="00081DED">
      <w:r w:rsidRPr="00FC712E">
        <w:fldChar w:fldCharType="begin"/>
      </w:r>
      <w:r w:rsidRPr="00FC712E">
        <w:instrText xml:space="preserve"> AUTONUM  </w:instrText>
      </w:r>
      <w:r w:rsidRPr="00FC712E">
        <w:fldChar w:fldCharType="end"/>
      </w:r>
      <w:r>
        <w:tab/>
        <w:t>Die TWP und die BMT merkten an, dass der TC sich darüber einig gewesen sei, dass eine gemeinsame Arbeitstagung von OECD, UPOV und ISTA über molekulare Verfahren Gelegenheit bieten würde, die in molekularen Verfahren verwendeten Begriffe mit dem Ziel einer Harmonisierung zu erörtern.</w:t>
      </w:r>
    </w:p>
    <w:p w14:paraId="3D0CA7C9" w14:textId="77777777" w:rsidR="00081DED" w:rsidRPr="00FC712E" w:rsidRDefault="00081DED" w:rsidP="00081DED"/>
    <w:p w14:paraId="298DAD4D" w14:textId="77777777" w:rsidR="00081DED" w:rsidRPr="00A17C89" w:rsidRDefault="00081DED" w:rsidP="00081DED">
      <w:r w:rsidRPr="00FC712E">
        <w:fldChar w:fldCharType="begin"/>
      </w:r>
      <w:r w:rsidRPr="00FC712E">
        <w:instrText xml:space="preserve"> AUTONUM  </w:instrText>
      </w:r>
      <w:r w:rsidRPr="00FC712E">
        <w:fldChar w:fldCharType="end"/>
      </w:r>
      <w:r>
        <w:tab/>
        <w:t>Die BMT merkte an, dass auf ihrer zwanzigsten Tagung eine Befragung durchgeführt worden sei, in der die Teilnehmer sich zu folgenden Punkten äußern sollten:</w:t>
      </w:r>
    </w:p>
    <w:p w14:paraId="3B3E304D" w14:textId="77777777" w:rsidR="00081DED" w:rsidRPr="00A17C89" w:rsidRDefault="00081DED" w:rsidP="00081DED"/>
    <w:p w14:paraId="5BCFBED5" w14:textId="77777777" w:rsidR="00081DED" w:rsidRPr="00A17C89" w:rsidRDefault="00081DED" w:rsidP="00081DED">
      <w:pPr>
        <w:pStyle w:val="ListParagraph"/>
        <w:numPr>
          <w:ilvl w:val="0"/>
          <w:numId w:val="11"/>
        </w:numPr>
        <w:ind w:left="851" w:hanging="284"/>
      </w:pPr>
      <w:r>
        <w:t>Welche gemeinsamen Interessengebiete haben UPOV, OECD und ISTA bezüglich der Verwendung biochemischer und molekularer Verfahren?</w:t>
      </w:r>
    </w:p>
    <w:p w14:paraId="4BD8C872" w14:textId="77777777" w:rsidR="00081DED" w:rsidRPr="00A17C89" w:rsidRDefault="00081DED" w:rsidP="00081DED">
      <w:pPr>
        <w:pStyle w:val="ListParagraph"/>
        <w:numPr>
          <w:ilvl w:val="0"/>
          <w:numId w:val="11"/>
        </w:numPr>
        <w:ind w:left="851" w:hanging="284"/>
      </w:pPr>
      <w:r>
        <w:t>Welche Themen würden sich für eine gemeinsame Arbeitstagung von UPOV, OECD und ISTA zu biochemischen und molekularen Verfahren eignen?</w:t>
      </w:r>
    </w:p>
    <w:p w14:paraId="568E99CD" w14:textId="77777777" w:rsidR="00081DED" w:rsidRPr="00A17C89" w:rsidRDefault="00081DED" w:rsidP="00081DED"/>
    <w:p w14:paraId="37AF25E4" w14:textId="77777777" w:rsidR="00081DED" w:rsidRPr="00A17C89" w:rsidRDefault="00081DED" w:rsidP="00556142">
      <w:pPr>
        <w:keepNext/>
        <w:keepLines/>
      </w:pPr>
      <w:r w:rsidRPr="00A17C89">
        <w:fldChar w:fldCharType="begin"/>
      </w:r>
      <w:r w:rsidRPr="00A17C89">
        <w:instrText xml:space="preserve"> AUTONUM  </w:instrText>
      </w:r>
      <w:r w:rsidRPr="00A17C89">
        <w:fldChar w:fldCharType="end"/>
      </w:r>
      <w:r>
        <w:tab/>
        <w:t>Die BMT prüfte die Antworten auf die Befragung, wie in Anlage II dieses Dokuments wiedergegeben, und vereinbarte, für eine künftige gemeinsame Arbeitstagung von UPOV, OECD und ISTA die folgenden möglichen Themen vorzuschlagen:</w:t>
      </w:r>
    </w:p>
    <w:p w14:paraId="554D5C31" w14:textId="77777777" w:rsidR="00081DED" w:rsidRPr="00A17C89" w:rsidRDefault="00081DED" w:rsidP="00556142">
      <w:pPr>
        <w:keepNext/>
        <w:keepLines/>
      </w:pPr>
    </w:p>
    <w:p w14:paraId="13D69EC4" w14:textId="77777777" w:rsidR="00081DED" w:rsidRPr="001D3076" w:rsidRDefault="00081DED" w:rsidP="00556142">
      <w:pPr>
        <w:pStyle w:val="ListParagraph"/>
        <w:keepNext/>
        <w:keepLines/>
        <w:numPr>
          <w:ilvl w:val="0"/>
          <w:numId w:val="10"/>
        </w:numPr>
        <w:ind w:left="851" w:hanging="284"/>
      </w:pPr>
      <w:r>
        <w:t>Bereitstellung von Informationen zur Nutzung molekularer Verfahren in jeder Organisation;</w:t>
      </w:r>
    </w:p>
    <w:p w14:paraId="2B958C50" w14:textId="77777777" w:rsidR="00081DED" w:rsidRPr="001D3076" w:rsidRDefault="00081DED" w:rsidP="00556142">
      <w:pPr>
        <w:pStyle w:val="ListParagraph"/>
        <w:keepNext/>
        <w:keepLines/>
        <w:numPr>
          <w:ilvl w:val="0"/>
          <w:numId w:val="10"/>
        </w:numPr>
        <w:ind w:left="851" w:hanging="284"/>
      </w:pPr>
      <w:r>
        <w:t>Genehmigungsverfahren für biochemische und molekulare Verfahren in jeder Organisation; und</w:t>
      </w:r>
    </w:p>
    <w:p w14:paraId="23349B00" w14:textId="77777777" w:rsidR="00081DED" w:rsidRPr="001D3076" w:rsidRDefault="00081DED" w:rsidP="00556142">
      <w:pPr>
        <w:pStyle w:val="ListParagraph"/>
        <w:keepNext/>
        <w:keepLines/>
        <w:numPr>
          <w:ilvl w:val="0"/>
          <w:numId w:val="10"/>
        </w:numPr>
        <w:ind w:left="851" w:hanging="284"/>
      </w:pPr>
      <w:r>
        <w:t xml:space="preserve">Möglichkeiten einer Harmonisierung der Verfahren zwischen UPOV, OECD und ISTA </w:t>
      </w:r>
    </w:p>
    <w:p w14:paraId="342B22D9" w14:textId="77777777" w:rsidR="00081DED" w:rsidRPr="00A17C89" w:rsidRDefault="00081DED" w:rsidP="00081DED">
      <w:pPr>
        <w:pStyle w:val="ListParagraph"/>
        <w:ind w:left="851"/>
      </w:pPr>
    </w:p>
    <w:p w14:paraId="75E49C1F" w14:textId="77777777" w:rsidR="005D0BEA" w:rsidRPr="005D0BEA" w:rsidRDefault="005D0BEA" w:rsidP="005D0BEA">
      <w:pPr>
        <w:tabs>
          <w:tab w:val="left" w:pos="5387"/>
          <w:tab w:val="left" w:pos="5954"/>
        </w:tabs>
        <w:ind w:left="4820"/>
        <w:rPr>
          <w:i/>
        </w:rPr>
      </w:pPr>
      <w:r w:rsidRPr="005D0BEA">
        <w:rPr>
          <w:i/>
        </w:rPr>
        <w:fldChar w:fldCharType="begin"/>
      </w:r>
      <w:r w:rsidRPr="005D0BEA">
        <w:rPr>
          <w:i/>
        </w:rPr>
        <w:instrText xml:space="preserve"> AUTONUM  </w:instrText>
      </w:r>
      <w:r w:rsidRPr="005D0BEA">
        <w:rPr>
          <w:i/>
        </w:rPr>
        <w:fldChar w:fldCharType="end"/>
      </w:r>
      <w:r>
        <w:tab/>
        <w:t xml:space="preserve">Der </w:t>
      </w:r>
      <w:r>
        <w:rPr>
          <w:i/>
        </w:rPr>
        <w:t>TC wird ersucht, die folgenden möglichen Themen im Rahmen einer künftigen gemeinsamen UPOV/OECD/ISTA-Arbeitstagung zu prüfen:</w:t>
      </w:r>
    </w:p>
    <w:p w14:paraId="5E46416E" w14:textId="77777777" w:rsidR="005D0BEA" w:rsidRPr="005D0BEA" w:rsidRDefault="005D0BEA" w:rsidP="005D0BEA">
      <w:pPr>
        <w:tabs>
          <w:tab w:val="left" w:pos="5954"/>
        </w:tabs>
        <w:ind w:left="4820" w:firstLine="567"/>
        <w:rPr>
          <w:i/>
        </w:rPr>
      </w:pPr>
    </w:p>
    <w:p w14:paraId="4848EFA7" w14:textId="77777777" w:rsidR="005D0BEA" w:rsidRPr="005D0BEA" w:rsidRDefault="00810B7B" w:rsidP="00810B7B">
      <w:pPr>
        <w:pStyle w:val="DecisionParagraphs"/>
      </w:pPr>
      <w:r>
        <w:tab/>
        <w:t>i)</w:t>
      </w:r>
      <w:r>
        <w:tab/>
        <w:t>Bereitstellung von Informationen zur Nutzung molekularer Verfahren in jeder Organisation;</w:t>
      </w:r>
    </w:p>
    <w:p w14:paraId="311EB994" w14:textId="77777777" w:rsidR="005D0BEA" w:rsidRPr="005D0BEA" w:rsidRDefault="00810B7B" w:rsidP="00810B7B">
      <w:pPr>
        <w:pStyle w:val="DecisionParagraphs"/>
      </w:pPr>
      <w:r>
        <w:tab/>
        <w:t>ii)</w:t>
      </w:r>
      <w:r>
        <w:tab/>
        <w:t>Genehmigungsverfahren für biochemische und molekulare Verfahren in jeder Organisation; und</w:t>
      </w:r>
    </w:p>
    <w:p w14:paraId="02C2296D" w14:textId="77777777" w:rsidR="005D0BEA" w:rsidRPr="005D0BEA" w:rsidRDefault="00810B7B" w:rsidP="00810B7B">
      <w:pPr>
        <w:pStyle w:val="DecisionParagraphs"/>
      </w:pPr>
      <w:r>
        <w:tab/>
        <w:t>iii)</w:t>
      </w:r>
      <w:r>
        <w:tab/>
        <w:t xml:space="preserve">Möglichkeiten einer Harmonisierung der Verfahren zwischen UPOV, OECD und ISTA </w:t>
      </w:r>
    </w:p>
    <w:p w14:paraId="6DBBF916" w14:textId="77777777" w:rsidR="00081DED" w:rsidRDefault="00081DED" w:rsidP="00081DED"/>
    <w:p w14:paraId="5F4FAD90" w14:textId="77777777" w:rsidR="00081DED" w:rsidRPr="00FA4478" w:rsidRDefault="00081DED" w:rsidP="00081DED"/>
    <w:p w14:paraId="0EC265BA" w14:textId="77777777" w:rsidR="00081DED" w:rsidRPr="00FA4478" w:rsidRDefault="00081DED" w:rsidP="00BC1BF4">
      <w:pPr>
        <w:pStyle w:val="Heading2"/>
      </w:pPr>
      <w:bookmarkStart w:id="17" w:name="_Toc69722881"/>
      <w:bookmarkStart w:id="18" w:name="_Toc84364039"/>
      <w:bookmarkStart w:id="19" w:name="_Toc85625969"/>
      <w:r>
        <w:t>Gemeinsames Dokument zur Erläuterung der wesentlichen Besonderheiten der Systeme von OECD, UPOV und ISTA</w:t>
      </w:r>
      <w:bookmarkEnd w:id="17"/>
      <w:bookmarkEnd w:id="18"/>
      <w:bookmarkEnd w:id="19"/>
    </w:p>
    <w:p w14:paraId="52C54013" w14:textId="77777777" w:rsidR="00081DED" w:rsidRPr="00FA4478" w:rsidRDefault="00081DED" w:rsidP="00BC1BF4">
      <w:pPr>
        <w:keepNext/>
      </w:pPr>
    </w:p>
    <w:p w14:paraId="7437F8E2" w14:textId="77777777" w:rsidR="00081DED" w:rsidRPr="00FA4478" w:rsidRDefault="00081DED" w:rsidP="00BC1BF4">
      <w:pPr>
        <w:keepNext/>
      </w:pPr>
      <w:r w:rsidRPr="00FA4478">
        <w:fldChar w:fldCharType="begin"/>
      </w:r>
      <w:r w:rsidRPr="00FA4478">
        <w:instrText xml:space="preserve"> AUTONUM  </w:instrText>
      </w:r>
      <w:r w:rsidRPr="00FA4478">
        <w:fldChar w:fldCharType="end"/>
      </w:r>
      <w:r>
        <w:tab/>
        <w:t>Die TWP und die BMT merkten an, dass der Entwurf eines gemeinsamen Dokuments zur Erläuterung der wesentlichen Besonderheiten der Systeme von OECD, UPOV und ISTA dem TC auf seiner siebenundfünfzigsten Tagung zur Prüfung vorgelegt werden würde.</w:t>
      </w:r>
    </w:p>
    <w:p w14:paraId="2253EA18" w14:textId="77777777" w:rsidR="00081DED" w:rsidRPr="00A17C89" w:rsidRDefault="00081DED" w:rsidP="00081DED">
      <w:pPr>
        <w:keepNext/>
      </w:pPr>
    </w:p>
    <w:p w14:paraId="08485517" w14:textId="77777777" w:rsidR="00081DED" w:rsidRPr="00A17C89" w:rsidRDefault="00081DED" w:rsidP="00081DED">
      <w:pPr>
        <w:keepNext/>
      </w:pPr>
      <w:r w:rsidRPr="00A17C89">
        <w:fldChar w:fldCharType="begin"/>
      </w:r>
      <w:r w:rsidRPr="00A17C89">
        <w:instrText xml:space="preserve"> AUTONUM  </w:instrText>
      </w:r>
      <w:r w:rsidRPr="00A17C89">
        <w:fldChar w:fldCharType="end"/>
      </w:r>
      <w:r>
        <w:tab/>
        <w:t>Die BMT merkte auf ihrer zwanzigsten Tagung an, dass der TC, sofern er dem Entwurf des gemeinsamen Dokuments zustimmt, ersucht würde, das Verbandsbüro zu bitten, die OECD und die ISTA entsprechend zu informieren.</w:t>
      </w:r>
    </w:p>
    <w:p w14:paraId="59F519F0" w14:textId="77777777" w:rsidR="005A2275" w:rsidRDefault="005A2275" w:rsidP="000F5DCC">
      <w:pPr>
        <w:rPr>
          <w:lang w:eastAsia="ja-JP"/>
        </w:rPr>
      </w:pPr>
    </w:p>
    <w:p w14:paraId="2AF0EA13" w14:textId="77777777" w:rsidR="00BC1923" w:rsidRPr="00FA4478" w:rsidRDefault="00BC1923" w:rsidP="00BC1923">
      <w:pPr>
        <w:keepNext/>
      </w:pPr>
    </w:p>
    <w:p w14:paraId="7750A53A" w14:textId="77777777" w:rsidR="00BC1923" w:rsidRPr="00FA4478" w:rsidRDefault="00BC1923" w:rsidP="00BC1923">
      <w:pPr>
        <w:pStyle w:val="Heading2"/>
      </w:pPr>
      <w:bookmarkStart w:id="20" w:name="_Toc14980928"/>
      <w:bookmarkStart w:id="21" w:name="_Toc15059498"/>
      <w:bookmarkStart w:id="22" w:name="_Toc15295343"/>
      <w:bookmarkStart w:id="23" w:name="_Toc22564623"/>
      <w:bookmarkStart w:id="24" w:name="_Toc27663377"/>
      <w:bookmarkStart w:id="25" w:name="_Toc69722877"/>
      <w:bookmarkStart w:id="26" w:name="_Toc84364037"/>
      <w:bookmarkStart w:id="27" w:name="_Toc85625970"/>
      <w:r>
        <w:t xml:space="preserve">Bestandsaufnahme zur Verwendung molekularer </w:t>
      </w:r>
      <w:proofErr w:type="spellStart"/>
      <w:r>
        <w:t>Markerverfahren</w:t>
      </w:r>
      <w:proofErr w:type="spellEnd"/>
      <w:r>
        <w:t xml:space="preserve"> nach Pflanze</w:t>
      </w:r>
      <w:bookmarkEnd w:id="20"/>
      <w:bookmarkEnd w:id="21"/>
      <w:bookmarkEnd w:id="22"/>
      <w:bookmarkEnd w:id="23"/>
      <w:bookmarkEnd w:id="24"/>
      <w:bookmarkEnd w:id="25"/>
      <w:bookmarkEnd w:id="26"/>
      <w:bookmarkEnd w:id="27"/>
    </w:p>
    <w:p w14:paraId="6BDFA977" w14:textId="77777777" w:rsidR="00BC1923" w:rsidRPr="00FA4478" w:rsidRDefault="00BC1923" w:rsidP="00BC1923">
      <w:pPr>
        <w:keepNext/>
      </w:pPr>
    </w:p>
    <w:p w14:paraId="7E751CC2" w14:textId="77777777" w:rsidR="00BC1923" w:rsidRPr="00BC1923" w:rsidRDefault="00BC1923" w:rsidP="00BC1923">
      <w:r w:rsidRPr="00BC1923">
        <w:fldChar w:fldCharType="begin"/>
      </w:r>
      <w:r w:rsidRPr="00BC1923">
        <w:instrText xml:space="preserve"> AUTONUM  </w:instrText>
      </w:r>
      <w:r w:rsidRPr="00BC1923">
        <w:fldChar w:fldCharType="end"/>
      </w:r>
      <w:r>
        <w:tab/>
        <w:t xml:space="preserve">Die TWP und die BMT merkten an, dass das Verbandsbüro am 16. Oktober 2020 das Rundschreiben E-20/189 herausgegeben hat, in dem die Mitglieder ersucht wurden, die Befragung zur Verwendung molekularer </w:t>
      </w:r>
      <w:proofErr w:type="spellStart"/>
      <w:r>
        <w:t>Markerverfahren</w:t>
      </w:r>
      <w:proofErr w:type="spellEnd"/>
      <w:r>
        <w:t xml:space="preserve"> bis zum 15. Dezember 2020 durchzuführen.</w:t>
      </w:r>
    </w:p>
    <w:p w14:paraId="6DDD3948" w14:textId="77777777" w:rsidR="00BC1923" w:rsidRPr="00BC1923" w:rsidRDefault="00BC1923" w:rsidP="00BC1923"/>
    <w:p w14:paraId="5AEB7445" w14:textId="7FDB3A8A" w:rsidR="00BC1923" w:rsidRPr="00BC1923" w:rsidRDefault="00BC1923" w:rsidP="00BC1923">
      <w:r w:rsidRPr="00BC1923">
        <w:fldChar w:fldCharType="begin"/>
      </w:r>
      <w:r w:rsidRPr="00BC1923">
        <w:instrText xml:space="preserve"> AUTONUM  </w:instrText>
      </w:r>
      <w:r w:rsidRPr="00BC1923">
        <w:fldChar w:fldCharType="end"/>
      </w:r>
      <w:r>
        <w:tab/>
        <w:t>Die TWP und die BMT merkten an, dass die Ergebnisse der Befragung dem Technischen Ausschuss auf seiner siebenundfünfzigsten Tagung im Jahr 2021 vorgelegt würden.</w:t>
      </w:r>
    </w:p>
    <w:p w14:paraId="15D85150" w14:textId="77777777" w:rsidR="00BC1923" w:rsidRPr="00BC1923" w:rsidRDefault="00BC1923" w:rsidP="00BC1923"/>
    <w:p w14:paraId="26B4202A" w14:textId="77777777" w:rsidR="00BC1923" w:rsidRDefault="00BC1923" w:rsidP="00BC1923">
      <w:r w:rsidRPr="00BC1923">
        <w:fldChar w:fldCharType="begin"/>
      </w:r>
      <w:r w:rsidRPr="00BC1923">
        <w:instrText xml:space="preserve"> AUTONUM  </w:instrText>
      </w:r>
      <w:r w:rsidRPr="00BC1923">
        <w:fldChar w:fldCharType="end"/>
      </w:r>
      <w:r>
        <w:tab/>
        <w:t xml:space="preserve">Die BMT merkte auf ihrer zwanzigsten Tagung an, dass der Technische Ausschuss (TC) auf seiner siebenundfünfzigsten Tagung ersucht würde, das Verbandsbüro zu bitten, die OECD über das Ergebnis der Befragung zu unterrichten und dem TC auf seiner achtundfünfzigsten Tagung über die Entwicklungen zu </w:t>
      </w:r>
      <w:proofErr w:type="gramStart"/>
      <w:r>
        <w:t>berichten.</w:t>
      </w:r>
      <w:r>
        <w:noBreakHyphen/>
      </w:r>
      <w:proofErr w:type="gramEnd"/>
    </w:p>
    <w:p w14:paraId="6742A447" w14:textId="77777777" w:rsidR="003E7D87" w:rsidRDefault="003E7D87" w:rsidP="00BC1923"/>
    <w:p w14:paraId="02A51A67" w14:textId="77777777" w:rsidR="00BC1BF4" w:rsidRDefault="00BC1BF4" w:rsidP="00BC1923"/>
    <w:p w14:paraId="12F29665" w14:textId="77777777" w:rsidR="003E7D87" w:rsidRPr="003E7D87" w:rsidRDefault="003E7D87" w:rsidP="003E7D87">
      <w:pPr>
        <w:pStyle w:val="Heading2"/>
      </w:pPr>
      <w:bookmarkStart w:id="28" w:name="_Toc85625971"/>
      <w:r>
        <w:t>Internationale Vereinigung für Saatgutprüfung</w:t>
      </w:r>
      <w:bookmarkEnd w:id="28"/>
    </w:p>
    <w:p w14:paraId="7F806447" w14:textId="77777777" w:rsidR="003E7D87" w:rsidRPr="003E7D87" w:rsidRDefault="003E7D87" w:rsidP="003E7D87"/>
    <w:p w14:paraId="7B93E27D" w14:textId="77777777" w:rsidR="003E7D87" w:rsidRPr="003E7D87" w:rsidRDefault="003E7D87" w:rsidP="003E7D87">
      <w:pPr>
        <w:rPr>
          <w:rFonts w:cs="Arial"/>
          <w:iCs/>
        </w:rPr>
      </w:pPr>
      <w:r w:rsidRPr="003E7D87">
        <w:fldChar w:fldCharType="begin"/>
      </w:r>
      <w:r w:rsidRPr="003E7D87">
        <w:instrText xml:space="preserve"> AUTONUM  </w:instrText>
      </w:r>
      <w:r w:rsidRPr="003E7D87">
        <w:fldChar w:fldCharType="end"/>
      </w:r>
      <w:r>
        <w:tab/>
        <w:t xml:space="preserve">Die BMT hörte auf ihrer zwanzigsten Tagung ein Referat von Frau Ana Laura Vicario (Internationale Vereinigung für Saatgutprüfung (ISTA)) zum „ISTA-Bericht über biochemische und molekulare Verfahren“, dessen Text in Dokument BMT/20/11 wiedergegeben ist. </w:t>
      </w:r>
    </w:p>
    <w:p w14:paraId="7364C86C" w14:textId="77777777" w:rsidR="003E7D87" w:rsidRPr="003E7D87" w:rsidRDefault="003E7D87" w:rsidP="003E7D87"/>
    <w:p w14:paraId="7C69D08A" w14:textId="77777777" w:rsidR="003E7D87" w:rsidRPr="003E7D87" w:rsidRDefault="003E7D87" w:rsidP="003E7D87">
      <w:r w:rsidRPr="003E7D87">
        <w:fldChar w:fldCharType="begin"/>
      </w:r>
      <w:r w:rsidRPr="003E7D87">
        <w:instrText xml:space="preserve"> AUTONUM  </w:instrText>
      </w:r>
      <w:r w:rsidRPr="003E7D87">
        <w:fldChar w:fldCharType="end"/>
      </w:r>
      <w:r>
        <w:tab/>
        <w:t>Die BMT war sich einig, dass es nützlich sei, mehr über den im Referat beschriebenen Fortschritt bei ISTA-Validierungsverfahren zu erfahren.</w:t>
      </w:r>
    </w:p>
    <w:p w14:paraId="02724156" w14:textId="77777777" w:rsidR="003E7D87" w:rsidRDefault="003E7D87" w:rsidP="003E7D87"/>
    <w:p w14:paraId="744135D0" w14:textId="77777777" w:rsidR="003E7D87" w:rsidRPr="003E7D87" w:rsidRDefault="003E7D87" w:rsidP="003E7D87"/>
    <w:p w14:paraId="04BA67E7" w14:textId="77777777" w:rsidR="003E7D87" w:rsidRPr="003E7D87" w:rsidRDefault="003E7D87" w:rsidP="003E7D87">
      <w:pPr>
        <w:pStyle w:val="Heading2"/>
        <w:rPr>
          <w:rFonts w:cs="Arial"/>
        </w:rPr>
      </w:pPr>
      <w:bookmarkStart w:id="29" w:name="_Toc85625972"/>
      <w:r>
        <w:t>Organisation für wirtschaftliche Zusammenarbeit und Entwicklung</w:t>
      </w:r>
      <w:bookmarkEnd w:id="29"/>
    </w:p>
    <w:p w14:paraId="7E30AC5B" w14:textId="77777777" w:rsidR="003E7D87" w:rsidRPr="003E7D87" w:rsidRDefault="003E7D87" w:rsidP="003E7D87"/>
    <w:p w14:paraId="2C511C0A" w14:textId="77777777" w:rsidR="003E7D87" w:rsidRPr="003E7D87" w:rsidRDefault="003E7D87" w:rsidP="003E7D87">
      <w:pPr>
        <w:rPr>
          <w:rFonts w:cs="Arial"/>
          <w:iCs/>
        </w:rPr>
      </w:pPr>
      <w:r w:rsidRPr="003E7D87">
        <w:fldChar w:fldCharType="begin"/>
      </w:r>
      <w:r w:rsidRPr="003E7D87">
        <w:instrText xml:space="preserve"> AUTONUM  </w:instrText>
      </w:r>
      <w:r w:rsidRPr="003E7D87">
        <w:fldChar w:fldCharType="end"/>
      </w:r>
      <w:r>
        <w:tab/>
        <w:t xml:space="preserve">Die BMT hörte auf ihrer zwanzigsten Tagung ein Referat von Frau Csaba </w:t>
      </w:r>
      <w:proofErr w:type="gramStart"/>
      <w:r>
        <w:t>Gaspar  (</w:t>
      </w:r>
      <w:proofErr w:type="gramEnd"/>
      <w:r>
        <w:t xml:space="preserve">Organisation für wirtschaftliche Zusammenarbeit und Entwicklung (OECD)) zum „Derzeitigen Status biochemischer und molekularer Verfahren im Rahmen der OECD-Saatgutsysteme“, dessen Text in Dokument BMT/20/10 wiedergegeben ist. </w:t>
      </w:r>
    </w:p>
    <w:p w14:paraId="3EAD8493" w14:textId="77777777" w:rsidR="003E7D87" w:rsidRPr="003E7D87" w:rsidRDefault="003E7D87" w:rsidP="003E7D87">
      <w:pPr>
        <w:rPr>
          <w:rFonts w:cs="Arial"/>
          <w:iCs/>
        </w:rPr>
      </w:pPr>
    </w:p>
    <w:p w14:paraId="21C3C62F" w14:textId="77777777" w:rsidR="003E7D87" w:rsidRPr="00A17C89" w:rsidRDefault="003E7D87" w:rsidP="003E7D87">
      <w:pPr>
        <w:rPr>
          <w:rFonts w:cs="Arial"/>
          <w:iCs/>
        </w:rPr>
      </w:pPr>
      <w:r w:rsidRPr="003E7D87">
        <w:rPr>
          <w:rFonts w:cs="Arial"/>
        </w:rPr>
        <w:fldChar w:fldCharType="begin"/>
      </w:r>
      <w:r w:rsidRPr="003E7D87">
        <w:rPr>
          <w:rFonts w:cs="Arial"/>
        </w:rPr>
        <w:instrText xml:space="preserve"> AUTONUM  </w:instrText>
      </w:r>
      <w:r w:rsidRPr="003E7D87">
        <w:rPr>
          <w:rFonts w:cs="Arial"/>
        </w:rPr>
        <w:fldChar w:fldCharType="end"/>
      </w:r>
      <w:r>
        <w:tab/>
        <w:t xml:space="preserve">Die BMT nahm das von der OECD geäußerte Interesse zur Kenntnis, die Zusammenarbeit mit der UPOV in Fragen, welche die Verwendung molekularer Marker in den Organisationen betreffen, weiterzuführen und vereinbarte, dass die gemeinsamen Initiativen fortgesetzt werden sollten. </w:t>
      </w:r>
    </w:p>
    <w:p w14:paraId="6E96B730" w14:textId="77777777" w:rsidR="00BC1923" w:rsidRDefault="00BC1923" w:rsidP="000F5DCC">
      <w:pPr>
        <w:rPr>
          <w:lang w:eastAsia="ja-JP"/>
        </w:rPr>
      </w:pPr>
    </w:p>
    <w:p w14:paraId="26FE9C88" w14:textId="77777777" w:rsidR="00BC1BF4" w:rsidRDefault="00BC1BF4" w:rsidP="000F5DCC">
      <w:pPr>
        <w:rPr>
          <w:lang w:eastAsia="ja-JP"/>
        </w:rPr>
      </w:pPr>
    </w:p>
    <w:p w14:paraId="10C7DD0F" w14:textId="77777777" w:rsidR="00405763" w:rsidRPr="00FA4478" w:rsidRDefault="00405763" w:rsidP="00405763"/>
    <w:p w14:paraId="5E783F25" w14:textId="77777777" w:rsidR="00405763" w:rsidRPr="00FA4478" w:rsidRDefault="00405763" w:rsidP="00BC1923">
      <w:pPr>
        <w:pStyle w:val="Heading1"/>
      </w:pPr>
      <w:bookmarkStart w:id="30" w:name="_Toc69722870"/>
      <w:bookmarkStart w:id="31" w:name="_Toc84364034"/>
      <w:bookmarkStart w:id="32" w:name="_Toc85625973"/>
      <w:r>
        <w:rPr>
          <w:snapToGrid w:val="0"/>
        </w:rPr>
        <w:t>Sitzung zur Erleichterung der Zusammenarbeit im Zusammenhang mit der Verwendung molekularer Verfahren</w:t>
      </w:r>
      <w:bookmarkEnd w:id="30"/>
      <w:bookmarkEnd w:id="31"/>
      <w:bookmarkEnd w:id="32"/>
    </w:p>
    <w:p w14:paraId="461B5F35" w14:textId="77777777" w:rsidR="00405763" w:rsidRDefault="00405763" w:rsidP="00405763">
      <w:pPr>
        <w:keepNext/>
      </w:pPr>
    </w:p>
    <w:p w14:paraId="23205C42" w14:textId="77777777" w:rsidR="003E7D87" w:rsidRDefault="003E7D87" w:rsidP="003E7D87">
      <w:pPr>
        <w:pStyle w:val="Heading2"/>
      </w:pPr>
      <w:bookmarkStart w:id="33" w:name="_Toc85625974"/>
      <w:r>
        <w:t>Technische Arbeitsgruppen (TWP)</w:t>
      </w:r>
      <w:bookmarkEnd w:id="33"/>
    </w:p>
    <w:p w14:paraId="2B8007F3" w14:textId="77777777" w:rsidR="003E7D87" w:rsidRPr="00FA4478" w:rsidRDefault="003E7D87" w:rsidP="00405763">
      <w:pPr>
        <w:keepNext/>
      </w:pPr>
    </w:p>
    <w:p w14:paraId="69BDC30D" w14:textId="77777777" w:rsidR="00405763" w:rsidRPr="00FA4478" w:rsidRDefault="00405763" w:rsidP="00405763">
      <w:r w:rsidRPr="00FA4478">
        <w:fldChar w:fldCharType="begin"/>
      </w:r>
      <w:r w:rsidRPr="00FA4478">
        <w:instrText xml:space="preserve"> AUTONUM  </w:instrText>
      </w:r>
      <w:r w:rsidRPr="00FA4478">
        <w:fldChar w:fldCharType="end"/>
      </w:r>
      <w:r>
        <w:tab/>
        <w:t>Auf ihren 2021 stattfindenden Tagungen nahmen die TWP die den Teilnehmern der neunzehnten Tagung der BMT erteilten Informationen über ihre Arbeit auf dem Gebiet der biochemischen und molekularen Verfahren und über Bereiche für die Zusammenarbeit, wie in Anlage I von Dokument TC/5/7 wiedergegeben, zur Kenntnis (vergleiche die Dokumente TWV/55/16 „Bericht“, Absätze 48 und 49; TWO/53/10 „Bericht“, Absatz 57; TWA/50/9 „Bericht“, Absätze 85 und 86; TWF/52/10 „Bericht“, Absätze 10 und 11; und TWC/39/9 „Bericht“, Absatz 70).</w:t>
      </w:r>
    </w:p>
    <w:p w14:paraId="2FF0B865" w14:textId="77777777" w:rsidR="00405763" w:rsidRPr="00FA4478" w:rsidRDefault="00405763" w:rsidP="00405763"/>
    <w:p w14:paraId="40DEB908" w14:textId="08905947" w:rsidR="00405763" w:rsidRPr="00FC712E" w:rsidRDefault="00405763" w:rsidP="00405763">
      <w:r w:rsidRPr="00FC712E">
        <w:fldChar w:fldCharType="begin"/>
      </w:r>
      <w:r w:rsidRPr="00FC712E">
        <w:instrText xml:space="preserve"> AUTONUM  </w:instrText>
      </w:r>
      <w:r w:rsidRPr="00FC712E">
        <w:fldChar w:fldCharType="end"/>
      </w:r>
      <w:r>
        <w:tab/>
        <w:t>Die TWV bildete auf ihrer fünfundfünfzigsten Tagung einen Gesprächskreis, um den Teilnehmern die Möglichkeit zu geben, Informationen über ihre Arbeit bezüglich biochemischer und molekularer Verfahren auszutauschen und Bereiche für die Zusammenarbeit auszuloten.</w:t>
      </w:r>
      <w:r w:rsidR="005637C1">
        <w:t xml:space="preserve"> </w:t>
      </w:r>
      <w:r>
        <w:t>Der Gesprächskreis tauschte sich über Tomate, Salat und Paprika aus.</w:t>
      </w:r>
    </w:p>
    <w:p w14:paraId="3B6D468B" w14:textId="77777777" w:rsidR="00405763" w:rsidRPr="00FC712E" w:rsidRDefault="00405763" w:rsidP="00405763"/>
    <w:p w14:paraId="6A3805C8" w14:textId="796E05CE" w:rsidR="00405763" w:rsidRPr="00FA4478" w:rsidRDefault="00405763" w:rsidP="00405763">
      <w:r w:rsidRPr="00FC712E">
        <w:fldChar w:fldCharType="begin"/>
      </w:r>
      <w:r w:rsidRPr="00FC712E">
        <w:instrText xml:space="preserve"> AUTONUM  </w:instrText>
      </w:r>
      <w:r w:rsidRPr="00FC712E">
        <w:fldChar w:fldCharType="end"/>
      </w:r>
      <w:r>
        <w:tab/>
        <w:t>Die TWA veranstaltete auf ihrer fünfzigsten Tagung eine Gesprächsrunde, um den Teilnehmern die Möglichkeit zu geben, Informationen über ihre Arbeit bezüglich biochemischer und molekularer Verfahren auszutauschen und im Hinblick auf Sojabohne, Kartoffel, Raps, Hanf, Ackerbohne und Weizen Bereiche für eine mögliche Zusammenarbeit auszuloten.</w:t>
      </w:r>
      <w:r w:rsidR="005637C1">
        <w:t xml:space="preserve"> </w:t>
      </w:r>
      <w:r>
        <w:t xml:space="preserve">Die TWA vereinbarte, dazu aufzurufen, dass auf </w:t>
      </w:r>
      <w:proofErr w:type="gramStart"/>
      <w:r>
        <w:t>ihrer  einundfünfzigsten</w:t>
      </w:r>
      <w:proofErr w:type="gramEnd"/>
      <w:r>
        <w:t xml:space="preserve"> Tagung im Jahr 2022 Referate zu biochemischen und molekularen Verfahren im Hinblick auf die jeweils besprochenen Pflanzen gehalten werden.</w:t>
      </w:r>
    </w:p>
    <w:p w14:paraId="0242A7D8" w14:textId="77777777" w:rsidR="00405763" w:rsidRPr="00FA4478" w:rsidRDefault="00405763" w:rsidP="00405763"/>
    <w:p w14:paraId="522DC94F" w14:textId="0CE1B19D" w:rsidR="00405763" w:rsidRPr="00FA4478" w:rsidRDefault="00405763" w:rsidP="00405763">
      <w:r w:rsidRPr="00FA4478">
        <w:fldChar w:fldCharType="begin"/>
      </w:r>
      <w:r w:rsidRPr="00FA4478">
        <w:instrText xml:space="preserve"> AUTONUM  </w:instrText>
      </w:r>
      <w:r w:rsidRPr="00FA4478">
        <w:fldChar w:fldCharType="end"/>
      </w:r>
      <w:r>
        <w:tab/>
        <w:t>Die TWF veranstaltete auf ihrer dreiundfünfzigsten Tagung eine Gesprächsrunde, um den Teilnehmern die Möglichkeit zu geben, Informationen über ihre Arbeit bezüglich biochemischer und molekularer Verfahren auszutauschen und im Hinblick auf Apfel, Erdbeere und Pfirsich Bereiche für die Zusammenarbeit auszuloten. Die TWF vereinbarte, die Sachverständigen aus der Europäischen Union und Frankreich dazu einzuladen, auf ihrer dreiundfünfzigsten Tagung Referate zur Nutzung molekulare Verfahren bei der DUS-Prüfung von Apfelsorten zu halten.</w:t>
      </w:r>
    </w:p>
    <w:p w14:paraId="4190AC40" w14:textId="77777777" w:rsidR="00405763" w:rsidRDefault="00405763" w:rsidP="00405763"/>
    <w:p w14:paraId="662CE7D8" w14:textId="77777777" w:rsidR="003E7D87" w:rsidRDefault="003E7D87" w:rsidP="00405763"/>
    <w:p w14:paraId="63C72614" w14:textId="77777777" w:rsidR="003E7D87" w:rsidRDefault="003E7D87" w:rsidP="003E7D87">
      <w:pPr>
        <w:pStyle w:val="Heading2"/>
      </w:pPr>
      <w:bookmarkStart w:id="34" w:name="_Toc85625975"/>
      <w:r>
        <w:t>Arbeitsgruppe für biochemische und molekulare Verfahren und insbesondere für DNS-Profilierungsverfahren (BMT)</w:t>
      </w:r>
      <w:bookmarkEnd w:id="34"/>
    </w:p>
    <w:p w14:paraId="6A0CBA95" w14:textId="77777777" w:rsidR="003E7D87" w:rsidRPr="00FA4478" w:rsidRDefault="003E7D87" w:rsidP="00405763"/>
    <w:p w14:paraId="055EE6DC" w14:textId="77777777" w:rsidR="00405763" w:rsidRPr="00A17C89" w:rsidRDefault="00405763" w:rsidP="00405763">
      <w:r w:rsidRPr="00A17C89">
        <w:fldChar w:fldCharType="begin"/>
      </w:r>
      <w:r w:rsidRPr="00A17C89">
        <w:instrText xml:space="preserve"> AUTONUM  </w:instrText>
      </w:r>
      <w:r w:rsidRPr="00A17C89">
        <w:fldChar w:fldCharType="end"/>
      </w:r>
      <w:r>
        <w:tab/>
        <w:t>Die BMT prüfte auf ihrer zwanzigsten Tagung Dokument BMT/20/6 „Zusammenarbeit zwischen internationalen Organisationen“ (vergleiche Dokument BMT/20/12 „Bericht“, Absätze 28 bis 35).</w:t>
      </w:r>
    </w:p>
    <w:p w14:paraId="24CB3BA6" w14:textId="77777777" w:rsidR="00405763" w:rsidRPr="00A17C89" w:rsidRDefault="00405763" w:rsidP="00405763"/>
    <w:p w14:paraId="23BC0BD9" w14:textId="77777777" w:rsidR="00405763" w:rsidRPr="00A17C89" w:rsidRDefault="00405763" w:rsidP="00405763">
      <w:r w:rsidRPr="00A17C89">
        <w:fldChar w:fldCharType="begin"/>
      </w:r>
      <w:r w:rsidRPr="00A17C89">
        <w:instrText xml:space="preserve"> AUTONUM  </w:instrText>
      </w:r>
      <w:r w:rsidRPr="00A17C89">
        <w:fldChar w:fldCharType="end"/>
      </w:r>
      <w:r>
        <w:tab/>
        <w:t>Die BMT erinnerte an die von den Teilnehmern der neunzehnten Tagung der BMT erteilten Informationen über ihre Arbeit auf dem Gebiet der biochemischen und molekularen Verfahren und über Bereiche für die Zusammenarbeit, wie in der Anlage von Dokument BMT/20/6 wiedergegeben.</w:t>
      </w:r>
    </w:p>
    <w:p w14:paraId="001F54AF" w14:textId="77777777" w:rsidR="00405763" w:rsidRPr="00A17C89" w:rsidRDefault="00405763" w:rsidP="00405763"/>
    <w:p w14:paraId="4D0070AD" w14:textId="77777777" w:rsidR="00405763" w:rsidRPr="00FC712E" w:rsidRDefault="00405763" w:rsidP="00405763">
      <w:r w:rsidRPr="00A17C89">
        <w:fldChar w:fldCharType="begin"/>
      </w:r>
      <w:r w:rsidRPr="00A17C89">
        <w:instrText xml:space="preserve"> AUTONUM  </w:instrText>
      </w:r>
      <w:r w:rsidRPr="00A17C89">
        <w:fldChar w:fldCharType="end"/>
      </w:r>
      <w:r>
        <w:tab/>
        <w:t>Die BMT nahm Informationen zu den Diskussionsgruppen zur Kenntnis, die in den Technischen Arbeitsgruppen auf deren Tagungen im Jahr 2021 gebildet worden waren, um den Teilnehmern die Möglichkeit zu geben, Informationen über ihre Arbeit bezüglich biochemischer und molekularer Verfahren auszutauschen und Bereiche für die Zusammenarbeit auszuloten.</w:t>
      </w:r>
    </w:p>
    <w:p w14:paraId="24EF720B" w14:textId="77777777" w:rsidR="00405763" w:rsidRPr="00FC712E" w:rsidRDefault="00405763" w:rsidP="00405763"/>
    <w:p w14:paraId="10F6E604" w14:textId="77777777" w:rsidR="00405763" w:rsidRPr="00FC712E" w:rsidRDefault="00405763" w:rsidP="00405763">
      <w:r w:rsidRPr="00FC712E">
        <w:fldChar w:fldCharType="begin"/>
      </w:r>
      <w:r w:rsidRPr="00FC712E">
        <w:instrText xml:space="preserve"> AUTONUM  </w:instrText>
      </w:r>
      <w:r w:rsidRPr="00FC712E">
        <w:fldChar w:fldCharType="end"/>
      </w:r>
      <w:r>
        <w:tab/>
        <w:t xml:space="preserve">Die BMT veranstaltete eine Gesprächsrunde, um den Teilnehmern die Möglichkeit zu geben, Informationen über ihre Arbeit bezüglich biochemischer und molekularer Verfahren auszutauschen und Bereiche für die Zusammenarbeit auszuloten.  </w:t>
      </w:r>
    </w:p>
    <w:p w14:paraId="6AE2EF02" w14:textId="77777777" w:rsidR="00405763" w:rsidRPr="00FC712E" w:rsidRDefault="00405763" w:rsidP="00405763"/>
    <w:p w14:paraId="1EF80B7A" w14:textId="77777777" w:rsidR="00405763" w:rsidRPr="00FC712E" w:rsidRDefault="00405763" w:rsidP="00405763">
      <w:r w:rsidRPr="00FC712E">
        <w:fldChar w:fldCharType="begin"/>
      </w:r>
      <w:r w:rsidRPr="00FC712E">
        <w:instrText xml:space="preserve"> AUTONUM  </w:instrText>
      </w:r>
      <w:r w:rsidRPr="00FC712E">
        <w:fldChar w:fldCharType="end"/>
      </w:r>
      <w:r>
        <w:tab/>
        <w:t>Die BMT prüfte, ob die UPOV die Harmonisierung und Zusammenarbeit zwischen Mitgliedern, die bereits molekulare Marker bei der DUS-Prüfung verwenden, unterstützen kann oder Informationen oder Dienste im Zusammenhang mit biochemischen und molekularen Verfahren für andere UPOV-Mitglieder zugänglich machen kann.</w:t>
      </w:r>
    </w:p>
    <w:p w14:paraId="2CDD0297" w14:textId="77777777" w:rsidR="00405763" w:rsidRPr="00FC712E" w:rsidRDefault="00405763" w:rsidP="00405763"/>
    <w:p w14:paraId="35B92855" w14:textId="77777777" w:rsidR="00405763" w:rsidRPr="00274192" w:rsidRDefault="00405763" w:rsidP="00405763">
      <w:r w:rsidRPr="00FC712E">
        <w:fldChar w:fldCharType="begin"/>
      </w:r>
      <w:r w:rsidRPr="00FC712E">
        <w:instrText xml:space="preserve"> AUTONUM  </w:instrText>
      </w:r>
      <w:r w:rsidRPr="00FC712E">
        <w:fldChar w:fldCharType="end"/>
      </w:r>
      <w:r>
        <w:tab/>
        <w:t xml:space="preserve">Die BMT war sich einig darüber, dass Informationen über die Verwendung molekularer Marker nach Pflanze wichtig seien, um die Zusammenarbeit zwischen den UPOV-Mitgliedern zu fördern, und vereinbarte, die Fortsetzung der Befragung zur Verwendung molekularer Marker vorzuschlagen, um Informationen von mehr UPOV-Mitgliedern zu erhalten. </w:t>
      </w:r>
    </w:p>
    <w:p w14:paraId="1B4D17AD" w14:textId="77777777" w:rsidR="00405763" w:rsidRPr="00274192" w:rsidRDefault="00405763" w:rsidP="00405763"/>
    <w:p w14:paraId="779216AB" w14:textId="77777777" w:rsidR="00405763" w:rsidRPr="00FC712E" w:rsidRDefault="00405763" w:rsidP="00405763">
      <w:r w:rsidRPr="00274192">
        <w:fldChar w:fldCharType="begin"/>
      </w:r>
      <w:r w:rsidRPr="00274192">
        <w:instrText xml:space="preserve"> AUTONUM  </w:instrText>
      </w:r>
      <w:r w:rsidRPr="00274192">
        <w:fldChar w:fldCharType="end"/>
      </w:r>
      <w:r>
        <w:tab/>
        <w:t xml:space="preserve">Die BMT war sich einig darüber, dass es nützlich wäre, wenn die Gründe für die ausgebliebene Reaktion auf die erste Umfrage bestätigt würden.  </w:t>
      </w:r>
    </w:p>
    <w:p w14:paraId="3A7CA19F" w14:textId="77777777" w:rsidR="00405763" w:rsidRPr="00FC712E" w:rsidRDefault="00405763" w:rsidP="00405763"/>
    <w:p w14:paraId="5A512235" w14:textId="77777777" w:rsidR="00405763" w:rsidRDefault="00405763" w:rsidP="00405763">
      <w:r w:rsidRPr="00FC712E">
        <w:fldChar w:fldCharType="begin"/>
      </w:r>
      <w:r w:rsidRPr="00FC712E">
        <w:instrText xml:space="preserve"> AUTONUM  </w:instrText>
      </w:r>
      <w:r w:rsidRPr="00FC712E">
        <w:fldChar w:fldCharType="end"/>
      </w:r>
      <w:r>
        <w:tab/>
        <w:t>Die BMT vereinbarte, dass die Möglichkeit, während der Tagungen Gesprächskreise zu bilden, beibehalten werden sollte.</w:t>
      </w:r>
    </w:p>
    <w:p w14:paraId="759A3619" w14:textId="77777777" w:rsidR="005A2275" w:rsidRDefault="005A2275" w:rsidP="000F5DCC">
      <w:pPr>
        <w:rPr>
          <w:lang w:eastAsia="ja-JP"/>
        </w:rPr>
      </w:pPr>
    </w:p>
    <w:p w14:paraId="381A5E09" w14:textId="77777777" w:rsidR="00BA54F6" w:rsidRDefault="005D0BEA" w:rsidP="001C09E0">
      <w:pPr>
        <w:tabs>
          <w:tab w:val="left" w:pos="5387"/>
        </w:tabs>
        <w:ind w:left="4820" w:hanging="50"/>
        <w:rPr>
          <w:i/>
        </w:rPr>
      </w:pPr>
      <w:r w:rsidRPr="005D0BEA">
        <w:rPr>
          <w:i/>
        </w:rPr>
        <w:fldChar w:fldCharType="begin"/>
      </w:r>
      <w:r w:rsidRPr="005D0BEA">
        <w:rPr>
          <w:i/>
        </w:rPr>
        <w:instrText xml:space="preserve"> AUTONUM  </w:instrText>
      </w:r>
      <w:r w:rsidRPr="005D0BEA">
        <w:rPr>
          <w:i/>
        </w:rPr>
        <w:fldChar w:fldCharType="end"/>
      </w:r>
      <w:r>
        <w:tab/>
      </w:r>
      <w:r>
        <w:rPr>
          <w:i/>
          <w:iCs/>
        </w:rPr>
        <w:t>Der TC wird ersucht:</w:t>
      </w:r>
      <w:r>
        <w:rPr>
          <w:i/>
        </w:rPr>
        <w:t xml:space="preserve"> </w:t>
      </w:r>
    </w:p>
    <w:p w14:paraId="669649F9" w14:textId="77777777" w:rsidR="00BA54F6" w:rsidRDefault="00BA54F6" w:rsidP="001C09E0">
      <w:pPr>
        <w:tabs>
          <w:tab w:val="left" w:pos="5387"/>
        </w:tabs>
        <w:ind w:left="4820" w:hanging="50"/>
        <w:rPr>
          <w:i/>
        </w:rPr>
      </w:pPr>
    </w:p>
    <w:p w14:paraId="2EA0B2F8" w14:textId="77777777" w:rsidR="00BA54F6" w:rsidRPr="001C09E0" w:rsidRDefault="005D0BEA" w:rsidP="001C09E0">
      <w:pPr>
        <w:pStyle w:val="ListParagraph"/>
        <w:numPr>
          <w:ilvl w:val="0"/>
          <w:numId w:val="17"/>
        </w:numPr>
        <w:tabs>
          <w:tab w:val="left" w:pos="5940"/>
        </w:tabs>
        <w:ind w:left="4770" w:firstLine="630"/>
        <w:rPr>
          <w:i/>
        </w:rPr>
      </w:pPr>
      <w:r>
        <w:rPr>
          <w:i/>
        </w:rPr>
        <w:t>zu prüfen, ob die Umfrage zur Verwendung molekularer Marker fortgesetzt werden soll, um Informationen von mehr UPOV-Mitgliedern zu erhalten; und</w:t>
      </w:r>
    </w:p>
    <w:p w14:paraId="65FEA1F1" w14:textId="77777777" w:rsidR="001C09E0" w:rsidRPr="001C09E0" w:rsidRDefault="001C09E0" w:rsidP="001C09E0">
      <w:pPr>
        <w:pStyle w:val="ListParagraph"/>
        <w:tabs>
          <w:tab w:val="left" w:pos="5387"/>
          <w:tab w:val="left" w:pos="5940"/>
        </w:tabs>
        <w:ind w:left="4770" w:firstLine="630"/>
        <w:rPr>
          <w:i/>
        </w:rPr>
      </w:pPr>
    </w:p>
    <w:p w14:paraId="7497902F" w14:textId="77777777" w:rsidR="005D0BEA" w:rsidRPr="002F2D51" w:rsidRDefault="00BA54F6" w:rsidP="001C09E0">
      <w:pPr>
        <w:pStyle w:val="ListParagraph"/>
        <w:numPr>
          <w:ilvl w:val="0"/>
          <w:numId w:val="17"/>
        </w:numPr>
        <w:tabs>
          <w:tab w:val="left" w:pos="5387"/>
          <w:tab w:val="left" w:pos="5940"/>
        </w:tabs>
        <w:ind w:left="4770" w:firstLine="630"/>
        <w:rPr>
          <w:i/>
        </w:rPr>
      </w:pPr>
      <w:r>
        <w:rPr>
          <w:i/>
        </w:rPr>
        <w:t>die Gründe dafür zu untersuchen, dass Verbandsmitglieder auf die erste Umfrage nicht reagiert haben.</w:t>
      </w:r>
    </w:p>
    <w:p w14:paraId="75836204" w14:textId="77777777" w:rsidR="005D0BEA" w:rsidRDefault="005D0BEA" w:rsidP="000F5DCC">
      <w:pPr>
        <w:rPr>
          <w:lang w:eastAsia="ja-JP"/>
        </w:rPr>
      </w:pPr>
    </w:p>
    <w:p w14:paraId="4C5438E6" w14:textId="77777777" w:rsidR="005D0BEA" w:rsidRDefault="005D0BEA" w:rsidP="000F5DCC">
      <w:pPr>
        <w:rPr>
          <w:lang w:eastAsia="ja-JP"/>
        </w:rPr>
      </w:pPr>
    </w:p>
    <w:p w14:paraId="5617BCB9" w14:textId="77777777" w:rsidR="005A2275" w:rsidRDefault="005A2275" w:rsidP="000F5DCC">
      <w:pPr>
        <w:rPr>
          <w:lang w:eastAsia="ja-JP"/>
        </w:rPr>
      </w:pPr>
    </w:p>
    <w:p w14:paraId="67AFF7FF" w14:textId="77777777" w:rsidR="005A2275" w:rsidRDefault="006E6FC6" w:rsidP="00106B8C">
      <w:pPr>
        <w:jc w:val="right"/>
      </w:pPr>
      <w:r>
        <w:t>[Anlage folgt]</w:t>
      </w:r>
    </w:p>
    <w:p w14:paraId="64C9D5F7" w14:textId="77777777" w:rsidR="006E6FC6" w:rsidRDefault="006E6FC6" w:rsidP="00106B8C">
      <w:pPr>
        <w:jc w:val="right"/>
        <w:rPr>
          <w:lang w:eastAsia="ja-JP"/>
        </w:rPr>
        <w:sectPr w:rsidR="006E6FC6" w:rsidSect="004C24E1">
          <w:headerReference w:type="default" r:id="rId9"/>
          <w:pgSz w:w="11907" w:h="16840" w:code="9"/>
          <w:pgMar w:top="510" w:right="1134" w:bottom="1134" w:left="1134" w:header="510" w:footer="680" w:gutter="0"/>
          <w:pgNumType w:start="1"/>
          <w:cols w:space="720"/>
          <w:titlePg/>
        </w:sectPr>
      </w:pPr>
    </w:p>
    <w:p w14:paraId="2E2246E3" w14:textId="77777777" w:rsidR="006E6FC6" w:rsidRDefault="006E6FC6" w:rsidP="006E6FC6">
      <w:pPr>
        <w:jc w:val="center"/>
        <w:rPr>
          <w:rFonts w:eastAsia="MS Mincho"/>
        </w:rPr>
      </w:pPr>
      <w:r>
        <w:t>UMFRAGE ZUR ZUSAMMENARBEIT MIT DER OECD UND DER ISTA UNTER DEN TEILNEHMERN DER ZWANZIGSTEN TAGUNG DER BMT</w:t>
      </w:r>
    </w:p>
    <w:p w14:paraId="74064A5A" w14:textId="77777777" w:rsidR="006E6FC6" w:rsidRDefault="006E6FC6" w:rsidP="006E6FC6">
      <w:pPr>
        <w:jc w:val="center"/>
        <w:rPr>
          <w:rFonts w:eastAsia="MS Mincho"/>
        </w:rPr>
      </w:pPr>
    </w:p>
    <w:p w14:paraId="305F615F" w14:textId="77777777" w:rsidR="006E6FC6" w:rsidRPr="006E6FC6" w:rsidRDefault="006E6FC6" w:rsidP="006E6FC6">
      <w:pPr>
        <w:keepNext/>
        <w:keepLines/>
        <w:spacing w:before="180" w:after="120"/>
        <w:jc w:val="left"/>
        <w:rPr>
          <w:rFonts w:eastAsia="MS Mincho"/>
          <w:bCs/>
          <w:snapToGrid w:val="0"/>
        </w:rPr>
      </w:pPr>
      <w:bookmarkStart w:id="35" w:name="_Ref83374737"/>
      <w:r>
        <w:rPr>
          <w:snapToGrid w:val="0"/>
        </w:rPr>
        <w:t>Welche gemeinsamen Interessengebiete haben UPOV, OECD und ISTA bezüglich der Verwendung biochemischer und molekularer Verfahren?</w:t>
      </w:r>
      <w:bookmarkEnd w:id="35"/>
    </w:p>
    <w:p w14:paraId="56274AF5" w14:textId="77777777" w:rsidR="006E6FC6" w:rsidRPr="006E6FC6" w:rsidRDefault="006E6FC6" w:rsidP="006E6FC6">
      <w:pPr>
        <w:numPr>
          <w:ilvl w:val="0"/>
          <w:numId w:val="12"/>
        </w:numPr>
        <w:ind w:left="567" w:hanging="567"/>
        <w:contextualSpacing/>
        <w:jc w:val="left"/>
        <w:rPr>
          <w:rFonts w:eastAsia="MS Mincho"/>
          <w:snapToGrid w:val="0"/>
        </w:rPr>
      </w:pPr>
      <w:r>
        <w:rPr>
          <w:snapToGrid w:val="0"/>
        </w:rPr>
        <w:t>Reinheit/Einheitlichkeit von Saatgut</w:t>
      </w:r>
    </w:p>
    <w:p w14:paraId="3C7383DA" w14:textId="77777777" w:rsidR="006E6FC6" w:rsidRPr="006E6FC6" w:rsidRDefault="006E6FC6" w:rsidP="006E6FC6">
      <w:pPr>
        <w:numPr>
          <w:ilvl w:val="0"/>
          <w:numId w:val="12"/>
        </w:numPr>
        <w:ind w:left="567" w:hanging="567"/>
        <w:contextualSpacing/>
        <w:jc w:val="left"/>
        <w:rPr>
          <w:rFonts w:eastAsia="MS Mincho"/>
          <w:snapToGrid w:val="0"/>
        </w:rPr>
      </w:pPr>
      <w:r>
        <w:rPr>
          <w:snapToGrid w:val="0"/>
        </w:rPr>
        <w:t>Harmonisierung von SNP-</w:t>
      </w:r>
      <w:proofErr w:type="spellStart"/>
      <w:r>
        <w:rPr>
          <w:snapToGrid w:val="0"/>
        </w:rPr>
        <w:t>Markersätzen</w:t>
      </w:r>
      <w:proofErr w:type="spellEnd"/>
      <w:r>
        <w:rPr>
          <w:snapToGrid w:val="0"/>
        </w:rPr>
        <w:t xml:space="preserve"> bei bestimmten Pflanzen zu Identifizierungszwecken</w:t>
      </w:r>
    </w:p>
    <w:p w14:paraId="36961CC9" w14:textId="77777777" w:rsidR="006E6FC6" w:rsidRPr="006E6FC6" w:rsidRDefault="006E6FC6" w:rsidP="006E6FC6">
      <w:pPr>
        <w:numPr>
          <w:ilvl w:val="0"/>
          <w:numId w:val="12"/>
        </w:numPr>
        <w:ind w:left="567" w:hanging="567"/>
        <w:contextualSpacing/>
        <w:jc w:val="left"/>
        <w:rPr>
          <w:rFonts w:eastAsia="MS Mincho"/>
          <w:snapToGrid w:val="0"/>
        </w:rPr>
      </w:pPr>
      <w:r>
        <w:rPr>
          <w:snapToGrid w:val="0"/>
        </w:rPr>
        <w:t>Tools zur Sortenprüfung</w:t>
      </w:r>
    </w:p>
    <w:p w14:paraId="37DB15A6" w14:textId="77777777" w:rsidR="006E6FC6" w:rsidRPr="006E6FC6" w:rsidRDefault="006E6FC6" w:rsidP="006E6FC6">
      <w:pPr>
        <w:numPr>
          <w:ilvl w:val="0"/>
          <w:numId w:val="12"/>
        </w:numPr>
        <w:ind w:left="567" w:hanging="567"/>
        <w:contextualSpacing/>
        <w:jc w:val="left"/>
        <w:rPr>
          <w:rFonts w:eastAsia="MS Mincho"/>
          <w:snapToGrid w:val="0"/>
        </w:rPr>
      </w:pPr>
      <w:r>
        <w:rPr>
          <w:snapToGrid w:val="0"/>
        </w:rPr>
        <w:t xml:space="preserve">Bestimmung von </w:t>
      </w:r>
      <w:proofErr w:type="spellStart"/>
      <w:r>
        <w:rPr>
          <w:snapToGrid w:val="0"/>
        </w:rPr>
        <w:t>Abweichern</w:t>
      </w:r>
      <w:proofErr w:type="spellEnd"/>
      <w:r>
        <w:rPr>
          <w:snapToGrid w:val="0"/>
        </w:rPr>
        <w:t>/Unreinheiten Bestimmung und Beschreibung einer Sorte.</w:t>
      </w:r>
    </w:p>
    <w:p w14:paraId="6ADA57D8" w14:textId="77777777" w:rsidR="006E6FC6" w:rsidRPr="006E6FC6" w:rsidRDefault="006E6FC6" w:rsidP="006E6FC6">
      <w:pPr>
        <w:numPr>
          <w:ilvl w:val="0"/>
          <w:numId w:val="12"/>
        </w:numPr>
        <w:ind w:left="567" w:hanging="567"/>
        <w:contextualSpacing/>
        <w:jc w:val="left"/>
        <w:rPr>
          <w:rFonts w:eastAsia="MS Mincho"/>
          <w:snapToGrid w:val="0"/>
        </w:rPr>
      </w:pPr>
      <w:r>
        <w:rPr>
          <w:snapToGrid w:val="0"/>
        </w:rPr>
        <w:t>Harmonisierung molekularer Marker.</w:t>
      </w:r>
    </w:p>
    <w:p w14:paraId="5568F1CD" w14:textId="77777777" w:rsidR="006E6FC6" w:rsidRPr="006E6FC6" w:rsidRDefault="006E6FC6" w:rsidP="006E6FC6">
      <w:pPr>
        <w:numPr>
          <w:ilvl w:val="0"/>
          <w:numId w:val="12"/>
        </w:numPr>
        <w:ind w:left="567" w:hanging="567"/>
        <w:contextualSpacing/>
        <w:jc w:val="left"/>
        <w:rPr>
          <w:rFonts w:eastAsia="MS Mincho"/>
          <w:snapToGrid w:val="0"/>
        </w:rPr>
      </w:pPr>
      <w:r>
        <w:rPr>
          <w:snapToGrid w:val="0"/>
        </w:rPr>
        <w:t xml:space="preserve">Über validierte </w:t>
      </w:r>
      <w:proofErr w:type="spellStart"/>
      <w:r>
        <w:rPr>
          <w:snapToGrid w:val="0"/>
        </w:rPr>
        <w:t>Markersätze</w:t>
      </w:r>
      <w:proofErr w:type="spellEnd"/>
      <w:r>
        <w:rPr>
          <w:snapToGrid w:val="0"/>
        </w:rPr>
        <w:t xml:space="preserve"> zur Verwendung für den jeweiligen Organisationszweck zu verfügen. Zu erörtern, wie die Zusammenarbeit aussehen kann, um das Potenzial jeder Organisation nutzen zu können.</w:t>
      </w:r>
    </w:p>
    <w:p w14:paraId="36113AE3" w14:textId="77777777" w:rsidR="006E6FC6" w:rsidRPr="006E6FC6" w:rsidRDefault="006E6FC6" w:rsidP="006E6FC6">
      <w:pPr>
        <w:numPr>
          <w:ilvl w:val="0"/>
          <w:numId w:val="12"/>
        </w:numPr>
        <w:ind w:left="567" w:hanging="567"/>
        <w:contextualSpacing/>
        <w:jc w:val="left"/>
        <w:rPr>
          <w:rFonts w:eastAsia="MS Mincho"/>
          <w:snapToGrid w:val="0"/>
        </w:rPr>
      </w:pPr>
      <w:r>
        <w:rPr>
          <w:snapToGrid w:val="0"/>
        </w:rPr>
        <w:t>Anleitung dazu, wie ein alternatives Verfahren gegenüber einem Referenzverfahren validiert werden kann; Sortenidentität</w:t>
      </w:r>
    </w:p>
    <w:p w14:paraId="4E0CE224" w14:textId="77777777" w:rsidR="006E6FC6" w:rsidRPr="006E6FC6" w:rsidRDefault="006E6FC6" w:rsidP="006E6FC6">
      <w:pPr>
        <w:numPr>
          <w:ilvl w:val="0"/>
          <w:numId w:val="12"/>
        </w:numPr>
        <w:ind w:left="567" w:hanging="567"/>
        <w:contextualSpacing/>
        <w:jc w:val="left"/>
        <w:rPr>
          <w:rFonts w:eastAsia="MS Mincho"/>
          <w:snapToGrid w:val="0"/>
        </w:rPr>
      </w:pPr>
      <w:r>
        <w:rPr>
          <w:snapToGrid w:val="0"/>
        </w:rPr>
        <w:t>Homogenitätsnormen, Schwankungsbreiten, Einsatz von MM für mehr Homogenität (durch Umwelteinflüsse oder unterschiedliche Kenntnisse/Schulungen bei Datensammlern entstehende Auswirkungen verringern)</w:t>
      </w:r>
    </w:p>
    <w:p w14:paraId="5F4C6A73" w14:textId="77777777" w:rsidR="006E6FC6" w:rsidRPr="006E6FC6" w:rsidRDefault="006E6FC6" w:rsidP="006E6FC6">
      <w:pPr>
        <w:numPr>
          <w:ilvl w:val="0"/>
          <w:numId w:val="12"/>
        </w:numPr>
        <w:ind w:left="567" w:hanging="567"/>
        <w:contextualSpacing/>
        <w:jc w:val="left"/>
        <w:rPr>
          <w:rFonts w:eastAsia="MS Mincho"/>
          <w:snapToGrid w:val="0"/>
        </w:rPr>
      </w:pPr>
      <w:r>
        <w:rPr>
          <w:snapToGrid w:val="0"/>
        </w:rPr>
        <w:t>Sortenidentität</w:t>
      </w:r>
    </w:p>
    <w:p w14:paraId="119CA2C9" w14:textId="77777777" w:rsidR="006E6FC6" w:rsidRPr="006E6FC6" w:rsidRDefault="006E6FC6" w:rsidP="006E6FC6">
      <w:pPr>
        <w:numPr>
          <w:ilvl w:val="0"/>
          <w:numId w:val="12"/>
        </w:numPr>
        <w:ind w:left="567" w:hanging="567"/>
        <w:contextualSpacing/>
        <w:jc w:val="left"/>
        <w:rPr>
          <w:rFonts w:eastAsia="MS Mincho"/>
          <w:snapToGrid w:val="0"/>
        </w:rPr>
      </w:pPr>
      <w:r>
        <w:rPr>
          <w:snapToGrid w:val="0"/>
        </w:rPr>
        <w:t>Neue Pflanzenvielfalt</w:t>
      </w:r>
    </w:p>
    <w:p w14:paraId="411DA6CD" w14:textId="77777777" w:rsidR="006E6FC6" w:rsidRPr="006E6FC6" w:rsidRDefault="006E6FC6" w:rsidP="006E6FC6">
      <w:pPr>
        <w:numPr>
          <w:ilvl w:val="0"/>
          <w:numId w:val="12"/>
        </w:numPr>
        <w:ind w:left="567" w:hanging="567"/>
        <w:contextualSpacing/>
        <w:jc w:val="left"/>
        <w:rPr>
          <w:rFonts w:eastAsia="MS Mincho"/>
          <w:snapToGrid w:val="0"/>
        </w:rPr>
      </w:pPr>
      <w:r>
        <w:rPr>
          <w:snapToGrid w:val="0"/>
        </w:rPr>
        <w:t>Vereinbarung, Harmonisierung von Begriffen. Wissensaustausch und Aufbau gemeinsamer Datenbanken zu verwendeten Verfahren für unterschiedliche Zwecke in den Mitgliedsländern</w:t>
      </w:r>
    </w:p>
    <w:p w14:paraId="2994DFA4" w14:textId="77777777" w:rsidR="006E6FC6" w:rsidRPr="006E6FC6" w:rsidRDefault="006E6FC6" w:rsidP="006E6FC6">
      <w:pPr>
        <w:numPr>
          <w:ilvl w:val="0"/>
          <w:numId w:val="12"/>
        </w:numPr>
        <w:ind w:left="567" w:hanging="567"/>
        <w:contextualSpacing/>
        <w:jc w:val="left"/>
        <w:rPr>
          <w:rFonts w:eastAsia="MS Mincho"/>
          <w:snapToGrid w:val="0"/>
        </w:rPr>
      </w:pPr>
      <w:r>
        <w:rPr>
          <w:snapToGrid w:val="0"/>
        </w:rPr>
        <w:t>Verwendung von DNS-Markern für die DUS-Prüfung von Korn und Ölpflanzen</w:t>
      </w:r>
    </w:p>
    <w:p w14:paraId="4F544FE6" w14:textId="77777777" w:rsidR="006E6FC6" w:rsidRPr="006E6FC6" w:rsidRDefault="006E6FC6" w:rsidP="006E6FC6">
      <w:pPr>
        <w:numPr>
          <w:ilvl w:val="0"/>
          <w:numId w:val="12"/>
        </w:numPr>
        <w:ind w:left="567" w:hanging="567"/>
        <w:contextualSpacing/>
        <w:jc w:val="left"/>
        <w:rPr>
          <w:rFonts w:eastAsia="MS Mincho"/>
          <w:snapToGrid w:val="0"/>
        </w:rPr>
      </w:pPr>
      <w:r>
        <w:rPr>
          <w:snapToGrid w:val="0"/>
        </w:rPr>
        <w:t>Verwendung validierter Verfahren bei der Sortenidentifikation</w:t>
      </w:r>
    </w:p>
    <w:p w14:paraId="708A02AB" w14:textId="77777777" w:rsidR="006E6FC6" w:rsidRPr="006E6FC6" w:rsidRDefault="006E6FC6" w:rsidP="006E6FC6">
      <w:pPr>
        <w:numPr>
          <w:ilvl w:val="0"/>
          <w:numId w:val="12"/>
        </w:numPr>
        <w:ind w:left="567" w:hanging="567"/>
        <w:contextualSpacing/>
        <w:jc w:val="left"/>
        <w:rPr>
          <w:rFonts w:eastAsia="MS Mincho"/>
          <w:snapToGrid w:val="0"/>
        </w:rPr>
      </w:pPr>
      <w:r>
        <w:rPr>
          <w:snapToGrid w:val="0"/>
        </w:rPr>
        <w:t>Sortenidentifikation</w:t>
      </w:r>
    </w:p>
    <w:p w14:paraId="79954B56" w14:textId="77777777" w:rsidR="006E6FC6" w:rsidRPr="006E6FC6" w:rsidRDefault="006E6FC6" w:rsidP="006E6FC6">
      <w:pPr>
        <w:numPr>
          <w:ilvl w:val="0"/>
          <w:numId w:val="12"/>
        </w:numPr>
        <w:ind w:left="567" w:hanging="567"/>
        <w:contextualSpacing/>
        <w:jc w:val="left"/>
        <w:rPr>
          <w:rFonts w:eastAsia="MS Mincho"/>
          <w:snapToGrid w:val="0"/>
        </w:rPr>
      </w:pPr>
      <w:r>
        <w:rPr>
          <w:snapToGrid w:val="0"/>
        </w:rPr>
        <w:t xml:space="preserve">Eventuell gibt es ein gemeinsames Interesse von UPOV und OECD an der Verwendung vergleichbarer </w:t>
      </w:r>
      <w:proofErr w:type="spellStart"/>
      <w:r>
        <w:rPr>
          <w:snapToGrid w:val="0"/>
        </w:rPr>
        <w:t>Markersätze</w:t>
      </w:r>
      <w:proofErr w:type="spellEnd"/>
      <w:r>
        <w:rPr>
          <w:snapToGrid w:val="0"/>
        </w:rPr>
        <w:t xml:space="preserve"> bei Identitätsfragen</w:t>
      </w:r>
    </w:p>
    <w:p w14:paraId="6F780DC3" w14:textId="77777777" w:rsidR="006E6FC6" w:rsidRPr="006E6FC6" w:rsidRDefault="006E6FC6" w:rsidP="006E6FC6">
      <w:pPr>
        <w:numPr>
          <w:ilvl w:val="0"/>
          <w:numId w:val="12"/>
        </w:numPr>
        <w:ind w:left="567" w:hanging="567"/>
        <w:contextualSpacing/>
        <w:jc w:val="left"/>
        <w:rPr>
          <w:rFonts w:eastAsia="MS Mincho"/>
          <w:snapToGrid w:val="0"/>
        </w:rPr>
      </w:pPr>
      <w:r>
        <w:rPr>
          <w:snapToGrid w:val="0"/>
        </w:rPr>
        <w:t>Die Leistungsfähigkeit der DNS-Technologie besteht in der Identifizierung der Sorte</w:t>
      </w:r>
    </w:p>
    <w:p w14:paraId="6BB4E4DA" w14:textId="77777777" w:rsidR="006E6FC6" w:rsidRPr="006E6FC6" w:rsidRDefault="006E6FC6" w:rsidP="006E6FC6">
      <w:pPr>
        <w:numPr>
          <w:ilvl w:val="0"/>
          <w:numId w:val="12"/>
        </w:numPr>
        <w:ind w:left="567" w:hanging="567"/>
        <w:contextualSpacing/>
        <w:jc w:val="left"/>
        <w:rPr>
          <w:rFonts w:eastAsia="MS Mincho"/>
          <w:snapToGrid w:val="0"/>
        </w:rPr>
      </w:pPr>
      <w:r>
        <w:rPr>
          <w:snapToGrid w:val="0"/>
        </w:rPr>
        <w:t>Sortenprüfung, -beschreibung und auch Züchterrechte</w:t>
      </w:r>
    </w:p>
    <w:p w14:paraId="15BC7882" w14:textId="77777777" w:rsidR="006E6FC6" w:rsidRPr="006E6FC6" w:rsidRDefault="006E6FC6" w:rsidP="006E6FC6">
      <w:pPr>
        <w:numPr>
          <w:ilvl w:val="0"/>
          <w:numId w:val="12"/>
        </w:numPr>
        <w:ind w:left="567" w:hanging="567"/>
        <w:contextualSpacing/>
        <w:jc w:val="left"/>
        <w:rPr>
          <w:rFonts w:eastAsia="MS Mincho"/>
          <w:snapToGrid w:val="0"/>
        </w:rPr>
      </w:pPr>
      <w:r>
        <w:rPr>
          <w:snapToGrid w:val="0"/>
        </w:rPr>
        <w:t>Zusammenarbeit, Informationsaustausch</w:t>
      </w:r>
    </w:p>
    <w:p w14:paraId="7A67C9B2" w14:textId="77777777" w:rsidR="006E6FC6" w:rsidRPr="006E6FC6" w:rsidRDefault="006E6FC6" w:rsidP="006E6FC6">
      <w:pPr>
        <w:numPr>
          <w:ilvl w:val="0"/>
          <w:numId w:val="12"/>
        </w:numPr>
        <w:ind w:left="567" w:hanging="567"/>
        <w:contextualSpacing/>
        <w:jc w:val="left"/>
        <w:rPr>
          <w:rFonts w:eastAsia="MS Mincho"/>
          <w:snapToGrid w:val="0"/>
        </w:rPr>
      </w:pPr>
      <w:r>
        <w:rPr>
          <w:snapToGrid w:val="0"/>
        </w:rPr>
        <w:t>Technologie</w:t>
      </w:r>
    </w:p>
    <w:p w14:paraId="7AB1B3E3" w14:textId="77777777" w:rsidR="006E6FC6" w:rsidRPr="006E6FC6" w:rsidRDefault="006E6FC6" w:rsidP="006E6FC6">
      <w:pPr>
        <w:numPr>
          <w:ilvl w:val="0"/>
          <w:numId w:val="12"/>
        </w:numPr>
        <w:ind w:left="567" w:hanging="567"/>
        <w:contextualSpacing/>
        <w:jc w:val="left"/>
        <w:rPr>
          <w:rFonts w:eastAsia="MS Mincho"/>
          <w:snapToGrid w:val="0"/>
        </w:rPr>
      </w:pPr>
      <w:r>
        <w:rPr>
          <w:snapToGrid w:val="0"/>
        </w:rPr>
        <w:t>Liste vereinbarter Marker und Abläufe bei der Identifikation einer Sorte</w:t>
      </w:r>
    </w:p>
    <w:p w14:paraId="0E4EFFFB" w14:textId="77777777" w:rsidR="006E6FC6" w:rsidRPr="006E6FC6" w:rsidRDefault="006E6FC6" w:rsidP="006E6FC6">
      <w:pPr>
        <w:numPr>
          <w:ilvl w:val="0"/>
          <w:numId w:val="12"/>
        </w:numPr>
        <w:ind w:left="567" w:hanging="567"/>
        <w:contextualSpacing/>
        <w:jc w:val="left"/>
        <w:rPr>
          <w:rFonts w:eastAsia="MS Mincho"/>
          <w:snapToGrid w:val="0"/>
        </w:rPr>
      </w:pPr>
      <w:r>
        <w:rPr>
          <w:snapToGrid w:val="0"/>
        </w:rPr>
        <w:t>DNS-Sortenidentifikation</w:t>
      </w:r>
    </w:p>
    <w:p w14:paraId="07BF050C" w14:textId="77777777" w:rsidR="006E6FC6" w:rsidRPr="006E6FC6" w:rsidRDefault="006E6FC6" w:rsidP="006E6FC6">
      <w:pPr>
        <w:numPr>
          <w:ilvl w:val="0"/>
          <w:numId w:val="12"/>
        </w:numPr>
        <w:ind w:left="567" w:hanging="567"/>
        <w:contextualSpacing/>
        <w:jc w:val="left"/>
        <w:rPr>
          <w:rFonts w:eastAsia="MS Mincho"/>
          <w:snapToGrid w:val="0"/>
        </w:rPr>
      </w:pPr>
      <w:r>
        <w:rPr>
          <w:snapToGrid w:val="0"/>
        </w:rPr>
        <w:t>Sortenschutz durchsetzen in Verbindung mit Saatgutzertifizierung</w:t>
      </w:r>
    </w:p>
    <w:p w14:paraId="46314E10" w14:textId="77777777" w:rsidR="006E6FC6" w:rsidRPr="006E6FC6" w:rsidRDefault="006E6FC6" w:rsidP="006E6FC6">
      <w:pPr>
        <w:numPr>
          <w:ilvl w:val="0"/>
          <w:numId w:val="12"/>
        </w:numPr>
        <w:ind w:left="567" w:hanging="567"/>
        <w:contextualSpacing/>
        <w:jc w:val="left"/>
        <w:rPr>
          <w:rFonts w:eastAsia="MS Mincho"/>
          <w:snapToGrid w:val="0"/>
        </w:rPr>
      </w:pPr>
      <w:r>
        <w:rPr>
          <w:snapToGrid w:val="0"/>
        </w:rPr>
        <w:t>Sortenidentifikation</w:t>
      </w:r>
    </w:p>
    <w:p w14:paraId="6C8C9832" w14:textId="77777777" w:rsidR="006E6FC6" w:rsidRPr="006E6FC6" w:rsidRDefault="006E6FC6" w:rsidP="006E6FC6">
      <w:pPr>
        <w:numPr>
          <w:ilvl w:val="0"/>
          <w:numId w:val="12"/>
        </w:numPr>
        <w:ind w:left="567" w:hanging="567"/>
        <w:contextualSpacing/>
        <w:jc w:val="left"/>
        <w:rPr>
          <w:rFonts w:eastAsia="MS Mincho" w:cs="Arial"/>
        </w:rPr>
      </w:pPr>
      <w:r>
        <w:rPr>
          <w:snapToGrid w:val="0"/>
        </w:rPr>
        <w:t>Anerkennung von Verfahren; gemeinsame Forschungsarbeit</w:t>
      </w:r>
    </w:p>
    <w:p w14:paraId="68B7B4F1" w14:textId="77777777" w:rsidR="006E6FC6" w:rsidRDefault="006E6FC6" w:rsidP="006E6FC6">
      <w:pPr>
        <w:rPr>
          <w:rFonts w:eastAsia="MS Mincho"/>
        </w:rPr>
      </w:pPr>
    </w:p>
    <w:p w14:paraId="6AA56846" w14:textId="77777777" w:rsidR="006E6FC6" w:rsidRDefault="006E6FC6" w:rsidP="006E6FC6">
      <w:pPr>
        <w:keepNext/>
        <w:keepLines/>
        <w:jc w:val="left"/>
        <w:rPr>
          <w:rFonts w:eastAsia="MS Mincho"/>
          <w:bCs/>
          <w:snapToGrid w:val="0"/>
        </w:rPr>
      </w:pPr>
      <w:r>
        <w:rPr>
          <w:snapToGrid w:val="0"/>
        </w:rPr>
        <w:t>Welche Themen würden sich für eine gemeinsame Arbeitstagung von UPOV, OECD und ISTA zu biochemischen und molekularen Verfahren eignen?</w:t>
      </w:r>
    </w:p>
    <w:p w14:paraId="669E46C1" w14:textId="77777777" w:rsidR="006E6FC6" w:rsidRPr="006E6FC6" w:rsidRDefault="006E6FC6" w:rsidP="006E6FC6">
      <w:pPr>
        <w:rPr>
          <w:rFonts w:eastAsia="MS Mincho"/>
          <w:snapToGrid w:val="0"/>
        </w:rPr>
      </w:pPr>
    </w:p>
    <w:p w14:paraId="610D4795" w14:textId="77777777" w:rsidR="006E6FC6" w:rsidRPr="006E6FC6" w:rsidRDefault="006E6FC6" w:rsidP="006E6FC6">
      <w:pPr>
        <w:numPr>
          <w:ilvl w:val="0"/>
          <w:numId w:val="13"/>
        </w:numPr>
        <w:ind w:left="567" w:hanging="567"/>
        <w:contextualSpacing/>
        <w:jc w:val="left"/>
        <w:rPr>
          <w:rFonts w:eastAsia="MS Mincho"/>
          <w:snapToGrid w:val="0"/>
        </w:rPr>
      </w:pPr>
      <w:r>
        <w:rPr>
          <w:snapToGrid w:val="0"/>
        </w:rPr>
        <w:t>Verwendung von Markern zur Sortenidentifikation</w:t>
      </w:r>
    </w:p>
    <w:p w14:paraId="5580076E" w14:textId="77777777" w:rsidR="006E6FC6" w:rsidRPr="006E6FC6" w:rsidRDefault="006E6FC6" w:rsidP="006E6FC6">
      <w:pPr>
        <w:numPr>
          <w:ilvl w:val="0"/>
          <w:numId w:val="13"/>
        </w:numPr>
        <w:ind w:left="567" w:hanging="567"/>
        <w:contextualSpacing/>
        <w:jc w:val="left"/>
        <w:rPr>
          <w:rFonts w:eastAsia="MS Mincho"/>
          <w:snapToGrid w:val="0"/>
        </w:rPr>
      </w:pPr>
      <w:r>
        <w:rPr>
          <w:snapToGrid w:val="0"/>
        </w:rPr>
        <w:t>Wie können Verfahren harmonisiert und auf Konsistenz geprüft werden</w:t>
      </w:r>
    </w:p>
    <w:p w14:paraId="2BA9DACF" w14:textId="77777777" w:rsidR="006E6FC6" w:rsidRPr="006E6FC6" w:rsidRDefault="006E6FC6" w:rsidP="006E6FC6">
      <w:pPr>
        <w:numPr>
          <w:ilvl w:val="0"/>
          <w:numId w:val="13"/>
        </w:numPr>
        <w:ind w:left="567" w:hanging="567"/>
        <w:contextualSpacing/>
        <w:jc w:val="left"/>
        <w:rPr>
          <w:rFonts w:eastAsia="MS Mincho"/>
          <w:snapToGrid w:val="0"/>
        </w:rPr>
      </w:pPr>
      <w:r>
        <w:rPr>
          <w:snapToGrid w:val="0"/>
        </w:rPr>
        <w:t>Angewandte Verfahren, aktuell heikle Themen und künftige Arbeit</w:t>
      </w:r>
    </w:p>
    <w:p w14:paraId="2E3BF47E" w14:textId="77777777" w:rsidR="006E6FC6" w:rsidRPr="006E6FC6" w:rsidRDefault="006E6FC6" w:rsidP="006E6FC6">
      <w:pPr>
        <w:numPr>
          <w:ilvl w:val="0"/>
          <w:numId w:val="13"/>
        </w:numPr>
        <w:ind w:left="567" w:hanging="567"/>
        <w:contextualSpacing/>
        <w:jc w:val="left"/>
        <w:rPr>
          <w:rFonts w:eastAsia="MS Mincho"/>
          <w:snapToGrid w:val="0"/>
        </w:rPr>
      </w:pPr>
      <w:r>
        <w:rPr>
          <w:snapToGrid w:val="0"/>
        </w:rPr>
        <w:t>Studie zur Beziehung zwischen molekularen Markern und DUS-Merkmalen</w:t>
      </w:r>
    </w:p>
    <w:p w14:paraId="4D1F4F94" w14:textId="77777777" w:rsidR="006E6FC6" w:rsidRPr="006E6FC6" w:rsidRDefault="006E6FC6" w:rsidP="006E6FC6">
      <w:pPr>
        <w:numPr>
          <w:ilvl w:val="0"/>
          <w:numId w:val="13"/>
        </w:numPr>
        <w:ind w:left="567" w:hanging="567"/>
        <w:contextualSpacing/>
        <w:jc w:val="left"/>
        <w:rPr>
          <w:rFonts w:eastAsia="MS Mincho"/>
          <w:snapToGrid w:val="0"/>
        </w:rPr>
      </w:pPr>
      <w:r>
        <w:rPr>
          <w:snapToGrid w:val="0"/>
        </w:rPr>
        <w:t>Validierungssystem der ISTA, Verwendung molekularer Marker durch die UPOV, Verwendung molekularer Marker durch die OECD Erörterung, welche molekularen Marker sich für verschiedene Pflanzen und Verwendungszwecke am besten eignen.</w:t>
      </w:r>
    </w:p>
    <w:p w14:paraId="453CB762" w14:textId="77777777" w:rsidR="006E6FC6" w:rsidRPr="006E6FC6" w:rsidRDefault="006E6FC6" w:rsidP="006E6FC6">
      <w:pPr>
        <w:numPr>
          <w:ilvl w:val="0"/>
          <w:numId w:val="13"/>
        </w:numPr>
        <w:ind w:left="567" w:hanging="567"/>
        <w:contextualSpacing/>
        <w:jc w:val="left"/>
        <w:rPr>
          <w:rFonts w:eastAsia="MS Mincho"/>
          <w:snapToGrid w:val="0"/>
        </w:rPr>
      </w:pPr>
      <w:r>
        <w:rPr>
          <w:snapToGrid w:val="0"/>
        </w:rPr>
        <w:t>Neue Technologien und mögliche Nutzungsarten</w:t>
      </w:r>
    </w:p>
    <w:p w14:paraId="4554038B" w14:textId="77777777" w:rsidR="006E6FC6" w:rsidRPr="006E6FC6" w:rsidRDefault="006E6FC6" w:rsidP="006E6FC6">
      <w:pPr>
        <w:numPr>
          <w:ilvl w:val="0"/>
          <w:numId w:val="13"/>
        </w:numPr>
        <w:ind w:left="567" w:hanging="567"/>
        <w:contextualSpacing/>
        <w:jc w:val="left"/>
        <w:rPr>
          <w:rFonts w:eastAsia="MS Mincho"/>
          <w:snapToGrid w:val="0"/>
        </w:rPr>
      </w:pPr>
      <w:r>
        <w:rPr>
          <w:snapToGrid w:val="0"/>
        </w:rPr>
        <w:t>Normen zur Homogenitätsbestimmung, Schwankungsbreiten</w:t>
      </w:r>
    </w:p>
    <w:p w14:paraId="4318B646" w14:textId="77777777" w:rsidR="006E6FC6" w:rsidRPr="006E6FC6" w:rsidRDefault="006E6FC6" w:rsidP="006E6FC6">
      <w:pPr>
        <w:numPr>
          <w:ilvl w:val="0"/>
          <w:numId w:val="13"/>
        </w:numPr>
        <w:ind w:left="567" w:hanging="567"/>
        <w:contextualSpacing/>
        <w:jc w:val="left"/>
        <w:rPr>
          <w:rFonts w:eastAsia="MS Mincho"/>
          <w:snapToGrid w:val="0"/>
        </w:rPr>
      </w:pPr>
      <w:r>
        <w:rPr>
          <w:snapToGrid w:val="0"/>
        </w:rPr>
        <w:t>Identität - Unterscheidbarkeit - Verfahren</w:t>
      </w:r>
    </w:p>
    <w:p w14:paraId="26157FE9" w14:textId="77777777" w:rsidR="006E6FC6" w:rsidRPr="006E6FC6" w:rsidRDefault="006E6FC6" w:rsidP="006E6FC6">
      <w:pPr>
        <w:numPr>
          <w:ilvl w:val="0"/>
          <w:numId w:val="13"/>
        </w:numPr>
        <w:ind w:left="567" w:hanging="567"/>
        <w:contextualSpacing/>
        <w:jc w:val="left"/>
        <w:rPr>
          <w:rFonts w:eastAsia="MS Mincho"/>
          <w:snapToGrid w:val="0"/>
        </w:rPr>
      </w:pPr>
      <w:r>
        <w:rPr>
          <w:snapToGrid w:val="0"/>
        </w:rPr>
        <w:t>Die Regeln zur Saatgutvermehrung und -verarbeitung sind von der OECD vorgegeben</w:t>
      </w:r>
    </w:p>
    <w:p w14:paraId="21D8D760" w14:textId="77777777" w:rsidR="006E6FC6" w:rsidRPr="006E6FC6" w:rsidRDefault="006E6FC6" w:rsidP="006E6FC6">
      <w:pPr>
        <w:numPr>
          <w:ilvl w:val="0"/>
          <w:numId w:val="13"/>
        </w:numPr>
        <w:ind w:left="567" w:hanging="567"/>
        <w:contextualSpacing/>
        <w:jc w:val="left"/>
        <w:rPr>
          <w:rFonts w:eastAsia="MS Mincho"/>
          <w:snapToGrid w:val="0"/>
        </w:rPr>
      </w:pPr>
      <w:r>
        <w:rPr>
          <w:snapToGrid w:val="0"/>
        </w:rPr>
        <w:t>Grenzen und Möglichkeiten der Verwendung molekularer Marker für Saatgutprüfung, Sortenzertifizierung und Sortenschutz Gemeinsame Problemfelder und Möglichkeiten für weitere Entwicklungen</w:t>
      </w:r>
    </w:p>
    <w:p w14:paraId="16CB4D87" w14:textId="77777777" w:rsidR="006E6FC6" w:rsidRPr="006E6FC6" w:rsidRDefault="006E6FC6" w:rsidP="006E6FC6">
      <w:pPr>
        <w:numPr>
          <w:ilvl w:val="0"/>
          <w:numId w:val="13"/>
        </w:numPr>
        <w:ind w:left="567" w:hanging="567"/>
        <w:contextualSpacing/>
        <w:jc w:val="left"/>
        <w:rPr>
          <w:rFonts w:eastAsia="MS Mincho"/>
          <w:snapToGrid w:val="0"/>
        </w:rPr>
      </w:pPr>
      <w:r>
        <w:rPr>
          <w:snapToGrid w:val="0"/>
        </w:rPr>
        <w:t>Art der DNS-Marker für verschiedene Pflanzen</w:t>
      </w:r>
    </w:p>
    <w:p w14:paraId="1069EABE" w14:textId="77777777" w:rsidR="006E6FC6" w:rsidRPr="006E6FC6" w:rsidRDefault="006E6FC6" w:rsidP="006E6FC6">
      <w:pPr>
        <w:numPr>
          <w:ilvl w:val="0"/>
          <w:numId w:val="13"/>
        </w:numPr>
        <w:ind w:left="567" w:hanging="567"/>
        <w:contextualSpacing/>
        <w:jc w:val="left"/>
        <w:rPr>
          <w:rFonts w:eastAsia="MS Mincho"/>
          <w:snapToGrid w:val="0"/>
        </w:rPr>
      </w:pPr>
      <w:r>
        <w:rPr>
          <w:snapToGrid w:val="0"/>
        </w:rPr>
        <w:t>Vergleich zwischen Systemen und Tätigkeiten, bei denen biochemische und molekulare Verfahren eine Rolle spielen, mögliche Bereiche für die Harmonisierung, Möglichkeiten für den Aufbau der Zusammenarbeit und des Informationsaustauschs</w:t>
      </w:r>
    </w:p>
    <w:p w14:paraId="4A5F456D" w14:textId="77777777" w:rsidR="006E6FC6" w:rsidRPr="006E6FC6" w:rsidRDefault="006E6FC6" w:rsidP="006E6FC6">
      <w:pPr>
        <w:numPr>
          <w:ilvl w:val="0"/>
          <w:numId w:val="13"/>
        </w:numPr>
        <w:ind w:left="567" w:hanging="567"/>
        <w:contextualSpacing/>
        <w:jc w:val="left"/>
        <w:rPr>
          <w:rFonts w:eastAsia="MS Mincho"/>
          <w:snapToGrid w:val="0"/>
        </w:rPr>
      </w:pPr>
      <w:r>
        <w:rPr>
          <w:snapToGrid w:val="0"/>
        </w:rPr>
        <w:t>Die Positionen der verschiedenen Verbände zur Verw</w:t>
      </w:r>
      <w:bookmarkStart w:id="36" w:name="_GoBack"/>
      <w:bookmarkEnd w:id="36"/>
      <w:r>
        <w:rPr>
          <w:snapToGrid w:val="0"/>
        </w:rPr>
        <w:t>endung molekularer Marker klären, verfügbare Methoden bewerten und praktische Beispiele für ihre Anwendung durch das Saatgutzertifizierungs- und -prüfungsamt geben.  Wie lassen sich diese Methoden zwischen den Ämtern harmonisieren, um vergleichbare Ergebnisse zu erzielen?</w:t>
      </w:r>
    </w:p>
    <w:p w14:paraId="43F74E99" w14:textId="0B8BD356" w:rsidR="006E6FC6" w:rsidRPr="006E6FC6" w:rsidRDefault="006E6FC6" w:rsidP="006E6FC6">
      <w:pPr>
        <w:numPr>
          <w:ilvl w:val="0"/>
          <w:numId w:val="13"/>
        </w:numPr>
        <w:ind w:left="567" w:hanging="567"/>
        <w:contextualSpacing/>
        <w:jc w:val="left"/>
        <w:rPr>
          <w:rFonts w:eastAsia="MS Mincho"/>
          <w:snapToGrid w:val="0"/>
        </w:rPr>
      </w:pPr>
      <w:r>
        <w:rPr>
          <w:snapToGrid w:val="0"/>
        </w:rPr>
        <w:t xml:space="preserve">Gemeinsame Marker-Datenbank nach Art / Validierung und Anerkennung derzeitiger Verfahren und Protokolle / Schwellen / in Bezug auf Marker bereits vorhandene privatwirtschaftliche Initiativen </w:t>
      </w:r>
    </w:p>
    <w:p w14:paraId="018F21EC" w14:textId="77777777" w:rsidR="006E6FC6" w:rsidRPr="006E6FC6" w:rsidRDefault="006E6FC6" w:rsidP="006E6FC6">
      <w:pPr>
        <w:numPr>
          <w:ilvl w:val="0"/>
          <w:numId w:val="13"/>
        </w:numPr>
        <w:ind w:left="567" w:hanging="567"/>
        <w:contextualSpacing/>
        <w:jc w:val="left"/>
        <w:rPr>
          <w:rFonts w:eastAsia="MS Mincho"/>
          <w:snapToGrid w:val="0"/>
        </w:rPr>
      </w:pPr>
      <w:r>
        <w:rPr>
          <w:snapToGrid w:val="0"/>
        </w:rPr>
        <w:t>Entwicklung</w:t>
      </w:r>
    </w:p>
    <w:p w14:paraId="6B150225" w14:textId="77777777" w:rsidR="006E6FC6" w:rsidRPr="006E6FC6" w:rsidRDefault="006E6FC6" w:rsidP="006E6FC6">
      <w:pPr>
        <w:numPr>
          <w:ilvl w:val="0"/>
          <w:numId w:val="13"/>
        </w:numPr>
        <w:ind w:left="567" w:hanging="567"/>
        <w:contextualSpacing/>
        <w:jc w:val="left"/>
        <w:rPr>
          <w:rFonts w:eastAsia="MS Mincho"/>
          <w:snapToGrid w:val="0"/>
        </w:rPr>
      </w:pPr>
      <w:r>
        <w:rPr>
          <w:snapToGrid w:val="0"/>
        </w:rPr>
        <w:t>Harmonisierung geeigneter Marker und Abläufe bei DNS-Profilen von Sorten, so dass die Profile ausgetauscht oder in gemeinsam genutzten Datenbanken zusammengestellt werden könnten</w:t>
      </w:r>
    </w:p>
    <w:p w14:paraId="2000341D" w14:textId="77777777" w:rsidR="006E6FC6" w:rsidRPr="006E6FC6" w:rsidRDefault="006E6FC6" w:rsidP="006E6FC6">
      <w:pPr>
        <w:numPr>
          <w:ilvl w:val="0"/>
          <w:numId w:val="13"/>
        </w:numPr>
        <w:ind w:left="567" w:hanging="567"/>
        <w:contextualSpacing/>
        <w:jc w:val="left"/>
        <w:rPr>
          <w:rFonts w:eastAsia="MS Mincho"/>
          <w:snapToGrid w:val="0"/>
        </w:rPr>
      </w:pPr>
      <w:r>
        <w:rPr>
          <w:snapToGrid w:val="0"/>
        </w:rPr>
        <w:t>Szenarien, die eine DNS-Sortenidentifikation erfordern</w:t>
      </w:r>
    </w:p>
    <w:p w14:paraId="42DC067D" w14:textId="77777777" w:rsidR="006E6FC6" w:rsidRPr="006E6FC6" w:rsidRDefault="006E6FC6" w:rsidP="006E6FC6">
      <w:pPr>
        <w:numPr>
          <w:ilvl w:val="0"/>
          <w:numId w:val="13"/>
        </w:numPr>
        <w:ind w:left="567" w:hanging="567"/>
        <w:contextualSpacing/>
        <w:jc w:val="left"/>
        <w:rPr>
          <w:rFonts w:eastAsia="MS Mincho"/>
          <w:snapToGrid w:val="0"/>
        </w:rPr>
      </w:pPr>
      <w:r>
        <w:rPr>
          <w:snapToGrid w:val="0"/>
        </w:rPr>
        <w:t>Sortenidentifikation</w:t>
      </w:r>
    </w:p>
    <w:p w14:paraId="0DF1CDF8" w14:textId="77777777" w:rsidR="006E6FC6" w:rsidRPr="006E6FC6" w:rsidRDefault="006E6FC6" w:rsidP="006E6FC6">
      <w:pPr>
        <w:numPr>
          <w:ilvl w:val="0"/>
          <w:numId w:val="13"/>
        </w:numPr>
        <w:ind w:left="567" w:hanging="567"/>
        <w:contextualSpacing/>
        <w:jc w:val="left"/>
        <w:rPr>
          <w:rFonts w:eastAsiaTheme="minorEastAsia" w:cs="Arial"/>
        </w:rPr>
      </w:pPr>
      <w:r>
        <w:rPr>
          <w:snapToGrid w:val="0"/>
        </w:rPr>
        <w:t>Jeweilige Strategie zur Nutzung biochemischer und molekularer Verfahren; Organisation von Fachwissen über biochemische und molekulare Verfahren; Methodenvalidierung</w:t>
      </w:r>
    </w:p>
    <w:p w14:paraId="10774D6E" w14:textId="77777777" w:rsidR="006E6FC6" w:rsidRPr="005637C1" w:rsidRDefault="006E6FC6" w:rsidP="006E6FC6">
      <w:pPr>
        <w:rPr>
          <w:rFonts w:eastAsia="MS Mincho"/>
        </w:rPr>
      </w:pPr>
    </w:p>
    <w:p w14:paraId="4BE2407D" w14:textId="77777777" w:rsidR="006E6FC6" w:rsidRPr="006E6FC6" w:rsidRDefault="006E6FC6" w:rsidP="006E6FC6">
      <w:pPr>
        <w:jc w:val="left"/>
        <w:rPr>
          <w:rFonts w:eastAsia="MS Mincho"/>
        </w:rPr>
      </w:pPr>
    </w:p>
    <w:p w14:paraId="41D0D8D9" w14:textId="77777777" w:rsidR="006E6FC6" w:rsidRPr="006E6FC6" w:rsidRDefault="006E6FC6" w:rsidP="006E6FC6">
      <w:pPr>
        <w:rPr>
          <w:rFonts w:eastAsia="MS Mincho"/>
        </w:rPr>
      </w:pPr>
    </w:p>
    <w:p w14:paraId="041BC3B8" w14:textId="77777777" w:rsidR="005A2275" w:rsidRPr="006E6FC6" w:rsidRDefault="006E6FC6" w:rsidP="006E6FC6">
      <w:pPr>
        <w:jc w:val="right"/>
        <w:rPr>
          <w:rFonts w:eastAsia="MS Mincho"/>
        </w:rPr>
      </w:pPr>
      <w:r>
        <w:t>[Ende der Anlage und des Dokuments]</w:t>
      </w:r>
    </w:p>
    <w:sectPr w:rsidR="005A2275" w:rsidRPr="006E6FC6" w:rsidSect="004C24E1">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54B89" w14:textId="77777777" w:rsidR="00C252CA" w:rsidRDefault="00C252CA" w:rsidP="006655D3">
      <w:r>
        <w:separator/>
      </w:r>
    </w:p>
    <w:p w14:paraId="292F9AEA" w14:textId="77777777" w:rsidR="00C252CA" w:rsidRDefault="00C252CA" w:rsidP="006655D3"/>
    <w:p w14:paraId="2256DC2D" w14:textId="77777777" w:rsidR="00C252CA" w:rsidRDefault="00C252CA" w:rsidP="006655D3"/>
  </w:endnote>
  <w:endnote w:type="continuationSeparator" w:id="0">
    <w:p w14:paraId="0F816F3D" w14:textId="77777777" w:rsidR="00C252CA" w:rsidRDefault="00C252CA" w:rsidP="006655D3">
      <w:r>
        <w:separator/>
      </w:r>
    </w:p>
    <w:p w14:paraId="73954203" w14:textId="77777777" w:rsidR="00C252CA" w:rsidRPr="00294751" w:rsidRDefault="00C252CA">
      <w:pPr>
        <w:pStyle w:val="Footer"/>
        <w:spacing w:after="60"/>
        <w:rPr>
          <w:sz w:val="18"/>
          <w:lang w:val="fr-FR"/>
        </w:rPr>
      </w:pPr>
      <w:r w:rsidRPr="00294751">
        <w:rPr>
          <w:sz w:val="18"/>
          <w:lang w:val="fr-FR"/>
        </w:rPr>
        <w:t>[Suite de la note de la page précédente]</w:t>
      </w:r>
    </w:p>
    <w:p w14:paraId="4012588A" w14:textId="77777777" w:rsidR="00C252CA" w:rsidRPr="00294751" w:rsidRDefault="00C252CA" w:rsidP="006655D3">
      <w:pPr>
        <w:rPr>
          <w:lang w:val="fr-FR"/>
        </w:rPr>
      </w:pPr>
    </w:p>
    <w:p w14:paraId="1ADB6BE5" w14:textId="77777777" w:rsidR="00C252CA" w:rsidRPr="00294751" w:rsidRDefault="00C252CA" w:rsidP="006655D3">
      <w:pPr>
        <w:rPr>
          <w:lang w:val="fr-FR"/>
        </w:rPr>
      </w:pPr>
    </w:p>
  </w:endnote>
  <w:endnote w:type="continuationNotice" w:id="1">
    <w:p w14:paraId="5FB701AE" w14:textId="77777777" w:rsidR="00C252CA" w:rsidRPr="00294751" w:rsidRDefault="00C252CA" w:rsidP="006655D3">
      <w:pPr>
        <w:rPr>
          <w:lang w:val="fr-FR"/>
        </w:rPr>
      </w:pPr>
      <w:r w:rsidRPr="00294751">
        <w:rPr>
          <w:lang w:val="fr-FR"/>
        </w:rPr>
        <w:t>[Suite de la note page suivante]</w:t>
      </w:r>
    </w:p>
    <w:p w14:paraId="0AC84D33" w14:textId="77777777" w:rsidR="00C252CA" w:rsidRPr="00294751" w:rsidRDefault="00C252CA" w:rsidP="006655D3">
      <w:pPr>
        <w:rPr>
          <w:lang w:val="fr-FR"/>
        </w:rPr>
      </w:pPr>
    </w:p>
    <w:p w14:paraId="414660F7" w14:textId="77777777" w:rsidR="00C252CA" w:rsidRPr="00294751" w:rsidRDefault="00C252C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2C37B" w14:textId="77777777" w:rsidR="00C252CA" w:rsidRDefault="00C252CA" w:rsidP="006655D3">
      <w:r>
        <w:separator/>
      </w:r>
    </w:p>
  </w:footnote>
  <w:footnote w:type="continuationSeparator" w:id="0">
    <w:p w14:paraId="3F194FBF" w14:textId="77777777" w:rsidR="00C252CA" w:rsidRDefault="00C252CA" w:rsidP="006655D3">
      <w:r>
        <w:separator/>
      </w:r>
    </w:p>
  </w:footnote>
  <w:footnote w:type="continuationNotice" w:id="1">
    <w:p w14:paraId="4AB0915D" w14:textId="77777777" w:rsidR="00C252CA" w:rsidRPr="00AB530F" w:rsidRDefault="00C252CA" w:rsidP="00AB530F">
      <w:pPr>
        <w:pStyle w:val="Footer"/>
      </w:pPr>
    </w:p>
  </w:footnote>
  <w:footnote w:id="2">
    <w:p w14:paraId="134A24AA" w14:textId="77777777" w:rsidR="00632265" w:rsidRDefault="00632265" w:rsidP="00247689">
      <w:pPr>
        <w:pStyle w:val="FootnoteText"/>
      </w:pPr>
      <w:r>
        <w:rPr>
          <w:rStyle w:val="FootnoteReference"/>
        </w:rPr>
        <w:footnoteRef/>
      </w:r>
      <w:r>
        <w:t xml:space="preserve"> Auf ihrer fünfundfünfzigsten Tagung, die von der Türkei ausgerichtet und vom 3. bis 7. Mai 2021 auf elektronischem Wege abgehalten wurde</w:t>
      </w:r>
    </w:p>
  </w:footnote>
  <w:footnote w:id="3">
    <w:p w14:paraId="1E6D5C49" w14:textId="77777777" w:rsidR="00632265" w:rsidRDefault="00632265" w:rsidP="00247689">
      <w:pPr>
        <w:pStyle w:val="FootnoteText"/>
      </w:pPr>
      <w:r>
        <w:rPr>
          <w:rStyle w:val="FootnoteReference"/>
        </w:rPr>
        <w:footnoteRef/>
      </w:r>
      <w:r>
        <w:t xml:space="preserve"> Auf ihrer dreiundfünfzigsten Tagung, die von den Niederlanden ausgerichtet und vom 7. bis 11. Juni 2021 auf elektronischem Wege abgehalten wurde</w:t>
      </w:r>
    </w:p>
  </w:footnote>
  <w:footnote w:id="4">
    <w:p w14:paraId="647A1DC8" w14:textId="77777777" w:rsidR="00632265" w:rsidRDefault="00632265" w:rsidP="00247689">
      <w:pPr>
        <w:pStyle w:val="FootnoteText"/>
      </w:pPr>
      <w:r>
        <w:rPr>
          <w:rStyle w:val="FootnoteReference"/>
        </w:rPr>
        <w:footnoteRef/>
      </w:r>
      <w:r>
        <w:t xml:space="preserve"> Auf ihrer fünfzigsten Tagung, die von der Vereinigten Republik Tansania ausgerichtet und vom 21. bis 25. Juni 2021 auf elektronischem Wege abgehalten wurde</w:t>
      </w:r>
    </w:p>
  </w:footnote>
  <w:footnote w:id="5">
    <w:p w14:paraId="3BD56383" w14:textId="77777777" w:rsidR="00632265" w:rsidRDefault="00632265" w:rsidP="00247689">
      <w:pPr>
        <w:pStyle w:val="FootnoteText"/>
      </w:pPr>
      <w:r>
        <w:rPr>
          <w:rStyle w:val="FootnoteReference"/>
        </w:rPr>
        <w:footnoteRef/>
      </w:r>
      <w:r>
        <w:t xml:space="preserve"> Auf ihrer zweiundfünfzigsten Tagung, die von China ausgerichtet und vom 12. bis 16. Juni 2021 auf elektronischem Wege abgehalten wurde</w:t>
      </w:r>
    </w:p>
  </w:footnote>
  <w:footnote w:id="6">
    <w:p w14:paraId="04577AFA" w14:textId="77777777" w:rsidR="00632265" w:rsidRDefault="00632265" w:rsidP="00247689">
      <w:pPr>
        <w:pStyle w:val="FootnoteText"/>
      </w:pPr>
      <w:r>
        <w:rPr>
          <w:rStyle w:val="FootnoteReference"/>
        </w:rPr>
        <w:footnoteRef/>
      </w:r>
      <w:r>
        <w:t xml:space="preserve"> Auf ihrer neununddreißigsten Tagung, die von den Vereinigten Staaten von Amerika ausgerichtet und vom 20. bis 22. September 2021 auf elektronischem Wege abgehalten wurde</w:t>
      </w:r>
    </w:p>
  </w:footnote>
  <w:footnote w:id="7">
    <w:p w14:paraId="2B1568E4" w14:textId="55823940" w:rsidR="00632265" w:rsidRDefault="00632265">
      <w:pPr>
        <w:pStyle w:val="FootnoteText"/>
      </w:pPr>
      <w:r>
        <w:rPr>
          <w:rStyle w:val="FootnoteReference"/>
        </w:rPr>
        <w:footnoteRef/>
      </w:r>
      <w:r>
        <w:t xml:space="preserve"> Ausgerichtet von den Vereinigten Staaten von Amerika und vom 22. bis 24. September 2021 auf elektronischem Wege abgehalten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34151" w14:textId="77777777" w:rsidR="00632265" w:rsidRPr="00961945" w:rsidRDefault="00632265" w:rsidP="004C24E1">
    <w:pPr>
      <w:pStyle w:val="Header"/>
      <w:rPr>
        <w:rStyle w:val="PageNumber"/>
      </w:rPr>
    </w:pPr>
    <w:r>
      <w:rPr>
        <w:rStyle w:val="PageNumber"/>
      </w:rPr>
      <w:t>TC/57/8 Add.</w:t>
    </w:r>
  </w:p>
  <w:p w14:paraId="5C0DAAE6" w14:textId="3B5F8D14" w:rsidR="00632265" w:rsidRDefault="00632265" w:rsidP="004C24E1">
    <w:pPr>
      <w:pStyle w:val="Header"/>
      <w:rPr>
        <w:rStyle w:val="PageNumber"/>
      </w:rPr>
    </w:pPr>
    <w:r>
      <w:t xml:space="preserve">Seite </w:t>
    </w:r>
    <w:r w:rsidRPr="00C5280D">
      <w:rPr>
        <w:rStyle w:val="PageNumber"/>
      </w:rPr>
      <w:fldChar w:fldCharType="begin"/>
    </w:r>
    <w:r w:rsidRPr="00961945">
      <w:rPr>
        <w:rStyle w:val="PageNumber"/>
      </w:rPr>
      <w:instrText xml:space="preserve"> PAGE </w:instrText>
    </w:r>
    <w:r w:rsidRPr="00C5280D">
      <w:rPr>
        <w:rStyle w:val="PageNumber"/>
      </w:rPr>
      <w:fldChar w:fldCharType="separate"/>
    </w:r>
    <w:r w:rsidR="00A11A67">
      <w:rPr>
        <w:rStyle w:val="PageNumber"/>
        <w:noProof/>
      </w:rPr>
      <w:t>5</w:t>
    </w:r>
    <w:r w:rsidRPr="00C5280D">
      <w:rPr>
        <w:rStyle w:val="PageNumber"/>
      </w:rPr>
      <w:fldChar w:fldCharType="end"/>
    </w:r>
  </w:p>
  <w:p w14:paraId="13622EAC" w14:textId="77777777" w:rsidR="00632265" w:rsidRPr="00961945" w:rsidRDefault="00632265" w:rsidP="004C24E1">
    <w:pPr>
      <w:pStyle w:val="Header"/>
      <w:rPr>
        <w:lang w:val="fr-CH"/>
      </w:rPr>
    </w:pPr>
  </w:p>
  <w:p w14:paraId="38A52C4A" w14:textId="77777777" w:rsidR="00632265" w:rsidRPr="00961945" w:rsidRDefault="00632265">
    <w:pPr>
      <w:pStyle w:val="BodyText"/>
      <w:spacing w:line="14" w:lineRule="auto"/>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33775" w14:textId="77777777" w:rsidR="00632265" w:rsidRPr="00961945" w:rsidRDefault="00632265" w:rsidP="004C24E1">
    <w:pPr>
      <w:pStyle w:val="Header"/>
      <w:rPr>
        <w:rStyle w:val="PageNumber"/>
      </w:rPr>
    </w:pPr>
    <w:r>
      <w:rPr>
        <w:rStyle w:val="PageNumber"/>
      </w:rPr>
      <w:t>TC/57/8 Add.</w:t>
    </w:r>
  </w:p>
  <w:p w14:paraId="5123357B" w14:textId="20DE40BB" w:rsidR="00632265" w:rsidRDefault="00632265" w:rsidP="004C24E1">
    <w:pPr>
      <w:pStyle w:val="Header"/>
      <w:rPr>
        <w:rStyle w:val="PageNumber"/>
      </w:rPr>
    </w:pPr>
    <w:r>
      <w:t>Anlage, Seite</w:t>
    </w:r>
    <w:r w:rsidR="00A11A67">
      <w:t xml:space="preserve"> </w:t>
    </w:r>
    <w:r w:rsidRPr="00C5280D">
      <w:rPr>
        <w:rStyle w:val="PageNumber"/>
      </w:rPr>
      <w:fldChar w:fldCharType="begin"/>
    </w:r>
    <w:r w:rsidRPr="00961945">
      <w:rPr>
        <w:rStyle w:val="PageNumber"/>
      </w:rPr>
      <w:instrText xml:space="preserve"> PAGE </w:instrText>
    </w:r>
    <w:r w:rsidRPr="00C5280D">
      <w:rPr>
        <w:rStyle w:val="PageNumber"/>
      </w:rPr>
      <w:fldChar w:fldCharType="separate"/>
    </w:r>
    <w:r w:rsidR="00A11A67">
      <w:rPr>
        <w:rStyle w:val="PageNumber"/>
        <w:noProof/>
      </w:rPr>
      <w:t>2</w:t>
    </w:r>
    <w:r w:rsidRPr="00C5280D">
      <w:rPr>
        <w:rStyle w:val="PageNumber"/>
      </w:rPr>
      <w:fldChar w:fldCharType="end"/>
    </w:r>
  </w:p>
  <w:p w14:paraId="4EC78F71" w14:textId="77777777" w:rsidR="00632265" w:rsidRPr="00961945" w:rsidRDefault="00632265" w:rsidP="004C24E1">
    <w:pPr>
      <w:pStyle w:val="Header"/>
      <w:rPr>
        <w:lang w:val="fr-CH"/>
      </w:rPr>
    </w:pPr>
  </w:p>
  <w:p w14:paraId="58D6C122" w14:textId="77777777" w:rsidR="00632265" w:rsidRPr="00961945" w:rsidRDefault="00632265">
    <w:pPr>
      <w:pStyle w:val="BodyText"/>
      <w:spacing w:line="14" w:lineRule="auto"/>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25B3C" w14:textId="77777777" w:rsidR="00632265" w:rsidRPr="00961945" w:rsidRDefault="00632265" w:rsidP="006E6FC6">
    <w:pPr>
      <w:pStyle w:val="Header"/>
      <w:rPr>
        <w:rStyle w:val="PageNumber"/>
      </w:rPr>
    </w:pPr>
    <w:r>
      <w:rPr>
        <w:rStyle w:val="PageNumber"/>
      </w:rPr>
      <w:t>TC/57/8 Add.</w:t>
    </w:r>
  </w:p>
  <w:p w14:paraId="48F2F53F" w14:textId="77777777" w:rsidR="00632265" w:rsidRDefault="00632265" w:rsidP="005A2275">
    <w:pPr>
      <w:pStyle w:val="Header"/>
    </w:pPr>
  </w:p>
  <w:p w14:paraId="2BB753AB" w14:textId="77777777" w:rsidR="00632265" w:rsidRDefault="00632265" w:rsidP="005A2275">
    <w:pPr>
      <w:pStyle w:val="Header"/>
    </w:pPr>
    <w:r>
      <w:t>ANLAGE</w:t>
    </w:r>
  </w:p>
  <w:p w14:paraId="3311A289" w14:textId="77777777" w:rsidR="00632265" w:rsidRPr="005A2275" w:rsidRDefault="00632265" w:rsidP="005A2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71AFF"/>
    <w:multiLevelType w:val="hybridMultilevel"/>
    <w:tmpl w:val="86C255E8"/>
    <w:lvl w:ilvl="0" w:tplc="04090001">
      <w:start w:val="1"/>
      <w:numFmt w:val="bullet"/>
      <w:lvlText w:val=""/>
      <w:lvlJc w:val="left"/>
      <w:pPr>
        <w:ind w:left="720" w:hanging="360"/>
      </w:pPr>
      <w:rPr>
        <w:rFonts w:ascii="Symbol" w:hAnsi="Symbol" w:hint="default"/>
      </w:rPr>
    </w:lvl>
    <w:lvl w:ilvl="1" w:tplc="1CC28B6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30D00"/>
    <w:multiLevelType w:val="hybridMultilevel"/>
    <w:tmpl w:val="CFF2F340"/>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62292"/>
    <w:multiLevelType w:val="hybridMultilevel"/>
    <w:tmpl w:val="DCCAC554"/>
    <w:lvl w:ilvl="0" w:tplc="C5DC1DF8">
      <w:start w:val="1"/>
      <w:numFmt w:val="decimal"/>
      <w:lvlText w:val="%1."/>
      <w:lvlJc w:val="left"/>
      <w:pPr>
        <w:ind w:left="220" w:hanging="906"/>
      </w:pPr>
      <w:rPr>
        <w:rFonts w:ascii="Times New Roman" w:eastAsia="Times New Roman" w:hAnsi="Times New Roman" w:cs="Times New Roman" w:hint="default"/>
        <w:w w:val="100"/>
        <w:sz w:val="22"/>
        <w:szCs w:val="22"/>
        <w:lang w:val="en-GB" w:eastAsia="en-GB" w:bidi="en-GB"/>
      </w:rPr>
    </w:lvl>
    <w:lvl w:ilvl="1" w:tplc="378EC1DE">
      <w:numFmt w:val="bullet"/>
      <w:lvlText w:val=""/>
      <w:lvlJc w:val="left"/>
      <w:pPr>
        <w:ind w:left="1070" w:hanging="409"/>
      </w:pPr>
      <w:rPr>
        <w:rFonts w:ascii="Symbol" w:eastAsia="Symbol" w:hAnsi="Symbol" w:cs="Symbol" w:hint="default"/>
        <w:w w:val="100"/>
        <w:sz w:val="22"/>
        <w:szCs w:val="22"/>
        <w:lang w:val="en-GB" w:eastAsia="en-GB" w:bidi="en-GB"/>
      </w:rPr>
    </w:lvl>
    <w:lvl w:ilvl="2" w:tplc="09903808">
      <w:numFmt w:val="bullet"/>
      <w:lvlText w:val="•"/>
      <w:lvlJc w:val="left"/>
      <w:pPr>
        <w:ind w:left="2208" w:hanging="409"/>
      </w:pPr>
      <w:rPr>
        <w:rFonts w:hint="default"/>
        <w:lang w:val="en-GB" w:eastAsia="en-GB" w:bidi="en-GB"/>
      </w:rPr>
    </w:lvl>
    <w:lvl w:ilvl="3" w:tplc="DFA420FE">
      <w:numFmt w:val="bullet"/>
      <w:lvlText w:val="•"/>
      <w:lvlJc w:val="left"/>
      <w:pPr>
        <w:ind w:left="3337" w:hanging="409"/>
      </w:pPr>
      <w:rPr>
        <w:rFonts w:hint="default"/>
        <w:lang w:val="en-GB" w:eastAsia="en-GB" w:bidi="en-GB"/>
      </w:rPr>
    </w:lvl>
    <w:lvl w:ilvl="4" w:tplc="26B42B78">
      <w:numFmt w:val="bullet"/>
      <w:lvlText w:val="•"/>
      <w:lvlJc w:val="left"/>
      <w:pPr>
        <w:ind w:left="4466" w:hanging="409"/>
      </w:pPr>
      <w:rPr>
        <w:rFonts w:hint="default"/>
        <w:lang w:val="en-GB" w:eastAsia="en-GB" w:bidi="en-GB"/>
      </w:rPr>
    </w:lvl>
    <w:lvl w:ilvl="5" w:tplc="E292BF4E">
      <w:numFmt w:val="bullet"/>
      <w:lvlText w:val="•"/>
      <w:lvlJc w:val="left"/>
      <w:pPr>
        <w:ind w:left="5595" w:hanging="409"/>
      </w:pPr>
      <w:rPr>
        <w:rFonts w:hint="default"/>
        <w:lang w:val="en-GB" w:eastAsia="en-GB" w:bidi="en-GB"/>
      </w:rPr>
    </w:lvl>
    <w:lvl w:ilvl="6" w:tplc="C338AFB2">
      <w:numFmt w:val="bullet"/>
      <w:lvlText w:val="•"/>
      <w:lvlJc w:val="left"/>
      <w:pPr>
        <w:ind w:left="6724" w:hanging="409"/>
      </w:pPr>
      <w:rPr>
        <w:rFonts w:hint="default"/>
        <w:lang w:val="en-GB" w:eastAsia="en-GB" w:bidi="en-GB"/>
      </w:rPr>
    </w:lvl>
    <w:lvl w:ilvl="7" w:tplc="E0F8143E">
      <w:numFmt w:val="bullet"/>
      <w:lvlText w:val="•"/>
      <w:lvlJc w:val="left"/>
      <w:pPr>
        <w:ind w:left="7853" w:hanging="409"/>
      </w:pPr>
      <w:rPr>
        <w:rFonts w:hint="default"/>
        <w:lang w:val="en-GB" w:eastAsia="en-GB" w:bidi="en-GB"/>
      </w:rPr>
    </w:lvl>
    <w:lvl w:ilvl="8" w:tplc="E094185C">
      <w:numFmt w:val="bullet"/>
      <w:lvlText w:val="•"/>
      <w:lvlJc w:val="left"/>
      <w:pPr>
        <w:ind w:left="8982" w:hanging="409"/>
      </w:pPr>
      <w:rPr>
        <w:rFonts w:hint="default"/>
        <w:lang w:val="en-GB" w:eastAsia="en-GB" w:bidi="en-GB"/>
      </w:rPr>
    </w:lvl>
  </w:abstractNum>
  <w:abstractNum w:abstractNumId="3" w15:restartNumberingAfterBreak="0">
    <w:nsid w:val="2A4435BD"/>
    <w:multiLevelType w:val="hybridMultilevel"/>
    <w:tmpl w:val="16F635F0"/>
    <w:lvl w:ilvl="0" w:tplc="4B50B3FA">
      <w:start w:val="1"/>
      <w:numFmt w:val="lowerLetter"/>
      <w:lvlText w:val="(%1)"/>
      <w:lvlJc w:val="left"/>
      <w:pPr>
        <w:ind w:left="5440" w:hanging="360"/>
      </w:pPr>
      <w:rPr>
        <w:rFonts w:hint="default"/>
      </w:rPr>
    </w:lvl>
    <w:lvl w:ilvl="1" w:tplc="04090019">
      <w:start w:val="1"/>
      <w:numFmt w:val="lowerLetter"/>
      <w:lvlText w:val="%2."/>
      <w:lvlJc w:val="left"/>
      <w:pPr>
        <w:ind w:left="6160" w:hanging="360"/>
      </w:pPr>
    </w:lvl>
    <w:lvl w:ilvl="2" w:tplc="0409001B" w:tentative="1">
      <w:start w:val="1"/>
      <w:numFmt w:val="lowerRoman"/>
      <w:lvlText w:val="%3."/>
      <w:lvlJc w:val="right"/>
      <w:pPr>
        <w:ind w:left="6880" w:hanging="180"/>
      </w:pPr>
    </w:lvl>
    <w:lvl w:ilvl="3" w:tplc="0409000F" w:tentative="1">
      <w:start w:val="1"/>
      <w:numFmt w:val="decimal"/>
      <w:lvlText w:val="%4."/>
      <w:lvlJc w:val="left"/>
      <w:pPr>
        <w:ind w:left="7600" w:hanging="360"/>
      </w:pPr>
    </w:lvl>
    <w:lvl w:ilvl="4" w:tplc="04090019" w:tentative="1">
      <w:start w:val="1"/>
      <w:numFmt w:val="lowerLetter"/>
      <w:lvlText w:val="%5."/>
      <w:lvlJc w:val="left"/>
      <w:pPr>
        <w:ind w:left="8320" w:hanging="360"/>
      </w:pPr>
    </w:lvl>
    <w:lvl w:ilvl="5" w:tplc="0409001B" w:tentative="1">
      <w:start w:val="1"/>
      <w:numFmt w:val="lowerRoman"/>
      <w:lvlText w:val="%6."/>
      <w:lvlJc w:val="right"/>
      <w:pPr>
        <w:ind w:left="9040" w:hanging="180"/>
      </w:pPr>
    </w:lvl>
    <w:lvl w:ilvl="6" w:tplc="0409000F" w:tentative="1">
      <w:start w:val="1"/>
      <w:numFmt w:val="decimal"/>
      <w:lvlText w:val="%7."/>
      <w:lvlJc w:val="left"/>
      <w:pPr>
        <w:ind w:left="9760" w:hanging="360"/>
      </w:pPr>
    </w:lvl>
    <w:lvl w:ilvl="7" w:tplc="04090019" w:tentative="1">
      <w:start w:val="1"/>
      <w:numFmt w:val="lowerLetter"/>
      <w:lvlText w:val="%8."/>
      <w:lvlJc w:val="left"/>
      <w:pPr>
        <w:ind w:left="10480" w:hanging="360"/>
      </w:pPr>
    </w:lvl>
    <w:lvl w:ilvl="8" w:tplc="0409001B" w:tentative="1">
      <w:start w:val="1"/>
      <w:numFmt w:val="lowerRoman"/>
      <w:lvlText w:val="%9."/>
      <w:lvlJc w:val="right"/>
      <w:pPr>
        <w:ind w:left="11200" w:hanging="180"/>
      </w:pPr>
    </w:lvl>
  </w:abstractNum>
  <w:abstractNum w:abstractNumId="4" w15:restartNumberingAfterBreak="0">
    <w:nsid w:val="31B073DB"/>
    <w:multiLevelType w:val="multilevel"/>
    <w:tmpl w:val="8D3CD76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418" w:hanging="567"/>
      </w:pPr>
      <w:rPr>
        <w:rFonts w:hint="default"/>
      </w:rPr>
    </w:lvl>
    <w:lvl w:ilvl="5">
      <w:start w:val="1"/>
      <w:numFmt w:val="bullet"/>
      <w:lvlText w:val=""/>
      <w:lvlJc w:val="left"/>
      <w:pPr>
        <w:ind w:left="1418" w:hanging="284"/>
      </w:pPr>
      <w:rPr>
        <w:rFonts w:ascii="Symbol" w:hAnsi="Symbol" w:hint="default"/>
        <w:color w:val="auto"/>
      </w:rPr>
    </w:lvl>
    <w:lvl w:ilvl="6">
      <w:start w:val="1"/>
      <w:numFmt w:val="bullet"/>
      <w:lvlText w:val=""/>
      <w:lvlJc w:val="left"/>
      <w:pPr>
        <w:ind w:left="1588" w:hanging="284"/>
      </w:pPr>
      <w:rPr>
        <w:rFonts w:ascii="Symbol" w:hAnsi="Symbol" w:hint="default"/>
        <w:color w:val="auto"/>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5" w15:restartNumberingAfterBreak="0">
    <w:nsid w:val="35413021"/>
    <w:multiLevelType w:val="multilevel"/>
    <w:tmpl w:val="40F2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D6635A"/>
    <w:multiLevelType w:val="hybridMultilevel"/>
    <w:tmpl w:val="6B96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92688"/>
    <w:multiLevelType w:val="hybridMultilevel"/>
    <w:tmpl w:val="C2B2C2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9" w15:restartNumberingAfterBreak="0">
    <w:nsid w:val="4B985B1E"/>
    <w:multiLevelType w:val="hybridMultilevel"/>
    <w:tmpl w:val="A308E4E6"/>
    <w:lvl w:ilvl="0" w:tplc="08070005">
      <w:start w:val="1"/>
      <w:numFmt w:val="bullet"/>
      <w:lvlText w:val=""/>
      <w:lvlJc w:val="left"/>
      <w:pPr>
        <w:ind w:left="720" w:hanging="360"/>
      </w:pPr>
      <w:rPr>
        <w:rFonts w:ascii="Wingdings" w:hAnsi="Wingdings" w:hint="default"/>
        <w:color w:val="FF99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A06518E"/>
    <w:multiLevelType w:val="hybridMultilevel"/>
    <w:tmpl w:val="85A0CB58"/>
    <w:lvl w:ilvl="0" w:tplc="3CE8F4F8">
      <w:start w:val="1"/>
      <w:numFmt w:val="lowerLetter"/>
      <w:lvlText w:val="(%1)"/>
      <w:lvlJc w:val="left"/>
      <w:pPr>
        <w:ind w:left="1128" w:hanging="564"/>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1" w15:restartNumberingAfterBreak="0">
    <w:nsid w:val="5D2E7E7B"/>
    <w:multiLevelType w:val="hybridMultilevel"/>
    <w:tmpl w:val="F9E8EAEE"/>
    <w:lvl w:ilvl="0" w:tplc="E286ECEE">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1B104BD"/>
    <w:multiLevelType w:val="multilevel"/>
    <w:tmpl w:val="E47E4CC2"/>
    <w:lvl w:ilvl="0">
      <w:start w:val="1"/>
      <w:numFmt w:val="bullet"/>
      <w:lvlText w:val=""/>
      <w:lvlJc w:val="left"/>
      <w:pPr>
        <w:tabs>
          <w:tab w:val="num" w:pos="720"/>
        </w:tabs>
        <w:ind w:left="720" w:hanging="360"/>
      </w:pPr>
      <w:rPr>
        <w:rFonts w:ascii="Wingdings" w:hAnsi="Wingdings" w:hint="default"/>
        <w:color w:val="FF99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7D0023"/>
    <w:multiLevelType w:val="hybridMultilevel"/>
    <w:tmpl w:val="FF0C0114"/>
    <w:lvl w:ilvl="0" w:tplc="E286ECEE">
      <w:start w:val="1"/>
      <w:numFmt w:val="lowerLetter"/>
      <w:lvlText w:val="(%1)"/>
      <w:lvlJc w:val="lef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14" w15:restartNumberingAfterBreak="0">
    <w:nsid w:val="69122C42"/>
    <w:multiLevelType w:val="hybridMultilevel"/>
    <w:tmpl w:val="143479F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6BB24AE1"/>
    <w:multiLevelType w:val="hybridMultilevel"/>
    <w:tmpl w:val="E5220C16"/>
    <w:lvl w:ilvl="0" w:tplc="7AD49A66">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5239DE"/>
    <w:multiLevelType w:val="hybridMultilevel"/>
    <w:tmpl w:val="1DA0FF64"/>
    <w:lvl w:ilvl="0" w:tplc="E286ECEE">
      <w:start w:val="1"/>
      <w:numFmt w:val="low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num w:numId="1">
    <w:abstractNumId w:val="8"/>
  </w:num>
  <w:num w:numId="2">
    <w:abstractNumId w:val="1"/>
  </w:num>
  <w:num w:numId="3">
    <w:abstractNumId w:val="16"/>
  </w:num>
  <w:num w:numId="4">
    <w:abstractNumId w:val="10"/>
  </w:num>
  <w:num w:numId="5">
    <w:abstractNumId w:val="4"/>
  </w:num>
  <w:num w:numId="6">
    <w:abstractNumId w:val="5"/>
  </w:num>
  <w:num w:numId="7">
    <w:abstractNumId w:val="12"/>
  </w:num>
  <w:num w:numId="8">
    <w:abstractNumId w:val="9"/>
  </w:num>
  <w:num w:numId="9">
    <w:abstractNumId w:val="2"/>
  </w:num>
  <w:num w:numId="10">
    <w:abstractNumId w:val="14"/>
  </w:num>
  <w:num w:numId="11">
    <w:abstractNumId w:val="7"/>
  </w:num>
  <w:num w:numId="12">
    <w:abstractNumId w:val="0"/>
  </w:num>
  <w:num w:numId="13">
    <w:abstractNumId w:val="6"/>
  </w:num>
  <w:num w:numId="14">
    <w:abstractNumId w:val="15"/>
  </w:num>
  <w:num w:numId="15">
    <w:abstractNumId w:val="11"/>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1C"/>
    <w:rsid w:val="00010CF3"/>
    <w:rsid w:val="00011E27"/>
    <w:rsid w:val="000148BC"/>
    <w:rsid w:val="0002416A"/>
    <w:rsid w:val="00024AB8"/>
    <w:rsid w:val="00030854"/>
    <w:rsid w:val="00036028"/>
    <w:rsid w:val="0004198B"/>
    <w:rsid w:val="00044642"/>
    <w:rsid w:val="000446B9"/>
    <w:rsid w:val="00047E21"/>
    <w:rsid w:val="00050E16"/>
    <w:rsid w:val="000743FC"/>
    <w:rsid w:val="00081DED"/>
    <w:rsid w:val="00085505"/>
    <w:rsid w:val="000946B8"/>
    <w:rsid w:val="000C4E25"/>
    <w:rsid w:val="000C7021"/>
    <w:rsid w:val="000D6BBC"/>
    <w:rsid w:val="000D7780"/>
    <w:rsid w:val="000E636A"/>
    <w:rsid w:val="000F2F11"/>
    <w:rsid w:val="000F5DCC"/>
    <w:rsid w:val="000F6C74"/>
    <w:rsid w:val="00100A5F"/>
    <w:rsid w:val="00105929"/>
    <w:rsid w:val="00106B8C"/>
    <w:rsid w:val="00110BED"/>
    <w:rsid w:val="00110C36"/>
    <w:rsid w:val="001131D5"/>
    <w:rsid w:val="00114547"/>
    <w:rsid w:val="00134EB6"/>
    <w:rsid w:val="00141DB8"/>
    <w:rsid w:val="00172084"/>
    <w:rsid w:val="0017474A"/>
    <w:rsid w:val="001758C6"/>
    <w:rsid w:val="00182B99"/>
    <w:rsid w:val="001A75C9"/>
    <w:rsid w:val="001B750E"/>
    <w:rsid w:val="001C09E0"/>
    <w:rsid w:val="001C1525"/>
    <w:rsid w:val="001D15E4"/>
    <w:rsid w:val="001D2D95"/>
    <w:rsid w:val="0021332C"/>
    <w:rsid w:val="00213982"/>
    <w:rsid w:val="0024416D"/>
    <w:rsid w:val="00247689"/>
    <w:rsid w:val="00271911"/>
    <w:rsid w:val="00273187"/>
    <w:rsid w:val="00274192"/>
    <w:rsid w:val="002800A0"/>
    <w:rsid w:val="002801B3"/>
    <w:rsid w:val="00281060"/>
    <w:rsid w:val="00284050"/>
    <w:rsid w:val="00285BD0"/>
    <w:rsid w:val="002940E8"/>
    <w:rsid w:val="00294751"/>
    <w:rsid w:val="002A6E50"/>
    <w:rsid w:val="002B4298"/>
    <w:rsid w:val="002B7A36"/>
    <w:rsid w:val="002C256A"/>
    <w:rsid w:val="002D5226"/>
    <w:rsid w:val="002F2D51"/>
    <w:rsid w:val="00305A7F"/>
    <w:rsid w:val="003152FE"/>
    <w:rsid w:val="00327436"/>
    <w:rsid w:val="00344BD6"/>
    <w:rsid w:val="0035528D"/>
    <w:rsid w:val="00361821"/>
    <w:rsid w:val="00361E9E"/>
    <w:rsid w:val="003753EE"/>
    <w:rsid w:val="0039171E"/>
    <w:rsid w:val="003A0835"/>
    <w:rsid w:val="003A5AAF"/>
    <w:rsid w:val="003B700A"/>
    <w:rsid w:val="003C7FBE"/>
    <w:rsid w:val="003D227C"/>
    <w:rsid w:val="003D2B4D"/>
    <w:rsid w:val="003E7D87"/>
    <w:rsid w:val="003F37F5"/>
    <w:rsid w:val="00405763"/>
    <w:rsid w:val="00436712"/>
    <w:rsid w:val="00444A88"/>
    <w:rsid w:val="00445B73"/>
    <w:rsid w:val="00474DA4"/>
    <w:rsid w:val="00476B4D"/>
    <w:rsid w:val="004805FA"/>
    <w:rsid w:val="004935D2"/>
    <w:rsid w:val="004B1215"/>
    <w:rsid w:val="004C24E1"/>
    <w:rsid w:val="004D047D"/>
    <w:rsid w:val="004D0C2D"/>
    <w:rsid w:val="004F1E9E"/>
    <w:rsid w:val="004F305A"/>
    <w:rsid w:val="005101E8"/>
    <w:rsid w:val="00512164"/>
    <w:rsid w:val="00520297"/>
    <w:rsid w:val="005338F9"/>
    <w:rsid w:val="0054281C"/>
    <w:rsid w:val="00544581"/>
    <w:rsid w:val="0055268D"/>
    <w:rsid w:val="00552A7D"/>
    <w:rsid w:val="00556142"/>
    <w:rsid w:val="00560BC9"/>
    <w:rsid w:val="005637C1"/>
    <w:rsid w:val="00575DE2"/>
    <w:rsid w:val="00576BE4"/>
    <w:rsid w:val="005779DB"/>
    <w:rsid w:val="00577E5E"/>
    <w:rsid w:val="005818CE"/>
    <w:rsid w:val="005A2275"/>
    <w:rsid w:val="005A2A67"/>
    <w:rsid w:val="005A400A"/>
    <w:rsid w:val="005B269D"/>
    <w:rsid w:val="005B33D0"/>
    <w:rsid w:val="005D0BEA"/>
    <w:rsid w:val="005D3A08"/>
    <w:rsid w:val="005F58D4"/>
    <w:rsid w:val="005F7B92"/>
    <w:rsid w:val="00611278"/>
    <w:rsid w:val="00612379"/>
    <w:rsid w:val="006153B6"/>
    <w:rsid w:val="0061555F"/>
    <w:rsid w:val="006245ED"/>
    <w:rsid w:val="00632265"/>
    <w:rsid w:val="00636CA6"/>
    <w:rsid w:val="00641200"/>
    <w:rsid w:val="00645CA8"/>
    <w:rsid w:val="0065461D"/>
    <w:rsid w:val="006655D3"/>
    <w:rsid w:val="00667404"/>
    <w:rsid w:val="00672123"/>
    <w:rsid w:val="00687EB4"/>
    <w:rsid w:val="00695C56"/>
    <w:rsid w:val="006A5CDE"/>
    <w:rsid w:val="006A644A"/>
    <w:rsid w:val="006B17D2"/>
    <w:rsid w:val="006B329B"/>
    <w:rsid w:val="006C224E"/>
    <w:rsid w:val="006D780A"/>
    <w:rsid w:val="006E6FC6"/>
    <w:rsid w:val="0071271E"/>
    <w:rsid w:val="00731318"/>
    <w:rsid w:val="00732DEC"/>
    <w:rsid w:val="00735BD5"/>
    <w:rsid w:val="007451EC"/>
    <w:rsid w:val="00751613"/>
    <w:rsid w:val="00753EE9"/>
    <w:rsid w:val="007556F6"/>
    <w:rsid w:val="00760EEF"/>
    <w:rsid w:val="007776C7"/>
    <w:rsid w:val="00777EE5"/>
    <w:rsid w:val="00784836"/>
    <w:rsid w:val="0079023E"/>
    <w:rsid w:val="007A2158"/>
    <w:rsid w:val="007A2854"/>
    <w:rsid w:val="007C1D92"/>
    <w:rsid w:val="007C4CB9"/>
    <w:rsid w:val="007D0B9D"/>
    <w:rsid w:val="007D19B0"/>
    <w:rsid w:val="007F06D0"/>
    <w:rsid w:val="007F498F"/>
    <w:rsid w:val="0080679D"/>
    <w:rsid w:val="008108B0"/>
    <w:rsid w:val="00810B7B"/>
    <w:rsid w:val="00811B20"/>
    <w:rsid w:val="00812609"/>
    <w:rsid w:val="00812B6A"/>
    <w:rsid w:val="008211B5"/>
    <w:rsid w:val="0082296E"/>
    <w:rsid w:val="00824099"/>
    <w:rsid w:val="00846D7C"/>
    <w:rsid w:val="00854E06"/>
    <w:rsid w:val="00867AC1"/>
    <w:rsid w:val="008751DE"/>
    <w:rsid w:val="00890DF8"/>
    <w:rsid w:val="008A0ADE"/>
    <w:rsid w:val="008A56DB"/>
    <w:rsid w:val="008A743F"/>
    <w:rsid w:val="008C0970"/>
    <w:rsid w:val="008D0BC5"/>
    <w:rsid w:val="008D2CF7"/>
    <w:rsid w:val="00900528"/>
    <w:rsid w:val="00900C26"/>
    <w:rsid w:val="0090197F"/>
    <w:rsid w:val="00903264"/>
    <w:rsid w:val="009068BC"/>
    <w:rsid w:val="00906DDC"/>
    <w:rsid w:val="00934E09"/>
    <w:rsid w:val="00936253"/>
    <w:rsid w:val="00940D46"/>
    <w:rsid w:val="009413F1"/>
    <w:rsid w:val="00952DD4"/>
    <w:rsid w:val="009561F4"/>
    <w:rsid w:val="00956417"/>
    <w:rsid w:val="0096531C"/>
    <w:rsid w:val="00965AE7"/>
    <w:rsid w:val="009669CC"/>
    <w:rsid w:val="00970FED"/>
    <w:rsid w:val="00985E41"/>
    <w:rsid w:val="00992D82"/>
    <w:rsid w:val="00997029"/>
    <w:rsid w:val="009A7339"/>
    <w:rsid w:val="009B440E"/>
    <w:rsid w:val="009D690D"/>
    <w:rsid w:val="009E65B6"/>
    <w:rsid w:val="009F0A51"/>
    <w:rsid w:val="009F0B7F"/>
    <w:rsid w:val="009F77CF"/>
    <w:rsid w:val="00A11A67"/>
    <w:rsid w:val="00A12795"/>
    <w:rsid w:val="00A24C10"/>
    <w:rsid w:val="00A36448"/>
    <w:rsid w:val="00A36C08"/>
    <w:rsid w:val="00A42AC3"/>
    <w:rsid w:val="00A430CF"/>
    <w:rsid w:val="00A54309"/>
    <w:rsid w:val="00A54674"/>
    <w:rsid w:val="00A610A9"/>
    <w:rsid w:val="00A80F2A"/>
    <w:rsid w:val="00A96C33"/>
    <w:rsid w:val="00AB2B93"/>
    <w:rsid w:val="00AB530F"/>
    <w:rsid w:val="00AB7E5B"/>
    <w:rsid w:val="00AC2883"/>
    <w:rsid w:val="00AD265E"/>
    <w:rsid w:val="00AD5F2B"/>
    <w:rsid w:val="00AE0EF1"/>
    <w:rsid w:val="00AE2937"/>
    <w:rsid w:val="00AE7F13"/>
    <w:rsid w:val="00B0268A"/>
    <w:rsid w:val="00B05CBB"/>
    <w:rsid w:val="00B07301"/>
    <w:rsid w:val="00B11F3E"/>
    <w:rsid w:val="00B13C2F"/>
    <w:rsid w:val="00B224DE"/>
    <w:rsid w:val="00B324D4"/>
    <w:rsid w:val="00B46575"/>
    <w:rsid w:val="00B61777"/>
    <w:rsid w:val="00B622E6"/>
    <w:rsid w:val="00B62EE5"/>
    <w:rsid w:val="00B83E82"/>
    <w:rsid w:val="00B84BBD"/>
    <w:rsid w:val="00BA3A08"/>
    <w:rsid w:val="00BA43FB"/>
    <w:rsid w:val="00BA54F6"/>
    <w:rsid w:val="00BC127D"/>
    <w:rsid w:val="00BC1923"/>
    <w:rsid w:val="00BC1BF4"/>
    <w:rsid w:val="00BC1FE6"/>
    <w:rsid w:val="00C061B6"/>
    <w:rsid w:val="00C2446C"/>
    <w:rsid w:val="00C252CA"/>
    <w:rsid w:val="00C36AE5"/>
    <w:rsid w:val="00C41F17"/>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3708D"/>
    <w:rsid w:val="00D40426"/>
    <w:rsid w:val="00D44396"/>
    <w:rsid w:val="00D57C96"/>
    <w:rsid w:val="00D57D18"/>
    <w:rsid w:val="00D62BD5"/>
    <w:rsid w:val="00D70E65"/>
    <w:rsid w:val="00D82C4D"/>
    <w:rsid w:val="00D91203"/>
    <w:rsid w:val="00D92B40"/>
    <w:rsid w:val="00D95174"/>
    <w:rsid w:val="00DA4973"/>
    <w:rsid w:val="00DA6F36"/>
    <w:rsid w:val="00DB596E"/>
    <w:rsid w:val="00DB7773"/>
    <w:rsid w:val="00DC00EA"/>
    <w:rsid w:val="00DC3802"/>
    <w:rsid w:val="00DD6208"/>
    <w:rsid w:val="00DF7E99"/>
    <w:rsid w:val="00E07D87"/>
    <w:rsid w:val="00E249C8"/>
    <w:rsid w:val="00E32F7E"/>
    <w:rsid w:val="00E40FFB"/>
    <w:rsid w:val="00E5267B"/>
    <w:rsid w:val="00E54D03"/>
    <w:rsid w:val="00E559F0"/>
    <w:rsid w:val="00E63C0E"/>
    <w:rsid w:val="00E72D49"/>
    <w:rsid w:val="00E7593C"/>
    <w:rsid w:val="00E7678A"/>
    <w:rsid w:val="00E935F1"/>
    <w:rsid w:val="00E94A81"/>
    <w:rsid w:val="00EA1FFB"/>
    <w:rsid w:val="00EB048E"/>
    <w:rsid w:val="00EB4E9C"/>
    <w:rsid w:val="00EC634B"/>
    <w:rsid w:val="00EE34DF"/>
    <w:rsid w:val="00EF2F89"/>
    <w:rsid w:val="00EF6C3B"/>
    <w:rsid w:val="00F03E98"/>
    <w:rsid w:val="00F1237A"/>
    <w:rsid w:val="00F22CBD"/>
    <w:rsid w:val="00F272F1"/>
    <w:rsid w:val="00F31412"/>
    <w:rsid w:val="00F438E0"/>
    <w:rsid w:val="00F45372"/>
    <w:rsid w:val="00F560F7"/>
    <w:rsid w:val="00F62FC5"/>
    <w:rsid w:val="00F6334D"/>
    <w:rsid w:val="00F63599"/>
    <w:rsid w:val="00F71781"/>
    <w:rsid w:val="00FA49AB"/>
    <w:rsid w:val="00FC5FD0"/>
    <w:rsid w:val="00FC712E"/>
    <w:rsid w:val="00FE1EB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22E4B8"/>
  <w15:docId w15:val="{ADE1E02E-9462-481F-ACC9-E20CC40E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basedOn w:val="Normal"/>
    <w:next w:val="Normal"/>
    <w:autoRedefine/>
    <w:uiPriority w:val="39"/>
    <w:qFormat/>
    <w:rsid w:val="005F58D4"/>
    <w:pPr>
      <w:tabs>
        <w:tab w:val="right" w:leader="dot" w:pos="9639"/>
      </w:tabs>
      <w:ind w:left="568" w:right="851" w:hanging="284"/>
      <w:contextualSpacing/>
      <w:jc w:val="left"/>
    </w:pPr>
    <w:rPr>
      <w:sz w:val="18"/>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basedOn w:val="Normal"/>
    <w:next w:val="Normal"/>
    <w:autoRedefine/>
    <w:uiPriority w:val="39"/>
    <w:qFormat/>
    <w:rsid w:val="005F58D4"/>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aliases w:val="COMMON NAME Char,common Char"/>
    <w:basedOn w:val="DefaultParagraphFont"/>
    <w:link w:val="Heading1"/>
    <w:rsid w:val="00A36448"/>
    <w:rPr>
      <w:rFonts w:ascii="Arial" w:hAnsi="Arial"/>
      <w:caps/>
    </w:rPr>
  </w:style>
  <w:style w:type="character" w:customStyle="1" w:styleId="Heading2Char">
    <w:name w:val="Heading 2 Char"/>
    <w:aliases w:val="VARIETY Char,variety Char"/>
    <w:link w:val="Heading2"/>
    <w:locked/>
    <w:rsid w:val="00A36448"/>
    <w:rPr>
      <w:rFonts w:ascii="Arial" w:hAnsi="Arial"/>
      <w:u w:val="single"/>
    </w:rPr>
  </w:style>
  <w:style w:type="character" w:customStyle="1" w:styleId="Heading3Char">
    <w:name w:val="Heading 3 Char"/>
    <w:basedOn w:val="DefaultParagraphFont"/>
    <w:link w:val="Heading3"/>
    <w:rsid w:val="00A36448"/>
    <w:rPr>
      <w:rFonts w:ascii="Arial" w:hAnsi="Arial"/>
      <w:i/>
    </w:rPr>
  </w:style>
  <w:style w:type="character" w:customStyle="1" w:styleId="FootnoteTextChar">
    <w:name w:val="Footnote Text Char"/>
    <w:basedOn w:val="DefaultParagraphFont"/>
    <w:link w:val="FootnoteText"/>
    <w:rsid w:val="00A36448"/>
    <w:rPr>
      <w:rFonts w:ascii="Arial" w:hAnsi="Arial"/>
      <w:sz w:val="16"/>
    </w:rPr>
  </w:style>
  <w:style w:type="paragraph" w:styleId="ListParagraph">
    <w:name w:val="List Paragraph"/>
    <w:basedOn w:val="Normal"/>
    <w:uiPriority w:val="34"/>
    <w:qFormat/>
    <w:rsid w:val="005B33D0"/>
    <w:pPr>
      <w:ind w:left="720"/>
      <w:contextualSpacing/>
    </w:pPr>
  </w:style>
  <w:style w:type="table" w:styleId="TableGrid">
    <w:name w:val="Table Grid"/>
    <w:basedOn w:val="TableNormal"/>
    <w:uiPriority w:val="39"/>
    <w:rsid w:val="009669C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F6C3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5CFEF-4330-43A9-8A63-0DAFF69FE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2132</Words>
  <Characters>15701</Characters>
  <Application>Microsoft Office Word</Application>
  <DocSecurity>0</DocSecurity>
  <Lines>348</Lines>
  <Paragraphs>173</Paragraphs>
  <ScaleCrop>false</ScaleCrop>
  <HeadingPairs>
    <vt:vector size="2" baseType="variant">
      <vt:variant>
        <vt:lpstr>Title</vt:lpstr>
      </vt:variant>
      <vt:variant>
        <vt:i4>1</vt:i4>
      </vt:variant>
    </vt:vector>
  </HeadingPairs>
  <TitlesOfParts>
    <vt:vector size="1" baseType="lpstr">
      <vt:lpstr>TC/57/8 Add.</vt:lpstr>
    </vt:vector>
  </TitlesOfParts>
  <Company>UPOV</Company>
  <LinksUpToDate>false</LinksUpToDate>
  <CharactersWithSpaces>17660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TC/57/8 Add.</dc:title>
  <dc:creator>SANCHEZ VIZCAINO GOMEZ Rosa Maria</dc:creator>
  <cp:lastModifiedBy>MAY Jessica</cp:lastModifiedBy>
  <cp:revision>7</cp:revision>
  <cp:lastPrinted>2021-10-15T17:41:00Z</cp:lastPrinted>
  <dcterms:created xsi:type="dcterms:W3CDTF">2021-10-20T10:39:00Z</dcterms:created>
  <dcterms:modified xsi:type="dcterms:W3CDTF">2021-10-21T08:35:00Z</dcterms:modified>
</cp:coreProperties>
</file>