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426"/>
        <w:gridCol w:w="3071"/>
      </w:tblGrid>
      <w:tr w:rsidR="00DC3802" w:rsidRPr="00D609E7" w14:paraId="0B8D1219" w14:textId="77777777" w:rsidTr="006750F2">
        <w:tc>
          <w:tcPr>
            <w:tcW w:w="6426" w:type="dxa"/>
          </w:tcPr>
          <w:p w14:paraId="4052B7E3" w14:textId="77777777" w:rsidR="00DC3802" w:rsidRPr="00D609E7" w:rsidRDefault="00DC3802" w:rsidP="00AC2883">
            <w:pPr>
              <w:rPr>
                <w:noProof/>
              </w:rPr>
            </w:pPr>
            <w:bookmarkStart w:id="0" w:name="_Hlk81832495"/>
            <w:r w:rsidRPr="00D609E7">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071" w:type="dxa"/>
          </w:tcPr>
          <w:p w14:paraId="40655C27" w14:textId="35EB44A9" w:rsidR="00DC3802" w:rsidRPr="00D609E7" w:rsidRDefault="001E787D" w:rsidP="00AC2883">
            <w:pPr>
              <w:pStyle w:val="Lettrine"/>
              <w:rPr>
                <w:noProof/>
              </w:rPr>
            </w:pPr>
            <w:r w:rsidRPr="00D609E7">
              <w:rPr>
                <w:noProof/>
              </w:rPr>
              <w:t>G</w:t>
            </w:r>
          </w:p>
        </w:tc>
      </w:tr>
      <w:tr w:rsidR="00B671DA" w:rsidRPr="00D609E7" w14:paraId="16A09167" w14:textId="77777777" w:rsidTr="006750F2">
        <w:trPr>
          <w:trHeight w:val="219"/>
        </w:trPr>
        <w:tc>
          <w:tcPr>
            <w:tcW w:w="6426" w:type="dxa"/>
          </w:tcPr>
          <w:p w14:paraId="3DFBF8F6" w14:textId="5E185863" w:rsidR="00B671DA" w:rsidRPr="00D609E7" w:rsidRDefault="00B671DA" w:rsidP="00B671DA">
            <w:pPr>
              <w:pStyle w:val="upove"/>
              <w:rPr>
                <w:noProof/>
              </w:rPr>
            </w:pPr>
            <w:r w:rsidRPr="00D609E7">
              <w:rPr>
                <w:noProof/>
              </w:rPr>
              <w:t>Internationaler Verband zum Schutz von Pflanzenzüchtungen</w:t>
            </w:r>
          </w:p>
        </w:tc>
        <w:tc>
          <w:tcPr>
            <w:tcW w:w="3071" w:type="dxa"/>
          </w:tcPr>
          <w:p w14:paraId="068AD1D5" w14:textId="77777777" w:rsidR="00B671DA" w:rsidRPr="00D609E7" w:rsidRDefault="00B671DA" w:rsidP="00B671DA">
            <w:pPr>
              <w:rPr>
                <w:noProof/>
              </w:rPr>
            </w:pPr>
          </w:p>
        </w:tc>
      </w:tr>
    </w:tbl>
    <w:p w14:paraId="28F6D8A9" w14:textId="77777777" w:rsidR="00DC3802" w:rsidRPr="00D609E7" w:rsidRDefault="00DC3802" w:rsidP="00DC3802">
      <w:pPr>
        <w:rPr>
          <w:noProof/>
        </w:rPr>
      </w:pPr>
    </w:p>
    <w:p w14:paraId="20E2A6BC" w14:textId="77777777" w:rsidR="00445B73" w:rsidRPr="00D609E7" w:rsidRDefault="00445B73" w:rsidP="00445B73">
      <w:pPr>
        <w:rPr>
          <w:noProof/>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416"/>
        <w:gridCol w:w="3081"/>
      </w:tblGrid>
      <w:tr w:rsidR="00445B73" w:rsidRPr="00D609E7" w14:paraId="4E00EE32" w14:textId="77777777" w:rsidTr="000802A4">
        <w:tc>
          <w:tcPr>
            <w:tcW w:w="6416" w:type="dxa"/>
          </w:tcPr>
          <w:p w14:paraId="3F767531" w14:textId="77777777" w:rsidR="00483DAD" w:rsidRPr="00D609E7" w:rsidRDefault="00483DAD" w:rsidP="00483DAD">
            <w:pPr>
              <w:pStyle w:val="Sessiontc"/>
              <w:spacing w:line="240" w:lineRule="auto"/>
              <w:rPr>
                <w:noProof/>
              </w:rPr>
            </w:pPr>
            <w:r w:rsidRPr="00D609E7">
              <w:rPr>
                <w:noProof/>
              </w:rPr>
              <w:t>Technischer Ausschuss</w:t>
            </w:r>
          </w:p>
          <w:p w14:paraId="0D09DACD" w14:textId="5F24457C" w:rsidR="00445B73" w:rsidRPr="00D609E7" w:rsidRDefault="00102885" w:rsidP="0049284B">
            <w:pPr>
              <w:pStyle w:val="Sessiontcplacedate"/>
              <w:rPr>
                <w:noProof/>
                <w:sz w:val="22"/>
              </w:rPr>
            </w:pPr>
            <w:r w:rsidRPr="00D609E7">
              <w:rPr>
                <w:noProof/>
              </w:rPr>
              <w:t>Siebenundfünfzigste Tagung</w:t>
            </w:r>
            <w:r w:rsidRPr="00D609E7">
              <w:rPr>
                <w:noProof/>
              </w:rPr>
              <w:br/>
              <w:t>Genf, 25. und 26. Oktober 2021</w:t>
            </w:r>
          </w:p>
        </w:tc>
        <w:tc>
          <w:tcPr>
            <w:tcW w:w="3081" w:type="dxa"/>
          </w:tcPr>
          <w:p w14:paraId="4E1B99D4" w14:textId="77777777" w:rsidR="00445B73" w:rsidRPr="00D609E7" w:rsidRDefault="00F536E0" w:rsidP="0049284B">
            <w:pPr>
              <w:pStyle w:val="Doccode"/>
              <w:rPr>
                <w:noProof/>
                <w:lang w:val="de-DE"/>
              </w:rPr>
            </w:pPr>
            <w:r w:rsidRPr="00D609E7">
              <w:rPr>
                <w:noProof/>
                <w:lang w:val="de-DE"/>
              </w:rPr>
              <w:t>TC/57/6</w:t>
            </w:r>
          </w:p>
          <w:p w14:paraId="13E92C11" w14:textId="6F8C9D6B" w:rsidR="00445B73" w:rsidRPr="00D609E7" w:rsidRDefault="00445B73" w:rsidP="0049284B">
            <w:pPr>
              <w:pStyle w:val="Docoriginal"/>
              <w:rPr>
                <w:noProof/>
              </w:rPr>
            </w:pPr>
            <w:r w:rsidRPr="00D609E7">
              <w:rPr>
                <w:noProof/>
              </w:rPr>
              <w:t>Original:</w:t>
            </w:r>
            <w:r w:rsidR="00F46749">
              <w:rPr>
                <w:b w:val="0"/>
                <w:noProof/>
                <w:spacing w:val="0"/>
              </w:rPr>
              <w:t xml:space="preserve"> </w:t>
            </w:r>
            <w:r w:rsidR="00AF7C72" w:rsidRPr="00D609E7">
              <w:rPr>
                <w:b w:val="0"/>
                <w:noProof/>
                <w:spacing w:val="0"/>
              </w:rPr>
              <w:t>e</w:t>
            </w:r>
            <w:r w:rsidRPr="00D609E7">
              <w:rPr>
                <w:b w:val="0"/>
                <w:noProof/>
                <w:spacing w:val="0"/>
              </w:rPr>
              <w:t>nglis</w:t>
            </w:r>
            <w:r w:rsidR="00AF7C72" w:rsidRPr="00D609E7">
              <w:rPr>
                <w:b w:val="0"/>
                <w:noProof/>
                <w:spacing w:val="0"/>
              </w:rPr>
              <w:t>c</w:t>
            </w:r>
            <w:r w:rsidRPr="00D609E7">
              <w:rPr>
                <w:b w:val="0"/>
                <w:noProof/>
                <w:spacing w:val="0"/>
              </w:rPr>
              <w:t>h</w:t>
            </w:r>
          </w:p>
          <w:p w14:paraId="734C37AD" w14:textId="4984D434" w:rsidR="00445B73" w:rsidRPr="00D609E7" w:rsidRDefault="00445B73" w:rsidP="0080428D">
            <w:pPr>
              <w:pStyle w:val="Docoriginal"/>
              <w:rPr>
                <w:noProof/>
              </w:rPr>
            </w:pPr>
            <w:r w:rsidRPr="00D609E7">
              <w:rPr>
                <w:noProof/>
              </w:rPr>
              <w:t>Dat</w:t>
            </w:r>
            <w:r w:rsidR="00572913" w:rsidRPr="00D609E7">
              <w:rPr>
                <w:noProof/>
              </w:rPr>
              <w:t>um</w:t>
            </w:r>
            <w:r w:rsidRPr="00D609E7">
              <w:rPr>
                <w:noProof/>
              </w:rPr>
              <w:t>:</w:t>
            </w:r>
            <w:r w:rsidR="00F46749">
              <w:rPr>
                <w:b w:val="0"/>
                <w:noProof/>
                <w:spacing w:val="0"/>
              </w:rPr>
              <w:t xml:space="preserve"> </w:t>
            </w:r>
            <w:r w:rsidR="00572913" w:rsidRPr="003F0790">
              <w:rPr>
                <w:b w:val="0"/>
                <w:noProof/>
                <w:spacing w:val="0"/>
              </w:rPr>
              <w:t xml:space="preserve">25. </w:t>
            </w:r>
            <w:r w:rsidR="003E4FF7" w:rsidRPr="003F0790">
              <w:rPr>
                <w:b w:val="0"/>
                <w:noProof/>
                <w:spacing w:val="0"/>
              </w:rPr>
              <w:t xml:space="preserve">August </w:t>
            </w:r>
            <w:r w:rsidRPr="003F0790">
              <w:rPr>
                <w:b w:val="0"/>
                <w:noProof/>
                <w:spacing w:val="0"/>
              </w:rPr>
              <w:t>2021</w:t>
            </w:r>
          </w:p>
        </w:tc>
      </w:tr>
    </w:tbl>
    <w:p w14:paraId="14BEC1DE" w14:textId="38AD8321" w:rsidR="00445B73" w:rsidRPr="00D609E7" w:rsidRDefault="000802A4" w:rsidP="00445B73">
      <w:pPr>
        <w:pStyle w:val="Titleofdoc0"/>
        <w:rPr>
          <w:noProof/>
        </w:rPr>
      </w:pPr>
      <w:bookmarkStart w:id="1" w:name="TitleOfDoc"/>
      <w:bookmarkEnd w:id="1"/>
      <w:r w:rsidRPr="000802A4">
        <w:rPr>
          <w:noProof/>
        </w:rPr>
        <w:t xml:space="preserve">Datenverarbeitung </w:t>
      </w:r>
      <w:r w:rsidR="00C2315A">
        <w:rPr>
          <w:noProof/>
        </w:rPr>
        <w:t>ZUR</w:t>
      </w:r>
      <w:r w:rsidRPr="000802A4">
        <w:rPr>
          <w:noProof/>
        </w:rPr>
        <w:t xml:space="preserve"> </w:t>
      </w:r>
      <w:r w:rsidR="00CD11DA">
        <w:rPr>
          <w:noProof/>
        </w:rPr>
        <w:t>Erstellung von Sortenbeschreibungen</w:t>
      </w:r>
      <w:r w:rsidRPr="000802A4">
        <w:rPr>
          <w:noProof/>
        </w:rPr>
        <w:t xml:space="preserve"> für gemessene quantitative Merkmale</w:t>
      </w:r>
    </w:p>
    <w:p w14:paraId="0E997192" w14:textId="77777777" w:rsidR="00F563F5" w:rsidRPr="00D609E7" w:rsidRDefault="00F563F5" w:rsidP="00F563F5">
      <w:pPr>
        <w:pStyle w:val="preparedby1"/>
        <w:jc w:val="left"/>
        <w:rPr>
          <w:noProof/>
        </w:rPr>
      </w:pPr>
      <w:bookmarkStart w:id="2" w:name="Prepared"/>
      <w:bookmarkEnd w:id="2"/>
      <w:r w:rsidRPr="00D609E7">
        <w:rPr>
          <w:noProof/>
        </w:rPr>
        <w:t>vom Verbandsbüro erstelltes Dokument</w:t>
      </w:r>
    </w:p>
    <w:p w14:paraId="6682AB06" w14:textId="77777777" w:rsidR="00381EDA" w:rsidRPr="00D609E7" w:rsidRDefault="00381EDA" w:rsidP="00381EDA">
      <w:pPr>
        <w:pStyle w:val="Disclaimer"/>
        <w:rPr>
          <w:noProof/>
          <w:lang w:val="de-DE"/>
        </w:rPr>
      </w:pPr>
      <w:bookmarkStart w:id="3" w:name="_Toc475955714"/>
      <w:r w:rsidRPr="00D609E7">
        <w:rPr>
          <w:noProof/>
          <w:lang w:val="de-DE"/>
        </w:rPr>
        <w:t>Haftungsausschluss: dieses Dokument gibt nicht die Grundsätze oder eine Anleitung der UPOV wieder</w:t>
      </w:r>
    </w:p>
    <w:p w14:paraId="0F6048DA" w14:textId="6B1D1075" w:rsidR="003E4FF7" w:rsidRPr="00D609E7" w:rsidRDefault="000A4F8C" w:rsidP="003E4FF7">
      <w:pPr>
        <w:keepNext/>
        <w:outlineLvl w:val="0"/>
        <w:rPr>
          <w:caps/>
          <w:noProof/>
        </w:rPr>
      </w:pPr>
      <w:bookmarkStart w:id="4" w:name="_Toc83116758"/>
      <w:bookmarkEnd w:id="3"/>
      <w:r>
        <w:rPr>
          <w:caps/>
          <w:noProof/>
        </w:rPr>
        <w:t>ZUSAMMENFASSUNG</w:t>
      </w:r>
      <w:bookmarkEnd w:id="4"/>
    </w:p>
    <w:p w14:paraId="7BD77AAE" w14:textId="77777777" w:rsidR="003E4FF7" w:rsidRPr="00D609E7" w:rsidRDefault="003E4FF7" w:rsidP="003E4FF7">
      <w:pPr>
        <w:rPr>
          <w:noProof/>
          <w:snapToGrid w:val="0"/>
        </w:rPr>
      </w:pPr>
    </w:p>
    <w:p w14:paraId="148A5ADA" w14:textId="01B72000" w:rsidR="001B7B7C" w:rsidRPr="00D609E7" w:rsidRDefault="003E4FF7" w:rsidP="001B7B7C">
      <w:pPr>
        <w:rPr>
          <w:noProof/>
        </w:rPr>
      </w:pPr>
      <w:r w:rsidRPr="00D609E7">
        <w:rPr>
          <w:noProof/>
          <w:lang w:eastAsia="ja-JP"/>
        </w:rPr>
        <w:fldChar w:fldCharType="begin"/>
      </w:r>
      <w:r w:rsidRPr="00D609E7">
        <w:rPr>
          <w:noProof/>
          <w:lang w:eastAsia="ja-JP"/>
        </w:rPr>
        <w:instrText xml:space="preserve"> AUTONUM  </w:instrText>
      </w:r>
      <w:r w:rsidRPr="00D609E7">
        <w:rPr>
          <w:noProof/>
          <w:lang w:eastAsia="ja-JP"/>
        </w:rPr>
        <w:fldChar w:fldCharType="end"/>
      </w:r>
      <w:r w:rsidRPr="00D609E7">
        <w:rPr>
          <w:noProof/>
          <w:lang w:eastAsia="ja-JP"/>
        </w:rPr>
        <w:tab/>
      </w:r>
      <w:r w:rsidR="000037B5" w:rsidRPr="000037B5">
        <w:rPr>
          <w:noProof/>
          <w:lang w:eastAsia="ja-JP"/>
        </w:rPr>
        <w:t xml:space="preserve">Zweck dieses Dokuments ist es, die Aufnahme </w:t>
      </w:r>
      <w:r w:rsidR="00706D1A">
        <w:rPr>
          <w:noProof/>
          <w:lang w:eastAsia="ja-JP"/>
        </w:rPr>
        <w:t>einer</w:t>
      </w:r>
      <w:r w:rsidR="000037B5" w:rsidRPr="000037B5">
        <w:rPr>
          <w:noProof/>
          <w:lang w:eastAsia="ja-JP"/>
        </w:rPr>
        <w:t xml:space="preserve"> Anleitung zu </w:t>
      </w:r>
      <w:r w:rsidR="007727F5">
        <w:rPr>
          <w:noProof/>
          <w:lang w:eastAsia="ja-JP"/>
        </w:rPr>
        <w:t>„</w:t>
      </w:r>
      <w:r w:rsidR="007727F5" w:rsidRPr="007727F5">
        <w:rPr>
          <w:noProof/>
          <w:lang w:eastAsia="ja-JP"/>
        </w:rPr>
        <w:t>Verschiedene Formen, die Sortenbeschreibungen annehmen könnten, und die Bedeutung von Skalenniveaus</w:t>
      </w:r>
      <w:r w:rsidR="007727F5">
        <w:rPr>
          <w:noProof/>
          <w:lang w:eastAsia="ja-JP"/>
        </w:rPr>
        <w:t>“</w:t>
      </w:r>
      <w:r w:rsidR="000037B5" w:rsidRPr="000037B5">
        <w:rPr>
          <w:noProof/>
          <w:lang w:eastAsia="ja-JP"/>
        </w:rPr>
        <w:t xml:space="preserve"> in Dokument TGP/8 </w:t>
      </w:r>
      <w:r w:rsidR="00653038">
        <w:rPr>
          <w:noProof/>
          <w:lang w:eastAsia="ja-JP"/>
        </w:rPr>
        <w:t>„</w:t>
      </w:r>
      <w:r w:rsidR="000037B5" w:rsidRPr="000037B5">
        <w:rPr>
          <w:noProof/>
          <w:lang w:eastAsia="ja-JP"/>
        </w:rPr>
        <w:t>Prüfungsanlage und Verfahren für die Prüfung der Unterscheidbarkeit, der Homogenität und der Beständigkeit</w:t>
      </w:r>
      <w:r w:rsidR="00653038">
        <w:rPr>
          <w:noProof/>
          <w:lang w:eastAsia="ja-JP"/>
        </w:rPr>
        <w:t>“</w:t>
      </w:r>
      <w:r w:rsidR="000037B5" w:rsidRPr="000037B5">
        <w:rPr>
          <w:noProof/>
          <w:lang w:eastAsia="ja-JP"/>
        </w:rPr>
        <w:t xml:space="preserve"> vorzuschlagen und Verbandsmitglieder zu ersuchen, die Aufnahme von Software, die ihre </w:t>
      </w:r>
      <w:r w:rsidR="0040470F">
        <w:rPr>
          <w:noProof/>
          <w:lang w:eastAsia="ja-JP"/>
        </w:rPr>
        <w:t>Verfahren für die Umsetzung</w:t>
      </w:r>
      <w:r w:rsidR="000037B5" w:rsidRPr="007B202E">
        <w:rPr>
          <w:noProof/>
          <w:lang w:eastAsia="ja-JP"/>
        </w:rPr>
        <w:t xml:space="preserve"> von Erfassungen in Noten</w:t>
      </w:r>
      <w:r w:rsidR="000037B5" w:rsidRPr="000037B5">
        <w:rPr>
          <w:noProof/>
          <w:lang w:eastAsia="ja-JP"/>
        </w:rPr>
        <w:t xml:space="preserve"> enthält</w:t>
      </w:r>
      <w:r w:rsidR="00DD0F81">
        <w:rPr>
          <w:noProof/>
          <w:lang w:eastAsia="ja-JP"/>
        </w:rPr>
        <w:t xml:space="preserve">, </w:t>
      </w:r>
      <w:r w:rsidR="00DD0F81" w:rsidRPr="000037B5">
        <w:rPr>
          <w:noProof/>
          <w:lang w:eastAsia="ja-JP"/>
        </w:rPr>
        <w:t>in Dokument UPOV/INF/16 oder Dokument UPOV/INF/22</w:t>
      </w:r>
      <w:r w:rsidR="00DD0F81">
        <w:rPr>
          <w:noProof/>
          <w:lang w:eastAsia="ja-JP"/>
        </w:rPr>
        <w:t xml:space="preserve"> </w:t>
      </w:r>
      <w:r w:rsidR="00DD0F81" w:rsidRPr="000037B5">
        <w:rPr>
          <w:noProof/>
          <w:lang w:eastAsia="ja-JP"/>
        </w:rPr>
        <w:t>vorzuschlagen</w:t>
      </w:r>
      <w:r w:rsidR="001B7B7C" w:rsidRPr="00D609E7">
        <w:rPr>
          <w:noProof/>
        </w:rPr>
        <w:t>.</w:t>
      </w:r>
    </w:p>
    <w:p w14:paraId="1ACC1791" w14:textId="77777777" w:rsidR="00461958" w:rsidRPr="00D609E7" w:rsidRDefault="00461958" w:rsidP="003E4FF7">
      <w:pPr>
        <w:rPr>
          <w:rFonts w:cs="Arial"/>
          <w:noProof/>
        </w:rPr>
      </w:pPr>
    </w:p>
    <w:p w14:paraId="22B0DC43" w14:textId="042CCE78" w:rsidR="00461958" w:rsidRPr="00D609E7" w:rsidRDefault="00461958" w:rsidP="00461958">
      <w:pPr>
        <w:rPr>
          <w:noProof/>
          <w:color w:val="000000"/>
        </w:rPr>
      </w:pPr>
      <w:r w:rsidRPr="00D609E7">
        <w:rPr>
          <w:noProof/>
          <w:color w:val="000000"/>
        </w:rPr>
        <w:fldChar w:fldCharType="begin"/>
      </w:r>
      <w:r w:rsidRPr="00D609E7">
        <w:rPr>
          <w:noProof/>
          <w:color w:val="000000"/>
        </w:rPr>
        <w:instrText xml:space="preserve"> AUTONUM  </w:instrText>
      </w:r>
      <w:r w:rsidRPr="00D609E7">
        <w:rPr>
          <w:noProof/>
          <w:color w:val="000000"/>
        </w:rPr>
        <w:fldChar w:fldCharType="end"/>
      </w:r>
      <w:r w:rsidRPr="00D609E7">
        <w:rPr>
          <w:noProof/>
          <w:color w:val="000000"/>
        </w:rPr>
        <w:tab/>
      </w:r>
      <w:r w:rsidR="000037B5" w:rsidRPr="000037B5">
        <w:rPr>
          <w:noProof/>
          <w:color w:val="000000"/>
        </w:rPr>
        <w:t>Die Bemerkungen der Technischen Arbeitsgruppe für Automatisierung und Computerprogramme (TWC)</w:t>
      </w:r>
      <w:r w:rsidR="00376185" w:rsidRPr="005F1F78">
        <w:rPr>
          <w:snapToGrid w:val="0"/>
          <w:vertAlign w:val="superscript"/>
        </w:rPr>
        <w:footnoteReference w:id="2"/>
      </w:r>
      <w:r w:rsidR="000037B5" w:rsidRPr="000037B5">
        <w:rPr>
          <w:noProof/>
          <w:color w:val="000000"/>
        </w:rPr>
        <w:t>, die vom 20. bis 22. September 2021</w:t>
      </w:r>
      <w:r w:rsidR="00A940E8">
        <w:rPr>
          <w:noProof/>
          <w:color w:val="000000"/>
        </w:rPr>
        <w:t xml:space="preserve"> tag</w:t>
      </w:r>
      <w:r w:rsidR="0066075D">
        <w:rPr>
          <w:noProof/>
          <w:color w:val="000000"/>
        </w:rPr>
        <w:t>en wird</w:t>
      </w:r>
      <w:r w:rsidR="000037B5" w:rsidRPr="000037B5">
        <w:rPr>
          <w:noProof/>
          <w:color w:val="000000"/>
        </w:rPr>
        <w:t xml:space="preserve">, werden als </w:t>
      </w:r>
      <w:r w:rsidR="00AB0F5F">
        <w:rPr>
          <w:noProof/>
          <w:color w:val="000000"/>
        </w:rPr>
        <w:t xml:space="preserve">eine </w:t>
      </w:r>
      <w:r w:rsidR="000037B5" w:rsidRPr="000037B5">
        <w:rPr>
          <w:noProof/>
          <w:color w:val="000000"/>
        </w:rPr>
        <w:t xml:space="preserve">Ergänzung zu diesem Dokument </w:t>
      </w:r>
      <w:r w:rsidR="00084069">
        <w:rPr>
          <w:noProof/>
          <w:color w:val="000000"/>
        </w:rPr>
        <w:t>vo</w:t>
      </w:r>
      <w:r w:rsidR="000037B5" w:rsidRPr="000037B5">
        <w:rPr>
          <w:noProof/>
          <w:color w:val="000000"/>
        </w:rPr>
        <w:t>rgelegt werden</w:t>
      </w:r>
      <w:r w:rsidR="000F2DAB" w:rsidRPr="00D609E7">
        <w:rPr>
          <w:noProof/>
          <w:snapToGrid w:val="0"/>
        </w:rPr>
        <w:t>.</w:t>
      </w:r>
      <w:r w:rsidRPr="00D609E7">
        <w:rPr>
          <w:noProof/>
          <w:snapToGrid w:val="0"/>
        </w:rPr>
        <w:t xml:space="preserve"> </w:t>
      </w:r>
    </w:p>
    <w:p w14:paraId="08F08512" w14:textId="77777777" w:rsidR="003E4FF7" w:rsidRPr="00D609E7" w:rsidRDefault="003E4FF7" w:rsidP="003E4FF7">
      <w:pPr>
        <w:rPr>
          <w:noProof/>
          <w:snapToGrid w:val="0"/>
        </w:rPr>
      </w:pPr>
    </w:p>
    <w:p w14:paraId="0E2DBFA3" w14:textId="56E8B06D" w:rsidR="00E20D19" w:rsidRPr="00D609E7" w:rsidRDefault="00E20D19" w:rsidP="00E20D19">
      <w:pPr>
        <w:keepNext/>
        <w:tabs>
          <w:tab w:val="left" w:pos="567"/>
          <w:tab w:val="left" w:pos="1134"/>
          <w:tab w:val="left" w:pos="5387"/>
        </w:tabs>
        <w:rPr>
          <w:noProof/>
        </w:rPr>
      </w:pPr>
      <w:r w:rsidRPr="00D609E7">
        <w:rPr>
          <w:noProof/>
        </w:rPr>
        <w:fldChar w:fldCharType="begin"/>
      </w:r>
      <w:r w:rsidRPr="00D609E7">
        <w:rPr>
          <w:noProof/>
        </w:rPr>
        <w:instrText xml:space="preserve"> AUTONUM  </w:instrText>
      </w:r>
      <w:r w:rsidRPr="00D609E7">
        <w:rPr>
          <w:noProof/>
        </w:rPr>
        <w:fldChar w:fldCharType="end"/>
      </w:r>
      <w:r w:rsidRPr="00D609E7">
        <w:rPr>
          <w:noProof/>
        </w:rPr>
        <w:tab/>
      </w:r>
      <w:r w:rsidR="000037B5">
        <w:rPr>
          <w:noProof/>
        </w:rPr>
        <w:t>Der</w:t>
      </w:r>
      <w:r w:rsidRPr="00D609E7">
        <w:rPr>
          <w:noProof/>
        </w:rPr>
        <w:t xml:space="preserve"> TC </w:t>
      </w:r>
      <w:r w:rsidR="000037B5">
        <w:rPr>
          <w:noProof/>
        </w:rPr>
        <w:t>wird ersucht</w:t>
      </w:r>
      <w:r w:rsidRPr="00D609E7">
        <w:rPr>
          <w:noProof/>
        </w:rPr>
        <w:t xml:space="preserve">: </w:t>
      </w:r>
    </w:p>
    <w:p w14:paraId="0C1D7742" w14:textId="77777777" w:rsidR="00E20D19" w:rsidRPr="00D609E7" w:rsidRDefault="00E20D19" w:rsidP="00E20D19">
      <w:pPr>
        <w:tabs>
          <w:tab w:val="left" w:pos="567"/>
          <w:tab w:val="left" w:pos="1134"/>
          <w:tab w:val="left" w:pos="5387"/>
        </w:tabs>
        <w:rPr>
          <w:noProof/>
        </w:rPr>
      </w:pPr>
    </w:p>
    <w:p w14:paraId="6174C470" w14:textId="6F25966B" w:rsidR="00D627F0" w:rsidRPr="00D609E7" w:rsidRDefault="000037B5" w:rsidP="00D627F0">
      <w:pPr>
        <w:pStyle w:val="ListParagraph"/>
        <w:numPr>
          <w:ilvl w:val="0"/>
          <w:numId w:val="5"/>
        </w:numPr>
        <w:tabs>
          <w:tab w:val="left" w:pos="567"/>
          <w:tab w:val="left" w:pos="1134"/>
        </w:tabs>
        <w:ind w:left="0" w:firstLine="567"/>
        <w:rPr>
          <w:noProof/>
        </w:rPr>
      </w:pPr>
      <w:r w:rsidRPr="000037B5">
        <w:rPr>
          <w:noProof/>
        </w:rPr>
        <w:t xml:space="preserve">die Bemerkungen der TWP auf ihrer Tagung im Jahr 2021, wie in den </w:t>
      </w:r>
      <w:r w:rsidRPr="003F0790">
        <w:rPr>
          <w:noProof/>
        </w:rPr>
        <w:t>Absätzen 16 bis 19 dieses</w:t>
      </w:r>
      <w:r w:rsidRPr="000037B5">
        <w:rPr>
          <w:noProof/>
        </w:rPr>
        <w:t xml:space="preserve"> Dokuments dargelegt, zur Kenntnis zu nehmen</w:t>
      </w:r>
      <w:r w:rsidR="00D627F0" w:rsidRPr="00D609E7">
        <w:rPr>
          <w:noProof/>
        </w:rPr>
        <w:t>;</w:t>
      </w:r>
    </w:p>
    <w:p w14:paraId="57A0F5FF" w14:textId="77777777" w:rsidR="00D627F0" w:rsidRPr="00D609E7" w:rsidRDefault="00D627F0" w:rsidP="00D627F0">
      <w:pPr>
        <w:pStyle w:val="ListParagraph"/>
        <w:tabs>
          <w:tab w:val="left" w:pos="567"/>
          <w:tab w:val="left" w:pos="1134"/>
          <w:tab w:val="left" w:pos="6237"/>
        </w:tabs>
        <w:ind w:left="0" w:firstLine="567"/>
        <w:rPr>
          <w:noProof/>
        </w:rPr>
      </w:pPr>
    </w:p>
    <w:p w14:paraId="550A1466" w14:textId="69536455" w:rsidR="00D627F0" w:rsidRPr="0079060A" w:rsidRDefault="000037B5" w:rsidP="00D627F0">
      <w:pPr>
        <w:pStyle w:val="ListParagraph"/>
        <w:numPr>
          <w:ilvl w:val="0"/>
          <w:numId w:val="5"/>
        </w:numPr>
        <w:tabs>
          <w:tab w:val="left" w:pos="567"/>
          <w:tab w:val="left" w:pos="1134"/>
          <w:tab w:val="left" w:pos="5954"/>
        </w:tabs>
        <w:ind w:left="0" w:firstLine="567"/>
        <w:rPr>
          <w:noProof/>
        </w:rPr>
      </w:pPr>
      <w:r w:rsidRPr="000037B5">
        <w:rPr>
          <w:noProof/>
        </w:rPr>
        <w:t>zur Kenntnis zu nehmen, da</w:t>
      </w:r>
      <w:r w:rsidR="00BE5A90">
        <w:rPr>
          <w:noProof/>
        </w:rPr>
        <w:t>ss</w:t>
      </w:r>
      <w:r w:rsidRPr="000037B5">
        <w:rPr>
          <w:noProof/>
        </w:rPr>
        <w:t xml:space="preserve"> </w:t>
      </w:r>
      <w:r w:rsidRPr="0079060A">
        <w:rPr>
          <w:noProof/>
        </w:rPr>
        <w:t xml:space="preserve">die Bemerkungen der TWC </w:t>
      </w:r>
      <w:r w:rsidR="00A85775" w:rsidRPr="0079060A">
        <w:rPr>
          <w:noProof/>
        </w:rPr>
        <w:t>als eine Ergänzu</w:t>
      </w:r>
      <w:r w:rsidR="004E01CB">
        <w:rPr>
          <w:noProof/>
        </w:rPr>
        <w:t>n</w:t>
      </w:r>
      <w:r w:rsidR="00A85775" w:rsidRPr="0079060A">
        <w:rPr>
          <w:noProof/>
        </w:rPr>
        <w:t>g</w:t>
      </w:r>
      <w:r w:rsidRPr="0079060A">
        <w:rPr>
          <w:noProof/>
        </w:rPr>
        <w:t xml:space="preserve"> zu diesem </w:t>
      </w:r>
      <w:r w:rsidR="00AD2ED0">
        <w:rPr>
          <w:noProof/>
        </w:rPr>
        <w:t>Dokument vorgelegt werden werden</w:t>
      </w:r>
      <w:r w:rsidR="001112E4" w:rsidRPr="0079060A">
        <w:rPr>
          <w:noProof/>
        </w:rPr>
        <w:t>;</w:t>
      </w:r>
      <w:r w:rsidR="00D627F0" w:rsidRPr="0079060A">
        <w:rPr>
          <w:noProof/>
        </w:rPr>
        <w:t xml:space="preserve"> </w:t>
      </w:r>
    </w:p>
    <w:p w14:paraId="7EBD61F2" w14:textId="77777777" w:rsidR="00D627F0" w:rsidRPr="0079060A" w:rsidRDefault="00D627F0" w:rsidP="00D627F0">
      <w:pPr>
        <w:tabs>
          <w:tab w:val="left" w:pos="567"/>
          <w:tab w:val="left" w:pos="1134"/>
          <w:tab w:val="left" w:pos="5954"/>
        </w:tabs>
        <w:ind w:firstLine="567"/>
        <w:rPr>
          <w:noProof/>
        </w:rPr>
      </w:pPr>
    </w:p>
    <w:p w14:paraId="42637966" w14:textId="7EB70BBB" w:rsidR="00D627F0" w:rsidRPr="00D609E7" w:rsidRDefault="00CB4FA9" w:rsidP="0080428D">
      <w:pPr>
        <w:pStyle w:val="ListParagraph"/>
        <w:numPr>
          <w:ilvl w:val="0"/>
          <w:numId w:val="5"/>
        </w:numPr>
        <w:tabs>
          <w:tab w:val="left" w:pos="567"/>
          <w:tab w:val="left" w:pos="1134"/>
          <w:tab w:val="left" w:pos="5954"/>
        </w:tabs>
        <w:ind w:left="0" w:firstLine="567"/>
        <w:rPr>
          <w:noProof/>
        </w:rPr>
      </w:pPr>
      <w:r w:rsidRPr="0079060A">
        <w:rPr>
          <w:noProof/>
        </w:rPr>
        <w:t xml:space="preserve">die Aufnahme </w:t>
      </w:r>
      <w:r w:rsidRPr="00C42F6F">
        <w:rPr>
          <w:noProof/>
        </w:rPr>
        <w:t>der</w:t>
      </w:r>
      <w:r w:rsidRPr="0079060A">
        <w:rPr>
          <w:noProof/>
        </w:rPr>
        <w:t xml:space="preserve"> Anleitung zu </w:t>
      </w:r>
      <w:r w:rsidR="0063091C" w:rsidRPr="0079060A">
        <w:rPr>
          <w:noProof/>
        </w:rPr>
        <w:t>„</w:t>
      </w:r>
      <w:r w:rsidRPr="0079060A">
        <w:rPr>
          <w:noProof/>
        </w:rPr>
        <w:t>Verschiedene</w:t>
      </w:r>
      <w:r w:rsidRPr="00CB4FA9">
        <w:rPr>
          <w:noProof/>
        </w:rPr>
        <w:t xml:space="preserve"> Formen, die Sortenbeschreibungen annehmen könnten, und die Bedeutung von Skalenniveaus</w:t>
      </w:r>
      <w:r w:rsidR="0063091C">
        <w:rPr>
          <w:noProof/>
        </w:rPr>
        <w:t>“</w:t>
      </w:r>
      <w:r w:rsidRPr="00CB4FA9">
        <w:rPr>
          <w:noProof/>
        </w:rPr>
        <w:t xml:space="preserve">, wie in der Anlage dieses Dokuments dargelegt, in Dokument TGP/8 Teil I Abschnitt 2 </w:t>
      </w:r>
      <w:r w:rsidR="00622B86">
        <w:rPr>
          <w:noProof/>
        </w:rPr>
        <w:t>„</w:t>
      </w:r>
      <w:r w:rsidRPr="00CB4FA9">
        <w:rPr>
          <w:noProof/>
        </w:rPr>
        <w:t>Zu erfassende Daten</w:t>
      </w:r>
      <w:r w:rsidR="00622B86">
        <w:rPr>
          <w:noProof/>
        </w:rPr>
        <w:t>“</w:t>
      </w:r>
      <w:r w:rsidRPr="00CB4FA9">
        <w:rPr>
          <w:noProof/>
        </w:rPr>
        <w:t xml:space="preserve"> als neuen Abschnitt 2.5 zu prüfen; und</w:t>
      </w:r>
    </w:p>
    <w:p w14:paraId="7D351AE3" w14:textId="77777777" w:rsidR="00D627F0" w:rsidRPr="00D609E7" w:rsidRDefault="00D627F0" w:rsidP="00D627F0">
      <w:pPr>
        <w:tabs>
          <w:tab w:val="left" w:pos="567"/>
          <w:tab w:val="left" w:pos="1134"/>
        </w:tabs>
        <w:ind w:firstLine="567"/>
        <w:rPr>
          <w:noProof/>
        </w:rPr>
      </w:pPr>
    </w:p>
    <w:p w14:paraId="795578B0" w14:textId="02E3AFFA" w:rsidR="00D627F0" w:rsidRPr="00D609E7" w:rsidRDefault="00CB4FA9" w:rsidP="0080428D">
      <w:pPr>
        <w:pStyle w:val="ListParagraph"/>
        <w:numPr>
          <w:ilvl w:val="0"/>
          <w:numId w:val="5"/>
        </w:numPr>
        <w:tabs>
          <w:tab w:val="left" w:pos="567"/>
          <w:tab w:val="left" w:pos="1134"/>
          <w:tab w:val="left" w:pos="5954"/>
        </w:tabs>
        <w:ind w:left="0" w:firstLine="567"/>
        <w:rPr>
          <w:noProof/>
        </w:rPr>
      </w:pPr>
      <w:r w:rsidRPr="00CB4FA9">
        <w:rPr>
          <w:noProof/>
        </w:rPr>
        <w:t xml:space="preserve">zu prüfen, ob die Verbandsmitglieder ersucht werden sollen, die Aufnahme von Software, die ihre </w:t>
      </w:r>
      <w:r w:rsidR="0040470F">
        <w:rPr>
          <w:noProof/>
        </w:rPr>
        <w:t>Verfahren für die Umsetzung</w:t>
      </w:r>
      <w:r w:rsidRPr="00CB4FA9">
        <w:rPr>
          <w:noProof/>
        </w:rPr>
        <w:t xml:space="preserve"> von Erfassungen in Noten</w:t>
      </w:r>
      <w:r w:rsidR="00C2315A">
        <w:rPr>
          <w:noProof/>
        </w:rPr>
        <w:t xml:space="preserve"> </w:t>
      </w:r>
      <w:r w:rsidR="00C2315A" w:rsidRPr="00CB4FA9">
        <w:rPr>
          <w:noProof/>
        </w:rPr>
        <w:t>enthält</w:t>
      </w:r>
      <w:r w:rsidR="00C2315A">
        <w:rPr>
          <w:noProof/>
        </w:rPr>
        <w:t>,</w:t>
      </w:r>
      <w:r w:rsidRPr="00CB4FA9">
        <w:rPr>
          <w:noProof/>
        </w:rPr>
        <w:t xml:space="preserve"> in Dokument UPOV/INF/16 bzw. Dokument UPOV/INF/22 </w:t>
      </w:r>
      <w:r w:rsidR="00C2315A" w:rsidRPr="007D6387">
        <w:rPr>
          <w:noProof/>
        </w:rPr>
        <w:t>vorzuschlagen</w:t>
      </w:r>
      <w:r w:rsidRPr="007D6387">
        <w:rPr>
          <w:noProof/>
        </w:rPr>
        <w:t xml:space="preserve">, mit einem </w:t>
      </w:r>
      <w:r w:rsidR="009B3559" w:rsidRPr="007D6387">
        <w:rPr>
          <w:noProof/>
        </w:rPr>
        <w:t xml:space="preserve">entsprechenden Querverweis </w:t>
      </w:r>
      <w:r w:rsidRPr="007D6387">
        <w:rPr>
          <w:noProof/>
        </w:rPr>
        <w:t>auf die Verfügbarkeit</w:t>
      </w:r>
      <w:r w:rsidRPr="00CB4FA9">
        <w:rPr>
          <w:noProof/>
        </w:rPr>
        <w:t xml:space="preserve"> solcher Verfahren in Dokument TGP/8 Teil I, neuer Abschnitt 2.5</w:t>
      </w:r>
      <w:r w:rsidR="00D627F0" w:rsidRPr="00D609E7">
        <w:rPr>
          <w:noProof/>
        </w:rPr>
        <w:t>.</w:t>
      </w:r>
    </w:p>
    <w:p w14:paraId="5F03EC73" w14:textId="77777777" w:rsidR="00E20D19" w:rsidRPr="00D609E7" w:rsidRDefault="00E20D19" w:rsidP="00E20D19">
      <w:pPr>
        <w:rPr>
          <w:noProof/>
        </w:rPr>
      </w:pPr>
    </w:p>
    <w:p w14:paraId="3492E300" w14:textId="4DEDB28B" w:rsidR="003E4FF7" w:rsidRPr="00D609E7" w:rsidRDefault="003E4FF7" w:rsidP="003E4FF7">
      <w:pPr>
        <w:keepNext/>
        <w:keepLines/>
        <w:spacing w:after="240"/>
        <w:rPr>
          <w:noProof/>
          <w:snapToGrid w:val="0"/>
        </w:rPr>
      </w:pPr>
      <w:r w:rsidRPr="00D609E7">
        <w:rPr>
          <w:noProof/>
        </w:rPr>
        <w:fldChar w:fldCharType="begin"/>
      </w:r>
      <w:r w:rsidRPr="00D609E7">
        <w:rPr>
          <w:noProof/>
        </w:rPr>
        <w:instrText xml:space="preserve"> AUTONUM  </w:instrText>
      </w:r>
      <w:r w:rsidRPr="00D609E7">
        <w:rPr>
          <w:noProof/>
        </w:rPr>
        <w:fldChar w:fldCharType="end"/>
      </w:r>
      <w:r w:rsidRPr="00D609E7">
        <w:rPr>
          <w:noProof/>
        </w:rPr>
        <w:tab/>
      </w:r>
      <w:r w:rsidR="00DE6217">
        <w:rPr>
          <w:noProof/>
          <w:snapToGrid w:val="0"/>
        </w:rPr>
        <w:t>Der Aufbau dieses Dokuments ist wie folgt</w:t>
      </w:r>
      <w:r w:rsidRPr="00D609E7">
        <w:rPr>
          <w:noProof/>
          <w:snapToGrid w:val="0"/>
        </w:rPr>
        <w:t>:</w:t>
      </w:r>
    </w:p>
    <w:p w14:paraId="7221518B" w14:textId="12E4AE55" w:rsidR="003F0790" w:rsidRDefault="003E4FF7">
      <w:pPr>
        <w:pStyle w:val="TOC1"/>
        <w:rPr>
          <w:rFonts w:asciiTheme="minorHAnsi" w:eastAsiaTheme="minorEastAsia" w:hAnsiTheme="minorHAnsi" w:cstheme="minorBidi"/>
          <w:caps w:val="0"/>
          <w:noProof/>
          <w:sz w:val="22"/>
          <w:szCs w:val="22"/>
          <w:lang w:val="en-US"/>
        </w:rPr>
      </w:pPr>
      <w:r w:rsidRPr="00D609E7">
        <w:rPr>
          <w:rFonts w:cs="Arial"/>
          <w:bCs/>
          <w:noProof/>
          <w:snapToGrid w:val="0"/>
          <w:sz w:val="22"/>
        </w:rPr>
        <w:fldChar w:fldCharType="begin"/>
      </w:r>
      <w:r w:rsidRPr="00D609E7">
        <w:rPr>
          <w:rFonts w:cs="Arial"/>
          <w:bCs/>
          <w:noProof/>
          <w:snapToGrid w:val="0"/>
          <w:sz w:val="22"/>
        </w:rPr>
        <w:instrText xml:space="preserve"> TOC \o "1-1" \h \z \u </w:instrText>
      </w:r>
      <w:r w:rsidRPr="00D609E7">
        <w:rPr>
          <w:rFonts w:cs="Arial"/>
          <w:bCs/>
          <w:noProof/>
          <w:snapToGrid w:val="0"/>
          <w:sz w:val="22"/>
        </w:rPr>
        <w:fldChar w:fldCharType="separate"/>
      </w:r>
      <w:hyperlink w:anchor="_Toc83116758" w:history="1">
        <w:r w:rsidR="003F0790" w:rsidRPr="00F56388">
          <w:rPr>
            <w:rStyle w:val="Hyperlink"/>
            <w:noProof/>
          </w:rPr>
          <w:t>ZUSAMMENFASSUNG</w:t>
        </w:r>
        <w:r w:rsidR="003F0790">
          <w:rPr>
            <w:noProof/>
            <w:webHidden/>
          </w:rPr>
          <w:tab/>
        </w:r>
        <w:r w:rsidR="003F0790">
          <w:rPr>
            <w:noProof/>
            <w:webHidden/>
          </w:rPr>
          <w:fldChar w:fldCharType="begin"/>
        </w:r>
        <w:r w:rsidR="003F0790">
          <w:rPr>
            <w:noProof/>
            <w:webHidden/>
          </w:rPr>
          <w:instrText xml:space="preserve"> PAGEREF _Toc83116758 \h </w:instrText>
        </w:r>
        <w:r w:rsidR="003F0790">
          <w:rPr>
            <w:noProof/>
            <w:webHidden/>
          </w:rPr>
        </w:r>
        <w:r w:rsidR="003F0790">
          <w:rPr>
            <w:noProof/>
            <w:webHidden/>
          </w:rPr>
          <w:fldChar w:fldCharType="separate"/>
        </w:r>
        <w:r w:rsidR="003F0790">
          <w:rPr>
            <w:noProof/>
            <w:webHidden/>
          </w:rPr>
          <w:t>1</w:t>
        </w:r>
        <w:r w:rsidR="003F0790">
          <w:rPr>
            <w:noProof/>
            <w:webHidden/>
          </w:rPr>
          <w:fldChar w:fldCharType="end"/>
        </w:r>
      </w:hyperlink>
    </w:p>
    <w:p w14:paraId="034240A7" w14:textId="66DB776F" w:rsidR="003F0790" w:rsidRDefault="003F0790">
      <w:pPr>
        <w:pStyle w:val="TOC1"/>
        <w:rPr>
          <w:rFonts w:asciiTheme="minorHAnsi" w:eastAsiaTheme="minorEastAsia" w:hAnsiTheme="minorHAnsi" w:cstheme="minorBidi"/>
          <w:caps w:val="0"/>
          <w:noProof/>
          <w:sz w:val="22"/>
          <w:szCs w:val="22"/>
          <w:lang w:val="en-US"/>
        </w:rPr>
      </w:pPr>
      <w:hyperlink w:anchor="_Toc83116759" w:history="1">
        <w:r w:rsidRPr="00F56388">
          <w:rPr>
            <w:rStyle w:val="Hyperlink"/>
            <w:noProof/>
          </w:rPr>
          <w:t>HINTERGRUnd</w:t>
        </w:r>
        <w:r>
          <w:rPr>
            <w:noProof/>
            <w:webHidden/>
          </w:rPr>
          <w:tab/>
        </w:r>
        <w:r>
          <w:rPr>
            <w:noProof/>
            <w:webHidden/>
          </w:rPr>
          <w:fldChar w:fldCharType="begin"/>
        </w:r>
        <w:r>
          <w:rPr>
            <w:noProof/>
            <w:webHidden/>
          </w:rPr>
          <w:instrText xml:space="preserve"> PAGEREF _Toc83116759 \h </w:instrText>
        </w:r>
        <w:r>
          <w:rPr>
            <w:noProof/>
            <w:webHidden/>
          </w:rPr>
        </w:r>
        <w:r>
          <w:rPr>
            <w:noProof/>
            <w:webHidden/>
          </w:rPr>
          <w:fldChar w:fldCharType="separate"/>
        </w:r>
        <w:r>
          <w:rPr>
            <w:noProof/>
            <w:webHidden/>
          </w:rPr>
          <w:t>2</w:t>
        </w:r>
        <w:r>
          <w:rPr>
            <w:noProof/>
            <w:webHidden/>
          </w:rPr>
          <w:fldChar w:fldCharType="end"/>
        </w:r>
      </w:hyperlink>
    </w:p>
    <w:p w14:paraId="1FB70396" w14:textId="45715E8E" w:rsidR="003F0790" w:rsidRDefault="003F0790">
      <w:pPr>
        <w:pStyle w:val="TOC1"/>
        <w:rPr>
          <w:rFonts w:asciiTheme="minorHAnsi" w:eastAsiaTheme="minorEastAsia" w:hAnsiTheme="minorHAnsi" w:cstheme="minorBidi"/>
          <w:caps w:val="0"/>
          <w:noProof/>
          <w:sz w:val="22"/>
          <w:szCs w:val="22"/>
          <w:lang w:val="en-US"/>
        </w:rPr>
      </w:pPr>
      <w:hyperlink w:anchor="_Toc83116760" w:history="1">
        <w:r w:rsidRPr="00F56388">
          <w:rPr>
            <w:rStyle w:val="Hyperlink"/>
            <w:noProof/>
          </w:rPr>
          <w:t>VORSCHLAG, DER VOM VORSITZENDEN DES TECHNISCHEN AUSSCHUSSES ZUSAMMEN MIT DEM VERBANDSBÜRO ERARBEITET WURDE</w:t>
        </w:r>
        <w:r>
          <w:rPr>
            <w:noProof/>
            <w:webHidden/>
          </w:rPr>
          <w:tab/>
        </w:r>
        <w:r>
          <w:rPr>
            <w:noProof/>
            <w:webHidden/>
          </w:rPr>
          <w:fldChar w:fldCharType="begin"/>
        </w:r>
        <w:r>
          <w:rPr>
            <w:noProof/>
            <w:webHidden/>
          </w:rPr>
          <w:instrText xml:space="preserve"> PAGEREF _Toc83116760 \h </w:instrText>
        </w:r>
        <w:r>
          <w:rPr>
            <w:noProof/>
            <w:webHidden/>
          </w:rPr>
        </w:r>
        <w:r>
          <w:rPr>
            <w:noProof/>
            <w:webHidden/>
          </w:rPr>
          <w:fldChar w:fldCharType="separate"/>
        </w:r>
        <w:r>
          <w:rPr>
            <w:noProof/>
            <w:webHidden/>
          </w:rPr>
          <w:t>3</w:t>
        </w:r>
        <w:r>
          <w:rPr>
            <w:noProof/>
            <w:webHidden/>
          </w:rPr>
          <w:fldChar w:fldCharType="end"/>
        </w:r>
      </w:hyperlink>
    </w:p>
    <w:p w14:paraId="730B475F" w14:textId="48474B52" w:rsidR="003E4FF7" w:rsidRPr="00D609E7" w:rsidRDefault="003E4FF7" w:rsidP="003E4FF7">
      <w:pPr>
        <w:tabs>
          <w:tab w:val="left" w:pos="2397"/>
        </w:tabs>
        <w:rPr>
          <w:noProof/>
          <w:snapToGrid w:val="0"/>
        </w:rPr>
      </w:pPr>
      <w:r w:rsidRPr="00D609E7">
        <w:rPr>
          <w:rFonts w:cs="Arial"/>
          <w:bCs/>
          <w:noProof/>
          <w:snapToGrid w:val="0"/>
          <w:sz w:val="22"/>
        </w:rPr>
        <w:fldChar w:fldCharType="end"/>
      </w:r>
      <w:r w:rsidRPr="00D609E7">
        <w:rPr>
          <w:rFonts w:cs="Arial"/>
          <w:bCs/>
          <w:noProof/>
          <w:snapToGrid w:val="0"/>
          <w:sz w:val="22"/>
        </w:rPr>
        <w:tab/>
      </w:r>
    </w:p>
    <w:p w14:paraId="12BE06BE" w14:textId="0C825B6D" w:rsidR="003E4FF7" w:rsidRPr="00D609E7" w:rsidRDefault="003E4FF7" w:rsidP="003E4FF7">
      <w:pPr>
        <w:ind w:left="1134" w:hanging="1134"/>
        <w:rPr>
          <w:noProof/>
          <w:spacing w:val="-2"/>
          <w:sz w:val="18"/>
          <w:szCs w:val="18"/>
        </w:rPr>
      </w:pPr>
      <w:r w:rsidRPr="00D609E7">
        <w:rPr>
          <w:rFonts w:cs="Arial"/>
          <w:noProof/>
          <w:snapToGrid w:val="0"/>
          <w:sz w:val="18"/>
          <w:szCs w:val="18"/>
        </w:rPr>
        <w:t>AN</w:t>
      </w:r>
      <w:r w:rsidR="005B47CB">
        <w:rPr>
          <w:rFonts w:cs="Arial"/>
          <w:noProof/>
          <w:snapToGrid w:val="0"/>
          <w:sz w:val="18"/>
          <w:szCs w:val="18"/>
        </w:rPr>
        <w:t>LAGE</w:t>
      </w:r>
      <w:r w:rsidRPr="00D609E7">
        <w:rPr>
          <w:rFonts w:cs="Arial"/>
          <w:noProof/>
          <w:snapToGrid w:val="0"/>
          <w:sz w:val="18"/>
          <w:szCs w:val="18"/>
        </w:rPr>
        <w:t xml:space="preserve"> </w:t>
      </w:r>
      <w:r w:rsidRPr="00D609E7">
        <w:rPr>
          <w:rFonts w:cs="Arial"/>
          <w:noProof/>
          <w:snapToGrid w:val="0"/>
          <w:sz w:val="18"/>
          <w:szCs w:val="18"/>
        </w:rPr>
        <w:tab/>
      </w:r>
      <w:r w:rsidR="00644EF7">
        <w:rPr>
          <w:rFonts w:cs="Arial"/>
          <w:noProof/>
          <w:snapToGrid w:val="0"/>
          <w:sz w:val="18"/>
          <w:szCs w:val="18"/>
        </w:rPr>
        <w:t>„</w:t>
      </w:r>
      <w:r w:rsidR="00644EF7" w:rsidRPr="00644EF7">
        <w:rPr>
          <w:noProof/>
          <w:spacing w:val="-2"/>
          <w:sz w:val="18"/>
          <w:szCs w:val="18"/>
        </w:rPr>
        <w:t>Verschiedene Formen, die Sortenbeschreibungen annehmen könn</w:t>
      </w:r>
      <w:r w:rsidR="004B6D72">
        <w:rPr>
          <w:noProof/>
          <w:spacing w:val="-2"/>
          <w:sz w:val="18"/>
          <w:szCs w:val="18"/>
        </w:rPr>
        <w:t>t</w:t>
      </w:r>
      <w:r w:rsidR="00644EF7" w:rsidRPr="00644EF7">
        <w:rPr>
          <w:noProof/>
          <w:spacing w:val="-2"/>
          <w:sz w:val="18"/>
          <w:szCs w:val="18"/>
        </w:rPr>
        <w:t xml:space="preserve">en, und die </w:t>
      </w:r>
      <w:r w:rsidR="004B6D72">
        <w:rPr>
          <w:noProof/>
          <w:spacing w:val="-2"/>
          <w:sz w:val="18"/>
          <w:szCs w:val="18"/>
        </w:rPr>
        <w:t>Bedeutung</w:t>
      </w:r>
      <w:r w:rsidR="00644EF7" w:rsidRPr="00644EF7">
        <w:rPr>
          <w:noProof/>
          <w:spacing w:val="-2"/>
          <w:sz w:val="18"/>
          <w:szCs w:val="18"/>
        </w:rPr>
        <w:t xml:space="preserve"> von Skalenniveaus</w:t>
      </w:r>
      <w:r w:rsidR="00644EF7">
        <w:rPr>
          <w:noProof/>
          <w:spacing w:val="-2"/>
          <w:sz w:val="18"/>
          <w:szCs w:val="18"/>
        </w:rPr>
        <w:t>“</w:t>
      </w:r>
      <w:r w:rsidR="00644EF7" w:rsidRPr="00644EF7">
        <w:rPr>
          <w:noProof/>
          <w:spacing w:val="-2"/>
          <w:sz w:val="18"/>
          <w:szCs w:val="18"/>
        </w:rPr>
        <w:t>, von einem Sachverständigen aus Deutschland erstelltes Dokument</w:t>
      </w:r>
    </w:p>
    <w:p w14:paraId="1F156AFC" w14:textId="77777777" w:rsidR="003E4FF7" w:rsidRPr="00D609E7" w:rsidRDefault="003E4FF7" w:rsidP="003E4FF7">
      <w:pPr>
        <w:rPr>
          <w:noProof/>
          <w:snapToGrid w:val="0"/>
        </w:rPr>
      </w:pPr>
    </w:p>
    <w:p w14:paraId="13B615B9" w14:textId="5846B32B" w:rsidR="003E4FF7" w:rsidRPr="00D609E7" w:rsidRDefault="003E4FF7" w:rsidP="003E4FF7">
      <w:pPr>
        <w:keepNext/>
        <w:rPr>
          <w:noProof/>
        </w:rPr>
      </w:pPr>
      <w:r w:rsidRPr="00D609E7">
        <w:rPr>
          <w:noProof/>
        </w:rPr>
        <w:lastRenderedPageBreak/>
        <w:fldChar w:fldCharType="begin"/>
      </w:r>
      <w:r w:rsidRPr="00D609E7">
        <w:rPr>
          <w:noProof/>
        </w:rPr>
        <w:instrText xml:space="preserve"> AUTONUM  </w:instrText>
      </w:r>
      <w:r w:rsidRPr="00D609E7">
        <w:rPr>
          <w:noProof/>
        </w:rPr>
        <w:fldChar w:fldCharType="end"/>
      </w:r>
      <w:r w:rsidRPr="00D609E7">
        <w:rPr>
          <w:noProof/>
        </w:rPr>
        <w:tab/>
      </w:r>
      <w:r w:rsidR="00957E72" w:rsidRPr="00EC1079">
        <w:t>In diesem Dokument werden folgende Abkürzungen verwendet</w:t>
      </w:r>
      <w:r w:rsidRPr="00D609E7">
        <w:rPr>
          <w:noProof/>
        </w:rPr>
        <w:t>:</w:t>
      </w:r>
    </w:p>
    <w:p w14:paraId="4B6C1B52" w14:textId="77777777" w:rsidR="003E4FF7" w:rsidRPr="00D609E7" w:rsidRDefault="003E4FF7" w:rsidP="003E4FF7">
      <w:pPr>
        <w:keepNext/>
        <w:rPr>
          <w:noProof/>
          <w:color w:val="000000"/>
          <w:sz w:val="16"/>
        </w:rPr>
      </w:pPr>
    </w:p>
    <w:p w14:paraId="0D60ECB6" w14:textId="1964F094" w:rsidR="003E4FF7" w:rsidRPr="00D609E7" w:rsidRDefault="003E4FF7" w:rsidP="003E4FF7">
      <w:pPr>
        <w:keepNext/>
        <w:ind w:left="1701" w:hanging="1134"/>
        <w:rPr>
          <w:noProof/>
        </w:rPr>
      </w:pPr>
      <w:r w:rsidRPr="00D609E7">
        <w:rPr>
          <w:noProof/>
        </w:rPr>
        <w:t>TC:</w:t>
      </w:r>
      <w:r w:rsidR="00F46749">
        <w:rPr>
          <w:noProof/>
        </w:rPr>
        <w:t xml:space="preserve"> </w:t>
      </w:r>
      <w:r w:rsidRPr="00D609E7">
        <w:rPr>
          <w:noProof/>
        </w:rPr>
        <w:tab/>
      </w:r>
      <w:r w:rsidR="00A26F05">
        <w:rPr>
          <w:noProof/>
        </w:rPr>
        <w:t>Techischer Ausschuss</w:t>
      </w:r>
    </w:p>
    <w:p w14:paraId="5A65C660" w14:textId="2D94BB49" w:rsidR="003E4FF7" w:rsidRPr="00D609E7" w:rsidRDefault="003E4FF7" w:rsidP="003E4FF7">
      <w:pPr>
        <w:keepNext/>
        <w:ind w:left="1701" w:hanging="1134"/>
        <w:rPr>
          <w:noProof/>
        </w:rPr>
      </w:pPr>
      <w:r w:rsidRPr="00D609E7">
        <w:rPr>
          <w:noProof/>
        </w:rPr>
        <w:t>TC-EDC:</w:t>
      </w:r>
      <w:r w:rsidR="00F46749">
        <w:rPr>
          <w:noProof/>
        </w:rPr>
        <w:t xml:space="preserve"> </w:t>
      </w:r>
      <w:r w:rsidRPr="00D609E7">
        <w:rPr>
          <w:noProof/>
        </w:rPr>
        <w:tab/>
      </w:r>
      <w:r w:rsidR="00A26F05">
        <w:rPr>
          <w:noProof/>
        </w:rPr>
        <w:t>Erweiterter Redaktionsausschuss</w:t>
      </w:r>
    </w:p>
    <w:p w14:paraId="0D783CED" w14:textId="16B939CC" w:rsidR="003E4FF7" w:rsidRPr="00D609E7" w:rsidRDefault="003E4FF7" w:rsidP="003E4FF7">
      <w:pPr>
        <w:keepNext/>
        <w:ind w:left="1701" w:hanging="1134"/>
        <w:rPr>
          <w:noProof/>
        </w:rPr>
      </w:pPr>
      <w:r w:rsidRPr="00D609E7">
        <w:rPr>
          <w:noProof/>
        </w:rPr>
        <w:t>TWA:</w:t>
      </w:r>
      <w:r w:rsidR="00F46749">
        <w:rPr>
          <w:noProof/>
        </w:rPr>
        <w:t xml:space="preserve"> </w:t>
      </w:r>
      <w:r w:rsidRPr="00D609E7">
        <w:rPr>
          <w:noProof/>
        </w:rPr>
        <w:tab/>
      </w:r>
      <w:r w:rsidR="00A77C10" w:rsidRPr="00EC1079">
        <w:t>Technische Arbeitsgruppe für landwirtschaftliche Arten</w:t>
      </w:r>
    </w:p>
    <w:p w14:paraId="58C600BA" w14:textId="03DE3B32" w:rsidR="003E4FF7" w:rsidRPr="00D609E7" w:rsidRDefault="003E4FF7" w:rsidP="003E4FF7">
      <w:pPr>
        <w:keepNext/>
        <w:ind w:left="1701" w:hanging="1134"/>
        <w:rPr>
          <w:noProof/>
        </w:rPr>
      </w:pPr>
      <w:r w:rsidRPr="00D609E7">
        <w:rPr>
          <w:noProof/>
        </w:rPr>
        <w:t>TWC:</w:t>
      </w:r>
      <w:r w:rsidR="00F46749">
        <w:rPr>
          <w:noProof/>
        </w:rPr>
        <w:t xml:space="preserve"> </w:t>
      </w:r>
      <w:r w:rsidRPr="00D609E7">
        <w:rPr>
          <w:noProof/>
        </w:rPr>
        <w:tab/>
      </w:r>
      <w:r w:rsidR="00C84823" w:rsidRPr="00EC1079">
        <w:t>Technische Arbeitsgruppe für Automatisierung und Computerprogramme</w:t>
      </w:r>
    </w:p>
    <w:p w14:paraId="3F16B4FD" w14:textId="0E068532" w:rsidR="003E4FF7" w:rsidRPr="00D609E7" w:rsidRDefault="003E4FF7" w:rsidP="003E4FF7">
      <w:pPr>
        <w:keepNext/>
        <w:ind w:left="1701" w:hanging="1134"/>
        <w:rPr>
          <w:noProof/>
        </w:rPr>
      </w:pPr>
      <w:r w:rsidRPr="00D609E7">
        <w:rPr>
          <w:noProof/>
        </w:rPr>
        <w:t>TWF:</w:t>
      </w:r>
      <w:r w:rsidR="00F46749">
        <w:rPr>
          <w:noProof/>
        </w:rPr>
        <w:t xml:space="preserve"> </w:t>
      </w:r>
      <w:r w:rsidRPr="00D609E7">
        <w:rPr>
          <w:noProof/>
        </w:rPr>
        <w:tab/>
      </w:r>
      <w:r w:rsidR="00592E75" w:rsidRPr="00EC1079">
        <w:t>Technische Arbeitsgruppe für Obstarten</w:t>
      </w:r>
    </w:p>
    <w:p w14:paraId="652A2A72" w14:textId="0212FC98" w:rsidR="003E4FF7" w:rsidRPr="00D609E7" w:rsidRDefault="003E4FF7" w:rsidP="003E4FF7">
      <w:pPr>
        <w:keepNext/>
        <w:ind w:left="1701" w:hanging="1134"/>
        <w:rPr>
          <w:noProof/>
        </w:rPr>
      </w:pPr>
      <w:r w:rsidRPr="00D609E7">
        <w:rPr>
          <w:noProof/>
        </w:rPr>
        <w:t>TWO:</w:t>
      </w:r>
      <w:r w:rsidR="00F46749">
        <w:rPr>
          <w:noProof/>
        </w:rPr>
        <w:t xml:space="preserve"> </w:t>
      </w:r>
      <w:r w:rsidRPr="00D609E7">
        <w:rPr>
          <w:noProof/>
        </w:rPr>
        <w:tab/>
      </w:r>
      <w:r w:rsidR="00A7472F" w:rsidRPr="00EC1079">
        <w:t>Technische Arbeitsgruppe für Zierpflanzen und forstliche Baumarten</w:t>
      </w:r>
    </w:p>
    <w:p w14:paraId="1DAB3DC5" w14:textId="3F3D03E6" w:rsidR="003E4FF7" w:rsidRPr="00D609E7" w:rsidRDefault="003E4FF7" w:rsidP="003E4FF7">
      <w:pPr>
        <w:keepNext/>
        <w:ind w:left="1701" w:hanging="1134"/>
        <w:rPr>
          <w:noProof/>
          <w:color w:val="000000"/>
        </w:rPr>
      </w:pPr>
      <w:r w:rsidRPr="00D609E7">
        <w:rPr>
          <w:noProof/>
          <w:color w:val="000000"/>
        </w:rPr>
        <w:t>TWP:</w:t>
      </w:r>
      <w:r w:rsidRPr="00D609E7">
        <w:rPr>
          <w:noProof/>
          <w:color w:val="000000"/>
        </w:rPr>
        <w:tab/>
      </w:r>
      <w:r w:rsidR="00877F60" w:rsidRPr="00EC1079">
        <w:t>Technische Arbeitsgruppen</w:t>
      </w:r>
    </w:p>
    <w:p w14:paraId="4D6D66B0" w14:textId="653FDF25" w:rsidR="003E4FF7" w:rsidRPr="00D609E7" w:rsidRDefault="003E4FF7" w:rsidP="003E4FF7">
      <w:pPr>
        <w:keepNext/>
        <w:ind w:left="1701" w:hanging="1134"/>
        <w:rPr>
          <w:noProof/>
        </w:rPr>
      </w:pPr>
      <w:r w:rsidRPr="00D609E7">
        <w:rPr>
          <w:noProof/>
        </w:rPr>
        <w:t>TWV:</w:t>
      </w:r>
      <w:r w:rsidR="00F46749">
        <w:rPr>
          <w:noProof/>
        </w:rPr>
        <w:t xml:space="preserve"> </w:t>
      </w:r>
      <w:r w:rsidRPr="00D609E7">
        <w:rPr>
          <w:noProof/>
        </w:rPr>
        <w:tab/>
      </w:r>
      <w:r w:rsidR="00070EFD" w:rsidRPr="00EC1079">
        <w:t>Technische Arbeitsgruppe für Gemüsearten</w:t>
      </w:r>
    </w:p>
    <w:p w14:paraId="790949A6" w14:textId="77777777" w:rsidR="003E4FF7" w:rsidRPr="00D609E7" w:rsidRDefault="003E4FF7" w:rsidP="003E4FF7">
      <w:pPr>
        <w:keepNext/>
        <w:outlineLvl w:val="0"/>
        <w:rPr>
          <w:caps/>
          <w:noProof/>
        </w:rPr>
      </w:pPr>
    </w:p>
    <w:p w14:paraId="745B4BBB" w14:textId="77777777" w:rsidR="003E4FF7" w:rsidRPr="00D609E7" w:rsidRDefault="003E4FF7" w:rsidP="003E4FF7">
      <w:pPr>
        <w:keepNext/>
        <w:outlineLvl w:val="0"/>
        <w:rPr>
          <w:caps/>
          <w:noProof/>
        </w:rPr>
      </w:pPr>
    </w:p>
    <w:p w14:paraId="6D752A76" w14:textId="1AA2093B" w:rsidR="003E4FF7" w:rsidRPr="00D609E7" w:rsidRDefault="000A4F8C" w:rsidP="003E4FF7">
      <w:pPr>
        <w:keepNext/>
        <w:outlineLvl w:val="0"/>
        <w:rPr>
          <w:caps/>
          <w:noProof/>
        </w:rPr>
      </w:pPr>
      <w:bookmarkStart w:id="5" w:name="_Toc83116759"/>
      <w:r>
        <w:rPr>
          <w:caps/>
          <w:noProof/>
        </w:rPr>
        <w:t>HINTERGRU</w:t>
      </w:r>
      <w:r w:rsidR="003E4FF7" w:rsidRPr="00D609E7">
        <w:rPr>
          <w:caps/>
          <w:noProof/>
        </w:rPr>
        <w:t>nd</w:t>
      </w:r>
      <w:bookmarkEnd w:id="5"/>
    </w:p>
    <w:p w14:paraId="42EACF80" w14:textId="77777777" w:rsidR="003E4FF7" w:rsidRPr="00D609E7" w:rsidRDefault="003E4FF7" w:rsidP="003E4FF7">
      <w:pPr>
        <w:rPr>
          <w:noProof/>
        </w:rPr>
      </w:pPr>
    </w:p>
    <w:p w14:paraId="45274B39" w14:textId="751D864F" w:rsidR="003E4FF7" w:rsidRPr="00D609E7" w:rsidRDefault="003E4FF7" w:rsidP="003E4FF7">
      <w:pPr>
        <w:autoSpaceDE w:val="0"/>
        <w:autoSpaceDN w:val="0"/>
        <w:adjustRightInd w:val="0"/>
        <w:rPr>
          <w:rFonts w:ascii="ArialMT" w:eastAsia="MS Mincho" w:hAnsi="ArialMT" w:cs="ArialMT" w:hint="eastAsia"/>
          <w:noProof/>
          <w:spacing w:val="2"/>
          <w:lang w:eastAsia="ja-JP"/>
        </w:rPr>
      </w:pPr>
      <w:r w:rsidRPr="00D609E7">
        <w:rPr>
          <w:noProof/>
          <w:spacing w:val="2"/>
        </w:rPr>
        <w:fldChar w:fldCharType="begin"/>
      </w:r>
      <w:r w:rsidRPr="00D609E7">
        <w:rPr>
          <w:noProof/>
          <w:spacing w:val="2"/>
        </w:rPr>
        <w:instrText xml:space="preserve"> AUTONUM  </w:instrText>
      </w:r>
      <w:r w:rsidRPr="00D609E7">
        <w:rPr>
          <w:noProof/>
          <w:spacing w:val="2"/>
        </w:rPr>
        <w:fldChar w:fldCharType="end"/>
      </w:r>
      <w:r w:rsidRPr="00D609E7">
        <w:rPr>
          <w:noProof/>
          <w:spacing w:val="2"/>
        </w:rPr>
        <w:tab/>
      </w:r>
      <w:r w:rsidR="00642C13" w:rsidRPr="00642C13">
        <w:rPr>
          <w:rFonts w:cs="Arial"/>
          <w:noProof/>
        </w:rPr>
        <w:t>Der Technische Ausschu</w:t>
      </w:r>
      <w:r w:rsidR="003465EB">
        <w:rPr>
          <w:rFonts w:cs="Arial"/>
          <w:noProof/>
        </w:rPr>
        <w:t>ss</w:t>
      </w:r>
      <w:r w:rsidR="00642C13" w:rsidRPr="00642C13">
        <w:rPr>
          <w:rFonts w:cs="Arial"/>
          <w:noProof/>
        </w:rPr>
        <w:t xml:space="preserve"> (TC) prüfte auf seiner achtundvierzigsten Tagung</w:t>
      </w:r>
      <w:r w:rsidRPr="00D609E7">
        <w:rPr>
          <w:rFonts w:cs="Arial"/>
          <w:noProof/>
          <w:vertAlign w:val="superscript"/>
        </w:rPr>
        <w:footnoteReference w:id="3"/>
      </w:r>
      <w:r w:rsidR="00C271D8">
        <w:rPr>
          <w:rFonts w:cs="Arial"/>
          <w:noProof/>
        </w:rPr>
        <w:t xml:space="preserve"> </w:t>
      </w:r>
      <w:r w:rsidR="00C271D8" w:rsidRPr="00C271D8">
        <w:rPr>
          <w:rFonts w:cs="Arial"/>
          <w:noProof/>
        </w:rPr>
        <w:t xml:space="preserve">Anlage III: „TGP/8 TEIL I: DUS-Prüfungsanlage und Datenanalyse, Neuer Abschnitt 6 – Datenverarbeitung für die Prüfung der Unterscheidbarkeit und die </w:t>
      </w:r>
      <w:r w:rsidR="00CD11DA">
        <w:rPr>
          <w:rFonts w:cs="Arial"/>
          <w:noProof/>
        </w:rPr>
        <w:t>Erstellung von Sortenbeschreibungen</w:t>
      </w:r>
      <w:r w:rsidR="00C271D8" w:rsidRPr="00C271D8">
        <w:rPr>
          <w:rFonts w:cs="Arial"/>
          <w:noProof/>
        </w:rPr>
        <w:t xml:space="preserve">“ in Verbindung mit Anlage VIII: „TGP/8 TEIL II: Verfahren für die DUS-Prüfung, Neuer Abschnitt </w:t>
      </w:r>
      <w:r w:rsidR="00C271D8" w:rsidRPr="00B07708">
        <w:rPr>
          <w:rFonts w:cs="Arial"/>
          <w:noProof/>
        </w:rPr>
        <w:t xml:space="preserve">13 - Verfahren für die Datenverarbeitung für die Prüfung der Unterscheidbarkeit und die </w:t>
      </w:r>
      <w:r w:rsidR="00CD11DA">
        <w:rPr>
          <w:rFonts w:cs="Arial"/>
          <w:noProof/>
        </w:rPr>
        <w:t>Erstellung von Sortenbeschreibungen</w:t>
      </w:r>
      <w:r w:rsidR="00C271D8" w:rsidRPr="00B07708">
        <w:rPr>
          <w:rFonts w:cs="Arial"/>
          <w:noProof/>
        </w:rPr>
        <w:t xml:space="preserve">“ von Dokument TC/48/19 Rev. Er war sich darin einig, </w:t>
      </w:r>
      <w:r w:rsidR="002A65B4" w:rsidRPr="00B07708">
        <w:rPr>
          <w:rFonts w:cs="Arial"/>
          <w:noProof/>
        </w:rPr>
        <w:t>dass</w:t>
      </w:r>
      <w:r w:rsidR="00C271D8" w:rsidRPr="00B07708">
        <w:rPr>
          <w:rFonts w:cs="Arial"/>
          <w:noProof/>
        </w:rPr>
        <w:t xml:space="preserve"> die in Anlage VIII von Dokument TC/48/19 Rev. enthaltene und beim im März 2010 in Genf abgehaltenen UPOV-DUS-Seminar gelieferte Information zusammen mit dem von Japan vorgestellten Verfahren und dem in Frankreich verwendeten Verfahren </w:t>
      </w:r>
      <w:r w:rsidR="00C2315A">
        <w:rPr>
          <w:rFonts w:cs="Arial"/>
          <w:noProof/>
        </w:rPr>
        <w:t xml:space="preserve">zur </w:t>
      </w:r>
      <w:r w:rsidR="00CD11DA">
        <w:rPr>
          <w:rFonts w:cs="Arial"/>
          <w:noProof/>
        </w:rPr>
        <w:t>Erstellung von Sortenbeschreibungen</w:t>
      </w:r>
      <w:r w:rsidR="00C271D8" w:rsidRPr="00B07708">
        <w:rPr>
          <w:rFonts w:cs="Arial"/>
          <w:noProof/>
        </w:rPr>
        <w:t xml:space="preserve"> für Kräuterpflanzen, wie der TWC auf ihrer sechsundzwanzigsten Tagung</w:t>
      </w:r>
      <w:r w:rsidRPr="00B07708">
        <w:rPr>
          <w:rFonts w:cs="Arial"/>
          <w:noProof/>
          <w:vertAlign w:val="superscript"/>
        </w:rPr>
        <w:footnoteReference w:id="4"/>
      </w:r>
      <w:r w:rsidR="003465EB" w:rsidRPr="00B07708">
        <w:rPr>
          <w:rFonts w:cs="Arial"/>
          <w:noProof/>
        </w:rPr>
        <w:t xml:space="preserve"> vorgetragen, einen sehr wichtigen ersten Schritt für die Erstellung einer gemeinsamen Anleitung zur Datenverarbeitung für die Prüfung auf Unterscheidbarkeit und </w:t>
      </w:r>
      <w:r w:rsidR="00C2315A">
        <w:rPr>
          <w:rFonts w:cs="Arial"/>
          <w:noProof/>
        </w:rPr>
        <w:t xml:space="preserve">zur </w:t>
      </w:r>
      <w:r w:rsidR="00CD11DA">
        <w:rPr>
          <w:rFonts w:cs="Arial"/>
          <w:noProof/>
        </w:rPr>
        <w:t>Erstellung von Sortenbeschreibungen</w:t>
      </w:r>
      <w:r w:rsidR="003465EB" w:rsidRPr="00B07708">
        <w:rPr>
          <w:rFonts w:cs="Arial"/>
          <w:noProof/>
        </w:rPr>
        <w:t xml:space="preserve"> darstelle, zog aber den Schlu</w:t>
      </w:r>
      <w:r w:rsidR="00AB2C89">
        <w:rPr>
          <w:rFonts w:cs="Arial"/>
          <w:noProof/>
        </w:rPr>
        <w:t>ss</w:t>
      </w:r>
      <w:r w:rsidR="003465EB" w:rsidRPr="00B07708">
        <w:rPr>
          <w:rFonts w:cs="Arial"/>
          <w:noProof/>
        </w:rPr>
        <w:t xml:space="preserve">, </w:t>
      </w:r>
      <w:r w:rsidR="002A65B4" w:rsidRPr="00B07708">
        <w:rPr>
          <w:rFonts w:cs="Arial"/>
          <w:noProof/>
        </w:rPr>
        <w:t>dass</w:t>
      </w:r>
      <w:r w:rsidR="003465EB" w:rsidRPr="00B07708">
        <w:rPr>
          <w:rFonts w:cs="Arial"/>
          <w:noProof/>
        </w:rPr>
        <w:t xml:space="preserve"> die Information, wie in Anlage VIII von Dokument TC/48/19 Rev. dargelegt, nicht für die Aufnahme in Dokument TGP/8 geeignet sei. Er vereinbarte, </w:t>
      </w:r>
      <w:r w:rsidR="002A65B4" w:rsidRPr="00B07708">
        <w:rPr>
          <w:rFonts w:cs="Arial"/>
          <w:noProof/>
        </w:rPr>
        <w:t>dass</w:t>
      </w:r>
      <w:r w:rsidR="003465EB" w:rsidRPr="00B07708">
        <w:rPr>
          <w:rFonts w:cs="Arial"/>
          <w:noProof/>
        </w:rPr>
        <w:t xml:space="preserve"> das Verbandsbüro ersucht werden solle, die einzelnen in Anlage VIII des Dokuments TC/48/19 Rev. dargelegten Ansätze im Hinblick auf gemeinsame und unterschiedliche Aspekte zusammenzufassen.</w:t>
      </w:r>
      <w:r w:rsidR="00B63EC3" w:rsidRPr="00B07708">
        <w:rPr>
          <w:rFonts w:cs="Arial"/>
          <w:noProof/>
        </w:rPr>
        <w:t xml:space="preserve"> </w:t>
      </w:r>
      <w:r w:rsidR="003465EB" w:rsidRPr="00B07708">
        <w:rPr>
          <w:rFonts w:cs="Arial"/>
          <w:noProof/>
        </w:rPr>
        <w:t xml:space="preserve">Anschließend könnte ausgehend von dieser Zusammenfassung die Erstellung einer allgemeinen Anleitung in Betracht gezogen werden. Der TC vereinbarte, </w:t>
      </w:r>
      <w:r w:rsidR="002A65B4" w:rsidRPr="00B07708">
        <w:rPr>
          <w:rFonts w:cs="Arial"/>
          <w:noProof/>
        </w:rPr>
        <w:t>dass</w:t>
      </w:r>
      <w:r w:rsidR="003465EB" w:rsidRPr="00B07708">
        <w:rPr>
          <w:rFonts w:cs="Arial"/>
          <w:noProof/>
        </w:rPr>
        <w:t xml:space="preserve"> der Abschnitt Beispiele zur Verdeutlichung der gesamten Bandbreite an Merkmalsvariationen enthalten solle. Er vereinbarte ferner, </w:t>
      </w:r>
      <w:r w:rsidR="002A65B4" w:rsidRPr="00B07708">
        <w:rPr>
          <w:rFonts w:cs="Arial"/>
          <w:noProof/>
        </w:rPr>
        <w:t>dass</w:t>
      </w:r>
      <w:r w:rsidR="003465EB" w:rsidRPr="00B07708">
        <w:rPr>
          <w:rFonts w:cs="Arial"/>
          <w:noProof/>
        </w:rPr>
        <w:t xml:space="preserve"> die detaillierten Informationen zu den Verfahren über die UPOV-Website mit entsprechenden Querverweisen in Dokument TGP/8 verfügbar gemacht werden sollen (vergleiche Dokument TC/48/22 „Bericht über </w:t>
      </w:r>
      <w:r w:rsidR="005D7E04">
        <w:rPr>
          <w:rFonts w:cs="Arial"/>
          <w:noProof/>
        </w:rPr>
        <w:t xml:space="preserve">die </w:t>
      </w:r>
      <w:r w:rsidR="003465EB" w:rsidRPr="00B07708">
        <w:rPr>
          <w:rFonts w:cs="Arial"/>
          <w:noProof/>
        </w:rPr>
        <w:t>Entschließungen“, Absatz 52</w:t>
      </w:r>
      <w:r w:rsidRPr="00B07708">
        <w:rPr>
          <w:rFonts w:cs="Arial"/>
          <w:noProof/>
        </w:rPr>
        <w:t>).</w:t>
      </w:r>
    </w:p>
    <w:p w14:paraId="0E34C74A" w14:textId="77777777" w:rsidR="003E4FF7" w:rsidRPr="00D609E7" w:rsidRDefault="003E4FF7" w:rsidP="003E4FF7">
      <w:pPr>
        <w:rPr>
          <w:noProof/>
        </w:rPr>
      </w:pPr>
    </w:p>
    <w:p w14:paraId="19CE1BF4" w14:textId="43C2CC67" w:rsidR="003E4FF7" w:rsidRPr="00D609E7" w:rsidRDefault="003E4FF7" w:rsidP="003E4FF7">
      <w:pPr>
        <w:rPr>
          <w:noProof/>
        </w:rPr>
      </w:pPr>
      <w:r w:rsidRPr="00D609E7">
        <w:rPr>
          <w:noProof/>
        </w:rPr>
        <w:fldChar w:fldCharType="begin"/>
      </w:r>
      <w:r w:rsidRPr="00D609E7">
        <w:rPr>
          <w:noProof/>
        </w:rPr>
        <w:instrText xml:space="preserve"> AUTONUM  </w:instrText>
      </w:r>
      <w:r w:rsidRPr="00D609E7">
        <w:rPr>
          <w:noProof/>
        </w:rPr>
        <w:fldChar w:fldCharType="end"/>
      </w:r>
      <w:r w:rsidRPr="00D609E7">
        <w:rPr>
          <w:noProof/>
        </w:rPr>
        <w:tab/>
      </w:r>
      <w:r w:rsidR="00644B9B">
        <w:rPr>
          <w:noProof/>
        </w:rPr>
        <w:t>Der</w:t>
      </w:r>
      <w:r w:rsidRPr="00D609E7">
        <w:rPr>
          <w:noProof/>
        </w:rPr>
        <w:t xml:space="preserve"> TC </w:t>
      </w:r>
      <w:r w:rsidR="00D84A3F" w:rsidRPr="00D84A3F">
        <w:rPr>
          <w:noProof/>
        </w:rPr>
        <w:t xml:space="preserve">stimmte </w:t>
      </w:r>
      <w:r w:rsidR="00D84A3F">
        <w:rPr>
          <w:noProof/>
        </w:rPr>
        <w:t>auf seiner</w:t>
      </w:r>
      <w:r w:rsidRPr="00D609E7">
        <w:rPr>
          <w:noProof/>
        </w:rPr>
        <w:t xml:space="preserve"> </w:t>
      </w:r>
      <w:r w:rsidR="00D84A3F">
        <w:rPr>
          <w:noProof/>
        </w:rPr>
        <w:t>zweiundfünfzigsten Tagung</w:t>
      </w:r>
      <w:r w:rsidR="00461958" w:rsidRPr="00D609E7">
        <w:rPr>
          <w:rStyle w:val="FootnoteReference"/>
          <w:noProof/>
        </w:rPr>
        <w:footnoteReference w:id="5"/>
      </w:r>
      <w:r w:rsidRPr="00D609E7">
        <w:rPr>
          <w:noProof/>
        </w:rPr>
        <w:t xml:space="preserve"> </w:t>
      </w:r>
      <w:r w:rsidR="00D84A3F" w:rsidRPr="00D84A3F">
        <w:rPr>
          <w:noProof/>
        </w:rPr>
        <w:t>der TWC und der TWA zu, da</w:t>
      </w:r>
      <w:r w:rsidR="00D84A3F">
        <w:rPr>
          <w:noProof/>
        </w:rPr>
        <w:t>ss</w:t>
      </w:r>
      <w:r w:rsidR="00D84A3F" w:rsidRPr="00D84A3F">
        <w:rPr>
          <w:noProof/>
        </w:rPr>
        <w:t xml:space="preserve"> die Anleitung zu „Verschiedenen Formen, die Sortenbeschreibungen annehmen könnten, und die Bedeutung von Skalenniveaus“, wie in </w:t>
      </w:r>
      <w:r w:rsidR="009A7524">
        <w:rPr>
          <w:noProof/>
        </w:rPr>
        <w:t xml:space="preserve">der </w:t>
      </w:r>
      <w:r w:rsidR="00D84A3F" w:rsidRPr="00363460">
        <w:rPr>
          <w:noProof/>
        </w:rPr>
        <w:t>Anlage dieses</w:t>
      </w:r>
      <w:r w:rsidR="00D84A3F" w:rsidRPr="00D84A3F">
        <w:rPr>
          <w:noProof/>
        </w:rPr>
        <w:t xml:space="preserve"> Dokuments dargelegt, als </w:t>
      </w:r>
      <w:r w:rsidR="00C2315A">
        <w:rPr>
          <w:noProof/>
        </w:rPr>
        <w:t xml:space="preserve">eine </w:t>
      </w:r>
      <w:r w:rsidR="00D84A3F" w:rsidRPr="00D84A3F">
        <w:rPr>
          <w:noProof/>
        </w:rPr>
        <w:t xml:space="preserve">Einführung in eine künftige Anleitung </w:t>
      </w:r>
      <w:r w:rsidR="00A51670">
        <w:rPr>
          <w:noProof/>
        </w:rPr>
        <w:t>zur</w:t>
      </w:r>
      <w:r w:rsidR="00D84A3F" w:rsidRPr="00D84A3F">
        <w:rPr>
          <w:noProof/>
        </w:rPr>
        <w:t xml:space="preserve"> Datenverarbeitung für die Prüfung der Unterscheidbarkeit und die </w:t>
      </w:r>
      <w:r w:rsidR="00CD11DA">
        <w:rPr>
          <w:noProof/>
        </w:rPr>
        <w:t>Erstellung von Sortenbeschreibungen</w:t>
      </w:r>
      <w:r w:rsidR="00D84A3F" w:rsidRPr="00D84A3F">
        <w:rPr>
          <w:noProof/>
        </w:rPr>
        <w:t xml:space="preserve"> verwendet werden sollte (vergleiche Dokument TC/52/29 </w:t>
      </w:r>
      <w:r w:rsidR="00E84643">
        <w:rPr>
          <w:noProof/>
        </w:rPr>
        <w:t>„</w:t>
      </w:r>
      <w:r w:rsidR="00F46749">
        <w:rPr>
          <w:noProof/>
        </w:rPr>
        <w:t>Überarbeiteter</w:t>
      </w:r>
      <w:r w:rsidR="00D84A3F" w:rsidRPr="00D84A3F">
        <w:rPr>
          <w:noProof/>
        </w:rPr>
        <w:t xml:space="preserve"> Bericht“, Absatz 117</w:t>
      </w:r>
      <w:r w:rsidRPr="00D609E7">
        <w:rPr>
          <w:noProof/>
          <w:spacing w:val="2"/>
        </w:rPr>
        <w:t>).</w:t>
      </w:r>
    </w:p>
    <w:p w14:paraId="6240A47C" w14:textId="77777777" w:rsidR="00461958" w:rsidRPr="00D609E7" w:rsidRDefault="00461958" w:rsidP="00461958">
      <w:pPr>
        <w:rPr>
          <w:noProof/>
          <w:highlight w:val="yellow"/>
        </w:rPr>
      </w:pPr>
    </w:p>
    <w:p w14:paraId="64F3183D" w14:textId="5D1DE50A" w:rsidR="00461958" w:rsidRPr="004F1730" w:rsidRDefault="00461958" w:rsidP="00461958">
      <w:pPr>
        <w:rPr>
          <w:noProof/>
        </w:rPr>
      </w:pPr>
      <w:r w:rsidRPr="00D609E7">
        <w:rPr>
          <w:noProof/>
        </w:rPr>
        <w:fldChar w:fldCharType="begin"/>
      </w:r>
      <w:r w:rsidRPr="00D609E7">
        <w:rPr>
          <w:noProof/>
        </w:rPr>
        <w:instrText xml:space="preserve"> AUTONUM  </w:instrText>
      </w:r>
      <w:r w:rsidRPr="00D609E7">
        <w:rPr>
          <w:noProof/>
        </w:rPr>
        <w:fldChar w:fldCharType="end"/>
      </w:r>
      <w:r w:rsidRPr="00D609E7">
        <w:rPr>
          <w:noProof/>
        </w:rPr>
        <w:tab/>
      </w:r>
      <w:r w:rsidR="00A0704D" w:rsidRPr="00A0704D">
        <w:rPr>
          <w:noProof/>
        </w:rPr>
        <w:t>Der TC prüfte auf seiner sechsundfünfzigsten Tagung</w:t>
      </w:r>
      <w:r w:rsidR="00A15BC0" w:rsidRPr="008A3EC3">
        <w:rPr>
          <w:vertAlign w:val="superscript"/>
        </w:rPr>
        <w:footnoteReference w:id="6"/>
      </w:r>
      <w:r w:rsidR="00A0704D" w:rsidRPr="00A0704D">
        <w:rPr>
          <w:noProof/>
        </w:rPr>
        <w:t xml:space="preserve"> die verschiedenen Ansätze zur </w:t>
      </w:r>
      <w:r w:rsidR="00DA2B9E">
        <w:rPr>
          <w:noProof/>
        </w:rPr>
        <w:t>Umsetzung</w:t>
      </w:r>
      <w:r w:rsidR="00A0704D" w:rsidRPr="00A0704D">
        <w:rPr>
          <w:noProof/>
        </w:rPr>
        <w:t xml:space="preserve"> von Erfassungen in Noten </w:t>
      </w:r>
      <w:r w:rsidR="00C2315A">
        <w:rPr>
          <w:noProof/>
        </w:rPr>
        <w:t xml:space="preserve">zur </w:t>
      </w:r>
      <w:r w:rsidR="00CD11DA">
        <w:rPr>
          <w:noProof/>
        </w:rPr>
        <w:t>Erstellung von Sortenbeschreibungen</w:t>
      </w:r>
      <w:r w:rsidR="00A0704D" w:rsidRPr="00A0704D">
        <w:rPr>
          <w:noProof/>
        </w:rPr>
        <w:t xml:space="preserve"> für gemessene quantitative Merkmale, wie in Dokument TC/56/5, Anlagen III bis VII</w:t>
      </w:r>
      <w:r w:rsidR="003535D1">
        <w:rPr>
          <w:noProof/>
        </w:rPr>
        <w:t xml:space="preserve"> dargelegt</w:t>
      </w:r>
      <w:r w:rsidR="00A0704D" w:rsidRPr="00A0704D">
        <w:rPr>
          <w:noProof/>
        </w:rPr>
        <w:t xml:space="preserve">, in Verbindung mit den von Italien und </w:t>
      </w:r>
      <w:r w:rsidR="00A0704D" w:rsidRPr="004F1730">
        <w:rPr>
          <w:noProof/>
        </w:rPr>
        <w:t xml:space="preserve">Japan erteilten zusätzlichen Informationen, wie in Dokument TC/56/5, Absatz 12, dargelegt (vergleiche Dokument TC/56/23 </w:t>
      </w:r>
      <w:r w:rsidR="002C1FF8" w:rsidRPr="004F1730">
        <w:rPr>
          <w:noProof/>
        </w:rPr>
        <w:t>„</w:t>
      </w:r>
      <w:r w:rsidR="00A0704D" w:rsidRPr="004F1730">
        <w:rPr>
          <w:noProof/>
        </w:rPr>
        <w:t>Bericht</w:t>
      </w:r>
      <w:r w:rsidR="002C1FF8" w:rsidRPr="004F1730">
        <w:rPr>
          <w:noProof/>
        </w:rPr>
        <w:t>“</w:t>
      </w:r>
      <w:r w:rsidR="00A0704D" w:rsidRPr="004F1730">
        <w:rPr>
          <w:noProof/>
        </w:rPr>
        <w:t>, Absätze 21 bis 23</w:t>
      </w:r>
      <w:r w:rsidR="004548FF" w:rsidRPr="004F1730">
        <w:rPr>
          <w:noProof/>
        </w:rPr>
        <w:t>)</w:t>
      </w:r>
      <w:r w:rsidRPr="004F1730">
        <w:rPr>
          <w:noProof/>
        </w:rPr>
        <w:t>.</w:t>
      </w:r>
    </w:p>
    <w:p w14:paraId="5C844AF1" w14:textId="77777777" w:rsidR="00461958" w:rsidRPr="004F1730" w:rsidRDefault="00461958" w:rsidP="00461958">
      <w:pPr>
        <w:rPr>
          <w:noProof/>
        </w:rPr>
      </w:pPr>
    </w:p>
    <w:p w14:paraId="5A3BEBD2" w14:textId="372DDA0F" w:rsidR="00461958" w:rsidRPr="004F1730" w:rsidRDefault="00461958" w:rsidP="00461958">
      <w:pPr>
        <w:keepLines/>
        <w:rPr>
          <w:noProof/>
        </w:rPr>
      </w:pPr>
      <w:r w:rsidRPr="004F1730">
        <w:rPr>
          <w:noProof/>
        </w:rPr>
        <w:fldChar w:fldCharType="begin"/>
      </w:r>
      <w:r w:rsidRPr="004F1730">
        <w:rPr>
          <w:noProof/>
        </w:rPr>
        <w:instrText xml:space="preserve"> AUTONUM  </w:instrText>
      </w:r>
      <w:r w:rsidRPr="004F1730">
        <w:rPr>
          <w:noProof/>
        </w:rPr>
        <w:fldChar w:fldCharType="end"/>
      </w:r>
      <w:r w:rsidRPr="004F1730">
        <w:rPr>
          <w:noProof/>
        </w:rPr>
        <w:tab/>
      </w:r>
      <w:r w:rsidR="00A0704D" w:rsidRPr="004F1730">
        <w:rPr>
          <w:noProof/>
        </w:rPr>
        <w:t>Der TC vereinbarte, da</w:t>
      </w:r>
      <w:r w:rsidR="00C36F8A" w:rsidRPr="004F1730">
        <w:rPr>
          <w:noProof/>
        </w:rPr>
        <w:t>ss</w:t>
      </w:r>
      <w:r w:rsidR="00A0704D" w:rsidRPr="004F1730">
        <w:rPr>
          <w:noProof/>
        </w:rPr>
        <w:t xml:space="preserve"> eine Anleitung zur </w:t>
      </w:r>
      <w:r w:rsidR="00CC76AE" w:rsidRPr="004F1730">
        <w:rPr>
          <w:noProof/>
        </w:rPr>
        <w:t>Umsetzung</w:t>
      </w:r>
      <w:r w:rsidR="00A0704D" w:rsidRPr="004F1730">
        <w:rPr>
          <w:noProof/>
        </w:rPr>
        <w:t xml:space="preserve"> von </w:t>
      </w:r>
      <w:r w:rsidR="008A6C13" w:rsidRPr="004F1730">
        <w:rPr>
          <w:noProof/>
        </w:rPr>
        <w:t>Erfassung</w:t>
      </w:r>
      <w:r w:rsidR="00A0704D" w:rsidRPr="004F1730">
        <w:rPr>
          <w:noProof/>
        </w:rPr>
        <w:t>en in Noten für neue Verbandsmitglieder und die internationale Harmonisierung von Vorteil wäre. Der TC vereinbarte, da</w:t>
      </w:r>
      <w:r w:rsidR="008A6C13" w:rsidRPr="004F1730">
        <w:rPr>
          <w:noProof/>
        </w:rPr>
        <w:t>ss</w:t>
      </w:r>
      <w:r w:rsidR="00A0704D" w:rsidRPr="004F1730">
        <w:rPr>
          <w:noProof/>
        </w:rPr>
        <w:t xml:space="preserve"> weitere Informationen erforderlich seien, um die komplexen Umstände zu erläutern, die die Wahl de</w:t>
      </w:r>
      <w:r w:rsidR="001F0057" w:rsidRPr="004F1730">
        <w:rPr>
          <w:noProof/>
        </w:rPr>
        <w:t>s</w:t>
      </w:r>
      <w:r w:rsidR="00A0704D" w:rsidRPr="004F1730">
        <w:rPr>
          <w:noProof/>
        </w:rPr>
        <w:t xml:space="preserve"> </w:t>
      </w:r>
      <w:r w:rsidR="001F0057" w:rsidRPr="004F1730">
        <w:rPr>
          <w:noProof/>
        </w:rPr>
        <w:t>Verfahrens</w:t>
      </w:r>
      <w:r w:rsidR="00B54E28" w:rsidRPr="004F1730">
        <w:rPr>
          <w:noProof/>
        </w:rPr>
        <w:t>,</w:t>
      </w:r>
      <w:r w:rsidR="00A0704D" w:rsidRPr="004F1730">
        <w:rPr>
          <w:noProof/>
        </w:rPr>
        <w:t xml:space="preserve"> </w:t>
      </w:r>
      <w:r w:rsidR="00915149" w:rsidRPr="004F1730">
        <w:rPr>
          <w:noProof/>
        </w:rPr>
        <w:t>das</w:t>
      </w:r>
      <w:r w:rsidR="00A0704D" w:rsidRPr="004F1730">
        <w:rPr>
          <w:noProof/>
        </w:rPr>
        <w:t xml:space="preserve"> </w:t>
      </w:r>
      <w:r w:rsidR="00096E6F" w:rsidRPr="004F1730">
        <w:rPr>
          <w:noProof/>
        </w:rPr>
        <w:t>zur</w:t>
      </w:r>
      <w:r w:rsidR="00A0704D" w:rsidRPr="004F1730">
        <w:rPr>
          <w:noProof/>
        </w:rPr>
        <w:t xml:space="preserve"> </w:t>
      </w:r>
      <w:r w:rsidR="00C56CA5" w:rsidRPr="004F1730">
        <w:rPr>
          <w:noProof/>
        </w:rPr>
        <w:t xml:space="preserve">Umsetzung </w:t>
      </w:r>
      <w:r w:rsidR="00A0704D" w:rsidRPr="004F1730">
        <w:rPr>
          <w:noProof/>
        </w:rPr>
        <w:t xml:space="preserve">von </w:t>
      </w:r>
      <w:r w:rsidR="008A6C13" w:rsidRPr="004F1730">
        <w:rPr>
          <w:noProof/>
        </w:rPr>
        <w:t>Erfassung</w:t>
      </w:r>
      <w:r w:rsidR="00A0704D" w:rsidRPr="004F1730">
        <w:rPr>
          <w:noProof/>
        </w:rPr>
        <w:t xml:space="preserve">en in Noten </w:t>
      </w:r>
      <w:r w:rsidR="00633256" w:rsidRPr="004F1730">
        <w:rPr>
          <w:noProof/>
        </w:rPr>
        <w:t xml:space="preserve">verwendet werden soll, </w:t>
      </w:r>
      <w:r w:rsidR="00A0704D" w:rsidRPr="004F1730">
        <w:rPr>
          <w:noProof/>
        </w:rPr>
        <w:t>beeinflussen</w:t>
      </w:r>
      <w:r w:rsidRPr="004F1730">
        <w:rPr>
          <w:noProof/>
        </w:rPr>
        <w:t>.</w:t>
      </w:r>
      <w:r w:rsidR="00F46749">
        <w:rPr>
          <w:noProof/>
        </w:rPr>
        <w:t xml:space="preserve"> </w:t>
      </w:r>
    </w:p>
    <w:p w14:paraId="47D2C330" w14:textId="77777777" w:rsidR="00461958" w:rsidRPr="004F1730" w:rsidRDefault="00461958" w:rsidP="00461958">
      <w:pPr>
        <w:rPr>
          <w:noProof/>
        </w:rPr>
      </w:pPr>
    </w:p>
    <w:p w14:paraId="7B96D17D" w14:textId="7C28B67F" w:rsidR="00461958" w:rsidRPr="00D609E7" w:rsidRDefault="00461958" w:rsidP="00461958">
      <w:pPr>
        <w:rPr>
          <w:noProof/>
        </w:rPr>
      </w:pPr>
      <w:r w:rsidRPr="004F1730">
        <w:rPr>
          <w:noProof/>
        </w:rPr>
        <w:fldChar w:fldCharType="begin"/>
      </w:r>
      <w:r w:rsidRPr="004F1730">
        <w:rPr>
          <w:noProof/>
        </w:rPr>
        <w:instrText xml:space="preserve"> AUTONUM  </w:instrText>
      </w:r>
      <w:r w:rsidRPr="004F1730">
        <w:rPr>
          <w:noProof/>
        </w:rPr>
        <w:fldChar w:fldCharType="end"/>
      </w:r>
      <w:r w:rsidRPr="004F1730">
        <w:rPr>
          <w:noProof/>
        </w:rPr>
        <w:tab/>
      </w:r>
      <w:r w:rsidR="00A0704D" w:rsidRPr="004F1730">
        <w:rPr>
          <w:noProof/>
        </w:rPr>
        <w:t xml:space="preserve">Der TC vereinbarte, den TC-Vorsitzenden </w:t>
      </w:r>
      <w:r w:rsidR="00B42D68" w:rsidRPr="004F1730">
        <w:rPr>
          <w:noProof/>
        </w:rPr>
        <w:t xml:space="preserve">zu ersuchen, zusammen mit dem </w:t>
      </w:r>
      <w:r w:rsidR="00A0704D" w:rsidRPr="004F1730">
        <w:rPr>
          <w:noProof/>
        </w:rPr>
        <w:t xml:space="preserve">Verbandsbüro Vorschläge für die nächsten Schritte zur </w:t>
      </w:r>
      <w:r w:rsidR="00A957D2" w:rsidRPr="004F1730">
        <w:rPr>
          <w:noProof/>
        </w:rPr>
        <w:t>Erstellung</w:t>
      </w:r>
      <w:r w:rsidR="00A0704D" w:rsidRPr="004F1730">
        <w:rPr>
          <w:noProof/>
        </w:rPr>
        <w:t xml:space="preserve"> einer Anleitung </w:t>
      </w:r>
      <w:r w:rsidR="00B42D68" w:rsidRPr="004F1730">
        <w:rPr>
          <w:noProof/>
        </w:rPr>
        <w:t>zu erarbeiten</w:t>
      </w:r>
      <w:r w:rsidR="00A0704D" w:rsidRPr="004F1730">
        <w:rPr>
          <w:noProof/>
        </w:rPr>
        <w:t>, die den TWP und dem TC auf ihren Tagungen im Jahr 2021 vorgelegt werden sollen</w:t>
      </w:r>
      <w:r w:rsidRPr="004F1730">
        <w:rPr>
          <w:noProof/>
        </w:rPr>
        <w:t>.</w:t>
      </w:r>
      <w:r w:rsidR="00F46749">
        <w:rPr>
          <w:noProof/>
        </w:rPr>
        <w:t xml:space="preserve"> </w:t>
      </w:r>
    </w:p>
    <w:p w14:paraId="63EFAC6F" w14:textId="77777777" w:rsidR="00461958" w:rsidRPr="00D609E7" w:rsidRDefault="00461958" w:rsidP="003E4FF7">
      <w:pPr>
        <w:rPr>
          <w:noProof/>
          <w:snapToGrid w:val="0"/>
        </w:rPr>
      </w:pPr>
    </w:p>
    <w:p w14:paraId="7CB6FA42" w14:textId="1B6B263E" w:rsidR="003E4FF7" w:rsidRPr="00D609E7" w:rsidRDefault="003E4FF7" w:rsidP="003E4FF7">
      <w:pPr>
        <w:rPr>
          <w:noProof/>
        </w:rPr>
      </w:pPr>
      <w:r w:rsidRPr="00D609E7">
        <w:rPr>
          <w:noProof/>
          <w:snapToGrid w:val="0"/>
        </w:rPr>
        <w:fldChar w:fldCharType="begin"/>
      </w:r>
      <w:r w:rsidRPr="00D609E7">
        <w:rPr>
          <w:noProof/>
          <w:snapToGrid w:val="0"/>
        </w:rPr>
        <w:instrText xml:space="preserve"> AUTONUM  </w:instrText>
      </w:r>
      <w:r w:rsidRPr="00D609E7">
        <w:rPr>
          <w:noProof/>
          <w:snapToGrid w:val="0"/>
        </w:rPr>
        <w:fldChar w:fldCharType="end"/>
      </w:r>
      <w:r w:rsidRPr="00D609E7">
        <w:rPr>
          <w:noProof/>
          <w:snapToGrid w:val="0"/>
        </w:rPr>
        <w:tab/>
      </w:r>
      <w:r w:rsidR="00A0704D" w:rsidRPr="00A0704D">
        <w:rPr>
          <w:noProof/>
          <w:snapToGrid w:val="0"/>
        </w:rPr>
        <w:t xml:space="preserve">Weitere Entwicklungen vor </w:t>
      </w:r>
      <w:r w:rsidR="00C14AD3">
        <w:rPr>
          <w:noProof/>
          <w:snapToGrid w:val="0"/>
        </w:rPr>
        <w:t xml:space="preserve">dem Jahr </w:t>
      </w:r>
      <w:r w:rsidR="00A0704D" w:rsidRPr="00A0704D">
        <w:rPr>
          <w:noProof/>
          <w:snapToGrid w:val="0"/>
        </w:rPr>
        <w:t xml:space="preserve">2020 </w:t>
      </w:r>
      <w:r w:rsidR="00A32902">
        <w:rPr>
          <w:noProof/>
          <w:snapToGrid w:val="0"/>
        </w:rPr>
        <w:t>sind</w:t>
      </w:r>
      <w:r w:rsidR="00A32902" w:rsidRPr="00A0704D">
        <w:rPr>
          <w:noProof/>
          <w:snapToGrid w:val="0"/>
        </w:rPr>
        <w:t xml:space="preserve"> </w:t>
      </w:r>
      <w:r w:rsidR="00A0704D" w:rsidRPr="00A0704D">
        <w:rPr>
          <w:noProof/>
          <w:snapToGrid w:val="0"/>
        </w:rPr>
        <w:t xml:space="preserve">in Dokument TC/56/5 </w:t>
      </w:r>
      <w:r w:rsidR="00C14AD3">
        <w:rPr>
          <w:noProof/>
          <w:snapToGrid w:val="0"/>
        </w:rPr>
        <w:t>„</w:t>
      </w:r>
      <w:r w:rsidR="00A0704D" w:rsidRPr="00A0704D">
        <w:rPr>
          <w:noProof/>
          <w:snapToGrid w:val="0"/>
        </w:rPr>
        <w:t xml:space="preserve">Datenverarbeitung </w:t>
      </w:r>
      <w:r w:rsidR="00076D48">
        <w:rPr>
          <w:noProof/>
          <w:snapToGrid w:val="0"/>
        </w:rPr>
        <w:t>zur</w:t>
      </w:r>
      <w:r w:rsidR="00A0704D" w:rsidRPr="00A0704D">
        <w:rPr>
          <w:noProof/>
          <w:snapToGrid w:val="0"/>
        </w:rPr>
        <w:t xml:space="preserve"> </w:t>
      </w:r>
      <w:r w:rsidR="00CD11DA">
        <w:rPr>
          <w:noProof/>
          <w:snapToGrid w:val="0"/>
        </w:rPr>
        <w:t>Erstellung von Sortenbeschreibungen</w:t>
      </w:r>
      <w:r w:rsidR="00A0704D" w:rsidRPr="00A0704D">
        <w:rPr>
          <w:noProof/>
          <w:snapToGrid w:val="0"/>
        </w:rPr>
        <w:t xml:space="preserve"> für gemessene quantitative Merkmale</w:t>
      </w:r>
      <w:r w:rsidR="00C14AD3">
        <w:rPr>
          <w:noProof/>
          <w:snapToGrid w:val="0"/>
        </w:rPr>
        <w:t>“</w:t>
      </w:r>
      <w:r w:rsidR="00A0704D" w:rsidRPr="00A0704D">
        <w:rPr>
          <w:noProof/>
          <w:snapToGrid w:val="0"/>
        </w:rPr>
        <w:t xml:space="preserve"> </w:t>
      </w:r>
      <w:r w:rsidR="00F94BE1">
        <w:rPr>
          <w:noProof/>
          <w:snapToGrid w:val="0"/>
        </w:rPr>
        <w:t>dargelegt</w:t>
      </w:r>
      <w:r w:rsidR="00A0704D" w:rsidRPr="00A0704D">
        <w:rPr>
          <w:noProof/>
          <w:snapToGrid w:val="0"/>
        </w:rPr>
        <w:t>.</w:t>
      </w:r>
    </w:p>
    <w:p w14:paraId="79527DAC" w14:textId="77777777" w:rsidR="003E4FF7" w:rsidRPr="00D609E7" w:rsidRDefault="003E4FF7" w:rsidP="003E4FF7">
      <w:pPr>
        <w:rPr>
          <w:noProof/>
        </w:rPr>
      </w:pPr>
    </w:p>
    <w:p w14:paraId="6CAC1768" w14:textId="66084CCA" w:rsidR="003E4FF7" w:rsidRPr="00D609E7" w:rsidRDefault="00D04F8F" w:rsidP="00E20D19">
      <w:pPr>
        <w:pStyle w:val="Heading1"/>
        <w:rPr>
          <w:noProof/>
          <w:lang w:val="de-DE"/>
        </w:rPr>
      </w:pPr>
      <w:bookmarkStart w:id="6" w:name="_Toc83116760"/>
      <w:r w:rsidRPr="00D04F8F">
        <w:rPr>
          <w:noProof/>
          <w:lang w:val="de-DE"/>
        </w:rPr>
        <w:t xml:space="preserve">VORSCHLAG, DER VOM VORSITZENDEN DES </w:t>
      </w:r>
      <w:r w:rsidR="00455C24">
        <w:rPr>
          <w:noProof/>
          <w:lang w:val="de-DE"/>
        </w:rPr>
        <w:t xml:space="preserve">TECHNISCHEN </w:t>
      </w:r>
      <w:r w:rsidR="00455C24" w:rsidRPr="00D04F8F">
        <w:rPr>
          <w:noProof/>
          <w:lang w:val="de-DE"/>
        </w:rPr>
        <w:t xml:space="preserve">AUSSCHUSSES </w:t>
      </w:r>
      <w:r w:rsidRPr="00D04F8F">
        <w:rPr>
          <w:noProof/>
          <w:lang w:val="de-DE"/>
        </w:rPr>
        <w:t xml:space="preserve">ZUSAMMEN MIT DEM </w:t>
      </w:r>
      <w:r w:rsidR="00212298">
        <w:rPr>
          <w:noProof/>
          <w:lang w:val="de-DE"/>
        </w:rPr>
        <w:t>VERBAND</w:t>
      </w:r>
      <w:r w:rsidRPr="00D04F8F">
        <w:rPr>
          <w:noProof/>
          <w:lang w:val="de-DE"/>
        </w:rPr>
        <w:t xml:space="preserve">SBÜRO </w:t>
      </w:r>
      <w:r w:rsidR="00C2315A">
        <w:rPr>
          <w:noProof/>
          <w:lang w:val="de-DE"/>
        </w:rPr>
        <w:t>ERA</w:t>
      </w:r>
      <w:r w:rsidRPr="00D04F8F">
        <w:rPr>
          <w:noProof/>
          <w:lang w:val="de-DE"/>
        </w:rPr>
        <w:t>RBEITET WURDE</w:t>
      </w:r>
      <w:bookmarkEnd w:id="6"/>
      <w:r w:rsidR="004665AA" w:rsidRPr="00D609E7">
        <w:rPr>
          <w:noProof/>
          <w:lang w:val="de-DE"/>
        </w:rPr>
        <w:t xml:space="preserve"> </w:t>
      </w:r>
    </w:p>
    <w:p w14:paraId="210AEE97" w14:textId="77777777" w:rsidR="003E4FF7" w:rsidRPr="00D609E7" w:rsidRDefault="003E4FF7" w:rsidP="003E4FF7">
      <w:pPr>
        <w:rPr>
          <w:noProof/>
        </w:rPr>
      </w:pPr>
    </w:p>
    <w:p w14:paraId="3B6FC96F" w14:textId="331AC018" w:rsidR="003E4FF7" w:rsidRPr="00D609E7" w:rsidRDefault="003E4FF7" w:rsidP="003E4FF7">
      <w:pPr>
        <w:rPr>
          <w:rFonts w:cs="Arial"/>
          <w:noProof/>
        </w:rPr>
      </w:pPr>
      <w:r w:rsidRPr="00D609E7">
        <w:rPr>
          <w:noProof/>
        </w:rPr>
        <w:fldChar w:fldCharType="begin"/>
      </w:r>
      <w:r w:rsidRPr="00D609E7">
        <w:rPr>
          <w:noProof/>
        </w:rPr>
        <w:instrText xml:space="preserve"> AUTONUM  </w:instrText>
      </w:r>
      <w:r w:rsidRPr="00D609E7">
        <w:rPr>
          <w:noProof/>
        </w:rPr>
        <w:fldChar w:fldCharType="end"/>
      </w:r>
      <w:r w:rsidRPr="00D609E7">
        <w:rPr>
          <w:noProof/>
        </w:rPr>
        <w:tab/>
      </w:r>
      <w:r w:rsidR="008E2F0B">
        <w:rPr>
          <w:noProof/>
        </w:rPr>
        <w:t>Im Hinblick auf das</w:t>
      </w:r>
      <w:r w:rsidR="00C66F74" w:rsidRPr="00C66F74">
        <w:rPr>
          <w:noProof/>
        </w:rPr>
        <w:t xml:space="preserve"> Ersuchen des TC auf seiner achtundvierzigsten Tagung, die </w:t>
      </w:r>
      <w:r w:rsidR="00C12741">
        <w:rPr>
          <w:noProof/>
        </w:rPr>
        <w:t>Erstellung</w:t>
      </w:r>
      <w:r w:rsidR="00C66F74" w:rsidRPr="00C66F74">
        <w:rPr>
          <w:noProof/>
        </w:rPr>
        <w:t xml:space="preserve"> einer gemeinsamen Anleitung zur Datenverarbeitung für die Prüfung der Unterscheidbarkeit und die </w:t>
      </w:r>
      <w:r w:rsidR="00CD11DA">
        <w:rPr>
          <w:noProof/>
        </w:rPr>
        <w:t>Erstellung von Sortenbeschreibungen</w:t>
      </w:r>
      <w:r w:rsidR="00C66F74" w:rsidRPr="00C66F74">
        <w:rPr>
          <w:noProof/>
        </w:rPr>
        <w:t xml:space="preserve"> zu prüfen, wird daran erinnert, da</w:t>
      </w:r>
      <w:r w:rsidR="007B4099">
        <w:rPr>
          <w:noProof/>
        </w:rPr>
        <w:t>ss</w:t>
      </w:r>
      <w:r w:rsidR="00C66F74" w:rsidRPr="00C66F74">
        <w:rPr>
          <w:noProof/>
        </w:rPr>
        <w:t xml:space="preserve"> der TC den </w:t>
      </w:r>
      <w:r w:rsidR="00C66F74" w:rsidRPr="007D64D9">
        <w:rPr>
          <w:noProof/>
        </w:rPr>
        <w:t>Schlu</w:t>
      </w:r>
      <w:r w:rsidR="00B24767" w:rsidRPr="007D64D9">
        <w:rPr>
          <w:noProof/>
        </w:rPr>
        <w:t>ss</w:t>
      </w:r>
      <w:r w:rsidR="00C66F74" w:rsidRPr="007D64D9">
        <w:rPr>
          <w:noProof/>
        </w:rPr>
        <w:t xml:space="preserve"> zog</w:t>
      </w:r>
      <w:r w:rsidR="00C66F74" w:rsidRPr="00C66F74">
        <w:rPr>
          <w:noProof/>
        </w:rPr>
        <w:t>, da</w:t>
      </w:r>
      <w:r w:rsidR="00B24767">
        <w:rPr>
          <w:noProof/>
        </w:rPr>
        <w:t>ss</w:t>
      </w:r>
      <w:r w:rsidR="00C66F74" w:rsidRPr="00C66F74">
        <w:rPr>
          <w:noProof/>
        </w:rPr>
        <w:t xml:space="preserve"> die </w:t>
      </w:r>
      <w:r w:rsidR="003A17A1" w:rsidRPr="00C66F74">
        <w:rPr>
          <w:noProof/>
        </w:rPr>
        <w:t>Informationen</w:t>
      </w:r>
      <w:r w:rsidR="003A17A1">
        <w:rPr>
          <w:noProof/>
        </w:rPr>
        <w:t>, wie</w:t>
      </w:r>
      <w:r w:rsidR="003A17A1" w:rsidRPr="00C66F74">
        <w:rPr>
          <w:noProof/>
        </w:rPr>
        <w:t xml:space="preserve"> </w:t>
      </w:r>
      <w:r w:rsidR="00C66F74" w:rsidRPr="00C66F74">
        <w:rPr>
          <w:noProof/>
        </w:rPr>
        <w:t>in Anlage VIII des Dokuments TC/48/19 Rev. dargelegt</w:t>
      </w:r>
      <w:r w:rsidR="007D64D9">
        <w:rPr>
          <w:noProof/>
        </w:rPr>
        <w:t>,</w:t>
      </w:r>
      <w:r w:rsidR="00C66F74" w:rsidRPr="00C66F74">
        <w:rPr>
          <w:noProof/>
        </w:rPr>
        <w:t xml:space="preserve"> für die Aufnahme in Dokument TGP/8 nicht geeignet seien, und vereinbarte, da</w:t>
      </w:r>
      <w:r w:rsidR="00E5047E">
        <w:rPr>
          <w:noProof/>
        </w:rPr>
        <w:t>ss</w:t>
      </w:r>
      <w:r w:rsidR="00C66F74" w:rsidRPr="00C66F74">
        <w:rPr>
          <w:noProof/>
        </w:rPr>
        <w:t xml:space="preserve"> die detaillierten Informationen </w:t>
      </w:r>
      <w:r w:rsidR="002C70AA">
        <w:rPr>
          <w:noProof/>
        </w:rPr>
        <w:t xml:space="preserve">zu </w:t>
      </w:r>
      <w:r w:rsidR="0008643C">
        <w:rPr>
          <w:noProof/>
        </w:rPr>
        <w:t>den</w:t>
      </w:r>
      <w:r w:rsidR="00C66F74" w:rsidRPr="00C66F74">
        <w:rPr>
          <w:noProof/>
        </w:rPr>
        <w:t xml:space="preserve"> Verfahren über die UPOV-Website mit </w:t>
      </w:r>
      <w:r w:rsidR="00006382">
        <w:rPr>
          <w:noProof/>
        </w:rPr>
        <w:t>entsprechenden Querverweisen</w:t>
      </w:r>
      <w:r w:rsidR="00C66F74" w:rsidRPr="00C66F74">
        <w:rPr>
          <w:noProof/>
        </w:rPr>
        <w:t xml:space="preserve"> in Dokument TGP/8 </w:t>
      </w:r>
      <w:r w:rsidR="00404D73">
        <w:rPr>
          <w:noProof/>
        </w:rPr>
        <w:t>ver</w:t>
      </w:r>
      <w:r w:rsidR="00490205">
        <w:rPr>
          <w:noProof/>
        </w:rPr>
        <w:t>fügbar gemacht werden sollen</w:t>
      </w:r>
      <w:r w:rsidR="00C66F74" w:rsidRPr="00C66F74">
        <w:rPr>
          <w:noProof/>
        </w:rPr>
        <w:t xml:space="preserve"> (vergleiche Dokument TC/48/22 </w:t>
      </w:r>
      <w:r w:rsidR="00E5047E">
        <w:rPr>
          <w:noProof/>
        </w:rPr>
        <w:t>„</w:t>
      </w:r>
      <w:r w:rsidR="00C66F74" w:rsidRPr="00C66F74">
        <w:rPr>
          <w:noProof/>
        </w:rPr>
        <w:t>Bericht über die Entschließungen</w:t>
      </w:r>
      <w:r w:rsidR="00E5047E">
        <w:rPr>
          <w:noProof/>
        </w:rPr>
        <w:t>“</w:t>
      </w:r>
      <w:r w:rsidR="00C66F74" w:rsidRPr="00C66F74">
        <w:rPr>
          <w:noProof/>
        </w:rPr>
        <w:t xml:space="preserve"> Absatz 52)</w:t>
      </w:r>
      <w:r w:rsidRPr="00D609E7">
        <w:rPr>
          <w:rFonts w:cs="Arial"/>
          <w:noProof/>
        </w:rPr>
        <w:t>.</w:t>
      </w:r>
    </w:p>
    <w:p w14:paraId="4A8F721A" w14:textId="77777777" w:rsidR="003E4FF7" w:rsidRPr="00D609E7" w:rsidRDefault="003E4FF7" w:rsidP="003E4FF7">
      <w:pPr>
        <w:rPr>
          <w:noProof/>
        </w:rPr>
      </w:pPr>
    </w:p>
    <w:p w14:paraId="7C1933EC" w14:textId="1F8D46B9" w:rsidR="003E4FF7" w:rsidRPr="00D609E7" w:rsidRDefault="003E4FF7" w:rsidP="003E4FF7">
      <w:pPr>
        <w:rPr>
          <w:noProof/>
        </w:rPr>
      </w:pPr>
      <w:r w:rsidRPr="00D609E7">
        <w:rPr>
          <w:noProof/>
        </w:rPr>
        <w:fldChar w:fldCharType="begin"/>
      </w:r>
      <w:r w:rsidRPr="00D609E7">
        <w:rPr>
          <w:noProof/>
        </w:rPr>
        <w:instrText xml:space="preserve"> AUTONUM  </w:instrText>
      </w:r>
      <w:r w:rsidRPr="00D609E7">
        <w:rPr>
          <w:noProof/>
        </w:rPr>
        <w:fldChar w:fldCharType="end"/>
      </w:r>
      <w:r w:rsidRPr="00D609E7">
        <w:rPr>
          <w:noProof/>
        </w:rPr>
        <w:tab/>
      </w:r>
      <w:r w:rsidR="00C66F74" w:rsidRPr="00C66F74">
        <w:rPr>
          <w:noProof/>
        </w:rPr>
        <w:t xml:space="preserve">Gemäß der Vereinbarung des TC auf seiner zweiundfünfzigsten Tagung wird vorgeschlagen, </w:t>
      </w:r>
      <w:r w:rsidR="002A65B4">
        <w:rPr>
          <w:noProof/>
        </w:rPr>
        <w:t>dass</w:t>
      </w:r>
      <w:r w:rsidR="00C66F74" w:rsidRPr="00C66F74">
        <w:rPr>
          <w:noProof/>
        </w:rPr>
        <w:t xml:space="preserve"> die Anleitung zu </w:t>
      </w:r>
      <w:r w:rsidR="002A65B4">
        <w:rPr>
          <w:noProof/>
        </w:rPr>
        <w:t>„</w:t>
      </w:r>
      <w:r w:rsidR="00C66F74" w:rsidRPr="00C66F74">
        <w:rPr>
          <w:noProof/>
        </w:rPr>
        <w:t>Verschiedene Formen, die Sortenbeschreibungen annehmen könnten, und die Bedeutung der Skalenniveaus</w:t>
      </w:r>
      <w:r w:rsidR="002A65B4">
        <w:rPr>
          <w:noProof/>
        </w:rPr>
        <w:t>“</w:t>
      </w:r>
      <w:r w:rsidR="00C66F74" w:rsidRPr="00C66F74">
        <w:rPr>
          <w:noProof/>
        </w:rPr>
        <w:t xml:space="preserve"> in Dokument TGP/8 Teil I </w:t>
      </w:r>
      <w:r w:rsidR="008472E8">
        <w:rPr>
          <w:noProof/>
        </w:rPr>
        <w:t>„</w:t>
      </w:r>
      <w:r w:rsidR="00C66F74" w:rsidRPr="00C66F74">
        <w:rPr>
          <w:noProof/>
        </w:rPr>
        <w:t>DUS-Prüfung</w:t>
      </w:r>
      <w:r w:rsidR="00EE1306">
        <w:rPr>
          <w:noProof/>
        </w:rPr>
        <w:t>sanlage</w:t>
      </w:r>
      <w:r w:rsidR="00C66F74" w:rsidRPr="00C66F74">
        <w:rPr>
          <w:noProof/>
        </w:rPr>
        <w:t xml:space="preserve"> und Datenanalyse</w:t>
      </w:r>
      <w:r w:rsidR="008472E8">
        <w:rPr>
          <w:noProof/>
        </w:rPr>
        <w:t>“</w:t>
      </w:r>
      <w:r w:rsidR="00C66F74" w:rsidRPr="00C66F74">
        <w:rPr>
          <w:noProof/>
        </w:rPr>
        <w:t xml:space="preserve"> Abschnitt 2 </w:t>
      </w:r>
      <w:r w:rsidR="00EE1306">
        <w:rPr>
          <w:noProof/>
        </w:rPr>
        <w:t>„</w:t>
      </w:r>
      <w:r w:rsidR="00780FAD">
        <w:rPr>
          <w:noProof/>
        </w:rPr>
        <w:t>Zu </w:t>
      </w:r>
      <w:r w:rsidR="00C66F74" w:rsidRPr="00C66F74">
        <w:rPr>
          <w:noProof/>
        </w:rPr>
        <w:t>erfassende Daten</w:t>
      </w:r>
      <w:r w:rsidR="00EE1306">
        <w:rPr>
          <w:noProof/>
        </w:rPr>
        <w:t>“</w:t>
      </w:r>
      <w:r w:rsidR="00C66F74" w:rsidRPr="00C66F74">
        <w:rPr>
          <w:noProof/>
        </w:rPr>
        <w:t xml:space="preserve"> als neuer Abschnitt 2.5 aufgenommen wird (vergleiche Anlage dieses Dokuments)</w:t>
      </w:r>
      <w:r w:rsidRPr="00D609E7">
        <w:rPr>
          <w:noProof/>
        </w:rPr>
        <w:t>.</w:t>
      </w:r>
    </w:p>
    <w:p w14:paraId="6DE9D4D3" w14:textId="77777777" w:rsidR="003E4FF7" w:rsidRPr="00D609E7" w:rsidRDefault="003E4FF7" w:rsidP="003E4FF7">
      <w:pPr>
        <w:rPr>
          <w:noProof/>
        </w:rPr>
      </w:pPr>
    </w:p>
    <w:p w14:paraId="3E9698AA" w14:textId="7F1EFCC2" w:rsidR="003E4FF7" w:rsidRPr="00D609E7" w:rsidRDefault="003E4FF7" w:rsidP="003E4FF7">
      <w:pPr>
        <w:rPr>
          <w:rFonts w:cs="Arial"/>
          <w:noProof/>
        </w:rPr>
      </w:pPr>
      <w:r w:rsidRPr="00D609E7">
        <w:rPr>
          <w:noProof/>
        </w:rPr>
        <w:fldChar w:fldCharType="begin"/>
      </w:r>
      <w:r w:rsidRPr="00D609E7">
        <w:rPr>
          <w:noProof/>
        </w:rPr>
        <w:instrText xml:space="preserve"> AUTONUM  </w:instrText>
      </w:r>
      <w:r w:rsidRPr="00D609E7">
        <w:rPr>
          <w:noProof/>
        </w:rPr>
        <w:fldChar w:fldCharType="end"/>
      </w:r>
      <w:r w:rsidRPr="00D609E7">
        <w:rPr>
          <w:noProof/>
        </w:rPr>
        <w:tab/>
      </w:r>
      <w:r w:rsidR="00557908">
        <w:rPr>
          <w:noProof/>
        </w:rPr>
        <w:t>Im Hinblick auf die</w:t>
      </w:r>
      <w:r w:rsidR="00C66F74" w:rsidRPr="00C66F74">
        <w:rPr>
          <w:noProof/>
        </w:rPr>
        <w:t xml:space="preserve"> Erteilung von Informationen </w:t>
      </w:r>
      <w:r w:rsidR="00C66F74" w:rsidRPr="00EB4CC7">
        <w:rPr>
          <w:noProof/>
        </w:rPr>
        <w:t xml:space="preserve">über Verfahren </w:t>
      </w:r>
      <w:r w:rsidR="00EB4CC7" w:rsidRPr="00EB4CC7">
        <w:rPr>
          <w:noProof/>
        </w:rPr>
        <w:t>für die</w:t>
      </w:r>
      <w:r w:rsidR="00C66F74" w:rsidRPr="00EB4CC7">
        <w:rPr>
          <w:noProof/>
        </w:rPr>
        <w:t xml:space="preserve"> Datenverarbeitung</w:t>
      </w:r>
      <w:r w:rsidR="00C66F74" w:rsidRPr="00C66F74">
        <w:rPr>
          <w:noProof/>
        </w:rPr>
        <w:t xml:space="preserve"> für die Prüfung der Unterscheidbarkeit und zur </w:t>
      </w:r>
      <w:r w:rsidR="00CD11DA">
        <w:rPr>
          <w:noProof/>
        </w:rPr>
        <w:t>Erstellung von Sortenbeschreibungen</w:t>
      </w:r>
      <w:r w:rsidR="00C66F74" w:rsidRPr="00C66F74">
        <w:rPr>
          <w:noProof/>
        </w:rPr>
        <w:t xml:space="preserve"> wird daran erinnert, </w:t>
      </w:r>
      <w:r w:rsidR="002A65B4">
        <w:rPr>
          <w:noProof/>
        </w:rPr>
        <w:t>dass</w:t>
      </w:r>
      <w:r w:rsidR="00C66F74" w:rsidRPr="00C66F74">
        <w:rPr>
          <w:noProof/>
        </w:rPr>
        <w:t xml:space="preserve"> die UPOV folgende Dokumente erstellt hat, um Verfahren über die UPOV-Website verfügbar zu machen</w:t>
      </w:r>
      <w:r w:rsidRPr="00D609E7">
        <w:rPr>
          <w:rFonts w:cs="Arial"/>
          <w:noProof/>
        </w:rPr>
        <w:t>:</w:t>
      </w:r>
    </w:p>
    <w:p w14:paraId="326B8EE5" w14:textId="77777777" w:rsidR="003E4FF7" w:rsidRPr="00D609E7" w:rsidRDefault="003E4FF7" w:rsidP="003E4FF7">
      <w:pPr>
        <w:rPr>
          <w:rFonts w:cs="Arial"/>
          <w:noProof/>
        </w:rPr>
      </w:pPr>
    </w:p>
    <w:p w14:paraId="6355B890" w14:textId="3034DFC8" w:rsidR="003E4FF7" w:rsidRPr="00D609E7" w:rsidRDefault="00056DC7" w:rsidP="003E4FF7">
      <w:pPr>
        <w:numPr>
          <w:ilvl w:val="0"/>
          <w:numId w:val="3"/>
        </w:numPr>
        <w:contextualSpacing/>
        <w:rPr>
          <w:noProof/>
        </w:rPr>
      </w:pPr>
      <w:r w:rsidRPr="00056DC7">
        <w:rPr>
          <w:rFonts w:cs="Arial"/>
          <w:noProof/>
        </w:rPr>
        <w:t xml:space="preserve">Dokument UPOV/INF/16 </w:t>
      </w:r>
      <w:r w:rsidR="002C1CDF">
        <w:rPr>
          <w:rFonts w:cs="Arial"/>
          <w:noProof/>
        </w:rPr>
        <w:t>„</w:t>
      </w:r>
      <w:r w:rsidRPr="00056DC7">
        <w:rPr>
          <w:rFonts w:cs="Arial"/>
          <w:noProof/>
        </w:rPr>
        <w:t>Austauschbare Software</w:t>
      </w:r>
      <w:r w:rsidR="002C1CDF">
        <w:rPr>
          <w:rFonts w:cs="Arial"/>
          <w:noProof/>
        </w:rPr>
        <w:t>“</w:t>
      </w:r>
    </w:p>
    <w:p w14:paraId="6A965031" w14:textId="50079935" w:rsidR="003E4FF7" w:rsidRPr="00D609E7" w:rsidRDefault="00056DC7" w:rsidP="003E4FF7">
      <w:pPr>
        <w:numPr>
          <w:ilvl w:val="0"/>
          <w:numId w:val="3"/>
        </w:numPr>
        <w:contextualSpacing/>
        <w:rPr>
          <w:noProof/>
        </w:rPr>
      </w:pPr>
      <w:r w:rsidRPr="00056DC7">
        <w:rPr>
          <w:rFonts w:cs="Arial"/>
          <w:noProof/>
        </w:rPr>
        <w:t xml:space="preserve">Dokument UPOV/INF/22 </w:t>
      </w:r>
      <w:r w:rsidR="002C1CDF">
        <w:rPr>
          <w:rFonts w:cs="Arial"/>
          <w:noProof/>
        </w:rPr>
        <w:t>„</w:t>
      </w:r>
      <w:r w:rsidRPr="00056DC7">
        <w:rPr>
          <w:rFonts w:cs="Arial"/>
          <w:noProof/>
        </w:rPr>
        <w:t>Von Verbandsmitgliedern verwendete Software und Ausrüstung</w:t>
      </w:r>
      <w:r w:rsidR="002C1CDF">
        <w:rPr>
          <w:rFonts w:cs="Arial"/>
          <w:noProof/>
        </w:rPr>
        <w:t>“</w:t>
      </w:r>
    </w:p>
    <w:p w14:paraId="238F4683" w14:textId="77777777" w:rsidR="003E4FF7" w:rsidRPr="00D609E7" w:rsidRDefault="003E4FF7" w:rsidP="003E4FF7">
      <w:pPr>
        <w:rPr>
          <w:noProof/>
        </w:rPr>
      </w:pPr>
    </w:p>
    <w:p w14:paraId="4A90D9D8" w14:textId="677B073D" w:rsidR="003E4FF7" w:rsidRPr="00D609E7" w:rsidRDefault="003E4FF7" w:rsidP="003E4FF7">
      <w:pPr>
        <w:rPr>
          <w:noProof/>
        </w:rPr>
      </w:pPr>
      <w:r w:rsidRPr="00D609E7">
        <w:rPr>
          <w:noProof/>
        </w:rPr>
        <w:fldChar w:fldCharType="begin"/>
      </w:r>
      <w:r w:rsidRPr="00D609E7">
        <w:rPr>
          <w:noProof/>
        </w:rPr>
        <w:instrText xml:space="preserve"> AUTONUM  </w:instrText>
      </w:r>
      <w:r w:rsidRPr="00D609E7">
        <w:rPr>
          <w:noProof/>
        </w:rPr>
        <w:fldChar w:fldCharType="end"/>
      </w:r>
      <w:r w:rsidRPr="00D609E7">
        <w:rPr>
          <w:noProof/>
        </w:rPr>
        <w:tab/>
      </w:r>
      <w:r w:rsidR="00E87070">
        <w:rPr>
          <w:noProof/>
        </w:rPr>
        <w:t>In Anbetracht dessen</w:t>
      </w:r>
      <w:r w:rsidR="00056DC7" w:rsidRPr="00056DC7">
        <w:rPr>
          <w:noProof/>
        </w:rPr>
        <w:t xml:space="preserve"> wird vorgeschlagen, die Verbandsmitglieder </w:t>
      </w:r>
      <w:r w:rsidR="00455C24">
        <w:rPr>
          <w:noProof/>
        </w:rPr>
        <w:t>zu ersuchen</w:t>
      </w:r>
      <w:r w:rsidR="00056DC7" w:rsidRPr="00056DC7">
        <w:rPr>
          <w:noProof/>
        </w:rPr>
        <w:t xml:space="preserve">, die Aufnahme von Software, die ihre </w:t>
      </w:r>
      <w:r w:rsidR="00A9111F">
        <w:rPr>
          <w:noProof/>
        </w:rPr>
        <w:t>Verfahren</w:t>
      </w:r>
      <w:r w:rsidR="00056DC7" w:rsidRPr="00056DC7">
        <w:rPr>
          <w:noProof/>
        </w:rPr>
        <w:t xml:space="preserve"> enthält, in Dokument UPOV/INF/16 bzw. Dokument UPOV/INF/22 vorzuschlagen, mit einem </w:t>
      </w:r>
      <w:r w:rsidR="001415B0">
        <w:rPr>
          <w:noProof/>
        </w:rPr>
        <w:t>entsprechenden Querverweis</w:t>
      </w:r>
      <w:r w:rsidR="00056DC7" w:rsidRPr="00056DC7">
        <w:rPr>
          <w:noProof/>
        </w:rPr>
        <w:t xml:space="preserve"> auf die Verfügbarkeit dieser </w:t>
      </w:r>
      <w:r w:rsidR="001415B0">
        <w:rPr>
          <w:noProof/>
        </w:rPr>
        <w:t>Verfahren</w:t>
      </w:r>
      <w:r w:rsidR="00056DC7" w:rsidRPr="00056DC7">
        <w:rPr>
          <w:noProof/>
        </w:rPr>
        <w:t xml:space="preserve"> in Dokument TGP/8 Teil I, neuer Abschnitt 2.5</w:t>
      </w:r>
      <w:r w:rsidRPr="00D609E7">
        <w:rPr>
          <w:noProof/>
        </w:rPr>
        <w:t>.</w:t>
      </w:r>
    </w:p>
    <w:p w14:paraId="32020D89" w14:textId="77777777" w:rsidR="000B7AA9" w:rsidRPr="00D609E7" w:rsidRDefault="000B7AA9" w:rsidP="000B7AA9">
      <w:pPr>
        <w:rPr>
          <w:noProof/>
        </w:rPr>
      </w:pPr>
    </w:p>
    <w:p w14:paraId="13CE00FC" w14:textId="77777777" w:rsidR="000B7AA9" w:rsidRPr="00D609E7" w:rsidRDefault="000B7AA9" w:rsidP="003E4FF7">
      <w:pPr>
        <w:rPr>
          <w:noProof/>
        </w:rPr>
      </w:pPr>
    </w:p>
    <w:p w14:paraId="61089092" w14:textId="19A5D4D3" w:rsidR="004665AA" w:rsidRPr="00D609E7" w:rsidRDefault="00056DC7" w:rsidP="00E20D19">
      <w:pPr>
        <w:pStyle w:val="Heading2"/>
        <w:rPr>
          <w:noProof/>
          <w:lang w:val="de-DE"/>
        </w:rPr>
      </w:pPr>
      <w:r w:rsidRPr="00056DC7">
        <w:rPr>
          <w:noProof/>
          <w:lang w:val="de-DE"/>
        </w:rPr>
        <w:t>Bemerkungen der Technischen Arbeitsgruppen zu dem Vorschlag</w:t>
      </w:r>
    </w:p>
    <w:p w14:paraId="209F26C1" w14:textId="77777777" w:rsidR="008A3EC3" w:rsidRPr="00D609E7" w:rsidRDefault="008A3EC3" w:rsidP="008A3EC3">
      <w:pPr>
        <w:keepNext/>
        <w:ind w:left="4820"/>
        <w:rPr>
          <w:noProof/>
        </w:rPr>
      </w:pPr>
    </w:p>
    <w:p w14:paraId="149E7B4E" w14:textId="6AD49275" w:rsidR="008A3EC3" w:rsidRPr="00D609E7" w:rsidRDefault="008A3EC3" w:rsidP="00D627F0">
      <w:pPr>
        <w:jc w:val="left"/>
        <w:rPr>
          <w:noProof/>
        </w:rPr>
      </w:pPr>
      <w:r w:rsidRPr="00D609E7">
        <w:rPr>
          <w:noProof/>
        </w:rPr>
        <w:fldChar w:fldCharType="begin"/>
      </w:r>
      <w:r w:rsidRPr="00D609E7">
        <w:rPr>
          <w:noProof/>
        </w:rPr>
        <w:instrText xml:space="preserve"> AUTONUM  </w:instrText>
      </w:r>
      <w:r w:rsidRPr="00D609E7">
        <w:rPr>
          <w:noProof/>
        </w:rPr>
        <w:fldChar w:fldCharType="end"/>
      </w:r>
      <w:r w:rsidRPr="00D609E7">
        <w:rPr>
          <w:noProof/>
        </w:rPr>
        <w:tab/>
      </w:r>
      <w:r w:rsidR="00056DC7" w:rsidRPr="00056DC7">
        <w:rPr>
          <w:noProof/>
        </w:rPr>
        <w:t>Die TWV</w:t>
      </w:r>
      <w:r w:rsidR="000B08DE" w:rsidRPr="00145CC3">
        <w:rPr>
          <w:vertAlign w:val="superscript"/>
        </w:rPr>
        <w:footnoteReference w:id="7"/>
      </w:r>
      <w:r w:rsidR="000B08DE" w:rsidRPr="00145CC3">
        <w:t>,</w:t>
      </w:r>
      <w:r w:rsidR="00056DC7" w:rsidRPr="00056DC7">
        <w:rPr>
          <w:noProof/>
        </w:rPr>
        <w:t xml:space="preserve"> die TWO</w:t>
      </w:r>
      <w:r w:rsidR="004A3DF5">
        <w:rPr>
          <w:vertAlign w:val="superscript"/>
        </w:rPr>
        <w:footnoteReference w:id="8"/>
      </w:r>
      <w:r w:rsidR="00056DC7" w:rsidRPr="00056DC7">
        <w:rPr>
          <w:noProof/>
        </w:rPr>
        <w:t>, die TWA</w:t>
      </w:r>
      <w:r w:rsidR="000615AA">
        <w:rPr>
          <w:vertAlign w:val="superscript"/>
        </w:rPr>
        <w:footnoteReference w:id="9"/>
      </w:r>
      <w:r w:rsidR="00056DC7" w:rsidRPr="00056DC7">
        <w:rPr>
          <w:noProof/>
        </w:rPr>
        <w:t xml:space="preserve"> und die TWF</w:t>
      </w:r>
      <w:r w:rsidR="00851929">
        <w:rPr>
          <w:vertAlign w:val="superscript"/>
        </w:rPr>
        <w:footnoteReference w:id="10"/>
      </w:r>
      <w:r w:rsidR="00056DC7" w:rsidRPr="00056DC7">
        <w:rPr>
          <w:noProof/>
        </w:rPr>
        <w:t xml:space="preserve"> prüften auf ihren Tagungen </w:t>
      </w:r>
      <w:r w:rsidR="00624105">
        <w:rPr>
          <w:noProof/>
        </w:rPr>
        <w:t>im Jahr</w:t>
      </w:r>
      <w:r w:rsidR="00056DC7" w:rsidRPr="00056DC7">
        <w:rPr>
          <w:noProof/>
        </w:rPr>
        <w:t xml:space="preserve"> 2021 das Dokument TWP/5/10 </w:t>
      </w:r>
      <w:r w:rsidR="00145CC3">
        <w:rPr>
          <w:noProof/>
        </w:rPr>
        <w:t>„</w:t>
      </w:r>
      <w:r w:rsidR="00056DC7" w:rsidRPr="00857C02">
        <w:rPr>
          <w:noProof/>
        </w:rPr>
        <w:t xml:space="preserve">Datenverarbeitung </w:t>
      </w:r>
      <w:r w:rsidR="00C2315A">
        <w:rPr>
          <w:noProof/>
        </w:rPr>
        <w:t xml:space="preserve">zur </w:t>
      </w:r>
      <w:r w:rsidR="00CD11DA">
        <w:rPr>
          <w:noProof/>
        </w:rPr>
        <w:t>Erstellung von Sortenbeschreibungen</w:t>
      </w:r>
      <w:r w:rsidR="00056DC7" w:rsidRPr="00857C02">
        <w:rPr>
          <w:noProof/>
        </w:rPr>
        <w:t xml:space="preserve"> für gemessene quantitative Merkmale</w:t>
      </w:r>
      <w:r w:rsidR="00145CC3">
        <w:rPr>
          <w:noProof/>
        </w:rPr>
        <w:t>“</w:t>
      </w:r>
      <w:r w:rsidR="00056DC7" w:rsidRPr="00056DC7">
        <w:rPr>
          <w:noProof/>
        </w:rPr>
        <w:t xml:space="preserve"> (vergleiche Dokumente TWV/55/16 </w:t>
      </w:r>
      <w:r w:rsidR="00857C02">
        <w:rPr>
          <w:noProof/>
        </w:rPr>
        <w:t>„</w:t>
      </w:r>
      <w:r w:rsidR="00857C02" w:rsidRPr="00F46749">
        <w:rPr>
          <w:i/>
          <w:iCs/>
          <w:noProof/>
        </w:rPr>
        <w:t>Report</w:t>
      </w:r>
      <w:r w:rsidR="00857C02">
        <w:rPr>
          <w:noProof/>
        </w:rPr>
        <w:t>“</w:t>
      </w:r>
      <w:r w:rsidR="00056DC7" w:rsidRPr="00056DC7">
        <w:rPr>
          <w:noProof/>
        </w:rPr>
        <w:t xml:space="preserve">, Absätze 21 bis 24; TWO/53/10 </w:t>
      </w:r>
      <w:r w:rsidR="00857C02">
        <w:rPr>
          <w:noProof/>
        </w:rPr>
        <w:t>„</w:t>
      </w:r>
      <w:r w:rsidR="00857C02" w:rsidRPr="00F46749">
        <w:rPr>
          <w:i/>
          <w:iCs/>
          <w:noProof/>
        </w:rPr>
        <w:t>Report</w:t>
      </w:r>
      <w:r w:rsidR="00857C02">
        <w:rPr>
          <w:noProof/>
        </w:rPr>
        <w:t>“</w:t>
      </w:r>
      <w:r w:rsidR="00056DC7" w:rsidRPr="00056DC7">
        <w:rPr>
          <w:noProof/>
        </w:rPr>
        <w:t xml:space="preserve">, Absätze 25 bis 28; TWA/50/9 </w:t>
      </w:r>
      <w:r w:rsidR="00857C02">
        <w:rPr>
          <w:noProof/>
        </w:rPr>
        <w:t>„</w:t>
      </w:r>
      <w:r w:rsidR="00857C02" w:rsidRPr="00F46749">
        <w:rPr>
          <w:i/>
          <w:iCs/>
          <w:noProof/>
        </w:rPr>
        <w:t>Report</w:t>
      </w:r>
      <w:r w:rsidR="00857C02">
        <w:rPr>
          <w:noProof/>
        </w:rPr>
        <w:t>“</w:t>
      </w:r>
      <w:r w:rsidR="00056DC7" w:rsidRPr="00056DC7">
        <w:rPr>
          <w:noProof/>
        </w:rPr>
        <w:t xml:space="preserve">, Absätze 21 bis 24; und TWF/52/10 </w:t>
      </w:r>
      <w:r w:rsidR="00857C02">
        <w:rPr>
          <w:noProof/>
        </w:rPr>
        <w:t>„</w:t>
      </w:r>
      <w:r w:rsidR="00857C02" w:rsidRPr="00F46749">
        <w:rPr>
          <w:i/>
          <w:iCs/>
          <w:noProof/>
        </w:rPr>
        <w:t>Report</w:t>
      </w:r>
      <w:r w:rsidR="00857C02">
        <w:rPr>
          <w:noProof/>
        </w:rPr>
        <w:t>“</w:t>
      </w:r>
      <w:r w:rsidR="00056DC7" w:rsidRPr="00056DC7">
        <w:rPr>
          <w:noProof/>
        </w:rPr>
        <w:t>, Absätze 33 bis 36)</w:t>
      </w:r>
      <w:r w:rsidRPr="00D609E7">
        <w:rPr>
          <w:noProof/>
          <w:lang w:eastAsia="ja-JP"/>
        </w:rPr>
        <w:t>.</w:t>
      </w:r>
    </w:p>
    <w:p w14:paraId="613E21AD" w14:textId="77777777" w:rsidR="008A3EC3" w:rsidRPr="00D609E7" w:rsidRDefault="008A3EC3" w:rsidP="008A3EC3">
      <w:pPr>
        <w:rPr>
          <w:noProof/>
          <w:snapToGrid w:val="0"/>
        </w:rPr>
      </w:pPr>
    </w:p>
    <w:p w14:paraId="279EC842" w14:textId="75D196A2" w:rsidR="008A3EC3" w:rsidRPr="00B73A87" w:rsidRDefault="008A3EC3" w:rsidP="008A3EC3">
      <w:pPr>
        <w:rPr>
          <w:noProof/>
        </w:rPr>
      </w:pPr>
      <w:r w:rsidRPr="00B73A87">
        <w:rPr>
          <w:noProof/>
        </w:rPr>
        <w:fldChar w:fldCharType="begin"/>
      </w:r>
      <w:r w:rsidRPr="00B73A87">
        <w:rPr>
          <w:noProof/>
        </w:rPr>
        <w:instrText xml:space="preserve"> AUTONUM  </w:instrText>
      </w:r>
      <w:r w:rsidRPr="00B73A87">
        <w:rPr>
          <w:noProof/>
        </w:rPr>
        <w:fldChar w:fldCharType="end"/>
      </w:r>
      <w:r w:rsidRPr="00B73A87">
        <w:rPr>
          <w:noProof/>
        </w:rPr>
        <w:tab/>
      </w:r>
      <w:r w:rsidR="00A57B77" w:rsidRPr="00B73A87">
        <w:rPr>
          <w:noProof/>
        </w:rPr>
        <w:t xml:space="preserve">Die TWV, die TWO, die TWA und die TWF nahmen zur Kenntnis, </w:t>
      </w:r>
      <w:r w:rsidR="002A65B4" w:rsidRPr="00B73A87">
        <w:rPr>
          <w:noProof/>
        </w:rPr>
        <w:t>dass</w:t>
      </w:r>
      <w:r w:rsidR="00A57B77" w:rsidRPr="00B73A87">
        <w:rPr>
          <w:noProof/>
        </w:rPr>
        <w:t xml:space="preserve"> der TC vereinbart </w:t>
      </w:r>
      <w:r w:rsidR="00455C24" w:rsidRPr="00B73A87">
        <w:rPr>
          <w:noProof/>
        </w:rPr>
        <w:t>ha</w:t>
      </w:r>
      <w:r w:rsidR="00455C24">
        <w:rPr>
          <w:noProof/>
        </w:rPr>
        <w:t>tt</w:t>
      </w:r>
      <w:r w:rsidR="00455C24" w:rsidRPr="00B73A87">
        <w:rPr>
          <w:noProof/>
        </w:rPr>
        <w:t>e</w:t>
      </w:r>
      <w:r w:rsidR="00A57B77" w:rsidRPr="00B73A87">
        <w:rPr>
          <w:noProof/>
        </w:rPr>
        <w:t xml:space="preserve">, den TC-Vorsitzenden zu ersuchen, </w:t>
      </w:r>
      <w:r w:rsidR="00A33C94" w:rsidRPr="00B73A87">
        <w:rPr>
          <w:noProof/>
        </w:rPr>
        <w:t>zusammen</w:t>
      </w:r>
      <w:r w:rsidR="00A57B77" w:rsidRPr="00B73A87">
        <w:rPr>
          <w:noProof/>
        </w:rPr>
        <w:t xml:space="preserve"> mit dem Verbandsbüro Vorschläge für die nächsten Schritte zur </w:t>
      </w:r>
      <w:r w:rsidR="000B60F3" w:rsidRPr="00B73A87">
        <w:rPr>
          <w:noProof/>
        </w:rPr>
        <w:t>Erstellung einer</w:t>
      </w:r>
      <w:r w:rsidR="00A57B77" w:rsidRPr="00B73A87">
        <w:rPr>
          <w:noProof/>
        </w:rPr>
        <w:t xml:space="preserve"> Anleitung </w:t>
      </w:r>
      <w:r w:rsidR="000B60F3" w:rsidRPr="00B73A87">
        <w:rPr>
          <w:noProof/>
        </w:rPr>
        <w:t>zu erarbeiten</w:t>
      </w:r>
      <w:r w:rsidR="00A57B77" w:rsidRPr="00B73A87">
        <w:rPr>
          <w:noProof/>
        </w:rPr>
        <w:t xml:space="preserve">, die den TWP und dem TC auf ihren Tagungen im Jahr 2021 vorgelegt werden sollen </w:t>
      </w:r>
      <w:r w:rsidR="00A57B77" w:rsidRPr="00780FAD">
        <w:rPr>
          <w:noProof/>
        </w:rPr>
        <w:t>(vergleiche Absätze 12 bis 15 dieses Dokuments</w:t>
      </w:r>
      <w:r w:rsidR="004665AA" w:rsidRPr="00780FAD">
        <w:rPr>
          <w:noProof/>
        </w:rPr>
        <w:t>)</w:t>
      </w:r>
      <w:r w:rsidRPr="00780FAD">
        <w:rPr>
          <w:noProof/>
        </w:rPr>
        <w:t>.</w:t>
      </w:r>
      <w:r w:rsidRPr="00B73A87">
        <w:rPr>
          <w:noProof/>
        </w:rPr>
        <w:t xml:space="preserve"> </w:t>
      </w:r>
    </w:p>
    <w:p w14:paraId="117560B9" w14:textId="77777777" w:rsidR="008A3EC3" w:rsidRPr="00B73A87" w:rsidRDefault="008A3EC3" w:rsidP="008A3EC3">
      <w:pPr>
        <w:rPr>
          <w:noProof/>
        </w:rPr>
      </w:pPr>
    </w:p>
    <w:p w14:paraId="5F0C5D64" w14:textId="71BD2002" w:rsidR="008A3EC3" w:rsidRPr="00B73A87" w:rsidRDefault="008A3EC3" w:rsidP="008A3EC3">
      <w:pPr>
        <w:rPr>
          <w:noProof/>
        </w:rPr>
      </w:pPr>
      <w:r w:rsidRPr="00B73A87">
        <w:rPr>
          <w:noProof/>
        </w:rPr>
        <w:fldChar w:fldCharType="begin"/>
      </w:r>
      <w:r w:rsidRPr="00B73A87">
        <w:rPr>
          <w:noProof/>
        </w:rPr>
        <w:instrText xml:space="preserve"> AUTONUM  </w:instrText>
      </w:r>
      <w:r w:rsidRPr="00B73A87">
        <w:rPr>
          <w:noProof/>
        </w:rPr>
        <w:fldChar w:fldCharType="end"/>
      </w:r>
      <w:r w:rsidRPr="00B73A87">
        <w:rPr>
          <w:noProof/>
        </w:rPr>
        <w:tab/>
      </w:r>
      <w:r w:rsidR="00A57B77" w:rsidRPr="00B73A87">
        <w:rPr>
          <w:noProof/>
        </w:rPr>
        <w:t xml:space="preserve">Die TWV, die TWO, die TWA und die TWF stimmten der Aufnahme der Anleitung zu </w:t>
      </w:r>
      <w:r w:rsidR="0036756C">
        <w:rPr>
          <w:noProof/>
        </w:rPr>
        <w:t>„</w:t>
      </w:r>
      <w:r w:rsidR="00A57B77" w:rsidRPr="00B73A87">
        <w:rPr>
          <w:noProof/>
        </w:rPr>
        <w:t>Verschiedene Formen, die Sortenbeschreibungen annehmen könnten, und die Bedeutung von Skalenniveaus</w:t>
      </w:r>
      <w:r w:rsidR="0036756C">
        <w:rPr>
          <w:noProof/>
        </w:rPr>
        <w:t>“</w:t>
      </w:r>
      <w:r w:rsidR="00A57B77" w:rsidRPr="00B73A87">
        <w:rPr>
          <w:noProof/>
        </w:rPr>
        <w:t xml:space="preserve"> in Dokument TGP/8 Teil I Abschnitt 2 </w:t>
      </w:r>
      <w:r w:rsidR="00734F46">
        <w:rPr>
          <w:noProof/>
        </w:rPr>
        <w:t>„</w:t>
      </w:r>
      <w:r w:rsidR="00A57B77" w:rsidRPr="00B73A87">
        <w:rPr>
          <w:noProof/>
        </w:rPr>
        <w:t>Zu erfassende Daten</w:t>
      </w:r>
      <w:r w:rsidR="00734F46">
        <w:rPr>
          <w:noProof/>
        </w:rPr>
        <w:t>“</w:t>
      </w:r>
      <w:r w:rsidR="00A57B77" w:rsidRPr="00B73A87">
        <w:rPr>
          <w:noProof/>
        </w:rPr>
        <w:t xml:space="preserve"> als neue</w:t>
      </w:r>
      <w:r w:rsidR="000E1751">
        <w:rPr>
          <w:noProof/>
        </w:rPr>
        <w:t>n</w:t>
      </w:r>
      <w:r w:rsidR="00A57B77" w:rsidRPr="00B73A87">
        <w:rPr>
          <w:noProof/>
        </w:rPr>
        <w:t xml:space="preserve"> Abschnitt 2.5 zu</w:t>
      </w:r>
      <w:r w:rsidRPr="00B73A87">
        <w:rPr>
          <w:noProof/>
        </w:rPr>
        <w:t>.</w:t>
      </w:r>
    </w:p>
    <w:p w14:paraId="7867AA67" w14:textId="77777777" w:rsidR="008A3EC3" w:rsidRPr="00B73A87" w:rsidRDefault="008A3EC3" w:rsidP="008A3EC3">
      <w:pPr>
        <w:rPr>
          <w:noProof/>
        </w:rPr>
      </w:pPr>
    </w:p>
    <w:p w14:paraId="3C0132E5" w14:textId="268D65FA" w:rsidR="008A3EC3" w:rsidRPr="00D609E7" w:rsidRDefault="008A3EC3" w:rsidP="008A3EC3">
      <w:pPr>
        <w:rPr>
          <w:noProof/>
        </w:rPr>
      </w:pPr>
      <w:r w:rsidRPr="00B73A87">
        <w:rPr>
          <w:noProof/>
        </w:rPr>
        <w:fldChar w:fldCharType="begin"/>
      </w:r>
      <w:r w:rsidRPr="00B73A87">
        <w:rPr>
          <w:noProof/>
        </w:rPr>
        <w:instrText xml:space="preserve"> AUTONUM  </w:instrText>
      </w:r>
      <w:r w:rsidRPr="00B73A87">
        <w:rPr>
          <w:noProof/>
        </w:rPr>
        <w:fldChar w:fldCharType="end"/>
      </w:r>
      <w:r w:rsidRPr="00D609E7">
        <w:rPr>
          <w:noProof/>
        </w:rPr>
        <w:tab/>
      </w:r>
      <w:r w:rsidR="000D4F9C" w:rsidRPr="000D4F9C">
        <w:rPr>
          <w:noProof/>
        </w:rPr>
        <w:t xml:space="preserve">Die TWV, die TWO, die TWA und die TWF vereinbarten, Verbandsmitglieder zu ersuchen, die Aufnahme von Software, die ihre </w:t>
      </w:r>
      <w:r w:rsidR="0040470F">
        <w:rPr>
          <w:noProof/>
        </w:rPr>
        <w:t>Verfahren für die Umsetzung</w:t>
      </w:r>
      <w:r w:rsidR="000D4F9C" w:rsidRPr="000D4F9C">
        <w:rPr>
          <w:noProof/>
        </w:rPr>
        <w:t xml:space="preserve"> von Erfassungen in Noten </w:t>
      </w:r>
      <w:r w:rsidR="00455C24" w:rsidRPr="000D4F9C">
        <w:rPr>
          <w:noProof/>
        </w:rPr>
        <w:t>enthält</w:t>
      </w:r>
      <w:r w:rsidR="00455C24">
        <w:rPr>
          <w:noProof/>
        </w:rPr>
        <w:t>,</w:t>
      </w:r>
      <w:r w:rsidR="00455C24" w:rsidRPr="000D4F9C">
        <w:rPr>
          <w:noProof/>
        </w:rPr>
        <w:t xml:space="preserve"> </w:t>
      </w:r>
      <w:r w:rsidR="000D4F9C" w:rsidRPr="000D4F9C">
        <w:rPr>
          <w:noProof/>
        </w:rPr>
        <w:t>in Dokument UPOV/INF/16 bzw. Dokument UPOV/INF/22</w:t>
      </w:r>
      <w:r w:rsidR="00455C24" w:rsidRPr="00455C24">
        <w:rPr>
          <w:noProof/>
        </w:rPr>
        <w:t xml:space="preserve"> </w:t>
      </w:r>
      <w:r w:rsidR="00455C24" w:rsidRPr="000D4F9C">
        <w:rPr>
          <w:noProof/>
        </w:rPr>
        <w:t>vorzuschlagen</w:t>
      </w:r>
      <w:r w:rsidR="000D4F9C" w:rsidRPr="000D4F9C">
        <w:rPr>
          <w:noProof/>
        </w:rPr>
        <w:t xml:space="preserve">, mit einem </w:t>
      </w:r>
      <w:r w:rsidR="009B3559">
        <w:rPr>
          <w:noProof/>
        </w:rPr>
        <w:t>entsprechenden Querverweis</w:t>
      </w:r>
      <w:r w:rsidR="000D4F9C" w:rsidRPr="000D4F9C">
        <w:rPr>
          <w:noProof/>
        </w:rPr>
        <w:t xml:space="preserve"> auf die Verfügbarkeit solcher Verfahren in Dokument TGP/8 Teil I, neuer Abschnitt 2.5</w:t>
      </w:r>
      <w:r w:rsidR="000F2DAB" w:rsidRPr="00D609E7">
        <w:rPr>
          <w:noProof/>
        </w:rPr>
        <w:t>.</w:t>
      </w:r>
    </w:p>
    <w:p w14:paraId="150A503D" w14:textId="77777777" w:rsidR="000F2DAB" w:rsidRPr="00D609E7" w:rsidRDefault="000F2DAB" w:rsidP="008A3EC3">
      <w:pPr>
        <w:rPr>
          <w:noProof/>
        </w:rPr>
      </w:pPr>
    </w:p>
    <w:p w14:paraId="47B4EDDB" w14:textId="191C1BD8" w:rsidR="000F2DAB" w:rsidRPr="00D609E7" w:rsidRDefault="000F2DAB" w:rsidP="004859D1">
      <w:pPr>
        <w:rPr>
          <w:noProof/>
        </w:rPr>
      </w:pPr>
      <w:r w:rsidRPr="00D609E7">
        <w:rPr>
          <w:noProof/>
          <w:color w:val="000000"/>
        </w:rPr>
        <w:fldChar w:fldCharType="begin"/>
      </w:r>
      <w:r w:rsidRPr="00D609E7">
        <w:rPr>
          <w:noProof/>
          <w:color w:val="000000"/>
        </w:rPr>
        <w:instrText xml:space="preserve"> AUTONUM  </w:instrText>
      </w:r>
      <w:r w:rsidRPr="00D609E7">
        <w:rPr>
          <w:noProof/>
          <w:color w:val="000000"/>
        </w:rPr>
        <w:fldChar w:fldCharType="end"/>
      </w:r>
      <w:r w:rsidRPr="00D609E7">
        <w:rPr>
          <w:noProof/>
          <w:color w:val="000000"/>
        </w:rPr>
        <w:tab/>
      </w:r>
      <w:r w:rsidR="000D4F9C" w:rsidRPr="000D4F9C">
        <w:rPr>
          <w:noProof/>
          <w:color w:val="000000"/>
        </w:rPr>
        <w:t>Die Bemerkungen der Technischen Arbeitsgruppe für Automatisierung und Computerprogramme (TWC)</w:t>
      </w:r>
      <w:r w:rsidR="00EC6F1B" w:rsidRPr="005F1F78">
        <w:rPr>
          <w:snapToGrid w:val="0"/>
          <w:vertAlign w:val="superscript"/>
        </w:rPr>
        <w:footnoteReference w:id="11"/>
      </w:r>
      <w:r w:rsidR="000D4F9C" w:rsidRPr="000D4F9C">
        <w:rPr>
          <w:noProof/>
          <w:color w:val="000000"/>
        </w:rPr>
        <w:t xml:space="preserve">, die vom 20. bis 22. September 2021 </w:t>
      </w:r>
      <w:r w:rsidR="00C76BEF">
        <w:rPr>
          <w:noProof/>
          <w:color w:val="000000"/>
        </w:rPr>
        <w:t>tagen</w:t>
      </w:r>
      <w:r w:rsidR="00161110">
        <w:rPr>
          <w:noProof/>
          <w:color w:val="000000"/>
        </w:rPr>
        <w:t xml:space="preserve"> wird</w:t>
      </w:r>
      <w:r w:rsidR="000D4F9C" w:rsidRPr="000D4F9C">
        <w:rPr>
          <w:noProof/>
          <w:color w:val="000000"/>
        </w:rPr>
        <w:t xml:space="preserve">, werden als </w:t>
      </w:r>
      <w:r w:rsidR="0066075D">
        <w:rPr>
          <w:noProof/>
          <w:color w:val="000000"/>
        </w:rPr>
        <w:t xml:space="preserve">eine </w:t>
      </w:r>
      <w:r w:rsidR="000D4F9C" w:rsidRPr="000D4F9C">
        <w:rPr>
          <w:noProof/>
          <w:color w:val="000000"/>
        </w:rPr>
        <w:t>Ergänzung zu diesem Dokument vorgelegt werden</w:t>
      </w:r>
      <w:r w:rsidR="00C902B2" w:rsidRPr="00D609E7">
        <w:rPr>
          <w:noProof/>
          <w:snapToGrid w:val="0"/>
        </w:rPr>
        <w:t>.</w:t>
      </w:r>
    </w:p>
    <w:p w14:paraId="745317C7" w14:textId="77777777" w:rsidR="004665AA" w:rsidRPr="00D609E7" w:rsidRDefault="004665AA" w:rsidP="008A3EC3">
      <w:pPr>
        <w:rPr>
          <w:noProof/>
        </w:rPr>
      </w:pPr>
    </w:p>
    <w:p w14:paraId="32C41A9E" w14:textId="24125CA1" w:rsidR="003E4FF7" w:rsidRPr="00D609E7" w:rsidRDefault="003E4FF7" w:rsidP="00430248">
      <w:pPr>
        <w:pStyle w:val="DecisionParagraphs"/>
        <w:rPr>
          <w:noProof/>
        </w:rPr>
      </w:pPr>
      <w:r w:rsidRPr="00D609E7">
        <w:rPr>
          <w:noProof/>
        </w:rPr>
        <w:fldChar w:fldCharType="begin"/>
      </w:r>
      <w:r w:rsidRPr="00D609E7">
        <w:rPr>
          <w:noProof/>
        </w:rPr>
        <w:instrText xml:space="preserve"> AUTONUM  </w:instrText>
      </w:r>
      <w:r w:rsidRPr="00D609E7">
        <w:rPr>
          <w:noProof/>
        </w:rPr>
        <w:fldChar w:fldCharType="end"/>
      </w:r>
      <w:r w:rsidRPr="00D609E7">
        <w:rPr>
          <w:noProof/>
        </w:rPr>
        <w:tab/>
      </w:r>
      <w:r w:rsidR="0035788A">
        <w:rPr>
          <w:noProof/>
        </w:rPr>
        <w:t>Der</w:t>
      </w:r>
      <w:r w:rsidRPr="00D609E7">
        <w:rPr>
          <w:noProof/>
        </w:rPr>
        <w:t xml:space="preserve"> </w:t>
      </w:r>
      <w:r w:rsidR="00C902B2" w:rsidRPr="00D609E7">
        <w:rPr>
          <w:noProof/>
        </w:rPr>
        <w:t xml:space="preserve">TC </w:t>
      </w:r>
      <w:r w:rsidR="0035788A">
        <w:rPr>
          <w:noProof/>
        </w:rPr>
        <w:t>wird ersucht</w:t>
      </w:r>
      <w:r w:rsidRPr="00D609E7">
        <w:rPr>
          <w:noProof/>
        </w:rPr>
        <w:t xml:space="preserve">: </w:t>
      </w:r>
    </w:p>
    <w:p w14:paraId="283DEA67" w14:textId="77777777" w:rsidR="003E4FF7" w:rsidRPr="00D609E7" w:rsidRDefault="003E4FF7" w:rsidP="00430248">
      <w:pPr>
        <w:pStyle w:val="DecisionParagraphs"/>
        <w:rPr>
          <w:noProof/>
        </w:rPr>
      </w:pPr>
    </w:p>
    <w:p w14:paraId="6A564470" w14:textId="690C4663" w:rsidR="003E4FF7" w:rsidRPr="00D609E7" w:rsidRDefault="0057466B" w:rsidP="00430248">
      <w:pPr>
        <w:pStyle w:val="DecisionParagraphs"/>
        <w:numPr>
          <w:ilvl w:val="0"/>
          <w:numId w:val="7"/>
        </w:numPr>
        <w:rPr>
          <w:noProof/>
        </w:rPr>
      </w:pPr>
      <w:r w:rsidRPr="000037B5">
        <w:rPr>
          <w:noProof/>
        </w:rPr>
        <w:t>die Bemerkungen der TWP auf ihrer Tagung im Jahr 2021, wie in den Absätzen 16 bis 19 dieses Dokuments dargelegt, zur Kenntnis zu nehmen</w:t>
      </w:r>
      <w:r w:rsidR="003E4FF7" w:rsidRPr="00D609E7">
        <w:rPr>
          <w:noProof/>
        </w:rPr>
        <w:t>;</w:t>
      </w:r>
    </w:p>
    <w:p w14:paraId="0A8C606C" w14:textId="77777777" w:rsidR="00D627F0" w:rsidRPr="00D609E7" w:rsidRDefault="00D627F0" w:rsidP="00430248">
      <w:pPr>
        <w:pStyle w:val="DecisionParagraphs"/>
        <w:rPr>
          <w:noProof/>
        </w:rPr>
      </w:pPr>
    </w:p>
    <w:p w14:paraId="465BB9A5" w14:textId="198DED82" w:rsidR="00B4489E" w:rsidRPr="00D609E7" w:rsidRDefault="00433DB5" w:rsidP="00430248">
      <w:pPr>
        <w:pStyle w:val="DecisionParagraphs"/>
        <w:numPr>
          <w:ilvl w:val="0"/>
          <w:numId w:val="7"/>
        </w:numPr>
        <w:rPr>
          <w:noProof/>
        </w:rPr>
      </w:pPr>
      <w:r w:rsidRPr="000037B5">
        <w:rPr>
          <w:noProof/>
        </w:rPr>
        <w:t>zur Kenntnis zu nehmen, da</w:t>
      </w:r>
      <w:r>
        <w:rPr>
          <w:noProof/>
        </w:rPr>
        <w:t>ss</w:t>
      </w:r>
      <w:r w:rsidRPr="000037B5">
        <w:rPr>
          <w:noProof/>
        </w:rPr>
        <w:t xml:space="preserve"> die Bemerkungen der TWC </w:t>
      </w:r>
      <w:r>
        <w:rPr>
          <w:noProof/>
        </w:rPr>
        <w:t>als eine Ergänzug</w:t>
      </w:r>
      <w:r w:rsidRPr="000037B5">
        <w:rPr>
          <w:noProof/>
        </w:rPr>
        <w:t xml:space="preserve"> zu diesem </w:t>
      </w:r>
      <w:r w:rsidR="00AD2ED0">
        <w:rPr>
          <w:noProof/>
        </w:rPr>
        <w:t>Dokument vorgelegt werden werden</w:t>
      </w:r>
      <w:r>
        <w:rPr>
          <w:noProof/>
        </w:rPr>
        <w:t>;</w:t>
      </w:r>
      <w:r w:rsidR="00B4489E" w:rsidRPr="00D609E7">
        <w:rPr>
          <w:noProof/>
        </w:rPr>
        <w:t xml:space="preserve"> </w:t>
      </w:r>
    </w:p>
    <w:p w14:paraId="47EDC170" w14:textId="77777777" w:rsidR="003E4FF7" w:rsidRPr="00D609E7" w:rsidRDefault="003E4FF7" w:rsidP="00430248">
      <w:pPr>
        <w:pStyle w:val="DecisionParagraphs"/>
        <w:rPr>
          <w:noProof/>
        </w:rPr>
      </w:pPr>
    </w:p>
    <w:p w14:paraId="0722BF01" w14:textId="3B5FEDD6" w:rsidR="003E4FF7" w:rsidRPr="00D609E7" w:rsidRDefault="00AC0024" w:rsidP="00430248">
      <w:pPr>
        <w:pStyle w:val="DecisionParagraphs"/>
        <w:numPr>
          <w:ilvl w:val="0"/>
          <w:numId w:val="7"/>
        </w:numPr>
        <w:rPr>
          <w:noProof/>
        </w:rPr>
      </w:pPr>
      <w:r w:rsidRPr="00CB4FA9">
        <w:rPr>
          <w:noProof/>
        </w:rPr>
        <w:t xml:space="preserve">die Aufnahme der Anleitung zu </w:t>
      </w:r>
      <w:r>
        <w:rPr>
          <w:noProof/>
        </w:rPr>
        <w:t>„</w:t>
      </w:r>
      <w:r w:rsidRPr="00CB4FA9">
        <w:rPr>
          <w:noProof/>
        </w:rPr>
        <w:t>Verschiedene Formen, die Sortenbeschreibungen annehmen könnten, und die Bedeutung von Skalenniveaus</w:t>
      </w:r>
      <w:r>
        <w:rPr>
          <w:noProof/>
        </w:rPr>
        <w:t>“</w:t>
      </w:r>
      <w:r w:rsidRPr="00CB4FA9">
        <w:rPr>
          <w:noProof/>
        </w:rPr>
        <w:t xml:space="preserve">, wie in der Anlage dieses Dokuments dargelegt, in Dokument TGP/8 Teil I Abschnitt 2 </w:t>
      </w:r>
      <w:r>
        <w:rPr>
          <w:noProof/>
        </w:rPr>
        <w:t>„</w:t>
      </w:r>
      <w:r w:rsidRPr="00CB4FA9">
        <w:rPr>
          <w:noProof/>
        </w:rPr>
        <w:t>Zu erfassende Daten</w:t>
      </w:r>
      <w:r>
        <w:rPr>
          <w:noProof/>
        </w:rPr>
        <w:t>“</w:t>
      </w:r>
      <w:r w:rsidRPr="00CB4FA9">
        <w:rPr>
          <w:noProof/>
        </w:rPr>
        <w:t xml:space="preserve"> als neuen Abschnitt 2.5 zu prüfen; und</w:t>
      </w:r>
    </w:p>
    <w:p w14:paraId="5B06509E" w14:textId="77777777" w:rsidR="003E4FF7" w:rsidRPr="00D609E7" w:rsidRDefault="003E4FF7" w:rsidP="00430248">
      <w:pPr>
        <w:pStyle w:val="DecisionParagraphs"/>
        <w:rPr>
          <w:noProof/>
        </w:rPr>
      </w:pPr>
    </w:p>
    <w:p w14:paraId="1C4FB3A3" w14:textId="5B8D32BF" w:rsidR="003E4FF7" w:rsidRPr="00D609E7" w:rsidRDefault="00644EF7" w:rsidP="00430248">
      <w:pPr>
        <w:pStyle w:val="DecisionParagraphs"/>
        <w:numPr>
          <w:ilvl w:val="0"/>
          <w:numId w:val="7"/>
        </w:numPr>
        <w:rPr>
          <w:noProof/>
        </w:rPr>
      </w:pPr>
      <w:r w:rsidRPr="00CB4FA9">
        <w:rPr>
          <w:noProof/>
        </w:rPr>
        <w:t xml:space="preserve">zu prüfen, ob die Verbandsmitglieder ersucht werden sollen, die Aufnahme von Software, die ihre </w:t>
      </w:r>
      <w:r w:rsidR="0040470F">
        <w:rPr>
          <w:noProof/>
        </w:rPr>
        <w:t>Verfahren für die Umsetzung</w:t>
      </w:r>
      <w:r w:rsidRPr="00CB4FA9">
        <w:rPr>
          <w:noProof/>
        </w:rPr>
        <w:t xml:space="preserve"> von Erfassungen in Noten</w:t>
      </w:r>
      <w:r w:rsidR="00C2315A">
        <w:rPr>
          <w:noProof/>
        </w:rPr>
        <w:t xml:space="preserve"> </w:t>
      </w:r>
      <w:r w:rsidR="00C2315A" w:rsidRPr="00CB4FA9">
        <w:rPr>
          <w:noProof/>
        </w:rPr>
        <w:t>enthält</w:t>
      </w:r>
      <w:r w:rsidR="00C2315A">
        <w:rPr>
          <w:noProof/>
        </w:rPr>
        <w:t>,</w:t>
      </w:r>
      <w:r w:rsidRPr="00CB4FA9">
        <w:rPr>
          <w:noProof/>
        </w:rPr>
        <w:t xml:space="preserve"> in Dokument UPOV/INF/16 bzw. Dokument UPOV/INF/22 </w:t>
      </w:r>
      <w:r w:rsidR="00C2315A" w:rsidRPr="00CB4FA9">
        <w:rPr>
          <w:noProof/>
        </w:rPr>
        <w:t>vorzuschlagen</w:t>
      </w:r>
      <w:r w:rsidRPr="00CB4FA9">
        <w:rPr>
          <w:noProof/>
        </w:rPr>
        <w:t xml:space="preserve">, mit einem </w:t>
      </w:r>
      <w:r w:rsidR="009B3559" w:rsidRPr="009B3559">
        <w:rPr>
          <w:noProof/>
        </w:rPr>
        <w:t>entsprechenden Querverweis</w:t>
      </w:r>
      <w:r w:rsidRPr="00CB4FA9">
        <w:rPr>
          <w:noProof/>
        </w:rPr>
        <w:t xml:space="preserve"> auf die Verfügbarkeit solcher Verfahren in Dokument TGP/8 Teil I, neuer Abschnitt 2.5</w:t>
      </w:r>
      <w:r w:rsidR="003E4FF7" w:rsidRPr="00D609E7">
        <w:rPr>
          <w:noProof/>
        </w:rPr>
        <w:t>.</w:t>
      </w:r>
    </w:p>
    <w:p w14:paraId="38AB3FD1" w14:textId="77777777" w:rsidR="00206D0C" w:rsidRPr="00D609E7" w:rsidRDefault="00206D0C" w:rsidP="00430248">
      <w:pPr>
        <w:rPr>
          <w:noProof/>
          <w:snapToGrid w:val="0"/>
        </w:rPr>
      </w:pPr>
    </w:p>
    <w:p w14:paraId="1CBC1955" w14:textId="77777777" w:rsidR="00206D0C" w:rsidRPr="00D609E7" w:rsidRDefault="00206D0C" w:rsidP="00206D0C">
      <w:pPr>
        <w:tabs>
          <w:tab w:val="left" w:pos="5387"/>
          <w:tab w:val="left" w:pos="5954"/>
        </w:tabs>
        <w:rPr>
          <w:noProof/>
          <w:snapToGrid w:val="0"/>
        </w:rPr>
      </w:pPr>
    </w:p>
    <w:p w14:paraId="772494A3" w14:textId="77777777" w:rsidR="003E4FF7" w:rsidRPr="00D609E7" w:rsidRDefault="003E4FF7" w:rsidP="003E4FF7">
      <w:pPr>
        <w:jc w:val="right"/>
        <w:rPr>
          <w:noProof/>
          <w:snapToGrid w:val="0"/>
        </w:rPr>
      </w:pPr>
    </w:p>
    <w:p w14:paraId="51672B59" w14:textId="472AF692" w:rsidR="003E4FF7" w:rsidRPr="00D609E7" w:rsidRDefault="003E4FF7" w:rsidP="003E4FF7">
      <w:pPr>
        <w:jc w:val="right"/>
        <w:rPr>
          <w:noProof/>
        </w:rPr>
      </w:pPr>
      <w:r w:rsidRPr="00D609E7">
        <w:rPr>
          <w:noProof/>
          <w:snapToGrid w:val="0"/>
        </w:rPr>
        <w:t>[</w:t>
      </w:r>
      <w:r w:rsidR="00E65613">
        <w:rPr>
          <w:noProof/>
        </w:rPr>
        <w:t>Anlage folgt</w:t>
      </w:r>
      <w:r w:rsidRPr="00D609E7">
        <w:rPr>
          <w:noProof/>
        </w:rPr>
        <w:t>]</w:t>
      </w:r>
    </w:p>
    <w:p w14:paraId="455CABAA" w14:textId="77777777" w:rsidR="003E4FF7" w:rsidRPr="00D609E7" w:rsidRDefault="003E4FF7" w:rsidP="003E4FF7">
      <w:pPr>
        <w:jc w:val="right"/>
        <w:rPr>
          <w:noProof/>
        </w:rPr>
        <w:sectPr w:rsidR="003E4FF7" w:rsidRPr="00D609E7" w:rsidSect="00D627F0">
          <w:headerReference w:type="default" r:id="rId9"/>
          <w:pgSz w:w="11907" w:h="16840" w:code="9"/>
          <w:pgMar w:top="510" w:right="1134" w:bottom="851" w:left="1276" w:header="510" w:footer="680" w:gutter="0"/>
          <w:pgNumType w:start="1"/>
          <w:cols w:space="720"/>
          <w:titlePg/>
        </w:sectPr>
      </w:pPr>
    </w:p>
    <w:p w14:paraId="260900B7" w14:textId="41FD9749" w:rsidR="003E4FF7" w:rsidRDefault="00E11463" w:rsidP="00E11463">
      <w:pPr>
        <w:jc w:val="center"/>
        <w:rPr>
          <w:noProof/>
        </w:rPr>
      </w:pPr>
      <w:r>
        <w:rPr>
          <w:noProof/>
        </w:rPr>
        <w:t>VERSCHIED</w:t>
      </w:r>
      <w:r w:rsidR="003E4FF7" w:rsidRPr="00D609E7">
        <w:rPr>
          <w:noProof/>
        </w:rPr>
        <w:t>E</w:t>
      </w:r>
      <w:r>
        <w:rPr>
          <w:noProof/>
        </w:rPr>
        <w:t>NE FORMEN, DIE SORTENBESCHREIBUNGEN ANNEHMEN KÖNN</w:t>
      </w:r>
      <w:r w:rsidR="00F46749">
        <w:rPr>
          <w:noProof/>
        </w:rPr>
        <w:t>T</w:t>
      </w:r>
      <w:r>
        <w:rPr>
          <w:noProof/>
        </w:rPr>
        <w:t>EN, UND DIE BEDEUTUNG VON SKALENNIVEAUS</w:t>
      </w:r>
      <w:r w:rsidR="003E4FF7" w:rsidRPr="00D609E7">
        <w:rPr>
          <w:noProof/>
        </w:rPr>
        <w:t xml:space="preserve"> </w:t>
      </w:r>
    </w:p>
    <w:p w14:paraId="69703156" w14:textId="77777777" w:rsidR="00F77C52" w:rsidRPr="00D609E7" w:rsidRDefault="00F77C52" w:rsidP="00E11463">
      <w:pPr>
        <w:jc w:val="center"/>
        <w:rPr>
          <w:noProof/>
        </w:rPr>
      </w:pPr>
    </w:p>
    <w:p w14:paraId="426D32C3" w14:textId="77777777" w:rsidR="003E4FF7" w:rsidRPr="00D609E7" w:rsidRDefault="003E4FF7" w:rsidP="003E4FF7">
      <w:pPr>
        <w:rPr>
          <w:noProof/>
        </w:rPr>
      </w:pPr>
    </w:p>
    <w:p w14:paraId="72414B36" w14:textId="41DE65DF" w:rsidR="003E4FF7" w:rsidRPr="00D609E7" w:rsidRDefault="00B467A5" w:rsidP="003E4FF7">
      <w:pPr>
        <w:rPr>
          <w:rFonts w:cs="Arial"/>
          <w:noProof/>
        </w:rPr>
      </w:pPr>
      <w:r w:rsidRPr="00C720DA">
        <w:rPr>
          <w:rFonts w:cs="Arial"/>
        </w:rPr>
        <w:t>Sortenbeschreibungen können je nach Zweck der Beschreibung auf verschiedenen Daten basieren. Für die Prüfung der Unterscheidbarkeit oder im amtlichen Dokument, das die Grundlage für die Erteilung des Schutzes bildet, können verschiedene Sortenbeschreibungen verwendet werden. Wenn Sortenbeschreibungen für die Prüfung der Unterscheid</w:t>
      </w:r>
      <w:bookmarkStart w:id="7" w:name="_GoBack"/>
      <w:bookmarkEnd w:id="7"/>
      <w:r w:rsidRPr="00C720DA">
        <w:rPr>
          <w:rFonts w:cs="Arial"/>
        </w:rPr>
        <w:t>barkeit verwendet werden, ist es wichtig zu berücksichtigen, auf welchen Daten die Beschreibungen für verschiedene Sorten basieren. Besondere Beachtung ist dem potentiellen Einflu</w:t>
      </w:r>
      <w:r w:rsidR="002A70BA">
        <w:rPr>
          <w:rFonts w:cs="Arial"/>
        </w:rPr>
        <w:t>ss</w:t>
      </w:r>
      <w:r w:rsidRPr="00C720DA">
        <w:rPr>
          <w:rFonts w:cs="Arial"/>
        </w:rPr>
        <w:t xml:space="preserve"> der Jahre und Standorte beizumessen</w:t>
      </w:r>
      <w:r w:rsidR="003E4FF7" w:rsidRPr="00D609E7">
        <w:rPr>
          <w:rFonts w:cs="Arial"/>
          <w:noProof/>
        </w:rPr>
        <w:t>.</w:t>
      </w:r>
    </w:p>
    <w:p w14:paraId="4DEF57CB" w14:textId="77777777" w:rsidR="003E4FF7" w:rsidRPr="00D609E7" w:rsidRDefault="003E4FF7" w:rsidP="003E4FF7">
      <w:pPr>
        <w:rPr>
          <w:rFonts w:cs="Arial"/>
          <w:noProof/>
        </w:rPr>
      </w:pPr>
    </w:p>
    <w:p w14:paraId="7207E647" w14:textId="2B48E90F" w:rsidR="003E4FF7" w:rsidRPr="00D609E7" w:rsidRDefault="0038503E" w:rsidP="003E4FF7">
      <w:pPr>
        <w:rPr>
          <w:rFonts w:cs="Arial"/>
          <w:noProof/>
        </w:rPr>
      </w:pPr>
      <w:r w:rsidRPr="00C720DA">
        <w:rPr>
          <w:rFonts w:cs="Arial"/>
        </w:rPr>
        <w:t xml:space="preserve">Die verschiedenen Formen von Sortenbeschreibungen und ihre Bedeutung für die Prüfung der Unterscheidbarkeit lassen sich gemäß den verschiedenen </w:t>
      </w:r>
      <w:r>
        <w:rPr>
          <w:rFonts w:cs="Arial"/>
        </w:rPr>
        <w:t>Verfahrensebene</w:t>
      </w:r>
      <w:r w:rsidRPr="00C720DA">
        <w:rPr>
          <w:rFonts w:cs="Arial"/>
        </w:rPr>
        <w:t xml:space="preserve">n für die </w:t>
      </w:r>
      <w:r w:rsidR="008A6C13">
        <w:rPr>
          <w:rFonts w:cs="Arial"/>
        </w:rPr>
        <w:t>Erfassung</w:t>
      </w:r>
      <w:r w:rsidRPr="00C720DA">
        <w:rPr>
          <w:rFonts w:cs="Arial"/>
        </w:rPr>
        <w:t xml:space="preserve"> eines Merkmals einstufen. Die </w:t>
      </w:r>
      <w:r>
        <w:rPr>
          <w:rFonts w:cs="Arial"/>
        </w:rPr>
        <w:t>Verfahrensebene</w:t>
      </w:r>
      <w:r w:rsidRPr="00C720DA">
        <w:rPr>
          <w:rFonts w:cs="Arial"/>
        </w:rPr>
        <w:t>n sind in Dokument TGP/8</w:t>
      </w:r>
      <w:r w:rsidRPr="00C720DA">
        <w:rPr>
          <w:rFonts w:cs="Arial"/>
          <w:caps/>
        </w:rPr>
        <w:t xml:space="preserve">: </w:t>
      </w:r>
      <w:bookmarkStart w:id="8" w:name="_Toc374557600"/>
      <w:bookmarkStart w:id="9" w:name="_Toc374631085"/>
      <w:bookmarkStart w:id="10" w:name="_Toc374632557"/>
      <w:bookmarkStart w:id="11" w:name="_Toc374635755"/>
      <w:bookmarkStart w:id="12" w:name="_Toc377740963"/>
      <w:bookmarkStart w:id="13" w:name="_Toc377741130"/>
      <w:bookmarkStart w:id="14" w:name="_Toc378079306"/>
      <w:bookmarkStart w:id="15" w:name="_Toc378079654"/>
      <w:bookmarkStart w:id="16" w:name="_Toc378251549"/>
      <w:bookmarkStart w:id="17" w:name="_Toc378252009"/>
      <w:bookmarkStart w:id="18" w:name="_Toc378253039"/>
      <w:bookmarkStart w:id="19" w:name="_Toc381277710"/>
      <w:r w:rsidRPr="00C720DA">
        <w:t xml:space="preserve">Teil I: </w:t>
      </w:r>
      <w:r w:rsidR="002A70BA">
        <w:t>„</w:t>
      </w:r>
      <w:r w:rsidRPr="00C720DA">
        <w:t>DUS-Prüfungsanlage und Datenanalyse</w:t>
      </w:r>
      <w:r w:rsidR="009D2BCD">
        <w:t>.“</w:t>
      </w:r>
      <w:r w:rsidR="009D2BCD" w:rsidRPr="00C720DA">
        <w:t xml:space="preserve"> </w:t>
      </w:r>
      <w:r w:rsidRPr="00C720DA">
        <w:t xml:space="preserve">Abschnitt 2 </w:t>
      </w:r>
      <w:r w:rsidR="009D2BCD">
        <w:t>„</w:t>
      </w:r>
      <w:r w:rsidRPr="00C720DA">
        <w:t>Zu erfassende Daten</w:t>
      </w:r>
      <w:r w:rsidR="004044E1">
        <w:t>“</w:t>
      </w:r>
      <w:r w:rsidRPr="00C720DA">
        <w:t xml:space="preserve"> </w:t>
      </w:r>
      <w:bookmarkEnd w:id="8"/>
      <w:bookmarkEnd w:id="9"/>
      <w:bookmarkEnd w:id="10"/>
      <w:bookmarkEnd w:id="11"/>
      <w:bookmarkEnd w:id="12"/>
      <w:bookmarkEnd w:id="13"/>
      <w:bookmarkEnd w:id="14"/>
      <w:bookmarkEnd w:id="15"/>
      <w:bookmarkEnd w:id="16"/>
      <w:bookmarkEnd w:id="17"/>
      <w:bookmarkEnd w:id="18"/>
      <w:bookmarkEnd w:id="19"/>
      <w:r w:rsidRPr="00C720DA">
        <w:t>wie folgt definiert</w:t>
      </w:r>
      <w:r w:rsidR="003E4FF7" w:rsidRPr="00D609E7">
        <w:rPr>
          <w:rFonts w:cs="Arial"/>
          <w:noProof/>
        </w:rPr>
        <w:t>:</w:t>
      </w:r>
    </w:p>
    <w:p w14:paraId="341A2256" w14:textId="77777777" w:rsidR="003E4FF7" w:rsidRPr="00D609E7" w:rsidRDefault="003E4FF7" w:rsidP="003E4FF7">
      <w:pPr>
        <w:rPr>
          <w:rFonts w:cs="Arial"/>
          <w:noProof/>
        </w:rPr>
      </w:pPr>
    </w:p>
    <w:p w14:paraId="69A4107C" w14:textId="0B2AAA64" w:rsidR="003E4FF7" w:rsidRPr="00D609E7" w:rsidRDefault="00BD5A7D" w:rsidP="003E4FF7">
      <w:pPr>
        <w:tabs>
          <w:tab w:val="left" w:pos="9072"/>
        </w:tabs>
        <w:autoSpaceDE w:val="0"/>
        <w:autoSpaceDN w:val="0"/>
        <w:adjustRightInd w:val="0"/>
        <w:spacing w:line="271" w:lineRule="exact"/>
        <w:ind w:left="567"/>
        <w:rPr>
          <w:rFonts w:cs="Arial"/>
          <w:noProof/>
        </w:rPr>
      </w:pPr>
      <w:r>
        <w:rPr>
          <w:rFonts w:cs="Arial"/>
          <w:i/>
          <w:iCs/>
          <w:noProof/>
          <w:position w:val="-1"/>
        </w:rPr>
        <w:t>Tabelle</w:t>
      </w:r>
      <w:r w:rsidRPr="00D609E7">
        <w:rPr>
          <w:rFonts w:cs="Arial"/>
          <w:i/>
          <w:iCs/>
          <w:noProof/>
          <w:position w:val="-1"/>
        </w:rPr>
        <w:t xml:space="preserve"> </w:t>
      </w:r>
      <w:r w:rsidR="003E4FF7" w:rsidRPr="00D609E7">
        <w:rPr>
          <w:rFonts w:cs="Arial"/>
          <w:i/>
          <w:iCs/>
          <w:noProof/>
          <w:position w:val="-1"/>
        </w:rPr>
        <w:t>5:</w:t>
      </w:r>
      <w:r w:rsidR="00F46749">
        <w:rPr>
          <w:rFonts w:cs="Arial"/>
          <w:i/>
          <w:iCs/>
          <w:noProof/>
          <w:position w:val="-1"/>
        </w:rPr>
        <w:t xml:space="preserve"> </w:t>
      </w:r>
      <w:r w:rsidR="003E4FF7" w:rsidRPr="00D609E7">
        <w:rPr>
          <w:rFonts w:cs="Arial"/>
          <w:i/>
          <w:iCs/>
          <w:noProof/>
          <w:position w:val="-1"/>
        </w:rPr>
        <w:t xml:space="preserve">Definition </w:t>
      </w:r>
      <w:r>
        <w:rPr>
          <w:rFonts w:cs="Arial"/>
          <w:i/>
          <w:iCs/>
          <w:noProof/>
          <w:position w:val="-1"/>
        </w:rPr>
        <w:t>verschiedener Verfahrensebenen zur Betrachtung von Merkmalen</w:t>
      </w:r>
    </w:p>
    <w:p w14:paraId="56195DAE" w14:textId="77777777" w:rsidR="003E4FF7" w:rsidRPr="00D609E7" w:rsidRDefault="003E4FF7" w:rsidP="003E4FF7">
      <w:pPr>
        <w:autoSpaceDE w:val="0"/>
        <w:autoSpaceDN w:val="0"/>
        <w:adjustRightInd w:val="0"/>
        <w:spacing w:before="2" w:line="280" w:lineRule="exact"/>
        <w:rPr>
          <w:rFonts w:cs="Arial"/>
          <w:noProof/>
        </w:rPr>
      </w:pPr>
    </w:p>
    <w:tbl>
      <w:tblPr>
        <w:tblW w:w="0" w:type="auto"/>
        <w:tblInd w:w="572" w:type="dxa"/>
        <w:tblLayout w:type="fixed"/>
        <w:tblCellMar>
          <w:left w:w="0" w:type="dxa"/>
          <w:right w:w="0" w:type="dxa"/>
        </w:tblCellMar>
        <w:tblLook w:val="0000" w:firstRow="0" w:lastRow="0" w:firstColumn="0" w:lastColumn="0" w:noHBand="0" w:noVBand="0"/>
      </w:tblPr>
      <w:tblGrid>
        <w:gridCol w:w="1680"/>
        <w:gridCol w:w="5245"/>
      </w:tblGrid>
      <w:tr w:rsidR="003E4FF7" w:rsidRPr="00D609E7" w14:paraId="026A9160" w14:textId="77777777" w:rsidTr="008042ED">
        <w:trPr>
          <w:trHeight w:hRule="exact" w:val="343"/>
        </w:trPr>
        <w:tc>
          <w:tcPr>
            <w:tcW w:w="1680" w:type="dxa"/>
            <w:tcBorders>
              <w:top w:val="single" w:sz="4" w:space="0" w:color="auto"/>
              <w:left w:val="single" w:sz="4" w:space="0" w:color="auto"/>
              <w:bottom w:val="single" w:sz="4" w:space="0" w:color="auto"/>
              <w:right w:val="single" w:sz="4" w:space="0" w:color="auto"/>
            </w:tcBorders>
            <w:shd w:val="clear" w:color="auto" w:fill="DFDFDF"/>
          </w:tcPr>
          <w:p w14:paraId="262BC6FC" w14:textId="3AD5CA59" w:rsidR="003E4FF7" w:rsidRPr="00D609E7" w:rsidRDefault="00BD5A7D" w:rsidP="003E4FF7">
            <w:pPr>
              <w:autoSpaceDE w:val="0"/>
              <w:autoSpaceDN w:val="0"/>
              <w:adjustRightInd w:val="0"/>
              <w:spacing w:before="37"/>
              <w:ind w:left="35"/>
              <w:jc w:val="center"/>
              <w:rPr>
                <w:rFonts w:cs="Arial"/>
                <w:noProof/>
              </w:rPr>
            </w:pPr>
            <w:r>
              <w:rPr>
                <w:rFonts w:cs="Arial"/>
                <w:noProof/>
              </w:rPr>
              <w:t>Verfahrensebene</w:t>
            </w:r>
          </w:p>
        </w:tc>
        <w:tc>
          <w:tcPr>
            <w:tcW w:w="5245" w:type="dxa"/>
            <w:tcBorders>
              <w:top w:val="single" w:sz="4" w:space="0" w:color="auto"/>
              <w:left w:val="single" w:sz="4" w:space="0" w:color="auto"/>
              <w:bottom w:val="single" w:sz="4" w:space="0" w:color="auto"/>
              <w:right w:val="single" w:sz="4" w:space="0" w:color="auto"/>
            </w:tcBorders>
            <w:shd w:val="clear" w:color="auto" w:fill="DFDFDF"/>
          </w:tcPr>
          <w:p w14:paraId="787D852A" w14:textId="0DD42F75" w:rsidR="003E4FF7" w:rsidRPr="00D609E7" w:rsidRDefault="00BD5A7D" w:rsidP="003E4FF7">
            <w:pPr>
              <w:autoSpaceDE w:val="0"/>
              <w:autoSpaceDN w:val="0"/>
              <w:adjustRightInd w:val="0"/>
              <w:spacing w:before="37"/>
              <w:ind w:left="231"/>
              <w:rPr>
                <w:rFonts w:cs="Arial"/>
                <w:noProof/>
              </w:rPr>
            </w:pPr>
            <w:r>
              <w:rPr>
                <w:rFonts w:cs="Arial"/>
                <w:noProof/>
              </w:rPr>
              <w:t>Beschreibung der Verfahrensebene</w:t>
            </w:r>
          </w:p>
        </w:tc>
      </w:tr>
      <w:tr w:rsidR="003E4FF7" w:rsidRPr="00D609E7" w14:paraId="2FE89CCA" w14:textId="77777777" w:rsidTr="008042ED">
        <w:trPr>
          <w:trHeight w:hRule="exact" w:val="342"/>
        </w:trPr>
        <w:tc>
          <w:tcPr>
            <w:tcW w:w="1680" w:type="dxa"/>
            <w:tcBorders>
              <w:top w:val="single" w:sz="4" w:space="0" w:color="auto"/>
              <w:left w:val="single" w:sz="4" w:space="0" w:color="auto"/>
              <w:bottom w:val="single" w:sz="4" w:space="0" w:color="auto"/>
              <w:right w:val="single" w:sz="4" w:space="0" w:color="auto"/>
            </w:tcBorders>
          </w:tcPr>
          <w:p w14:paraId="4D57BFC1" w14:textId="77777777" w:rsidR="003E4FF7" w:rsidRPr="00D609E7" w:rsidRDefault="003E4FF7" w:rsidP="003E4FF7">
            <w:pPr>
              <w:autoSpaceDE w:val="0"/>
              <w:autoSpaceDN w:val="0"/>
              <w:adjustRightInd w:val="0"/>
              <w:spacing w:before="37"/>
              <w:ind w:left="60"/>
              <w:jc w:val="center"/>
              <w:rPr>
                <w:rFonts w:cs="Arial"/>
                <w:noProof/>
              </w:rPr>
            </w:pPr>
            <w:r w:rsidRPr="00D609E7">
              <w:rPr>
                <w:rFonts w:cs="Arial"/>
                <w:noProof/>
              </w:rPr>
              <w:t>1</w:t>
            </w:r>
          </w:p>
        </w:tc>
        <w:tc>
          <w:tcPr>
            <w:tcW w:w="5245" w:type="dxa"/>
            <w:tcBorders>
              <w:top w:val="single" w:sz="4" w:space="0" w:color="auto"/>
              <w:left w:val="single" w:sz="4" w:space="0" w:color="auto"/>
              <w:bottom w:val="single" w:sz="4" w:space="0" w:color="auto"/>
              <w:right w:val="single" w:sz="4" w:space="0" w:color="auto"/>
            </w:tcBorders>
          </w:tcPr>
          <w:p w14:paraId="3A642B94" w14:textId="45A8576E" w:rsidR="003E4FF7" w:rsidRPr="00D609E7" w:rsidRDefault="00BD5A7D" w:rsidP="003E4FF7">
            <w:pPr>
              <w:autoSpaceDE w:val="0"/>
              <w:autoSpaceDN w:val="0"/>
              <w:adjustRightInd w:val="0"/>
              <w:spacing w:before="37"/>
              <w:ind w:left="231"/>
              <w:rPr>
                <w:rFonts w:cs="Arial"/>
                <w:noProof/>
              </w:rPr>
            </w:pPr>
            <w:r>
              <w:rPr>
                <w:rFonts w:cs="Arial"/>
                <w:noProof/>
              </w:rPr>
              <w:t>Merkmale, wie sie sich in der Anbauprüfung ausprägen</w:t>
            </w:r>
          </w:p>
        </w:tc>
      </w:tr>
      <w:tr w:rsidR="003E4FF7" w:rsidRPr="00D609E7" w14:paraId="6D958A10" w14:textId="77777777" w:rsidTr="008042ED">
        <w:trPr>
          <w:trHeight w:hRule="exact" w:val="343"/>
        </w:trPr>
        <w:tc>
          <w:tcPr>
            <w:tcW w:w="1680" w:type="dxa"/>
            <w:tcBorders>
              <w:top w:val="single" w:sz="4" w:space="0" w:color="auto"/>
              <w:left w:val="single" w:sz="4" w:space="0" w:color="auto"/>
              <w:bottom w:val="single" w:sz="4" w:space="0" w:color="auto"/>
              <w:right w:val="single" w:sz="4" w:space="0" w:color="auto"/>
            </w:tcBorders>
          </w:tcPr>
          <w:p w14:paraId="09D3CAED" w14:textId="77777777" w:rsidR="003E4FF7" w:rsidRPr="00D609E7" w:rsidRDefault="003E4FF7" w:rsidP="003E4FF7">
            <w:pPr>
              <w:autoSpaceDE w:val="0"/>
              <w:autoSpaceDN w:val="0"/>
              <w:adjustRightInd w:val="0"/>
              <w:spacing w:before="37"/>
              <w:ind w:left="60"/>
              <w:jc w:val="center"/>
              <w:rPr>
                <w:rFonts w:cs="Arial"/>
                <w:noProof/>
              </w:rPr>
            </w:pPr>
            <w:r w:rsidRPr="00D609E7">
              <w:rPr>
                <w:rFonts w:cs="Arial"/>
                <w:noProof/>
              </w:rPr>
              <w:t>2</w:t>
            </w:r>
          </w:p>
        </w:tc>
        <w:tc>
          <w:tcPr>
            <w:tcW w:w="5245" w:type="dxa"/>
            <w:tcBorders>
              <w:top w:val="single" w:sz="4" w:space="0" w:color="auto"/>
              <w:left w:val="single" w:sz="4" w:space="0" w:color="auto"/>
              <w:bottom w:val="single" w:sz="4" w:space="0" w:color="auto"/>
              <w:right w:val="single" w:sz="4" w:space="0" w:color="auto"/>
            </w:tcBorders>
          </w:tcPr>
          <w:p w14:paraId="1D1C9BE6" w14:textId="099F5E9E" w:rsidR="003E4FF7" w:rsidRPr="00D609E7" w:rsidRDefault="00BD5A7D" w:rsidP="003E4FF7">
            <w:pPr>
              <w:autoSpaceDE w:val="0"/>
              <w:autoSpaceDN w:val="0"/>
              <w:adjustRightInd w:val="0"/>
              <w:spacing w:before="37"/>
              <w:ind w:left="231"/>
              <w:rPr>
                <w:rFonts w:cs="Arial"/>
                <w:noProof/>
              </w:rPr>
            </w:pPr>
            <w:r>
              <w:rPr>
                <w:rFonts w:cs="Arial"/>
                <w:noProof/>
              </w:rPr>
              <w:t>Date</w:t>
            </w:r>
            <w:r w:rsidR="00F46749">
              <w:rPr>
                <w:rFonts w:cs="Arial"/>
                <w:noProof/>
              </w:rPr>
              <w:t>n</w:t>
            </w:r>
            <w:r>
              <w:rPr>
                <w:rFonts w:cs="Arial"/>
                <w:noProof/>
              </w:rPr>
              <w:t xml:space="preserve"> für die Auswertung von Merkmalen</w:t>
            </w:r>
          </w:p>
        </w:tc>
      </w:tr>
      <w:tr w:rsidR="003E4FF7" w:rsidRPr="00D609E7" w14:paraId="77D1E925" w14:textId="77777777" w:rsidTr="008042ED">
        <w:trPr>
          <w:trHeight w:hRule="exact" w:val="343"/>
        </w:trPr>
        <w:tc>
          <w:tcPr>
            <w:tcW w:w="1680" w:type="dxa"/>
            <w:tcBorders>
              <w:top w:val="single" w:sz="4" w:space="0" w:color="auto"/>
              <w:left w:val="single" w:sz="4" w:space="0" w:color="auto"/>
              <w:bottom w:val="single" w:sz="4" w:space="0" w:color="auto"/>
              <w:right w:val="single" w:sz="4" w:space="0" w:color="auto"/>
            </w:tcBorders>
          </w:tcPr>
          <w:p w14:paraId="1CDE7AE8" w14:textId="77777777" w:rsidR="003E4FF7" w:rsidRPr="00D609E7" w:rsidRDefault="003E4FF7" w:rsidP="003E4FF7">
            <w:pPr>
              <w:autoSpaceDE w:val="0"/>
              <w:autoSpaceDN w:val="0"/>
              <w:adjustRightInd w:val="0"/>
              <w:spacing w:before="37"/>
              <w:ind w:left="60"/>
              <w:jc w:val="center"/>
              <w:rPr>
                <w:rFonts w:cs="Arial"/>
                <w:noProof/>
              </w:rPr>
            </w:pPr>
            <w:r w:rsidRPr="00D609E7">
              <w:rPr>
                <w:rFonts w:cs="Arial"/>
                <w:noProof/>
              </w:rPr>
              <w:t>3</w:t>
            </w:r>
          </w:p>
        </w:tc>
        <w:tc>
          <w:tcPr>
            <w:tcW w:w="5245" w:type="dxa"/>
            <w:tcBorders>
              <w:top w:val="single" w:sz="4" w:space="0" w:color="auto"/>
              <w:left w:val="single" w:sz="4" w:space="0" w:color="auto"/>
              <w:bottom w:val="single" w:sz="4" w:space="0" w:color="auto"/>
              <w:right w:val="single" w:sz="4" w:space="0" w:color="auto"/>
            </w:tcBorders>
          </w:tcPr>
          <w:p w14:paraId="1E1DC9C2" w14:textId="6619CAA4" w:rsidR="003E4FF7" w:rsidRPr="00D609E7" w:rsidRDefault="00BD5A7D" w:rsidP="003E4FF7">
            <w:pPr>
              <w:autoSpaceDE w:val="0"/>
              <w:autoSpaceDN w:val="0"/>
              <w:adjustRightInd w:val="0"/>
              <w:spacing w:before="37"/>
              <w:ind w:left="231"/>
              <w:rPr>
                <w:rFonts w:cs="Arial"/>
                <w:noProof/>
              </w:rPr>
            </w:pPr>
            <w:r>
              <w:rPr>
                <w:rFonts w:cs="Arial"/>
                <w:noProof/>
              </w:rPr>
              <w:t>Sortenbeschreibung</w:t>
            </w:r>
          </w:p>
        </w:tc>
      </w:tr>
    </w:tbl>
    <w:p w14:paraId="4AEA3032" w14:textId="77777777" w:rsidR="003E4FF7" w:rsidRPr="00D609E7" w:rsidRDefault="003E4FF7" w:rsidP="003E4FF7">
      <w:pPr>
        <w:autoSpaceDE w:val="0"/>
        <w:autoSpaceDN w:val="0"/>
        <w:adjustRightInd w:val="0"/>
        <w:spacing w:before="18" w:line="220" w:lineRule="exact"/>
        <w:ind w:left="7797"/>
        <w:rPr>
          <w:rFonts w:cs="Arial"/>
          <w:noProof/>
        </w:rPr>
      </w:pPr>
    </w:p>
    <w:p w14:paraId="1547BC78" w14:textId="77777777" w:rsidR="003E4FF7" w:rsidRPr="00D609E7" w:rsidRDefault="003E4FF7" w:rsidP="003E4FF7">
      <w:pPr>
        <w:autoSpaceDE w:val="0"/>
        <w:autoSpaceDN w:val="0"/>
        <w:adjustRightInd w:val="0"/>
        <w:spacing w:before="18" w:line="220" w:lineRule="exact"/>
        <w:rPr>
          <w:rFonts w:cs="Arial"/>
          <w:noProof/>
        </w:rPr>
      </w:pPr>
    </w:p>
    <w:p w14:paraId="7C15F3F3" w14:textId="067FD57D" w:rsidR="003E4FF7" w:rsidRPr="00D609E7" w:rsidRDefault="00EA50B0" w:rsidP="003E4FF7">
      <w:pPr>
        <w:rPr>
          <w:rFonts w:cs="Arial"/>
          <w:noProof/>
        </w:rPr>
      </w:pPr>
      <w:r w:rsidRPr="00EA50B0">
        <w:rPr>
          <w:rFonts w:cs="Arial"/>
          <w:noProof/>
        </w:rPr>
        <w:t>Die für die Prüfung der Unterscheidbarkeit maßgeblichenen Verfahrensebenen sind 2 und 3. Ein Vergleich zwischen Sorten in derselben Anbauprüfung (gleiche(s) Jahr(e), gleicher Standort) wird an den in der Anbauprüfung erfa</w:t>
      </w:r>
      <w:r>
        <w:rPr>
          <w:rFonts w:cs="Arial"/>
          <w:noProof/>
        </w:rPr>
        <w:t>ss</w:t>
      </w:r>
      <w:r w:rsidRPr="00EA50B0">
        <w:rPr>
          <w:rFonts w:cs="Arial"/>
          <w:noProof/>
        </w:rPr>
        <w:t>ten tatsächlichen Daten durchgeführt. Dieser Ansatz bezieht sich auf die Verfahrensebene 2. Wenn Sorten nicht in derselben Anbauprüfung angebaut werden, müssen sie auf der Grundlage von Sortenbeschreibungen verglichen werden, die sich auf die Verfahrensebene 3 beziehen. Die Identifikation ähnlicher Sorten, die in den Anbauversuch einbezogen werden sollen („Verwaltung der Sortensammlung“), bezieht sich in der Regel auf die Verfahrensebene 3, während sich die Auswertung der Daten innerhalb des Anbauversuchs auf die Verfahrensebene 2 bezieht</w:t>
      </w:r>
      <w:r w:rsidR="003E4FF7" w:rsidRPr="00D609E7">
        <w:rPr>
          <w:rFonts w:cs="Arial"/>
          <w:noProof/>
        </w:rPr>
        <w:t>.</w:t>
      </w:r>
    </w:p>
    <w:p w14:paraId="713C9F7F" w14:textId="77777777" w:rsidR="003E4FF7" w:rsidRPr="00D609E7" w:rsidRDefault="003E4FF7" w:rsidP="003E4FF7">
      <w:pPr>
        <w:rPr>
          <w:rFonts w:cs="Arial"/>
          <w:noProof/>
        </w:rPr>
      </w:pPr>
    </w:p>
    <w:tbl>
      <w:tblPr>
        <w:tblStyle w:val="TableGrid"/>
        <w:tblW w:w="0" w:type="auto"/>
        <w:tblInd w:w="108" w:type="dxa"/>
        <w:tblLook w:val="04A0" w:firstRow="1" w:lastRow="0" w:firstColumn="1" w:lastColumn="0" w:noHBand="0" w:noVBand="1"/>
      </w:tblPr>
      <w:tblGrid>
        <w:gridCol w:w="1751"/>
        <w:gridCol w:w="2204"/>
        <w:gridCol w:w="2865"/>
        <w:gridCol w:w="2701"/>
      </w:tblGrid>
      <w:tr w:rsidR="003E4FF7" w:rsidRPr="00D609E7" w14:paraId="3A91376B" w14:textId="77777777" w:rsidTr="008042ED">
        <w:tc>
          <w:tcPr>
            <w:tcW w:w="1101" w:type="dxa"/>
            <w:tcBorders>
              <w:top w:val="single" w:sz="4" w:space="0" w:color="auto"/>
            </w:tcBorders>
          </w:tcPr>
          <w:p w14:paraId="3DBFAC78" w14:textId="550E4143" w:rsidR="003E4FF7" w:rsidRPr="00D609E7" w:rsidRDefault="002203A3" w:rsidP="003E4FF7">
            <w:pPr>
              <w:jc w:val="center"/>
              <w:rPr>
                <w:rFonts w:cs="Arial"/>
                <w:noProof/>
              </w:rPr>
            </w:pPr>
            <w:r>
              <w:rPr>
                <w:rFonts w:cs="Arial"/>
                <w:noProof/>
              </w:rPr>
              <w:t>Verfahrensebene</w:t>
            </w:r>
          </w:p>
        </w:tc>
        <w:tc>
          <w:tcPr>
            <w:tcW w:w="2268" w:type="dxa"/>
            <w:tcBorders>
              <w:top w:val="single" w:sz="4" w:space="0" w:color="auto"/>
            </w:tcBorders>
          </w:tcPr>
          <w:p w14:paraId="7D484FA2" w14:textId="1EEA96B0" w:rsidR="003E4FF7" w:rsidRPr="00D609E7" w:rsidRDefault="002203A3" w:rsidP="003E4FF7">
            <w:pPr>
              <w:jc w:val="center"/>
              <w:rPr>
                <w:rFonts w:cs="Arial"/>
                <w:noProof/>
              </w:rPr>
            </w:pPr>
            <w:r>
              <w:rPr>
                <w:rFonts w:cs="Arial"/>
                <w:noProof/>
              </w:rPr>
              <w:t>Messungen</w:t>
            </w:r>
          </w:p>
          <w:p w14:paraId="5A23E419" w14:textId="77777777" w:rsidR="003E4FF7" w:rsidRPr="00D609E7" w:rsidRDefault="003E4FF7" w:rsidP="003E4FF7">
            <w:pPr>
              <w:jc w:val="center"/>
              <w:rPr>
                <w:rFonts w:cs="Arial"/>
                <w:noProof/>
              </w:rPr>
            </w:pPr>
            <w:r w:rsidRPr="00D609E7">
              <w:rPr>
                <w:rFonts w:cs="Arial"/>
                <w:noProof/>
              </w:rPr>
              <w:t>(QN)</w:t>
            </w:r>
          </w:p>
        </w:tc>
        <w:tc>
          <w:tcPr>
            <w:tcW w:w="2976" w:type="dxa"/>
            <w:tcBorders>
              <w:top w:val="single" w:sz="4" w:space="0" w:color="auto"/>
            </w:tcBorders>
          </w:tcPr>
          <w:p w14:paraId="2DF282CD" w14:textId="28A38E45" w:rsidR="003E4FF7" w:rsidRPr="00D609E7" w:rsidRDefault="002203A3" w:rsidP="003E4FF7">
            <w:pPr>
              <w:jc w:val="center"/>
              <w:rPr>
                <w:rFonts w:cs="Arial"/>
                <w:noProof/>
              </w:rPr>
            </w:pPr>
            <w:r>
              <w:rPr>
                <w:rFonts w:cs="Arial"/>
                <w:noProof/>
              </w:rPr>
              <w:t>Visuelle Erfassung</w:t>
            </w:r>
          </w:p>
          <w:p w14:paraId="4B90C5A5" w14:textId="77777777" w:rsidR="003E4FF7" w:rsidRPr="00D609E7" w:rsidRDefault="003E4FF7" w:rsidP="003E4FF7">
            <w:pPr>
              <w:jc w:val="center"/>
              <w:rPr>
                <w:rFonts w:cs="Arial"/>
                <w:noProof/>
              </w:rPr>
            </w:pPr>
            <w:r w:rsidRPr="00D609E7">
              <w:rPr>
                <w:rFonts w:cs="Arial"/>
                <w:noProof/>
              </w:rPr>
              <w:t>(QN/QL/PQ)</w:t>
            </w:r>
          </w:p>
        </w:tc>
        <w:tc>
          <w:tcPr>
            <w:tcW w:w="2867" w:type="dxa"/>
            <w:tcBorders>
              <w:top w:val="single" w:sz="4" w:space="0" w:color="auto"/>
            </w:tcBorders>
          </w:tcPr>
          <w:p w14:paraId="0BFB163F" w14:textId="2595A69D" w:rsidR="003E4FF7" w:rsidRPr="00D609E7" w:rsidRDefault="002203A3" w:rsidP="003E4FF7">
            <w:pPr>
              <w:rPr>
                <w:rFonts w:cs="Arial"/>
                <w:noProof/>
              </w:rPr>
            </w:pPr>
            <w:r>
              <w:rPr>
                <w:rFonts w:cs="Arial"/>
                <w:noProof/>
              </w:rPr>
              <w:t>Bemerkung</w:t>
            </w:r>
          </w:p>
        </w:tc>
      </w:tr>
      <w:tr w:rsidR="003E4FF7" w:rsidRPr="00D609E7" w14:paraId="54E1E906" w14:textId="77777777" w:rsidTr="008042ED">
        <w:tc>
          <w:tcPr>
            <w:tcW w:w="1101" w:type="dxa"/>
            <w:tcBorders>
              <w:bottom w:val="single" w:sz="4" w:space="0" w:color="auto"/>
            </w:tcBorders>
          </w:tcPr>
          <w:p w14:paraId="7007D71D" w14:textId="77777777" w:rsidR="003E4FF7" w:rsidRPr="00D609E7" w:rsidRDefault="003E4FF7" w:rsidP="003E4FF7">
            <w:pPr>
              <w:spacing w:before="240"/>
              <w:jc w:val="center"/>
              <w:rPr>
                <w:rFonts w:cs="Arial"/>
                <w:noProof/>
              </w:rPr>
            </w:pPr>
            <w:r w:rsidRPr="00D609E7">
              <w:rPr>
                <w:rFonts w:cs="Arial"/>
                <w:noProof/>
              </w:rPr>
              <w:t>2</w:t>
            </w:r>
          </w:p>
        </w:tc>
        <w:tc>
          <w:tcPr>
            <w:tcW w:w="2268" w:type="dxa"/>
            <w:tcBorders>
              <w:bottom w:val="single" w:sz="4" w:space="0" w:color="auto"/>
            </w:tcBorders>
          </w:tcPr>
          <w:p w14:paraId="77D46C2B" w14:textId="3929A8E4" w:rsidR="003E4FF7" w:rsidRPr="00D609E7" w:rsidRDefault="002203A3" w:rsidP="003E4FF7">
            <w:pPr>
              <w:spacing w:before="240"/>
              <w:rPr>
                <w:rFonts w:cs="Arial"/>
                <w:noProof/>
              </w:rPr>
            </w:pPr>
            <w:r w:rsidRPr="00D609E7">
              <w:rPr>
                <w:rFonts w:cs="Arial"/>
                <w:noProof/>
                <w:lang w:val="en-US"/>
              </w:rPr>
              <mc:AlternateContent>
                <mc:Choice Requires="wps">
                  <w:drawing>
                    <wp:anchor distT="0" distB="0" distL="114300" distR="114300" simplePos="0" relativeHeight="251663360" behindDoc="0" locked="0" layoutInCell="1" allowOverlap="1" wp14:anchorId="14198001" wp14:editId="31506D06">
                      <wp:simplePos x="0" y="0"/>
                      <wp:positionH relativeFrom="column">
                        <wp:posOffset>118110</wp:posOffset>
                      </wp:positionH>
                      <wp:positionV relativeFrom="paragraph">
                        <wp:posOffset>396240</wp:posOffset>
                      </wp:positionV>
                      <wp:extent cx="116840" cy="619125"/>
                      <wp:effectExtent l="19050" t="0" r="35560" b="47625"/>
                      <wp:wrapNone/>
                      <wp:docPr id="1" name="Pfeil nach unten 6"/>
                      <wp:cNvGraphicFramePr/>
                      <a:graphic xmlns:a="http://schemas.openxmlformats.org/drawingml/2006/main">
                        <a:graphicData uri="http://schemas.microsoft.com/office/word/2010/wordprocessingShape">
                          <wps:wsp>
                            <wps:cNvSpPr/>
                            <wps:spPr>
                              <a:xfrm flipH="1">
                                <a:off x="0" y="0"/>
                                <a:ext cx="116840" cy="619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9C188E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6" o:spid="_x0000_s1026" type="#_x0000_t67" style="position:absolute;margin-left:9.3pt;margin-top:31.2pt;width:9.2pt;height:48.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" adj="19562" fillcolor="#4f81bd" strokecolor="#385d8a" strokeweight="2pt"/>
                  </w:pict>
                </mc:Fallback>
              </mc:AlternateContent>
            </w:r>
            <w:r>
              <w:rPr>
                <w:rFonts w:cs="Arial"/>
                <w:noProof/>
              </w:rPr>
              <w:t>Werte</w:t>
            </w:r>
          </w:p>
        </w:tc>
        <w:tc>
          <w:tcPr>
            <w:tcW w:w="2976" w:type="dxa"/>
            <w:tcBorders>
              <w:bottom w:val="single" w:sz="4" w:space="0" w:color="auto"/>
            </w:tcBorders>
          </w:tcPr>
          <w:p w14:paraId="2B46988C" w14:textId="044CDADF" w:rsidR="003E4FF7" w:rsidRPr="00D609E7" w:rsidRDefault="004A7662" w:rsidP="003E4FF7">
            <w:pPr>
              <w:spacing w:before="240"/>
              <w:rPr>
                <w:rFonts w:cs="Arial"/>
                <w:noProof/>
              </w:rPr>
            </w:pPr>
            <w:r w:rsidRPr="00D609E7">
              <w:rPr>
                <w:rFonts w:cs="Arial"/>
                <w:noProof/>
                <w:lang w:val="en-US"/>
              </w:rPr>
              <mc:AlternateContent>
                <mc:Choice Requires="wps">
                  <w:drawing>
                    <wp:anchor distT="0" distB="0" distL="114300" distR="114300" simplePos="0" relativeHeight="251665408" behindDoc="0" locked="0" layoutInCell="1" allowOverlap="1" wp14:anchorId="74C97173" wp14:editId="6F1247EE">
                      <wp:simplePos x="0" y="0"/>
                      <wp:positionH relativeFrom="column">
                        <wp:posOffset>122555</wp:posOffset>
                      </wp:positionH>
                      <wp:positionV relativeFrom="paragraph">
                        <wp:posOffset>396240</wp:posOffset>
                      </wp:positionV>
                      <wp:extent cx="116840" cy="619125"/>
                      <wp:effectExtent l="19050" t="0" r="35560" b="47625"/>
                      <wp:wrapNone/>
                      <wp:docPr id="2" name="Pfeil nach unten 2"/>
                      <wp:cNvGraphicFramePr/>
                      <a:graphic xmlns:a="http://schemas.openxmlformats.org/drawingml/2006/main">
                        <a:graphicData uri="http://schemas.microsoft.com/office/word/2010/wordprocessingShape">
                          <wps:wsp>
                            <wps:cNvSpPr/>
                            <wps:spPr>
                              <a:xfrm flipH="1">
                                <a:off x="0" y="0"/>
                                <a:ext cx="116840" cy="619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ED623E" id="Pfeil nach unten 2" o:spid="_x0000_s1026" type="#_x0000_t67" style="position:absolute;margin-left:9.65pt;margin-top:31.2pt;width:9.2pt;height:48.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" adj="19562" fillcolor="#4f81bd" strokecolor="#385d8a" strokeweight="2pt"/>
                  </w:pict>
                </mc:Fallback>
              </mc:AlternateContent>
            </w:r>
            <w:r w:rsidRPr="00D609E7">
              <w:rPr>
                <w:rFonts w:cs="Arial"/>
                <w:noProof/>
              </w:rPr>
              <w:t>Note</w:t>
            </w:r>
            <w:r>
              <w:rPr>
                <w:rFonts w:cs="Arial"/>
                <w:noProof/>
              </w:rPr>
              <w:t>n</w:t>
            </w:r>
          </w:p>
        </w:tc>
        <w:tc>
          <w:tcPr>
            <w:tcW w:w="2867" w:type="dxa"/>
            <w:tcBorders>
              <w:bottom w:val="single" w:sz="4" w:space="0" w:color="auto"/>
            </w:tcBorders>
          </w:tcPr>
          <w:p w14:paraId="4E56EE21" w14:textId="6EB8ACE4" w:rsidR="003E4FF7" w:rsidRPr="00D609E7" w:rsidRDefault="00E9417B" w:rsidP="00721D5F">
            <w:pPr>
              <w:spacing w:before="240"/>
              <w:jc w:val="left"/>
              <w:rPr>
                <w:rFonts w:cs="Arial"/>
                <w:noProof/>
              </w:rPr>
            </w:pPr>
            <w:r>
              <w:rPr>
                <w:rFonts w:cs="Arial"/>
                <w:noProof/>
              </w:rPr>
              <w:t>Grundlage für den Vergleich innerhalb desselben Anbauversuchs</w:t>
            </w:r>
          </w:p>
          <w:p w14:paraId="77FA3576" w14:textId="77777777" w:rsidR="003E4FF7" w:rsidRPr="00D609E7" w:rsidRDefault="003E4FF7" w:rsidP="00721D5F">
            <w:pPr>
              <w:jc w:val="left"/>
              <w:rPr>
                <w:rFonts w:cs="Arial"/>
                <w:noProof/>
              </w:rPr>
            </w:pPr>
          </w:p>
        </w:tc>
      </w:tr>
      <w:tr w:rsidR="003E4FF7" w:rsidRPr="00D609E7" w14:paraId="767FDC13" w14:textId="77777777" w:rsidTr="008042ED">
        <w:tc>
          <w:tcPr>
            <w:tcW w:w="1101" w:type="dxa"/>
            <w:tcBorders>
              <w:bottom w:val="nil"/>
              <w:right w:val="single" w:sz="4" w:space="0" w:color="auto"/>
            </w:tcBorders>
          </w:tcPr>
          <w:p w14:paraId="79B58070" w14:textId="77777777" w:rsidR="003E4FF7" w:rsidRPr="00D609E7" w:rsidRDefault="003E4FF7" w:rsidP="003E4FF7">
            <w:pPr>
              <w:spacing w:before="240"/>
              <w:jc w:val="center"/>
              <w:rPr>
                <w:rFonts w:cs="Arial"/>
                <w:noProof/>
              </w:rPr>
            </w:pPr>
            <w:r w:rsidRPr="00D609E7">
              <w:rPr>
                <w:rFonts w:cs="Arial"/>
                <w:noProof/>
              </w:rPr>
              <w:t>3</w:t>
            </w:r>
          </w:p>
        </w:tc>
        <w:tc>
          <w:tcPr>
            <w:tcW w:w="2268" w:type="dxa"/>
            <w:tcBorders>
              <w:top w:val="single" w:sz="4" w:space="0" w:color="auto"/>
              <w:left w:val="single" w:sz="4" w:space="0" w:color="auto"/>
              <w:bottom w:val="nil"/>
              <w:right w:val="single" w:sz="4" w:space="0" w:color="auto"/>
            </w:tcBorders>
          </w:tcPr>
          <w:p w14:paraId="430D5328" w14:textId="3DCD9533" w:rsidR="003E4FF7" w:rsidRPr="00D609E7" w:rsidRDefault="002203A3" w:rsidP="00721D5F">
            <w:pPr>
              <w:spacing w:before="120"/>
              <w:ind w:left="600"/>
              <w:jc w:val="left"/>
              <w:rPr>
                <w:rFonts w:cs="Arial"/>
                <w:noProof/>
              </w:rPr>
            </w:pPr>
            <w:r>
              <w:rPr>
                <w:rFonts w:cs="Arial"/>
                <w:noProof/>
              </w:rPr>
              <w:t>Umsetzung in Noten</w:t>
            </w:r>
            <w:r w:rsidR="003E4FF7" w:rsidRPr="00D609E7">
              <w:rPr>
                <w:rFonts w:cs="Arial"/>
                <w:noProof/>
              </w:rPr>
              <w:t xml:space="preserve"> </w:t>
            </w:r>
          </w:p>
          <w:p w14:paraId="713BF2C8" w14:textId="12E18E70" w:rsidR="003E4FF7" w:rsidRPr="00D609E7" w:rsidRDefault="002203A3" w:rsidP="003E4FF7">
            <w:pPr>
              <w:spacing w:before="120"/>
              <w:rPr>
                <w:rFonts w:cs="Arial"/>
                <w:noProof/>
              </w:rPr>
            </w:pPr>
            <w:r w:rsidRPr="00D609E7">
              <w:rPr>
                <w:rFonts w:cs="Arial"/>
                <w:noProof/>
              </w:rPr>
              <w:t>Note</w:t>
            </w:r>
            <w:r>
              <w:rPr>
                <w:rFonts w:cs="Arial"/>
                <w:noProof/>
              </w:rPr>
              <w:t>n</w:t>
            </w:r>
          </w:p>
        </w:tc>
        <w:tc>
          <w:tcPr>
            <w:tcW w:w="2976" w:type="dxa"/>
            <w:tcBorders>
              <w:left w:val="single" w:sz="4" w:space="0" w:color="auto"/>
              <w:bottom w:val="nil"/>
            </w:tcBorders>
          </w:tcPr>
          <w:p w14:paraId="23DDC6EA" w14:textId="7222080C" w:rsidR="003E4FF7" w:rsidRPr="00D609E7" w:rsidRDefault="004A7662" w:rsidP="00FE55ED">
            <w:pPr>
              <w:spacing w:before="120"/>
              <w:ind w:left="459"/>
              <w:jc w:val="left"/>
              <w:rPr>
                <w:rFonts w:cs="Arial"/>
                <w:noProof/>
              </w:rPr>
            </w:pPr>
            <w:r>
              <w:rPr>
                <w:rFonts w:cs="Arial"/>
                <w:noProof/>
              </w:rPr>
              <w:t>Gleiche Noten wie in Verfahrensebene</w:t>
            </w:r>
            <w:r w:rsidR="003E4FF7" w:rsidRPr="00D609E7">
              <w:rPr>
                <w:rFonts w:cs="Arial"/>
                <w:noProof/>
              </w:rPr>
              <w:t xml:space="preserve"> 1</w:t>
            </w:r>
          </w:p>
          <w:p w14:paraId="0E24B3FC" w14:textId="77777777" w:rsidR="003E4FF7" w:rsidRPr="00D609E7" w:rsidRDefault="003E4FF7" w:rsidP="003E4FF7">
            <w:pPr>
              <w:spacing w:before="120"/>
              <w:ind w:left="34"/>
              <w:rPr>
                <w:rFonts w:cs="Arial"/>
                <w:noProof/>
              </w:rPr>
            </w:pPr>
          </w:p>
          <w:p w14:paraId="31198E22" w14:textId="1E9B9864" w:rsidR="003E4FF7" w:rsidRPr="00D609E7" w:rsidRDefault="004A7662" w:rsidP="003E4FF7">
            <w:pPr>
              <w:ind w:left="34"/>
              <w:rPr>
                <w:rFonts w:cs="Arial"/>
                <w:noProof/>
              </w:rPr>
            </w:pPr>
            <w:r w:rsidRPr="00D609E7">
              <w:rPr>
                <w:rFonts w:cs="Arial"/>
                <w:noProof/>
              </w:rPr>
              <w:t>Note</w:t>
            </w:r>
            <w:r>
              <w:rPr>
                <w:rFonts w:cs="Arial"/>
                <w:noProof/>
              </w:rPr>
              <w:t>n</w:t>
            </w:r>
          </w:p>
        </w:tc>
        <w:tc>
          <w:tcPr>
            <w:tcW w:w="2867" w:type="dxa"/>
            <w:tcBorders>
              <w:bottom w:val="nil"/>
            </w:tcBorders>
          </w:tcPr>
          <w:p w14:paraId="3C6E820C" w14:textId="5231FAAF" w:rsidR="003E4FF7" w:rsidRPr="00D609E7" w:rsidRDefault="002A5546" w:rsidP="00831DB0">
            <w:pPr>
              <w:spacing w:before="240"/>
              <w:jc w:val="left"/>
              <w:rPr>
                <w:rFonts w:cs="Arial"/>
                <w:noProof/>
              </w:rPr>
            </w:pPr>
            <w:r>
              <w:rPr>
                <w:rFonts w:cs="Arial"/>
                <w:noProof/>
              </w:rPr>
              <w:t>Noten, die sich aus einem Jahr und einem Standort ergeben</w:t>
            </w:r>
          </w:p>
        </w:tc>
      </w:tr>
      <w:tr w:rsidR="003E4FF7" w:rsidRPr="00D609E7" w14:paraId="75256AB9" w14:textId="77777777" w:rsidTr="008042ED">
        <w:tc>
          <w:tcPr>
            <w:tcW w:w="1101" w:type="dxa"/>
            <w:tcBorders>
              <w:top w:val="nil"/>
            </w:tcBorders>
          </w:tcPr>
          <w:p w14:paraId="222ABD50" w14:textId="77777777" w:rsidR="003E4FF7" w:rsidRPr="00D609E7" w:rsidRDefault="003E4FF7" w:rsidP="003E4FF7">
            <w:pPr>
              <w:jc w:val="center"/>
              <w:rPr>
                <w:rFonts w:cs="Arial"/>
                <w:noProof/>
              </w:rPr>
            </w:pPr>
          </w:p>
        </w:tc>
        <w:tc>
          <w:tcPr>
            <w:tcW w:w="5244" w:type="dxa"/>
            <w:gridSpan w:val="2"/>
            <w:tcBorders>
              <w:top w:val="nil"/>
            </w:tcBorders>
          </w:tcPr>
          <w:p w14:paraId="5CAD7C01" w14:textId="77777777" w:rsidR="003E4FF7" w:rsidRPr="00D609E7" w:rsidRDefault="003E4FF7" w:rsidP="003E4FF7">
            <w:pPr>
              <w:spacing w:before="240"/>
              <w:jc w:val="center"/>
              <w:rPr>
                <w:rFonts w:cs="Arial"/>
                <w:noProof/>
              </w:rPr>
            </w:pPr>
            <w:r w:rsidRPr="00D609E7">
              <w:rPr>
                <w:rFonts w:cs="Arial"/>
                <w:noProof/>
                <w:lang w:val="en-US"/>
              </w:rPr>
              <mc:AlternateContent>
                <mc:Choice Requires="wps">
                  <w:drawing>
                    <wp:anchor distT="0" distB="0" distL="114300" distR="114300" simplePos="0" relativeHeight="251660288" behindDoc="0" locked="0" layoutInCell="1" allowOverlap="1" wp14:anchorId="07F50B60" wp14:editId="76FA54C6">
                      <wp:simplePos x="0" y="0"/>
                      <wp:positionH relativeFrom="column">
                        <wp:posOffset>1271693</wp:posOffset>
                      </wp:positionH>
                      <wp:positionV relativeFrom="paragraph">
                        <wp:posOffset>92710</wp:posOffset>
                      </wp:positionV>
                      <wp:extent cx="116840" cy="314325"/>
                      <wp:effectExtent l="38100" t="12700" r="10160" b="28575"/>
                      <wp:wrapNone/>
                      <wp:docPr id="20" name="Pfeil nach unten 4"/>
                      <wp:cNvGraphicFramePr/>
                      <a:graphic xmlns:a="http://schemas.openxmlformats.org/drawingml/2006/main">
                        <a:graphicData uri="http://schemas.microsoft.com/office/word/2010/wordprocessingShape">
                          <wps:wsp>
                            <wps:cNvSpPr/>
                            <wps:spPr>
                              <a:xfrm flipH="1">
                                <a:off x="0" y="0"/>
                                <a:ext cx="116840" cy="3143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80236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4" o:spid="_x0000_s1026" type="#_x0000_t67" style="position:absolute;margin-left:100.15pt;margin-top:7.3pt;width:9.2pt;height:24.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" adj="17585" fillcolor="#4f81bd" strokecolor="#385d8a" strokeweight="2pt"/>
                  </w:pict>
                </mc:Fallback>
              </mc:AlternateContent>
            </w:r>
          </w:p>
          <w:p w14:paraId="067B1952" w14:textId="6428A5B8" w:rsidR="003E4FF7" w:rsidRPr="00D609E7" w:rsidRDefault="002203A3" w:rsidP="003E4FF7">
            <w:pPr>
              <w:spacing w:before="240"/>
              <w:jc w:val="center"/>
              <w:rPr>
                <w:rFonts w:cs="Arial"/>
                <w:noProof/>
              </w:rPr>
            </w:pPr>
            <w:r>
              <w:rPr>
                <w:rFonts w:cs="Arial"/>
                <w:noProof/>
              </w:rPr>
              <w:t>„Mittlere Sortenbeschreibung“</w:t>
            </w:r>
            <w:r w:rsidR="003E4FF7" w:rsidRPr="00D609E7">
              <w:rPr>
                <w:rFonts w:cs="Arial"/>
                <w:noProof/>
              </w:rPr>
              <w:t xml:space="preserve"> </w:t>
            </w:r>
          </w:p>
          <w:p w14:paraId="3B8701EE" w14:textId="3C78B324" w:rsidR="003E4FF7" w:rsidRPr="00D609E7" w:rsidRDefault="004A7662" w:rsidP="003E4FF7">
            <w:pPr>
              <w:spacing w:before="120"/>
              <w:jc w:val="center"/>
              <w:rPr>
                <w:rFonts w:cs="Arial"/>
                <w:noProof/>
              </w:rPr>
            </w:pPr>
            <w:r>
              <w:rPr>
                <w:rFonts w:cs="Arial"/>
                <w:noProof/>
              </w:rPr>
              <w:t>Wenn Sorten in mehreren Anbauversuchen/Jahren/Standorten geprüft werden, können mittlere Sortenbeschreibungen erstellt werden</w:t>
            </w:r>
            <w:r w:rsidR="003E4FF7" w:rsidRPr="00D609E7">
              <w:rPr>
                <w:rFonts w:cs="Arial"/>
                <w:noProof/>
              </w:rPr>
              <w:t>.</w:t>
            </w:r>
          </w:p>
        </w:tc>
        <w:tc>
          <w:tcPr>
            <w:tcW w:w="2867" w:type="dxa"/>
            <w:tcBorders>
              <w:top w:val="nil"/>
            </w:tcBorders>
          </w:tcPr>
          <w:p w14:paraId="4561E891" w14:textId="77777777" w:rsidR="003E4FF7" w:rsidRPr="00D609E7" w:rsidRDefault="003E4FF7" w:rsidP="003E4FF7">
            <w:pPr>
              <w:spacing w:before="240"/>
              <w:rPr>
                <w:rFonts w:cs="Arial"/>
                <w:noProof/>
              </w:rPr>
            </w:pPr>
          </w:p>
          <w:p w14:paraId="5823EC19" w14:textId="7D7D3248" w:rsidR="003E4FF7" w:rsidRPr="00D609E7" w:rsidRDefault="002A5546" w:rsidP="00831DB0">
            <w:pPr>
              <w:spacing w:before="240"/>
              <w:jc w:val="left"/>
              <w:rPr>
                <w:rFonts w:cs="Arial"/>
                <w:noProof/>
              </w:rPr>
            </w:pPr>
            <w:r>
              <w:rPr>
                <w:rFonts w:cs="Arial"/>
                <w:noProof/>
              </w:rPr>
              <w:t>Grundlage für die Verwaltung der Sortensammlung</w:t>
            </w:r>
          </w:p>
        </w:tc>
      </w:tr>
    </w:tbl>
    <w:p w14:paraId="377C2DC6" w14:textId="77777777" w:rsidR="003E4FF7" w:rsidRPr="00D609E7" w:rsidRDefault="003E4FF7" w:rsidP="003E4FF7">
      <w:pPr>
        <w:rPr>
          <w:rFonts w:cs="Arial"/>
          <w:noProof/>
        </w:rPr>
      </w:pPr>
    </w:p>
    <w:p w14:paraId="31F4D46E" w14:textId="607F6F89" w:rsidR="003E4FF7" w:rsidRPr="00D609E7" w:rsidRDefault="008D07B2" w:rsidP="003E4FF7">
      <w:pPr>
        <w:rPr>
          <w:rFonts w:cs="Arial"/>
          <w:noProof/>
        </w:rPr>
      </w:pPr>
      <w:r w:rsidRPr="008D07B2">
        <w:rPr>
          <w:rFonts w:cs="Arial"/>
          <w:noProof/>
        </w:rPr>
        <w:t>Quantitative Merkmale werden in der Regel durch die Umwelt beeinflu</w:t>
      </w:r>
      <w:r w:rsidR="00AC0450">
        <w:rPr>
          <w:rFonts w:cs="Arial"/>
          <w:noProof/>
        </w:rPr>
        <w:t>ss</w:t>
      </w:r>
      <w:r w:rsidRPr="008D07B2">
        <w:rPr>
          <w:rFonts w:cs="Arial"/>
          <w:noProof/>
        </w:rPr>
        <w:t xml:space="preserve">t. Ein effizientes Mittel zur Verringerung des Umwelteinflusses ist die Umsetzung der tatsächlichen Messungen in Noten. Die Noten stellen eine standardisierte Beschreibung von Sorten in bezug auf die Beispielssorten dar (vergleiche Dokument TGP/7). Zudem kann die Vergleichbarkeit von Sortenbeschreibungen für Sorten, die nicht im selben Anbauversuch geprüft werden, verbessert werden, indem eine mittlere Beschreibung über mehrere Wachstumsperioden ermittelt wird. Die mittlere Beschreibung über mehrere Wachstumsperioden am selben Standort kann insbesondere eine repräsentative Beschreibung in </w:t>
      </w:r>
      <w:r w:rsidR="00AC0450">
        <w:rPr>
          <w:rFonts w:cs="Arial"/>
          <w:noProof/>
        </w:rPr>
        <w:t>B</w:t>
      </w:r>
      <w:r w:rsidRPr="008D07B2">
        <w:rPr>
          <w:rFonts w:cs="Arial"/>
          <w:noProof/>
        </w:rPr>
        <w:t xml:space="preserve">ezug auf den Standort bereitstellen. Die Ermittlung einer mittleren Sortenbeschreibung über verschiedene Standorte sollte nur erwogen werden, wenn die Auswirkungen der Standorte gut bekannt sind und Interaktionen </w:t>
      </w:r>
      <w:r w:rsidR="002626CB" w:rsidRPr="003D0B53">
        <w:rPr>
          <w:rFonts w:cs="Arial"/>
          <w:noProof/>
        </w:rPr>
        <w:t xml:space="preserve">zwischen </w:t>
      </w:r>
      <w:r w:rsidRPr="003D0B53">
        <w:rPr>
          <w:rFonts w:cs="Arial"/>
          <w:noProof/>
        </w:rPr>
        <w:t xml:space="preserve">Sorte </w:t>
      </w:r>
      <w:r w:rsidR="002626CB" w:rsidRPr="003D0B53">
        <w:rPr>
          <w:rFonts w:cs="Arial"/>
          <w:noProof/>
        </w:rPr>
        <w:t>und</w:t>
      </w:r>
      <w:r w:rsidR="00984A50" w:rsidRPr="003D0B53">
        <w:rPr>
          <w:rFonts w:cs="Arial"/>
          <w:noProof/>
        </w:rPr>
        <w:t xml:space="preserve"> </w:t>
      </w:r>
      <w:r w:rsidRPr="003D0B53">
        <w:rPr>
          <w:rFonts w:cs="Arial"/>
          <w:noProof/>
        </w:rPr>
        <w:t>Standort</w:t>
      </w:r>
      <w:r w:rsidRPr="008D07B2">
        <w:rPr>
          <w:rFonts w:cs="Arial"/>
          <w:noProof/>
        </w:rPr>
        <w:t xml:space="preserve"> für alle Merkmale ausgeschlossen werden können. Die Ermittlung mittlerer Beschreibungen über Standorte sollte sich auf Fälle beschränken, in denen diese Bedingungen erfüllt sind</w:t>
      </w:r>
      <w:r w:rsidR="003E4FF7" w:rsidRPr="00D609E7">
        <w:rPr>
          <w:rFonts w:cs="Arial"/>
          <w:noProof/>
        </w:rPr>
        <w:t>.</w:t>
      </w:r>
    </w:p>
    <w:p w14:paraId="18864F17" w14:textId="77777777" w:rsidR="003E4FF7" w:rsidRPr="00D609E7" w:rsidRDefault="003E4FF7" w:rsidP="003E4FF7">
      <w:pPr>
        <w:rPr>
          <w:rFonts w:cs="Arial"/>
          <w:noProof/>
        </w:rPr>
      </w:pPr>
    </w:p>
    <w:p w14:paraId="7394D1A3" w14:textId="38A194BA" w:rsidR="003E4FF7" w:rsidRPr="00D609E7" w:rsidRDefault="00C516D0" w:rsidP="003E4FF7">
      <w:pPr>
        <w:rPr>
          <w:rFonts w:cs="Arial"/>
          <w:noProof/>
        </w:rPr>
      </w:pPr>
      <w:r w:rsidRPr="00C516D0">
        <w:rPr>
          <w:rFonts w:cs="Arial"/>
          <w:noProof/>
        </w:rPr>
        <w:t>Wenn Sortenbeschreibungen aus verschiedenen Anbauversuchen für die Prüfung der Unterscheidbarkeit verwendet werden – das heißt für die Verwaltung von Sortensammlungen –, ist es wichtig, die Herkunft der unterschiedlichen Sortenbeschreibungen der Kandidatensorte und der allgemein bekannten Sorten zu berücksichtigen. Die Vergleichbarkeit von Sorten</w:t>
      </w:r>
      <w:r w:rsidR="00F46749">
        <w:rPr>
          <w:rFonts w:cs="Arial"/>
          <w:noProof/>
        </w:rPr>
        <w:t>b</w:t>
      </w:r>
      <w:r w:rsidRPr="00C516D0">
        <w:rPr>
          <w:rFonts w:cs="Arial"/>
          <w:noProof/>
        </w:rPr>
        <w:t>eschreibungen wird durch zahlreiche Faktoren beeinflu</w:t>
      </w:r>
      <w:r w:rsidR="00A83D16">
        <w:rPr>
          <w:rFonts w:cs="Arial"/>
          <w:noProof/>
        </w:rPr>
        <w:t>ss</w:t>
      </w:r>
      <w:r w:rsidRPr="00C516D0">
        <w:rPr>
          <w:rFonts w:cs="Arial"/>
          <w:noProof/>
        </w:rPr>
        <w:t>t, beispielsweise</w:t>
      </w:r>
      <w:r w:rsidR="003E4FF7" w:rsidRPr="00D609E7">
        <w:rPr>
          <w:rFonts w:cs="Arial"/>
          <w:noProof/>
        </w:rPr>
        <w:t>:</w:t>
      </w:r>
    </w:p>
    <w:p w14:paraId="2F3B4178" w14:textId="77777777" w:rsidR="003E4FF7" w:rsidRPr="00D609E7" w:rsidRDefault="003E4FF7" w:rsidP="003E4FF7">
      <w:pPr>
        <w:rPr>
          <w:rFonts w:cs="Arial"/>
          <w:noProof/>
        </w:rPr>
      </w:pPr>
    </w:p>
    <w:p w14:paraId="682EE882" w14:textId="77777777" w:rsidR="00F46197" w:rsidRPr="00C720DA" w:rsidRDefault="00F46197" w:rsidP="00F46197">
      <w:pPr>
        <w:numPr>
          <w:ilvl w:val="0"/>
          <w:numId w:val="4"/>
        </w:numPr>
        <w:rPr>
          <w:rFonts w:cs="Arial"/>
        </w:rPr>
      </w:pPr>
      <w:r w:rsidRPr="00C720DA">
        <w:rPr>
          <w:rFonts w:cs="Arial"/>
        </w:rPr>
        <w:t>Auf einem einzigen Jahr oder einem Mittelwert über mehrere Jahre basierende Beschreibung?</w:t>
      </w:r>
    </w:p>
    <w:p w14:paraId="6A9AABAD" w14:textId="77777777" w:rsidR="00F46197" w:rsidRPr="00C720DA" w:rsidRDefault="00F46197" w:rsidP="00F46197">
      <w:pPr>
        <w:numPr>
          <w:ilvl w:val="0"/>
          <w:numId w:val="4"/>
        </w:numPr>
        <w:rPr>
          <w:rFonts w:cs="Arial"/>
        </w:rPr>
      </w:pPr>
      <w:r w:rsidRPr="00C720DA">
        <w:rPr>
          <w:rFonts w:cs="Arial"/>
        </w:rPr>
        <w:t>Auf demselben Standort oder verschiedenen Standorten basierende Beschreibung?</w:t>
      </w:r>
    </w:p>
    <w:p w14:paraId="4AB8EDA1" w14:textId="77777777" w:rsidR="00F46197" w:rsidRPr="00C720DA" w:rsidRDefault="00F46197" w:rsidP="00F46197">
      <w:pPr>
        <w:numPr>
          <w:ilvl w:val="0"/>
          <w:numId w:val="4"/>
        </w:numPr>
        <w:rPr>
          <w:rFonts w:cs="Arial"/>
        </w:rPr>
      </w:pPr>
      <w:r w:rsidRPr="00C720DA">
        <w:rPr>
          <w:rFonts w:cs="Arial"/>
        </w:rPr>
        <w:t>Sind die Auswirkungen des unterschiedlichen Standortes bekannt?</w:t>
      </w:r>
    </w:p>
    <w:p w14:paraId="036AA796" w14:textId="6CD61C10" w:rsidR="003E4FF7" w:rsidRPr="00D609E7" w:rsidRDefault="00F46197" w:rsidP="003E4FF7">
      <w:pPr>
        <w:numPr>
          <w:ilvl w:val="0"/>
          <w:numId w:val="4"/>
        </w:numPr>
        <w:rPr>
          <w:rFonts w:cs="Arial"/>
          <w:noProof/>
        </w:rPr>
      </w:pPr>
      <w:r w:rsidRPr="00C720DA">
        <w:rPr>
          <w:rFonts w:cs="Arial"/>
        </w:rPr>
        <w:t xml:space="preserve">In </w:t>
      </w:r>
      <w:r>
        <w:rPr>
          <w:rFonts w:cs="Arial"/>
        </w:rPr>
        <w:t>B</w:t>
      </w:r>
      <w:r w:rsidRPr="00C720DA">
        <w:rPr>
          <w:rFonts w:cs="Arial"/>
        </w:rPr>
        <w:t>ezug auf dieselbe Sortensammlung oder eine Sortensammlung, die eine unterschiedliche Variationsbreite umfa</w:t>
      </w:r>
      <w:r>
        <w:rPr>
          <w:rFonts w:cs="Arial"/>
        </w:rPr>
        <w:t>ss</w:t>
      </w:r>
      <w:r w:rsidRPr="00C720DA">
        <w:rPr>
          <w:rFonts w:cs="Arial"/>
        </w:rPr>
        <w:t>t, beschriebene Sorten</w:t>
      </w:r>
      <w:r w:rsidR="003E4FF7" w:rsidRPr="00D609E7">
        <w:rPr>
          <w:rFonts w:cs="Arial"/>
          <w:noProof/>
        </w:rPr>
        <w:t>?</w:t>
      </w:r>
    </w:p>
    <w:p w14:paraId="2DABE4F5" w14:textId="77777777" w:rsidR="003E4FF7" w:rsidRPr="00D609E7" w:rsidRDefault="003E4FF7" w:rsidP="003E4FF7">
      <w:pPr>
        <w:rPr>
          <w:rFonts w:cs="Arial"/>
          <w:noProof/>
        </w:rPr>
      </w:pPr>
    </w:p>
    <w:p w14:paraId="367B5F13" w14:textId="6CFF85E0" w:rsidR="003E4FF7" w:rsidRPr="00D609E7" w:rsidRDefault="00677FA8" w:rsidP="003E4FF7">
      <w:pPr>
        <w:rPr>
          <w:rFonts w:cs="Arial"/>
          <w:noProof/>
        </w:rPr>
      </w:pPr>
      <w:r w:rsidRPr="00C720DA">
        <w:rPr>
          <w:rFonts w:cs="Arial"/>
        </w:rPr>
        <w:t xml:space="preserve">Die potentielle Verzerrung von Sortenbeschreibungen infolge von Umwelteffekten zwischen Kandidatensorten und Sorten in der Sortensammlung </w:t>
      </w:r>
      <w:r w:rsidR="009979E3" w:rsidRPr="00C720DA">
        <w:rPr>
          <w:rFonts w:cs="Arial"/>
        </w:rPr>
        <w:t>mu</w:t>
      </w:r>
      <w:r w:rsidR="009979E3">
        <w:rPr>
          <w:rFonts w:cs="Arial"/>
        </w:rPr>
        <w:t>ss</w:t>
      </w:r>
      <w:r w:rsidR="009979E3" w:rsidRPr="00C720DA">
        <w:rPr>
          <w:rFonts w:cs="Arial"/>
        </w:rPr>
        <w:t xml:space="preserve"> </w:t>
      </w:r>
      <w:r w:rsidRPr="00C720DA">
        <w:rPr>
          <w:rFonts w:cs="Arial"/>
        </w:rPr>
        <w:t xml:space="preserve">im </w:t>
      </w:r>
      <w:r>
        <w:rPr>
          <w:rFonts w:cs="Arial"/>
        </w:rPr>
        <w:t>Verfahren</w:t>
      </w:r>
      <w:r w:rsidRPr="00C720DA">
        <w:rPr>
          <w:rFonts w:cs="Arial"/>
        </w:rPr>
        <w:t xml:space="preserve"> der Unterscheidbarkeitsprüfung und insbesondere für die Identifikation allgemein bekannter Sorten, die in den Anbauversuch einzubeziehen sind, berücksichtigt werden</w:t>
      </w:r>
      <w:r w:rsidR="003E4FF7" w:rsidRPr="00D609E7">
        <w:rPr>
          <w:rFonts w:cs="Arial"/>
          <w:noProof/>
        </w:rPr>
        <w:t>.</w:t>
      </w:r>
    </w:p>
    <w:p w14:paraId="35FB2E1A" w14:textId="77777777" w:rsidR="003E4FF7" w:rsidRPr="00D609E7" w:rsidRDefault="003E4FF7" w:rsidP="003E4FF7">
      <w:pPr>
        <w:rPr>
          <w:noProof/>
        </w:rPr>
      </w:pPr>
    </w:p>
    <w:p w14:paraId="002458E4" w14:textId="77777777" w:rsidR="003E4FF7" w:rsidRPr="00D609E7" w:rsidRDefault="003E4FF7" w:rsidP="003E4FF7">
      <w:pPr>
        <w:rPr>
          <w:noProof/>
        </w:rPr>
      </w:pPr>
    </w:p>
    <w:p w14:paraId="0D72D436" w14:textId="77777777" w:rsidR="003E4FF7" w:rsidRPr="00D609E7" w:rsidRDefault="003E4FF7" w:rsidP="003E4FF7">
      <w:pPr>
        <w:rPr>
          <w:noProof/>
        </w:rPr>
      </w:pPr>
    </w:p>
    <w:p w14:paraId="0943C3A2" w14:textId="53049047" w:rsidR="003E4FF7" w:rsidRPr="00D609E7" w:rsidRDefault="003E4FF7" w:rsidP="003E4FF7">
      <w:pPr>
        <w:spacing w:line="360" w:lineRule="auto"/>
        <w:jc w:val="right"/>
        <w:rPr>
          <w:noProof/>
        </w:rPr>
      </w:pPr>
      <w:r w:rsidRPr="00D609E7">
        <w:rPr>
          <w:noProof/>
        </w:rPr>
        <w:t>[End</w:t>
      </w:r>
      <w:r w:rsidR="00677FA8">
        <w:rPr>
          <w:noProof/>
        </w:rPr>
        <w:t>e</w:t>
      </w:r>
      <w:r w:rsidRPr="00D609E7">
        <w:rPr>
          <w:noProof/>
        </w:rPr>
        <w:t xml:space="preserve"> </w:t>
      </w:r>
      <w:r w:rsidR="00677FA8">
        <w:rPr>
          <w:noProof/>
        </w:rPr>
        <w:t>der</w:t>
      </w:r>
      <w:r w:rsidR="00677FA8" w:rsidRPr="00D609E7">
        <w:rPr>
          <w:noProof/>
        </w:rPr>
        <w:t xml:space="preserve"> </w:t>
      </w:r>
      <w:r w:rsidR="00677FA8">
        <w:rPr>
          <w:noProof/>
        </w:rPr>
        <w:t>Anlage</w:t>
      </w:r>
      <w:r w:rsidR="00677FA8" w:rsidRPr="00D609E7">
        <w:rPr>
          <w:noProof/>
        </w:rPr>
        <w:t xml:space="preserve"> </w:t>
      </w:r>
      <w:r w:rsidR="00677FA8">
        <w:rPr>
          <w:noProof/>
        </w:rPr>
        <w:t>und des Dokuments</w:t>
      </w:r>
      <w:r w:rsidRPr="00D609E7">
        <w:rPr>
          <w:noProof/>
        </w:rPr>
        <w:t>]</w:t>
      </w:r>
    </w:p>
    <w:p w14:paraId="07B4DF8C" w14:textId="77777777" w:rsidR="003E4FF7" w:rsidRPr="00D609E7" w:rsidRDefault="003E4FF7" w:rsidP="003E4FF7">
      <w:pPr>
        <w:jc w:val="left"/>
        <w:rPr>
          <w:noProof/>
        </w:rPr>
      </w:pPr>
    </w:p>
    <w:bookmarkEnd w:id="0"/>
    <w:p w14:paraId="40F0C4A6" w14:textId="77777777" w:rsidR="00050E16" w:rsidRPr="00D609E7" w:rsidRDefault="00050E16" w:rsidP="003E4FF7">
      <w:pPr>
        <w:rPr>
          <w:noProof/>
        </w:rPr>
      </w:pPr>
    </w:p>
    <w:sectPr w:rsidR="00050E16" w:rsidRPr="00D609E7" w:rsidSect="0004198B">
      <w:headerReference w:type="default" r:id="rId10"/>
      <w:headerReference w:type="firs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162E7" w14:textId="77777777" w:rsidR="00C5672C" w:rsidRDefault="00C5672C" w:rsidP="006655D3">
      <w:r>
        <w:separator/>
      </w:r>
    </w:p>
    <w:p w14:paraId="503BEFAA" w14:textId="77777777" w:rsidR="00C5672C" w:rsidRDefault="00C5672C" w:rsidP="006655D3"/>
    <w:p w14:paraId="26662BFF" w14:textId="77777777" w:rsidR="00C5672C" w:rsidRDefault="00C5672C" w:rsidP="006655D3"/>
  </w:endnote>
  <w:endnote w:type="continuationSeparator" w:id="0">
    <w:p w14:paraId="35906035" w14:textId="77777777" w:rsidR="00C5672C" w:rsidRDefault="00C5672C" w:rsidP="006655D3">
      <w:r>
        <w:separator/>
      </w:r>
    </w:p>
    <w:p w14:paraId="7EC798F5" w14:textId="77777777" w:rsidR="00C5672C" w:rsidRPr="00294751" w:rsidRDefault="00C5672C">
      <w:pPr>
        <w:pStyle w:val="Footer"/>
        <w:spacing w:after="60"/>
        <w:rPr>
          <w:sz w:val="18"/>
          <w:lang w:val="fr-FR"/>
        </w:rPr>
      </w:pPr>
      <w:r w:rsidRPr="00294751">
        <w:rPr>
          <w:sz w:val="18"/>
          <w:lang w:val="fr-FR"/>
        </w:rPr>
        <w:t>[Suite de la note de la page précédente]</w:t>
      </w:r>
    </w:p>
    <w:p w14:paraId="4A43E8B0" w14:textId="77777777" w:rsidR="00C5672C" w:rsidRPr="00294751" w:rsidRDefault="00C5672C" w:rsidP="006655D3">
      <w:pPr>
        <w:rPr>
          <w:lang w:val="fr-FR"/>
        </w:rPr>
      </w:pPr>
    </w:p>
    <w:p w14:paraId="2A42812E" w14:textId="77777777" w:rsidR="00C5672C" w:rsidRPr="00294751" w:rsidRDefault="00C5672C" w:rsidP="006655D3">
      <w:pPr>
        <w:rPr>
          <w:lang w:val="fr-FR"/>
        </w:rPr>
      </w:pPr>
    </w:p>
  </w:endnote>
  <w:endnote w:type="continuationNotice" w:id="1">
    <w:p w14:paraId="62220DFE" w14:textId="77777777" w:rsidR="00C5672C" w:rsidRPr="00294751" w:rsidRDefault="00C5672C" w:rsidP="006655D3">
      <w:pPr>
        <w:rPr>
          <w:lang w:val="fr-FR"/>
        </w:rPr>
      </w:pPr>
      <w:r w:rsidRPr="00294751">
        <w:rPr>
          <w:lang w:val="fr-FR"/>
        </w:rPr>
        <w:t>[Suite de la note page suivante]</w:t>
      </w:r>
    </w:p>
    <w:p w14:paraId="4F7FBADD" w14:textId="77777777" w:rsidR="00C5672C" w:rsidRPr="00294751" w:rsidRDefault="00C5672C" w:rsidP="006655D3">
      <w:pPr>
        <w:rPr>
          <w:lang w:val="fr-FR"/>
        </w:rPr>
      </w:pPr>
    </w:p>
    <w:p w14:paraId="72309835" w14:textId="77777777" w:rsidR="00C5672C" w:rsidRPr="00294751" w:rsidRDefault="00C5672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77E06" w14:textId="77777777" w:rsidR="00C5672C" w:rsidRDefault="00C5672C" w:rsidP="006655D3">
      <w:r>
        <w:separator/>
      </w:r>
    </w:p>
  </w:footnote>
  <w:footnote w:type="continuationSeparator" w:id="0">
    <w:p w14:paraId="0119067A" w14:textId="77777777" w:rsidR="00C5672C" w:rsidRDefault="00C5672C" w:rsidP="006655D3">
      <w:r>
        <w:separator/>
      </w:r>
    </w:p>
  </w:footnote>
  <w:footnote w:type="continuationNotice" w:id="1">
    <w:p w14:paraId="5D8BD6C0" w14:textId="77777777" w:rsidR="00C5672C" w:rsidRPr="00AB530F" w:rsidRDefault="00C5672C" w:rsidP="00AB530F">
      <w:pPr>
        <w:pStyle w:val="Footer"/>
      </w:pPr>
    </w:p>
  </w:footnote>
  <w:footnote w:id="2">
    <w:p w14:paraId="28340AEC" w14:textId="2DF9E752" w:rsidR="00376185" w:rsidRPr="00C2315A" w:rsidRDefault="00376185" w:rsidP="00106294">
      <w:pPr>
        <w:pStyle w:val="FootnoteText"/>
        <w:rPr>
          <w:lang w:val="de-DE"/>
        </w:rPr>
      </w:pPr>
      <w:r w:rsidRPr="008749C8">
        <w:rPr>
          <w:rStyle w:val="FootnoteReference"/>
          <w:lang w:val="de-DE"/>
        </w:rPr>
        <w:footnoteRef/>
      </w:r>
      <w:r w:rsidRPr="00C2315A">
        <w:rPr>
          <w:lang w:val="de-DE"/>
        </w:rPr>
        <w:t xml:space="preserve"> </w:t>
      </w:r>
      <w:r w:rsidR="008749C8" w:rsidRPr="00D56318">
        <w:rPr>
          <w:lang w:val="de-DE"/>
        </w:rPr>
        <w:t xml:space="preserve">auf </w:t>
      </w:r>
      <w:r w:rsidR="000E798D" w:rsidRPr="00D56318">
        <w:rPr>
          <w:lang w:val="de-DE"/>
        </w:rPr>
        <w:t>ihrer</w:t>
      </w:r>
      <w:r w:rsidR="008749C8" w:rsidRPr="00D56318">
        <w:rPr>
          <w:lang w:val="de-DE"/>
        </w:rPr>
        <w:t xml:space="preserve"> neununddreißigsten Tagung</w:t>
      </w:r>
      <w:r w:rsidR="00C2315A">
        <w:rPr>
          <w:lang w:val="de-DE"/>
        </w:rPr>
        <w:t xml:space="preserve"> </w:t>
      </w:r>
      <w:r w:rsidR="00C2315A" w:rsidRPr="00D56318">
        <w:rPr>
          <w:lang w:val="de-DE"/>
        </w:rPr>
        <w:t>vom 20. bis 22. September 2021</w:t>
      </w:r>
      <w:r w:rsidR="007129FF" w:rsidRPr="00D56318">
        <w:rPr>
          <w:lang w:val="de-DE"/>
        </w:rPr>
        <w:t>,</w:t>
      </w:r>
      <w:r w:rsidR="008749C8" w:rsidRPr="00D56318">
        <w:rPr>
          <w:lang w:val="de-DE"/>
        </w:rPr>
        <w:t xml:space="preserve"> </w:t>
      </w:r>
      <w:r w:rsidR="007129FF" w:rsidRPr="00D56318">
        <w:rPr>
          <w:lang w:val="de-DE"/>
        </w:rPr>
        <w:t xml:space="preserve">veranstaltet </w:t>
      </w:r>
      <w:r w:rsidR="008D057F" w:rsidRPr="00D56318">
        <w:rPr>
          <w:lang w:val="de-DE"/>
        </w:rPr>
        <w:t xml:space="preserve">von den Vereinigten Staaten von Amerika </w:t>
      </w:r>
      <w:r w:rsidR="00106294" w:rsidRPr="00D56318">
        <w:rPr>
          <w:lang w:val="de-DE"/>
        </w:rPr>
        <w:t xml:space="preserve">und </w:t>
      </w:r>
      <w:r w:rsidR="008D057F" w:rsidRPr="00D56318">
        <w:rPr>
          <w:lang w:val="de-DE"/>
        </w:rPr>
        <w:t>auf elektronischem Wege organisiert</w:t>
      </w:r>
      <w:r w:rsidRPr="00D56318">
        <w:rPr>
          <w:lang w:val="de-DE"/>
        </w:rPr>
        <w:t>.</w:t>
      </w:r>
    </w:p>
  </w:footnote>
  <w:footnote w:id="3">
    <w:p w14:paraId="41BF6E5D" w14:textId="01984D39" w:rsidR="003E4FF7" w:rsidRPr="00C2315A" w:rsidRDefault="003E4FF7" w:rsidP="00106294">
      <w:pPr>
        <w:pStyle w:val="FootnoteText"/>
        <w:rPr>
          <w:lang w:val="de-DE"/>
        </w:rPr>
      </w:pPr>
      <w:r w:rsidRPr="000E3373">
        <w:rPr>
          <w:rStyle w:val="FootnoteReference"/>
          <w:lang w:val="de-DE"/>
        </w:rPr>
        <w:footnoteRef/>
      </w:r>
      <w:r w:rsidRPr="00C2315A">
        <w:rPr>
          <w:lang w:val="de-DE"/>
        </w:rPr>
        <w:t xml:space="preserve"> </w:t>
      </w:r>
      <w:r w:rsidR="005E7C49" w:rsidRPr="00C2315A">
        <w:rPr>
          <w:lang w:val="de-DE"/>
        </w:rPr>
        <w:t xml:space="preserve">abgehalten </w:t>
      </w:r>
      <w:r w:rsidR="00174762" w:rsidRPr="00C2315A">
        <w:rPr>
          <w:lang w:val="de-DE"/>
        </w:rPr>
        <w:t xml:space="preserve">in Genf </w:t>
      </w:r>
      <w:r w:rsidR="005E7C49" w:rsidRPr="00C2315A">
        <w:rPr>
          <w:lang w:val="de-DE"/>
        </w:rPr>
        <w:t>vom 26. bis 28. März 2012</w:t>
      </w:r>
    </w:p>
  </w:footnote>
  <w:footnote w:id="4">
    <w:p w14:paraId="67F9BF9F" w14:textId="00B97D0A" w:rsidR="003E4FF7" w:rsidRPr="00C2315A" w:rsidRDefault="003E4FF7" w:rsidP="00106294">
      <w:pPr>
        <w:pStyle w:val="FootnoteText"/>
        <w:rPr>
          <w:lang w:val="de-DE"/>
        </w:rPr>
      </w:pPr>
      <w:r w:rsidRPr="000E3373">
        <w:rPr>
          <w:rStyle w:val="FootnoteReference"/>
          <w:lang w:val="de-DE"/>
        </w:rPr>
        <w:footnoteRef/>
      </w:r>
      <w:r w:rsidRPr="00C2315A">
        <w:rPr>
          <w:lang w:val="de-DE"/>
        </w:rPr>
        <w:t xml:space="preserve"> </w:t>
      </w:r>
      <w:r w:rsidR="005E7C49" w:rsidRPr="00C2315A">
        <w:rPr>
          <w:lang w:val="de-DE"/>
        </w:rPr>
        <w:t>vergleiche D</w:t>
      </w:r>
      <w:r w:rsidRPr="00C2315A">
        <w:rPr>
          <w:lang w:val="de-DE"/>
        </w:rPr>
        <w:t>o</w:t>
      </w:r>
      <w:r w:rsidR="005E7C49" w:rsidRPr="00C2315A">
        <w:rPr>
          <w:lang w:val="de-DE"/>
        </w:rPr>
        <w:t>k</w:t>
      </w:r>
      <w:r w:rsidRPr="00C2315A">
        <w:rPr>
          <w:lang w:val="de-DE"/>
        </w:rPr>
        <w:t xml:space="preserve">ument TWC/26/15, TWC/26/15 Add. </w:t>
      </w:r>
      <w:r w:rsidR="005E7C49" w:rsidRPr="00C2315A">
        <w:rPr>
          <w:lang w:val="de-DE"/>
        </w:rPr>
        <w:t>u</w:t>
      </w:r>
      <w:r w:rsidRPr="00C2315A">
        <w:rPr>
          <w:lang w:val="de-DE"/>
        </w:rPr>
        <w:t>nd TWC/26/24</w:t>
      </w:r>
    </w:p>
  </w:footnote>
  <w:footnote w:id="5">
    <w:p w14:paraId="73392ECB" w14:textId="4E84DDA6" w:rsidR="00461958" w:rsidRPr="00C2315A" w:rsidRDefault="00461958" w:rsidP="00106294">
      <w:pPr>
        <w:pStyle w:val="FootnoteText"/>
        <w:rPr>
          <w:lang w:val="de-DE"/>
        </w:rPr>
      </w:pPr>
      <w:r w:rsidRPr="000E3373">
        <w:rPr>
          <w:rStyle w:val="FootnoteReference"/>
          <w:lang w:val="de-DE"/>
        </w:rPr>
        <w:footnoteRef/>
      </w:r>
      <w:r w:rsidRPr="00C2315A">
        <w:rPr>
          <w:lang w:val="de-DE"/>
        </w:rPr>
        <w:t xml:space="preserve"> </w:t>
      </w:r>
      <w:r w:rsidR="005E7C49" w:rsidRPr="00C2315A">
        <w:rPr>
          <w:lang w:val="de-DE"/>
        </w:rPr>
        <w:t>abgehalten in Genf vom 14. bis 16. März 2016</w:t>
      </w:r>
    </w:p>
  </w:footnote>
  <w:footnote w:id="6">
    <w:p w14:paraId="090F4BD3" w14:textId="45754CA1" w:rsidR="00A15BC0" w:rsidRPr="00C2315A" w:rsidRDefault="00A15BC0" w:rsidP="00106294">
      <w:pPr>
        <w:pStyle w:val="FootnoteText"/>
        <w:rPr>
          <w:lang w:val="de-DE"/>
        </w:rPr>
      </w:pPr>
      <w:r w:rsidRPr="000E3373">
        <w:rPr>
          <w:rStyle w:val="FootnoteReference"/>
          <w:lang w:val="de-DE"/>
        </w:rPr>
        <w:footnoteRef/>
      </w:r>
      <w:r w:rsidRPr="00C2315A">
        <w:rPr>
          <w:lang w:val="de-DE"/>
        </w:rPr>
        <w:t xml:space="preserve"> </w:t>
      </w:r>
      <w:r w:rsidR="00192E61" w:rsidRPr="00D56318">
        <w:rPr>
          <w:lang w:val="de-DE"/>
        </w:rPr>
        <w:t xml:space="preserve">auf elektronischem Weg abgehalten </w:t>
      </w:r>
      <w:r w:rsidR="00A32902" w:rsidRPr="00D56318">
        <w:rPr>
          <w:lang w:val="de-DE"/>
        </w:rPr>
        <w:t xml:space="preserve">am </w:t>
      </w:r>
      <w:r w:rsidRPr="00D56318">
        <w:rPr>
          <w:lang w:val="de-DE"/>
        </w:rPr>
        <w:t xml:space="preserve">26 </w:t>
      </w:r>
      <w:r w:rsidR="00A512E6" w:rsidRPr="00D56318">
        <w:rPr>
          <w:lang w:val="de-DE"/>
        </w:rPr>
        <w:t>u</w:t>
      </w:r>
      <w:r w:rsidRPr="00D56318">
        <w:rPr>
          <w:lang w:val="de-DE"/>
        </w:rPr>
        <w:t>nd 27</w:t>
      </w:r>
      <w:r w:rsidR="00192E61" w:rsidRPr="00D56318">
        <w:rPr>
          <w:lang w:val="de-DE"/>
        </w:rPr>
        <w:t>. Oktober</w:t>
      </w:r>
      <w:r w:rsidRPr="00D56318">
        <w:rPr>
          <w:lang w:val="de-DE"/>
        </w:rPr>
        <w:t xml:space="preserve"> 2020</w:t>
      </w:r>
    </w:p>
  </w:footnote>
  <w:footnote w:id="7">
    <w:p w14:paraId="343B3F16" w14:textId="2A60DB92" w:rsidR="000B08DE" w:rsidRPr="00C2315A" w:rsidRDefault="000B08DE" w:rsidP="00106294">
      <w:pPr>
        <w:pStyle w:val="FootnoteText"/>
        <w:rPr>
          <w:lang w:val="de-DE"/>
        </w:rPr>
      </w:pPr>
      <w:r w:rsidRPr="00883738">
        <w:rPr>
          <w:rStyle w:val="FootnoteReference"/>
          <w:lang w:val="de-DE"/>
        </w:rPr>
        <w:footnoteRef/>
      </w:r>
      <w:r w:rsidRPr="00C2315A">
        <w:rPr>
          <w:lang w:val="de-DE"/>
        </w:rPr>
        <w:t xml:space="preserve"> </w:t>
      </w:r>
      <w:r w:rsidR="00D64838" w:rsidRPr="00C2315A">
        <w:rPr>
          <w:lang w:val="de-DE"/>
        </w:rPr>
        <w:t xml:space="preserve">auf </w:t>
      </w:r>
      <w:r w:rsidR="00F46749">
        <w:rPr>
          <w:lang w:val="de-DE"/>
        </w:rPr>
        <w:t>ihrer</w:t>
      </w:r>
      <w:r w:rsidR="00D64838" w:rsidRPr="00C2315A">
        <w:rPr>
          <w:lang w:val="de-DE"/>
        </w:rPr>
        <w:t xml:space="preserve"> fünfundfünfzigsten Tagung</w:t>
      </w:r>
      <w:r w:rsidR="00C2315A">
        <w:rPr>
          <w:lang w:val="de-DE"/>
        </w:rPr>
        <w:t xml:space="preserve"> </w:t>
      </w:r>
      <w:r w:rsidR="00C2315A" w:rsidRPr="00C2315A">
        <w:rPr>
          <w:lang w:val="de-DE"/>
        </w:rPr>
        <w:t>vom 3. bis 7.</w:t>
      </w:r>
      <w:r w:rsidR="00F46749">
        <w:rPr>
          <w:lang w:val="de-DE"/>
        </w:rPr>
        <w:t xml:space="preserve"> </w:t>
      </w:r>
      <w:r w:rsidR="00C2315A" w:rsidRPr="00C2315A">
        <w:rPr>
          <w:lang w:val="de-DE"/>
        </w:rPr>
        <w:t>Mai 2021</w:t>
      </w:r>
      <w:r w:rsidR="00D64838" w:rsidRPr="00C2315A">
        <w:rPr>
          <w:lang w:val="de-DE"/>
        </w:rPr>
        <w:t>, veranstaltet von der Türkei und auf elektronischem Wege abgehalten</w:t>
      </w:r>
    </w:p>
  </w:footnote>
  <w:footnote w:id="8">
    <w:p w14:paraId="0E2D275A" w14:textId="2898EE03" w:rsidR="004A3DF5" w:rsidRPr="00C2315A" w:rsidRDefault="004A3DF5" w:rsidP="00106294">
      <w:pPr>
        <w:pStyle w:val="FootnoteText"/>
        <w:rPr>
          <w:lang w:val="de-DE"/>
        </w:rPr>
      </w:pPr>
      <w:r w:rsidRPr="00C614E9">
        <w:rPr>
          <w:rStyle w:val="FootnoteReference"/>
          <w:lang w:val="de-DE"/>
        </w:rPr>
        <w:footnoteRef/>
      </w:r>
      <w:r w:rsidRPr="00C2315A">
        <w:rPr>
          <w:lang w:val="de-DE"/>
        </w:rPr>
        <w:t xml:space="preserve"> </w:t>
      </w:r>
      <w:r w:rsidR="00472133" w:rsidRPr="00C2315A">
        <w:rPr>
          <w:lang w:val="de-DE"/>
        </w:rPr>
        <w:t xml:space="preserve">auf </w:t>
      </w:r>
      <w:r w:rsidR="00F46749">
        <w:rPr>
          <w:lang w:val="de-DE"/>
        </w:rPr>
        <w:t>ihrer</w:t>
      </w:r>
      <w:r w:rsidR="00472133" w:rsidRPr="00C2315A">
        <w:rPr>
          <w:lang w:val="de-DE"/>
        </w:rPr>
        <w:t xml:space="preserve"> dreiundfünfzigsten Tagung</w:t>
      </w:r>
      <w:r w:rsidR="00C2315A">
        <w:rPr>
          <w:lang w:val="de-DE"/>
        </w:rPr>
        <w:t xml:space="preserve"> </w:t>
      </w:r>
      <w:r w:rsidR="00C2315A" w:rsidRPr="00C2315A">
        <w:rPr>
          <w:lang w:val="de-DE"/>
        </w:rPr>
        <w:t>vom 7. bis 11. Juni 2021</w:t>
      </w:r>
      <w:r w:rsidR="00472133" w:rsidRPr="00C2315A">
        <w:rPr>
          <w:lang w:val="de-DE"/>
        </w:rPr>
        <w:t>, veranstaltet von den Niederlanden und auf elektronischem Wege abgehalten</w:t>
      </w:r>
      <w:r w:rsidR="00472133" w:rsidRPr="00C2315A" w:rsidDel="00455C24">
        <w:rPr>
          <w:lang w:val="de-DE"/>
        </w:rPr>
        <w:t xml:space="preserve"> </w:t>
      </w:r>
    </w:p>
  </w:footnote>
  <w:footnote w:id="9">
    <w:p w14:paraId="5ADE7EEC" w14:textId="54B720B6" w:rsidR="000615AA" w:rsidRPr="00C2315A" w:rsidRDefault="000615AA" w:rsidP="00106294">
      <w:pPr>
        <w:pStyle w:val="FootnoteText"/>
        <w:rPr>
          <w:lang w:val="de-DE"/>
        </w:rPr>
      </w:pPr>
      <w:r w:rsidRPr="00C614E9">
        <w:rPr>
          <w:rStyle w:val="FootnoteReference"/>
          <w:lang w:val="de-DE"/>
        </w:rPr>
        <w:footnoteRef/>
      </w:r>
      <w:r w:rsidRPr="00C2315A">
        <w:rPr>
          <w:lang w:val="de-DE"/>
        </w:rPr>
        <w:t xml:space="preserve"> </w:t>
      </w:r>
      <w:r w:rsidR="00B24BFD" w:rsidRPr="00C2315A">
        <w:rPr>
          <w:lang w:val="de-DE"/>
        </w:rPr>
        <w:t>auf ihrer fünfzigsten Tagung</w:t>
      </w:r>
      <w:r w:rsidR="00C2315A">
        <w:rPr>
          <w:lang w:val="de-DE"/>
        </w:rPr>
        <w:t xml:space="preserve"> </w:t>
      </w:r>
      <w:r w:rsidR="00C2315A" w:rsidRPr="00C2315A">
        <w:rPr>
          <w:lang w:val="de-DE"/>
        </w:rPr>
        <w:t>vom 21. bis 25. Juni 2021</w:t>
      </w:r>
      <w:r w:rsidR="00B24BFD" w:rsidRPr="00C2315A">
        <w:rPr>
          <w:lang w:val="de-DE"/>
        </w:rPr>
        <w:t xml:space="preserve">, </w:t>
      </w:r>
      <w:r w:rsidR="00B9683F" w:rsidRPr="00C2315A">
        <w:rPr>
          <w:lang w:val="de-DE"/>
        </w:rPr>
        <w:t xml:space="preserve">veranstaltet von der </w:t>
      </w:r>
      <w:r w:rsidR="00B24BFD" w:rsidRPr="00C2315A">
        <w:rPr>
          <w:lang w:val="de-DE"/>
        </w:rPr>
        <w:t>Vereinigten Republik Tansania</w:t>
      </w:r>
      <w:r w:rsidR="00B9683F" w:rsidRPr="00C2315A">
        <w:rPr>
          <w:lang w:val="de-DE"/>
        </w:rPr>
        <w:t xml:space="preserve"> und </w:t>
      </w:r>
      <w:r w:rsidR="00B24BFD" w:rsidRPr="00C2315A">
        <w:rPr>
          <w:lang w:val="de-DE"/>
        </w:rPr>
        <w:t>auf elektronischem Wege abgehalten</w:t>
      </w:r>
    </w:p>
  </w:footnote>
  <w:footnote w:id="10">
    <w:p w14:paraId="079D9B86" w14:textId="35353071" w:rsidR="00851929" w:rsidRPr="00C2315A" w:rsidRDefault="00851929" w:rsidP="00106294">
      <w:pPr>
        <w:pStyle w:val="FootnoteText"/>
        <w:rPr>
          <w:lang w:val="de-DE"/>
        </w:rPr>
      </w:pPr>
      <w:r w:rsidRPr="00C614E9">
        <w:rPr>
          <w:rStyle w:val="FootnoteReference"/>
          <w:lang w:val="de-DE"/>
        </w:rPr>
        <w:footnoteRef/>
      </w:r>
      <w:r w:rsidRPr="00C2315A">
        <w:rPr>
          <w:lang w:val="de-DE"/>
        </w:rPr>
        <w:t xml:space="preserve"> </w:t>
      </w:r>
      <w:r w:rsidR="00B24BFD" w:rsidRPr="00C2315A">
        <w:rPr>
          <w:lang w:val="de-DE"/>
        </w:rPr>
        <w:t xml:space="preserve">auf </w:t>
      </w:r>
      <w:r w:rsidR="00F46749">
        <w:rPr>
          <w:lang w:val="de-DE"/>
        </w:rPr>
        <w:t>ihrer</w:t>
      </w:r>
      <w:r w:rsidR="00B24BFD" w:rsidRPr="00C2315A">
        <w:rPr>
          <w:lang w:val="de-DE"/>
        </w:rPr>
        <w:t xml:space="preserve"> zweiundfünfzigsten Tagung</w:t>
      </w:r>
      <w:r w:rsidR="00C2315A">
        <w:rPr>
          <w:lang w:val="de-DE"/>
        </w:rPr>
        <w:t xml:space="preserve"> </w:t>
      </w:r>
      <w:r w:rsidR="00C2315A" w:rsidRPr="00C2315A">
        <w:rPr>
          <w:lang w:val="de-DE"/>
        </w:rPr>
        <w:t>vom 12. bis 16. Juli 2021</w:t>
      </w:r>
      <w:r w:rsidR="00B24BFD" w:rsidRPr="00C2315A">
        <w:rPr>
          <w:lang w:val="de-DE"/>
        </w:rPr>
        <w:t xml:space="preserve">, </w:t>
      </w:r>
      <w:r w:rsidR="00B9683F" w:rsidRPr="00C2315A">
        <w:rPr>
          <w:lang w:val="de-DE"/>
        </w:rPr>
        <w:t>veranstaltet von</w:t>
      </w:r>
      <w:r w:rsidR="00B24BFD" w:rsidRPr="00C2315A">
        <w:rPr>
          <w:lang w:val="de-DE"/>
        </w:rPr>
        <w:t xml:space="preserve"> China</w:t>
      </w:r>
      <w:r w:rsidR="00B9683F" w:rsidRPr="00C2315A">
        <w:rPr>
          <w:lang w:val="de-DE"/>
        </w:rPr>
        <w:t xml:space="preserve"> </w:t>
      </w:r>
      <w:r w:rsidR="001B647B" w:rsidRPr="00C2315A">
        <w:rPr>
          <w:lang w:val="de-DE"/>
        </w:rPr>
        <w:t xml:space="preserve">und </w:t>
      </w:r>
      <w:r w:rsidR="00B24BFD" w:rsidRPr="00C2315A">
        <w:rPr>
          <w:lang w:val="de-DE"/>
        </w:rPr>
        <w:t xml:space="preserve">auf elektronischem Wege abgehalten </w:t>
      </w:r>
    </w:p>
  </w:footnote>
  <w:footnote w:id="11">
    <w:p w14:paraId="1CDD64A2" w14:textId="409AB1AF" w:rsidR="00EC6F1B" w:rsidRPr="00C2315A" w:rsidRDefault="00EC6F1B" w:rsidP="00D56318">
      <w:pPr>
        <w:pStyle w:val="FootnoteText"/>
        <w:rPr>
          <w:lang w:val="de-DE"/>
        </w:rPr>
      </w:pPr>
      <w:r w:rsidRPr="00D56318">
        <w:rPr>
          <w:rStyle w:val="FootnoteReference"/>
          <w:lang w:val="de-DE"/>
        </w:rPr>
        <w:footnoteRef/>
      </w:r>
      <w:r w:rsidRPr="00C2315A">
        <w:rPr>
          <w:lang w:val="de-DE"/>
        </w:rPr>
        <w:t xml:space="preserve"> </w:t>
      </w:r>
      <w:r w:rsidR="00915964" w:rsidRPr="00D56318">
        <w:rPr>
          <w:lang w:val="de-DE"/>
        </w:rPr>
        <w:t>auf ihrer neununddreißigsten Tagung</w:t>
      </w:r>
      <w:r w:rsidR="00C2315A">
        <w:rPr>
          <w:lang w:val="de-DE"/>
        </w:rPr>
        <w:t xml:space="preserve"> </w:t>
      </w:r>
      <w:r w:rsidR="00F46749">
        <w:rPr>
          <w:lang w:val="de-DE"/>
        </w:rPr>
        <w:t>am</w:t>
      </w:r>
      <w:r w:rsidR="00C2315A" w:rsidRPr="00D56318">
        <w:rPr>
          <w:lang w:val="de-DE"/>
        </w:rPr>
        <w:t xml:space="preserve"> 20. bis 22. September 2021</w:t>
      </w:r>
      <w:r w:rsidR="00915964" w:rsidRPr="00D56318">
        <w:rPr>
          <w:lang w:val="de-DE"/>
        </w:rPr>
        <w:t xml:space="preserve">, veranstaltet von den Vereinigten Staaten von Amerika </w:t>
      </w:r>
      <w:r w:rsidR="00106294" w:rsidRPr="00D56318">
        <w:rPr>
          <w:lang w:val="de-DE"/>
        </w:rPr>
        <w:t xml:space="preserve">und </w:t>
      </w:r>
      <w:r w:rsidR="00915964" w:rsidRPr="00D56318">
        <w:rPr>
          <w:lang w:val="de-DE"/>
        </w:rPr>
        <w:t>auf elektronischem Wege organisiert</w:t>
      </w:r>
      <w:r w:rsidRPr="00D56318">
        <w:rPr>
          <w:lang w:val="de-D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9977D" w14:textId="77777777" w:rsidR="003E4FF7" w:rsidRPr="00FF1F9D" w:rsidRDefault="003E4FF7" w:rsidP="000923BC">
    <w:pPr>
      <w:pStyle w:val="Header"/>
      <w:rPr>
        <w:bCs/>
      </w:rPr>
    </w:pPr>
    <w:r>
      <w:rPr>
        <w:bCs/>
      </w:rPr>
      <w:t>T</w:t>
    </w:r>
    <w:r w:rsidR="0080428D">
      <w:rPr>
        <w:bCs/>
      </w:rPr>
      <w:t>C</w:t>
    </w:r>
    <w:r>
      <w:rPr>
        <w:bCs/>
      </w:rPr>
      <w:t>/5</w:t>
    </w:r>
    <w:r w:rsidR="0080428D">
      <w:rPr>
        <w:bCs/>
      </w:rPr>
      <w:t>7</w:t>
    </w:r>
    <w:r>
      <w:rPr>
        <w:bCs/>
      </w:rPr>
      <w:t>/</w:t>
    </w:r>
    <w:r w:rsidR="0080428D">
      <w:rPr>
        <w:bCs/>
      </w:rPr>
      <w:t>6</w:t>
    </w:r>
  </w:p>
  <w:p w14:paraId="1C653E33" w14:textId="24EB275C" w:rsidR="003E4FF7" w:rsidRPr="00A22337" w:rsidRDefault="00A22337" w:rsidP="000923BC">
    <w:pPr>
      <w:pStyle w:val="Header"/>
      <w:rPr>
        <w:lang w:val="de-DE"/>
      </w:rPr>
    </w:pPr>
    <w:r w:rsidRPr="00A22337">
      <w:rPr>
        <w:lang w:val="de-DE"/>
      </w:rPr>
      <w:t>Seite</w:t>
    </w:r>
    <w:r w:rsidR="003E4FF7" w:rsidRPr="00A22337">
      <w:rPr>
        <w:lang w:val="de-DE"/>
      </w:rPr>
      <w:t xml:space="preserve"> </w:t>
    </w:r>
    <w:r w:rsidR="003E4FF7" w:rsidRPr="00A22337">
      <w:rPr>
        <w:rStyle w:val="PageNumber"/>
        <w:lang w:val="de-DE"/>
      </w:rPr>
      <w:fldChar w:fldCharType="begin"/>
    </w:r>
    <w:r w:rsidR="003E4FF7" w:rsidRPr="00A22337">
      <w:rPr>
        <w:rStyle w:val="PageNumber"/>
        <w:lang w:val="de-DE"/>
      </w:rPr>
      <w:instrText xml:space="preserve"> PAGE </w:instrText>
    </w:r>
    <w:r w:rsidR="003E4FF7" w:rsidRPr="00A22337">
      <w:rPr>
        <w:rStyle w:val="PageNumber"/>
        <w:lang w:val="de-DE"/>
      </w:rPr>
      <w:fldChar w:fldCharType="separate"/>
    </w:r>
    <w:r w:rsidR="00780FAD">
      <w:rPr>
        <w:rStyle w:val="PageNumber"/>
        <w:noProof/>
        <w:lang w:val="de-DE"/>
      </w:rPr>
      <w:t>4</w:t>
    </w:r>
    <w:r w:rsidR="003E4FF7" w:rsidRPr="00A22337">
      <w:rPr>
        <w:rStyle w:val="PageNumber"/>
        <w:lang w:val="de-DE"/>
      </w:rPr>
      <w:fldChar w:fldCharType="end"/>
    </w:r>
  </w:p>
  <w:p w14:paraId="730FEF4F" w14:textId="77777777" w:rsidR="003E4FF7" w:rsidRPr="00FE789F" w:rsidRDefault="003E4FF7" w:rsidP="000923BC">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B64BD" w14:textId="77777777" w:rsidR="00B63139" w:rsidRPr="00FF1F9D" w:rsidRDefault="00B63139" w:rsidP="00B63139">
    <w:pPr>
      <w:pStyle w:val="Header"/>
      <w:rPr>
        <w:bCs/>
      </w:rPr>
    </w:pPr>
    <w:r>
      <w:rPr>
        <w:bCs/>
      </w:rPr>
      <w:t>T</w:t>
    </w:r>
    <w:r w:rsidR="0080428D">
      <w:rPr>
        <w:bCs/>
      </w:rPr>
      <w:t>C</w:t>
    </w:r>
    <w:r>
      <w:rPr>
        <w:bCs/>
      </w:rPr>
      <w:t>/5</w:t>
    </w:r>
    <w:r w:rsidR="0080428D">
      <w:rPr>
        <w:bCs/>
      </w:rPr>
      <w:t>7</w:t>
    </w:r>
    <w:r>
      <w:rPr>
        <w:bCs/>
      </w:rPr>
      <w:t>/</w:t>
    </w:r>
    <w:r w:rsidR="0080428D">
      <w:rPr>
        <w:bCs/>
      </w:rPr>
      <w:t>6</w:t>
    </w:r>
  </w:p>
  <w:p w14:paraId="09645A97" w14:textId="6D757AF1" w:rsidR="00B63139" w:rsidRPr="00721D5F" w:rsidRDefault="000F558D" w:rsidP="00B63139">
    <w:pPr>
      <w:pStyle w:val="Header"/>
      <w:rPr>
        <w:lang w:val="de-DE"/>
      </w:rPr>
    </w:pPr>
    <w:r w:rsidRPr="00721D5F">
      <w:rPr>
        <w:lang w:val="de-DE"/>
      </w:rPr>
      <w:t>Anlage</w:t>
    </w:r>
    <w:r w:rsidR="00B63139" w:rsidRPr="00721D5F">
      <w:rPr>
        <w:lang w:val="de-DE"/>
      </w:rPr>
      <w:t xml:space="preserve">, </w:t>
    </w:r>
    <w:r w:rsidRPr="00721D5F">
      <w:rPr>
        <w:lang w:val="de-DE"/>
      </w:rPr>
      <w:t xml:space="preserve">Seite </w:t>
    </w:r>
    <w:r w:rsidR="00B63139" w:rsidRPr="00721D5F">
      <w:rPr>
        <w:rStyle w:val="PageNumber"/>
        <w:lang w:val="de-DE"/>
      </w:rPr>
      <w:fldChar w:fldCharType="begin"/>
    </w:r>
    <w:r w:rsidR="00B63139" w:rsidRPr="00721D5F">
      <w:rPr>
        <w:rStyle w:val="PageNumber"/>
        <w:lang w:val="de-DE"/>
      </w:rPr>
      <w:instrText xml:space="preserve"> PAGE </w:instrText>
    </w:r>
    <w:r w:rsidR="00B63139" w:rsidRPr="00721D5F">
      <w:rPr>
        <w:rStyle w:val="PageNumber"/>
        <w:lang w:val="de-DE"/>
      </w:rPr>
      <w:fldChar w:fldCharType="separate"/>
    </w:r>
    <w:r w:rsidR="00780FAD">
      <w:rPr>
        <w:rStyle w:val="PageNumber"/>
        <w:noProof/>
        <w:lang w:val="de-DE"/>
      </w:rPr>
      <w:t>2</w:t>
    </w:r>
    <w:r w:rsidR="00B63139" w:rsidRPr="00721D5F">
      <w:rPr>
        <w:rStyle w:val="PageNumber"/>
        <w:lang w:val="de-DE"/>
      </w:rPr>
      <w:fldChar w:fldCharType="end"/>
    </w:r>
  </w:p>
  <w:p w14:paraId="69F4019C" w14:textId="77777777" w:rsidR="00B63139" w:rsidRPr="00FE789F" w:rsidRDefault="00B63139" w:rsidP="00B63139">
    <w:pPr>
      <w:pStyle w:val="Header"/>
      <w:rPr>
        <w:lang w:val="en-US"/>
      </w:rPr>
    </w:pPr>
  </w:p>
  <w:p w14:paraId="50EEA4B3" w14:textId="77777777" w:rsidR="008D6599" w:rsidRDefault="008D659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B067C" w14:textId="77777777" w:rsidR="00B63139" w:rsidRPr="00FF1F9D" w:rsidRDefault="00B63139" w:rsidP="00B63139">
    <w:pPr>
      <w:pStyle w:val="Header"/>
      <w:rPr>
        <w:bCs/>
      </w:rPr>
    </w:pPr>
    <w:r>
      <w:rPr>
        <w:bCs/>
      </w:rPr>
      <w:t>T</w:t>
    </w:r>
    <w:r w:rsidR="0080428D">
      <w:rPr>
        <w:bCs/>
      </w:rPr>
      <w:t>C</w:t>
    </w:r>
    <w:r>
      <w:rPr>
        <w:bCs/>
      </w:rPr>
      <w:t>/5</w:t>
    </w:r>
    <w:r w:rsidR="0080428D">
      <w:rPr>
        <w:bCs/>
      </w:rPr>
      <w:t>7</w:t>
    </w:r>
    <w:r>
      <w:rPr>
        <w:bCs/>
      </w:rPr>
      <w:t>/</w:t>
    </w:r>
    <w:r w:rsidR="0080428D">
      <w:rPr>
        <w:bCs/>
      </w:rPr>
      <w:t>6</w:t>
    </w:r>
  </w:p>
  <w:p w14:paraId="1AA4ACEC" w14:textId="77777777" w:rsidR="00B63139" w:rsidRDefault="00B63139" w:rsidP="00B63139">
    <w:pPr>
      <w:pStyle w:val="Header"/>
      <w:rPr>
        <w:lang w:val="en-US"/>
      </w:rPr>
    </w:pPr>
  </w:p>
  <w:p w14:paraId="3A8AA689" w14:textId="025413F5" w:rsidR="00B63139" w:rsidRPr="00FE789F" w:rsidRDefault="00B63139" w:rsidP="00B63139">
    <w:pPr>
      <w:pStyle w:val="Header"/>
      <w:rPr>
        <w:lang w:val="en-US"/>
      </w:rPr>
    </w:pPr>
    <w:r>
      <w:rPr>
        <w:lang w:val="en-US"/>
      </w:rPr>
      <w:t>AN</w:t>
    </w:r>
    <w:r w:rsidR="00FF10EF">
      <w:rPr>
        <w:lang w:val="en-US"/>
      </w:rPr>
      <w:t>LAGE</w:t>
    </w:r>
  </w:p>
  <w:p w14:paraId="7423B693" w14:textId="77777777"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50A25"/>
    <w:multiLevelType w:val="hybridMultilevel"/>
    <w:tmpl w:val="55CAC0BA"/>
    <w:lvl w:ilvl="0" w:tplc="763EABF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760CA2"/>
    <w:multiLevelType w:val="hybridMultilevel"/>
    <w:tmpl w:val="86329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 w15:restartNumberingAfterBreak="0">
    <w:nsid w:val="4E6B2D13"/>
    <w:multiLevelType w:val="hybridMultilevel"/>
    <w:tmpl w:val="EFF404A4"/>
    <w:lvl w:ilvl="0" w:tplc="BA7A56CE">
      <w:start w:val="1"/>
      <w:numFmt w:val="lowerLetter"/>
      <w:lvlText w:val="(%1)"/>
      <w:lvlJc w:val="left"/>
      <w:pPr>
        <w:ind w:left="596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0B1991"/>
    <w:multiLevelType w:val="hybridMultilevel"/>
    <w:tmpl w:val="AC827DD8"/>
    <w:lvl w:ilvl="0" w:tplc="04070017">
      <w:start w:val="1"/>
      <w:numFmt w:val="lowerLetter"/>
      <w:lvlText w:val="%1)"/>
      <w:lvlJc w:val="left"/>
      <w:pPr>
        <w:ind w:left="5747" w:hanging="36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5" w15:restartNumberingAfterBreak="0">
    <w:nsid w:val="598C1E1D"/>
    <w:multiLevelType w:val="hybridMultilevel"/>
    <w:tmpl w:val="6F88455E"/>
    <w:lvl w:ilvl="0" w:tplc="04070017">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6" w15:restartNumberingAfterBreak="0">
    <w:nsid w:val="7DDC3676"/>
    <w:multiLevelType w:val="hybridMultilevel"/>
    <w:tmpl w:val="07EC4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40"/>
    <w:rsid w:val="000037B5"/>
    <w:rsid w:val="00005179"/>
    <w:rsid w:val="00006382"/>
    <w:rsid w:val="00007F6B"/>
    <w:rsid w:val="00010CF3"/>
    <w:rsid w:val="00011E27"/>
    <w:rsid w:val="000148BC"/>
    <w:rsid w:val="00024AB8"/>
    <w:rsid w:val="00027D90"/>
    <w:rsid w:val="00030854"/>
    <w:rsid w:val="00036028"/>
    <w:rsid w:val="0004023E"/>
    <w:rsid w:val="0004198B"/>
    <w:rsid w:val="00044642"/>
    <w:rsid w:val="000446B9"/>
    <w:rsid w:val="00047E21"/>
    <w:rsid w:val="00050E16"/>
    <w:rsid w:val="00056DC7"/>
    <w:rsid w:val="000615AA"/>
    <w:rsid w:val="00065707"/>
    <w:rsid w:val="00070EFD"/>
    <w:rsid w:val="00072BD5"/>
    <w:rsid w:val="00076D48"/>
    <w:rsid w:val="000802A4"/>
    <w:rsid w:val="00084069"/>
    <w:rsid w:val="00085505"/>
    <w:rsid w:val="0008643C"/>
    <w:rsid w:val="00096E6F"/>
    <w:rsid w:val="000A4F8C"/>
    <w:rsid w:val="000B08B2"/>
    <w:rsid w:val="000B08DE"/>
    <w:rsid w:val="000B60F3"/>
    <w:rsid w:val="000B7AA9"/>
    <w:rsid w:val="000C46B8"/>
    <w:rsid w:val="000C4E25"/>
    <w:rsid w:val="000C7021"/>
    <w:rsid w:val="000D4F9C"/>
    <w:rsid w:val="000D6BBC"/>
    <w:rsid w:val="000D7780"/>
    <w:rsid w:val="000E01F5"/>
    <w:rsid w:val="000E1751"/>
    <w:rsid w:val="000E278A"/>
    <w:rsid w:val="000E32F9"/>
    <w:rsid w:val="000E3373"/>
    <w:rsid w:val="000E636A"/>
    <w:rsid w:val="000E798D"/>
    <w:rsid w:val="000F2DAB"/>
    <w:rsid w:val="000F2F11"/>
    <w:rsid w:val="000F36E8"/>
    <w:rsid w:val="000F558D"/>
    <w:rsid w:val="000F6599"/>
    <w:rsid w:val="00100A5F"/>
    <w:rsid w:val="00102885"/>
    <w:rsid w:val="00105929"/>
    <w:rsid w:val="00106294"/>
    <w:rsid w:val="00110BED"/>
    <w:rsid w:val="00110C36"/>
    <w:rsid w:val="001112E4"/>
    <w:rsid w:val="001131D5"/>
    <w:rsid w:val="00114547"/>
    <w:rsid w:val="00126A87"/>
    <w:rsid w:val="001415B0"/>
    <w:rsid w:val="00141DB8"/>
    <w:rsid w:val="00142C9E"/>
    <w:rsid w:val="00145CC3"/>
    <w:rsid w:val="001578FF"/>
    <w:rsid w:val="00161110"/>
    <w:rsid w:val="00172084"/>
    <w:rsid w:val="0017474A"/>
    <w:rsid w:val="00174762"/>
    <w:rsid w:val="001758C6"/>
    <w:rsid w:val="00176EEE"/>
    <w:rsid w:val="00182B99"/>
    <w:rsid w:val="00182D1A"/>
    <w:rsid w:val="00186140"/>
    <w:rsid w:val="00192E61"/>
    <w:rsid w:val="001939FB"/>
    <w:rsid w:val="00193F61"/>
    <w:rsid w:val="001A2B8F"/>
    <w:rsid w:val="001B647B"/>
    <w:rsid w:val="001B7B7C"/>
    <w:rsid w:val="001C1525"/>
    <w:rsid w:val="001C74E8"/>
    <w:rsid w:val="001E5709"/>
    <w:rsid w:val="001E787D"/>
    <w:rsid w:val="001E79BF"/>
    <w:rsid w:val="001F0057"/>
    <w:rsid w:val="00204EAE"/>
    <w:rsid w:val="00206D0C"/>
    <w:rsid w:val="00212298"/>
    <w:rsid w:val="0021332C"/>
    <w:rsid w:val="00213982"/>
    <w:rsid w:val="002203A3"/>
    <w:rsid w:val="002408E3"/>
    <w:rsid w:val="00242641"/>
    <w:rsid w:val="0024416D"/>
    <w:rsid w:val="002565BD"/>
    <w:rsid w:val="002626CB"/>
    <w:rsid w:val="00271911"/>
    <w:rsid w:val="00273187"/>
    <w:rsid w:val="002800A0"/>
    <w:rsid w:val="002801B3"/>
    <w:rsid w:val="00281060"/>
    <w:rsid w:val="00284050"/>
    <w:rsid w:val="00285BD0"/>
    <w:rsid w:val="002940E8"/>
    <w:rsid w:val="00294751"/>
    <w:rsid w:val="002A5074"/>
    <w:rsid w:val="002A5546"/>
    <w:rsid w:val="002A65B4"/>
    <w:rsid w:val="002A6E50"/>
    <w:rsid w:val="002A70BA"/>
    <w:rsid w:val="002B4298"/>
    <w:rsid w:val="002B7A36"/>
    <w:rsid w:val="002C1CDF"/>
    <w:rsid w:val="002C1FF8"/>
    <w:rsid w:val="002C256A"/>
    <w:rsid w:val="002C70AA"/>
    <w:rsid w:val="002D0A11"/>
    <w:rsid w:val="002D5226"/>
    <w:rsid w:val="00305A7F"/>
    <w:rsid w:val="003152FE"/>
    <w:rsid w:val="00320D32"/>
    <w:rsid w:val="0032510B"/>
    <w:rsid w:val="00327436"/>
    <w:rsid w:val="00336BCE"/>
    <w:rsid w:val="00344BD6"/>
    <w:rsid w:val="003465EB"/>
    <w:rsid w:val="003523B9"/>
    <w:rsid w:val="003535D1"/>
    <w:rsid w:val="0035528D"/>
    <w:rsid w:val="0035788A"/>
    <w:rsid w:val="00361821"/>
    <w:rsid w:val="00361E9E"/>
    <w:rsid w:val="00363460"/>
    <w:rsid w:val="00363DA3"/>
    <w:rsid w:val="0036756C"/>
    <w:rsid w:val="00367F9A"/>
    <w:rsid w:val="00371D1B"/>
    <w:rsid w:val="003753EE"/>
    <w:rsid w:val="00376185"/>
    <w:rsid w:val="00381EDA"/>
    <w:rsid w:val="0038503E"/>
    <w:rsid w:val="003961F4"/>
    <w:rsid w:val="003A0835"/>
    <w:rsid w:val="003A17A1"/>
    <w:rsid w:val="003A5AAF"/>
    <w:rsid w:val="003B700A"/>
    <w:rsid w:val="003C2566"/>
    <w:rsid w:val="003C7FBE"/>
    <w:rsid w:val="003D0B53"/>
    <w:rsid w:val="003D227C"/>
    <w:rsid w:val="003D29C9"/>
    <w:rsid w:val="003D2B4D"/>
    <w:rsid w:val="003E4FF7"/>
    <w:rsid w:val="003F0790"/>
    <w:rsid w:val="003F37F5"/>
    <w:rsid w:val="004044E1"/>
    <w:rsid w:val="0040470F"/>
    <w:rsid w:val="00404D73"/>
    <w:rsid w:val="00410F62"/>
    <w:rsid w:val="0041546D"/>
    <w:rsid w:val="004224E3"/>
    <w:rsid w:val="0042355E"/>
    <w:rsid w:val="00430248"/>
    <w:rsid w:val="00433DB5"/>
    <w:rsid w:val="004352DE"/>
    <w:rsid w:val="00443EE4"/>
    <w:rsid w:val="00444A88"/>
    <w:rsid w:val="00445B73"/>
    <w:rsid w:val="0045307A"/>
    <w:rsid w:val="004548FF"/>
    <w:rsid w:val="00455C24"/>
    <w:rsid w:val="00461958"/>
    <w:rsid w:val="004665AA"/>
    <w:rsid w:val="00472133"/>
    <w:rsid w:val="00474DA4"/>
    <w:rsid w:val="0047572D"/>
    <w:rsid w:val="00476B4D"/>
    <w:rsid w:val="004805FA"/>
    <w:rsid w:val="00483DAD"/>
    <w:rsid w:val="004859D1"/>
    <w:rsid w:val="00490205"/>
    <w:rsid w:val="004935D2"/>
    <w:rsid w:val="004A181E"/>
    <w:rsid w:val="004A3DF5"/>
    <w:rsid w:val="004A7662"/>
    <w:rsid w:val="004B1215"/>
    <w:rsid w:val="004B6D72"/>
    <w:rsid w:val="004D047D"/>
    <w:rsid w:val="004E01CB"/>
    <w:rsid w:val="004E63EB"/>
    <w:rsid w:val="004F1730"/>
    <w:rsid w:val="004F1E9E"/>
    <w:rsid w:val="004F305A"/>
    <w:rsid w:val="00512164"/>
    <w:rsid w:val="00520297"/>
    <w:rsid w:val="005222ED"/>
    <w:rsid w:val="005338F9"/>
    <w:rsid w:val="0054281C"/>
    <w:rsid w:val="00544581"/>
    <w:rsid w:val="005508F9"/>
    <w:rsid w:val="0055268D"/>
    <w:rsid w:val="00557908"/>
    <w:rsid w:val="00572913"/>
    <w:rsid w:val="00572BCD"/>
    <w:rsid w:val="00572E36"/>
    <w:rsid w:val="0057466B"/>
    <w:rsid w:val="00575DE2"/>
    <w:rsid w:val="00575E56"/>
    <w:rsid w:val="00576BE4"/>
    <w:rsid w:val="005779DB"/>
    <w:rsid w:val="00583E40"/>
    <w:rsid w:val="00592E75"/>
    <w:rsid w:val="005A2A67"/>
    <w:rsid w:val="005A400A"/>
    <w:rsid w:val="005B269D"/>
    <w:rsid w:val="005B47CB"/>
    <w:rsid w:val="005C0FE1"/>
    <w:rsid w:val="005D49F3"/>
    <w:rsid w:val="005D7E04"/>
    <w:rsid w:val="005E7C49"/>
    <w:rsid w:val="005E7D13"/>
    <w:rsid w:val="005F7B92"/>
    <w:rsid w:val="006102A3"/>
    <w:rsid w:val="00611488"/>
    <w:rsid w:val="00612379"/>
    <w:rsid w:val="006153B6"/>
    <w:rsid w:val="0061555F"/>
    <w:rsid w:val="00616251"/>
    <w:rsid w:val="00622B86"/>
    <w:rsid w:val="00624105"/>
    <w:rsid w:val="006245ED"/>
    <w:rsid w:val="0063091C"/>
    <w:rsid w:val="00633256"/>
    <w:rsid w:val="00636CA6"/>
    <w:rsid w:val="00641200"/>
    <w:rsid w:val="00642C13"/>
    <w:rsid w:val="006431F8"/>
    <w:rsid w:val="00644B9B"/>
    <w:rsid w:val="00644EF7"/>
    <w:rsid w:val="00645CA8"/>
    <w:rsid w:val="00653038"/>
    <w:rsid w:val="0066075D"/>
    <w:rsid w:val="006655D3"/>
    <w:rsid w:val="00667404"/>
    <w:rsid w:val="006750F2"/>
    <w:rsid w:val="00677FA8"/>
    <w:rsid w:val="00687EB4"/>
    <w:rsid w:val="0069080D"/>
    <w:rsid w:val="00694584"/>
    <w:rsid w:val="00695C56"/>
    <w:rsid w:val="006A5CDE"/>
    <w:rsid w:val="006A644A"/>
    <w:rsid w:val="006B17D2"/>
    <w:rsid w:val="006C224E"/>
    <w:rsid w:val="006D050A"/>
    <w:rsid w:val="006D2514"/>
    <w:rsid w:val="006D780A"/>
    <w:rsid w:val="00702180"/>
    <w:rsid w:val="00706D1A"/>
    <w:rsid w:val="0071271E"/>
    <w:rsid w:val="007129FF"/>
    <w:rsid w:val="00721D45"/>
    <w:rsid w:val="00721D5F"/>
    <w:rsid w:val="00732DEC"/>
    <w:rsid w:val="00734F46"/>
    <w:rsid w:val="00735BD5"/>
    <w:rsid w:val="007451EC"/>
    <w:rsid w:val="00751613"/>
    <w:rsid w:val="00753EE9"/>
    <w:rsid w:val="007556F6"/>
    <w:rsid w:val="00760EEF"/>
    <w:rsid w:val="00763AD3"/>
    <w:rsid w:val="007727F5"/>
    <w:rsid w:val="007738C9"/>
    <w:rsid w:val="00777EE5"/>
    <w:rsid w:val="00780FAD"/>
    <w:rsid w:val="00784836"/>
    <w:rsid w:val="0079023E"/>
    <w:rsid w:val="0079060A"/>
    <w:rsid w:val="0079167F"/>
    <w:rsid w:val="007A2854"/>
    <w:rsid w:val="007B19B0"/>
    <w:rsid w:val="007B202E"/>
    <w:rsid w:val="007B4099"/>
    <w:rsid w:val="007C1D92"/>
    <w:rsid w:val="007C4CB9"/>
    <w:rsid w:val="007D0B9D"/>
    <w:rsid w:val="007D19B0"/>
    <w:rsid w:val="007D4A40"/>
    <w:rsid w:val="007D6387"/>
    <w:rsid w:val="007D64D9"/>
    <w:rsid w:val="007F498F"/>
    <w:rsid w:val="007F5310"/>
    <w:rsid w:val="0080428D"/>
    <w:rsid w:val="0080679D"/>
    <w:rsid w:val="008108B0"/>
    <w:rsid w:val="00811B20"/>
    <w:rsid w:val="00812609"/>
    <w:rsid w:val="00816E3B"/>
    <w:rsid w:val="008211B5"/>
    <w:rsid w:val="0082296E"/>
    <w:rsid w:val="00824099"/>
    <w:rsid w:val="00826EDB"/>
    <w:rsid w:val="00831DB0"/>
    <w:rsid w:val="0083241C"/>
    <w:rsid w:val="0083410B"/>
    <w:rsid w:val="008350C2"/>
    <w:rsid w:val="00846D7C"/>
    <w:rsid w:val="008472E8"/>
    <w:rsid w:val="00851929"/>
    <w:rsid w:val="00857C02"/>
    <w:rsid w:val="00861A52"/>
    <w:rsid w:val="00867AC1"/>
    <w:rsid w:val="008749C8"/>
    <w:rsid w:val="008751DE"/>
    <w:rsid w:val="00877F60"/>
    <w:rsid w:val="00883738"/>
    <w:rsid w:val="00890DF8"/>
    <w:rsid w:val="0089575E"/>
    <w:rsid w:val="008A0ADE"/>
    <w:rsid w:val="008A3EC3"/>
    <w:rsid w:val="008A6C13"/>
    <w:rsid w:val="008A743F"/>
    <w:rsid w:val="008C0970"/>
    <w:rsid w:val="008D057F"/>
    <w:rsid w:val="008D07B2"/>
    <w:rsid w:val="008D0BC5"/>
    <w:rsid w:val="008D2CF7"/>
    <w:rsid w:val="008D639C"/>
    <w:rsid w:val="008D6599"/>
    <w:rsid w:val="008E2F0B"/>
    <w:rsid w:val="008E54C1"/>
    <w:rsid w:val="00900C26"/>
    <w:rsid w:val="0090197F"/>
    <w:rsid w:val="00903264"/>
    <w:rsid w:val="00906DDC"/>
    <w:rsid w:val="009112A4"/>
    <w:rsid w:val="00915149"/>
    <w:rsid w:val="00915964"/>
    <w:rsid w:val="00927288"/>
    <w:rsid w:val="00934E09"/>
    <w:rsid w:val="00936253"/>
    <w:rsid w:val="00940D46"/>
    <w:rsid w:val="009413F1"/>
    <w:rsid w:val="00952DD4"/>
    <w:rsid w:val="009561F4"/>
    <w:rsid w:val="00957E72"/>
    <w:rsid w:val="00965AE7"/>
    <w:rsid w:val="00966E06"/>
    <w:rsid w:val="00970FED"/>
    <w:rsid w:val="00984A50"/>
    <w:rsid w:val="00985E41"/>
    <w:rsid w:val="00992D82"/>
    <w:rsid w:val="00995C83"/>
    <w:rsid w:val="00995F25"/>
    <w:rsid w:val="00997029"/>
    <w:rsid w:val="009979E3"/>
    <w:rsid w:val="009A1110"/>
    <w:rsid w:val="009A2A92"/>
    <w:rsid w:val="009A7339"/>
    <w:rsid w:val="009A7524"/>
    <w:rsid w:val="009B3559"/>
    <w:rsid w:val="009B440E"/>
    <w:rsid w:val="009C237A"/>
    <w:rsid w:val="009D2BCD"/>
    <w:rsid w:val="009D690D"/>
    <w:rsid w:val="009E10A5"/>
    <w:rsid w:val="009E22F2"/>
    <w:rsid w:val="009E65B6"/>
    <w:rsid w:val="009F0A51"/>
    <w:rsid w:val="009F0D11"/>
    <w:rsid w:val="009F77CF"/>
    <w:rsid w:val="00A0704D"/>
    <w:rsid w:val="00A10E25"/>
    <w:rsid w:val="00A15BC0"/>
    <w:rsid w:val="00A22337"/>
    <w:rsid w:val="00A24C10"/>
    <w:rsid w:val="00A26F05"/>
    <w:rsid w:val="00A32902"/>
    <w:rsid w:val="00A33C94"/>
    <w:rsid w:val="00A42AC3"/>
    <w:rsid w:val="00A430CF"/>
    <w:rsid w:val="00A512E6"/>
    <w:rsid w:val="00A51670"/>
    <w:rsid w:val="00A522BD"/>
    <w:rsid w:val="00A54309"/>
    <w:rsid w:val="00A57B77"/>
    <w:rsid w:val="00A610A9"/>
    <w:rsid w:val="00A7472F"/>
    <w:rsid w:val="00A75CE2"/>
    <w:rsid w:val="00A77C10"/>
    <w:rsid w:val="00A80F2A"/>
    <w:rsid w:val="00A83D16"/>
    <w:rsid w:val="00A85775"/>
    <w:rsid w:val="00A85F14"/>
    <w:rsid w:val="00A9111F"/>
    <w:rsid w:val="00A92CC3"/>
    <w:rsid w:val="00A940E8"/>
    <w:rsid w:val="00A94A87"/>
    <w:rsid w:val="00A957D2"/>
    <w:rsid w:val="00A96C33"/>
    <w:rsid w:val="00AA3FCD"/>
    <w:rsid w:val="00AA5364"/>
    <w:rsid w:val="00AB0F5F"/>
    <w:rsid w:val="00AB2B93"/>
    <w:rsid w:val="00AB2C89"/>
    <w:rsid w:val="00AB530F"/>
    <w:rsid w:val="00AB7E5B"/>
    <w:rsid w:val="00AC0024"/>
    <w:rsid w:val="00AC0450"/>
    <w:rsid w:val="00AC2883"/>
    <w:rsid w:val="00AC2C03"/>
    <w:rsid w:val="00AD0E83"/>
    <w:rsid w:val="00AD2ED0"/>
    <w:rsid w:val="00AE0EF1"/>
    <w:rsid w:val="00AE2937"/>
    <w:rsid w:val="00AF7C72"/>
    <w:rsid w:val="00B05C03"/>
    <w:rsid w:val="00B07301"/>
    <w:rsid w:val="00B07708"/>
    <w:rsid w:val="00B07B7D"/>
    <w:rsid w:val="00B11F3E"/>
    <w:rsid w:val="00B224DE"/>
    <w:rsid w:val="00B24767"/>
    <w:rsid w:val="00B24BFD"/>
    <w:rsid w:val="00B324D4"/>
    <w:rsid w:val="00B42D68"/>
    <w:rsid w:val="00B4489E"/>
    <w:rsid w:val="00B46575"/>
    <w:rsid w:val="00B467A5"/>
    <w:rsid w:val="00B54E28"/>
    <w:rsid w:val="00B61777"/>
    <w:rsid w:val="00B622E6"/>
    <w:rsid w:val="00B63139"/>
    <w:rsid w:val="00B63EC3"/>
    <w:rsid w:val="00B671DA"/>
    <w:rsid w:val="00B73A87"/>
    <w:rsid w:val="00B7418E"/>
    <w:rsid w:val="00B83E82"/>
    <w:rsid w:val="00B84BBD"/>
    <w:rsid w:val="00B9683F"/>
    <w:rsid w:val="00BA3C6B"/>
    <w:rsid w:val="00BA43FB"/>
    <w:rsid w:val="00BC127D"/>
    <w:rsid w:val="00BC1FE6"/>
    <w:rsid w:val="00BD5A7D"/>
    <w:rsid w:val="00BD7275"/>
    <w:rsid w:val="00BE5A90"/>
    <w:rsid w:val="00BE7BEB"/>
    <w:rsid w:val="00BE7FEB"/>
    <w:rsid w:val="00BF252F"/>
    <w:rsid w:val="00C061B6"/>
    <w:rsid w:val="00C12741"/>
    <w:rsid w:val="00C13520"/>
    <w:rsid w:val="00C14AD3"/>
    <w:rsid w:val="00C17070"/>
    <w:rsid w:val="00C2315A"/>
    <w:rsid w:val="00C23CD1"/>
    <w:rsid w:val="00C2446C"/>
    <w:rsid w:val="00C24846"/>
    <w:rsid w:val="00C271D8"/>
    <w:rsid w:val="00C36AE5"/>
    <w:rsid w:val="00C36F8A"/>
    <w:rsid w:val="00C41F17"/>
    <w:rsid w:val="00C42F6F"/>
    <w:rsid w:val="00C5057F"/>
    <w:rsid w:val="00C516D0"/>
    <w:rsid w:val="00C527FA"/>
    <w:rsid w:val="00C5280D"/>
    <w:rsid w:val="00C53EB3"/>
    <w:rsid w:val="00C5672C"/>
    <w:rsid w:val="00C56CA5"/>
    <w:rsid w:val="00C5791C"/>
    <w:rsid w:val="00C614E9"/>
    <w:rsid w:val="00C6550A"/>
    <w:rsid w:val="00C66290"/>
    <w:rsid w:val="00C66F74"/>
    <w:rsid w:val="00C72B7A"/>
    <w:rsid w:val="00C75647"/>
    <w:rsid w:val="00C76BEF"/>
    <w:rsid w:val="00C84823"/>
    <w:rsid w:val="00C902B2"/>
    <w:rsid w:val="00C973F2"/>
    <w:rsid w:val="00CA304C"/>
    <w:rsid w:val="00CA774A"/>
    <w:rsid w:val="00CB4921"/>
    <w:rsid w:val="00CB4FA9"/>
    <w:rsid w:val="00CC11B0"/>
    <w:rsid w:val="00CC2841"/>
    <w:rsid w:val="00CC76AE"/>
    <w:rsid w:val="00CD11DA"/>
    <w:rsid w:val="00CD6419"/>
    <w:rsid w:val="00CE5B27"/>
    <w:rsid w:val="00CF1330"/>
    <w:rsid w:val="00CF7E36"/>
    <w:rsid w:val="00D043EF"/>
    <w:rsid w:val="00D04F8F"/>
    <w:rsid w:val="00D11134"/>
    <w:rsid w:val="00D11169"/>
    <w:rsid w:val="00D11CFC"/>
    <w:rsid w:val="00D25606"/>
    <w:rsid w:val="00D31101"/>
    <w:rsid w:val="00D3708D"/>
    <w:rsid w:val="00D40426"/>
    <w:rsid w:val="00D44F7C"/>
    <w:rsid w:val="00D56318"/>
    <w:rsid w:val="00D57C96"/>
    <w:rsid w:val="00D57D18"/>
    <w:rsid w:val="00D609E7"/>
    <w:rsid w:val="00D627F0"/>
    <w:rsid w:val="00D64838"/>
    <w:rsid w:val="00D70E65"/>
    <w:rsid w:val="00D77E15"/>
    <w:rsid w:val="00D84A3F"/>
    <w:rsid w:val="00D866CC"/>
    <w:rsid w:val="00D91203"/>
    <w:rsid w:val="00D9516B"/>
    <w:rsid w:val="00D95174"/>
    <w:rsid w:val="00DA119D"/>
    <w:rsid w:val="00DA2B9E"/>
    <w:rsid w:val="00DA4973"/>
    <w:rsid w:val="00DA6F36"/>
    <w:rsid w:val="00DB596E"/>
    <w:rsid w:val="00DB7773"/>
    <w:rsid w:val="00DB7BBD"/>
    <w:rsid w:val="00DC00EA"/>
    <w:rsid w:val="00DC1516"/>
    <w:rsid w:val="00DC3802"/>
    <w:rsid w:val="00DD0F81"/>
    <w:rsid w:val="00DD6208"/>
    <w:rsid w:val="00DD6DCC"/>
    <w:rsid w:val="00DE391B"/>
    <w:rsid w:val="00DE6217"/>
    <w:rsid w:val="00DF18A9"/>
    <w:rsid w:val="00DF7E99"/>
    <w:rsid w:val="00E03512"/>
    <w:rsid w:val="00E07D87"/>
    <w:rsid w:val="00E11463"/>
    <w:rsid w:val="00E20D19"/>
    <w:rsid w:val="00E249C8"/>
    <w:rsid w:val="00E32F7E"/>
    <w:rsid w:val="00E433D4"/>
    <w:rsid w:val="00E5047E"/>
    <w:rsid w:val="00E5267B"/>
    <w:rsid w:val="00E559F0"/>
    <w:rsid w:val="00E61F18"/>
    <w:rsid w:val="00E629FA"/>
    <w:rsid w:val="00E63973"/>
    <w:rsid w:val="00E63C0E"/>
    <w:rsid w:val="00E65613"/>
    <w:rsid w:val="00E72D49"/>
    <w:rsid w:val="00E7593C"/>
    <w:rsid w:val="00E7678A"/>
    <w:rsid w:val="00E8317B"/>
    <w:rsid w:val="00E84643"/>
    <w:rsid w:val="00E87070"/>
    <w:rsid w:val="00E935F1"/>
    <w:rsid w:val="00E9417B"/>
    <w:rsid w:val="00E94A81"/>
    <w:rsid w:val="00EA1FFB"/>
    <w:rsid w:val="00EA2F7C"/>
    <w:rsid w:val="00EA50B0"/>
    <w:rsid w:val="00EB048E"/>
    <w:rsid w:val="00EB4CC7"/>
    <w:rsid w:val="00EB4E9C"/>
    <w:rsid w:val="00EB5147"/>
    <w:rsid w:val="00EC3E5C"/>
    <w:rsid w:val="00EC6F1B"/>
    <w:rsid w:val="00ED6757"/>
    <w:rsid w:val="00EE1306"/>
    <w:rsid w:val="00EE34DF"/>
    <w:rsid w:val="00EF2F89"/>
    <w:rsid w:val="00F03E98"/>
    <w:rsid w:val="00F1229A"/>
    <w:rsid w:val="00F1237A"/>
    <w:rsid w:val="00F22CBD"/>
    <w:rsid w:val="00F272F1"/>
    <w:rsid w:val="00F27D3C"/>
    <w:rsid w:val="00F31412"/>
    <w:rsid w:val="00F34A44"/>
    <w:rsid w:val="00F45372"/>
    <w:rsid w:val="00F46197"/>
    <w:rsid w:val="00F46749"/>
    <w:rsid w:val="00F50796"/>
    <w:rsid w:val="00F52E37"/>
    <w:rsid w:val="00F536E0"/>
    <w:rsid w:val="00F560F7"/>
    <w:rsid w:val="00F563F5"/>
    <w:rsid w:val="00F572F9"/>
    <w:rsid w:val="00F6334D"/>
    <w:rsid w:val="00F63599"/>
    <w:rsid w:val="00F71781"/>
    <w:rsid w:val="00F77C52"/>
    <w:rsid w:val="00F94BE1"/>
    <w:rsid w:val="00FA49AB"/>
    <w:rsid w:val="00FB1FAB"/>
    <w:rsid w:val="00FC5FD0"/>
    <w:rsid w:val="00FE39C7"/>
    <w:rsid w:val="00FE55ED"/>
    <w:rsid w:val="00FF10EF"/>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02D9EB"/>
  <w15:docId w15:val="{A7455FDD-BCEA-44A7-9DAB-B3AD8DA5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106294"/>
    <w:pPr>
      <w:spacing w:before="60"/>
      <w:ind w:left="102" w:hanging="102"/>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80428D"/>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3E4FF7"/>
    <w:rPr>
      <w:rFonts w:ascii="Arial" w:hAnsi="Arial"/>
      <w:lang w:val="fr-FR"/>
    </w:rPr>
  </w:style>
  <w:style w:type="character" w:customStyle="1" w:styleId="FootnoteTextChar">
    <w:name w:val="Footnote Text Char"/>
    <w:basedOn w:val="DefaultParagraphFont"/>
    <w:link w:val="FootnoteText"/>
    <w:rsid w:val="00106294"/>
    <w:rPr>
      <w:rFonts w:ascii="Arial" w:hAnsi="Arial"/>
      <w:sz w:val="16"/>
    </w:rPr>
  </w:style>
  <w:style w:type="table" w:styleId="TableGrid">
    <w:name w:val="Table Grid"/>
    <w:basedOn w:val="TableNormal"/>
    <w:uiPriority w:val="59"/>
    <w:rsid w:val="003E4FF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489E"/>
    <w:pPr>
      <w:ind w:left="720"/>
      <w:contextualSpacing/>
    </w:pPr>
  </w:style>
  <w:style w:type="character" w:styleId="CommentReference">
    <w:name w:val="annotation reference"/>
    <w:basedOn w:val="DefaultParagraphFont"/>
    <w:semiHidden/>
    <w:unhideWhenUsed/>
    <w:rsid w:val="00995F25"/>
    <w:rPr>
      <w:sz w:val="16"/>
      <w:szCs w:val="16"/>
    </w:rPr>
  </w:style>
  <w:style w:type="paragraph" w:styleId="CommentText">
    <w:name w:val="annotation text"/>
    <w:basedOn w:val="Normal"/>
    <w:link w:val="CommentTextChar"/>
    <w:unhideWhenUsed/>
    <w:rsid w:val="00995F25"/>
  </w:style>
  <w:style w:type="character" w:customStyle="1" w:styleId="CommentTextChar">
    <w:name w:val="Comment Text Char"/>
    <w:basedOn w:val="DefaultParagraphFont"/>
    <w:link w:val="CommentText"/>
    <w:rsid w:val="00995F25"/>
    <w:rPr>
      <w:rFonts w:ascii="Arial" w:hAnsi="Arial"/>
    </w:rPr>
  </w:style>
  <w:style w:type="paragraph" w:styleId="CommentSubject">
    <w:name w:val="annotation subject"/>
    <w:basedOn w:val="CommentText"/>
    <w:next w:val="CommentText"/>
    <w:link w:val="CommentSubjectChar"/>
    <w:semiHidden/>
    <w:unhideWhenUsed/>
    <w:rsid w:val="00995F25"/>
    <w:rPr>
      <w:b/>
      <w:bCs/>
    </w:rPr>
  </w:style>
  <w:style w:type="character" w:customStyle="1" w:styleId="CommentSubjectChar">
    <w:name w:val="Comment Subject Char"/>
    <w:basedOn w:val="CommentTextChar"/>
    <w:link w:val="CommentSubject"/>
    <w:semiHidden/>
    <w:rsid w:val="00995F25"/>
    <w:rPr>
      <w:rFonts w:ascii="Arial" w:hAnsi="Arial"/>
      <w:b/>
      <w:bCs/>
    </w:rPr>
  </w:style>
  <w:style w:type="paragraph" w:styleId="Revision">
    <w:name w:val="Revision"/>
    <w:hidden/>
    <w:uiPriority w:val="99"/>
    <w:semiHidden/>
    <w:rsid w:val="00BF252F"/>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296848">
      <w:bodyDiv w:val="1"/>
      <w:marLeft w:val="0"/>
      <w:marRight w:val="0"/>
      <w:marTop w:val="0"/>
      <w:marBottom w:val="0"/>
      <w:divBdr>
        <w:top w:val="none" w:sz="0" w:space="0" w:color="auto"/>
        <w:left w:val="none" w:sz="0" w:space="0" w:color="auto"/>
        <w:bottom w:val="none" w:sz="0" w:space="0" w:color="auto"/>
        <w:right w:val="none" w:sz="0" w:space="0" w:color="auto"/>
      </w:divBdr>
    </w:div>
    <w:div w:id="1732267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7\templates\routing_slip_with_doc_tc_5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380F5-AB95-4B35-B682-5D98B0462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routing_slip_with_doc_tc_57</Template>
  <TotalTime>0</TotalTime>
  <Pages>6</Pages>
  <Words>2099</Words>
  <Characters>14275</Characters>
  <Application>Microsoft Office Word</Application>
  <DocSecurity>0</DocSecurity>
  <Lines>118</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TC/57/6</vt:lpstr>
      <vt:lpstr>TC/57/6</vt:lpstr>
    </vt:vector>
  </TitlesOfParts>
  <Company>UPOV</Company>
  <LinksUpToDate>false</LinksUpToDate>
  <CharactersWithSpaces>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TC/57/6</dc:title>
  <dc:creator>SANCHEZ VIZCAINO GOMEZ Rosa Maria</dc:creator>
  <cp:lastModifiedBy>MAY Jessica</cp:lastModifiedBy>
  <cp:revision>9</cp:revision>
  <cp:lastPrinted>2021-09-08T11:12:00Z</cp:lastPrinted>
  <dcterms:created xsi:type="dcterms:W3CDTF">2021-09-08T11:12:00Z</dcterms:created>
  <dcterms:modified xsi:type="dcterms:W3CDTF">2021-09-21T09:46:00Z</dcterms:modified>
</cp:coreProperties>
</file>