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20C76" w14:paraId="4C845622" w14:textId="77777777" w:rsidTr="00EB4E9C">
        <w:tc>
          <w:tcPr>
            <w:tcW w:w="6522" w:type="dxa"/>
          </w:tcPr>
          <w:p w14:paraId="7A7DCF2A" w14:textId="77777777" w:rsidR="00DC3802" w:rsidRPr="00C20C76" w:rsidRDefault="00DC3802" w:rsidP="00167246">
            <w:pPr>
              <w:rPr>
                <w:lang w:val="de-DE"/>
              </w:rPr>
            </w:pPr>
            <w:r w:rsidRPr="00C20C76">
              <w:rPr>
                <w:noProof/>
              </w:rPr>
              <w:drawing>
                <wp:inline distT="0" distB="0" distL="0" distR="0" wp14:anchorId="6C16649D" wp14:editId="321EC41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7817578" w14:textId="5C656A36" w:rsidR="00DC3802" w:rsidRPr="00C20C76" w:rsidRDefault="00494F3B" w:rsidP="00167246">
            <w:pPr>
              <w:pStyle w:val="Lettrine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</w:tr>
      <w:tr w:rsidR="007E6BBE" w:rsidRPr="00171ED5" w14:paraId="1C9562F6" w14:textId="77777777" w:rsidTr="00645CA8">
        <w:trPr>
          <w:trHeight w:val="219"/>
        </w:trPr>
        <w:tc>
          <w:tcPr>
            <w:tcW w:w="6522" w:type="dxa"/>
          </w:tcPr>
          <w:p w14:paraId="0BE93284" w14:textId="0C2274A9" w:rsidR="007E6BBE" w:rsidRPr="00C20C76" w:rsidRDefault="007E6BBE" w:rsidP="00167246">
            <w:pPr>
              <w:pStyle w:val="upove"/>
              <w:rPr>
                <w:lang w:val="de-DE"/>
              </w:rPr>
            </w:pPr>
            <w:r w:rsidRPr="00C20C76">
              <w:rPr>
                <w:rFonts w:cs="Arial"/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0C43B578" w14:textId="77777777" w:rsidR="007E6BBE" w:rsidRPr="00C20C76" w:rsidRDefault="007E6BBE" w:rsidP="00167246">
            <w:pPr>
              <w:rPr>
                <w:lang w:val="de-DE"/>
              </w:rPr>
            </w:pPr>
          </w:p>
        </w:tc>
      </w:tr>
    </w:tbl>
    <w:p w14:paraId="2A022AD8" w14:textId="77777777" w:rsidR="00DC3802" w:rsidRPr="00C20C76" w:rsidRDefault="00DC3802" w:rsidP="00167246">
      <w:pPr>
        <w:rPr>
          <w:lang w:val="de-DE"/>
        </w:rPr>
      </w:pPr>
    </w:p>
    <w:p w14:paraId="30327224" w14:textId="77777777" w:rsidR="00DA4973" w:rsidRPr="00C20C76" w:rsidRDefault="00DA4973" w:rsidP="00167246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71ED5" w14:paraId="7B56591F" w14:textId="77777777" w:rsidTr="00EB4E9C">
        <w:tc>
          <w:tcPr>
            <w:tcW w:w="6512" w:type="dxa"/>
          </w:tcPr>
          <w:p w14:paraId="1A51A878" w14:textId="77777777" w:rsidR="00EB4E9C" w:rsidRPr="00C20C76" w:rsidRDefault="00EB4E9C" w:rsidP="00167246">
            <w:pPr>
              <w:pStyle w:val="Sessiontc"/>
              <w:spacing w:line="240" w:lineRule="auto"/>
              <w:rPr>
                <w:lang w:val="de-DE"/>
              </w:rPr>
            </w:pPr>
            <w:r w:rsidRPr="00C20C76">
              <w:rPr>
                <w:lang w:val="de-DE"/>
              </w:rPr>
              <w:t>Technischer Ausschuss</w:t>
            </w:r>
          </w:p>
          <w:p w14:paraId="49B8D1D2" w14:textId="0BE9886F" w:rsidR="00EB4E9C" w:rsidRPr="00C20C76" w:rsidRDefault="00F93DBB" w:rsidP="00F93DBB">
            <w:pPr>
              <w:pStyle w:val="Sessiontcplacedate"/>
              <w:rPr>
                <w:sz w:val="22"/>
                <w:lang w:val="de-DE"/>
              </w:rPr>
            </w:pPr>
            <w:r>
              <w:rPr>
                <w:bCs w:val="0"/>
                <w:szCs w:val="24"/>
                <w:lang w:val="de-DE"/>
              </w:rPr>
              <w:t>Sieben</w:t>
            </w:r>
            <w:r w:rsidR="00E915EA" w:rsidRPr="00C20C76">
              <w:rPr>
                <w:bCs w:val="0"/>
                <w:szCs w:val="24"/>
                <w:lang w:val="de-DE"/>
              </w:rPr>
              <w:t xml:space="preserve">undfünfzigste </w:t>
            </w:r>
            <w:r w:rsidR="007E6BBE" w:rsidRPr="00C20C76">
              <w:rPr>
                <w:bCs w:val="0"/>
                <w:szCs w:val="24"/>
                <w:lang w:val="de-DE"/>
              </w:rPr>
              <w:t>Tagung</w:t>
            </w:r>
            <w:r w:rsidR="007E6BBE" w:rsidRPr="00C20C76">
              <w:rPr>
                <w:bCs w:val="0"/>
                <w:szCs w:val="24"/>
                <w:lang w:val="de-DE"/>
              </w:rPr>
              <w:br/>
              <w:t>Genf, 2</w:t>
            </w:r>
            <w:r>
              <w:rPr>
                <w:bCs w:val="0"/>
                <w:szCs w:val="24"/>
                <w:lang w:val="de-DE"/>
              </w:rPr>
              <w:t>5</w:t>
            </w:r>
            <w:r w:rsidR="007E6BBE" w:rsidRPr="00C20C76">
              <w:rPr>
                <w:bCs w:val="0"/>
                <w:szCs w:val="24"/>
                <w:lang w:val="de-DE"/>
              </w:rPr>
              <w:t>. und 2</w:t>
            </w:r>
            <w:r>
              <w:rPr>
                <w:bCs w:val="0"/>
                <w:szCs w:val="24"/>
                <w:lang w:val="de-DE"/>
              </w:rPr>
              <w:t>6</w:t>
            </w:r>
            <w:r w:rsidR="007E6BBE" w:rsidRPr="00C20C76">
              <w:rPr>
                <w:bCs w:val="0"/>
                <w:szCs w:val="24"/>
                <w:lang w:val="de-DE"/>
              </w:rPr>
              <w:t xml:space="preserve">. Oktober </w:t>
            </w:r>
            <w:r>
              <w:rPr>
                <w:bCs w:val="0"/>
                <w:szCs w:val="24"/>
                <w:lang w:val="de-DE"/>
              </w:rPr>
              <w:t>2021</w:t>
            </w:r>
          </w:p>
        </w:tc>
        <w:tc>
          <w:tcPr>
            <w:tcW w:w="3127" w:type="dxa"/>
          </w:tcPr>
          <w:p w14:paraId="5256310A" w14:textId="5EED4C40" w:rsidR="00EB4E9C" w:rsidRPr="00C20C76" w:rsidRDefault="0089331B" w:rsidP="00167246">
            <w:pPr>
              <w:pStyle w:val="Doccode"/>
              <w:rPr>
                <w:spacing w:val="0"/>
                <w:lang w:val="de-DE"/>
              </w:rPr>
            </w:pPr>
            <w:r>
              <w:rPr>
                <w:spacing w:val="0"/>
                <w:lang w:val="de-DE"/>
              </w:rPr>
              <w:t>TC/57</w:t>
            </w:r>
            <w:r w:rsidR="00515F7C" w:rsidRPr="00C20C76">
              <w:rPr>
                <w:spacing w:val="0"/>
                <w:lang w:val="de-DE"/>
              </w:rPr>
              <w:t>/3</w:t>
            </w:r>
          </w:p>
          <w:p w14:paraId="4FA43EF9" w14:textId="77777777" w:rsidR="00EB4E9C" w:rsidRPr="00C20C76" w:rsidRDefault="00EB4E9C" w:rsidP="00167246">
            <w:pPr>
              <w:pStyle w:val="Docoriginal"/>
              <w:spacing w:line="240" w:lineRule="auto"/>
              <w:rPr>
                <w:spacing w:val="0"/>
                <w:lang w:val="de-DE"/>
              </w:rPr>
            </w:pPr>
            <w:r w:rsidRPr="00C20C76">
              <w:rPr>
                <w:spacing w:val="0"/>
                <w:lang w:val="de-DE"/>
              </w:rPr>
              <w:t>Original:</w:t>
            </w:r>
            <w:r w:rsidRPr="00C20C76">
              <w:rPr>
                <w:b w:val="0"/>
                <w:spacing w:val="0"/>
                <w:lang w:val="de-DE"/>
              </w:rPr>
              <w:t xml:space="preserve"> Englisch</w:t>
            </w:r>
          </w:p>
          <w:p w14:paraId="6B10B756" w14:textId="50809FF5" w:rsidR="00EB4E9C" w:rsidRPr="00C20C76" w:rsidRDefault="00EB4E9C" w:rsidP="00F93DBB">
            <w:pPr>
              <w:pStyle w:val="Docoriginal"/>
              <w:spacing w:line="240" w:lineRule="auto"/>
              <w:rPr>
                <w:spacing w:val="0"/>
                <w:lang w:val="de-DE"/>
              </w:rPr>
            </w:pPr>
            <w:r w:rsidRPr="00C20C76">
              <w:rPr>
                <w:spacing w:val="0"/>
                <w:lang w:val="de-DE"/>
              </w:rPr>
              <w:t xml:space="preserve">Datum: </w:t>
            </w:r>
            <w:r w:rsidR="00F93DBB">
              <w:rPr>
                <w:b w:val="0"/>
                <w:spacing w:val="0"/>
                <w:lang w:val="de-DE"/>
              </w:rPr>
              <w:t>20. August 2021</w:t>
            </w:r>
          </w:p>
        </w:tc>
      </w:tr>
    </w:tbl>
    <w:p w14:paraId="1DF8712E" w14:textId="77777777" w:rsidR="007E6BBE" w:rsidRPr="00C20C76" w:rsidRDefault="007E6BBE" w:rsidP="00167246">
      <w:pPr>
        <w:pStyle w:val="Titleofdoc0"/>
        <w:rPr>
          <w:szCs w:val="24"/>
          <w:lang w:val="de-DE"/>
        </w:rPr>
      </w:pPr>
      <w:bookmarkStart w:id="0" w:name="TitleOfDoc"/>
      <w:bookmarkStart w:id="1" w:name="Prepared"/>
      <w:bookmarkEnd w:id="0"/>
      <w:bookmarkEnd w:id="1"/>
      <w:r w:rsidRPr="00C20C76">
        <w:rPr>
          <w:szCs w:val="24"/>
          <w:lang w:val="de-DE"/>
        </w:rPr>
        <w:t>Fragen, die von den Technischen Arbeitsgruppen aufgeworfen wurden</w:t>
      </w:r>
    </w:p>
    <w:p w14:paraId="0BE58039" w14:textId="77777777" w:rsidR="006A644A" w:rsidRPr="00C20C76" w:rsidRDefault="0061555F" w:rsidP="00167246">
      <w:pPr>
        <w:pStyle w:val="preparedby1"/>
        <w:jc w:val="left"/>
        <w:rPr>
          <w:lang w:val="de-DE"/>
        </w:rPr>
      </w:pPr>
      <w:r w:rsidRPr="00C20C76">
        <w:rPr>
          <w:lang w:val="de-DE"/>
        </w:rPr>
        <w:t xml:space="preserve">Vom Verbandsbüro erstelltes </w:t>
      </w:r>
      <w:r w:rsidR="00AE0EF1" w:rsidRPr="00C20C76">
        <w:rPr>
          <w:lang w:val="de-DE"/>
        </w:rPr>
        <w:t>Dokument</w:t>
      </w:r>
    </w:p>
    <w:p w14:paraId="7E74C54C" w14:textId="7CBD6247" w:rsidR="00050E16" w:rsidRPr="00C20C76" w:rsidRDefault="00050E16" w:rsidP="00167246">
      <w:pPr>
        <w:pStyle w:val="Disclaimer"/>
        <w:rPr>
          <w:lang w:val="de-DE"/>
        </w:rPr>
      </w:pPr>
      <w:r w:rsidRPr="00C20C76">
        <w:rPr>
          <w:lang w:val="de-DE"/>
        </w:rPr>
        <w:t>Haftungsausschlu</w:t>
      </w:r>
      <w:r w:rsidR="0055751E" w:rsidRPr="00C20C76">
        <w:rPr>
          <w:lang w:val="de-DE"/>
        </w:rPr>
        <w:t>ss</w:t>
      </w:r>
      <w:r w:rsidRPr="00C20C76">
        <w:rPr>
          <w:lang w:val="de-DE"/>
        </w:rPr>
        <w:t>: Dieses Dokument stellt keine Politik oder Anleitung der UPOV dar.</w:t>
      </w:r>
    </w:p>
    <w:p w14:paraId="60C1F675" w14:textId="77777777" w:rsidR="004C142C" w:rsidRPr="00C20C76" w:rsidRDefault="004C142C" w:rsidP="00167246">
      <w:pPr>
        <w:pStyle w:val="Heading1"/>
        <w:rPr>
          <w:lang w:val="de-DE"/>
        </w:rPr>
      </w:pPr>
      <w:bookmarkStart w:id="2" w:name="_Toc54170620"/>
      <w:bookmarkStart w:id="3" w:name="_Toc20505077"/>
      <w:r w:rsidRPr="00C20C76">
        <w:rPr>
          <w:lang w:val="de-DE"/>
        </w:rPr>
        <w:t>ZUSAMMENFASSUNG</w:t>
      </w:r>
      <w:bookmarkEnd w:id="2"/>
      <w:r w:rsidRPr="00C20C76">
        <w:rPr>
          <w:lang w:val="de-DE"/>
        </w:rPr>
        <w:t xml:space="preserve"> </w:t>
      </w:r>
      <w:bookmarkEnd w:id="3"/>
    </w:p>
    <w:p w14:paraId="0C18DE78" w14:textId="77777777" w:rsidR="004C142C" w:rsidRPr="00C20C76" w:rsidRDefault="004C142C" w:rsidP="00167246">
      <w:pPr>
        <w:rPr>
          <w:color w:val="000000"/>
          <w:lang w:val="de-DE"/>
        </w:rPr>
      </w:pPr>
    </w:p>
    <w:p w14:paraId="458F1073" w14:textId="5178E40E" w:rsidR="00F93DBB" w:rsidRDefault="004C142C" w:rsidP="00167246">
      <w:pPr>
        <w:rPr>
          <w:color w:val="000000"/>
          <w:lang w:val="de-DE"/>
        </w:rPr>
      </w:pPr>
      <w:r w:rsidRPr="00C20C76">
        <w:rPr>
          <w:color w:val="000000"/>
          <w:lang w:val="de-DE"/>
        </w:rPr>
        <w:fldChar w:fldCharType="begin"/>
      </w:r>
      <w:r w:rsidRPr="00C20C76">
        <w:rPr>
          <w:color w:val="000000"/>
          <w:lang w:val="de-DE"/>
        </w:rPr>
        <w:instrText xml:space="preserve"> AUTONUM  </w:instrText>
      </w:r>
      <w:r w:rsidRPr="00C20C76">
        <w:rPr>
          <w:color w:val="000000"/>
          <w:lang w:val="de-DE"/>
        </w:rPr>
        <w:fldChar w:fldCharType="end"/>
      </w:r>
      <w:r w:rsidRPr="00C20C76">
        <w:rPr>
          <w:color w:val="000000"/>
          <w:lang w:val="de-DE"/>
        </w:rPr>
        <w:tab/>
      </w:r>
      <w:r w:rsidR="00B80B6E" w:rsidRPr="00C20C76">
        <w:rPr>
          <w:szCs w:val="24"/>
          <w:lang w:val="de-DE"/>
        </w:rPr>
        <w:t>Dieses Dokument fasst die Fragen zusammen, die von</w:t>
      </w:r>
      <w:r w:rsidR="00B80B6E" w:rsidRPr="00C20C76">
        <w:rPr>
          <w:color w:val="000000"/>
          <w:lang w:val="de-DE"/>
        </w:rPr>
        <w:t xml:space="preserve"> </w:t>
      </w:r>
      <w:r w:rsidRPr="00C20C76">
        <w:rPr>
          <w:color w:val="000000"/>
          <w:lang w:val="de-DE"/>
        </w:rPr>
        <w:t xml:space="preserve">der </w:t>
      </w:r>
      <w:r w:rsidRPr="00C20C76">
        <w:rPr>
          <w:rFonts w:eastAsia="PMingLiU"/>
          <w:szCs w:val="24"/>
          <w:lang w:val="de-DE"/>
        </w:rPr>
        <w:t>Technischen Arbeitsgruppe für Gemüsearten (TWV)</w:t>
      </w:r>
      <w:r w:rsidR="000912AD" w:rsidRPr="00C20C76">
        <w:rPr>
          <w:rStyle w:val="FootnoteReference"/>
          <w:rFonts w:eastAsia="PMingLiU"/>
          <w:szCs w:val="24"/>
          <w:lang w:val="de-DE"/>
        </w:rPr>
        <w:footnoteReference w:id="2"/>
      </w:r>
      <w:r w:rsidRPr="00C20C76">
        <w:rPr>
          <w:rFonts w:eastAsia="PMingLiU"/>
          <w:szCs w:val="24"/>
          <w:lang w:val="de-DE"/>
        </w:rPr>
        <w:t>, der Technischen Arbeitsgruppe für Zierpflanzen und forstliche Baumarten (TWO)</w:t>
      </w:r>
      <w:r w:rsidR="000912AD" w:rsidRPr="00C20C76">
        <w:rPr>
          <w:rStyle w:val="FootnoteReference"/>
          <w:rFonts w:eastAsia="PMingLiU"/>
          <w:szCs w:val="24"/>
          <w:lang w:val="de-DE"/>
        </w:rPr>
        <w:footnoteReference w:id="3"/>
      </w:r>
      <w:r w:rsidRPr="00C20C76">
        <w:rPr>
          <w:rFonts w:eastAsia="PMingLiU"/>
          <w:szCs w:val="24"/>
          <w:lang w:val="de-DE"/>
        </w:rPr>
        <w:t>, der Technischen Arbeitsgruppe für landwirtschaftliche Arten (TWA)</w:t>
      </w:r>
      <w:r w:rsidR="000912AD" w:rsidRPr="00C20C76">
        <w:rPr>
          <w:rStyle w:val="FootnoteReference"/>
          <w:rFonts w:eastAsia="PMingLiU"/>
          <w:szCs w:val="24"/>
          <w:lang w:val="de-DE"/>
        </w:rPr>
        <w:footnoteReference w:id="4"/>
      </w:r>
      <w:r w:rsidR="0089331B">
        <w:rPr>
          <w:rFonts w:eastAsia="PMingLiU"/>
          <w:szCs w:val="24"/>
          <w:lang w:val="de-DE"/>
        </w:rPr>
        <w:t xml:space="preserve"> und</w:t>
      </w:r>
      <w:r w:rsidRPr="00C20C76">
        <w:rPr>
          <w:rFonts w:eastAsia="PMingLiU"/>
          <w:szCs w:val="24"/>
          <w:lang w:val="de-DE"/>
        </w:rPr>
        <w:t xml:space="preserve"> der Technischen Arbeitsgruppe für Obstarten </w:t>
      </w:r>
      <w:r w:rsidRPr="00C20C76">
        <w:rPr>
          <w:color w:val="000000"/>
          <w:lang w:val="de-DE"/>
        </w:rPr>
        <w:t>(TWF)</w:t>
      </w:r>
      <w:r w:rsidR="000912AD" w:rsidRPr="00C20C76">
        <w:rPr>
          <w:rStyle w:val="FootnoteReference"/>
          <w:color w:val="000000"/>
          <w:lang w:val="de-DE"/>
        </w:rPr>
        <w:footnoteReference w:id="5"/>
      </w:r>
      <w:r w:rsidR="00F93DBB">
        <w:rPr>
          <w:color w:val="000000"/>
          <w:lang w:val="de-DE"/>
        </w:rPr>
        <w:t xml:space="preserve"> </w:t>
      </w:r>
      <w:r w:rsidR="00F93DBB">
        <w:rPr>
          <w:snapToGrid w:val="0"/>
          <w:lang w:val="de-DE"/>
        </w:rPr>
        <w:t xml:space="preserve">auf ihren Tagungen </w:t>
      </w:r>
      <w:r w:rsidR="00F93DBB" w:rsidRPr="00C20C76">
        <w:rPr>
          <w:color w:val="000000"/>
          <w:lang w:val="de-DE"/>
        </w:rPr>
        <w:t xml:space="preserve">im Jahr </w:t>
      </w:r>
      <w:r w:rsidR="00F93DBB">
        <w:rPr>
          <w:color w:val="000000"/>
          <w:lang w:val="de-DE"/>
        </w:rPr>
        <w:t>2021</w:t>
      </w:r>
      <w:r w:rsidR="00F93DBB" w:rsidRPr="00C20C76">
        <w:rPr>
          <w:color w:val="000000"/>
          <w:lang w:val="de-DE"/>
        </w:rPr>
        <w:t xml:space="preserve"> </w:t>
      </w:r>
      <w:r w:rsidR="00F93DBB" w:rsidRPr="00494F3B">
        <w:rPr>
          <w:color w:val="000000"/>
          <w:lang w:val="de-DE"/>
        </w:rPr>
        <w:t>aufgeworfen</w:t>
      </w:r>
      <w:r w:rsidR="00F93DBB" w:rsidRPr="00C20C76">
        <w:rPr>
          <w:color w:val="000000"/>
          <w:lang w:val="de-DE"/>
        </w:rPr>
        <w:t xml:space="preserve"> wurden</w:t>
      </w:r>
      <w:r w:rsidR="00F93DBB">
        <w:rPr>
          <w:color w:val="000000"/>
          <w:lang w:val="de-DE"/>
        </w:rPr>
        <w:t>, die</w:t>
      </w:r>
      <w:r w:rsidR="00F93DBB" w:rsidRPr="00C20C76">
        <w:rPr>
          <w:color w:val="000000"/>
          <w:lang w:val="de-DE"/>
        </w:rPr>
        <w:t xml:space="preserve"> nicht ausdrücklich durch spezifische Tagesordnungspunkte abgedeckt werden</w:t>
      </w:r>
      <w:r w:rsidR="00F93DBB">
        <w:rPr>
          <w:color w:val="000000"/>
          <w:lang w:val="de-DE"/>
        </w:rPr>
        <w:t>.</w:t>
      </w:r>
    </w:p>
    <w:p w14:paraId="3CEC2A68" w14:textId="3F5F07A4" w:rsidR="00F93DBB" w:rsidRDefault="00F93DBB" w:rsidP="00167246">
      <w:pPr>
        <w:rPr>
          <w:color w:val="000000"/>
          <w:lang w:val="de-DE"/>
        </w:rPr>
      </w:pPr>
    </w:p>
    <w:p w14:paraId="1A25C72B" w14:textId="3BF26B2A" w:rsidR="00F93DBB" w:rsidRPr="008A36F8" w:rsidRDefault="00F93DBB" w:rsidP="00F93DBB">
      <w:pPr>
        <w:rPr>
          <w:color w:val="000000"/>
          <w:lang w:val="de-DE"/>
        </w:rPr>
      </w:pPr>
      <w:r>
        <w:rPr>
          <w:color w:val="000000"/>
        </w:rPr>
        <w:fldChar w:fldCharType="begin"/>
      </w:r>
      <w:r w:rsidRPr="008A36F8">
        <w:rPr>
          <w:color w:val="000000"/>
          <w:lang w:val="de-DE"/>
        </w:rPr>
        <w:instrText xml:space="preserve"> AUTONUM  </w:instrText>
      </w:r>
      <w:r>
        <w:rPr>
          <w:color w:val="000000"/>
        </w:rPr>
        <w:fldChar w:fldCharType="end"/>
      </w:r>
      <w:r w:rsidRPr="008A36F8">
        <w:rPr>
          <w:color w:val="000000"/>
          <w:lang w:val="de-DE"/>
        </w:rPr>
        <w:tab/>
        <w:t>Fragen, die von der Technischen Arbeitsgruppe für Automatisierung und Computerprogramme</w:t>
      </w:r>
      <w:r w:rsidRPr="008A36F8">
        <w:rPr>
          <w:snapToGrid w:val="0"/>
          <w:lang w:val="de-DE"/>
        </w:rPr>
        <w:t xml:space="preserve"> (TWC)</w:t>
      </w:r>
      <w:r w:rsidRPr="005F1F78">
        <w:rPr>
          <w:snapToGrid w:val="0"/>
          <w:vertAlign w:val="superscript"/>
        </w:rPr>
        <w:footnoteReference w:id="6"/>
      </w:r>
      <w:r w:rsidRPr="008A36F8">
        <w:rPr>
          <w:snapToGrid w:val="0"/>
          <w:lang w:val="de-DE"/>
        </w:rPr>
        <w:t xml:space="preserve"> und der </w:t>
      </w:r>
      <w:r>
        <w:rPr>
          <w:snapToGrid w:val="0"/>
          <w:lang w:val="de-DE"/>
        </w:rPr>
        <w:t xml:space="preserve">Arbeitsgruppe für bioschemische und molekulare Verfahren und insbesondere für </w:t>
      </w:r>
      <w:r w:rsidRPr="008A36F8">
        <w:rPr>
          <w:snapToGrid w:val="0"/>
          <w:lang w:val="de-DE"/>
        </w:rPr>
        <w:t>DN</w:t>
      </w:r>
      <w:r>
        <w:rPr>
          <w:snapToGrid w:val="0"/>
          <w:lang w:val="de-DE"/>
        </w:rPr>
        <w:t>S</w:t>
      </w:r>
      <w:r w:rsidRPr="008A36F8">
        <w:rPr>
          <w:snapToGrid w:val="0"/>
          <w:lang w:val="de-DE"/>
        </w:rPr>
        <w:t>-Profili</w:t>
      </w:r>
      <w:r>
        <w:rPr>
          <w:snapToGrid w:val="0"/>
          <w:lang w:val="de-DE"/>
        </w:rPr>
        <w:t>erungsverfahren</w:t>
      </w:r>
      <w:r w:rsidRPr="008A36F8">
        <w:rPr>
          <w:snapToGrid w:val="0"/>
          <w:lang w:val="de-DE"/>
        </w:rPr>
        <w:t xml:space="preserve"> (BMT)</w:t>
      </w:r>
      <w:r w:rsidRPr="005F1F78">
        <w:rPr>
          <w:snapToGrid w:val="0"/>
          <w:vertAlign w:val="superscript"/>
        </w:rPr>
        <w:footnoteReference w:id="7"/>
      </w:r>
      <w:r w:rsidR="0089331B">
        <w:rPr>
          <w:snapToGrid w:val="0"/>
          <w:lang w:val="de-DE"/>
        </w:rPr>
        <w:t xml:space="preserve"> auf</w:t>
      </w:r>
      <w:r>
        <w:rPr>
          <w:snapToGrid w:val="0"/>
          <w:lang w:val="de-DE"/>
        </w:rPr>
        <w:t xml:space="preserve"> ihren Tagungen im September 2021 aufgeworfen werden, werden in einer Ergänzun</w:t>
      </w:r>
      <w:r w:rsidR="007542E1">
        <w:rPr>
          <w:snapToGrid w:val="0"/>
          <w:lang w:val="de-DE"/>
        </w:rPr>
        <w:t>g zu diesem Dokument dargelegt</w:t>
      </w:r>
      <w:r>
        <w:rPr>
          <w:snapToGrid w:val="0"/>
          <w:lang w:val="de-DE"/>
        </w:rPr>
        <w:t>.</w:t>
      </w:r>
      <w:r w:rsidRPr="008A36F8">
        <w:rPr>
          <w:snapToGrid w:val="0"/>
          <w:lang w:val="de-DE"/>
        </w:rPr>
        <w:t xml:space="preserve"> </w:t>
      </w:r>
    </w:p>
    <w:p w14:paraId="2A3F649B" w14:textId="77777777" w:rsidR="00F93DBB" w:rsidRPr="00F93DBB" w:rsidRDefault="00F93DBB" w:rsidP="00167246">
      <w:pPr>
        <w:rPr>
          <w:color w:val="000000"/>
          <w:lang w:val="de-DE"/>
        </w:rPr>
      </w:pPr>
    </w:p>
    <w:p w14:paraId="3F4BAED5" w14:textId="0AAD216A" w:rsidR="004C142C" w:rsidRPr="00BC34CC" w:rsidRDefault="004C142C" w:rsidP="00167246">
      <w:pPr>
        <w:rPr>
          <w:szCs w:val="24"/>
          <w:lang w:val="de-DE"/>
        </w:rPr>
      </w:pPr>
      <w:r w:rsidRPr="00C20C76">
        <w:rPr>
          <w:color w:val="000000"/>
          <w:lang w:val="de-DE"/>
        </w:rPr>
        <w:fldChar w:fldCharType="begin"/>
      </w:r>
      <w:r w:rsidRPr="00C20C76">
        <w:rPr>
          <w:color w:val="000000"/>
          <w:lang w:val="de-DE"/>
        </w:rPr>
        <w:instrText xml:space="preserve"> AUTONUM  </w:instrText>
      </w:r>
      <w:r w:rsidRPr="00C20C76">
        <w:rPr>
          <w:color w:val="000000"/>
          <w:lang w:val="de-DE"/>
        </w:rPr>
        <w:fldChar w:fldCharType="end"/>
      </w:r>
      <w:r w:rsidRPr="00C20C76">
        <w:rPr>
          <w:color w:val="000000"/>
          <w:lang w:val="de-DE"/>
        </w:rPr>
        <w:tab/>
      </w:r>
      <w:r w:rsidR="006B4686" w:rsidRPr="00C20C76">
        <w:rPr>
          <w:szCs w:val="24"/>
          <w:lang w:val="de-DE"/>
        </w:rPr>
        <w:t xml:space="preserve">Die Fragen sind in zwei Abschnitte unterteilt. Der erste Abschnitt, „Fragen zur Information und für eine vom Technischen Ausschuss </w:t>
      </w:r>
      <w:r w:rsidR="00BC34CC">
        <w:rPr>
          <w:szCs w:val="24"/>
          <w:lang w:val="de-DE"/>
        </w:rPr>
        <w:t xml:space="preserve">(TC) </w:t>
      </w:r>
      <w:r w:rsidR="006B4686" w:rsidRPr="00C20C76">
        <w:rPr>
          <w:szCs w:val="24"/>
          <w:lang w:val="de-DE"/>
        </w:rPr>
        <w:t xml:space="preserve">gegebenenfalls zu treffende Entscheidung“, </w:t>
      </w:r>
      <w:r w:rsidR="00C144F8">
        <w:rPr>
          <w:szCs w:val="24"/>
          <w:lang w:val="de-DE"/>
        </w:rPr>
        <w:t>ermittelt</w:t>
      </w:r>
      <w:r w:rsidR="006B4686" w:rsidRPr="00C20C76">
        <w:rPr>
          <w:szCs w:val="24"/>
          <w:lang w:val="de-DE"/>
        </w:rPr>
        <w:t xml:space="preserve"> aufgeworfene </w:t>
      </w:r>
      <w:r w:rsidR="0089331B">
        <w:rPr>
          <w:szCs w:val="24"/>
          <w:lang w:val="de-DE"/>
        </w:rPr>
        <w:t>Fragen</w:t>
      </w:r>
      <w:r w:rsidR="006B4686" w:rsidRPr="00C20C76">
        <w:rPr>
          <w:szCs w:val="24"/>
          <w:lang w:val="de-DE"/>
        </w:rPr>
        <w:t xml:space="preserve">, die einer Entscheidung des </w:t>
      </w:r>
      <w:r w:rsidR="00BC34CC">
        <w:rPr>
          <w:szCs w:val="24"/>
          <w:lang w:val="de-DE"/>
        </w:rPr>
        <w:t>TC</w:t>
      </w:r>
      <w:r w:rsidR="006B4686" w:rsidRPr="00C20C76">
        <w:rPr>
          <w:szCs w:val="24"/>
          <w:lang w:val="de-DE"/>
        </w:rPr>
        <w:t xml:space="preserve"> bedürfen könnten. Das Verbandsbüro (Büro) hob die Aspekte hervor, für die der TC eine Entscheidung treffen könnte, indem es einen Absatz über die vorgeschlagenen Entscheidungen einführte. Der zweite Abschnitt, „</w:t>
      </w:r>
      <w:r w:rsidR="00A92468">
        <w:rPr>
          <w:szCs w:val="24"/>
          <w:lang w:val="de-DE"/>
        </w:rPr>
        <w:t>Fragen</w:t>
      </w:r>
      <w:r w:rsidR="006B4686" w:rsidRPr="00C20C76">
        <w:rPr>
          <w:szCs w:val="24"/>
          <w:lang w:val="de-DE"/>
        </w:rPr>
        <w:t xml:space="preserve"> zur Information“, dient dem TC zur Information, bedarf jedoch in diesem Stadium keiner Entscheidung</w:t>
      </w:r>
      <w:r w:rsidRPr="00C20C76">
        <w:rPr>
          <w:lang w:val="de-DE"/>
        </w:rPr>
        <w:t>.</w:t>
      </w:r>
    </w:p>
    <w:p w14:paraId="557EF107" w14:textId="77777777" w:rsidR="004C142C" w:rsidRPr="00C20C76" w:rsidRDefault="004C142C" w:rsidP="00167246">
      <w:pPr>
        <w:tabs>
          <w:tab w:val="left" w:pos="567"/>
          <w:tab w:val="left" w:pos="1701"/>
        </w:tabs>
        <w:ind w:left="1695" w:hanging="1695"/>
        <w:rPr>
          <w:rFonts w:eastAsia="PMingLiU"/>
          <w:szCs w:val="24"/>
          <w:lang w:val="de-DE"/>
        </w:rPr>
      </w:pPr>
    </w:p>
    <w:p w14:paraId="01F1769C" w14:textId="2F2E09CA" w:rsidR="004C142C" w:rsidRPr="00C20C76" w:rsidRDefault="004C142C" w:rsidP="00167246">
      <w:pPr>
        <w:tabs>
          <w:tab w:val="left" w:pos="567"/>
        </w:tabs>
        <w:rPr>
          <w:lang w:val="de-DE"/>
        </w:rPr>
      </w:pPr>
      <w:r w:rsidRPr="00C20C76">
        <w:rPr>
          <w:lang w:val="de-DE"/>
        </w:rPr>
        <w:fldChar w:fldCharType="begin"/>
      </w:r>
      <w:r w:rsidRPr="00C20C76">
        <w:rPr>
          <w:lang w:val="de-DE"/>
        </w:rPr>
        <w:instrText xml:space="preserve"> AUTONUM  </w:instrText>
      </w:r>
      <w:r w:rsidRPr="00C20C76">
        <w:rPr>
          <w:lang w:val="de-DE"/>
        </w:rPr>
        <w:fldChar w:fldCharType="end"/>
      </w:r>
      <w:r w:rsidRPr="00C20C76">
        <w:rPr>
          <w:lang w:val="de-DE"/>
        </w:rPr>
        <w:tab/>
      </w:r>
      <w:r w:rsidR="00214DAE" w:rsidRPr="00C20C76">
        <w:rPr>
          <w:szCs w:val="24"/>
          <w:lang w:val="de-DE"/>
        </w:rPr>
        <w:t>Der TC wird ersucht, Entwicklungen in den TWP zur Kenntnis zu nehmen, die folgende Punkte betreffen</w:t>
      </w:r>
      <w:r w:rsidRPr="00C20C76">
        <w:rPr>
          <w:lang w:val="de-DE"/>
        </w:rPr>
        <w:t>:</w:t>
      </w:r>
    </w:p>
    <w:p w14:paraId="275FE2B7" w14:textId="77777777" w:rsidR="004C142C" w:rsidRPr="00C20C76" w:rsidRDefault="004C142C" w:rsidP="00167246">
      <w:pPr>
        <w:tabs>
          <w:tab w:val="left" w:pos="567"/>
        </w:tabs>
        <w:rPr>
          <w:lang w:val="de-DE"/>
        </w:rPr>
      </w:pPr>
    </w:p>
    <w:p w14:paraId="351161B5" w14:textId="391722D8" w:rsidR="004C142C" w:rsidRPr="00C20C76" w:rsidRDefault="00580BAC" w:rsidP="00167246">
      <w:pPr>
        <w:tabs>
          <w:tab w:val="left" w:pos="1701"/>
        </w:tabs>
        <w:ind w:left="1134" w:hanging="567"/>
        <w:rPr>
          <w:lang w:val="de-DE"/>
        </w:rPr>
      </w:pPr>
      <w:r>
        <w:rPr>
          <w:lang w:val="de-DE"/>
        </w:rPr>
        <w:t>i</w:t>
      </w:r>
      <w:r w:rsidR="004C142C" w:rsidRPr="00C20C76">
        <w:rPr>
          <w:lang w:val="de-DE"/>
        </w:rPr>
        <w:t>)</w:t>
      </w:r>
      <w:r w:rsidR="004C142C" w:rsidRPr="00C20C76">
        <w:rPr>
          <w:lang w:val="de-DE"/>
        </w:rPr>
        <w:tab/>
      </w:r>
      <w:r w:rsidR="007A5CA0" w:rsidRPr="00C20C76">
        <w:rPr>
          <w:lang w:val="de-DE"/>
        </w:rPr>
        <w:t>Zugang zu Pflanzenmaterial zum Zweck der Verwaltung von Sortensammlungen und der DUS-Prüfung</w:t>
      </w:r>
      <w:r w:rsidR="004C142C" w:rsidRPr="00C20C76">
        <w:rPr>
          <w:lang w:val="de-DE"/>
        </w:rPr>
        <w:t>;</w:t>
      </w:r>
    </w:p>
    <w:p w14:paraId="76DE346B" w14:textId="47A084AC" w:rsidR="004C142C" w:rsidRPr="00C20C76" w:rsidRDefault="00580BAC" w:rsidP="00167246">
      <w:pPr>
        <w:tabs>
          <w:tab w:val="left" w:pos="1701"/>
        </w:tabs>
        <w:ind w:left="1134" w:hanging="567"/>
        <w:rPr>
          <w:lang w:val="de-DE"/>
        </w:rPr>
      </w:pPr>
      <w:r>
        <w:rPr>
          <w:lang w:val="de-DE"/>
        </w:rPr>
        <w:t>i</w:t>
      </w:r>
      <w:r w:rsidR="002A3829" w:rsidRPr="00C20C76">
        <w:rPr>
          <w:lang w:val="de-DE"/>
        </w:rPr>
        <w:t>i</w:t>
      </w:r>
      <w:r w:rsidR="004C142C" w:rsidRPr="00C20C76">
        <w:rPr>
          <w:lang w:val="de-DE"/>
        </w:rPr>
        <w:t>)</w:t>
      </w:r>
      <w:r w:rsidR="004C142C" w:rsidRPr="00C20C76">
        <w:rPr>
          <w:lang w:val="de-DE"/>
        </w:rPr>
        <w:tab/>
      </w:r>
      <w:r w:rsidR="00214DAE" w:rsidRPr="00C20C76">
        <w:rPr>
          <w:szCs w:val="24"/>
          <w:lang w:val="de-DE"/>
        </w:rPr>
        <w:t xml:space="preserve">DUS-Prüfung von </w:t>
      </w:r>
      <w:proofErr w:type="spellStart"/>
      <w:r w:rsidR="00214DAE" w:rsidRPr="00C20C76">
        <w:rPr>
          <w:szCs w:val="24"/>
          <w:lang w:val="de-DE"/>
        </w:rPr>
        <w:t>Mutantensorten</w:t>
      </w:r>
      <w:proofErr w:type="spellEnd"/>
      <w:r w:rsidR="00214DAE" w:rsidRPr="00C20C76">
        <w:rPr>
          <w:szCs w:val="24"/>
          <w:lang w:val="de-DE"/>
        </w:rPr>
        <w:t xml:space="preserve"> bei Apfel</w:t>
      </w:r>
      <w:r w:rsidR="004C142C" w:rsidRPr="00C20C76">
        <w:rPr>
          <w:lang w:val="de-DE"/>
        </w:rPr>
        <w:t>;</w:t>
      </w:r>
    </w:p>
    <w:p w14:paraId="19E5EE6B" w14:textId="6EC2E038" w:rsidR="00580BAC" w:rsidRPr="00C20C76" w:rsidRDefault="00580BAC" w:rsidP="00167246">
      <w:pPr>
        <w:tabs>
          <w:tab w:val="left" w:pos="1701"/>
        </w:tabs>
        <w:ind w:left="1134" w:hanging="567"/>
        <w:rPr>
          <w:lang w:val="de-DE"/>
        </w:rPr>
      </w:pPr>
      <w:r>
        <w:rPr>
          <w:lang w:val="de-DE"/>
        </w:rPr>
        <w:t>iii)</w:t>
      </w:r>
      <w:r>
        <w:rPr>
          <w:lang w:val="de-DE"/>
        </w:rPr>
        <w:tab/>
        <w:t>Verwendung von Krankheitsresistenzmerkmalen;</w:t>
      </w:r>
    </w:p>
    <w:p w14:paraId="02D0D690" w14:textId="60EC2B2D" w:rsidR="004C142C" w:rsidRPr="00C20C76" w:rsidRDefault="002A3829" w:rsidP="00167246">
      <w:pPr>
        <w:tabs>
          <w:tab w:val="left" w:pos="1701"/>
        </w:tabs>
        <w:ind w:left="1134" w:hanging="567"/>
        <w:rPr>
          <w:lang w:val="de-DE"/>
        </w:rPr>
      </w:pPr>
      <w:r w:rsidRPr="00C20C76">
        <w:rPr>
          <w:lang w:val="de-DE"/>
        </w:rPr>
        <w:t>i</w:t>
      </w:r>
      <w:r w:rsidR="00580BAC">
        <w:rPr>
          <w:lang w:val="de-DE"/>
        </w:rPr>
        <w:t>v</w:t>
      </w:r>
      <w:r w:rsidR="004C142C" w:rsidRPr="00C20C76">
        <w:rPr>
          <w:lang w:val="de-DE"/>
        </w:rPr>
        <w:t>)</w:t>
      </w:r>
      <w:r w:rsidR="004C142C" w:rsidRPr="00C20C76">
        <w:rPr>
          <w:lang w:val="de-DE"/>
        </w:rPr>
        <w:tab/>
      </w:r>
      <w:r w:rsidR="007A5CA0" w:rsidRPr="00C20C76">
        <w:rPr>
          <w:lang w:val="de-DE"/>
        </w:rPr>
        <w:t>Erfahrungen mit neuen Typen und Arten</w:t>
      </w:r>
      <w:r w:rsidR="004C142C" w:rsidRPr="00C20C76">
        <w:rPr>
          <w:lang w:val="de-DE"/>
        </w:rPr>
        <w:t>;</w:t>
      </w:r>
    </w:p>
    <w:p w14:paraId="02C72C53" w14:textId="22F555FB" w:rsidR="00580BAC" w:rsidRDefault="00580BAC" w:rsidP="00167246">
      <w:pPr>
        <w:tabs>
          <w:tab w:val="left" w:pos="1701"/>
        </w:tabs>
        <w:ind w:left="1134" w:hanging="567"/>
        <w:rPr>
          <w:lang w:val="de-DE"/>
        </w:rPr>
      </w:pPr>
      <w:r>
        <w:rPr>
          <w:lang w:val="de-DE"/>
        </w:rPr>
        <w:t>v)</w:t>
      </w:r>
      <w:r>
        <w:rPr>
          <w:lang w:val="de-DE"/>
        </w:rPr>
        <w:tab/>
        <w:t>Verfahren für die Gruppierung von Sorten unter Verwendung der UPOV-Codes und einschlägiger Informationsquellen;</w:t>
      </w:r>
    </w:p>
    <w:p w14:paraId="38F037BB" w14:textId="0AA866CD" w:rsidR="00580BAC" w:rsidRDefault="00580BAC" w:rsidP="00167246">
      <w:pPr>
        <w:tabs>
          <w:tab w:val="left" w:pos="1701"/>
        </w:tabs>
        <w:ind w:left="1134" w:hanging="567"/>
        <w:rPr>
          <w:lang w:val="de-DE"/>
        </w:rPr>
      </w:pPr>
      <w:r>
        <w:rPr>
          <w:lang w:val="de-DE"/>
        </w:rPr>
        <w:t>vi)</w:t>
      </w:r>
      <w:r>
        <w:rPr>
          <w:lang w:val="de-DE"/>
        </w:rPr>
        <w:tab/>
        <w:t>Bereitstellung von Informationen über ähnliche Sorten in der UPOV-Mustervorlage für die Sortenbeschreibung;</w:t>
      </w:r>
    </w:p>
    <w:p w14:paraId="797C78D2" w14:textId="1AF27532" w:rsidR="00580BAC" w:rsidRDefault="00580BAC" w:rsidP="00167246">
      <w:pPr>
        <w:tabs>
          <w:tab w:val="left" w:pos="1701"/>
        </w:tabs>
        <w:ind w:left="1134" w:hanging="567"/>
        <w:rPr>
          <w:lang w:val="de-DE"/>
        </w:rPr>
      </w:pPr>
      <w:r>
        <w:rPr>
          <w:lang w:val="de-DE"/>
        </w:rPr>
        <w:t>vii)</w:t>
      </w:r>
      <w:r>
        <w:rPr>
          <w:lang w:val="de-DE"/>
        </w:rPr>
        <w:tab/>
        <w:t>Beurteilung von Zierpflanzen unter Verwendung von Messungen an Einzelpflanzen (MS);</w:t>
      </w:r>
    </w:p>
    <w:p w14:paraId="7884279C" w14:textId="549F1390" w:rsidR="00580BAC" w:rsidRPr="00C20C76" w:rsidRDefault="00580BAC" w:rsidP="00167246">
      <w:pPr>
        <w:tabs>
          <w:tab w:val="left" w:pos="1701"/>
        </w:tabs>
        <w:ind w:left="1134" w:hanging="567"/>
        <w:rPr>
          <w:lang w:val="de-DE"/>
        </w:rPr>
      </w:pPr>
      <w:r>
        <w:rPr>
          <w:lang w:val="de-DE"/>
        </w:rPr>
        <w:t>viii)</w:t>
      </w:r>
      <w:r>
        <w:rPr>
          <w:lang w:val="de-DE"/>
        </w:rPr>
        <w:tab/>
        <w:t>Neue Technologien in der DUS-Prüfung;</w:t>
      </w:r>
    </w:p>
    <w:p w14:paraId="1C32DBA5" w14:textId="6D868E8C" w:rsidR="004C142C" w:rsidRPr="00C20C76" w:rsidRDefault="00580BAC" w:rsidP="00580BAC">
      <w:pPr>
        <w:tabs>
          <w:tab w:val="left" w:pos="1701"/>
        </w:tabs>
        <w:ind w:left="1134" w:hanging="567"/>
        <w:rPr>
          <w:lang w:val="de-DE"/>
        </w:rPr>
      </w:pPr>
      <w:r>
        <w:rPr>
          <w:lang w:val="de-DE"/>
        </w:rPr>
        <w:t>ix</w:t>
      </w:r>
      <w:r w:rsidR="004C142C" w:rsidRPr="00C20C76">
        <w:rPr>
          <w:lang w:val="de-DE"/>
        </w:rPr>
        <w:t>)</w:t>
      </w:r>
      <w:r w:rsidR="004C142C" w:rsidRPr="00C20C76">
        <w:rPr>
          <w:lang w:val="de-DE"/>
        </w:rPr>
        <w:tab/>
      </w:r>
      <w:r w:rsidR="001A3B87">
        <w:rPr>
          <w:lang w:val="de-DE"/>
        </w:rPr>
        <w:t>Fragen</w:t>
      </w:r>
      <w:r w:rsidR="00ED774C">
        <w:rPr>
          <w:lang w:val="de-DE"/>
        </w:rPr>
        <w:t>, die</w:t>
      </w:r>
      <w:r w:rsidR="001A3B87">
        <w:rPr>
          <w:lang w:val="de-DE"/>
        </w:rPr>
        <w:t xml:space="preserve"> bei</w:t>
      </w:r>
      <w:r>
        <w:rPr>
          <w:lang w:val="de-DE"/>
        </w:rPr>
        <w:t xml:space="preserve"> </w:t>
      </w:r>
      <w:r w:rsidR="001A3B87">
        <w:rPr>
          <w:snapToGrid w:val="0"/>
          <w:lang w:val="de-DE"/>
        </w:rPr>
        <w:t xml:space="preserve">der </w:t>
      </w:r>
      <w:r w:rsidR="0028739C" w:rsidRPr="00C20C76">
        <w:rPr>
          <w:snapToGrid w:val="0"/>
          <w:lang w:val="de-DE"/>
        </w:rPr>
        <w:t>DUS-Prüfung</w:t>
      </w:r>
      <w:r>
        <w:rPr>
          <w:snapToGrid w:val="0"/>
          <w:lang w:val="de-DE"/>
        </w:rPr>
        <w:t xml:space="preserve"> </w:t>
      </w:r>
      <w:r w:rsidR="00ED774C">
        <w:rPr>
          <w:snapToGrid w:val="0"/>
          <w:lang w:val="de-DE"/>
        </w:rPr>
        <w:t>für den</w:t>
      </w:r>
      <w:r>
        <w:rPr>
          <w:snapToGrid w:val="0"/>
          <w:lang w:val="de-DE"/>
        </w:rPr>
        <w:t xml:space="preserve"> Obstsektor </w:t>
      </w:r>
      <w:r w:rsidR="00ED774C">
        <w:rPr>
          <w:snapToGrid w:val="0"/>
          <w:lang w:val="de-DE"/>
        </w:rPr>
        <w:t>relevant sind</w:t>
      </w:r>
      <w:r w:rsidR="004C142C" w:rsidRPr="00C20C76">
        <w:rPr>
          <w:lang w:val="de-DE"/>
        </w:rPr>
        <w:t>;</w:t>
      </w:r>
    </w:p>
    <w:p w14:paraId="1C15B44F" w14:textId="77777777" w:rsidR="004C142C" w:rsidRPr="00C20C76" w:rsidRDefault="004C142C" w:rsidP="00167246">
      <w:pPr>
        <w:tabs>
          <w:tab w:val="left" w:pos="1701"/>
        </w:tabs>
        <w:rPr>
          <w:rFonts w:cs="Arial"/>
          <w:lang w:val="de-DE"/>
        </w:rPr>
      </w:pPr>
    </w:p>
    <w:p w14:paraId="07B30E79" w14:textId="77777777" w:rsidR="004C142C" w:rsidRPr="00C20C76" w:rsidRDefault="004C142C" w:rsidP="00167246">
      <w:pPr>
        <w:keepNext/>
        <w:rPr>
          <w:color w:val="000000"/>
          <w:lang w:val="de-DE"/>
        </w:rPr>
      </w:pPr>
      <w:r w:rsidRPr="00C20C76">
        <w:rPr>
          <w:color w:val="000000"/>
          <w:lang w:val="de-DE"/>
        </w:rPr>
        <w:lastRenderedPageBreak/>
        <w:fldChar w:fldCharType="begin"/>
      </w:r>
      <w:r w:rsidRPr="00C20C76">
        <w:rPr>
          <w:color w:val="000000"/>
          <w:lang w:val="de-DE"/>
        </w:rPr>
        <w:instrText xml:space="preserve"> AUTONUM  </w:instrText>
      </w:r>
      <w:r w:rsidRPr="00C20C76">
        <w:rPr>
          <w:color w:val="000000"/>
          <w:lang w:val="de-DE"/>
        </w:rPr>
        <w:fldChar w:fldCharType="end"/>
      </w:r>
      <w:r w:rsidRPr="00C20C76">
        <w:rPr>
          <w:color w:val="000000"/>
          <w:lang w:val="de-DE"/>
        </w:rPr>
        <w:tab/>
        <w:t>In diesem Dokument werden die folgenden Abkürzungen verwendet:</w:t>
      </w:r>
    </w:p>
    <w:p w14:paraId="7B3EEE47" w14:textId="77777777" w:rsidR="004C142C" w:rsidRPr="00C20C76" w:rsidRDefault="004C142C" w:rsidP="00167246">
      <w:pPr>
        <w:keepNext/>
        <w:ind w:left="1692" w:hanging="1125"/>
        <w:jc w:val="left"/>
        <w:rPr>
          <w:color w:val="000000"/>
          <w:lang w:val="de-DE"/>
        </w:rPr>
      </w:pPr>
    </w:p>
    <w:p w14:paraId="38480E15" w14:textId="6E127EEE" w:rsidR="004C142C" w:rsidRPr="00C20C76" w:rsidRDefault="004C142C" w:rsidP="00167246">
      <w:pPr>
        <w:keepNext/>
        <w:tabs>
          <w:tab w:val="left" w:pos="567"/>
          <w:tab w:val="left" w:pos="1701"/>
        </w:tabs>
        <w:rPr>
          <w:lang w:val="de-DE"/>
        </w:rPr>
      </w:pPr>
      <w:r w:rsidRPr="00C20C76">
        <w:rPr>
          <w:lang w:val="de-DE"/>
        </w:rPr>
        <w:tab/>
        <w:t>CAJ:</w:t>
      </w:r>
      <w:r w:rsidRPr="00C20C76">
        <w:rPr>
          <w:lang w:val="de-DE"/>
        </w:rPr>
        <w:tab/>
        <w:t>Verwaltungs- und Rechtsausschu</w:t>
      </w:r>
      <w:r w:rsidR="008B44FC" w:rsidRPr="00C20C76">
        <w:rPr>
          <w:lang w:val="de-DE"/>
        </w:rPr>
        <w:t>ss</w:t>
      </w:r>
      <w:r w:rsidRPr="00C20C76">
        <w:rPr>
          <w:lang w:val="de-DE"/>
        </w:rPr>
        <w:t xml:space="preserve"> </w:t>
      </w:r>
    </w:p>
    <w:p w14:paraId="3F5111DF" w14:textId="77777777" w:rsidR="004C142C" w:rsidRPr="00C20C76" w:rsidRDefault="004C142C" w:rsidP="00167246">
      <w:pPr>
        <w:keepNext/>
        <w:tabs>
          <w:tab w:val="left" w:pos="567"/>
          <w:tab w:val="left" w:pos="1701"/>
        </w:tabs>
        <w:rPr>
          <w:lang w:val="de-DE"/>
        </w:rPr>
      </w:pPr>
      <w:r w:rsidRPr="00C20C76">
        <w:rPr>
          <w:lang w:val="de-DE"/>
        </w:rPr>
        <w:tab/>
        <w:t>TC:</w:t>
      </w:r>
      <w:r w:rsidRPr="00C20C76">
        <w:rPr>
          <w:lang w:val="de-DE"/>
        </w:rPr>
        <w:tab/>
        <w:t>Technischer Ausschuss</w:t>
      </w:r>
    </w:p>
    <w:p w14:paraId="2427747A" w14:textId="77777777" w:rsidR="004C142C" w:rsidRPr="00C20C76" w:rsidRDefault="004C142C" w:rsidP="0016724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C20C76">
        <w:rPr>
          <w:rFonts w:eastAsia="PMingLiU"/>
          <w:szCs w:val="24"/>
          <w:lang w:val="de-DE"/>
        </w:rPr>
        <w:tab/>
        <w:t>TC-EDC:</w:t>
      </w:r>
      <w:r w:rsidRPr="00C20C76">
        <w:rPr>
          <w:rFonts w:eastAsia="PMingLiU"/>
          <w:szCs w:val="24"/>
          <w:lang w:val="de-DE"/>
        </w:rPr>
        <w:tab/>
        <w:t>Erweiterter Redaktionsausschuss</w:t>
      </w:r>
    </w:p>
    <w:p w14:paraId="18AC2558" w14:textId="77777777" w:rsidR="004C142C" w:rsidRPr="00C20C76" w:rsidRDefault="004C142C" w:rsidP="0016724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C20C76">
        <w:rPr>
          <w:rFonts w:eastAsia="PMingLiU"/>
          <w:szCs w:val="24"/>
          <w:lang w:val="de-DE"/>
        </w:rPr>
        <w:tab/>
        <w:t>TWA:</w:t>
      </w:r>
      <w:r w:rsidRPr="00C20C76">
        <w:rPr>
          <w:rFonts w:eastAsia="PMingLiU"/>
          <w:szCs w:val="24"/>
          <w:lang w:val="de-DE"/>
        </w:rPr>
        <w:tab/>
        <w:t>Technische Arbeitsgruppe für landwirtschaftliche Arten</w:t>
      </w:r>
    </w:p>
    <w:p w14:paraId="1F215D37" w14:textId="77777777" w:rsidR="004C142C" w:rsidRPr="00C20C76" w:rsidRDefault="004C142C" w:rsidP="0016724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C20C76">
        <w:rPr>
          <w:rFonts w:eastAsia="PMingLiU"/>
          <w:szCs w:val="24"/>
          <w:lang w:val="de-DE"/>
        </w:rPr>
        <w:tab/>
        <w:t>TWC:</w:t>
      </w:r>
      <w:r w:rsidRPr="00C20C76">
        <w:rPr>
          <w:rFonts w:eastAsia="PMingLiU"/>
          <w:szCs w:val="24"/>
          <w:lang w:val="de-DE"/>
        </w:rPr>
        <w:tab/>
        <w:t>Technische Arbeitsgruppe für Automatisierung und Computerprogramme</w:t>
      </w:r>
    </w:p>
    <w:p w14:paraId="5E01BBF4" w14:textId="77777777" w:rsidR="004C142C" w:rsidRPr="00C20C76" w:rsidRDefault="004C142C" w:rsidP="0016724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C20C76">
        <w:rPr>
          <w:rFonts w:eastAsia="PMingLiU"/>
          <w:szCs w:val="24"/>
          <w:lang w:val="de-DE"/>
        </w:rPr>
        <w:tab/>
        <w:t xml:space="preserve">TWF: </w:t>
      </w:r>
      <w:r w:rsidRPr="00C20C76">
        <w:rPr>
          <w:rFonts w:eastAsia="PMingLiU"/>
          <w:szCs w:val="24"/>
          <w:lang w:val="de-DE"/>
        </w:rPr>
        <w:tab/>
        <w:t>Technische Arbeitsgruppe für Obstarten</w:t>
      </w:r>
    </w:p>
    <w:p w14:paraId="03946998" w14:textId="77777777" w:rsidR="004C142C" w:rsidRPr="00C20C76" w:rsidRDefault="004C142C" w:rsidP="0016724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C20C76">
        <w:rPr>
          <w:rFonts w:eastAsia="PMingLiU"/>
          <w:szCs w:val="24"/>
          <w:lang w:val="de-DE"/>
        </w:rPr>
        <w:tab/>
        <w:t>TWO:</w:t>
      </w:r>
      <w:r w:rsidRPr="00C20C76">
        <w:rPr>
          <w:rFonts w:eastAsia="PMingLiU"/>
          <w:szCs w:val="24"/>
          <w:lang w:val="de-DE"/>
        </w:rPr>
        <w:tab/>
        <w:t>Technische Arbeitsgruppe für Zierpflanzen und forstliche Baumarten</w:t>
      </w:r>
    </w:p>
    <w:p w14:paraId="6FA3998C" w14:textId="569C674C" w:rsidR="004C142C" w:rsidRPr="00C20C76" w:rsidRDefault="004C142C" w:rsidP="0016724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C20C76">
        <w:rPr>
          <w:rFonts w:eastAsia="PMingLiU"/>
          <w:szCs w:val="24"/>
          <w:lang w:val="de-DE"/>
        </w:rPr>
        <w:tab/>
        <w:t>TWP:</w:t>
      </w:r>
      <w:r w:rsidRPr="00C20C76">
        <w:rPr>
          <w:rFonts w:eastAsia="PMingLiU"/>
          <w:szCs w:val="24"/>
          <w:lang w:val="de-DE"/>
        </w:rPr>
        <w:tab/>
        <w:t>Technische Arbeitsgruppen</w:t>
      </w:r>
    </w:p>
    <w:p w14:paraId="72468BF0" w14:textId="77777777" w:rsidR="004C142C" w:rsidRPr="00C20C76" w:rsidRDefault="004C142C" w:rsidP="0016724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C20C76">
        <w:rPr>
          <w:rFonts w:eastAsia="PMingLiU"/>
          <w:szCs w:val="24"/>
          <w:lang w:val="de-DE"/>
        </w:rPr>
        <w:tab/>
        <w:t>TWV:</w:t>
      </w:r>
      <w:r w:rsidRPr="00C20C76">
        <w:rPr>
          <w:rFonts w:eastAsia="PMingLiU"/>
          <w:szCs w:val="24"/>
          <w:lang w:val="de-DE"/>
        </w:rPr>
        <w:tab/>
        <w:t>Technische Arbeitsgruppe für Gemüsearten</w:t>
      </w:r>
    </w:p>
    <w:p w14:paraId="17736E9A" w14:textId="77777777" w:rsidR="004C142C" w:rsidRPr="00C20C76" w:rsidRDefault="004C142C" w:rsidP="00167246">
      <w:pPr>
        <w:rPr>
          <w:highlight w:val="cyan"/>
          <w:lang w:val="de-DE"/>
        </w:rPr>
      </w:pPr>
    </w:p>
    <w:p w14:paraId="4266B986" w14:textId="25BA435C" w:rsidR="004C142C" w:rsidRPr="00C20C76" w:rsidRDefault="004C142C" w:rsidP="00167246">
      <w:pPr>
        <w:rPr>
          <w:lang w:val="de-DE"/>
        </w:rPr>
      </w:pPr>
      <w:r w:rsidRPr="00C20C76">
        <w:rPr>
          <w:color w:val="000000"/>
          <w:lang w:val="de-DE"/>
        </w:rPr>
        <w:fldChar w:fldCharType="begin"/>
      </w:r>
      <w:r w:rsidRPr="00C20C76">
        <w:rPr>
          <w:color w:val="000000"/>
          <w:lang w:val="de-DE"/>
        </w:rPr>
        <w:instrText xml:space="preserve"> AUTONUM  </w:instrText>
      </w:r>
      <w:r w:rsidRPr="00C20C76">
        <w:rPr>
          <w:color w:val="000000"/>
          <w:lang w:val="de-DE"/>
        </w:rPr>
        <w:fldChar w:fldCharType="end"/>
      </w:r>
      <w:r w:rsidRPr="00C20C76">
        <w:rPr>
          <w:color w:val="000000"/>
          <w:lang w:val="de-DE"/>
        </w:rPr>
        <w:tab/>
      </w:r>
      <w:r w:rsidR="008B44FC" w:rsidRPr="00C20C76">
        <w:rPr>
          <w:lang w:val="de-DE"/>
        </w:rPr>
        <w:t>Der Aufbau dieses Dokuments ist wie folgt</w:t>
      </w:r>
      <w:r w:rsidRPr="00C20C76">
        <w:rPr>
          <w:lang w:val="de-DE"/>
        </w:rPr>
        <w:t>:</w:t>
      </w:r>
    </w:p>
    <w:p w14:paraId="79E830A1" w14:textId="77777777" w:rsidR="004C142C" w:rsidRPr="00C20C76" w:rsidRDefault="004C142C" w:rsidP="00167246">
      <w:pPr>
        <w:rPr>
          <w:lang w:val="de-DE"/>
        </w:rPr>
      </w:pPr>
    </w:p>
    <w:p w14:paraId="53A72AB3" w14:textId="71369CE9" w:rsidR="00402E8F" w:rsidRPr="00A92468" w:rsidRDefault="004C142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r w:rsidRPr="00A92468">
        <w:rPr>
          <w:rFonts w:eastAsia="MS Mincho" w:cs="Arial"/>
          <w:lang w:val="de-DE" w:eastAsia="ja-JP"/>
        </w:rPr>
        <w:fldChar w:fldCharType="begin"/>
      </w:r>
      <w:r w:rsidRPr="00A92468">
        <w:rPr>
          <w:rFonts w:eastAsia="MS Mincho" w:cs="Arial"/>
          <w:lang w:val="de-DE" w:eastAsia="ja-JP"/>
        </w:rPr>
        <w:instrText xml:space="preserve"> TOC \o "1-2" \u </w:instrText>
      </w:r>
      <w:r w:rsidRPr="00A92468">
        <w:rPr>
          <w:rFonts w:eastAsia="MS Mincho" w:cs="Arial"/>
          <w:lang w:val="de-DE" w:eastAsia="ja-JP"/>
        </w:rPr>
        <w:fldChar w:fldCharType="separate"/>
      </w:r>
      <w:r w:rsidR="00402E8F" w:rsidRPr="00A92468">
        <w:rPr>
          <w:noProof/>
          <w:lang w:val="de-DE"/>
        </w:rPr>
        <w:t>ZUSAMMENFASSUNG</w:t>
      </w:r>
      <w:r w:rsidR="00402E8F" w:rsidRPr="00A92468">
        <w:rPr>
          <w:noProof/>
          <w:lang w:val="de-DE"/>
        </w:rPr>
        <w:tab/>
      </w:r>
      <w:r w:rsidR="00402E8F" w:rsidRPr="00A92468">
        <w:rPr>
          <w:noProof/>
        </w:rPr>
        <w:fldChar w:fldCharType="begin"/>
      </w:r>
      <w:r w:rsidR="00402E8F" w:rsidRPr="00A92468">
        <w:rPr>
          <w:noProof/>
          <w:lang w:val="de-DE"/>
        </w:rPr>
        <w:instrText xml:space="preserve"> PAGEREF _Toc54170620 \h </w:instrText>
      </w:r>
      <w:r w:rsidR="00402E8F" w:rsidRPr="00A92468">
        <w:rPr>
          <w:noProof/>
        </w:rPr>
      </w:r>
      <w:r w:rsidR="00402E8F" w:rsidRPr="00A92468">
        <w:rPr>
          <w:noProof/>
        </w:rPr>
        <w:fldChar w:fldCharType="separate"/>
      </w:r>
      <w:r w:rsidR="00402E8F" w:rsidRPr="00A92468">
        <w:rPr>
          <w:noProof/>
          <w:lang w:val="de-DE"/>
        </w:rPr>
        <w:t>1</w:t>
      </w:r>
      <w:r w:rsidR="00402E8F" w:rsidRPr="00A92468">
        <w:rPr>
          <w:noProof/>
        </w:rPr>
        <w:fldChar w:fldCharType="end"/>
      </w:r>
    </w:p>
    <w:p w14:paraId="4F1DF9F5" w14:textId="336C4C64" w:rsidR="00402E8F" w:rsidRPr="00A92468" w:rsidRDefault="00402E8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r w:rsidRPr="00A92468">
        <w:rPr>
          <w:noProof/>
          <w:lang w:val="de-DE"/>
        </w:rPr>
        <w:t>Fragen zur Information und für eine vom Technischen AusschuSS (TC) gegebenenfalls zu treffende Entscheidung</w:t>
      </w:r>
      <w:r w:rsidRPr="00A92468">
        <w:rPr>
          <w:noProof/>
          <w:lang w:val="de-DE"/>
        </w:rPr>
        <w:tab/>
      </w:r>
      <w:r w:rsidRPr="00A92468">
        <w:rPr>
          <w:noProof/>
        </w:rPr>
        <w:fldChar w:fldCharType="begin"/>
      </w:r>
      <w:r w:rsidRPr="00A92468">
        <w:rPr>
          <w:noProof/>
          <w:lang w:val="de-DE"/>
        </w:rPr>
        <w:instrText xml:space="preserve"> PAGEREF _Toc54170621 \h </w:instrText>
      </w:r>
      <w:r w:rsidRPr="00A92468">
        <w:rPr>
          <w:noProof/>
        </w:rPr>
      </w:r>
      <w:r w:rsidRPr="00A92468">
        <w:rPr>
          <w:noProof/>
        </w:rPr>
        <w:fldChar w:fldCharType="separate"/>
      </w:r>
      <w:r w:rsidRPr="00A92468">
        <w:rPr>
          <w:noProof/>
          <w:lang w:val="de-DE"/>
        </w:rPr>
        <w:t>2</w:t>
      </w:r>
      <w:r w:rsidRPr="00A92468">
        <w:rPr>
          <w:noProof/>
        </w:rPr>
        <w:fldChar w:fldCharType="end"/>
      </w:r>
    </w:p>
    <w:p w14:paraId="4C0AF92E" w14:textId="65011A22" w:rsidR="00402E8F" w:rsidRPr="00A92468" w:rsidRDefault="00A9246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r>
        <w:rPr>
          <w:noProof/>
          <w:lang w:val="de-DE"/>
        </w:rPr>
        <w:t>Fragen</w:t>
      </w:r>
      <w:r w:rsidR="00402E8F" w:rsidRPr="00A92468">
        <w:rPr>
          <w:noProof/>
          <w:lang w:val="de-DE"/>
        </w:rPr>
        <w:t xml:space="preserve"> zur Information</w:t>
      </w:r>
      <w:r w:rsidR="00402E8F" w:rsidRPr="00A92468">
        <w:rPr>
          <w:noProof/>
          <w:lang w:val="de-DE"/>
        </w:rPr>
        <w:tab/>
      </w:r>
      <w:r w:rsidR="00402E8F" w:rsidRPr="00A92468">
        <w:rPr>
          <w:noProof/>
        </w:rPr>
        <w:fldChar w:fldCharType="begin"/>
      </w:r>
      <w:r w:rsidR="00402E8F" w:rsidRPr="00A92468">
        <w:rPr>
          <w:noProof/>
          <w:lang w:val="de-DE"/>
        </w:rPr>
        <w:instrText xml:space="preserve"> PAGEREF _Toc54170622 \h </w:instrText>
      </w:r>
      <w:r w:rsidR="00402E8F" w:rsidRPr="00A92468">
        <w:rPr>
          <w:noProof/>
        </w:rPr>
      </w:r>
      <w:r w:rsidR="00402E8F" w:rsidRPr="00A92468">
        <w:rPr>
          <w:noProof/>
        </w:rPr>
        <w:fldChar w:fldCharType="separate"/>
      </w:r>
      <w:r w:rsidR="00402E8F" w:rsidRPr="00A92468">
        <w:rPr>
          <w:noProof/>
          <w:lang w:val="de-DE"/>
        </w:rPr>
        <w:t>2</w:t>
      </w:r>
      <w:r w:rsidR="00402E8F" w:rsidRPr="00A92468">
        <w:rPr>
          <w:noProof/>
        </w:rPr>
        <w:fldChar w:fldCharType="end"/>
      </w:r>
    </w:p>
    <w:p w14:paraId="2B7FCEC2" w14:textId="48D95F4F" w:rsidR="00402E8F" w:rsidRPr="009D00A2" w:rsidRDefault="009D00A2" w:rsidP="009D00A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r w:rsidRPr="00A92468">
        <w:rPr>
          <w:noProof/>
          <w:lang w:val="de-DE"/>
        </w:rPr>
        <w:t>Zugang zu Pflanzenmaterial zum Zweck der Verwaltung von Sortensammlungen und der DUS-Prüfung</w:t>
      </w:r>
      <w:r>
        <w:rPr>
          <w:noProof/>
          <w:lang w:val="de-DE"/>
        </w:rPr>
        <w:t xml:space="preserve"> </w:t>
      </w:r>
      <w:r w:rsidR="00402E8F" w:rsidRPr="00A92468">
        <w:rPr>
          <w:noProof/>
          <w:lang w:val="de-DE"/>
        </w:rPr>
        <w:tab/>
      </w:r>
      <w:r w:rsidRPr="009D00A2">
        <w:rPr>
          <w:noProof/>
          <w:lang w:val="de-DE"/>
        </w:rPr>
        <w:t>2</w:t>
      </w:r>
    </w:p>
    <w:p w14:paraId="612BB2A7" w14:textId="1D0F39AC" w:rsidR="00402E8F" w:rsidRPr="009D00A2" w:rsidRDefault="009D00A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r w:rsidRPr="00A92468">
        <w:rPr>
          <w:noProof/>
          <w:lang w:val="de-DE"/>
        </w:rPr>
        <w:t>DUS-Prüfung von Mutantensorten bei Apfel</w:t>
      </w:r>
      <w:r w:rsidR="00402E8F" w:rsidRPr="00A92468">
        <w:rPr>
          <w:noProof/>
          <w:lang w:val="de-DE"/>
        </w:rPr>
        <w:tab/>
      </w:r>
      <w:r w:rsidRPr="009D00A2">
        <w:rPr>
          <w:noProof/>
          <w:lang w:val="de-DE"/>
        </w:rPr>
        <w:t>3</w:t>
      </w:r>
    </w:p>
    <w:p w14:paraId="6471AA20" w14:textId="7B2701CB" w:rsidR="00402E8F" w:rsidRPr="009D00A2" w:rsidRDefault="009D00A2" w:rsidP="009D00A2">
      <w:pPr>
        <w:pStyle w:val="TOC2"/>
        <w:rPr>
          <w:noProof/>
          <w:lang w:val="de-DE"/>
        </w:rPr>
      </w:pPr>
      <w:r w:rsidRPr="00A92468">
        <w:rPr>
          <w:noProof/>
          <w:lang w:val="de-DE"/>
        </w:rPr>
        <w:t>Verwendung von Krankheitsresistenzmerkmalen</w:t>
      </w:r>
      <w:r w:rsidR="00402E8F" w:rsidRPr="00A92468">
        <w:rPr>
          <w:noProof/>
          <w:lang w:val="de-DE"/>
        </w:rPr>
        <w:tab/>
      </w:r>
      <w:r>
        <w:rPr>
          <w:noProof/>
          <w:lang w:val="de-DE"/>
        </w:rPr>
        <w:t>3</w:t>
      </w:r>
    </w:p>
    <w:p w14:paraId="77987852" w14:textId="3384478C" w:rsidR="00402E8F" w:rsidRPr="009D00A2" w:rsidRDefault="009D00A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r>
        <w:rPr>
          <w:noProof/>
          <w:lang w:val="de-DE"/>
        </w:rPr>
        <w:t>Erfahrungen mit neuen Sorten und Arten</w:t>
      </w:r>
      <w:r w:rsidR="00402E8F" w:rsidRPr="00A92468">
        <w:rPr>
          <w:noProof/>
          <w:lang w:val="de-DE"/>
        </w:rPr>
        <w:tab/>
      </w:r>
      <w:r w:rsidR="007542E1">
        <w:rPr>
          <w:noProof/>
          <w:lang w:val="de-DE"/>
        </w:rPr>
        <w:t>4</w:t>
      </w:r>
    </w:p>
    <w:p w14:paraId="2F4CD4CE" w14:textId="71D8B1AD" w:rsidR="00402E8F" w:rsidRPr="009D00A2" w:rsidRDefault="009D00A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r>
        <w:rPr>
          <w:noProof/>
          <w:lang w:val="de-DE"/>
        </w:rPr>
        <w:t>Verfahren für die Gruppierung von Sorten unter Verwendung der UPOV-Codes und einschlägiger Informationsquellen</w:t>
      </w:r>
      <w:r w:rsidR="00402E8F" w:rsidRPr="00A92468">
        <w:rPr>
          <w:noProof/>
          <w:lang w:val="de-DE"/>
        </w:rPr>
        <w:tab/>
      </w:r>
      <w:r w:rsidR="007542E1">
        <w:rPr>
          <w:noProof/>
          <w:lang w:val="de-DE"/>
        </w:rPr>
        <w:t>4</w:t>
      </w:r>
    </w:p>
    <w:p w14:paraId="318CB5C8" w14:textId="345481BC" w:rsidR="00402E8F" w:rsidRPr="009D00A2" w:rsidRDefault="00A9246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r>
        <w:rPr>
          <w:noProof/>
          <w:lang w:val="de-DE"/>
        </w:rPr>
        <w:t xml:space="preserve">Bereitstellung von Informationen über ähnliche Sorten </w:t>
      </w:r>
      <w:r w:rsidR="009D00A2">
        <w:rPr>
          <w:noProof/>
          <w:lang w:val="de-DE"/>
        </w:rPr>
        <w:t>in der UPOV-Mustervorlage für die Sortenbeschreibung</w:t>
      </w:r>
      <w:r w:rsidR="00402E8F" w:rsidRPr="00A92468">
        <w:rPr>
          <w:noProof/>
          <w:lang w:val="de-DE"/>
        </w:rPr>
        <w:tab/>
      </w:r>
      <w:r w:rsidR="009D00A2" w:rsidRPr="009D00A2">
        <w:rPr>
          <w:noProof/>
          <w:lang w:val="de-DE"/>
        </w:rPr>
        <w:t>4</w:t>
      </w:r>
    </w:p>
    <w:p w14:paraId="7E26966A" w14:textId="51DF1AA9" w:rsidR="00402E8F" w:rsidRPr="009D00A2" w:rsidRDefault="00A9246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r>
        <w:rPr>
          <w:noProof/>
          <w:lang w:val="de-DE"/>
        </w:rPr>
        <w:t>Beurteilung von Zierpflanzen unter Verwendung von Messungen an Einzelpflanzen (MS)</w:t>
      </w:r>
      <w:r w:rsidR="00402E8F" w:rsidRPr="00A92468">
        <w:rPr>
          <w:noProof/>
          <w:lang w:val="de-DE"/>
        </w:rPr>
        <w:tab/>
      </w:r>
      <w:r w:rsidR="009D00A2" w:rsidRPr="009D00A2">
        <w:rPr>
          <w:noProof/>
          <w:lang w:val="de-DE"/>
        </w:rPr>
        <w:t>4</w:t>
      </w:r>
    </w:p>
    <w:p w14:paraId="29655BC4" w14:textId="5A4A07FC" w:rsidR="00402E8F" w:rsidRPr="009D00A2" w:rsidRDefault="00A9246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r>
        <w:rPr>
          <w:noProof/>
          <w:snapToGrid w:val="0"/>
          <w:lang w:val="de-DE"/>
        </w:rPr>
        <w:t>Neue Technologien in der DU</w:t>
      </w:r>
      <w:r w:rsidR="00402E8F" w:rsidRPr="00A92468">
        <w:rPr>
          <w:noProof/>
          <w:snapToGrid w:val="0"/>
          <w:lang w:val="de-DE"/>
        </w:rPr>
        <w:t>S-Prüfung</w:t>
      </w:r>
      <w:r w:rsidR="00402E8F" w:rsidRPr="00A92468">
        <w:rPr>
          <w:noProof/>
          <w:lang w:val="de-DE"/>
        </w:rPr>
        <w:tab/>
      </w:r>
      <w:r w:rsidR="009D00A2" w:rsidRPr="009D00A2">
        <w:rPr>
          <w:noProof/>
          <w:lang w:val="de-DE"/>
        </w:rPr>
        <w:t>4</w:t>
      </w:r>
    </w:p>
    <w:p w14:paraId="307E4067" w14:textId="7CCB17B5" w:rsidR="00402E8F" w:rsidRPr="009D00A2" w:rsidRDefault="00A9246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r w:rsidRPr="00A92468">
        <w:rPr>
          <w:noProof/>
          <w:lang w:val="de-DE"/>
        </w:rPr>
        <w:t>Maßgebliche Fragen bei der DUS-Prüfung im Obstsektor</w:t>
      </w:r>
      <w:r w:rsidR="00402E8F" w:rsidRPr="00A92468">
        <w:rPr>
          <w:noProof/>
          <w:lang w:val="de-DE"/>
        </w:rPr>
        <w:tab/>
      </w:r>
      <w:r w:rsidR="007542E1">
        <w:rPr>
          <w:noProof/>
          <w:lang w:val="de-DE"/>
        </w:rPr>
        <w:t>5</w:t>
      </w:r>
    </w:p>
    <w:p w14:paraId="57EF29D9" w14:textId="76796CDB" w:rsidR="004C142C" w:rsidRPr="008A36F8" w:rsidRDefault="004C142C" w:rsidP="00167246">
      <w:pPr>
        <w:rPr>
          <w:rFonts w:asciiTheme="minorHAnsi" w:eastAsiaTheme="minorEastAsia" w:hAnsiTheme="minorHAnsi" w:cstheme="minorBidi"/>
          <w:sz w:val="22"/>
          <w:szCs w:val="22"/>
          <w:highlight w:val="yellow"/>
          <w:lang w:val="de-DE"/>
        </w:rPr>
      </w:pPr>
      <w:r w:rsidRPr="00A92468">
        <w:rPr>
          <w:rFonts w:eastAsia="MS Mincho" w:cs="Arial"/>
          <w:bCs/>
          <w:i/>
          <w:lang w:val="de-DE" w:eastAsia="ja-JP"/>
        </w:rPr>
        <w:fldChar w:fldCharType="end"/>
      </w:r>
      <w:r w:rsidRPr="008A36F8">
        <w:rPr>
          <w:caps/>
          <w:sz w:val="18"/>
          <w:highlight w:val="yellow"/>
          <w:lang w:val="de-DE"/>
        </w:rPr>
        <w:fldChar w:fldCharType="begin"/>
      </w:r>
      <w:r w:rsidRPr="008A36F8">
        <w:rPr>
          <w:highlight w:val="yellow"/>
          <w:lang w:val="de-DE"/>
        </w:rPr>
        <w:instrText xml:space="preserve"> TOC \o "1-3" \h \z \u </w:instrText>
      </w:r>
      <w:r w:rsidRPr="008A36F8">
        <w:rPr>
          <w:caps/>
          <w:sz w:val="18"/>
          <w:highlight w:val="yellow"/>
          <w:lang w:val="de-DE"/>
        </w:rPr>
        <w:fldChar w:fldCharType="separate"/>
      </w:r>
    </w:p>
    <w:p w14:paraId="0D254B8B" w14:textId="77777777" w:rsidR="004C142C" w:rsidRPr="00C20C76" w:rsidRDefault="004C142C" w:rsidP="00167246">
      <w:pPr>
        <w:tabs>
          <w:tab w:val="left" w:pos="567"/>
        </w:tabs>
        <w:rPr>
          <w:rFonts w:cs="Arial"/>
          <w:lang w:val="de-DE"/>
        </w:rPr>
      </w:pPr>
      <w:r w:rsidRPr="008A36F8">
        <w:rPr>
          <w:highlight w:val="yellow"/>
          <w:lang w:val="de-DE"/>
        </w:rPr>
        <w:fldChar w:fldCharType="end"/>
      </w:r>
    </w:p>
    <w:p w14:paraId="1C67CB98" w14:textId="77777777" w:rsidR="008B44FC" w:rsidRPr="00C20C76" w:rsidRDefault="008B44FC" w:rsidP="00167246">
      <w:pPr>
        <w:pStyle w:val="Heading1"/>
        <w:rPr>
          <w:rFonts w:ascii="PMingLiU" w:eastAsia="PMingLiU"/>
          <w:szCs w:val="24"/>
          <w:lang w:val="de-DE"/>
        </w:rPr>
      </w:pPr>
      <w:bookmarkStart w:id="4" w:name="_Toc22044959"/>
      <w:bookmarkStart w:id="5" w:name="_Toc22053611"/>
      <w:bookmarkStart w:id="6" w:name="_Toc54170621"/>
      <w:r w:rsidRPr="00C20C76">
        <w:rPr>
          <w:szCs w:val="24"/>
          <w:lang w:val="de-DE"/>
        </w:rPr>
        <w:t>Fragen zur Information und für eine vom Technischen AusschuSS (TC) gegebenenfalls zu treffende Entscheidung</w:t>
      </w:r>
      <w:bookmarkEnd w:id="4"/>
      <w:bookmarkEnd w:id="5"/>
      <w:bookmarkEnd w:id="6"/>
    </w:p>
    <w:p w14:paraId="40F9E5A7" w14:textId="77777777" w:rsidR="004C142C" w:rsidRPr="00C20C76" w:rsidRDefault="004C142C" w:rsidP="00167246">
      <w:pPr>
        <w:rPr>
          <w:lang w:val="de-DE"/>
        </w:rPr>
      </w:pPr>
    </w:p>
    <w:p w14:paraId="4DEC1C99" w14:textId="3898B7A6" w:rsidR="004C142C" w:rsidRPr="00C20C76" w:rsidRDefault="004C142C" w:rsidP="00167246">
      <w:pPr>
        <w:rPr>
          <w:lang w:val="de-DE"/>
        </w:rPr>
      </w:pPr>
      <w:r w:rsidRPr="00C20C76">
        <w:rPr>
          <w:lang w:val="de-DE"/>
        </w:rPr>
        <w:fldChar w:fldCharType="begin"/>
      </w:r>
      <w:r w:rsidRPr="00C20C76">
        <w:rPr>
          <w:lang w:val="de-DE"/>
        </w:rPr>
        <w:instrText xml:space="preserve"> AUTONUM  </w:instrText>
      </w:r>
      <w:r w:rsidRPr="00C20C76">
        <w:rPr>
          <w:lang w:val="de-DE"/>
        </w:rPr>
        <w:fldChar w:fldCharType="end"/>
      </w:r>
      <w:r w:rsidRPr="00C20C76">
        <w:rPr>
          <w:lang w:val="de-DE"/>
        </w:rPr>
        <w:tab/>
      </w:r>
      <w:r w:rsidR="008B44FC" w:rsidRPr="00C20C76">
        <w:rPr>
          <w:szCs w:val="24"/>
          <w:lang w:val="de-DE"/>
        </w:rPr>
        <w:t>Es gibt keine Angelegenheiten, für welche der Technische Ausschuss auf seiner s</w:t>
      </w:r>
      <w:r w:rsidR="00580BAC">
        <w:rPr>
          <w:szCs w:val="24"/>
          <w:lang w:val="de-DE"/>
        </w:rPr>
        <w:t>ieben</w:t>
      </w:r>
      <w:r w:rsidR="008B44FC" w:rsidRPr="00C20C76">
        <w:rPr>
          <w:szCs w:val="24"/>
          <w:lang w:val="de-DE"/>
        </w:rPr>
        <w:t>undfünfzigsten Tagung eine Entscheidung treffen muss</w:t>
      </w:r>
      <w:r w:rsidRPr="00C20C76">
        <w:rPr>
          <w:lang w:val="de-DE"/>
        </w:rPr>
        <w:t>.</w:t>
      </w:r>
    </w:p>
    <w:p w14:paraId="7611E6C1" w14:textId="77777777" w:rsidR="004C142C" w:rsidRPr="00C20C76" w:rsidRDefault="004C142C" w:rsidP="00167246">
      <w:pPr>
        <w:rPr>
          <w:lang w:val="de-DE"/>
        </w:rPr>
      </w:pPr>
    </w:p>
    <w:p w14:paraId="27CE7DC4" w14:textId="77777777" w:rsidR="004C142C" w:rsidRPr="00C20C76" w:rsidRDefault="004C142C" w:rsidP="00167246">
      <w:pPr>
        <w:rPr>
          <w:lang w:val="de-DE"/>
        </w:rPr>
      </w:pPr>
    </w:p>
    <w:p w14:paraId="37BB8139" w14:textId="3E593C9B" w:rsidR="004C142C" w:rsidRPr="00C20C76" w:rsidRDefault="00C47643" w:rsidP="00167246">
      <w:pPr>
        <w:pStyle w:val="Heading1"/>
        <w:rPr>
          <w:lang w:val="de-DE"/>
        </w:rPr>
      </w:pPr>
      <w:bookmarkStart w:id="7" w:name="_Toc54170622"/>
      <w:bookmarkStart w:id="8" w:name="_Toc441497830"/>
      <w:bookmarkStart w:id="9" w:name="_Toc527377899"/>
      <w:bookmarkStart w:id="10" w:name="_Toc20505079"/>
      <w:r w:rsidRPr="00C20C76">
        <w:rPr>
          <w:lang w:val="de-DE"/>
        </w:rPr>
        <w:t>Fragen</w:t>
      </w:r>
      <w:r w:rsidR="004C142C" w:rsidRPr="00C20C76">
        <w:rPr>
          <w:lang w:val="de-DE"/>
        </w:rPr>
        <w:t xml:space="preserve"> zur Information</w:t>
      </w:r>
      <w:bookmarkEnd w:id="7"/>
      <w:r w:rsidR="004C142C" w:rsidRPr="00C20C76">
        <w:rPr>
          <w:lang w:val="de-DE"/>
        </w:rPr>
        <w:t xml:space="preserve"> </w:t>
      </w:r>
      <w:bookmarkEnd w:id="8"/>
      <w:bookmarkEnd w:id="9"/>
      <w:bookmarkEnd w:id="10"/>
    </w:p>
    <w:p w14:paraId="2F594A50" w14:textId="77777777" w:rsidR="004C142C" w:rsidRPr="00C20C76" w:rsidRDefault="004C142C" w:rsidP="00167246">
      <w:pPr>
        <w:keepNext/>
        <w:rPr>
          <w:lang w:val="de-DE"/>
        </w:rPr>
      </w:pPr>
    </w:p>
    <w:p w14:paraId="0F84BA67" w14:textId="5C94B633" w:rsidR="002F3EA4" w:rsidRPr="00C20C76" w:rsidRDefault="00580BAC" w:rsidP="00167246">
      <w:pPr>
        <w:pStyle w:val="Heading2"/>
        <w:rPr>
          <w:lang w:val="de-DE"/>
        </w:rPr>
      </w:pPr>
      <w:bookmarkStart w:id="11" w:name="_Toc54170623"/>
      <w:r>
        <w:rPr>
          <w:lang w:val="de-DE"/>
        </w:rPr>
        <w:t>Zugang zu Pflanzenmaterial zum Zweck der Verwaltung von Sortensammlungen</w:t>
      </w:r>
      <w:r w:rsidR="007D3808">
        <w:rPr>
          <w:lang w:val="de-DE"/>
        </w:rPr>
        <w:t xml:space="preserve"> und der</w:t>
      </w:r>
      <w:r w:rsidR="00C47643" w:rsidRPr="00C20C76">
        <w:rPr>
          <w:lang w:val="de-DE"/>
        </w:rPr>
        <w:t xml:space="preserve"> DUS-Prüfung</w:t>
      </w:r>
      <w:bookmarkEnd w:id="11"/>
    </w:p>
    <w:p w14:paraId="71EFC500" w14:textId="77777777" w:rsidR="002F3EA4" w:rsidRPr="00C20C76" w:rsidRDefault="002F3EA4" w:rsidP="00167246">
      <w:pPr>
        <w:keepNext/>
        <w:rPr>
          <w:lang w:val="de-DE"/>
        </w:rPr>
      </w:pPr>
    </w:p>
    <w:p w14:paraId="16658B10" w14:textId="21A5820E" w:rsidR="002F3EA4" w:rsidRPr="00C20C76" w:rsidRDefault="002F3EA4" w:rsidP="00167246">
      <w:pPr>
        <w:keepNext/>
        <w:rPr>
          <w:lang w:val="de-DE"/>
        </w:rPr>
      </w:pPr>
      <w:r w:rsidRPr="00C20C76">
        <w:rPr>
          <w:lang w:val="de-DE"/>
        </w:rPr>
        <w:fldChar w:fldCharType="begin"/>
      </w:r>
      <w:r w:rsidRPr="00C20C76">
        <w:rPr>
          <w:lang w:val="de-DE"/>
        </w:rPr>
        <w:instrText xml:space="preserve"> AUTONUM  </w:instrText>
      </w:r>
      <w:r w:rsidRPr="00C20C76">
        <w:rPr>
          <w:lang w:val="de-DE"/>
        </w:rPr>
        <w:fldChar w:fldCharType="end"/>
      </w:r>
      <w:r w:rsidRPr="00C20C76">
        <w:rPr>
          <w:lang w:val="de-DE"/>
        </w:rPr>
        <w:tab/>
        <w:t>Die TW</w:t>
      </w:r>
      <w:r w:rsidR="007D3808">
        <w:rPr>
          <w:lang w:val="de-DE"/>
        </w:rPr>
        <w:t>F</w:t>
      </w:r>
      <w:r w:rsidR="00AD5A29" w:rsidRPr="00C20C76">
        <w:rPr>
          <w:rStyle w:val="FootnoteReference"/>
          <w:rFonts w:eastAsia="PMingLiU"/>
          <w:szCs w:val="24"/>
          <w:lang w:val="de-DE"/>
        </w:rPr>
        <w:footnoteReference w:id="8"/>
      </w:r>
      <w:r w:rsidR="000F48DC" w:rsidRPr="00C20C76">
        <w:rPr>
          <w:lang w:val="de-DE"/>
        </w:rPr>
        <w:t xml:space="preserve"> </w:t>
      </w:r>
      <w:r w:rsidR="007D3808">
        <w:rPr>
          <w:lang w:val="de-DE"/>
        </w:rPr>
        <w:t xml:space="preserve">prüfte das Dokument TWF/52/5 und </w:t>
      </w:r>
      <w:r w:rsidRPr="00C20C76">
        <w:rPr>
          <w:lang w:val="de-DE"/>
        </w:rPr>
        <w:t xml:space="preserve">hörte ein Referat über </w:t>
      </w:r>
      <w:r w:rsidR="00C76E15" w:rsidRPr="00C20C76">
        <w:rPr>
          <w:lang w:val="de-DE"/>
        </w:rPr>
        <w:t>„</w:t>
      </w:r>
      <w:r w:rsidR="007542E1">
        <w:rPr>
          <w:lang w:val="de-DE"/>
        </w:rPr>
        <w:t>DUS-</w:t>
      </w:r>
      <w:r w:rsidR="007D3808">
        <w:rPr>
          <w:lang w:val="de-DE"/>
        </w:rPr>
        <w:t>Zugang zu Pflanzenmaterial zum Zweck der Verwaltung von Sortensammlungen und der DUS-Prüfung – die CPOV-Richtlinien</w:t>
      </w:r>
      <w:r w:rsidR="00C76E15" w:rsidRPr="00C20C76">
        <w:rPr>
          <w:lang w:val="de-DE"/>
        </w:rPr>
        <w:t>“</w:t>
      </w:r>
      <w:r w:rsidRPr="00C20C76">
        <w:rPr>
          <w:lang w:val="de-DE"/>
        </w:rPr>
        <w:t xml:space="preserve"> von einem Sachverständigen </w:t>
      </w:r>
      <w:r w:rsidR="00823C59">
        <w:rPr>
          <w:lang w:val="de-DE"/>
        </w:rPr>
        <w:t xml:space="preserve">aus </w:t>
      </w:r>
      <w:r w:rsidRPr="00C20C76">
        <w:rPr>
          <w:lang w:val="de-DE"/>
        </w:rPr>
        <w:t>de</w:t>
      </w:r>
      <w:r w:rsidR="007D3808">
        <w:rPr>
          <w:lang w:val="de-DE"/>
        </w:rPr>
        <w:t>r Europäischen Union</w:t>
      </w:r>
      <w:r w:rsidRPr="00C20C76">
        <w:rPr>
          <w:lang w:val="de-DE"/>
        </w:rPr>
        <w:t xml:space="preserve">. Eine </w:t>
      </w:r>
      <w:r w:rsidR="000963EC" w:rsidRPr="00C20C76">
        <w:rPr>
          <w:lang w:val="de-DE"/>
        </w:rPr>
        <w:t xml:space="preserve">Abschrift </w:t>
      </w:r>
      <w:r w:rsidRPr="00C20C76">
        <w:rPr>
          <w:lang w:val="de-DE"/>
        </w:rPr>
        <w:t xml:space="preserve">des Referats ist in </w:t>
      </w:r>
      <w:r w:rsidR="00314621">
        <w:rPr>
          <w:lang w:val="de-DE"/>
        </w:rPr>
        <w:t>der Anlage dieses</w:t>
      </w:r>
      <w:r w:rsidR="007D3808">
        <w:rPr>
          <w:lang w:val="de-DE"/>
        </w:rPr>
        <w:t xml:space="preserve"> </w:t>
      </w:r>
      <w:r w:rsidRPr="00C20C76">
        <w:rPr>
          <w:lang w:val="de-DE"/>
        </w:rPr>
        <w:t>Dokument</w:t>
      </w:r>
      <w:r w:rsidR="00314621">
        <w:rPr>
          <w:lang w:val="de-DE"/>
        </w:rPr>
        <w:t>s</w:t>
      </w:r>
      <w:r w:rsidRPr="00C20C76">
        <w:rPr>
          <w:lang w:val="de-DE"/>
        </w:rPr>
        <w:t xml:space="preserve"> TW</w:t>
      </w:r>
      <w:r w:rsidR="007D3808">
        <w:rPr>
          <w:lang w:val="de-DE"/>
        </w:rPr>
        <w:t>F</w:t>
      </w:r>
      <w:r w:rsidRPr="00C20C76">
        <w:rPr>
          <w:lang w:val="de-DE"/>
        </w:rPr>
        <w:t>/5</w:t>
      </w:r>
      <w:r w:rsidR="007D3808">
        <w:rPr>
          <w:lang w:val="de-DE"/>
        </w:rPr>
        <w:t>2</w:t>
      </w:r>
      <w:r w:rsidRPr="00C20C76">
        <w:rPr>
          <w:lang w:val="de-DE"/>
        </w:rPr>
        <w:t>/</w:t>
      </w:r>
      <w:r w:rsidR="007D3808">
        <w:rPr>
          <w:lang w:val="de-DE"/>
        </w:rPr>
        <w:t>5</w:t>
      </w:r>
      <w:r w:rsidRPr="00C20C76">
        <w:rPr>
          <w:lang w:val="de-DE"/>
        </w:rPr>
        <w:t xml:space="preserve"> </w:t>
      </w:r>
      <w:r w:rsidR="000F48DC" w:rsidRPr="00C20C76">
        <w:rPr>
          <w:bCs/>
          <w:lang w:val="de-DE"/>
        </w:rPr>
        <w:t>enthalten</w:t>
      </w:r>
      <w:r w:rsidRPr="00C20C76">
        <w:rPr>
          <w:lang w:val="de-DE"/>
        </w:rPr>
        <w:t xml:space="preserve"> </w:t>
      </w:r>
      <w:r w:rsidR="009F73E6" w:rsidRPr="00C20C76">
        <w:rPr>
          <w:lang w:val="de-DE"/>
        </w:rPr>
        <w:t>(vergleiche Dokument TW</w:t>
      </w:r>
      <w:r w:rsidR="007D3808">
        <w:rPr>
          <w:lang w:val="de-DE"/>
        </w:rPr>
        <w:t>F</w:t>
      </w:r>
      <w:r w:rsidR="009F73E6" w:rsidRPr="00C20C76">
        <w:rPr>
          <w:lang w:val="de-DE"/>
        </w:rPr>
        <w:t>/5</w:t>
      </w:r>
      <w:r w:rsidR="007D3808">
        <w:rPr>
          <w:lang w:val="de-DE"/>
        </w:rPr>
        <w:t>2</w:t>
      </w:r>
      <w:r w:rsidR="009F73E6" w:rsidRPr="00C20C76">
        <w:rPr>
          <w:lang w:val="de-DE"/>
        </w:rPr>
        <w:t>/</w:t>
      </w:r>
      <w:r w:rsidR="007D3808">
        <w:rPr>
          <w:lang w:val="de-DE"/>
        </w:rPr>
        <w:t>10</w:t>
      </w:r>
      <w:r w:rsidR="009F73E6" w:rsidRPr="00C20C76">
        <w:rPr>
          <w:lang w:val="de-DE"/>
        </w:rPr>
        <w:t xml:space="preserve"> </w:t>
      </w:r>
      <w:r w:rsidR="00C76E15" w:rsidRPr="00C20C76">
        <w:rPr>
          <w:lang w:val="de-DE"/>
        </w:rPr>
        <w:t>„Report“</w:t>
      </w:r>
      <w:r w:rsidR="009F73E6" w:rsidRPr="00C20C76">
        <w:rPr>
          <w:lang w:val="de-DE"/>
        </w:rPr>
        <w:t xml:space="preserve">, Absätze </w:t>
      </w:r>
      <w:r w:rsidR="007D3808">
        <w:rPr>
          <w:lang w:val="de-DE"/>
        </w:rPr>
        <w:t>6</w:t>
      </w:r>
      <w:r w:rsidR="009F73E6" w:rsidRPr="00C20C76">
        <w:rPr>
          <w:lang w:val="de-DE"/>
        </w:rPr>
        <w:t xml:space="preserve">4 und </w:t>
      </w:r>
      <w:r w:rsidR="007D3808">
        <w:rPr>
          <w:lang w:val="de-DE"/>
        </w:rPr>
        <w:t>6</w:t>
      </w:r>
      <w:r w:rsidR="009F73E6" w:rsidRPr="00C20C76">
        <w:rPr>
          <w:lang w:val="de-DE"/>
        </w:rPr>
        <w:t>5)</w:t>
      </w:r>
      <w:r w:rsidRPr="00C20C76">
        <w:rPr>
          <w:lang w:val="de-DE"/>
        </w:rPr>
        <w:t>.</w:t>
      </w:r>
    </w:p>
    <w:p w14:paraId="5094943E" w14:textId="77777777" w:rsidR="002F3EA4" w:rsidRPr="00C20C76" w:rsidRDefault="002F3EA4" w:rsidP="00167246">
      <w:pPr>
        <w:rPr>
          <w:lang w:val="de-DE"/>
        </w:rPr>
      </w:pPr>
    </w:p>
    <w:p w14:paraId="3C49D587" w14:textId="722B1EA3" w:rsidR="00A63229" w:rsidRPr="00C20C76" w:rsidRDefault="002F3EA4" w:rsidP="00314621">
      <w:pPr>
        <w:rPr>
          <w:lang w:val="de-DE"/>
        </w:rPr>
      </w:pPr>
      <w:r w:rsidRPr="00C20C76">
        <w:rPr>
          <w:lang w:val="de-DE"/>
        </w:rPr>
        <w:fldChar w:fldCharType="begin"/>
      </w:r>
      <w:r w:rsidRPr="00C20C76">
        <w:rPr>
          <w:lang w:val="de-DE"/>
        </w:rPr>
        <w:instrText xml:space="preserve"> AUTONUM  </w:instrText>
      </w:r>
      <w:r w:rsidRPr="00C20C76">
        <w:rPr>
          <w:lang w:val="de-DE"/>
        </w:rPr>
        <w:fldChar w:fldCharType="end"/>
      </w:r>
      <w:r w:rsidR="00171ED5">
        <w:rPr>
          <w:lang w:val="de-DE"/>
        </w:rPr>
        <w:tab/>
        <w:t>Die TWF</w:t>
      </w:r>
      <w:r w:rsidRPr="00C20C76">
        <w:rPr>
          <w:lang w:val="de-DE"/>
        </w:rPr>
        <w:t xml:space="preserve"> verein</w:t>
      </w:r>
      <w:r w:rsidR="00314621">
        <w:rPr>
          <w:lang w:val="de-DE"/>
        </w:rPr>
        <w:t xml:space="preserve">barte, den Sachverständigen </w:t>
      </w:r>
      <w:r w:rsidR="00823C59">
        <w:rPr>
          <w:lang w:val="de-DE"/>
        </w:rPr>
        <w:t xml:space="preserve">aus </w:t>
      </w:r>
      <w:r w:rsidR="00314621">
        <w:rPr>
          <w:lang w:val="de-DE"/>
        </w:rPr>
        <w:t xml:space="preserve">der </w:t>
      </w:r>
      <w:r w:rsidR="00B608F4" w:rsidRPr="00C20C76">
        <w:rPr>
          <w:lang w:val="de-DE"/>
        </w:rPr>
        <w:t>Europäischen</w:t>
      </w:r>
      <w:r w:rsidR="002A3829" w:rsidRPr="00C20C76">
        <w:rPr>
          <w:lang w:val="de-DE"/>
        </w:rPr>
        <w:t xml:space="preserve"> Union</w:t>
      </w:r>
      <w:r w:rsidR="007542E1">
        <w:rPr>
          <w:lang w:val="de-DE"/>
        </w:rPr>
        <w:t xml:space="preserve"> zu ersuchen</w:t>
      </w:r>
      <w:r w:rsidR="007D3808">
        <w:rPr>
          <w:lang w:val="de-DE"/>
        </w:rPr>
        <w:t>, mit der Unterstützung Brasilien</w:t>
      </w:r>
      <w:r w:rsidR="00314621">
        <w:rPr>
          <w:lang w:val="de-DE"/>
        </w:rPr>
        <w:t>s</w:t>
      </w:r>
      <w:r w:rsidR="007D3808">
        <w:rPr>
          <w:lang w:val="de-DE"/>
        </w:rPr>
        <w:t>, Kanada</w:t>
      </w:r>
      <w:r w:rsidR="00314621">
        <w:rPr>
          <w:lang w:val="de-DE"/>
        </w:rPr>
        <w:t>s,</w:t>
      </w:r>
      <w:r w:rsidR="007D3808">
        <w:rPr>
          <w:lang w:val="de-DE"/>
        </w:rPr>
        <w:t xml:space="preserve"> Frankreich</w:t>
      </w:r>
      <w:r w:rsidR="00314621">
        <w:rPr>
          <w:lang w:val="de-DE"/>
        </w:rPr>
        <w:t>s</w:t>
      </w:r>
      <w:r w:rsidR="007D3808">
        <w:rPr>
          <w:lang w:val="de-DE"/>
        </w:rPr>
        <w:t>,</w:t>
      </w:r>
      <w:r w:rsidR="00314621">
        <w:rPr>
          <w:lang w:val="de-DE"/>
        </w:rPr>
        <w:t xml:space="preserve"> </w:t>
      </w:r>
      <w:r w:rsidR="0056188E" w:rsidRPr="00C20C76">
        <w:rPr>
          <w:snapToGrid w:val="0"/>
          <w:lang w:val="de-DE"/>
        </w:rPr>
        <w:t>Italien</w:t>
      </w:r>
      <w:r w:rsidR="00314621">
        <w:rPr>
          <w:snapToGrid w:val="0"/>
          <w:lang w:val="de-DE"/>
        </w:rPr>
        <w:t>s,</w:t>
      </w:r>
      <w:r w:rsidR="00A63229" w:rsidRPr="00C20C76">
        <w:rPr>
          <w:snapToGrid w:val="0"/>
          <w:lang w:val="de-DE"/>
        </w:rPr>
        <w:t xml:space="preserve"> </w:t>
      </w:r>
      <w:r w:rsidR="00A63229" w:rsidRPr="00C20C76">
        <w:rPr>
          <w:lang w:val="de-DE"/>
        </w:rPr>
        <w:t>Neuseeland</w:t>
      </w:r>
      <w:r w:rsidR="00314621">
        <w:rPr>
          <w:lang w:val="de-DE"/>
        </w:rPr>
        <w:t>s</w:t>
      </w:r>
      <w:r w:rsidR="00A63229" w:rsidRPr="00C20C76">
        <w:rPr>
          <w:lang w:val="de-DE"/>
        </w:rPr>
        <w:t xml:space="preserve"> </w:t>
      </w:r>
      <w:r w:rsidR="007D3808">
        <w:rPr>
          <w:lang w:val="de-DE"/>
        </w:rPr>
        <w:t>und Spanien</w:t>
      </w:r>
      <w:r w:rsidR="00314621">
        <w:rPr>
          <w:lang w:val="de-DE"/>
        </w:rPr>
        <w:t>s</w:t>
      </w:r>
      <w:r w:rsidR="007D3808">
        <w:rPr>
          <w:lang w:val="de-DE"/>
        </w:rPr>
        <w:t>,</w:t>
      </w:r>
      <w:r w:rsidR="00314621">
        <w:rPr>
          <w:lang w:val="de-DE"/>
        </w:rPr>
        <w:t xml:space="preserve"> </w:t>
      </w:r>
      <w:r w:rsidR="007542E1">
        <w:rPr>
          <w:lang w:val="de-DE"/>
        </w:rPr>
        <w:t>einen</w:t>
      </w:r>
      <w:r w:rsidR="00314621">
        <w:rPr>
          <w:lang w:val="de-DE"/>
        </w:rPr>
        <w:t xml:space="preserve"> </w:t>
      </w:r>
      <w:r w:rsidR="00CB2DF1">
        <w:rPr>
          <w:lang w:val="de-DE"/>
        </w:rPr>
        <w:t>Vorschlag für</w:t>
      </w:r>
      <w:r w:rsidR="00A63229" w:rsidRPr="00C20C76">
        <w:rPr>
          <w:lang w:val="de-DE"/>
        </w:rPr>
        <w:t xml:space="preserve"> Musterschreiben/</w:t>
      </w:r>
      <w:r w:rsidR="00C72CA6">
        <w:rPr>
          <w:lang w:val="de-DE"/>
        </w:rPr>
        <w:t>-v</w:t>
      </w:r>
      <w:r w:rsidR="00C72CA6" w:rsidRPr="00C20C76">
        <w:rPr>
          <w:lang w:val="de-DE"/>
        </w:rPr>
        <w:t>erträge</w:t>
      </w:r>
      <w:r w:rsidR="00A63229" w:rsidRPr="00C20C76">
        <w:rPr>
          <w:lang w:val="de-DE"/>
        </w:rPr>
        <w:t xml:space="preserve">, die für die Einreichung von Pflanzenmaterial bei </w:t>
      </w:r>
      <w:r w:rsidR="00314621">
        <w:rPr>
          <w:lang w:val="de-DE"/>
        </w:rPr>
        <w:t>der</w:t>
      </w:r>
      <w:r w:rsidR="00CB2DF1">
        <w:rPr>
          <w:lang w:val="de-DE"/>
        </w:rPr>
        <w:t xml:space="preserve"> Sortenschutzbehörde</w:t>
      </w:r>
      <w:r w:rsidR="00A63229" w:rsidRPr="00C20C76">
        <w:rPr>
          <w:lang w:val="de-DE"/>
        </w:rPr>
        <w:t xml:space="preserve"> und/oder DUS-Prüfungsämtern verwendet werden</w:t>
      </w:r>
      <w:r w:rsidR="00314621">
        <w:rPr>
          <w:lang w:val="de-DE"/>
        </w:rPr>
        <w:t xml:space="preserve"> können</w:t>
      </w:r>
      <w:r w:rsidR="007542E1">
        <w:rPr>
          <w:lang w:val="de-DE"/>
        </w:rPr>
        <w:t>, auszuarbeiten</w:t>
      </w:r>
      <w:r w:rsidR="00A63229" w:rsidRPr="00C20C76">
        <w:rPr>
          <w:lang w:val="de-DE"/>
        </w:rPr>
        <w:t>. Diese</w:t>
      </w:r>
      <w:r w:rsidR="00CB2DF1">
        <w:rPr>
          <w:lang w:val="de-DE"/>
        </w:rPr>
        <w:t>r Entwurf würde auf der dreiundfünfzigsten Tagung vorgelegt werden</w:t>
      </w:r>
      <w:r w:rsidR="00823C59">
        <w:rPr>
          <w:lang w:val="de-DE"/>
        </w:rPr>
        <w:t xml:space="preserve"> und könnte </w:t>
      </w:r>
      <w:r w:rsidR="00314621">
        <w:rPr>
          <w:lang w:val="de-DE"/>
        </w:rPr>
        <w:t>als</w:t>
      </w:r>
      <w:r w:rsidR="00C72CA6">
        <w:rPr>
          <w:lang w:val="de-DE"/>
        </w:rPr>
        <w:t xml:space="preserve"> </w:t>
      </w:r>
      <w:r w:rsidR="00A63229" w:rsidRPr="00C20C76">
        <w:rPr>
          <w:lang w:val="de-DE"/>
        </w:rPr>
        <w:t xml:space="preserve">Grundlage für </w:t>
      </w:r>
      <w:r w:rsidR="00823C59">
        <w:rPr>
          <w:lang w:val="de-DE"/>
        </w:rPr>
        <w:t>etwaige</w:t>
      </w:r>
      <w:r w:rsidR="00A63229" w:rsidRPr="00C20C76">
        <w:rPr>
          <w:lang w:val="de-DE"/>
        </w:rPr>
        <w:t xml:space="preserve"> künftige Überarbeitungen </w:t>
      </w:r>
      <w:r w:rsidR="00823C59">
        <w:rPr>
          <w:lang w:val="de-DE"/>
        </w:rPr>
        <w:t>der</w:t>
      </w:r>
      <w:r w:rsidR="00A63229" w:rsidRPr="00C20C76">
        <w:rPr>
          <w:lang w:val="de-DE"/>
        </w:rPr>
        <w:t xml:space="preserve"> UPOV-Anleitung (z. B. TGP/5, Abschnitt 11 </w:t>
      </w:r>
      <w:r w:rsidR="00C10350" w:rsidRPr="00C20C76">
        <w:rPr>
          <w:lang w:val="de-DE"/>
        </w:rPr>
        <w:t>„</w:t>
      </w:r>
      <w:r w:rsidR="009C4F3D" w:rsidRPr="00C20C76">
        <w:rPr>
          <w:lang w:val="de-DE"/>
        </w:rPr>
        <w:t>Beispiele für Verfahren und Verträge bezüglich des vom Züchter eingereichten Materials</w:t>
      </w:r>
      <w:r w:rsidR="00E57528">
        <w:rPr>
          <w:lang w:val="de-DE"/>
        </w:rPr>
        <w:t>“</w:t>
      </w:r>
      <w:r w:rsidR="00A63229" w:rsidRPr="00C20C76">
        <w:rPr>
          <w:lang w:val="de-DE"/>
        </w:rPr>
        <w:t xml:space="preserve">) </w:t>
      </w:r>
      <w:r w:rsidR="00D43150">
        <w:rPr>
          <w:lang w:val="de-DE"/>
        </w:rPr>
        <w:t>dienen</w:t>
      </w:r>
      <w:r w:rsidR="00A63229" w:rsidRPr="00C20C76">
        <w:rPr>
          <w:lang w:val="de-DE"/>
        </w:rPr>
        <w:t>, um anderen UPOV-Mitgliedern den Zugang zu Pflanzenmaterial zum Zweck der Verwaltung von Sortensammlungen und der DUS-Prüfung zu erleichtern.</w:t>
      </w:r>
      <w:r w:rsidR="00CB2DF1">
        <w:rPr>
          <w:lang w:val="de-DE"/>
        </w:rPr>
        <w:t xml:space="preserve"> Die TWF erinnerte an die in Dokument TWF/52/</w:t>
      </w:r>
      <w:r w:rsidR="00171ED5">
        <w:rPr>
          <w:lang w:val="de-DE"/>
        </w:rPr>
        <w:t>5</w:t>
      </w:r>
      <w:r w:rsidR="00CB2DF1">
        <w:rPr>
          <w:lang w:val="de-DE"/>
        </w:rPr>
        <w:t xml:space="preserve">, Absatz 3 </w:t>
      </w:r>
      <w:r w:rsidR="00D43150">
        <w:rPr>
          <w:lang w:val="de-DE"/>
        </w:rPr>
        <w:t>enthaltene</w:t>
      </w:r>
      <w:r w:rsidR="00CB2DF1">
        <w:rPr>
          <w:lang w:val="de-DE"/>
        </w:rPr>
        <w:t xml:space="preserve"> Liste von Schlüsselfaktoren </w:t>
      </w:r>
      <w:r w:rsidR="00D43150">
        <w:rPr>
          <w:lang w:val="de-DE"/>
        </w:rPr>
        <w:t>für den</w:t>
      </w:r>
      <w:r w:rsidR="00823C59">
        <w:rPr>
          <w:lang w:val="de-DE"/>
        </w:rPr>
        <w:t xml:space="preserve"> Zugang</w:t>
      </w:r>
      <w:r w:rsidR="00CB2DF1">
        <w:rPr>
          <w:lang w:val="de-DE"/>
        </w:rPr>
        <w:t xml:space="preserve"> zu Pflanzenmaterial für Züchter und </w:t>
      </w:r>
      <w:proofErr w:type="spellStart"/>
      <w:r w:rsidR="00CB2DF1">
        <w:rPr>
          <w:lang w:val="de-DE"/>
        </w:rPr>
        <w:t>Sortenschutzbehören</w:t>
      </w:r>
      <w:proofErr w:type="spellEnd"/>
      <w:r w:rsidR="00CB2DF1">
        <w:rPr>
          <w:lang w:val="de-DE"/>
        </w:rPr>
        <w:t xml:space="preserve"> und vereinbarte, die obengenannte Gruppe von Sachverständigen zu ersuchen</w:t>
      </w:r>
      <w:r w:rsidR="00823C59">
        <w:rPr>
          <w:lang w:val="de-DE"/>
        </w:rPr>
        <w:t>,</w:t>
      </w:r>
      <w:r w:rsidR="00CB2DF1">
        <w:rPr>
          <w:lang w:val="de-DE"/>
        </w:rPr>
        <w:t xml:space="preserve"> </w:t>
      </w:r>
      <w:r w:rsidR="00D43150">
        <w:rPr>
          <w:lang w:val="de-DE"/>
        </w:rPr>
        <w:t>zu prüfen ob diese überarbeitet werden müssen</w:t>
      </w:r>
      <w:r w:rsidR="00CB2DF1">
        <w:rPr>
          <w:lang w:val="de-DE"/>
        </w:rPr>
        <w:t>.</w:t>
      </w:r>
    </w:p>
    <w:p w14:paraId="779181DE" w14:textId="77777777" w:rsidR="00D035F3" w:rsidRPr="00C20C76" w:rsidRDefault="00D035F3" w:rsidP="00167246">
      <w:pPr>
        <w:rPr>
          <w:lang w:val="de-DE"/>
        </w:rPr>
      </w:pPr>
    </w:p>
    <w:p w14:paraId="24301C15" w14:textId="77777777" w:rsidR="00D035F3" w:rsidRPr="00C20C76" w:rsidRDefault="00D035F3" w:rsidP="00167246">
      <w:pPr>
        <w:rPr>
          <w:lang w:val="de-DE"/>
        </w:rPr>
      </w:pPr>
    </w:p>
    <w:p w14:paraId="64B223F9" w14:textId="6D621F7C" w:rsidR="00A63229" w:rsidRPr="00C20C76" w:rsidRDefault="00A63229" w:rsidP="00167246">
      <w:pPr>
        <w:pStyle w:val="Heading2"/>
        <w:rPr>
          <w:lang w:val="de-DE"/>
        </w:rPr>
      </w:pPr>
      <w:bookmarkStart w:id="12" w:name="_Toc54170628"/>
      <w:r w:rsidRPr="00C20C76">
        <w:rPr>
          <w:lang w:val="de-DE"/>
        </w:rPr>
        <w:t xml:space="preserve">DUS-Prüfung </w:t>
      </w:r>
      <w:r w:rsidR="009C4F3D" w:rsidRPr="00C20C76">
        <w:rPr>
          <w:lang w:val="de-DE"/>
        </w:rPr>
        <w:t xml:space="preserve">von </w:t>
      </w:r>
      <w:proofErr w:type="spellStart"/>
      <w:r w:rsidR="001E02EC" w:rsidRPr="00C20C76">
        <w:rPr>
          <w:lang w:val="de-DE"/>
        </w:rPr>
        <w:t>Mutantens</w:t>
      </w:r>
      <w:r w:rsidRPr="00C20C76">
        <w:rPr>
          <w:lang w:val="de-DE"/>
        </w:rPr>
        <w:t>orten</w:t>
      </w:r>
      <w:proofErr w:type="spellEnd"/>
      <w:r w:rsidRPr="00C20C76">
        <w:rPr>
          <w:lang w:val="de-DE"/>
        </w:rPr>
        <w:t xml:space="preserve"> </w:t>
      </w:r>
      <w:r w:rsidR="009C4F3D" w:rsidRPr="00C20C76">
        <w:rPr>
          <w:lang w:val="de-DE"/>
        </w:rPr>
        <w:t>bei</w:t>
      </w:r>
      <w:r w:rsidRPr="00C20C76">
        <w:rPr>
          <w:lang w:val="de-DE"/>
        </w:rPr>
        <w:t xml:space="preserve"> Apfel</w:t>
      </w:r>
      <w:bookmarkEnd w:id="12"/>
      <w:r w:rsidRPr="00C20C76">
        <w:rPr>
          <w:lang w:val="de-DE"/>
        </w:rPr>
        <w:t xml:space="preserve"> </w:t>
      </w:r>
    </w:p>
    <w:p w14:paraId="211AF933" w14:textId="77777777" w:rsidR="00A63229" w:rsidRPr="00C20C76" w:rsidRDefault="00A63229" w:rsidP="00167246">
      <w:pPr>
        <w:keepNext/>
        <w:jc w:val="left"/>
        <w:rPr>
          <w:lang w:val="de-DE"/>
        </w:rPr>
      </w:pPr>
    </w:p>
    <w:p w14:paraId="22D6E907" w14:textId="3E40D234" w:rsidR="00A63229" w:rsidRPr="00C20C76" w:rsidRDefault="00A63229" w:rsidP="00167246">
      <w:pPr>
        <w:rPr>
          <w:lang w:val="de-DE"/>
        </w:rPr>
      </w:pPr>
      <w:r w:rsidRPr="00C20C76">
        <w:rPr>
          <w:lang w:val="de-DE"/>
        </w:rPr>
        <w:fldChar w:fldCharType="begin"/>
      </w:r>
      <w:r w:rsidRPr="00C20C76">
        <w:rPr>
          <w:lang w:val="de-DE"/>
        </w:rPr>
        <w:instrText xml:space="preserve"> AUTONUM  </w:instrText>
      </w:r>
      <w:r w:rsidRPr="00C20C76">
        <w:rPr>
          <w:lang w:val="de-DE"/>
        </w:rPr>
        <w:fldChar w:fldCharType="end"/>
      </w:r>
      <w:r w:rsidRPr="00C20C76">
        <w:rPr>
          <w:lang w:val="de-DE"/>
        </w:rPr>
        <w:tab/>
        <w:t>Die TWF</w:t>
      </w:r>
      <w:r w:rsidR="00AD5A29" w:rsidRPr="00C20C76">
        <w:rPr>
          <w:rStyle w:val="FootnoteReference"/>
          <w:color w:val="000000"/>
          <w:lang w:val="de-DE"/>
        </w:rPr>
        <w:footnoteReference w:id="9"/>
      </w:r>
      <w:r w:rsidR="009C4F3D" w:rsidRPr="00C20C76">
        <w:rPr>
          <w:lang w:val="de-DE"/>
        </w:rPr>
        <w:t xml:space="preserve"> </w:t>
      </w:r>
      <w:r w:rsidRPr="00C20C76">
        <w:rPr>
          <w:lang w:val="de-DE"/>
        </w:rPr>
        <w:t>prüfte das Dokument TWF/</w:t>
      </w:r>
      <w:r w:rsidR="00CB2DF1">
        <w:rPr>
          <w:lang w:val="de-DE"/>
        </w:rPr>
        <w:t>52/6</w:t>
      </w:r>
      <w:r w:rsidRPr="00C20C76">
        <w:rPr>
          <w:lang w:val="de-DE"/>
        </w:rPr>
        <w:t xml:space="preserve"> und </w:t>
      </w:r>
      <w:r w:rsidR="009C4F3D" w:rsidRPr="00C20C76">
        <w:rPr>
          <w:lang w:val="de-DE"/>
        </w:rPr>
        <w:t>hörte</w:t>
      </w:r>
      <w:r w:rsidRPr="00C20C76">
        <w:rPr>
          <w:lang w:val="de-DE"/>
        </w:rPr>
        <w:t xml:space="preserve"> ein Referat über</w:t>
      </w:r>
      <w:r w:rsidR="00EA28DF">
        <w:rPr>
          <w:lang w:val="de-DE"/>
        </w:rPr>
        <w:t xml:space="preserve"> die</w:t>
      </w:r>
      <w:r w:rsidRPr="00C20C76">
        <w:rPr>
          <w:lang w:val="de-DE"/>
        </w:rPr>
        <w:t xml:space="preserve"> </w:t>
      </w:r>
      <w:r w:rsidR="009C4F3D" w:rsidRPr="00C20C76">
        <w:rPr>
          <w:lang w:val="de-DE"/>
        </w:rPr>
        <w:t>„</w:t>
      </w:r>
      <w:r w:rsidRPr="00C20C76">
        <w:rPr>
          <w:lang w:val="de-DE"/>
        </w:rPr>
        <w:t xml:space="preserve">DUS-Prüfung von </w:t>
      </w:r>
      <w:proofErr w:type="spellStart"/>
      <w:r w:rsidR="009C4F3D" w:rsidRPr="00C20C76">
        <w:rPr>
          <w:lang w:val="de-DE"/>
        </w:rPr>
        <w:t>Mutantensorten</w:t>
      </w:r>
      <w:proofErr w:type="spellEnd"/>
      <w:r w:rsidR="009C4F3D" w:rsidRPr="00C20C76">
        <w:rPr>
          <w:lang w:val="de-DE"/>
        </w:rPr>
        <w:t xml:space="preserve"> bei Apfel“</w:t>
      </w:r>
      <w:r w:rsidRPr="00C20C76">
        <w:rPr>
          <w:lang w:val="de-DE"/>
        </w:rPr>
        <w:t xml:space="preserve"> von einem </w:t>
      </w:r>
      <w:r w:rsidR="00B608F4" w:rsidRPr="00C20C76">
        <w:rPr>
          <w:lang w:val="de-DE"/>
        </w:rPr>
        <w:t>Sachverständigen aus der Europäischen</w:t>
      </w:r>
      <w:r w:rsidRPr="00C20C76">
        <w:rPr>
          <w:lang w:val="de-DE"/>
        </w:rPr>
        <w:t xml:space="preserve"> Union. Eine </w:t>
      </w:r>
      <w:r w:rsidR="000963EC" w:rsidRPr="00C20C76">
        <w:rPr>
          <w:lang w:val="de-DE"/>
        </w:rPr>
        <w:t xml:space="preserve">Abschrift </w:t>
      </w:r>
      <w:r w:rsidRPr="00C20C76">
        <w:rPr>
          <w:lang w:val="de-DE"/>
        </w:rPr>
        <w:t>des Referats ist in der Anlage des Dokuments TWF/</w:t>
      </w:r>
      <w:r w:rsidR="00CB2DF1">
        <w:rPr>
          <w:lang w:val="de-DE"/>
        </w:rPr>
        <w:t>52/6</w:t>
      </w:r>
      <w:r w:rsidR="00823C59">
        <w:rPr>
          <w:lang w:val="de-DE"/>
        </w:rPr>
        <w:t xml:space="preserve"> </w:t>
      </w:r>
      <w:r w:rsidRPr="00C20C76">
        <w:rPr>
          <w:lang w:val="de-DE"/>
        </w:rPr>
        <w:t>enthalten</w:t>
      </w:r>
      <w:r w:rsidR="00C61944">
        <w:rPr>
          <w:lang w:val="de-DE"/>
        </w:rPr>
        <w:t xml:space="preserve"> (vergleiche Dokument TWF/52/10 „Report“, Absätze 66 bis 70)</w:t>
      </w:r>
      <w:r w:rsidRPr="00C20C76">
        <w:rPr>
          <w:lang w:val="de-DE"/>
        </w:rPr>
        <w:t xml:space="preserve">. </w:t>
      </w:r>
    </w:p>
    <w:p w14:paraId="29B680AB" w14:textId="77777777" w:rsidR="00A63229" w:rsidRPr="00C20C76" w:rsidRDefault="00A63229" w:rsidP="00167246">
      <w:pPr>
        <w:rPr>
          <w:lang w:val="de-DE"/>
        </w:rPr>
      </w:pPr>
    </w:p>
    <w:p w14:paraId="0A861A6C" w14:textId="5B176532" w:rsidR="009F5B32" w:rsidRDefault="00A63229" w:rsidP="00167246">
      <w:pPr>
        <w:rPr>
          <w:lang w:val="de-DE"/>
        </w:rPr>
      </w:pPr>
      <w:r w:rsidRPr="00C20C76">
        <w:rPr>
          <w:lang w:val="de-DE"/>
        </w:rPr>
        <w:fldChar w:fldCharType="begin"/>
      </w:r>
      <w:r w:rsidRPr="00C20C76">
        <w:rPr>
          <w:lang w:val="de-DE"/>
        </w:rPr>
        <w:instrText xml:space="preserve"> AUTONUM  </w:instrText>
      </w:r>
      <w:r w:rsidRPr="00C20C76">
        <w:rPr>
          <w:lang w:val="de-DE"/>
        </w:rPr>
        <w:fldChar w:fldCharType="end"/>
      </w:r>
      <w:r w:rsidRPr="00C20C76">
        <w:rPr>
          <w:lang w:val="de-DE"/>
        </w:rPr>
        <w:tab/>
        <w:t xml:space="preserve">Die TWF </w:t>
      </w:r>
      <w:r w:rsidR="0069762D">
        <w:rPr>
          <w:lang w:val="de-DE"/>
        </w:rPr>
        <w:t>war sich einig</w:t>
      </w:r>
      <w:r w:rsidR="00C61944">
        <w:rPr>
          <w:lang w:val="de-DE"/>
        </w:rPr>
        <w:t xml:space="preserve">, dass </w:t>
      </w:r>
      <w:r w:rsidR="009F5B32">
        <w:rPr>
          <w:lang w:val="de-DE"/>
        </w:rPr>
        <w:t xml:space="preserve">die </w:t>
      </w:r>
      <w:r w:rsidRPr="00C20C76">
        <w:rPr>
          <w:lang w:val="de-DE"/>
        </w:rPr>
        <w:t>vo</w:t>
      </w:r>
      <w:r w:rsidR="00117AFA">
        <w:rPr>
          <w:lang w:val="de-DE"/>
        </w:rPr>
        <w:t>n de</w:t>
      </w:r>
      <w:r w:rsidRPr="00C20C76">
        <w:rPr>
          <w:lang w:val="de-DE"/>
        </w:rPr>
        <w:t xml:space="preserve">m </w:t>
      </w:r>
      <w:r w:rsidR="00B608F4" w:rsidRPr="00C20C76">
        <w:rPr>
          <w:lang w:val="de-DE"/>
        </w:rPr>
        <w:t>Sachverständigen aus der Europäischen</w:t>
      </w:r>
      <w:r w:rsidRPr="00C20C76">
        <w:rPr>
          <w:lang w:val="de-DE"/>
        </w:rPr>
        <w:t xml:space="preserve"> Union geleistete Arbeit zur </w:t>
      </w:r>
      <w:r w:rsidR="00C72CA6">
        <w:rPr>
          <w:lang w:val="de-DE"/>
        </w:rPr>
        <w:t>Sammlung</w:t>
      </w:r>
      <w:r w:rsidRPr="00C20C76">
        <w:rPr>
          <w:lang w:val="de-DE"/>
        </w:rPr>
        <w:t xml:space="preserve"> von Informationen über in Prüfung befindliche Anträge und bestehende Sorten für bestimmte Apfelmutationsgruppen unter den UPOV-Mitgliedern</w:t>
      </w:r>
      <w:r w:rsidR="009F5B32">
        <w:rPr>
          <w:lang w:val="de-DE"/>
        </w:rPr>
        <w:t xml:space="preserve"> wichtig ist und fortgesetzt werden sollte</w:t>
      </w:r>
      <w:r w:rsidRPr="00C20C76">
        <w:rPr>
          <w:lang w:val="de-DE"/>
        </w:rPr>
        <w:t xml:space="preserve">. </w:t>
      </w:r>
    </w:p>
    <w:p w14:paraId="2C29DD69" w14:textId="77777777" w:rsidR="009F5B32" w:rsidRDefault="009F5B32" w:rsidP="00167246">
      <w:pPr>
        <w:rPr>
          <w:lang w:val="de-DE"/>
        </w:rPr>
      </w:pPr>
    </w:p>
    <w:p w14:paraId="523AD646" w14:textId="08294476" w:rsidR="009F5B32" w:rsidRPr="008A36F8" w:rsidRDefault="009F5B32" w:rsidP="009F5B32">
      <w:pPr>
        <w:rPr>
          <w:lang w:val="de-DE"/>
        </w:rPr>
      </w:pPr>
      <w:r w:rsidRPr="00797949">
        <w:fldChar w:fldCharType="begin"/>
      </w:r>
      <w:r w:rsidRPr="008A36F8">
        <w:rPr>
          <w:lang w:val="de-DE"/>
        </w:rPr>
        <w:instrText xml:space="preserve"> AUTONUM  </w:instrText>
      </w:r>
      <w:r w:rsidRPr="00797949">
        <w:fldChar w:fldCharType="end"/>
      </w:r>
      <w:r w:rsidRPr="008A36F8">
        <w:rPr>
          <w:lang w:val="de-DE"/>
        </w:rPr>
        <w:tab/>
        <w:t xml:space="preserve">Die TWF prüfte </w:t>
      </w:r>
      <w:r w:rsidR="00CE3071">
        <w:rPr>
          <w:lang w:val="de-DE"/>
        </w:rPr>
        <w:t>mögliche Vertraulichkeitsfragen, die sich aus</w:t>
      </w:r>
      <w:r w:rsidRPr="008A36F8">
        <w:rPr>
          <w:lang w:val="de-DE"/>
        </w:rPr>
        <w:t xml:space="preserve"> </w:t>
      </w:r>
      <w:r w:rsidR="00CE3071">
        <w:rPr>
          <w:lang w:val="de-DE"/>
        </w:rPr>
        <w:t xml:space="preserve">der Offenlegung der </w:t>
      </w:r>
      <w:r w:rsidRPr="008A36F8">
        <w:rPr>
          <w:lang w:val="de-DE"/>
        </w:rPr>
        <w:t>Elternschaft einer geschützten Sorte</w:t>
      </w:r>
      <w:r w:rsidR="009F152F" w:rsidRPr="008A36F8">
        <w:rPr>
          <w:lang w:val="de-DE"/>
        </w:rPr>
        <w:t xml:space="preserve"> bei Austausch von </w:t>
      </w:r>
      <w:r w:rsidR="009F152F">
        <w:rPr>
          <w:lang w:val="de-DE"/>
        </w:rPr>
        <w:t>Daten zwischen</w:t>
      </w:r>
      <w:r w:rsidR="009F152F" w:rsidRPr="008A36F8">
        <w:rPr>
          <w:lang w:val="de-DE"/>
        </w:rPr>
        <w:t xml:space="preserve"> Sortenämtern</w:t>
      </w:r>
      <w:r w:rsidRPr="008A36F8">
        <w:rPr>
          <w:lang w:val="de-DE"/>
        </w:rPr>
        <w:t xml:space="preserve"> </w:t>
      </w:r>
      <w:r w:rsidR="009F152F">
        <w:rPr>
          <w:lang w:val="de-DE"/>
        </w:rPr>
        <w:t>und/oder der Veröffentlichung von Date</w:t>
      </w:r>
      <w:r w:rsidR="00CE3071">
        <w:rPr>
          <w:lang w:val="de-DE"/>
        </w:rPr>
        <w:t>n ergeben könnten</w:t>
      </w:r>
      <w:r w:rsidR="009F152F">
        <w:rPr>
          <w:lang w:val="de-DE"/>
        </w:rPr>
        <w:t xml:space="preserve">. </w:t>
      </w:r>
      <w:r w:rsidR="009F152F" w:rsidRPr="009F152F">
        <w:rPr>
          <w:lang w:val="de-DE"/>
        </w:rPr>
        <w:t>Die</w:t>
      </w:r>
      <w:r w:rsidRPr="008A36F8">
        <w:rPr>
          <w:lang w:val="de-DE"/>
        </w:rPr>
        <w:t xml:space="preserve"> TWF </w:t>
      </w:r>
      <w:r w:rsidR="009F152F" w:rsidRPr="008A36F8">
        <w:rPr>
          <w:lang w:val="de-DE"/>
        </w:rPr>
        <w:t xml:space="preserve">vereinbarte, </w:t>
      </w:r>
      <w:r w:rsidR="00CE3071" w:rsidRPr="008A36F8">
        <w:rPr>
          <w:lang w:val="de-DE"/>
        </w:rPr>
        <w:t>einen Experten aus Kanada</w:t>
      </w:r>
      <w:r w:rsidR="00CE3071" w:rsidRPr="009F152F">
        <w:rPr>
          <w:lang w:val="de-DE"/>
        </w:rPr>
        <w:t xml:space="preserve"> </w:t>
      </w:r>
      <w:r w:rsidR="00CE3071">
        <w:rPr>
          <w:lang w:val="de-DE"/>
        </w:rPr>
        <w:t xml:space="preserve">zu ersuchen, </w:t>
      </w:r>
      <w:r w:rsidR="009F152F" w:rsidRPr="008A36F8">
        <w:rPr>
          <w:lang w:val="de-DE"/>
        </w:rPr>
        <w:t>mit der Unterstützung Australien</w:t>
      </w:r>
      <w:r w:rsidR="00CE3071">
        <w:rPr>
          <w:lang w:val="de-DE"/>
        </w:rPr>
        <w:t>s</w:t>
      </w:r>
      <w:r w:rsidR="009F152F" w:rsidRPr="008A36F8">
        <w:rPr>
          <w:lang w:val="de-DE"/>
        </w:rPr>
        <w:t>, Brasilien</w:t>
      </w:r>
      <w:r w:rsidR="00CE3071">
        <w:rPr>
          <w:lang w:val="de-DE"/>
        </w:rPr>
        <w:t>s</w:t>
      </w:r>
      <w:r w:rsidR="009F152F" w:rsidRPr="008A36F8">
        <w:rPr>
          <w:lang w:val="de-DE"/>
        </w:rPr>
        <w:t>, der Europäischen Union, Frankreich</w:t>
      </w:r>
      <w:r w:rsidR="00CE3071">
        <w:rPr>
          <w:lang w:val="de-DE"/>
        </w:rPr>
        <w:t>s</w:t>
      </w:r>
      <w:r w:rsidR="009F152F" w:rsidRPr="008A36F8">
        <w:rPr>
          <w:lang w:val="de-DE"/>
        </w:rPr>
        <w:t>, Deutschland</w:t>
      </w:r>
      <w:r w:rsidR="00CE3071">
        <w:rPr>
          <w:lang w:val="de-DE"/>
        </w:rPr>
        <w:t>s</w:t>
      </w:r>
      <w:r w:rsidR="009F152F" w:rsidRPr="008A36F8">
        <w:rPr>
          <w:lang w:val="de-DE"/>
        </w:rPr>
        <w:t xml:space="preserve"> und Japan</w:t>
      </w:r>
      <w:r w:rsidR="00CE3071">
        <w:rPr>
          <w:lang w:val="de-DE"/>
        </w:rPr>
        <w:t>s</w:t>
      </w:r>
      <w:r w:rsidR="009F152F">
        <w:rPr>
          <w:lang w:val="de-DE"/>
        </w:rPr>
        <w:t xml:space="preserve"> mögliche Vertraulichkeits</w:t>
      </w:r>
      <w:r w:rsidR="0069762D">
        <w:rPr>
          <w:lang w:val="de-DE"/>
        </w:rPr>
        <w:t>auflagen</w:t>
      </w:r>
      <w:r w:rsidR="009F152F">
        <w:rPr>
          <w:lang w:val="de-DE"/>
        </w:rPr>
        <w:t xml:space="preserve"> zu ermitteln</w:t>
      </w:r>
      <w:r w:rsidR="0069762D">
        <w:rPr>
          <w:lang w:val="de-DE"/>
        </w:rPr>
        <w:t>,</w:t>
      </w:r>
      <w:r w:rsidR="009F152F">
        <w:rPr>
          <w:lang w:val="de-DE"/>
        </w:rPr>
        <w:t xml:space="preserve"> und die Erkenntnisse in Form eines </w:t>
      </w:r>
      <w:proofErr w:type="spellStart"/>
      <w:r w:rsidR="009F152F">
        <w:rPr>
          <w:lang w:val="de-DE"/>
        </w:rPr>
        <w:t>Refererats</w:t>
      </w:r>
      <w:proofErr w:type="spellEnd"/>
      <w:r w:rsidR="009F152F">
        <w:rPr>
          <w:lang w:val="de-DE"/>
        </w:rPr>
        <w:t xml:space="preserve"> auf </w:t>
      </w:r>
      <w:r w:rsidR="00CE3071">
        <w:rPr>
          <w:lang w:val="de-DE"/>
        </w:rPr>
        <w:t xml:space="preserve">ihrer dreiundfünfzigsten Tagung mit der </w:t>
      </w:r>
      <w:r w:rsidR="009F152F">
        <w:rPr>
          <w:lang w:val="de-DE"/>
        </w:rPr>
        <w:t xml:space="preserve">TWF zu teilen. </w:t>
      </w:r>
      <w:r w:rsidR="009F152F" w:rsidRPr="009F152F">
        <w:rPr>
          <w:lang w:val="de-DE"/>
        </w:rPr>
        <w:t>Die TWF kam überein, dass</w:t>
      </w:r>
      <w:r w:rsidR="009F152F" w:rsidRPr="008A36F8">
        <w:rPr>
          <w:lang w:val="de-DE"/>
        </w:rPr>
        <w:t xml:space="preserve"> das Dokument mit de</w:t>
      </w:r>
      <w:r w:rsidR="009F152F">
        <w:rPr>
          <w:lang w:val="de-DE"/>
        </w:rPr>
        <w:t>n</w:t>
      </w:r>
      <w:r w:rsidR="009F152F" w:rsidRPr="008A36F8">
        <w:rPr>
          <w:lang w:val="de-DE"/>
        </w:rPr>
        <w:t xml:space="preserve"> unter UPOV-Mitgliedern gesammelten Informationen</w:t>
      </w:r>
      <w:r w:rsidR="009F152F">
        <w:rPr>
          <w:lang w:val="de-DE"/>
        </w:rPr>
        <w:t xml:space="preserve"> nicht veröffentlicht </w:t>
      </w:r>
      <w:r w:rsidR="00CE3071">
        <w:rPr>
          <w:lang w:val="de-DE"/>
        </w:rPr>
        <w:t xml:space="preserve">werden </w:t>
      </w:r>
      <w:r w:rsidR="009F152F">
        <w:rPr>
          <w:lang w:val="de-DE"/>
        </w:rPr>
        <w:t>wird</w:t>
      </w:r>
      <w:r w:rsidR="00CE3071">
        <w:rPr>
          <w:lang w:val="de-DE"/>
        </w:rPr>
        <w:t>, solange die Vertraulichkeitsfrage nicht geklärt ist</w:t>
      </w:r>
      <w:r w:rsidRPr="008A36F8">
        <w:rPr>
          <w:lang w:val="de-DE"/>
        </w:rPr>
        <w:t>.</w:t>
      </w:r>
    </w:p>
    <w:p w14:paraId="363B20E2" w14:textId="77777777" w:rsidR="009F5B32" w:rsidRPr="008A36F8" w:rsidRDefault="009F5B32" w:rsidP="009F5B32">
      <w:pPr>
        <w:rPr>
          <w:lang w:val="de-DE"/>
        </w:rPr>
      </w:pPr>
    </w:p>
    <w:p w14:paraId="156955B2" w14:textId="4E3B2860" w:rsidR="009F5B32" w:rsidRDefault="009F5B32" w:rsidP="009F5B32">
      <w:pPr>
        <w:rPr>
          <w:lang w:val="de-DE"/>
        </w:rPr>
      </w:pPr>
      <w:r w:rsidRPr="000035F9">
        <w:fldChar w:fldCharType="begin"/>
      </w:r>
      <w:r w:rsidRPr="008A36F8">
        <w:rPr>
          <w:lang w:val="de-DE"/>
        </w:rPr>
        <w:instrText xml:space="preserve"> AUTONUM  </w:instrText>
      </w:r>
      <w:r w:rsidRPr="000035F9">
        <w:fldChar w:fldCharType="end"/>
      </w:r>
      <w:r w:rsidRPr="008A36F8">
        <w:rPr>
          <w:lang w:val="de-DE"/>
        </w:rPr>
        <w:tab/>
      </w:r>
      <w:r w:rsidR="006403E8" w:rsidRPr="008A36F8">
        <w:rPr>
          <w:lang w:val="de-DE"/>
        </w:rPr>
        <w:t>Die</w:t>
      </w:r>
      <w:r w:rsidRPr="008A36F8">
        <w:rPr>
          <w:lang w:val="de-DE"/>
        </w:rPr>
        <w:t xml:space="preserve"> TWF </w:t>
      </w:r>
      <w:r w:rsidR="006403E8" w:rsidRPr="008A36F8">
        <w:rPr>
          <w:lang w:val="de-DE"/>
        </w:rPr>
        <w:t>vereinbarte, die oben genannte Sachverständigengruppe</w:t>
      </w:r>
      <w:r w:rsidRPr="008A36F8">
        <w:rPr>
          <w:lang w:val="de-DE"/>
        </w:rPr>
        <w:t xml:space="preserve"> </w:t>
      </w:r>
      <w:r w:rsidR="006403E8" w:rsidRPr="008A36F8">
        <w:rPr>
          <w:lang w:val="de-DE"/>
        </w:rPr>
        <w:t xml:space="preserve">zu ersuchen, die Möglichkeit </w:t>
      </w:r>
      <w:r w:rsidR="006907D0">
        <w:rPr>
          <w:lang w:val="de-DE"/>
        </w:rPr>
        <w:t xml:space="preserve">Informationen an UPOV-Code </w:t>
      </w:r>
      <w:r w:rsidR="00D0180C">
        <w:rPr>
          <w:lang w:val="de-DE"/>
        </w:rPr>
        <w:t>anzufügen</w:t>
      </w:r>
      <w:r w:rsidR="0069762D">
        <w:rPr>
          <w:lang w:val="de-DE"/>
        </w:rPr>
        <w:t>,</w:t>
      </w:r>
      <w:r w:rsidR="00261034">
        <w:rPr>
          <w:lang w:val="de-DE"/>
        </w:rPr>
        <w:t xml:space="preserve"> um die Ermittlung von </w:t>
      </w:r>
      <w:r w:rsidR="00261034" w:rsidRPr="008A36F8">
        <w:rPr>
          <w:lang w:val="de-DE"/>
        </w:rPr>
        <w:t>Apfelsortengruppen</w:t>
      </w:r>
      <w:r w:rsidR="00261034">
        <w:rPr>
          <w:lang w:val="de-DE"/>
        </w:rPr>
        <w:t xml:space="preserve"> anzugehen</w:t>
      </w:r>
      <w:r w:rsidR="0069762D">
        <w:rPr>
          <w:lang w:val="de-DE"/>
        </w:rPr>
        <w:t>, auszuloten</w:t>
      </w:r>
      <w:r w:rsidRPr="008A36F8">
        <w:rPr>
          <w:lang w:val="de-DE"/>
        </w:rPr>
        <w:t>.</w:t>
      </w:r>
    </w:p>
    <w:p w14:paraId="12EF291A" w14:textId="5AF314FD" w:rsidR="00A21167" w:rsidRDefault="00A21167" w:rsidP="009F5B32">
      <w:pPr>
        <w:rPr>
          <w:lang w:val="de-DE"/>
        </w:rPr>
      </w:pPr>
    </w:p>
    <w:p w14:paraId="3F6ED8C1" w14:textId="73F04B77" w:rsidR="00A21167" w:rsidRDefault="00A21167" w:rsidP="00A21167">
      <w:pPr>
        <w:rPr>
          <w:lang w:val="de-DE"/>
        </w:rPr>
      </w:pPr>
      <w:r w:rsidRPr="000035F9">
        <w:fldChar w:fldCharType="begin"/>
      </w:r>
      <w:r w:rsidRPr="008A36F8">
        <w:rPr>
          <w:lang w:val="de-DE"/>
        </w:rPr>
        <w:instrText xml:space="preserve"> AUTONUM  </w:instrText>
      </w:r>
      <w:r w:rsidRPr="000035F9">
        <w:fldChar w:fldCharType="end"/>
      </w:r>
      <w:r w:rsidRPr="008A36F8">
        <w:rPr>
          <w:lang w:val="de-DE"/>
        </w:rPr>
        <w:tab/>
      </w:r>
      <w:r w:rsidR="00EF2CC5">
        <w:rPr>
          <w:lang w:val="de-DE"/>
        </w:rPr>
        <w:t>Die</w:t>
      </w:r>
      <w:r w:rsidRPr="008A36F8">
        <w:rPr>
          <w:lang w:val="de-DE"/>
        </w:rPr>
        <w:t xml:space="preserve"> TWF vereinbarte, die oben genannte Sachverständigengruppe zu ersuchen, zu prüfen in welcher Form die Informationen über in Prüfung befindliche Anträge und bestehende Sorten für bestimmte Apfelmutationsgruppen verfügbar </w:t>
      </w:r>
      <w:r>
        <w:rPr>
          <w:lang w:val="de-DE"/>
        </w:rPr>
        <w:t xml:space="preserve">gemacht werden sollte, </w:t>
      </w:r>
      <w:r w:rsidR="00EF2CC5">
        <w:rPr>
          <w:lang w:val="de-DE"/>
        </w:rPr>
        <w:t>etwa</w:t>
      </w:r>
      <w:r>
        <w:rPr>
          <w:lang w:val="de-DE"/>
        </w:rPr>
        <w:t xml:space="preserve"> durch die Einrichtung einer speziellen Datenbank, </w:t>
      </w:r>
      <w:proofErr w:type="spellStart"/>
      <w:r>
        <w:rPr>
          <w:lang w:val="de-DE"/>
        </w:rPr>
        <w:t>UPOV’s</w:t>
      </w:r>
      <w:proofErr w:type="spellEnd"/>
      <w:r>
        <w:rPr>
          <w:lang w:val="de-DE"/>
        </w:rPr>
        <w:t xml:space="preserve"> PLUTO Datenbank, oder </w:t>
      </w:r>
      <w:r w:rsidR="001E4C3E">
        <w:rPr>
          <w:lang w:val="de-DE"/>
        </w:rPr>
        <w:t xml:space="preserve">Veröffentlichung auf </w:t>
      </w:r>
      <w:proofErr w:type="spellStart"/>
      <w:r w:rsidR="00261034">
        <w:rPr>
          <w:lang w:val="de-DE"/>
        </w:rPr>
        <w:t>UPOV’s</w:t>
      </w:r>
      <w:proofErr w:type="spellEnd"/>
      <w:r w:rsidR="00261034">
        <w:rPr>
          <w:lang w:val="de-DE"/>
        </w:rPr>
        <w:t xml:space="preserve"> </w:t>
      </w:r>
      <w:r w:rsidR="00EF2CC5">
        <w:rPr>
          <w:lang w:val="de-DE"/>
        </w:rPr>
        <w:t>Website</w:t>
      </w:r>
      <w:r w:rsidR="001E4C3E">
        <w:rPr>
          <w:lang w:val="de-DE"/>
        </w:rPr>
        <w:t>.</w:t>
      </w:r>
      <w:r w:rsidRPr="008A36F8">
        <w:rPr>
          <w:lang w:val="de-DE"/>
        </w:rPr>
        <w:t xml:space="preserve"> </w:t>
      </w:r>
    </w:p>
    <w:p w14:paraId="68B48EC1" w14:textId="526C85B5" w:rsidR="001E4C3E" w:rsidRDefault="001E4C3E" w:rsidP="00A21167">
      <w:pPr>
        <w:rPr>
          <w:lang w:val="de-DE"/>
        </w:rPr>
      </w:pPr>
    </w:p>
    <w:p w14:paraId="28525BD4" w14:textId="77777777" w:rsidR="00171ED5" w:rsidRDefault="00171ED5" w:rsidP="00A21167">
      <w:pPr>
        <w:rPr>
          <w:lang w:val="de-DE"/>
        </w:rPr>
      </w:pPr>
    </w:p>
    <w:p w14:paraId="2DAE62C4" w14:textId="3BB9C738" w:rsidR="001E4C3E" w:rsidRPr="0034010D" w:rsidRDefault="001E4C3E" w:rsidP="00A21167">
      <w:pPr>
        <w:rPr>
          <w:u w:val="single"/>
          <w:lang w:val="de-DE"/>
        </w:rPr>
      </w:pPr>
      <w:r w:rsidRPr="0034010D">
        <w:rPr>
          <w:u w:val="single"/>
          <w:lang w:val="de-DE"/>
        </w:rPr>
        <w:t>Verwendung von Krankheitsresistenzmerkmalen</w:t>
      </w:r>
    </w:p>
    <w:p w14:paraId="29D83075" w14:textId="77777777" w:rsidR="00A63229" w:rsidRPr="00C20C76" w:rsidRDefault="00A63229" w:rsidP="00167246">
      <w:pPr>
        <w:rPr>
          <w:lang w:val="de-DE"/>
        </w:rPr>
      </w:pPr>
    </w:p>
    <w:p w14:paraId="51289FF4" w14:textId="65554661" w:rsidR="001E4C3E" w:rsidRDefault="00A63229" w:rsidP="00167246">
      <w:pPr>
        <w:rPr>
          <w:lang w:val="de-DE"/>
        </w:rPr>
      </w:pPr>
      <w:r w:rsidRPr="00C20C76">
        <w:rPr>
          <w:lang w:val="de-DE"/>
        </w:rPr>
        <w:fldChar w:fldCharType="begin"/>
      </w:r>
      <w:r w:rsidRPr="00C20C76">
        <w:rPr>
          <w:lang w:val="de-DE"/>
        </w:rPr>
        <w:instrText xml:space="preserve"> AUTONUM  </w:instrText>
      </w:r>
      <w:r w:rsidRPr="00C20C76">
        <w:rPr>
          <w:lang w:val="de-DE"/>
        </w:rPr>
        <w:fldChar w:fldCharType="end"/>
      </w:r>
      <w:r w:rsidRPr="00C20C76">
        <w:rPr>
          <w:lang w:val="de-DE"/>
        </w:rPr>
        <w:tab/>
        <w:t xml:space="preserve">Die </w:t>
      </w:r>
      <w:r w:rsidR="001E4C3E" w:rsidRPr="008A36F8">
        <w:rPr>
          <w:lang w:val="de-DE"/>
        </w:rPr>
        <w:t>TWV</w:t>
      </w:r>
      <w:r w:rsidR="001E4C3E">
        <w:rPr>
          <w:rStyle w:val="FootnoteReference"/>
          <w:rFonts w:cs="Arial"/>
          <w:snapToGrid w:val="0"/>
        </w:rPr>
        <w:footnoteReference w:id="10"/>
      </w:r>
      <w:r w:rsidR="001E4C3E" w:rsidRPr="008A36F8">
        <w:rPr>
          <w:lang w:val="de-DE"/>
        </w:rPr>
        <w:t xml:space="preserve"> </w:t>
      </w:r>
      <w:r w:rsidR="0034010D">
        <w:rPr>
          <w:lang w:val="de-DE"/>
        </w:rPr>
        <w:t>erinnerte an die Einladung an die</w:t>
      </w:r>
      <w:r w:rsidR="001E4C3E">
        <w:rPr>
          <w:lang w:val="de-DE"/>
        </w:rPr>
        <w:t xml:space="preserve"> Sachverständigen aus Frankreich und den Niederlanden</w:t>
      </w:r>
      <w:r w:rsidR="0034010D">
        <w:rPr>
          <w:lang w:val="de-DE"/>
        </w:rPr>
        <w:t xml:space="preserve">, </w:t>
      </w:r>
      <w:r w:rsidR="0069762D">
        <w:rPr>
          <w:lang w:val="de-DE"/>
        </w:rPr>
        <w:t>deren</w:t>
      </w:r>
      <w:r w:rsidR="0034010D">
        <w:rPr>
          <w:lang w:val="de-DE"/>
        </w:rPr>
        <w:t xml:space="preserve"> derzeitige Praxis </w:t>
      </w:r>
      <w:r w:rsidR="001E4C3E">
        <w:rPr>
          <w:lang w:val="de-DE"/>
        </w:rPr>
        <w:t xml:space="preserve">hinsichtlich der Verwendung von Krankheitsresistenzmerkmalen (mit mittlerer Ausprägung) auf </w:t>
      </w:r>
      <w:r w:rsidR="0069762D">
        <w:rPr>
          <w:lang w:val="de-DE"/>
        </w:rPr>
        <w:t>ihrer</w:t>
      </w:r>
      <w:r w:rsidR="001E4C3E">
        <w:rPr>
          <w:lang w:val="de-DE"/>
        </w:rPr>
        <w:t xml:space="preserve"> sechsundfünfzigsten Tagung </w:t>
      </w:r>
      <w:r w:rsidR="0034010D">
        <w:rPr>
          <w:lang w:val="de-DE"/>
        </w:rPr>
        <w:t>vorzustellen.</w:t>
      </w:r>
      <w:r w:rsidR="001E4C3E">
        <w:rPr>
          <w:lang w:val="de-DE"/>
        </w:rPr>
        <w:t xml:space="preserve"> Die TWV nahm das Angebot des Internationalen Saatgutverbands</w:t>
      </w:r>
      <w:r w:rsidR="0069762D">
        <w:rPr>
          <w:lang w:val="de-DE"/>
        </w:rPr>
        <w:t xml:space="preserve"> zur Kenntnis</w:t>
      </w:r>
      <w:r w:rsidR="0034010D">
        <w:rPr>
          <w:lang w:val="de-DE"/>
        </w:rPr>
        <w:t>,</w:t>
      </w:r>
      <w:r w:rsidR="001E4C3E">
        <w:rPr>
          <w:lang w:val="de-DE"/>
        </w:rPr>
        <w:t xml:space="preserve"> </w:t>
      </w:r>
      <w:r w:rsidR="008E11ED">
        <w:rPr>
          <w:lang w:val="de-DE"/>
        </w:rPr>
        <w:t xml:space="preserve">auf ihrer sechsundfünfzigsten Tagung ein Referat über den Standpunkt </w:t>
      </w:r>
      <w:r w:rsidR="001E4C3E">
        <w:rPr>
          <w:lang w:val="de-DE"/>
        </w:rPr>
        <w:t xml:space="preserve">der </w:t>
      </w:r>
      <w:r w:rsidR="0034010D">
        <w:rPr>
          <w:lang w:val="de-DE"/>
        </w:rPr>
        <w:t xml:space="preserve">Saatgutbranche für </w:t>
      </w:r>
      <w:r w:rsidR="001E4C3E">
        <w:rPr>
          <w:lang w:val="de-DE"/>
        </w:rPr>
        <w:t>Gemüse</w:t>
      </w:r>
      <w:r w:rsidR="0034010D">
        <w:rPr>
          <w:lang w:val="de-DE"/>
        </w:rPr>
        <w:t>züchtungen</w:t>
      </w:r>
      <w:r w:rsidR="001E4C3E">
        <w:rPr>
          <w:lang w:val="de-DE"/>
        </w:rPr>
        <w:t xml:space="preserve"> </w:t>
      </w:r>
      <w:r w:rsidR="008E11ED">
        <w:rPr>
          <w:lang w:val="de-DE"/>
        </w:rPr>
        <w:t>zu</w:t>
      </w:r>
      <w:r w:rsidR="0034010D">
        <w:rPr>
          <w:lang w:val="de-DE"/>
        </w:rPr>
        <w:t xml:space="preserve"> der</w:t>
      </w:r>
      <w:r w:rsidR="001E4C3E">
        <w:rPr>
          <w:lang w:val="de-DE"/>
        </w:rPr>
        <w:t xml:space="preserve"> für Krankheitsresistenzmerkmale verwendeten Terminologie </w:t>
      </w:r>
      <w:r w:rsidR="0069762D">
        <w:rPr>
          <w:lang w:val="de-DE"/>
        </w:rPr>
        <w:t xml:space="preserve">zu halten </w:t>
      </w:r>
      <w:r w:rsidR="001E4C3E">
        <w:rPr>
          <w:lang w:val="de-DE"/>
        </w:rPr>
        <w:t>(vergleiche Dokument TWV/55/16 „Report“, Absätze 38, 40 und 41).</w:t>
      </w:r>
    </w:p>
    <w:p w14:paraId="47B1D55E" w14:textId="46142994" w:rsidR="00F91735" w:rsidRDefault="00F91735" w:rsidP="00167246">
      <w:pPr>
        <w:rPr>
          <w:lang w:val="de-DE"/>
        </w:rPr>
      </w:pPr>
    </w:p>
    <w:p w14:paraId="51B62248" w14:textId="57688C5E" w:rsidR="00F91735" w:rsidRPr="008A36F8" w:rsidRDefault="00F91735" w:rsidP="00F91735">
      <w:pPr>
        <w:rPr>
          <w:lang w:val="de-DE"/>
        </w:rPr>
      </w:pPr>
      <w:r w:rsidRPr="00113E52">
        <w:fldChar w:fldCharType="begin"/>
      </w:r>
      <w:r w:rsidRPr="008A36F8">
        <w:rPr>
          <w:lang w:val="de-DE"/>
        </w:rPr>
        <w:instrText xml:space="preserve"> AUTONUM  </w:instrText>
      </w:r>
      <w:r w:rsidRPr="00113E52">
        <w:fldChar w:fldCharType="end"/>
      </w:r>
      <w:r w:rsidRPr="008A36F8">
        <w:rPr>
          <w:lang w:val="de-DE"/>
        </w:rPr>
        <w:tab/>
        <w:t>Die TWV hörte ein Referat über “</w:t>
      </w:r>
      <w:proofErr w:type="spellStart"/>
      <w:r w:rsidRPr="008A36F8">
        <w:rPr>
          <w:lang w:val="de-DE"/>
        </w:rPr>
        <w:t>Harmorescoll</w:t>
      </w:r>
      <w:proofErr w:type="spellEnd"/>
      <w:r w:rsidRPr="008A36F8">
        <w:rPr>
          <w:lang w:val="de-DE"/>
        </w:rPr>
        <w:t xml:space="preserve"> – Auf </w:t>
      </w:r>
      <w:r w:rsidR="008E11ED">
        <w:rPr>
          <w:lang w:val="de-DE"/>
        </w:rPr>
        <w:t xml:space="preserve">dem Weg zu einer einheitlichen </w:t>
      </w:r>
      <w:proofErr w:type="spellStart"/>
      <w:r w:rsidR="008E11ED">
        <w:rPr>
          <w:lang w:val="de-DE"/>
        </w:rPr>
        <w:t>Samlung</w:t>
      </w:r>
      <w:proofErr w:type="spellEnd"/>
      <w:r w:rsidR="008E11ED">
        <w:rPr>
          <w:lang w:val="de-DE"/>
        </w:rPr>
        <w:t xml:space="preserve"> </w:t>
      </w:r>
      <w:r w:rsidRPr="008A36F8">
        <w:rPr>
          <w:lang w:val="de-DE"/>
        </w:rPr>
        <w:t xml:space="preserve">von Referenzmaterial für </w:t>
      </w:r>
      <w:r w:rsidR="008E11ED">
        <w:rPr>
          <w:lang w:val="de-DE"/>
        </w:rPr>
        <w:t xml:space="preserve">DUS-Krankheitsresistenzprüfungen auf europäischer Ebene“ </w:t>
      </w:r>
      <w:r w:rsidRPr="008A36F8">
        <w:rPr>
          <w:lang w:val="de-DE"/>
        </w:rPr>
        <w:t xml:space="preserve">von einem Sachverständigen aus Frankreich. </w:t>
      </w:r>
      <w:r>
        <w:rPr>
          <w:lang w:val="de-DE"/>
        </w:rPr>
        <w:t>Eine Abschrift des Referats is</w:t>
      </w:r>
      <w:r w:rsidR="008E11ED">
        <w:rPr>
          <w:lang w:val="de-DE"/>
        </w:rPr>
        <w:t>t</w:t>
      </w:r>
      <w:r>
        <w:rPr>
          <w:lang w:val="de-DE"/>
        </w:rPr>
        <w:t xml:space="preserve"> in Dokument</w:t>
      </w:r>
      <w:r w:rsidRPr="008A36F8">
        <w:rPr>
          <w:lang w:val="de-DE"/>
        </w:rPr>
        <w:t xml:space="preserve"> TWV/55/6 enthalten. Die TWV vereinbarte, den Sachverständigen aus Frankreich zu ersuchen, </w:t>
      </w:r>
      <w:r>
        <w:rPr>
          <w:lang w:val="de-DE"/>
        </w:rPr>
        <w:t xml:space="preserve">auf ihrer sechsundfünfzigsten Tagung </w:t>
      </w:r>
      <w:r w:rsidRPr="008A36F8">
        <w:rPr>
          <w:lang w:val="de-DE"/>
        </w:rPr>
        <w:t xml:space="preserve">über weitere Fortschritte </w:t>
      </w:r>
      <w:r w:rsidR="008E11ED">
        <w:rPr>
          <w:lang w:val="de-DE"/>
        </w:rPr>
        <w:t>des</w:t>
      </w:r>
      <w:r w:rsidRPr="008A36F8">
        <w:rPr>
          <w:lang w:val="de-DE"/>
        </w:rPr>
        <w:t xml:space="preserve"> </w:t>
      </w:r>
      <w:proofErr w:type="spellStart"/>
      <w:r w:rsidRPr="008A36F8">
        <w:rPr>
          <w:lang w:val="de-DE"/>
        </w:rPr>
        <w:t>Harmorescoll</w:t>
      </w:r>
      <w:proofErr w:type="spellEnd"/>
      <w:r w:rsidRPr="008A36F8">
        <w:rPr>
          <w:lang w:val="de-DE"/>
        </w:rPr>
        <w:t xml:space="preserve"> </w:t>
      </w:r>
      <w:r>
        <w:rPr>
          <w:lang w:val="de-DE"/>
        </w:rPr>
        <w:t>Projekt</w:t>
      </w:r>
      <w:r w:rsidR="008E11ED">
        <w:rPr>
          <w:lang w:val="de-DE"/>
        </w:rPr>
        <w:t>s</w:t>
      </w:r>
      <w:r>
        <w:rPr>
          <w:lang w:val="de-DE"/>
        </w:rPr>
        <w:t xml:space="preserve"> zu berichten. Die</w:t>
      </w:r>
      <w:r w:rsidRPr="008A36F8">
        <w:rPr>
          <w:lang w:val="de-DE"/>
        </w:rPr>
        <w:t xml:space="preserve"> TWV nahm das Interesse von Mitgliedern außerhalb der Europäischen Union zur Kenntnis und vereinbarte, </w:t>
      </w:r>
      <w:r>
        <w:rPr>
          <w:lang w:val="de-DE"/>
        </w:rPr>
        <w:t xml:space="preserve">den </w:t>
      </w:r>
      <w:r w:rsidRPr="008A36F8">
        <w:rPr>
          <w:lang w:val="de-DE"/>
        </w:rPr>
        <w:t xml:space="preserve">Zugang zu </w:t>
      </w:r>
      <w:r w:rsidR="008E11ED">
        <w:rPr>
          <w:lang w:val="de-DE"/>
        </w:rPr>
        <w:t>Material von</w:t>
      </w:r>
      <w:r>
        <w:rPr>
          <w:lang w:val="de-DE"/>
        </w:rPr>
        <w:t xml:space="preserve"> </w:t>
      </w:r>
      <w:proofErr w:type="spellStart"/>
      <w:r w:rsidRPr="005672D7">
        <w:rPr>
          <w:lang w:val="de-DE"/>
        </w:rPr>
        <w:t>Harmorescoll</w:t>
      </w:r>
      <w:proofErr w:type="spellEnd"/>
      <w:r w:rsidRPr="00F91735">
        <w:rPr>
          <w:lang w:val="de-DE"/>
        </w:rPr>
        <w:t xml:space="preserve"> </w:t>
      </w:r>
      <w:r w:rsidR="008E11ED">
        <w:rPr>
          <w:lang w:val="de-DE"/>
        </w:rPr>
        <w:t>erneut</w:t>
      </w:r>
      <w:r>
        <w:rPr>
          <w:lang w:val="de-DE"/>
        </w:rPr>
        <w:t xml:space="preserve"> zu prüfen. </w:t>
      </w:r>
    </w:p>
    <w:p w14:paraId="0E8BDB60" w14:textId="77777777" w:rsidR="00F91735" w:rsidRPr="00F91735" w:rsidRDefault="00F91735" w:rsidP="00167246">
      <w:pPr>
        <w:rPr>
          <w:lang w:val="de-DE"/>
        </w:rPr>
      </w:pPr>
    </w:p>
    <w:p w14:paraId="71D71DFE" w14:textId="7F6FF911" w:rsidR="00A63229" w:rsidRPr="00C20C76" w:rsidRDefault="00A63229" w:rsidP="00933320">
      <w:pPr>
        <w:rPr>
          <w:lang w:val="de-DE"/>
        </w:rPr>
      </w:pPr>
      <w:r w:rsidRPr="00C20C76">
        <w:rPr>
          <w:lang w:val="de-DE"/>
        </w:rPr>
        <w:fldChar w:fldCharType="begin"/>
      </w:r>
      <w:r w:rsidRPr="00C20C76">
        <w:rPr>
          <w:lang w:val="de-DE"/>
        </w:rPr>
        <w:instrText xml:space="preserve"> AUTONUM  </w:instrText>
      </w:r>
      <w:r w:rsidRPr="00C20C76">
        <w:rPr>
          <w:lang w:val="de-DE"/>
        </w:rPr>
        <w:fldChar w:fldCharType="end"/>
      </w:r>
      <w:r w:rsidRPr="00C20C76">
        <w:rPr>
          <w:lang w:val="de-DE"/>
        </w:rPr>
        <w:tab/>
        <w:t>Die TW</w:t>
      </w:r>
      <w:r w:rsidR="00171ED5">
        <w:rPr>
          <w:lang w:val="de-DE"/>
        </w:rPr>
        <w:t>V</w:t>
      </w:r>
      <w:r w:rsidRPr="00C20C76">
        <w:rPr>
          <w:lang w:val="de-DE"/>
        </w:rPr>
        <w:t xml:space="preserve"> </w:t>
      </w:r>
      <w:r w:rsidR="003D11B4">
        <w:rPr>
          <w:lang w:val="de-DE"/>
        </w:rPr>
        <w:t>war sich einig</w:t>
      </w:r>
      <w:r w:rsidRPr="00C20C76">
        <w:rPr>
          <w:lang w:val="de-DE"/>
        </w:rPr>
        <w:t>, da</w:t>
      </w:r>
      <w:r w:rsidR="0042402F" w:rsidRPr="00C20C76">
        <w:rPr>
          <w:lang w:val="de-DE"/>
        </w:rPr>
        <w:t>ss</w:t>
      </w:r>
      <w:r w:rsidRPr="00C20C76">
        <w:rPr>
          <w:lang w:val="de-DE"/>
        </w:rPr>
        <w:t xml:space="preserve"> </w:t>
      </w:r>
      <w:r w:rsidR="003D11B4">
        <w:rPr>
          <w:lang w:val="de-DE"/>
        </w:rPr>
        <w:t xml:space="preserve">der </w:t>
      </w:r>
      <w:r w:rsidR="00F91735">
        <w:rPr>
          <w:lang w:val="de-DE"/>
        </w:rPr>
        <w:t>Zugang zu Referenzmaterial</w:t>
      </w:r>
      <w:r w:rsidR="003D11B4">
        <w:rPr>
          <w:lang w:val="de-DE"/>
        </w:rPr>
        <w:t>ien</w:t>
      </w:r>
      <w:r w:rsidR="00F91735">
        <w:rPr>
          <w:lang w:val="de-DE"/>
        </w:rPr>
        <w:t xml:space="preserve"> und </w:t>
      </w:r>
      <w:r w:rsidR="003D11B4">
        <w:rPr>
          <w:lang w:val="de-DE"/>
        </w:rPr>
        <w:t xml:space="preserve">die </w:t>
      </w:r>
      <w:r w:rsidR="008E11ED">
        <w:rPr>
          <w:lang w:val="de-DE"/>
        </w:rPr>
        <w:t xml:space="preserve">Verfügbarkeit von </w:t>
      </w:r>
      <w:r w:rsidR="00F91735">
        <w:rPr>
          <w:lang w:val="de-DE"/>
        </w:rPr>
        <w:t>Kontrolls</w:t>
      </w:r>
      <w:r w:rsidR="008E11ED">
        <w:rPr>
          <w:lang w:val="de-DE"/>
        </w:rPr>
        <w:t>orten</w:t>
      </w:r>
      <w:r w:rsidR="00F91735">
        <w:rPr>
          <w:lang w:val="de-DE"/>
        </w:rPr>
        <w:t xml:space="preserve"> bei der</w:t>
      </w:r>
      <w:r w:rsidRPr="00C20C76">
        <w:rPr>
          <w:lang w:val="de-DE"/>
        </w:rPr>
        <w:t xml:space="preserve"> DUS-Prüfung </w:t>
      </w:r>
      <w:r w:rsidR="00F91735">
        <w:rPr>
          <w:lang w:val="de-DE"/>
        </w:rPr>
        <w:t xml:space="preserve">von </w:t>
      </w:r>
      <w:r w:rsidR="00933320">
        <w:rPr>
          <w:lang w:val="de-DE"/>
        </w:rPr>
        <w:t>Krankheitsresistenzmerkmalen</w:t>
      </w:r>
      <w:r w:rsidR="003D11B4">
        <w:rPr>
          <w:lang w:val="de-DE"/>
        </w:rPr>
        <w:t xml:space="preserve"> entscheidend sind</w:t>
      </w:r>
      <w:r w:rsidR="00933320">
        <w:rPr>
          <w:lang w:val="de-DE"/>
        </w:rPr>
        <w:t xml:space="preserve">. </w:t>
      </w:r>
      <w:r w:rsidR="003D11B4">
        <w:rPr>
          <w:lang w:val="de-DE"/>
        </w:rPr>
        <w:t xml:space="preserve">Sie war sich ebenfalls einig, </w:t>
      </w:r>
      <w:r w:rsidR="00933320">
        <w:rPr>
          <w:lang w:val="de-DE"/>
        </w:rPr>
        <w:t xml:space="preserve">dass die Verfügbarkeit von </w:t>
      </w:r>
      <w:proofErr w:type="spellStart"/>
      <w:r w:rsidR="00933320">
        <w:rPr>
          <w:lang w:val="de-DE"/>
        </w:rPr>
        <w:t>Inokul</w:t>
      </w:r>
      <w:r w:rsidR="003D11B4">
        <w:rPr>
          <w:lang w:val="de-DE"/>
        </w:rPr>
        <w:t>a</w:t>
      </w:r>
      <w:proofErr w:type="spellEnd"/>
      <w:r w:rsidR="00933320">
        <w:rPr>
          <w:lang w:val="de-DE"/>
        </w:rPr>
        <w:t xml:space="preserve">, Beispielsorten und Kontrollsorten für Krankheitsresistenzmerkmale </w:t>
      </w:r>
      <w:r w:rsidR="003D11B4">
        <w:rPr>
          <w:lang w:val="de-DE"/>
        </w:rPr>
        <w:t>bei der Überarbeitung oder dem Entwurf von Prüfungsrichtlinien ge</w:t>
      </w:r>
      <w:r w:rsidR="00933320">
        <w:rPr>
          <w:lang w:val="de-DE"/>
        </w:rPr>
        <w:t>prüft und aktualisiert werden soll</w:t>
      </w:r>
      <w:r w:rsidR="003D11B4">
        <w:rPr>
          <w:lang w:val="de-DE"/>
        </w:rPr>
        <w:t>te</w:t>
      </w:r>
      <w:r w:rsidR="00933320">
        <w:rPr>
          <w:lang w:val="de-DE"/>
        </w:rPr>
        <w:t>.</w:t>
      </w:r>
    </w:p>
    <w:p w14:paraId="64A68E29" w14:textId="77777777" w:rsidR="00D035F3" w:rsidRPr="00C20C76" w:rsidRDefault="00D035F3" w:rsidP="00167246">
      <w:pPr>
        <w:rPr>
          <w:lang w:val="de-DE"/>
        </w:rPr>
      </w:pPr>
    </w:p>
    <w:p w14:paraId="64A8A285" w14:textId="77777777" w:rsidR="00D534B2" w:rsidRPr="00C20C76" w:rsidRDefault="00D534B2" w:rsidP="00167246">
      <w:pPr>
        <w:rPr>
          <w:lang w:val="de-DE"/>
        </w:rPr>
      </w:pPr>
    </w:p>
    <w:p w14:paraId="5918F863" w14:textId="77777777" w:rsidR="00BB224D" w:rsidRPr="00C20C76" w:rsidRDefault="00BB224D" w:rsidP="00167246">
      <w:pPr>
        <w:pStyle w:val="Heading2"/>
        <w:rPr>
          <w:lang w:val="de-DE"/>
        </w:rPr>
      </w:pPr>
      <w:bookmarkStart w:id="13" w:name="_Toc54170631"/>
      <w:r w:rsidRPr="00C20C76">
        <w:rPr>
          <w:lang w:val="de-DE"/>
        </w:rPr>
        <w:t>Erfahrungen mit neuen Typen und Arten</w:t>
      </w:r>
      <w:bookmarkEnd w:id="13"/>
      <w:r w:rsidRPr="00C20C76">
        <w:rPr>
          <w:lang w:val="de-DE"/>
        </w:rPr>
        <w:t xml:space="preserve"> </w:t>
      </w:r>
    </w:p>
    <w:p w14:paraId="2DFDD9DD" w14:textId="198D7E34" w:rsidR="00BB224D" w:rsidRDefault="00BB224D" w:rsidP="00167246">
      <w:pPr>
        <w:keepNext/>
        <w:rPr>
          <w:highlight w:val="green"/>
          <w:lang w:val="de-DE"/>
        </w:rPr>
      </w:pPr>
    </w:p>
    <w:p w14:paraId="7E9BBC56" w14:textId="7B97A9FB" w:rsidR="00BB224D" w:rsidRDefault="003D11B4" w:rsidP="003D11B4">
      <w:pPr>
        <w:rPr>
          <w:lang w:val="de-DE"/>
        </w:rPr>
      </w:pPr>
      <w:r w:rsidRPr="00113E52">
        <w:fldChar w:fldCharType="begin"/>
      </w:r>
      <w:r w:rsidRPr="003D11B4">
        <w:rPr>
          <w:lang w:val="de-DE"/>
        </w:rPr>
        <w:instrText xml:space="preserve"> AUTONUM  </w:instrText>
      </w:r>
      <w:r w:rsidRPr="00113E52">
        <w:fldChar w:fldCharType="end"/>
      </w:r>
      <w:r w:rsidRPr="003D11B4">
        <w:rPr>
          <w:lang w:val="de-DE"/>
        </w:rPr>
        <w:tab/>
        <w:t>Die TWV</w:t>
      </w:r>
      <w:r w:rsidRPr="003D11B4">
        <w:rPr>
          <w:vertAlign w:val="superscript"/>
          <w:lang w:val="de-DE"/>
        </w:rPr>
        <w:t>9</w:t>
      </w:r>
      <w:r w:rsidRPr="003D11B4">
        <w:rPr>
          <w:lang w:val="de-DE"/>
        </w:rPr>
        <w:t xml:space="preserve"> </w:t>
      </w:r>
      <w:r w:rsidR="009768FA" w:rsidRPr="00C20C76">
        <w:rPr>
          <w:lang w:val="de-DE"/>
        </w:rPr>
        <w:t>nahm</w:t>
      </w:r>
      <w:r w:rsidR="00B75B94">
        <w:rPr>
          <w:lang w:val="de-DE"/>
        </w:rPr>
        <w:t xml:space="preserve"> die Bemerkung des Sachverständigen aus der Türkei über die wachsende Anzahl an eingegangen Anträgen für </w:t>
      </w:r>
      <w:r w:rsidR="00FD22D2">
        <w:rPr>
          <w:i/>
          <w:lang w:val="de-DE"/>
        </w:rPr>
        <w:t xml:space="preserve">Solanum </w:t>
      </w:r>
      <w:proofErr w:type="spellStart"/>
      <w:r w:rsidR="00FD22D2">
        <w:rPr>
          <w:i/>
          <w:lang w:val="de-DE"/>
        </w:rPr>
        <w:t>torvum</w:t>
      </w:r>
      <w:proofErr w:type="spellEnd"/>
      <w:r w:rsidR="00FD22D2">
        <w:rPr>
          <w:i/>
          <w:lang w:val="de-DE"/>
        </w:rPr>
        <w:t xml:space="preserve"> </w:t>
      </w:r>
      <w:proofErr w:type="spellStart"/>
      <w:r w:rsidR="00FD22D2">
        <w:rPr>
          <w:i/>
          <w:lang w:val="de-DE"/>
        </w:rPr>
        <w:t>Sw</w:t>
      </w:r>
      <w:proofErr w:type="spellEnd"/>
      <w:r w:rsidR="00FD22D2">
        <w:rPr>
          <w:i/>
          <w:lang w:val="de-DE"/>
        </w:rPr>
        <w:t>.</w:t>
      </w:r>
      <w:r w:rsidR="009768FA" w:rsidRPr="00C20C76">
        <w:rPr>
          <w:lang w:val="de-DE"/>
        </w:rPr>
        <w:t xml:space="preserve"> zur Kenntnis</w:t>
      </w:r>
      <w:r w:rsidR="00FD22D2">
        <w:rPr>
          <w:lang w:val="de-DE"/>
        </w:rPr>
        <w:t>. Die TWV rief das auf ihrer zweiundfünfzigsten Tagung zur gleichen Ar</w:t>
      </w:r>
      <w:r>
        <w:rPr>
          <w:lang w:val="de-DE"/>
        </w:rPr>
        <w:t xml:space="preserve">t gehörte Referat in Erinnerung </w:t>
      </w:r>
      <w:r w:rsidR="0084455A" w:rsidRPr="00C20C76">
        <w:rPr>
          <w:rFonts w:cs="Arial"/>
          <w:lang w:val="de-DE"/>
        </w:rPr>
        <w:t xml:space="preserve">(vergleiche Dokument </w:t>
      </w:r>
      <w:r w:rsidR="0084455A" w:rsidRPr="00C20C76">
        <w:rPr>
          <w:lang w:val="de-DE"/>
        </w:rPr>
        <w:t>TWV/5</w:t>
      </w:r>
      <w:r w:rsidR="00FD22D2">
        <w:rPr>
          <w:lang w:val="de-DE"/>
        </w:rPr>
        <w:t>2</w:t>
      </w:r>
      <w:r w:rsidR="0084455A" w:rsidRPr="00C20C76">
        <w:rPr>
          <w:lang w:val="de-DE"/>
        </w:rPr>
        <w:t>/</w:t>
      </w:r>
      <w:r w:rsidR="00FD22D2">
        <w:rPr>
          <w:lang w:val="de-DE"/>
        </w:rPr>
        <w:t>14) (vergleiche Dokument TWV/55/16 „Report“, Absatz 104)</w:t>
      </w:r>
      <w:r>
        <w:rPr>
          <w:lang w:val="de-DE"/>
        </w:rPr>
        <w:t>.</w:t>
      </w:r>
    </w:p>
    <w:p w14:paraId="04610E14" w14:textId="2A566D1A" w:rsidR="003D11B4" w:rsidRDefault="003D11B4" w:rsidP="003D11B4">
      <w:pPr>
        <w:rPr>
          <w:lang w:val="de-DE"/>
        </w:rPr>
      </w:pPr>
    </w:p>
    <w:p w14:paraId="50A45240" w14:textId="6EBB80F7" w:rsidR="003D11B4" w:rsidRPr="00861E2E" w:rsidRDefault="00861E2E" w:rsidP="003D11B4">
      <w:pPr>
        <w:rPr>
          <w:u w:val="single"/>
          <w:lang w:val="de-DE"/>
        </w:rPr>
      </w:pPr>
      <w:r w:rsidRPr="00861E2E">
        <w:rPr>
          <w:noProof/>
          <w:u w:val="single"/>
          <w:lang w:val="de-DE"/>
        </w:rPr>
        <w:t>Verfahren für die Gruppierung von Sorten unter Verwendung der UPOV-Codes und einschlägiger Informationsquellen</w:t>
      </w:r>
    </w:p>
    <w:p w14:paraId="68FA7070" w14:textId="77777777" w:rsidR="0028739C" w:rsidRPr="00C20C76" w:rsidRDefault="0028739C" w:rsidP="00167246">
      <w:pPr>
        <w:rPr>
          <w:lang w:val="de-DE"/>
        </w:rPr>
      </w:pPr>
    </w:p>
    <w:p w14:paraId="113629ED" w14:textId="58E5377F" w:rsidR="00100363" w:rsidRDefault="0028739C" w:rsidP="003D11B4">
      <w:pPr>
        <w:keepNext/>
        <w:rPr>
          <w:lang w:val="de-DE"/>
        </w:rPr>
      </w:pPr>
      <w:r w:rsidRPr="00C20C76">
        <w:rPr>
          <w:lang w:val="de-DE"/>
        </w:rPr>
        <w:fldChar w:fldCharType="begin"/>
      </w:r>
      <w:r w:rsidRPr="00C20C76">
        <w:rPr>
          <w:lang w:val="de-DE"/>
        </w:rPr>
        <w:instrText xml:space="preserve"> AUTONUM  </w:instrText>
      </w:r>
      <w:r w:rsidRPr="00C20C76">
        <w:rPr>
          <w:lang w:val="de-DE"/>
        </w:rPr>
        <w:fldChar w:fldCharType="end"/>
      </w:r>
      <w:r w:rsidR="003D11B4">
        <w:rPr>
          <w:lang w:val="de-DE"/>
        </w:rPr>
        <w:tab/>
      </w:r>
      <w:r w:rsidR="006601E2" w:rsidRPr="006601E2">
        <w:rPr>
          <w:lang w:val="de-DE"/>
        </w:rPr>
        <w:t xml:space="preserve">The </w:t>
      </w:r>
      <w:r w:rsidR="00100363">
        <w:rPr>
          <w:lang w:val="de-DE"/>
        </w:rPr>
        <w:t>TWO</w:t>
      </w:r>
      <w:r w:rsidR="00100363" w:rsidRPr="00C20C76">
        <w:rPr>
          <w:rStyle w:val="FootnoteReference"/>
          <w:snapToGrid w:val="0"/>
          <w:lang w:val="de-DE"/>
        </w:rPr>
        <w:footnoteReference w:id="11"/>
      </w:r>
      <w:r w:rsidR="00100363" w:rsidRPr="00C20C76">
        <w:rPr>
          <w:lang w:val="de-DE"/>
        </w:rPr>
        <w:t xml:space="preserve"> hörte ein Referat über</w:t>
      </w:r>
      <w:r w:rsidR="006601E2">
        <w:rPr>
          <w:lang w:val="de-DE"/>
        </w:rPr>
        <w:t xml:space="preserve"> die</w:t>
      </w:r>
      <w:r w:rsidR="00100363" w:rsidRPr="00C20C76">
        <w:rPr>
          <w:lang w:val="de-DE"/>
        </w:rPr>
        <w:t xml:space="preserve"> </w:t>
      </w:r>
      <w:r w:rsidR="00100363">
        <w:rPr>
          <w:lang w:val="de-DE"/>
        </w:rPr>
        <w:t>„Verwendung von Sortengruppen</w:t>
      </w:r>
      <w:r w:rsidR="006601E2">
        <w:rPr>
          <w:lang w:val="de-DE"/>
        </w:rPr>
        <w:t xml:space="preserve"> im UPOV-System</w:t>
      </w:r>
      <w:r w:rsidR="00100363">
        <w:rPr>
          <w:lang w:val="de-DE"/>
        </w:rPr>
        <w:t xml:space="preserve">“ </w:t>
      </w:r>
      <w:r w:rsidR="00100363" w:rsidRPr="00C20C76">
        <w:rPr>
          <w:lang w:val="de-DE"/>
        </w:rPr>
        <w:t xml:space="preserve"> von einem Sachverständigen aus </w:t>
      </w:r>
      <w:r w:rsidR="00100363">
        <w:rPr>
          <w:lang w:val="de-DE"/>
        </w:rPr>
        <w:t>den Niederlanden</w:t>
      </w:r>
      <w:r w:rsidR="00100363" w:rsidRPr="00C20C76">
        <w:rPr>
          <w:lang w:val="de-DE"/>
        </w:rPr>
        <w:t>. Eine Abschrift des Referats ist in</w:t>
      </w:r>
      <w:r w:rsidR="00100363">
        <w:rPr>
          <w:lang w:val="de-DE"/>
        </w:rPr>
        <w:t xml:space="preserve"> der Anlage </w:t>
      </w:r>
      <w:r w:rsidR="006601E2">
        <w:rPr>
          <w:lang w:val="de-DE"/>
        </w:rPr>
        <w:t>des</w:t>
      </w:r>
      <w:r w:rsidR="00100363" w:rsidRPr="00C20C76">
        <w:rPr>
          <w:lang w:val="de-DE"/>
        </w:rPr>
        <w:t xml:space="preserve"> Dokument</w:t>
      </w:r>
      <w:r w:rsidR="006601E2">
        <w:rPr>
          <w:lang w:val="de-DE"/>
        </w:rPr>
        <w:t>s</w:t>
      </w:r>
      <w:r w:rsidR="00100363" w:rsidRPr="00C20C76">
        <w:rPr>
          <w:lang w:val="de-DE"/>
        </w:rPr>
        <w:t xml:space="preserve"> TW</w:t>
      </w:r>
      <w:r w:rsidR="00100363">
        <w:rPr>
          <w:lang w:val="de-DE"/>
        </w:rPr>
        <w:t>O</w:t>
      </w:r>
      <w:r w:rsidR="00100363" w:rsidRPr="00C20C76">
        <w:rPr>
          <w:lang w:val="de-DE"/>
        </w:rPr>
        <w:t>/</w:t>
      </w:r>
      <w:r w:rsidR="00100363">
        <w:rPr>
          <w:lang w:val="de-DE"/>
        </w:rPr>
        <w:t>53</w:t>
      </w:r>
      <w:r w:rsidR="00100363" w:rsidRPr="00C20C76">
        <w:rPr>
          <w:lang w:val="de-DE"/>
        </w:rPr>
        <w:t xml:space="preserve">/7 </w:t>
      </w:r>
      <w:r w:rsidR="0069762D">
        <w:rPr>
          <w:lang w:val="de-DE"/>
        </w:rPr>
        <w:t xml:space="preserve">enthalten </w:t>
      </w:r>
      <w:r w:rsidR="00100363" w:rsidRPr="00C20C76">
        <w:rPr>
          <w:lang w:val="de-DE"/>
        </w:rPr>
        <w:t>(vergleiche Dokument TW</w:t>
      </w:r>
      <w:r w:rsidR="00100363">
        <w:rPr>
          <w:lang w:val="de-DE"/>
        </w:rPr>
        <w:t>O</w:t>
      </w:r>
      <w:r w:rsidR="00100363" w:rsidRPr="00C20C76">
        <w:rPr>
          <w:lang w:val="de-DE"/>
        </w:rPr>
        <w:t>/</w:t>
      </w:r>
      <w:r w:rsidR="00100363">
        <w:rPr>
          <w:lang w:val="de-DE"/>
        </w:rPr>
        <w:t>53</w:t>
      </w:r>
      <w:r w:rsidR="00100363" w:rsidRPr="00C20C76">
        <w:rPr>
          <w:lang w:val="de-DE"/>
        </w:rPr>
        <w:t>/</w:t>
      </w:r>
      <w:r w:rsidR="00100363">
        <w:rPr>
          <w:lang w:val="de-DE"/>
        </w:rPr>
        <w:t>10</w:t>
      </w:r>
      <w:r w:rsidR="00100363" w:rsidRPr="00C20C76">
        <w:rPr>
          <w:lang w:val="de-DE"/>
        </w:rPr>
        <w:t xml:space="preserve"> </w:t>
      </w:r>
      <w:r w:rsidR="00100363" w:rsidRPr="00C20C76">
        <w:rPr>
          <w:rFonts w:cs="Arial"/>
          <w:lang w:val="de-DE"/>
        </w:rPr>
        <w:t xml:space="preserve">„Report“, </w:t>
      </w:r>
      <w:r w:rsidR="00100363" w:rsidRPr="00C20C76">
        <w:rPr>
          <w:lang w:val="de-DE"/>
        </w:rPr>
        <w:t>Abs</w:t>
      </w:r>
      <w:r w:rsidR="00100363">
        <w:rPr>
          <w:lang w:val="de-DE"/>
        </w:rPr>
        <w:t>atz 47</w:t>
      </w:r>
      <w:r w:rsidR="00100363" w:rsidRPr="00C20C76">
        <w:rPr>
          <w:lang w:val="de-DE"/>
        </w:rPr>
        <w:t>).</w:t>
      </w:r>
    </w:p>
    <w:p w14:paraId="5828F14E" w14:textId="144AB24A" w:rsidR="006601E2" w:rsidRDefault="006601E2" w:rsidP="003D11B4">
      <w:pPr>
        <w:keepNext/>
        <w:rPr>
          <w:lang w:val="de-DE"/>
        </w:rPr>
      </w:pPr>
    </w:p>
    <w:p w14:paraId="5C0CD07D" w14:textId="5CF1EF17" w:rsidR="0028739C" w:rsidRDefault="006601E2" w:rsidP="00167246">
      <w:pPr>
        <w:rPr>
          <w:noProof/>
          <w:u w:val="single"/>
          <w:lang w:val="de-DE"/>
        </w:rPr>
      </w:pPr>
      <w:r w:rsidRPr="006601E2">
        <w:rPr>
          <w:noProof/>
          <w:u w:val="single"/>
          <w:lang w:val="de-DE"/>
        </w:rPr>
        <w:t>Bereitstellung von Informationen über ähnliche Sorten in der UPOV-Mustervorlage für die Sortenbeschreibung</w:t>
      </w:r>
    </w:p>
    <w:p w14:paraId="486E2DF5" w14:textId="7DF37737" w:rsidR="006601E2" w:rsidRDefault="006601E2" w:rsidP="00167246">
      <w:pPr>
        <w:rPr>
          <w:noProof/>
          <w:u w:val="single"/>
          <w:lang w:val="de-DE"/>
        </w:rPr>
      </w:pPr>
    </w:p>
    <w:p w14:paraId="1C2ECA4F" w14:textId="26FE34CE" w:rsidR="006601E2" w:rsidRPr="006601E2" w:rsidRDefault="006601E2" w:rsidP="006601E2">
      <w:pPr>
        <w:rPr>
          <w:lang w:val="de-DE"/>
        </w:rPr>
      </w:pPr>
      <w:r>
        <w:fldChar w:fldCharType="begin"/>
      </w:r>
      <w:r w:rsidRPr="006601E2">
        <w:rPr>
          <w:lang w:val="de-DE"/>
        </w:rPr>
        <w:instrText xml:space="preserve"> AUTONUM  </w:instrText>
      </w:r>
      <w:r>
        <w:fldChar w:fldCharType="end"/>
      </w:r>
      <w:r w:rsidRPr="006601E2">
        <w:rPr>
          <w:lang w:val="de-DE"/>
        </w:rPr>
        <w:tab/>
        <w:t>The TWO</w:t>
      </w:r>
      <w:r>
        <w:rPr>
          <w:rStyle w:val="FootnoteReference"/>
        </w:rPr>
        <w:footnoteReference w:id="12"/>
      </w:r>
      <w:r w:rsidRPr="006601E2">
        <w:rPr>
          <w:lang w:val="de-DE"/>
        </w:rPr>
        <w:t xml:space="preserve"> hörte ein Referat über die „Bereitstellung </w:t>
      </w:r>
      <w:r w:rsidRPr="006601E2">
        <w:rPr>
          <w:noProof/>
          <w:lang w:val="de-DE"/>
        </w:rPr>
        <w:t>von Informationen über ähnliche Sorten in der UPOV-Mustervorlage für die Sortenbeschreibung</w:t>
      </w:r>
      <w:r>
        <w:rPr>
          <w:noProof/>
          <w:lang w:val="de-DE"/>
        </w:rPr>
        <w:t xml:space="preserve">“ von einem Sachverständigen aus der Europäischen Union. </w:t>
      </w:r>
      <w:r w:rsidRPr="006601E2">
        <w:rPr>
          <w:noProof/>
          <w:lang w:val="de-DE"/>
        </w:rPr>
        <w:t>Eine Abschrift des Referats ist in Dokument</w:t>
      </w:r>
      <w:r w:rsidRPr="006601E2">
        <w:rPr>
          <w:lang w:val="de-DE"/>
        </w:rPr>
        <w:t xml:space="preserve"> TWO/53/6 </w:t>
      </w:r>
      <w:r w:rsidR="00F17973" w:rsidRPr="006601E2">
        <w:rPr>
          <w:lang w:val="de-DE"/>
        </w:rPr>
        <w:t xml:space="preserve">enthalten </w:t>
      </w:r>
      <w:r w:rsidRPr="006601E2">
        <w:rPr>
          <w:lang w:val="de-DE"/>
        </w:rPr>
        <w:t>(vergleiche Dokument TWO/53/10 “Report”, Absätze 34 und 35).</w:t>
      </w:r>
    </w:p>
    <w:p w14:paraId="59B4CFDB" w14:textId="77777777" w:rsidR="006601E2" w:rsidRPr="006601E2" w:rsidRDefault="006601E2" w:rsidP="00167246">
      <w:pPr>
        <w:rPr>
          <w:lang w:val="de-DE"/>
        </w:rPr>
      </w:pPr>
    </w:p>
    <w:p w14:paraId="653EFCF7" w14:textId="4EFC354C" w:rsidR="0028739C" w:rsidRDefault="0028739C" w:rsidP="00167246">
      <w:pPr>
        <w:rPr>
          <w:lang w:val="de-DE"/>
        </w:rPr>
      </w:pPr>
      <w:r w:rsidRPr="00C20C76">
        <w:rPr>
          <w:lang w:val="de-DE"/>
        </w:rPr>
        <w:fldChar w:fldCharType="begin"/>
      </w:r>
      <w:r w:rsidRPr="00C20C76">
        <w:rPr>
          <w:lang w:val="de-DE"/>
        </w:rPr>
        <w:instrText xml:space="preserve"> AUTONUM  </w:instrText>
      </w:r>
      <w:r w:rsidRPr="00C20C76">
        <w:rPr>
          <w:lang w:val="de-DE"/>
        </w:rPr>
        <w:fldChar w:fldCharType="end"/>
      </w:r>
      <w:r w:rsidRPr="00C20C76">
        <w:rPr>
          <w:lang w:val="de-DE"/>
        </w:rPr>
        <w:tab/>
        <w:t>Die TW</w:t>
      </w:r>
      <w:r w:rsidR="00100363">
        <w:rPr>
          <w:lang w:val="de-DE"/>
        </w:rPr>
        <w:t xml:space="preserve">O vereinbarte, dass die </w:t>
      </w:r>
      <w:proofErr w:type="spellStart"/>
      <w:r w:rsidR="00100363">
        <w:rPr>
          <w:lang w:val="de-DE"/>
        </w:rPr>
        <w:t>ausgeprägtesten</w:t>
      </w:r>
      <w:proofErr w:type="spellEnd"/>
      <w:r w:rsidR="00100363">
        <w:rPr>
          <w:lang w:val="de-DE"/>
        </w:rPr>
        <w:t xml:space="preserve"> Unterscheidungsmerkmale zwischen der Kandidatensorte und der ähnlichsten Sorte(n) im DUS-Prüfungsbericht dargelegt </w:t>
      </w:r>
      <w:r w:rsidR="006601E2">
        <w:rPr>
          <w:lang w:val="de-DE"/>
        </w:rPr>
        <w:t>werden</w:t>
      </w:r>
      <w:r w:rsidR="006601E2" w:rsidRPr="006601E2">
        <w:rPr>
          <w:lang w:val="de-DE"/>
        </w:rPr>
        <w:t xml:space="preserve"> </w:t>
      </w:r>
      <w:r w:rsidR="006601E2">
        <w:rPr>
          <w:lang w:val="de-DE"/>
        </w:rPr>
        <w:t>sollten</w:t>
      </w:r>
      <w:r w:rsidR="00100363">
        <w:rPr>
          <w:lang w:val="de-DE"/>
        </w:rPr>
        <w:t xml:space="preserve">. Die TWO </w:t>
      </w:r>
      <w:r w:rsidR="006601E2">
        <w:rPr>
          <w:lang w:val="de-DE"/>
        </w:rPr>
        <w:t>war sich einig</w:t>
      </w:r>
      <w:r w:rsidR="00100363">
        <w:rPr>
          <w:lang w:val="de-DE"/>
        </w:rPr>
        <w:t>, dass</w:t>
      </w:r>
      <w:r w:rsidR="006601E2">
        <w:rPr>
          <w:lang w:val="de-DE"/>
        </w:rPr>
        <w:t xml:space="preserve"> die Angelegenheit zum jetzigen Zeitpunkt keiner weiteren Klärung in den</w:t>
      </w:r>
      <w:r w:rsidR="00100363">
        <w:rPr>
          <w:lang w:val="de-DE"/>
        </w:rPr>
        <w:t xml:space="preserve"> UPOV-Richtlinien bedarf.</w:t>
      </w:r>
    </w:p>
    <w:p w14:paraId="7EB9E5A5" w14:textId="0323F5AF" w:rsidR="00100363" w:rsidRDefault="00100363" w:rsidP="00167246">
      <w:pPr>
        <w:rPr>
          <w:lang w:val="de-DE"/>
        </w:rPr>
      </w:pPr>
    </w:p>
    <w:p w14:paraId="1594F672" w14:textId="77777777" w:rsidR="00171ED5" w:rsidRDefault="00171ED5" w:rsidP="00167246">
      <w:pPr>
        <w:rPr>
          <w:lang w:val="de-DE"/>
        </w:rPr>
      </w:pPr>
    </w:p>
    <w:p w14:paraId="5CF1E277" w14:textId="1C1AE574" w:rsidR="00100363" w:rsidRPr="00A706E3" w:rsidRDefault="00100363" w:rsidP="00167246">
      <w:pPr>
        <w:rPr>
          <w:u w:val="single"/>
          <w:lang w:val="de-DE"/>
        </w:rPr>
      </w:pPr>
      <w:r w:rsidRPr="00A706E3">
        <w:rPr>
          <w:u w:val="single"/>
          <w:lang w:val="de-DE"/>
        </w:rPr>
        <w:t>Beurteilung von Zierpflanzen unter Verwendung von Messungen an Einzelpflanzen (MS)</w:t>
      </w:r>
    </w:p>
    <w:p w14:paraId="4EE15839" w14:textId="4CBC8983" w:rsidR="00100363" w:rsidRDefault="00100363" w:rsidP="00167246">
      <w:pPr>
        <w:rPr>
          <w:lang w:val="de-DE"/>
        </w:rPr>
      </w:pPr>
    </w:p>
    <w:p w14:paraId="56338011" w14:textId="602711C9" w:rsidR="00100363" w:rsidRPr="008A36F8" w:rsidRDefault="00100363" w:rsidP="00100363">
      <w:pPr>
        <w:keepNext/>
        <w:rPr>
          <w:lang w:val="de-DE"/>
        </w:rPr>
      </w:pPr>
      <w:r>
        <w:fldChar w:fldCharType="begin"/>
      </w:r>
      <w:r w:rsidRPr="008A36F8">
        <w:rPr>
          <w:lang w:val="de-DE"/>
        </w:rPr>
        <w:instrText xml:space="preserve"> AUTONUM  </w:instrText>
      </w:r>
      <w:r>
        <w:fldChar w:fldCharType="end"/>
      </w:r>
      <w:r w:rsidRPr="008A36F8">
        <w:rPr>
          <w:lang w:val="de-DE"/>
        </w:rPr>
        <w:tab/>
        <w:t>Die TWO</w:t>
      </w:r>
      <w:r w:rsidRPr="008A36F8">
        <w:rPr>
          <w:vertAlign w:val="superscript"/>
          <w:lang w:val="de-DE"/>
        </w:rPr>
        <w:t>11</w:t>
      </w:r>
      <w:r w:rsidRPr="008A36F8">
        <w:rPr>
          <w:rStyle w:val="FootnoteReference"/>
          <w:lang w:val="de-DE"/>
        </w:rPr>
        <w:t xml:space="preserve"> </w:t>
      </w:r>
      <w:r w:rsidRPr="008A36F8">
        <w:rPr>
          <w:lang w:val="de-DE"/>
        </w:rPr>
        <w:t>hörte folgende Referate</w:t>
      </w:r>
      <w:r w:rsidR="0048194C" w:rsidRPr="008A36F8">
        <w:rPr>
          <w:lang w:val="de-DE"/>
        </w:rPr>
        <w:t>, deren Abschriften in den An</w:t>
      </w:r>
      <w:r w:rsidR="0048194C">
        <w:rPr>
          <w:lang w:val="de-DE"/>
        </w:rPr>
        <w:t>lagen</w:t>
      </w:r>
      <w:r w:rsidR="0048194C" w:rsidRPr="008A36F8">
        <w:rPr>
          <w:lang w:val="de-DE"/>
        </w:rPr>
        <w:t xml:space="preserve"> </w:t>
      </w:r>
      <w:r w:rsidR="00A706E3">
        <w:rPr>
          <w:lang w:val="de-DE"/>
        </w:rPr>
        <w:t>des</w:t>
      </w:r>
      <w:r w:rsidR="0048194C" w:rsidRPr="008A36F8">
        <w:rPr>
          <w:lang w:val="de-DE"/>
        </w:rPr>
        <w:t xml:space="preserve"> Dokument</w:t>
      </w:r>
      <w:r w:rsidR="00A706E3">
        <w:rPr>
          <w:lang w:val="de-DE"/>
        </w:rPr>
        <w:t>s</w:t>
      </w:r>
      <w:r w:rsidRPr="008A36F8">
        <w:rPr>
          <w:lang w:val="de-DE"/>
        </w:rPr>
        <w:t xml:space="preserve"> TWO/53/4 </w:t>
      </w:r>
      <w:r w:rsidR="00F17973">
        <w:rPr>
          <w:lang w:val="de-DE"/>
        </w:rPr>
        <w:t>enthalten sind</w:t>
      </w:r>
      <w:r w:rsidR="00F17973" w:rsidRPr="008A36F8">
        <w:rPr>
          <w:lang w:val="de-DE"/>
        </w:rPr>
        <w:t xml:space="preserve"> </w:t>
      </w:r>
      <w:r w:rsidRPr="008A36F8">
        <w:rPr>
          <w:lang w:val="de-DE"/>
        </w:rPr>
        <w:t>(</w:t>
      </w:r>
      <w:r w:rsidR="0048194C">
        <w:rPr>
          <w:lang w:val="de-DE"/>
        </w:rPr>
        <w:t xml:space="preserve">vergleiche Dokument </w:t>
      </w:r>
      <w:r w:rsidRPr="008A36F8">
        <w:rPr>
          <w:lang w:val="de-DE"/>
        </w:rPr>
        <w:t xml:space="preserve">TWO/53/10 “Report”, </w:t>
      </w:r>
      <w:r w:rsidR="0048194C">
        <w:rPr>
          <w:lang w:val="de-DE"/>
        </w:rPr>
        <w:t>Absätze</w:t>
      </w:r>
      <w:r w:rsidRPr="008A36F8">
        <w:rPr>
          <w:lang w:val="de-DE"/>
        </w:rPr>
        <w:t xml:space="preserve"> 83 </w:t>
      </w:r>
      <w:r w:rsidR="0048194C">
        <w:rPr>
          <w:lang w:val="de-DE"/>
        </w:rPr>
        <w:t>und</w:t>
      </w:r>
      <w:r w:rsidRPr="008A36F8">
        <w:rPr>
          <w:lang w:val="de-DE"/>
        </w:rPr>
        <w:t xml:space="preserve"> 84):</w:t>
      </w:r>
    </w:p>
    <w:p w14:paraId="77F44047" w14:textId="25CF9B6B" w:rsidR="00100363" w:rsidRDefault="00100363" w:rsidP="00167246">
      <w:pPr>
        <w:rPr>
          <w:lang w:val="de-DE"/>
        </w:rPr>
      </w:pPr>
    </w:p>
    <w:tbl>
      <w:tblPr>
        <w:tblStyle w:val="TableGrid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701"/>
      </w:tblGrid>
      <w:tr w:rsidR="0048194C" w14:paraId="4B5CE32C" w14:textId="77777777" w:rsidTr="008E11ED">
        <w:tc>
          <w:tcPr>
            <w:tcW w:w="7933" w:type="dxa"/>
          </w:tcPr>
          <w:p w14:paraId="54197EB6" w14:textId="78BF86B9" w:rsidR="0048194C" w:rsidRPr="008A36F8" w:rsidRDefault="0048194C" w:rsidP="00A706E3">
            <w:pPr>
              <w:keepNext/>
              <w:spacing w:after="120"/>
              <w:ind w:left="166"/>
              <w:rPr>
                <w:lang w:val="de-DE"/>
              </w:rPr>
            </w:pPr>
            <w:r>
              <w:rPr>
                <w:lang w:val="de-DE"/>
              </w:rPr>
              <w:t>„Beurteilung von Zierpflanzen unter Verwendung von Messungen an Einzelpflanzen (MS)</w:t>
            </w:r>
            <w:r w:rsidR="00A706E3">
              <w:rPr>
                <w:rFonts w:eastAsiaTheme="minorHAnsi"/>
                <w:lang w:val="de-DE"/>
              </w:rPr>
              <w:t xml:space="preserve">” – Wann </w:t>
            </w:r>
            <w:r>
              <w:rPr>
                <w:rFonts w:eastAsiaTheme="minorHAnsi"/>
                <w:lang w:val="de-DE"/>
              </w:rPr>
              <w:t>und warum wir es tun und wie wir mit den Daten verfahren“, von einem Sachverständigen aus Deutschland</w:t>
            </w:r>
          </w:p>
        </w:tc>
        <w:tc>
          <w:tcPr>
            <w:tcW w:w="1701" w:type="dxa"/>
          </w:tcPr>
          <w:p w14:paraId="711EF2FE" w14:textId="40CA7FA3" w:rsidR="0048194C" w:rsidRDefault="0048194C" w:rsidP="0048194C">
            <w:pPr>
              <w:keepNext/>
              <w:spacing w:after="120"/>
            </w:pPr>
            <w:r w:rsidRPr="008A36F8">
              <w:rPr>
                <w:lang w:val="de-DE"/>
              </w:rPr>
              <w:tab/>
            </w:r>
            <w:r>
              <w:t>Anlage I</w:t>
            </w:r>
          </w:p>
        </w:tc>
      </w:tr>
      <w:tr w:rsidR="0048194C" w14:paraId="1B8600ED" w14:textId="77777777" w:rsidTr="008E11ED">
        <w:tc>
          <w:tcPr>
            <w:tcW w:w="7933" w:type="dxa"/>
          </w:tcPr>
          <w:p w14:paraId="4583F436" w14:textId="5CA7D424" w:rsidR="0048194C" w:rsidRPr="008A36F8" w:rsidRDefault="005E0695" w:rsidP="005E0695">
            <w:pPr>
              <w:keepNext/>
              <w:spacing w:after="120"/>
              <w:ind w:left="166"/>
              <w:rPr>
                <w:lang w:val="de-DE"/>
              </w:rPr>
            </w:pPr>
            <w:r>
              <w:rPr>
                <w:rFonts w:eastAsiaTheme="minorHAnsi"/>
                <w:lang w:val="de-DE"/>
              </w:rPr>
              <w:t>„</w:t>
            </w:r>
            <w:r w:rsidRPr="008A36F8">
              <w:rPr>
                <w:rFonts w:eastAsiaTheme="minorHAnsi"/>
                <w:lang w:val="de-DE"/>
              </w:rPr>
              <w:t xml:space="preserve">Die Verwendung von </w:t>
            </w:r>
            <w:r w:rsidRPr="005E0695">
              <w:rPr>
                <w:rFonts w:eastAsiaTheme="minorHAnsi"/>
                <w:lang w:val="de-DE"/>
              </w:rPr>
              <w:t>MG u</w:t>
            </w:r>
            <w:r w:rsidR="0048194C" w:rsidRPr="008A36F8">
              <w:rPr>
                <w:rFonts w:eastAsiaTheme="minorHAnsi"/>
                <w:lang w:val="de-DE"/>
              </w:rPr>
              <w:t xml:space="preserve">nd MS in </w:t>
            </w:r>
            <w:r w:rsidRPr="008A36F8">
              <w:rPr>
                <w:rFonts w:eastAsiaTheme="minorHAnsi"/>
                <w:lang w:val="de-DE"/>
              </w:rPr>
              <w:t>Prüfungsrichtlinien für Zierarten</w:t>
            </w:r>
            <w:r w:rsidR="0048194C" w:rsidRPr="008A36F8">
              <w:rPr>
                <w:rFonts w:eastAsiaTheme="minorHAnsi"/>
                <w:lang w:val="de-DE"/>
              </w:rPr>
              <w:t xml:space="preserve">”, </w:t>
            </w:r>
            <w:r w:rsidRPr="008A36F8">
              <w:rPr>
                <w:rFonts w:eastAsiaTheme="minorHAnsi"/>
                <w:lang w:val="de-DE"/>
              </w:rPr>
              <w:t>von einem Sachverständigen aus Neuseeland</w:t>
            </w:r>
          </w:p>
        </w:tc>
        <w:tc>
          <w:tcPr>
            <w:tcW w:w="1701" w:type="dxa"/>
          </w:tcPr>
          <w:p w14:paraId="723CA4AA" w14:textId="00080B6B" w:rsidR="0048194C" w:rsidRDefault="0048194C" w:rsidP="0048194C">
            <w:pPr>
              <w:keepNext/>
              <w:spacing w:after="120"/>
            </w:pPr>
            <w:r w:rsidRPr="008A36F8">
              <w:rPr>
                <w:lang w:val="de-DE"/>
              </w:rPr>
              <w:tab/>
            </w:r>
            <w:r>
              <w:t>Anlage II</w:t>
            </w:r>
          </w:p>
        </w:tc>
      </w:tr>
      <w:tr w:rsidR="0048194C" w14:paraId="54DD9803" w14:textId="77777777" w:rsidTr="008E11ED">
        <w:tc>
          <w:tcPr>
            <w:tcW w:w="7933" w:type="dxa"/>
          </w:tcPr>
          <w:p w14:paraId="7EDE3E9D" w14:textId="0404DCD3" w:rsidR="0048194C" w:rsidRPr="008A36F8" w:rsidRDefault="005E0695" w:rsidP="005E0695">
            <w:pPr>
              <w:keepNext/>
              <w:spacing w:after="120"/>
              <w:ind w:left="166"/>
              <w:rPr>
                <w:lang w:val="de-DE"/>
              </w:rPr>
            </w:pPr>
            <w:r>
              <w:rPr>
                <w:lang w:val="de-DE"/>
              </w:rPr>
              <w:t>„Beurteilung von Zierpflanzen unter Verwendung von Messungen an Einzelpflanzen</w:t>
            </w:r>
            <w:r w:rsidR="0048194C" w:rsidRPr="008A36F8">
              <w:rPr>
                <w:rFonts w:eastAsiaTheme="minorHAnsi"/>
                <w:lang w:val="de-DE"/>
              </w:rPr>
              <w:t xml:space="preserve"> (MS) – </w:t>
            </w:r>
            <w:r w:rsidRPr="008A36F8">
              <w:rPr>
                <w:rFonts w:eastAsiaTheme="minorHAnsi"/>
                <w:lang w:val="de-DE"/>
              </w:rPr>
              <w:t>eine Sichtweise des Vereinigten Königreichs</w:t>
            </w:r>
            <w:r w:rsidR="0048194C" w:rsidRPr="008A36F8">
              <w:rPr>
                <w:rFonts w:eastAsiaTheme="minorHAnsi"/>
                <w:lang w:val="de-DE"/>
              </w:rPr>
              <w:t xml:space="preserve">”, </w:t>
            </w:r>
            <w:r w:rsidRPr="008A36F8">
              <w:rPr>
                <w:rFonts w:eastAsiaTheme="minorHAnsi"/>
                <w:lang w:val="de-DE"/>
              </w:rPr>
              <w:t xml:space="preserve">von einem </w:t>
            </w:r>
            <w:r w:rsidR="00A706E3" w:rsidRPr="008A36F8">
              <w:rPr>
                <w:rFonts w:eastAsiaTheme="minorHAnsi"/>
                <w:lang w:val="de-DE"/>
              </w:rPr>
              <w:t xml:space="preserve">Sachverständigen </w:t>
            </w:r>
            <w:r w:rsidRPr="008A36F8">
              <w:rPr>
                <w:rFonts w:eastAsiaTheme="minorHAnsi"/>
                <w:lang w:val="de-DE"/>
              </w:rPr>
              <w:t>aus dem Vereinigten Königreich</w:t>
            </w:r>
          </w:p>
        </w:tc>
        <w:tc>
          <w:tcPr>
            <w:tcW w:w="1701" w:type="dxa"/>
          </w:tcPr>
          <w:p w14:paraId="2F1507EB" w14:textId="47975F8F" w:rsidR="0048194C" w:rsidRDefault="0048194C" w:rsidP="0048194C">
            <w:pPr>
              <w:keepNext/>
              <w:spacing w:after="120"/>
            </w:pPr>
            <w:r w:rsidRPr="008A36F8">
              <w:rPr>
                <w:lang w:val="de-DE"/>
              </w:rPr>
              <w:tab/>
            </w:r>
            <w:r>
              <w:t>Anlage III</w:t>
            </w:r>
          </w:p>
        </w:tc>
      </w:tr>
    </w:tbl>
    <w:p w14:paraId="3C7B6DC4" w14:textId="3D10E581" w:rsidR="0028739C" w:rsidRPr="0048194C" w:rsidRDefault="0028739C" w:rsidP="00167246">
      <w:pPr>
        <w:rPr>
          <w:lang w:val="de-DE"/>
        </w:rPr>
      </w:pPr>
    </w:p>
    <w:p w14:paraId="0317E6D0" w14:textId="00F27CCA" w:rsidR="0028739C" w:rsidRDefault="0028739C" w:rsidP="00167246">
      <w:pPr>
        <w:keepNext/>
        <w:rPr>
          <w:lang w:val="de-DE"/>
        </w:rPr>
      </w:pPr>
      <w:r w:rsidRPr="00C20C76">
        <w:rPr>
          <w:lang w:val="de-DE"/>
        </w:rPr>
        <w:fldChar w:fldCharType="begin"/>
      </w:r>
      <w:r w:rsidRPr="00C20C76">
        <w:rPr>
          <w:lang w:val="de-DE"/>
        </w:rPr>
        <w:instrText xml:space="preserve"> AUTONUM  </w:instrText>
      </w:r>
      <w:r w:rsidRPr="00C20C76">
        <w:rPr>
          <w:lang w:val="de-DE"/>
        </w:rPr>
        <w:fldChar w:fldCharType="end"/>
      </w:r>
      <w:r w:rsidRPr="00C20C76">
        <w:rPr>
          <w:lang w:val="de-DE"/>
        </w:rPr>
        <w:tab/>
        <w:t>Die TW</w:t>
      </w:r>
      <w:r w:rsidR="00DC0084">
        <w:rPr>
          <w:lang w:val="de-DE"/>
        </w:rPr>
        <w:t>O</w:t>
      </w:r>
      <w:r w:rsidRPr="00C20C76">
        <w:rPr>
          <w:lang w:val="de-DE"/>
        </w:rPr>
        <w:t xml:space="preserve"> </w:t>
      </w:r>
      <w:r w:rsidR="005E0695">
        <w:rPr>
          <w:lang w:val="de-DE"/>
        </w:rPr>
        <w:t>nahm zur Kenntnis, dass Messungen an Einzelpflanzen</w:t>
      </w:r>
      <w:r w:rsidR="00DC0084">
        <w:rPr>
          <w:lang w:val="de-DE"/>
        </w:rPr>
        <w:t xml:space="preserve"> </w:t>
      </w:r>
      <w:r w:rsidR="00A706E3">
        <w:rPr>
          <w:lang w:val="de-DE"/>
        </w:rPr>
        <w:t xml:space="preserve">für Zierpflanzen </w:t>
      </w:r>
      <w:r w:rsidR="00DC0084">
        <w:rPr>
          <w:lang w:val="de-DE"/>
        </w:rPr>
        <w:t xml:space="preserve">je nach Art, Vermehrungsart, Versuchsumfang und Prüfungspraxis der Behörden </w:t>
      </w:r>
      <w:r w:rsidR="00A706E3">
        <w:rPr>
          <w:lang w:val="de-DE"/>
        </w:rPr>
        <w:t>vorgenommen wurden</w:t>
      </w:r>
      <w:r w:rsidR="00DC0084">
        <w:rPr>
          <w:lang w:val="de-DE"/>
        </w:rPr>
        <w:t xml:space="preserve">. Die TWO vereinbarte, führende Sachverständige zu ersuchen, </w:t>
      </w:r>
      <w:r w:rsidR="00A706E3">
        <w:rPr>
          <w:lang w:val="de-DE"/>
        </w:rPr>
        <w:t xml:space="preserve">einen Entwurf für </w:t>
      </w:r>
      <w:r w:rsidR="00DC0084">
        <w:rPr>
          <w:lang w:val="de-DE"/>
        </w:rPr>
        <w:t>Prüfungsrichtlinien</w:t>
      </w:r>
      <w:r w:rsidR="00A706E3">
        <w:rPr>
          <w:lang w:val="de-DE"/>
        </w:rPr>
        <w:t xml:space="preserve"> </w:t>
      </w:r>
      <w:r w:rsidR="00F17973">
        <w:rPr>
          <w:lang w:val="de-DE"/>
        </w:rPr>
        <w:t>auszuarbeiten</w:t>
      </w:r>
      <w:r w:rsidR="00DC0084">
        <w:rPr>
          <w:lang w:val="de-DE"/>
        </w:rPr>
        <w:t>, um</w:t>
      </w:r>
      <w:r w:rsidR="00A706E3">
        <w:rPr>
          <w:lang w:val="de-DE"/>
        </w:rPr>
        <w:t xml:space="preserve"> einen Austausch</w:t>
      </w:r>
      <w:r w:rsidR="00DC0084">
        <w:rPr>
          <w:lang w:val="de-DE"/>
        </w:rPr>
        <w:t xml:space="preserve"> über die Notwendigkeit, für die vorgeschlagenen Merkmale Messungen an Einzelpflanzen durchzuführen, anzuregen. </w:t>
      </w:r>
    </w:p>
    <w:p w14:paraId="24497EF9" w14:textId="1F4D9A06" w:rsidR="00DC0084" w:rsidRDefault="00DC0084" w:rsidP="00167246">
      <w:pPr>
        <w:keepNext/>
        <w:rPr>
          <w:lang w:val="de-DE"/>
        </w:rPr>
      </w:pPr>
    </w:p>
    <w:p w14:paraId="7F1AA26E" w14:textId="77777777" w:rsidR="00171ED5" w:rsidRDefault="00171ED5" w:rsidP="00167246">
      <w:pPr>
        <w:keepNext/>
        <w:rPr>
          <w:lang w:val="de-DE"/>
        </w:rPr>
      </w:pPr>
    </w:p>
    <w:p w14:paraId="0C610A19" w14:textId="01ECF349" w:rsidR="00DC0084" w:rsidRPr="00A706E3" w:rsidRDefault="00DC0084" w:rsidP="00167246">
      <w:pPr>
        <w:keepNext/>
        <w:rPr>
          <w:u w:val="single"/>
          <w:lang w:val="de-DE"/>
        </w:rPr>
      </w:pPr>
      <w:r w:rsidRPr="00A706E3">
        <w:rPr>
          <w:u w:val="single"/>
          <w:lang w:val="de-DE"/>
        </w:rPr>
        <w:t>Neue Technologien in der DUS-Prüfung</w:t>
      </w:r>
    </w:p>
    <w:p w14:paraId="46FE598F" w14:textId="77777777" w:rsidR="0028739C" w:rsidRPr="00C20C76" w:rsidRDefault="0028739C" w:rsidP="00167246">
      <w:pPr>
        <w:rPr>
          <w:lang w:val="de-DE"/>
        </w:rPr>
      </w:pPr>
    </w:p>
    <w:p w14:paraId="21B51014" w14:textId="4D1EABE8" w:rsidR="001A3B87" w:rsidRDefault="0028739C" w:rsidP="008A36F8">
      <w:pPr>
        <w:rPr>
          <w:lang w:val="de-DE"/>
        </w:rPr>
      </w:pPr>
      <w:r w:rsidRPr="00C20C76">
        <w:rPr>
          <w:rFonts w:eastAsia="Calibri"/>
          <w:lang w:val="de-DE"/>
        </w:rPr>
        <w:fldChar w:fldCharType="begin"/>
      </w:r>
      <w:r w:rsidRPr="00C20C76">
        <w:rPr>
          <w:rFonts w:eastAsia="Calibri"/>
          <w:lang w:val="de-DE"/>
        </w:rPr>
        <w:instrText xml:space="preserve"> AUTONUM  </w:instrText>
      </w:r>
      <w:r w:rsidRPr="00C20C76">
        <w:rPr>
          <w:rFonts w:eastAsia="Calibri"/>
          <w:lang w:val="de-DE"/>
        </w:rPr>
        <w:fldChar w:fldCharType="end"/>
      </w:r>
      <w:r w:rsidRPr="00C20C76">
        <w:rPr>
          <w:rFonts w:eastAsia="Calibri"/>
          <w:lang w:val="de-DE"/>
        </w:rPr>
        <w:tab/>
        <w:t xml:space="preserve">Die </w:t>
      </w:r>
      <w:r w:rsidRPr="00C20C76">
        <w:rPr>
          <w:lang w:val="de-DE"/>
        </w:rPr>
        <w:t>TW</w:t>
      </w:r>
      <w:r w:rsidR="001A3B87">
        <w:rPr>
          <w:lang w:val="de-DE"/>
        </w:rPr>
        <w:t>A</w:t>
      </w:r>
      <w:r w:rsidRPr="00C20C76">
        <w:rPr>
          <w:rStyle w:val="FootnoteReference"/>
          <w:snapToGrid w:val="0"/>
          <w:lang w:val="de-DE"/>
        </w:rPr>
        <w:footnoteReference w:id="13"/>
      </w:r>
      <w:r w:rsidR="009432D0">
        <w:rPr>
          <w:lang w:val="de-DE"/>
        </w:rPr>
        <w:t xml:space="preserve"> </w:t>
      </w:r>
      <w:r w:rsidRPr="00C20C76">
        <w:rPr>
          <w:lang w:val="de-DE"/>
        </w:rPr>
        <w:t xml:space="preserve">hörte </w:t>
      </w:r>
      <w:r w:rsidR="001A3B87">
        <w:rPr>
          <w:lang w:val="de-DE"/>
        </w:rPr>
        <w:t>folgende</w:t>
      </w:r>
      <w:r w:rsidRPr="00C20C76">
        <w:rPr>
          <w:lang w:val="de-DE"/>
        </w:rPr>
        <w:t xml:space="preserve"> </w:t>
      </w:r>
      <w:r w:rsidRPr="00E154AB">
        <w:rPr>
          <w:lang w:val="de-DE"/>
        </w:rPr>
        <w:t>Referat</w:t>
      </w:r>
      <w:r w:rsidR="001A3B87">
        <w:rPr>
          <w:lang w:val="de-DE"/>
        </w:rPr>
        <w:t>e</w:t>
      </w:r>
      <w:r w:rsidR="001A3B87" w:rsidRPr="005672D7">
        <w:rPr>
          <w:lang w:val="de-DE"/>
        </w:rPr>
        <w:t xml:space="preserve">, deren Abschriften in </w:t>
      </w:r>
      <w:r w:rsidR="00A706E3">
        <w:rPr>
          <w:lang w:val="de-DE"/>
        </w:rPr>
        <w:t>Dokument TWA/50/</w:t>
      </w:r>
      <w:r w:rsidR="001A3B87">
        <w:rPr>
          <w:lang w:val="de-DE"/>
        </w:rPr>
        <w:t xml:space="preserve">5 </w:t>
      </w:r>
      <w:r w:rsidRPr="00C20C76">
        <w:rPr>
          <w:lang w:val="de-DE"/>
        </w:rPr>
        <w:t>(vergleiche Dokument TW</w:t>
      </w:r>
      <w:r w:rsidR="001A3B87">
        <w:rPr>
          <w:lang w:val="de-DE"/>
        </w:rPr>
        <w:t>A</w:t>
      </w:r>
      <w:r w:rsidRPr="00C20C76">
        <w:rPr>
          <w:lang w:val="de-DE"/>
        </w:rPr>
        <w:t>/</w:t>
      </w:r>
      <w:r w:rsidR="001A3B87">
        <w:rPr>
          <w:lang w:val="de-DE"/>
        </w:rPr>
        <w:t>50</w:t>
      </w:r>
      <w:r w:rsidRPr="00C20C76">
        <w:rPr>
          <w:lang w:val="de-DE"/>
        </w:rPr>
        <w:t>/</w:t>
      </w:r>
      <w:r w:rsidR="001A3B87">
        <w:rPr>
          <w:lang w:val="de-DE"/>
        </w:rPr>
        <w:t>9</w:t>
      </w:r>
      <w:r w:rsidRPr="00C20C76">
        <w:rPr>
          <w:lang w:val="de-DE"/>
        </w:rPr>
        <w:t xml:space="preserve"> </w:t>
      </w:r>
      <w:r w:rsidR="00245163" w:rsidRPr="00C20C76">
        <w:rPr>
          <w:rFonts w:cs="Arial"/>
          <w:lang w:val="de-DE"/>
        </w:rPr>
        <w:t xml:space="preserve">„Report“, </w:t>
      </w:r>
      <w:r w:rsidRPr="00C20C76">
        <w:rPr>
          <w:lang w:val="de-DE"/>
        </w:rPr>
        <w:t xml:space="preserve">Absätze </w:t>
      </w:r>
      <w:r w:rsidR="001A3B87">
        <w:rPr>
          <w:lang w:val="de-DE"/>
        </w:rPr>
        <w:t>94</w:t>
      </w:r>
      <w:r w:rsidRPr="00C20C76">
        <w:rPr>
          <w:lang w:val="de-DE"/>
        </w:rPr>
        <w:t xml:space="preserve"> und </w:t>
      </w:r>
      <w:r w:rsidR="001A3B87">
        <w:rPr>
          <w:lang w:val="de-DE"/>
        </w:rPr>
        <w:t>95</w:t>
      </w:r>
      <w:r w:rsidRPr="00C20C76">
        <w:rPr>
          <w:lang w:val="de-DE"/>
        </w:rPr>
        <w:t>)</w:t>
      </w:r>
      <w:r w:rsidR="001A3B87">
        <w:rPr>
          <w:lang w:val="de-DE"/>
        </w:rPr>
        <w:t xml:space="preserve"> enthalten sind</w:t>
      </w:r>
      <w:r w:rsidR="00A706E3">
        <w:rPr>
          <w:lang w:val="de-DE"/>
        </w:rPr>
        <w:t>:</w:t>
      </w:r>
    </w:p>
    <w:p w14:paraId="2D7F58F7" w14:textId="77777777" w:rsidR="001A3B87" w:rsidRDefault="001A3B87" w:rsidP="008A36F8">
      <w:pPr>
        <w:rPr>
          <w:lang w:val="de-DE"/>
        </w:rPr>
      </w:pPr>
    </w:p>
    <w:p w14:paraId="12AD7B14" w14:textId="6A3FA242" w:rsidR="0028739C" w:rsidRDefault="001A3B87" w:rsidP="00A706E3">
      <w:pPr>
        <w:ind w:left="1701" w:hanging="1131"/>
        <w:rPr>
          <w:lang w:val="de-DE"/>
        </w:rPr>
      </w:pPr>
      <w:r>
        <w:rPr>
          <w:lang w:val="de-DE"/>
        </w:rPr>
        <w:t>Anlage I</w:t>
      </w:r>
      <w:r>
        <w:rPr>
          <w:lang w:val="de-DE"/>
        </w:rPr>
        <w:tab/>
        <w:t>„Nutzung neuer</w:t>
      </w:r>
      <w:r w:rsidR="0028739C" w:rsidRPr="00C20C76">
        <w:rPr>
          <w:lang w:val="de-DE"/>
        </w:rPr>
        <w:t xml:space="preserve"> </w:t>
      </w:r>
      <w:r>
        <w:rPr>
          <w:lang w:val="de-DE"/>
        </w:rPr>
        <w:t>Technologien in der DUS-Prüfung“, von einem Sachverständigen aus Dänemark</w:t>
      </w:r>
    </w:p>
    <w:p w14:paraId="4E6EEBD3" w14:textId="495E87B5" w:rsidR="001A3B87" w:rsidRPr="00C20C76" w:rsidRDefault="001A3B87" w:rsidP="00A706E3">
      <w:pPr>
        <w:ind w:left="1701" w:hanging="1131"/>
        <w:rPr>
          <w:lang w:val="de-DE"/>
        </w:rPr>
      </w:pPr>
      <w:r>
        <w:rPr>
          <w:lang w:val="de-DE"/>
        </w:rPr>
        <w:t>Anlage II</w:t>
      </w:r>
      <w:r>
        <w:rPr>
          <w:lang w:val="de-DE"/>
        </w:rPr>
        <w:tab/>
        <w:t xml:space="preserve">„Bildanalyse in landwirtschaftlicher DUS-Prüfung im Vereinigten Königreich“, von einem </w:t>
      </w:r>
      <w:r w:rsidR="00A706E3">
        <w:rPr>
          <w:lang w:val="de-DE"/>
        </w:rPr>
        <w:t xml:space="preserve">     </w:t>
      </w:r>
      <w:r>
        <w:rPr>
          <w:lang w:val="de-DE"/>
        </w:rPr>
        <w:t>Sachverständigen aus dem Vereinigten Königreich</w:t>
      </w:r>
    </w:p>
    <w:p w14:paraId="2457778C" w14:textId="77777777" w:rsidR="0028739C" w:rsidRPr="00C20C76" w:rsidRDefault="0028739C" w:rsidP="00167246">
      <w:pPr>
        <w:keepNext/>
        <w:rPr>
          <w:lang w:val="de-DE"/>
        </w:rPr>
      </w:pPr>
    </w:p>
    <w:p w14:paraId="4A920210" w14:textId="2D50787D" w:rsidR="007A5CA0" w:rsidRDefault="0028739C" w:rsidP="00167246">
      <w:pPr>
        <w:rPr>
          <w:lang w:val="de-DE"/>
        </w:rPr>
      </w:pPr>
      <w:r w:rsidRPr="00C20C76">
        <w:rPr>
          <w:lang w:val="de-DE"/>
        </w:rPr>
        <w:fldChar w:fldCharType="begin"/>
      </w:r>
      <w:r w:rsidRPr="00C20C76">
        <w:rPr>
          <w:lang w:val="de-DE"/>
        </w:rPr>
        <w:instrText xml:space="preserve"> AUTONUM  </w:instrText>
      </w:r>
      <w:r w:rsidRPr="00C20C76">
        <w:rPr>
          <w:lang w:val="de-DE"/>
        </w:rPr>
        <w:fldChar w:fldCharType="end"/>
      </w:r>
      <w:r w:rsidRPr="00C20C76">
        <w:rPr>
          <w:lang w:val="de-DE"/>
        </w:rPr>
        <w:tab/>
        <w:t>Die TW</w:t>
      </w:r>
      <w:r w:rsidR="001A3B87">
        <w:rPr>
          <w:lang w:val="de-DE"/>
        </w:rPr>
        <w:t>A nahm die Arbeit, über die berichtet wurde, zur Kenntnis und vereinbarte, die Sachverständigen aus Dänemark und dem Vereinigten Königreich zu ersuchen, auf ihrer einundfünfzigsten Tagung über weitere Entwicklungen zu berichten.</w:t>
      </w:r>
    </w:p>
    <w:p w14:paraId="1A560186" w14:textId="4CF5A4A8" w:rsidR="001A3B87" w:rsidRDefault="001A3B87" w:rsidP="00167246">
      <w:pPr>
        <w:rPr>
          <w:lang w:val="de-DE"/>
        </w:rPr>
      </w:pPr>
    </w:p>
    <w:p w14:paraId="7271C7AF" w14:textId="2CFD8606" w:rsidR="001A3B87" w:rsidRPr="00A706E3" w:rsidRDefault="00A706E3" w:rsidP="00167246">
      <w:pPr>
        <w:rPr>
          <w:snapToGrid w:val="0"/>
          <w:u w:val="single"/>
          <w:lang w:val="de-DE"/>
        </w:rPr>
      </w:pPr>
      <w:r w:rsidRPr="00A706E3">
        <w:rPr>
          <w:u w:val="single"/>
          <w:lang w:val="de-DE"/>
        </w:rPr>
        <w:t xml:space="preserve">Fragen, die bei </w:t>
      </w:r>
      <w:r w:rsidRPr="00A706E3">
        <w:rPr>
          <w:snapToGrid w:val="0"/>
          <w:u w:val="single"/>
          <w:lang w:val="de-DE"/>
        </w:rPr>
        <w:t>der DUS-Prüfung für den Obstsektor relevant sind</w:t>
      </w:r>
    </w:p>
    <w:p w14:paraId="5DD429B4" w14:textId="77777777" w:rsidR="00A706E3" w:rsidRDefault="00A706E3" w:rsidP="00167246">
      <w:pPr>
        <w:rPr>
          <w:lang w:val="de-DE"/>
        </w:rPr>
      </w:pPr>
    </w:p>
    <w:p w14:paraId="54DEDE45" w14:textId="7429E394" w:rsidR="001A3B87" w:rsidRDefault="001A3B87" w:rsidP="001A3B87">
      <w:pPr>
        <w:rPr>
          <w:lang w:val="de-DE"/>
        </w:rPr>
      </w:pPr>
      <w:r w:rsidRPr="000035F9">
        <w:rPr>
          <w:rFonts w:cs="Arial"/>
        </w:rPr>
        <w:fldChar w:fldCharType="begin"/>
      </w:r>
      <w:r w:rsidRPr="008A36F8">
        <w:rPr>
          <w:rFonts w:cs="Arial"/>
          <w:lang w:val="de-DE"/>
        </w:rPr>
        <w:instrText xml:space="preserve"> AUTONUM  </w:instrText>
      </w:r>
      <w:r w:rsidRPr="000035F9">
        <w:rPr>
          <w:rFonts w:cs="Arial"/>
        </w:rPr>
        <w:fldChar w:fldCharType="end"/>
      </w:r>
      <w:r w:rsidRPr="008A36F8">
        <w:rPr>
          <w:rFonts w:cs="Arial"/>
          <w:lang w:val="de-DE"/>
        </w:rPr>
        <w:tab/>
        <w:t>Die TWF</w:t>
      </w:r>
      <w:r>
        <w:rPr>
          <w:rStyle w:val="FootnoteReference"/>
          <w:rFonts w:cs="Arial"/>
        </w:rPr>
        <w:footnoteReference w:id="14"/>
      </w:r>
      <w:r w:rsidRPr="008A36F8">
        <w:rPr>
          <w:rFonts w:cs="Arial"/>
          <w:lang w:val="de-DE"/>
        </w:rPr>
        <w:t xml:space="preserve"> hörte ein Referat über die “Anzahl der Pflanzen von Vergleichssorten”, von einem Sachverständigen </w:t>
      </w:r>
      <w:r w:rsidR="00823C59">
        <w:rPr>
          <w:rFonts w:cs="Arial"/>
          <w:lang w:val="de-DE"/>
        </w:rPr>
        <w:t xml:space="preserve">aus </w:t>
      </w:r>
      <w:r w:rsidRPr="008A36F8">
        <w:rPr>
          <w:rFonts w:cs="Arial"/>
          <w:lang w:val="de-DE"/>
        </w:rPr>
        <w:t>der Europäischen Union</w:t>
      </w:r>
      <w:r>
        <w:rPr>
          <w:rFonts w:cs="Arial"/>
          <w:lang w:val="de-DE"/>
        </w:rPr>
        <w:t xml:space="preserve">. Eine Abschrift des Referats ist in der Anlage </w:t>
      </w:r>
      <w:r w:rsidR="00F932C6">
        <w:rPr>
          <w:rFonts w:cs="Arial"/>
          <w:lang w:val="de-DE"/>
        </w:rPr>
        <w:t>des</w:t>
      </w:r>
      <w:r>
        <w:rPr>
          <w:rFonts w:cs="Arial"/>
          <w:lang w:val="de-DE"/>
        </w:rPr>
        <w:t xml:space="preserve"> Dokument</w:t>
      </w:r>
      <w:r w:rsidR="00F932C6">
        <w:rPr>
          <w:rFonts w:cs="Arial"/>
          <w:lang w:val="de-DE"/>
        </w:rPr>
        <w:t>s</w:t>
      </w:r>
      <w:r w:rsidRPr="008A36F8">
        <w:rPr>
          <w:lang w:val="de-DE"/>
        </w:rPr>
        <w:t xml:space="preserve"> TWF/52/7</w:t>
      </w:r>
      <w:r w:rsidR="00F17973" w:rsidRPr="00F17973">
        <w:rPr>
          <w:lang w:val="de-DE"/>
        </w:rPr>
        <w:t xml:space="preserve"> </w:t>
      </w:r>
      <w:r w:rsidR="00F17973">
        <w:rPr>
          <w:lang w:val="de-DE"/>
        </w:rPr>
        <w:t>enthalten</w:t>
      </w:r>
      <w:r w:rsidRPr="008A36F8">
        <w:rPr>
          <w:lang w:val="de-DE"/>
        </w:rPr>
        <w:t xml:space="preserve"> (</w:t>
      </w:r>
      <w:r w:rsidR="00EB2711">
        <w:rPr>
          <w:lang w:val="de-DE"/>
        </w:rPr>
        <w:t xml:space="preserve">vergleiche Dokument </w:t>
      </w:r>
      <w:r w:rsidRPr="008A36F8">
        <w:rPr>
          <w:lang w:val="de-DE"/>
        </w:rPr>
        <w:t xml:space="preserve">TWF/52/10 “Report”, </w:t>
      </w:r>
      <w:r w:rsidR="00EB2711">
        <w:rPr>
          <w:lang w:val="de-DE"/>
        </w:rPr>
        <w:t>Abs</w:t>
      </w:r>
      <w:r w:rsidR="00F932C6">
        <w:rPr>
          <w:lang w:val="de-DE"/>
        </w:rPr>
        <w:t>ätze</w:t>
      </w:r>
      <w:r w:rsidR="00EB2711" w:rsidRPr="00EB2711">
        <w:rPr>
          <w:lang w:val="de-DE"/>
        </w:rPr>
        <w:t xml:space="preserve"> 71 u</w:t>
      </w:r>
      <w:r w:rsidRPr="008A36F8">
        <w:rPr>
          <w:lang w:val="de-DE"/>
        </w:rPr>
        <w:t>nd 72).</w:t>
      </w:r>
    </w:p>
    <w:p w14:paraId="3553F366" w14:textId="77777777" w:rsidR="00A706E3" w:rsidRDefault="00A706E3" w:rsidP="001A3B87">
      <w:pPr>
        <w:rPr>
          <w:lang w:val="de-DE"/>
        </w:rPr>
      </w:pPr>
    </w:p>
    <w:p w14:paraId="7F46FB5C" w14:textId="17CE09A3" w:rsidR="00EB2711" w:rsidRPr="008A36F8" w:rsidRDefault="00EB2711" w:rsidP="001A3B87">
      <w:pPr>
        <w:rPr>
          <w:lang w:val="de-DE"/>
        </w:rPr>
      </w:pPr>
      <w:r w:rsidRPr="000035F9">
        <w:rPr>
          <w:rFonts w:cs="Arial"/>
        </w:rPr>
        <w:fldChar w:fldCharType="begin"/>
      </w:r>
      <w:r w:rsidRPr="008A36F8">
        <w:rPr>
          <w:rFonts w:cs="Arial"/>
          <w:lang w:val="de-DE"/>
        </w:rPr>
        <w:instrText xml:space="preserve"> AUTONUM  </w:instrText>
      </w:r>
      <w:r w:rsidRPr="000035F9">
        <w:rPr>
          <w:rFonts w:cs="Arial"/>
        </w:rPr>
        <w:fldChar w:fldCharType="end"/>
      </w:r>
      <w:r w:rsidRPr="008A36F8">
        <w:rPr>
          <w:rFonts w:cs="Arial"/>
          <w:lang w:val="de-DE"/>
        </w:rPr>
        <w:tab/>
        <w:t xml:space="preserve">Die TWF vereinbarte, den Sachverständigen </w:t>
      </w:r>
      <w:r w:rsidR="00823C59">
        <w:rPr>
          <w:rFonts w:cs="Arial"/>
          <w:lang w:val="de-DE"/>
        </w:rPr>
        <w:t xml:space="preserve">aus </w:t>
      </w:r>
      <w:r w:rsidRPr="008A36F8">
        <w:rPr>
          <w:rFonts w:cs="Arial"/>
          <w:lang w:val="de-DE"/>
        </w:rPr>
        <w:t>der Europäischen Union</w:t>
      </w:r>
      <w:r>
        <w:rPr>
          <w:rFonts w:cs="Arial"/>
          <w:lang w:val="de-DE"/>
        </w:rPr>
        <w:t xml:space="preserve"> zu ersuchen, mit der Unterstützung Brasiliens</w:t>
      </w:r>
      <w:r w:rsidRPr="00EB2711">
        <w:rPr>
          <w:rFonts w:cs="Arial"/>
          <w:lang w:val="de-DE"/>
        </w:rPr>
        <w:t xml:space="preserve"> einen Vorschlag</w:t>
      </w:r>
      <w:r>
        <w:rPr>
          <w:rFonts w:cs="Arial"/>
          <w:lang w:val="de-DE"/>
        </w:rPr>
        <w:t xml:space="preserve"> zu möglichen Änderungen in Dokument TGP/9/2, Absatz 5.5.5.</w:t>
      </w:r>
      <w:r w:rsidRPr="00EB2711">
        <w:rPr>
          <w:rFonts w:cs="Arial"/>
          <w:lang w:val="de-DE"/>
        </w:rPr>
        <w:t xml:space="preserve"> </w:t>
      </w:r>
      <w:r w:rsidR="00F932C6">
        <w:rPr>
          <w:rFonts w:cs="Arial"/>
          <w:lang w:val="de-DE"/>
        </w:rPr>
        <w:t xml:space="preserve">auszuarbeiten und diesen </w:t>
      </w:r>
      <w:r>
        <w:rPr>
          <w:rFonts w:cs="Arial"/>
          <w:lang w:val="de-DE"/>
        </w:rPr>
        <w:t xml:space="preserve">auf </w:t>
      </w:r>
      <w:r w:rsidR="00F932C6">
        <w:rPr>
          <w:rFonts w:cs="Arial"/>
          <w:lang w:val="de-DE"/>
        </w:rPr>
        <w:t>ihrer dreiundfünfzigsten Tagung vorzustellen</w:t>
      </w:r>
      <w:r>
        <w:rPr>
          <w:rFonts w:cs="Arial"/>
          <w:lang w:val="de-DE"/>
        </w:rPr>
        <w:t>.</w:t>
      </w:r>
      <w:r w:rsidRPr="008A36F8">
        <w:rPr>
          <w:rFonts w:cs="Arial"/>
          <w:lang w:val="de-DE"/>
        </w:rPr>
        <w:t xml:space="preserve"> </w:t>
      </w:r>
    </w:p>
    <w:p w14:paraId="3E024BC1" w14:textId="77777777" w:rsidR="001A3B87" w:rsidRPr="001A3B87" w:rsidRDefault="001A3B87" w:rsidP="00167246">
      <w:pPr>
        <w:rPr>
          <w:lang w:val="de-DE"/>
        </w:rPr>
      </w:pPr>
    </w:p>
    <w:p w14:paraId="0797BF52" w14:textId="77777777" w:rsidR="0028739C" w:rsidRPr="008A36F8" w:rsidRDefault="0028739C" w:rsidP="00167246">
      <w:pPr>
        <w:rPr>
          <w:lang w:val="de-DE"/>
        </w:rPr>
      </w:pPr>
      <w:bookmarkStart w:id="14" w:name="_GoBack"/>
      <w:bookmarkEnd w:id="14"/>
    </w:p>
    <w:p w14:paraId="63935D31" w14:textId="77777777" w:rsidR="007A5CA0" w:rsidRPr="008A36F8" w:rsidRDefault="007A5CA0" w:rsidP="00167246">
      <w:pPr>
        <w:rPr>
          <w:lang w:val="de-DE"/>
        </w:rPr>
      </w:pPr>
    </w:p>
    <w:p w14:paraId="276B07AE" w14:textId="77777777" w:rsidR="009B440E" w:rsidRPr="00C20C76" w:rsidRDefault="00050E16" w:rsidP="00167246">
      <w:pPr>
        <w:jc w:val="right"/>
        <w:rPr>
          <w:lang w:val="de-DE"/>
        </w:rPr>
      </w:pPr>
      <w:r w:rsidRPr="008A36F8">
        <w:rPr>
          <w:lang w:val="de-DE"/>
        </w:rPr>
        <w:t xml:space="preserve"> </w:t>
      </w:r>
      <w:r w:rsidRPr="00C20C76">
        <w:rPr>
          <w:lang w:val="de-DE"/>
        </w:rPr>
        <w:t>[Ende des Dokuments]</w:t>
      </w:r>
    </w:p>
    <w:p w14:paraId="501260BF" w14:textId="77777777" w:rsidR="00050E16" w:rsidRPr="0089331B" w:rsidRDefault="00050E16" w:rsidP="00167246">
      <w:pPr>
        <w:jc w:val="left"/>
      </w:pPr>
    </w:p>
    <w:sectPr w:rsidR="00050E16" w:rsidRPr="0089331B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6D365" w14:textId="77777777" w:rsidR="008E11ED" w:rsidRDefault="008E11ED" w:rsidP="006655D3">
      <w:r>
        <w:separator/>
      </w:r>
    </w:p>
    <w:p w14:paraId="31F8A09C" w14:textId="77777777" w:rsidR="008E11ED" w:rsidRDefault="008E11ED" w:rsidP="006655D3"/>
    <w:p w14:paraId="2A364F20" w14:textId="77777777" w:rsidR="008E11ED" w:rsidRDefault="008E11ED" w:rsidP="006655D3"/>
  </w:endnote>
  <w:endnote w:type="continuationSeparator" w:id="0">
    <w:p w14:paraId="38427559" w14:textId="77777777" w:rsidR="008E11ED" w:rsidRDefault="008E11ED" w:rsidP="006655D3">
      <w:r>
        <w:separator/>
      </w:r>
    </w:p>
    <w:p w14:paraId="689CB956" w14:textId="77777777" w:rsidR="008E11ED" w:rsidRPr="00171ED5" w:rsidRDefault="008E11ED">
      <w:pPr>
        <w:pStyle w:val="Footer"/>
        <w:spacing w:after="60"/>
        <w:rPr>
          <w:sz w:val="18"/>
          <w:lang w:val="de-DE"/>
        </w:rPr>
      </w:pPr>
      <w:r w:rsidRPr="00171ED5">
        <w:rPr>
          <w:sz w:val="18"/>
          <w:lang w:val="de-DE"/>
        </w:rPr>
        <w:t>[Fortsetzung der Anmerkung auf der vorherigen Seite]</w:t>
      </w:r>
    </w:p>
    <w:p w14:paraId="5F7F1406" w14:textId="77777777" w:rsidR="008E11ED" w:rsidRPr="00171ED5" w:rsidRDefault="008E11ED" w:rsidP="006655D3">
      <w:pPr>
        <w:rPr>
          <w:lang w:val="de-DE"/>
        </w:rPr>
      </w:pPr>
    </w:p>
    <w:p w14:paraId="293006B8" w14:textId="77777777" w:rsidR="008E11ED" w:rsidRPr="00171ED5" w:rsidRDefault="008E11ED" w:rsidP="006655D3">
      <w:pPr>
        <w:rPr>
          <w:lang w:val="de-DE"/>
        </w:rPr>
      </w:pPr>
    </w:p>
  </w:endnote>
  <w:endnote w:type="continuationNotice" w:id="1">
    <w:p w14:paraId="3A2149DD" w14:textId="77777777" w:rsidR="008E11ED" w:rsidRPr="00171ED5" w:rsidRDefault="008E11ED" w:rsidP="006655D3">
      <w:pPr>
        <w:rPr>
          <w:lang w:val="de-DE"/>
        </w:rPr>
      </w:pPr>
      <w:r w:rsidRPr="00171ED5">
        <w:rPr>
          <w:lang w:val="de-DE"/>
        </w:rPr>
        <w:t>[Fortsetzung von Anmerkung auf der nächsten Seite]</w:t>
      </w:r>
    </w:p>
    <w:p w14:paraId="2A1B7F00" w14:textId="77777777" w:rsidR="008E11ED" w:rsidRPr="00171ED5" w:rsidRDefault="008E11ED" w:rsidP="006655D3">
      <w:pPr>
        <w:rPr>
          <w:lang w:val="de-DE"/>
        </w:rPr>
      </w:pPr>
    </w:p>
    <w:p w14:paraId="7BE3E30F" w14:textId="77777777" w:rsidR="008E11ED" w:rsidRPr="00171ED5" w:rsidRDefault="008E11ED" w:rsidP="006655D3">
      <w:pPr>
        <w:rPr>
          <w:lang w:val="de-D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C6724" w14:textId="77777777" w:rsidR="008E11ED" w:rsidRDefault="008E11ED" w:rsidP="006655D3">
      <w:r>
        <w:separator/>
      </w:r>
    </w:p>
  </w:footnote>
  <w:footnote w:type="continuationSeparator" w:id="0">
    <w:p w14:paraId="6B83C85A" w14:textId="77777777" w:rsidR="008E11ED" w:rsidRDefault="008E11ED" w:rsidP="006655D3">
      <w:r>
        <w:separator/>
      </w:r>
    </w:p>
  </w:footnote>
  <w:footnote w:type="continuationNotice" w:id="1">
    <w:p w14:paraId="4E340A70" w14:textId="77777777" w:rsidR="008E11ED" w:rsidRPr="00AB530F" w:rsidRDefault="008E11ED" w:rsidP="00AB530F">
      <w:pPr>
        <w:pStyle w:val="Footer"/>
      </w:pPr>
    </w:p>
  </w:footnote>
  <w:footnote w:id="2">
    <w:p w14:paraId="4FE87209" w14:textId="5D8D33AB" w:rsidR="008E11ED" w:rsidRPr="00243C74" w:rsidRDefault="008E11ED" w:rsidP="000912AD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D052FF">
        <w:rPr>
          <w:lang w:val="de-DE"/>
        </w:rPr>
        <w:t xml:space="preserve"> </w:t>
      </w:r>
      <w:r>
        <w:rPr>
          <w:lang w:val="de-DE"/>
        </w:rPr>
        <w:t>auf ihrer fünf</w:t>
      </w:r>
      <w:r w:rsidRPr="00243C74">
        <w:rPr>
          <w:lang w:val="de-DE"/>
        </w:rPr>
        <w:t xml:space="preserve">undfünfzigsten Tagung vom </w:t>
      </w:r>
      <w:r>
        <w:rPr>
          <w:lang w:val="de-DE"/>
        </w:rPr>
        <w:t>3. bis 7</w:t>
      </w:r>
      <w:r w:rsidRPr="00243C74">
        <w:rPr>
          <w:lang w:val="de-DE"/>
        </w:rPr>
        <w:t>. Mai</w:t>
      </w:r>
      <w:r>
        <w:rPr>
          <w:lang w:val="de-DE"/>
        </w:rPr>
        <w:t xml:space="preserve"> 2021</w:t>
      </w:r>
      <w:r w:rsidRPr="00243C74">
        <w:rPr>
          <w:lang w:val="de-DE"/>
        </w:rPr>
        <w:t xml:space="preserve">, von </w:t>
      </w:r>
      <w:r>
        <w:rPr>
          <w:lang w:val="de-DE"/>
        </w:rPr>
        <w:t>der Türkei</w:t>
      </w:r>
      <w:r w:rsidRPr="00243C74">
        <w:rPr>
          <w:lang w:val="de-DE"/>
        </w:rPr>
        <w:t xml:space="preserve"> ausgerichtet und auf elektronischem Wege </w:t>
      </w:r>
      <w:r>
        <w:rPr>
          <w:lang w:val="de-DE"/>
        </w:rPr>
        <w:t>abgehalten</w:t>
      </w:r>
      <w:r w:rsidRPr="00243C74">
        <w:rPr>
          <w:lang w:val="de-DE"/>
        </w:rPr>
        <w:t>.</w:t>
      </w:r>
    </w:p>
  </w:footnote>
  <w:footnote w:id="3">
    <w:p w14:paraId="236B9E76" w14:textId="30F54ED5" w:rsidR="008E11ED" w:rsidRPr="00243C74" w:rsidRDefault="008E11ED" w:rsidP="000912AD">
      <w:pPr>
        <w:pStyle w:val="FootnoteText"/>
        <w:rPr>
          <w:lang w:val="de-DE"/>
        </w:rPr>
      </w:pPr>
      <w:r w:rsidRPr="00243C74">
        <w:rPr>
          <w:rStyle w:val="FootnoteReference"/>
          <w:lang w:val="de-DE"/>
        </w:rPr>
        <w:footnoteRef/>
      </w:r>
      <w:r w:rsidRPr="00243C74">
        <w:rPr>
          <w:lang w:val="de-DE"/>
        </w:rPr>
        <w:t xml:space="preserve"> auf </w:t>
      </w:r>
      <w:r>
        <w:rPr>
          <w:lang w:val="de-DE"/>
        </w:rPr>
        <w:t>ihrer drei</w:t>
      </w:r>
      <w:r w:rsidRPr="00243C74">
        <w:rPr>
          <w:lang w:val="de-DE"/>
        </w:rPr>
        <w:t xml:space="preserve">undfünfzigsten Tagung vom </w:t>
      </w:r>
      <w:r>
        <w:rPr>
          <w:lang w:val="de-DE"/>
        </w:rPr>
        <w:t>7</w:t>
      </w:r>
      <w:r w:rsidRPr="00243C74">
        <w:rPr>
          <w:lang w:val="de-DE"/>
        </w:rPr>
        <w:t>. bis 1</w:t>
      </w:r>
      <w:r>
        <w:rPr>
          <w:lang w:val="de-DE"/>
        </w:rPr>
        <w:t>1</w:t>
      </w:r>
      <w:r w:rsidRPr="00243C74">
        <w:rPr>
          <w:lang w:val="de-DE"/>
        </w:rPr>
        <w:t>. Juni 202</w:t>
      </w:r>
      <w:r>
        <w:rPr>
          <w:lang w:val="de-DE"/>
        </w:rPr>
        <w:t>1</w:t>
      </w:r>
      <w:r w:rsidRPr="00243C74">
        <w:rPr>
          <w:lang w:val="de-DE"/>
        </w:rPr>
        <w:t xml:space="preserve">, von den Niederlanden ausgerichtet und auf elektronischem Wege </w:t>
      </w:r>
      <w:r>
        <w:rPr>
          <w:lang w:val="de-DE"/>
        </w:rPr>
        <w:t>abgehalten</w:t>
      </w:r>
      <w:r w:rsidRPr="00243C74">
        <w:rPr>
          <w:lang w:val="de-DE"/>
        </w:rPr>
        <w:t>.</w:t>
      </w:r>
    </w:p>
  </w:footnote>
  <w:footnote w:id="4">
    <w:p w14:paraId="72AACA83" w14:textId="143E36F4" w:rsidR="008E11ED" w:rsidRPr="00243C74" w:rsidRDefault="008E11ED">
      <w:pPr>
        <w:pStyle w:val="FootnoteText"/>
        <w:rPr>
          <w:lang w:val="de-DE"/>
        </w:rPr>
      </w:pPr>
      <w:r w:rsidRPr="00243C74">
        <w:rPr>
          <w:rStyle w:val="FootnoteReference"/>
          <w:lang w:val="de-DE"/>
        </w:rPr>
        <w:footnoteRef/>
      </w:r>
      <w:r w:rsidRPr="00243C74">
        <w:rPr>
          <w:lang w:val="de-DE"/>
        </w:rPr>
        <w:t xml:space="preserve"> auf ihrer </w:t>
      </w:r>
      <w:r>
        <w:rPr>
          <w:lang w:val="de-DE"/>
        </w:rPr>
        <w:t>fünfzigsten</w:t>
      </w:r>
      <w:r w:rsidRPr="00243C74">
        <w:rPr>
          <w:lang w:val="de-DE"/>
        </w:rPr>
        <w:t xml:space="preserve"> Tagung vom 2</w:t>
      </w:r>
      <w:r>
        <w:rPr>
          <w:lang w:val="de-DE"/>
        </w:rPr>
        <w:t>1</w:t>
      </w:r>
      <w:r w:rsidRPr="00243C74">
        <w:rPr>
          <w:lang w:val="de-DE"/>
        </w:rPr>
        <w:t>. bis 2</w:t>
      </w:r>
      <w:r>
        <w:rPr>
          <w:lang w:val="de-DE"/>
        </w:rPr>
        <w:t>5</w:t>
      </w:r>
      <w:r w:rsidRPr="00243C74">
        <w:rPr>
          <w:lang w:val="de-DE"/>
        </w:rPr>
        <w:t>. Juni 202</w:t>
      </w:r>
      <w:r>
        <w:rPr>
          <w:lang w:val="de-DE"/>
        </w:rPr>
        <w:t>1</w:t>
      </w:r>
      <w:r w:rsidRPr="00243C74">
        <w:rPr>
          <w:lang w:val="de-DE"/>
        </w:rPr>
        <w:t xml:space="preserve">, von </w:t>
      </w:r>
      <w:r>
        <w:rPr>
          <w:lang w:val="de-DE"/>
        </w:rPr>
        <w:t>Vereinigten Republik Tansania</w:t>
      </w:r>
      <w:r w:rsidRPr="00243C74">
        <w:rPr>
          <w:lang w:val="de-DE"/>
        </w:rPr>
        <w:t xml:space="preserve"> ausgerichtet </w:t>
      </w:r>
      <w:r>
        <w:rPr>
          <w:lang w:val="de-DE"/>
        </w:rPr>
        <w:t>und auf elektronischem Wege abgehalten</w:t>
      </w:r>
      <w:r w:rsidRPr="00243C74">
        <w:rPr>
          <w:lang w:val="de-DE"/>
        </w:rPr>
        <w:t>.</w:t>
      </w:r>
    </w:p>
  </w:footnote>
  <w:footnote w:id="5">
    <w:p w14:paraId="1D2805E5" w14:textId="0EFAF7A8" w:rsidR="008E11ED" w:rsidRPr="00243C74" w:rsidRDefault="008E11ED">
      <w:pPr>
        <w:pStyle w:val="FootnoteText"/>
        <w:rPr>
          <w:lang w:val="de-DE"/>
        </w:rPr>
      </w:pPr>
      <w:r w:rsidRPr="00243C74">
        <w:rPr>
          <w:rStyle w:val="FootnoteReference"/>
          <w:lang w:val="de-DE"/>
        </w:rPr>
        <w:footnoteRef/>
      </w:r>
      <w:r w:rsidRPr="00243C74">
        <w:rPr>
          <w:lang w:val="de-DE"/>
        </w:rPr>
        <w:t xml:space="preserve"> auf </w:t>
      </w:r>
      <w:r>
        <w:rPr>
          <w:lang w:val="de-DE"/>
        </w:rPr>
        <w:t>ihrer</w:t>
      </w:r>
      <w:r w:rsidRPr="00243C74">
        <w:rPr>
          <w:lang w:val="de-DE"/>
        </w:rPr>
        <w:t xml:space="preserve"> </w:t>
      </w:r>
      <w:r>
        <w:rPr>
          <w:lang w:val="de-DE"/>
        </w:rPr>
        <w:t>zweiundfünfzigsten Tagung vom 12</w:t>
      </w:r>
      <w:r w:rsidRPr="00243C74">
        <w:rPr>
          <w:lang w:val="de-DE"/>
        </w:rPr>
        <w:t>. bis 1</w:t>
      </w:r>
      <w:r>
        <w:rPr>
          <w:lang w:val="de-DE"/>
        </w:rPr>
        <w:t>6</w:t>
      </w:r>
      <w:r w:rsidRPr="00243C74">
        <w:rPr>
          <w:lang w:val="de-DE"/>
        </w:rPr>
        <w:t>. Juli 202</w:t>
      </w:r>
      <w:r>
        <w:rPr>
          <w:lang w:val="de-DE"/>
        </w:rPr>
        <w:t>1</w:t>
      </w:r>
      <w:r w:rsidRPr="00243C74">
        <w:rPr>
          <w:lang w:val="de-DE"/>
        </w:rPr>
        <w:t xml:space="preserve">, von </w:t>
      </w:r>
      <w:r>
        <w:rPr>
          <w:lang w:val="de-DE"/>
        </w:rPr>
        <w:t>China</w:t>
      </w:r>
      <w:r w:rsidRPr="00243C74">
        <w:rPr>
          <w:lang w:val="de-DE"/>
        </w:rPr>
        <w:t xml:space="preserve"> ausgerichtet und auf elektronischem Wege </w:t>
      </w:r>
      <w:r>
        <w:rPr>
          <w:lang w:val="de-DE"/>
        </w:rPr>
        <w:t>abgehalten</w:t>
      </w:r>
      <w:r w:rsidRPr="00243C74">
        <w:rPr>
          <w:lang w:val="de-DE"/>
        </w:rPr>
        <w:t>.</w:t>
      </w:r>
    </w:p>
  </w:footnote>
  <w:footnote w:id="6">
    <w:p w14:paraId="36567B0A" w14:textId="6A9787D2" w:rsidR="008E11ED" w:rsidRPr="007768A4" w:rsidRDefault="008E11ED" w:rsidP="00F93DBB">
      <w:pPr>
        <w:pStyle w:val="FootnoteText"/>
        <w:rPr>
          <w:lang w:val="de-DE"/>
        </w:rPr>
      </w:pPr>
      <w:r w:rsidRPr="005F1F78">
        <w:rPr>
          <w:rStyle w:val="FootnoteReference"/>
        </w:rPr>
        <w:footnoteRef/>
      </w:r>
      <w:r w:rsidRPr="007768A4">
        <w:rPr>
          <w:lang w:val="de-DE"/>
        </w:rPr>
        <w:t xml:space="preserve"> </w:t>
      </w:r>
      <w:r>
        <w:rPr>
          <w:lang w:val="de-DE"/>
        </w:rPr>
        <w:t>a</w:t>
      </w:r>
      <w:r w:rsidRPr="007768A4">
        <w:rPr>
          <w:lang w:val="de-DE"/>
        </w:rPr>
        <w:t>uf ihrer</w:t>
      </w:r>
      <w:r>
        <w:rPr>
          <w:lang w:val="de-DE"/>
        </w:rPr>
        <w:t xml:space="preserve"> neununddreißigsten Tagung vom </w:t>
      </w:r>
      <w:r w:rsidRPr="007768A4">
        <w:rPr>
          <w:lang w:val="de-DE"/>
        </w:rPr>
        <w:t>2</w:t>
      </w:r>
      <w:r>
        <w:rPr>
          <w:lang w:val="de-DE"/>
        </w:rPr>
        <w:t>0</w:t>
      </w:r>
      <w:r w:rsidRPr="007768A4">
        <w:rPr>
          <w:lang w:val="de-DE"/>
        </w:rPr>
        <w:t xml:space="preserve">. bis </w:t>
      </w:r>
      <w:r>
        <w:rPr>
          <w:lang w:val="de-DE"/>
        </w:rPr>
        <w:t>22</w:t>
      </w:r>
      <w:r w:rsidRPr="007768A4">
        <w:rPr>
          <w:lang w:val="de-DE"/>
        </w:rPr>
        <w:t>.</w:t>
      </w:r>
      <w:r>
        <w:rPr>
          <w:lang w:val="de-DE"/>
        </w:rPr>
        <w:t xml:space="preserve"> September</w:t>
      </w:r>
      <w:r w:rsidRPr="007768A4">
        <w:rPr>
          <w:lang w:val="de-DE"/>
        </w:rPr>
        <w:t xml:space="preserve"> 2021, von </w:t>
      </w:r>
      <w:r>
        <w:rPr>
          <w:lang w:val="de-DE"/>
        </w:rPr>
        <w:t>den Vereinigten Staaten von Amerika</w:t>
      </w:r>
      <w:r w:rsidRPr="007768A4">
        <w:rPr>
          <w:lang w:val="de-DE"/>
        </w:rPr>
        <w:t xml:space="preserve"> ausgerichtet und auf elektronischem Wege abgehalten.</w:t>
      </w:r>
    </w:p>
  </w:footnote>
  <w:footnote w:id="7">
    <w:p w14:paraId="2EBAEDE0" w14:textId="56A1757D" w:rsidR="008E11ED" w:rsidRPr="00A92468" w:rsidRDefault="008E11ED" w:rsidP="00F93DBB">
      <w:pPr>
        <w:pStyle w:val="FootnoteText"/>
        <w:rPr>
          <w:lang w:val="de-DE"/>
        </w:rPr>
      </w:pPr>
      <w:r w:rsidRPr="005F1F78">
        <w:rPr>
          <w:rStyle w:val="FootnoteReference"/>
        </w:rPr>
        <w:footnoteRef/>
      </w:r>
      <w:r w:rsidRPr="00A92468">
        <w:rPr>
          <w:lang w:val="de-DE"/>
        </w:rPr>
        <w:t xml:space="preserve"> auf ihrer achtunddreißigsten Tagung vom 22. bis 24. September 2021 von den Vereinigten Staaten von Amerika ausgerichtet und auf elektronischem Wege abgehalten.</w:t>
      </w:r>
    </w:p>
  </w:footnote>
  <w:footnote w:id="8">
    <w:p w14:paraId="19DC1623" w14:textId="6867AB5C" w:rsidR="008E11ED" w:rsidRPr="00D052FF" w:rsidRDefault="008E11ED" w:rsidP="00AD5A29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D052FF">
        <w:rPr>
          <w:lang w:val="de-DE"/>
        </w:rPr>
        <w:t xml:space="preserve"> </w:t>
      </w:r>
      <w:r>
        <w:rPr>
          <w:lang w:val="de-DE"/>
        </w:rPr>
        <w:t>auf ihrer zwei</w:t>
      </w:r>
      <w:r w:rsidRPr="00243C74">
        <w:rPr>
          <w:lang w:val="de-DE"/>
        </w:rPr>
        <w:t>undfünfzigsten Tagung vom 1</w:t>
      </w:r>
      <w:r>
        <w:rPr>
          <w:lang w:val="de-DE"/>
        </w:rPr>
        <w:t>2</w:t>
      </w:r>
      <w:r w:rsidRPr="00243C74">
        <w:rPr>
          <w:lang w:val="de-DE"/>
        </w:rPr>
        <w:t>. bis 1</w:t>
      </w:r>
      <w:r>
        <w:rPr>
          <w:lang w:val="de-DE"/>
        </w:rPr>
        <w:t>6</w:t>
      </w:r>
      <w:r w:rsidRPr="00243C74">
        <w:rPr>
          <w:lang w:val="de-DE"/>
        </w:rPr>
        <w:t xml:space="preserve">. </w:t>
      </w:r>
      <w:r>
        <w:rPr>
          <w:lang w:val="de-DE"/>
        </w:rPr>
        <w:t>Juli 2021, von China</w:t>
      </w:r>
      <w:r w:rsidRPr="00243C74">
        <w:rPr>
          <w:lang w:val="de-DE"/>
        </w:rPr>
        <w:t xml:space="preserve"> ausgerichtet und auf elektronischem Wege </w:t>
      </w:r>
      <w:r>
        <w:rPr>
          <w:lang w:val="de-DE"/>
        </w:rPr>
        <w:t>abgehalten</w:t>
      </w:r>
      <w:r w:rsidRPr="00D052FF">
        <w:rPr>
          <w:lang w:val="de-DE"/>
        </w:rPr>
        <w:t>.</w:t>
      </w:r>
    </w:p>
  </w:footnote>
  <w:footnote w:id="9">
    <w:p w14:paraId="4154FB04" w14:textId="28D0B7C4" w:rsidR="008E11ED" w:rsidRPr="00582D08" w:rsidRDefault="008E11ED" w:rsidP="00AD5A29">
      <w:pPr>
        <w:pStyle w:val="FootnoteText"/>
        <w:rPr>
          <w:lang w:val="de-DE"/>
        </w:rPr>
      </w:pPr>
      <w:r w:rsidRPr="00582D08">
        <w:rPr>
          <w:rStyle w:val="FootnoteReference"/>
          <w:lang w:val="de-DE"/>
        </w:rPr>
        <w:footnoteRef/>
      </w:r>
      <w:r w:rsidRPr="00582D08">
        <w:rPr>
          <w:lang w:val="de-DE"/>
        </w:rPr>
        <w:t xml:space="preserve"> auf ihrer </w:t>
      </w:r>
      <w:r w:rsidR="003D11B4">
        <w:rPr>
          <w:lang w:val="de-DE"/>
        </w:rPr>
        <w:t>zwei</w:t>
      </w:r>
      <w:r>
        <w:rPr>
          <w:lang w:val="de-DE"/>
        </w:rPr>
        <w:t>undfünfzigsten Tagung</w:t>
      </w:r>
      <w:r w:rsidRPr="00582D08">
        <w:rPr>
          <w:lang w:val="de-DE"/>
        </w:rPr>
        <w:t xml:space="preserve"> vom </w:t>
      </w:r>
      <w:r w:rsidR="003D11B4">
        <w:rPr>
          <w:lang w:val="de-DE"/>
        </w:rPr>
        <w:t>12</w:t>
      </w:r>
      <w:r w:rsidRPr="00582D08">
        <w:rPr>
          <w:lang w:val="de-DE"/>
        </w:rPr>
        <w:t>. bis 1</w:t>
      </w:r>
      <w:r w:rsidR="003D11B4">
        <w:rPr>
          <w:lang w:val="de-DE"/>
        </w:rPr>
        <w:t>6</w:t>
      </w:r>
      <w:r w:rsidRPr="00582D08">
        <w:rPr>
          <w:lang w:val="de-DE"/>
        </w:rPr>
        <w:t>. Juli 202</w:t>
      </w:r>
      <w:r w:rsidR="003D11B4">
        <w:rPr>
          <w:lang w:val="de-DE"/>
        </w:rPr>
        <w:t>1</w:t>
      </w:r>
      <w:r w:rsidRPr="00582D08">
        <w:rPr>
          <w:lang w:val="de-DE"/>
        </w:rPr>
        <w:t xml:space="preserve">, von </w:t>
      </w:r>
      <w:r w:rsidR="003D11B4">
        <w:rPr>
          <w:lang w:val="de-DE"/>
        </w:rPr>
        <w:t>China</w:t>
      </w:r>
      <w:r w:rsidRPr="00582D08">
        <w:rPr>
          <w:lang w:val="de-DE"/>
        </w:rPr>
        <w:t xml:space="preserve"> ausgerichtet und auf elektronischem Wege </w:t>
      </w:r>
      <w:r w:rsidR="003D11B4">
        <w:rPr>
          <w:lang w:val="de-DE"/>
        </w:rPr>
        <w:t>abgehalten</w:t>
      </w:r>
      <w:r w:rsidRPr="00582D08">
        <w:rPr>
          <w:lang w:val="de-DE"/>
        </w:rPr>
        <w:t>.</w:t>
      </w:r>
    </w:p>
  </w:footnote>
  <w:footnote w:id="10">
    <w:p w14:paraId="528EB3D5" w14:textId="7B2F8951" w:rsidR="008E11ED" w:rsidRPr="003D11B4" w:rsidRDefault="008E11ED" w:rsidP="001E4C3E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="003D11B4" w:rsidRPr="003D11B4">
        <w:rPr>
          <w:lang w:val="de-DE"/>
        </w:rPr>
        <w:t xml:space="preserve"> auf ihrer</w:t>
      </w:r>
      <w:r w:rsidRPr="003D11B4">
        <w:rPr>
          <w:lang w:val="de-DE"/>
        </w:rPr>
        <w:t xml:space="preserve"> </w:t>
      </w:r>
      <w:proofErr w:type="spellStart"/>
      <w:r w:rsidR="003D11B4" w:rsidRPr="003D11B4">
        <w:rPr>
          <w:lang w:val="de-DE"/>
        </w:rPr>
        <w:t>fünfundfünzigsten</w:t>
      </w:r>
      <w:proofErr w:type="spellEnd"/>
      <w:r w:rsidR="003D11B4" w:rsidRPr="003D11B4">
        <w:rPr>
          <w:lang w:val="de-DE"/>
        </w:rPr>
        <w:t xml:space="preserve"> Tagung vom 3. bis 7. Mai 2021, von der Türkei ausgerichtet und auf elektronischem Wege abgehalten</w:t>
      </w:r>
      <w:r w:rsidR="0069762D">
        <w:rPr>
          <w:lang w:val="de-DE"/>
        </w:rPr>
        <w:t>.</w:t>
      </w:r>
    </w:p>
  </w:footnote>
  <w:footnote w:id="11">
    <w:p w14:paraId="65F32377" w14:textId="3CCBA2ED" w:rsidR="008E11ED" w:rsidRPr="00FB0F03" w:rsidRDefault="008E11ED" w:rsidP="00100363">
      <w:pPr>
        <w:pStyle w:val="FootnoteText"/>
        <w:rPr>
          <w:lang w:val="de-DE"/>
        </w:rPr>
      </w:pPr>
      <w:r w:rsidRPr="00FB0F03">
        <w:rPr>
          <w:rStyle w:val="FootnoteReference"/>
          <w:lang w:val="de-DE"/>
        </w:rPr>
        <w:footnoteRef/>
      </w:r>
      <w:r w:rsidRPr="00FB0F03">
        <w:rPr>
          <w:lang w:val="de-DE"/>
        </w:rPr>
        <w:t xml:space="preserve"> auf ihrer </w:t>
      </w:r>
      <w:r w:rsidR="00A706E3">
        <w:rPr>
          <w:lang w:val="de-DE"/>
        </w:rPr>
        <w:t>dreiundfünfzigsten</w:t>
      </w:r>
      <w:r w:rsidRPr="00FB0F03">
        <w:rPr>
          <w:lang w:val="de-DE"/>
        </w:rPr>
        <w:t xml:space="preserve"> Tagung vom </w:t>
      </w:r>
      <w:r w:rsidR="00A706E3">
        <w:rPr>
          <w:lang w:val="de-DE"/>
        </w:rPr>
        <w:t>7</w:t>
      </w:r>
      <w:r w:rsidRPr="00FB0F03">
        <w:rPr>
          <w:lang w:val="de-DE"/>
        </w:rPr>
        <w:t xml:space="preserve">. bis </w:t>
      </w:r>
      <w:r w:rsidR="00A706E3">
        <w:rPr>
          <w:lang w:val="de-DE"/>
        </w:rPr>
        <w:t>11</w:t>
      </w:r>
      <w:r w:rsidRPr="00FB0F03">
        <w:rPr>
          <w:lang w:val="de-DE"/>
        </w:rPr>
        <w:t xml:space="preserve">. </w:t>
      </w:r>
      <w:r w:rsidR="00A706E3">
        <w:rPr>
          <w:lang w:val="de-DE"/>
        </w:rPr>
        <w:t>Juni 2021, von den Niederlanden</w:t>
      </w:r>
      <w:r w:rsidRPr="00FB0F03">
        <w:rPr>
          <w:lang w:val="de-DE"/>
        </w:rPr>
        <w:t xml:space="preserve"> ausgerichtet und auf elektronischem Wege </w:t>
      </w:r>
      <w:r w:rsidR="00A706E3">
        <w:rPr>
          <w:lang w:val="de-DE"/>
        </w:rPr>
        <w:t>abgehalten</w:t>
      </w:r>
      <w:r w:rsidRPr="00FB0F03">
        <w:rPr>
          <w:lang w:val="de-DE"/>
        </w:rPr>
        <w:t>.</w:t>
      </w:r>
    </w:p>
  </w:footnote>
  <w:footnote w:id="12">
    <w:p w14:paraId="4A13F098" w14:textId="54A622CB" w:rsidR="006601E2" w:rsidRPr="00A706E3" w:rsidRDefault="006601E2" w:rsidP="006601E2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A706E3">
        <w:rPr>
          <w:lang w:val="de-DE"/>
        </w:rPr>
        <w:t xml:space="preserve"> </w:t>
      </w:r>
      <w:r w:rsidR="00A706E3" w:rsidRPr="00FB0F03">
        <w:rPr>
          <w:lang w:val="de-DE"/>
        </w:rPr>
        <w:t xml:space="preserve">auf ihrer </w:t>
      </w:r>
      <w:r w:rsidR="00A706E3">
        <w:rPr>
          <w:lang w:val="de-DE"/>
        </w:rPr>
        <w:t>dreiundfünfzigsten</w:t>
      </w:r>
      <w:r w:rsidR="00A706E3" w:rsidRPr="00FB0F03">
        <w:rPr>
          <w:lang w:val="de-DE"/>
        </w:rPr>
        <w:t xml:space="preserve"> Tagung vom </w:t>
      </w:r>
      <w:r w:rsidR="00A706E3">
        <w:rPr>
          <w:lang w:val="de-DE"/>
        </w:rPr>
        <w:t>7</w:t>
      </w:r>
      <w:r w:rsidR="00A706E3" w:rsidRPr="00FB0F03">
        <w:rPr>
          <w:lang w:val="de-DE"/>
        </w:rPr>
        <w:t xml:space="preserve">. bis </w:t>
      </w:r>
      <w:r w:rsidR="00A706E3">
        <w:rPr>
          <w:lang w:val="de-DE"/>
        </w:rPr>
        <w:t>11</w:t>
      </w:r>
      <w:r w:rsidR="00A706E3" w:rsidRPr="00FB0F03">
        <w:rPr>
          <w:lang w:val="de-DE"/>
        </w:rPr>
        <w:t xml:space="preserve">. </w:t>
      </w:r>
      <w:r w:rsidR="00A706E3">
        <w:rPr>
          <w:lang w:val="de-DE"/>
        </w:rPr>
        <w:t>Juni 2021, von den Niederlanden</w:t>
      </w:r>
      <w:r w:rsidR="00A706E3" w:rsidRPr="00FB0F03">
        <w:rPr>
          <w:lang w:val="de-DE"/>
        </w:rPr>
        <w:t xml:space="preserve"> ausgerichtet und auf elektronischem Wege </w:t>
      </w:r>
      <w:r w:rsidR="00A706E3">
        <w:rPr>
          <w:lang w:val="de-DE"/>
        </w:rPr>
        <w:t>abgehalten.</w:t>
      </w:r>
    </w:p>
  </w:footnote>
  <w:footnote w:id="13">
    <w:p w14:paraId="5934049D" w14:textId="2AAA78BC" w:rsidR="008E11ED" w:rsidRPr="00D052FF" w:rsidRDefault="008E11ED" w:rsidP="0028739C">
      <w:pPr>
        <w:pStyle w:val="FootnoteText"/>
        <w:rPr>
          <w:lang w:val="de-DE"/>
        </w:rPr>
      </w:pPr>
      <w:r w:rsidRPr="00FB0F03">
        <w:rPr>
          <w:rStyle w:val="FootnoteReference"/>
          <w:lang w:val="de-DE"/>
        </w:rPr>
        <w:footnoteRef/>
      </w:r>
      <w:r w:rsidRPr="00FB0F03">
        <w:rPr>
          <w:lang w:val="de-DE"/>
        </w:rPr>
        <w:t xml:space="preserve"> auf ihrer </w:t>
      </w:r>
      <w:proofErr w:type="spellStart"/>
      <w:r w:rsidR="00A706E3">
        <w:rPr>
          <w:lang w:val="de-DE"/>
        </w:rPr>
        <w:t>fünzigsten</w:t>
      </w:r>
      <w:proofErr w:type="spellEnd"/>
      <w:r w:rsidRPr="00FB0F03">
        <w:rPr>
          <w:lang w:val="de-DE"/>
        </w:rPr>
        <w:t xml:space="preserve"> Tagung vom 21. bis 2</w:t>
      </w:r>
      <w:r w:rsidR="00A706E3">
        <w:rPr>
          <w:lang w:val="de-DE"/>
        </w:rPr>
        <w:t>5</w:t>
      </w:r>
      <w:r w:rsidRPr="00FB0F03">
        <w:rPr>
          <w:lang w:val="de-DE"/>
        </w:rPr>
        <w:t xml:space="preserve">. </w:t>
      </w:r>
      <w:r w:rsidR="00A706E3">
        <w:rPr>
          <w:lang w:val="de-DE"/>
        </w:rPr>
        <w:t xml:space="preserve">Juni 2021, von der </w:t>
      </w:r>
      <w:r w:rsidRPr="00FB0F03">
        <w:rPr>
          <w:lang w:val="de-DE"/>
        </w:rPr>
        <w:t>Vereinigten</w:t>
      </w:r>
      <w:r w:rsidR="00A706E3">
        <w:rPr>
          <w:lang w:val="de-DE"/>
        </w:rPr>
        <w:t xml:space="preserve"> Republik Tansania</w:t>
      </w:r>
      <w:r w:rsidRPr="00FB0F03">
        <w:rPr>
          <w:lang w:val="de-DE"/>
        </w:rPr>
        <w:t xml:space="preserve"> ausgerichtet und auf ele</w:t>
      </w:r>
      <w:r w:rsidR="00A706E3">
        <w:rPr>
          <w:lang w:val="de-DE"/>
        </w:rPr>
        <w:t>ktronischem Wege abgehalten</w:t>
      </w:r>
      <w:r w:rsidRPr="00FB0F03">
        <w:rPr>
          <w:lang w:val="de-DE"/>
        </w:rPr>
        <w:t>.</w:t>
      </w:r>
    </w:p>
  </w:footnote>
  <w:footnote w:id="14">
    <w:p w14:paraId="0501E67F" w14:textId="12959932" w:rsidR="008E11ED" w:rsidRPr="00BA396F" w:rsidRDefault="008E11ED" w:rsidP="001A3B87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BA396F">
        <w:rPr>
          <w:lang w:val="de-DE"/>
        </w:rPr>
        <w:t xml:space="preserve"> </w:t>
      </w:r>
      <w:r w:rsidR="00BA396F" w:rsidRPr="00FB0F03">
        <w:rPr>
          <w:lang w:val="de-DE"/>
        </w:rPr>
        <w:t xml:space="preserve">auf ihrer </w:t>
      </w:r>
      <w:proofErr w:type="spellStart"/>
      <w:r w:rsidR="00BA396F">
        <w:rPr>
          <w:lang w:val="de-DE"/>
        </w:rPr>
        <w:t>zweiundfünzigsten</w:t>
      </w:r>
      <w:proofErr w:type="spellEnd"/>
      <w:r w:rsidR="00BA396F" w:rsidRPr="00FB0F03">
        <w:rPr>
          <w:lang w:val="de-DE"/>
        </w:rPr>
        <w:t xml:space="preserve"> Tagung vom </w:t>
      </w:r>
      <w:r w:rsidR="00BA396F">
        <w:rPr>
          <w:lang w:val="de-DE"/>
        </w:rPr>
        <w:t>12</w:t>
      </w:r>
      <w:r w:rsidR="00BA396F" w:rsidRPr="00FB0F03">
        <w:rPr>
          <w:lang w:val="de-DE"/>
        </w:rPr>
        <w:t xml:space="preserve">. bis </w:t>
      </w:r>
      <w:r w:rsidR="00BA396F">
        <w:rPr>
          <w:lang w:val="de-DE"/>
        </w:rPr>
        <w:t>16</w:t>
      </w:r>
      <w:r w:rsidR="00BA396F" w:rsidRPr="00FB0F03">
        <w:rPr>
          <w:lang w:val="de-DE"/>
        </w:rPr>
        <w:t xml:space="preserve">. </w:t>
      </w:r>
      <w:r w:rsidR="00BA396F">
        <w:rPr>
          <w:lang w:val="de-DE"/>
        </w:rPr>
        <w:t>Juli 2021, von China</w:t>
      </w:r>
      <w:r w:rsidR="00BA396F" w:rsidRPr="00FB0F03">
        <w:rPr>
          <w:lang w:val="de-DE"/>
        </w:rPr>
        <w:t xml:space="preserve"> ausgerichtet und auf ele</w:t>
      </w:r>
      <w:r w:rsidR="00BA396F">
        <w:rPr>
          <w:lang w:val="de-DE"/>
        </w:rPr>
        <w:t>ktronischem Wege abgehalten.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48DDD" w14:textId="6AACA4C4" w:rsidR="008E11ED" w:rsidRPr="00C5280D" w:rsidRDefault="008E11E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TC/57/3</w:t>
    </w:r>
  </w:p>
  <w:p w14:paraId="5A03279B" w14:textId="1DF79CC3" w:rsidR="008E11ED" w:rsidRPr="00C5280D" w:rsidRDefault="008E11ED" w:rsidP="00EB048E">
    <w:pPr>
      <w:pStyle w:val="Header"/>
      <w:rPr>
        <w:lang w:val="en-US"/>
      </w:rPr>
    </w:pPr>
    <w:proofErr w:type="spellStart"/>
    <w:r w:rsidRPr="00C5280D"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71ED5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14:paraId="46135AB9" w14:textId="77777777" w:rsidR="008E11ED" w:rsidRPr="00C5280D" w:rsidRDefault="008E11E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97D"/>
    <w:multiLevelType w:val="hybridMultilevel"/>
    <w:tmpl w:val="CCC0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A90"/>
    <w:multiLevelType w:val="hybridMultilevel"/>
    <w:tmpl w:val="B39ACEA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9243B8"/>
    <w:multiLevelType w:val="hybridMultilevel"/>
    <w:tmpl w:val="5FD86CA0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A0"/>
    <w:rsid w:val="000040A9"/>
    <w:rsid w:val="00010CF3"/>
    <w:rsid w:val="00011E27"/>
    <w:rsid w:val="000148BC"/>
    <w:rsid w:val="00021BC0"/>
    <w:rsid w:val="00024AB8"/>
    <w:rsid w:val="00030854"/>
    <w:rsid w:val="00036028"/>
    <w:rsid w:val="00044642"/>
    <w:rsid w:val="000446B9"/>
    <w:rsid w:val="00047E21"/>
    <w:rsid w:val="00050E16"/>
    <w:rsid w:val="00070774"/>
    <w:rsid w:val="00070F17"/>
    <w:rsid w:val="00085505"/>
    <w:rsid w:val="000912AD"/>
    <w:rsid w:val="00095ABB"/>
    <w:rsid w:val="000963EC"/>
    <w:rsid w:val="000A69C5"/>
    <w:rsid w:val="000B3A52"/>
    <w:rsid w:val="000C4E25"/>
    <w:rsid w:val="000C7021"/>
    <w:rsid w:val="000D6BBC"/>
    <w:rsid w:val="000D7780"/>
    <w:rsid w:val="000E636A"/>
    <w:rsid w:val="000F2F11"/>
    <w:rsid w:val="000F48DC"/>
    <w:rsid w:val="00100363"/>
    <w:rsid w:val="00105929"/>
    <w:rsid w:val="00110C36"/>
    <w:rsid w:val="001124F0"/>
    <w:rsid w:val="001131D5"/>
    <w:rsid w:val="00117AFA"/>
    <w:rsid w:val="00141DB8"/>
    <w:rsid w:val="00167246"/>
    <w:rsid w:val="00171ED5"/>
    <w:rsid w:val="00172084"/>
    <w:rsid w:val="0017474A"/>
    <w:rsid w:val="001758C6"/>
    <w:rsid w:val="00182B99"/>
    <w:rsid w:val="001A3B87"/>
    <w:rsid w:val="001D1213"/>
    <w:rsid w:val="001E02EC"/>
    <w:rsid w:val="001E4C3E"/>
    <w:rsid w:val="001F16B6"/>
    <w:rsid w:val="0021332C"/>
    <w:rsid w:val="00213982"/>
    <w:rsid w:val="00214DAE"/>
    <w:rsid w:val="002272D2"/>
    <w:rsid w:val="00243C74"/>
    <w:rsid w:val="00244119"/>
    <w:rsid w:val="0024416D"/>
    <w:rsid w:val="00245163"/>
    <w:rsid w:val="00252944"/>
    <w:rsid w:val="002535C9"/>
    <w:rsid w:val="002551C6"/>
    <w:rsid w:val="00261034"/>
    <w:rsid w:val="00271911"/>
    <w:rsid w:val="002800A0"/>
    <w:rsid w:val="002801B3"/>
    <w:rsid w:val="00281060"/>
    <w:rsid w:val="0028739C"/>
    <w:rsid w:val="002940E8"/>
    <w:rsid w:val="00294751"/>
    <w:rsid w:val="002A09AF"/>
    <w:rsid w:val="002A3829"/>
    <w:rsid w:val="002A6E50"/>
    <w:rsid w:val="002B4298"/>
    <w:rsid w:val="002B7C69"/>
    <w:rsid w:val="002C256A"/>
    <w:rsid w:val="002D55DC"/>
    <w:rsid w:val="002D60CB"/>
    <w:rsid w:val="002E1E1C"/>
    <w:rsid w:val="002E53F4"/>
    <w:rsid w:val="002F3EA4"/>
    <w:rsid w:val="002F73A3"/>
    <w:rsid w:val="00304827"/>
    <w:rsid w:val="00305A7F"/>
    <w:rsid w:val="00314621"/>
    <w:rsid w:val="003152FE"/>
    <w:rsid w:val="00327436"/>
    <w:rsid w:val="0034010D"/>
    <w:rsid w:val="00344BD6"/>
    <w:rsid w:val="0035528D"/>
    <w:rsid w:val="00361821"/>
    <w:rsid w:val="00361E9E"/>
    <w:rsid w:val="00364426"/>
    <w:rsid w:val="003A5A9A"/>
    <w:rsid w:val="003C7FBE"/>
    <w:rsid w:val="003D11B4"/>
    <w:rsid w:val="003D227C"/>
    <w:rsid w:val="003D2B4D"/>
    <w:rsid w:val="003D347D"/>
    <w:rsid w:val="00402E8F"/>
    <w:rsid w:val="00421566"/>
    <w:rsid w:val="0042402F"/>
    <w:rsid w:val="00444A88"/>
    <w:rsid w:val="00474DA4"/>
    <w:rsid w:val="00476B4D"/>
    <w:rsid w:val="00477F48"/>
    <w:rsid w:val="004805FA"/>
    <w:rsid w:val="0048194C"/>
    <w:rsid w:val="004935D2"/>
    <w:rsid w:val="00494F3B"/>
    <w:rsid w:val="004A5891"/>
    <w:rsid w:val="004B1215"/>
    <w:rsid w:val="004C142C"/>
    <w:rsid w:val="004D047D"/>
    <w:rsid w:val="004D20D1"/>
    <w:rsid w:val="004F1E9E"/>
    <w:rsid w:val="004F305A"/>
    <w:rsid w:val="0050378C"/>
    <w:rsid w:val="00512164"/>
    <w:rsid w:val="00515F7C"/>
    <w:rsid w:val="00520297"/>
    <w:rsid w:val="005278A8"/>
    <w:rsid w:val="005338F9"/>
    <w:rsid w:val="0054281C"/>
    <w:rsid w:val="00544581"/>
    <w:rsid w:val="0055268D"/>
    <w:rsid w:val="0055751E"/>
    <w:rsid w:val="0056188E"/>
    <w:rsid w:val="00571D53"/>
    <w:rsid w:val="00574701"/>
    <w:rsid w:val="00574E68"/>
    <w:rsid w:val="00576BE4"/>
    <w:rsid w:val="00580BAC"/>
    <w:rsid w:val="00582D08"/>
    <w:rsid w:val="00584268"/>
    <w:rsid w:val="005A400A"/>
    <w:rsid w:val="005D1380"/>
    <w:rsid w:val="005E0695"/>
    <w:rsid w:val="005E2820"/>
    <w:rsid w:val="005F7B92"/>
    <w:rsid w:val="00606102"/>
    <w:rsid w:val="00612379"/>
    <w:rsid w:val="006153B6"/>
    <w:rsid w:val="0061555F"/>
    <w:rsid w:val="00636CA6"/>
    <w:rsid w:val="006403E8"/>
    <w:rsid w:val="00641200"/>
    <w:rsid w:val="006448BA"/>
    <w:rsid w:val="00645CA8"/>
    <w:rsid w:val="00653670"/>
    <w:rsid w:val="006601E2"/>
    <w:rsid w:val="00663C67"/>
    <w:rsid w:val="006655D3"/>
    <w:rsid w:val="00667404"/>
    <w:rsid w:val="00687EB4"/>
    <w:rsid w:val="006907D0"/>
    <w:rsid w:val="00694897"/>
    <w:rsid w:val="00695C56"/>
    <w:rsid w:val="0069762D"/>
    <w:rsid w:val="006A161A"/>
    <w:rsid w:val="006A5CDE"/>
    <w:rsid w:val="006A644A"/>
    <w:rsid w:val="006B17D2"/>
    <w:rsid w:val="006B2C91"/>
    <w:rsid w:val="006B4686"/>
    <w:rsid w:val="006C224E"/>
    <w:rsid w:val="006D1444"/>
    <w:rsid w:val="006D7435"/>
    <w:rsid w:val="006D780A"/>
    <w:rsid w:val="007039BF"/>
    <w:rsid w:val="0071271E"/>
    <w:rsid w:val="00715C00"/>
    <w:rsid w:val="00732DEC"/>
    <w:rsid w:val="0073494F"/>
    <w:rsid w:val="00735BD5"/>
    <w:rsid w:val="00751613"/>
    <w:rsid w:val="007542E1"/>
    <w:rsid w:val="007556F6"/>
    <w:rsid w:val="00760EEF"/>
    <w:rsid w:val="007768A4"/>
    <w:rsid w:val="00777EE5"/>
    <w:rsid w:val="00784836"/>
    <w:rsid w:val="0079023E"/>
    <w:rsid w:val="007A2854"/>
    <w:rsid w:val="007A5CA0"/>
    <w:rsid w:val="007B7013"/>
    <w:rsid w:val="007C1D92"/>
    <w:rsid w:val="007C4CB9"/>
    <w:rsid w:val="007D0B9D"/>
    <w:rsid w:val="007D19B0"/>
    <w:rsid w:val="007D3808"/>
    <w:rsid w:val="007E6BBE"/>
    <w:rsid w:val="007F498F"/>
    <w:rsid w:val="007F7D0B"/>
    <w:rsid w:val="0080679D"/>
    <w:rsid w:val="008108B0"/>
    <w:rsid w:val="00811B20"/>
    <w:rsid w:val="008211B5"/>
    <w:rsid w:val="0082296E"/>
    <w:rsid w:val="00823C59"/>
    <w:rsid w:val="00824099"/>
    <w:rsid w:val="008250C8"/>
    <w:rsid w:val="0084455A"/>
    <w:rsid w:val="00846D7C"/>
    <w:rsid w:val="00861E2E"/>
    <w:rsid w:val="00867AC1"/>
    <w:rsid w:val="008779F9"/>
    <w:rsid w:val="00890DF8"/>
    <w:rsid w:val="0089331B"/>
    <w:rsid w:val="008A36F8"/>
    <w:rsid w:val="008A743F"/>
    <w:rsid w:val="008B44FC"/>
    <w:rsid w:val="008B6E60"/>
    <w:rsid w:val="008C0970"/>
    <w:rsid w:val="008D0BC5"/>
    <w:rsid w:val="008D2CF7"/>
    <w:rsid w:val="008D3E41"/>
    <w:rsid w:val="008D7E86"/>
    <w:rsid w:val="008E11ED"/>
    <w:rsid w:val="00900C26"/>
    <w:rsid w:val="0090197F"/>
    <w:rsid w:val="00906DDC"/>
    <w:rsid w:val="0091714B"/>
    <w:rsid w:val="00917AAB"/>
    <w:rsid w:val="009243C0"/>
    <w:rsid w:val="00924918"/>
    <w:rsid w:val="00933320"/>
    <w:rsid w:val="00934E09"/>
    <w:rsid w:val="00935115"/>
    <w:rsid w:val="00936253"/>
    <w:rsid w:val="00940D46"/>
    <w:rsid w:val="009432D0"/>
    <w:rsid w:val="00952DD4"/>
    <w:rsid w:val="00965AE7"/>
    <w:rsid w:val="00970FED"/>
    <w:rsid w:val="009768FA"/>
    <w:rsid w:val="00985E66"/>
    <w:rsid w:val="00992D82"/>
    <w:rsid w:val="009939B2"/>
    <w:rsid w:val="00997029"/>
    <w:rsid w:val="009A7339"/>
    <w:rsid w:val="009B440E"/>
    <w:rsid w:val="009C4F3D"/>
    <w:rsid w:val="009D00A2"/>
    <w:rsid w:val="009D3262"/>
    <w:rsid w:val="009D690D"/>
    <w:rsid w:val="009E65B6"/>
    <w:rsid w:val="009F152F"/>
    <w:rsid w:val="009F5B32"/>
    <w:rsid w:val="009F73E6"/>
    <w:rsid w:val="00A11F1C"/>
    <w:rsid w:val="00A21167"/>
    <w:rsid w:val="00A24C10"/>
    <w:rsid w:val="00A35451"/>
    <w:rsid w:val="00A37C2B"/>
    <w:rsid w:val="00A42AC3"/>
    <w:rsid w:val="00A430CF"/>
    <w:rsid w:val="00A54309"/>
    <w:rsid w:val="00A63229"/>
    <w:rsid w:val="00A64A58"/>
    <w:rsid w:val="00A706E3"/>
    <w:rsid w:val="00A92468"/>
    <w:rsid w:val="00AA18B2"/>
    <w:rsid w:val="00AB2B93"/>
    <w:rsid w:val="00AB530F"/>
    <w:rsid w:val="00AB7E5B"/>
    <w:rsid w:val="00AC2883"/>
    <w:rsid w:val="00AC5A1C"/>
    <w:rsid w:val="00AD5A29"/>
    <w:rsid w:val="00AE0EF1"/>
    <w:rsid w:val="00AE2937"/>
    <w:rsid w:val="00B07301"/>
    <w:rsid w:val="00B104FC"/>
    <w:rsid w:val="00B11F3E"/>
    <w:rsid w:val="00B224DE"/>
    <w:rsid w:val="00B324D4"/>
    <w:rsid w:val="00B418BC"/>
    <w:rsid w:val="00B46575"/>
    <w:rsid w:val="00B608F4"/>
    <w:rsid w:val="00B61777"/>
    <w:rsid w:val="00B75B94"/>
    <w:rsid w:val="00B80B6E"/>
    <w:rsid w:val="00B84BBD"/>
    <w:rsid w:val="00B96168"/>
    <w:rsid w:val="00BA396F"/>
    <w:rsid w:val="00BA43FB"/>
    <w:rsid w:val="00BB224D"/>
    <w:rsid w:val="00BC127D"/>
    <w:rsid w:val="00BC1FE6"/>
    <w:rsid w:val="00BC34CC"/>
    <w:rsid w:val="00BC5645"/>
    <w:rsid w:val="00BC5F55"/>
    <w:rsid w:val="00C061B6"/>
    <w:rsid w:val="00C10350"/>
    <w:rsid w:val="00C144F8"/>
    <w:rsid w:val="00C20C76"/>
    <w:rsid w:val="00C2446C"/>
    <w:rsid w:val="00C36AE5"/>
    <w:rsid w:val="00C41F17"/>
    <w:rsid w:val="00C47643"/>
    <w:rsid w:val="00C527FA"/>
    <w:rsid w:val="00C5280D"/>
    <w:rsid w:val="00C53EB3"/>
    <w:rsid w:val="00C5791C"/>
    <w:rsid w:val="00C61944"/>
    <w:rsid w:val="00C66290"/>
    <w:rsid w:val="00C72B7A"/>
    <w:rsid w:val="00C72CA6"/>
    <w:rsid w:val="00C76E15"/>
    <w:rsid w:val="00C8269C"/>
    <w:rsid w:val="00C94E84"/>
    <w:rsid w:val="00C973F2"/>
    <w:rsid w:val="00CA304C"/>
    <w:rsid w:val="00CA774A"/>
    <w:rsid w:val="00CB2DF1"/>
    <w:rsid w:val="00CC11B0"/>
    <w:rsid w:val="00CC2841"/>
    <w:rsid w:val="00CE3071"/>
    <w:rsid w:val="00CF010B"/>
    <w:rsid w:val="00CF1330"/>
    <w:rsid w:val="00CF6022"/>
    <w:rsid w:val="00CF7E36"/>
    <w:rsid w:val="00D0180C"/>
    <w:rsid w:val="00D035F3"/>
    <w:rsid w:val="00D052FF"/>
    <w:rsid w:val="00D21DB7"/>
    <w:rsid w:val="00D3708D"/>
    <w:rsid w:val="00D40426"/>
    <w:rsid w:val="00D43150"/>
    <w:rsid w:val="00D534B2"/>
    <w:rsid w:val="00D57C96"/>
    <w:rsid w:val="00D57D18"/>
    <w:rsid w:val="00D707CB"/>
    <w:rsid w:val="00D91203"/>
    <w:rsid w:val="00D95174"/>
    <w:rsid w:val="00DA4973"/>
    <w:rsid w:val="00DA6F36"/>
    <w:rsid w:val="00DB596E"/>
    <w:rsid w:val="00DB7773"/>
    <w:rsid w:val="00DC0084"/>
    <w:rsid w:val="00DC00EA"/>
    <w:rsid w:val="00DC3802"/>
    <w:rsid w:val="00DD7591"/>
    <w:rsid w:val="00E07D87"/>
    <w:rsid w:val="00E154AB"/>
    <w:rsid w:val="00E21459"/>
    <w:rsid w:val="00E32F7E"/>
    <w:rsid w:val="00E477E9"/>
    <w:rsid w:val="00E5267B"/>
    <w:rsid w:val="00E57528"/>
    <w:rsid w:val="00E629F1"/>
    <w:rsid w:val="00E63C0E"/>
    <w:rsid w:val="00E72D49"/>
    <w:rsid w:val="00E75233"/>
    <w:rsid w:val="00E7593C"/>
    <w:rsid w:val="00E7678A"/>
    <w:rsid w:val="00E915EA"/>
    <w:rsid w:val="00E9222D"/>
    <w:rsid w:val="00E935F1"/>
    <w:rsid w:val="00E94A81"/>
    <w:rsid w:val="00EA1FFB"/>
    <w:rsid w:val="00EA28DF"/>
    <w:rsid w:val="00EA4930"/>
    <w:rsid w:val="00EB048E"/>
    <w:rsid w:val="00EB2711"/>
    <w:rsid w:val="00EB4E9C"/>
    <w:rsid w:val="00EB579E"/>
    <w:rsid w:val="00ED774C"/>
    <w:rsid w:val="00EE34DF"/>
    <w:rsid w:val="00EF1331"/>
    <w:rsid w:val="00EF2CC5"/>
    <w:rsid w:val="00EF2F89"/>
    <w:rsid w:val="00EF7346"/>
    <w:rsid w:val="00F01EEF"/>
    <w:rsid w:val="00F03CAE"/>
    <w:rsid w:val="00F03E98"/>
    <w:rsid w:val="00F101A0"/>
    <w:rsid w:val="00F1237A"/>
    <w:rsid w:val="00F12507"/>
    <w:rsid w:val="00F17973"/>
    <w:rsid w:val="00F21ACE"/>
    <w:rsid w:val="00F22CBD"/>
    <w:rsid w:val="00F272F1"/>
    <w:rsid w:val="00F345F0"/>
    <w:rsid w:val="00F35083"/>
    <w:rsid w:val="00F45372"/>
    <w:rsid w:val="00F560F7"/>
    <w:rsid w:val="00F6334D"/>
    <w:rsid w:val="00F70DFE"/>
    <w:rsid w:val="00F91735"/>
    <w:rsid w:val="00F932C6"/>
    <w:rsid w:val="00F93DBB"/>
    <w:rsid w:val="00FA3671"/>
    <w:rsid w:val="00FA49AB"/>
    <w:rsid w:val="00FB0F03"/>
    <w:rsid w:val="00FB5F5B"/>
    <w:rsid w:val="00FD0EA9"/>
    <w:rsid w:val="00FD22D2"/>
    <w:rsid w:val="00FE09DD"/>
    <w:rsid w:val="00FE39C7"/>
    <w:rsid w:val="00FE3E6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36CC0C"/>
  <w15:docId w15:val="{FCC85B6A-60F6-4D17-B285-07E9A32F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4A5891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4A5891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link w:val="Heading2"/>
    <w:locked/>
    <w:rsid w:val="004C142C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2F3EA4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2A3829"/>
    <w:rPr>
      <w:rFonts w:ascii="Arial" w:hAnsi="Arial"/>
      <w:u w:val="single"/>
      <w:lang w:val="fr-FR"/>
    </w:rPr>
  </w:style>
  <w:style w:type="character" w:styleId="CommentReference">
    <w:name w:val="annotation reference"/>
    <w:basedOn w:val="DefaultParagraphFont"/>
    <w:semiHidden/>
    <w:unhideWhenUsed/>
    <w:rsid w:val="006B46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4686"/>
  </w:style>
  <w:style w:type="character" w:customStyle="1" w:styleId="CommentTextChar">
    <w:name w:val="Comment Text Char"/>
    <w:basedOn w:val="DefaultParagraphFont"/>
    <w:link w:val="CommentText"/>
    <w:rsid w:val="006B468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4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4686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42402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93DBB"/>
    <w:rPr>
      <w:rFonts w:ascii="Arial" w:hAnsi="Arial"/>
      <w:sz w:val="16"/>
    </w:rPr>
  </w:style>
  <w:style w:type="table" w:styleId="TableGrid">
    <w:name w:val="Table Grid"/>
    <w:basedOn w:val="TableNormal"/>
    <w:rsid w:val="0048194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9A12-83FB-4E65-9A22-5284D5C3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12036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TC/56/3</vt:lpstr>
      <vt:lpstr>TC/56/3</vt:lpstr>
    </vt:vector>
  </TitlesOfParts>
  <Company>UPOV</Company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TC/57/3</dc:title>
  <dc:creator>MAY Jessica</dc:creator>
  <cp:lastModifiedBy>MAY Jessica</cp:lastModifiedBy>
  <cp:revision>3</cp:revision>
  <cp:lastPrinted>2020-10-16T09:39:00Z</cp:lastPrinted>
  <dcterms:created xsi:type="dcterms:W3CDTF">2021-08-25T15:08:00Z</dcterms:created>
  <dcterms:modified xsi:type="dcterms:W3CDTF">2021-09-21T08:52:00Z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42ab498b-3cd3-442e-abe8-fa26ff2e2a61</vt:lpwstr>
  </property>
</Properties>
</file>