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33787428" w14:textId="77777777" w:rsidTr="00EB4E9C">
        <w:tc>
          <w:tcPr>
            <w:tcW w:w="6522" w:type="dxa"/>
          </w:tcPr>
          <w:p w14:paraId="58B6F8B6" w14:textId="77777777" w:rsidR="00DC3802" w:rsidRPr="00AC2883" w:rsidRDefault="00DC3802" w:rsidP="00AC2883">
            <w:r>
              <w:rPr>
                <w:noProof/>
                <w:lang w:val="en-US"/>
              </w:rPr>
              <w:drawing>
                <wp:inline distT="0" distB="0" distL="0" distR="0" wp14:anchorId="0C379CAF" wp14:editId="4C82941B">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E7040F2" w14:textId="77777777" w:rsidR="00DC3802" w:rsidRPr="007C1D92" w:rsidRDefault="00DC3802" w:rsidP="00AC2883">
            <w:pPr>
              <w:pStyle w:val="Lettrine"/>
            </w:pPr>
            <w:r>
              <w:t>G</w:t>
            </w:r>
          </w:p>
        </w:tc>
      </w:tr>
      <w:tr w:rsidR="00DC3802" w:rsidRPr="00DA4973" w14:paraId="698758C7" w14:textId="77777777" w:rsidTr="00645CA8">
        <w:trPr>
          <w:trHeight w:val="219"/>
        </w:trPr>
        <w:tc>
          <w:tcPr>
            <w:tcW w:w="6522" w:type="dxa"/>
          </w:tcPr>
          <w:p w14:paraId="2F0D0045" w14:textId="77777777" w:rsidR="00DC3802" w:rsidRPr="00AC2883" w:rsidRDefault="00DC3802" w:rsidP="00AC2883">
            <w:pPr>
              <w:pStyle w:val="upove"/>
            </w:pPr>
            <w:r>
              <w:t>Internationaler Verband zum Schutz von Pflanzenzüchtungen</w:t>
            </w:r>
          </w:p>
        </w:tc>
        <w:tc>
          <w:tcPr>
            <w:tcW w:w="3117" w:type="dxa"/>
          </w:tcPr>
          <w:p w14:paraId="20D01376" w14:textId="77777777" w:rsidR="00DC3802" w:rsidRPr="00DA4973" w:rsidRDefault="00DC3802" w:rsidP="00DA4973"/>
        </w:tc>
      </w:tr>
    </w:tbl>
    <w:p w14:paraId="0865AC01" w14:textId="77777777" w:rsidR="00DC3802" w:rsidRDefault="00DC3802" w:rsidP="00DC3802"/>
    <w:p w14:paraId="3F845072" w14:textId="77777777" w:rsidR="00445B73" w:rsidRPr="00365DC1" w:rsidRDefault="00445B73" w:rsidP="00445B7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45B73" w:rsidRPr="00C5280D" w14:paraId="345B0F1F" w14:textId="77777777" w:rsidTr="00B933D2">
        <w:tc>
          <w:tcPr>
            <w:tcW w:w="6512" w:type="dxa"/>
          </w:tcPr>
          <w:p w14:paraId="520EF417" w14:textId="77777777" w:rsidR="00445B73" w:rsidRPr="00AC2883" w:rsidRDefault="00445B73" w:rsidP="00B933D2">
            <w:pPr>
              <w:pStyle w:val="Sessiontc"/>
              <w:spacing w:line="240" w:lineRule="auto"/>
            </w:pPr>
            <w:r>
              <w:t>Technischer Ausschuss</w:t>
            </w:r>
          </w:p>
          <w:p w14:paraId="22B6E58F" w14:textId="77777777" w:rsidR="00445B73" w:rsidRPr="00DC3802" w:rsidRDefault="00445B73" w:rsidP="00B933D2">
            <w:pPr>
              <w:pStyle w:val="Sessiontcplacedate"/>
              <w:rPr>
                <w:sz w:val="22"/>
              </w:rPr>
            </w:pPr>
            <w:r>
              <w:t>Siebenundfünfzigste Tagung</w:t>
            </w:r>
            <w:r>
              <w:br/>
              <w:t>Genf, 25. und 26. Oktober 2021</w:t>
            </w:r>
          </w:p>
        </w:tc>
        <w:tc>
          <w:tcPr>
            <w:tcW w:w="3127" w:type="dxa"/>
          </w:tcPr>
          <w:p w14:paraId="5D915233" w14:textId="77777777" w:rsidR="00445B73" w:rsidRPr="003C7FBE" w:rsidRDefault="00445B73" w:rsidP="00B933D2">
            <w:pPr>
              <w:pStyle w:val="Doccode"/>
            </w:pPr>
            <w:r>
              <w:t>TC/57/25</w:t>
            </w:r>
          </w:p>
          <w:p w14:paraId="2B0B51A9" w14:textId="77777777" w:rsidR="00445B73" w:rsidRPr="004E6891" w:rsidRDefault="00445B73" w:rsidP="00B933D2">
            <w:pPr>
              <w:pStyle w:val="Docoriginal"/>
            </w:pPr>
            <w:r>
              <w:t>Original:</w:t>
            </w:r>
            <w:r>
              <w:rPr>
                <w:b w:val="0"/>
              </w:rPr>
              <w:t xml:space="preserve">  Englisch</w:t>
            </w:r>
          </w:p>
          <w:p w14:paraId="6C487FC8" w14:textId="77777777" w:rsidR="00445B73" w:rsidRPr="007C1D92" w:rsidRDefault="00445B73" w:rsidP="006733CD">
            <w:pPr>
              <w:pStyle w:val="Docoriginal"/>
            </w:pPr>
            <w:r>
              <w:t>Datum:</w:t>
            </w:r>
            <w:r>
              <w:rPr>
                <w:b w:val="0"/>
              </w:rPr>
              <w:t xml:space="preserve">  26. Oktober 2021</w:t>
            </w:r>
          </w:p>
        </w:tc>
      </w:tr>
    </w:tbl>
    <w:p w14:paraId="245FEEA8" w14:textId="77777777" w:rsidR="00445B73" w:rsidRPr="006A644A" w:rsidRDefault="006733CD" w:rsidP="00445B73">
      <w:pPr>
        <w:pStyle w:val="Titleofdoc0"/>
      </w:pPr>
      <w:bookmarkStart w:id="0" w:name="TitleOfDoc"/>
      <w:bookmarkEnd w:id="0"/>
      <w:r>
        <w:t>Bericht</w:t>
      </w:r>
    </w:p>
    <w:p w14:paraId="0F536712" w14:textId="77777777" w:rsidR="00445B73" w:rsidRPr="006A644A" w:rsidRDefault="001752ED" w:rsidP="00445B73">
      <w:pPr>
        <w:pStyle w:val="preparedby1"/>
        <w:jc w:val="left"/>
      </w:pPr>
      <w:bookmarkStart w:id="1" w:name="Prepared"/>
      <w:bookmarkEnd w:id="1"/>
      <w:r>
        <w:t>vom Technischen Ausschuss angenommen</w:t>
      </w:r>
    </w:p>
    <w:p w14:paraId="0DA5CE52" w14:textId="77777777" w:rsidR="00445B73" w:rsidRPr="006A644A" w:rsidRDefault="00445B73" w:rsidP="00445B73">
      <w:pPr>
        <w:pStyle w:val="Disclaimer"/>
      </w:pPr>
      <w:r>
        <w:t>Haftungsausschluss:  dieses Dokument gibt nicht die Grundsätze oder eine Anleitung der UPOV wieder</w:t>
      </w:r>
    </w:p>
    <w:p w14:paraId="2CE8DCC8" w14:textId="77777777" w:rsidR="00445B73" w:rsidRDefault="006733CD" w:rsidP="00445B73">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t>Der Technische Ausschuss (TC) hielt seine siebenundfünfzigste Tagung am 25. und 26. Oktober 2021 auf elektronischem Wege ab.   Die Teilnehmerliste ist in Anlage I dieses Berichts wiedergegeben.</w:t>
      </w:r>
    </w:p>
    <w:p w14:paraId="7C6AB8F2" w14:textId="77777777" w:rsidR="006733CD" w:rsidRDefault="006733CD" w:rsidP="00445B73">
      <w:pPr>
        <w:rPr>
          <w:snapToGrid w:val="0"/>
        </w:rPr>
      </w:pPr>
    </w:p>
    <w:p w14:paraId="25462961" w14:textId="77777777" w:rsidR="006733CD" w:rsidRPr="008D0013" w:rsidRDefault="006733CD" w:rsidP="006733CD">
      <w:r w:rsidRPr="008D0013">
        <w:fldChar w:fldCharType="begin"/>
      </w:r>
      <w:r w:rsidRPr="008D0013">
        <w:instrText xml:space="preserve"> AUTONUM  \* Arabic </w:instrText>
      </w:r>
      <w:r w:rsidRPr="008D0013">
        <w:fldChar w:fldCharType="end"/>
      </w:r>
      <w:r>
        <w:tab/>
        <w:t>Die Tagung wurde von Herrn Nik Hulse (Australien), Vorsitzender des TC, eröffnet, der die Teilnehmer begrüßte.</w:t>
      </w:r>
    </w:p>
    <w:p w14:paraId="0FAE45AF" w14:textId="77777777" w:rsidR="006733CD" w:rsidRDefault="006733CD" w:rsidP="00445B73">
      <w:pPr>
        <w:rPr>
          <w:snapToGrid w:val="0"/>
        </w:rPr>
      </w:pPr>
    </w:p>
    <w:p w14:paraId="2BB3FD14" w14:textId="77777777" w:rsidR="006733CD" w:rsidRDefault="006733CD" w:rsidP="00445B73">
      <w:pPr>
        <w:rPr>
          <w:snapToGrid w:val="0"/>
        </w:rPr>
      </w:pPr>
    </w:p>
    <w:p w14:paraId="3300AC14" w14:textId="77777777" w:rsidR="006733CD" w:rsidRDefault="006733CD" w:rsidP="002279C0">
      <w:pPr>
        <w:pStyle w:val="Heading2"/>
        <w:rPr>
          <w:snapToGrid w:val="0"/>
        </w:rPr>
      </w:pPr>
      <w:r>
        <w:rPr>
          <w:snapToGrid w:val="0"/>
        </w:rPr>
        <w:t>Annahme der Tagesordnung</w:t>
      </w:r>
    </w:p>
    <w:p w14:paraId="3BD63D81" w14:textId="77777777" w:rsidR="006733CD" w:rsidRDefault="006733CD" w:rsidP="002279C0">
      <w:pPr>
        <w:keepNext/>
        <w:rPr>
          <w:snapToGrid w:val="0"/>
        </w:rPr>
      </w:pPr>
    </w:p>
    <w:p w14:paraId="25024738" w14:textId="77777777" w:rsidR="006733CD" w:rsidRDefault="006733CD" w:rsidP="00445B73">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t>Der TC nahm die Tagesordnung, wie in Dokument TC/57/1 Rev. 2 enthalten, an.</w:t>
      </w:r>
    </w:p>
    <w:p w14:paraId="63730283" w14:textId="77777777" w:rsidR="006733CD" w:rsidRDefault="006733CD" w:rsidP="00445B73">
      <w:pPr>
        <w:rPr>
          <w:snapToGrid w:val="0"/>
        </w:rPr>
      </w:pPr>
    </w:p>
    <w:p w14:paraId="4E344D41" w14:textId="77777777" w:rsidR="006733CD" w:rsidRDefault="006733CD" w:rsidP="00445B73">
      <w:pPr>
        <w:rPr>
          <w:snapToGrid w:val="0"/>
        </w:rPr>
      </w:pPr>
    </w:p>
    <w:p w14:paraId="4784A582" w14:textId="77777777" w:rsidR="006733CD" w:rsidRDefault="006733CD" w:rsidP="002279C0">
      <w:pPr>
        <w:pStyle w:val="Heading2"/>
        <w:rPr>
          <w:snapToGrid w:val="0"/>
        </w:rPr>
      </w:pPr>
      <w:r>
        <w:rPr>
          <w:snapToGrid w:val="0"/>
        </w:rPr>
        <w:t>Ergebnis der Prüfung von Dokumenten auf dem Schriftweg</w:t>
      </w:r>
    </w:p>
    <w:p w14:paraId="46CE3F79" w14:textId="77777777" w:rsidR="006733CD" w:rsidRDefault="006733CD" w:rsidP="002279C0">
      <w:pPr>
        <w:keepNext/>
        <w:rPr>
          <w:snapToGrid w:val="0"/>
        </w:rPr>
      </w:pPr>
    </w:p>
    <w:p w14:paraId="7165D73A" w14:textId="31F01E36" w:rsidR="006733CD" w:rsidRPr="008D0013" w:rsidRDefault="006733CD" w:rsidP="006733CD">
      <w:r w:rsidRPr="008D0013">
        <w:fldChar w:fldCharType="begin"/>
      </w:r>
      <w:r w:rsidRPr="008D0013">
        <w:instrText xml:space="preserve"> AUTONUM  </w:instrText>
      </w:r>
      <w:r w:rsidRPr="008D0013">
        <w:fldChar w:fldCharType="end"/>
      </w:r>
      <w:r>
        <w:tab/>
        <w:t xml:space="preserve">Der </w:t>
      </w:r>
      <w:r w:rsidR="00E96393">
        <w:t>TC</w:t>
      </w:r>
      <w:r>
        <w:t xml:space="preserve"> prüfte das Dokument TC/57/14.</w:t>
      </w:r>
    </w:p>
    <w:p w14:paraId="6AFEB6D7" w14:textId="77777777" w:rsidR="006733CD" w:rsidRPr="008D0013" w:rsidRDefault="006733CD" w:rsidP="006733CD"/>
    <w:p w14:paraId="48B9502A" w14:textId="77777777" w:rsidR="006733CD" w:rsidRPr="008D0013" w:rsidRDefault="006733CD" w:rsidP="006733CD">
      <w:r w:rsidRPr="008D0013">
        <w:fldChar w:fldCharType="begin"/>
      </w:r>
      <w:r w:rsidRPr="008D0013">
        <w:instrText xml:space="preserve"> AUTONUM  </w:instrText>
      </w:r>
      <w:r w:rsidRPr="008D0013">
        <w:fldChar w:fldCharType="end"/>
      </w:r>
      <w:r>
        <w:tab/>
        <w:t>Der TC nahm die Informationen über die Ergebnisse des Verfahrens zur Prüfung von Dokumenten auf dem Schriftweg, wie in Dokument TC/57/14 berichtet, zur Kenntnis.</w:t>
      </w:r>
    </w:p>
    <w:p w14:paraId="0845310E" w14:textId="77777777" w:rsidR="006733CD" w:rsidRDefault="006733CD" w:rsidP="00445B73">
      <w:pPr>
        <w:rPr>
          <w:snapToGrid w:val="0"/>
        </w:rPr>
      </w:pPr>
    </w:p>
    <w:p w14:paraId="617798BC" w14:textId="77777777" w:rsidR="006733CD" w:rsidRPr="004B1215" w:rsidRDefault="006733CD" w:rsidP="00445B73"/>
    <w:p w14:paraId="442B5C68" w14:textId="77777777" w:rsidR="00445B73" w:rsidRDefault="00843F44" w:rsidP="002279C0">
      <w:pPr>
        <w:pStyle w:val="Heading2"/>
      </w:pPr>
      <w:r>
        <w:rPr>
          <w:snapToGrid w:val="0"/>
        </w:rPr>
        <w:t>Bericht des Stellvertretenden Generalsekretärs über die Entwicklungen in der UPOV</w:t>
      </w:r>
    </w:p>
    <w:p w14:paraId="4E84E223" w14:textId="77777777" w:rsidR="00445B73" w:rsidRDefault="00445B73" w:rsidP="002279C0">
      <w:pPr>
        <w:keepNext/>
        <w:jc w:val="left"/>
      </w:pPr>
    </w:p>
    <w:p w14:paraId="5AE4492E" w14:textId="77777777" w:rsidR="00843F44" w:rsidRDefault="00843F44" w:rsidP="00843F44">
      <w:r w:rsidRPr="008D0013">
        <w:fldChar w:fldCharType="begin"/>
      </w:r>
      <w:r w:rsidRPr="008D0013">
        <w:instrText xml:space="preserve"> AUTONUM  </w:instrText>
      </w:r>
      <w:r w:rsidRPr="008D0013">
        <w:fldChar w:fldCharType="end"/>
      </w:r>
      <w:r>
        <w:tab/>
        <w:t>Der TC nahm zur Kenntnis, dass vor der Tagung ein Videoreferat auf Englisch mit Untertiteln auf Englisch, Französisch, Deutsch und Spanisch auf der Website TC/57 zur Verfügung gestellt worden sei.  Der Text des Referats sei in Dokument TC/57/INF/8 enthalten.</w:t>
      </w:r>
    </w:p>
    <w:p w14:paraId="02D85C35" w14:textId="77777777" w:rsidR="00854C58" w:rsidRDefault="00854C58" w:rsidP="00843F44"/>
    <w:p w14:paraId="4155FF59" w14:textId="068BE255" w:rsidR="00C63AB1" w:rsidRPr="00C63AB1" w:rsidRDefault="00854C58" w:rsidP="00C63AB1">
      <w:r>
        <w:fldChar w:fldCharType="begin"/>
      </w:r>
      <w:r>
        <w:instrText xml:space="preserve"> AUTONUM  </w:instrText>
      </w:r>
      <w:r>
        <w:fldChar w:fldCharType="end"/>
      </w:r>
      <w:r>
        <w:tab/>
        <w:t>Der Stellvertretende Generalsekretär</w:t>
      </w:r>
      <w:r>
        <w:noBreakHyphen/>
        <w:t xml:space="preserve"> berichtete, dass Frau Nadia Gianoli seit dem 1. September 2021 im Rahmen eines Agenturvertrags bei der UPOV arbeitet, um die im Mutter</w:t>
      </w:r>
      <w:r w:rsidR="00C72898">
        <w:t>schaftsurlaub befindliche Urska </w:t>
      </w:r>
      <w:r>
        <w:t>Cerv zu vertreten.</w:t>
      </w:r>
    </w:p>
    <w:p w14:paraId="1B31C59D" w14:textId="77777777" w:rsidR="00854C58" w:rsidRDefault="00854C58" w:rsidP="00854C58"/>
    <w:p w14:paraId="5F76DF11" w14:textId="77777777" w:rsidR="00854C58" w:rsidRDefault="00854C58" w:rsidP="00854C58"/>
    <w:p w14:paraId="6E587081" w14:textId="77777777" w:rsidR="00854C58" w:rsidRPr="008D0013" w:rsidRDefault="00854C58" w:rsidP="00854C58">
      <w:pPr>
        <w:pStyle w:val="Heading2"/>
      </w:pPr>
      <w:r>
        <w:t>Bericht über den Fortschritt der Arbeiten der Technischen Arbeitsgruppen und der Arbeitsgruppe für biochemische und molekulare Verfahren und insbesondere für DNS-Profilierungsverfahren (BMT)</w:t>
      </w:r>
    </w:p>
    <w:p w14:paraId="51E10331" w14:textId="77777777" w:rsidR="00854C58" w:rsidRPr="008D0013" w:rsidRDefault="00854C58" w:rsidP="00854C58">
      <w:pPr>
        <w:keepNext/>
        <w:jc w:val="left"/>
      </w:pPr>
    </w:p>
    <w:p w14:paraId="18137CB3" w14:textId="37D47CDB" w:rsidR="00854C58" w:rsidRPr="008D0013" w:rsidRDefault="00854C58" w:rsidP="00854C58">
      <w:r w:rsidRPr="008D0013">
        <w:fldChar w:fldCharType="begin"/>
      </w:r>
      <w:r w:rsidRPr="008D0013">
        <w:instrText xml:space="preserve"> AUTONUM  </w:instrText>
      </w:r>
      <w:r w:rsidRPr="008D0013">
        <w:fldChar w:fldCharType="end"/>
      </w:r>
      <w:r>
        <w:tab/>
        <w:t xml:space="preserve">Der TC nahm zur Kenntnis, dass die Technische Arbeitsgruppe für landwirtschaftliche Arten (TWA), die Technische Arbeitsgruppe für Automatisierung und Computerprogramme (TWC), die Technische Arbeitsgruppe für Zierpflanzen und forstliche Baumarten (TWO), die Technische Arbeitsgruppe für Gemüsearten (TWV) und die Arbeitsgruppe für biochemische und molekulare Verfahren und insbesondere für DNS-Profilierungsverfahren (BMT) ihre Tagungen im Jahre 2021 auf elektronischem Wege abgehalten hätten. </w:t>
      </w:r>
      <w:r>
        <w:cr/>
      </w:r>
    </w:p>
    <w:p w14:paraId="3EA39BA5" w14:textId="77777777" w:rsidR="00854C58" w:rsidRPr="008D0013" w:rsidRDefault="00854C58" w:rsidP="00854C58">
      <w:r w:rsidRPr="008D0013">
        <w:lastRenderedPageBreak/>
        <w:fldChar w:fldCharType="begin"/>
      </w:r>
      <w:r w:rsidRPr="008D0013">
        <w:instrText xml:space="preserve"> AUTONUM  </w:instrText>
      </w:r>
      <w:r w:rsidRPr="008D0013">
        <w:fldChar w:fldCharType="end"/>
      </w:r>
      <w:r>
        <w:tab/>
        <w:t>Der TC nahm zur Kenntnis, dass die Berichte der Vorsitzenden über die Arbeit der TWA, TWC, TWF, TWO, TWV und BMT in den Dokumenten TC/57/INF/9 und TC/57/INF/9 Add. wiedergegeben seien.</w:t>
      </w:r>
    </w:p>
    <w:p w14:paraId="2596E0C2" w14:textId="77777777" w:rsidR="00854C58" w:rsidRDefault="00854C58" w:rsidP="00854C58"/>
    <w:p w14:paraId="283947D2" w14:textId="478A6918" w:rsidR="009C4C74" w:rsidRDefault="009C4C74" w:rsidP="00854C58">
      <w:r>
        <w:fldChar w:fldCharType="begin"/>
      </w:r>
      <w:r>
        <w:instrText xml:space="preserve"> AUTONUM  </w:instrText>
      </w:r>
      <w:r>
        <w:fldChar w:fldCharType="end"/>
      </w:r>
      <w:r>
        <w:tab/>
        <w:t xml:space="preserve">Der </w:t>
      </w:r>
      <w:r w:rsidR="003543BD" w:rsidRPr="00D132B8">
        <w:t>TC</w:t>
      </w:r>
      <w:r>
        <w:t xml:space="preserve"> prüfte das Dokument TC/57/24.</w:t>
      </w:r>
    </w:p>
    <w:p w14:paraId="388518DC" w14:textId="77777777" w:rsidR="009C2EC2" w:rsidRDefault="009C2EC2" w:rsidP="004E282E">
      <w:pPr>
        <w:pStyle w:val="Heading3"/>
      </w:pPr>
      <w:r>
        <w:t>Arbeitsprogramm für die Technischen Arbeitsgruppen im Jahr 2022</w:t>
      </w:r>
    </w:p>
    <w:p w14:paraId="65177408" w14:textId="77777777" w:rsidR="009C2EC2" w:rsidRDefault="009C2EC2" w:rsidP="009C2EC2">
      <w:pPr>
        <w:keepNext/>
      </w:pPr>
    </w:p>
    <w:p w14:paraId="4FCB3504" w14:textId="77777777" w:rsidR="009C2EC2" w:rsidRPr="007C5589" w:rsidRDefault="009C2EC2" w:rsidP="009C2EC2">
      <w:pPr>
        <w:pStyle w:val="Heading4"/>
      </w:pPr>
      <w:bookmarkStart w:id="2" w:name="_Toc83939428"/>
      <w:r>
        <w:t>Technische Arbeitsgruppe für Prüfmethoden und -techniken</w:t>
      </w:r>
      <w:bookmarkEnd w:id="2"/>
    </w:p>
    <w:p w14:paraId="41BDB9B0" w14:textId="77777777" w:rsidR="009C4C74" w:rsidRDefault="009C4C74" w:rsidP="00854C58"/>
    <w:p w14:paraId="2689699C" w14:textId="77777777" w:rsidR="009C2EC2" w:rsidRPr="00C85523" w:rsidRDefault="009C2EC2" w:rsidP="00854C58">
      <w:r w:rsidRPr="00C85523">
        <w:fldChar w:fldCharType="begin"/>
      </w:r>
      <w:r w:rsidRPr="00C85523">
        <w:instrText xml:space="preserve"> AUTONUM  </w:instrText>
      </w:r>
      <w:r w:rsidRPr="00C85523">
        <w:fldChar w:fldCharType="end"/>
      </w:r>
      <w:r>
        <w:tab/>
        <w:t>Der TC prüfte das Arbeitsprogramm für die TWM und vereinbarte, die folgenden Punkte auf deren erster Tagung im Jahr 2022 zu prüfen, wie in Dokument TC/57/24, Absatz 7 wiedergegeben;</w:t>
      </w:r>
    </w:p>
    <w:p w14:paraId="00A542E4" w14:textId="77777777" w:rsidR="009C2EC2" w:rsidRPr="00C85523" w:rsidRDefault="009C2EC2" w:rsidP="00854C58"/>
    <w:p w14:paraId="5F03E7AA" w14:textId="77777777" w:rsidR="009C2EC2" w:rsidRPr="00C85523" w:rsidRDefault="009C2EC2" w:rsidP="009C2EC2">
      <w:pPr>
        <w:ind w:left="567"/>
        <w:rPr>
          <w:i/>
        </w:rPr>
      </w:pPr>
      <w:r>
        <w:rPr>
          <w:i/>
        </w:rPr>
        <w:t>Eröffnung, Annahme der Tagesordnung und Kurzberichte</w:t>
      </w:r>
    </w:p>
    <w:p w14:paraId="33DB3F80" w14:textId="77777777" w:rsidR="009C2EC2" w:rsidRPr="00C85523" w:rsidRDefault="009C2EC2" w:rsidP="009C2EC2">
      <w:pPr>
        <w:spacing w:line="276" w:lineRule="auto"/>
        <w:ind w:left="567"/>
      </w:pPr>
      <w:r>
        <w:t>1.</w:t>
      </w:r>
      <w:r>
        <w:tab/>
        <w:t>Eröffnung der Tagung</w:t>
      </w:r>
    </w:p>
    <w:p w14:paraId="7D1FCF2A" w14:textId="77777777" w:rsidR="009C2EC2" w:rsidRPr="00C85523" w:rsidRDefault="009C2EC2" w:rsidP="009C2EC2">
      <w:pPr>
        <w:spacing w:line="276" w:lineRule="auto"/>
        <w:ind w:left="567"/>
      </w:pPr>
      <w:r>
        <w:t>2.</w:t>
      </w:r>
      <w:r>
        <w:tab/>
        <w:t>Annahme der Tagesordnung</w:t>
      </w:r>
    </w:p>
    <w:p w14:paraId="485B6AE7" w14:textId="77777777" w:rsidR="009C2EC2" w:rsidRPr="00C85523" w:rsidRDefault="009C2EC2" w:rsidP="009C2EC2">
      <w:pPr>
        <w:spacing w:line="276" w:lineRule="auto"/>
        <w:ind w:left="567"/>
      </w:pPr>
      <w:r>
        <w:t>3.</w:t>
      </w:r>
      <w:r>
        <w:tab/>
        <w:t>Kurzberichte über die Entwicklungen im Sortenschutz:</w:t>
      </w:r>
    </w:p>
    <w:p w14:paraId="76210871" w14:textId="4EBC210C" w:rsidR="009C2EC2" w:rsidRPr="00C85523" w:rsidRDefault="00236A3B" w:rsidP="009C2EC2">
      <w:pPr>
        <w:tabs>
          <w:tab w:val="left" w:pos="1701"/>
        </w:tabs>
        <w:spacing w:line="276" w:lineRule="auto"/>
        <w:ind w:left="1701" w:hanging="567"/>
      </w:pPr>
      <w:r>
        <w:t>a)</w:t>
      </w:r>
      <w:r w:rsidR="009C2EC2">
        <w:tab/>
        <w:t>Berichte von Mitgliedern und Beobachtern (von Mitgliedern und Beobachtern zu erstellende schriftliche Berichte)</w:t>
      </w:r>
    </w:p>
    <w:p w14:paraId="6C4DBFCC" w14:textId="708DA93B" w:rsidR="009C2EC2" w:rsidRPr="00C85523" w:rsidRDefault="00236A3B" w:rsidP="009C2EC2">
      <w:pPr>
        <w:tabs>
          <w:tab w:val="left" w:pos="1701"/>
        </w:tabs>
        <w:spacing w:line="276" w:lineRule="auto"/>
        <w:ind w:left="1701" w:hanging="567"/>
      </w:pPr>
      <w:r>
        <w:t>b)</w:t>
      </w:r>
      <w:r w:rsidR="009C2EC2">
        <w:tab/>
        <w:t xml:space="preserve">Bericht über Entwicklungen in der UPOV (mündlicher Bericht des Verbandsbüros) </w:t>
      </w:r>
    </w:p>
    <w:p w14:paraId="7DC3F2E9" w14:textId="77777777" w:rsidR="009C2EC2" w:rsidRPr="00C85523" w:rsidRDefault="009C2EC2" w:rsidP="009C2EC2">
      <w:pPr>
        <w:tabs>
          <w:tab w:val="left" w:pos="1701"/>
        </w:tabs>
        <w:spacing w:line="276" w:lineRule="auto"/>
        <w:ind w:left="1701" w:hanging="567"/>
      </w:pPr>
    </w:p>
    <w:p w14:paraId="614AD3F2" w14:textId="77777777" w:rsidR="009C2EC2" w:rsidRPr="00C85523" w:rsidRDefault="009C2EC2" w:rsidP="009C2EC2">
      <w:pPr>
        <w:tabs>
          <w:tab w:val="left" w:pos="1134"/>
        </w:tabs>
        <w:spacing w:line="276" w:lineRule="auto"/>
        <w:ind w:left="1134" w:hanging="567"/>
        <w:rPr>
          <w:i/>
        </w:rPr>
      </w:pPr>
      <w:r>
        <w:rPr>
          <w:i/>
        </w:rPr>
        <w:t xml:space="preserve">Anleitung und Zusammenarbeit </w:t>
      </w:r>
    </w:p>
    <w:p w14:paraId="0EB1DC22" w14:textId="77777777" w:rsidR="009C2EC2" w:rsidRPr="00C85523" w:rsidRDefault="009C2EC2" w:rsidP="009C2EC2">
      <w:pPr>
        <w:spacing w:line="276" w:lineRule="auto"/>
        <w:ind w:left="1134" w:hanging="567"/>
      </w:pPr>
      <w:r>
        <w:t>4.</w:t>
      </w:r>
      <w:r>
        <w:tab/>
        <w:t>Erstellung von Anleitung und Informationsmaterial (vom Verbandsbüro zu erstellende Dokumente)</w:t>
      </w:r>
    </w:p>
    <w:p w14:paraId="5856C96F" w14:textId="77777777" w:rsidR="009C2EC2" w:rsidRPr="00C85523" w:rsidRDefault="009C2EC2" w:rsidP="009C2EC2">
      <w:pPr>
        <w:spacing w:line="276" w:lineRule="auto"/>
        <w:ind w:left="1134" w:hanging="567"/>
      </w:pPr>
      <w:r>
        <w:t>5.</w:t>
      </w:r>
      <w:r>
        <w:tab/>
        <w:t>Verstärkte Mitwirkung an der Arbeit des TC und der verschiedenen TWP (vom Verbandsbüro zu erstellendes Dokument)</w:t>
      </w:r>
    </w:p>
    <w:p w14:paraId="147A934D" w14:textId="77777777" w:rsidR="009C2EC2" w:rsidRPr="00C85523" w:rsidRDefault="009C2EC2" w:rsidP="009C2EC2">
      <w:pPr>
        <w:spacing w:line="276" w:lineRule="auto"/>
        <w:ind w:left="1134" w:hanging="567"/>
      </w:pPr>
      <w:r>
        <w:t>6.</w:t>
      </w:r>
      <w:r>
        <w:tab/>
        <w:t>Zusammenarbeit bei der Prüfung (vom Verbandsbüro zu erstellendes Dokument)</w:t>
      </w:r>
    </w:p>
    <w:p w14:paraId="3D719AA2" w14:textId="77777777" w:rsidR="009C2EC2" w:rsidRPr="00C85523" w:rsidRDefault="009C2EC2" w:rsidP="009C2EC2">
      <w:pPr>
        <w:spacing w:line="276" w:lineRule="auto"/>
        <w:ind w:left="1134" w:hanging="567"/>
      </w:pPr>
      <w:r>
        <w:t>7.</w:t>
      </w:r>
      <w:r>
        <w:tab/>
        <w:t>Informationen und Datenbanken (erbetene Dokumente)</w:t>
      </w:r>
    </w:p>
    <w:p w14:paraId="4A461264" w14:textId="3D832440" w:rsidR="009C2EC2" w:rsidRPr="00C85523" w:rsidRDefault="00C72898" w:rsidP="009C2EC2">
      <w:pPr>
        <w:spacing w:line="276" w:lineRule="auto"/>
        <w:ind w:left="1701" w:hanging="567"/>
      </w:pPr>
      <w:r>
        <w:t>a)</w:t>
      </w:r>
      <w:r w:rsidR="009C2EC2">
        <w:tab/>
        <w:t xml:space="preserve">UPOV PRISMA (vom Verbandsbüro zu erstellendes Dokument) </w:t>
      </w:r>
    </w:p>
    <w:p w14:paraId="7D3C627D" w14:textId="7FE260C1" w:rsidR="009C2EC2" w:rsidRPr="00C85523" w:rsidRDefault="00C72898" w:rsidP="009C2EC2">
      <w:pPr>
        <w:spacing w:line="276" w:lineRule="auto"/>
        <w:ind w:left="1134"/>
      </w:pPr>
      <w:r>
        <w:t>b)</w:t>
      </w:r>
      <w:r w:rsidR="009C2EC2">
        <w:tab/>
        <w:t>UPOV-Informationsdatenbanken (vom Verbandsbüro zu erstellendes Dokument)</w:t>
      </w:r>
    </w:p>
    <w:p w14:paraId="109B3F49" w14:textId="77777777" w:rsidR="009C2EC2" w:rsidRPr="00C85523" w:rsidRDefault="009C2EC2" w:rsidP="009C2EC2">
      <w:pPr>
        <w:spacing w:line="276" w:lineRule="auto"/>
        <w:ind w:left="1701" w:hanging="567"/>
      </w:pPr>
      <w:r>
        <w:t>c)</w:t>
      </w:r>
      <w:r>
        <w:tab/>
        <w:t xml:space="preserve">Datenbanken mit Sortenbeschreibungen einschließlich Datenbanken mit molekularen Daten (Beiträge erbeten) </w:t>
      </w:r>
    </w:p>
    <w:p w14:paraId="2ED7A053" w14:textId="77777777" w:rsidR="009C2EC2" w:rsidRPr="00C85523" w:rsidRDefault="009C2EC2" w:rsidP="009C2EC2">
      <w:pPr>
        <w:spacing w:line="276" w:lineRule="auto"/>
        <w:ind w:left="1134" w:hanging="567"/>
      </w:pPr>
      <w:r>
        <w:t>8.</w:t>
      </w:r>
      <w:r>
        <w:tab/>
        <w:t>Sortenbezeichnungen (vom Verbandsbüro zu erstellendes Dokument)</w:t>
      </w:r>
    </w:p>
    <w:p w14:paraId="212E4A99" w14:textId="77777777" w:rsidR="009C2EC2" w:rsidRPr="00C85523" w:rsidRDefault="009C2EC2" w:rsidP="009C2EC2">
      <w:pPr>
        <w:spacing w:line="276" w:lineRule="auto"/>
        <w:ind w:left="1134" w:hanging="567"/>
      </w:pPr>
    </w:p>
    <w:p w14:paraId="07F09D23" w14:textId="77777777" w:rsidR="009C2EC2" w:rsidRPr="00C85523" w:rsidRDefault="009C2EC2" w:rsidP="009C2EC2">
      <w:pPr>
        <w:spacing w:line="276" w:lineRule="auto"/>
        <w:ind w:left="1134" w:hanging="567"/>
        <w:rPr>
          <w:i/>
        </w:rPr>
      </w:pPr>
      <w:r>
        <w:rPr>
          <w:i/>
        </w:rPr>
        <w:t xml:space="preserve">Software und Verfahren der statistischen Analyse für die DUS-Prüfung </w:t>
      </w:r>
    </w:p>
    <w:p w14:paraId="34C8FB1E" w14:textId="77777777" w:rsidR="009C2EC2" w:rsidRPr="00C85523" w:rsidRDefault="009C2EC2" w:rsidP="009C2EC2">
      <w:pPr>
        <w:spacing w:line="276" w:lineRule="auto"/>
        <w:ind w:left="567"/>
      </w:pPr>
      <w:r>
        <w:t>9.</w:t>
      </w:r>
      <w:r>
        <w:tab/>
        <w:t>Statistische Werkzeuge und Methoden für die DUS-Prüfung (Dokumente erbeten)</w:t>
      </w:r>
    </w:p>
    <w:p w14:paraId="1B250EC4" w14:textId="77777777" w:rsidR="0052329D" w:rsidRDefault="009C2EC2" w:rsidP="009C2EC2">
      <w:pPr>
        <w:spacing w:line="276" w:lineRule="auto"/>
        <w:ind w:left="1701" w:hanging="567"/>
      </w:pPr>
      <w:r>
        <w:t>a)</w:t>
      </w:r>
      <w:r>
        <w:tab/>
        <w:t>Vergleich von Ergebnissen, die für COYD- und COYU-Verfahren unter Verwendung unterschiedlicher Software erzielt wurden (von Frankreich zu erstellendes Dokument)</w:t>
      </w:r>
    </w:p>
    <w:p w14:paraId="195D8975" w14:textId="1B3B5605" w:rsidR="009C2EC2" w:rsidRPr="00C85523" w:rsidRDefault="009C2EC2" w:rsidP="009C2EC2">
      <w:pPr>
        <w:spacing w:line="276" w:lineRule="auto"/>
        <w:ind w:left="1701" w:hanging="567"/>
      </w:pPr>
      <w:r>
        <w:t>b)</w:t>
      </w:r>
      <w:r>
        <w:tab/>
        <w:t>Entwicklung von Software für das verbesserte COYU-Verfahren (Splines) (vom Vereinigten Königreich zu erstellendes Dokument)</w:t>
      </w:r>
    </w:p>
    <w:p w14:paraId="346F1B5B" w14:textId="77777777" w:rsidR="009C2EC2" w:rsidRPr="00C85523" w:rsidRDefault="009C2EC2" w:rsidP="009C2EC2">
      <w:pPr>
        <w:spacing w:line="276" w:lineRule="auto"/>
        <w:ind w:left="1701" w:hanging="567"/>
      </w:pPr>
      <w:r>
        <w:t>c)</w:t>
      </w:r>
      <w:r>
        <w:tab/>
        <w:t xml:space="preserve">Extrapolation in Bezug auf COYU (vom Vereinigten Königreich zu erstellendes Dokument und erbetene Dokumente) </w:t>
      </w:r>
    </w:p>
    <w:p w14:paraId="25794156" w14:textId="77777777" w:rsidR="009C2EC2" w:rsidRPr="00C85523" w:rsidRDefault="009C2EC2" w:rsidP="009C2EC2">
      <w:pPr>
        <w:spacing w:line="276" w:lineRule="auto"/>
        <w:ind w:left="1134" w:hanging="567"/>
      </w:pPr>
      <w:r>
        <w:t>10.</w:t>
      </w:r>
      <w:r>
        <w:tab/>
        <w:t>Austausch und Verwendung von Software und Ausrüstung (vom Verbandsbüro zu erstellendes Dokument und erbetene Dokumente)</w:t>
      </w:r>
    </w:p>
    <w:p w14:paraId="37CC3A76" w14:textId="77777777" w:rsidR="009C2EC2" w:rsidRPr="00C85523" w:rsidRDefault="009C2EC2" w:rsidP="009C2EC2">
      <w:pPr>
        <w:spacing w:line="276" w:lineRule="auto"/>
        <w:ind w:left="1134"/>
      </w:pPr>
      <w:r>
        <w:t>-</w:t>
      </w:r>
      <w:r>
        <w:tab/>
        <w:t>Entwicklung von Software für die statistische Analyse: DUSCEL (von China zu erstellendes Dokument)</w:t>
      </w:r>
    </w:p>
    <w:p w14:paraId="30EB9FE1" w14:textId="77777777" w:rsidR="009C2EC2" w:rsidRPr="00C85523" w:rsidRDefault="009C2EC2" w:rsidP="009C2EC2">
      <w:pPr>
        <w:spacing w:line="276" w:lineRule="auto"/>
        <w:rPr>
          <w:i/>
        </w:rPr>
      </w:pPr>
    </w:p>
    <w:p w14:paraId="5A613A80" w14:textId="77777777" w:rsidR="009C2EC2" w:rsidRPr="00C85523" w:rsidRDefault="009C2EC2" w:rsidP="009C2EC2">
      <w:pPr>
        <w:keepNext/>
        <w:spacing w:line="276" w:lineRule="auto"/>
        <w:rPr>
          <w:i/>
        </w:rPr>
      </w:pPr>
      <w:r>
        <w:rPr>
          <w:i/>
        </w:rPr>
        <w:tab/>
        <w:t>Phänotypisierung und Bildanalyse</w:t>
      </w:r>
    </w:p>
    <w:p w14:paraId="5F0E3071" w14:textId="77777777" w:rsidR="009C2EC2" w:rsidRPr="00C85523" w:rsidRDefault="009C2EC2" w:rsidP="009C2EC2">
      <w:pPr>
        <w:keepNext/>
        <w:spacing w:line="276" w:lineRule="auto"/>
        <w:ind w:left="1134" w:hanging="567"/>
      </w:pPr>
      <w:r>
        <w:t>11.</w:t>
      </w:r>
      <w:r>
        <w:tab/>
        <w:t>Phänotypisierung und Bildanalyse (Dokumente erbeten)</w:t>
      </w:r>
    </w:p>
    <w:p w14:paraId="3E654720" w14:textId="77777777" w:rsidR="009C2EC2" w:rsidRPr="00C85523" w:rsidRDefault="009C2EC2" w:rsidP="009C2EC2">
      <w:pPr>
        <w:spacing w:line="276" w:lineRule="auto"/>
        <w:ind w:left="1134" w:hanging="567"/>
      </w:pPr>
    </w:p>
    <w:p w14:paraId="4E667BED" w14:textId="77777777" w:rsidR="009C2EC2" w:rsidRPr="00C85523" w:rsidRDefault="009C2EC2" w:rsidP="009C2EC2">
      <w:pPr>
        <w:spacing w:line="276" w:lineRule="auto"/>
        <w:ind w:left="1134" w:hanging="567"/>
        <w:rPr>
          <w:i/>
        </w:rPr>
      </w:pPr>
      <w:r>
        <w:rPr>
          <w:i/>
        </w:rPr>
        <w:t xml:space="preserve">Molekulare Verfahren </w:t>
      </w:r>
    </w:p>
    <w:p w14:paraId="4CAD231D" w14:textId="77777777" w:rsidR="009C2EC2" w:rsidRPr="00C85523" w:rsidRDefault="009C2EC2" w:rsidP="009C2EC2">
      <w:pPr>
        <w:spacing w:line="276" w:lineRule="auto"/>
        <w:ind w:left="1134" w:hanging="567"/>
      </w:pPr>
      <w:r>
        <w:t>12.</w:t>
      </w:r>
      <w:r>
        <w:tab/>
        <w:t>Molekulare Verfahren und Bioinformatik (vom Verbandsbüro zu erstellendes Dokument sowie erbetene Dokumente)</w:t>
      </w:r>
    </w:p>
    <w:p w14:paraId="2928FE95" w14:textId="77777777" w:rsidR="009C2EC2" w:rsidRPr="00C85523" w:rsidRDefault="009C2EC2" w:rsidP="009C2EC2">
      <w:pPr>
        <w:spacing w:line="276" w:lineRule="auto"/>
        <w:ind w:left="1134" w:hanging="567"/>
      </w:pPr>
      <w:r>
        <w:t>13.</w:t>
      </w:r>
      <w:r>
        <w:tab/>
        <w:t>Verfahren für die Analyse molekularer Daten, Verwaltung von Datenbanken und Austausch von Daten und Material (Beiträge erbeten)</w:t>
      </w:r>
    </w:p>
    <w:p w14:paraId="24BB54F3" w14:textId="77777777" w:rsidR="009C2EC2" w:rsidRPr="00C85523" w:rsidRDefault="009C2EC2" w:rsidP="009C2EC2">
      <w:pPr>
        <w:spacing w:line="276" w:lineRule="auto"/>
        <w:ind w:left="1134" w:hanging="567"/>
      </w:pPr>
      <w:r>
        <w:t>14.</w:t>
      </w:r>
      <w:r>
        <w:tab/>
        <w:t xml:space="preserve">Bericht über die Arbeiten an molekularen Verfahren im Zusammenhang mit der DUS-Prüfung (Beiträge erbeten) </w:t>
      </w:r>
    </w:p>
    <w:p w14:paraId="41B6B84F" w14:textId="77777777" w:rsidR="009C2EC2" w:rsidRPr="00C85523" w:rsidRDefault="009C2EC2" w:rsidP="009C2EC2">
      <w:pPr>
        <w:spacing w:line="276" w:lineRule="auto"/>
        <w:ind w:left="1134" w:hanging="567"/>
      </w:pPr>
      <w:r>
        <w:t>15.</w:t>
      </w:r>
      <w:r>
        <w:tab/>
        <w:t>Verwendung molekularer Verfahren bei der Prüfung der wesentlichen Ableitung</w:t>
      </w:r>
      <w:r w:rsidRPr="00C85523">
        <w:rPr>
          <w:rStyle w:val="FootnoteReference"/>
        </w:rPr>
        <w:footnoteReference w:id="2"/>
      </w:r>
      <w:r>
        <w:t xml:space="preserve"> (Beiträge erbeten)</w:t>
      </w:r>
    </w:p>
    <w:p w14:paraId="19C973DC" w14:textId="77777777" w:rsidR="009C2EC2" w:rsidRPr="00C10919" w:rsidRDefault="009C2EC2" w:rsidP="009C2EC2">
      <w:pPr>
        <w:spacing w:line="276" w:lineRule="auto"/>
        <w:ind w:left="1134" w:hanging="567"/>
      </w:pPr>
      <w:r>
        <w:t>16.</w:t>
      </w:r>
      <w:r>
        <w:tab/>
        <w:t xml:space="preserve">Verwendung molekularer Verfahren bei der </w:t>
      </w:r>
      <w:r w:rsidRPr="00C10919">
        <w:t>Sortenidentifikation</w:t>
      </w:r>
      <w:r w:rsidRPr="00C10919">
        <w:rPr>
          <w:vertAlign w:val="superscript"/>
        </w:rPr>
        <w:t>2</w:t>
      </w:r>
      <w:r w:rsidRPr="00C10919">
        <w:t xml:space="preserve"> (Beiträge erbeten)</w:t>
      </w:r>
    </w:p>
    <w:p w14:paraId="606E8B7F" w14:textId="77777777" w:rsidR="009C2EC2" w:rsidRPr="00C10919" w:rsidRDefault="009C2EC2" w:rsidP="009C2EC2">
      <w:pPr>
        <w:spacing w:line="276" w:lineRule="auto"/>
        <w:ind w:left="1134" w:hanging="567"/>
      </w:pPr>
      <w:r w:rsidRPr="00C10919">
        <w:t>17.</w:t>
      </w:r>
      <w:r w:rsidRPr="00C10919">
        <w:tab/>
        <w:t>Verwendung molekularer Verfahren zur Rechtedurchsetzung</w:t>
      </w:r>
      <w:r w:rsidRPr="00C10919">
        <w:rPr>
          <w:vertAlign w:val="superscript"/>
        </w:rPr>
        <w:t>2</w:t>
      </w:r>
      <w:r w:rsidRPr="00C10919">
        <w:t xml:space="preserve"> (Beiträge erbeten) </w:t>
      </w:r>
    </w:p>
    <w:p w14:paraId="0BEA7968" w14:textId="77777777" w:rsidR="009C2EC2" w:rsidRPr="00C10919" w:rsidRDefault="009C2EC2" w:rsidP="009C2EC2">
      <w:pPr>
        <w:spacing w:line="276" w:lineRule="auto"/>
        <w:ind w:left="1134" w:hanging="567"/>
      </w:pPr>
      <w:r w:rsidRPr="00C10919">
        <w:t>18.</w:t>
      </w:r>
      <w:r w:rsidRPr="00C10919">
        <w:tab/>
        <w:t>Zusammenarbeit zwischen internationalen Organisationen (vom Verbandsbüro zu erstellendes Dokument und erbetene Beiträge)</w:t>
      </w:r>
    </w:p>
    <w:p w14:paraId="3D403E55" w14:textId="77777777" w:rsidR="009C2EC2" w:rsidRPr="00C85523" w:rsidRDefault="009C2EC2" w:rsidP="009C2EC2">
      <w:pPr>
        <w:spacing w:line="276" w:lineRule="auto"/>
        <w:ind w:left="1134" w:hanging="567"/>
      </w:pPr>
      <w:r w:rsidRPr="00C10919">
        <w:t>19.</w:t>
      </w:r>
      <w:r w:rsidRPr="00C10919">
        <w:tab/>
        <w:t>Vertraulichkeit, Eigentum und Zugang zu molekularen Daten, einschließlich einer Vorlage für eine Mustervereinbarung</w:t>
      </w:r>
      <w:r w:rsidRPr="00C10919">
        <w:rPr>
          <w:vertAlign w:val="superscript"/>
        </w:rPr>
        <w:t>2</w:t>
      </w:r>
      <w:r w:rsidRPr="00C10919">
        <w:t xml:space="preserve"> (Beiträge erbeten)</w:t>
      </w:r>
    </w:p>
    <w:p w14:paraId="64A41B84" w14:textId="77777777" w:rsidR="009C2EC2" w:rsidRPr="00C85523" w:rsidRDefault="009C2EC2" w:rsidP="009C2EC2">
      <w:pPr>
        <w:spacing w:line="276" w:lineRule="auto"/>
        <w:ind w:left="1134" w:hanging="567"/>
      </w:pPr>
      <w:r>
        <w:t>20.</w:t>
      </w:r>
      <w:r>
        <w:tab/>
        <w:t>Sitzung zur Erleichterung der Zusammenarbeit (eventuelle Teilgruppen-Sitzungen)</w:t>
      </w:r>
    </w:p>
    <w:p w14:paraId="06C09297" w14:textId="77777777" w:rsidR="009C2EC2" w:rsidRPr="00C85523" w:rsidRDefault="009C2EC2" w:rsidP="009C2EC2">
      <w:pPr>
        <w:spacing w:line="276" w:lineRule="auto"/>
        <w:ind w:left="1134" w:hanging="567"/>
      </w:pPr>
    </w:p>
    <w:p w14:paraId="24C45318" w14:textId="77777777" w:rsidR="009C2EC2" w:rsidRPr="00C85523" w:rsidRDefault="009C2EC2" w:rsidP="009C2EC2">
      <w:pPr>
        <w:spacing w:line="276" w:lineRule="auto"/>
        <w:ind w:left="1134" w:hanging="567"/>
        <w:rPr>
          <w:i/>
        </w:rPr>
      </w:pPr>
      <w:r>
        <w:rPr>
          <w:i/>
        </w:rPr>
        <w:t>Künftiges Programm, Bericht und Schließung der Tagung</w:t>
      </w:r>
    </w:p>
    <w:p w14:paraId="1AB487F4" w14:textId="77777777" w:rsidR="009C2EC2" w:rsidRPr="00C85523" w:rsidRDefault="009C2EC2" w:rsidP="009C2EC2">
      <w:pPr>
        <w:spacing w:line="276" w:lineRule="auto"/>
        <w:ind w:left="1134" w:hanging="567"/>
      </w:pPr>
      <w:r>
        <w:t>21.</w:t>
      </w:r>
      <w:r>
        <w:tab/>
        <w:t>Ort und Datum der nächsten Tagung</w:t>
      </w:r>
    </w:p>
    <w:p w14:paraId="1AD05304" w14:textId="77777777" w:rsidR="009C2EC2" w:rsidRPr="00C85523" w:rsidRDefault="009C2EC2" w:rsidP="009C2EC2">
      <w:pPr>
        <w:spacing w:line="276" w:lineRule="auto"/>
        <w:ind w:left="1134" w:hanging="567"/>
      </w:pPr>
      <w:r>
        <w:t>22.</w:t>
      </w:r>
      <w:r>
        <w:tab/>
        <w:t>Künftiges Programm</w:t>
      </w:r>
    </w:p>
    <w:p w14:paraId="450D7CD8" w14:textId="77777777" w:rsidR="009C2EC2" w:rsidRPr="00C85523" w:rsidRDefault="009C2EC2" w:rsidP="009C2EC2">
      <w:pPr>
        <w:spacing w:line="276" w:lineRule="auto"/>
        <w:ind w:left="1134" w:hanging="567"/>
      </w:pPr>
      <w:r>
        <w:t>23.</w:t>
      </w:r>
      <w:r>
        <w:tab/>
        <w:t>Annahme des Berichts über die Tagung (sofern zeitlich möglich)</w:t>
      </w:r>
    </w:p>
    <w:p w14:paraId="317B53BF" w14:textId="77777777" w:rsidR="009C2EC2" w:rsidRDefault="009C2EC2" w:rsidP="009C2EC2">
      <w:pPr>
        <w:spacing w:line="276" w:lineRule="auto"/>
        <w:ind w:left="1134" w:hanging="567"/>
      </w:pPr>
      <w:r>
        <w:t>24.</w:t>
      </w:r>
      <w:r>
        <w:tab/>
        <w:t>Schließung der Tagung</w:t>
      </w:r>
    </w:p>
    <w:p w14:paraId="634881BA" w14:textId="77777777" w:rsidR="009C2EC2" w:rsidRDefault="009C2EC2" w:rsidP="00854C58"/>
    <w:p w14:paraId="6FA5B760" w14:textId="77777777" w:rsidR="009C2EC2" w:rsidRPr="007C5589" w:rsidRDefault="009C2EC2" w:rsidP="00AC5450">
      <w:pPr>
        <w:pStyle w:val="Heading4"/>
      </w:pPr>
      <w:r>
        <w:t>Technische Arbeitsgruppe für landwirtschaftliche Arten</w:t>
      </w:r>
    </w:p>
    <w:p w14:paraId="4378D2EA" w14:textId="77777777" w:rsidR="009C2EC2" w:rsidRPr="008C7551" w:rsidRDefault="009C2EC2" w:rsidP="00AC5450">
      <w:pPr>
        <w:keepNext/>
        <w:jc w:val="left"/>
      </w:pPr>
    </w:p>
    <w:p w14:paraId="0D402A5C" w14:textId="77777777" w:rsidR="009C2EC2" w:rsidRPr="00E0467A" w:rsidRDefault="009C2EC2" w:rsidP="00AC5450">
      <w:pPr>
        <w:pStyle w:val="Heading5"/>
      </w:pPr>
      <w:r>
        <w:t xml:space="preserve">Ort und Datum der nächsten Tagung </w:t>
      </w:r>
    </w:p>
    <w:p w14:paraId="71A5CC9B" w14:textId="77777777" w:rsidR="009C2EC2" w:rsidRDefault="009C2EC2" w:rsidP="00854C58"/>
    <w:p w14:paraId="00A75790" w14:textId="4AB2B57B" w:rsidR="009C2EC2" w:rsidRDefault="009C2EC2" w:rsidP="00854C58">
      <w:r>
        <w:fldChar w:fldCharType="begin"/>
      </w:r>
      <w:r>
        <w:instrText xml:space="preserve"> AUTONUM  </w:instrText>
      </w:r>
      <w:r>
        <w:fldChar w:fldCharType="end"/>
      </w:r>
      <w:r>
        <w:tab/>
      </w:r>
      <w:r w:rsidR="0052329D" w:rsidRPr="00D132B8">
        <w:t>Der</w:t>
      </w:r>
      <w:r w:rsidRPr="00D132B8">
        <w:t xml:space="preserve"> T</w:t>
      </w:r>
      <w:r>
        <w:t>C prüfte den Vorschlag des Vereinigten Königreichs und vereinbarte, die einundfünfzigste Tagung der TWA vom 23. bis 27. Mai 2022 in Cambridge abzuhalten.</w:t>
      </w:r>
    </w:p>
    <w:p w14:paraId="2ED6EF87" w14:textId="77777777" w:rsidR="00854C58" w:rsidRDefault="00854C58" w:rsidP="00854C58"/>
    <w:p w14:paraId="06AFDB13" w14:textId="77777777" w:rsidR="009C2EC2" w:rsidRPr="009C2EC2" w:rsidRDefault="009C2EC2" w:rsidP="00AC5450">
      <w:pPr>
        <w:pStyle w:val="Heading4"/>
      </w:pPr>
      <w:r>
        <w:t>Themen zur Erörterung durch die Technischen Arbeitsgruppen im Jahr 2022</w:t>
      </w:r>
    </w:p>
    <w:p w14:paraId="23741C64" w14:textId="77777777" w:rsidR="009C2EC2" w:rsidRDefault="009C2EC2" w:rsidP="00AC5450">
      <w:pPr>
        <w:keepNext/>
      </w:pPr>
    </w:p>
    <w:p w14:paraId="3871F82A" w14:textId="2EFB8A41" w:rsidR="009C2EC2" w:rsidRPr="008D0013" w:rsidRDefault="009C2EC2" w:rsidP="009C2EC2">
      <w:r w:rsidRPr="008D0013">
        <w:fldChar w:fldCharType="begin"/>
      </w:r>
      <w:r w:rsidRPr="008D0013">
        <w:instrText xml:space="preserve"> AUTONUM  </w:instrText>
      </w:r>
      <w:r w:rsidRPr="008D0013">
        <w:fldChar w:fldCharType="end"/>
      </w:r>
      <w:r>
        <w:tab/>
        <w:t>Der TC billigte das Arbeitsprogramm für die im Jahr 2022 stattfindenden Tagungen der TWP, wie in den betreffenden Sitzungsberichten und in den Anlagen III bis VI des Dokuments TC/57/24 dargelegt. Der TC vereinbarte, dass die Arbeitsprogramme dem Rat auf seiner Tagung am 29. Oktober 2021 zur Annahme vorgeschlagen werden sollten.</w:t>
      </w:r>
    </w:p>
    <w:p w14:paraId="074A3E90" w14:textId="77777777" w:rsidR="009C2EC2" w:rsidRPr="008D0013" w:rsidRDefault="009C2EC2" w:rsidP="00854C58"/>
    <w:p w14:paraId="464EC745" w14:textId="77777777" w:rsidR="00854C58" w:rsidRDefault="00854C58" w:rsidP="00843F44"/>
    <w:p w14:paraId="573F7B4E" w14:textId="77777777" w:rsidR="00313FAF" w:rsidRPr="008D0013" w:rsidRDefault="00313FAF" w:rsidP="00AC5450">
      <w:pPr>
        <w:pStyle w:val="Heading2"/>
      </w:pPr>
      <w:r>
        <w:t>Fragen, die von den technischen Arbeitsgruppen aufgeworfen wurden</w:t>
      </w:r>
    </w:p>
    <w:p w14:paraId="396A45FD" w14:textId="77777777" w:rsidR="00313FAF" w:rsidRPr="008D0013" w:rsidRDefault="00313FAF" w:rsidP="00AC5450">
      <w:pPr>
        <w:keepNext/>
      </w:pPr>
    </w:p>
    <w:p w14:paraId="3D0BCEE8" w14:textId="77777777" w:rsidR="00313FAF" w:rsidRPr="008D0013" w:rsidRDefault="00313FAF" w:rsidP="00313FAF">
      <w:r w:rsidRPr="008D0013">
        <w:fldChar w:fldCharType="begin"/>
      </w:r>
      <w:r w:rsidRPr="008D0013">
        <w:instrText xml:space="preserve"> AUTONUM  </w:instrText>
      </w:r>
      <w:r w:rsidRPr="008D0013">
        <w:fldChar w:fldCharType="end"/>
      </w:r>
      <w:r>
        <w:tab/>
        <w:t>Der TC prüfte die Dokumente TC/57/3 und TC/57/3 Add. und nahm Entwicklungen in der TWV, TWO, TWA, TWF und TWC zur Kenntnis betreffend:</w:t>
      </w:r>
    </w:p>
    <w:p w14:paraId="090D6583" w14:textId="77777777" w:rsidR="00313FAF" w:rsidRPr="008D0013" w:rsidRDefault="00313FAF" w:rsidP="00313FAF"/>
    <w:p w14:paraId="61FC1426" w14:textId="77777777" w:rsidR="00313FAF" w:rsidRPr="00A637D6" w:rsidRDefault="00313FAF" w:rsidP="00313FAF">
      <w:pPr>
        <w:tabs>
          <w:tab w:val="left" w:pos="1701"/>
        </w:tabs>
        <w:ind w:left="1134" w:hanging="567"/>
      </w:pPr>
      <w:r>
        <w:t>i)</w:t>
      </w:r>
      <w:r>
        <w:tab/>
        <w:t>Zugang zu Pflanzenmaterial zum Zwecke der Verwaltung von Sortensammlungen und der DUS-Prüfung;</w:t>
      </w:r>
    </w:p>
    <w:p w14:paraId="1E9DF389" w14:textId="77777777" w:rsidR="00313FAF" w:rsidRPr="00A637D6" w:rsidRDefault="00313FAF" w:rsidP="00313FAF">
      <w:pPr>
        <w:tabs>
          <w:tab w:val="left" w:pos="1701"/>
        </w:tabs>
        <w:ind w:left="1134" w:hanging="567"/>
      </w:pPr>
      <w:r>
        <w:t>ii)</w:t>
      </w:r>
      <w:r>
        <w:tab/>
        <w:t>DUS-Prüfung von Mutantensorten bei Apfel;</w:t>
      </w:r>
    </w:p>
    <w:p w14:paraId="2C94A0AB" w14:textId="77777777" w:rsidR="00313FAF" w:rsidRPr="00A637D6" w:rsidRDefault="00313FAF" w:rsidP="00313FAF">
      <w:pPr>
        <w:tabs>
          <w:tab w:val="left" w:pos="1701"/>
        </w:tabs>
        <w:ind w:left="1134" w:hanging="567"/>
      </w:pPr>
      <w:r>
        <w:t>iii)</w:t>
      </w:r>
      <w:r>
        <w:tab/>
        <w:t>Verwendung von Krankheitsresistenzmerkmalen;</w:t>
      </w:r>
    </w:p>
    <w:p w14:paraId="5CE4880D" w14:textId="77777777" w:rsidR="00313FAF" w:rsidRPr="00A637D6" w:rsidRDefault="00313FAF" w:rsidP="00313FAF">
      <w:pPr>
        <w:tabs>
          <w:tab w:val="left" w:pos="1701"/>
        </w:tabs>
        <w:ind w:left="1134" w:hanging="567"/>
      </w:pPr>
      <w:r>
        <w:t>iv)</w:t>
      </w:r>
      <w:r>
        <w:tab/>
        <w:t>Erfahrungen mit neuen Typen und Arten;</w:t>
      </w:r>
    </w:p>
    <w:p w14:paraId="464442F3" w14:textId="77777777" w:rsidR="00313FAF" w:rsidRPr="00A637D6" w:rsidRDefault="00313FAF" w:rsidP="00313FAF">
      <w:pPr>
        <w:tabs>
          <w:tab w:val="left" w:pos="1701"/>
        </w:tabs>
        <w:ind w:left="1134" w:hanging="567"/>
      </w:pPr>
      <w:r>
        <w:t>v)</w:t>
      </w:r>
      <w:r>
        <w:tab/>
        <w:t xml:space="preserve">Verfahren für die Gruppierung von Sorten unter Verwendung der UPOV-Codes und einschlägiger Informationsquellen; </w:t>
      </w:r>
    </w:p>
    <w:p w14:paraId="43C93127" w14:textId="77777777" w:rsidR="00313FAF" w:rsidRPr="00A637D6" w:rsidRDefault="00313FAF" w:rsidP="00313FAF">
      <w:pPr>
        <w:tabs>
          <w:tab w:val="left" w:pos="1701"/>
        </w:tabs>
        <w:ind w:left="1134" w:hanging="567"/>
      </w:pPr>
      <w:r>
        <w:t>vi)</w:t>
      </w:r>
      <w:r>
        <w:tab/>
        <w:t xml:space="preserve">Bereitstellung von Informationen über ähnliche Sorten in der UPOV-Mustervorlage für die Sortenbeschreibung; </w:t>
      </w:r>
    </w:p>
    <w:p w14:paraId="186F8CF2" w14:textId="77777777" w:rsidR="00313FAF" w:rsidRPr="00A637D6" w:rsidRDefault="00313FAF" w:rsidP="00313FAF">
      <w:pPr>
        <w:tabs>
          <w:tab w:val="left" w:pos="1701"/>
        </w:tabs>
        <w:ind w:left="1134" w:hanging="567"/>
      </w:pPr>
      <w:r>
        <w:t>vii)</w:t>
      </w:r>
      <w:r>
        <w:tab/>
        <w:t xml:space="preserve">Beurteilung von Zierpflanzen unter Verwendung von Messungen an Einzelpflanzen (MS); </w:t>
      </w:r>
    </w:p>
    <w:p w14:paraId="0A7EE959" w14:textId="77777777" w:rsidR="00313FAF" w:rsidRPr="00A637D6" w:rsidRDefault="00313FAF" w:rsidP="00313FAF">
      <w:pPr>
        <w:tabs>
          <w:tab w:val="left" w:pos="1701"/>
        </w:tabs>
        <w:ind w:left="1134" w:hanging="567"/>
      </w:pPr>
      <w:r>
        <w:t>viii)</w:t>
      </w:r>
      <w:r>
        <w:tab/>
        <w:t xml:space="preserve">Neue Verfahren zur DUS-Prüfung; </w:t>
      </w:r>
    </w:p>
    <w:p w14:paraId="41CAAF1C" w14:textId="77777777" w:rsidR="00313FAF" w:rsidRPr="00A637D6" w:rsidRDefault="00313FAF" w:rsidP="00313FAF">
      <w:pPr>
        <w:tabs>
          <w:tab w:val="left" w:pos="1701"/>
        </w:tabs>
        <w:ind w:left="1134" w:hanging="567"/>
      </w:pPr>
      <w:r>
        <w:t>ix)</w:t>
      </w:r>
      <w:r>
        <w:tab/>
        <w:t>Fragen, die bei der DUS-Prüfung für den Obstsektor von Bedeutung sind;</w:t>
      </w:r>
    </w:p>
    <w:p w14:paraId="17AC8C5B" w14:textId="77777777" w:rsidR="009C4C74" w:rsidRDefault="009C4C74" w:rsidP="009C4C74">
      <w:pPr>
        <w:tabs>
          <w:tab w:val="left" w:pos="1701"/>
        </w:tabs>
        <w:ind w:left="1134" w:hanging="567"/>
      </w:pPr>
      <w:r>
        <w:t>x)</w:t>
      </w:r>
      <w:r>
        <w:tab/>
        <w:t xml:space="preserve">Plattform für große Datenmengen für die DUS-Prüfung; und </w:t>
      </w:r>
    </w:p>
    <w:p w14:paraId="519147F7" w14:textId="77777777" w:rsidR="009C4C74" w:rsidRPr="008D0013" w:rsidRDefault="009C4C74" w:rsidP="009C4C74">
      <w:pPr>
        <w:tabs>
          <w:tab w:val="left" w:pos="1701"/>
        </w:tabs>
        <w:ind w:left="1134" w:hanging="567"/>
      </w:pPr>
      <w:r>
        <w:t xml:space="preserve">xi) </w:t>
      </w:r>
      <w:r>
        <w:tab/>
        <w:t>Phänotypisierung und Bildanalyse.</w:t>
      </w:r>
    </w:p>
    <w:p w14:paraId="4D829E74" w14:textId="77777777" w:rsidR="00843F44" w:rsidRDefault="00843F44" w:rsidP="00445B73">
      <w:pPr>
        <w:jc w:val="left"/>
      </w:pPr>
    </w:p>
    <w:p w14:paraId="2705AC2C" w14:textId="77777777" w:rsidR="009C4C74" w:rsidRDefault="009C4C74" w:rsidP="00445B73">
      <w:pPr>
        <w:jc w:val="left"/>
      </w:pPr>
    </w:p>
    <w:p w14:paraId="1FAADA45" w14:textId="77777777" w:rsidR="00313FAF" w:rsidRPr="008D0013" w:rsidRDefault="00313FAF" w:rsidP="00AC5450">
      <w:pPr>
        <w:pStyle w:val="Heading2"/>
      </w:pPr>
      <w:r>
        <w:t xml:space="preserve">Ausarbeitung von Anleitungen und Informationsmaterial </w:t>
      </w:r>
    </w:p>
    <w:p w14:paraId="78844B13" w14:textId="77777777" w:rsidR="00843F44" w:rsidRDefault="00843F44" w:rsidP="00AC5450">
      <w:pPr>
        <w:keepNext/>
        <w:jc w:val="left"/>
      </w:pPr>
    </w:p>
    <w:p w14:paraId="06411915" w14:textId="77777777" w:rsidR="004E282E" w:rsidRPr="004E282E" w:rsidRDefault="004E282E" w:rsidP="00AC5450">
      <w:pPr>
        <w:pStyle w:val="Heading3"/>
      </w:pPr>
      <w:r>
        <w:t xml:space="preserve">Angelegenheiten zur Annahme durch den Rat 2021 </w:t>
      </w:r>
    </w:p>
    <w:p w14:paraId="0A6BF3CE" w14:textId="77777777" w:rsidR="004E282E" w:rsidRDefault="004E282E" w:rsidP="00AC5450">
      <w:pPr>
        <w:keepNext/>
        <w:rPr>
          <w:snapToGrid w:val="0"/>
        </w:rPr>
      </w:pPr>
    </w:p>
    <w:p w14:paraId="6A74C9A6" w14:textId="77777777" w:rsidR="004E282E" w:rsidRDefault="004E282E" w:rsidP="004E282E">
      <w:r>
        <w:fldChar w:fldCharType="begin"/>
      </w:r>
      <w:r>
        <w:instrText xml:space="preserve"> AUTONUM  </w:instrText>
      </w:r>
      <w:r>
        <w:fldChar w:fldCharType="end"/>
      </w:r>
      <w:r>
        <w:tab/>
        <w:t>Der TC nahm zur Kenntnis, dass das Dokument TC/57/4 Rev. auf dem Schriftweg geprüft worden sei.</w:t>
      </w:r>
    </w:p>
    <w:p w14:paraId="1D68DEC4" w14:textId="77777777" w:rsidR="00FF3A1F" w:rsidRDefault="00FF3A1F" w:rsidP="004E282E"/>
    <w:p w14:paraId="5B36C989" w14:textId="77777777" w:rsidR="001543D9" w:rsidRDefault="001543D9" w:rsidP="005F231F">
      <w:pPr>
        <w:rPr>
          <w:rFonts w:eastAsia="MS Mincho"/>
          <w:spacing w:val="-2"/>
        </w:rPr>
      </w:pPr>
      <w:r>
        <w:fldChar w:fldCharType="begin"/>
      </w:r>
      <w:r>
        <w:instrText xml:space="preserve"> AUTONUM  </w:instrText>
      </w:r>
      <w:r>
        <w:fldChar w:fldCharType="end"/>
      </w:r>
      <w:r>
        <w:tab/>
        <w:t>Der TC nahm zur Kenntnis, dass Entscheidungen zu Dokument TC/57/4 Rev. getroffen und die folgenden Dokumente vom TC auf dem Schriftweg angenommen worden seien, wie in Dokument TC/57/14, Absätze 10 bis 20 dargelegt:</w:t>
      </w:r>
    </w:p>
    <w:p w14:paraId="5FDE7FC8" w14:textId="77777777" w:rsidR="001543D9" w:rsidRDefault="001543D9" w:rsidP="005F231F"/>
    <w:p w14:paraId="75D914E3" w14:textId="77777777" w:rsidR="001543D9" w:rsidRPr="00CF5FC1" w:rsidRDefault="001543D9" w:rsidP="005F231F">
      <w:pPr>
        <w:pStyle w:val="ListParagraph"/>
        <w:spacing w:after="60"/>
        <w:ind w:left="2837" w:hanging="1699"/>
        <w:contextualSpacing w:val="0"/>
        <w:jc w:val="left"/>
        <w:rPr>
          <w:rFonts w:cs="Angsana New"/>
        </w:rPr>
      </w:pPr>
      <w:r>
        <w:t>UPOV/INF/16:</w:t>
      </w:r>
      <w:r>
        <w:tab/>
        <w:t>Austauschbare Software (Überarbeitung) (auf der Grundlage von Dokument UPOV/ UPOV/16/10 Draft 2)</w:t>
      </w:r>
    </w:p>
    <w:p w14:paraId="240344A0" w14:textId="77777777" w:rsidR="001543D9" w:rsidRPr="00CF5FC1" w:rsidRDefault="001543D9" w:rsidP="005F231F">
      <w:pPr>
        <w:pStyle w:val="ListParagraph"/>
        <w:spacing w:after="60"/>
        <w:ind w:left="2837" w:hanging="1699"/>
        <w:contextualSpacing w:val="0"/>
        <w:jc w:val="left"/>
        <w:rPr>
          <w:rFonts w:cs="Angsana New"/>
        </w:rPr>
      </w:pPr>
      <w:r>
        <w:t>UPOV/INF/17:</w:t>
      </w:r>
      <w:r>
        <w:tab/>
        <w:t>Richtlinien für die DNS-Profilierung Auswahl molekularer Marker und Aufbau von Datenbanken („BMT-Richtlinien“) (Überarbeitung) (auf der Grundlage von Dokument UPOV/INF/17/2 Draft 6)</w:t>
      </w:r>
    </w:p>
    <w:p w14:paraId="2C6C60DA" w14:textId="77777777" w:rsidR="001543D9" w:rsidRPr="00CF5FC1" w:rsidRDefault="001543D9" w:rsidP="005F231F">
      <w:pPr>
        <w:pStyle w:val="ListParagraph"/>
        <w:spacing w:after="60"/>
        <w:ind w:left="2837" w:hanging="1699"/>
        <w:contextualSpacing w:val="0"/>
        <w:jc w:val="left"/>
        <w:rPr>
          <w:rFonts w:cs="Angsana New"/>
        </w:rPr>
      </w:pPr>
      <w:r>
        <w:t>UPOV/INF/22:</w:t>
      </w:r>
      <w:r>
        <w:tab/>
        <w:t>Von Verbandsmitgliedern verwendete Software und Ausrüstung (Überarbeitung) (auf der Grundlage von Dokument UPOV/INF/22/8 Draft 2)</w:t>
      </w:r>
    </w:p>
    <w:p w14:paraId="54CC63E9" w14:textId="6751AD15" w:rsidR="001543D9" w:rsidRPr="00CF5FC1" w:rsidRDefault="00C6116C" w:rsidP="001543D9">
      <w:pPr>
        <w:pStyle w:val="ListParagraph"/>
        <w:keepNext/>
        <w:spacing w:after="60"/>
        <w:ind w:left="2837" w:hanging="1699"/>
        <w:contextualSpacing w:val="0"/>
        <w:jc w:val="left"/>
        <w:rPr>
          <w:rFonts w:cs="Angsana New"/>
        </w:rPr>
      </w:pPr>
      <w:r>
        <w:t>UPOV/INF/23:</w:t>
      </w:r>
      <w:r>
        <w:tab/>
        <w:t xml:space="preserve">UPOV-Code-System </w:t>
      </w:r>
      <w:r w:rsidR="001543D9">
        <w:t>(auf der Grundlage von Dokument UPOV/ UPOV/23/1 Draft 3)</w:t>
      </w:r>
    </w:p>
    <w:p w14:paraId="4021BDE2" w14:textId="77777777" w:rsidR="001543D9" w:rsidRDefault="001543D9" w:rsidP="004E282E"/>
    <w:p w14:paraId="697E5194" w14:textId="7D70CB65" w:rsidR="00644382" w:rsidRDefault="00644382" w:rsidP="00644382">
      <w:r>
        <w:fldChar w:fldCharType="begin"/>
      </w:r>
      <w:r>
        <w:instrText xml:space="preserve"> AUTONUM  </w:instrText>
      </w:r>
      <w:r>
        <w:fldChar w:fldCharType="end"/>
      </w:r>
      <w:r>
        <w:tab/>
        <w:t xml:space="preserve">Der </w:t>
      </w:r>
      <w:r>
        <w:rPr>
          <w:snapToGrid w:val="0"/>
        </w:rPr>
        <w:t xml:space="preserve">TC nahm zur Kenntnis, </w:t>
      </w:r>
      <w:r>
        <w:t>dass zu Dokument UPOV/INF/23 seitens der Europäischen Union Stellungnahmen in Beantwortung des Rundschreibens E</w:t>
      </w:r>
      <w:r>
        <w:noBreakHyphen/>
        <w:t xml:space="preserve">21/122 vom 23. August 2021 eingegangen seien, die keine Überarbeitung des Dokuments zur Folge gehabt haben. </w:t>
      </w:r>
    </w:p>
    <w:p w14:paraId="2E0C89BC" w14:textId="77777777" w:rsidR="00644382" w:rsidRDefault="00644382" w:rsidP="004E282E"/>
    <w:p w14:paraId="320CCB83" w14:textId="77777777" w:rsidR="00F74578" w:rsidRPr="00F74578" w:rsidRDefault="00FF3A1F" w:rsidP="001543D9">
      <w:pPr>
        <w:rPr>
          <w:rFonts w:cs="Arial"/>
        </w:rPr>
      </w:pPr>
      <w:r>
        <w:fldChar w:fldCharType="begin"/>
      </w:r>
      <w:r>
        <w:instrText xml:space="preserve"> AUTONUM  </w:instrText>
      </w:r>
      <w:r>
        <w:fldChar w:fldCharType="end"/>
      </w:r>
      <w:r>
        <w:tab/>
        <w:t xml:space="preserve">Der TC nahm den Bericht des Verbandsbüros zur Kenntnis, demzufolge die erwähnten Dokumente durch den CAJ gebilligt und am 21. September 2021 vom Rat auf dem Schriftweg angenommen worden seien (vergleiche die Dokumente CAJ/78/12 „Ergebnis der Prüfung von Dokumenten auf dem Schriftweg“, Absatz 35; und C/55/12 „Ergebnis der Prüfung von Dokumenten auf dem Schriftweg“ Absatz 32).  </w:t>
      </w:r>
    </w:p>
    <w:p w14:paraId="2FE82EBE" w14:textId="77777777" w:rsidR="00FF3A1F" w:rsidRDefault="00FF3A1F" w:rsidP="004E282E"/>
    <w:p w14:paraId="7955F3CE" w14:textId="77777777" w:rsidR="004E282E" w:rsidRDefault="004E282E" w:rsidP="00AC5450">
      <w:pPr>
        <w:pStyle w:val="Heading3"/>
      </w:pPr>
      <w:r>
        <w:t xml:space="preserve">Mögliche künftige Überarbeitungen von Anleitungen und Informationsmaterial </w:t>
      </w:r>
    </w:p>
    <w:p w14:paraId="71771C4B" w14:textId="77777777" w:rsidR="00FF3A1F" w:rsidRDefault="00FF3A1F" w:rsidP="00AC5450">
      <w:pPr>
        <w:keepNext/>
        <w:rPr>
          <w:snapToGrid w:val="0"/>
        </w:rPr>
      </w:pPr>
    </w:p>
    <w:p w14:paraId="01857032" w14:textId="77777777" w:rsidR="00FF3A1F" w:rsidRDefault="00FF3A1F" w:rsidP="00AC5450">
      <w:pPr>
        <w:keepNext/>
        <w:rPr>
          <w:snapToGrid w:val="0"/>
        </w:rPr>
      </w:pPr>
      <w:r>
        <w:rPr>
          <w:snapToGrid w:val="0"/>
        </w:rPr>
        <w:fldChar w:fldCharType="begin"/>
      </w:r>
      <w:r>
        <w:rPr>
          <w:snapToGrid w:val="0"/>
        </w:rPr>
        <w:instrText xml:space="preserve"> AUTONUM  </w:instrText>
      </w:r>
      <w:r>
        <w:rPr>
          <w:snapToGrid w:val="0"/>
        </w:rPr>
        <w:fldChar w:fldCharType="end"/>
      </w:r>
      <w:r>
        <w:rPr>
          <w:snapToGrid w:val="0"/>
        </w:rPr>
        <w:tab/>
      </w:r>
      <w:r>
        <w:t xml:space="preserve">Der </w:t>
      </w:r>
      <w:r>
        <w:rPr>
          <w:snapToGrid w:val="0"/>
        </w:rPr>
        <w:t>TC prüfte die Dokumente</w:t>
      </w:r>
      <w:r>
        <w:t xml:space="preserve"> TC/57/5 und TC/57/5 Add.</w:t>
      </w:r>
    </w:p>
    <w:p w14:paraId="772DE6E2" w14:textId="77777777" w:rsidR="00FF3A1F" w:rsidRDefault="00FF3A1F" w:rsidP="00AC5450">
      <w:pPr>
        <w:keepNext/>
        <w:rPr>
          <w:snapToGrid w:val="0"/>
        </w:rPr>
      </w:pPr>
    </w:p>
    <w:p w14:paraId="36FF5933" w14:textId="77777777" w:rsidR="004E282E" w:rsidRDefault="004E282E" w:rsidP="00AC5450">
      <w:pPr>
        <w:pStyle w:val="Heading4"/>
        <w:rPr>
          <w:snapToGrid w:val="0"/>
        </w:rPr>
      </w:pPr>
      <w:r>
        <w:rPr>
          <w:snapToGrid w:val="0"/>
        </w:rPr>
        <w:t>a)</w:t>
      </w:r>
      <w:r>
        <w:rPr>
          <w:snapToGrid w:val="0"/>
        </w:rPr>
        <w:tab/>
        <w:t>Informationsdokumente</w:t>
      </w:r>
    </w:p>
    <w:p w14:paraId="7D0DCA85" w14:textId="77777777" w:rsidR="004063A4" w:rsidRPr="0052329D" w:rsidRDefault="004063A4" w:rsidP="00AC5450">
      <w:pPr>
        <w:keepNext/>
      </w:pPr>
    </w:p>
    <w:p w14:paraId="151F5E15" w14:textId="77777777" w:rsidR="004063A4" w:rsidRPr="004063A4" w:rsidRDefault="004063A4" w:rsidP="00AC5450">
      <w:pPr>
        <w:pStyle w:val="Heading5"/>
        <w:rPr>
          <w:bCs/>
          <w:snapToGrid w:val="0"/>
        </w:rPr>
      </w:pPr>
      <w:bookmarkStart w:id="3" w:name="_Toc82293077"/>
      <w:r>
        <w:t>Dokument UPOV/INF/22„Austauschbare Software”</w:t>
      </w:r>
      <w:bookmarkEnd w:id="3"/>
    </w:p>
    <w:p w14:paraId="6F691894" w14:textId="77777777" w:rsidR="004923B4" w:rsidRPr="0052329D" w:rsidRDefault="004923B4" w:rsidP="004063A4">
      <w:pPr>
        <w:jc w:val="left"/>
        <w:rPr>
          <w:u w:val="single"/>
        </w:rPr>
      </w:pPr>
    </w:p>
    <w:p w14:paraId="2DE0D483" w14:textId="4F899EA1" w:rsidR="004063A4" w:rsidRPr="004923B4" w:rsidRDefault="004923B4" w:rsidP="004063A4">
      <w:r w:rsidRPr="004923B4">
        <w:fldChar w:fldCharType="begin"/>
      </w:r>
      <w:r w:rsidRPr="004923B4">
        <w:instrText xml:space="preserve"> AUTONUM  </w:instrText>
      </w:r>
      <w:r w:rsidRPr="004923B4">
        <w:fldChar w:fldCharType="end"/>
      </w:r>
      <w:r>
        <w:tab/>
        <w:t xml:space="preserve">Der TC nahm zur Kenntnis, dass beim Verbandsbüro ein Vorschlag aus China zur Aufnahme der Software „DUS Excel - Datenauswertungssystem zur DUS-Prüfung von Pflanzensorten“ in Dokument UPOV/INF/16 eingegangen sei. Der Text der Bedienungsanleitung sei in Anlage I zu Dokument TC/57/5 (nur auf Englisch) wiedergegeben. </w:t>
      </w:r>
    </w:p>
    <w:p w14:paraId="25456B0D" w14:textId="77777777" w:rsidR="004063A4" w:rsidRDefault="004063A4" w:rsidP="00FF3A1F">
      <w:pPr>
        <w:rPr>
          <w:snapToGrid w:val="0"/>
        </w:rPr>
      </w:pPr>
    </w:p>
    <w:p w14:paraId="732893CE" w14:textId="6D976C3D" w:rsidR="004063A4" w:rsidRPr="00070FBC" w:rsidRDefault="004063A4" w:rsidP="00B05A60">
      <w:pPr>
        <w:keepNext/>
        <w:keepLines/>
      </w:pPr>
      <w:r w:rsidRPr="00903039">
        <w:fldChar w:fldCharType="begin"/>
      </w:r>
      <w:r w:rsidRPr="00903039">
        <w:instrText xml:space="preserve"> AUTONUM  </w:instrText>
      </w:r>
      <w:r w:rsidRPr="00903039">
        <w:fldChar w:fldCharType="end"/>
      </w:r>
      <w:r>
        <w:tab/>
        <w:t xml:space="preserve">Der TC nahm den Bericht der TWC auf deren neununddreißigster Tagung zur Kenntnis, die Software „DUS Excel - Datenauswertungssystem zur DUS-Prüfung von Pflanzensorten“ befinde sich noch im Entwicklungsstadium. Der TC nahm zur Kenntnis, dass die TWC vereinbart habe, Sachverständige einzuladen, zwecks Zusammenarbeit bei der weiteren Entwicklung der Software mit China in Kontakt zu treten, und dass sie zudem vereinbart habe, China zu ersuchen, auf der ersten Tagung der TWM über den Stand der Dinge zu berichten. </w:t>
      </w:r>
    </w:p>
    <w:p w14:paraId="76BB4DFA" w14:textId="77777777" w:rsidR="004063A4" w:rsidRDefault="004063A4" w:rsidP="004063A4">
      <w:pPr>
        <w:rPr>
          <w:snapToGrid w:val="0"/>
        </w:rPr>
      </w:pPr>
    </w:p>
    <w:p w14:paraId="0AAB71AD" w14:textId="77777777" w:rsidR="004E282E" w:rsidRPr="008B74AC" w:rsidRDefault="004E282E" w:rsidP="00AC5450">
      <w:pPr>
        <w:pStyle w:val="Heading4"/>
        <w:rPr>
          <w:snapToGrid w:val="0"/>
        </w:rPr>
      </w:pPr>
      <w:r>
        <w:rPr>
          <w:snapToGrid w:val="0"/>
        </w:rPr>
        <w:t>b)</w:t>
      </w:r>
      <w:r>
        <w:rPr>
          <w:snapToGrid w:val="0"/>
        </w:rPr>
        <w:tab/>
        <w:t>TGP-Dokumente</w:t>
      </w:r>
    </w:p>
    <w:p w14:paraId="6E34A514" w14:textId="77777777" w:rsidR="006F3DB0" w:rsidRDefault="006F3DB0" w:rsidP="00AC5450">
      <w:pPr>
        <w:keepNext/>
        <w:rPr>
          <w:snapToGrid w:val="0"/>
        </w:rPr>
      </w:pPr>
    </w:p>
    <w:p w14:paraId="74ADE90C" w14:textId="77777777" w:rsidR="008B74AC" w:rsidRPr="00291EFE" w:rsidRDefault="008B74AC" w:rsidP="00AC5450">
      <w:pPr>
        <w:pStyle w:val="Heading5"/>
      </w:pPr>
      <w:bookmarkStart w:id="4" w:name="_Toc82293079"/>
      <w:r>
        <w:t>TGP/5, Abschnitt 6:  UPOV-Bericht über die technische Prüfung und die UPOV-Sortenbeschreibung</w:t>
      </w:r>
      <w:bookmarkEnd w:id="4"/>
    </w:p>
    <w:p w14:paraId="4ED26A11" w14:textId="77777777" w:rsidR="006F3DB0" w:rsidRDefault="006F3DB0" w:rsidP="00FF3A1F">
      <w:pPr>
        <w:rPr>
          <w:snapToGrid w:val="0"/>
        </w:rPr>
      </w:pPr>
    </w:p>
    <w:p w14:paraId="793BFFFD" w14:textId="77777777" w:rsidR="00CB22CF" w:rsidRPr="00E91452" w:rsidRDefault="00CB22CF" w:rsidP="00842AEE">
      <w:pPr>
        <w:pStyle w:val="Heading6"/>
      </w:pPr>
      <w:bookmarkStart w:id="5" w:name="_Toc69828443"/>
      <w:bookmarkStart w:id="6" w:name="_Toc64558674"/>
      <w:bookmarkStart w:id="7" w:name="_Toc82293080"/>
      <w:r>
        <w:t>Prüfungseinrichtung und -örtlichkeit</w:t>
      </w:r>
      <w:bookmarkEnd w:id="5"/>
      <w:bookmarkEnd w:id="6"/>
      <w:bookmarkEnd w:id="7"/>
      <w:r>
        <w:t xml:space="preserve"> </w:t>
      </w:r>
    </w:p>
    <w:p w14:paraId="0DD889BE" w14:textId="77777777" w:rsidR="00B05A60" w:rsidRDefault="00B05A60" w:rsidP="00B05A60"/>
    <w:p w14:paraId="4729092D" w14:textId="2157ECD7" w:rsidR="00B05A60" w:rsidRPr="00D81D90" w:rsidRDefault="00B05A60" w:rsidP="00B05A60">
      <w:r>
        <w:fldChar w:fldCharType="begin"/>
      </w:r>
      <w:r>
        <w:instrText xml:space="preserve"> AUTONUM  </w:instrText>
      </w:r>
      <w:r>
        <w:fldChar w:fldCharType="end"/>
      </w:r>
      <w:r>
        <w:tab/>
      </w:r>
      <w:r w:rsidR="005434BC" w:rsidRPr="00D132B8">
        <w:t>Der</w:t>
      </w:r>
      <w:r>
        <w:t xml:space="preserve"> TC vereinbarte, die Kapitel „UPOV-Bericht über die technische Prüfung“ und „UPOV-Sortenbeschreibung“ in Abschnitt 6 von Dokument TGP/5 auf folgenden Wortlaut abzuändern:</w:t>
      </w:r>
    </w:p>
    <w:p w14:paraId="0C51E44F" w14:textId="77777777" w:rsidR="008B74AC" w:rsidRPr="00D81D90" w:rsidRDefault="008B74AC" w:rsidP="008B74AC">
      <w:pPr>
        <w:keepNext/>
      </w:pPr>
    </w:p>
    <w:p w14:paraId="3CB05FD3" w14:textId="77777777" w:rsidR="008B74AC" w:rsidRPr="00D81D90" w:rsidRDefault="008B74AC" w:rsidP="008B74AC">
      <w:pPr>
        <w:keepNext/>
        <w:ind w:left="1134" w:hanging="567"/>
      </w:pPr>
      <w:r>
        <w:t>-</w:t>
      </w:r>
      <w:r>
        <w:tab/>
        <w:t>Kapitel: UPOV-Bericht über die technische Prüfung“</w:t>
      </w:r>
    </w:p>
    <w:p w14:paraId="5558F32C" w14:textId="77777777" w:rsidR="008B74AC" w:rsidRPr="00D81D90" w:rsidRDefault="008B74AC" w:rsidP="008B74AC">
      <w:pPr>
        <w:keepNext/>
        <w:ind w:left="1134" w:hanging="567"/>
      </w:pPr>
    </w:p>
    <w:p w14:paraId="5075D0CD" w14:textId="77777777" w:rsidR="008B74AC" w:rsidRPr="00D81D90" w:rsidRDefault="008B74AC" w:rsidP="008B74AC">
      <w:pPr>
        <w:keepNext/>
        <w:tabs>
          <w:tab w:val="left" w:pos="567"/>
          <w:tab w:val="left" w:pos="1134"/>
          <w:tab w:val="left" w:pos="5103"/>
          <w:tab w:val="left" w:leader="dot" w:pos="9639"/>
        </w:tabs>
        <w:ind w:left="567"/>
        <w:rPr>
          <w:rFonts w:cs="Arial"/>
        </w:rPr>
      </w:pPr>
      <w:r>
        <w:t>13.</w:t>
      </w:r>
      <w:r>
        <w:tab/>
        <w:t>Prüfungs</w:t>
      </w:r>
      <w:r>
        <w:rPr>
          <w:strike/>
          <w:highlight w:val="lightGray"/>
        </w:rPr>
        <w:t>station</w:t>
      </w:r>
      <w:r>
        <w:t xml:space="preserve"> </w:t>
      </w:r>
      <w:r>
        <w:rPr>
          <w:highlight w:val="lightGray"/>
          <w:u w:val="single"/>
        </w:rPr>
        <w:t>-einrichtung</w:t>
      </w:r>
      <w:r>
        <w:t xml:space="preserve">(en) und </w:t>
      </w:r>
      <w:r>
        <w:rPr>
          <w:strike/>
          <w:highlight w:val="lightGray"/>
        </w:rPr>
        <w:t>-orte</w:t>
      </w:r>
      <w:r>
        <w:rPr>
          <w:highlight w:val="lightGray"/>
        </w:rPr>
        <w:t xml:space="preserve"> </w:t>
      </w:r>
      <w:r>
        <w:rPr>
          <w:highlight w:val="lightGray"/>
          <w:u w:val="single"/>
        </w:rPr>
        <w:t>-örtlichkeit</w:t>
      </w:r>
      <w:r>
        <w:t>(en)</w:t>
      </w:r>
    </w:p>
    <w:p w14:paraId="52D81EF0" w14:textId="77777777" w:rsidR="008B74AC" w:rsidRPr="00D81D90" w:rsidRDefault="008B74AC" w:rsidP="008B74AC">
      <w:pPr>
        <w:keepNext/>
        <w:tabs>
          <w:tab w:val="left" w:pos="567"/>
          <w:tab w:val="left" w:pos="1134"/>
          <w:tab w:val="left" w:pos="5103"/>
          <w:tab w:val="left" w:leader="dot" w:pos="9639"/>
        </w:tabs>
        <w:ind w:left="567"/>
        <w:rPr>
          <w:rFonts w:cs="Arial"/>
        </w:rPr>
      </w:pPr>
      <w:r>
        <w:t>[…]</w:t>
      </w:r>
    </w:p>
    <w:p w14:paraId="4827CE8E" w14:textId="77777777" w:rsidR="008B74AC" w:rsidRPr="00D81D90" w:rsidRDefault="008B74AC" w:rsidP="008B74AC">
      <w:pPr>
        <w:keepNext/>
        <w:tabs>
          <w:tab w:val="left" w:pos="567"/>
          <w:tab w:val="left" w:pos="1134"/>
          <w:tab w:val="left" w:pos="5670"/>
          <w:tab w:val="left" w:leader="dot" w:pos="9639"/>
        </w:tabs>
        <w:ind w:left="567"/>
        <w:jc w:val="left"/>
        <w:rPr>
          <w:rFonts w:cs="Arial"/>
          <w:highlight w:val="lightGray"/>
          <w:u w:val="single"/>
        </w:rPr>
      </w:pPr>
      <w:r>
        <w:rPr>
          <w:highlight w:val="lightGray"/>
          <w:u w:val="single"/>
        </w:rPr>
        <w:t>16.</w:t>
      </w:r>
      <w:r>
        <w:rPr>
          <w:highlight w:val="lightGray"/>
          <w:u w:val="single"/>
        </w:rPr>
        <w:tab/>
        <w:t>Datum und Dokumentennummer der UPOV-Prüfungsrichtlinien</w:t>
      </w:r>
    </w:p>
    <w:p w14:paraId="3A2BF09B" w14:textId="77777777" w:rsidR="008B74AC" w:rsidRPr="00D81D90" w:rsidRDefault="008B74AC" w:rsidP="008B74AC">
      <w:pPr>
        <w:tabs>
          <w:tab w:val="left" w:pos="567"/>
          <w:tab w:val="left" w:pos="1134"/>
          <w:tab w:val="left" w:pos="6804"/>
          <w:tab w:val="left" w:leader="dot" w:pos="9639"/>
        </w:tabs>
        <w:ind w:left="567"/>
        <w:jc w:val="left"/>
        <w:rPr>
          <w:rFonts w:cs="Arial"/>
          <w:u w:val="single"/>
        </w:rPr>
      </w:pPr>
      <w:r>
        <w:rPr>
          <w:highlight w:val="lightGray"/>
          <w:u w:val="single"/>
        </w:rPr>
        <w:t>17.</w:t>
      </w:r>
      <w:r>
        <w:rPr>
          <w:highlight w:val="lightGray"/>
          <w:u w:val="single"/>
        </w:rPr>
        <w:tab/>
        <w:t>Datum und/oder Dokumentennummer der Prüfungsrichtlinien der berichtenden Behörde</w:t>
      </w:r>
    </w:p>
    <w:p w14:paraId="42BA4E0A" w14:textId="77777777" w:rsidR="008B74AC" w:rsidRPr="00D81D90" w:rsidRDefault="008B74AC" w:rsidP="008B74AC"/>
    <w:p w14:paraId="0050A669" w14:textId="77777777" w:rsidR="008B74AC" w:rsidRPr="00D81D90" w:rsidRDefault="008B74AC" w:rsidP="008B74AC">
      <w:pPr>
        <w:ind w:left="1134" w:hanging="567"/>
      </w:pPr>
      <w:r>
        <w:t>-</w:t>
      </w:r>
      <w:r>
        <w:tab/>
        <w:t>Kapitel: UPOV-Sortenbeschreibungen</w:t>
      </w:r>
    </w:p>
    <w:p w14:paraId="310CB647" w14:textId="77777777" w:rsidR="008B74AC" w:rsidRPr="00D81D90" w:rsidRDefault="008B74AC" w:rsidP="008B74AC">
      <w:pPr>
        <w:ind w:left="1134" w:hanging="567"/>
      </w:pPr>
    </w:p>
    <w:p w14:paraId="4FB99B1C" w14:textId="77777777" w:rsidR="008B74AC" w:rsidRPr="00D81D90" w:rsidRDefault="008B74AC" w:rsidP="008B74AC">
      <w:pPr>
        <w:spacing w:after="200" w:line="276" w:lineRule="auto"/>
        <w:ind w:firstLine="567"/>
        <w:contextualSpacing/>
        <w:jc w:val="left"/>
        <w:rPr>
          <w:rFonts w:eastAsiaTheme="minorEastAsia" w:cstheme="minorBidi"/>
          <w:szCs w:val="22"/>
        </w:rPr>
      </w:pPr>
      <w:r>
        <w:t>Punkt 11 soll lauten: „Prüfungs</w:t>
      </w:r>
      <w:r>
        <w:rPr>
          <w:strike/>
          <w:highlight w:val="lightGray"/>
        </w:rPr>
        <w:t>station</w:t>
      </w:r>
      <w:r>
        <w:t xml:space="preserve"> </w:t>
      </w:r>
      <w:r>
        <w:rPr>
          <w:highlight w:val="lightGray"/>
          <w:u w:val="single"/>
        </w:rPr>
        <w:t>-einrichtung</w:t>
      </w:r>
      <w:r>
        <w:t xml:space="preserve">(en) und </w:t>
      </w:r>
      <w:r>
        <w:rPr>
          <w:strike/>
          <w:highlight w:val="lightGray"/>
        </w:rPr>
        <w:t>-orte</w:t>
      </w:r>
      <w:r>
        <w:rPr>
          <w:highlight w:val="lightGray"/>
        </w:rPr>
        <w:t xml:space="preserve"> </w:t>
      </w:r>
      <w:r>
        <w:rPr>
          <w:highlight w:val="lightGray"/>
          <w:u w:val="single"/>
        </w:rPr>
        <w:t>-örtlichkeit</w:t>
      </w:r>
      <w:r>
        <w:t>(en)”</w:t>
      </w:r>
    </w:p>
    <w:p w14:paraId="1E8056D1" w14:textId="77777777" w:rsidR="006F3DB0" w:rsidRDefault="006F3DB0" w:rsidP="00FF3A1F">
      <w:pPr>
        <w:rPr>
          <w:snapToGrid w:val="0"/>
        </w:rPr>
      </w:pPr>
    </w:p>
    <w:p w14:paraId="3C8F5B01" w14:textId="5296A937" w:rsidR="00CB22CF" w:rsidRPr="00E91452" w:rsidRDefault="00CB22CF" w:rsidP="00842AEE">
      <w:pPr>
        <w:pStyle w:val="Heading6"/>
      </w:pPr>
      <w:r>
        <w:t>Weitere Informationen</w:t>
      </w:r>
      <w:r w:rsidR="005434BC">
        <w:t xml:space="preserve">, </w:t>
      </w:r>
      <w:r w:rsidR="005434BC" w:rsidRPr="00D132B8">
        <w:t>die</w:t>
      </w:r>
      <w:r w:rsidRPr="00D132B8">
        <w:t xml:space="preserve"> in die</w:t>
      </w:r>
      <w:r>
        <w:t xml:space="preserve"> DUS-Prüfungsberichte aufzunehmen</w:t>
      </w:r>
      <w:r w:rsidR="005434BC">
        <w:t xml:space="preserve"> sind</w:t>
      </w:r>
      <w:r>
        <w:t xml:space="preserve"> </w:t>
      </w:r>
    </w:p>
    <w:p w14:paraId="62A30F5A" w14:textId="77777777" w:rsidR="00CB22CF" w:rsidRDefault="00CB22CF" w:rsidP="00CB22CF">
      <w:pPr>
        <w:rPr>
          <w:snapToGrid w:val="0"/>
        </w:rPr>
      </w:pPr>
    </w:p>
    <w:p w14:paraId="2490CF4E" w14:textId="6D4ED5A1" w:rsidR="006F3DB0" w:rsidRDefault="00CB22CF" w:rsidP="00FF3A1F">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t>Der TC nahm die Bemerkungen zur Kenntnis, die die TWP auf ihren Tagungen im Jahr 2021 zu dem Vorschlag geäußert hatten, Dokument TGP/5, Abschnitt 6: „UPOV-Bericht über die technische Prüfung und die UPOV-Sortenbeschreibung</w:t>
      </w:r>
      <w:r w:rsidR="005434BC">
        <w:t xml:space="preserve">" </w:t>
      </w:r>
      <w:r w:rsidR="005434BC" w:rsidRPr="00D132B8">
        <w:t>so</w:t>
      </w:r>
      <w:r>
        <w:t xml:space="preserve"> zu überarbeiten, dass in die DUS-Prüfungsberichte zusätzliche Informationen und alternative Ansätze zur erhöhten Nutzung bereits vorhandener DUS-Prüfberichte aufgenommen werden.</w:t>
      </w:r>
    </w:p>
    <w:p w14:paraId="626DB47B" w14:textId="77777777" w:rsidR="006F3DB0" w:rsidRDefault="006F3DB0" w:rsidP="00FF3A1F">
      <w:pPr>
        <w:rPr>
          <w:snapToGrid w:val="0"/>
        </w:rPr>
      </w:pPr>
    </w:p>
    <w:p w14:paraId="25B1C806" w14:textId="77777777" w:rsidR="00CB22CF" w:rsidRDefault="00CB22CF" w:rsidP="00CB22CF">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t>Der TC nahm die von der TWF an den Sachverständigen aus Neuseeland gerichtete Einladung zur Kenntnis, auf ihrer dreiundfünfzigsten Tagung ein Referat darüber zu halten, was erforderlich wäre, um den Nutzen der bereits vorhandenen DUS-Prüfberichte zu erhöhen.</w:t>
      </w:r>
    </w:p>
    <w:p w14:paraId="305352E4" w14:textId="77777777" w:rsidR="006F3DB0" w:rsidRDefault="006F3DB0" w:rsidP="00FF3A1F">
      <w:pPr>
        <w:rPr>
          <w:snapToGrid w:val="0"/>
        </w:rPr>
      </w:pPr>
    </w:p>
    <w:p w14:paraId="079FBDF6" w14:textId="77777777" w:rsidR="00CB22CF" w:rsidRDefault="00CB22CF" w:rsidP="00FF3A1F">
      <w:pPr>
        <w:rPr>
          <w:snapToGrid w:val="0"/>
        </w:rPr>
      </w:pPr>
      <w:r>
        <w:rPr>
          <w:snapToGrid w:val="0"/>
        </w:rPr>
        <w:fldChar w:fldCharType="begin"/>
      </w:r>
      <w:r>
        <w:rPr>
          <w:snapToGrid w:val="0"/>
        </w:rPr>
        <w:instrText xml:space="preserve"> AUTONUM  </w:instrText>
      </w:r>
      <w:r>
        <w:rPr>
          <w:snapToGrid w:val="0"/>
        </w:rPr>
        <w:fldChar w:fldCharType="end"/>
      </w:r>
      <w:r>
        <w:rPr>
          <w:snapToGrid w:val="0"/>
        </w:rPr>
        <w:tab/>
        <w:t>Der TC vereinbarte,</w:t>
      </w:r>
      <w:r>
        <w:t xml:space="preserve"> die Erörterung einer eventuellen künftigen Überarbeitung von Dokument TGP/5, Abschnitt 6 zur Aufnahme weiterer Informationen in die DUS-Prüfungsberichte vorläufig zu beenden.</w:t>
      </w:r>
    </w:p>
    <w:p w14:paraId="164744A3" w14:textId="77777777" w:rsidR="008D1C3F" w:rsidRPr="004063A4" w:rsidRDefault="008D1C3F" w:rsidP="00FF3A1F">
      <w:pPr>
        <w:rPr>
          <w:snapToGrid w:val="0"/>
        </w:rPr>
      </w:pPr>
    </w:p>
    <w:p w14:paraId="4720D284" w14:textId="77777777" w:rsidR="00CB22CF" w:rsidRPr="009042CC" w:rsidRDefault="00CB22CF" w:rsidP="00CB22CF">
      <w:pPr>
        <w:pStyle w:val="Heading5"/>
      </w:pPr>
      <w:bookmarkStart w:id="8" w:name="_Toc82293082"/>
      <w:r>
        <w:t>Dokument TGP/8:  Prüfungsanlage und Verfahren für die Prüfung der Unterscheidbarkeit, der Homogenität und der Beständigkeit (Überarbeitung)</w:t>
      </w:r>
      <w:bookmarkEnd w:id="8"/>
    </w:p>
    <w:p w14:paraId="5138FFB9" w14:textId="77777777" w:rsidR="00CB22CF" w:rsidRPr="009042CC" w:rsidRDefault="00CB22CF" w:rsidP="00CB22CF">
      <w:pPr>
        <w:keepNext/>
      </w:pPr>
    </w:p>
    <w:p w14:paraId="12B73A05" w14:textId="77777777" w:rsidR="00843F44" w:rsidRPr="00E91452" w:rsidRDefault="00CB22CF" w:rsidP="00842AEE">
      <w:pPr>
        <w:pStyle w:val="Heading6"/>
        <w:rPr>
          <w:rFonts w:eastAsia="MS Mincho"/>
        </w:rPr>
      </w:pPr>
      <w:bookmarkStart w:id="9" w:name="_Toc82293083"/>
      <w:r>
        <w:t>Datenverarbeitung zur Erstellung von Sortenbeschreibungen für gemessene quantitative Merkmale</w:t>
      </w:r>
      <w:bookmarkEnd w:id="9"/>
      <w:r>
        <w:t xml:space="preserve"> </w:t>
      </w:r>
    </w:p>
    <w:p w14:paraId="1A39952E" w14:textId="77777777" w:rsidR="00842AEE" w:rsidRDefault="00842AEE" w:rsidP="00CB22CF"/>
    <w:p w14:paraId="2E1CC481" w14:textId="77777777" w:rsidR="005A3BE7" w:rsidRDefault="005A3BE7" w:rsidP="00CB22CF">
      <w:r>
        <w:fldChar w:fldCharType="begin"/>
      </w:r>
      <w:r>
        <w:instrText xml:space="preserve"> AUTONUM  </w:instrText>
      </w:r>
      <w:r>
        <w:fldChar w:fldCharType="end"/>
      </w:r>
      <w:r>
        <w:tab/>
        <w:t>Der TC prüfte die Dokumente TC/57/6 und TC/57/6 Add.</w:t>
      </w:r>
    </w:p>
    <w:p w14:paraId="20AB4495" w14:textId="77777777" w:rsidR="00CB22CF" w:rsidRDefault="00CB22CF" w:rsidP="00CB22CF">
      <w:pPr>
        <w:jc w:val="left"/>
      </w:pPr>
    </w:p>
    <w:p w14:paraId="6572D90D" w14:textId="77777777" w:rsidR="00CB22CF" w:rsidRDefault="00CB22CF" w:rsidP="00B05A60">
      <w:pPr>
        <w:rPr>
          <w:rFonts w:cs="Arial"/>
        </w:rPr>
      </w:pPr>
      <w:r>
        <w:fldChar w:fldCharType="begin"/>
      </w:r>
      <w:r>
        <w:instrText xml:space="preserve"> AUTONUM  </w:instrText>
      </w:r>
      <w:r>
        <w:fldChar w:fldCharType="end"/>
      </w:r>
      <w:r>
        <w:tab/>
        <w:t>Der TC stimmte zu, dass die Anleitung zu „Verschiedene Formen, die Sortenbeschreibungen annehmen könnten, und die Bedeutung von Skalenniveaus“ in Dokument TGP/8 Teil 1, Abschnitt 2 „Zu erfassende Daten“ als neuer Abschnitt 2.5 aufgenommen werden soll, wie in der Anlage zu Dokument TC/57/6 wiedergegeben.</w:t>
      </w:r>
    </w:p>
    <w:p w14:paraId="01FDA829" w14:textId="77777777" w:rsidR="00CB22CF" w:rsidRDefault="00CB22CF" w:rsidP="00CB22CF">
      <w:pPr>
        <w:jc w:val="left"/>
        <w:rPr>
          <w:rFonts w:cs="Arial"/>
        </w:rPr>
      </w:pPr>
    </w:p>
    <w:p w14:paraId="7B28D79A" w14:textId="735DCCD5" w:rsidR="00CB22CF" w:rsidRDefault="005A3BE7" w:rsidP="005A3BE7">
      <w:r>
        <w:fldChar w:fldCharType="begin"/>
      </w:r>
      <w:r>
        <w:instrText xml:space="preserve"> AUTONUM  </w:instrText>
      </w:r>
      <w:r>
        <w:fldChar w:fldCharType="end"/>
      </w:r>
      <w:r>
        <w:tab/>
      </w:r>
      <w:r w:rsidRPr="00D132B8">
        <w:t>D</w:t>
      </w:r>
      <w:r w:rsidR="005434BC" w:rsidRPr="00D132B8">
        <w:t>er</w:t>
      </w:r>
      <w:r w:rsidRPr="00D132B8">
        <w:t xml:space="preserve"> T</w:t>
      </w:r>
      <w:r>
        <w:t>C vereinbarte, Verbandsmitglieder  zu ersuchen, die Aufnahme von Software in Dokument UPOV/INF/16 bzw. Dokument UPOV/INF/22 vorzuschlagen, die ihre Verfahren für die Umsetzung von Erfassungen in Noten enthält; dies soll mit einem entsprechenden Querverweis auf die Verfügbarkeit dieser Verfahren in Dokument TGP/8 Teil I, neuer Abschnitt 2.5 geschehen.</w:t>
      </w:r>
    </w:p>
    <w:p w14:paraId="68E41D51" w14:textId="77777777" w:rsidR="00CB22CF" w:rsidRDefault="00CB22CF" w:rsidP="00CB22CF">
      <w:pPr>
        <w:jc w:val="left"/>
      </w:pPr>
    </w:p>
    <w:p w14:paraId="12458C43" w14:textId="77777777" w:rsidR="005A3BE7" w:rsidRPr="00E91452" w:rsidRDefault="005A3BE7" w:rsidP="00842AEE">
      <w:pPr>
        <w:pStyle w:val="Heading6"/>
      </w:pPr>
      <w:r>
        <w:t xml:space="preserve">Das kombinierte Homogenitätskriterium über mehrere Jahre (COYU) </w:t>
      </w:r>
    </w:p>
    <w:p w14:paraId="1122A608" w14:textId="77777777" w:rsidR="005A3BE7" w:rsidRDefault="005A3BE7" w:rsidP="00CB22CF"/>
    <w:p w14:paraId="79484384" w14:textId="77777777" w:rsidR="00CB22CF" w:rsidRDefault="005A3BE7" w:rsidP="00CB22CF">
      <w:r>
        <w:fldChar w:fldCharType="begin"/>
      </w:r>
      <w:r>
        <w:instrText xml:space="preserve"> AUTONUM  </w:instrText>
      </w:r>
      <w:r>
        <w:fldChar w:fldCharType="end"/>
      </w:r>
      <w:r>
        <w:tab/>
        <w:t>Der TC prüfte die Dokumente TC/57/7 und TC/57/7 Add.</w:t>
      </w:r>
    </w:p>
    <w:p w14:paraId="64530B26" w14:textId="77777777" w:rsidR="00A168F8" w:rsidRDefault="00A168F8" w:rsidP="00445B73">
      <w:pPr>
        <w:jc w:val="left"/>
      </w:pPr>
    </w:p>
    <w:p w14:paraId="60DF95BB" w14:textId="77777777" w:rsidR="00CB22CF" w:rsidRDefault="00A168F8" w:rsidP="00A168F8">
      <w:r>
        <w:fldChar w:fldCharType="begin"/>
      </w:r>
      <w:r>
        <w:instrText xml:space="preserve"> AUTONUM  </w:instrText>
      </w:r>
      <w:r>
        <w:fldChar w:fldCharType="end"/>
      </w:r>
      <w:r>
        <w:tab/>
        <w:t>Der TC nahm zur Kenntnis, dass COYU-Splines-Software derzeit evaluiert werde und im Vereinigten Königreich ab 2022 eingeführt werden solle.</w:t>
      </w:r>
    </w:p>
    <w:p w14:paraId="7C801A78" w14:textId="77777777" w:rsidR="00CB22CF" w:rsidRDefault="00CB22CF" w:rsidP="00445B73">
      <w:pPr>
        <w:jc w:val="left"/>
      </w:pPr>
    </w:p>
    <w:p w14:paraId="5984713E" w14:textId="77777777" w:rsidR="00A168F8" w:rsidRDefault="00A168F8" w:rsidP="00A168F8">
      <w:r>
        <w:fldChar w:fldCharType="begin"/>
      </w:r>
      <w:r>
        <w:instrText xml:space="preserve"> AUTONUM  </w:instrText>
      </w:r>
      <w:r>
        <w:fldChar w:fldCharType="end"/>
      </w:r>
      <w:r>
        <w:tab/>
        <w:t>Der TC nahm zur Kenntnis, dass Evaluierungsversionen der COYU-Splines-Software im August 2021 bereitgestellt wurden.</w:t>
      </w:r>
    </w:p>
    <w:p w14:paraId="48F936E8" w14:textId="77777777" w:rsidR="00A168F8" w:rsidRDefault="00A168F8" w:rsidP="00445B73">
      <w:pPr>
        <w:jc w:val="left"/>
      </w:pPr>
    </w:p>
    <w:p w14:paraId="1BBC44E4" w14:textId="77777777" w:rsidR="00A168F8" w:rsidRDefault="00A168F8" w:rsidP="00A168F8">
      <w:r>
        <w:fldChar w:fldCharType="begin"/>
      </w:r>
      <w:r>
        <w:instrText xml:space="preserve"> AUTONUM  </w:instrText>
      </w:r>
      <w:r>
        <w:fldChar w:fldCharType="end"/>
      </w:r>
      <w:r>
        <w:tab/>
        <w:t>Der TC nahm zur Kenntnis, dass die Mitglieder ersucht werden, an der Testphase zur COYU-Splines-Software teilzunehmen und dem Sachverständigen aus dem Vereinigten Königreich bis 31. Dezember 2021 über die Ergebnisse zu berichten.</w:t>
      </w:r>
    </w:p>
    <w:p w14:paraId="20AB93CE" w14:textId="77777777" w:rsidR="00CB22CF" w:rsidRDefault="00CB22CF" w:rsidP="00445B73">
      <w:pPr>
        <w:jc w:val="left"/>
      </w:pPr>
    </w:p>
    <w:p w14:paraId="7152096B" w14:textId="5C208DA7" w:rsidR="00A168F8" w:rsidRDefault="00A168F8" w:rsidP="00A168F8">
      <w:r>
        <w:fldChar w:fldCharType="begin"/>
      </w:r>
      <w:r>
        <w:instrText xml:space="preserve"> AUTONUM  </w:instrText>
      </w:r>
      <w:r>
        <w:fldChar w:fldCharType="end"/>
      </w:r>
      <w:r>
        <w:tab/>
        <w:t xml:space="preserve">Der TC vereinbarte, die TWC darum zu bitten, einen Bericht über die Ergebnisse der Testphase der COYU-Splines-Software zu erstellen, der dem TC auf dessen </w:t>
      </w:r>
      <w:r w:rsidRPr="00D132B8">
        <w:t>achtundfün</w:t>
      </w:r>
      <w:r w:rsidR="005434BC" w:rsidRPr="00D132B8">
        <w:t>f</w:t>
      </w:r>
      <w:r w:rsidRPr="00D132B8">
        <w:t>zigster Tagung in Verbindung mit der Überarbeitung vo</w:t>
      </w:r>
      <w:r w:rsidR="005434BC" w:rsidRPr="00D132B8">
        <w:t>n</w:t>
      </w:r>
      <w:r w:rsidRPr="00D132B8">
        <w:t xml:space="preserve"> Dokument TGP/8 zur Prüfung vorgelegt werden soll.</w:t>
      </w:r>
    </w:p>
    <w:p w14:paraId="734047ED" w14:textId="77777777" w:rsidR="00A168F8" w:rsidRDefault="00A168F8" w:rsidP="00A168F8"/>
    <w:p w14:paraId="04144B42" w14:textId="77777777" w:rsidR="00CE573D" w:rsidRPr="00842AEE" w:rsidRDefault="00CE573D" w:rsidP="00CE573D">
      <w:pPr>
        <w:pStyle w:val="Heading4"/>
        <w:rPr>
          <w:snapToGrid w:val="0"/>
        </w:rPr>
      </w:pPr>
      <w:bookmarkStart w:id="10" w:name="_Toc82293085"/>
      <w:r>
        <w:rPr>
          <w:snapToGrid w:val="0"/>
        </w:rPr>
        <w:t>Neue Vorschläge</w:t>
      </w:r>
      <w:bookmarkEnd w:id="10"/>
      <w:r>
        <w:rPr>
          <w:snapToGrid w:val="0"/>
        </w:rPr>
        <w:t xml:space="preserve"> </w:t>
      </w:r>
    </w:p>
    <w:p w14:paraId="1997D5B5" w14:textId="77777777" w:rsidR="00CE573D" w:rsidRDefault="00CE573D" w:rsidP="00CE573D">
      <w:pPr>
        <w:keepNext/>
        <w:rPr>
          <w:snapToGrid w:val="0"/>
        </w:rPr>
      </w:pPr>
    </w:p>
    <w:p w14:paraId="70EE331A" w14:textId="77777777" w:rsidR="00CE573D" w:rsidRDefault="00CE573D" w:rsidP="00CE573D">
      <w:pPr>
        <w:pStyle w:val="Heading5"/>
      </w:pPr>
      <w:bookmarkStart w:id="11" w:name="_Toc82293086"/>
      <w:r>
        <w:t>Dokument UPOV/INF/12 „Erläuterungen zu Sortenbezeichnungen nach dem UPOV-Übereinkommen"</w:t>
      </w:r>
      <w:bookmarkEnd w:id="11"/>
    </w:p>
    <w:p w14:paraId="7D2B6F0B" w14:textId="77777777" w:rsidR="00CE573D" w:rsidRPr="00244D6D" w:rsidRDefault="00CE573D" w:rsidP="00AC5450">
      <w:pPr>
        <w:keepNext/>
      </w:pPr>
    </w:p>
    <w:p w14:paraId="064FE9EB" w14:textId="77777777" w:rsidR="00CE573D" w:rsidRPr="00E91452" w:rsidRDefault="00CE573D" w:rsidP="00842AEE">
      <w:pPr>
        <w:pStyle w:val="Heading6"/>
      </w:pPr>
      <w:bookmarkStart w:id="12" w:name="_Toc68863749"/>
      <w:bookmarkStart w:id="13" w:name="_Toc82293087"/>
      <w:r>
        <w:t xml:space="preserve">Vorschlag zur Überarbeitung der Sortenbezeichnungsklasse 201 </w:t>
      </w:r>
      <w:bookmarkEnd w:id="12"/>
      <w:bookmarkEnd w:id="13"/>
      <w:r>
        <w:t xml:space="preserve"> </w:t>
      </w:r>
    </w:p>
    <w:p w14:paraId="42CD85A8" w14:textId="77777777" w:rsidR="00C44061" w:rsidRDefault="00C44061" w:rsidP="00C44061"/>
    <w:p w14:paraId="618D5B17" w14:textId="49F9193B" w:rsidR="00C44061" w:rsidRDefault="00C44061" w:rsidP="00C44061">
      <w:r>
        <w:fldChar w:fldCharType="begin"/>
      </w:r>
      <w:r>
        <w:instrText xml:space="preserve"> AUTONUM  </w:instrText>
      </w:r>
      <w:r>
        <w:fldChar w:fldCharType="end"/>
      </w:r>
      <w:r>
        <w:tab/>
        <w:t>Der TC prüfte einen Vorschlag zur Überarbeitung von Dokument UPOV/INF/12/5, Anlage I, Teil II „Klassen, die mehr als eine Gattung umfassen“ und vereinbarte, die Gattung ×</w:t>
      </w:r>
      <w:r>
        <w:rPr>
          <w:i/>
        </w:rPr>
        <w:t>Trititrigia</w:t>
      </w:r>
      <w:r>
        <w:t xml:space="preserve"> mit folgendem Wortlaut in Sortenbezeichnungsklasse 201 a</w:t>
      </w:r>
      <w:r w:rsidRPr="00D132B8">
        <w:t>ufzune</w:t>
      </w:r>
      <w:r w:rsidR="00463A12" w:rsidRPr="00D132B8">
        <w:t>h</w:t>
      </w:r>
      <w:r w:rsidRPr="00D132B8">
        <w:t>men</w:t>
      </w:r>
      <w:r>
        <w:t>:</w:t>
      </w:r>
    </w:p>
    <w:p w14:paraId="06EC7220" w14:textId="77777777" w:rsidR="00CE573D" w:rsidRPr="009042CC" w:rsidRDefault="00CE573D" w:rsidP="00CE573D">
      <w:pPr>
        <w:rPr>
          <w:rFonts w:cs="Arial"/>
          <w:highlight w:val="cyan"/>
        </w:rPr>
      </w:pPr>
    </w:p>
    <w:p w14:paraId="37E2F743" w14:textId="77777777" w:rsidR="00CE573D" w:rsidRPr="009042CC" w:rsidRDefault="00CE573D" w:rsidP="00CE573D">
      <w:pPr>
        <w:jc w:val="center"/>
        <w:rPr>
          <w:u w:val="single"/>
        </w:rPr>
      </w:pPr>
      <w:r>
        <w:t>KLASSENLISTE (Teil II)</w:t>
      </w:r>
    </w:p>
    <w:p w14:paraId="1934A3AD" w14:textId="77777777" w:rsidR="00CE573D" w:rsidRPr="009042CC" w:rsidRDefault="00CE573D" w:rsidP="00CE573D"/>
    <w:p w14:paraId="1377F1A0" w14:textId="77777777" w:rsidR="00CE573D" w:rsidRPr="009042CC" w:rsidRDefault="00CE573D" w:rsidP="00CE573D">
      <w:pPr>
        <w:jc w:val="center"/>
        <w:rPr>
          <w:i/>
        </w:rPr>
      </w:pPr>
      <w:r>
        <w:rPr>
          <w:i/>
        </w:rPr>
        <w:t>Klassen, die mehr als eine Gattung umfassen</w:t>
      </w:r>
      <w:r>
        <w:rPr>
          <w:i/>
        </w:rPr>
        <w:br/>
      </w:r>
    </w:p>
    <w:tbl>
      <w:tblPr>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77"/>
        <w:gridCol w:w="4473"/>
        <w:gridCol w:w="4034"/>
      </w:tblGrid>
      <w:tr w:rsidR="00CE573D" w:rsidRPr="009042CC" w14:paraId="2F34C8FA" w14:textId="77777777" w:rsidTr="00C07756">
        <w:trPr>
          <w:cantSplit/>
          <w:tblHeader/>
        </w:trPr>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7D4F6D" w14:textId="77777777" w:rsidR="00CE573D" w:rsidRPr="009042CC" w:rsidRDefault="00CE573D" w:rsidP="00C07756">
            <w:pPr>
              <w:spacing w:before="40" w:after="40"/>
              <w:jc w:val="left"/>
              <w:rPr>
                <w:sz w:val="18"/>
                <w:szCs w:val="18"/>
                <w:u w:val="single"/>
              </w:rPr>
            </w:pPr>
          </w:p>
        </w:tc>
        <w:tc>
          <w:tcPr>
            <w:tcW w:w="4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5D13AB" w14:textId="77777777" w:rsidR="00CE573D" w:rsidRPr="009042CC" w:rsidRDefault="00CE573D" w:rsidP="00C07756">
            <w:pPr>
              <w:spacing w:before="40" w:after="40"/>
              <w:jc w:val="center"/>
              <w:rPr>
                <w:sz w:val="18"/>
                <w:szCs w:val="18"/>
              </w:rPr>
            </w:pPr>
            <w:r>
              <w:rPr>
                <w:sz w:val="18"/>
              </w:rPr>
              <w:t>Botanische Namen</w:t>
            </w:r>
          </w:p>
        </w:tc>
        <w:tc>
          <w:tcPr>
            <w:tcW w:w="4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C83F65" w14:textId="77777777" w:rsidR="00CE573D" w:rsidRPr="009042CC" w:rsidRDefault="00CE573D" w:rsidP="00C07756">
            <w:pPr>
              <w:spacing w:before="40" w:after="40"/>
              <w:jc w:val="center"/>
              <w:rPr>
                <w:sz w:val="18"/>
                <w:szCs w:val="18"/>
              </w:rPr>
            </w:pPr>
            <w:r>
              <w:rPr>
                <w:sz w:val="18"/>
              </w:rPr>
              <w:t>UPOV-Codes</w:t>
            </w:r>
          </w:p>
        </w:tc>
      </w:tr>
      <w:tr w:rsidR="00CE573D" w:rsidRPr="009042CC" w14:paraId="1A514AAA" w14:textId="77777777" w:rsidTr="00C07756">
        <w:trPr>
          <w:cantSplit/>
          <w:tblHeader/>
        </w:trPr>
        <w:tc>
          <w:tcPr>
            <w:tcW w:w="1277" w:type="dxa"/>
            <w:tcBorders>
              <w:top w:val="nil"/>
              <w:left w:val="nil"/>
              <w:bottom w:val="nil"/>
              <w:right w:val="nil"/>
            </w:tcBorders>
          </w:tcPr>
          <w:p w14:paraId="170EFD02" w14:textId="77777777" w:rsidR="00CE573D" w:rsidRPr="009042CC" w:rsidRDefault="00CE573D" w:rsidP="00C07756">
            <w:pPr>
              <w:keepNext/>
              <w:spacing w:before="40" w:after="40"/>
              <w:jc w:val="left"/>
              <w:rPr>
                <w:sz w:val="10"/>
                <w:szCs w:val="18"/>
              </w:rPr>
            </w:pPr>
          </w:p>
        </w:tc>
        <w:tc>
          <w:tcPr>
            <w:tcW w:w="4473" w:type="dxa"/>
            <w:tcBorders>
              <w:top w:val="nil"/>
              <w:left w:val="nil"/>
              <w:bottom w:val="nil"/>
              <w:right w:val="nil"/>
            </w:tcBorders>
          </w:tcPr>
          <w:p w14:paraId="350CF591" w14:textId="77777777" w:rsidR="00CE573D" w:rsidRPr="009042CC" w:rsidRDefault="00CE573D" w:rsidP="00C07756">
            <w:pPr>
              <w:keepNext/>
              <w:spacing w:before="40" w:after="40"/>
              <w:jc w:val="left"/>
              <w:rPr>
                <w:sz w:val="10"/>
                <w:szCs w:val="18"/>
              </w:rPr>
            </w:pPr>
          </w:p>
        </w:tc>
        <w:tc>
          <w:tcPr>
            <w:tcW w:w="4034" w:type="dxa"/>
            <w:tcBorders>
              <w:top w:val="nil"/>
              <w:left w:val="nil"/>
              <w:bottom w:val="nil"/>
              <w:right w:val="nil"/>
            </w:tcBorders>
          </w:tcPr>
          <w:p w14:paraId="4D358C39" w14:textId="77777777" w:rsidR="00CE573D" w:rsidRPr="009042CC" w:rsidRDefault="00CE573D" w:rsidP="00C07756">
            <w:pPr>
              <w:keepNext/>
              <w:spacing w:before="40" w:after="40"/>
              <w:jc w:val="left"/>
              <w:rPr>
                <w:sz w:val="10"/>
                <w:szCs w:val="18"/>
              </w:rPr>
            </w:pPr>
          </w:p>
        </w:tc>
      </w:tr>
      <w:tr w:rsidR="00CE573D" w:rsidRPr="009042CC" w14:paraId="43F3E7CF" w14:textId="77777777" w:rsidTr="00C07756">
        <w:trPr>
          <w:cantSplit/>
        </w:trPr>
        <w:tc>
          <w:tcPr>
            <w:tcW w:w="1277" w:type="dxa"/>
            <w:tcBorders>
              <w:top w:val="single" w:sz="4" w:space="0" w:color="auto"/>
              <w:left w:val="single" w:sz="4" w:space="0" w:color="auto"/>
              <w:bottom w:val="single" w:sz="4" w:space="0" w:color="auto"/>
              <w:right w:val="single" w:sz="4" w:space="0" w:color="auto"/>
            </w:tcBorders>
            <w:hideMark/>
          </w:tcPr>
          <w:p w14:paraId="3BAA1B13" w14:textId="77777777" w:rsidR="00CE573D" w:rsidRPr="009042CC" w:rsidRDefault="00CE573D" w:rsidP="00C07756">
            <w:pPr>
              <w:spacing w:before="40" w:after="40"/>
              <w:jc w:val="left"/>
              <w:rPr>
                <w:sz w:val="18"/>
                <w:szCs w:val="18"/>
              </w:rPr>
            </w:pPr>
            <w:r>
              <w:rPr>
                <w:sz w:val="18"/>
              </w:rPr>
              <w:t>Klasse 201</w:t>
            </w:r>
          </w:p>
        </w:tc>
        <w:tc>
          <w:tcPr>
            <w:tcW w:w="4473" w:type="dxa"/>
            <w:tcBorders>
              <w:top w:val="single" w:sz="4" w:space="0" w:color="auto"/>
              <w:left w:val="single" w:sz="4" w:space="0" w:color="auto"/>
              <w:bottom w:val="single" w:sz="4" w:space="0" w:color="auto"/>
              <w:right w:val="single" w:sz="4" w:space="0" w:color="auto"/>
            </w:tcBorders>
            <w:hideMark/>
          </w:tcPr>
          <w:p w14:paraId="07DD6E0A" w14:textId="77777777" w:rsidR="00CE573D" w:rsidRPr="009042CC" w:rsidRDefault="00CE573D" w:rsidP="00C07756">
            <w:pPr>
              <w:keepNext/>
              <w:spacing w:before="40" w:after="40"/>
              <w:jc w:val="left"/>
              <w:rPr>
                <w:sz w:val="18"/>
                <w:szCs w:val="18"/>
              </w:rPr>
            </w:pPr>
            <w:r>
              <w:rPr>
                <w:i/>
                <w:sz w:val="18"/>
              </w:rPr>
              <w:t>Secale</w:t>
            </w:r>
            <w:r>
              <w:rPr>
                <w:sz w:val="18"/>
              </w:rPr>
              <w:t xml:space="preserve">, </w:t>
            </w:r>
            <w:r>
              <w:rPr>
                <w:i/>
                <w:sz w:val="18"/>
              </w:rPr>
              <w:t>Triticale</w:t>
            </w:r>
            <w:r>
              <w:rPr>
                <w:sz w:val="18"/>
              </w:rPr>
              <w:t xml:space="preserve">, </w:t>
            </w:r>
            <w:r>
              <w:rPr>
                <w:i/>
                <w:sz w:val="18"/>
              </w:rPr>
              <w:t xml:space="preserve">Triticum, </w:t>
            </w:r>
            <w:r>
              <w:rPr>
                <w:sz w:val="18"/>
                <w:u w:val="single"/>
                <w:shd w:val="pct15" w:color="auto" w:fill="FFFFFF"/>
              </w:rPr>
              <w:t>×</w:t>
            </w:r>
            <w:r>
              <w:rPr>
                <w:i/>
                <w:sz w:val="18"/>
                <w:u w:val="single"/>
                <w:shd w:val="pct15" w:color="auto" w:fill="FFFFFF"/>
              </w:rPr>
              <w:t>Trititrigia</w:t>
            </w:r>
          </w:p>
        </w:tc>
        <w:tc>
          <w:tcPr>
            <w:tcW w:w="4034" w:type="dxa"/>
            <w:tcBorders>
              <w:top w:val="single" w:sz="4" w:space="0" w:color="auto"/>
              <w:left w:val="single" w:sz="4" w:space="0" w:color="auto"/>
              <w:bottom w:val="single" w:sz="4" w:space="0" w:color="auto"/>
              <w:right w:val="single" w:sz="4" w:space="0" w:color="auto"/>
            </w:tcBorders>
            <w:hideMark/>
          </w:tcPr>
          <w:p w14:paraId="54D329B5" w14:textId="77777777" w:rsidR="00CE573D" w:rsidRPr="009042CC" w:rsidRDefault="00CE573D" w:rsidP="00C07756">
            <w:pPr>
              <w:keepNext/>
              <w:spacing w:before="40" w:after="40"/>
              <w:jc w:val="left"/>
              <w:rPr>
                <w:sz w:val="18"/>
                <w:szCs w:val="18"/>
              </w:rPr>
            </w:pPr>
            <w:r>
              <w:rPr>
                <w:sz w:val="18"/>
              </w:rPr>
              <w:t xml:space="preserve">SECAL;  TRITL;  TRITI;  </w:t>
            </w:r>
            <w:r>
              <w:rPr>
                <w:sz w:val="18"/>
                <w:u w:val="single"/>
                <w:shd w:val="pct15" w:color="auto" w:fill="FFFFFF"/>
              </w:rPr>
              <w:t>TRITT</w:t>
            </w:r>
          </w:p>
        </w:tc>
      </w:tr>
    </w:tbl>
    <w:p w14:paraId="7F10CEFB" w14:textId="77777777" w:rsidR="00CB22CF" w:rsidRDefault="00CB22CF" w:rsidP="00445B73">
      <w:pPr>
        <w:jc w:val="left"/>
      </w:pPr>
    </w:p>
    <w:p w14:paraId="42E16AC5" w14:textId="77777777" w:rsidR="00CE573D" w:rsidRPr="00E91452" w:rsidRDefault="00CE573D" w:rsidP="005F231F">
      <w:pPr>
        <w:pStyle w:val="Heading5"/>
      </w:pPr>
      <w:bookmarkStart w:id="14" w:name="_Toc82293088"/>
      <w:r>
        <w:rPr>
          <w:snapToGrid w:val="0"/>
        </w:rPr>
        <w:t>Dokument UPOV/INF/23 „</w:t>
      </w:r>
      <w:r>
        <w:t>UPOV-Code-System“</w:t>
      </w:r>
      <w:bookmarkEnd w:id="14"/>
      <w:r>
        <w:t xml:space="preserve"> </w:t>
      </w:r>
    </w:p>
    <w:p w14:paraId="5CC9DD82" w14:textId="77777777" w:rsidR="00094E47" w:rsidRPr="009042CC" w:rsidRDefault="00094E47" w:rsidP="005F231F">
      <w:pPr>
        <w:keepNext/>
      </w:pPr>
    </w:p>
    <w:p w14:paraId="4743AB2E" w14:textId="77777777" w:rsidR="00094E47" w:rsidRPr="009042CC" w:rsidRDefault="00094E47" w:rsidP="00094E47">
      <w:r>
        <w:fldChar w:fldCharType="begin"/>
      </w:r>
      <w:r>
        <w:instrText xml:space="preserve"> AUTONUM  </w:instrText>
      </w:r>
      <w:r>
        <w:fldChar w:fldCharType="end"/>
      </w:r>
      <w:r>
        <w:tab/>
        <w:t>Der TC prüfte den Vorschlag einer Klärung der  Höchstzahl der Zeichen, die im angehängten Element der UPOV-Codes verwendet werden dürfen, wie in Dokument UPOV/INF/23 „UPOV-Code-System“ wiedergegeben, und vereinbarte, das Verbandsbüro um die Ausarbeitung eines Vorschlags zu bitten, der von den TWP und dem TC auf deren Tagungen im Jahr 2022 geprüft werden soll.</w:t>
      </w:r>
    </w:p>
    <w:p w14:paraId="0A0ACD38" w14:textId="77777777" w:rsidR="00CE573D" w:rsidRDefault="00CE573D" w:rsidP="00445B73">
      <w:pPr>
        <w:jc w:val="left"/>
      </w:pPr>
    </w:p>
    <w:p w14:paraId="5B6F9816" w14:textId="77777777" w:rsidR="00CE573D" w:rsidRPr="00E91452" w:rsidRDefault="00CE573D" w:rsidP="005F231F">
      <w:pPr>
        <w:pStyle w:val="Heading5"/>
      </w:pPr>
      <w:bookmarkStart w:id="15" w:name="_Toc82293089"/>
      <w:r>
        <w:t>Dokument TGP/7 „Erstellung von Prüfungsrichtlinien“</w:t>
      </w:r>
      <w:bookmarkEnd w:id="15"/>
      <w:r>
        <w:t xml:space="preserve"> </w:t>
      </w:r>
    </w:p>
    <w:p w14:paraId="632A6D6A" w14:textId="77777777" w:rsidR="00CE573D" w:rsidRPr="009042CC" w:rsidRDefault="00CE573D" w:rsidP="005F231F">
      <w:pPr>
        <w:keepNext/>
      </w:pPr>
    </w:p>
    <w:p w14:paraId="6DB46B26" w14:textId="77777777" w:rsidR="00CE573D" w:rsidRPr="005F231F" w:rsidRDefault="00CE573D" w:rsidP="005F231F">
      <w:pPr>
        <w:pStyle w:val="Heading6"/>
        <w:keepNext/>
      </w:pPr>
      <w:bookmarkStart w:id="16" w:name="_Toc82293090"/>
      <w:r>
        <w:t>Hinzufügen der Ausprägungsstufe und von nicht mit Sternchen versehenen Krankheitsresistenzmerkmalen in Abschnitt 5 des Technischen Fragebogens</w:t>
      </w:r>
      <w:bookmarkEnd w:id="16"/>
      <w:r>
        <w:t xml:space="preserve"> </w:t>
      </w:r>
    </w:p>
    <w:p w14:paraId="3D7F835F" w14:textId="77777777" w:rsidR="00CC3903" w:rsidRDefault="00CC3903" w:rsidP="00CC3903">
      <w:pPr>
        <w:jc w:val="left"/>
      </w:pPr>
    </w:p>
    <w:p w14:paraId="5FDFA302" w14:textId="77777777" w:rsidR="00CC3903" w:rsidRDefault="00CC3903" w:rsidP="00CC3903">
      <w:r>
        <w:fldChar w:fldCharType="begin"/>
      </w:r>
      <w:r>
        <w:instrText xml:space="preserve"> AUTONUM  </w:instrText>
      </w:r>
      <w:r>
        <w:fldChar w:fldCharType="end"/>
      </w:r>
      <w:r>
        <w:tab/>
        <w:t>Der TC prüfte den Vorschlag, Dokument TGP/7, GN 13 „Merkmale mit besonderen Funktionen“ zu überarbeiten, so dass deutlich wird, dass Krankheitsresistenzmerkmale in Abschnitt 5 des Technischen Fragebogens unter Ergänzung der Ausprägungsstufe „nicht geprüft“ anzugeben sind, wenn ein Merkmal in der Merkmalstabelle ursprünglich kein Sternchen aufwies.</w:t>
      </w:r>
    </w:p>
    <w:p w14:paraId="217D7937" w14:textId="77777777" w:rsidR="00CC3903" w:rsidRDefault="00CC3903" w:rsidP="00CC3903">
      <w:pPr>
        <w:jc w:val="left"/>
      </w:pPr>
    </w:p>
    <w:p w14:paraId="65A005A0" w14:textId="23AC2785" w:rsidR="00CC3903" w:rsidRPr="00CE573D" w:rsidRDefault="00CC3903" w:rsidP="00C617E3">
      <w:pPr>
        <w:rPr>
          <w:snapToGrid w:val="0"/>
        </w:rPr>
      </w:pPr>
      <w:r>
        <w:fldChar w:fldCharType="begin"/>
      </w:r>
      <w:r>
        <w:instrText xml:space="preserve"> AUTONUM  </w:instrText>
      </w:r>
      <w:r>
        <w:fldChar w:fldCharType="end"/>
      </w:r>
      <w:r>
        <w:tab/>
        <w:t xml:space="preserve">Der TC nahm zur Kenntnis, dass die unterschiedliche Verwendung von Sternchen in den Prüfungsrichtlinien und den TQ-Merkmalen in den TWP laufend diskutiert werde. Der TC vereinbarte, die Aufnahme von nicht mit Sternchen versehenen Krankheitsresistenzmerkmalen in den TQ bis zu seiner </w:t>
      </w:r>
      <w:r w:rsidRPr="00D132B8">
        <w:t xml:space="preserve">achtundfünfzigsten </w:t>
      </w:r>
      <w:r w:rsidR="00463A12" w:rsidRPr="00D132B8">
        <w:t>Tag</w:t>
      </w:r>
      <w:r w:rsidRPr="00D132B8">
        <w:t>ung zu</w:t>
      </w:r>
      <w:r>
        <w:t xml:space="preserve"> verschieben und sie dann zusammen mit etwaigen Vorschlägen der TWP zur  unterschiedlichen Verwendung von Sternchen in den Prüfungsrichtlinien und den TQ-Merkmalen zu prüfen</w:t>
      </w:r>
      <w:r w:rsidR="00463A12">
        <w:t>.</w:t>
      </w:r>
    </w:p>
    <w:p w14:paraId="4704B260" w14:textId="77777777" w:rsidR="00CE573D" w:rsidRDefault="00CE573D" w:rsidP="00445B73">
      <w:pPr>
        <w:jc w:val="left"/>
      </w:pPr>
    </w:p>
    <w:p w14:paraId="1A3BF241" w14:textId="77777777" w:rsidR="00CE573D" w:rsidRPr="005F231F" w:rsidRDefault="00CE573D" w:rsidP="00EF531B">
      <w:pPr>
        <w:pStyle w:val="Heading6"/>
      </w:pPr>
      <w:bookmarkStart w:id="17" w:name="_Toc79508488"/>
      <w:bookmarkStart w:id="18" w:name="_Toc82293092"/>
      <w:r>
        <w:t>Angabe von Gruppierungsmerkmalen in den UPOV-Prüfungsrichtlinien (Merkmalstabelle und TQ5)</w:t>
      </w:r>
      <w:bookmarkEnd w:id="17"/>
      <w:bookmarkEnd w:id="18"/>
      <w:r>
        <w:t xml:space="preserve"> </w:t>
      </w:r>
    </w:p>
    <w:p w14:paraId="08C9783D" w14:textId="77777777" w:rsidR="00CE573D" w:rsidRDefault="00CE573D" w:rsidP="00CE573D"/>
    <w:p w14:paraId="341680B8" w14:textId="77777777" w:rsidR="00CE573D" w:rsidRDefault="0065742A" w:rsidP="00CE573D">
      <w:r>
        <w:fldChar w:fldCharType="begin"/>
      </w:r>
      <w:r>
        <w:instrText xml:space="preserve"> AUTONUM  </w:instrText>
      </w:r>
      <w:r>
        <w:fldChar w:fldCharType="end"/>
      </w:r>
      <w:r>
        <w:tab/>
        <w:t>Der TC prüfte den Vorschlag, die Angabe von Gruppierungsmerkmalen in die Merkmalstabelle und den Technischen Fragebogen der UPOV-Prüfungsrichtlinien aufzunehmen.</w:t>
      </w:r>
    </w:p>
    <w:p w14:paraId="5E54F466" w14:textId="77777777" w:rsidR="0065742A" w:rsidRDefault="0065742A" w:rsidP="00CE573D"/>
    <w:p w14:paraId="7C30D9EC" w14:textId="54002B59" w:rsidR="00CE573D" w:rsidRPr="00CE573D" w:rsidRDefault="00CE573D" w:rsidP="00CE573D">
      <w:pPr>
        <w:rPr>
          <w:snapToGrid w:val="0"/>
        </w:rPr>
      </w:pPr>
      <w:r w:rsidRPr="00CE573D">
        <w:fldChar w:fldCharType="begin"/>
      </w:r>
      <w:r w:rsidRPr="00CE573D">
        <w:instrText xml:space="preserve"> AUTONUM  </w:instrText>
      </w:r>
      <w:r w:rsidRPr="00CE573D">
        <w:fldChar w:fldCharType="end"/>
      </w:r>
      <w:r>
        <w:tab/>
      </w:r>
      <w:r>
        <w:rPr>
          <w:snapToGrid w:val="0"/>
        </w:rPr>
        <w:t>Der TC vereinbarte, das Verbandsbüro um die Ausarbeitung eines Vorschlags zu ersuchen, der vorsieht, Merkmale in der Merkmalstabelle und im Technischen Fragebogen anzugeben, wenn sie als Gruppierungsmerkmale verwendet werden, und der den TWP und dem TC bei dere</w:t>
      </w:r>
      <w:r w:rsidRPr="00D132B8">
        <w:rPr>
          <w:snapToGrid w:val="0"/>
        </w:rPr>
        <w:t>n</w:t>
      </w:r>
      <w:r w:rsidR="00463A12">
        <w:rPr>
          <w:snapToGrid w:val="0"/>
        </w:rPr>
        <w:t xml:space="preserve"> </w:t>
      </w:r>
      <w:r>
        <w:t xml:space="preserve">Tagungen im Jahr </w:t>
      </w:r>
      <w:r>
        <w:rPr>
          <w:snapToGrid w:val="0"/>
        </w:rPr>
        <w:t>2022 vorgelegt werden soll. Der Vorschlag sollte die Erweiterung der webbasierten TG-Mustervorlage um eine entsprechende Funktion sowie die erforderliche Überarbeitung von Dokument TGP/7 „Erstellung von Prüfungsrichtlinien“ in Betracht ziehen.</w:t>
      </w:r>
    </w:p>
    <w:p w14:paraId="79253003" w14:textId="77777777" w:rsidR="00CE573D" w:rsidRPr="0052329D" w:rsidRDefault="00CE573D" w:rsidP="00594B23">
      <w:pPr>
        <w:pStyle w:val="Heading6"/>
      </w:pPr>
    </w:p>
    <w:p w14:paraId="22AFD7E8" w14:textId="77777777" w:rsidR="00CE573D" w:rsidRPr="00054C6A" w:rsidRDefault="00CE573D" w:rsidP="00594B23">
      <w:pPr>
        <w:pStyle w:val="Heading6"/>
      </w:pPr>
      <w:bookmarkStart w:id="19" w:name="_Toc82293093"/>
      <w:r>
        <w:t>Beispielssorten für quantitative Merkmale mit Sternchen, wenn Abbildungen vorgelegt werden</w:t>
      </w:r>
      <w:bookmarkEnd w:id="19"/>
    </w:p>
    <w:p w14:paraId="4EFA99A6" w14:textId="77777777" w:rsidR="007F451C" w:rsidRPr="007F451C" w:rsidRDefault="007F451C" w:rsidP="00CE573D">
      <w:pPr>
        <w:keepNext/>
        <w:keepLines/>
      </w:pPr>
    </w:p>
    <w:p w14:paraId="7EE5623F" w14:textId="77777777" w:rsidR="00CE573D" w:rsidRPr="00291EFE" w:rsidRDefault="00594B23" w:rsidP="00CE573D">
      <w:pPr>
        <w:keepNext/>
        <w:keepLines/>
        <w:rPr>
          <w:rFonts w:eastAsia="Calibri"/>
        </w:rPr>
      </w:pPr>
      <w:r>
        <w:rPr>
          <w:rFonts w:eastAsia="Calibri"/>
        </w:rPr>
        <w:fldChar w:fldCharType="begin"/>
      </w:r>
      <w:r>
        <w:rPr>
          <w:rFonts w:eastAsia="Calibri"/>
        </w:rPr>
        <w:instrText xml:space="preserve"> AUTONUM  </w:instrText>
      </w:r>
      <w:r>
        <w:rPr>
          <w:rFonts w:eastAsia="Calibri"/>
        </w:rPr>
        <w:fldChar w:fldCharType="end"/>
      </w:r>
      <w:r>
        <w:tab/>
        <w:t>Der TC prüfte den Vorschlag, Dokument TGP/7 GN 28, Absatz 1.3 iii) auf folgenden Wortlaut abzuändern:</w:t>
      </w:r>
    </w:p>
    <w:p w14:paraId="40F70F23" w14:textId="77777777" w:rsidR="00CE573D" w:rsidRPr="00291EFE" w:rsidRDefault="00CE573D" w:rsidP="00CE573D">
      <w:pPr>
        <w:keepNext/>
        <w:keepLines/>
      </w:pPr>
    </w:p>
    <w:p w14:paraId="610C7C1E" w14:textId="77777777" w:rsidR="00CE573D" w:rsidRPr="00291EFE" w:rsidRDefault="00CE573D" w:rsidP="00CE573D">
      <w:pPr>
        <w:keepNext/>
        <w:keepLines/>
        <w:ind w:left="567" w:right="567"/>
        <w:rPr>
          <w:rFonts w:eastAsia="Calibri"/>
          <w:sz w:val="18"/>
        </w:rPr>
      </w:pPr>
      <w:r>
        <w:rPr>
          <w:sz w:val="18"/>
        </w:rPr>
        <w:t>„iii)</w:t>
      </w:r>
      <w:r>
        <w:rPr>
          <w:sz w:val="18"/>
        </w:rPr>
        <w:tab/>
        <w:t xml:space="preserve">Wenn ein Merkmal für die internationale Harmonisierung von Sortenbeschreibungen wichtig ist (Merkmal mit Sternchen), </w:t>
      </w:r>
      <w:r w:rsidRPr="00463A12">
        <w:rPr>
          <w:strike/>
          <w:sz w:val="18"/>
          <w:highlight w:val="lightGray"/>
        </w:rPr>
        <w:t>und</w:t>
      </w:r>
      <w:r>
        <w:rPr>
          <w:sz w:val="18"/>
        </w:rPr>
        <w:t xml:space="preserve"> von der Umwelt beeinflusst wird </w:t>
      </w:r>
      <w:r w:rsidRPr="00463A12">
        <w:rPr>
          <w:sz w:val="18"/>
          <w:highlight w:val="lightGray"/>
          <w:u w:val="single"/>
        </w:rPr>
        <w:t>und sich durch Zeichnungen oder Fotografien nicht auf sinnvolle Art veranschaulichen lässt</w:t>
      </w:r>
      <w:r w:rsidRPr="00463A12">
        <w:rPr>
          <w:sz w:val="18"/>
          <w:highlight w:val="lightGray"/>
        </w:rPr>
        <w:t xml:space="preserve"> </w:t>
      </w:r>
      <w:r w:rsidRPr="00463A12">
        <w:rPr>
          <w:strike/>
          <w:sz w:val="18"/>
          <w:highlight w:val="lightGray"/>
        </w:rPr>
        <w:t>(die meisten quantitativen und pseudoqualitativen Merkmale) oder wenn Beispielssorten für die Veranschaulichung des Merkmals erforderlich sind</w:t>
      </w:r>
      <w:r w:rsidRPr="00463A12">
        <w:rPr>
          <w:sz w:val="18"/>
          <w:highlight w:val="lightGray"/>
        </w:rPr>
        <w:t xml:space="preserve"> </w:t>
      </w:r>
      <w:r w:rsidRPr="00463A12">
        <w:rPr>
          <w:strike/>
          <w:sz w:val="18"/>
          <w:highlight w:val="lightGray"/>
        </w:rPr>
        <w:t>(vergleiche Abschnitt 3.1)</w:t>
      </w:r>
      <w:r w:rsidRPr="00463A12">
        <w:rPr>
          <w:sz w:val="18"/>
          <w:highlight w:val="lightGray"/>
        </w:rPr>
        <w:t>,</w:t>
      </w:r>
      <w:r>
        <w:rPr>
          <w:sz w:val="18"/>
        </w:rPr>
        <w:t xml:space="preserve"> müssen Beispielssorten bereitgestellt werden.“</w:t>
      </w:r>
    </w:p>
    <w:p w14:paraId="370272E6" w14:textId="77777777" w:rsidR="007F451C" w:rsidRDefault="007F451C" w:rsidP="007F451C">
      <w:bookmarkStart w:id="20" w:name="_Toc82293094"/>
    </w:p>
    <w:p w14:paraId="73FEBFE3" w14:textId="77777777" w:rsidR="007F451C" w:rsidRDefault="007F451C" w:rsidP="007F451C">
      <w:r>
        <w:fldChar w:fldCharType="begin"/>
      </w:r>
      <w:r>
        <w:instrText xml:space="preserve"> AUTONUM  </w:instrText>
      </w:r>
      <w:r>
        <w:fldChar w:fldCharType="end"/>
      </w:r>
      <w:r>
        <w:tab/>
        <w:t>Der TC vereinbarte, die TWP darum zu bitten, auf ihren Tagungen im Jahr 2022 den Vorschlag zu prüfen, Dokument TGP/7 so abzuändern, dass das Erfordernis der Bereitstellung von Beispielssorten für mit Sternchen versehene quantitative Merkmale bei Vorliegen von Abbildungen gestrichen wird und deutlich wird, in welchen Fällen nach wie vor Beispielssorten erforderlich seien.</w:t>
      </w:r>
    </w:p>
    <w:p w14:paraId="0F145B9B" w14:textId="77777777" w:rsidR="007F451C" w:rsidRPr="00291EFE" w:rsidRDefault="007F451C" w:rsidP="007F451C"/>
    <w:p w14:paraId="1B0B11C4" w14:textId="6A0E0709" w:rsidR="00CE573D" w:rsidRPr="00594B23" w:rsidRDefault="00594B23" w:rsidP="00594B23">
      <w:pPr>
        <w:pStyle w:val="Heading6"/>
      </w:pPr>
      <w:r>
        <w:t xml:space="preserve">Änderung </w:t>
      </w:r>
      <w:r w:rsidRPr="00D132B8">
        <w:t>de</w:t>
      </w:r>
      <w:r w:rsidR="00463A12" w:rsidRPr="00D132B8">
        <w:t>r</w:t>
      </w:r>
      <w:r>
        <w:t xml:space="preserve"> Standardformulierung in Absatz 4.2.2 der Prüfungsrichtlinien-Mustervorlage in eine zusätzliche Standardformulierung (ASW).</w:t>
      </w:r>
      <w:bookmarkEnd w:id="20"/>
      <w:r>
        <w:t xml:space="preserve"> </w:t>
      </w:r>
    </w:p>
    <w:p w14:paraId="12B5587C" w14:textId="77777777" w:rsidR="00594B23" w:rsidRDefault="00594B23" w:rsidP="00CE573D"/>
    <w:p w14:paraId="52103D13" w14:textId="69CABBF6" w:rsidR="00594B23" w:rsidRPr="00054C6A" w:rsidRDefault="00594B23" w:rsidP="00594B23">
      <w:pPr>
        <w:keepNext/>
      </w:pPr>
      <w:r w:rsidRPr="00054C6A">
        <w:fldChar w:fldCharType="begin"/>
      </w:r>
      <w:r w:rsidRPr="00054C6A">
        <w:instrText xml:space="preserve"> AUTONUM  </w:instrText>
      </w:r>
      <w:r w:rsidRPr="00054C6A">
        <w:fldChar w:fldCharType="end"/>
      </w:r>
      <w:r>
        <w:tab/>
        <w:t>Der TC prüfte den Vorschlag, die folgende Standardformulierung im Kapitel „Homogenität“ der Prüfungsrichtlinien in eine zusätzliche Standardformulierung zu ändern:</w:t>
      </w:r>
    </w:p>
    <w:p w14:paraId="5403EC4D" w14:textId="77777777" w:rsidR="00594B23" w:rsidRPr="00054C6A" w:rsidRDefault="00594B23" w:rsidP="00594B23"/>
    <w:p w14:paraId="358D1D1D" w14:textId="77777777" w:rsidR="00594B23" w:rsidRPr="00054C6A" w:rsidRDefault="00594B23" w:rsidP="00594B23">
      <w:pPr>
        <w:ind w:left="567" w:right="567"/>
        <w:rPr>
          <w:sz w:val="18"/>
        </w:rPr>
      </w:pPr>
      <w:r>
        <w:rPr>
          <w:sz w:val="18"/>
        </w:rPr>
        <w:t>„4.2.2</w:t>
      </w:r>
      <w:r>
        <w:rPr>
          <w:sz w:val="18"/>
        </w:rPr>
        <w:tab/>
        <w:t>Diese Prüfungsrichtlinien wurden für die Prüfung von [Art oder Arten der Vermehrung] Sorten erarbeitet. Für Sorten mit anderen Vermehrungsarten sollten die Empfehlungen in der Allgemeinen Einführung und in Dokument TGP/13 „Anleitung für neue Typen und Arten“, Abschnitt 4.5 „Prüfung der Homogenität“ befolgt werden.“</w:t>
      </w:r>
    </w:p>
    <w:p w14:paraId="01A2C4E5" w14:textId="77777777" w:rsidR="00594B23" w:rsidRDefault="00594B23" w:rsidP="00594B23">
      <w:pPr>
        <w:rPr>
          <w:highlight w:val="yellow"/>
        </w:rPr>
      </w:pPr>
    </w:p>
    <w:p w14:paraId="5C68331F" w14:textId="77777777" w:rsidR="00594B23" w:rsidRPr="00291EFE" w:rsidRDefault="00594B23" w:rsidP="00594B23">
      <w:r>
        <w:fldChar w:fldCharType="begin"/>
      </w:r>
      <w:r>
        <w:instrText xml:space="preserve"> AUTONUM  </w:instrText>
      </w:r>
      <w:r>
        <w:fldChar w:fldCharType="end"/>
      </w:r>
      <w:r>
        <w:tab/>
        <w:t>Der TC vereinbarte, die TWP darum zu bitten, auf ihren Tagungen im Jahr 2022 den Vorschlag zu prüfen, Dokument TGP/7 „Erstellung von Prüfungsrichtlinien“ so abzuändern, dass aus der Standardformulierung in Absatz 4.2.2 der Prüfungsrichtlinien-Mustervorlage eine zusätzliche Standardformulierung (ASW) wird.</w:t>
      </w:r>
    </w:p>
    <w:p w14:paraId="247E135E" w14:textId="77777777" w:rsidR="00594B23" w:rsidRPr="00291EFE" w:rsidRDefault="00594B23" w:rsidP="00594B23">
      <w:pPr>
        <w:keepNext/>
      </w:pPr>
    </w:p>
    <w:p w14:paraId="13B9B9B2" w14:textId="77777777" w:rsidR="00CE573D" w:rsidRPr="00E91452" w:rsidRDefault="00CE573D" w:rsidP="009205CB">
      <w:pPr>
        <w:pStyle w:val="Heading5"/>
      </w:pPr>
      <w:bookmarkStart w:id="21" w:name="_Toc82293095"/>
      <w:r>
        <w:t>Dokument TGP/12 „Anleitung zu bestimmten physiologischen Merkmalen"</w:t>
      </w:r>
      <w:bookmarkEnd w:id="21"/>
      <w:r>
        <w:t xml:space="preserve"> </w:t>
      </w:r>
    </w:p>
    <w:p w14:paraId="57158C26" w14:textId="77777777" w:rsidR="00CE573D" w:rsidRPr="00842AEE" w:rsidRDefault="00CE573D" w:rsidP="009205CB">
      <w:pPr>
        <w:keepNext/>
      </w:pPr>
    </w:p>
    <w:p w14:paraId="70AE6744" w14:textId="77777777" w:rsidR="00CE573D" w:rsidRPr="00E53AF7" w:rsidRDefault="00CE573D" w:rsidP="009205CB">
      <w:pPr>
        <w:pStyle w:val="Heading6"/>
        <w:keepNext/>
      </w:pPr>
      <w:bookmarkStart w:id="22" w:name="_Toc79508489"/>
      <w:bookmarkStart w:id="23" w:name="_Toc82293096"/>
      <w:r>
        <w:t>Verwendung von Krankheitsresistenzmerkmalen</w:t>
      </w:r>
      <w:bookmarkEnd w:id="22"/>
      <w:bookmarkEnd w:id="23"/>
    </w:p>
    <w:p w14:paraId="6DBC9742" w14:textId="77777777" w:rsidR="00AA67C2" w:rsidRDefault="00AA67C2" w:rsidP="009205CB">
      <w:pPr>
        <w:keepNext/>
      </w:pPr>
    </w:p>
    <w:p w14:paraId="7703AD0B" w14:textId="11A6ACBB" w:rsidR="002B4FAA" w:rsidRDefault="00AA67C2" w:rsidP="00AA67C2">
      <w:pPr>
        <w:rPr>
          <w:snapToGrid w:val="0"/>
        </w:rPr>
      </w:pPr>
      <w:r>
        <w:fldChar w:fldCharType="begin"/>
      </w:r>
      <w:r>
        <w:instrText xml:space="preserve"> AUTONUM  </w:instrText>
      </w:r>
      <w:r>
        <w:fldChar w:fldCharType="end"/>
      </w:r>
      <w:r>
        <w:tab/>
        <w:t xml:space="preserve">Der </w:t>
      </w:r>
      <w:r w:rsidRPr="00D132B8">
        <w:t>T</w:t>
      </w:r>
      <w:r w:rsidR="003543BD" w:rsidRPr="00D132B8">
        <w:t>C</w:t>
      </w:r>
      <w:r w:rsidRPr="00D132B8">
        <w:t xml:space="preserve"> ver</w:t>
      </w:r>
      <w:r>
        <w:t xml:space="preserve">einbarte, Dokument TGP/12/2, Abschnitt 2.3.2 so abzuändern, </w:t>
      </w:r>
      <w:r>
        <w:rPr>
          <w:snapToGrid w:val="0"/>
        </w:rPr>
        <w:t>dass im Beispiel von Krankheitsresistenzmerkmalen mit einer Skala von ‚1-3‘ die Ausprägungsstufe „mäßig resistent“ durch „mittel“ ersetzt wird und folgenden Wortlaut erhält:</w:t>
      </w:r>
    </w:p>
    <w:p w14:paraId="631278C1" w14:textId="77777777" w:rsidR="0014240E" w:rsidRDefault="0014240E" w:rsidP="00AA67C2">
      <w:pPr>
        <w:rPr>
          <w:snapToGrid w:val="0"/>
        </w:rPr>
      </w:pPr>
    </w:p>
    <w:p w14:paraId="56AF6465" w14:textId="77777777" w:rsidR="0014240E" w:rsidRPr="00291EFE" w:rsidRDefault="0014240E" w:rsidP="0014240E">
      <w:pPr>
        <w:keepNext/>
        <w:keepLines/>
        <w:ind w:left="567"/>
        <w:jc w:val="left"/>
      </w:pPr>
      <w:r>
        <w:rPr>
          <w:u w:val="single"/>
        </w:rPr>
        <w:t>Beispiel mit einer Skala „1 bis 3":</w:t>
      </w:r>
      <w:r>
        <w:tab/>
        <w:t xml:space="preserve">Resistenz gegen </w:t>
      </w:r>
      <w:r>
        <w:rPr>
          <w:i/>
          <w:iCs/>
        </w:rPr>
        <w:t>Sphaerotheca fuliginea (Podosphaera xanthii)</w:t>
      </w:r>
      <w:r>
        <w:t xml:space="preserve"> (Echter Mehltau) bei Melone (UPOV-Prüfungsrichtlinien:   TG/104/5)</w:t>
      </w:r>
    </w:p>
    <w:p w14:paraId="21AB6031" w14:textId="77777777" w:rsidR="0014240E" w:rsidRPr="009617D7" w:rsidRDefault="0014240E" w:rsidP="0014240E">
      <w:pPr>
        <w:keepNext/>
        <w:keepLines/>
        <w:rPr>
          <w:sz w:val="18"/>
        </w:rPr>
      </w:pPr>
    </w:p>
    <w:tbl>
      <w:tblPr>
        <w:tblW w:w="7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8"/>
        <w:gridCol w:w="425"/>
        <w:gridCol w:w="1733"/>
        <w:gridCol w:w="1734"/>
        <w:gridCol w:w="1734"/>
        <w:gridCol w:w="851"/>
        <w:gridCol w:w="567"/>
      </w:tblGrid>
      <w:tr w:rsidR="0014240E" w:rsidRPr="00291EFE" w14:paraId="01DAC5B5" w14:textId="77777777" w:rsidTr="00D46118">
        <w:trPr>
          <w:cantSplit/>
          <w:tblHeader/>
          <w:jc w:val="center"/>
        </w:trPr>
        <w:tc>
          <w:tcPr>
            <w:tcW w:w="578" w:type="dxa"/>
            <w:tcBorders>
              <w:top w:val="single" w:sz="6" w:space="0" w:color="auto"/>
              <w:left w:val="nil"/>
              <w:bottom w:val="single" w:sz="4" w:space="0" w:color="auto"/>
              <w:right w:val="nil"/>
            </w:tcBorders>
            <w:vAlign w:val="center"/>
          </w:tcPr>
          <w:p w14:paraId="4696080D" w14:textId="77777777" w:rsidR="0014240E" w:rsidRPr="00291EFE" w:rsidRDefault="0014240E" w:rsidP="00D46118">
            <w:pPr>
              <w:keepNext/>
              <w:keepLines/>
              <w:spacing w:before="120" w:after="120"/>
              <w:jc w:val="left"/>
              <w:rPr>
                <w:noProof/>
                <w:sz w:val="16"/>
              </w:rPr>
            </w:pPr>
          </w:p>
        </w:tc>
        <w:tc>
          <w:tcPr>
            <w:tcW w:w="425" w:type="dxa"/>
            <w:tcBorders>
              <w:top w:val="single" w:sz="6" w:space="0" w:color="auto"/>
              <w:left w:val="nil"/>
              <w:bottom w:val="single" w:sz="4" w:space="0" w:color="auto"/>
              <w:right w:val="nil"/>
            </w:tcBorders>
            <w:vAlign w:val="center"/>
          </w:tcPr>
          <w:p w14:paraId="04BFA2CF" w14:textId="77777777" w:rsidR="0014240E" w:rsidRPr="00291EFE" w:rsidRDefault="0014240E" w:rsidP="00D46118">
            <w:pPr>
              <w:keepNext/>
              <w:keepLines/>
              <w:spacing w:before="120" w:after="120"/>
              <w:jc w:val="left"/>
              <w:rPr>
                <w:noProof/>
                <w:sz w:val="16"/>
              </w:rPr>
            </w:pPr>
          </w:p>
        </w:tc>
        <w:tc>
          <w:tcPr>
            <w:tcW w:w="1733" w:type="dxa"/>
            <w:tcBorders>
              <w:top w:val="single" w:sz="6" w:space="0" w:color="auto"/>
              <w:left w:val="nil"/>
              <w:bottom w:val="single" w:sz="4" w:space="0" w:color="auto"/>
              <w:right w:val="nil"/>
            </w:tcBorders>
            <w:vAlign w:val="center"/>
          </w:tcPr>
          <w:p w14:paraId="46D588A2" w14:textId="77777777" w:rsidR="0014240E" w:rsidRPr="00291EFE" w:rsidRDefault="0014240E" w:rsidP="00D46118">
            <w:pPr>
              <w:keepNext/>
              <w:keepLines/>
              <w:spacing w:before="120" w:after="120"/>
              <w:jc w:val="left"/>
              <w:rPr>
                <w:noProof/>
                <w:sz w:val="16"/>
              </w:rPr>
            </w:pPr>
            <w:r>
              <w:rPr>
                <w:sz w:val="16"/>
              </w:rPr>
              <w:t>Englisch</w:t>
            </w:r>
          </w:p>
        </w:tc>
        <w:tc>
          <w:tcPr>
            <w:tcW w:w="1734" w:type="dxa"/>
            <w:tcBorders>
              <w:top w:val="single" w:sz="6" w:space="0" w:color="auto"/>
              <w:left w:val="nil"/>
              <w:bottom w:val="single" w:sz="4" w:space="0" w:color="auto"/>
              <w:right w:val="nil"/>
            </w:tcBorders>
            <w:vAlign w:val="center"/>
          </w:tcPr>
          <w:p w14:paraId="08E799DA" w14:textId="77777777" w:rsidR="0014240E" w:rsidRPr="00291EFE" w:rsidRDefault="0014240E" w:rsidP="00D46118">
            <w:pPr>
              <w:keepNext/>
              <w:keepLines/>
              <w:spacing w:before="120" w:after="120"/>
              <w:jc w:val="left"/>
              <w:rPr>
                <w:noProof/>
                <w:sz w:val="16"/>
              </w:rPr>
            </w:pPr>
          </w:p>
        </w:tc>
        <w:tc>
          <w:tcPr>
            <w:tcW w:w="1734" w:type="dxa"/>
            <w:tcBorders>
              <w:top w:val="single" w:sz="6" w:space="0" w:color="auto"/>
              <w:left w:val="nil"/>
              <w:bottom w:val="single" w:sz="4" w:space="0" w:color="auto"/>
              <w:right w:val="nil"/>
            </w:tcBorders>
            <w:vAlign w:val="center"/>
          </w:tcPr>
          <w:p w14:paraId="3806025C" w14:textId="77777777" w:rsidR="0014240E" w:rsidRPr="00291EFE" w:rsidRDefault="0014240E" w:rsidP="00D46118">
            <w:pPr>
              <w:keepNext/>
              <w:keepLines/>
              <w:spacing w:before="120" w:after="120"/>
              <w:jc w:val="left"/>
              <w:rPr>
                <w:noProof/>
                <w:sz w:val="16"/>
              </w:rPr>
            </w:pPr>
          </w:p>
        </w:tc>
        <w:tc>
          <w:tcPr>
            <w:tcW w:w="851" w:type="dxa"/>
            <w:tcBorders>
              <w:top w:val="single" w:sz="6" w:space="0" w:color="auto"/>
              <w:left w:val="nil"/>
              <w:bottom w:val="single" w:sz="4" w:space="0" w:color="auto"/>
              <w:right w:val="nil"/>
            </w:tcBorders>
            <w:vAlign w:val="center"/>
          </w:tcPr>
          <w:p w14:paraId="599545CF" w14:textId="77777777" w:rsidR="0014240E" w:rsidRPr="00291EFE" w:rsidRDefault="0014240E" w:rsidP="00D46118">
            <w:pPr>
              <w:keepNext/>
              <w:keepLines/>
              <w:spacing w:before="120" w:after="120"/>
              <w:jc w:val="left"/>
              <w:rPr>
                <w:noProof/>
                <w:sz w:val="16"/>
              </w:rPr>
            </w:pPr>
            <w:r>
              <w:rPr>
                <w:sz w:val="16"/>
              </w:rPr>
              <w:t>Beispielssorten</w:t>
            </w:r>
          </w:p>
        </w:tc>
        <w:tc>
          <w:tcPr>
            <w:tcW w:w="567" w:type="dxa"/>
            <w:tcBorders>
              <w:top w:val="single" w:sz="6" w:space="0" w:color="auto"/>
              <w:left w:val="nil"/>
              <w:bottom w:val="single" w:sz="4" w:space="0" w:color="auto"/>
              <w:right w:val="nil"/>
            </w:tcBorders>
            <w:vAlign w:val="center"/>
          </w:tcPr>
          <w:p w14:paraId="4EA3ED7D" w14:textId="77777777" w:rsidR="0014240E" w:rsidRPr="00291EFE" w:rsidRDefault="0014240E" w:rsidP="00D46118">
            <w:pPr>
              <w:keepNext/>
              <w:keepLines/>
              <w:spacing w:before="120" w:after="120"/>
              <w:jc w:val="left"/>
              <w:rPr>
                <w:noProof/>
                <w:sz w:val="16"/>
              </w:rPr>
            </w:pPr>
            <w:r>
              <w:rPr>
                <w:sz w:val="16"/>
              </w:rPr>
              <w:t>Note</w:t>
            </w:r>
          </w:p>
        </w:tc>
      </w:tr>
      <w:tr w:rsidR="0014240E" w:rsidRPr="007B633C" w14:paraId="0C0F8DAD" w14:textId="77777777" w:rsidTr="00D4611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single" w:sz="4" w:space="0" w:color="auto"/>
              <w:left w:val="nil"/>
              <w:bottom w:val="nil"/>
            </w:tcBorders>
          </w:tcPr>
          <w:p w14:paraId="40DF5671" w14:textId="77777777" w:rsidR="0014240E" w:rsidRPr="00291EFE" w:rsidRDefault="0014240E" w:rsidP="00D46118">
            <w:pPr>
              <w:keepNext/>
              <w:keepLines/>
              <w:spacing w:before="120" w:after="120"/>
              <w:jc w:val="left"/>
              <w:rPr>
                <w:b/>
                <w:bCs/>
                <w:noProof/>
                <w:sz w:val="16"/>
              </w:rPr>
            </w:pPr>
            <w:r>
              <w:rPr>
                <w:b/>
                <w:sz w:val="16"/>
              </w:rPr>
              <w:t>70.</w:t>
            </w:r>
            <w:r>
              <w:rPr>
                <w:b/>
                <w:sz w:val="16"/>
              </w:rPr>
              <w:br/>
            </w:r>
            <w:r>
              <w:rPr>
                <w:b/>
                <w:sz w:val="16"/>
              </w:rPr>
              <w:br/>
              <w:t>(+)</w:t>
            </w:r>
          </w:p>
        </w:tc>
        <w:tc>
          <w:tcPr>
            <w:tcW w:w="425" w:type="dxa"/>
            <w:tcBorders>
              <w:top w:val="single" w:sz="4" w:space="0" w:color="auto"/>
              <w:bottom w:val="nil"/>
            </w:tcBorders>
          </w:tcPr>
          <w:p w14:paraId="530414E7" w14:textId="77777777" w:rsidR="0014240E" w:rsidRPr="00291EFE" w:rsidRDefault="0014240E" w:rsidP="00D46118">
            <w:pPr>
              <w:keepNext/>
              <w:keepLines/>
              <w:spacing w:before="120" w:after="120"/>
              <w:jc w:val="left"/>
              <w:rPr>
                <w:b/>
                <w:bCs/>
                <w:noProof/>
                <w:sz w:val="16"/>
              </w:rPr>
            </w:pPr>
            <w:r>
              <w:rPr>
                <w:b/>
                <w:sz w:val="16"/>
              </w:rPr>
              <w:t>VG</w:t>
            </w:r>
            <w:r>
              <w:rPr>
                <w:b/>
                <w:sz w:val="16"/>
              </w:rPr>
              <w:br/>
            </w:r>
            <w:r>
              <w:rPr>
                <w:b/>
                <w:sz w:val="16"/>
              </w:rPr>
              <w:br/>
            </w:r>
            <w:r>
              <w:rPr>
                <w:b/>
                <w:sz w:val="16"/>
              </w:rPr>
              <w:br/>
            </w:r>
            <w:r>
              <w:rPr>
                <w:b/>
                <w:sz w:val="16"/>
              </w:rPr>
              <w:br/>
            </w:r>
            <w:r>
              <w:rPr>
                <w:b/>
                <w:sz w:val="16"/>
              </w:rPr>
              <w:br/>
            </w:r>
          </w:p>
        </w:tc>
        <w:tc>
          <w:tcPr>
            <w:tcW w:w="1733" w:type="dxa"/>
            <w:tcBorders>
              <w:top w:val="single" w:sz="4" w:space="0" w:color="auto"/>
              <w:bottom w:val="nil"/>
            </w:tcBorders>
          </w:tcPr>
          <w:p w14:paraId="5EA2C951" w14:textId="77777777" w:rsidR="0014240E" w:rsidRPr="0052329D" w:rsidRDefault="0014240E" w:rsidP="00D46118">
            <w:pPr>
              <w:keepNext/>
              <w:keepLines/>
              <w:spacing w:before="120" w:after="120"/>
              <w:jc w:val="left"/>
              <w:rPr>
                <w:b/>
                <w:bCs/>
                <w:noProof/>
                <w:sz w:val="16"/>
                <w:lang w:val="en-US"/>
              </w:rPr>
            </w:pPr>
            <w:r w:rsidRPr="0052329D">
              <w:rPr>
                <w:b/>
                <w:sz w:val="16"/>
                <w:lang w:val="en-US"/>
              </w:rPr>
              <w:t>Resistance to Sphaerotheca fuliginea (</w:t>
            </w:r>
            <w:r w:rsidRPr="0052329D">
              <w:rPr>
                <w:b/>
                <w:snapToGrid w:val="0"/>
                <w:sz w:val="16"/>
                <w:lang w:val="en-US"/>
              </w:rPr>
              <w:t>Podosphaera xanthii)</w:t>
            </w:r>
            <w:r w:rsidRPr="0052329D">
              <w:rPr>
                <w:b/>
                <w:sz w:val="16"/>
                <w:lang w:val="en-US"/>
              </w:rPr>
              <w:t xml:space="preserve"> </w:t>
            </w:r>
            <w:r w:rsidRPr="0052329D">
              <w:rPr>
                <w:b/>
                <w:sz w:val="16"/>
                <w:lang w:val="en-US"/>
              </w:rPr>
              <w:br/>
              <w:t>(Echter Mehltau)</w:t>
            </w:r>
          </w:p>
        </w:tc>
        <w:tc>
          <w:tcPr>
            <w:tcW w:w="1734" w:type="dxa"/>
            <w:tcBorders>
              <w:top w:val="single" w:sz="4" w:space="0" w:color="auto"/>
              <w:bottom w:val="nil"/>
            </w:tcBorders>
          </w:tcPr>
          <w:p w14:paraId="26121BBE" w14:textId="77777777" w:rsidR="0014240E" w:rsidRPr="0052329D" w:rsidRDefault="0014240E" w:rsidP="00D46118">
            <w:pPr>
              <w:keepNext/>
              <w:keepLines/>
              <w:spacing w:before="120" w:after="120"/>
              <w:jc w:val="left"/>
              <w:rPr>
                <w:b/>
                <w:bCs/>
                <w:noProof/>
                <w:sz w:val="16"/>
                <w:lang w:val="en-US"/>
              </w:rPr>
            </w:pPr>
          </w:p>
        </w:tc>
        <w:tc>
          <w:tcPr>
            <w:tcW w:w="1734" w:type="dxa"/>
            <w:tcBorders>
              <w:top w:val="single" w:sz="4" w:space="0" w:color="auto"/>
              <w:bottom w:val="nil"/>
            </w:tcBorders>
          </w:tcPr>
          <w:p w14:paraId="1FBF1068" w14:textId="77777777" w:rsidR="0014240E" w:rsidRPr="0052329D" w:rsidRDefault="0014240E" w:rsidP="00D46118">
            <w:pPr>
              <w:keepNext/>
              <w:keepLines/>
              <w:spacing w:before="120" w:after="120"/>
              <w:jc w:val="left"/>
              <w:rPr>
                <w:b/>
                <w:bCs/>
                <w:noProof/>
                <w:sz w:val="16"/>
                <w:lang w:val="en-US"/>
              </w:rPr>
            </w:pPr>
          </w:p>
        </w:tc>
        <w:tc>
          <w:tcPr>
            <w:tcW w:w="851" w:type="dxa"/>
            <w:tcBorders>
              <w:top w:val="single" w:sz="4" w:space="0" w:color="auto"/>
              <w:bottom w:val="nil"/>
            </w:tcBorders>
          </w:tcPr>
          <w:p w14:paraId="7FE52B16" w14:textId="77777777" w:rsidR="0014240E" w:rsidRPr="0052329D" w:rsidRDefault="0014240E" w:rsidP="00D46118">
            <w:pPr>
              <w:keepNext/>
              <w:keepLines/>
              <w:spacing w:before="120" w:after="120"/>
              <w:jc w:val="left"/>
              <w:rPr>
                <w:b/>
                <w:bCs/>
                <w:noProof/>
                <w:sz w:val="16"/>
                <w:lang w:val="en-US"/>
              </w:rPr>
            </w:pPr>
          </w:p>
        </w:tc>
        <w:tc>
          <w:tcPr>
            <w:tcW w:w="567" w:type="dxa"/>
            <w:tcBorders>
              <w:top w:val="single" w:sz="4" w:space="0" w:color="auto"/>
              <w:bottom w:val="nil"/>
              <w:right w:val="nil"/>
            </w:tcBorders>
          </w:tcPr>
          <w:p w14:paraId="15B2EBDF" w14:textId="77777777" w:rsidR="0014240E" w:rsidRPr="0052329D" w:rsidRDefault="0014240E" w:rsidP="00D46118">
            <w:pPr>
              <w:keepNext/>
              <w:keepLines/>
              <w:spacing w:before="120" w:after="120"/>
              <w:jc w:val="left"/>
              <w:rPr>
                <w:b/>
                <w:bCs/>
                <w:noProof/>
                <w:sz w:val="16"/>
                <w:lang w:val="en-US"/>
              </w:rPr>
            </w:pPr>
          </w:p>
        </w:tc>
      </w:tr>
      <w:tr w:rsidR="0014240E" w:rsidRPr="00291EFE" w14:paraId="440DE026" w14:textId="77777777" w:rsidTr="00D4611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14:paraId="4BBADA26" w14:textId="77777777" w:rsidR="0014240E" w:rsidRPr="00291EFE" w:rsidRDefault="0014240E" w:rsidP="00D46118">
            <w:pPr>
              <w:keepNext/>
              <w:keepLines/>
              <w:spacing w:before="120" w:after="120"/>
              <w:jc w:val="left"/>
              <w:rPr>
                <w:b/>
                <w:noProof/>
                <w:sz w:val="16"/>
              </w:rPr>
            </w:pPr>
            <w:r>
              <w:rPr>
                <w:b/>
                <w:sz w:val="16"/>
              </w:rPr>
              <w:t>70.1</w:t>
            </w:r>
          </w:p>
        </w:tc>
        <w:tc>
          <w:tcPr>
            <w:tcW w:w="425" w:type="dxa"/>
            <w:tcBorders>
              <w:top w:val="nil"/>
              <w:bottom w:val="nil"/>
            </w:tcBorders>
          </w:tcPr>
          <w:p w14:paraId="5A4FB566" w14:textId="77777777" w:rsidR="0014240E" w:rsidRPr="00291EFE" w:rsidRDefault="0014240E" w:rsidP="00D46118">
            <w:pPr>
              <w:keepNext/>
              <w:keepLines/>
              <w:spacing w:before="120" w:after="120"/>
              <w:jc w:val="left"/>
              <w:rPr>
                <w:b/>
                <w:noProof/>
                <w:sz w:val="16"/>
              </w:rPr>
            </w:pPr>
          </w:p>
        </w:tc>
        <w:tc>
          <w:tcPr>
            <w:tcW w:w="1733" w:type="dxa"/>
            <w:tcBorders>
              <w:top w:val="nil"/>
              <w:bottom w:val="nil"/>
            </w:tcBorders>
          </w:tcPr>
          <w:p w14:paraId="3EEF02D7" w14:textId="77777777" w:rsidR="0014240E" w:rsidRPr="00291EFE" w:rsidRDefault="0014240E" w:rsidP="00D46118">
            <w:pPr>
              <w:keepNext/>
              <w:keepLines/>
              <w:spacing w:before="120" w:after="120"/>
              <w:jc w:val="left"/>
              <w:rPr>
                <w:b/>
                <w:noProof/>
                <w:sz w:val="16"/>
              </w:rPr>
            </w:pPr>
            <w:r>
              <w:rPr>
                <w:b/>
                <w:sz w:val="16"/>
              </w:rPr>
              <w:t>Race 1</w:t>
            </w:r>
          </w:p>
        </w:tc>
        <w:tc>
          <w:tcPr>
            <w:tcW w:w="1734" w:type="dxa"/>
            <w:tcBorders>
              <w:top w:val="nil"/>
              <w:bottom w:val="nil"/>
            </w:tcBorders>
          </w:tcPr>
          <w:p w14:paraId="724CC473" w14:textId="77777777" w:rsidR="0014240E" w:rsidRPr="00291EFE" w:rsidRDefault="0014240E" w:rsidP="00D46118">
            <w:pPr>
              <w:keepNext/>
              <w:keepLines/>
              <w:spacing w:before="120" w:after="120"/>
              <w:jc w:val="left"/>
              <w:rPr>
                <w:b/>
                <w:noProof/>
                <w:sz w:val="16"/>
              </w:rPr>
            </w:pPr>
          </w:p>
        </w:tc>
        <w:tc>
          <w:tcPr>
            <w:tcW w:w="1734" w:type="dxa"/>
            <w:tcBorders>
              <w:top w:val="nil"/>
              <w:bottom w:val="nil"/>
            </w:tcBorders>
          </w:tcPr>
          <w:p w14:paraId="06196186" w14:textId="77777777" w:rsidR="0014240E" w:rsidRPr="00291EFE" w:rsidRDefault="0014240E" w:rsidP="00D46118">
            <w:pPr>
              <w:keepNext/>
              <w:keepLines/>
              <w:spacing w:before="120" w:after="120"/>
              <w:jc w:val="left"/>
              <w:rPr>
                <w:b/>
                <w:noProof/>
                <w:sz w:val="16"/>
              </w:rPr>
            </w:pPr>
          </w:p>
        </w:tc>
        <w:tc>
          <w:tcPr>
            <w:tcW w:w="851" w:type="dxa"/>
            <w:tcBorders>
              <w:top w:val="nil"/>
              <w:bottom w:val="nil"/>
            </w:tcBorders>
          </w:tcPr>
          <w:p w14:paraId="16BEFAF8" w14:textId="77777777" w:rsidR="0014240E" w:rsidRPr="00291EFE" w:rsidRDefault="0014240E" w:rsidP="00D46118">
            <w:pPr>
              <w:keepNext/>
              <w:keepLines/>
              <w:spacing w:before="120" w:after="120"/>
              <w:jc w:val="left"/>
              <w:rPr>
                <w:noProof/>
                <w:sz w:val="16"/>
              </w:rPr>
            </w:pPr>
          </w:p>
        </w:tc>
        <w:tc>
          <w:tcPr>
            <w:tcW w:w="567" w:type="dxa"/>
            <w:tcBorders>
              <w:top w:val="nil"/>
              <w:bottom w:val="nil"/>
              <w:right w:val="nil"/>
            </w:tcBorders>
          </w:tcPr>
          <w:p w14:paraId="37AEB2CB" w14:textId="77777777" w:rsidR="0014240E" w:rsidRPr="00291EFE" w:rsidRDefault="0014240E" w:rsidP="00D46118">
            <w:pPr>
              <w:keepNext/>
              <w:keepLines/>
              <w:spacing w:before="120" w:after="120"/>
              <w:jc w:val="left"/>
              <w:rPr>
                <w:noProof/>
                <w:sz w:val="16"/>
              </w:rPr>
            </w:pPr>
          </w:p>
        </w:tc>
      </w:tr>
      <w:tr w:rsidR="0014240E" w:rsidRPr="00291EFE" w14:paraId="4FF6066E" w14:textId="77777777" w:rsidTr="00D4611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14:paraId="635CF9CE" w14:textId="77777777" w:rsidR="0014240E" w:rsidRPr="00291EFE" w:rsidRDefault="0014240E" w:rsidP="00D46118">
            <w:pPr>
              <w:keepNext/>
              <w:keepLines/>
              <w:spacing w:before="120" w:after="120"/>
              <w:jc w:val="left"/>
              <w:rPr>
                <w:noProof/>
                <w:sz w:val="16"/>
              </w:rPr>
            </w:pPr>
            <w:r>
              <w:rPr>
                <w:sz w:val="16"/>
              </w:rPr>
              <w:t>QN</w:t>
            </w:r>
          </w:p>
        </w:tc>
        <w:tc>
          <w:tcPr>
            <w:tcW w:w="425" w:type="dxa"/>
            <w:tcBorders>
              <w:top w:val="nil"/>
              <w:bottom w:val="nil"/>
            </w:tcBorders>
          </w:tcPr>
          <w:p w14:paraId="00E8322D" w14:textId="77777777" w:rsidR="0014240E" w:rsidRPr="00291EFE" w:rsidRDefault="0014240E" w:rsidP="00D46118">
            <w:pPr>
              <w:keepNext/>
              <w:keepLines/>
              <w:spacing w:before="120" w:after="120"/>
              <w:jc w:val="left"/>
              <w:rPr>
                <w:noProof/>
                <w:sz w:val="16"/>
              </w:rPr>
            </w:pPr>
          </w:p>
        </w:tc>
        <w:tc>
          <w:tcPr>
            <w:tcW w:w="1733" w:type="dxa"/>
            <w:tcBorders>
              <w:top w:val="nil"/>
              <w:bottom w:val="nil"/>
            </w:tcBorders>
          </w:tcPr>
          <w:p w14:paraId="66D98FC2" w14:textId="77777777" w:rsidR="0014240E" w:rsidRPr="00291EFE" w:rsidRDefault="0014240E" w:rsidP="00D46118">
            <w:pPr>
              <w:keepNext/>
              <w:keepLines/>
              <w:spacing w:before="120" w:after="120"/>
              <w:jc w:val="left"/>
              <w:rPr>
                <w:noProof/>
                <w:sz w:val="16"/>
              </w:rPr>
            </w:pPr>
            <w:r>
              <w:rPr>
                <w:sz w:val="16"/>
              </w:rPr>
              <w:t>anfällig</w:t>
            </w:r>
          </w:p>
        </w:tc>
        <w:tc>
          <w:tcPr>
            <w:tcW w:w="1734" w:type="dxa"/>
            <w:tcBorders>
              <w:top w:val="nil"/>
              <w:bottom w:val="nil"/>
            </w:tcBorders>
          </w:tcPr>
          <w:p w14:paraId="436CF426" w14:textId="77777777" w:rsidR="0014240E" w:rsidRPr="00291EFE" w:rsidRDefault="0014240E" w:rsidP="00D46118">
            <w:pPr>
              <w:keepNext/>
              <w:keepLines/>
              <w:spacing w:before="120" w:after="120"/>
              <w:jc w:val="left"/>
              <w:rPr>
                <w:noProof/>
                <w:sz w:val="16"/>
              </w:rPr>
            </w:pPr>
          </w:p>
        </w:tc>
        <w:tc>
          <w:tcPr>
            <w:tcW w:w="1734" w:type="dxa"/>
            <w:tcBorders>
              <w:top w:val="nil"/>
              <w:bottom w:val="nil"/>
            </w:tcBorders>
          </w:tcPr>
          <w:p w14:paraId="45DF1F9C" w14:textId="77777777" w:rsidR="0014240E" w:rsidRPr="00291EFE" w:rsidRDefault="0014240E" w:rsidP="00D46118">
            <w:pPr>
              <w:keepNext/>
              <w:keepLines/>
              <w:spacing w:before="120" w:after="120"/>
              <w:jc w:val="left"/>
              <w:rPr>
                <w:noProof/>
                <w:sz w:val="16"/>
              </w:rPr>
            </w:pPr>
          </w:p>
        </w:tc>
        <w:tc>
          <w:tcPr>
            <w:tcW w:w="851" w:type="dxa"/>
            <w:tcBorders>
              <w:top w:val="nil"/>
              <w:bottom w:val="nil"/>
            </w:tcBorders>
          </w:tcPr>
          <w:p w14:paraId="1BCC7A4B" w14:textId="77777777" w:rsidR="0014240E" w:rsidRPr="00291EFE" w:rsidRDefault="0014240E" w:rsidP="00D46118">
            <w:pPr>
              <w:keepNext/>
              <w:keepLines/>
              <w:spacing w:before="120" w:after="120"/>
              <w:jc w:val="left"/>
              <w:rPr>
                <w:noProof/>
                <w:sz w:val="16"/>
              </w:rPr>
            </w:pPr>
            <w:r>
              <w:rPr>
                <w:sz w:val="16"/>
              </w:rPr>
              <w:t>[…]</w:t>
            </w:r>
          </w:p>
        </w:tc>
        <w:tc>
          <w:tcPr>
            <w:tcW w:w="567" w:type="dxa"/>
            <w:tcBorders>
              <w:top w:val="nil"/>
              <w:bottom w:val="nil"/>
              <w:right w:val="nil"/>
            </w:tcBorders>
          </w:tcPr>
          <w:p w14:paraId="0E7C41D3" w14:textId="77777777" w:rsidR="0014240E" w:rsidRPr="00291EFE" w:rsidRDefault="0014240E" w:rsidP="00D46118">
            <w:pPr>
              <w:keepNext/>
              <w:keepLines/>
              <w:spacing w:before="120" w:after="120"/>
              <w:jc w:val="left"/>
              <w:rPr>
                <w:noProof/>
                <w:sz w:val="16"/>
              </w:rPr>
            </w:pPr>
            <w:r>
              <w:rPr>
                <w:sz w:val="16"/>
              </w:rPr>
              <w:t>1</w:t>
            </w:r>
          </w:p>
        </w:tc>
      </w:tr>
      <w:tr w:rsidR="0014240E" w:rsidRPr="00291EFE" w14:paraId="5775ED11" w14:textId="77777777" w:rsidTr="00D4611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14:paraId="2C618E71" w14:textId="77777777" w:rsidR="0014240E" w:rsidRPr="00291EFE" w:rsidRDefault="0014240E" w:rsidP="00D46118">
            <w:pPr>
              <w:keepNext/>
              <w:keepLines/>
              <w:spacing w:before="120" w:after="120"/>
              <w:jc w:val="left"/>
              <w:rPr>
                <w:noProof/>
                <w:sz w:val="16"/>
              </w:rPr>
            </w:pPr>
          </w:p>
        </w:tc>
        <w:tc>
          <w:tcPr>
            <w:tcW w:w="425" w:type="dxa"/>
            <w:tcBorders>
              <w:top w:val="nil"/>
              <w:bottom w:val="nil"/>
            </w:tcBorders>
          </w:tcPr>
          <w:p w14:paraId="35A24EC8" w14:textId="77777777" w:rsidR="0014240E" w:rsidRPr="00291EFE" w:rsidRDefault="0014240E" w:rsidP="00D46118">
            <w:pPr>
              <w:keepNext/>
              <w:keepLines/>
              <w:spacing w:before="120" w:after="120"/>
              <w:jc w:val="left"/>
              <w:rPr>
                <w:noProof/>
                <w:sz w:val="16"/>
              </w:rPr>
            </w:pPr>
          </w:p>
        </w:tc>
        <w:tc>
          <w:tcPr>
            <w:tcW w:w="3467" w:type="dxa"/>
            <w:gridSpan w:val="2"/>
            <w:tcBorders>
              <w:top w:val="nil"/>
              <w:bottom w:val="nil"/>
            </w:tcBorders>
          </w:tcPr>
          <w:p w14:paraId="2EB51E4E" w14:textId="77777777" w:rsidR="0014240E" w:rsidRPr="00291EFE" w:rsidRDefault="0014240E" w:rsidP="00D46118">
            <w:pPr>
              <w:keepNext/>
              <w:keepLines/>
              <w:spacing w:before="120" w:after="120"/>
              <w:jc w:val="left"/>
              <w:rPr>
                <w:noProof/>
                <w:sz w:val="16"/>
              </w:rPr>
            </w:pPr>
            <w:r>
              <w:rPr>
                <w:strike/>
                <w:sz w:val="16"/>
                <w:highlight w:val="lightGray"/>
              </w:rPr>
              <w:t>Mäßig resistent</w:t>
            </w:r>
            <w:r>
              <w:rPr>
                <w:sz w:val="16"/>
              </w:rPr>
              <w:t xml:space="preserve"> </w:t>
            </w:r>
            <w:r>
              <w:rPr>
                <w:sz w:val="16"/>
                <w:highlight w:val="lightGray"/>
                <w:u w:val="single"/>
              </w:rPr>
              <w:t>mittel</w:t>
            </w:r>
          </w:p>
        </w:tc>
        <w:tc>
          <w:tcPr>
            <w:tcW w:w="1734" w:type="dxa"/>
            <w:tcBorders>
              <w:top w:val="nil"/>
              <w:bottom w:val="nil"/>
            </w:tcBorders>
          </w:tcPr>
          <w:p w14:paraId="75587365" w14:textId="77777777" w:rsidR="0014240E" w:rsidRPr="00291EFE" w:rsidRDefault="0014240E" w:rsidP="00D46118">
            <w:pPr>
              <w:keepNext/>
              <w:keepLines/>
              <w:spacing w:before="120" w:after="120"/>
              <w:jc w:val="left"/>
              <w:rPr>
                <w:noProof/>
                <w:sz w:val="16"/>
              </w:rPr>
            </w:pPr>
          </w:p>
        </w:tc>
        <w:tc>
          <w:tcPr>
            <w:tcW w:w="851" w:type="dxa"/>
            <w:tcBorders>
              <w:top w:val="nil"/>
              <w:bottom w:val="nil"/>
            </w:tcBorders>
          </w:tcPr>
          <w:p w14:paraId="5D4FDA75" w14:textId="77777777" w:rsidR="0014240E" w:rsidRPr="00291EFE" w:rsidRDefault="0014240E" w:rsidP="00D46118">
            <w:pPr>
              <w:keepNext/>
              <w:keepLines/>
              <w:spacing w:before="120" w:after="120"/>
              <w:jc w:val="left"/>
              <w:rPr>
                <w:noProof/>
                <w:sz w:val="16"/>
              </w:rPr>
            </w:pPr>
            <w:r>
              <w:rPr>
                <w:sz w:val="16"/>
              </w:rPr>
              <w:t>[…]</w:t>
            </w:r>
          </w:p>
        </w:tc>
        <w:tc>
          <w:tcPr>
            <w:tcW w:w="567" w:type="dxa"/>
            <w:tcBorders>
              <w:top w:val="nil"/>
              <w:bottom w:val="nil"/>
              <w:right w:val="nil"/>
            </w:tcBorders>
          </w:tcPr>
          <w:p w14:paraId="5B7CA294" w14:textId="77777777" w:rsidR="0014240E" w:rsidRPr="00291EFE" w:rsidRDefault="0014240E" w:rsidP="00D46118">
            <w:pPr>
              <w:keepNext/>
              <w:keepLines/>
              <w:spacing w:before="120" w:after="120"/>
              <w:jc w:val="left"/>
              <w:rPr>
                <w:noProof/>
                <w:sz w:val="16"/>
              </w:rPr>
            </w:pPr>
            <w:r>
              <w:rPr>
                <w:sz w:val="16"/>
              </w:rPr>
              <w:t>2</w:t>
            </w:r>
          </w:p>
        </w:tc>
      </w:tr>
      <w:tr w:rsidR="0014240E" w:rsidRPr="00291EFE" w14:paraId="17372FDE" w14:textId="77777777" w:rsidTr="00D4611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single" w:sz="4" w:space="0" w:color="auto"/>
            </w:tcBorders>
          </w:tcPr>
          <w:p w14:paraId="62149531" w14:textId="77777777" w:rsidR="0014240E" w:rsidRPr="00291EFE" w:rsidRDefault="0014240E" w:rsidP="00D46118">
            <w:pPr>
              <w:keepNext/>
              <w:keepLines/>
              <w:spacing w:before="120" w:after="120"/>
              <w:jc w:val="left"/>
              <w:rPr>
                <w:noProof/>
                <w:sz w:val="16"/>
              </w:rPr>
            </w:pPr>
          </w:p>
        </w:tc>
        <w:tc>
          <w:tcPr>
            <w:tcW w:w="425" w:type="dxa"/>
            <w:tcBorders>
              <w:top w:val="nil"/>
              <w:bottom w:val="single" w:sz="4" w:space="0" w:color="auto"/>
            </w:tcBorders>
          </w:tcPr>
          <w:p w14:paraId="4AAC67D8" w14:textId="77777777" w:rsidR="0014240E" w:rsidRPr="00291EFE" w:rsidRDefault="0014240E" w:rsidP="00D46118">
            <w:pPr>
              <w:keepNext/>
              <w:keepLines/>
              <w:spacing w:before="120" w:after="120"/>
              <w:jc w:val="left"/>
              <w:rPr>
                <w:noProof/>
                <w:sz w:val="16"/>
              </w:rPr>
            </w:pPr>
          </w:p>
        </w:tc>
        <w:tc>
          <w:tcPr>
            <w:tcW w:w="1733" w:type="dxa"/>
            <w:tcBorders>
              <w:top w:val="nil"/>
              <w:bottom w:val="single" w:sz="4" w:space="0" w:color="auto"/>
            </w:tcBorders>
          </w:tcPr>
          <w:p w14:paraId="5318AAA6" w14:textId="77777777" w:rsidR="0014240E" w:rsidRPr="00291EFE" w:rsidRDefault="0014240E" w:rsidP="00D46118">
            <w:pPr>
              <w:keepNext/>
              <w:keepLines/>
              <w:spacing w:before="120" w:after="120"/>
              <w:jc w:val="left"/>
              <w:rPr>
                <w:noProof/>
                <w:sz w:val="16"/>
              </w:rPr>
            </w:pPr>
            <w:r>
              <w:rPr>
                <w:sz w:val="16"/>
              </w:rPr>
              <w:t>hochresistent</w:t>
            </w:r>
          </w:p>
        </w:tc>
        <w:tc>
          <w:tcPr>
            <w:tcW w:w="1734" w:type="dxa"/>
            <w:tcBorders>
              <w:top w:val="nil"/>
              <w:bottom w:val="single" w:sz="4" w:space="0" w:color="auto"/>
            </w:tcBorders>
          </w:tcPr>
          <w:p w14:paraId="745792B2" w14:textId="77777777" w:rsidR="0014240E" w:rsidRPr="00291EFE" w:rsidRDefault="0014240E" w:rsidP="00D46118">
            <w:pPr>
              <w:keepNext/>
              <w:keepLines/>
              <w:spacing w:before="120" w:after="120"/>
              <w:jc w:val="left"/>
              <w:rPr>
                <w:noProof/>
                <w:sz w:val="16"/>
              </w:rPr>
            </w:pPr>
          </w:p>
        </w:tc>
        <w:tc>
          <w:tcPr>
            <w:tcW w:w="1734" w:type="dxa"/>
            <w:tcBorders>
              <w:top w:val="nil"/>
              <w:bottom w:val="single" w:sz="4" w:space="0" w:color="auto"/>
            </w:tcBorders>
          </w:tcPr>
          <w:p w14:paraId="5EA3A22F" w14:textId="77777777" w:rsidR="0014240E" w:rsidRPr="00291EFE" w:rsidRDefault="0014240E" w:rsidP="00D46118">
            <w:pPr>
              <w:keepNext/>
              <w:keepLines/>
              <w:spacing w:before="120" w:after="120"/>
              <w:jc w:val="left"/>
              <w:rPr>
                <w:noProof/>
                <w:sz w:val="16"/>
              </w:rPr>
            </w:pPr>
          </w:p>
        </w:tc>
        <w:tc>
          <w:tcPr>
            <w:tcW w:w="851" w:type="dxa"/>
            <w:tcBorders>
              <w:top w:val="nil"/>
              <w:bottom w:val="single" w:sz="4" w:space="0" w:color="auto"/>
            </w:tcBorders>
          </w:tcPr>
          <w:p w14:paraId="4691D817" w14:textId="77777777" w:rsidR="0014240E" w:rsidRPr="00291EFE" w:rsidRDefault="0014240E" w:rsidP="00D46118">
            <w:pPr>
              <w:keepNext/>
              <w:keepLines/>
              <w:spacing w:before="120" w:after="120"/>
              <w:jc w:val="left"/>
              <w:rPr>
                <w:noProof/>
                <w:sz w:val="16"/>
              </w:rPr>
            </w:pPr>
            <w:r>
              <w:rPr>
                <w:sz w:val="16"/>
              </w:rPr>
              <w:t>[…]</w:t>
            </w:r>
          </w:p>
        </w:tc>
        <w:tc>
          <w:tcPr>
            <w:tcW w:w="567" w:type="dxa"/>
            <w:tcBorders>
              <w:top w:val="nil"/>
              <w:bottom w:val="single" w:sz="4" w:space="0" w:color="auto"/>
              <w:right w:val="nil"/>
            </w:tcBorders>
          </w:tcPr>
          <w:p w14:paraId="641BBD39" w14:textId="77777777" w:rsidR="0014240E" w:rsidRPr="00291EFE" w:rsidRDefault="0014240E" w:rsidP="00D46118">
            <w:pPr>
              <w:keepNext/>
              <w:keepLines/>
              <w:spacing w:before="120" w:after="120"/>
              <w:jc w:val="left"/>
              <w:rPr>
                <w:noProof/>
                <w:sz w:val="16"/>
              </w:rPr>
            </w:pPr>
            <w:r>
              <w:rPr>
                <w:sz w:val="16"/>
              </w:rPr>
              <w:t>3</w:t>
            </w:r>
          </w:p>
        </w:tc>
      </w:tr>
    </w:tbl>
    <w:p w14:paraId="3B340A4D" w14:textId="77777777" w:rsidR="002B4FAA" w:rsidRDefault="002B4FAA" w:rsidP="00AA67C2">
      <w:pPr>
        <w:rPr>
          <w:snapToGrid w:val="0"/>
        </w:rPr>
      </w:pPr>
    </w:p>
    <w:p w14:paraId="567BFDB8" w14:textId="77777777" w:rsidR="002B4FAA" w:rsidRDefault="002B4FAA" w:rsidP="00AA67C2">
      <w:pPr>
        <w:rPr>
          <w:snapToGrid w:val="0"/>
        </w:rPr>
      </w:pPr>
      <w:r>
        <w:rPr>
          <w:snapToGrid w:val="0"/>
        </w:rPr>
        <w:fldChar w:fldCharType="begin"/>
      </w:r>
      <w:r>
        <w:rPr>
          <w:snapToGrid w:val="0"/>
        </w:rPr>
        <w:instrText xml:space="preserve"> AUTONUM  </w:instrText>
      </w:r>
      <w:r>
        <w:rPr>
          <w:snapToGrid w:val="0"/>
        </w:rPr>
        <w:fldChar w:fldCharType="end"/>
      </w:r>
      <w:r>
        <w:rPr>
          <w:snapToGrid w:val="0"/>
        </w:rPr>
        <w:tab/>
        <w:t>Der TC merkte an, dass das Wort „hoch-“ nur für die resistente Ausprägungsstufe verwendet werde und vereinbarte, die TWV um weitere Prüfung des Beispiels zu bitten.</w:t>
      </w:r>
    </w:p>
    <w:p w14:paraId="6DC15C33" w14:textId="77777777" w:rsidR="00594B23" w:rsidRDefault="00594B23" w:rsidP="00445B73">
      <w:pPr>
        <w:jc w:val="left"/>
      </w:pPr>
    </w:p>
    <w:p w14:paraId="2DFB00FF" w14:textId="77777777" w:rsidR="00F179C4" w:rsidRPr="00842AEE" w:rsidRDefault="00F179C4" w:rsidP="00F179C4">
      <w:pPr>
        <w:pStyle w:val="Heading4"/>
      </w:pPr>
      <w:bookmarkStart w:id="24" w:name="_Toc53000331"/>
      <w:bookmarkStart w:id="25" w:name="_Toc82293098"/>
      <w:r>
        <w:t>Programm zur Erstellung von einschlägigem Informationsmaterial</w:t>
      </w:r>
      <w:bookmarkEnd w:id="24"/>
      <w:bookmarkEnd w:id="25"/>
      <w:r>
        <w:t xml:space="preserve"> </w:t>
      </w:r>
    </w:p>
    <w:p w14:paraId="116202D8" w14:textId="77777777" w:rsidR="00CE573D" w:rsidRDefault="00CE573D" w:rsidP="00AC5450">
      <w:pPr>
        <w:keepNext/>
      </w:pPr>
    </w:p>
    <w:p w14:paraId="7813C187" w14:textId="77777777" w:rsidR="0014240E" w:rsidRDefault="00F179C4" w:rsidP="0014240E">
      <w:r>
        <w:fldChar w:fldCharType="begin"/>
      </w:r>
      <w:r>
        <w:instrText xml:space="preserve"> AUTONUM  </w:instrText>
      </w:r>
      <w:r>
        <w:fldChar w:fldCharType="end"/>
      </w:r>
      <w:r>
        <w:tab/>
        <w:t>Der TC vereinbarte das Programm für die Ausarbeitung von TGP-Dokumenten und einschlägigem Informationsmaterial aufgrund der Anlagen I und II von Dokument TC/57/5 sowie aufgrund seiner Schlussfolgerungen im Rahmen der Tagung.</w:t>
      </w:r>
    </w:p>
    <w:p w14:paraId="28F44690" w14:textId="77777777" w:rsidR="00F179C4" w:rsidRDefault="00F179C4" w:rsidP="00F179C4"/>
    <w:p w14:paraId="3E43D928" w14:textId="77777777" w:rsidR="00CE573D" w:rsidRDefault="00F179C4" w:rsidP="00F179C4">
      <w:r>
        <w:fldChar w:fldCharType="begin"/>
      </w:r>
      <w:r>
        <w:instrText xml:space="preserve"> AUTONUM  </w:instrText>
      </w:r>
      <w:r>
        <w:fldChar w:fldCharType="end"/>
      </w:r>
      <w:r>
        <w:tab/>
        <w:t xml:space="preserve">Der TC nahm zur Kenntnis, dass das Programm für die Ausarbeitung von TGP-Dokumenten und einschlägigem Informationsmaterial vom Verwaltungs- und Rechtsausschuss auf dessen achtundsiebzigster Tagung, die am 27. Oktober 2021 in Genf stattfindet, zusammen mit den Schlussfolgerungen der siebenundfünfzigsten Tagung des TC geprüft werden wird. </w:t>
      </w:r>
    </w:p>
    <w:p w14:paraId="4BEE9B03" w14:textId="77777777" w:rsidR="00CE573D" w:rsidRDefault="00CE573D" w:rsidP="00445B73">
      <w:pPr>
        <w:jc w:val="left"/>
      </w:pPr>
    </w:p>
    <w:p w14:paraId="1BBDA6DF" w14:textId="77777777" w:rsidR="00CE573D" w:rsidRDefault="00CE573D" w:rsidP="00445B73">
      <w:pPr>
        <w:jc w:val="left"/>
      </w:pPr>
    </w:p>
    <w:p w14:paraId="55B77840" w14:textId="77777777" w:rsidR="00843F44" w:rsidRDefault="00314335" w:rsidP="00314335">
      <w:pPr>
        <w:pStyle w:val="Heading2"/>
      </w:pPr>
      <w:r>
        <w:t>Molekulare Verfahren</w:t>
      </w:r>
    </w:p>
    <w:p w14:paraId="7A8D14C6" w14:textId="77777777" w:rsidR="00843F44" w:rsidRDefault="00843F44" w:rsidP="00AC5450">
      <w:pPr>
        <w:keepNext/>
        <w:jc w:val="left"/>
      </w:pPr>
    </w:p>
    <w:p w14:paraId="1162F4DB" w14:textId="12D0B17E" w:rsidR="00BA7810" w:rsidRDefault="00314335" w:rsidP="00BA7810">
      <w:pPr>
        <w:keepNext/>
        <w:keepLines/>
        <w:rPr>
          <w:spacing w:val="-2"/>
        </w:rPr>
      </w:pPr>
      <w:r>
        <w:fldChar w:fldCharType="begin"/>
      </w:r>
      <w:r>
        <w:instrText xml:space="preserve"> AUTONUM  </w:instrText>
      </w:r>
      <w:r>
        <w:fldChar w:fldCharType="end"/>
      </w:r>
      <w:r>
        <w:tab/>
      </w:r>
      <w:r w:rsidRPr="00D132B8">
        <w:t xml:space="preserve">Der </w:t>
      </w:r>
      <w:r w:rsidR="003543BD" w:rsidRPr="00D132B8">
        <w:t>TC</w:t>
      </w:r>
      <w:r w:rsidRPr="00D132B8">
        <w:t xml:space="preserve"> pr</w:t>
      </w:r>
      <w:r>
        <w:t xml:space="preserve">üfte das Dokument TC/57/8 auf dem Schriftweg. Der TC nahm zur Kenntnis, dass die Entscheidungen zu Dokument TC/57/8 vom TC auf dem Schriftweg angenommen worden seien, wie in Dokument TC/57/14, Absätze 21 bis 24 sowie nachstehend dargelegt: </w:t>
      </w:r>
    </w:p>
    <w:p w14:paraId="1C583207" w14:textId="77777777" w:rsidR="00BA7810" w:rsidRPr="002D4214" w:rsidRDefault="00BA7810" w:rsidP="00BA7810">
      <w:pPr>
        <w:keepNext/>
        <w:keepLines/>
        <w:rPr>
          <w:spacing w:val="-2"/>
        </w:rPr>
      </w:pPr>
    </w:p>
    <w:p w14:paraId="7E84006B" w14:textId="3F6C7DBF" w:rsidR="00BA7810" w:rsidRPr="00BA7810" w:rsidRDefault="00BA7810" w:rsidP="00BA7810">
      <w:pPr>
        <w:ind w:left="567"/>
        <w:jc w:val="left"/>
        <w:rPr>
          <w:sz w:val="18"/>
        </w:rPr>
      </w:pPr>
      <w:r>
        <w:rPr>
          <w:sz w:val="18"/>
        </w:rPr>
        <w:t>„21.</w:t>
      </w:r>
      <w:r>
        <w:rPr>
          <w:sz w:val="18"/>
        </w:rPr>
        <w:tab/>
        <w:t xml:space="preserve">Der </w:t>
      </w:r>
      <w:r w:rsidR="007B633C">
        <w:rPr>
          <w:sz w:val="18"/>
        </w:rPr>
        <w:t>TC</w:t>
      </w:r>
      <w:r>
        <w:rPr>
          <w:sz w:val="18"/>
        </w:rPr>
        <w:t xml:space="preserve"> prüfte das Dokument TC/57/8.</w:t>
      </w:r>
    </w:p>
    <w:p w14:paraId="29110CD2" w14:textId="77777777" w:rsidR="00BA7810" w:rsidRDefault="00BA7810" w:rsidP="00BA7810">
      <w:pPr>
        <w:jc w:val="left"/>
      </w:pPr>
    </w:p>
    <w:p w14:paraId="0E25A930" w14:textId="42FE0726" w:rsidR="00BA7810" w:rsidRPr="00BA7810" w:rsidRDefault="00BA7810" w:rsidP="00BA7810">
      <w:pPr>
        <w:ind w:left="567" w:right="567"/>
        <w:rPr>
          <w:sz w:val="18"/>
        </w:rPr>
      </w:pPr>
      <w:r>
        <w:rPr>
          <w:sz w:val="18"/>
        </w:rPr>
        <w:t>„22.</w:t>
      </w:r>
      <w:r>
        <w:rPr>
          <w:sz w:val="18"/>
        </w:rPr>
        <w:tab/>
        <w:t xml:space="preserve">Der </w:t>
      </w:r>
      <w:r w:rsidR="003543BD" w:rsidRPr="00D132B8">
        <w:rPr>
          <w:sz w:val="18"/>
        </w:rPr>
        <w:t>TC</w:t>
      </w:r>
      <w:r>
        <w:rPr>
          <w:sz w:val="18"/>
        </w:rPr>
        <w:t xml:space="preserve"> nahm zur Kenntnis, dass das Verbandsbüro am 16.</w:t>
      </w:r>
      <w:r w:rsidR="00463A12">
        <w:rPr>
          <w:sz w:val="18"/>
        </w:rPr>
        <w:t xml:space="preserve"> </w:t>
      </w:r>
      <w:r>
        <w:rPr>
          <w:sz w:val="18"/>
        </w:rPr>
        <w:br/>
        <w:t>Oktober 2020 das Rundschreiben E-20/189 herausgegeben hat, in dem die Mitglieder ersucht wurden, die Befragung zur Verwendung molekularer Markerverfahren bis zum 15. Dezember 2020 durchzuführen, und nahm außerdem die Ergebnisse der Befragung zur Verwendung molekularer Markerverfahren  nach Pflanze durch Mitglieder, wie in Anlage I von Dokument TC/57/8 wiedergegeben, zur Kenntnis.</w:t>
      </w:r>
    </w:p>
    <w:p w14:paraId="55D84232" w14:textId="77777777" w:rsidR="00BA7810" w:rsidRPr="00BA7810" w:rsidRDefault="00BA7810" w:rsidP="00BA7810">
      <w:pPr>
        <w:ind w:left="567" w:right="567"/>
        <w:rPr>
          <w:sz w:val="18"/>
        </w:rPr>
      </w:pPr>
    </w:p>
    <w:p w14:paraId="64705500" w14:textId="77777777" w:rsidR="00BA7810" w:rsidRPr="00BA7810" w:rsidRDefault="00BA7810" w:rsidP="00BA7810">
      <w:pPr>
        <w:ind w:left="567" w:right="567"/>
        <w:rPr>
          <w:sz w:val="18"/>
        </w:rPr>
      </w:pPr>
      <w:r>
        <w:rPr>
          <w:sz w:val="18"/>
        </w:rPr>
        <w:t>„23.</w:t>
      </w:r>
      <w:r>
        <w:rPr>
          <w:sz w:val="18"/>
        </w:rPr>
        <w:tab/>
        <w:t>Der TC ersuchte das Verbandsbüro, die OECD über das Ergebnis der Befragung zu unterrichten und dem TC auf seiner achtundfünfzigsten Tagung über die Entwicklungen zu berichten.</w:t>
      </w:r>
    </w:p>
    <w:p w14:paraId="4479BCDD" w14:textId="77777777" w:rsidR="00BA7810" w:rsidRPr="00BA7810" w:rsidRDefault="00BA7810" w:rsidP="00BA7810">
      <w:pPr>
        <w:ind w:left="567" w:right="567"/>
        <w:rPr>
          <w:sz w:val="18"/>
        </w:rPr>
      </w:pPr>
    </w:p>
    <w:p w14:paraId="0D4F384A" w14:textId="77777777" w:rsidR="006E3C65" w:rsidRPr="00BA7810" w:rsidRDefault="00BA7810" w:rsidP="00BA7810">
      <w:pPr>
        <w:ind w:left="567" w:right="567"/>
        <w:rPr>
          <w:sz w:val="18"/>
        </w:rPr>
      </w:pPr>
      <w:r>
        <w:rPr>
          <w:sz w:val="18"/>
        </w:rPr>
        <w:t>„24.</w:t>
      </w:r>
      <w:r>
        <w:rPr>
          <w:sz w:val="18"/>
        </w:rPr>
        <w:tab/>
        <w:t>Der TC billigte den Entwurf eines gemeinsamen Dokuments zur Erläuterung der wesentlichen Besonderheiten der Systeme von OECD, UPOV und ISTA, wie in Anlage II des Dokuments TV/57/8 dargelegt, und vereinbarte, die OECD und die ISTA entsprechend zu unterrichten.“</w:t>
      </w:r>
    </w:p>
    <w:p w14:paraId="332F25BB" w14:textId="77777777" w:rsidR="00BA7810" w:rsidRDefault="00BA7810" w:rsidP="00BA7810">
      <w:pPr>
        <w:jc w:val="left"/>
      </w:pPr>
    </w:p>
    <w:p w14:paraId="32C74F46" w14:textId="306D0B2B" w:rsidR="00843F44" w:rsidRDefault="00A949EF" w:rsidP="006E3C65">
      <w:r>
        <w:fldChar w:fldCharType="begin"/>
      </w:r>
      <w:r>
        <w:instrText xml:space="preserve"> AUTONUM  </w:instrText>
      </w:r>
      <w:r>
        <w:fldChar w:fldCharType="end"/>
      </w:r>
      <w:r>
        <w:tab/>
        <w:t xml:space="preserve">Der </w:t>
      </w:r>
      <w:r>
        <w:rPr>
          <w:snapToGrid w:val="0"/>
        </w:rPr>
        <w:t xml:space="preserve">TC nahm zur Kenntnis, </w:t>
      </w:r>
      <w:r>
        <w:t>dass seitens der Europäischen Union Stellungnahmen in Beantwortung des Rundschreibens E</w:t>
      </w:r>
      <w:r>
        <w:noBreakHyphen/>
        <w:t xml:space="preserve">21/122 vom 23. August 2021 eingegangen seien, die keine Überarbeitung des Dokuments zur Folge gehabt haben. </w:t>
      </w:r>
    </w:p>
    <w:p w14:paraId="23391031" w14:textId="77777777" w:rsidR="00A949EF" w:rsidRDefault="00A949EF" w:rsidP="00445B73">
      <w:pPr>
        <w:jc w:val="left"/>
      </w:pPr>
    </w:p>
    <w:p w14:paraId="5F2EE085" w14:textId="33B931F0" w:rsidR="00A949EF" w:rsidRDefault="00A949EF" w:rsidP="00445B73">
      <w:pPr>
        <w:jc w:val="left"/>
      </w:pPr>
      <w:r>
        <w:fldChar w:fldCharType="begin"/>
      </w:r>
      <w:r>
        <w:instrText xml:space="preserve"> AUTONUM  </w:instrText>
      </w:r>
      <w:r>
        <w:fldChar w:fldCharType="end"/>
      </w:r>
      <w:r>
        <w:tab/>
      </w:r>
      <w:r w:rsidRPr="00D132B8">
        <w:t xml:space="preserve">Der </w:t>
      </w:r>
      <w:r w:rsidR="002D5256" w:rsidRPr="00D132B8">
        <w:t>TC</w:t>
      </w:r>
      <w:r w:rsidRPr="00D132B8">
        <w:t xml:space="preserve"> p</w:t>
      </w:r>
      <w:r>
        <w:t>rüfte das Dokument TC/57/8 Add.</w:t>
      </w:r>
    </w:p>
    <w:p w14:paraId="24683B6A" w14:textId="77777777" w:rsidR="00A949EF" w:rsidRDefault="00A949EF" w:rsidP="00445B73">
      <w:pPr>
        <w:jc w:val="left"/>
      </w:pPr>
    </w:p>
    <w:p w14:paraId="4DBC16F7" w14:textId="77777777" w:rsidR="00271C00" w:rsidRPr="00FA4478" w:rsidRDefault="00271C00" w:rsidP="00271C00">
      <w:pPr>
        <w:pStyle w:val="Heading3"/>
      </w:pPr>
      <w:bookmarkStart w:id="26" w:name="_Toc525647214"/>
      <w:bookmarkStart w:id="27" w:name="_Toc526175654"/>
      <w:bookmarkStart w:id="28" w:name="_Toc69722875"/>
      <w:bookmarkStart w:id="29" w:name="_Toc84364036"/>
      <w:bookmarkStart w:id="30" w:name="_Toc84415952"/>
      <w:r>
        <w:t>Zusammenarbeit zwischen internationalen Organisationen</w:t>
      </w:r>
      <w:bookmarkEnd w:id="26"/>
      <w:bookmarkEnd w:id="27"/>
      <w:bookmarkEnd w:id="28"/>
      <w:bookmarkEnd w:id="29"/>
      <w:bookmarkEnd w:id="30"/>
    </w:p>
    <w:p w14:paraId="43C9EA2E" w14:textId="77777777" w:rsidR="00A949EF" w:rsidRDefault="00A949EF" w:rsidP="00AC5450">
      <w:pPr>
        <w:keepNext/>
        <w:jc w:val="left"/>
      </w:pPr>
    </w:p>
    <w:p w14:paraId="3429C87E" w14:textId="77777777" w:rsidR="00A949EF" w:rsidRPr="00842AEE" w:rsidRDefault="00271C00" w:rsidP="00271C00">
      <w:pPr>
        <w:pStyle w:val="Heading4"/>
      </w:pPr>
      <w:bookmarkStart w:id="31" w:name="_Toc14980929"/>
      <w:bookmarkStart w:id="32" w:name="_Toc15059500"/>
      <w:bookmarkStart w:id="33" w:name="_Toc15295345"/>
      <w:bookmarkStart w:id="34" w:name="_Toc22564624"/>
      <w:bookmarkStart w:id="35" w:name="_Toc27663378"/>
      <w:bookmarkStart w:id="36" w:name="_Toc69722878"/>
      <w:bookmarkStart w:id="37" w:name="_Toc84364038"/>
      <w:bookmarkStart w:id="38" w:name="_Toc84415953"/>
      <w:r>
        <w:t>Listen möglicher gemeinsamer Initiativen mit OECD und ISTA hinsichtlich molekularer Verfahren</w:t>
      </w:r>
      <w:bookmarkEnd w:id="31"/>
      <w:bookmarkEnd w:id="32"/>
      <w:bookmarkEnd w:id="33"/>
      <w:bookmarkEnd w:id="34"/>
      <w:bookmarkEnd w:id="35"/>
      <w:bookmarkEnd w:id="36"/>
      <w:bookmarkEnd w:id="37"/>
      <w:bookmarkEnd w:id="38"/>
    </w:p>
    <w:p w14:paraId="41FD6530" w14:textId="77777777" w:rsidR="00843F44" w:rsidRDefault="00843F44" w:rsidP="00AC5450">
      <w:pPr>
        <w:keepNext/>
        <w:jc w:val="left"/>
      </w:pPr>
    </w:p>
    <w:p w14:paraId="311FACFE" w14:textId="77777777" w:rsidR="00271C00" w:rsidRDefault="00271C00" w:rsidP="00271C00">
      <w:pPr>
        <w:jc w:val="left"/>
      </w:pPr>
      <w:r>
        <w:fldChar w:fldCharType="begin"/>
      </w:r>
      <w:r>
        <w:instrText xml:space="preserve"> AUTONUM  </w:instrText>
      </w:r>
      <w:r>
        <w:fldChar w:fldCharType="end"/>
      </w:r>
      <w:r>
        <w:tab/>
        <w:t>Der TC vereinbarte, die folgenden möglichen Themen für eine künftige gemeinsame UPOV/OECD/ISTA-Arbeitstagung vorzuschlagen:</w:t>
      </w:r>
    </w:p>
    <w:p w14:paraId="273C5BD9" w14:textId="77777777" w:rsidR="00271C00" w:rsidRDefault="00271C00" w:rsidP="00271C00">
      <w:pPr>
        <w:jc w:val="left"/>
      </w:pPr>
    </w:p>
    <w:p w14:paraId="519C69ED" w14:textId="77777777" w:rsidR="00271C00" w:rsidRDefault="00271C00" w:rsidP="00271C00">
      <w:pPr>
        <w:jc w:val="left"/>
      </w:pPr>
      <w:r>
        <w:tab/>
        <w:t>i)</w:t>
      </w:r>
      <w:r>
        <w:tab/>
        <w:t>Bereitstellung von Informationen zur Nutzung molekularer Verfahren in jeder Organisation;</w:t>
      </w:r>
    </w:p>
    <w:p w14:paraId="7898779F" w14:textId="77777777" w:rsidR="00271C00" w:rsidRDefault="00271C00" w:rsidP="00271C00">
      <w:pPr>
        <w:jc w:val="left"/>
      </w:pPr>
      <w:r>
        <w:tab/>
        <w:t>ii)</w:t>
      </w:r>
      <w:r>
        <w:tab/>
        <w:t>Genehmigungsverfahren für biochemische und molekulare Verfahren in jeder Organisation; und</w:t>
      </w:r>
    </w:p>
    <w:p w14:paraId="0C31F664" w14:textId="6FA6EC1D" w:rsidR="00271C00" w:rsidRDefault="00271C00" w:rsidP="00271C00">
      <w:pPr>
        <w:jc w:val="left"/>
      </w:pPr>
      <w:r>
        <w:tab/>
        <w:t>iii)</w:t>
      </w:r>
      <w:r>
        <w:tab/>
        <w:t xml:space="preserve">Möglichkeiten einer Harmonisierung der Begriffe, Definitionen und Verfahren zwischen UPOV, </w:t>
      </w:r>
      <w:r w:rsidR="00BF3A87">
        <w:tab/>
      </w:r>
      <w:r w:rsidR="00BF3A87">
        <w:tab/>
      </w:r>
      <w:r>
        <w:t xml:space="preserve">OECD und ISTA. </w:t>
      </w:r>
    </w:p>
    <w:p w14:paraId="73C615E5" w14:textId="77777777" w:rsidR="00271C00" w:rsidRDefault="00271C00" w:rsidP="00445B73">
      <w:pPr>
        <w:jc w:val="left"/>
      </w:pPr>
    </w:p>
    <w:p w14:paraId="1142DB8B" w14:textId="77777777" w:rsidR="00C2740C" w:rsidRDefault="00C2740C" w:rsidP="00E53AF7">
      <w:r>
        <w:fldChar w:fldCharType="begin"/>
      </w:r>
      <w:r>
        <w:instrText xml:space="preserve"> AUTONUM  </w:instrText>
      </w:r>
      <w:r>
        <w:fldChar w:fldCharType="end"/>
      </w:r>
      <w:r>
        <w:tab/>
        <w:t>Der TC vereinbarte, das Verbandsbüro zu ersuchen, die OECD und die ISTA anzusprechen, um geeignete Termine für eine künftige gemeinsame Arbeitstagung zu finden, etwa in Verbindung mit der ersten Tagung der TWM, die im September 2022 stattfinden wird.</w:t>
      </w:r>
    </w:p>
    <w:p w14:paraId="4CED25F5" w14:textId="77777777" w:rsidR="00C2740C" w:rsidRDefault="00C2740C" w:rsidP="00E53AF7"/>
    <w:p w14:paraId="40D60644" w14:textId="77777777" w:rsidR="00271C00" w:rsidRDefault="00271C00" w:rsidP="00271C00">
      <w:r>
        <w:fldChar w:fldCharType="begin"/>
      </w:r>
      <w:r>
        <w:instrText xml:space="preserve"> AUTONUM  </w:instrText>
      </w:r>
      <w:r>
        <w:fldChar w:fldCharType="end"/>
      </w:r>
      <w:r>
        <w:tab/>
        <w:t>Der TC vereinbarte, die Befragung zur Verwendung molekularer Marker fortzusetzen, um Informationen von mehr UPOV-Mitgliedern zu erhalten, und außerdem die Gründe dafür zu untersuchen, dass Verbandsmitglieder auf die erste Umfrage nicht reagiert haben.</w:t>
      </w:r>
    </w:p>
    <w:p w14:paraId="6DBB2582" w14:textId="77777777" w:rsidR="00271C00" w:rsidRDefault="00271C00" w:rsidP="00445B73">
      <w:pPr>
        <w:jc w:val="left"/>
      </w:pPr>
    </w:p>
    <w:p w14:paraId="3F9ADF04" w14:textId="77777777" w:rsidR="00271C00" w:rsidRDefault="00271C00" w:rsidP="00445B73">
      <w:pPr>
        <w:jc w:val="left"/>
      </w:pPr>
    </w:p>
    <w:p w14:paraId="336A80C8" w14:textId="77777777" w:rsidR="00843F44" w:rsidRDefault="00730C37" w:rsidP="00730C37">
      <w:pPr>
        <w:pStyle w:val="Heading2"/>
      </w:pPr>
      <w:r>
        <w:t>Zusammenarbeit bei der Prüfung</w:t>
      </w:r>
    </w:p>
    <w:p w14:paraId="17DB5AD1" w14:textId="77777777" w:rsidR="00843F44" w:rsidRDefault="00843F44" w:rsidP="00AC5450">
      <w:pPr>
        <w:keepNext/>
        <w:jc w:val="left"/>
      </w:pPr>
    </w:p>
    <w:p w14:paraId="5537B574" w14:textId="59AA2B33" w:rsidR="00843F44" w:rsidRDefault="00730C37" w:rsidP="00445B73">
      <w:pPr>
        <w:jc w:val="left"/>
      </w:pPr>
      <w:r>
        <w:fldChar w:fldCharType="begin"/>
      </w:r>
      <w:r>
        <w:instrText xml:space="preserve"> AUTONUM  </w:instrText>
      </w:r>
      <w:r>
        <w:fldChar w:fldCharType="end"/>
      </w:r>
      <w:r>
        <w:tab/>
        <w:t xml:space="preserve">Der </w:t>
      </w:r>
      <w:r w:rsidR="003543BD" w:rsidRPr="00D132B8">
        <w:t>TC</w:t>
      </w:r>
      <w:r w:rsidRPr="00D132B8">
        <w:t xml:space="preserve"> p</w:t>
      </w:r>
      <w:r>
        <w:t>rüfte das Dokument TC/57/9.</w:t>
      </w:r>
    </w:p>
    <w:p w14:paraId="5538FF74" w14:textId="77777777" w:rsidR="00730C37" w:rsidRDefault="00730C37" w:rsidP="00445B73">
      <w:pPr>
        <w:jc w:val="left"/>
      </w:pPr>
    </w:p>
    <w:p w14:paraId="2FB12357" w14:textId="1B955A10" w:rsidR="008C1446" w:rsidRDefault="008C1446" w:rsidP="003543BD">
      <w:pPr>
        <w:rPr>
          <w:i/>
        </w:rPr>
      </w:pPr>
      <w:r w:rsidRPr="008B2B0A">
        <w:fldChar w:fldCharType="begin"/>
      </w:r>
      <w:r w:rsidRPr="008B2B0A">
        <w:instrText xml:space="preserve"> AUTONUM  </w:instrText>
      </w:r>
      <w:r w:rsidRPr="008B2B0A">
        <w:fldChar w:fldCharType="end"/>
      </w:r>
      <w:r>
        <w:tab/>
        <w:t>Der TC nahm zur Kenntnis, dass Verbandsmitglieder die Möglichkeit haben, Informationen über eine Person/Personen, die in Fragen der internationalen Zusammenarbeit bei der DUS-Prüfung zu kontaktieren ist/sind, zu aktualisieren durch:</w:t>
      </w:r>
      <w:r>
        <w:cr/>
      </w:r>
    </w:p>
    <w:p w14:paraId="39A59B32" w14:textId="77777777" w:rsidR="008C1446" w:rsidRPr="007A0A9F" w:rsidRDefault="008C1446" w:rsidP="008C1446">
      <w:pPr>
        <w:tabs>
          <w:tab w:val="left" w:pos="567"/>
          <w:tab w:val="left" w:pos="1134"/>
          <w:tab w:val="left" w:pos="1701"/>
          <w:tab w:val="left" w:pos="5954"/>
          <w:tab w:val="left" w:pos="6521"/>
        </w:tabs>
      </w:pPr>
      <w:r>
        <w:tab/>
        <w:t xml:space="preserve">i) </w:t>
      </w:r>
      <w:r>
        <w:tab/>
        <w:t>Aktualisieren von Informationen, wenn darum ersucht wird, Informationen für Dokument TC/[xx]/4 „Liste der Gattungen und Arten, für die die Behörden über praktische Erfahrung bei der Prüfung der Unterscheidbarkeit, Homogenität und Beständigkeit verfügen" zur Verfügung zu stellen; und/oder</w:t>
      </w:r>
    </w:p>
    <w:p w14:paraId="213F97CB" w14:textId="77777777" w:rsidR="008C1446" w:rsidRPr="007A0A9F" w:rsidRDefault="008C1446" w:rsidP="008C1446">
      <w:pPr>
        <w:tabs>
          <w:tab w:val="left" w:pos="567"/>
          <w:tab w:val="left" w:pos="1134"/>
          <w:tab w:val="left" w:pos="1701"/>
          <w:tab w:val="left" w:pos="5954"/>
          <w:tab w:val="left" w:pos="6521"/>
        </w:tabs>
      </w:pPr>
    </w:p>
    <w:p w14:paraId="1FAF1D4A" w14:textId="77777777" w:rsidR="008C1446" w:rsidRPr="007A0A9F" w:rsidRDefault="008C1446" w:rsidP="008C1446">
      <w:pPr>
        <w:tabs>
          <w:tab w:val="left" w:pos="567"/>
          <w:tab w:val="left" w:pos="1134"/>
          <w:tab w:val="left" w:pos="1701"/>
          <w:tab w:val="left" w:pos="5954"/>
          <w:tab w:val="left" w:pos="6521"/>
        </w:tabs>
      </w:pPr>
      <w:r>
        <w:tab/>
        <w:t>ii)</w:t>
      </w:r>
      <w:r>
        <w:tab/>
        <w:t>Benachrichtigen des Verbandsbüros durch eine E-Mail an upov.mail@upov.int.</w:t>
      </w:r>
    </w:p>
    <w:p w14:paraId="1C0371DB" w14:textId="77777777" w:rsidR="008C1446" w:rsidRDefault="008C1446" w:rsidP="008C1446"/>
    <w:p w14:paraId="4B33AD75" w14:textId="77777777" w:rsidR="008C1446" w:rsidRDefault="008C1446" w:rsidP="008C1446">
      <w:r>
        <w:fldChar w:fldCharType="begin"/>
      </w:r>
      <w:r>
        <w:instrText xml:space="preserve"> AUTONUM  </w:instrText>
      </w:r>
      <w:r>
        <w:fldChar w:fldCharType="end"/>
      </w:r>
      <w:r>
        <w:tab/>
        <w:t>Der TC nahm die Entwicklung eines Pakets kompatibler IT-Instrumente zur Beseitigung der technischen und administrativen Bedenken, die eine Zusammenarbeit bei der DUS-Prüfung behindern, zur Kenntnis, wie in Dokument TV/57/9, Absätze 9 bis 14 wiedergegeben.</w:t>
      </w:r>
    </w:p>
    <w:p w14:paraId="1892459C" w14:textId="77777777" w:rsidR="000560A0" w:rsidRDefault="000560A0" w:rsidP="008C1446"/>
    <w:p w14:paraId="3E853EEC" w14:textId="77777777" w:rsidR="00B933D2" w:rsidRDefault="00B933D2" w:rsidP="008C1446">
      <w:r>
        <w:fldChar w:fldCharType="begin"/>
      </w:r>
      <w:r>
        <w:instrText xml:space="preserve"> AUTONUM  </w:instrText>
      </w:r>
      <w:r>
        <w:fldChar w:fldCharType="end"/>
      </w:r>
      <w:r>
        <w:tab/>
        <w:t xml:space="preserve">Der TC nahm zur Kenntnis, dass die Entwicklung einer Plattform für Datenbanken von UPOV-Mitgliedern mit Informationen zu Sortenbeschreibungen von den Angaben abhänge, die von den UPOV-Mitgliedern in Bezug auf die Frage gemacht werden, welche Datenbanken sie teilen möchten. </w:t>
      </w:r>
    </w:p>
    <w:p w14:paraId="18CBC7FE" w14:textId="77777777" w:rsidR="00B933D2" w:rsidRDefault="00B933D2" w:rsidP="008C1446"/>
    <w:p w14:paraId="5CC41019" w14:textId="77777777" w:rsidR="00B933D2" w:rsidRDefault="00B933D2" w:rsidP="008C1446">
      <w:r>
        <w:fldChar w:fldCharType="begin"/>
      </w:r>
      <w:r>
        <w:instrText xml:space="preserve"> AUTONUM  </w:instrText>
      </w:r>
      <w:r>
        <w:fldChar w:fldCharType="end"/>
      </w:r>
      <w:r>
        <w:tab/>
        <w:t>Der TC nahm zur Kenntnis, dass die Verwendung maschinengestützter Übersetzungsverfahren im Rahmen einer Überarbeitung der UPOV-Richtlinie für Übersetzungen geprüft werde.</w:t>
      </w:r>
    </w:p>
    <w:p w14:paraId="68AA6B18" w14:textId="77777777" w:rsidR="00B933D2" w:rsidRDefault="00B933D2" w:rsidP="008C1446"/>
    <w:p w14:paraId="6CDB53A7" w14:textId="77777777" w:rsidR="00B933D2" w:rsidRDefault="00B933D2" w:rsidP="008C1446">
      <w:r>
        <w:fldChar w:fldCharType="begin"/>
      </w:r>
      <w:r>
        <w:instrText xml:space="preserve"> AUTONUM  </w:instrText>
      </w:r>
      <w:r>
        <w:fldChar w:fldCharType="end"/>
      </w:r>
      <w:r>
        <w:tab/>
        <w:t>Der TC nahm zur Kenntnis, dass der CAJ auf seiner achtundsiebzigsten Tagung Folgendes prüfen werde:</w:t>
      </w:r>
    </w:p>
    <w:p w14:paraId="35252900" w14:textId="77777777" w:rsidR="00B933D2" w:rsidRDefault="00B933D2" w:rsidP="008C1446"/>
    <w:p w14:paraId="6DA2BE3D" w14:textId="77777777" w:rsidR="00B933D2" w:rsidRDefault="00B933D2" w:rsidP="00B933D2">
      <w:r>
        <w:tab/>
        <w:t>i)</w:t>
      </w:r>
      <w:r>
        <w:tab/>
        <w:t>die politischen oder rechtlichen Hindernisse, die der TC als die internationale Zusammenarbeit bei der DUS-Prüfung verhindernd ermittelt habe, sowie mögliche Maßnahmen zur Beseitigung dieser Hindernisse; und</w:t>
      </w:r>
    </w:p>
    <w:p w14:paraId="176910D1" w14:textId="77777777" w:rsidR="00B933D2" w:rsidRDefault="00B933D2" w:rsidP="00B933D2"/>
    <w:p w14:paraId="34B6CFB5" w14:textId="77777777" w:rsidR="00B933D2" w:rsidRDefault="00B933D2" w:rsidP="00B933D2">
      <w:r>
        <w:tab/>
        <w:t>ii)</w:t>
      </w:r>
      <w:r>
        <w:tab/>
        <w:t>Vorschläge für die Ausarbeitung einer Anleitung, um Verbandsmitglieder zu ermutigen, auf freiwilliger Basis DUS-Prüfungsberichte zu übernehmen, wenn die Antragsteller aufgrund phytosanitärer oder sonstiger damit verbundener Probleme kein Pflanzenmaterial einreichen könnten.</w:t>
      </w:r>
    </w:p>
    <w:p w14:paraId="644B2BEB" w14:textId="77777777" w:rsidR="00B933D2" w:rsidRDefault="00B933D2" w:rsidP="008C1446"/>
    <w:p w14:paraId="32E0B60E" w14:textId="77777777" w:rsidR="00B933D2" w:rsidRDefault="00B933D2" w:rsidP="008C1446">
      <w:r>
        <w:fldChar w:fldCharType="begin"/>
      </w:r>
      <w:r>
        <w:instrText xml:space="preserve"> AUTONUM  </w:instrText>
      </w:r>
      <w:r>
        <w:fldChar w:fldCharType="end"/>
      </w:r>
      <w:r>
        <w:tab/>
        <w:t>Der TC nahm zur Kenntnis, dass die Wirkung der vorgeschlagenen Maßnahmen auf Grundlage der von den Verbandsmitgliedern angegebenen verschiedenen Übereinkommen über die Zusammenarbeit, wie in Dokument C/[xx]/INF/5 „Zusammenarbeit bei der Prüfung” dargelegt, bewertet werde.</w:t>
      </w:r>
    </w:p>
    <w:p w14:paraId="71B50F33" w14:textId="77777777" w:rsidR="008C1446" w:rsidRPr="00866150" w:rsidRDefault="008C1446" w:rsidP="008C1446"/>
    <w:p w14:paraId="4A1508BE" w14:textId="77777777" w:rsidR="00730C37" w:rsidRDefault="00730C37" w:rsidP="00445B73">
      <w:pPr>
        <w:jc w:val="left"/>
      </w:pPr>
    </w:p>
    <w:p w14:paraId="23FD4C8C" w14:textId="77777777" w:rsidR="00B933D2" w:rsidRPr="00B933D2" w:rsidRDefault="00B933D2" w:rsidP="00B933D2">
      <w:pPr>
        <w:pStyle w:val="Heading2"/>
      </w:pPr>
      <w:r>
        <w:t>Verstärkte Mitwirkung an der Arbeit des TC und der verschiedenen TWP</w:t>
      </w:r>
    </w:p>
    <w:p w14:paraId="476E6370" w14:textId="77777777" w:rsidR="00730C37" w:rsidRDefault="00730C37" w:rsidP="00AC5450">
      <w:pPr>
        <w:keepNext/>
        <w:jc w:val="left"/>
      </w:pPr>
    </w:p>
    <w:p w14:paraId="70E98B96" w14:textId="1016105A" w:rsidR="00B933D2" w:rsidRDefault="00B933D2" w:rsidP="00445B73">
      <w:pPr>
        <w:jc w:val="left"/>
      </w:pPr>
      <w:r>
        <w:fldChar w:fldCharType="begin"/>
      </w:r>
      <w:r>
        <w:instrText xml:space="preserve"> AUTONUM  </w:instrText>
      </w:r>
      <w:r>
        <w:fldChar w:fldCharType="end"/>
      </w:r>
      <w:r>
        <w:tab/>
        <w:t xml:space="preserve">Der </w:t>
      </w:r>
      <w:r w:rsidR="003543BD" w:rsidRPr="00D132B8">
        <w:t>TC</w:t>
      </w:r>
      <w:r>
        <w:t xml:space="preserve"> prüfte das Dokument TC/57/10.</w:t>
      </w:r>
    </w:p>
    <w:p w14:paraId="4A9CF9C5" w14:textId="77777777" w:rsidR="00B933D2" w:rsidRDefault="00B933D2" w:rsidP="00445B73">
      <w:pPr>
        <w:jc w:val="left"/>
      </w:pPr>
    </w:p>
    <w:p w14:paraId="0326D336" w14:textId="77777777" w:rsidR="00B933D2" w:rsidRDefault="00B933D2" w:rsidP="004E282E">
      <w:pPr>
        <w:pStyle w:val="Heading3"/>
      </w:pPr>
      <w:bookmarkStart w:id="39" w:name="_Toc84594393"/>
      <w:r>
        <w:t>Teilnahme an den Sitzungen von TC und TWP auf elektronischem Wege</w:t>
      </w:r>
      <w:bookmarkEnd w:id="39"/>
    </w:p>
    <w:p w14:paraId="03816D87" w14:textId="77777777" w:rsidR="00B933D2" w:rsidRDefault="00B933D2" w:rsidP="00AC5450">
      <w:pPr>
        <w:keepNext/>
        <w:jc w:val="left"/>
      </w:pPr>
    </w:p>
    <w:p w14:paraId="17537C49" w14:textId="61218CCE" w:rsidR="00843F44" w:rsidRDefault="00B933D2" w:rsidP="00B933D2">
      <w:r>
        <w:fldChar w:fldCharType="begin"/>
      </w:r>
      <w:r>
        <w:instrText xml:space="preserve"> AUTONUM  </w:instrText>
      </w:r>
      <w:r>
        <w:fldChar w:fldCharType="end"/>
      </w:r>
      <w:r>
        <w:tab/>
        <w:t>Der TC nahm die Beteiligung an den Tagungen der TWP im Jahr 2021,</w:t>
      </w:r>
      <w:r w:rsidR="00C6116C">
        <w:t xml:space="preserve"> wie in Anlage I des Dokuments </w:t>
      </w:r>
      <w:r>
        <w:t>T</w:t>
      </w:r>
      <w:r w:rsidR="00C6116C">
        <w:t>C</w:t>
      </w:r>
      <w:r>
        <w:t>/57/10 dargelegt, zur Kenntnis.</w:t>
      </w:r>
    </w:p>
    <w:p w14:paraId="78D3B561" w14:textId="77777777" w:rsidR="00B933D2" w:rsidRDefault="00B933D2" w:rsidP="00B933D2"/>
    <w:p w14:paraId="6CE23605" w14:textId="77777777" w:rsidR="00B933D2" w:rsidRDefault="00B933D2" w:rsidP="004E282E">
      <w:pPr>
        <w:pStyle w:val="Heading3"/>
      </w:pPr>
      <w:bookmarkStart w:id="40" w:name="_Toc84594394"/>
      <w:r>
        <w:t>Mögliche Maßnahmen für die physische und virtuelle Teilnahme an den Sitzungen der TWP</w:t>
      </w:r>
      <w:bookmarkEnd w:id="40"/>
    </w:p>
    <w:p w14:paraId="3D3F5614" w14:textId="77777777" w:rsidR="00B933D2" w:rsidRDefault="00B933D2" w:rsidP="00AC5450">
      <w:pPr>
        <w:keepNext/>
      </w:pPr>
    </w:p>
    <w:p w14:paraId="41D60546" w14:textId="77777777" w:rsidR="00B933D2" w:rsidRDefault="00B933D2" w:rsidP="00B933D2">
      <w:r>
        <w:fldChar w:fldCharType="begin"/>
      </w:r>
      <w:r>
        <w:instrText xml:space="preserve"> AUTONUM  </w:instrText>
      </w:r>
      <w:r>
        <w:fldChar w:fldCharType="end"/>
      </w:r>
      <w:r>
        <w:tab/>
        <w:t>Der TC nahm die von den TWP auf ihren jeweiligen Tagungen im Jahr 2021 geäußerten Bemerkungen zu möglichen Maßnahmen für die physische und virtuelle Teilnahme an Sitzungen der TWP zur Kenntnis, wie in Anlage II des Dokuments TC/57/10 dargelegt.</w:t>
      </w:r>
    </w:p>
    <w:p w14:paraId="4A951742" w14:textId="77777777" w:rsidR="00B933D2" w:rsidRDefault="00B933D2" w:rsidP="00B933D2"/>
    <w:p w14:paraId="54AA2E18" w14:textId="77777777" w:rsidR="00B933D2" w:rsidRDefault="00B933D2" w:rsidP="004E282E">
      <w:pPr>
        <w:pStyle w:val="Heading3"/>
      </w:pPr>
      <w:bookmarkStart w:id="41" w:name="_Toc52462068"/>
      <w:bookmarkStart w:id="42" w:name="_Toc84594395"/>
      <w:r>
        <w:t>Vorschläge zur Erhöhung der Beteiligung an der Arbeit der Technischen Arbeitsgruppen</w:t>
      </w:r>
      <w:bookmarkEnd w:id="41"/>
      <w:bookmarkEnd w:id="42"/>
    </w:p>
    <w:p w14:paraId="1FB736DF" w14:textId="77777777" w:rsidR="00B933D2" w:rsidRDefault="00B933D2" w:rsidP="00AC5450">
      <w:pPr>
        <w:keepNext/>
      </w:pPr>
    </w:p>
    <w:p w14:paraId="52C0CEEB" w14:textId="1B57176C" w:rsidR="00B933D2" w:rsidRDefault="00B933D2" w:rsidP="00B933D2">
      <w:r>
        <w:fldChar w:fldCharType="begin"/>
      </w:r>
      <w:r>
        <w:instrText xml:space="preserve"> AUTONUM  </w:instrText>
      </w:r>
      <w:r>
        <w:fldChar w:fldCharType="end"/>
      </w:r>
      <w:r>
        <w:tab/>
        <w:t>Der TC vereinbarte, die folgenden Maßnahmen für die physische und virtuelle Teilnahme an Sitzungen der TWP, wie in den Absätzen 11 bis 13 des Dokuments TC/57/10 dargelegt, zu prüfen:</w:t>
      </w:r>
    </w:p>
    <w:p w14:paraId="49CEF944" w14:textId="77777777" w:rsidR="00B933D2" w:rsidRPr="003F05F7" w:rsidRDefault="00B933D2" w:rsidP="00B933D2">
      <w:pPr>
        <w:tabs>
          <w:tab w:val="left" w:pos="864"/>
        </w:tabs>
      </w:pPr>
    </w:p>
    <w:p w14:paraId="243D9520" w14:textId="77777777" w:rsidR="00B933D2" w:rsidRPr="00BA7810" w:rsidRDefault="00B933D2" w:rsidP="009205CB">
      <w:pPr>
        <w:pStyle w:val="Heading4"/>
      </w:pPr>
      <w:bookmarkStart w:id="43" w:name="_Toc84594396"/>
      <w:r>
        <w:t>a)</w:t>
      </w:r>
      <w:r>
        <w:tab/>
        <w:t>Virtuelle vorbereitende Arbeitstagungen im Vorfeld der TWP-Sitzungen</w:t>
      </w:r>
      <w:bookmarkEnd w:id="43"/>
    </w:p>
    <w:p w14:paraId="698EA3EB" w14:textId="77777777" w:rsidR="00B933D2" w:rsidRPr="003F05F7" w:rsidRDefault="00B933D2" w:rsidP="00B933D2">
      <w:pPr>
        <w:keepNext/>
        <w:tabs>
          <w:tab w:val="left" w:pos="567"/>
        </w:tabs>
      </w:pPr>
    </w:p>
    <w:p w14:paraId="20337086" w14:textId="77777777" w:rsidR="00B933D2" w:rsidRPr="003F05F7" w:rsidRDefault="00B933D2" w:rsidP="00B933D2">
      <w:pPr>
        <w:pStyle w:val="ListParagraph"/>
        <w:keepNext/>
        <w:numPr>
          <w:ilvl w:val="0"/>
          <w:numId w:val="9"/>
        </w:numPr>
        <w:rPr>
          <w:rFonts w:cs="Arial"/>
          <w:snapToGrid w:val="0"/>
        </w:rPr>
      </w:pPr>
      <w:r>
        <w:rPr>
          <w:snapToGrid w:val="0"/>
        </w:rPr>
        <w:t>Die virtuellen vorbereitenden Arbeitstagungen würden in Form einer Webinarreihe organisiert.</w:t>
      </w:r>
    </w:p>
    <w:p w14:paraId="70708BB6" w14:textId="77777777" w:rsidR="00B933D2" w:rsidRPr="003F05F7" w:rsidRDefault="00B933D2" w:rsidP="00B933D2">
      <w:pPr>
        <w:rPr>
          <w:snapToGrid w:val="0"/>
        </w:rPr>
      </w:pPr>
    </w:p>
    <w:p w14:paraId="28ACA673" w14:textId="77777777" w:rsidR="00B933D2" w:rsidRPr="003F05F7" w:rsidRDefault="00B933D2" w:rsidP="00B933D2">
      <w:pPr>
        <w:pStyle w:val="ListParagraph"/>
        <w:numPr>
          <w:ilvl w:val="0"/>
          <w:numId w:val="5"/>
        </w:numPr>
        <w:rPr>
          <w:rFonts w:cs="Arial"/>
          <w:snapToGrid w:val="0"/>
        </w:rPr>
      </w:pPr>
      <w:r>
        <w:rPr>
          <w:snapToGrid w:val="0"/>
        </w:rPr>
        <w:t>Der Inhalt der virtuellen vorbereitenden Arbeitstagungen würde vom TC unter dem Tagesordnungspunkt „Virtuelle vorbereitende Arbeitstagungen“ festgelegt.</w:t>
      </w:r>
    </w:p>
    <w:p w14:paraId="027A61D2" w14:textId="77777777" w:rsidR="00B933D2" w:rsidRPr="003F05F7" w:rsidRDefault="00B933D2" w:rsidP="00B933D2">
      <w:pPr>
        <w:pStyle w:val="ListParagraph"/>
        <w:rPr>
          <w:rFonts w:cs="Arial"/>
          <w:snapToGrid w:val="0"/>
        </w:rPr>
      </w:pPr>
    </w:p>
    <w:p w14:paraId="2C07792D" w14:textId="77777777" w:rsidR="00B933D2" w:rsidRPr="003F05F7" w:rsidRDefault="00B933D2" w:rsidP="00B933D2">
      <w:pPr>
        <w:pStyle w:val="ListParagraph"/>
        <w:numPr>
          <w:ilvl w:val="0"/>
          <w:numId w:val="5"/>
        </w:numPr>
        <w:rPr>
          <w:rFonts w:cs="Arial"/>
          <w:snapToGrid w:val="0"/>
        </w:rPr>
      </w:pPr>
      <w:r>
        <w:rPr>
          <w:snapToGrid w:val="0"/>
        </w:rPr>
        <w:t>Der Inhalt wäre an ausgewählten Themen ausgerichtet (z.B. Entwurf von Prüfungsrichtlinien, molekulare Verfahren bei der DUS-Prüfung, Bildanalyse).</w:t>
      </w:r>
    </w:p>
    <w:p w14:paraId="35C07C8E" w14:textId="77777777" w:rsidR="00B933D2" w:rsidRPr="003F05F7" w:rsidRDefault="00B933D2" w:rsidP="00B933D2">
      <w:pPr>
        <w:pStyle w:val="ListParagraph"/>
        <w:rPr>
          <w:rFonts w:cs="Arial"/>
          <w:snapToGrid w:val="0"/>
        </w:rPr>
      </w:pPr>
    </w:p>
    <w:p w14:paraId="34772FD3" w14:textId="77777777" w:rsidR="00B933D2" w:rsidRPr="003F05F7" w:rsidRDefault="00B933D2" w:rsidP="00B933D2">
      <w:pPr>
        <w:pStyle w:val="ListParagraph"/>
        <w:numPr>
          <w:ilvl w:val="0"/>
          <w:numId w:val="5"/>
        </w:numPr>
        <w:rPr>
          <w:rFonts w:cs="Arial"/>
          <w:snapToGrid w:val="0"/>
        </w:rPr>
      </w:pPr>
      <w:r>
        <w:rPr>
          <w:snapToGrid w:val="0"/>
        </w:rPr>
        <w:t>Die Vorkehrungen für die Webinare würden vom Verbandsbüro in Abstimmung mit den Vorsitzenden des TC und der TWP (z.B. Termine, Anzahl der für den Inhalt erforderlichen Webinare, Redner und Podiumsteilnehmer) abgeschlossen.</w:t>
      </w:r>
    </w:p>
    <w:p w14:paraId="5B727C21" w14:textId="77777777" w:rsidR="00B933D2" w:rsidRPr="003F05F7" w:rsidRDefault="00B933D2" w:rsidP="00B933D2">
      <w:pPr>
        <w:pStyle w:val="ListParagraph"/>
        <w:rPr>
          <w:rFonts w:cs="Arial"/>
          <w:snapToGrid w:val="0"/>
        </w:rPr>
      </w:pPr>
    </w:p>
    <w:p w14:paraId="5210ECF5" w14:textId="0C38170A" w:rsidR="00B933D2" w:rsidRPr="003F05F7" w:rsidRDefault="00B933D2" w:rsidP="00B933D2">
      <w:pPr>
        <w:pStyle w:val="ListParagraph"/>
        <w:numPr>
          <w:ilvl w:val="0"/>
          <w:numId w:val="5"/>
        </w:numPr>
        <w:rPr>
          <w:rFonts w:cs="Arial"/>
          <w:snapToGrid w:val="0"/>
        </w:rPr>
      </w:pPr>
      <w:r>
        <w:rPr>
          <w:snapToGrid w:val="0"/>
        </w:rPr>
        <w:t>Die virtuellen vorbereitenden Arbeitstagungen würden die vor jeder einzelnen TWP-Sitzung veranstalteten vorbereitenden Arbeitstagungen ersetzen.</w:t>
      </w:r>
      <w:r w:rsidR="002D5256">
        <w:rPr>
          <w:snapToGrid w:val="0"/>
        </w:rPr>
        <w:t xml:space="preserve"> </w:t>
      </w:r>
      <w:r>
        <w:rPr>
          <w:snapToGrid w:val="0"/>
        </w:rPr>
        <w:t>Die Webinarreihe würde für Sachverständige sämtlicher TWP offenstehen.</w:t>
      </w:r>
    </w:p>
    <w:p w14:paraId="6E5F4D37" w14:textId="77777777" w:rsidR="00B933D2" w:rsidRPr="003F05F7" w:rsidRDefault="00B933D2" w:rsidP="00B933D2">
      <w:pPr>
        <w:pStyle w:val="ListParagraph"/>
        <w:rPr>
          <w:rFonts w:cs="Arial"/>
          <w:snapToGrid w:val="0"/>
        </w:rPr>
      </w:pPr>
    </w:p>
    <w:p w14:paraId="59222B7E" w14:textId="77777777" w:rsidR="00B933D2" w:rsidRPr="003F05F7" w:rsidRDefault="00B933D2" w:rsidP="00B933D2">
      <w:pPr>
        <w:pStyle w:val="ListParagraph"/>
        <w:keepNext/>
        <w:numPr>
          <w:ilvl w:val="0"/>
          <w:numId w:val="5"/>
        </w:numPr>
        <w:rPr>
          <w:rFonts w:cs="Arial"/>
          <w:snapToGrid w:val="0"/>
        </w:rPr>
      </w:pPr>
      <w:r>
        <w:rPr>
          <w:snapToGrid w:val="0"/>
        </w:rPr>
        <w:t>Die Webinare würden aufgezeichnet und online vorgehalten, bis sie durch eine aktualisierte Version ersetzt werden.  Das Verbandsbüro würde eine Webseite einrichten, auf der die Videos gespeichert werden (z.B. YouTube-Kanal der UPOV).</w:t>
      </w:r>
    </w:p>
    <w:p w14:paraId="0EEB6C00" w14:textId="77777777" w:rsidR="00B933D2" w:rsidRPr="003F05F7" w:rsidRDefault="00B933D2" w:rsidP="00C6116C">
      <w:pPr>
        <w:rPr>
          <w:snapToGrid w:val="0"/>
        </w:rPr>
      </w:pPr>
    </w:p>
    <w:p w14:paraId="789AECB3" w14:textId="77777777" w:rsidR="00B933D2" w:rsidRPr="00BA7810" w:rsidRDefault="00B933D2" w:rsidP="00C6116C">
      <w:pPr>
        <w:pStyle w:val="Heading4"/>
      </w:pPr>
      <w:bookmarkStart w:id="44" w:name="_Toc84594397"/>
      <w:r>
        <w:t>b)</w:t>
      </w:r>
      <w:r>
        <w:tab/>
        <w:t>Vor den Sitzungen zu übermittelnde Bemerkungen und Fragen zu den TWP-Sitzungsdokumenten</w:t>
      </w:r>
      <w:bookmarkEnd w:id="44"/>
    </w:p>
    <w:p w14:paraId="6A7791C6" w14:textId="77777777" w:rsidR="00B933D2" w:rsidRPr="003F05F7" w:rsidRDefault="00B933D2" w:rsidP="00C6116C">
      <w:pPr>
        <w:keepNext/>
        <w:rPr>
          <w:rFonts w:cs="Arial"/>
          <w:snapToGrid w:val="0"/>
        </w:rPr>
      </w:pPr>
    </w:p>
    <w:p w14:paraId="082057C9" w14:textId="77777777" w:rsidR="00B933D2" w:rsidRPr="003F05F7" w:rsidRDefault="00B933D2" w:rsidP="00C6116C">
      <w:pPr>
        <w:pStyle w:val="ListParagraph"/>
        <w:keepNext/>
        <w:numPr>
          <w:ilvl w:val="0"/>
          <w:numId w:val="10"/>
        </w:numPr>
        <w:rPr>
          <w:rFonts w:cs="Arial"/>
          <w:snapToGrid w:val="0"/>
        </w:rPr>
      </w:pPr>
      <w:r>
        <w:rPr>
          <w:snapToGrid w:val="0"/>
        </w:rPr>
        <w:t>Die Teilnehmer würden gebeten, im Vorfeld der Sitzungen schriftliche Bemerkungen zu den Sitzungsdokumenten einzureichen, wie bereits in den Jahren 2020 und 2021.</w:t>
      </w:r>
    </w:p>
    <w:p w14:paraId="5BD4815A" w14:textId="77777777" w:rsidR="00B933D2" w:rsidRPr="003F05F7" w:rsidRDefault="00B933D2" w:rsidP="00B933D2">
      <w:pPr>
        <w:rPr>
          <w:rFonts w:cs="Arial"/>
          <w:snapToGrid w:val="0"/>
        </w:rPr>
      </w:pPr>
    </w:p>
    <w:p w14:paraId="0273308B" w14:textId="77777777" w:rsidR="00B933D2" w:rsidRPr="003F05F7" w:rsidRDefault="00B933D2" w:rsidP="00B933D2">
      <w:pPr>
        <w:pStyle w:val="ListParagraph"/>
        <w:numPr>
          <w:ilvl w:val="0"/>
          <w:numId w:val="8"/>
        </w:numPr>
        <w:rPr>
          <w:rFonts w:cs="Arial"/>
          <w:snapToGrid w:val="0"/>
        </w:rPr>
      </w:pPr>
      <w:r>
        <w:rPr>
          <w:snapToGrid w:val="0"/>
        </w:rPr>
        <w:t>Die gesammelten schriftlichen Bemerkungen würden den angemeldeten Teilnehmern eine Woche vor der Sitzung übermittelt.</w:t>
      </w:r>
    </w:p>
    <w:p w14:paraId="1819E59E" w14:textId="77777777" w:rsidR="00B933D2" w:rsidRPr="003F05F7" w:rsidRDefault="00B933D2" w:rsidP="00B933D2">
      <w:pPr>
        <w:rPr>
          <w:rFonts w:cs="Arial"/>
          <w:snapToGrid w:val="0"/>
        </w:rPr>
      </w:pPr>
    </w:p>
    <w:p w14:paraId="348A9CD1" w14:textId="77777777" w:rsidR="00B933D2" w:rsidRPr="003F05F7" w:rsidRDefault="00B933D2" w:rsidP="00B933D2">
      <w:pPr>
        <w:pStyle w:val="ListParagraph"/>
        <w:numPr>
          <w:ilvl w:val="0"/>
          <w:numId w:val="8"/>
        </w:numPr>
        <w:rPr>
          <w:rFonts w:cs="Arial"/>
          <w:snapToGrid w:val="0"/>
        </w:rPr>
      </w:pPr>
      <w:r>
        <w:rPr>
          <w:snapToGrid w:val="0"/>
        </w:rPr>
        <w:t>Im Vorfeld eingegangene Bemerkungen würden zur Erörterung während der Sitzung dem betreffenden Punkt auf der Tagesordnung hinzugefügt.</w:t>
      </w:r>
    </w:p>
    <w:p w14:paraId="44AED42B" w14:textId="77777777" w:rsidR="00B933D2" w:rsidRPr="003F05F7" w:rsidRDefault="00B933D2" w:rsidP="00B933D2">
      <w:pPr>
        <w:rPr>
          <w:snapToGrid w:val="0"/>
        </w:rPr>
      </w:pPr>
    </w:p>
    <w:p w14:paraId="020E5216" w14:textId="77777777" w:rsidR="00B933D2" w:rsidRPr="00BA7810" w:rsidRDefault="00B933D2" w:rsidP="009205CB">
      <w:pPr>
        <w:pStyle w:val="Heading4"/>
      </w:pPr>
      <w:bookmarkStart w:id="45" w:name="_Toc84594398"/>
      <w:r>
        <w:t>c)</w:t>
      </w:r>
      <w:r>
        <w:tab/>
        <w:t>Abwechselnd ein Jahr mit physischen und ein Jahr mit virtuellen Sitzungen</w:t>
      </w:r>
      <w:bookmarkEnd w:id="45"/>
    </w:p>
    <w:p w14:paraId="7A6FCF02" w14:textId="77777777" w:rsidR="00B933D2" w:rsidRPr="003F05F7" w:rsidRDefault="00B933D2" w:rsidP="00B933D2"/>
    <w:p w14:paraId="2E6588B3" w14:textId="77777777" w:rsidR="00B933D2" w:rsidRPr="003F05F7" w:rsidRDefault="00B933D2" w:rsidP="00B933D2">
      <w:pPr>
        <w:pStyle w:val="ListParagraph"/>
        <w:numPr>
          <w:ilvl w:val="0"/>
          <w:numId w:val="11"/>
        </w:numPr>
      </w:pPr>
      <w:r>
        <w:t>Die Sitzungen der TWP würden ein Jahr lang als virtuelle Treffen und im darauffolgenden Jahr als physische Treffen angesetzt (z.B. virtuell im Jahr 2023 und physisch im Jahr 2024).</w:t>
      </w:r>
    </w:p>
    <w:p w14:paraId="083A0715" w14:textId="77777777" w:rsidR="00B933D2" w:rsidRPr="003F05F7" w:rsidRDefault="00B933D2" w:rsidP="00B933D2">
      <w:pPr>
        <w:pStyle w:val="ListParagraph"/>
      </w:pPr>
    </w:p>
    <w:p w14:paraId="352E721E" w14:textId="3C141C60" w:rsidR="00B933D2" w:rsidRPr="003F05F7" w:rsidRDefault="00B933D2" w:rsidP="00B933D2">
      <w:pPr>
        <w:pStyle w:val="ListParagraph"/>
        <w:numPr>
          <w:ilvl w:val="0"/>
          <w:numId w:val="11"/>
        </w:numPr>
      </w:pPr>
      <w:r>
        <w:t>Pro Kalenderjahr würde es mindestens zwei virtuelle TWP-Sitzungen geben, wodurch sichergestellt wäre, dass Sachverständige auf elektronischem Wege an sämtlichen Erörterungen betreffend Prüfungsrichtlinien sowie TGP- und TWP-Dokumente teilnehmen können.</w:t>
      </w:r>
    </w:p>
    <w:p w14:paraId="51DCB94C" w14:textId="77777777" w:rsidR="00B933D2" w:rsidRPr="003F05F7" w:rsidRDefault="00B933D2" w:rsidP="00B933D2">
      <w:pPr>
        <w:pStyle w:val="ListParagraph"/>
      </w:pPr>
    </w:p>
    <w:p w14:paraId="1BBD6EA1" w14:textId="77777777" w:rsidR="00B933D2" w:rsidRPr="003F05F7" w:rsidRDefault="00B933D2" w:rsidP="00B933D2">
      <w:pPr>
        <w:pStyle w:val="ListParagraph"/>
        <w:numPr>
          <w:ilvl w:val="0"/>
          <w:numId w:val="7"/>
        </w:numPr>
      </w:pPr>
      <w:r>
        <w:t>Digitale Beiträge mit virtuellen Mitteln:  Alle UPOV-Mitglied wären eingeladen, Aspekte ihrer jeweiligen Prüfverfahren (z.B. DUS-Prüfung für bestimmte Pflanzen, Prüfungsabläufe, Bildanalyse, Prüfungsaufbau) im Rahmen von Referaten, Videos oder Live-Online-Vorführungen vorzustellen.</w:t>
      </w:r>
    </w:p>
    <w:p w14:paraId="4D49DE0B" w14:textId="77777777" w:rsidR="00B933D2" w:rsidRPr="003F05F7" w:rsidRDefault="00B933D2" w:rsidP="00B933D2">
      <w:pPr>
        <w:pStyle w:val="ListParagraph"/>
      </w:pPr>
    </w:p>
    <w:p w14:paraId="25D837BF" w14:textId="77777777" w:rsidR="00B933D2" w:rsidRPr="003F05F7" w:rsidRDefault="00B933D2" w:rsidP="00B933D2">
      <w:pPr>
        <w:pStyle w:val="ListParagraph"/>
        <w:numPr>
          <w:ilvl w:val="0"/>
          <w:numId w:val="7"/>
        </w:numPr>
      </w:pPr>
      <w:r>
        <w:t>Der Zeitrahmen einer virtuellen TWP-Sitzung würde von der TWP im Zuge der Planung der Tagesordnung für die nächste anstehende Sitzung besprochen.</w:t>
      </w:r>
    </w:p>
    <w:p w14:paraId="72DF5581" w14:textId="77777777" w:rsidR="00B933D2" w:rsidRPr="003F05F7" w:rsidRDefault="00B933D2" w:rsidP="00B933D2"/>
    <w:p w14:paraId="7CE01BC3" w14:textId="77777777" w:rsidR="00B933D2" w:rsidRPr="00BA7810" w:rsidRDefault="00B933D2" w:rsidP="009205CB">
      <w:pPr>
        <w:pStyle w:val="Heading4"/>
      </w:pPr>
      <w:bookmarkStart w:id="46" w:name="_Toc84594399"/>
      <w:r>
        <w:t>d)</w:t>
      </w:r>
      <w:r>
        <w:tab/>
        <w:t>Elektronische Teilnahme an physischen TWP-Sitzungen</w:t>
      </w:r>
      <w:bookmarkEnd w:id="46"/>
    </w:p>
    <w:p w14:paraId="3C96093E" w14:textId="77777777" w:rsidR="00B933D2" w:rsidRPr="003F05F7" w:rsidRDefault="00B933D2" w:rsidP="00B933D2">
      <w:pPr>
        <w:pStyle w:val="ListParagraph"/>
        <w:keepNext/>
        <w:rPr>
          <w:snapToGrid w:val="0"/>
        </w:rPr>
      </w:pPr>
    </w:p>
    <w:p w14:paraId="62ED5DAC" w14:textId="465D8E6D" w:rsidR="00B933D2" w:rsidRPr="003F05F7" w:rsidRDefault="00B933D2" w:rsidP="00B933D2">
      <w:pPr>
        <w:pStyle w:val="ListParagraph"/>
        <w:keepNext/>
        <w:numPr>
          <w:ilvl w:val="0"/>
          <w:numId w:val="7"/>
        </w:numPr>
        <w:rPr>
          <w:rFonts w:cs="Arial"/>
          <w:snapToGrid w:val="0"/>
        </w:rPr>
      </w:pPr>
      <w:r>
        <w:rPr>
          <w:snapToGrid w:val="0"/>
        </w:rPr>
        <w:t>Die ausrichtende TWP oder das Verbandsbüro sollte auf physischen TWP-Sitzungen eine Sitzungsplattform zur elektronischen Teilnahme an den Gesprächen der Untergruppen zu Prüfungsrichtlinien bereitstellen.</w:t>
      </w:r>
      <w:r w:rsidR="002D5256">
        <w:rPr>
          <w:snapToGrid w:val="0"/>
        </w:rPr>
        <w:t xml:space="preserve"> </w:t>
      </w:r>
      <w:r>
        <w:rPr>
          <w:snapToGrid w:val="0"/>
        </w:rPr>
        <w:t xml:space="preserve">Durch diese Maßnahme soll die Teilnahme von Pflanzensachverständigen ermöglicht werden, die sonst nicht auf den Sitzungen der TWP vertreten sind.  </w:t>
      </w:r>
    </w:p>
    <w:p w14:paraId="472F7AA2" w14:textId="77777777" w:rsidR="00B933D2" w:rsidRPr="003F05F7" w:rsidRDefault="00B933D2" w:rsidP="00B933D2">
      <w:pPr>
        <w:pStyle w:val="ListParagraph"/>
        <w:keepNext/>
        <w:rPr>
          <w:rFonts w:cs="Arial"/>
          <w:snapToGrid w:val="0"/>
        </w:rPr>
      </w:pPr>
    </w:p>
    <w:p w14:paraId="038068F4" w14:textId="77777777" w:rsidR="00B933D2" w:rsidRPr="003F05F7" w:rsidRDefault="00B933D2" w:rsidP="00B933D2">
      <w:pPr>
        <w:pStyle w:val="ListParagraph"/>
        <w:numPr>
          <w:ilvl w:val="0"/>
          <w:numId w:val="7"/>
        </w:numPr>
        <w:rPr>
          <w:rFonts w:cs="Arial"/>
          <w:snapToGrid w:val="0"/>
        </w:rPr>
      </w:pPr>
      <w:r>
        <w:rPr>
          <w:snapToGrid w:val="0"/>
        </w:rPr>
        <w:t>Die Gastgeber der physischen TWP-Sitzungen sollten an der Entscheidung darüber, wie die virtuelle Teilnahme an den Gesprächen der Untergruppen zu Prüfungsrichtlinien zu organisieren sei, beteiligt werden.</w:t>
      </w:r>
    </w:p>
    <w:p w14:paraId="704712C8" w14:textId="77777777" w:rsidR="00B933D2" w:rsidRPr="003F05F7" w:rsidRDefault="00B933D2" w:rsidP="00B933D2">
      <w:pPr>
        <w:pStyle w:val="ListParagraph"/>
        <w:ind w:left="709"/>
      </w:pPr>
    </w:p>
    <w:p w14:paraId="71A8810F" w14:textId="77777777" w:rsidR="00B933D2" w:rsidRPr="00BA7810" w:rsidRDefault="00B933D2" w:rsidP="009205CB">
      <w:pPr>
        <w:pStyle w:val="Heading4"/>
      </w:pPr>
      <w:r>
        <w:rPr>
          <w:i/>
          <w:iCs/>
        </w:rPr>
        <w:t>e)</w:t>
      </w:r>
      <w:r>
        <w:rPr>
          <w:i/>
          <w:iCs/>
        </w:rPr>
        <w:tab/>
        <w:t>Technische Arbeitsgruppe für Prüfmethoden und -techniken (TWM)</w:t>
      </w:r>
    </w:p>
    <w:p w14:paraId="686C06C5" w14:textId="77777777" w:rsidR="00B933D2" w:rsidRPr="003F05F7" w:rsidRDefault="00B933D2" w:rsidP="00B933D2">
      <w:pPr>
        <w:pStyle w:val="ListParagraph"/>
        <w:rPr>
          <w:i/>
        </w:rPr>
      </w:pPr>
    </w:p>
    <w:p w14:paraId="134CAA2E" w14:textId="5010235F" w:rsidR="00B933D2" w:rsidRPr="003F05F7" w:rsidRDefault="00B933D2" w:rsidP="00B933D2">
      <w:pPr>
        <w:pStyle w:val="ListParagraph"/>
        <w:numPr>
          <w:ilvl w:val="0"/>
          <w:numId w:val="6"/>
        </w:numPr>
      </w:pPr>
      <w:r>
        <w:rPr>
          <w:snapToGrid w:val="0"/>
        </w:rPr>
        <w:t>Die TWM wird 2022 elektronisch zusammentreten und anhand der Palette der zu behandelnden Themen eine Einschätzung treffen, inwieweit physische Sitzungen künftig notwendig sind</w:t>
      </w:r>
    </w:p>
    <w:p w14:paraId="7F296ECA" w14:textId="77777777" w:rsidR="00B933D2" w:rsidRPr="003F05F7" w:rsidRDefault="00B933D2" w:rsidP="00B933D2"/>
    <w:p w14:paraId="738C318B" w14:textId="77777777" w:rsidR="00B933D2" w:rsidRPr="00BA7810" w:rsidRDefault="00B933D2" w:rsidP="009205CB">
      <w:pPr>
        <w:pStyle w:val="Heading4"/>
        <w:rPr>
          <w:rFonts w:cs="Arial"/>
        </w:rPr>
      </w:pPr>
      <w:r>
        <w:t>f)</w:t>
      </w:r>
      <w:r>
        <w:tab/>
        <w:t xml:space="preserve">Berichterstattung und Prüfung von Maßnahmen </w:t>
      </w:r>
    </w:p>
    <w:p w14:paraId="64558C91" w14:textId="77777777" w:rsidR="00B933D2" w:rsidRPr="003F05F7" w:rsidRDefault="00B933D2" w:rsidP="00B933D2">
      <w:pPr>
        <w:rPr>
          <w:rFonts w:cs="Arial"/>
          <w:i/>
        </w:rPr>
      </w:pPr>
    </w:p>
    <w:p w14:paraId="40FE863F" w14:textId="77777777" w:rsidR="00B933D2" w:rsidRDefault="003F05F7" w:rsidP="00B933D2">
      <w:r w:rsidRPr="003F05F7">
        <w:fldChar w:fldCharType="begin"/>
      </w:r>
      <w:r w:rsidRPr="003F05F7">
        <w:instrText xml:space="preserve"> AUTONUM  </w:instrText>
      </w:r>
      <w:r w:rsidRPr="003F05F7">
        <w:fldChar w:fldCharType="end"/>
      </w:r>
      <w:r>
        <w:tab/>
        <w:t>Der TC vereinbarte, das Verbandsbüro zu ersuchen, über die Maßnahmen zu berichten, die zur Prüfung und Berücksichtigung durch den TC auf dessen achtundfünfzigster Tagung angenommen wurden.</w:t>
      </w:r>
    </w:p>
    <w:p w14:paraId="7F70E41E" w14:textId="77777777" w:rsidR="00B933D2" w:rsidRPr="00B53B75" w:rsidRDefault="00B933D2" w:rsidP="00B933D2"/>
    <w:p w14:paraId="28EC4CCF" w14:textId="77777777" w:rsidR="00B933D2" w:rsidRDefault="00B933D2" w:rsidP="00B933D2">
      <w:r w:rsidRPr="00B53B75">
        <w:fldChar w:fldCharType="begin"/>
      </w:r>
      <w:r w:rsidRPr="00B53B75">
        <w:instrText xml:space="preserve"> AUTONUM  </w:instrText>
      </w:r>
      <w:r w:rsidRPr="00B53B75">
        <w:fldChar w:fldCharType="end"/>
      </w:r>
      <w:r>
        <w:tab/>
        <w:t>Der TC vereinbarte, das Verbandsbüro zu ersuchen, eine Befragung zu den Bedürfnissen von Mitgliedern und Beobachtern bezüglich der TWP durchzuführen und dem TC auf seiner achtundfünfzigsten Tagung hierüber Bericht zu erstatten.</w:t>
      </w:r>
    </w:p>
    <w:p w14:paraId="0C4B690F" w14:textId="77777777" w:rsidR="00B933D2" w:rsidRDefault="00B933D2" w:rsidP="00B933D2"/>
    <w:p w14:paraId="440A1F58" w14:textId="77777777" w:rsidR="00152C95" w:rsidRDefault="00152C95" w:rsidP="00B933D2"/>
    <w:p w14:paraId="536143F7" w14:textId="77777777" w:rsidR="00152C95" w:rsidRDefault="00152C95" w:rsidP="00152C95">
      <w:pPr>
        <w:pStyle w:val="Heading2"/>
      </w:pPr>
      <w:r>
        <w:t>Informationen und Datenbanken</w:t>
      </w:r>
    </w:p>
    <w:p w14:paraId="55794221" w14:textId="77777777" w:rsidR="00CC64D2" w:rsidRDefault="00CC64D2" w:rsidP="00AC5450">
      <w:pPr>
        <w:keepNext/>
      </w:pPr>
    </w:p>
    <w:p w14:paraId="27EADF4E" w14:textId="77777777" w:rsidR="00B933D2" w:rsidRDefault="00152C95" w:rsidP="004E282E">
      <w:pPr>
        <w:pStyle w:val="Heading3"/>
      </w:pPr>
      <w:r>
        <w:t>a)</w:t>
      </w:r>
      <w:r>
        <w:tab/>
        <w:t xml:space="preserve">UPOV-Informationsdatenbanken </w:t>
      </w:r>
    </w:p>
    <w:p w14:paraId="78857BB7" w14:textId="77777777" w:rsidR="00B933D2" w:rsidRDefault="00B933D2" w:rsidP="00AC5450">
      <w:pPr>
        <w:keepNext/>
      </w:pPr>
    </w:p>
    <w:p w14:paraId="33E80727" w14:textId="56C5AE9D" w:rsidR="00B933D2" w:rsidRDefault="0015712A" w:rsidP="00B933D2">
      <w:r>
        <w:fldChar w:fldCharType="begin"/>
      </w:r>
      <w:r>
        <w:instrText xml:space="preserve"> AUTONUM  </w:instrText>
      </w:r>
      <w:r>
        <w:fldChar w:fldCharType="end"/>
      </w:r>
      <w:r>
        <w:tab/>
      </w:r>
      <w:r w:rsidRPr="00D132B8">
        <w:t xml:space="preserve">Der </w:t>
      </w:r>
      <w:r w:rsidR="002D5256" w:rsidRPr="00D132B8">
        <w:t>TC</w:t>
      </w:r>
      <w:r w:rsidR="002D5256">
        <w:t xml:space="preserve"> </w:t>
      </w:r>
      <w:r>
        <w:t>prüfte das Dokument TC/57/11.</w:t>
      </w:r>
    </w:p>
    <w:p w14:paraId="67673DC1" w14:textId="77777777" w:rsidR="00CC64D2" w:rsidRDefault="00CC64D2" w:rsidP="00AC5450">
      <w:pPr>
        <w:keepNext/>
      </w:pPr>
    </w:p>
    <w:p w14:paraId="7EB9061A" w14:textId="77777777" w:rsidR="00CC64D2" w:rsidRPr="00BA7810" w:rsidRDefault="0015712A" w:rsidP="009205CB">
      <w:pPr>
        <w:pStyle w:val="Heading4"/>
      </w:pPr>
      <w:r>
        <w:t>Änderung des UPOV-Code-Systems zur Bereitstellung von Informationen über Sortengruppen oder -typen</w:t>
      </w:r>
    </w:p>
    <w:p w14:paraId="1B2C105A" w14:textId="77777777" w:rsidR="00CC64D2" w:rsidRDefault="00CC64D2" w:rsidP="00B933D2"/>
    <w:p w14:paraId="047C1EBF" w14:textId="77777777" w:rsidR="00CC64D2" w:rsidRDefault="0015712A" w:rsidP="00B933D2">
      <w:r w:rsidRPr="008D0013">
        <w:fldChar w:fldCharType="begin"/>
      </w:r>
      <w:r w:rsidRPr="008D0013">
        <w:instrText xml:space="preserve"> AUTONUM  </w:instrText>
      </w:r>
      <w:r w:rsidRPr="008D0013">
        <w:fldChar w:fldCharType="end"/>
      </w:r>
      <w:r>
        <w:tab/>
        <w:t>Der TC nahm zur Kenntnis, dass die TWP auf ihren Tagungen im Jahr 2021 dem Vorschlag zugestimmt haben, das UPOV-Code-System, wie in Dokument UPOV/INF/23/1 Draft 2 wiedergegeben, zu ändern.</w:t>
      </w:r>
    </w:p>
    <w:p w14:paraId="28B434E5" w14:textId="77777777" w:rsidR="00CC64D2" w:rsidRDefault="00CC64D2" w:rsidP="00B933D2"/>
    <w:p w14:paraId="245DEED0" w14:textId="77777777" w:rsidR="0015712A" w:rsidRPr="007C5589" w:rsidRDefault="0015712A" w:rsidP="00152C95">
      <w:pPr>
        <w:pStyle w:val="Heading4"/>
        <w:rPr>
          <w:rFonts w:eastAsiaTheme="minorEastAsia"/>
        </w:rPr>
      </w:pPr>
      <w:bookmarkStart w:id="47" w:name="_Toc82971328"/>
      <w:r>
        <w:t>Vorschläge bezüglich der Änderung der UPOV-Codes</w:t>
      </w:r>
      <w:bookmarkEnd w:id="47"/>
      <w:r>
        <w:t xml:space="preserve"> </w:t>
      </w:r>
    </w:p>
    <w:p w14:paraId="429F6F30" w14:textId="77777777" w:rsidR="00CC64D2" w:rsidRDefault="00CC64D2" w:rsidP="00AC5450">
      <w:pPr>
        <w:keepNext/>
      </w:pPr>
    </w:p>
    <w:p w14:paraId="7979652B" w14:textId="77777777" w:rsidR="00CC64D2" w:rsidRDefault="00930E62" w:rsidP="00B933D2">
      <w:r w:rsidRPr="008D0013">
        <w:fldChar w:fldCharType="begin"/>
      </w:r>
      <w:r w:rsidRPr="008D0013">
        <w:instrText xml:space="preserve"> AUTONUM  </w:instrText>
      </w:r>
      <w:r w:rsidRPr="008D0013">
        <w:fldChar w:fldCharType="end"/>
      </w:r>
      <w:r>
        <w:tab/>
        <w:t>Der TC nahm zur Kenntnis, dass die in Dokument TC/57/11 wiedergegebenen Vorschläge bezüglich der Änderung der UPOV-Codes auf Grundlage dessen gemacht worden seien, dass sie in Verbindung mit der Annahme von Dokument UPOV/INF/23/1 geäußert werden.</w:t>
      </w:r>
    </w:p>
    <w:p w14:paraId="412B0F91" w14:textId="77777777" w:rsidR="00CC64D2" w:rsidRDefault="00CC64D2" w:rsidP="00B933D2"/>
    <w:p w14:paraId="2C010BB6" w14:textId="77777777" w:rsidR="00CC64D2" w:rsidRDefault="00930E62" w:rsidP="00B933D2">
      <w:r w:rsidRPr="008D0013">
        <w:fldChar w:fldCharType="begin"/>
      </w:r>
      <w:r w:rsidRPr="008D0013">
        <w:instrText xml:space="preserve"> AUTONUM  </w:instrText>
      </w:r>
      <w:r w:rsidRPr="008D0013">
        <w:fldChar w:fldCharType="end"/>
      </w:r>
      <w:r>
        <w:tab/>
        <w:t>Der TC nahm zur Kenntnis, dass Verbandsmitglieder und Beitragsleistende zur PLUTO-Datenbank vor den Änderungen der UPOV-Codes im Voraus in einem Rundschreiben über die Änderungen und das Datum der Änderungen unterrichtet würden.</w:t>
      </w:r>
    </w:p>
    <w:p w14:paraId="3F2B1D62" w14:textId="77777777" w:rsidR="00930E62" w:rsidRDefault="00930E62" w:rsidP="00B933D2"/>
    <w:p w14:paraId="74131164" w14:textId="77777777" w:rsidR="00930E62" w:rsidRPr="00B05A60" w:rsidRDefault="00930E62" w:rsidP="00152C95">
      <w:pPr>
        <w:pStyle w:val="Heading4"/>
        <w:rPr>
          <w:rFonts w:eastAsiaTheme="minorEastAsia"/>
        </w:rPr>
      </w:pPr>
      <w:bookmarkStart w:id="48" w:name="_Toc82971329"/>
      <w:r>
        <w:t xml:space="preserve">UPOV-Codes für </w:t>
      </w:r>
      <w:r>
        <w:rPr>
          <w:i/>
        </w:rPr>
        <w:t>Beta vulgaris</w:t>
      </w:r>
      <w:bookmarkEnd w:id="48"/>
    </w:p>
    <w:p w14:paraId="1A8F0C89" w14:textId="77777777" w:rsidR="00892164" w:rsidRDefault="00892164" w:rsidP="00C55783"/>
    <w:p w14:paraId="7CE0AA20" w14:textId="77777777" w:rsidR="00C55783" w:rsidRDefault="00C55783" w:rsidP="00C55783">
      <w:r>
        <w:fldChar w:fldCharType="begin"/>
      </w:r>
      <w:r>
        <w:instrText xml:space="preserve"> AUTONUM  </w:instrText>
      </w:r>
      <w:r>
        <w:fldChar w:fldCharType="end"/>
      </w:r>
      <w:r>
        <w:tab/>
        <w:t xml:space="preserve">Der TC vereinbarte die Änderung der UPOV-Codes für </w:t>
      </w:r>
      <w:r>
        <w:rPr>
          <w:i/>
        </w:rPr>
        <w:t>Beta vulgaris</w:t>
      </w:r>
      <w:r>
        <w:t xml:space="preserve"> L. subsp. </w:t>
      </w:r>
      <w:r>
        <w:rPr>
          <w:i/>
        </w:rPr>
        <w:t>vulgaris</w:t>
      </w:r>
      <w:r>
        <w:t>, wie in Anlage I des Dokuments TC/57/11 dargelegt.</w:t>
      </w:r>
    </w:p>
    <w:p w14:paraId="51EB7CF8" w14:textId="77777777" w:rsidR="00C55783" w:rsidRDefault="00C55783" w:rsidP="00C55783"/>
    <w:p w14:paraId="52260CEF" w14:textId="77777777" w:rsidR="00C55783" w:rsidRDefault="00C55783" w:rsidP="00C55783">
      <w:r>
        <w:fldChar w:fldCharType="begin"/>
      </w:r>
      <w:r>
        <w:instrText xml:space="preserve"> AUTONUM  </w:instrText>
      </w:r>
      <w:r>
        <w:fldChar w:fldCharType="end"/>
      </w:r>
      <w:r>
        <w:tab/>
        <w:t xml:space="preserve">Der TC vereinbarte, den UPOV-Codes für </w:t>
      </w:r>
      <w:r>
        <w:rPr>
          <w:i/>
          <w:iCs/>
        </w:rPr>
        <w:t>Beta vulgaris</w:t>
      </w:r>
      <w:r>
        <w:t xml:space="preserve"> L. subsp. </w:t>
      </w:r>
      <w:r>
        <w:rPr>
          <w:i/>
          <w:iCs/>
        </w:rPr>
        <w:t>vulgaris</w:t>
      </w:r>
      <w:r>
        <w:t xml:space="preserve"> Informationen zur Einrichtung folgender Gruppen hinzuzufügen: </w:t>
      </w:r>
    </w:p>
    <w:p w14:paraId="18CB1AAC" w14:textId="77777777" w:rsidR="00C55783" w:rsidRDefault="00C55783" w:rsidP="00C55783"/>
    <w:p w14:paraId="42CAF6E6" w14:textId="77777777" w:rsidR="00C55783" w:rsidRDefault="00C55783" w:rsidP="003D7EBC">
      <w:pPr>
        <w:ind w:left="567"/>
      </w:pPr>
      <w:r>
        <w:t>i)</w:t>
      </w:r>
      <w:r>
        <w:tab/>
        <w:t xml:space="preserve">Futterrübengruppe: Klasse 2.1 („21FB“),  </w:t>
      </w:r>
    </w:p>
    <w:p w14:paraId="7F6EBB27" w14:textId="77777777" w:rsidR="00C55783" w:rsidRDefault="00C55783" w:rsidP="003D7EBC">
      <w:pPr>
        <w:ind w:left="567"/>
      </w:pPr>
      <w:r>
        <w:t>ii)</w:t>
      </w:r>
      <w:r>
        <w:tab/>
        <w:t xml:space="preserve">Zuckerrübengruppe: Klasse 2.1 („21SB“),  </w:t>
      </w:r>
    </w:p>
    <w:p w14:paraId="560ED30F" w14:textId="77777777" w:rsidR="00C55783" w:rsidRDefault="00C55783" w:rsidP="003D7EBC">
      <w:pPr>
        <w:ind w:left="567"/>
      </w:pPr>
      <w:r>
        <w:t>iii)</w:t>
      </w:r>
      <w:r>
        <w:tab/>
        <w:t xml:space="preserve">Rote Bete-Gruppe: Klasse 2.2 („22BR“),  </w:t>
      </w:r>
    </w:p>
    <w:p w14:paraId="11C3C516" w14:textId="77777777" w:rsidR="00C55783" w:rsidRDefault="00C55783" w:rsidP="003D7EBC">
      <w:pPr>
        <w:ind w:left="567"/>
      </w:pPr>
      <w:r>
        <w:t>iv)</w:t>
      </w:r>
      <w:r>
        <w:tab/>
        <w:t>Mangoldgruppe: Klasse 2.2 („22LB“).</w:t>
      </w:r>
    </w:p>
    <w:p w14:paraId="1E6CA048" w14:textId="77777777" w:rsidR="00892164" w:rsidRDefault="00892164" w:rsidP="00C55783"/>
    <w:p w14:paraId="484DA1FA" w14:textId="77777777" w:rsidR="00892164" w:rsidRPr="00892164" w:rsidRDefault="00892164" w:rsidP="00892164">
      <w:pPr>
        <w:keepNext/>
        <w:rPr>
          <w:rFonts w:eastAsiaTheme="minorEastAsia"/>
        </w:rPr>
      </w:pPr>
      <w:r w:rsidRPr="00892164">
        <w:rPr>
          <w:rFonts w:eastAsiaTheme="minorEastAsia"/>
        </w:rPr>
        <w:fldChar w:fldCharType="begin"/>
      </w:r>
      <w:r w:rsidRPr="00892164">
        <w:rPr>
          <w:rFonts w:eastAsiaTheme="minorEastAsia"/>
        </w:rPr>
        <w:instrText xml:space="preserve"> AUTONUM  </w:instrText>
      </w:r>
      <w:r w:rsidRPr="00892164">
        <w:rPr>
          <w:rFonts w:eastAsiaTheme="minorEastAsia"/>
        </w:rPr>
        <w:fldChar w:fldCharType="end"/>
      </w:r>
      <w:r>
        <w:tab/>
        <w:t>Der TC war sich einig, dass die Informationen zu den Sortenbezeichnungsklassen in Dokument UPOV/INF/12 folgendermaßen aktualisiert werden müssten:</w:t>
      </w:r>
    </w:p>
    <w:p w14:paraId="654BDA05" w14:textId="77777777" w:rsidR="00892164" w:rsidRPr="00892164" w:rsidRDefault="00892164" w:rsidP="00892164">
      <w:pPr>
        <w:keepNext/>
        <w:rPr>
          <w:rFonts w:eastAsiaTheme="minorEastAsia"/>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5670"/>
        <w:gridCol w:w="2551"/>
      </w:tblGrid>
      <w:tr w:rsidR="00892164" w:rsidRPr="00892164" w14:paraId="7A41048D" w14:textId="77777777" w:rsidTr="00D46118">
        <w:trPr>
          <w:cantSplit/>
          <w:tblHeader/>
        </w:trPr>
        <w:tc>
          <w:tcPr>
            <w:tcW w:w="1418" w:type="dxa"/>
            <w:vAlign w:val="center"/>
          </w:tcPr>
          <w:p w14:paraId="29F7E8BB" w14:textId="77777777" w:rsidR="00892164" w:rsidRPr="00892164" w:rsidRDefault="00892164" w:rsidP="00D46118">
            <w:pPr>
              <w:keepNext/>
              <w:spacing w:before="40" w:after="60"/>
              <w:jc w:val="left"/>
              <w:rPr>
                <w:rFonts w:eastAsia="MS Mincho"/>
                <w:u w:val="single"/>
              </w:rPr>
            </w:pPr>
          </w:p>
        </w:tc>
        <w:tc>
          <w:tcPr>
            <w:tcW w:w="5670" w:type="dxa"/>
            <w:vAlign w:val="center"/>
          </w:tcPr>
          <w:p w14:paraId="26A80B87" w14:textId="77777777" w:rsidR="00892164" w:rsidRPr="00892164" w:rsidRDefault="00892164" w:rsidP="00D46118">
            <w:pPr>
              <w:keepNext/>
              <w:spacing w:before="40" w:after="60"/>
              <w:jc w:val="center"/>
              <w:rPr>
                <w:rFonts w:eastAsia="MS Mincho"/>
                <w:u w:val="single"/>
              </w:rPr>
            </w:pPr>
            <w:r>
              <w:rPr>
                <w:u w:val="single"/>
              </w:rPr>
              <w:t>Botanische Namen</w:t>
            </w:r>
          </w:p>
        </w:tc>
        <w:tc>
          <w:tcPr>
            <w:tcW w:w="2551" w:type="dxa"/>
            <w:vAlign w:val="center"/>
          </w:tcPr>
          <w:p w14:paraId="17CEF95C" w14:textId="77777777" w:rsidR="00892164" w:rsidRPr="00892164" w:rsidRDefault="00892164" w:rsidP="00D46118">
            <w:pPr>
              <w:keepNext/>
              <w:spacing w:before="40" w:after="60"/>
              <w:jc w:val="center"/>
              <w:rPr>
                <w:rFonts w:eastAsia="MS Mincho"/>
                <w:u w:val="single"/>
              </w:rPr>
            </w:pPr>
            <w:r>
              <w:rPr>
                <w:u w:val="single"/>
              </w:rPr>
              <w:t>UPOV-Codes</w:t>
            </w:r>
          </w:p>
        </w:tc>
      </w:tr>
      <w:tr w:rsidR="00892164" w:rsidRPr="009835C0" w14:paraId="7C383E4D" w14:textId="77777777" w:rsidTr="00D46118">
        <w:trPr>
          <w:cantSplit/>
        </w:trPr>
        <w:tc>
          <w:tcPr>
            <w:tcW w:w="1418" w:type="dxa"/>
          </w:tcPr>
          <w:p w14:paraId="2B589607" w14:textId="77777777" w:rsidR="00892164" w:rsidRPr="00892164" w:rsidRDefault="00892164" w:rsidP="00D46118">
            <w:pPr>
              <w:keepNext/>
              <w:spacing w:before="40" w:after="40"/>
              <w:jc w:val="left"/>
              <w:rPr>
                <w:rFonts w:eastAsia="MS Mincho"/>
              </w:rPr>
            </w:pPr>
            <w:r>
              <w:t>Klasse 2.1</w:t>
            </w:r>
          </w:p>
        </w:tc>
        <w:tc>
          <w:tcPr>
            <w:tcW w:w="5670" w:type="dxa"/>
          </w:tcPr>
          <w:p w14:paraId="00804750" w14:textId="77777777" w:rsidR="00892164" w:rsidRPr="00892164" w:rsidRDefault="00892164" w:rsidP="00D46118">
            <w:pPr>
              <w:keepNext/>
              <w:spacing w:before="40" w:after="40"/>
              <w:jc w:val="left"/>
              <w:rPr>
                <w:rFonts w:eastAsia="MS Mincho"/>
              </w:rPr>
            </w:pPr>
            <w:r>
              <w:rPr>
                <w:i/>
              </w:rPr>
              <w:t xml:space="preserve">B. vulgaris </w:t>
            </w:r>
            <w:r>
              <w:t xml:space="preserve">L. ssp. </w:t>
            </w:r>
            <w:r>
              <w:rPr>
                <w:i/>
              </w:rPr>
              <w:t>vulgaris</w:t>
            </w:r>
            <w:r>
              <w:t xml:space="preserve"> (Synonym zu </w:t>
            </w:r>
            <w:r>
              <w:rPr>
                <w:i/>
              </w:rPr>
              <w:t>B. vulgaris</w:t>
            </w:r>
            <w:r>
              <w:t xml:space="preserve"> L. var. </w:t>
            </w:r>
            <w:r>
              <w:rPr>
                <w:i/>
              </w:rPr>
              <w:t>alba</w:t>
            </w:r>
            <w:r>
              <w:t xml:space="preserve"> DC.),  </w:t>
            </w:r>
            <w:r>
              <w:rPr>
                <w:i/>
              </w:rPr>
              <w:t xml:space="preserve">B. vulgaris </w:t>
            </w:r>
            <w:r>
              <w:t xml:space="preserve">L. ssp. </w:t>
            </w:r>
            <w:r>
              <w:rPr>
                <w:i/>
              </w:rPr>
              <w:t>vulgaris</w:t>
            </w:r>
            <w:r>
              <w:t xml:space="preserve"> (Synonym zu </w:t>
            </w:r>
            <w:r>
              <w:rPr>
                <w:i/>
              </w:rPr>
              <w:t>B. vulgaris</w:t>
            </w:r>
            <w:r>
              <w:t xml:space="preserve"> L. var. </w:t>
            </w:r>
            <w:r>
              <w:rPr>
                <w:i/>
              </w:rPr>
              <w:t>altissima)</w:t>
            </w:r>
          </w:p>
        </w:tc>
        <w:tc>
          <w:tcPr>
            <w:tcW w:w="2551" w:type="dxa"/>
          </w:tcPr>
          <w:p w14:paraId="543C8773" w14:textId="77777777" w:rsidR="00892164" w:rsidRPr="00892164" w:rsidRDefault="00892164" w:rsidP="00D46118">
            <w:pPr>
              <w:keepNext/>
              <w:spacing w:before="40" w:after="40"/>
              <w:jc w:val="left"/>
              <w:rPr>
                <w:rFonts w:eastAsia="MS Mincho"/>
              </w:rPr>
            </w:pPr>
            <w:r>
              <w:t xml:space="preserve">BETAA_VUL_VUL_21FB; </w:t>
            </w:r>
          </w:p>
          <w:p w14:paraId="31253A3F" w14:textId="77777777" w:rsidR="00892164" w:rsidRPr="00892164" w:rsidRDefault="00892164" w:rsidP="00D46118">
            <w:pPr>
              <w:keepNext/>
              <w:spacing w:before="40" w:after="40"/>
              <w:jc w:val="left"/>
              <w:rPr>
                <w:rFonts w:eastAsia="MS Mincho"/>
              </w:rPr>
            </w:pPr>
            <w:r>
              <w:t>BETAA_VUL_VUL_21SB</w:t>
            </w:r>
          </w:p>
        </w:tc>
      </w:tr>
      <w:tr w:rsidR="00892164" w:rsidRPr="00C10919" w14:paraId="2FE04930" w14:textId="77777777" w:rsidTr="00D46118">
        <w:trPr>
          <w:cantSplit/>
        </w:trPr>
        <w:tc>
          <w:tcPr>
            <w:tcW w:w="1418" w:type="dxa"/>
            <w:tcBorders>
              <w:bottom w:val="single" w:sz="4" w:space="0" w:color="auto"/>
            </w:tcBorders>
          </w:tcPr>
          <w:p w14:paraId="14BB11C0" w14:textId="77777777" w:rsidR="00892164" w:rsidRPr="00892164" w:rsidRDefault="00892164" w:rsidP="00D46118">
            <w:pPr>
              <w:keepNext/>
              <w:spacing w:before="40" w:after="40"/>
              <w:jc w:val="left"/>
              <w:rPr>
                <w:rFonts w:eastAsia="MS Mincho"/>
              </w:rPr>
            </w:pPr>
            <w:r>
              <w:t>Klasse 2.2</w:t>
            </w:r>
          </w:p>
        </w:tc>
        <w:tc>
          <w:tcPr>
            <w:tcW w:w="5670" w:type="dxa"/>
            <w:tcBorders>
              <w:bottom w:val="single" w:sz="4" w:space="0" w:color="auto"/>
            </w:tcBorders>
          </w:tcPr>
          <w:p w14:paraId="67A4BD4D" w14:textId="77777777" w:rsidR="00892164" w:rsidRPr="00C10919" w:rsidRDefault="00892164" w:rsidP="00D46118">
            <w:pPr>
              <w:keepNext/>
              <w:spacing w:before="40" w:after="40"/>
              <w:jc w:val="left"/>
              <w:rPr>
                <w:rFonts w:eastAsia="MS Mincho"/>
                <w:lang w:val="es-ES"/>
              </w:rPr>
            </w:pPr>
            <w:r w:rsidRPr="00C10919">
              <w:rPr>
                <w:i/>
                <w:lang w:val="es-ES"/>
              </w:rPr>
              <w:t xml:space="preserve">Beta vulgaris </w:t>
            </w:r>
            <w:r w:rsidRPr="00C10919">
              <w:rPr>
                <w:lang w:val="es-ES"/>
              </w:rPr>
              <w:t xml:space="preserve">ssp. </w:t>
            </w:r>
            <w:r w:rsidRPr="00C10919">
              <w:rPr>
                <w:i/>
                <w:lang w:val="es-ES"/>
              </w:rPr>
              <w:t>vulgaris</w:t>
            </w:r>
            <w:r w:rsidRPr="00C10919">
              <w:rPr>
                <w:lang w:val="es-ES"/>
              </w:rPr>
              <w:t xml:space="preserve"> var. </w:t>
            </w:r>
            <w:r w:rsidRPr="00C10919">
              <w:rPr>
                <w:i/>
                <w:lang w:val="es-ES"/>
              </w:rPr>
              <w:t>conditiva</w:t>
            </w:r>
            <w:r w:rsidRPr="00C10919">
              <w:rPr>
                <w:lang w:val="es-ES"/>
              </w:rPr>
              <w:t xml:space="preserve"> Alef. (Synonym zu </w:t>
            </w:r>
            <w:r w:rsidRPr="00C10919">
              <w:rPr>
                <w:i/>
                <w:iCs/>
                <w:lang w:val="es-ES"/>
              </w:rPr>
              <w:t>B. vulgaris</w:t>
            </w:r>
            <w:r w:rsidRPr="00C10919">
              <w:rPr>
                <w:lang w:val="es-ES"/>
              </w:rPr>
              <w:t xml:space="preserve"> L. </w:t>
            </w:r>
            <w:r w:rsidRPr="00C10919">
              <w:rPr>
                <w:i/>
                <w:iCs/>
                <w:lang w:val="es-ES"/>
              </w:rPr>
              <w:t>var. rubra</w:t>
            </w:r>
            <w:r w:rsidRPr="00C10919">
              <w:rPr>
                <w:lang w:val="es-ES"/>
              </w:rPr>
              <w:t xml:space="preserve"> L.), B. </w:t>
            </w:r>
            <w:r w:rsidRPr="00C10919">
              <w:rPr>
                <w:i/>
                <w:iCs/>
                <w:lang w:val="es-ES"/>
              </w:rPr>
              <w:t>vulgaris</w:t>
            </w:r>
            <w:r w:rsidRPr="00C10919">
              <w:rPr>
                <w:lang w:val="es-ES"/>
              </w:rPr>
              <w:t xml:space="preserve"> L. var. </w:t>
            </w:r>
            <w:r w:rsidRPr="00C10919">
              <w:rPr>
                <w:i/>
                <w:iCs/>
                <w:lang w:val="es-ES"/>
              </w:rPr>
              <w:t>cicla</w:t>
            </w:r>
            <w:r w:rsidRPr="00C10919">
              <w:rPr>
                <w:lang w:val="es-ES"/>
              </w:rPr>
              <w:t xml:space="preserve"> L., </w:t>
            </w:r>
            <w:r w:rsidRPr="00C10919">
              <w:rPr>
                <w:i/>
                <w:iCs/>
                <w:lang w:val="es-ES"/>
              </w:rPr>
              <w:t>B. vulgaris</w:t>
            </w:r>
            <w:r w:rsidRPr="00C10919">
              <w:rPr>
                <w:lang w:val="es-ES"/>
              </w:rPr>
              <w:t xml:space="preserve"> L. ssp. </w:t>
            </w:r>
            <w:r w:rsidRPr="00C10919">
              <w:rPr>
                <w:i/>
                <w:iCs/>
                <w:lang w:val="es-ES"/>
              </w:rPr>
              <w:t>vulgaris</w:t>
            </w:r>
            <w:r w:rsidRPr="00C10919">
              <w:rPr>
                <w:lang w:val="es-ES"/>
              </w:rPr>
              <w:t xml:space="preserve"> var. </w:t>
            </w:r>
            <w:r w:rsidRPr="00C10919">
              <w:rPr>
                <w:i/>
                <w:iCs/>
                <w:lang w:val="es-ES"/>
              </w:rPr>
              <w:t>vulgaris</w:t>
            </w:r>
            <w:r w:rsidRPr="00C10919">
              <w:rPr>
                <w:lang w:val="es-ES"/>
              </w:rPr>
              <w:cr/>
            </w:r>
            <w:r w:rsidRPr="00C10919">
              <w:rPr>
                <w:lang w:val="es-ES"/>
              </w:rPr>
              <w:br/>
            </w:r>
          </w:p>
        </w:tc>
        <w:tc>
          <w:tcPr>
            <w:tcW w:w="2551" w:type="dxa"/>
            <w:tcBorders>
              <w:bottom w:val="single" w:sz="4" w:space="0" w:color="auto"/>
            </w:tcBorders>
          </w:tcPr>
          <w:p w14:paraId="35FF28E9" w14:textId="77777777" w:rsidR="00892164" w:rsidRPr="00C10919" w:rsidRDefault="00892164" w:rsidP="00D46118">
            <w:pPr>
              <w:keepNext/>
              <w:spacing w:before="40" w:after="40"/>
              <w:jc w:val="left"/>
              <w:rPr>
                <w:rFonts w:eastAsia="MS Mincho"/>
                <w:lang w:val="es-ES"/>
              </w:rPr>
            </w:pPr>
            <w:r w:rsidRPr="00C10919">
              <w:rPr>
                <w:lang w:val="es-ES"/>
              </w:rPr>
              <w:t xml:space="preserve">BETAA_VUL_VUL_22BR; </w:t>
            </w:r>
          </w:p>
          <w:p w14:paraId="18D148BD" w14:textId="77777777" w:rsidR="00892164" w:rsidRPr="00C10919" w:rsidRDefault="00892164" w:rsidP="00D46118">
            <w:pPr>
              <w:keepNext/>
              <w:spacing w:before="40" w:after="40"/>
              <w:jc w:val="left"/>
              <w:rPr>
                <w:rFonts w:eastAsia="MS Mincho"/>
                <w:lang w:val="es-ES"/>
              </w:rPr>
            </w:pPr>
            <w:r w:rsidRPr="00C10919">
              <w:rPr>
                <w:lang w:val="es-ES"/>
              </w:rPr>
              <w:t>BETAA_VUL_VUL_22LB</w:t>
            </w:r>
          </w:p>
        </w:tc>
      </w:tr>
      <w:tr w:rsidR="00892164" w:rsidRPr="000454F9" w14:paraId="5F99C27A" w14:textId="77777777" w:rsidTr="00D46118">
        <w:trPr>
          <w:cantSplit/>
        </w:trPr>
        <w:tc>
          <w:tcPr>
            <w:tcW w:w="1418" w:type="dxa"/>
            <w:tcBorders>
              <w:bottom w:val="single" w:sz="4" w:space="0" w:color="auto"/>
            </w:tcBorders>
          </w:tcPr>
          <w:p w14:paraId="4A6477B3" w14:textId="77777777" w:rsidR="00892164" w:rsidRPr="00892164" w:rsidRDefault="00892164" w:rsidP="00D46118">
            <w:pPr>
              <w:keepNext/>
              <w:spacing w:before="40" w:after="40"/>
              <w:jc w:val="left"/>
              <w:rPr>
                <w:rFonts w:eastAsia="MS Mincho"/>
              </w:rPr>
            </w:pPr>
            <w:r>
              <w:t>Klasse 2.3</w:t>
            </w:r>
          </w:p>
        </w:tc>
        <w:tc>
          <w:tcPr>
            <w:tcW w:w="5670" w:type="dxa"/>
            <w:tcBorders>
              <w:bottom w:val="single" w:sz="4" w:space="0" w:color="auto"/>
            </w:tcBorders>
          </w:tcPr>
          <w:p w14:paraId="0B50EFE3" w14:textId="77777777" w:rsidR="00892164" w:rsidRPr="00892164" w:rsidRDefault="00892164" w:rsidP="00D46118">
            <w:pPr>
              <w:keepNext/>
              <w:spacing w:before="40" w:after="40"/>
              <w:jc w:val="left"/>
              <w:rPr>
                <w:rFonts w:eastAsia="MS Mincho"/>
              </w:rPr>
            </w:pPr>
            <w:r>
              <w:rPr>
                <w:i/>
                <w:iCs/>
              </w:rPr>
              <w:t>Beta</w:t>
            </w:r>
            <w:r>
              <w:t xml:space="preserve"> andere als Klassen 2.1 und 2.2.</w:t>
            </w:r>
            <w:r>
              <w:cr/>
            </w:r>
            <w:r>
              <w:br/>
            </w:r>
          </w:p>
        </w:tc>
        <w:tc>
          <w:tcPr>
            <w:tcW w:w="2551" w:type="dxa"/>
            <w:tcBorders>
              <w:bottom w:val="single" w:sz="4" w:space="0" w:color="auto"/>
            </w:tcBorders>
          </w:tcPr>
          <w:p w14:paraId="3B0F937C" w14:textId="77777777" w:rsidR="00892164" w:rsidRPr="000454F9" w:rsidRDefault="00892164" w:rsidP="00D46118">
            <w:pPr>
              <w:keepNext/>
              <w:spacing w:before="40" w:after="40"/>
              <w:jc w:val="left"/>
              <w:rPr>
                <w:rFonts w:eastAsia="MS Mincho"/>
              </w:rPr>
            </w:pPr>
            <w:r>
              <w:t>andere als Klassen 2.1 und 2.2.</w:t>
            </w:r>
          </w:p>
        </w:tc>
      </w:tr>
    </w:tbl>
    <w:p w14:paraId="28C6B8A2" w14:textId="77777777" w:rsidR="00892164" w:rsidRDefault="00892164" w:rsidP="00C55783"/>
    <w:p w14:paraId="6AA5F16C" w14:textId="77777777" w:rsidR="003D7EBC" w:rsidRPr="007C5589" w:rsidRDefault="003D7EBC" w:rsidP="00152C95">
      <w:pPr>
        <w:pStyle w:val="Heading4"/>
        <w:rPr>
          <w:rFonts w:eastAsia="MS Mincho"/>
        </w:rPr>
      </w:pPr>
      <w:bookmarkStart w:id="49" w:name="_Toc82971330"/>
      <w:r>
        <w:t xml:space="preserve">UPOV-Codes für </w:t>
      </w:r>
      <w:r>
        <w:rPr>
          <w:i/>
        </w:rPr>
        <w:t>Brassica oleracea</w:t>
      </w:r>
      <w:bookmarkEnd w:id="49"/>
      <w:r>
        <w:t xml:space="preserve"> </w:t>
      </w:r>
    </w:p>
    <w:p w14:paraId="7B2B9C84" w14:textId="77777777" w:rsidR="00CC64D2" w:rsidRDefault="00CC64D2" w:rsidP="00AC5450">
      <w:pPr>
        <w:keepNext/>
      </w:pPr>
    </w:p>
    <w:p w14:paraId="53205D74" w14:textId="6BB7AC83" w:rsidR="003D7EBC" w:rsidRDefault="003D7EBC" w:rsidP="003D7EBC">
      <w:r>
        <w:fldChar w:fldCharType="begin"/>
      </w:r>
      <w:r>
        <w:instrText xml:space="preserve"> AUTONUM  </w:instrText>
      </w:r>
      <w:r>
        <w:fldChar w:fldCharType="end"/>
      </w:r>
      <w:r>
        <w:tab/>
        <w:t xml:space="preserve">Der TC vereinbarte, die botanischen Namen für </w:t>
      </w:r>
      <w:r>
        <w:rPr>
          <w:i/>
          <w:iCs/>
        </w:rPr>
        <w:t>Brassica oleracea</w:t>
      </w:r>
      <w:r>
        <w:t xml:space="preserve"> gemäß der GRIN-Datenbank mit den entsprechenden Änderungen der UPOV-Codes in Bezug auf Gruppen, wie in Anhang II des Dokuments TC/57/11 dargelegt, zu ändern.</w:t>
      </w:r>
    </w:p>
    <w:p w14:paraId="1BADFB64" w14:textId="77777777" w:rsidR="003D7EBC" w:rsidRDefault="003D7EBC" w:rsidP="003D7EBC"/>
    <w:p w14:paraId="7C91F368" w14:textId="77777777" w:rsidR="00907570" w:rsidRDefault="003D7EBC" w:rsidP="00907570">
      <w:r>
        <w:fldChar w:fldCharType="begin"/>
      </w:r>
      <w:r>
        <w:instrText xml:space="preserve"> AUTONUM  </w:instrText>
      </w:r>
      <w:r>
        <w:fldChar w:fldCharType="end"/>
      </w:r>
      <w:r>
        <w:tab/>
        <w:t xml:space="preserve">Der TC vereinbarte, für </w:t>
      </w:r>
      <w:r>
        <w:rPr>
          <w:i/>
        </w:rPr>
        <w:t>Brassica oleracea</w:t>
      </w:r>
      <w:r>
        <w:t xml:space="preserve"> L. var. </w:t>
      </w:r>
      <w:r>
        <w:rPr>
          <w:i/>
        </w:rPr>
        <w:t>capitata</w:t>
      </w:r>
      <w:r>
        <w:t xml:space="preserve"> L. (BRASS_OLE_GC) dem UPOV-Code Informationen zur Einrichtung von Sortengruppen oder -typen für Weiß- und Rotkohl wie folgt hinzuzufügen: </w:t>
      </w:r>
    </w:p>
    <w:p w14:paraId="0633D2F2" w14:textId="77777777" w:rsidR="00907570" w:rsidRDefault="00907570" w:rsidP="00907570"/>
    <w:p w14:paraId="0D3052A0" w14:textId="77777777" w:rsidR="00907570" w:rsidRDefault="00907570" w:rsidP="00907570">
      <w:pPr>
        <w:ind w:left="567"/>
      </w:pPr>
      <w:r>
        <w:t>i)</w:t>
      </w:r>
      <w:r>
        <w:tab/>
        <w:t>Weißkohl: 1W (z.B. BRASS_OLE_GC_1W)</w:t>
      </w:r>
    </w:p>
    <w:p w14:paraId="11DE8D42" w14:textId="77777777" w:rsidR="003D7EBC" w:rsidRDefault="00907570" w:rsidP="00907570">
      <w:pPr>
        <w:ind w:left="567"/>
      </w:pPr>
      <w:r>
        <w:t>ii)</w:t>
      </w:r>
      <w:r>
        <w:tab/>
        <w:t>Rotkohl: 2R (z.B. BRASS_OLE_GC_2R)</w:t>
      </w:r>
    </w:p>
    <w:p w14:paraId="21DDDB3F" w14:textId="77777777" w:rsidR="00CC64D2" w:rsidRDefault="00CC64D2" w:rsidP="00B933D2"/>
    <w:p w14:paraId="5730B130" w14:textId="77777777" w:rsidR="00CC64D2" w:rsidRPr="007C5589" w:rsidRDefault="00907570" w:rsidP="00152C95">
      <w:pPr>
        <w:pStyle w:val="Heading4"/>
      </w:pPr>
      <w:bookmarkStart w:id="50" w:name="_Toc82971331"/>
      <w:r>
        <w:t xml:space="preserve">UPOV-Codes für </w:t>
      </w:r>
      <w:r>
        <w:rPr>
          <w:i/>
        </w:rPr>
        <w:t>Citrus</w:t>
      </w:r>
      <w:bookmarkEnd w:id="50"/>
    </w:p>
    <w:p w14:paraId="020A6C36" w14:textId="77777777" w:rsidR="00CC64D2" w:rsidRDefault="00CC64D2" w:rsidP="00AC5450">
      <w:pPr>
        <w:keepNext/>
      </w:pPr>
    </w:p>
    <w:p w14:paraId="64E60B10" w14:textId="77777777" w:rsidR="00907570" w:rsidRDefault="00907570" w:rsidP="00907570">
      <w:r>
        <w:fldChar w:fldCharType="begin"/>
      </w:r>
      <w:r>
        <w:instrText xml:space="preserve"> AUTONUM  </w:instrText>
      </w:r>
      <w:r>
        <w:fldChar w:fldCharType="end"/>
      </w:r>
      <w:r>
        <w:tab/>
        <w:t>Der TC vereinbarte, dem UPOV-Code CITRU_AUM zur Einrichtung der Gruppen „1MA“ für Mandarinen und „2OR“ für Orangen Informationen hinzuzufügen.</w:t>
      </w:r>
    </w:p>
    <w:p w14:paraId="68434E89" w14:textId="77777777" w:rsidR="00907570" w:rsidRDefault="00907570" w:rsidP="00907570"/>
    <w:p w14:paraId="7928D9EC" w14:textId="78C894B3" w:rsidR="00907570" w:rsidRDefault="00907570" w:rsidP="00907570">
      <w:r>
        <w:fldChar w:fldCharType="begin"/>
      </w:r>
      <w:r>
        <w:instrText xml:space="preserve"> AUTONUM  </w:instrText>
      </w:r>
      <w:r>
        <w:fldChar w:fldCharType="end"/>
      </w:r>
      <w:r w:rsidR="002D5256">
        <w:tab/>
      </w:r>
      <w:r>
        <w:t xml:space="preserve">Der TC vereinbarte, den UPOV-Code CITRU_AUM im Anschluss an die Neuklassifizierung von </w:t>
      </w:r>
      <w:r>
        <w:rPr>
          <w:i/>
          <w:iCs/>
        </w:rPr>
        <w:t>Citrus clementina</w:t>
      </w:r>
      <w:r>
        <w:t xml:space="preserve"> hort. ex </w:t>
      </w:r>
      <w:r>
        <w:rPr>
          <w:i/>
        </w:rPr>
        <w:t>Tanaka</w:t>
      </w:r>
      <w:r>
        <w:t xml:space="preserve"> (UPOV-Code: CITRU_CLE) als Synonym von</w:t>
      </w:r>
      <w:r>
        <w:rPr>
          <w:i/>
          <w:iCs/>
        </w:rPr>
        <w:t xml:space="preserve"> Citrus aurantium</w:t>
      </w:r>
      <w:r>
        <w:t xml:space="preserve"> L. (UPOV-Code: CITRU_AUM) zu ändern, wie in Anlage III des Dokuments TC/57/11 dargelegt.</w:t>
      </w:r>
    </w:p>
    <w:p w14:paraId="2F3D321D" w14:textId="77777777" w:rsidR="00907570" w:rsidRDefault="00907570" w:rsidP="00907570"/>
    <w:p w14:paraId="59B85448" w14:textId="77777777" w:rsidR="00907570" w:rsidRPr="000454F9" w:rsidRDefault="00907570" w:rsidP="00907570">
      <w:pPr>
        <w:rPr>
          <w:rFonts w:eastAsiaTheme="minorEastAsia"/>
        </w:rPr>
      </w:pPr>
      <w:r>
        <w:fldChar w:fldCharType="begin"/>
      </w:r>
      <w:r>
        <w:instrText xml:space="preserve"> AUTONUM  </w:instrText>
      </w:r>
      <w:r>
        <w:fldChar w:fldCharType="end"/>
      </w:r>
      <w:r>
        <w:tab/>
        <w:t>Zudem stimmte der TC dem Vorschlag der TWF zu, die Prüfungsrichtlinien für Zitrus teilweise zu überarbeiten, so dass die veralteten botanischen Namen aus dem Kästchen „hauptsächliche botanische Namen" in das Kästchen „alternative botanische Namen" verschoben werden.</w:t>
      </w:r>
    </w:p>
    <w:p w14:paraId="0F862E84" w14:textId="77777777" w:rsidR="00907570" w:rsidRDefault="00907570" w:rsidP="00B933D2"/>
    <w:p w14:paraId="29B3480F" w14:textId="77777777" w:rsidR="00907570" w:rsidRPr="0052329D" w:rsidRDefault="00D376CA" w:rsidP="009205CB">
      <w:pPr>
        <w:pStyle w:val="Heading4"/>
        <w:rPr>
          <w:lang w:val="en-US"/>
        </w:rPr>
      </w:pPr>
      <w:bookmarkStart w:id="51" w:name="_Toc513813512"/>
      <w:bookmarkStart w:id="52" w:name="_Toc82971332"/>
      <w:r w:rsidRPr="0052329D">
        <w:rPr>
          <w:lang w:val="en-US"/>
        </w:rPr>
        <w:t>UPOV-Codes ZEAAA_MAY_SAC, ZEAAA_MAY_EVE und ZEAAA_MAY_MIC</w:t>
      </w:r>
      <w:bookmarkEnd w:id="51"/>
      <w:bookmarkEnd w:id="52"/>
    </w:p>
    <w:p w14:paraId="5DE03393" w14:textId="77777777" w:rsidR="00907570" w:rsidRPr="0052329D" w:rsidRDefault="00907570" w:rsidP="00AC5450">
      <w:pPr>
        <w:keepNext/>
        <w:rPr>
          <w:lang w:val="en-US"/>
        </w:rPr>
      </w:pPr>
    </w:p>
    <w:p w14:paraId="7D277D38" w14:textId="77777777" w:rsidR="00D376CA" w:rsidRPr="00C10919" w:rsidRDefault="00D376CA" w:rsidP="00D376CA">
      <w:pPr>
        <w:rPr>
          <w:rFonts w:eastAsia="MS Mincho"/>
          <w:snapToGrid w:val="0"/>
        </w:rPr>
      </w:pPr>
      <w:r>
        <w:fldChar w:fldCharType="begin"/>
      </w:r>
      <w:r w:rsidRPr="00C10919">
        <w:instrText xml:space="preserve"> AUTONUM  </w:instrText>
      </w:r>
      <w:r>
        <w:fldChar w:fldCharType="end"/>
      </w:r>
      <w:r w:rsidRPr="00C10919">
        <w:tab/>
      </w:r>
      <w:r w:rsidRPr="00C10919">
        <w:rPr>
          <w:snapToGrid w:val="0"/>
        </w:rPr>
        <w:t xml:space="preserve">Der TC vereinbarte, </w:t>
      </w:r>
      <w:r w:rsidRPr="00C10919">
        <w:t>die UPOV-Codes ZEAAA_MAY_SAC, ZEAAA_MAY_EVE und ZEAAA_MAY_MIC, die durch den UPOV-Code ZEAAA_MAY_MAY abgedeckt wären, zu streichen.</w:t>
      </w:r>
    </w:p>
    <w:p w14:paraId="6EFBBFFB" w14:textId="77777777" w:rsidR="00D376CA" w:rsidRPr="00C10919" w:rsidRDefault="00D376CA" w:rsidP="00D376CA">
      <w:pPr>
        <w:rPr>
          <w:rFonts w:eastAsia="MS Mincho"/>
          <w:snapToGrid w:val="0"/>
        </w:rPr>
      </w:pPr>
    </w:p>
    <w:p w14:paraId="4B00FD17" w14:textId="41FD84CC" w:rsidR="00D376CA" w:rsidRDefault="00D376CA" w:rsidP="00D376CA">
      <w:r>
        <w:fldChar w:fldCharType="begin"/>
      </w:r>
      <w:r>
        <w:instrText xml:space="preserve"> AUTONUM  </w:instrText>
      </w:r>
      <w:r>
        <w:fldChar w:fldCharType="end"/>
      </w:r>
      <w:r w:rsidR="002D5256">
        <w:tab/>
      </w:r>
      <w:r>
        <w:t xml:space="preserve">Er vereinbarte zudem, dem UPOV-Code ZEAAA_MAY_MAY Informationen zu Sortentypen oder -gruppen hinzuzufügen, um folgende Sortentypen oder -gruppen zu schaffen:  </w:t>
      </w:r>
    </w:p>
    <w:p w14:paraId="7FFA2D66" w14:textId="77777777" w:rsidR="00D376CA" w:rsidRDefault="00D376CA" w:rsidP="00D376CA"/>
    <w:p w14:paraId="3BAC9E49" w14:textId="77777777" w:rsidR="00D376CA" w:rsidRPr="0052329D" w:rsidRDefault="00D376CA" w:rsidP="00D376CA">
      <w:pPr>
        <w:ind w:left="567"/>
        <w:rPr>
          <w:lang w:val="fr-FR"/>
        </w:rPr>
      </w:pPr>
      <w:r w:rsidRPr="0052329D">
        <w:rPr>
          <w:lang w:val="fr-FR"/>
        </w:rPr>
        <w:t>i)</w:t>
      </w:r>
      <w:r w:rsidRPr="0052329D">
        <w:rPr>
          <w:lang w:val="fr-FR"/>
        </w:rPr>
        <w:tab/>
        <w:t>Mais:  „1MA“,</w:t>
      </w:r>
    </w:p>
    <w:p w14:paraId="684136A7" w14:textId="77777777" w:rsidR="00D376CA" w:rsidRPr="0052329D" w:rsidRDefault="00D376CA" w:rsidP="00D376CA">
      <w:pPr>
        <w:ind w:left="567"/>
        <w:rPr>
          <w:lang w:val="fr-FR"/>
        </w:rPr>
      </w:pPr>
      <w:r w:rsidRPr="0052329D">
        <w:rPr>
          <w:lang w:val="fr-FR"/>
        </w:rPr>
        <w:t>ii)</w:t>
      </w:r>
      <w:r w:rsidRPr="0052329D">
        <w:rPr>
          <w:lang w:val="fr-FR"/>
        </w:rPr>
        <w:tab/>
        <w:t xml:space="preserve">Zuckermais:  „2SW“,  </w:t>
      </w:r>
    </w:p>
    <w:p w14:paraId="28DA803B" w14:textId="77777777" w:rsidR="00D376CA" w:rsidRDefault="00D376CA" w:rsidP="00D376CA">
      <w:pPr>
        <w:ind w:left="567"/>
        <w:rPr>
          <w:rFonts w:eastAsia="MS Mincho"/>
          <w:snapToGrid w:val="0"/>
        </w:rPr>
      </w:pPr>
      <w:r>
        <w:t>iii)</w:t>
      </w:r>
      <w:r>
        <w:tab/>
        <w:t>Popcorn:  „3PO“.</w:t>
      </w:r>
    </w:p>
    <w:p w14:paraId="61762FEC" w14:textId="77777777" w:rsidR="00D376CA" w:rsidRPr="00264FFE" w:rsidRDefault="00D376CA" w:rsidP="00D376CA">
      <w:pPr>
        <w:rPr>
          <w:rFonts w:eastAsia="MS Mincho"/>
          <w:snapToGrid w:val="0"/>
        </w:rPr>
      </w:pPr>
    </w:p>
    <w:p w14:paraId="0E195E6F" w14:textId="77777777" w:rsidR="00D376CA" w:rsidRPr="007C5589" w:rsidRDefault="00D376CA" w:rsidP="00152C95">
      <w:pPr>
        <w:pStyle w:val="Heading4"/>
      </w:pPr>
      <w:bookmarkStart w:id="53" w:name="_Toc82971333"/>
      <w:r>
        <w:t>Ergänzende Vorschläge bezüglich der Änderung der UPOV-Codes, die von den TWP im Jahr 2021 geprüft wurden</w:t>
      </w:r>
      <w:bookmarkEnd w:id="53"/>
    </w:p>
    <w:p w14:paraId="7E4878CD" w14:textId="77777777" w:rsidR="00D376CA" w:rsidRDefault="00D376CA" w:rsidP="00AC5450">
      <w:pPr>
        <w:keepNext/>
      </w:pPr>
    </w:p>
    <w:p w14:paraId="3D4F3E51" w14:textId="77777777" w:rsidR="00D376CA" w:rsidRPr="000454F9" w:rsidRDefault="00D376CA" w:rsidP="00152C95">
      <w:pPr>
        <w:pStyle w:val="Heading5"/>
        <w:rPr>
          <w:rFonts w:eastAsia="MS Mincho"/>
        </w:rPr>
      </w:pPr>
      <w:bookmarkStart w:id="54" w:name="_Toc82971334"/>
      <w:r>
        <w:t xml:space="preserve">UPOV-Code für </w:t>
      </w:r>
      <w:r>
        <w:rPr>
          <w:i w:val="0"/>
        </w:rPr>
        <w:t>Aloe aristata</w:t>
      </w:r>
      <w:bookmarkEnd w:id="54"/>
    </w:p>
    <w:p w14:paraId="24168E5B" w14:textId="77777777" w:rsidR="00D376CA" w:rsidRDefault="00D376CA" w:rsidP="00AC5450">
      <w:pPr>
        <w:keepNext/>
      </w:pPr>
    </w:p>
    <w:p w14:paraId="1060063D" w14:textId="77777777" w:rsidR="00942B49" w:rsidRPr="00942B49" w:rsidRDefault="000C4589" w:rsidP="00942B49">
      <w:pPr>
        <w:tabs>
          <w:tab w:val="left" w:pos="0"/>
        </w:tabs>
        <w:rPr>
          <w:rFonts w:eastAsia="MS Mincho"/>
        </w:rPr>
      </w:pPr>
      <w:r>
        <w:fldChar w:fldCharType="begin"/>
      </w:r>
      <w:r>
        <w:instrText xml:space="preserve"> AUTONUM  </w:instrText>
      </w:r>
      <w:r>
        <w:fldChar w:fldCharType="end"/>
      </w:r>
      <w:r>
        <w:tab/>
        <w:t>Der TC vereinbarte, den UPOV-Code ALOEE_ARI zu streichen, wie in Absatz 37 des Dokuments TC/57/11 dargelegt.</w:t>
      </w:r>
      <w:r>
        <w:rPr>
          <w:snapToGrid w:val="0"/>
        </w:rPr>
        <w:t xml:space="preserve"> </w:t>
      </w:r>
    </w:p>
    <w:p w14:paraId="4EDC0915" w14:textId="77777777" w:rsidR="00D376CA" w:rsidRPr="00942B49" w:rsidRDefault="00D376CA" w:rsidP="00D376CA"/>
    <w:p w14:paraId="6A5549EF" w14:textId="77777777" w:rsidR="00D376CA" w:rsidRPr="00942B49" w:rsidRDefault="00D376CA" w:rsidP="00152C95">
      <w:pPr>
        <w:pStyle w:val="Heading5"/>
        <w:rPr>
          <w:rFonts w:eastAsia="MS Mincho"/>
        </w:rPr>
      </w:pPr>
      <w:bookmarkStart w:id="55" w:name="_Toc82971335"/>
      <w:r>
        <w:t xml:space="preserve">UPOV-Code für </w:t>
      </w:r>
      <w:r>
        <w:rPr>
          <w:i w:val="0"/>
        </w:rPr>
        <w:t>Dicentra</w:t>
      </w:r>
      <w:r>
        <w:t xml:space="preserve"> species</w:t>
      </w:r>
      <w:bookmarkEnd w:id="55"/>
    </w:p>
    <w:p w14:paraId="650257D3" w14:textId="77777777" w:rsidR="00942B49" w:rsidRPr="00942B49" w:rsidRDefault="00942B49" w:rsidP="000C4589"/>
    <w:p w14:paraId="25F0191D" w14:textId="77777777" w:rsidR="00D376CA" w:rsidRPr="000454F9" w:rsidRDefault="000C4589" w:rsidP="000C4589">
      <w:pPr>
        <w:rPr>
          <w:rFonts w:eastAsia="MS Mincho"/>
        </w:rPr>
      </w:pPr>
      <w:r w:rsidRPr="00942B49">
        <w:fldChar w:fldCharType="begin"/>
      </w:r>
      <w:r w:rsidRPr="00942B49">
        <w:instrText xml:space="preserve"> AUTONUM  </w:instrText>
      </w:r>
      <w:r w:rsidRPr="00942B49">
        <w:fldChar w:fldCharType="end"/>
      </w:r>
      <w:r>
        <w:tab/>
        <w:t>Der TC vereinbarte, den UPOV-Code DICEN_SPE zu streichen, wie in Absatz 41 des Dokuments TC/57/11 dargelegt.</w:t>
      </w:r>
    </w:p>
    <w:p w14:paraId="070030C0" w14:textId="77777777" w:rsidR="00D376CA" w:rsidRDefault="00D376CA" w:rsidP="00B933D2"/>
    <w:p w14:paraId="2D5AE69B" w14:textId="77777777" w:rsidR="00907570" w:rsidRDefault="00152C95" w:rsidP="004E282E">
      <w:pPr>
        <w:pStyle w:val="Heading3"/>
      </w:pPr>
      <w:r>
        <w:t xml:space="preserve">b) Webbasierte TG-Mustervorlage </w:t>
      </w:r>
    </w:p>
    <w:p w14:paraId="134D8C46" w14:textId="77777777" w:rsidR="00152C95" w:rsidRDefault="00152C95" w:rsidP="00AC5450">
      <w:pPr>
        <w:keepNext/>
      </w:pPr>
    </w:p>
    <w:p w14:paraId="210B033E" w14:textId="6AD99FC3" w:rsidR="00152C95" w:rsidRDefault="00152C95" w:rsidP="00152C95">
      <w:r>
        <w:fldChar w:fldCharType="begin"/>
      </w:r>
      <w:r>
        <w:instrText xml:space="preserve"> AUTONUM  </w:instrText>
      </w:r>
      <w:r>
        <w:fldChar w:fldCharType="end"/>
      </w:r>
      <w:r>
        <w:tab/>
      </w:r>
      <w:r w:rsidRPr="00D132B8">
        <w:t xml:space="preserve">Der </w:t>
      </w:r>
      <w:r w:rsidR="002D5256" w:rsidRPr="00D132B8">
        <w:t>TC</w:t>
      </w:r>
      <w:r>
        <w:t xml:space="preserve"> prüfte das Dokument TC/57/12.</w:t>
      </w:r>
    </w:p>
    <w:p w14:paraId="3E8822A3" w14:textId="77777777" w:rsidR="00152C95" w:rsidRDefault="00152C95" w:rsidP="00152C95"/>
    <w:p w14:paraId="07A59B23" w14:textId="7B3678CD" w:rsidR="00152C95" w:rsidRDefault="00152C95" w:rsidP="00152C95">
      <w:r>
        <w:fldChar w:fldCharType="begin"/>
      </w:r>
      <w:r>
        <w:instrText xml:space="preserve"> AUTONUM  </w:instrText>
      </w:r>
      <w:r>
        <w:fldChar w:fldCharType="end"/>
      </w:r>
      <w:r>
        <w:tab/>
        <w:t>Der TC nahm zur Kenntnis, dass die webbasierte TG-Mustervorlage und die Datenbank gebilligter Merkmale bis 2022 auf Cloud-Server</w:t>
      </w:r>
      <w:r w:rsidR="002D5256">
        <w:t xml:space="preserve"> </w:t>
      </w:r>
      <w:r>
        <w:t>verlagert werden.  Die Migration werde auch ein Upgrade auf neue Technologien zur Behebung der von den Nutzern gemeldeten Probleme und zur Erstellung von Prüfungsrichtlinien einzelner Behörden umfassen.</w:t>
      </w:r>
    </w:p>
    <w:p w14:paraId="773D51F9" w14:textId="77777777" w:rsidR="00152C95" w:rsidRDefault="00152C95" w:rsidP="00152C95"/>
    <w:p w14:paraId="067EA982" w14:textId="77777777" w:rsidR="00152C95" w:rsidRDefault="00152C95" w:rsidP="00152C95">
      <w:r>
        <w:fldChar w:fldCharType="begin"/>
      </w:r>
      <w:r>
        <w:instrText xml:space="preserve"> AUTONUM  </w:instrText>
      </w:r>
      <w:r>
        <w:fldChar w:fldCharType="end"/>
      </w:r>
      <w:r>
        <w:tab/>
        <w:t>Der TC nahm zur Kenntnis, dass Interviews mit UPOV-Mitgliedern durchgeführt werden, um deren Bedürfnisse im Hinblick auf die Erstellung von Prüfungsrichtlinien einzelner Behörden unter Nutzung der webbasierten TG-Mustervorlage zu ermitteln.</w:t>
      </w:r>
    </w:p>
    <w:p w14:paraId="44399101" w14:textId="77777777" w:rsidR="00152C95" w:rsidRDefault="00152C95" w:rsidP="00152C95"/>
    <w:p w14:paraId="6F7CB6B7" w14:textId="77777777" w:rsidR="00152C95" w:rsidRDefault="00152C95" w:rsidP="00152C95">
      <w:r>
        <w:fldChar w:fldCharType="begin"/>
      </w:r>
      <w:r>
        <w:instrText xml:space="preserve"> AUTONUM  </w:instrText>
      </w:r>
      <w:r>
        <w:fldChar w:fldCharType="end"/>
      </w:r>
      <w:r>
        <w:tab/>
        <w:t>Der TC nahm zur Kenntnis, dass Schulungen zur webbasierten TG-Mustervorlage auf Anfrage organisiert werden könnten.</w:t>
      </w:r>
    </w:p>
    <w:p w14:paraId="1E7A8524" w14:textId="77777777" w:rsidR="00152C95" w:rsidRDefault="00152C95" w:rsidP="00152C95"/>
    <w:p w14:paraId="5D5276E4" w14:textId="77777777" w:rsidR="001D181F" w:rsidRDefault="001D181F" w:rsidP="00152C95"/>
    <w:p w14:paraId="3FA7E73D" w14:textId="77777777" w:rsidR="00152C95" w:rsidRDefault="001D181F" w:rsidP="001D181F">
      <w:pPr>
        <w:pStyle w:val="Heading2"/>
      </w:pPr>
      <w:r>
        <w:t xml:space="preserve">Vorbereitende Arbeitstagungen </w:t>
      </w:r>
    </w:p>
    <w:p w14:paraId="275EE3E8" w14:textId="77777777" w:rsidR="00152C95" w:rsidRDefault="00152C95" w:rsidP="00AC5450">
      <w:pPr>
        <w:keepNext/>
      </w:pPr>
    </w:p>
    <w:p w14:paraId="7E59FF76" w14:textId="37ED4C12" w:rsidR="002B1015" w:rsidRPr="002D4214" w:rsidRDefault="001D181F" w:rsidP="002B1015">
      <w:pPr>
        <w:rPr>
          <w:spacing w:val="-2"/>
        </w:rPr>
      </w:pPr>
      <w:r>
        <w:fldChar w:fldCharType="begin"/>
      </w:r>
      <w:r>
        <w:instrText xml:space="preserve"> AUTONUM  </w:instrText>
      </w:r>
      <w:r>
        <w:fldChar w:fldCharType="end"/>
      </w:r>
      <w:r>
        <w:tab/>
      </w:r>
      <w:r w:rsidRPr="00D132B8">
        <w:t xml:space="preserve">Der </w:t>
      </w:r>
      <w:r w:rsidR="002D5256" w:rsidRPr="00D132B8">
        <w:t>TC</w:t>
      </w:r>
      <w:r w:rsidRPr="00D132B8">
        <w:t xml:space="preserve"> prüfte</w:t>
      </w:r>
      <w:r>
        <w:t xml:space="preserve"> das Dokument TC/57/13 auf dem Schriftweg. Der TC nahm zur Kenntnis, dass die Entscheidung zu Dokument TC/57/13 vom TC auf dem Schriftweg angenommen worden sei, wie in Dokument TC/57/14, Absatz 24 sowie nachstehend dargelegt: </w:t>
      </w:r>
    </w:p>
    <w:p w14:paraId="5DAA5D4F" w14:textId="77777777" w:rsidR="002B1015" w:rsidRDefault="002B1015" w:rsidP="001D181F"/>
    <w:p w14:paraId="6BCA7AE2" w14:textId="258C1DD1" w:rsidR="003805CD" w:rsidRPr="002B1015" w:rsidRDefault="002B1015" w:rsidP="002B1015">
      <w:pPr>
        <w:ind w:left="567" w:right="567"/>
        <w:rPr>
          <w:sz w:val="18"/>
        </w:rPr>
      </w:pPr>
      <w:r>
        <w:rPr>
          <w:sz w:val="18"/>
        </w:rPr>
        <w:t>„27.</w:t>
      </w:r>
      <w:r>
        <w:rPr>
          <w:sz w:val="18"/>
        </w:rPr>
        <w:tab/>
        <w:t>Der TC vereinbarte, vorbereitende Arbeitstagungen als eine Reihe von Webinaren zu organisieren, die zu geeigneten Terminen gemäß dem Zeitplan der TWP-Tagungen im Jahr 2022 (und, sofern darum ersucht wird, in Verbindung mit Arbeitstagungen mit Präsenzteilnahme), wie in den Absätzen 20 bis 21 des Dokuments TC/57/13 dargelegt, durchgeführt werden sollen.</w:t>
      </w:r>
      <w:r w:rsidR="002D5256">
        <w:rPr>
          <w:sz w:val="18"/>
        </w:rPr>
        <w:t>"</w:t>
      </w:r>
    </w:p>
    <w:p w14:paraId="51D9327A" w14:textId="77777777" w:rsidR="001D181F" w:rsidRDefault="001D181F" w:rsidP="00152C95"/>
    <w:p w14:paraId="00310EF3" w14:textId="77777777" w:rsidR="00313FAF" w:rsidRPr="008D0013" w:rsidRDefault="00313FAF" w:rsidP="00313FAF">
      <w:pPr>
        <w:pStyle w:val="Heading2"/>
      </w:pPr>
      <w:r>
        <w:t>Angelegenheiten zur Unterrichtung</w:t>
      </w:r>
    </w:p>
    <w:p w14:paraId="75173300" w14:textId="77777777" w:rsidR="00313FAF" w:rsidRPr="008D0013" w:rsidRDefault="00313FAF" w:rsidP="00313FAF">
      <w:pPr>
        <w:pStyle w:val="Heading2"/>
      </w:pPr>
    </w:p>
    <w:p w14:paraId="160C8615" w14:textId="77777777" w:rsidR="00313FAF" w:rsidRPr="008D0013" w:rsidRDefault="00313FAF" w:rsidP="00313FAF">
      <w:r w:rsidRPr="008D0013">
        <w:fldChar w:fldCharType="begin"/>
      </w:r>
      <w:r w:rsidRPr="008D0013">
        <w:instrText xml:space="preserve"> AUTONUM  </w:instrText>
      </w:r>
      <w:r w:rsidRPr="008D0013">
        <w:fldChar w:fldCharType="end"/>
      </w:r>
      <w:r>
        <w:tab/>
        <w:t>Der TC nahm zur Kenntnis, dass die folgenden Dokumente unter Ziffer 14 „Angelegenheiten zur Unterrichtung“ fallen:</w:t>
      </w:r>
    </w:p>
    <w:p w14:paraId="798097E3" w14:textId="77777777" w:rsidR="00313FAF" w:rsidRPr="008D0013" w:rsidRDefault="00313FAF" w:rsidP="00313FAF"/>
    <w:p w14:paraId="405FB8FF" w14:textId="77777777" w:rsidR="002D5256" w:rsidRDefault="00313FAF" w:rsidP="00313FAF">
      <w:pPr>
        <w:ind w:left="1134" w:hanging="567"/>
        <w:jc w:val="left"/>
      </w:pPr>
      <w:r>
        <w:rPr>
          <w:snapToGrid w:val="0"/>
        </w:rPr>
        <w:t xml:space="preserve">a) </w:t>
      </w:r>
      <w:r>
        <w:rPr>
          <w:snapToGrid w:val="0"/>
        </w:rPr>
        <w:tab/>
        <w:t>Liste der Gattungen und Arten, für die die Behörden über praktische Erfahrung bei der Prüfung der Unterscheidbarkeit, Homogenität und Beständigkeit verfügen (Dokument TC/57/INF/4)</w:t>
      </w:r>
    </w:p>
    <w:p w14:paraId="713F37BB" w14:textId="5A09ADDC" w:rsidR="00313FAF" w:rsidRPr="00267406" w:rsidRDefault="00313FAF" w:rsidP="00313FAF">
      <w:pPr>
        <w:ind w:left="1134" w:hanging="567"/>
        <w:jc w:val="left"/>
      </w:pPr>
      <w:r>
        <w:rPr>
          <w:snapToGrid w:val="0"/>
        </w:rPr>
        <w:t xml:space="preserve">b) </w:t>
      </w:r>
      <w:r>
        <w:rPr>
          <w:snapToGrid w:val="0"/>
        </w:rPr>
        <w:tab/>
        <w:t>UPOV-Informationsdatenbanken (Dokument TC/57/INF/3)</w:t>
      </w:r>
    </w:p>
    <w:p w14:paraId="2149E44A" w14:textId="77777777" w:rsidR="00313FAF" w:rsidRPr="00267406" w:rsidRDefault="00313FAF" w:rsidP="00313FAF">
      <w:pPr>
        <w:tabs>
          <w:tab w:val="left" w:pos="5812"/>
        </w:tabs>
        <w:ind w:left="1134" w:hanging="567"/>
        <w:jc w:val="left"/>
      </w:pPr>
      <w:r>
        <w:rPr>
          <w:snapToGrid w:val="0"/>
        </w:rPr>
        <w:t xml:space="preserve">c) </w:t>
      </w:r>
      <w:r>
        <w:rPr>
          <w:snapToGrid w:val="0"/>
        </w:rPr>
        <w:tab/>
        <w:t>UPOV PRISMA (Dokument TC/57/INF/2)</w:t>
      </w:r>
    </w:p>
    <w:p w14:paraId="2C162CD2" w14:textId="77777777" w:rsidR="00C3249E" w:rsidRDefault="00313FAF" w:rsidP="00313FAF">
      <w:pPr>
        <w:tabs>
          <w:tab w:val="left" w:pos="5812"/>
        </w:tabs>
        <w:ind w:left="1134" w:hanging="567"/>
        <w:jc w:val="left"/>
        <w:rPr>
          <w:snapToGrid w:val="0"/>
        </w:rPr>
      </w:pPr>
      <w:r>
        <w:rPr>
          <w:snapToGrid w:val="0"/>
        </w:rPr>
        <w:t xml:space="preserve">d) </w:t>
      </w:r>
      <w:r>
        <w:rPr>
          <w:snapToGrid w:val="0"/>
        </w:rPr>
        <w:tab/>
        <w:t>Datenbanken für Sortenbeschreibungen (Dokument TC/57/INF/5)</w:t>
      </w:r>
    </w:p>
    <w:p w14:paraId="4C03C831" w14:textId="50DB49FB" w:rsidR="00313FAF" w:rsidRPr="00267406" w:rsidRDefault="00C3249E" w:rsidP="00313FAF">
      <w:pPr>
        <w:tabs>
          <w:tab w:val="left" w:pos="5812"/>
        </w:tabs>
        <w:ind w:left="1134" w:hanging="567"/>
        <w:jc w:val="left"/>
      </w:pPr>
      <w:r>
        <w:rPr>
          <w:snapToGrid w:val="0"/>
        </w:rPr>
        <w:t>e)</w:t>
      </w:r>
      <w:r>
        <w:rPr>
          <w:snapToGrid w:val="0"/>
        </w:rPr>
        <w:tab/>
      </w:r>
      <w:r w:rsidR="00313FAF">
        <w:rPr>
          <w:snapToGrid w:val="0"/>
        </w:rPr>
        <w:t>Molekulare Verfahren (Dokument TC/57/INF/6)</w:t>
      </w:r>
    </w:p>
    <w:p w14:paraId="4823CF00" w14:textId="77777777" w:rsidR="00313FAF" w:rsidRPr="00267406" w:rsidRDefault="00313FAF" w:rsidP="00313FAF">
      <w:pPr>
        <w:tabs>
          <w:tab w:val="left" w:pos="5812"/>
        </w:tabs>
        <w:ind w:left="1134" w:hanging="567"/>
        <w:jc w:val="left"/>
      </w:pPr>
      <w:r>
        <w:rPr>
          <w:snapToGrid w:val="0"/>
        </w:rPr>
        <w:t xml:space="preserve">f) </w:t>
      </w:r>
      <w:r>
        <w:rPr>
          <w:snapToGrid w:val="0"/>
        </w:rPr>
        <w:tab/>
        <w:t>Sortenbezeichnungen (Dokument TC/57/INF/7)</w:t>
      </w:r>
    </w:p>
    <w:p w14:paraId="20C90C9E" w14:textId="77777777" w:rsidR="00313FAF" w:rsidRPr="0052329D" w:rsidRDefault="00313FAF" w:rsidP="00313FAF"/>
    <w:p w14:paraId="5BF5C62A" w14:textId="77777777" w:rsidR="00313FAF" w:rsidRPr="0052329D" w:rsidRDefault="00313FAF" w:rsidP="00313FAF"/>
    <w:p w14:paraId="7EC01F02" w14:textId="77777777" w:rsidR="003805CD" w:rsidRDefault="003805CD" w:rsidP="003805CD">
      <w:pPr>
        <w:pStyle w:val="Heading2"/>
      </w:pPr>
      <w:r>
        <w:t>Prüfungsrichtlinien</w:t>
      </w:r>
    </w:p>
    <w:p w14:paraId="2B728331" w14:textId="77777777" w:rsidR="003805CD" w:rsidRDefault="003805CD" w:rsidP="00AC5450">
      <w:pPr>
        <w:keepNext/>
      </w:pPr>
    </w:p>
    <w:p w14:paraId="631FC531" w14:textId="77777777" w:rsidR="003805CD" w:rsidRDefault="004530BC" w:rsidP="003805CD">
      <w:r>
        <w:fldChar w:fldCharType="begin"/>
      </w:r>
      <w:r>
        <w:instrText xml:space="preserve"> AUTONUM  </w:instrText>
      </w:r>
      <w:r>
        <w:fldChar w:fldCharType="end"/>
      </w:r>
      <w:r>
        <w:tab/>
        <w:t>Der TC prüfte die Dokumente TC/57/2, TC/57/2 Add., TC/57/15, TC/57/16, TC/57/17, TC/57/18, TC/57/19, TC/57/20, TC/57/21, TC/57/22 und TC/57/23.</w:t>
      </w:r>
    </w:p>
    <w:p w14:paraId="54DCD333" w14:textId="77777777" w:rsidR="003805CD" w:rsidRDefault="003805CD" w:rsidP="003805CD"/>
    <w:p w14:paraId="369F22AB" w14:textId="77777777" w:rsidR="00C44854" w:rsidRDefault="00C44854" w:rsidP="002F4899">
      <w:pPr>
        <w:pStyle w:val="Heading3"/>
      </w:pPr>
      <w:bookmarkStart w:id="56" w:name="_Toc81228943"/>
      <w:r>
        <w:t>Überarbeitung der Technischen Fragebögen der UPOV-Prüfungsrichtlinien</w:t>
      </w:r>
      <w:bookmarkEnd w:id="56"/>
    </w:p>
    <w:p w14:paraId="1201DD7B" w14:textId="77777777" w:rsidR="00C44854" w:rsidRDefault="00C44854" w:rsidP="002F4899">
      <w:pPr>
        <w:keepNext/>
      </w:pPr>
    </w:p>
    <w:p w14:paraId="6C9A659D" w14:textId="77777777" w:rsidR="00C44854" w:rsidRPr="007C5589" w:rsidRDefault="00C44854" w:rsidP="002F4899">
      <w:pPr>
        <w:pStyle w:val="Heading4"/>
      </w:pPr>
      <w:bookmarkStart w:id="57" w:name="_Toc69827450"/>
      <w:bookmarkStart w:id="58" w:name="_Toc81228944"/>
      <w:r>
        <w:t>Vorschläge zur Teilüberarbeitung der Prüfungsrichtlinien</w:t>
      </w:r>
      <w:bookmarkEnd w:id="57"/>
      <w:bookmarkEnd w:id="58"/>
    </w:p>
    <w:p w14:paraId="7A391F22" w14:textId="77777777" w:rsidR="00C44854" w:rsidRDefault="00C44854" w:rsidP="003805CD"/>
    <w:p w14:paraId="7C6C5927" w14:textId="77777777" w:rsidR="00C44854" w:rsidRDefault="00C44854" w:rsidP="003805CD">
      <w:r>
        <w:fldChar w:fldCharType="begin"/>
      </w:r>
      <w:r>
        <w:instrText xml:space="preserve"> AUTONUM  </w:instrText>
      </w:r>
      <w:r>
        <w:fldChar w:fldCharType="end"/>
      </w:r>
      <w:r>
        <w:tab/>
        <w:t>Der TC nahm den Vorschlag zur Kenntnis, die Prüfungsrichtlinien teilweise so zu überarbeiten, dass Merkmale in die Technischen Fragebögen aufgenommen werden:</w:t>
      </w:r>
    </w:p>
    <w:p w14:paraId="63A52C78" w14:textId="77777777" w:rsidR="00CE7104" w:rsidRPr="00CE7104" w:rsidRDefault="00CE7104" w:rsidP="00CE7104">
      <w:pPr>
        <w:pStyle w:val="ListParagraph"/>
        <w:keepNext/>
        <w:jc w:val="left"/>
      </w:pPr>
    </w:p>
    <w:p w14:paraId="52A7E8CF" w14:textId="77777777" w:rsidR="00C44854" w:rsidRPr="00CE7104" w:rsidRDefault="00C44854" w:rsidP="00C44854">
      <w:pPr>
        <w:pStyle w:val="ListParagraph"/>
        <w:keepNext/>
        <w:numPr>
          <w:ilvl w:val="0"/>
          <w:numId w:val="15"/>
        </w:numPr>
        <w:jc w:val="left"/>
      </w:pPr>
      <w:r>
        <w:t>TWV</w:t>
      </w:r>
    </w:p>
    <w:tbl>
      <w:tblPr>
        <w:tblStyle w:val="TableGrid"/>
        <w:tblW w:w="6090" w:type="dxa"/>
        <w:jc w:val="center"/>
        <w:tblLayout w:type="fixed"/>
        <w:tblLook w:val="04A0" w:firstRow="1" w:lastRow="0" w:firstColumn="1" w:lastColumn="0" w:noHBand="0" w:noVBand="1"/>
      </w:tblPr>
      <w:tblGrid>
        <w:gridCol w:w="2263"/>
        <w:gridCol w:w="3827"/>
      </w:tblGrid>
      <w:tr w:rsidR="00C44854" w:rsidRPr="00CE7104" w14:paraId="6691CA07" w14:textId="77777777" w:rsidTr="00D07169">
        <w:trPr>
          <w:trHeight w:val="377"/>
          <w:tblHeader/>
          <w:jc w:val="center"/>
        </w:trPr>
        <w:tc>
          <w:tcPr>
            <w:tcW w:w="2263" w:type="dxa"/>
            <w:hideMark/>
          </w:tcPr>
          <w:p w14:paraId="0E9B38A6" w14:textId="77777777" w:rsidR="00C44854" w:rsidRPr="00CE7104" w:rsidRDefault="00C44854" w:rsidP="00D07169">
            <w:pPr>
              <w:keepNext/>
              <w:jc w:val="left"/>
              <w:rPr>
                <w:b/>
              </w:rPr>
            </w:pPr>
            <w:r>
              <w:rPr>
                <w:b/>
              </w:rPr>
              <w:t>TG-Referenz</w:t>
            </w:r>
          </w:p>
        </w:tc>
        <w:tc>
          <w:tcPr>
            <w:tcW w:w="3827" w:type="dxa"/>
            <w:hideMark/>
          </w:tcPr>
          <w:p w14:paraId="73D8FDE9" w14:textId="77777777" w:rsidR="00C44854" w:rsidRPr="00CE7104" w:rsidRDefault="00C44854" w:rsidP="00D07169">
            <w:pPr>
              <w:keepNext/>
              <w:jc w:val="left"/>
              <w:rPr>
                <w:b/>
              </w:rPr>
            </w:pPr>
            <w:r>
              <w:rPr>
                <w:b/>
              </w:rPr>
              <w:t>Prüfungsrichtlinien landesüblicher Name</w:t>
            </w:r>
            <w:r>
              <w:rPr>
                <w:b/>
              </w:rPr>
              <w:cr/>
            </w:r>
            <w:r>
              <w:rPr>
                <w:b/>
              </w:rPr>
              <w:br/>
            </w:r>
          </w:p>
        </w:tc>
      </w:tr>
      <w:tr w:rsidR="00C44854" w:rsidRPr="00CE7104" w14:paraId="5C55DC47" w14:textId="77777777" w:rsidTr="00D07169">
        <w:trPr>
          <w:trHeight w:val="262"/>
          <w:jc w:val="center"/>
        </w:trPr>
        <w:tc>
          <w:tcPr>
            <w:tcW w:w="2263" w:type="dxa"/>
            <w:hideMark/>
          </w:tcPr>
          <w:p w14:paraId="02006E73" w14:textId="77777777" w:rsidR="00C44854" w:rsidRPr="00CE7104" w:rsidRDefault="00C44854" w:rsidP="00D07169">
            <w:pPr>
              <w:keepNext/>
              <w:jc w:val="left"/>
            </w:pPr>
            <w:r>
              <w:t>TG/2/7</w:t>
            </w:r>
          </w:p>
        </w:tc>
        <w:tc>
          <w:tcPr>
            <w:tcW w:w="3827" w:type="dxa"/>
            <w:hideMark/>
          </w:tcPr>
          <w:p w14:paraId="6599E793" w14:textId="77777777" w:rsidR="00C44854" w:rsidRPr="00CE7104" w:rsidRDefault="00C44854" w:rsidP="00D07169">
            <w:pPr>
              <w:keepNext/>
              <w:jc w:val="left"/>
            </w:pPr>
            <w:r>
              <w:t>Mais</w:t>
            </w:r>
          </w:p>
        </w:tc>
      </w:tr>
      <w:tr w:rsidR="00C44854" w:rsidRPr="00CE7104" w14:paraId="6AC0B0A2" w14:textId="77777777" w:rsidTr="00D07169">
        <w:trPr>
          <w:trHeight w:val="255"/>
          <w:jc w:val="center"/>
        </w:trPr>
        <w:tc>
          <w:tcPr>
            <w:tcW w:w="2263" w:type="dxa"/>
            <w:hideMark/>
          </w:tcPr>
          <w:p w14:paraId="64F07385" w14:textId="77777777" w:rsidR="00C44854" w:rsidRPr="00CE7104" w:rsidRDefault="00C44854" w:rsidP="00D07169">
            <w:pPr>
              <w:keepNext/>
              <w:jc w:val="left"/>
            </w:pPr>
            <w:r>
              <w:t>TG/13/11</w:t>
            </w:r>
          </w:p>
        </w:tc>
        <w:tc>
          <w:tcPr>
            <w:tcW w:w="3827" w:type="dxa"/>
            <w:hideMark/>
          </w:tcPr>
          <w:p w14:paraId="778CAC73" w14:textId="77777777" w:rsidR="00C44854" w:rsidRPr="00CE7104" w:rsidRDefault="00C44854" w:rsidP="00D07169">
            <w:pPr>
              <w:keepNext/>
              <w:jc w:val="left"/>
            </w:pPr>
            <w:r>
              <w:t>Salat</w:t>
            </w:r>
          </w:p>
        </w:tc>
      </w:tr>
      <w:tr w:rsidR="00C44854" w:rsidRPr="00CE7104" w14:paraId="0E9DA186" w14:textId="77777777" w:rsidTr="00D07169">
        <w:trPr>
          <w:trHeight w:val="273"/>
          <w:jc w:val="center"/>
        </w:trPr>
        <w:tc>
          <w:tcPr>
            <w:tcW w:w="2263" w:type="dxa"/>
            <w:hideMark/>
          </w:tcPr>
          <w:p w14:paraId="7D45369A" w14:textId="77777777" w:rsidR="00C44854" w:rsidRPr="00CE7104" w:rsidRDefault="00C44854" w:rsidP="00D07169">
            <w:pPr>
              <w:keepNext/>
              <w:jc w:val="left"/>
            </w:pPr>
            <w:r>
              <w:t>TG/49/8 Corr.</w:t>
            </w:r>
          </w:p>
        </w:tc>
        <w:tc>
          <w:tcPr>
            <w:tcW w:w="3827" w:type="dxa"/>
            <w:hideMark/>
          </w:tcPr>
          <w:p w14:paraId="634CA688" w14:textId="77777777" w:rsidR="00C44854" w:rsidRPr="00CE7104" w:rsidRDefault="00C44854" w:rsidP="00D07169">
            <w:pPr>
              <w:keepNext/>
              <w:jc w:val="left"/>
            </w:pPr>
            <w:r>
              <w:t>Möhre</w:t>
            </w:r>
          </w:p>
        </w:tc>
      </w:tr>
      <w:tr w:rsidR="00C44854" w:rsidRPr="00CE7104" w14:paraId="71FCA386" w14:textId="77777777" w:rsidTr="00D07169">
        <w:trPr>
          <w:trHeight w:val="276"/>
          <w:jc w:val="center"/>
        </w:trPr>
        <w:tc>
          <w:tcPr>
            <w:tcW w:w="2263" w:type="dxa"/>
            <w:hideMark/>
          </w:tcPr>
          <w:p w14:paraId="504A5DA8" w14:textId="77777777" w:rsidR="00C44854" w:rsidRPr="00CE7104" w:rsidRDefault="00C44854" w:rsidP="00D07169">
            <w:pPr>
              <w:keepNext/>
              <w:jc w:val="left"/>
            </w:pPr>
            <w:r>
              <w:t>TG/55/7 Rev. 5</w:t>
            </w:r>
          </w:p>
        </w:tc>
        <w:tc>
          <w:tcPr>
            <w:tcW w:w="3827" w:type="dxa"/>
            <w:hideMark/>
          </w:tcPr>
          <w:p w14:paraId="4FF7D6EA" w14:textId="77777777" w:rsidR="00C44854" w:rsidRPr="00CE7104" w:rsidRDefault="00C44854" w:rsidP="00D07169">
            <w:pPr>
              <w:keepNext/>
              <w:jc w:val="left"/>
            </w:pPr>
            <w:r>
              <w:t>Spinat</w:t>
            </w:r>
          </w:p>
        </w:tc>
      </w:tr>
      <w:tr w:rsidR="00C44854" w:rsidRPr="00CE7104" w14:paraId="60B9B150" w14:textId="77777777" w:rsidTr="00D07169">
        <w:trPr>
          <w:trHeight w:val="267"/>
          <w:jc w:val="center"/>
        </w:trPr>
        <w:tc>
          <w:tcPr>
            <w:tcW w:w="2263" w:type="dxa"/>
            <w:hideMark/>
          </w:tcPr>
          <w:p w14:paraId="041A47B1" w14:textId="77777777" w:rsidR="00C44854" w:rsidRPr="00CE7104" w:rsidRDefault="00C44854" w:rsidP="00D07169">
            <w:pPr>
              <w:keepNext/>
              <w:jc w:val="left"/>
            </w:pPr>
            <w:r>
              <w:t>TG/61/7 Rev. 2</w:t>
            </w:r>
          </w:p>
        </w:tc>
        <w:tc>
          <w:tcPr>
            <w:tcW w:w="3827" w:type="dxa"/>
            <w:hideMark/>
          </w:tcPr>
          <w:p w14:paraId="7F3CF616" w14:textId="77777777" w:rsidR="00C44854" w:rsidRPr="00CE7104" w:rsidRDefault="00C44854" w:rsidP="00D07169">
            <w:pPr>
              <w:keepNext/>
              <w:jc w:val="left"/>
            </w:pPr>
            <w:r>
              <w:t>Salatgurke, Einlegegurke</w:t>
            </w:r>
          </w:p>
        </w:tc>
      </w:tr>
      <w:tr w:rsidR="00C44854" w:rsidRPr="00CE7104" w14:paraId="7BD9359E" w14:textId="77777777" w:rsidTr="00D07169">
        <w:trPr>
          <w:trHeight w:val="255"/>
          <w:jc w:val="center"/>
        </w:trPr>
        <w:tc>
          <w:tcPr>
            <w:tcW w:w="2263" w:type="dxa"/>
            <w:hideMark/>
          </w:tcPr>
          <w:p w14:paraId="4ED425B3" w14:textId="77777777" w:rsidR="00C44854" w:rsidRPr="00CE7104" w:rsidRDefault="00C44854" w:rsidP="00D07169">
            <w:pPr>
              <w:keepNext/>
              <w:jc w:val="left"/>
            </w:pPr>
            <w:r>
              <w:t>TG/104/5 Rev.</w:t>
            </w:r>
          </w:p>
        </w:tc>
        <w:tc>
          <w:tcPr>
            <w:tcW w:w="3827" w:type="dxa"/>
            <w:hideMark/>
          </w:tcPr>
          <w:p w14:paraId="3BB7237D" w14:textId="77777777" w:rsidR="00C44854" w:rsidRPr="00CE7104" w:rsidRDefault="00C44854" w:rsidP="00D07169">
            <w:pPr>
              <w:keepNext/>
              <w:jc w:val="left"/>
            </w:pPr>
            <w:r>
              <w:t>Melone</w:t>
            </w:r>
          </w:p>
        </w:tc>
      </w:tr>
      <w:tr w:rsidR="00C44854" w:rsidRPr="00CE7104" w14:paraId="79B71B9D" w14:textId="77777777" w:rsidTr="00D07169">
        <w:trPr>
          <w:trHeight w:val="263"/>
          <w:jc w:val="center"/>
        </w:trPr>
        <w:tc>
          <w:tcPr>
            <w:tcW w:w="2263" w:type="dxa"/>
            <w:hideMark/>
          </w:tcPr>
          <w:p w14:paraId="56EAEBFA" w14:textId="77777777" w:rsidR="00C44854" w:rsidRPr="00CE7104" w:rsidRDefault="00C44854" w:rsidP="00D07169">
            <w:pPr>
              <w:keepNext/>
              <w:jc w:val="left"/>
            </w:pPr>
            <w:r>
              <w:t>TG/119/4</w:t>
            </w:r>
          </w:p>
        </w:tc>
        <w:tc>
          <w:tcPr>
            <w:tcW w:w="3827" w:type="dxa"/>
            <w:hideMark/>
          </w:tcPr>
          <w:p w14:paraId="0D6BC026" w14:textId="77777777" w:rsidR="00C44854" w:rsidRPr="00CE7104" w:rsidRDefault="00C44854" w:rsidP="00D07169">
            <w:pPr>
              <w:keepNext/>
              <w:jc w:val="left"/>
            </w:pPr>
            <w:r>
              <w:t xml:space="preserve">Gartenkürbis, Kürbis </w:t>
            </w:r>
          </w:p>
        </w:tc>
      </w:tr>
      <w:tr w:rsidR="00C44854" w:rsidRPr="00CE7104" w14:paraId="3CC7ABB9" w14:textId="77777777" w:rsidTr="00D07169">
        <w:trPr>
          <w:trHeight w:val="248"/>
          <w:jc w:val="center"/>
        </w:trPr>
        <w:tc>
          <w:tcPr>
            <w:tcW w:w="2263" w:type="dxa"/>
            <w:hideMark/>
          </w:tcPr>
          <w:p w14:paraId="00AB3D84" w14:textId="77777777" w:rsidR="00C44854" w:rsidRPr="00CE7104" w:rsidRDefault="00C44854" w:rsidP="00D07169">
            <w:pPr>
              <w:keepNext/>
              <w:jc w:val="left"/>
            </w:pPr>
            <w:r>
              <w:t>TG/142/5</w:t>
            </w:r>
          </w:p>
        </w:tc>
        <w:tc>
          <w:tcPr>
            <w:tcW w:w="3827" w:type="dxa"/>
            <w:hideMark/>
          </w:tcPr>
          <w:p w14:paraId="44639E96" w14:textId="77777777" w:rsidR="00C44854" w:rsidRPr="00CE7104" w:rsidRDefault="00C44854" w:rsidP="00D07169">
            <w:pPr>
              <w:keepNext/>
              <w:jc w:val="left"/>
            </w:pPr>
            <w:r>
              <w:t xml:space="preserve">Wassermelone </w:t>
            </w:r>
          </w:p>
        </w:tc>
      </w:tr>
      <w:tr w:rsidR="00C44854" w:rsidRPr="00CE7104" w14:paraId="04A978FF" w14:textId="77777777" w:rsidTr="00D07169">
        <w:trPr>
          <w:trHeight w:val="249"/>
          <w:jc w:val="center"/>
        </w:trPr>
        <w:tc>
          <w:tcPr>
            <w:tcW w:w="2263" w:type="dxa"/>
            <w:hideMark/>
          </w:tcPr>
          <w:p w14:paraId="5313A53C" w14:textId="77777777" w:rsidR="00C44854" w:rsidRPr="00CE7104" w:rsidRDefault="00C44854" w:rsidP="00D07169">
            <w:pPr>
              <w:keepNext/>
              <w:jc w:val="left"/>
            </w:pPr>
            <w:r>
              <w:t xml:space="preserve">TG/294/1 Corr. Rev. 2 </w:t>
            </w:r>
          </w:p>
        </w:tc>
        <w:tc>
          <w:tcPr>
            <w:tcW w:w="3827" w:type="dxa"/>
            <w:hideMark/>
          </w:tcPr>
          <w:p w14:paraId="33B6BE26" w14:textId="77777777" w:rsidR="00C44854" w:rsidRPr="00CE7104" w:rsidRDefault="00C44854" w:rsidP="00D07169">
            <w:pPr>
              <w:keepNext/>
              <w:jc w:val="left"/>
            </w:pPr>
            <w:r>
              <w:t xml:space="preserve">Tomaten-Unterlagen </w:t>
            </w:r>
          </w:p>
        </w:tc>
      </w:tr>
    </w:tbl>
    <w:p w14:paraId="74938329" w14:textId="77777777" w:rsidR="00C44854" w:rsidRPr="00CE7104" w:rsidRDefault="00C44854" w:rsidP="00C44854"/>
    <w:p w14:paraId="5A1BA265" w14:textId="77777777" w:rsidR="00C44854" w:rsidRPr="00CE7104" w:rsidRDefault="00C44854" w:rsidP="00C44854">
      <w:pPr>
        <w:pStyle w:val="ListParagraph"/>
        <w:keepNext/>
        <w:numPr>
          <w:ilvl w:val="0"/>
          <w:numId w:val="13"/>
        </w:numPr>
      </w:pPr>
      <w:r>
        <w:t>TWO:</w:t>
      </w:r>
    </w:p>
    <w:tbl>
      <w:tblPr>
        <w:tblStyle w:val="TableGrid"/>
        <w:tblW w:w="6090" w:type="dxa"/>
        <w:jc w:val="center"/>
        <w:tblLayout w:type="fixed"/>
        <w:tblLook w:val="04A0" w:firstRow="1" w:lastRow="0" w:firstColumn="1" w:lastColumn="0" w:noHBand="0" w:noVBand="1"/>
      </w:tblPr>
      <w:tblGrid>
        <w:gridCol w:w="2263"/>
        <w:gridCol w:w="3827"/>
      </w:tblGrid>
      <w:tr w:rsidR="00C44854" w:rsidRPr="00CE7104" w14:paraId="0D06FAB1" w14:textId="77777777" w:rsidTr="00D07169">
        <w:trPr>
          <w:trHeight w:val="377"/>
          <w:tblHeader/>
          <w:jc w:val="center"/>
        </w:trPr>
        <w:tc>
          <w:tcPr>
            <w:tcW w:w="2263" w:type="dxa"/>
            <w:hideMark/>
          </w:tcPr>
          <w:p w14:paraId="7131E91C" w14:textId="77777777" w:rsidR="00C44854" w:rsidRPr="00CE7104" w:rsidRDefault="00C44854" w:rsidP="00D07169">
            <w:pPr>
              <w:keepNext/>
              <w:jc w:val="left"/>
              <w:rPr>
                <w:b/>
              </w:rPr>
            </w:pPr>
            <w:r>
              <w:rPr>
                <w:b/>
              </w:rPr>
              <w:t>TG-Referenz</w:t>
            </w:r>
          </w:p>
        </w:tc>
        <w:tc>
          <w:tcPr>
            <w:tcW w:w="3827" w:type="dxa"/>
            <w:hideMark/>
          </w:tcPr>
          <w:p w14:paraId="22C8D102" w14:textId="77777777" w:rsidR="00C44854" w:rsidRPr="00CE7104" w:rsidRDefault="00C44854" w:rsidP="00D07169">
            <w:pPr>
              <w:keepNext/>
              <w:jc w:val="left"/>
              <w:rPr>
                <w:b/>
              </w:rPr>
            </w:pPr>
            <w:r>
              <w:rPr>
                <w:b/>
              </w:rPr>
              <w:t>Prüfungsrichtlinien landesüblicher Name</w:t>
            </w:r>
          </w:p>
        </w:tc>
      </w:tr>
      <w:tr w:rsidR="00C44854" w:rsidRPr="00CE7104" w14:paraId="4424E21D" w14:textId="77777777" w:rsidTr="00D07169">
        <w:trPr>
          <w:trHeight w:val="262"/>
          <w:jc w:val="center"/>
        </w:trPr>
        <w:tc>
          <w:tcPr>
            <w:tcW w:w="2263" w:type="dxa"/>
            <w:hideMark/>
          </w:tcPr>
          <w:p w14:paraId="5FCC1E48" w14:textId="77777777" w:rsidR="00C44854" w:rsidRPr="00CE7104" w:rsidRDefault="00C44854" w:rsidP="00D07169">
            <w:pPr>
              <w:keepNext/>
              <w:jc w:val="left"/>
            </w:pPr>
            <w:r>
              <w:t>TG/11/8 Rev.</w:t>
            </w:r>
          </w:p>
        </w:tc>
        <w:tc>
          <w:tcPr>
            <w:tcW w:w="3827" w:type="dxa"/>
            <w:hideMark/>
          </w:tcPr>
          <w:p w14:paraId="34B2A306" w14:textId="77777777" w:rsidR="00C44854" w:rsidRPr="00CE7104" w:rsidRDefault="00C44854" w:rsidP="00D07169">
            <w:pPr>
              <w:keepNext/>
              <w:jc w:val="left"/>
            </w:pPr>
            <w:r>
              <w:t>Rose</w:t>
            </w:r>
          </w:p>
        </w:tc>
      </w:tr>
    </w:tbl>
    <w:p w14:paraId="56035092" w14:textId="77777777" w:rsidR="00C44854" w:rsidRPr="00CE7104" w:rsidRDefault="00C44854" w:rsidP="00C44854"/>
    <w:p w14:paraId="5836C94E" w14:textId="77777777" w:rsidR="00C44854" w:rsidRPr="00CE7104" w:rsidRDefault="00C44854" w:rsidP="00C44854">
      <w:pPr>
        <w:pStyle w:val="ListParagraph"/>
        <w:keepNext/>
        <w:numPr>
          <w:ilvl w:val="0"/>
          <w:numId w:val="14"/>
        </w:numPr>
      </w:pPr>
      <w:r>
        <w:t xml:space="preserve">TWA: </w:t>
      </w:r>
    </w:p>
    <w:tbl>
      <w:tblPr>
        <w:tblStyle w:val="TableGrid"/>
        <w:tblW w:w="6090" w:type="dxa"/>
        <w:jc w:val="center"/>
        <w:tblLayout w:type="fixed"/>
        <w:tblLook w:val="04A0" w:firstRow="1" w:lastRow="0" w:firstColumn="1" w:lastColumn="0" w:noHBand="0" w:noVBand="1"/>
      </w:tblPr>
      <w:tblGrid>
        <w:gridCol w:w="2263"/>
        <w:gridCol w:w="3827"/>
      </w:tblGrid>
      <w:tr w:rsidR="00C44854" w:rsidRPr="00CE7104" w14:paraId="5BEF65BC" w14:textId="77777777" w:rsidTr="00D07169">
        <w:trPr>
          <w:trHeight w:val="377"/>
          <w:tblHeader/>
          <w:jc w:val="center"/>
        </w:trPr>
        <w:tc>
          <w:tcPr>
            <w:tcW w:w="2263" w:type="dxa"/>
            <w:hideMark/>
          </w:tcPr>
          <w:p w14:paraId="48D58E20" w14:textId="77777777" w:rsidR="00C44854" w:rsidRPr="00CE7104" w:rsidRDefault="00C44854" w:rsidP="00D07169">
            <w:pPr>
              <w:jc w:val="left"/>
              <w:rPr>
                <w:b/>
              </w:rPr>
            </w:pPr>
            <w:r>
              <w:rPr>
                <w:b/>
              </w:rPr>
              <w:t>TG-Referenz</w:t>
            </w:r>
          </w:p>
        </w:tc>
        <w:tc>
          <w:tcPr>
            <w:tcW w:w="3827" w:type="dxa"/>
            <w:hideMark/>
          </w:tcPr>
          <w:p w14:paraId="43BA44D5" w14:textId="77777777" w:rsidR="00C44854" w:rsidRPr="00CE7104" w:rsidRDefault="00C44854" w:rsidP="00D07169">
            <w:pPr>
              <w:jc w:val="left"/>
              <w:rPr>
                <w:b/>
              </w:rPr>
            </w:pPr>
            <w:r>
              <w:rPr>
                <w:b/>
              </w:rPr>
              <w:t>Prüfungsrichtlinien landesüblicher Name</w:t>
            </w:r>
          </w:p>
        </w:tc>
      </w:tr>
      <w:tr w:rsidR="00C44854" w:rsidRPr="00CE7104" w14:paraId="6834E4F9" w14:textId="77777777" w:rsidTr="00D07169">
        <w:trPr>
          <w:trHeight w:val="262"/>
          <w:jc w:val="center"/>
        </w:trPr>
        <w:tc>
          <w:tcPr>
            <w:tcW w:w="2263" w:type="dxa"/>
            <w:hideMark/>
          </w:tcPr>
          <w:p w14:paraId="0A1ECCA5" w14:textId="77777777" w:rsidR="00C44854" w:rsidRPr="00CE7104" w:rsidRDefault="00C44854" w:rsidP="00D07169">
            <w:pPr>
              <w:jc w:val="left"/>
            </w:pPr>
            <w:r>
              <w:t>TG/2/7</w:t>
            </w:r>
          </w:p>
        </w:tc>
        <w:tc>
          <w:tcPr>
            <w:tcW w:w="3827" w:type="dxa"/>
            <w:hideMark/>
          </w:tcPr>
          <w:p w14:paraId="5A9D8645" w14:textId="77777777" w:rsidR="00C44854" w:rsidRPr="00CE7104" w:rsidRDefault="00C44854" w:rsidP="00D07169">
            <w:pPr>
              <w:jc w:val="left"/>
            </w:pPr>
            <w:r>
              <w:t>Mais</w:t>
            </w:r>
          </w:p>
        </w:tc>
      </w:tr>
      <w:tr w:rsidR="00C44854" w:rsidRPr="00CE7104" w14:paraId="51B8368E" w14:textId="77777777" w:rsidTr="00D07169">
        <w:trPr>
          <w:trHeight w:val="262"/>
          <w:jc w:val="center"/>
        </w:trPr>
        <w:tc>
          <w:tcPr>
            <w:tcW w:w="2263" w:type="dxa"/>
          </w:tcPr>
          <w:p w14:paraId="5041117A" w14:textId="77777777" w:rsidR="00C44854" w:rsidRPr="00CE7104" w:rsidRDefault="00C44854" w:rsidP="00D07169">
            <w:pPr>
              <w:jc w:val="left"/>
            </w:pPr>
            <w:r>
              <w:t>TG/3/12</w:t>
            </w:r>
          </w:p>
        </w:tc>
        <w:tc>
          <w:tcPr>
            <w:tcW w:w="3827" w:type="dxa"/>
          </w:tcPr>
          <w:p w14:paraId="6B485A2C" w14:textId="77777777" w:rsidR="00C44854" w:rsidRPr="00CE7104" w:rsidRDefault="00C44854" w:rsidP="00D07169">
            <w:pPr>
              <w:jc w:val="left"/>
            </w:pPr>
            <w:r>
              <w:t>Weizen</w:t>
            </w:r>
          </w:p>
        </w:tc>
      </w:tr>
      <w:tr w:rsidR="00C44854" w:rsidRPr="00CE7104" w14:paraId="5C78834D" w14:textId="77777777" w:rsidTr="00D07169">
        <w:trPr>
          <w:trHeight w:val="262"/>
          <w:jc w:val="center"/>
        </w:trPr>
        <w:tc>
          <w:tcPr>
            <w:tcW w:w="2263" w:type="dxa"/>
          </w:tcPr>
          <w:p w14:paraId="2311C712" w14:textId="77777777" w:rsidR="00C44854" w:rsidRPr="00CE7104" w:rsidRDefault="00C44854" w:rsidP="00D07169">
            <w:pPr>
              <w:jc w:val="left"/>
            </w:pPr>
            <w:r>
              <w:t>TG/276/1</w:t>
            </w:r>
          </w:p>
        </w:tc>
        <w:tc>
          <w:tcPr>
            <w:tcW w:w="3827" w:type="dxa"/>
          </w:tcPr>
          <w:p w14:paraId="7C0EBD13" w14:textId="77777777" w:rsidR="00C44854" w:rsidRPr="00CE7104" w:rsidRDefault="00C44854" w:rsidP="00D07169">
            <w:pPr>
              <w:jc w:val="left"/>
            </w:pPr>
            <w:r>
              <w:t>Hanf</w:t>
            </w:r>
          </w:p>
        </w:tc>
      </w:tr>
    </w:tbl>
    <w:p w14:paraId="1652157D" w14:textId="77777777" w:rsidR="00C44854" w:rsidRPr="00CE7104" w:rsidRDefault="00C44854" w:rsidP="00C44854">
      <w:pPr>
        <w:ind w:left="720"/>
      </w:pPr>
    </w:p>
    <w:p w14:paraId="660F2131" w14:textId="77777777" w:rsidR="00C44854" w:rsidRPr="00CE7104" w:rsidRDefault="00C44854" w:rsidP="00C44854">
      <w:pPr>
        <w:pStyle w:val="ListParagraph"/>
        <w:numPr>
          <w:ilvl w:val="0"/>
          <w:numId w:val="14"/>
        </w:numPr>
      </w:pPr>
      <w:r>
        <w:t xml:space="preserve">TWF: </w:t>
      </w:r>
    </w:p>
    <w:tbl>
      <w:tblPr>
        <w:tblStyle w:val="TableGrid"/>
        <w:tblW w:w="6090" w:type="dxa"/>
        <w:jc w:val="center"/>
        <w:tblLayout w:type="fixed"/>
        <w:tblLook w:val="04A0" w:firstRow="1" w:lastRow="0" w:firstColumn="1" w:lastColumn="0" w:noHBand="0" w:noVBand="1"/>
      </w:tblPr>
      <w:tblGrid>
        <w:gridCol w:w="2263"/>
        <w:gridCol w:w="3827"/>
      </w:tblGrid>
      <w:tr w:rsidR="00C44854" w:rsidRPr="00CE7104" w14:paraId="4ED741DF" w14:textId="77777777" w:rsidTr="00D07169">
        <w:trPr>
          <w:trHeight w:val="377"/>
          <w:tblHeader/>
          <w:jc w:val="center"/>
        </w:trPr>
        <w:tc>
          <w:tcPr>
            <w:tcW w:w="2263" w:type="dxa"/>
            <w:hideMark/>
          </w:tcPr>
          <w:p w14:paraId="6D794B43" w14:textId="77777777" w:rsidR="00C44854" w:rsidRPr="00CE7104" w:rsidRDefault="00C44854" w:rsidP="00D07169">
            <w:pPr>
              <w:jc w:val="left"/>
              <w:rPr>
                <w:b/>
              </w:rPr>
            </w:pPr>
            <w:r>
              <w:rPr>
                <w:b/>
              </w:rPr>
              <w:t>TG-Referenz</w:t>
            </w:r>
          </w:p>
        </w:tc>
        <w:tc>
          <w:tcPr>
            <w:tcW w:w="3827" w:type="dxa"/>
            <w:hideMark/>
          </w:tcPr>
          <w:p w14:paraId="614929D9" w14:textId="77777777" w:rsidR="00C44854" w:rsidRPr="00CE7104" w:rsidRDefault="00C44854" w:rsidP="00D07169">
            <w:pPr>
              <w:jc w:val="left"/>
              <w:rPr>
                <w:b/>
              </w:rPr>
            </w:pPr>
            <w:r>
              <w:rPr>
                <w:b/>
              </w:rPr>
              <w:t>Prüfungsrichtlinien landesüblicher Name</w:t>
            </w:r>
          </w:p>
        </w:tc>
      </w:tr>
      <w:tr w:rsidR="00C44854" w:rsidRPr="00CE7104" w14:paraId="14DC6919" w14:textId="77777777" w:rsidTr="00D07169">
        <w:trPr>
          <w:trHeight w:val="262"/>
          <w:jc w:val="center"/>
        </w:trPr>
        <w:tc>
          <w:tcPr>
            <w:tcW w:w="2263" w:type="dxa"/>
            <w:hideMark/>
          </w:tcPr>
          <w:p w14:paraId="3306F243" w14:textId="77777777" w:rsidR="00C44854" w:rsidRPr="00CE7104" w:rsidRDefault="00C44854" w:rsidP="00D07169">
            <w:pPr>
              <w:jc w:val="left"/>
            </w:pPr>
            <w:r>
              <w:t>TG/53/7 Rev.</w:t>
            </w:r>
          </w:p>
        </w:tc>
        <w:tc>
          <w:tcPr>
            <w:tcW w:w="3827" w:type="dxa"/>
            <w:hideMark/>
          </w:tcPr>
          <w:p w14:paraId="2C88BD8C" w14:textId="77777777" w:rsidR="00C44854" w:rsidRPr="00CE7104" w:rsidRDefault="00C44854" w:rsidP="00D07169">
            <w:r>
              <w:t>Pfirsich</w:t>
            </w:r>
          </w:p>
        </w:tc>
      </w:tr>
      <w:tr w:rsidR="00C44854" w:rsidRPr="00CE7104" w14:paraId="743E6055" w14:textId="77777777" w:rsidTr="00D07169">
        <w:trPr>
          <w:trHeight w:val="262"/>
          <w:jc w:val="center"/>
        </w:trPr>
        <w:tc>
          <w:tcPr>
            <w:tcW w:w="2263" w:type="dxa"/>
          </w:tcPr>
          <w:p w14:paraId="66B89143" w14:textId="77777777" w:rsidR="00C44854" w:rsidRPr="00CE7104" w:rsidRDefault="00C44854" w:rsidP="00D07169">
            <w:pPr>
              <w:jc w:val="left"/>
            </w:pPr>
            <w:r>
              <w:t>TG/84/4 Corr. 2 Rev.</w:t>
            </w:r>
          </w:p>
        </w:tc>
        <w:tc>
          <w:tcPr>
            <w:tcW w:w="3827" w:type="dxa"/>
          </w:tcPr>
          <w:p w14:paraId="51A9A57C" w14:textId="77777777" w:rsidR="00C44854" w:rsidRPr="00CE7104" w:rsidRDefault="00C44854" w:rsidP="00D07169">
            <w:r>
              <w:t>Ostasiatische Pflaume</w:t>
            </w:r>
          </w:p>
        </w:tc>
      </w:tr>
      <w:tr w:rsidR="00C44854" w:rsidRPr="00CE7104" w14:paraId="16315441" w14:textId="77777777" w:rsidTr="00D07169">
        <w:trPr>
          <w:trHeight w:val="262"/>
          <w:jc w:val="center"/>
        </w:trPr>
        <w:tc>
          <w:tcPr>
            <w:tcW w:w="2263" w:type="dxa"/>
          </w:tcPr>
          <w:p w14:paraId="1802985D" w14:textId="77777777" w:rsidR="00C44854" w:rsidRPr="00CE7104" w:rsidRDefault="00C44854" w:rsidP="00D07169">
            <w:pPr>
              <w:jc w:val="left"/>
            </w:pPr>
            <w:r>
              <w:t>TG/98/7 Rev. Corr.</w:t>
            </w:r>
          </w:p>
        </w:tc>
        <w:tc>
          <w:tcPr>
            <w:tcW w:w="3827" w:type="dxa"/>
          </w:tcPr>
          <w:p w14:paraId="369BE873" w14:textId="77777777" w:rsidR="00C44854" w:rsidRPr="00CE7104" w:rsidRDefault="00C44854" w:rsidP="00D07169">
            <w:pPr>
              <w:jc w:val="left"/>
            </w:pPr>
            <w:r>
              <w:t>Kiwi</w:t>
            </w:r>
          </w:p>
        </w:tc>
      </w:tr>
      <w:tr w:rsidR="00C44854" w:rsidRPr="00CE7104" w14:paraId="4B3E5657" w14:textId="77777777" w:rsidTr="00D07169">
        <w:trPr>
          <w:trHeight w:val="262"/>
          <w:jc w:val="center"/>
        </w:trPr>
        <w:tc>
          <w:tcPr>
            <w:tcW w:w="2263" w:type="dxa"/>
          </w:tcPr>
          <w:p w14:paraId="7D79F83C" w14:textId="77777777" w:rsidR="00C44854" w:rsidRPr="00CE7104" w:rsidRDefault="00C44854" w:rsidP="00D07169">
            <w:pPr>
              <w:jc w:val="left"/>
            </w:pPr>
            <w:r>
              <w:t>TG/187/2</w:t>
            </w:r>
          </w:p>
        </w:tc>
        <w:tc>
          <w:tcPr>
            <w:tcW w:w="3827" w:type="dxa"/>
          </w:tcPr>
          <w:p w14:paraId="4B34FF98" w14:textId="77777777" w:rsidR="00C44854" w:rsidRPr="00CE7104" w:rsidRDefault="00C44854" w:rsidP="00D07169">
            <w:pPr>
              <w:jc w:val="left"/>
            </w:pPr>
            <w:r>
              <w:t>Prunus-Unterlagen</w:t>
            </w:r>
          </w:p>
        </w:tc>
      </w:tr>
    </w:tbl>
    <w:p w14:paraId="0F44FCFA" w14:textId="77777777" w:rsidR="003805CD" w:rsidRDefault="003805CD" w:rsidP="00AC5450">
      <w:pPr>
        <w:keepNext/>
      </w:pPr>
    </w:p>
    <w:p w14:paraId="64A9B95E" w14:textId="507A96BC" w:rsidR="00C44854" w:rsidRDefault="00C44854" w:rsidP="00313FAF">
      <w:r>
        <w:fldChar w:fldCharType="begin"/>
      </w:r>
      <w:r>
        <w:instrText xml:space="preserve"> AUTONUM  </w:instrText>
      </w:r>
      <w:r>
        <w:fldChar w:fldCharType="end"/>
      </w:r>
      <w:r>
        <w:tab/>
      </w:r>
      <w:r>
        <w:rPr>
          <w:snapToGrid w:val="0"/>
        </w:rPr>
        <w:t xml:space="preserve">Der TC nahm zur Kenntnis, dass die TWV interessierte Sachverständige </w:t>
      </w:r>
      <w:r w:rsidRPr="00D132B8">
        <w:rPr>
          <w:snapToGrid w:val="0"/>
        </w:rPr>
        <w:t>gebeten habe,</w:t>
      </w:r>
      <w:r w:rsidR="00C3249E">
        <w:rPr>
          <w:snapToGrid w:val="0"/>
        </w:rPr>
        <w:t xml:space="preserve"> </w:t>
      </w:r>
      <w:r>
        <w:t>die Aufnahme von Merkmalen in die Technischen Fragebögen für</w:t>
      </w:r>
      <w:r>
        <w:rPr>
          <w:snapToGrid w:val="0"/>
        </w:rPr>
        <w:t xml:space="preserve"> Möhre, Salatgurke, Salat, Mais, Melone, Spinat, Kürbis, Tomaten-Unterlagen und Wassermelone </w:t>
      </w:r>
      <w:r>
        <w:t>zu erörtern, auch mit Bezug auf einen etwaigen stellenweisen Überarbeitungsbedarf für Dokument TGP/7</w:t>
      </w:r>
      <w:r>
        <w:rPr>
          <w:snapToGrid w:val="0"/>
        </w:rPr>
        <w:t>.</w:t>
      </w:r>
    </w:p>
    <w:p w14:paraId="5E392DFA" w14:textId="77777777" w:rsidR="00CE7104" w:rsidRDefault="00CE7104" w:rsidP="00D07169">
      <w:pPr>
        <w:rPr>
          <w:i/>
          <w:snapToGrid w:val="0"/>
        </w:rPr>
      </w:pPr>
    </w:p>
    <w:p w14:paraId="52A5C010" w14:textId="09F5778D" w:rsidR="00D07169" w:rsidRPr="002760AD" w:rsidRDefault="00D07169" w:rsidP="00D07169">
      <w:pPr>
        <w:rPr>
          <w:snapToGrid w:val="0"/>
        </w:rPr>
      </w:pPr>
      <w:r w:rsidRPr="00D07169">
        <w:fldChar w:fldCharType="begin"/>
      </w:r>
      <w:r w:rsidRPr="00D07169">
        <w:instrText xml:space="preserve"> AUTONUM  </w:instrText>
      </w:r>
      <w:r w:rsidRPr="00D07169">
        <w:fldChar w:fldCharType="end"/>
      </w:r>
      <w:r>
        <w:tab/>
        <w:t>Der TC nahm zur Kenntnis, dass die TWO den Sachverständigen aus der Europäischen Union gebeten habe, die Gespräche zur Ermittlung der Merkmale, die in den Technischen Fragebogen für Rose aufgenommen werden sollen, zu koordinieren, auch mit Bezug auf einen etwaigen stellenweisen Überarbeitungsbedarf für Dokument TGP/7.</w:t>
      </w:r>
    </w:p>
    <w:p w14:paraId="3BC60366" w14:textId="77777777" w:rsidR="00CE7104" w:rsidRDefault="00CE7104" w:rsidP="00313FAF">
      <w:pPr>
        <w:rPr>
          <w:i/>
        </w:rPr>
      </w:pPr>
    </w:p>
    <w:p w14:paraId="367D34E0" w14:textId="77777777" w:rsidR="00C44854" w:rsidRDefault="00D07169" w:rsidP="00313FAF">
      <w:r>
        <w:fldChar w:fldCharType="begin"/>
      </w:r>
      <w:r>
        <w:instrText xml:space="preserve"> AUTONUM  </w:instrText>
      </w:r>
      <w:r>
        <w:fldChar w:fldCharType="end"/>
      </w:r>
      <w:r>
        <w:tab/>
      </w:r>
      <w:r>
        <w:rPr>
          <w:snapToGrid w:val="0"/>
        </w:rPr>
        <w:t>Der TC nahm zur Kenntnis, dass der Vorschlag einer Teilüberarbeitung der Prüfungsrichtlinien für Hanf angenommen worden sei, wie in Dokument TC/57/19 dargelegt.</w:t>
      </w:r>
    </w:p>
    <w:p w14:paraId="7C624086" w14:textId="77777777" w:rsidR="00C44854" w:rsidRDefault="00C44854" w:rsidP="00313FAF"/>
    <w:p w14:paraId="60525C00" w14:textId="64BA45B6" w:rsidR="00D07169" w:rsidRDefault="00D07169" w:rsidP="00313FAF">
      <w:pPr>
        <w:rPr>
          <w:snapToGrid w:val="0"/>
        </w:rPr>
      </w:pPr>
      <w:r>
        <w:fldChar w:fldCharType="begin"/>
      </w:r>
      <w:r>
        <w:instrText xml:space="preserve"> AUTONUM  </w:instrText>
      </w:r>
      <w:r>
        <w:fldChar w:fldCharType="end"/>
      </w:r>
      <w:r>
        <w:tab/>
      </w:r>
      <w:r>
        <w:rPr>
          <w:snapToGrid w:val="0"/>
        </w:rPr>
        <w:t xml:space="preserve">Der TC nahm zur Kenntnis, dass die TWA den Sachverständigen aus der Europäischen Union gebeten habe, die Gespräche zwischen den Sachverständigen der TWA und TWV </w:t>
      </w:r>
      <w:r w:rsidRPr="00D132B8">
        <w:rPr>
          <w:snapToGrid w:val="0"/>
        </w:rPr>
        <w:t>zwecks Vorschlag</w:t>
      </w:r>
      <w:r w:rsidR="00C3249E" w:rsidRPr="00D132B8">
        <w:rPr>
          <w:snapToGrid w:val="0"/>
        </w:rPr>
        <w:t>ens</w:t>
      </w:r>
      <w:r>
        <w:rPr>
          <w:snapToGrid w:val="0"/>
        </w:rPr>
        <w:t xml:space="preserve"> von Merkmalen, die in den Technischen Fragebogen für Mais aufgenommen werden sollen, zu koordinieren,</w:t>
      </w:r>
    </w:p>
    <w:p w14:paraId="52A047A3" w14:textId="77777777" w:rsidR="00D07169" w:rsidRDefault="00D07169" w:rsidP="00313FAF">
      <w:pPr>
        <w:rPr>
          <w:snapToGrid w:val="0"/>
        </w:rPr>
      </w:pPr>
    </w:p>
    <w:p w14:paraId="69E917AC" w14:textId="77777777" w:rsidR="00D07169" w:rsidRDefault="00D07169" w:rsidP="00313FAF">
      <w:pPr>
        <w:rPr>
          <w:snapToGrid w:val="0"/>
        </w:rPr>
      </w:pPr>
      <w:r>
        <w:fldChar w:fldCharType="begin"/>
      </w:r>
      <w:r>
        <w:instrText xml:space="preserve"> AUTONUM  </w:instrText>
      </w:r>
      <w:r>
        <w:fldChar w:fldCharType="end"/>
      </w:r>
      <w:r>
        <w:tab/>
      </w:r>
      <w:r>
        <w:rPr>
          <w:snapToGrid w:val="0"/>
        </w:rPr>
        <w:t>Der TC nahm zur Kenntnis, dass die TWA den Sachverständigen aus dem Vereinigten Königreich gebeten habe, die Gespräche zu koordinieren und einen Vorschlag zur Überarbeitung des Technischen Fragebogens für Weizen vorzulegen.</w:t>
      </w:r>
    </w:p>
    <w:p w14:paraId="2E3E0B0F" w14:textId="77777777" w:rsidR="00D07169" w:rsidRDefault="00D07169" w:rsidP="00313FAF">
      <w:pPr>
        <w:rPr>
          <w:snapToGrid w:val="0"/>
        </w:rPr>
      </w:pPr>
    </w:p>
    <w:p w14:paraId="1D3B15AB" w14:textId="77777777" w:rsidR="00D07169" w:rsidRDefault="00D07169" w:rsidP="00313FAF">
      <w:pPr>
        <w:rPr>
          <w:snapToGrid w:val="0"/>
        </w:rPr>
      </w:pPr>
      <w:r>
        <w:fldChar w:fldCharType="begin"/>
      </w:r>
      <w:r>
        <w:instrText xml:space="preserve"> AUTONUM  </w:instrText>
      </w:r>
      <w:r>
        <w:fldChar w:fldCharType="end"/>
      </w:r>
      <w:r>
        <w:tab/>
      </w:r>
      <w:r>
        <w:rPr>
          <w:snapToGrid w:val="0"/>
        </w:rPr>
        <w:t>Der TC nahm zur Kenntnis, dass die TWA Sachverständige um die Erörterung der Prüfungsrichtlinien für Mais und Weizen ersucht habe, um zu prüfen, ob die Anleitung in Dokument TGP/7 im Hinblick auf die unterschiedliche Verwendung von Sternchen in den Prüfungsrichtlinien und bei den TQ-Merkmalen überarbeitet werden sollte.</w:t>
      </w:r>
    </w:p>
    <w:p w14:paraId="7EBB0514" w14:textId="77777777" w:rsidR="00D07169" w:rsidRDefault="00D07169" w:rsidP="00AC5450">
      <w:pPr>
        <w:keepNext/>
      </w:pPr>
    </w:p>
    <w:p w14:paraId="67BEC6CD" w14:textId="77777777" w:rsidR="00D07169" w:rsidRDefault="00D07169" w:rsidP="00313FAF">
      <w:pPr>
        <w:rPr>
          <w:snapToGrid w:val="0"/>
        </w:rPr>
      </w:pPr>
      <w:r>
        <w:fldChar w:fldCharType="begin"/>
      </w:r>
      <w:r>
        <w:instrText xml:space="preserve"> AUTONUM  </w:instrText>
      </w:r>
      <w:r>
        <w:fldChar w:fldCharType="end"/>
      </w:r>
      <w:r>
        <w:tab/>
      </w:r>
      <w:r>
        <w:rPr>
          <w:snapToGrid w:val="0"/>
        </w:rPr>
        <w:t>Der TC nahm zur Kenntnis, dass die Vorschläge einer Teilüberarbeitung der Prüfungsrichtlinien für Pfirsich, Ostasiatische Pflaume, Kiwi und Prunus-Unterlagen angenommen worden seien, wie in den Dokumenten TC/57/20, TC/57/21, TC/57/22 und TC/57/23 jeweils dargelegt.</w:t>
      </w:r>
    </w:p>
    <w:p w14:paraId="1CDD8E1A" w14:textId="77777777" w:rsidR="00D07169" w:rsidRDefault="00D07169" w:rsidP="00313FAF">
      <w:pPr>
        <w:rPr>
          <w:snapToGrid w:val="0"/>
        </w:rPr>
      </w:pPr>
    </w:p>
    <w:p w14:paraId="7AA136EF" w14:textId="77777777" w:rsidR="00D07169" w:rsidRPr="007C5589" w:rsidRDefault="00D07169" w:rsidP="00D07169">
      <w:pPr>
        <w:pStyle w:val="Heading4"/>
      </w:pPr>
      <w:r>
        <w:rPr>
          <w:snapToGrid w:val="0"/>
        </w:rPr>
        <w:t>Harmonisierung Technischer Fragebögen in der Europäischen Union</w:t>
      </w:r>
      <w:r>
        <w:rPr>
          <w:highlight w:val="yellow"/>
        </w:rPr>
        <w:t xml:space="preserve"> </w:t>
      </w:r>
    </w:p>
    <w:p w14:paraId="15C57792" w14:textId="77777777" w:rsidR="00D07169" w:rsidRDefault="00D07169" w:rsidP="00AC5450">
      <w:pPr>
        <w:keepNext/>
        <w:rPr>
          <w:snapToGrid w:val="0"/>
        </w:rPr>
      </w:pPr>
    </w:p>
    <w:p w14:paraId="5388E28C" w14:textId="77777777" w:rsidR="00D07169" w:rsidRDefault="00D07169" w:rsidP="00313FAF">
      <w:pPr>
        <w:rPr>
          <w:snapToGrid w:val="0"/>
        </w:rPr>
      </w:pPr>
      <w:r>
        <w:fldChar w:fldCharType="begin"/>
      </w:r>
      <w:r>
        <w:instrText xml:space="preserve"> AUTONUM  </w:instrText>
      </w:r>
      <w:r>
        <w:fldChar w:fldCharType="end"/>
      </w:r>
      <w:r>
        <w:tab/>
      </w:r>
      <w:r>
        <w:rPr>
          <w:snapToGrid w:val="0"/>
        </w:rPr>
        <w:t>Der TC nahm das Referat über ein „Projekt zur Harmonisierung Technischer Fragebögen in der Europäischen Union“ zur Kenntnis, das auf der fünfundfünfzigsten Tagung der TWV gehalten wurde.</w:t>
      </w:r>
    </w:p>
    <w:p w14:paraId="4567EBC7" w14:textId="77777777" w:rsidR="00D07169" w:rsidRDefault="00D07169" w:rsidP="00313FAF"/>
    <w:p w14:paraId="3ECCFFBE" w14:textId="77777777" w:rsidR="00D07169" w:rsidRDefault="00D07169" w:rsidP="004E282E">
      <w:pPr>
        <w:pStyle w:val="Heading3"/>
      </w:pPr>
      <w:bookmarkStart w:id="59" w:name="_Toc21019265"/>
      <w:bookmarkStart w:id="60" w:name="_Toc81228947"/>
      <w:r>
        <w:t>Ergänzende Merkmale</w:t>
      </w:r>
      <w:bookmarkEnd w:id="59"/>
      <w:bookmarkEnd w:id="60"/>
    </w:p>
    <w:p w14:paraId="597BFCAE" w14:textId="77777777" w:rsidR="00D07169" w:rsidRDefault="00D07169" w:rsidP="00AC5450">
      <w:pPr>
        <w:keepNext/>
      </w:pPr>
    </w:p>
    <w:p w14:paraId="04998531" w14:textId="77777777" w:rsidR="00D07169" w:rsidRDefault="00D07169" w:rsidP="00313FAF">
      <w:pPr>
        <w:rPr>
          <w:snapToGrid w:val="0"/>
        </w:rPr>
      </w:pPr>
      <w:r>
        <w:fldChar w:fldCharType="begin"/>
      </w:r>
      <w:r>
        <w:instrText xml:space="preserve"> AUTONUM  </w:instrText>
      </w:r>
      <w:r>
        <w:fldChar w:fldCharType="end"/>
      </w:r>
      <w:r>
        <w:tab/>
      </w:r>
      <w:r>
        <w:rPr>
          <w:snapToGrid w:val="0"/>
        </w:rPr>
        <w:t>Der TC nahm zur Kenntnis, dass seit seiner sechsundfünfzigsten Tagung dem Verbandsbüro folgende ergänzende Merkmale mitgeteilt wurden:</w:t>
      </w:r>
    </w:p>
    <w:p w14:paraId="10976472" w14:textId="77777777" w:rsidR="002309AF" w:rsidRDefault="002309AF" w:rsidP="00313FAF">
      <w:pPr>
        <w:rPr>
          <w:snapToGrid w:val="0"/>
        </w:rPr>
      </w:pPr>
    </w:p>
    <w:p w14:paraId="1AF5335F" w14:textId="77777777" w:rsidR="002309AF" w:rsidRDefault="002309AF" w:rsidP="002309AF">
      <w:pPr>
        <w:pStyle w:val="ListParagraph"/>
        <w:numPr>
          <w:ilvl w:val="0"/>
          <w:numId w:val="29"/>
        </w:numPr>
        <w:ind w:left="1134" w:hanging="567"/>
      </w:pPr>
      <w:r>
        <w:rPr>
          <w:i/>
        </w:rPr>
        <w:t>Brassica napus</w:t>
      </w:r>
      <w:r>
        <w:t xml:space="preserve"> L.: </w:t>
      </w:r>
    </w:p>
    <w:p w14:paraId="4BC081B4" w14:textId="77777777" w:rsidR="002309AF" w:rsidRDefault="002309AF" w:rsidP="002309AF">
      <w:pPr>
        <w:pStyle w:val="ListParagraph"/>
        <w:numPr>
          <w:ilvl w:val="1"/>
          <w:numId w:val="29"/>
        </w:numPr>
        <w:ind w:left="1701" w:hanging="567"/>
      </w:pPr>
      <w:r>
        <w:t>„Alpha-Linolensäure-Gehalt“</w:t>
      </w:r>
    </w:p>
    <w:p w14:paraId="333CA717" w14:textId="77777777" w:rsidR="002309AF" w:rsidRDefault="002309AF" w:rsidP="002309AF">
      <w:pPr>
        <w:pStyle w:val="ListParagraph"/>
        <w:numPr>
          <w:ilvl w:val="0"/>
          <w:numId w:val="29"/>
        </w:numPr>
        <w:ind w:left="1134" w:hanging="567"/>
      </w:pPr>
      <w:r>
        <w:rPr>
          <w:i/>
        </w:rPr>
        <w:t>Lolium perenne</w:t>
      </w:r>
      <w:r>
        <w:t xml:space="preserve"> L.:  </w:t>
      </w:r>
    </w:p>
    <w:p w14:paraId="38E2E8E2" w14:textId="77777777" w:rsidR="002309AF" w:rsidRDefault="002309AF" w:rsidP="002309AF">
      <w:pPr>
        <w:pStyle w:val="ListParagraph"/>
        <w:numPr>
          <w:ilvl w:val="1"/>
          <w:numId w:val="29"/>
        </w:numPr>
        <w:ind w:left="1701" w:hanging="567"/>
      </w:pPr>
      <w:r>
        <w:t>„Pflanze: Länge im Herbst des Aussaatjahres“</w:t>
      </w:r>
    </w:p>
    <w:p w14:paraId="740D0389" w14:textId="77777777" w:rsidR="002309AF" w:rsidRDefault="002309AF" w:rsidP="002309AF">
      <w:pPr>
        <w:pStyle w:val="ListParagraph"/>
        <w:numPr>
          <w:ilvl w:val="0"/>
          <w:numId w:val="29"/>
        </w:numPr>
        <w:ind w:left="1134" w:hanging="567"/>
      </w:pPr>
      <w:r>
        <w:rPr>
          <w:i/>
        </w:rPr>
        <w:t>Triticum aestivum</w:t>
      </w:r>
      <w:r>
        <w:t xml:space="preserve"> L.:</w:t>
      </w:r>
    </w:p>
    <w:p w14:paraId="324D8C04" w14:textId="77777777" w:rsidR="002309AF" w:rsidRDefault="002309AF" w:rsidP="002309AF">
      <w:pPr>
        <w:pStyle w:val="ListParagraph"/>
        <w:numPr>
          <w:ilvl w:val="1"/>
          <w:numId w:val="29"/>
        </w:numPr>
        <w:ind w:left="1701" w:hanging="567"/>
      </w:pPr>
      <w:r>
        <w:t>„Pollenproduktion (männliche Sterilität)“</w:t>
      </w:r>
    </w:p>
    <w:p w14:paraId="640148FF" w14:textId="77777777" w:rsidR="00D07169" w:rsidRDefault="00D07169" w:rsidP="00313FAF">
      <w:pPr>
        <w:rPr>
          <w:snapToGrid w:val="0"/>
        </w:rPr>
      </w:pPr>
    </w:p>
    <w:p w14:paraId="205A4CC9" w14:textId="77777777" w:rsidR="00D07169" w:rsidRDefault="00D07169" w:rsidP="00313FAF">
      <w:r>
        <w:fldChar w:fldCharType="begin"/>
      </w:r>
      <w:r>
        <w:instrText xml:space="preserve"> AUTONUM  </w:instrText>
      </w:r>
      <w:r>
        <w:fldChar w:fldCharType="end"/>
      </w:r>
      <w:r>
        <w:tab/>
      </w:r>
      <w:r>
        <w:rPr>
          <w:snapToGrid w:val="0"/>
        </w:rPr>
        <w:t>Der TC nahm zur Kenntnis, dass die mitgeteilten ergänzenden Merkmale der TWA auf ihrer einundfünfzigsten Tagung vorgelegt werden, damit geprüft wird, ob sie auf der Webseite der Verfasser von Prüfungsrichtlinien</w:t>
      </w:r>
      <w:r>
        <w:rPr>
          <w:b/>
          <w:bCs/>
          <w:snapToGrid w:val="0"/>
        </w:rPr>
        <w:t xml:space="preserve"> </w:t>
      </w:r>
      <w:r>
        <w:rPr>
          <w:snapToGrid w:val="0"/>
        </w:rPr>
        <w:t>der UPOV-Webseite veröffentlicht werden sollen und/oder ob eine Überarbeitung oder Teilüberarbeitung der betreffenden Prüfungsrichtlinien eingeleitet werden soll.</w:t>
      </w:r>
      <w:r>
        <w:rPr>
          <w:b/>
          <w:bCs/>
          <w:snapToGrid w:val="0"/>
        </w:rPr>
        <w:t xml:space="preserve"> </w:t>
      </w:r>
    </w:p>
    <w:p w14:paraId="43406EF2" w14:textId="77777777" w:rsidR="00C44854" w:rsidRDefault="00C44854" w:rsidP="00313FAF"/>
    <w:p w14:paraId="19ED0F09" w14:textId="77777777" w:rsidR="00D07169" w:rsidRDefault="00D07169" w:rsidP="004E282E">
      <w:pPr>
        <w:pStyle w:val="Heading3"/>
      </w:pPr>
      <w:bookmarkStart w:id="61" w:name="_Toc81228950"/>
      <w:r>
        <w:t>Zur Annahme ausstehende Prüfungsrichtlinien</w:t>
      </w:r>
      <w:bookmarkEnd w:id="61"/>
    </w:p>
    <w:p w14:paraId="36668CEF" w14:textId="77777777" w:rsidR="00D07169" w:rsidRDefault="00D07169" w:rsidP="00AC5450">
      <w:pPr>
        <w:keepNext/>
      </w:pPr>
    </w:p>
    <w:p w14:paraId="17397D4D" w14:textId="77777777" w:rsidR="00D07169" w:rsidRDefault="00D07169" w:rsidP="00D07169">
      <w:r>
        <w:fldChar w:fldCharType="begin"/>
      </w:r>
      <w:r>
        <w:instrText xml:space="preserve"> AUTONUM  </w:instrText>
      </w:r>
      <w:r>
        <w:fldChar w:fldCharType="end"/>
      </w:r>
      <w:r>
        <w:tab/>
        <w:t>Gemäß den in Dokument TGP/7 festgelegten Verfahren nahm der TC zwei neue Prüfungsrichtlinien, vier überarbeitete Prüfungsrichtlinien und acht teilweise überarbeitete Prüfungsrichtlinien für die Durchführung der Prüfung auf Unterscheidbarkeit, Homogenität und Beständigkeit, wie in der nachfolgenden Tabelle aufgeführt, aufgrund der in Anlage II dieses Dokuments aufgeführten Änderungen und der vom TC-EDC empfohlenen sprachlichen Änderungen an.</w:t>
      </w:r>
    </w:p>
    <w:p w14:paraId="1388A999" w14:textId="77777777" w:rsidR="00D07169" w:rsidRDefault="00D07169" w:rsidP="00313FAF"/>
    <w:tbl>
      <w:tblPr>
        <w:tblW w:w="10080" w:type="dxa"/>
        <w:tblLayout w:type="fixed"/>
        <w:tblLook w:val="01E0" w:firstRow="1" w:lastRow="1" w:firstColumn="1" w:lastColumn="1" w:noHBand="0" w:noVBand="0"/>
      </w:tblPr>
      <w:tblGrid>
        <w:gridCol w:w="10080"/>
      </w:tblGrid>
      <w:tr w:rsidR="00D07169" w:rsidRPr="00D33300" w14:paraId="6AFBF0BE" w14:textId="77777777" w:rsidTr="00D07169">
        <w:tc>
          <w:tcPr>
            <w:tcW w:w="10080" w:type="dxa"/>
            <w:tcMar>
              <w:top w:w="0" w:type="dxa"/>
              <w:left w:w="0" w:type="dxa"/>
              <w:bottom w:w="0" w:type="dxa"/>
              <w:right w:w="0" w:type="dxa"/>
            </w:tcMar>
          </w:tcPr>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00"/>
              <w:gridCol w:w="870"/>
              <w:gridCol w:w="1245"/>
              <w:gridCol w:w="1530"/>
              <w:gridCol w:w="1365"/>
              <w:gridCol w:w="1440"/>
              <w:gridCol w:w="1350"/>
              <w:gridCol w:w="1500"/>
            </w:tblGrid>
            <w:tr w:rsidR="00D07169" w:rsidRPr="00D33300" w14:paraId="4196C8EA" w14:textId="77777777" w:rsidTr="00D07169">
              <w:tc>
                <w:tcPr>
                  <w:tcW w:w="600" w:type="dxa"/>
                  <w:shd w:val="clear" w:color="auto" w:fill="CACACA"/>
                  <w:tcMar>
                    <w:top w:w="0" w:type="dxa"/>
                    <w:left w:w="0" w:type="dxa"/>
                    <w:bottom w:w="0" w:type="dxa"/>
                    <w:right w:w="0" w:type="dxa"/>
                  </w:tcMar>
                  <w:vAlign w:val="center"/>
                </w:tcPr>
                <w:p w14:paraId="7CDF1604" w14:textId="77777777" w:rsidR="00D07169" w:rsidRPr="00D33300" w:rsidRDefault="00D07169" w:rsidP="00AC5450">
                  <w:pPr>
                    <w:keepLines/>
                    <w:jc w:val="left"/>
                  </w:pPr>
                  <w:r>
                    <w:rPr>
                      <w:color w:val="000000"/>
                      <w:sz w:val="16"/>
                      <w:shd w:val="clear" w:color="auto" w:fill="CACACA"/>
                    </w:rPr>
                    <w:t>**</w:t>
                  </w:r>
                </w:p>
              </w:tc>
              <w:tc>
                <w:tcPr>
                  <w:tcW w:w="870" w:type="dxa"/>
                  <w:shd w:val="clear" w:color="auto" w:fill="CACACA"/>
                  <w:tcMar>
                    <w:top w:w="0" w:type="dxa"/>
                    <w:left w:w="0" w:type="dxa"/>
                    <w:bottom w:w="0" w:type="dxa"/>
                    <w:right w:w="0" w:type="dxa"/>
                  </w:tcMar>
                  <w:vAlign w:val="center"/>
                </w:tcPr>
                <w:p w14:paraId="155C8394" w14:textId="77777777" w:rsidR="00D07169" w:rsidRPr="00D33300" w:rsidRDefault="00D07169" w:rsidP="00AC5450">
                  <w:pPr>
                    <w:keepLines/>
                    <w:jc w:val="left"/>
                  </w:pPr>
                  <w:r>
                    <w:rPr>
                      <w:color w:val="000000"/>
                      <w:sz w:val="16"/>
                      <w:shd w:val="clear" w:color="auto" w:fill="CACACA"/>
                    </w:rPr>
                    <w:t>TWP</w:t>
                  </w:r>
                </w:p>
              </w:tc>
              <w:tc>
                <w:tcPr>
                  <w:tcW w:w="1245" w:type="dxa"/>
                  <w:shd w:val="clear" w:color="auto" w:fill="CACACA"/>
                  <w:tcMar>
                    <w:top w:w="0" w:type="dxa"/>
                    <w:left w:w="0" w:type="dxa"/>
                    <w:bottom w:w="0" w:type="dxa"/>
                    <w:right w:w="0" w:type="dxa"/>
                  </w:tcMar>
                  <w:vAlign w:val="center"/>
                </w:tcPr>
                <w:p w14:paraId="19307C71" w14:textId="77777777" w:rsidR="00D07169" w:rsidRPr="0052329D" w:rsidRDefault="00D07169" w:rsidP="00AC5450">
                  <w:pPr>
                    <w:keepLines/>
                    <w:jc w:val="left"/>
                    <w:rPr>
                      <w:lang w:val="it-IT"/>
                    </w:rPr>
                  </w:pPr>
                  <w:r w:rsidRPr="0052329D">
                    <w:rPr>
                      <w:color w:val="000000"/>
                      <w:sz w:val="16"/>
                      <w:shd w:val="clear" w:color="auto" w:fill="CACACA"/>
                      <w:lang w:val="it-IT"/>
                    </w:rPr>
                    <w:t xml:space="preserve">Document No. </w:t>
                  </w:r>
                  <w:r w:rsidRPr="0052329D">
                    <w:rPr>
                      <w:color w:val="000000"/>
                      <w:sz w:val="16"/>
                      <w:shd w:val="clear" w:color="auto" w:fill="CACACA"/>
                      <w:lang w:val="it-IT"/>
                    </w:rPr>
                    <w:br/>
                    <w:t xml:space="preserve">No. du document </w:t>
                  </w:r>
                  <w:r w:rsidRPr="0052329D">
                    <w:rPr>
                      <w:color w:val="000000"/>
                      <w:sz w:val="16"/>
                      <w:shd w:val="clear" w:color="auto" w:fill="CACACA"/>
                      <w:lang w:val="it-IT"/>
                    </w:rPr>
                    <w:br/>
                    <w:t xml:space="preserve">Dokument-Nr. </w:t>
                  </w:r>
                  <w:r w:rsidRPr="0052329D">
                    <w:rPr>
                      <w:color w:val="000000"/>
                      <w:sz w:val="16"/>
                      <w:shd w:val="clear" w:color="auto" w:fill="CACACA"/>
                      <w:lang w:val="it-IT"/>
                    </w:rPr>
                    <w:br/>
                    <w:t>No del documento</w:t>
                  </w:r>
                  <w:r w:rsidRPr="0052329D">
                    <w:rPr>
                      <w:color w:val="000000"/>
                      <w:sz w:val="16"/>
                      <w:shd w:val="clear" w:color="auto" w:fill="CACACA"/>
                      <w:lang w:val="it-IT"/>
                    </w:rPr>
                    <w:br/>
                  </w:r>
                </w:p>
              </w:tc>
              <w:tc>
                <w:tcPr>
                  <w:tcW w:w="1530" w:type="dxa"/>
                  <w:shd w:val="clear" w:color="auto" w:fill="CACACA"/>
                  <w:tcMar>
                    <w:top w:w="0" w:type="dxa"/>
                    <w:left w:w="0" w:type="dxa"/>
                    <w:bottom w:w="0" w:type="dxa"/>
                    <w:right w:w="0" w:type="dxa"/>
                  </w:tcMar>
                  <w:vAlign w:val="center"/>
                </w:tcPr>
                <w:p w14:paraId="7422ACF3" w14:textId="77777777" w:rsidR="00D07169" w:rsidRPr="00D33300" w:rsidRDefault="00D07169" w:rsidP="00AC5450">
                  <w:pPr>
                    <w:keepLines/>
                    <w:jc w:val="left"/>
                  </w:pPr>
                  <w:r>
                    <w:rPr>
                      <w:color w:val="000000"/>
                      <w:sz w:val="16"/>
                      <w:shd w:val="clear" w:color="auto" w:fill="CACACA"/>
                    </w:rPr>
                    <w:t>Englisch</w:t>
                  </w:r>
                </w:p>
              </w:tc>
              <w:tc>
                <w:tcPr>
                  <w:tcW w:w="1365" w:type="dxa"/>
                  <w:shd w:val="clear" w:color="auto" w:fill="CACACA"/>
                  <w:tcMar>
                    <w:top w:w="0" w:type="dxa"/>
                    <w:left w:w="0" w:type="dxa"/>
                    <w:bottom w:w="0" w:type="dxa"/>
                    <w:right w:w="0" w:type="dxa"/>
                  </w:tcMar>
                  <w:vAlign w:val="center"/>
                </w:tcPr>
                <w:p w14:paraId="7151E56E" w14:textId="77777777" w:rsidR="00D07169" w:rsidRPr="00D33300" w:rsidRDefault="00D07169" w:rsidP="00AC5450">
                  <w:pPr>
                    <w:keepLines/>
                    <w:jc w:val="left"/>
                  </w:pPr>
                  <w:r>
                    <w:rPr>
                      <w:color w:val="000000"/>
                      <w:sz w:val="16"/>
                      <w:shd w:val="clear" w:color="auto" w:fill="CACACA"/>
                    </w:rPr>
                    <w:t>Français</w:t>
                  </w:r>
                </w:p>
              </w:tc>
              <w:tc>
                <w:tcPr>
                  <w:tcW w:w="1440" w:type="dxa"/>
                  <w:shd w:val="clear" w:color="auto" w:fill="CACACA"/>
                  <w:tcMar>
                    <w:top w:w="0" w:type="dxa"/>
                    <w:left w:w="0" w:type="dxa"/>
                    <w:bottom w:w="0" w:type="dxa"/>
                    <w:right w:w="0" w:type="dxa"/>
                  </w:tcMar>
                  <w:vAlign w:val="center"/>
                </w:tcPr>
                <w:p w14:paraId="6DDB903D" w14:textId="77777777" w:rsidR="00D07169" w:rsidRPr="00D33300" w:rsidRDefault="00D07169" w:rsidP="00AC5450">
                  <w:pPr>
                    <w:keepLines/>
                    <w:jc w:val="left"/>
                  </w:pPr>
                  <w:r>
                    <w:rPr>
                      <w:color w:val="000000"/>
                      <w:sz w:val="16"/>
                      <w:shd w:val="clear" w:color="auto" w:fill="CACACA"/>
                    </w:rPr>
                    <w:t>Deutsch</w:t>
                  </w:r>
                </w:p>
              </w:tc>
              <w:tc>
                <w:tcPr>
                  <w:tcW w:w="1350" w:type="dxa"/>
                  <w:shd w:val="clear" w:color="auto" w:fill="CACACA"/>
                  <w:tcMar>
                    <w:top w:w="20" w:type="dxa"/>
                    <w:left w:w="20" w:type="dxa"/>
                    <w:bottom w:w="20" w:type="dxa"/>
                    <w:right w:w="20" w:type="dxa"/>
                  </w:tcMar>
                  <w:vAlign w:val="center"/>
                </w:tcPr>
                <w:p w14:paraId="1B3967ED" w14:textId="77777777" w:rsidR="00D07169" w:rsidRPr="00D33300" w:rsidRDefault="00D07169" w:rsidP="00AC5450">
                  <w:pPr>
                    <w:keepLines/>
                    <w:jc w:val="left"/>
                  </w:pPr>
                  <w:r>
                    <w:rPr>
                      <w:color w:val="000000"/>
                      <w:sz w:val="16"/>
                      <w:shd w:val="clear" w:color="auto" w:fill="CACACA"/>
                    </w:rPr>
                    <w:t>Español</w:t>
                  </w:r>
                </w:p>
              </w:tc>
              <w:tc>
                <w:tcPr>
                  <w:tcW w:w="1500" w:type="dxa"/>
                  <w:shd w:val="clear" w:color="auto" w:fill="CACACA"/>
                  <w:tcMar>
                    <w:top w:w="0" w:type="dxa"/>
                    <w:left w:w="0" w:type="dxa"/>
                    <w:bottom w:w="0" w:type="dxa"/>
                    <w:right w:w="0" w:type="dxa"/>
                  </w:tcMar>
                  <w:vAlign w:val="center"/>
                </w:tcPr>
                <w:p w14:paraId="0454BB01" w14:textId="77777777" w:rsidR="00D07169" w:rsidRPr="00D33300" w:rsidRDefault="00D07169" w:rsidP="00AC5450">
                  <w:pPr>
                    <w:keepLines/>
                    <w:jc w:val="left"/>
                  </w:pPr>
                  <w:r>
                    <w:rPr>
                      <w:color w:val="000000"/>
                      <w:sz w:val="16"/>
                      <w:shd w:val="clear" w:color="auto" w:fill="CACACA"/>
                    </w:rPr>
                    <w:t>Botanical name</w:t>
                  </w:r>
                  <w:r>
                    <w:rPr>
                      <w:color w:val="000000"/>
                      <w:sz w:val="16"/>
                      <w:shd w:val="clear" w:color="auto" w:fill="CACACA"/>
                    </w:rPr>
                    <w:br/>
                    <w:t>Nom botanique</w:t>
                  </w:r>
                  <w:r>
                    <w:rPr>
                      <w:color w:val="000000"/>
                      <w:sz w:val="16"/>
                      <w:shd w:val="clear" w:color="auto" w:fill="CACACA"/>
                    </w:rPr>
                    <w:br/>
                    <w:t>Botanischer Name</w:t>
                  </w:r>
                  <w:r>
                    <w:rPr>
                      <w:color w:val="000000"/>
                      <w:sz w:val="16"/>
                      <w:shd w:val="clear" w:color="auto" w:fill="CACACA"/>
                    </w:rPr>
                    <w:br/>
                    <w:t>Nombre botánico</w:t>
                  </w:r>
                  <w:r>
                    <w:rPr>
                      <w:color w:val="000000"/>
                      <w:sz w:val="16"/>
                      <w:shd w:val="clear" w:color="auto" w:fill="CACACA"/>
                    </w:rPr>
                    <w:br/>
                  </w:r>
                </w:p>
              </w:tc>
            </w:tr>
            <w:tr w:rsidR="00D07169" w:rsidRPr="00D33300" w14:paraId="0156DA23" w14:textId="77777777" w:rsidTr="00D07169">
              <w:tc>
                <w:tcPr>
                  <w:tcW w:w="600" w:type="dxa"/>
                  <w:tcMar>
                    <w:top w:w="0" w:type="dxa"/>
                    <w:left w:w="0" w:type="dxa"/>
                    <w:bottom w:w="0" w:type="dxa"/>
                    <w:right w:w="0" w:type="dxa"/>
                  </w:tcMar>
                </w:tcPr>
                <w:p w14:paraId="50A691A6" w14:textId="77777777" w:rsidR="00D07169" w:rsidRPr="00D33300" w:rsidRDefault="00D07169" w:rsidP="00AC5450">
                  <w:pPr>
                    <w:keepLines/>
                    <w:spacing w:line="1" w:lineRule="auto"/>
                    <w:jc w:val="center"/>
                    <w:rPr>
                      <w:lang w:eastAsia="zh-CN"/>
                    </w:rPr>
                  </w:pPr>
                </w:p>
              </w:tc>
              <w:tc>
                <w:tcPr>
                  <w:tcW w:w="870" w:type="dxa"/>
                  <w:tcMar>
                    <w:top w:w="0" w:type="dxa"/>
                    <w:left w:w="0" w:type="dxa"/>
                    <w:bottom w:w="0" w:type="dxa"/>
                    <w:right w:w="0" w:type="dxa"/>
                  </w:tcMar>
                </w:tcPr>
                <w:p w14:paraId="212E6293" w14:textId="77777777" w:rsidR="00D07169" w:rsidRPr="00D33300" w:rsidRDefault="00D07169" w:rsidP="00AC5450">
                  <w:pPr>
                    <w:keepLines/>
                    <w:spacing w:line="1" w:lineRule="auto"/>
                    <w:jc w:val="center"/>
                    <w:rPr>
                      <w:lang w:eastAsia="zh-CN"/>
                    </w:rPr>
                  </w:pPr>
                </w:p>
              </w:tc>
              <w:tc>
                <w:tcPr>
                  <w:tcW w:w="1245" w:type="dxa"/>
                  <w:tcMar>
                    <w:top w:w="0" w:type="dxa"/>
                    <w:left w:w="0" w:type="dxa"/>
                    <w:bottom w:w="0" w:type="dxa"/>
                    <w:right w:w="0" w:type="dxa"/>
                  </w:tcMar>
                </w:tcPr>
                <w:p w14:paraId="0B887001" w14:textId="77777777" w:rsidR="00D07169" w:rsidRPr="00D33300" w:rsidRDefault="00D07169" w:rsidP="00AC5450">
                  <w:pPr>
                    <w:keepLines/>
                    <w:spacing w:line="1" w:lineRule="auto"/>
                    <w:jc w:val="center"/>
                    <w:rPr>
                      <w:lang w:eastAsia="zh-CN"/>
                    </w:rPr>
                  </w:pPr>
                </w:p>
              </w:tc>
              <w:tc>
                <w:tcPr>
                  <w:tcW w:w="1530" w:type="dxa"/>
                  <w:tcMar>
                    <w:top w:w="0" w:type="dxa"/>
                    <w:left w:w="0" w:type="dxa"/>
                    <w:bottom w:w="0" w:type="dxa"/>
                    <w:right w:w="0" w:type="dxa"/>
                  </w:tcMar>
                </w:tcPr>
                <w:p w14:paraId="0C3D9E99" w14:textId="77777777" w:rsidR="00D07169" w:rsidRPr="00D33300" w:rsidRDefault="00D07169" w:rsidP="00AC5450">
                  <w:pPr>
                    <w:keepLines/>
                    <w:spacing w:line="1" w:lineRule="auto"/>
                    <w:jc w:val="center"/>
                    <w:rPr>
                      <w:lang w:eastAsia="zh-CN"/>
                    </w:rPr>
                  </w:pPr>
                </w:p>
              </w:tc>
              <w:tc>
                <w:tcPr>
                  <w:tcW w:w="1365" w:type="dxa"/>
                  <w:tcMar>
                    <w:top w:w="0" w:type="dxa"/>
                    <w:left w:w="0" w:type="dxa"/>
                    <w:bottom w:w="0" w:type="dxa"/>
                    <w:right w:w="0" w:type="dxa"/>
                  </w:tcMar>
                </w:tcPr>
                <w:p w14:paraId="32FA0AF5" w14:textId="77777777" w:rsidR="00D07169" w:rsidRPr="00D33300" w:rsidRDefault="00D07169" w:rsidP="00AC5450">
                  <w:pPr>
                    <w:keepLines/>
                    <w:spacing w:line="1" w:lineRule="auto"/>
                    <w:jc w:val="center"/>
                    <w:rPr>
                      <w:lang w:eastAsia="zh-CN"/>
                    </w:rPr>
                  </w:pPr>
                </w:p>
              </w:tc>
              <w:tc>
                <w:tcPr>
                  <w:tcW w:w="1440" w:type="dxa"/>
                  <w:tcMar>
                    <w:top w:w="0" w:type="dxa"/>
                    <w:left w:w="0" w:type="dxa"/>
                    <w:bottom w:w="0" w:type="dxa"/>
                    <w:right w:w="0" w:type="dxa"/>
                  </w:tcMar>
                </w:tcPr>
                <w:p w14:paraId="3D831566" w14:textId="77777777" w:rsidR="00D07169" w:rsidRPr="00D33300" w:rsidRDefault="00D07169" w:rsidP="00AC5450">
                  <w:pPr>
                    <w:keepLines/>
                    <w:spacing w:line="1" w:lineRule="auto"/>
                    <w:jc w:val="center"/>
                    <w:rPr>
                      <w:lang w:eastAsia="zh-CN"/>
                    </w:rPr>
                  </w:pPr>
                </w:p>
              </w:tc>
              <w:tc>
                <w:tcPr>
                  <w:tcW w:w="1350" w:type="dxa"/>
                  <w:tcMar>
                    <w:top w:w="0" w:type="dxa"/>
                    <w:left w:w="0" w:type="dxa"/>
                    <w:bottom w:w="0" w:type="dxa"/>
                    <w:right w:w="0" w:type="dxa"/>
                  </w:tcMar>
                </w:tcPr>
                <w:p w14:paraId="68D8ACF7" w14:textId="77777777" w:rsidR="00D07169" w:rsidRPr="00D33300" w:rsidRDefault="00D07169" w:rsidP="00AC5450">
                  <w:pPr>
                    <w:keepLines/>
                    <w:spacing w:line="1" w:lineRule="auto"/>
                    <w:jc w:val="center"/>
                    <w:rPr>
                      <w:lang w:eastAsia="zh-CN"/>
                    </w:rPr>
                  </w:pPr>
                </w:p>
              </w:tc>
              <w:tc>
                <w:tcPr>
                  <w:tcW w:w="1500" w:type="dxa"/>
                  <w:tcMar>
                    <w:top w:w="0" w:type="dxa"/>
                    <w:left w:w="0" w:type="dxa"/>
                    <w:bottom w:w="0" w:type="dxa"/>
                    <w:right w:w="0" w:type="dxa"/>
                  </w:tcMar>
                </w:tcPr>
                <w:p w14:paraId="5B706170" w14:textId="77777777" w:rsidR="00D07169" w:rsidRPr="00D33300" w:rsidRDefault="00D07169" w:rsidP="00AC5450">
                  <w:pPr>
                    <w:keepLines/>
                    <w:spacing w:line="1" w:lineRule="auto"/>
                    <w:jc w:val="center"/>
                    <w:rPr>
                      <w:lang w:eastAsia="zh-CN"/>
                    </w:rPr>
                  </w:pPr>
                </w:p>
              </w:tc>
            </w:tr>
          </w:tbl>
          <w:p w14:paraId="7BFB1906" w14:textId="77777777" w:rsidR="00D07169" w:rsidRPr="00D33300" w:rsidRDefault="00D07169" w:rsidP="00AC5450">
            <w:pPr>
              <w:keepLines/>
              <w:spacing w:line="1" w:lineRule="auto"/>
              <w:jc w:val="left"/>
              <w:rPr>
                <w:lang w:eastAsia="zh-CN"/>
              </w:rPr>
            </w:pPr>
          </w:p>
        </w:tc>
      </w:tr>
      <w:tr w:rsidR="00D07169" w:rsidRPr="00C72898" w14:paraId="11D1406B" w14:textId="77777777" w:rsidTr="00D07169">
        <w:tc>
          <w:tcPr>
            <w:tcW w:w="10080" w:type="dxa"/>
            <w:tcMar>
              <w:top w:w="0" w:type="dxa"/>
              <w:left w:w="0" w:type="dxa"/>
              <w:bottom w:w="0" w:type="dxa"/>
              <w:right w:w="0" w:type="dxa"/>
            </w:tcMar>
          </w:tcPr>
          <w:p w14:paraId="5E4F8E40" w14:textId="77777777" w:rsidR="00D07169" w:rsidRDefault="00D07169" w:rsidP="00AC5450">
            <w:pPr>
              <w:keepLines/>
            </w:pPr>
          </w:p>
          <w:tbl>
            <w:tblPr>
              <w:tblW w:w="9894" w:type="dxa"/>
              <w:tblInd w:w="6"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9894"/>
            </w:tblGrid>
            <w:tr w:rsidR="00D07169" w:rsidRPr="00C72898" w14:paraId="039434A6" w14:textId="77777777" w:rsidTr="00D07169">
              <w:trPr>
                <w:trHeight w:val="184"/>
              </w:trPr>
              <w:tc>
                <w:tcPr>
                  <w:tcW w:w="9894" w:type="dxa"/>
                  <w:tcBorders>
                    <w:top w:val="single" w:sz="6" w:space="0" w:color="000000"/>
                    <w:left w:val="single" w:sz="6" w:space="0" w:color="000000"/>
                    <w:bottom w:val="single" w:sz="4" w:space="0" w:color="auto"/>
                    <w:right w:val="single" w:sz="6" w:space="0" w:color="000000"/>
                  </w:tcBorders>
                  <w:tcMar>
                    <w:top w:w="0" w:type="dxa"/>
                    <w:left w:w="0" w:type="dxa"/>
                    <w:bottom w:w="0" w:type="dxa"/>
                    <w:right w:w="0" w:type="dxa"/>
                  </w:tcMar>
                </w:tcPr>
                <w:p w14:paraId="2D111660" w14:textId="77777777" w:rsidR="00D07169" w:rsidRPr="0052329D" w:rsidRDefault="00D07169" w:rsidP="00AC5450">
                  <w:pPr>
                    <w:keepLines/>
                    <w:jc w:val="left"/>
                    <w:rPr>
                      <w:rFonts w:eastAsia="Arial" w:cs="Arial"/>
                      <w:color w:val="000000"/>
                      <w:sz w:val="16"/>
                      <w:szCs w:val="16"/>
                      <w:u w:val="single"/>
                      <w:lang w:val="fr-FR"/>
                    </w:rPr>
                  </w:pPr>
                  <w:r w:rsidRPr="0052329D">
                    <w:rPr>
                      <w:sz w:val="16"/>
                      <w:u w:val="single"/>
                      <w:lang w:val="fr-FR"/>
                    </w:rPr>
                    <w:t>NEW TEST GUIDELINES / NOUVEAUX PRINCIPES DIRECTEURS D’EXAMEN / NEUE PRÜFUNGSRICHTILINIEN /</w:t>
                  </w:r>
                  <w:r w:rsidRPr="0052329D">
                    <w:rPr>
                      <w:sz w:val="16"/>
                      <w:u w:val="single"/>
                      <w:lang w:val="fr-FR"/>
                    </w:rPr>
                    <w:br/>
                    <w:t>NUEVAS DIRECTRICES DE EXAMEN</w:t>
                  </w:r>
                  <w:r w:rsidRPr="0052329D">
                    <w:rPr>
                      <w:color w:val="000000"/>
                      <w:sz w:val="16"/>
                      <w:u w:val="single"/>
                      <w:lang w:val="fr-FR"/>
                    </w:rPr>
                    <w:br/>
                  </w:r>
                </w:p>
              </w:tc>
            </w:tr>
          </w:tbl>
          <w:p w14:paraId="67B47AA0" w14:textId="77777777" w:rsidR="00D07169" w:rsidRPr="004849CA" w:rsidRDefault="00D07169" w:rsidP="00AC5450">
            <w:pPr>
              <w:keepLines/>
              <w:jc w:val="left"/>
              <w:rPr>
                <w:rFonts w:ascii="Times New Roman" w:hAnsi="Times New Roman"/>
                <w:lang w:val="fr-CH"/>
              </w:rPr>
            </w:pPr>
          </w:p>
        </w:tc>
      </w:tr>
      <w:tr w:rsidR="00D07169" w:rsidRPr="003D658D" w14:paraId="3B812330" w14:textId="77777777" w:rsidTr="00D07169">
        <w:tc>
          <w:tcPr>
            <w:tcW w:w="10080" w:type="dxa"/>
            <w:tcMar>
              <w:top w:w="0" w:type="dxa"/>
              <w:left w:w="0" w:type="dxa"/>
              <w:bottom w:w="0" w:type="dxa"/>
              <w:right w:w="0" w:type="dxa"/>
            </w:tcMar>
          </w:tcPr>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45"/>
              <w:gridCol w:w="885"/>
              <w:gridCol w:w="1245"/>
              <w:gridCol w:w="1545"/>
              <w:gridCol w:w="1290"/>
              <w:gridCol w:w="1470"/>
              <w:gridCol w:w="1365"/>
              <w:gridCol w:w="1455"/>
            </w:tblGrid>
            <w:tr w:rsidR="00D07169" w:rsidRPr="003D658D" w14:paraId="6AC19460" w14:textId="77777777" w:rsidTr="00D07169">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A0F8C1" w14:textId="77777777" w:rsidR="00D07169" w:rsidRPr="003D658D" w:rsidRDefault="00D07169" w:rsidP="00D07169">
                  <w:pPr>
                    <w:jc w:val="left"/>
                    <w:rPr>
                      <w:rFonts w:cs="Arial"/>
                      <w:color w:val="000000"/>
                      <w:sz w:val="16"/>
                      <w:szCs w:val="16"/>
                    </w:rPr>
                  </w:pPr>
                  <w:r>
                    <w:rPr>
                      <w:color w:val="000000"/>
                      <w:sz w:val="16"/>
                    </w:rPr>
                    <w:t>MX</w:t>
                  </w:r>
                </w:p>
              </w:tc>
              <w:tc>
                <w:tcPr>
                  <w:tcW w:w="8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73BA35" w14:textId="77777777" w:rsidR="00D07169" w:rsidRPr="003D658D" w:rsidRDefault="00D07169" w:rsidP="00D07169">
                  <w:pPr>
                    <w:jc w:val="left"/>
                    <w:rPr>
                      <w:rFonts w:cs="Arial"/>
                      <w:color w:val="000000"/>
                      <w:sz w:val="16"/>
                      <w:szCs w:val="16"/>
                    </w:rPr>
                  </w:pPr>
                  <w:r>
                    <w:rPr>
                      <w:color w:val="000000"/>
                      <w:sz w:val="16"/>
                    </w:rPr>
                    <w:t>TWF</w:t>
                  </w:r>
                </w:p>
              </w:tc>
              <w:tc>
                <w:tcPr>
                  <w:tcW w:w="12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BB88FF" w14:textId="77777777" w:rsidR="00D07169" w:rsidRPr="003D658D" w:rsidRDefault="00D07169" w:rsidP="00D07169">
                  <w:pPr>
                    <w:rPr>
                      <w:sz w:val="16"/>
                    </w:rPr>
                  </w:pPr>
                  <w:r>
                    <w:rPr>
                      <w:sz w:val="16"/>
                    </w:rPr>
                    <w:t>TG/JATRO_CUR(proj.5)</w:t>
                  </w: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83A7AE" w14:textId="77777777" w:rsidR="00D07169" w:rsidRPr="003D658D" w:rsidRDefault="00D07169" w:rsidP="00D07169">
                  <w:pPr>
                    <w:rPr>
                      <w:sz w:val="16"/>
                    </w:rPr>
                  </w:pPr>
                  <w:r>
                    <w:rPr>
                      <w:sz w:val="16"/>
                    </w:rPr>
                    <w:t>Physic Nut</w:t>
                  </w: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C4A097" w14:textId="77777777" w:rsidR="00D07169" w:rsidRPr="003D658D" w:rsidRDefault="00D07169" w:rsidP="00D07169">
                  <w:pPr>
                    <w:rPr>
                      <w:sz w:val="16"/>
                    </w:rPr>
                  </w:pPr>
                  <w:r>
                    <w:rPr>
                      <w:sz w:val="16"/>
                    </w:rPr>
                    <w:t>Jatropha</w:t>
                  </w: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51ADA8" w14:textId="77777777" w:rsidR="00D07169" w:rsidRPr="003D658D" w:rsidRDefault="00D07169" w:rsidP="00D07169">
                  <w:pPr>
                    <w:rPr>
                      <w:sz w:val="16"/>
                    </w:rPr>
                  </w:pPr>
                  <w:r>
                    <w:rPr>
                      <w:sz w:val="16"/>
                    </w:rPr>
                    <w:t>Purgiernuss</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7FAF9E" w14:textId="77777777" w:rsidR="00D07169" w:rsidRPr="003D658D" w:rsidRDefault="00D07169" w:rsidP="00D07169">
                  <w:pPr>
                    <w:jc w:val="left"/>
                    <w:rPr>
                      <w:rFonts w:cs="Arial"/>
                      <w:color w:val="000000"/>
                      <w:sz w:val="16"/>
                      <w:szCs w:val="16"/>
                    </w:rPr>
                  </w:pPr>
                  <w:r>
                    <w:rPr>
                      <w:color w:val="000000"/>
                      <w:sz w:val="16"/>
                    </w:rPr>
                    <w:t>Piñón mexicano</w:t>
                  </w: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8112F8" w14:textId="77777777" w:rsidR="00D07169" w:rsidRPr="003D658D" w:rsidRDefault="00D07169" w:rsidP="00D07169">
                  <w:pPr>
                    <w:jc w:val="left"/>
                    <w:rPr>
                      <w:rFonts w:eastAsia="Arial" w:cs="Arial"/>
                      <w:i/>
                      <w:iCs/>
                      <w:color w:val="000000"/>
                      <w:sz w:val="16"/>
                    </w:rPr>
                  </w:pPr>
                  <w:r>
                    <w:rPr>
                      <w:i/>
                      <w:color w:val="000000"/>
                      <w:sz w:val="16"/>
                    </w:rPr>
                    <w:t>Jatropha curcas</w:t>
                  </w:r>
                  <w:r>
                    <w:rPr>
                      <w:color w:val="000000"/>
                      <w:sz w:val="16"/>
                    </w:rPr>
                    <w:t xml:space="preserve"> L.</w:t>
                  </w:r>
                </w:p>
              </w:tc>
            </w:tr>
            <w:tr w:rsidR="00D07169" w:rsidRPr="003D658D" w14:paraId="78EF5FAA" w14:textId="77777777" w:rsidTr="00D07169">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661060" w14:textId="77777777" w:rsidR="00D07169" w:rsidRPr="003D658D" w:rsidRDefault="00D07169" w:rsidP="00D07169">
                  <w:pPr>
                    <w:jc w:val="left"/>
                    <w:rPr>
                      <w:rFonts w:cs="Arial"/>
                      <w:color w:val="000000"/>
                      <w:sz w:val="16"/>
                      <w:szCs w:val="16"/>
                    </w:rPr>
                  </w:pPr>
                  <w:r>
                    <w:rPr>
                      <w:color w:val="000000"/>
                      <w:sz w:val="16"/>
                    </w:rPr>
                    <w:t>QZ</w:t>
                  </w:r>
                </w:p>
              </w:tc>
              <w:tc>
                <w:tcPr>
                  <w:tcW w:w="8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8F0320" w14:textId="77777777" w:rsidR="00D07169" w:rsidRPr="003D658D" w:rsidRDefault="00D07169" w:rsidP="00D07169">
                  <w:pPr>
                    <w:jc w:val="left"/>
                    <w:rPr>
                      <w:rFonts w:cs="Arial"/>
                      <w:color w:val="000000"/>
                      <w:sz w:val="16"/>
                      <w:szCs w:val="16"/>
                    </w:rPr>
                  </w:pPr>
                  <w:r>
                    <w:rPr>
                      <w:color w:val="000000"/>
                      <w:sz w:val="16"/>
                    </w:rPr>
                    <w:t>TWF</w:t>
                  </w:r>
                </w:p>
              </w:tc>
              <w:tc>
                <w:tcPr>
                  <w:tcW w:w="12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77AAB4" w14:textId="77777777" w:rsidR="00D07169" w:rsidRPr="003D658D" w:rsidRDefault="00D07169" w:rsidP="00D07169">
                  <w:pPr>
                    <w:jc w:val="left"/>
                    <w:rPr>
                      <w:rFonts w:cs="Arial"/>
                      <w:color w:val="000000"/>
                      <w:sz w:val="16"/>
                      <w:szCs w:val="16"/>
                    </w:rPr>
                  </w:pPr>
                  <w:r>
                    <w:rPr>
                      <w:color w:val="000000"/>
                      <w:sz w:val="16"/>
                    </w:rPr>
                    <w:t>TG/PISTA</w:t>
                  </w:r>
                  <w:r>
                    <w:rPr>
                      <w:color w:val="000000"/>
                      <w:sz w:val="16"/>
                    </w:rPr>
                    <w:br/>
                    <w:t>(proj.6)</w:t>
                  </w: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DCB18D" w14:textId="77777777" w:rsidR="00D07169" w:rsidRPr="003D658D" w:rsidRDefault="00D07169" w:rsidP="00D07169">
                  <w:pPr>
                    <w:jc w:val="left"/>
                    <w:rPr>
                      <w:rFonts w:cs="Arial"/>
                      <w:color w:val="000000"/>
                      <w:sz w:val="16"/>
                      <w:szCs w:val="16"/>
                    </w:rPr>
                  </w:pPr>
                  <w:r>
                    <w:rPr>
                      <w:color w:val="000000"/>
                      <w:sz w:val="16"/>
                    </w:rPr>
                    <w:t>Pistachio</w:t>
                  </w: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94594B" w14:textId="77777777" w:rsidR="00D07169" w:rsidRPr="003D658D" w:rsidRDefault="00D07169" w:rsidP="00D07169">
                  <w:pPr>
                    <w:jc w:val="left"/>
                    <w:rPr>
                      <w:rFonts w:cs="Arial"/>
                      <w:color w:val="000000"/>
                      <w:sz w:val="16"/>
                      <w:szCs w:val="16"/>
                    </w:rPr>
                  </w:pPr>
                  <w:r>
                    <w:rPr>
                      <w:color w:val="000000"/>
                      <w:sz w:val="16"/>
                    </w:rPr>
                    <w:t>Pistachier</w:t>
                  </w:r>
                </w:p>
                <w:p w14:paraId="663281D0" w14:textId="77777777" w:rsidR="00D07169" w:rsidRPr="003D658D" w:rsidRDefault="00D07169" w:rsidP="00D07169">
                  <w:pPr>
                    <w:jc w:val="left"/>
                    <w:rPr>
                      <w:rFonts w:cs="Arial"/>
                      <w:color w:val="000000"/>
                      <w:sz w:val="16"/>
                      <w:szCs w:val="16"/>
                      <w:lang w:val="fr-CH" w:eastAsia="zh-CN"/>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AAF429" w14:textId="77777777" w:rsidR="00D07169" w:rsidRPr="003D658D" w:rsidRDefault="00D07169" w:rsidP="00D07169">
                  <w:pPr>
                    <w:jc w:val="left"/>
                    <w:rPr>
                      <w:rFonts w:cs="Arial"/>
                      <w:color w:val="000000"/>
                      <w:sz w:val="16"/>
                      <w:szCs w:val="16"/>
                    </w:rPr>
                  </w:pPr>
                  <w:r>
                    <w:rPr>
                      <w:color w:val="000000"/>
                      <w:sz w:val="16"/>
                    </w:rPr>
                    <w:t>Pistazie</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659C70" w14:textId="77777777" w:rsidR="00D07169" w:rsidRPr="003D658D" w:rsidRDefault="00D07169" w:rsidP="00D07169">
                  <w:pPr>
                    <w:jc w:val="left"/>
                    <w:rPr>
                      <w:rFonts w:cs="Arial"/>
                      <w:color w:val="000000"/>
                      <w:sz w:val="16"/>
                      <w:szCs w:val="16"/>
                    </w:rPr>
                  </w:pPr>
                  <w:r>
                    <w:rPr>
                      <w:color w:val="000000"/>
                      <w:sz w:val="16"/>
                    </w:rPr>
                    <w:t>Pistachero</w:t>
                  </w: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2F62D6" w14:textId="77777777" w:rsidR="00D07169" w:rsidRPr="003D658D" w:rsidRDefault="00D07169" w:rsidP="00D07169">
                  <w:pPr>
                    <w:jc w:val="left"/>
                    <w:rPr>
                      <w:rFonts w:cs="Arial"/>
                      <w:color w:val="000000"/>
                      <w:sz w:val="16"/>
                      <w:szCs w:val="16"/>
                    </w:rPr>
                  </w:pPr>
                  <w:r>
                    <w:rPr>
                      <w:i/>
                      <w:color w:val="000000"/>
                      <w:sz w:val="16"/>
                    </w:rPr>
                    <w:t>Pistacia vera</w:t>
                  </w:r>
                  <w:r>
                    <w:rPr>
                      <w:color w:val="000000"/>
                      <w:sz w:val="16"/>
                    </w:rPr>
                    <w:t xml:space="preserve"> L.</w:t>
                  </w:r>
                </w:p>
              </w:tc>
            </w:tr>
          </w:tbl>
          <w:p w14:paraId="1235F83E" w14:textId="77777777" w:rsidR="00D07169" w:rsidRPr="003D658D" w:rsidRDefault="00D07169" w:rsidP="00D07169">
            <w:pPr>
              <w:jc w:val="left"/>
              <w:rPr>
                <w:rFonts w:eastAsia="Arial" w:cs="Arial"/>
                <w:color w:val="000000"/>
              </w:rPr>
            </w:pPr>
            <w:r>
              <w:rPr>
                <w:color w:val="000000"/>
              </w:rPr>
              <w:t xml:space="preserve">     </w:t>
            </w:r>
          </w:p>
        </w:tc>
      </w:tr>
      <w:tr w:rsidR="00D07169" w:rsidRPr="00D33300" w14:paraId="418C1EBE" w14:textId="77777777" w:rsidTr="00D07169">
        <w:tc>
          <w:tcPr>
            <w:tcW w:w="10080" w:type="dxa"/>
            <w:tcMar>
              <w:top w:w="0" w:type="dxa"/>
              <w:left w:w="0" w:type="dxa"/>
              <w:bottom w:w="0" w:type="dxa"/>
              <w:right w:w="0" w:type="dxa"/>
            </w:tcMar>
          </w:tcPr>
          <w:tbl>
            <w:tblPr>
              <w:tblW w:w="991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49"/>
              <w:gridCol w:w="887"/>
              <w:gridCol w:w="1243"/>
              <w:gridCol w:w="1543"/>
              <w:gridCol w:w="7"/>
              <w:gridCol w:w="1284"/>
              <w:gridCol w:w="1471"/>
              <w:gridCol w:w="1363"/>
              <w:gridCol w:w="6"/>
              <w:gridCol w:w="1462"/>
            </w:tblGrid>
            <w:tr w:rsidR="00D07169" w:rsidRPr="00C72898" w14:paraId="3F59CD4A" w14:textId="77777777" w:rsidTr="00D07169">
              <w:trPr>
                <w:trHeight w:val="184"/>
              </w:trPr>
              <w:tc>
                <w:tcPr>
                  <w:tcW w:w="9915" w:type="dxa"/>
                  <w:gridSpan w:val="10"/>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D59FA2" w14:textId="77777777" w:rsidR="00D07169" w:rsidRPr="0052329D" w:rsidRDefault="00D07169" w:rsidP="00D07169">
                  <w:pPr>
                    <w:jc w:val="left"/>
                    <w:rPr>
                      <w:rFonts w:eastAsia="Arial" w:cs="Arial"/>
                      <w:color w:val="000000"/>
                      <w:sz w:val="16"/>
                      <w:szCs w:val="16"/>
                      <w:u w:val="single"/>
                      <w:lang w:val="fr-FR"/>
                    </w:rPr>
                  </w:pPr>
                  <w:r w:rsidRPr="0052329D">
                    <w:rPr>
                      <w:color w:val="000000"/>
                      <w:sz w:val="16"/>
                      <w:u w:val="single"/>
                      <w:lang w:val="fr-FR"/>
                    </w:rPr>
                    <w:t>REVISIONS OF TEST GUIDELINES / RÉVISIONS DE PRINCIPES DIRECTEURS D’EXAMEN ADOPTÉS / REVISIONEN ANGENOMMENER PRÜFUNGSRICHTLINIEN / REVISIONES DE DIRECTRICES DE EXAMEN ADOPTADAS</w:t>
                  </w:r>
                  <w:r w:rsidRPr="0052329D">
                    <w:rPr>
                      <w:color w:val="000000"/>
                      <w:sz w:val="16"/>
                      <w:u w:val="single"/>
                      <w:lang w:val="fr-FR"/>
                    </w:rPr>
                    <w:br/>
                  </w:r>
                </w:p>
              </w:tc>
            </w:tr>
            <w:tr w:rsidR="00D07169" w:rsidRPr="00C72898" w14:paraId="4F668B2B" w14:textId="77777777" w:rsidTr="00D07169">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2555A3" w14:textId="77777777" w:rsidR="00D07169" w:rsidRPr="007C5589" w:rsidRDefault="00D07169" w:rsidP="00D07169">
                  <w:pPr>
                    <w:jc w:val="left"/>
                    <w:rPr>
                      <w:vanish/>
                      <w:lang w:val="fr-CH"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535289" w14:textId="77777777" w:rsidR="00D07169" w:rsidRPr="007C5589" w:rsidRDefault="00D07169" w:rsidP="00D07169">
                  <w:pPr>
                    <w:jc w:val="left"/>
                    <w:rPr>
                      <w:vanish/>
                      <w:lang w:val="fr-CH"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924994" w14:textId="77777777" w:rsidR="00D07169" w:rsidRPr="007C5589" w:rsidRDefault="00D07169" w:rsidP="00D07169">
                  <w:pPr>
                    <w:jc w:val="left"/>
                    <w:rPr>
                      <w:vanish/>
                      <w:lang w:val="fr-CH"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1D9DB1" w14:textId="77777777" w:rsidR="00D07169" w:rsidRPr="007C5589" w:rsidRDefault="00D07169" w:rsidP="00D07169">
                  <w:pPr>
                    <w:jc w:val="left"/>
                    <w:rPr>
                      <w:vanish/>
                      <w:lang w:val="fr-CH"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374A7F" w14:textId="77777777" w:rsidR="00D07169" w:rsidRPr="007C5589" w:rsidRDefault="00D07169" w:rsidP="00D07169">
                  <w:pPr>
                    <w:jc w:val="left"/>
                    <w:rPr>
                      <w:vanish/>
                      <w:lang w:val="fr-CH"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31B0A4" w14:textId="77777777" w:rsidR="00D07169" w:rsidRPr="007C5589" w:rsidRDefault="00D07169" w:rsidP="00D07169">
                  <w:pPr>
                    <w:jc w:val="left"/>
                    <w:rPr>
                      <w:vanish/>
                      <w:lang w:val="fr-CH"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5280DB" w14:textId="77777777" w:rsidR="00D07169" w:rsidRPr="007C5589" w:rsidRDefault="00D07169" w:rsidP="00D07169">
                  <w:pPr>
                    <w:jc w:val="left"/>
                    <w:rPr>
                      <w:vanish/>
                      <w:lang w:val="fr-CH"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26465F" w14:textId="77777777" w:rsidR="00D07169" w:rsidRPr="007C5589" w:rsidRDefault="00D07169" w:rsidP="00D07169">
                  <w:pPr>
                    <w:jc w:val="left"/>
                    <w:rPr>
                      <w:vanish/>
                      <w:lang w:val="fr-CH" w:eastAsia="zh-CN"/>
                    </w:rPr>
                  </w:pPr>
                </w:p>
              </w:tc>
            </w:tr>
            <w:tr w:rsidR="00D07169" w:rsidRPr="00CB4F27" w14:paraId="1B86A27F" w14:textId="77777777" w:rsidTr="00D07169">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F5D69A" w14:textId="77777777" w:rsidR="00D07169" w:rsidRPr="00FC2133" w:rsidRDefault="00D07169" w:rsidP="00D07169">
                  <w:pPr>
                    <w:jc w:val="left"/>
                    <w:rPr>
                      <w:rFonts w:cs="Arial"/>
                      <w:color w:val="000000"/>
                      <w:sz w:val="16"/>
                      <w:szCs w:val="16"/>
                    </w:rPr>
                  </w:pPr>
                  <w:r>
                    <w:rPr>
                      <w:color w:val="000000"/>
                      <w:sz w:val="16"/>
                    </w:rPr>
                    <w:t>FR</w:t>
                  </w: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368D97" w14:textId="77777777" w:rsidR="00D07169" w:rsidRPr="00FC2133" w:rsidRDefault="00D07169" w:rsidP="00D07169">
                  <w:pPr>
                    <w:jc w:val="left"/>
                    <w:rPr>
                      <w:rFonts w:cs="Arial"/>
                      <w:color w:val="000000"/>
                      <w:sz w:val="16"/>
                      <w:szCs w:val="16"/>
                    </w:rPr>
                  </w:pPr>
                  <w:r>
                    <w:rPr>
                      <w:color w:val="000000"/>
                      <w:sz w:val="16"/>
                    </w:rPr>
                    <w:t>TWO</w:t>
                  </w: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E2A3CF" w14:textId="77777777" w:rsidR="00D07169" w:rsidRPr="00FC2133" w:rsidRDefault="00D07169" w:rsidP="00D07169">
                  <w:pPr>
                    <w:rPr>
                      <w:sz w:val="16"/>
                    </w:rPr>
                  </w:pPr>
                  <w:r>
                    <w:rPr>
                      <w:sz w:val="16"/>
                    </w:rPr>
                    <w:t>TG/95/4(proj.4)</w:t>
                  </w:r>
                </w:p>
              </w:tc>
              <w:tc>
                <w:tcPr>
                  <w:tcW w:w="15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B320C1" w14:textId="77777777" w:rsidR="00D07169" w:rsidRPr="00FC2133" w:rsidRDefault="00D07169" w:rsidP="00D07169">
                  <w:pPr>
                    <w:rPr>
                      <w:sz w:val="16"/>
                    </w:rPr>
                  </w:pPr>
                  <w:r>
                    <w:rPr>
                      <w:sz w:val="16"/>
                    </w:rPr>
                    <w:t>Lagerstroemia</w:t>
                  </w:r>
                </w:p>
              </w:tc>
              <w:tc>
                <w:tcPr>
                  <w:tcW w:w="1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FC5CF6" w14:textId="77777777" w:rsidR="00D07169" w:rsidRDefault="00D07169" w:rsidP="00D07169">
                  <w:r>
                    <w:rPr>
                      <w:sz w:val="16"/>
                    </w:rPr>
                    <w:t>Lagerstroemia</w:t>
                  </w: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8722D4" w14:textId="77777777" w:rsidR="00D07169" w:rsidRDefault="00D07169" w:rsidP="00D07169">
                  <w:r>
                    <w:rPr>
                      <w:sz w:val="16"/>
                    </w:rPr>
                    <w:t>Lagerstroemia</w:t>
                  </w:r>
                </w:p>
              </w:tc>
              <w:tc>
                <w:tcPr>
                  <w:tcW w:w="136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501A93" w14:textId="77777777" w:rsidR="00D07169" w:rsidRDefault="00D07169" w:rsidP="00D07169">
                  <w:r>
                    <w:rPr>
                      <w:sz w:val="16"/>
                    </w:rPr>
                    <w:t>Lagerstroemia</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18411B" w14:textId="77777777" w:rsidR="00D07169" w:rsidRPr="00CB4F27" w:rsidRDefault="00D07169" w:rsidP="00D07169">
                  <w:pPr>
                    <w:jc w:val="left"/>
                    <w:rPr>
                      <w:rFonts w:eastAsia="Arial" w:cs="Arial"/>
                      <w:i/>
                      <w:iCs/>
                      <w:color w:val="000000"/>
                      <w:sz w:val="16"/>
                    </w:rPr>
                  </w:pPr>
                  <w:r>
                    <w:rPr>
                      <w:i/>
                      <w:color w:val="000000"/>
                      <w:sz w:val="16"/>
                    </w:rPr>
                    <w:t>Lagerstroemia</w:t>
                  </w:r>
                  <w:r>
                    <w:rPr>
                      <w:color w:val="000000"/>
                      <w:sz w:val="16"/>
                    </w:rPr>
                    <w:t xml:space="preserve"> L.</w:t>
                  </w:r>
                </w:p>
              </w:tc>
            </w:tr>
            <w:tr w:rsidR="00D07169" w:rsidRPr="00D33300" w14:paraId="64BE9BE1" w14:textId="77777777" w:rsidTr="00D07169">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149504" w14:textId="77777777" w:rsidR="00D07169" w:rsidRPr="00FC2133" w:rsidRDefault="00D07169" w:rsidP="00D07169">
                  <w:pPr>
                    <w:jc w:val="left"/>
                    <w:rPr>
                      <w:vanish/>
                      <w:lang w:eastAsia="zh-CN"/>
                    </w:rPr>
                  </w:pPr>
                </w:p>
                <w:tbl>
                  <w:tblPr>
                    <w:tblW w:w="645" w:type="dxa"/>
                    <w:tblLayout w:type="fixed"/>
                    <w:tblCellMar>
                      <w:left w:w="0" w:type="dxa"/>
                      <w:right w:w="0" w:type="dxa"/>
                    </w:tblCellMar>
                    <w:tblLook w:val="01E0" w:firstRow="1" w:lastRow="1" w:firstColumn="1" w:lastColumn="1" w:noHBand="0" w:noVBand="0"/>
                  </w:tblPr>
                  <w:tblGrid>
                    <w:gridCol w:w="645"/>
                  </w:tblGrid>
                  <w:tr w:rsidR="00D07169" w:rsidRPr="00FC2133" w14:paraId="707B4E0B" w14:textId="77777777" w:rsidTr="00D07169">
                    <w:tc>
                      <w:tcPr>
                        <w:tcW w:w="645" w:type="dxa"/>
                        <w:tcMar>
                          <w:top w:w="0" w:type="dxa"/>
                          <w:left w:w="0" w:type="dxa"/>
                          <w:bottom w:w="0" w:type="dxa"/>
                          <w:right w:w="0" w:type="dxa"/>
                        </w:tcMar>
                      </w:tcPr>
                      <w:p w14:paraId="0BA57ABF" w14:textId="77777777" w:rsidR="00D07169" w:rsidRPr="00FC2133" w:rsidRDefault="00D07169" w:rsidP="00D07169">
                        <w:pPr>
                          <w:jc w:val="left"/>
                          <w:rPr>
                            <w:rFonts w:cs="Arial"/>
                            <w:color w:val="000000"/>
                            <w:sz w:val="16"/>
                            <w:szCs w:val="16"/>
                          </w:rPr>
                        </w:pPr>
                        <w:r>
                          <w:rPr>
                            <w:color w:val="000000"/>
                            <w:sz w:val="16"/>
                          </w:rPr>
                          <w:t>HU</w:t>
                        </w:r>
                      </w:p>
                      <w:p w14:paraId="66629F04" w14:textId="77777777" w:rsidR="00D07169" w:rsidRPr="00FC2133" w:rsidRDefault="00D07169" w:rsidP="00D07169">
                        <w:pPr>
                          <w:spacing w:line="1" w:lineRule="auto"/>
                          <w:jc w:val="left"/>
                          <w:rPr>
                            <w:lang w:eastAsia="zh-CN"/>
                          </w:rPr>
                        </w:pPr>
                      </w:p>
                    </w:tc>
                  </w:tr>
                </w:tbl>
                <w:p w14:paraId="456DE3EC" w14:textId="77777777" w:rsidR="00D07169" w:rsidRPr="00FC2133" w:rsidRDefault="00D07169" w:rsidP="00D07169">
                  <w:pPr>
                    <w:spacing w:line="1" w:lineRule="auto"/>
                    <w:jc w:val="left"/>
                    <w:rPr>
                      <w:lang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CDAC2E" w14:textId="77777777" w:rsidR="00D07169" w:rsidRPr="00FC2133" w:rsidRDefault="00D07169" w:rsidP="00D07169">
                  <w:pPr>
                    <w:jc w:val="left"/>
                    <w:rPr>
                      <w:vanish/>
                      <w:lang w:eastAsia="zh-CN"/>
                    </w:rPr>
                  </w:pPr>
                </w:p>
                <w:tbl>
                  <w:tblPr>
                    <w:tblW w:w="885" w:type="dxa"/>
                    <w:tblLayout w:type="fixed"/>
                    <w:tblCellMar>
                      <w:left w:w="0" w:type="dxa"/>
                      <w:right w:w="0" w:type="dxa"/>
                    </w:tblCellMar>
                    <w:tblLook w:val="01E0" w:firstRow="1" w:lastRow="1" w:firstColumn="1" w:lastColumn="1" w:noHBand="0" w:noVBand="0"/>
                  </w:tblPr>
                  <w:tblGrid>
                    <w:gridCol w:w="885"/>
                  </w:tblGrid>
                  <w:tr w:rsidR="00D07169" w:rsidRPr="00FC2133" w14:paraId="173375FC" w14:textId="77777777" w:rsidTr="00D07169">
                    <w:tc>
                      <w:tcPr>
                        <w:tcW w:w="885" w:type="dxa"/>
                        <w:tcMar>
                          <w:top w:w="0" w:type="dxa"/>
                          <w:left w:w="0" w:type="dxa"/>
                          <w:bottom w:w="0" w:type="dxa"/>
                          <w:right w:w="0" w:type="dxa"/>
                        </w:tcMar>
                      </w:tcPr>
                      <w:p w14:paraId="24531337" w14:textId="77777777" w:rsidR="00D07169" w:rsidRPr="00FC2133" w:rsidRDefault="00D07169" w:rsidP="00D07169">
                        <w:pPr>
                          <w:jc w:val="left"/>
                          <w:rPr>
                            <w:rFonts w:cs="Arial"/>
                            <w:color w:val="000000"/>
                            <w:sz w:val="16"/>
                            <w:szCs w:val="16"/>
                          </w:rPr>
                        </w:pPr>
                        <w:r>
                          <w:rPr>
                            <w:color w:val="000000"/>
                            <w:sz w:val="16"/>
                          </w:rPr>
                          <w:t>TWF</w:t>
                        </w:r>
                      </w:p>
                      <w:p w14:paraId="2214E8CB" w14:textId="77777777" w:rsidR="00D07169" w:rsidRPr="00FC2133" w:rsidRDefault="00D07169" w:rsidP="00D07169">
                        <w:pPr>
                          <w:spacing w:line="1" w:lineRule="auto"/>
                          <w:jc w:val="left"/>
                          <w:rPr>
                            <w:lang w:eastAsia="zh-CN"/>
                          </w:rPr>
                        </w:pPr>
                      </w:p>
                    </w:tc>
                  </w:tr>
                </w:tbl>
                <w:p w14:paraId="2C420DE7" w14:textId="77777777" w:rsidR="00D07169" w:rsidRPr="00FC2133" w:rsidRDefault="00D07169" w:rsidP="00D07169">
                  <w:pPr>
                    <w:spacing w:line="1" w:lineRule="auto"/>
                    <w:jc w:val="left"/>
                    <w:rPr>
                      <w:lang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1C2A16" w14:textId="77777777" w:rsidR="00D07169" w:rsidRPr="00FC2133" w:rsidRDefault="00D07169" w:rsidP="00D07169">
                  <w:pPr>
                    <w:jc w:val="left"/>
                    <w:rPr>
                      <w:vanish/>
                      <w:lang w:eastAsia="zh-CN"/>
                    </w:rPr>
                  </w:pPr>
                </w:p>
                <w:tbl>
                  <w:tblPr>
                    <w:tblW w:w="1245" w:type="dxa"/>
                    <w:tblLayout w:type="fixed"/>
                    <w:tblCellMar>
                      <w:left w:w="0" w:type="dxa"/>
                      <w:right w:w="0" w:type="dxa"/>
                    </w:tblCellMar>
                    <w:tblLook w:val="01E0" w:firstRow="1" w:lastRow="1" w:firstColumn="1" w:lastColumn="1" w:noHBand="0" w:noVBand="0"/>
                  </w:tblPr>
                  <w:tblGrid>
                    <w:gridCol w:w="1245"/>
                  </w:tblGrid>
                  <w:tr w:rsidR="00D07169" w:rsidRPr="00FC2133" w14:paraId="7032BD36" w14:textId="77777777" w:rsidTr="00D07169">
                    <w:tc>
                      <w:tcPr>
                        <w:tcW w:w="1245" w:type="dxa"/>
                        <w:tcMar>
                          <w:top w:w="0" w:type="dxa"/>
                          <w:left w:w="0" w:type="dxa"/>
                          <w:bottom w:w="0" w:type="dxa"/>
                          <w:right w:w="0" w:type="dxa"/>
                        </w:tcMar>
                      </w:tcPr>
                      <w:p w14:paraId="3C877FA9" w14:textId="77777777" w:rsidR="00D07169" w:rsidRPr="00FC2133" w:rsidRDefault="00D07169" w:rsidP="00D07169">
                        <w:pPr>
                          <w:jc w:val="left"/>
                          <w:rPr>
                            <w:rFonts w:cs="Arial"/>
                            <w:color w:val="000000"/>
                            <w:sz w:val="16"/>
                            <w:szCs w:val="16"/>
                          </w:rPr>
                        </w:pPr>
                        <w:r>
                          <w:rPr>
                            <w:color w:val="000000"/>
                            <w:sz w:val="16"/>
                          </w:rPr>
                          <w:t>TG/70/5(proj.6)</w:t>
                        </w:r>
                      </w:p>
                      <w:p w14:paraId="35393F00" w14:textId="77777777" w:rsidR="00D07169" w:rsidRPr="00FC2133" w:rsidRDefault="00D07169" w:rsidP="00D07169">
                        <w:pPr>
                          <w:spacing w:line="1" w:lineRule="auto"/>
                          <w:jc w:val="left"/>
                          <w:rPr>
                            <w:lang w:eastAsia="zh-CN"/>
                          </w:rPr>
                        </w:pPr>
                      </w:p>
                    </w:tc>
                  </w:tr>
                </w:tbl>
                <w:p w14:paraId="6591B521" w14:textId="77777777" w:rsidR="00D07169" w:rsidRPr="00FC2133" w:rsidRDefault="00D07169" w:rsidP="00D07169">
                  <w:pPr>
                    <w:spacing w:line="1" w:lineRule="auto"/>
                    <w:jc w:val="left"/>
                    <w:rPr>
                      <w:lang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DE9E36" w14:textId="77777777" w:rsidR="00D07169" w:rsidRPr="00FC2133" w:rsidRDefault="00D07169" w:rsidP="00D07169">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D07169" w:rsidRPr="00FC2133" w14:paraId="5D704ADB" w14:textId="77777777" w:rsidTr="00D07169">
                    <w:tc>
                      <w:tcPr>
                        <w:tcW w:w="1545" w:type="dxa"/>
                        <w:tcMar>
                          <w:top w:w="0" w:type="dxa"/>
                          <w:left w:w="0" w:type="dxa"/>
                          <w:bottom w:w="0" w:type="dxa"/>
                          <w:right w:w="0" w:type="dxa"/>
                        </w:tcMar>
                      </w:tcPr>
                      <w:p w14:paraId="746854AE" w14:textId="77777777" w:rsidR="00D07169" w:rsidRPr="00FC2133" w:rsidRDefault="00D07169" w:rsidP="00D07169">
                        <w:pPr>
                          <w:jc w:val="left"/>
                          <w:rPr>
                            <w:rFonts w:cs="Arial"/>
                            <w:color w:val="000000"/>
                            <w:sz w:val="16"/>
                            <w:szCs w:val="16"/>
                          </w:rPr>
                        </w:pPr>
                        <w:r>
                          <w:rPr>
                            <w:color w:val="000000"/>
                            <w:sz w:val="16"/>
                          </w:rPr>
                          <w:t>Apricot</w:t>
                        </w:r>
                      </w:p>
                      <w:p w14:paraId="618599F6" w14:textId="77777777" w:rsidR="00D07169" w:rsidRPr="00FC2133" w:rsidRDefault="00D07169" w:rsidP="00D07169">
                        <w:pPr>
                          <w:spacing w:line="1" w:lineRule="auto"/>
                          <w:jc w:val="left"/>
                          <w:rPr>
                            <w:lang w:eastAsia="zh-CN"/>
                          </w:rPr>
                        </w:pPr>
                      </w:p>
                    </w:tc>
                  </w:tr>
                </w:tbl>
                <w:p w14:paraId="37F4A141" w14:textId="77777777" w:rsidR="00D07169" w:rsidRPr="00FC2133" w:rsidRDefault="00D07169" w:rsidP="00D07169">
                  <w:pPr>
                    <w:spacing w:line="1" w:lineRule="auto"/>
                    <w:jc w:val="left"/>
                    <w:rPr>
                      <w:lang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DB1175" w14:textId="77777777" w:rsidR="00D07169" w:rsidRPr="00FC2133" w:rsidRDefault="00D07169" w:rsidP="00D07169">
                  <w:pPr>
                    <w:jc w:val="left"/>
                    <w:rPr>
                      <w:vanish/>
                      <w:lang w:eastAsia="zh-CN"/>
                    </w:rPr>
                  </w:pPr>
                </w:p>
                <w:tbl>
                  <w:tblPr>
                    <w:tblW w:w="1290" w:type="dxa"/>
                    <w:tblLayout w:type="fixed"/>
                    <w:tblCellMar>
                      <w:left w:w="0" w:type="dxa"/>
                      <w:right w:w="0" w:type="dxa"/>
                    </w:tblCellMar>
                    <w:tblLook w:val="01E0" w:firstRow="1" w:lastRow="1" w:firstColumn="1" w:lastColumn="1" w:noHBand="0" w:noVBand="0"/>
                  </w:tblPr>
                  <w:tblGrid>
                    <w:gridCol w:w="1290"/>
                  </w:tblGrid>
                  <w:tr w:rsidR="00D07169" w:rsidRPr="00FC2133" w14:paraId="001EB9D6" w14:textId="77777777" w:rsidTr="00D07169">
                    <w:tc>
                      <w:tcPr>
                        <w:tcW w:w="1290" w:type="dxa"/>
                        <w:tcMar>
                          <w:top w:w="0" w:type="dxa"/>
                          <w:left w:w="0" w:type="dxa"/>
                          <w:bottom w:w="0" w:type="dxa"/>
                          <w:right w:w="0" w:type="dxa"/>
                        </w:tcMar>
                      </w:tcPr>
                      <w:p w14:paraId="75397CFC" w14:textId="77777777" w:rsidR="00D07169" w:rsidRPr="00FC2133" w:rsidRDefault="00D07169" w:rsidP="00D07169">
                        <w:pPr>
                          <w:jc w:val="left"/>
                          <w:rPr>
                            <w:rFonts w:cs="Arial"/>
                            <w:color w:val="000000"/>
                            <w:sz w:val="16"/>
                            <w:szCs w:val="16"/>
                          </w:rPr>
                        </w:pPr>
                        <w:r>
                          <w:rPr>
                            <w:color w:val="000000"/>
                            <w:sz w:val="16"/>
                          </w:rPr>
                          <w:t>Abricotier</w:t>
                        </w:r>
                      </w:p>
                      <w:p w14:paraId="397CB453" w14:textId="77777777" w:rsidR="00D07169" w:rsidRPr="00FC2133" w:rsidRDefault="00D07169" w:rsidP="00D07169">
                        <w:pPr>
                          <w:spacing w:line="1" w:lineRule="auto"/>
                          <w:jc w:val="left"/>
                          <w:rPr>
                            <w:lang w:eastAsia="zh-CN"/>
                          </w:rPr>
                        </w:pPr>
                      </w:p>
                    </w:tc>
                  </w:tr>
                </w:tbl>
                <w:p w14:paraId="35CBE683" w14:textId="77777777" w:rsidR="00D07169" w:rsidRPr="00FC2133" w:rsidRDefault="00D07169" w:rsidP="00D07169">
                  <w:pPr>
                    <w:spacing w:line="1" w:lineRule="auto"/>
                    <w:jc w:val="left"/>
                    <w:rPr>
                      <w:lang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570A07" w14:textId="77777777" w:rsidR="00D07169" w:rsidRPr="00D33300" w:rsidRDefault="00D07169" w:rsidP="00D07169">
                  <w:pPr>
                    <w:jc w:val="left"/>
                    <w:rPr>
                      <w:vanish/>
                      <w:lang w:eastAsia="zh-CN"/>
                    </w:rPr>
                  </w:pPr>
                </w:p>
                <w:tbl>
                  <w:tblPr>
                    <w:tblW w:w="1470" w:type="dxa"/>
                    <w:tblLayout w:type="fixed"/>
                    <w:tblCellMar>
                      <w:left w:w="0" w:type="dxa"/>
                      <w:right w:w="0" w:type="dxa"/>
                    </w:tblCellMar>
                    <w:tblLook w:val="01E0" w:firstRow="1" w:lastRow="1" w:firstColumn="1" w:lastColumn="1" w:noHBand="0" w:noVBand="0"/>
                  </w:tblPr>
                  <w:tblGrid>
                    <w:gridCol w:w="1470"/>
                  </w:tblGrid>
                  <w:tr w:rsidR="00D07169" w:rsidRPr="00D33300" w14:paraId="261A4761" w14:textId="77777777" w:rsidTr="00D07169">
                    <w:tc>
                      <w:tcPr>
                        <w:tcW w:w="1470" w:type="dxa"/>
                        <w:tcMar>
                          <w:top w:w="0" w:type="dxa"/>
                          <w:left w:w="0" w:type="dxa"/>
                          <w:bottom w:w="0" w:type="dxa"/>
                          <w:right w:w="0" w:type="dxa"/>
                        </w:tcMar>
                      </w:tcPr>
                      <w:p w14:paraId="28289FFC" w14:textId="77777777" w:rsidR="00D07169" w:rsidRPr="00D33300" w:rsidRDefault="00D07169" w:rsidP="00D07169">
                        <w:pPr>
                          <w:jc w:val="left"/>
                          <w:rPr>
                            <w:rFonts w:cs="Arial"/>
                            <w:color w:val="000000"/>
                            <w:sz w:val="16"/>
                            <w:szCs w:val="16"/>
                          </w:rPr>
                        </w:pPr>
                        <w:r>
                          <w:rPr>
                            <w:color w:val="000000"/>
                            <w:sz w:val="16"/>
                          </w:rPr>
                          <w:t>Marille, Aprikose</w:t>
                        </w:r>
                      </w:p>
                      <w:p w14:paraId="398E6089" w14:textId="77777777" w:rsidR="00D07169" w:rsidRPr="00D33300" w:rsidRDefault="00D07169" w:rsidP="00D07169">
                        <w:pPr>
                          <w:spacing w:line="1" w:lineRule="auto"/>
                          <w:jc w:val="left"/>
                          <w:rPr>
                            <w:lang w:eastAsia="zh-CN"/>
                          </w:rPr>
                        </w:pPr>
                      </w:p>
                    </w:tc>
                  </w:tr>
                </w:tbl>
                <w:p w14:paraId="59312562" w14:textId="77777777" w:rsidR="00D07169" w:rsidRPr="00D33300" w:rsidRDefault="00D07169" w:rsidP="00D07169">
                  <w:pPr>
                    <w:spacing w:line="1" w:lineRule="auto"/>
                    <w:jc w:val="left"/>
                    <w:rPr>
                      <w:lang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7415F0" w14:textId="77777777" w:rsidR="00D07169" w:rsidRPr="00D33300" w:rsidRDefault="00D07169" w:rsidP="00D07169">
                  <w:pPr>
                    <w:jc w:val="left"/>
                    <w:rPr>
                      <w:vanish/>
                      <w:lang w:eastAsia="zh-CN"/>
                    </w:rPr>
                  </w:pPr>
                </w:p>
                <w:tbl>
                  <w:tblPr>
                    <w:tblW w:w="1365" w:type="dxa"/>
                    <w:tblLayout w:type="fixed"/>
                    <w:tblCellMar>
                      <w:left w:w="0" w:type="dxa"/>
                      <w:right w:w="0" w:type="dxa"/>
                    </w:tblCellMar>
                    <w:tblLook w:val="01E0" w:firstRow="1" w:lastRow="1" w:firstColumn="1" w:lastColumn="1" w:noHBand="0" w:noVBand="0"/>
                  </w:tblPr>
                  <w:tblGrid>
                    <w:gridCol w:w="1365"/>
                  </w:tblGrid>
                  <w:tr w:rsidR="00D07169" w:rsidRPr="00D33300" w14:paraId="66A36238" w14:textId="77777777" w:rsidTr="00D07169">
                    <w:tc>
                      <w:tcPr>
                        <w:tcW w:w="1365" w:type="dxa"/>
                        <w:tcMar>
                          <w:top w:w="0" w:type="dxa"/>
                          <w:left w:w="0" w:type="dxa"/>
                          <w:bottom w:w="0" w:type="dxa"/>
                          <w:right w:w="0" w:type="dxa"/>
                        </w:tcMar>
                      </w:tcPr>
                      <w:p w14:paraId="797A8342" w14:textId="77777777" w:rsidR="00D07169" w:rsidRPr="00D33300" w:rsidRDefault="00D07169" w:rsidP="00D07169">
                        <w:pPr>
                          <w:jc w:val="left"/>
                          <w:rPr>
                            <w:rFonts w:cs="Arial"/>
                            <w:color w:val="000000"/>
                            <w:sz w:val="16"/>
                            <w:szCs w:val="16"/>
                          </w:rPr>
                        </w:pPr>
                        <w:r>
                          <w:rPr>
                            <w:color w:val="000000"/>
                            <w:sz w:val="16"/>
                          </w:rPr>
                          <w:t>Albaricoquero</w:t>
                        </w:r>
                      </w:p>
                      <w:p w14:paraId="6C0A6A78" w14:textId="77777777" w:rsidR="00D07169" w:rsidRPr="00D33300" w:rsidRDefault="00D07169" w:rsidP="00D07169">
                        <w:pPr>
                          <w:spacing w:line="1" w:lineRule="auto"/>
                          <w:jc w:val="left"/>
                          <w:rPr>
                            <w:lang w:eastAsia="zh-CN"/>
                          </w:rPr>
                        </w:pPr>
                      </w:p>
                    </w:tc>
                  </w:tr>
                </w:tbl>
                <w:p w14:paraId="24FBFC73" w14:textId="77777777" w:rsidR="00D07169" w:rsidRPr="00D33300" w:rsidRDefault="00D07169" w:rsidP="00D07169">
                  <w:pPr>
                    <w:spacing w:line="1" w:lineRule="auto"/>
                    <w:jc w:val="left"/>
                    <w:rPr>
                      <w:lang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109626" w14:textId="77777777" w:rsidR="00D07169" w:rsidRPr="00D33300" w:rsidRDefault="00D07169" w:rsidP="00D07169">
                  <w:pPr>
                    <w:jc w:val="left"/>
                    <w:rPr>
                      <w:vanish/>
                      <w:lang w:eastAsia="zh-CN"/>
                    </w:rPr>
                  </w:pPr>
                </w:p>
                <w:tbl>
                  <w:tblPr>
                    <w:tblW w:w="1463" w:type="dxa"/>
                    <w:tblLayout w:type="fixed"/>
                    <w:tblCellMar>
                      <w:left w:w="0" w:type="dxa"/>
                      <w:right w:w="0" w:type="dxa"/>
                    </w:tblCellMar>
                    <w:tblLook w:val="01E0" w:firstRow="1" w:lastRow="1" w:firstColumn="1" w:lastColumn="1" w:noHBand="0" w:noVBand="0"/>
                  </w:tblPr>
                  <w:tblGrid>
                    <w:gridCol w:w="1463"/>
                  </w:tblGrid>
                  <w:tr w:rsidR="00D07169" w:rsidRPr="00D33300" w14:paraId="3364C489" w14:textId="77777777" w:rsidTr="00D07169">
                    <w:tc>
                      <w:tcPr>
                        <w:tcW w:w="1463" w:type="dxa"/>
                        <w:tcMar>
                          <w:top w:w="0" w:type="dxa"/>
                          <w:left w:w="0" w:type="dxa"/>
                          <w:bottom w:w="0" w:type="dxa"/>
                          <w:right w:w="0" w:type="dxa"/>
                        </w:tcMar>
                      </w:tcPr>
                      <w:p w14:paraId="015D2FDC" w14:textId="77777777" w:rsidR="00D07169" w:rsidRPr="00D33300" w:rsidRDefault="00D07169" w:rsidP="00D07169">
                        <w:pPr>
                          <w:jc w:val="left"/>
                          <w:rPr>
                            <w:rFonts w:cs="Arial"/>
                            <w:color w:val="000000"/>
                            <w:sz w:val="16"/>
                            <w:szCs w:val="16"/>
                          </w:rPr>
                        </w:pPr>
                        <w:r>
                          <w:rPr>
                            <w:i/>
                            <w:color w:val="000000"/>
                            <w:sz w:val="16"/>
                          </w:rPr>
                          <w:t>Prunus armeniaca</w:t>
                        </w:r>
                        <w:r>
                          <w:rPr>
                            <w:color w:val="000000"/>
                            <w:sz w:val="16"/>
                          </w:rPr>
                          <w:t> L.</w:t>
                        </w:r>
                      </w:p>
                      <w:p w14:paraId="6F01CEBB" w14:textId="77777777" w:rsidR="00D07169" w:rsidRPr="00D33300" w:rsidRDefault="00D07169" w:rsidP="00D07169">
                        <w:pPr>
                          <w:spacing w:line="1" w:lineRule="auto"/>
                          <w:jc w:val="left"/>
                          <w:rPr>
                            <w:lang w:eastAsia="zh-CN"/>
                          </w:rPr>
                        </w:pPr>
                      </w:p>
                    </w:tc>
                  </w:tr>
                </w:tbl>
                <w:p w14:paraId="3BD490AA" w14:textId="77777777" w:rsidR="00D07169" w:rsidRPr="00D33300" w:rsidRDefault="00D07169" w:rsidP="00D07169">
                  <w:pPr>
                    <w:spacing w:line="1" w:lineRule="auto"/>
                    <w:jc w:val="left"/>
                    <w:rPr>
                      <w:lang w:eastAsia="zh-CN"/>
                    </w:rPr>
                  </w:pPr>
                </w:p>
              </w:tc>
            </w:tr>
            <w:tr w:rsidR="00D07169" w:rsidRPr="00D33300" w14:paraId="5F236BE1" w14:textId="77777777" w:rsidTr="00D07169">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6EE392" w14:textId="77777777" w:rsidR="00D07169" w:rsidRPr="00FC2133" w:rsidRDefault="00D07169" w:rsidP="00D07169">
                  <w:pPr>
                    <w:jc w:val="left"/>
                    <w:rPr>
                      <w:vanish/>
                      <w:lang w:eastAsia="zh-CN"/>
                    </w:rPr>
                  </w:pPr>
                </w:p>
                <w:tbl>
                  <w:tblPr>
                    <w:tblW w:w="645" w:type="dxa"/>
                    <w:tblLayout w:type="fixed"/>
                    <w:tblCellMar>
                      <w:left w:w="0" w:type="dxa"/>
                      <w:right w:w="0" w:type="dxa"/>
                    </w:tblCellMar>
                    <w:tblLook w:val="01E0" w:firstRow="1" w:lastRow="1" w:firstColumn="1" w:lastColumn="1" w:noHBand="0" w:noVBand="0"/>
                  </w:tblPr>
                  <w:tblGrid>
                    <w:gridCol w:w="645"/>
                  </w:tblGrid>
                  <w:tr w:rsidR="00D07169" w:rsidRPr="00FC2133" w14:paraId="00B98659" w14:textId="77777777" w:rsidTr="00D07169">
                    <w:tc>
                      <w:tcPr>
                        <w:tcW w:w="645" w:type="dxa"/>
                        <w:tcMar>
                          <w:top w:w="0" w:type="dxa"/>
                          <w:left w:w="0" w:type="dxa"/>
                          <w:bottom w:w="0" w:type="dxa"/>
                          <w:right w:w="0" w:type="dxa"/>
                        </w:tcMar>
                      </w:tcPr>
                      <w:p w14:paraId="5C1D5A43" w14:textId="77777777" w:rsidR="00D07169" w:rsidRPr="00FC2133" w:rsidRDefault="00D07169" w:rsidP="00D07169">
                        <w:pPr>
                          <w:jc w:val="left"/>
                          <w:rPr>
                            <w:rFonts w:cs="Arial"/>
                            <w:color w:val="000000"/>
                            <w:sz w:val="16"/>
                            <w:szCs w:val="16"/>
                          </w:rPr>
                        </w:pPr>
                        <w:r>
                          <w:rPr>
                            <w:color w:val="000000"/>
                            <w:sz w:val="16"/>
                          </w:rPr>
                          <w:t>JP</w:t>
                        </w:r>
                      </w:p>
                      <w:p w14:paraId="6D1CB0DA" w14:textId="77777777" w:rsidR="00D07169" w:rsidRPr="00FC2133" w:rsidRDefault="00D07169" w:rsidP="00D07169">
                        <w:pPr>
                          <w:spacing w:line="1" w:lineRule="auto"/>
                          <w:jc w:val="left"/>
                          <w:rPr>
                            <w:lang w:eastAsia="zh-CN"/>
                          </w:rPr>
                        </w:pPr>
                      </w:p>
                    </w:tc>
                  </w:tr>
                </w:tbl>
                <w:p w14:paraId="6863AE37" w14:textId="77777777" w:rsidR="00D07169" w:rsidRPr="00FC2133" w:rsidRDefault="00D07169" w:rsidP="00D07169">
                  <w:pPr>
                    <w:spacing w:line="1" w:lineRule="auto"/>
                    <w:jc w:val="left"/>
                    <w:rPr>
                      <w:lang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1F626D" w14:textId="77777777" w:rsidR="00D07169" w:rsidRPr="00FC2133" w:rsidRDefault="00D07169" w:rsidP="00D07169">
                  <w:pPr>
                    <w:jc w:val="left"/>
                    <w:rPr>
                      <w:vanish/>
                      <w:lang w:eastAsia="zh-CN"/>
                    </w:rPr>
                  </w:pPr>
                </w:p>
                <w:tbl>
                  <w:tblPr>
                    <w:tblW w:w="885" w:type="dxa"/>
                    <w:tblLayout w:type="fixed"/>
                    <w:tblCellMar>
                      <w:left w:w="0" w:type="dxa"/>
                      <w:right w:w="0" w:type="dxa"/>
                    </w:tblCellMar>
                    <w:tblLook w:val="01E0" w:firstRow="1" w:lastRow="1" w:firstColumn="1" w:lastColumn="1" w:noHBand="0" w:noVBand="0"/>
                  </w:tblPr>
                  <w:tblGrid>
                    <w:gridCol w:w="885"/>
                  </w:tblGrid>
                  <w:tr w:rsidR="00D07169" w:rsidRPr="00FC2133" w14:paraId="59BB41CF" w14:textId="77777777" w:rsidTr="00D07169">
                    <w:tc>
                      <w:tcPr>
                        <w:tcW w:w="885" w:type="dxa"/>
                        <w:tcMar>
                          <w:top w:w="0" w:type="dxa"/>
                          <w:left w:w="0" w:type="dxa"/>
                          <w:bottom w:w="0" w:type="dxa"/>
                          <w:right w:w="0" w:type="dxa"/>
                        </w:tcMar>
                      </w:tcPr>
                      <w:p w14:paraId="760FCADB" w14:textId="77777777" w:rsidR="00D07169" w:rsidRPr="00FC2133" w:rsidRDefault="00D07169" w:rsidP="00D07169">
                        <w:pPr>
                          <w:jc w:val="left"/>
                          <w:rPr>
                            <w:rFonts w:cs="Arial"/>
                            <w:color w:val="000000"/>
                            <w:sz w:val="16"/>
                            <w:szCs w:val="16"/>
                          </w:rPr>
                        </w:pPr>
                        <w:r>
                          <w:rPr>
                            <w:color w:val="000000"/>
                            <w:sz w:val="16"/>
                          </w:rPr>
                          <w:t>TWO</w:t>
                        </w:r>
                      </w:p>
                      <w:p w14:paraId="56E63CE7" w14:textId="77777777" w:rsidR="00D07169" w:rsidRPr="00FC2133" w:rsidRDefault="00D07169" w:rsidP="00D07169">
                        <w:pPr>
                          <w:spacing w:line="1" w:lineRule="auto"/>
                          <w:jc w:val="left"/>
                          <w:rPr>
                            <w:lang w:eastAsia="zh-CN"/>
                          </w:rPr>
                        </w:pPr>
                      </w:p>
                    </w:tc>
                  </w:tr>
                </w:tbl>
                <w:p w14:paraId="7FD87E82" w14:textId="77777777" w:rsidR="00D07169" w:rsidRPr="00FC2133" w:rsidRDefault="00D07169" w:rsidP="00D07169">
                  <w:pPr>
                    <w:spacing w:line="1" w:lineRule="auto"/>
                    <w:jc w:val="left"/>
                    <w:rPr>
                      <w:lang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7A390A" w14:textId="77777777" w:rsidR="00D07169" w:rsidRPr="00FC2133" w:rsidRDefault="00D07169" w:rsidP="00D07169">
                  <w:pPr>
                    <w:jc w:val="left"/>
                    <w:rPr>
                      <w:vanish/>
                      <w:lang w:eastAsia="zh-CN"/>
                    </w:rPr>
                  </w:pPr>
                </w:p>
                <w:tbl>
                  <w:tblPr>
                    <w:tblW w:w="1245" w:type="dxa"/>
                    <w:tblLayout w:type="fixed"/>
                    <w:tblCellMar>
                      <w:left w:w="0" w:type="dxa"/>
                      <w:right w:w="0" w:type="dxa"/>
                    </w:tblCellMar>
                    <w:tblLook w:val="01E0" w:firstRow="1" w:lastRow="1" w:firstColumn="1" w:lastColumn="1" w:noHBand="0" w:noVBand="0"/>
                  </w:tblPr>
                  <w:tblGrid>
                    <w:gridCol w:w="1245"/>
                  </w:tblGrid>
                  <w:tr w:rsidR="00D07169" w:rsidRPr="00FC2133" w14:paraId="593BC614" w14:textId="77777777" w:rsidTr="00D07169">
                    <w:tc>
                      <w:tcPr>
                        <w:tcW w:w="1245" w:type="dxa"/>
                        <w:tcMar>
                          <w:top w:w="0" w:type="dxa"/>
                          <w:left w:w="0" w:type="dxa"/>
                          <w:bottom w:w="0" w:type="dxa"/>
                          <w:right w:w="0" w:type="dxa"/>
                        </w:tcMar>
                      </w:tcPr>
                      <w:p w14:paraId="7EEAF930" w14:textId="77777777" w:rsidR="00D07169" w:rsidRPr="00FC2133" w:rsidRDefault="00D07169" w:rsidP="00D07169">
                        <w:pPr>
                          <w:jc w:val="left"/>
                          <w:rPr>
                            <w:rFonts w:cs="Arial"/>
                            <w:color w:val="000000"/>
                            <w:sz w:val="16"/>
                            <w:szCs w:val="16"/>
                          </w:rPr>
                        </w:pPr>
                        <w:r>
                          <w:rPr>
                            <w:color w:val="000000"/>
                            <w:sz w:val="16"/>
                          </w:rPr>
                          <w:t>TG/197/2(proj.4)</w:t>
                        </w:r>
                      </w:p>
                      <w:p w14:paraId="1766AE5C" w14:textId="77777777" w:rsidR="00D07169" w:rsidRPr="00FC2133" w:rsidRDefault="00D07169" w:rsidP="00D07169">
                        <w:pPr>
                          <w:spacing w:line="1" w:lineRule="auto"/>
                          <w:jc w:val="left"/>
                          <w:rPr>
                            <w:lang w:eastAsia="zh-CN"/>
                          </w:rPr>
                        </w:pPr>
                      </w:p>
                    </w:tc>
                  </w:tr>
                </w:tbl>
                <w:p w14:paraId="652AD21E" w14:textId="77777777" w:rsidR="00D07169" w:rsidRPr="00FC2133" w:rsidRDefault="00D07169" w:rsidP="00D07169">
                  <w:pPr>
                    <w:spacing w:line="1" w:lineRule="auto"/>
                    <w:jc w:val="left"/>
                    <w:rPr>
                      <w:lang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CBB578" w14:textId="77777777" w:rsidR="00D07169" w:rsidRPr="00FC2133" w:rsidRDefault="00D07169" w:rsidP="00D07169">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D07169" w:rsidRPr="00FC2133" w14:paraId="359863FC" w14:textId="77777777" w:rsidTr="00D07169">
                    <w:tc>
                      <w:tcPr>
                        <w:tcW w:w="1545" w:type="dxa"/>
                        <w:tcMar>
                          <w:top w:w="0" w:type="dxa"/>
                          <w:left w:w="0" w:type="dxa"/>
                          <w:bottom w:w="0" w:type="dxa"/>
                          <w:right w:w="0" w:type="dxa"/>
                        </w:tcMar>
                      </w:tcPr>
                      <w:p w14:paraId="3FFD9E00" w14:textId="77777777" w:rsidR="00D07169" w:rsidRPr="00FC2133" w:rsidRDefault="00D07169" w:rsidP="00D07169">
                        <w:pPr>
                          <w:jc w:val="left"/>
                          <w:rPr>
                            <w:rFonts w:cs="Arial"/>
                            <w:color w:val="000000"/>
                            <w:sz w:val="16"/>
                            <w:szCs w:val="16"/>
                          </w:rPr>
                        </w:pPr>
                        <w:r>
                          <w:rPr>
                            <w:color w:val="000000"/>
                            <w:sz w:val="16"/>
                          </w:rPr>
                          <w:t>Eustoma</w:t>
                        </w:r>
                      </w:p>
                      <w:p w14:paraId="7FA344EE" w14:textId="77777777" w:rsidR="00D07169" w:rsidRPr="00FC2133" w:rsidRDefault="00D07169" w:rsidP="00D07169">
                        <w:pPr>
                          <w:spacing w:line="1" w:lineRule="auto"/>
                          <w:jc w:val="left"/>
                          <w:rPr>
                            <w:lang w:eastAsia="zh-CN"/>
                          </w:rPr>
                        </w:pPr>
                      </w:p>
                    </w:tc>
                  </w:tr>
                </w:tbl>
                <w:p w14:paraId="32408866" w14:textId="77777777" w:rsidR="00D07169" w:rsidRPr="00FC2133" w:rsidRDefault="00D07169" w:rsidP="00D07169">
                  <w:pPr>
                    <w:spacing w:line="1" w:lineRule="auto"/>
                    <w:jc w:val="left"/>
                    <w:rPr>
                      <w:lang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BD8054" w14:textId="77777777" w:rsidR="00D07169" w:rsidRPr="00FC2133" w:rsidRDefault="00D07169" w:rsidP="00D07169">
                  <w:pPr>
                    <w:jc w:val="left"/>
                    <w:rPr>
                      <w:vanish/>
                      <w:lang w:eastAsia="zh-CN"/>
                    </w:rPr>
                  </w:pPr>
                </w:p>
                <w:tbl>
                  <w:tblPr>
                    <w:tblW w:w="1290" w:type="dxa"/>
                    <w:tblLayout w:type="fixed"/>
                    <w:tblCellMar>
                      <w:left w:w="0" w:type="dxa"/>
                      <w:right w:w="0" w:type="dxa"/>
                    </w:tblCellMar>
                    <w:tblLook w:val="01E0" w:firstRow="1" w:lastRow="1" w:firstColumn="1" w:lastColumn="1" w:noHBand="0" w:noVBand="0"/>
                  </w:tblPr>
                  <w:tblGrid>
                    <w:gridCol w:w="1290"/>
                  </w:tblGrid>
                  <w:tr w:rsidR="00D07169" w:rsidRPr="00FC2133" w14:paraId="041D8D5B" w14:textId="77777777" w:rsidTr="00D07169">
                    <w:tc>
                      <w:tcPr>
                        <w:tcW w:w="1290" w:type="dxa"/>
                        <w:tcMar>
                          <w:top w:w="0" w:type="dxa"/>
                          <w:left w:w="0" w:type="dxa"/>
                          <w:bottom w:w="0" w:type="dxa"/>
                          <w:right w:w="0" w:type="dxa"/>
                        </w:tcMar>
                      </w:tcPr>
                      <w:p w14:paraId="30F0F719" w14:textId="77777777" w:rsidR="00D07169" w:rsidRPr="00FC2133" w:rsidRDefault="00D07169" w:rsidP="00D07169">
                        <w:pPr>
                          <w:jc w:val="left"/>
                          <w:rPr>
                            <w:rFonts w:cs="Arial"/>
                            <w:color w:val="000000"/>
                            <w:sz w:val="16"/>
                            <w:szCs w:val="16"/>
                          </w:rPr>
                        </w:pPr>
                        <w:r>
                          <w:rPr>
                            <w:color w:val="000000"/>
                            <w:sz w:val="16"/>
                          </w:rPr>
                          <w:t>Eustoma</w:t>
                        </w:r>
                      </w:p>
                      <w:p w14:paraId="2744592B" w14:textId="77777777" w:rsidR="00D07169" w:rsidRPr="00FC2133" w:rsidRDefault="00D07169" w:rsidP="00D07169">
                        <w:pPr>
                          <w:spacing w:line="1" w:lineRule="auto"/>
                          <w:jc w:val="left"/>
                          <w:rPr>
                            <w:lang w:eastAsia="zh-CN"/>
                          </w:rPr>
                        </w:pPr>
                      </w:p>
                    </w:tc>
                  </w:tr>
                </w:tbl>
                <w:p w14:paraId="7CC4A184" w14:textId="77777777" w:rsidR="00D07169" w:rsidRPr="00FC2133" w:rsidRDefault="00D07169" w:rsidP="00D07169">
                  <w:pPr>
                    <w:spacing w:line="1" w:lineRule="auto"/>
                    <w:jc w:val="left"/>
                    <w:rPr>
                      <w:lang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752D68" w14:textId="77777777" w:rsidR="00D07169" w:rsidRPr="00D33300" w:rsidRDefault="00D07169" w:rsidP="00D07169">
                  <w:pPr>
                    <w:jc w:val="left"/>
                    <w:rPr>
                      <w:vanish/>
                      <w:lang w:eastAsia="zh-CN"/>
                    </w:rPr>
                  </w:pPr>
                </w:p>
                <w:tbl>
                  <w:tblPr>
                    <w:tblW w:w="1470" w:type="dxa"/>
                    <w:tblLayout w:type="fixed"/>
                    <w:tblCellMar>
                      <w:left w:w="0" w:type="dxa"/>
                      <w:right w:w="0" w:type="dxa"/>
                    </w:tblCellMar>
                    <w:tblLook w:val="01E0" w:firstRow="1" w:lastRow="1" w:firstColumn="1" w:lastColumn="1" w:noHBand="0" w:noVBand="0"/>
                  </w:tblPr>
                  <w:tblGrid>
                    <w:gridCol w:w="1470"/>
                  </w:tblGrid>
                  <w:tr w:rsidR="00D07169" w:rsidRPr="00D33300" w14:paraId="338458E3" w14:textId="77777777" w:rsidTr="00D07169">
                    <w:tc>
                      <w:tcPr>
                        <w:tcW w:w="1470" w:type="dxa"/>
                        <w:tcMar>
                          <w:top w:w="0" w:type="dxa"/>
                          <w:left w:w="0" w:type="dxa"/>
                          <w:bottom w:w="0" w:type="dxa"/>
                          <w:right w:w="0" w:type="dxa"/>
                        </w:tcMar>
                      </w:tcPr>
                      <w:p w14:paraId="105BAA5A" w14:textId="77777777" w:rsidR="00D07169" w:rsidRPr="00D33300" w:rsidRDefault="00D07169" w:rsidP="00D07169">
                        <w:pPr>
                          <w:jc w:val="left"/>
                          <w:rPr>
                            <w:rFonts w:cs="Arial"/>
                            <w:color w:val="000000"/>
                            <w:sz w:val="16"/>
                            <w:szCs w:val="16"/>
                          </w:rPr>
                        </w:pPr>
                        <w:r>
                          <w:rPr>
                            <w:color w:val="000000"/>
                            <w:sz w:val="16"/>
                          </w:rPr>
                          <w:t>Eustoma</w:t>
                        </w:r>
                      </w:p>
                      <w:p w14:paraId="27A301AF" w14:textId="77777777" w:rsidR="00D07169" w:rsidRPr="00D33300" w:rsidRDefault="00D07169" w:rsidP="00D07169">
                        <w:pPr>
                          <w:spacing w:line="1" w:lineRule="auto"/>
                          <w:jc w:val="left"/>
                          <w:rPr>
                            <w:lang w:eastAsia="zh-CN"/>
                          </w:rPr>
                        </w:pPr>
                      </w:p>
                    </w:tc>
                  </w:tr>
                </w:tbl>
                <w:p w14:paraId="7752CCC9" w14:textId="77777777" w:rsidR="00D07169" w:rsidRPr="00D33300" w:rsidRDefault="00D07169" w:rsidP="00D07169">
                  <w:pPr>
                    <w:spacing w:line="1" w:lineRule="auto"/>
                    <w:jc w:val="left"/>
                    <w:rPr>
                      <w:lang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87306F" w14:textId="77777777" w:rsidR="00D07169" w:rsidRPr="00D33300" w:rsidRDefault="00D07169" w:rsidP="00D07169">
                  <w:pPr>
                    <w:jc w:val="left"/>
                    <w:rPr>
                      <w:vanish/>
                      <w:lang w:eastAsia="zh-CN"/>
                    </w:rPr>
                  </w:pPr>
                </w:p>
                <w:tbl>
                  <w:tblPr>
                    <w:tblW w:w="1365" w:type="dxa"/>
                    <w:tblLayout w:type="fixed"/>
                    <w:tblCellMar>
                      <w:left w:w="0" w:type="dxa"/>
                      <w:right w:w="0" w:type="dxa"/>
                    </w:tblCellMar>
                    <w:tblLook w:val="01E0" w:firstRow="1" w:lastRow="1" w:firstColumn="1" w:lastColumn="1" w:noHBand="0" w:noVBand="0"/>
                  </w:tblPr>
                  <w:tblGrid>
                    <w:gridCol w:w="1365"/>
                  </w:tblGrid>
                  <w:tr w:rsidR="00D07169" w:rsidRPr="00D33300" w14:paraId="446A3868" w14:textId="77777777" w:rsidTr="00D07169">
                    <w:tc>
                      <w:tcPr>
                        <w:tcW w:w="1365" w:type="dxa"/>
                        <w:tcMar>
                          <w:top w:w="0" w:type="dxa"/>
                          <w:left w:w="0" w:type="dxa"/>
                          <w:bottom w:w="0" w:type="dxa"/>
                          <w:right w:w="0" w:type="dxa"/>
                        </w:tcMar>
                      </w:tcPr>
                      <w:p w14:paraId="6359DE13" w14:textId="77777777" w:rsidR="00D07169" w:rsidRPr="00D33300" w:rsidRDefault="00D07169" w:rsidP="00D07169">
                        <w:pPr>
                          <w:jc w:val="left"/>
                          <w:rPr>
                            <w:rFonts w:cs="Arial"/>
                            <w:color w:val="000000"/>
                            <w:sz w:val="16"/>
                            <w:szCs w:val="16"/>
                          </w:rPr>
                        </w:pPr>
                        <w:r>
                          <w:rPr>
                            <w:color w:val="000000"/>
                            <w:sz w:val="16"/>
                          </w:rPr>
                          <w:t>Eustoma</w:t>
                        </w:r>
                      </w:p>
                      <w:p w14:paraId="09A9713F" w14:textId="77777777" w:rsidR="00D07169" w:rsidRPr="00D33300" w:rsidRDefault="00D07169" w:rsidP="00D07169">
                        <w:pPr>
                          <w:spacing w:line="1" w:lineRule="auto"/>
                          <w:jc w:val="left"/>
                          <w:rPr>
                            <w:lang w:eastAsia="zh-CN"/>
                          </w:rPr>
                        </w:pPr>
                      </w:p>
                    </w:tc>
                  </w:tr>
                </w:tbl>
                <w:p w14:paraId="3A02C24D" w14:textId="77777777" w:rsidR="00D07169" w:rsidRPr="00D33300" w:rsidRDefault="00D07169" w:rsidP="00D07169">
                  <w:pPr>
                    <w:spacing w:line="1" w:lineRule="auto"/>
                    <w:jc w:val="left"/>
                    <w:rPr>
                      <w:lang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E4D99E" w14:textId="77777777" w:rsidR="00D07169" w:rsidRPr="00D33300" w:rsidRDefault="00D07169" w:rsidP="00D07169">
                  <w:pPr>
                    <w:jc w:val="left"/>
                    <w:rPr>
                      <w:vanish/>
                      <w:lang w:eastAsia="zh-CN"/>
                    </w:rPr>
                  </w:pPr>
                </w:p>
                <w:tbl>
                  <w:tblPr>
                    <w:tblW w:w="1463" w:type="dxa"/>
                    <w:tblLayout w:type="fixed"/>
                    <w:tblCellMar>
                      <w:left w:w="0" w:type="dxa"/>
                      <w:right w:w="0" w:type="dxa"/>
                    </w:tblCellMar>
                    <w:tblLook w:val="01E0" w:firstRow="1" w:lastRow="1" w:firstColumn="1" w:lastColumn="1" w:noHBand="0" w:noVBand="0"/>
                  </w:tblPr>
                  <w:tblGrid>
                    <w:gridCol w:w="1463"/>
                  </w:tblGrid>
                  <w:tr w:rsidR="00D07169" w:rsidRPr="00D33300" w14:paraId="6FAE854E" w14:textId="77777777" w:rsidTr="00D07169">
                    <w:tc>
                      <w:tcPr>
                        <w:tcW w:w="1463" w:type="dxa"/>
                        <w:tcMar>
                          <w:top w:w="0" w:type="dxa"/>
                          <w:left w:w="0" w:type="dxa"/>
                          <w:bottom w:w="0" w:type="dxa"/>
                          <w:right w:w="0" w:type="dxa"/>
                        </w:tcMar>
                      </w:tcPr>
                      <w:p w14:paraId="647D4D7A" w14:textId="77777777" w:rsidR="00D07169" w:rsidRPr="00D33300" w:rsidRDefault="00D07169" w:rsidP="00D07169">
                        <w:pPr>
                          <w:jc w:val="left"/>
                          <w:rPr>
                            <w:rFonts w:cs="Arial"/>
                            <w:color w:val="000000"/>
                            <w:sz w:val="16"/>
                            <w:szCs w:val="16"/>
                          </w:rPr>
                        </w:pPr>
                        <w:r>
                          <w:rPr>
                            <w:i/>
                            <w:color w:val="000000"/>
                            <w:sz w:val="16"/>
                          </w:rPr>
                          <w:t>Eustoma exaltatum</w:t>
                        </w:r>
                        <w:r>
                          <w:rPr>
                            <w:color w:val="000000"/>
                            <w:sz w:val="16"/>
                          </w:rPr>
                          <w:t> (L.) Salisb. ex G. Don subsp. </w:t>
                        </w:r>
                        <w:r>
                          <w:rPr>
                            <w:i/>
                            <w:color w:val="000000"/>
                            <w:sz w:val="16"/>
                          </w:rPr>
                          <w:t>russellianum</w:t>
                        </w:r>
                        <w:r>
                          <w:rPr>
                            <w:color w:val="000000"/>
                            <w:sz w:val="16"/>
                          </w:rPr>
                          <w:br/>
                          <w:t>(Hook.) Kartesz</w:t>
                        </w:r>
                      </w:p>
                      <w:p w14:paraId="36121B4F" w14:textId="77777777" w:rsidR="00D07169" w:rsidRPr="00D33300" w:rsidRDefault="00D07169" w:rsidP="00D07169">
                        <w:pPr>
                          <w:spacing w:line="1" w:lineRule="auto"/>
                          <w:jc w:val="left"/>
                          <w:rPr>
                            <w:lang w:eastAsia="zh-CN"/>
                          </w:rPr>
                        </w:pPr>
                      </w:p>
                    </w:tc>
                  </w:tr>
                </w:tbl>
                <w:p w14:paraId="153CF8D9" w14:textId="77777777" w:rsidR="00D07169" w:rsidRPr="00D33300" w:rsidRDefault="00D07169" w:rsidP="00D07169">
                  <w:pPr>
                    <w:spacing w:line="1" w:lineRule="auto"/>
                    <w:jc w:val="left"/>
                    <w:rPr>
                      <w:lang w:eastAsia="zh-CN"/>
                    </w:rPr>
                  </w:pPr>
                </w:p>
              </w:tc>
            </w:tr>
            <w:tr w:rsidR="00D07169" w:rsidRPr="00D33300" w14:paraId="3FFBA567" w14:textId="77777777" w:rsidTr="00D07169">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EE88C7" w14:textId="77777777" w:rsidR="00D07169" w:rsidRPr="00FC2133" w:rsidRDefault="00D07169" w:rsidP="00D07169">
                  <w:pPr>
                    <w:jc w:val="left"/>
                    <w:rPr>
                      <w:vanish/>
                      <w:lang w:eastAsia="zh-CN"/>
                    </w:rPr>
                  </w:pPr>
                </w:p>
                <w:tbl>
                  <w:tblPr>
                    <w:tblW w:w="645" w:type="dxa"/>
                    <w:tblLayout w:type="fixed"/>
                    <w:tblCellMar>
                      <w:left w:w="0" w:type="dxa"/>
                      <w:right w:w="0" w:type="dxa"/>
                    </w:tblCellMar>
                    <w:tblLook w:val="01E0" w:firstRow="1" w:lastRow="1" w:firstColumn="1" w:lastColumn="1" w:noHBand="0" w:noVBand="0"/>
                  </w:tblPr>
                  <w:tblGrid>
                    <w:gridCol w:w="645"/>
                  </w:tblGrid>
                  <w:tr w:rsidR="00D07169" w:rsidRPr="00FC2133" w14:paraId="22111FDB" w14:textId="77777777" w:rsidTr="00D07169">
                    <w:tc>
                      <w:tcPr>
                        <w:tcW w:w="645" w:type="dxa"/>
                        <w:tcMar>
                          <w:top w:w="0" w:type="dxa"/>
                          <w:left w:w="0" w:type="dxa"/>
                          <w:bottom w:w="0" w:type="dxa"/>
                          <w:right w:w="0" w:type="dxa"/>
                        </w:tcMar>
                      </w:tcPr>
                      <w:p w14:paraId="160225AB" w14:textId="77777777" w:rsidR="00D07169" w:rsidRPr="00FC2133" w:rsidRDefault="00D07169" w:rsidP="00D07169">
                        <w:pPr>
                          <w:jc w:val="left"/>
                          <w:rPr>
                            <w:rFonts w:cs="Arial"/>
                            <w:color w:val="000000"/>
                            <w:sz w:val="16"/>
                            <w:szCs w:val="16"/>
                          </w:rPr>
                        </w:pPr>
                        <w:r>
                          <w:rPr>
                            <w:color w:val="000000"/>
                            <w:sz w:val="16"/>
                          </w:rPr>
                          <w:t>GB</w:t>
                        </w:r>
                      </w:p>
                      <w:p w14:paraId="6B6BCFD5" w14:textId="77777777" w:rsidR="00D07169" w:rsidRPr="00FC2133" w:rsidRDefault="00D07169" w:rsidP="00D07169">
                        <w:pPr>
                          <w:spacing w:line="1" w:lineRule="auto"/>
                          <w:jc w:val="left"/>
                          <w:rPr>
                            <w:lang w:eastAsia="zh-CN"/>
                          </w:rPr>
                        </w:pPr>
                      </w:p>
                    </w:tc>
                  </w:tr>
                </w:tbl>
                <w:p w14:paraId="05FFE99B" w14:textId="77777777" w:rsidR="00D07169" w:rsidRPr="00FC2133" w:rsidRDefault="00D07169" w:rsidP="00D07169">
                  <w:pPr>
                    <w:spacing w:line="1" w:lineRule="auto"/>
                    <w:jc w:val="left"/>
                    <w:rPr>
                      <w:lang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B19901" w14:textId="77777777" w:rsidR="00D07169" w:rsidRPr="00FC2133" w:rsidRDefault="00D07169" w:rsidP="00D07169">
                  <w:pPr>
                    <w:jc w:val="left"/>
                    <w:rPr>
                      <w:vanish/>
                      <w:lang w:eastAsia="zh-CN"/>
                    </w:rPr>
                  </w:pPr>
                </w:p>
                <w:tbl>
                  <w:tblPr>
                    <w:tblW w:w="885" w:type="dxa"/>
                    <w:tblLayout w:type="fixed"/>
                    <w:tblCellMar>
                      <w:left w:w="0" w:type="dxa"/>
                      <w:right w:w="0" w:type="dxa"/>
                    </w:tblCellMar>
                    <w:tblLook w:val="01E0" w:firstRow="1" w:lastRow="1" w:firstColumn="1" w:lastColumn="1" w:noHBand="0" w:noVBand="0"/>
                  </w:tblPr>
                  <w:tblGrid>
                    <w:gridCol w:w="885"/>
                  </w:tblGrid>
                  <w:tr w:rsidR="00D07169" w:rsidRPr="00FC2133" w14:paraId="66BB225A" w14:textId="77777777" w:rsidTr="00D07169">
                    <w:tc>
                      <w:tcPr>
                        <w:tcW w:w="885" w:type="dxa"/>
                        <w:tcMar>
                          <w:top w:w="0" w:type="dxa"/>
                          <w:left w:w="0" w:type="dxa"/>
                          <w:bottom w:w="0" w:type="dxa"/>
                          <w:right w:w="0" w:type="dxa"/>
                        </w:tcMar>
                      </w:tcPr>
                      <w:p w14:paraId="49478FF5" w14:textId="77777777" w:rsidR="00D07169" w:rsidRPr="00FC2133" w:rsidRDefault="00D07169" w:rsidP="00D07169">
                        <w:pPr>
                          <w:jc w:val="left"/>
                          <w:rPr>
                            <w:rFonts w:cs="Arial"/>
                            <w:color w:val="000000"/>
                            <w:sz w:val="16"/>
                            <w:szCs w:val="16"/>
                          </w:rPr>
                        </w:pPr>
                        <w:r>
                          <w:rPr>
                            <w:color w:val="000000"/>
                            <w:sz w:val="16"/>
                          </w:rPr>
                          <w:t>TWO</w:t>
                        </w:r>
                      </w:p>
                      <w:p w14:paraId="596A869D" w14:textId="77777777" w:rsidR="00D07169" w:rsidRPr="00FC2133" w:rsidRDefault="00D07169" w:rsidP="00D07169">
                        <w:pPr>
                          <w:spacing w:line="1" w:lineRule="auto"/>
                          <w:jc w:val="left"/>
                          <w:rPr>
                            <w:lang w:eastAsia="zh-CN"/>
                          </w:rPr>
                        </w:pPr>
                      </w:p>
                    </w:tc>
                  </w:tr>
                </w:tbl>
                <w:p w14:paraId="3421D76C" w14:textId="77777777" w:rsidR="00D07169" w:rsidRPr="00FC2133" w:rsidRDefault="00D07169" w:rsidP="00D07169">
                  <w:pPr>
                    <w:spacing w:line="1" w:lineRule="auto"/>
                    <w:jc w:val="left"/>
                    <w:rPr>
                      <w:lang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522653" w14:textId="77777777" w:rsidR="00D07169" w:rsidRPr="00FC2133" w:rsidRDefault="00D07169" w:rsidP="00D07169">
                  <w:pPr>
                    <w:jc w:val="left"/>
                    <w:rPr>
                      <w:vanish/>
                      <w:lang w:eastAsia="zh-CN"/>
                    </w:rPr>
                  </w:pPr>
                </w:p>
                <w:tbl>
                  <w:tblPr>
                    <w:tblW w:w="1245" w:type="dxa"/>
                    <w:tblLayout w:type="fixed"/>
                    <w:tblCellMar>
                      <w:left w:w="0" w:type="dxa"/>
                      <w:right w:w="0" w:type="dxa"/>
                    </w:tblCellMar>
                    <w:tblLook w:val="01E0" w:firstRow="1" w:lastRow="1" w:firstColumn="1" w:lastColumn="1" w:noHBand="0" w:noVBand="0"/>
                  </w:tblPr>
                  <w:tblGrid>
                    <w:gridCol w:w="1245"/>
                  </w:tblGrid>
                  <w:tr w:rsidR="00D07169" w:rsidRPr="00FC2133" w14:paraId="5B912E0E" w14:textId="77777777" w:rsidTr="00D07169">
                    <w:tc>
                      <w:tcPr>
                        <w:tcW w:w="1245" w:type="dxa"/>
                        <w:tcMar>
                          <w:top w:w="0" w:type="dxa"/>
                          <w:left w:w="0" w:type="dxa"/>
                          <w:bottom w:w="0" w:type="dxa"/>
                          <w:right w:w="0" w:type="dxa"/>
                        </w:tcMar>
                      </w:tcPr>
                      <w:p w14:paraId="1794FAB2" w14:textId="77777777" w:rsidR="00D07169" w:rsidRPr="00FC2133" w:rsidRDefault="00D07169" w:rsidP="00D07169">
                        <w:pPr>
                          <w:jc w:val="left"/>
                          <w:rPr>
                            <w:rFonts w:cs="Arial"/>
                            <w:color w:val="000000"/>
                            <w:sz w:val="16"/>
                            <w:szCs w:val="16"/>
                          </w:rPr>
                        </w:pPr>
                        <w:r>
                          <w:rPr>
                            <w:color w:val="000000"/>
                            <w:sz w:val="16"/>
                          </w:rPr>
                          <w:t>TG/281/2(proj.3)</w:t>
                        </w:r>
                      </w:p>
                      <w:p w14:paraId="49624F83" w14:textId="77777777" w:rsidR="00D07169" w:rsidRPr="00FC2133" w:rsidRDefault="00D07169" w:rsidP="00D07169">
                        <w:pPr>
                          <w:spacing w:line="1" w:lineRule="auto"/>
                          <w:jc w:val="left"/>
                          <w:rPr>
                            <w:lang w:eastAsia="zh-CN"/>
                          </w:rPr>
                        </w:pPr>
                      </w:p>
                    </w:tc>
                  </w:tr>
                </w:tbl>
                <w:p w14:paraId="6BA0A447" w14:textId="77777777" w:rsidR="00D07169" w:rsidRPr="00FC2133" w:rsidRDefault="00D07169" w:rsidP="00D07169">
                  <w:pPr>
                    <w:spacing w:line="1" w:lineRule="auto"/>
                    <w:jc w:val="left"/>
                    <w:rPr>
                      <w:lang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CB25CB" w14:textId="77777777" w:rsidR="00D07169" w:rsidRPr="00FC2133" w:rsidRDefault="00D07169" w:rsidP="00D07169">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D07169" w:rsidRPr="00FC2133" w14:paraId="53A16A4F" w14:textId="77777777" w:rsidTr="00D07169">
                    <w:tc>
                      <w:tcPr>
                        <w:tcW w:w="1545" w:type="dxa"/>
                        <w:tcMar>
                          <w:top w:w="0" w:type="dxa"/>
                          <w:left w:w="0" w:type="dxa"/>
                          <w:bottom w:w="0" w:type="dxa"/>
                          <w:right w:w="0" w:type="dxa"/>
                        </w:tcMar>
                      </w:tcPr>
                      <w:p w14:paraId="687582BC" w14:textId="77777777" w:rsidR="00D07169" w:rsidRPr="00FC2133" w:rsidRDefault="00D07169" w:rsidP="00D07169">
                        <w:pPr>
                          <w:jc w:val="left"/>
                          <w:rPr>
                            <w:rFonts w:cs="Arial"/>
                            <w:color w:val="000000"/>
                            <w:sz w:val="16"/>
                            <w:szCs w:val="16"/>
                          </w:rPr>
                        </w:pPr>
                        <w:r>
                          <w:rPr>
                            <w:color w:val="000000"/>
                            <w:sz w:val="16"/>
                          </w:rPr>
                          <w:t>Echinacea</w:t>
                        </w:r>
                      </w:p>
                      <w:p w14:paraId="7F2543A7" w14:textId="77777777" w:rsidR="00D07169" w:rsidRPr="00FC2133" w:rsidRDefault="00D07169" w:rsidP="00D07169">
                        <w:pPr>
                          <w:spacing w:line="1" w:lineRule="auto"/>
                          <w:jc w:val="left"/>
                          <w:rPr>
                            <w:lang w:eastAsia="zh-CN"/>
                          </w:rPr>
                        </w:pPr>
                      </w:p>
                    </w:tc>
                  </w:tr>
                </w:tbl>
                <w:p w14:paraId="7278304A" w14:textId="77777777" w:rsidR="00D07169" w:rsidRPr="00FC2133" w:rsidRDefault="00D07169" w:rsidP="00D07169">
                  <w:pPr>
                    <w:spacing w:line="1" w:lineRule="auto"/>
                    <w:jc w:val="left"/>
                    <w:rPr>
                      <w:lang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E16DB0" w14:textId="77777777" w:rsidR="00D07169" w:rsidRPr="00FC2133" w:rsidRDefault="00D07169" w:rsidP="00D07169">
                  <w:pPr>
                    <w:jc w:val="left"/>
                    <w:rPr>
                      <w:vanish/>
                      <w:lang w:eastAsia="zh-CN"/>
                    </w:rPr>
                  </w:pPr>
                </w:p>
                <w:tbl>
                  <w:tblPr>
                    <w:tblW w:w="1290" w:type="dxa"/>
                    <w:tblLayout w:type="fixed"/>
                    <w:tblCellMar>
                      <w:left w:w="0" w:type="dxa"/>
                      <w:right w:w="0" w:type="dxa"/>
                    </w:tblCellMar>
                    <w:tblLook w:val="01E0" w:firstRow="1" w:lastRow="1" w:firstColumn="1" w:lastColumn="1" w:noHBand="0" w:noVBand="0"/>
                  </w:tblPr>
                  <w:tblGrid>
                    <w:gridCol w:w="1290"/>
                  </w:tblGrid>
                  <w:tr w:rsidR="00D07169" w:rsidRPr="00FC2133" w14:paraId="3031DA71" w14:textId="77777777" w:rsidTr="00D07169">
                    <w:tc>
                      <w:tcPr>
                        <w:tcW w:w="1290" w:type="dxa"/>
                        <w:tcMar>
                          <w:top w:w="0" w:type="dxa"/>
                          <w:left w:w="0" w:type="dxa"/>
                          <w:bottom w:w="0" w:type="dxa"/>
                          <w:right w:w="0" w:type="dxa"/>
                        </w:tcMar>
                      </w:tcPr>
                      <w:p w14:paraId="6E39B481" w14:textId="77777777" w:rsidR="00D07169" w:rsidRPr="00FC2133" w:rsidRDefault="00D07169" w:rsidP="00D07169">
                        <w:pPr>
                          <w:jc w:val="left"/>
                          <w:rPr>
                            <w:rFonts w:cs="Arial"/>
                            <w:color w:val="000000"/>
                            <w:sz w:val="16"/>
                            <w:szCs w:val="16"/>
                          </w:rPr>
                        </w:pPr>
                        <w:r>
                          <w:rPr>
                            <w:color w:val="000000"/>
                            <w:sz w:val="16"/>
                          </w:rPr>
                          <w:t>Echinacée</w:t>
                        </w:r>
                      </w:p>
                      <w:p w14:paraId="36CEA237" w14:textId="77777777" w:rsidR="00D07169" w:rsidRPr="00FC2133" w:rsidRDefault="00D07169" w:rsidP="00D07169">
                        <w:pPr>
                          <w:spacing w:line="1" w:lineRule="auto"/>
                          <w:jc w:val="left"/>
                          <w:rPr>
                            <w:lang w:eastAsia="zh-CN"/>
                          </w:rPr>
                        </w:pPr>
                      </w:p>
                    </w:tc>
                  </w:tr>
                </w:tbl>
                <w:p w14:paraId="0395FF51" w14:textId="77777777" w:rsidR="00D07169" w:rsidRPr="00FC2133" w:rsidRDefault="00D07169" w:rsidP="00D07169">
                  <w:pPr>
                    <w:spacing w:line="1" w:lineRule="auto"/>
                    <w:jc w:val="left"/>
                    <w:rPr>
                      <w:lang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7066DF" w14:textId="77777777" w:rsidR="00D07169" w:rsidRPr="00D33300" w:rsidRDefault="00D07169" w:rsidP="00D07169">
                  <w:pPr>
                    <w:jc w:val="left"/>
                    <w:rPr>
                      <w:vanish/>
                      <w:lang w:eastAsia="zh-CN"/>
                    </w:rPr>
                  </w:pPr>
                </w:p>
                <w:tbl>
                  <w:tblPr>
                    <w:tblW w:w="1470" w:type="dxa"/>
                    <w:tblLayout w:type="fixed"/>
                    <w:tblCellMar>
                      <w:left w:w="0" w:type="dxa"/>
                      <w:right w:w="0" w:type="dxa"/>
                    </w:tblCellMar>
                    <w:tblLook w:val="01E0" w:firstRow="1" w:lastRow="1" w:firstColumn="1" w:lastColumn="1" w:noHBand="0" w:noVBand="0"/>
                  </w:tblPr>
                  <w:tblGrid>
                    <w:gridCol w:w="1470"/>
                  </w:tblGrid>
                  <w:tr w:rsidR="00D07169" w:rsidRPr="00D33300" w14:paraId="1B4981B0" w14:textId="77777777" w:rsidTr="00D07169">
                    <w:tc>
                      <w:tcPr>
                        <w:tcW w:w="1470" w:type="dxa"/>
                        <w:tcMar>
                          <w:top w:w="0" w:type="dxa"/>
                          <w:left w:w="0" w:type="dxa"/>
                          <w:bottom w:w="0" w:type="dxa"/>
                          <w:right w:w="0" w:type="dxa"/>
                        </w:tcMar>
                      </w:tcPr>
                      <w:p w14:paraId="6F274570" w14:textId="77777777" w:rsidR="00D07169" w:rsidRPr="00D33300" w:rsidRDefault="00D07169" w:rsidP="00D07169">
                        <w:pPr>
                          <w:jc w:val="left"/>
                          <w:rPr>
                            <w:rFonts w:cs="Arial"/>
                            <w:color w:val="000000"/>
                            <w:sz w:val="16"/>
                            <w:szCs w:val="16"/>
                          </w:rPr>
                        </w:pPr>
                        <w:r>
                          <w:rPr>
                            <w:color w:val="000000"/>
                            <w:sz w:val="16"/>
                          </w:rPr>
                          <w:t>Echinacea, Igelkopf</w:t>
                        </w:r>
                      </w:p>
                      <w:p w14:paraId="509FBE04" w14:textId="77777777" w:rsidR="00D07169" w:rsidRPr="00D33300" w:rsidRDefault="00D07169" w:rsidP="00D07169">
                        <w:pPr>
                          <w:spacing w:line="1" w:lineRule="auto"/>
                          <w:jc w:val="left"/>
                          <w:rPr>
                            <w:lang w:eastAsia="zh-CN"/>
                          </w:rPr>
                        </w:pPr>
                      </w:p>
                    </w:tc>
                  </w:tr>
                </w:tbl>
                <w:p w14:paraId="6E00F56E" w14:textId="77777777" w:rsidR="00D07169" w:rsidRPr="00D33300" w:rsidRDefault="00D07169" w:rsidP="00D07169">
                  <w:pPr>
                    <w:spacing w:line="1" w:lineRule="auto"/>
                    <w:jc w:val="left"/>
                    <w:rPr>
                      <w:lang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D47B84" w14:textId="77777777" w:rsidR="00D07169" w:rsidRPr="00D33300" w:rsidRDefault="00D07169" w:rsidP="00D07169">
                  <w:pPr>
                    <w:jc w:val="left"/>
                    <w:rPr>
                      <w:vanish/>
                      <w:lang w:eastAsia="zh-CN"/>
                    </w:rPr>
                  </w:pPr>
                </w:p>
                <w:tbl>
                  <w:tblPr>
                    <w:tblW w:w="1365" w:type="dxa"/>
                    <w:tblLayout w:type="fixed"/>
                    <w:tblCellMar>
                      <w:left w:w="0" w:type="dxa"/>
                      <w:right w:w="0" w:type="dxa"/>
                    </w:tblCellMar>
                    <w:tblLook w:val="01E0" w:firstRow="1" w:lastRow="1" w:firstColumn="1" w:lastColumn="1" w:noHBand="0" w:noVBand="0"/>
                  </w:tblPr>
                  <w:tblGrid>
                    <w:gridCol w:w="1365"/>
                  </w:tblGrid>
                  <w:tr w:rsidR="00D07169" w:rsidRPr="00D33300" w14:paraId="2C7202DA" w14:textId="77777777" w:rsidTr="00D07169">
                    <w:tc>
                      <w:tcPr>
                        <w:tcW w:w="1365" w:type="dxa"/>
                        <w:tcMar>
                          <w:top w:w="0" w:type="dxa"/>
                          <w:left w:w="0" w:type="dxa"/>
                          <w:bottom w:w="0" w:type="dxa"/>
                          <w:right w:w="0" w:type="dxa"/>
                        </w:tcMar>
                      </w:tcPr>
                      <w:p w14:paraId="339348DA" w14:textId="77777777" w:rsidR="00D07169" w:rsidRPr="00D33300" w:rsidRDefault="00D07169" w:rsidP="00D07169">
                        <w:pPr>
                          <w:jc w:val="left"/>
                          <w:rPr>
                            <w:rFonts w:cs="Arial"/>
                            <w:color w:val="000000"/>
                            <w:sz w:val="16"/>
                            <w:szCs w:val="16"/>
                          </w:rPr>
                        </w:pPr>
                        <w:r>
                          <w:rPr>
                            <w:color w:val="000000"/>
                            <w:sz w:val="16"/>
                          </w:rPr>
                          <w:t>Equinàcea</w:t>
                        </w:r>
                      </w:p>
                      <w:p w14:paraId="345E9B21" w14:textId="77777777" w:rsidR="00D07169" w:rsidRPr="00D33300" w:rsidRDefault="00D07169" w:rsidP="00D07169">
                        <w:pPr>
                          <w:spacing w:line="1" w:lineRule="auto"/>
                          <w:jc w:val="left"/>
                          <w:rPr>
                            <w:lang w:eastAsia="zh-CN"/>
                          </w:rPr>
                        </w:pPr>
                      </w:p>
                    </w:tc>
                  </w:tr>
                </w:tbl>
                <w:p w14:paraId="2CE43213" w14:textId="77777777" w:rsidR="00D07169" w:rsidRPr="00D33300" w:rsidRDefault="00D07169" w:rsidP="00D07169">
                  <w:pPr>
                    <w:spacing w:line="1" w:lineRule="auto"/>
                    <w:jc w:val="left"/>
                    <w:rPr>
                      <w:lang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61C451" w14:textId="77777777" w:rsidR="00D07169" w:rsidRPr="00D33300" w:rsidRDefault="00D07169" w:rsidP="00D07169">
                  <w:pPr>
                    <w:jc w:val="left"/>
                    <w:rPr>
                      <w:vanish/>
                      <w:lang w:eastAsia="zh-CN"/>
                    </w:rPr>
                  </w:pPr>
                </w:p>
                <w:tbl>
                  <w:tblPr>
                    <w:tblW w:w="1455" w:type="dxa"/>
                    <w:tblLayout w:type="fixed"/>
                    <w:tblCellMar>
                      <w:left w:w="0" w:type="dxa"/>
                      <w:right w:w="0" w:type="dxa"/>
                    </w:tblCellMar>
                    <w:tblLook w:val="01E0" w:firstRow="1" w:lastRow="1" w:firstColumn="1" w:lastColumn="1" w:noHBand="0" w:noVBand="0"/>
                  </w:tblPr>
                  <w:tblGrid>
                    <w:gridCol w:w="1455"/>
                  </w:tblGrid>
                  <w:tr w:rsidR="00D07169" w:rsidRPr="00D33300" w14:paraId="5EF6D935" w14:textId="77777777" w:rsidTr="00D07169">
                    <w:tc>
                      <w:tcPr>
                        <w:tcW w:w="1455" w:type="dxa"/>
                        <w:tcMar>
                          <w:top w:w="0" w:type="dxa"/>
                          <w:left w:w="0" w:type="dxa"/>
                          <w:bottom w:w="0" w:type="dxa"/>
                          <w:right w:w="0" w:type="dxa"/>
                        </w:tcMar>
                      </w:tcPr>
                      <w:p w14:paraId="46B520DB" w14:textId="77777777" w:rsidR="00D07169" w:rsidRPr="00D33300" w:rsidRDefault="00D07169" w:rsidP="00D07169">
                        <w:pPr>
                          <w:jc w:val="left"/>
                          <w:rPr>
                            <w:rFonts w:cs="Arial"/>
                            <w:color w:val="000000"/>
                            <w:sz w:val="16"/>
                            <w:szCs w:val="16"/>
                          </w:rPr>
                        </w:pPr>
                        <w:r>
                          <w:rPr>
                            <w:i/>
                            <w:color w:val="000000"/>
                            <w:sz w:val="16"/>
                          </w:rPr>
                          <w:t>Echinacea</w:t>
                        </w:r>
                        <w:r>
                          <w:rPr>
                            <w:color w:val="000000"/>
                            <w:sz w:val="16"/>
                          </w:rPr>
                          <w:t> Moench</w:t>
                        </w:r>
                      </w:p>
                      <w:p w14:paraId="2DBA4BB3" w14:textId="77777777" w:rsidR="00D07169" w:rsidRPr="00D33300" w:rsidRDefault="00D07169" w:rsidP="00D07169">
                        <w:pPr>
                          <w:spacing w:line="1" w:lineRule="auto"/>
                          <w:jc w:val="left"/>
                          <w:rPr>
                            <w:lang w:eastAsia="zh-CN"/>
                          </w:rPr>
                        </w:pPr>
                      </w:p>
                    </w:tc>
                  </w:tr>
                </w:tbl>
                <w:p w14:paraId="3EF7B586" w14:textId="77777777" w:rsidR="00D07169" w:rsidRPr="00D33300" w:rsidRDefault="00D07169" w:rsidP="00D07169">
                  <w:pPr>
                    <w:spacing w:line="1" w:lineRule="auto"/>
                    <w:jc w:val="left"/>
                    <w:rPr>
                      <w:lang w:eastAsia="zh-CN"/>
                    </w:rPr>
                  </w:pPr>
                </w:p>
              </w:tc>
            </w:tr>
            <w:tr w:rsidR="00D07169" w:rsidRPr="00D33300" w14:paraId="3EC82C70" w14:textId="77777777" w:rsidTr="00D07169">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054473" w14:textId="77777777" w:rsidR="00D07169" w:rsidRPr="00D33300" w:rsidRDefault="00D07169" w:rsidP="00D07169">
                  <w:pPr>
                    <w:jc w:val="left"/>
                    <w:rPr>
                      <w:vanish/>
                      <w:lang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1FB60F" w14:textId="77777777" w:rsidR="00D07169" w:rsidRPr="00D33300" w:rsidRDefault="00D07169" w:rsidP="00D07169">
                  <w:pPr>
                    <w:jc w:val="left"/>
                    <w:rPr>
                      <w:vanish/>
                      <w:lang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9845D3" w14:textId="77777777" w:rsidR="00D07169" w:rsidRPr="00D33300" w:rsidRDefault="00D07169" w:rsidP="00D07169">
                  <w:pPr>
                    <w:jc w:val="left"/>
                    <w:rPr>
                      <w:vanish/>
                      <w:lang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BB8A77" w14:textId="77777777" w:rsidR="00D07169" w:rsidRPr="00D33300" w:rsidRDefault="00D07169" w:rsidP="00D07169">
                  <w:pPr>
                    <w:jc w:val="left"/>
                    <w:rPr>
                      <w:vanish/>
                      <w:lang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BBD6C3" w14:textId="77777777" w:rsidR="00D07169" w:rsidRPr="00D33300" w:rsidRDefault="00D07169" w:rsidP="00D07169">
                  <w:pPr>
                    <w:jc w:val="left"/>
                    <w:rPr>
                      <w:vanish/>
                      <w:lang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2AE762" w14:textId="77777777" w:rsidR="00D07169" w:rsidRPr="00D33300" w:rsidRDefault="00D07169" w:rsidP="00D07169">
                  <w:pPr>
                    <w:jc w:val="left"/>
                    <w:rPr>
                      <w:vanish/>
                      <w:lang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FB6DB3" w14:textId="77777777" w:rsidR="00D07169" w:rsidRPr="00D33300" w:rsidRDefault="00D07169" w:rsidP="00D07169">
                  <w:pPr>
                    <w:jc w:val="left"/>
                    <w:rPr>
                      <w:vanish/>
                      <w:lang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AC305D" w14:textId="77777777" w:rsidR="00D07169" w:rsidRPr="00D33300" w:rsidRDefault="00D07169" w:rsidP="00D07169">
                  <w:pPr>
                    <w:jc w:val="left"/>
                    <w:rPr>
                      <w:vanish/>
                      <w:lang w:eastAsia="zh-CN"/>
                    </w:rPr>
                  </w:pPr>
                </w:p>
              </w:tc>
            </w:tr>
          </w:tbl>
          <w:p w14:paraId="205D978F" w14:textId="77777777" w:rsidR="00D07169" w:rsidRPr="00D33300" w:rsidRDefault="00D07169" w:rsidP="00D07169">
            <w:pPr>
              <w:spacing w:line="1" w:lineRule="auto"/>
              <w:jc w:val="left"/>
              <w:rPr>
                <w:lang w:eastAsia="zh-CN"/>
              </w:rPr>
            </w:pPr>
          </w:p>
        </w:tc>
      </w:tr>
      <w:tr w:rsidR="00D07169" w:rsidRPr="00D33300" w14:paraId="48415B33" w14:textId="77777777" w:rsidTr="00D07169">
        <w:tc>
          <w:tcPr>
            <w:tcW w:w="10080" w:type="dxa"/>
            <w:tcMar>
              <w:top w:w="0" w:type="dxa"/>
              <w:left w:w="0" w:type="dxa"/>
              <w:bottom w:w="0" w:type="dxa"/>
              <w:right w:w="0" w:type="dxa"/>
            </w:tcMar>
          </w:tcPr>
          <w:p w14:paraId="3784380A" w14:textId="77777777" w:rsidR="00D07169" w:rsidRDefault="00D07169" w:rsidP="00D07169">
            <w:pPr>
              <w:jc w:val="left"/>
              <w:rPr>
                <w:rFonts w:eastAsia="Arial" w:cs="Arial"/>
                <w:color w:val="000000"/>
              </w:rPr>
            </w:pPr>
            <w:r>
              <w:rPr>
                <w:color w:val="000000"/>
              </w:rPr>
              <w:t xml:space="preserve">     </w:t>
            </w:r>
          </w:p>
          <w:tbl>
            <w:tblPr>
              <w:tblW w:w="991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49"/>
              <w:gridCol w:w="887"/>
              <w:gridCol w:w="1243"/>
              <w:gridCol w:w="1543"/>
              <w:gridCol w:w="7"/>
              <w:gridCol w:w="1284"/>
              <w:gridCol w:w="1471"/>
              <w:gridCol w:w="1363"/>
              <w:gridCol w:w="6"/>
              <w:gridCol w:w="1462"/>
            </w:tblGrid>
            <w:tr w:rsidR="003D658D" w:rsidRPr="00C72898" w14:paraId="0B7CCE99" w14:textId="77777777" w:rsidTr="00FF3A1F">
              <w:trPr>
                <w:trHeight w:val="184"/>
              </w:trPr>
              <w:tc>
                <w:tcPr>
                  <w:tcW w:w="9915" w:type="dxa"/>
                  <w:gridSpan w:val="10"/>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66A961" w14:textId="77777777" w:rsidR="003D658D" w:rsidRPr="0052329D" w:rsidRDefault="003D658D" w:rsidP="003D658D">
                  <w:pPr>
                    <w:jc w:val="left"/>
                    <w:rPr>
                      <w:rFonts w:eastAsia="Arial" w:cs="Arial"/>
                      <w:color w:val="000000"/>
                      <w:sz w:val="16"/>
                      <w:szCs w:val="16"/>
                      <w:u w:val="single"/>
                      <w:lang w:val="fr-FR"/>
                    </w:rPr>
                  </w:pPr>
                  <w:r w:rsidRPr="0052329D">
                    <w:rPr>
                      <w:color w:val="000000"/>
                      <w:sz w:val="16"/>
                      <w:u w:val="single"/>
                      <w:lang w:val="fr-FR"/>
                    </w:rPr>
                    <w:t>PARTIAL REVISIONS OF TEST GUIDELINES / RÉVISIONS PARTIELLES DE PRINCIPES DIRECTEURS D’EXAMEN ADOPTÉS /</w:t>
                  </w:r>
                  <w:r w:rsidRPr="0052329D">
                    <w:rPr>
                      <w:color w:val="000000"/>
                      <w:sz w:val="16"/>
                      <w:u w:val="single"/>
                      <w:lang w:val="fr-FR"/>
                    </w:rPr>
                    <w:br/>
                    <w:t>TEILREVISIONEN ANGENOMMENER PRÜFUNGSRICHTLINIEN / REVISIONES PARCIALES DE DIRECTRICES DE EXAMEN ADOPTADAS</w:t>
                  </w:r>
                  <w:r w:rsidRPr="0052329D">
                    <w:rPr>
                      <w:color w:val="000000"/>
                      <w:sz w:val="16"/>
                      <w:u w:val="single"/>
                      <w:lang w:val="fr-FR"/>
                    </w:rPr>
                    <w:br/>
                  </w:r>
                </w:p>
              </w:tc>
            </w:tr>
            <w:tr w:rsidR="003D658D" w:rsidRPr="00C72898" w14:paraId="2C6663CE" w14:textId="77777777" w:rsidTr="00FF3A1F">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0E8DB0" w14:textId="77777777" w:rsidR="003D658D" w:rsidRPr="003D658D" w:rsidRDefault="003D658D" w:rsidP="003D658D">
                  <w:pPr>
                    <w:jc w:val="left"/>
                    <w:rPr>
                      <w:vanish/>
                      <w:lang w:val="fr-CH"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5E6511" w14:textId="77777777" w:rsidR="003D658D" w:rsidRPr="003D658D" w:rsidRDefault="003D658D" w:rsidP="003D658D">
                  <w:pPr>
                    <w:jc w:val="left"/>
                    <w:rPr>
                      <w:vanish/>
                      <w:lang w:val="fr-CH"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5805A3" w14:textId="77777777" w:rsidR="003D658D" w:rsidRPr="003D658D" w:rsidRDefault="003D658D" w:rsidP="003D658D">
                  <w:pPr>
                    <w:jc w:val="left"/>
                    <w:rPr>
                      <w:vanish/>
                      <w:lang w:val="fr-CH"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DCE420" w14:textId="77777777" w:rsidR="003D658D" w:rsidRPr="003D658D" w:rsidRDefault="003D658D" w:rsidP="003D658D">
                  <w:pPr>
                    <w:jc w:val="left"/>
                    <w:rPr>
                      <w:vanish/>
                      <w:lang w:val="fr-CH"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289C61" w14:textId="77777777" w:rsidR="003D658D" w:rsidRPr="003D658D" w:rsidRDefault="003D658D" w:rsidP="003D658D">
                  <w:pPr>
                    <w:jc w:val="left"/>
                    <w:rPr>
                      <w:vanish/>
                      <w:lang w:val="fr-CH"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041FA2" w14:textId="77777777" w:rsidR="003D658D" w:rsidRPr="003D658D" w:rsidRDefault="003D658D" w:rsidP="003D658D">
                  <w:pPr>
                    <w:jc w:val="left"/>
                    <w:rPr>
                      <w:vanish/>
                      <w:lang w:val="fr-CH"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3E875C" w14:textId="77777777" w:rsidR="003D658D" w:rsidRPr="003D658D" w:rsidRDefault="003D658D" w:rsidP="003D658D">
                  <w:pPr>
                    <w:jc w:val="left"/>
                    <w:rPr>
                      <w:vanish/>
                      <w:lang w:val="fr-CH"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DB916A" w14:textId="77777777" w:rsidR="003D658D" w:rsidRPr="003D658D" w:rsidRDefault="003D658D" w:rsidP="003D658D">
                  <w:pPr>
                    <w:jc w:val="left"/>
                    <w:rPr>
                      <w:vanish/>
                      <w:lang w:val="fr-CH" w:eastAsia="zh-CN"/>
                    </w:rPr>
                  </w:pPr>
                </w:p>
              </w:tc>
            </w:tr>
            <w:tr w:rsidR="003D658D" w:rsidRPr="00CB4F27" w14:paraId="0A4DBB44" w14:textId="77777777" w:rsidTr="00FF3A1F">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540" w:type="dxa"/>
                    <w:tblLayout w:type="fixed"/>
                    <w:tblCellMar>
                      <w:left w:w="0" w:type="dxa"/>
                      <w:right w:w="0" w:type="dxa"/>
                    </w:tblCellMar>
                    <w:tblLook w:val="01E0" w:firstRow="1" w:lastRow="1" w:firstColumn="1" w:lastColumn="1" w:noHBand="0" w:noVBand="0"/>
                  </w:tblPr>
                  <w:tblGrid>
                    <w:gridCol w:w="540"/>
                  </w:tblGrid>
                  <w:tr w:rsidR="003D658D" w:rsidRPr="00FC2133" w14:paraId="42C6A369" w14:textId="77777777" w:rsidTr="00FF3A1F">
                    <w:tc>
                      <w:tcPr>
                        <w:tcW w:w="540" w:type="dxa"/>
                        <w:tcMar>
                          <w:top w:w="0" w:type="dxa"/>
                          <w:left w:w="0" w:type="dxa"/>
                          <w:bottom w:w="0" w:type="dxa"/>
                          <w:right w:w="0" w:type="dxa"/>
                        </w:tcMar>
                      </w:tcPr>
                      <w:p w14:paraId="6F0F9692" w14:textId="77777777" w:rsidR="003D658D" w:rsidRPr="00FC2133" w:rsidRDefault="003D658D" w:rsidP="003D658D">
                        <w:pPr>
                          <w:jc w:val="left"/>
                          <w:rPr>
                            <w:rFonts w:cs="Arial"/>
                            <w:color w:val="000000"/>
                            <w:sz w:val="16"/>
                            <w:szCs w:val="16"/>
                          </w:rPr>
                        </w:pPr>
                        <w:r>
                          <w:rPr>
                            <w:color w:val="000000"/>
                            <w:sz w:val="16"/>
                          </w:rPr>
                          <w:t>NL</w:t>
                        </w:r>
                      </w:p>
                      <w:p w14:paraId="44105CD8" w14:textId="77777777" w:rsidR="003D658D" w:rsidRPr="00FC2133" w:rsidRDefault="003D658D" w:rsidP="003D658D">
                        <w:pPr>
                          <w:spacing w:line="1" w:lineRule="auto"/>
                          <w:jc w:val="left"/>
                          <w:rPr>
                            <w:lang w:eastAsia="zh-CN"/>
                          </w:rPr>
                        </w:pPr>
                      </w:p>
                    </w:tc>
                  </w:tr>
                </w:tbl>
                <w:p w14:paraId="5977BDEC" w14:textId="77777777" w:rsidR="003D658D" w:rsidRPr="00FC2133" w:rsidRDefault="003D658D" w:rsidP="003D658D">
                  <w:pPr>
                    <w:spacing w:line="1" w:lineRule="auto"/>
                    <w:jc w:val="left"/>
                    <w:rPr>
                      <w:lang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BDEB36" w14:textId="77777777" w:rsidR="003D658D" w:rsidRPr="00FC2133" w:rsidRDefault="003D658D" w:rsidP="003D658D">
                  <w:pPr>
                    <w:jc w:val="left"/>
                    <w:rPr>
                      <w:vanish/>
                      <w:lang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3D658D" w:rsidRPr="00FC2133" w14:paraId="67D2F343" w14:textId="77777777" w:rsidTr="00FF3A1F">
                    <w:tc>
                      <w:tcPr>
                        <w:tcW w:w="975" w:type="dxa"/>
                        <w:tcMar>
                          <w:top w:w="0" w:type="dxa"/>
                          <w:left w:w="0" w:type="dxa"/>
                          <w:bottom w:w="0" w:type="dxa"/>
                          <w:right w:w="0" w:type="dxa"/>
                        </w:tcMar>
                      </w:tcPr>
                      <w:p w14:paraId="4DF566B6" w14:textId="77777777" w:rsidR="003D658D" w:rsidRPr="00FC2133" w:rsidRDefault="003D658D" w:rsidP="003D658D">
                        <w:pPr>
                          <w:jc w:val="left"/>
                          <w:rPr>
                            <w:rFonts w:cs="Arial"/>
                            <w:color w:val="000000"/>
                            <w:sz w:val="16"/>
                            <w:szCs w:val="16"/>
                          </w:rPr>
                        </w:pPr>
                        <w:r>
                          <w:rPr>
                            <w:color w:val="000000"/>
                            <w:sz w:val="16"/>
                          </w:rPr>
                          <w:t>TWV</w:t>
                        </w:r>
                      </w:p>
                      <w:p w14:paraId="5A7223C4" w14:textId="77777777" w:rsidR="003D658D" w:rsidRPr="00FC2133" w:rsidRDefault="003D658D" w:rsidP="003D658D">
                        <w:pPr>
                          <w:spacing w:line="1" w:lineRule="auto"/>
                          <w:jc w:val="left"/>
                          <w:rPr>
                            <w:lang w:eastAsia="zh-CN"/>
                          </w:rPr>
                        </w:pPr>
                      </w:p>
                    </w:tc>
                  </w:tr>
                </w:tbl>
                <w:p w14:paraId="22CB421C" w14:textId="77777777" w:rsidR="003D658D" w:rsidRPr="00FC2133" w:rsidRDefault="003D658D" w:rsidP="003D658D">
                  <w:pPr>
                    <w:spacing w:line="1" w:lineRule="auto"/>
                    <w:jc w:val="left"/>
                    <w:rPr>
                      <w:lang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B3EDCF" w14:textId="77777777" w:rsidR="003D658D" w:rsidRPr="00FC2133" w:rsidRDefault="003D658D" w:rsidP="003D658D">
                  <w:pPr>
                    <w:jc w:val="left"/>
                    <w:rPr>
                      <w:vanish/>
                      <w:lang w:eastAsia="zh-CN"/>
                    </w:rPr>
                  </w:pPr>
                </w:p>
                <w:tbl>
                  <w:tblPr>
                    <w:tblW w:w="1395" w:type="dxa"/>
                    <w:tblLayout w:type="fixed"/>
                    <w:tblCellMar>
                      <w:left w:w="0" w:type="dxa"/>
                      <w:right w:w="0" w:type="dxa"/>
                    </w:tblCellMar>
                    <w:tblLook w:val="01E0" w:firstRow="1" w:lastRow="1" w:firstColumn="1" w:lastColumn="1" w:noHBand="0" w:noVBand="0"/>
                  </w:tblPr>
                  <w:tblGrid>
                    <w:gridCol w:w="1395"/>
                  </w:tblGrid>
                  <w:tr w:rsidR="003D658D" w:rsidRPr="00FC2133" w14:paraId="7F938029" w14:textId="77777777" w:rsidTr="00FF3A1F">
                    <w:tc>
                      <w:tcPr>
                        <w:tcW w:w="1395" w:type="dxa"/>
                        <w:tcMar>
                          <w:top w:w="0" w:type="dxa"/>
                          <w:left w:w="0" w:type="dxa"/>
                          <w:bottom w:w="0" w:type="dxa"/>
                          <w:right w:w="0" w:type="dxa"/>
                        </w:tcMar>
                      </w:tcPr>
                      <w:p w14:paraId="13B6FC89" w14:textId="77777777" w:rsidR="003D658D" w:rsidRPr="00FC2133" w:rsidRDefault="003D658D" w:rsidP="003D658D">
                        <w:pPr>
                          <w:jc w:val="left"/>
                          <w:rPr>
                            <w:rFonts w:cs="Arial"/>
                            <w:color w:val="000000"/>
                            <w:sz w:val="16"/>
                            <w:szCs w:val="16"/>
                          </w:rPr>
                        </w:pPr>
                        <w:r>
                          <w:rPr>
                            <w:color w:val="000000"/>
                            <w:sz w:val="16"/>
                          </w:rPr>
                          <w:t>TG/13/11 Rev.2 (proj.2)</w:t>
                        </w:r>
                      </w:p>
                      <w:p w14:paraId="6E02E18B" w14:textId="77777777" w:rsidR="003D658D" w:rsidRPr="00FC2133" w:rsidRDefault="003D658D" w:rsidP="003D658D">
                        <w:pPr>
                          <w:spacing w:line="1" w:lineRule="auto"/>
                          <w:jc w:val="left"/>
                          <w:rPr>
                            <w:lang w:eastAsia="zh-CN"/>
                          </w:rPr>
                        </w:pPr>
                      </w:p>
                    </w:tc>
                  </w:tr>
                </w:tbl>
                <w:p w14:paraId="58A8B009" w14:textId="77777777" w:rsidR="003D658D" w:rsidRPr="00FC2133" w:rsidRDefault="003D658D" w:rsidP="003D658D">
                  <w:pPr>
                    <w:spacing w:line="1" w:lineRule="auto"/>
                    <w:jc w:val="left"/>
                    <w:rPr>
                      <w:lang w:eastAsia="zh-CN"/>
                    </w:rPr>
                  </w:pPr>
                </w:p>
              </w:tc>
              <w:tc>
                <w:tcPr>
                  <w:tcW w:w="15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762EF2" w14:textId="77777777" w:rsidR="003D658D" w:rsidRPr="00FC2133" w:rsidRDefault="003D658D" w:rsidP="003D658D">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3D658D" w:rsidRPr="00FC2133" w14:paraId="2F174B30" w14:textId="77777777" w:rsidTr="00FF3A1F">
                    <w:tc>
                      <w:tcPr>
                        <w:tcW w:w="1545" w:type="dxa"/>
                        <w:tcMar>
                          <w:top w:w="0" w:type="dxa"/>
                          <w:left w:w="0" w:type="dxa"/>
                          <w:bottom w:w="0" w:type="dxa"/>
                          <w:right w:w="0" w:type="dxa"/>
                        </w:tcMar>
                      </w:tcPr>
                      <w:p w14:paraId="02F3E66A" w14:textId="77777777" w:rsidR="003D658D" w:rsidRPr="00FC2133" w:rsidRDefault="003D658D" w:rsidP="003D658D">
                        <w:pPr>
                          <w:jc w:val="left"/>
                          <w:rPr>
                            <w:rFonts w:cs="Arial"/>
                            <w:color w:val="000000"/>
                            <w:sz w:val="16"/>
                            <w:szCs w:val="16"/>
                          </w:rPr>
                        </w:pPr>
                        <w:r>
                          <w:rPr>
                            <w:color w:val="000000"/>
                            <w:sz w:val="16"/>
                          </w:rPr>
                          <w:t>Lettuce</w:t>
                        </w:r>
                      </w:p>
                      <w:p w14:paraId="61DB2495" w14:textId="77777777" w:rsidR="003D658D" w:rsidRPr="00FC2133" w:rsidRDefault="003D658D" w:rsidP="003D658D">
                        <w:pPr>
                          <w:spacing w:line="1" w:lineRule="auto"/>
                          <w:jc w:val="left"/>
                          <w:rPr>
                            <w:lang w:eastAsia="zh-CN"/>
                          </w:rPr>
                        </w:pPr>
                      </w:p>
                    </w:tc>
                  </w:tr>
                </w:tbl>
                <w:p w14:paraId="2BAC3FDD" w14:textId="77777777" w:rsidR="003D658D" w:rsidRPr="00FC2133" w:rsidRDefault="003D658D" w:rsidP="003D658D">
                  <w:pPr>
                    <w:spacing w:line="1" w:lineRule="auto"/>
                    <w:jc w:val="left"/>
                    <w:rPr>
                      <w:lang w:eastAsia="zh-CN"/>
                    </w:rPr>
                  </w:pPr>
                </w:p>
              </w:tc>
              <w:tc>
                <w:tcPr>
                  <w:tcW w:w="1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1AC972" w14:textId="77777777" w:rsidR="003D658D" w:rsidRPr="00D33300" w:rsidRDefault="003D658D" w:rsidP="003D658D">
                  <w:pPr>
                    <w:jc w:val="left"/>
                  </w:pPr>
                  <w:r>
                    <w:rPr>
                      <w:color w:val="000000"/>
                      <w:sz w:val="16"/>
                    </w:rPr>
                    <w:t>Laitue</w:t>
                  </w: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AECAD1" w14:textId="77777777" w:rsidR="003D658D" w:rsidRPr="00D33300" w:rsidRDefault="003D658D" w:rsidP="003D658D">
                  <w:pPr>
                    <w:jc w:val="left"/>
                  </w:pPr>
                  <w:r>
                    <w:rPr>
                      <w:color w:val="000000"/>
                      <w:sz w:val="16"/>
                    </w:rPr>
                    <w:t>Salat</w:t>
                  </w:r>
                </w:p>
              </w:tc>
              <w:tc>
                <w:tcPr>
                  <w:tcW w:w="136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A79ACE" w14:textId="77777777" w:rsidR="003D658D" w:rsidRPr="00D33300" w:rsidRDefault="003D658D" w:rsidP="003D658D">
                  <w:pPr>
                    <w:jc w:val="left"/>
                  </w:pPr>
                  <w:r>
                    <w:rPr>
                      <w:color w:val="000000"/>
                      <w:sz w:val="16"/>
                    </w:rPr>
                    <w:t>Lechuga</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EA9360" w14:textId="77777777" w:rsidR="003D658D" w:rsidRPr="00D33300" w:rsidRDefault="003D658D" w:rsidP="003D658D">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3D658D" w:rsidRPr="00D33300" w14:paraId="5AFB49EB" w14:textId="77777777" w:rsidTr="00FF3A1F">
                    <w:tc>
                      <w:tcPr>
                        <w:tcW w:w="1545" w:type="dxa"/>
                        <w:tcMar>
                          <w:top w:w="0" w:type="dxa"/>
                          <w:left w:w="0" w:type="dxa"/>
                          <w:bottom w:w="0" w:type="dxa"/>
                          <w:right w:w="0" w:type="dxa"/>
                        </w:tcMar>
                      </w:tcPr>
                      <w:p w14:paraId="062488BE" w14:textId="77777777" w:rsidR="003D658D" w:rsidRPr="00D33300" w:rsidRDefault="003D658D" w:rsidP="003D658D">
                        <w:pPr>
                          <w:jc w:val="left"/>
                          <w:rPr>
                            <w:rFonts w:cs="Arial"/>
                            <w:color w:val="000000"/>
                            <w:sz w:val="16"/>
                            <w:szCs w:val="16"/>
                          </w:rPr>
                        </w:pPr>
                        <w:r>
                          <w:rPr>
                            <w:i/>
                            <w:color w:val="000000"/>
                            <w:sz w:val="16"/>
                          </w:rPr>
                          <w:t>Lactuca sativa</w:t>
                        </w:r>
                        <w:r>
                          <w:rPr>
                            <w:color w:val="000000"/>
                            <w:sz w:val="16"/>
                          </w:rPr>
                          <w:t> L.</w:t>
                        </w:r>
                      </w:p>
                      <w:p w14:paraId="429EA3B6" w14:textId="77777777" w:rsidR="003D658D" w:rsidRPr="00D33300" w:rsidRDefault="003D658D" w:rsidP="003D658D">
                        <w:pPr>
                          <w:spacing w:line="1" w:lineRule="auto"/>
                          <w:jc w:val="left"/>
                          <w:rPr>
                            <w:lang w:eastAsia="zh-CN"/>
                          </w:rPr>
                        </w:pPr>
                      </w:p>
                    </w:tc>
                  </w:tr>
                </w:tbl>
                <w:p w14:paraId="754F9D2D" w14:textId="77777777" w:rsidR="003D658D" w:rsidRPr="00D33300" w:rsidRDefault="003D658D" w:rsidP="003D658D">
                  <w:pPr>
                    <w:spacing w:line="1" w:lineRule="auto"/>
                    <w:jc w:val="left"/>
                    <w:rPr>
                      <w:lang w:eastAsia="zh-CN"/>
                    </w:rPr>
                  </w:pPr>
                </w:p>
              </w:tc>
            </w:tr>
            <w:tr w:rsidR="003D658D" w:rsidRPr="00D33300" w14:paraId="675A1DFF" w14:textId="77777777" w:rsidTr="00FF3A1F">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15D32D" w14:textId="77777777" w:rsidR="003D658D" w:rsidRPr="00FC2133" w:rsidRDefault="003D658D" w:rsidP="003D658D">
                  <w:pPr>
                    <w:jc w:val="left"/>
                    <w:rPr>
                      <w:vanish/>
                      <w:lang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3D658D" w:rsidRPr="00FC2133" w14:paraId="343251FE" w14:textId="77777777" w:rsidTr="00FF3A1F">
                    <w:tc>
                      <w:tcPr>
                        <w:tcW w:w="540" w:type="dxa"/>
                        <w:tcMar>
                          <w:top w:w="0" w:type="dxa"/>
                          <w:left w:w="0" w:type="dxa"/>
                          <w:bottom w:w="0" w:type="dxa"/>
                          <w:right w:w="0" w:type="dxa"/>
                        </w:tcMar>
                      </w:tcPr>
                      <w:p w14:paraId="57535D62" w14:textId="77777777" w:rsidR="003D658D" w:rsidRPr="00FC2133" w:rsidRDefault="003D658D" w:rsidP="003D658D">
                        <w:pPr>
                          <w:jc w:val="left"/>
                          <w:rPr>
                            <w:lang w:eastAsia="zh-CN"/>
                          </w:rPr>
                        </w:pPr>
                      </w:p>
                    </w:tc>
                  </w:tr>
                </w:tbl>
                <w:p w14:paraId="09804B81" w14:textId="77777777" w:rsidR="003D658D" w:rsidRPr="00FC2133" w:rsidRDefault="003D658D" w:rsidP="003D658D">
                  <w:pPr>
                    <w:spacing w:line="1" w:lineRule="auto"/>
                    <w:jc w:val="left"/>
                    <w:rPr>
                      <w:lang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DD3941" w14:textId="77777777" w:rsidR="003D658D" w:rsidRPr="00FC2133" w:rsidRDefault="003D658D" w:rsidP="003D658D">
                  <w:pPr>
                    <w:jc w:val="left"/>
                    <w:rPr>
                      <w:vanish/>
                      <w:lang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3D658D" w:rsidRPr="00FC2133" w14:paraId="2BE5B22E" w14:textId="77777777" w:rsidTr="00FF3A1F">
                    <w:tc>
                      <w:tcPr>
                        <w:tcW w:w="975" w:type="dxa"/>
                        <w:tcMar>
                          <w:top w:w="0" w:type="dxa"/>
                          <w:left w:w="0" w:type="dxa"/>
                          <w:bottom w:w="0" w:type="dxa"/>
                          <w:right w:w="0" w:type="dxa"/>
                        </w:tcMar>
                      </w:tcPr>
                      <w:p w14:paraId="56EA3E97" w14:textId="77777777" w:rsidR="003D658D" w:rsidRPr="00FC2133" w:rsidRDefault="003D658D" w:rsidP="003D658D">
                        <w:pPr>
                          <w:jc w:val="left"/>
                          <w:rPr>
                            <w:rFonts w:cs="Arial"/>
                            <w:color w:val="000000"/>
                            <w:sz w:val="16"/>
                            <w:szCs w:val="16"/>
                          </w:rPr>
                        </w:pPr>
                        <w:r>
                          <w:rPr>
                            <w:color w:val="000000"/>
                            <w:sz w:val="16"/>
                          </w:rPr>
                          <w:t>TWF</w:t>
                        </w:r>
                      </w:p>
                      <w:p w14:paraId="737007BC" w14:textId="77777777" w:rsidR="003D658D" w:rsidRPr="00FC2133" w:rsidRDefault="003D658D" w:rsidP="003D658D">
                        <w:pPr>
                          <w:spacing w:line="1" w:lineRule="auto"/>
                          <w:jc w:val="left"/>
                          <w:rPr>
                            <w:lang w:eastAsia="zh-CN"/>
                          </w:rPr>
                        </w:pPr>
                      </w:p>
                    </w:tc>
                  </w:tr>
                </w:tbl>
                <w:p w14:paraId="25F1645B" w14:textId="77777777" w:rsidR="003D658D" w:rsidRPr="00FC2133" w:rsidRDefault="003D658D" w:rsidP="003D658D">
                  <w:pPr>
                    <w:spacing w:line="1" w:lineRule="auto"/>
                    <w:jc w:val="left"/>
                    <w:rPr>
                      <w:lang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A3C223" w14:textId="77777777" w:rsidR="003D658D" w:rsidRPr="00FC2133" w:rsidRDefault="003D658D" w:rsidP="003D658D">
                  <w:pPr>
                    <w:jc w:val="left"/>
                    <w:rPr>
                      <w:vanish/>
                      <w:lang w:eastAsia="zh-CN"/>
                    </w:rPr>
                  </w:pPr>
                </w:p>
                <w:tbl>
                  <w:tblPr>
                    <w:tblW w:w="1395" w:type="dxa"/>
                    <w:tblLayout w:type="fixed"/>
                    <w:tblCellMar>
                      <w:left w:w="0" w:type="dxa"/>
                      <w:right w:w="0" w:type="dxa"/>
                    </w:tblCellMar>
                    <w:tblLook w:val="01E0" w:firstRow="1" w:lastRow="1" w:firstColumn="1" w:lastColumn="1" w:noHBand="0" w:noVBand="0"/>
                  </w:tblPr>
                  <w:tblGrid>
                    <w:gridCol w:w="1395"/>
                  </w:tblGrid>
                  <w:tr w:rsidR="003D658D" w:rsidRPr="00FC2133" w14:paraId="586C4825" w14:textId="77777777" w:rsidTr="00FF3A1F">
                    <w:tc>
                      <w:tcPr>
                        <w:tcW w:w="1395" w:type="dxa"/>
                        <w:tcMar>
                          <w:top w:w="0" w:type="dxa"/>
                          <w:left w:w="0" w:type="dxa"/>
                          <w:bottom w:w="0" w:type="dxa"/>
                          <w:right w:w="0" w:type="dxa"/>
                        </w:tcMar>
                      </w:tcPr>
                      <w:p w14:paraId="7D5B92B3" w14:textId="77777777" w:rsidR="003D658D" w:rsidRPr="00FC2133" w:rsidRDefault="003D658D" w:rsidP="003D658D">
                        <w:pPr>
                          <w:jc w:val="left"/>
                          <w:rPr>
                            <w:rFonts w:cs="Arial"/>
                            <w:color w:val="000000"/>
                            <w:sz w:val="16"/>
                            <w:szCs w:val="16"/>
                          </w:rPr>
                        </w:pPr>
                        <w:r>
                          <w:rPr>
                            <w:color w:val="000000"/>
                            <w:sz w:val="16"/>
                          </w:rPr>
                          <w:t>TG/53/7 Rev. 2 (proj.1)</w:t>
                        </w:r>
                      </w:p>
                      <w:p w14:paraId="3D17E300" w14:textId="77777777" w:rsidR="003D658D" w:rsidRPr="00FC2133" w:rsidRDefault="003D658D" w:rsidP="003D658D">
                        <w:pPr>
                          <w:spacing w:line="1" w:lineRule="auto"/>
                          <w:jc w:val="left"/>
                          <w:rPr>
                            <w:lang w:eastAsia="zh-CN"/>
                          </w:rPr>
                        </w:pPr>
                      </w:p>
                    </w:tc>
                  </w:tr>
                </w:tbl>
                <w:p w14:paraId="4D18A8C7" w14:textId="77777777" w:rsidR="003D658D" w:rsidRPr="00FC2133" w:rsidRDefault="003D658D" w:rsidP="003D658D">
                  <w:pPr>
                    <w:spacing w:line="1" w:lineRule="auto"/>
                    <w:jc w:val="left"/>
                    <w:rPr>
                      <w:lang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0FC55E" w14:textId="77777777" w:rsidR="003D658D" w:rsidRPr="00FC2133" w:rsidRDefault="003D658D" w:rsidP="003D658D">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3D658D" w:rsidRPr="00FC2133" w14:paraId="7FCC5EE6" w14:textId="77777777" w:rsidTr="00FF3A1F">
                    <w:tc>
                      <w:tcPr>
                        <w:tcW w:w="1545" w:type="dxa"/>
                        <w:tcMar>
                          <w:top w:w="0" w:type="dxa"/>
                          <w:left w:w="0" w:type="dxa"/>
                          <w:bottom w:w="0" w:type="dxa"/>
                          <w:right w:w="0" w:type="dxa"/>
                        </w:tcMar>
                      </w:tcPr>
                      <w:p w14:paraId="66137047" w14:textId="77777777" w:rsidR="003D658D" w:rsidRPr="00FC2133" w:rsidRDefault="003D658D" w:rsidP="003D658D">
                        <w:pPr>
                          <w:jc w:val="left"/>
                          <w:rPr>
                            <w:rFonts w:cs="Arial"/>
                            <w:color w:val="000000"/>
                            <w:sz w:val="16"/>
                            <w:szCs w:val="16"/>
                          </w:rPr>
                        </w:pPr>
                        <w:r>
                          <w:rPr>
                            <w:color w:val="000000"/>
                            <w:sz w:val="16"/>
                          </w:rPr>
                          <w:t>Peach</w:t>
                        </w:r>
                      </w:p>
                      <w:p w14:paraId="12C7386D" w14:textId="77777777" w:rsidR="003D658D" w:rsidRPr="00FC2133" w:rsidRDefault="003D658D" w:rsidP="003D658D">
                        <w:pPr>
                          <w:spacing w:line="1" w:lineRule="auto"/>
                          <w:jc w:val="left"/>
                          <w:rPr>
                            <w:lang w:eastAsia="zh-CN"/>
                          </w:rPr>
                        </w:pPr>
                      </w:p>
                    </w:tc>
                  </w:tr>
                </w:tbl>
                <w:p w14:paraId="5E618B53" w14:textId="77777777" w:rsidR="003D658D" w:rsidRPr="00FC2133" w:rsidRDefault="003D658D" w:rsidP="003D658D">
                  <w:pPr>
                    <w:spacing w:line="1" w:lineRule="auto"/>
                    <w:jc w:val="left"/>
                    <w:rPr>
                      <w:lang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2ACD09" w14:textId="77777777" w:rsidR="003D658D" w:rsidRPr="00D33300" w:rsidRDefault="003D658D" w:rsidP="003D658D">
                  <w:pPr>
                    <w:jc w:val="left"/>
                    <w:rPr>
                      <w:vanish/>
                      <w:lang w:eastAsia="zh-CN"/>
                    </w:rPr>
                  </w:pPr>
                </w:p>
                <w:tbl>
                  <w:tblPr>
                    <w:tblW w:w="1230" w:type="dxa"/>
                    <w:tblLayout w:type="fixed"/>
                    <w:tblCellMar>
                      <w:left w:w="0" w:type="dxa"/>
                      <w:right w:w="0" w:type="dxa"/>
                    </w:tblCellMar>
                    <w:tblLook w:val="01E0" w:firstRow="1" w:lastRow="1" w:firstColumn="1" w:lastColumn="1" w:noHBand="0" w:noVBand="0"/>
                  </w:tblPr>
                  <w:tblGrid>
                    <w:gridCol w:w="1230"/>
                  </w:tblGrid>
                  <w:tr w:rsidR="003D658D" w:rsidRPr="00D33300" w14:paraId="627C8382" w14:textId="77777777" w:rsidTr="00FF3A1F">
                    <w:tc>
                      <w:tcPr>
                        <w:tcW w:w="1230" w:type="dxa"/>
                        <w:tcMar>
                          <w:top w:w="0" w:type="dxa"/>
                          <w:left w:w="0" w:type="dxa"/>
                          <w:bottom w:w="0" w:type="dxa"/>
                          <w:right w:w="0" w:type="dxa"/>
                        </w:tcMar>
                      </w:tcPr>
                      <w:p w14:paraId="0808C2F7" w14:textId="77777777" w:rsidR="003D658D" w:rsidRPr="00D33300" w:rsidRDefault="003D658D" w:rsidP="003D658D">
                        <w:pPr>
                          <w:jc w:val="left"/>
                          <w:rPr>
                            <w:rFonts w:cs="Arial"/>
                            <w:color w:val="000000"/>
                            <w:sz w:val="16"/>
                            <w:szCs w:val="16"/>
                          </w:rPr>
                        </w:pPr>
                        <w:r>
                          <w:rPr>
                            <w:color w:val="000000"/>
                            <w:sz w:val="16"/>
                          </w:rPr>
                          <w:t>Pêcher</w:t>
                        </w:r>
                      </w:p>
                      <w:p w14:paraId="532C3866" w14:textId="77777777" w:rsidR="003D658D" w:rsidRPr="00D33300" w:rsidRDefault="003D658D" w:rsidP="003D658D">
                        <w:pPr>
                          <w:spacing w:line="1" w:lineRule="auto"/>
                          <w:jc w:val="left"/>
                          <w:rPr>
                            <w:lang w:eastAsia="zh-CN"/>
                          </w:rPr>
                        </w:pPr>
                      </w:p>
                    </w:tc>
                  </w:tr>
                </w:tbl>
                <w:p w14:paraId="5DCE05FD" w14:textId="77777777" w:rsidR="003D658D" w:rsidRPr="00D33300" w:rsidRDefault="003D658D" w:rsidP="003D658D">
                  <w:pPr>
                    <w:spacing w:line="1" w:lineRule="auto"/>
                    <w:jc w:val="left"/>
                    <w:rPr>
                      <w:lang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C8AD1A" w14:textId="77777777" w:rsidR="003D658D" w:rsidRPr="00D33300" w:rsidRDefault="003D658D" w:rsidP="003D658D">
                  <w:pPr>
                    <w:jc w:val="left"/>
                    <w:rPr>
                      <w:vanish/>
                      <w:lang w:eastAsia="zh-CN"/>
                    </w:rPr>
                  </w:pPr>
                </w:p>
                <w:tbl>
                  <w:tblPr>
                    <w:tblW w:w="1560" w:type="dxa"/>
                    <w:tblLayout w:type="fixed"/>
                    <w:tblCellMar>
                      <w:left w:w="0" w:type="dxa"/>
                      <w:right w:w="0" w:type="dxa"/>
                    </w:tblCellMar>
                    <w:tblLook w:val="01E0" w:firstRow="1" w:lastRow="1" w:firstColumn="1" w:lastColumn="1" w:noHBand="0" w:noVBand="0"/>
                  </w:tblPr>
                  <w:tblGrid>
                    <w:gridCol w:w="1560"/>
                  </w:tblGrid>
                  <w:tr w:rsidR="003D658D" w:rsidRPr="00D33300" w14:paraId="276FF540" w14:textId="77777777" w:rsidTr="00FF3A1F">
                    <w:tc>
                      <w:tcPr>
                        <w:tcW w:w="1560" w:type="dxa"/>
                        <w:tcMar>
                          <w:top w:w="0" w:type="dxa"/>
                          <w:left w:w="0" w:type="dxa"/>
                          <w:bottom w:w="0" w:type="dxa"/>
                          <w:right w:w="0" w:type="dxa"/>
                        </w:tcMar>
                      </w:tcPr>
                      <w:p w14:paraId="04A59165" w14:textId="77777777" w:rsidR="003D658D" w:rsidRPr="00D33300" w:rsidRDefault="003D658D" w:rsidP="003D658D">
                        <w:pPr>
                          <w:jc w:val="left"/>
                          <w:rPr>
                            <w:rFonts w:cs="Arial"/>
                            <w:color w:val="000000"/>
                            <w:sz w:val="16"/>
                            <w:szCs w:val="16"/>
                          </w:rPr>
                        </w:pPr>
                        <w:r>
                          <w:rPr>
                            <w:color w:val="000000"/>
                            <w:sz w:val="16"/>
                          </w:rPr>
                          <w:t>Pfirsich</w:t>
                        </w:r>
                      </w:p>
                      <w:p w14:paraId="5EC78616" w14:textId="77777777" w:rsidR="003D658D" w:rsidRPr="00D33300" w:rsidRDefault="003D658D" w:rsidP="003D658D">
                        <w:pPr>
                          <w:spacing w:line="1" w:lineRule="auto"/>
                          <w:jc w:val="left"/>
                          <w:rPr>
                            <w:lang w:eastAsia="zh-CN"/>
                          </w:rPr>
                        </w:pPr>
                      </w:p>
                    </w:tc>
                  </w:tr>
                </w:tbl>
                <w:p w14:paraId="0D206A60" w14:textId="77777777" w:rsidR="003D658D" w:rsidRPr="00D33300" w:rsidRDefault="003D658D" w:rsidP="003D658D">
                  <w:pPr>
                    <w:spacing w:line="1" w:lineRule="auto"/>
                    <w:jc w:val="left"/>
                    <w:rPr>
                      <w:lang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9D9B59" w14:textId="77777777" w:rsidR="003D658D" w:rsidRPr="00D33300" w:rsidRDefault="003D658D" w:rsidP="003D658D">
                  <w:pPr>
                    <w:jc w:val="left"/>
                    <w:rPr>
                      <w:vanish/>
                      <w:lang w:eastAsia="zh-CN"/>
                    </w:rPr>
                  </w:pPr>
                </w:p>
                <w:tbl>
                  <w:tblPr>
                    <w:tblW w:w="1320" w:type="dxa"/>
                    <w:tblLayout w:type="fixed"/>
                    <w:tblCellMar>
                      <w:left w:w="0" w:type="dxa"/>
                      <w:right w:w="0" w:type="dxa"/>
                    </w:tblCellMar>
                    <w:tblLook w:val="01E0" w:firstRow="1" w:lastRow="1" w:firstColumn="1" w:lastColumn="1" w:noHBand="0" w:noVBand="0"/>
                  </w:tblPr>
                  <w:tblGrid>
                    <w:gridCol w:w="1320"/>
                  </w:tblGrid>
                  <w:tr w:rsidR="003D658D" w:rsidRPr="00D33300" w14:paraId="31620D78" w14:textId="77777777" w:rsidTr="00FF3A1F">
                    <w:tc>
                      <w:tcPr>
                        <w:tcW w:w="1320" w:type="dxa"/>
                        <w:tcMar>
                          <w:top w:w="0" w:type="dxa"/>
                          <w:left w:w="0" w:type="dxa"/>
                          <w:bottom w:w="0" w:type="dxa"/>
                          <w:right w:w="0" w:type="dxa"/>
                        </w:tcMar>
                      </w:tcPr>
                      <w:p w14:paraId="4C5D8132" w14:textId="77777777" w:rsidR="003D658D" w:rsidRPr="00D33300" w:rsidRDefault="003D658D" w:rsidP="003D658D">
                        <w:pPr>
                          <w:jc w:val="left"/>
                          <w:rPr>
                            <w:rFonts w:cs="Arial"/>
                            <w:color w:val="000000"/>
                            <w:sz w:val="16"/>
                            <w:szCs w:val="16"/>
                          </w:rPr>
                        </w:pPr>
                        <w:r>
                          <w:rPr>
                            <w:color w:val="000000"/>
                            <w:sz w:val="16"/>
                          </w:rPr>
                          <w:t>Durazno, Meocotonero</w:t>
                        </w:r>
                      </w:p>
                      <w:p w14:paraId="3A32292A" w14:textId="77777777" w:rsidR="003D658D" w:rsidRPr="00D33300" w:rsidRDefault="003D658D" w:rsidP="003D658D">
                        <w:pPr>
                          <w:spacing w:line="1" w:lineRule="auto"/>
                          <w:jc w:val="left"/>
                          <w:rPr>
                            <w:lang w:eastAsia="zh-CN"/>
                          </w:rPr>
                        </w:pPr>
                      </w:p>
                    </w:tc>
                  </w:tr>
                </w:tbl>
                <w:p w14:paraId="19AB8CF0" w14:textId="77777777" w:rsidR="003D658D" w:rsidRPr="00D33300" w:rsidRDefault="003D658D" w:rsidP="003D658D">
                  <w:pPr>
                    <w:spacing w:line="1" w:lineRule="auto"/>
                    <w:jc w:val="left"/>
                    <w:rPr>
                      <w:lang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4A8C95" w14:textId="77777777" w:rsidR="003D658D" w:rsidRPr="00D33300" w:rsidRDefault="003D658D" w:rsidP="003D658D">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3D658D" w:rsidRPr="00D33300" w14:paraId="04816CF1" w14:textId="77777777" w:rsidTr="00FF3A1F">
                    <w:tc>
                      <w:tcPr>
                        <w:tcW w:w="1545" w:type="dxa"/>
                        <w:tcMar>
                          <w:top w:w="0" w:type="dxa"/>
                          <w:left w:w="0" w:type="dxa"/>
                          <w:bottom w:w="0" w:type="dxa"/>
                          <w:right w:w="0" w:type="dxa"/>
                        </w:tcMar>
                      </w:tcPr>
                      <w:p w14:paraId="78000F36" w14:textId="77777777" w:rsidR="003D658D" w:rsidRPr="00D33300" w:rsidRDefault="003D658D" w:rsidP="003D658D">
                        <w:pPr>
                          <w:jc w:val="left"/>
                          <w:rPr>
                            <w:rFonts w:cs="Arial"/>
                            <w:color w:val="000000"/>
                            <w:sz w:val="16"/>
                            <w:szCs w:val="16"/>
                          </w:rPr>
                        </w:pPr>
                        <w:r>
                          <w:rPr>
                            <w:i/>
                            <w:color w:val="000000"/>
                            <w:sz w:val="16"/>
                          </w:rPr>
                          <w:t>Prunus persica</w:t>
                        </w:r>
                        <w:r>
                          <w:rPr>
                            <w:color w:val="000000"/>
                            <w:sz w:val="16"/>
                          </w:rPr>
                          <w:t> (L.) Batsch</w:t>
                        </w:r>
                      </w:p>
                      <w:p w14:paraId="355477B7" w14:textId="77777777" w:rsidR="003D658D" w:rsidRPr="00D33300" w:rsidRDefault="003D658D" w:rsidP="003D658D">
                        <w:pPr>
                          <w:spacing w:line="1" w:lineRule="auto"/>
                          <w:jc w:val="left"/>
                          <w:rPr>
                            <w:lang w:eastAsia="zh-CN"/>
                          </w:rPr>
                        </w:pPr>
                      </w:p>
                    </w:tc>
                  </w:tr>
                </w:tbl>
                <w:p w14:paraId="743D1BA2" w14:textId="77777777" w:rsidR="003D658D" w:rsidRPr="00D33300" w:rsidRDefault="003D658D" w:rsidP="003D658D">
                  <w:pPr>
                    <w:spacing w:line="1" w:lineRule="auto"/>
                    <w:jc w:val="left"/>
                    <w:rPr>
                      <w:lang w:eastAsia="zh-CN"/>
                    </w:rPr>
                  </w:pPr>
                </w:p>
              </w:tc>
            </w:tr>
            <w:tr w:rsidR="003D658D" w:rsidRPr="00D33300" w14:paraId="626B093E" w14:textId="77777777" w:rsidTr="00FF3A1F">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3D9B21" w14:textId="77777777" w:rsidR="003D658D" w:rsidRPr="00FC2133" w:rsidRDefault="003D658D" w:rsidP="003D658D">
                  <w:pPr>
                    <w:jc w:val="left"/>
                    <w:rPr>
                      <w:vanish/>
                      <w:lang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3D658D" w:rsidRPr="00FC2133" w14:paraId="5D943942" w14:textId="77777777" w:rsidTr="00FF3A1F">
                    <w:tc>
                      <w:tcPr>
                        <w:tcW w:w="540" w:type="dxa"/>
                        <w:tcMar>
                          <w:top w:w="0" w:type="dxa"/>
                          <w:left w:w="0" w:type="dxa"/>
                          <w:bottom w:w="0" w:type="dxa"/>
                          <w:right w:w="0" w:type="dxa"/>
                        </w:tcMar>
                      </w:tcPr>
                      <w:p w14:paraId="6174EC25" w14:textId="77777777" w:rsidR="003D658D" w:rsidRPr="00FC2133" w:rsidRDefault="003D658D" w:rsidP="003D658D">
                        <w:pPr>
                          <w:jc w:val="left"/>
                          <w:rPr>
                            <w:lang w:eastAsia="zh-CN"/>
                          </w:rPr>
                        </w:pPr>
                      </w:p>
                    </w:tc>
                  </w:tr>
                </w:tbl>
                <w:p w14:paraId="1A656F72" w14:textId="77777777" w:rsidR="003D658D" w:rsidRPr="00FC2133" w:rsidRDefault="003D658D" w:rsidP="003D658D">
                  <w:pPr>
                    <w:spacing w:line="1" w:lineRule="auto"/>
                    <w:jc w:val="left"/>
                    <w:rPr>
                      <w:lang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71336B" w14:textId="77777777" w:rsidR="003D658D" w:rsidRPr="00FC2133" w:rsidRDefault="003D658D" w:rsidP="003D658D">
                  <w:pPr>
                    <w:jc w:val="left"/>
                    <w:rPr>
                      <w:vanish/>
                      <w:lang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3D658D" w:rsidRPr="00FC2133" w14:paraId="2EB346B9" w14:textId="77777777" w:rsidTr="00FF3A1F">
                    <w:tc>
                      <w:tcPr>
                        <w:tcW w:w="975" w:type="dxa"/>
                        <w:tcMar>
                          <w:top w:w="0" w:type="dxa"/>
                          <w:left w:w="0" w:type="dxa"/>
                          <w:bottom w:w="0" w:type="dxa"/>
                          <w:right w:w="0" w:type="dxa"/>
                        </w:tcMar>
                      </w:tcPr>
                      <w:p w14:paraId="51CE62E4" w14:textId="77777777" w:rsidR="003D658D" w:rsidRPr="00FC2133" w:rsidRDefault="003D658D" w:rsidP="003D658D">
                        <w:pPr>
                          <w:jc w:val="left"/>
                          <w:rPr>
                            <w:rFonts w:cs="Arial"/>
                            <w:color w:val="000000"/>
                            <w:sz w:val="16"/>
                            <w:szCs w:val="16"/>
                          </w:rPr>
                        </w:pPr>
                        <w:r>
                          <w:rPr>
                            <w:color w:val="000000"/>
                            <w:sz w:val="16"/>
                          </w:rPr>
                          <w:t xml:space="preserve"> TWF</w:t>
                        </w:r>
                      </w:p>
                      <w:p w14:paraId="75B4A88E" w14:textId="77777777" w:rsidR="003D658D" w:rsidRPr="00FC2133" w:rsidRDefault="003D658D" w:rsidP="003D658D">
                        <w:pPr>
                          <w:spacing w:line="1" w:lineRule="auto"/>
                          <w:jc w:val="left"/>
                          <w:rPr>
                            <w:lang w:eastAsia="zh-CN"/>
                          </w:rPr>
                        </w:pPr>
                      </w:p>
                    </w:tc>
                  </w:tr>
                </w:tbl>
                <w:p w14:paraId="2EACF9DB" w14:textId="77777777" w:rsidR="003D658D" w:rsidRPr="00FC2133" w:rsidRDefault="003D658D" w:rsidP="003D658D">
                  <w:pPr>
                    <w:spacing w:line="1" w:lineRule="auto"/>
                    <w:jc w:val="left"/>
                    <w:rPr>
                      <w:lang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FA0772" w14:textId="77777777" w:rsidR="003D658D" w:rsidRPr="00FC2133" w:rsidRDefault="003D658D" w:rsidP="003D658D">
                  <w:pPr>
                    <w:jc w:val="left"/>
                    <w:rPr>
                      <w:vanish/>
                      <w:lang w:eastAsia="zh-CN"/>
                    </w:rPr>
                  </w:pPr>
                </w:p>
                <w:tbl>
                  <w:tblPr>
                    <w:tblW w:w="1185" w:type="dxa"/>
                    <w:tblLayout w:type="fixed"/>
                    <w:tblCellMar>
                      <w:left w:w="0" w:type="dxa"/>
                      <w:right w:w="0" w:type="dxa"/>
                    </w:tblCellMar>
                    <w:tblLook w:val="01E0" w:firstRow="1" w:lastRow="1" w:firstColumn="1" w:lastColumn="1" w:noHBand="0" w:noVBand="0"/>
                  </w:tblPr>
                  <w:tblGrid>
                    <w:gridCol w:w="1185"/>
                  </w:tblGrid>
                  <w:tr w:rsidR="003D658D" w:rsidRPr="00FC2133" w14:paraId="222D3A13" w14:textId="77777777" w:rsidTr="00FF3A1F">
                    <w:tc>
                      <w:tcPr>
                        <w:tcW w:w="1185" w:type="dxa"/>
                        <w:tcMar>
                          <w:top w:w="0" w:type="dxa"/>
                          <w:left w:w="0" w:type="dxa"/>
                          <w:bottom w:w="0" w:type="dxa"/>
                          <w:right w:w="0" w:type="dxa"/>
                        </w:tcMar>
                      </w:tcPr>
                      <w:p w14:paraId="5EFC85CA" w14:textId="77777777" w:rsidR="003D658D" w:rsidRPr="00FC2133" w:rsidRDefault="003D658D" w:rsidP="003D658D">
                        <w:pPr>
                          <w:jc w:val="left"/>
                          <w:rPr>
                            <w:rFonts w:cs="Arial"/>
                            <w:color w:val="000000"/>
                            <w:sz w:val="16"/>
                            <w:szCs w:val="16"/>
                          </w:rPr>
                        </w:pPr>
                        <w:r>
                          <w:rPr>
                            <w:color w:val="000000"/>
                            <w:sz w:val="16"/>
                          </w:rPr>
                          <w:t>TG/84/4 Corr. 2 Rev. 2(proj.1)</w:t>
                        </w:r>
                      </w:p>
                      <w:p w14:paraId="18A58D5F" w14:textId="77777777" w:rsidR="003D658D" w:rsidRPr="00FC2133" w:rsidRDefault="003D658D" w:rsidP="003D658D">
                        <w:pPr>
                          <w:spacing w:line="1" w:lineRule="auto"/>
                          <w:jc w:val="left"/>
                          <w:rPr>
                            <w:lang w:eastAsia="zh-CN"/>
                          </w:rPr>
                        </w:pPr>
                      </w:p>
                    </w:tc>
                  </w:tr>
                </w:tbl>
                <w:p w14:paraId="3C19A619" w14:textId="77777777" w:rsidR="003D658D" w:rsidRPr="00FC2133" w:rsidRDefault="003D658D" w:rsidP="003D658D">
                  <w:pPr>
                    <w:spacing w:line="1" w:lineRule="auto"/>
                    <w:jc w:val="left"/>
                    <w:rPr>
                      <w:lang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05D397" w14:textId="77777777" w:rsidR="003D658D" w:rsidRPr="00FC2133" w:rsidRDefault="003D658D" w:rsidP="003D658D">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3D658D" w:rsidRPr="00FC2133" w14:paraId="3F4E49E5" w14:textId="77777777" w:rsidTr="00FF3A1F">
                    <w:tc>
                      <w:tcPr>
                        <w:tcW w:w="1545" w:type="dxa"/>
                        <w:tcMar>
                          <w:top w:w="0" w:type="dxa"/>
                          <w:left w:w="0" w:type="dxa"/>
                          <w:bottom w:w="0" w:type="dxa"/>
                          <w:right w:w="0" w:type="dxa"/>
                        </w:tcMar>
                      </w:tcPr>
                      <w:p w14:paraId="5D931EC5" w14:textId="77777777" w:rsidR="003D658D" w:rsidRPr="00FC2133" w:rsidRDefault="003D658D" w:rsidP="003D658D">
                        <w:pPr>
                          <w:jc w:val="left"/>
                          <w:rPr>
                            <w:rFonts w:cs="Arial"/>
                            <w:color w:val="000000"/>
                            <w:sz w:val="16"/>
                            <w:szCs w:val="16"/>
                          </w:rPr>
                        </w:pPr>
                        <w:r>
                          <w:rPr>
                            <w:color w:val="000000"/>
                            <w:sz w:val="16"/>
                          </w:rPr>
                          <w:t>Japanese Plum</w:t>
                        </w:r>
                      </w:p>
                      <w:p w14:paraId="70106061" w14:textId="77777777" w:rsidR="003D658D" w:rsidRPr="00FC2133" w:rsidRDefault="003D658D" w:rsidP="003D658D">
                        <w:pPr>
                          <w:spacing w:line="1" w:lineRule="auto"/>
                          <w:jc w:val="left"/>
                          <w:rPr>
                            <w:lang w:eastAsia="zh-CN"/>
                          </w:rPr>
                        </w:pPr>
                      </w:p>
                    </w:tc>
                  </w:tr>
                </w:tbl>
                <w:p w14:paraId="3975BC52" w14:textId="77777777" w:rsidR="003D658D" w:rsidRPr="00FC2133" w:rsidRDefault="003D658D" w:rsidP="003D658D">
                  <w:pPr>
                    <w:spacing w:line="1" w:lineRule="auto"/>
                    <w:jc w:val="left"/>
                    <w:rPr>
                      <w:lang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C65F5E" w14:textId="77777777" w:rsidR="003D658D" w:rsidRPr="00D33300" w:rsidRDefault="003D658D" w:rsidP="003D658D">
                  <w:pPr>
                    <w:jc w:val="left"/>
                    <w:rPr>
                      <w:vanish/>
                      <w:lang w:eastAsia="zh-CN"/>
                    </w:rPr>
                  </w:pPr>
                </w:p>
                <w:tbl>
                  <w:tblPr>
                    <w:tblW w:w="1230" w:type="dxa"/>
                    <w:tblLayout w:type="fixed"/>
                    <w:tblCellMar>
                      <w:left w:w="0" w:type="dxa"/>
                      <w:right w:w="0" w:type="dxa"/>
                    </w:tblCellMar>
                    <w:tblLook w:val="01E0" w:firstRow="1" w:lastRow="1" w:firstColumn="1" w:lastColumn="1" w:noHBand="0" w:noVBand="0"/>
                  </w:tblPr>
                  <w:tblGrid>
                    <w:gridCol w:w="1230"/>
                  </w:tblGrid>
                  <w:tr w:rsidR="003D658D" w:rsidRPr="00D33300" w14:paraId="674915B0" w14:textId="77777777" w:rsidTr="00FF3A1F">
                    <w:tc>
                      <w:tcPr>
                        <w:tcW w:w="1230" w:type="dxa"/>
                        <w:tcMar>
                          <w:top w:w="0" w:type="dxa"/>
                          <w:left w:w="0" w:type="dxa"/>
                          <w:bottom w:w="0" w:type="dxa"/>
                          <w:right w:w="0" w:type="dxa"/>
                        </w:tcMar>
                      </w:tcPr>
                      <w:p w14:paraId="79458138" w14:textId="77777777" w:rsidR="003D658D" w:rsidRPr="00D33300" w:rsidRDefault="003D658D" w:rsidP="003D658D">
                        <w:pPr>
                          <w:jc w:val="left"/>
                          <w:rPr>
                            <w:rFonts w:cs="Arial"/>
                            <w:color w:val="000000"/>
                            <w:sz w:val="16"/>
                            <w:szCs w:val="16"/>
                          </w:rPr>
                        </w:pPr>
                        <w:r>
                          <w:rPr>
                            <w:color w:val="000000"/>
                            <w:sz w:val="16"/>
                          </w:rPr>
                          <w:t>Prunier japonais</w:t>
                        </w:r>
                      </w:p>
                      <w:p w14:paraId="7A7B4D15" w14:textId="77777777" w:rsidR="003D658D" w:rsidRPr="00D33300" w:rsidRDefault="003D658D" w:rsidP="003D658D">
                        <w:pPr>
                          <w:spacing w:line="1" w:lineRule="auto"/>
                          <w:jc w:val="left"/>
                          <w:rPr>
                            <w:lang w:eastAsia="zh-CN"/>
                          </w:rPr>
                        </w:pPr>
                      </w:p>
                    </w:tc>
                  </w:tr>
                </w:tbl>
                <w:p w14:paraId="79D1F2E6" w14:textId="77777777" w:rsidR="003D658D" w:rsidRPr="00D33300" w:rsidRDefault="003D658D" w:rsidP="003D658D">
                  <w:pPr>
                    <w:spacing w:line="1" w:lineRule="auto"/>
                    <w:jc w:val="left"/>
                    <w:rPr>
                      <w:lang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606C53" w14:textId="77777777" w:rsidR="003D658D" w:rsidRPr="00D33300" w:rsidRDefault="003D658D" w:rsidP="003D658D">
                  <w:pPr>
                    <w:jc w:val="left"/>
                    <w:rPr>
                      <w:vanish/>
                      <w:lang w:eastAsia="zh-CN"/>
                    </w:rPr>
                  </w:pPr>
                </w:p>
                <w:tbl>
                  <w:tblPr>
                    <w:tblW w:w="1560" w:type="dxa"/>
                    <w:tblLayout w:type="fixed"/>
                    <w:tblCellMar>
                      <w:left w:w="0" w:type="dxa"/>
                      <w:right w:w="0" w:type="dxa"/>
                    </w:tblCellMar>
                    <w:tblLook w:val="01E0" w:firstRow="1" w:lastRow="1" w:firstColumn="1" w:lastColumn="1" w:noHBand="0" w:noVBand="0"/>
                  </w:tblPr>
                  <w:tblGrid>
                    <w:gridCol w:w="1560"/>
                  </w:tblGrid>
                  <w:tr w:rsidR="003D658D" w:rsidRPr="00D33300" w14:paraId="3E5CE0FB" w14:textId="77777777" w:rsidTr="00FF3A1F">
                    <w:tc>
                      <w:tcPr>
                        <w:tcW w:w="1560" w:type="dxa"/>
                        <w:tcMar>
                          <w:top w:w="0" w:type="dxa"/>
                          <w:left w:w="0" w:type="dxa"/>
                          <w:bottom w:w="0" w:type="dxa"/>
                          <w:right w:w="0" w:type="dxa"/>
                        </w:tcMar>
                      </w:tcPr>
                      <w:p w14:paraId="3C286EEA" w14:textId="77777777" w:rsidR="003D658D" w:rsidRPr="00D33300" w:rsidRDefault="003D658D" w:rsidP="003D658D">
                        <w:pPr>
                          <w:jc w:val="left"/>
                          <w:rPr>
                            <w:rFonts w:cs="Arial"/>
                            <w:color w:val="000000"/>
                            <w:sz w:val="16"/>
                            <w:szCs w:val="16"/>
                          </w:rPr>
                        </w:pPr>
                        <w:r>
                          <w:rPr>
                            <w:color w:val="000000"/>
                            <w:sz w:val="16"/>
                          </w:rPr>
                          <w:t>Ostasiatische Pflaume</w:t>
                        </w:r>
                      </w:p>
                      <w:p w14:paraId="7633DAC6" w14:textId="77777777" w:rsidR="003D658D" w:rsidRPr="00D33300" w:rsidRDefault="003D658D" w:rsidP="003D658D">
                        <w:pPr>
                          <w:spacing w:line="1" w:lineRule="auto"/>
                          <w:jc w:val="left"/>
                          <w:rPr>
                            <w:lang w:eastAsia="zh-CN"/>
                          </w:rPr>
                        </w:pPr>
                      </w:p>
                    </w:tc>
                  </w:tr>
                </w:tbl>
                <w:p w14:paraId="0C2FCB30" w14:textId="77777777" w:rsidR="003D658D" w:rsidRPr="00D33300" w:rsidRDefault="003D658D" w:rsidP="003D658D">
                  <w:pPr>
                    <w:spacing w:line="1" w:lineRule="auto"/>
                    <w:jc w:val="left"/>
                    <w:rPr>
                      <w:lang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92A74A" w14:textId="77777777" w:rsidR="003D658D" w:rsidRPr="00D33300" w:rsidRDefault="003D658D" w:rsidP="003D658D">
                  <w:pPr>
                    <w:jc w:val="left"/>
                    <w:rPr>
                      <w:vanish/>
                      <w:lang w:eastAsia="zh-CN"/>
                    </w:rPr>
                  </w:pPr>
                </w:p>
                <w:tbl>
                  <w:tblPr>
                    <w:tblW w:w="1320" w:type="dxa"/>
                    <w:tblLayout w:type="fixed"/>
                    <w:tblCellMar>
                      <w:left w:w="0" w:type="dxa"/>
                      <w:right w:w="0" w:type="dxa"/>
                    </w:tblCellMar>
                    <w:tblLook w:val="01E0" w:firstRow="1" w:lastRow="1" w:firstColumn="1" w:lastColumn="1" w:noHBand="0" w:noVBand="0"/>
                  </w:tblPr>
                  <w:tblGrid>
                    <w:gridCol w:w="1320"/>
                  </w:tblGrid>
                  <w:tr w:rsidR="003D658D" w:rsidRPr="00D33300" w14:paraId="2F61584C" w14:textId="77777777" w:rsidTr="00FF3A1F">
                    <w:tc>
                      <w:tcPr>
                        <w:tcW w:w="1320" w:type="dxa"/>
                        <w:tcMar>
                          <w:top w:w="0" w:type="dxa"/>
                          <w:left w:w="0" w:type="dxa"/>
                          <w:bottom w:w="0" w:type="dxa"/>
                          <w:right w:w="0" w:type="dxa"/>
                        </w:tcMar>
                      </w:tcPr>
                      <w:p w14:paraId="352873DC" w14:textId="77777777" w:rsidR="003D658D" w:rsidRPr="00D33300" w:rsidRDefault="003D658D" w:rsidP="003D658D">
                        <w:pPr>
                          <w:jc w:val="left"/>
                          <w:rPr>
                            <w:rFonts w:cs="Arial"/>
                            <w:color w:val="000000"/>
                            <w:sz w:val="16"/>
                            <w:szCs w:val="16"/>
                          </w:rPr>
                        </w:pPr>
                        <w:r>
                          <w:rPr>
                            <w:color w:val="000000"/>
                            <w:sz w:val="16"/>
                          </w:rPr>
                          <w:t>Ciruelo japonés</w:t>
                        </w:r>
                      </w:p>
                      <w:p w14:paraId="6BF19EAE" w14:textId="77777777" w:rsidR="003D658D" w:rsidRPr="00D33300" w:rsidRDefault="003D658D" w:rsidP="003D658D">
                        <w:pPr>
                          <w:spacing w:line="1" w:lineRule="auto"/>
                          <w:jc w:val="left"/>
                          <w:rPr>
                            <w:lang w:eastAsia="zh-CN"/>
                          </w:rPr>
                        </w:pPr>
                      </w:p>
                    </w:tc>
                  </w:tr>
                </w:tbl>
                <w:p w14:paraId="4485226B" w14:textId="77777777" w:rsidR="003D658D" w:rsidRPr="00D33300" w:rsidRDefault="003D658D" w:rsidP="003D658D">
                  <w:pPr>
                    <w:spacing w:line="1" w:lineRule="auto"/>
                    <w:jc w:val="left"/>
                    <w:rPr>
                      <w:lang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862F4C" w14:textId="77777777" w:rsidR="003D658D" w:rsidRPr="00D33300" w:rsidRDefault="003D658D" w:rsidP="003D658D">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3D658D" w:rsidRPr="00D33300" w14:paraId="45E086DC" w14:textId="77777777" w:rsidTr="00FF3A1F">
                    <w:tc>
                      <w:tcPr>
                        <w:tcW w:w="1545" w:type="dxa"/>
                        <w:tcMar>
                          <w:top w:w="0" w:type="dxa"/>
                          <w:left w:w="0" w:type="dxa"/>
                          <w:bottom w:w="0" w:type="dxa"/>
                          <w:right w:w="0" w:type="dxa"/>
                        </w:tcMar>
                      </w:tcPr>
                      <w:p w14:paraId="30D15AF1" w14:textId="77777777" w:rsidR="003D658D" w:rsidRPr="00D33300" w:rsidRDefault="003D658D" w:rsidP="003D658D">
                        <w:pPr>
                          <w:jc w:val="left"/>
                          <w:rPr>
                            <w:rFonts w:cs="Arial"/>
                            <w:color w:val="000000"/>
                            <w:sz w:val="16"/>
                            <w:szCs w:val="16"/>
                          </w:rPr>
                        </w:pPr>
                        <w:r>
                          <w:rPr>
                            <w:i/>
                            <w:color w:val="000000"/>
                            <w:sz w:val="16"/>
                          </w:rPr>
                          <w:t>Prunus salicina</w:t>
                        </w:r>
                        <w:r>
                          <w:rPr>
                            <w:color w:val="000000"/>
                            <w:sz w:val="16"/>
                          </w:rPr>
                          <w:t> Lindl.</w:t>
                        </w:r>
                      </w:p>
                      <w:p w14:paraId="6A9A8B57" w14:textId="77777777" w:rsidR="003D658D" w:rsidRPr="00D33300" w:rsidRDefault="003D658D" w:rsidP="003D658D">
                        <w:pPr>
                          <w:spacing w:line="1" w:lineRule="auto"/>
                          <w:jc w:val="left"/>
                          <w:rPr>
                            <w:lang w:eastAsia="zh-CN"/>
                          </w:rPr>
                        </w:pPr>
                      </w:p>
                    </w:tc>
                  </w:tr>
                </w:tbl>
                <w:p w14:paraId="51A2823C" w14:textId="77777777" w:rsidR="003D658D" w:rsidRPr="00D33300" w:rsidRDefault="003D658D" w:rsidP="003D658D">
                  <w:pPr>
                    <w:spacing w:line="1" w:lineRule="auto"/>
                    <w:jc w:val="left"/>
                    <w:rPr>
                      <w:lang w:eastAsia="zh-CN"/>
                    </w:rPr>
                  </w:pPr>
                </w:p>
              </w:tc>
            </w:tr>
            <w:tr w:rsidR="003D658D" w:rsidRPr="00D33300" w14:paraId="72C1F8B7" w14:textId="77777777" w:rsidTr="00FF3A1F">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4E7A5F" w14:textId="77777777" w:rsidR="003D658D" w:rsidRPr="00FC2133" w:rsidRDefault="003D658D" w:rsidP="003D658D">
                  <w:pPr>
                    <w:jc w:val="left"/>
                    <w:rPr>
                      <w:vanish/>
                      <w:lang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3D658D" w:rsidRPr="00FC2133" w14:paraId="2401D513" w14:textId="77777777" w:rsidTr="00FF3A1F">
                    <w:tc>
                      <w:tcPr>
                        <w:tcW w:w="540" w:type="dxa"/>
                        <w:tcMar>
                          <w:top w:w="0" w:type="dxa"/>
                          <w:left w:w="0" w:type="dxa"/>
                          <w:bottom w:w="0" w:type="dxa"/>
                          <w:right w:w="0" w:type="dxa"/>
                        </w:tcMar>
                      </w:tcPr>
                      <w:p w14:paraId="40B9691A" w14:textId="77777777" w:rsidR="003D658D" w:rsidRPr="00FC2133" w:rsidRDefault="003D658D" w:rsidP="003D658D">
                        <w:pPr>
                          <w:jc w:val="left"/>
                          <w:rPr>
                            <w:lang w:eastAsia="zh-CN"/>
                          </w:rPr>
                        </w:pPr>
                      </w:p>
                    </w:tc>
                  </w:tr>
                </w:tbl>
                <w:p w14:paraId="75581071" w14:textId="77777777" w:rsidR="003D658D" w:rsidRPr="00FC2133" w:rsidRDefault="003D658D" w:rsidP="003D658D">
                  <w:pPr>
                    <w:spacing w:line="1" w:lineRule="auto"/>
                    <w:jc w:val="left"/>
                    <w:rPr>
                      <w:lang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7BB763" w14:textId="77777777" w:rsidR="003D658D" w:rsidRPr="00FC2133" w:rsidRDefault="003D658D" w:rsidP="003D658D">
                  <w:pPr>
                    <w:jc w:val="left"/>
                    <w:rPr>
                      <w:vanish/>
                      <w:lang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3D658D" w:rsidRPr="00FC2133" w14:paraId="3CD5AE83" w14:textId="77777777" w:rsidTr="00FF3A1F">
                    <w:tc>
                      <w:tcPr>
                        <w:tcW w:w="975" w:type="dxa"/>
                        <w:tcMar>
                          <w:top w:w="0" w:type="dxa"/>
                          <w:left w:w="0" w:type="dxa"/>
                          <w:bottom w:w="0" w:type="dxa"/>
                          <w:right w:w="0" w:type="dxa"/>
                        </w:tcMar>
                      </w:tcPr>
                      <w:p w14:paraId="7B372003" w14:textId="77777777" w:rsidR="003D658D" w:rsidRPr="00FC2133" w:rsidRDefault="003D658D" w:rsidP="003D658D">
                        <w:pPr>
                          <w:jc w:val="left"/>
                          <w:rPr>
                            <w:rFonts w:cs="Arial"/>
                            <w:color w:val="000000"/>
                            <w:sz w:val="16"/>
                            <w:szCs w:val="16"/>
                          </w:rPr>
                        </w:pPr>
                        <w:r>
                          <w:rPr>
                            <w:color w:val="000000"/>
                            <w:sz w:val="16"/>
                          </w:rPr>
                          <w:t>TWF</w:t>
                        </w:r>
                      </w:p>
                      <w:p w14:paraId="0CD40522" w14:textId="77777777" w:rsidR="003D658D" w:rsidRPr="00FC2133" w:rsidRDefault="003D658D" w:rsidP="003D658D">
                        <w:pPr>
                          <w:spacing w:line="1" w:lineRule="auto"/>
                          <w:jc w:val="left"/>
                          <w:rPr>
                            <w:lang w:eastAsia="zh-CN"/>
                          </w:rPr>
                        </w:pPr>
                      </w:p>
                    </w:tc>
                  </w:tr>
                </w:tbl>
                <w:p w14:paraId="6C94A42A" w14:textId="77777777" w:rsidR="003D658D" w:rsidRPr="00FC2133" w:rsidRDefault="003D658D" w:rsidP="003D658D">
                  <w:pPr>
                    <w:spacing w:line="1" w:lineRule="auto"/>
                    <w:jc w:val="left"/>
                    <w:rPr>
                      <w:lang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6AD187" w14:textId="77777777" w:rsidR="003D658D" w:rsidRPr="00FC2133" w:rsidRDefault="003D658D" w:rsidP="003D658D">
                  <w:pPr>
                    <w:jc w:val="left"/>
                    <w:rPr>
                      <w:vanish/>
                      <w:lang w:eastAsia="zh-CN"/>
                    </w:rPr>
                  </w:pPr>
                </w:p>
                <w:tbl>
                  <w:tblPr>
                    <w:tblW w:w="1185" w:type="dxa"/>
                    <w:tblLayout w:type="fixed"/>
                    <w:tblCellMar>
                      <w:left w:w="0" w:type="dxa"/>
                      <w:right w:w="0" w:type="dxa"/>
                    </w:tblCellMar>
                    <w:tblLook w:val="01E0" w:firstRow="1" w:lastRow="1" w:firstColumn="1" w:lastColumn="1" w:noHBand="0" w:noVBand="0"/>
                  </w:tblPr>
                  <w:tblGrid>
                    <w:gridCol w:w="1185"/>
                  </w:tblGrid>
                  <w:tr w:rsidR="003D658D" w:rsidRPr="00FC2133" w14:paraId="26EDED15" w14:textId="77777777" w:rsidTr="00FF3A1F">
                    <w:tc>
                      <w:tcPr>
                        <w:tcW w:w="1185" w:type="dxa"/>
                        <w:tcMar>
                          <w:top w:w="0" w:type="dxa"/>
                          <w:left w:w="0" w:type="dxa"/>
                          <w:bottom w:w="0" w:type="dxa"/>
                          <w:right w:w="0" w:type="dxa"/>
                        </w:tcMar>
                      </w:tcPr>
                      <w:p w14:paraId="25F4DBAC" w14:textId="77777777" w:rsidR="003D658D" w:rsidRPr="00FC2133" w:rsidRDefault="003D658D" w:rsidP="003D658D">
                        <w:pPr>
                          <w:jc w:val="left"/>
                          <w:rPr>
                            <w:rFonts w:cs="Arial"/>
                            <w:color w:val="000000"/>
                            <w:sz w:val="16"/>
                            <w:szCs w:val="16"/>
                          </w:rPr>
                        </w:pPr>
                        <w:r>
                          <w:rPr>
                            <w:color w:val="000000"/>
                            <w:sz w:val="16"/>
                          </w:rPr>
                          <w:t>TG/98/7 Rev. 2 (proj.1)</w:t>
                        </w:r>
                      </w:p>
                      <w:p w14:paraId="3D9C0EBB" w14:textId="77777777" w:rsidR="003D658D" w:rsidRPr="00FC2133" w:rsidRDefault="003D658D" w:rsidP="003D658D">
                        <w:pPr>
                          <w:spacing w:line="1" w:lineRule="auto"/>
                          <w:jc w:val="left"/>
                          <w:rPr>
                            <w:lang w:eastAsia="zh-CN"/>
                          </w:rPr>
                        </w:pPr>
                      </w:p>
                    </w:tc>
                  </w:tr>
                </w:tbl>
                <w:p w14:paraId="10AD0D9B" w14:textId="77777777" w:rsidR="003D658D" w:rsidRPr="00FC2133" w:rsidRDefault="003D658D" w:rsidP="003D658D">
                  <w:pPr>
                    <w:spacing w:line="1" w:lineRule="auto"/>
                    <w:jc w:val="left"/>
                    <w:rPr>
                      <w:lang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EFB804" w14:textId="77777777" w:rsidR="003D658D" w:rsidRPr="00FC2133" w:rsidRDefault="003D658D" w:rsidP="003D658D">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3D658D" w:rsidRPr="00FC2133" w14:paraId="2C63942A" w14:textId="77777777" w:rsidTr="00FF3A1F">
                    <w:tc>
                      <w:tcPr>
                        <w:tcW w:w="1545" w:type="dxa"/>
                        <w:tcMar>
                          <w:top w:w="0" w:type="dxa"/>
                          <w:left w:w="0" w:type="dxa"/>
                          <w:bottom w:w="0" w:type="dxa"/>
                          <w:right w:w="0" w:type="dxa"/>
                        </w:tcMar>
                      </w:tcPr>
                      <w:p w14:paraId="5C7360F2" w14:textId="77777777" w:rsidR="003D658D" w:rsidRPr="00FC2133" w:rsidRDefault="003D658D" w:rsidP="003D658D">
                        <w:pPr>
                          <w:jc w:val="left"/>
                          <w:rPr>
                            <w:rFonts w:cs="Arial"/>
                            <w:color w:val="000000"/>
                            <w:sz w:val="16"/>
                            <w:szCs w:val="16"/>
                          </w:rPr>
                        </w:pPr>
                        <w:r>
                          <w:rPr>
                            <w:color w:val="000000"/>
                            <w:sz w:val="16"/>
                          </w:rPr>
                          <w:t>Actinidia</w:t>
                        </w:r>
                      </w:p>
                      <w:p w14:paraId="515B088B" w14:textId="77777777" w:rsidR="003D658D" w:rsidRPr="00FC2133" w:rsidRDefault="003D658D" w:rsidP="003D658D">
                        <w:pPr>
                          <w:spacing w:line="1" w:lineRule="auto"/>
                          <w:jc w:val="left"/>
                          <w:rPr>
                            <w:lang w:eastAsia="zh-CN"/>
                          </w:rPr>
                        </w:pPr>
                      </w:p>
                    </w:tc>
                  </w:tr>
                </w:tbl>
                <w:p w14:paraId="0337D6AB" w14:textId="77777777" w:rsidR="003D658D" w:rsidRPr="00FC2133" w:rsidRDefault="003D658D" w:rsidP="003D658D">
                  <w:pPr>
                    <w:spacing w:line="1" w:lineRule="auto"/>
                    <w:jc w:val="left"/>
                    <w:rPr>
                      <w:lang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331592" w14:textId="77777777" w:rsidR="003D658D" w:rsidRPr="00D33300" w:rsidRDefault="003D658D" w:rsidP="003D658D">
                  <w:pPr>
                    <w:jc w:val="left"/>
                    <w:rPr>
                      <w:vanish/>
                      <w:lang w:eastAsia="zh-CN"/>
                    </w:rPr>
                  </w:pPr>
                </w:p>
                <w:tbl>
                  <w:tblPr>
                    <w:tblW w:w="1230" w:type="dxa"/>
                    <w:tblLayout w:type="fixed"/>
                    <w:tblCellMar>
                      <w:left w:w="0" w:type="dxa"/>
                      <w:right w:w="0" w:type="dxa"/>
                    </w:tblCellMar>
                    <w:tblLook w:val="01E0" w:firstRow="1" w:lastRow="1" w:firstColumn="1" w:lastColumn="1" w:noHBand="0" w:noVBand="0"/>
                  </w:tblPr>
                  <w:tblGrid>
                    <w:gridCol w:w="1230"/>
                  </w:tblGrid>
                  <w:tr w:rsidR="003D658D" w:rsidRPr="00D33300" w14:paraId="6C462EA1" w14:textId="77777777" w:rsidTr="00FF3A1F">
                    <w:tc>
                      <w:tcPr>
                        <w:tcW w:w="1230" w:type="dxa"/>
                        <w:tcMar>
                          <w:top w:w="0" w:type="dxa"/>
                          <w:left w:w="0" w:type="dxa"/>
                          <w:bottom w:w="0" w:type="dxa"/>
                          <w:right w:w="0" w:type="dxa"/>
                        </w:tcMar>
                      </w:tcPr>
                      <w:p w14:paraId="12CF4568" w14:textId="77777777" w:rsidR="003D658D" w:rsidRPr="00D33300" w:rsidRDefault="003D658D" w:rsidP="003D658D">
                        <w:pPr>
                          <w:jc w:val="left"/>
                          <w:rPr>
                            <w:rFonts w:cs="Arial"/>
                            <w:color w:val="000000"/>
                            <w:sz w:val="16"/>
                            <w:szCs w:val="16"/>
                          </w:rPr>
                        </w:pPr>
                        <w:r>
                          <w:rPr>
                            <w:color w:val="000000"/>
                            <w:sz w:val="16"/>
                          </w:rPr>
                          <w:t>Actinidia</w:t>
                        </w:r>
                      </w:p>
                      <w:p w14:paraId="34A65636" w14:textId="77777777" w:rsidR="003D658D" w:rsidRPr="00D33300" w:rsidRDefault="003D658D" w:rsidP="003D658D">
                        <w:pPr>
                          <w:spacing w:line="1" w:lineRule="auto"/>
                          <w:jc w:val="left"/>
                          <w:rPr>
                            <w:lang w:eastAsia="zh-CN"/>
                          </w:rPr>
                        </w:pPr>
                      </w:p>
                    </w:tc>
                  </w:tr>
                </w:tbl>
                <w:p w14:paraId="5B77CE99" w14:textId="77777777" w:rsidR="003D658D" w:rsidRPr="00D33300" w:rsidRDefault="003D658D" w:rsidP="003D658D">
                  <w:pPr>
                    <w:spacing w:line="1" w:lineRule="auto"/>
                    <w:jc w:val="left"/>
                    <w:rPr>
                      <w:lang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3DA404" w14:textId="77777777" w:rsidR="003D658D" w:rsidRPr="00D33300" w:rsidRDefault="003D658D" w:rsidP="003D658D">
                  <w:pPr>
                    <w:jc w:val="left"/>
                    <w:rPr>
                      <w:vanish/>
                      <w:lang w:eastAsia="zh-CN"/>
                    </w:rPr>
                  </w:pPr>
                </w:p>
                <w:tbl>
                  <w:tblPr>
                    <w:tblW w:w="1560" w:type="dxa"/>
                    <w:tblLayout w:type="fixed"/>
                    <w:tblCellMar>
                      <w:left w:w="0" w:type="dxa"/>
                      <w:right w:w="0" w:type="dxa"/>
                    </w:tblCellMar>
                    <w:tblLook w:val="01E0" w:firstRow="1" w:lastRow="1" w:firstColumn="1" w:lastColumn="1" w:noHBand="0" w:noVBand="0"/>
                  </w:tblPr>
                  <w:tblGrid>
                    <w:gridCol w:w="1560"/>
                  </w:tblGrid>
                  <w:tr w:rsidR="003D658D" w:rsidRPr="00D33300" w14:paraId="029D408F" w14:textId="77777777" w:rsidTr="00FF3A1F">
                    <w:tc>
                      <w:tcPr>
                        <w:tcW w:w="1560" w:type="dxa"/>
                        <w:tcMar>
                          <w:top w:w="0" w:type="dxa"/>
                          <w:left w:w="0" w:type="dxa"/>
                          <w:bottom w:w="0" w:type="dxa"/>
                          <w:right w:w="0" w:type="dxa"/>
                        </w:tcMar>
                      </w:tcPr>
                      <w:p w14:paraId="3DC9FE87" w14:textId="77777777" w:rsidR="003D658D" w:rsidRPr="00D33300" w:rsidRDefault="003D658D" w:rsidP="003D658D">
                        <w:pPr>
                          <w:jc w:val="left"/>
                          <w:rPr>
                            <w:rFonts w:cs="Arial"/>
                            <w:color w:val="000000"/>
                            <w:sz w:val="16"/>
                            <w:szCs w:val="16"/>
                          </w:rPr>
                        </w:pPr>
                        <w:r>
                          <w:rPr>
                            <w:color w:val="000000"/>
                            <w:sz w:val="16"/>
                          </w:rPr>
                          <w:t>Kiwi</w:t>
                        </w:r>
                      </w:p>
                      <w:p w14:paraId="0936490D" w14:textId="77777777" w:rsidR="003D658D" w:rsidRPr="00D33300" w:rsidRDefault="003D658D" w:rsidP="003D658D">
                        <w:pPr>
                          <w:spacing w:line="1" w:lineRule="auto"/>
                          <w:jc w:val="left"/>
                          <w:rPr>
                            <w:lang w:eastAsia="zh-CN"/>
                          </w:rPr>
                        </w:pPr>
                      </w:p>
                    </w:tc>
                  </w:tr>
                </w:tbl>
                <w:p w14:paraId="65C25057" w14:textId="77777777" w:rsidR="003D658D" w:rsidRPr="00D33300" w:rsidRDefault="003D658D" w:rsidP="003D658D">
                  <w:pPr>
                    <w:spacing w:line="1" w:lineRule="auto"/>
                    <w:jc w:val="left"/>
                    <w:rPr>
                      <w:lang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9101C2" w14:textId="77777777" w:rsidR="003D658D" w:rsidRPr="00D33300" w:rsidRDefault="003D658D" w:rsidP="003D658D">
                  <w:pPr>
                    <w:jc w:val="left"/>
                    <w:rPr>
                      <w:vanish/>
                      <w:lang w:eastAsia="zh-CN"/>
                    </w:rPr>
                  </w:pPr>
                </w:p>
                <w:tbl>
                  <w:tblPr>
                    <w:tblW w:w="1320" w:type="dxa"/>
                    <w:tblLayout w:type="fixed"/>
                    <w:tblCellMar>
                      <w:left w:w="0" w:type="dxa"/>
                      <w:right w:w="0" w:type="dxa"/>
                    </w:tblCellMar>
                    <w:tblLook w:val="01E0" w:firstRow="1" w:lastRow="1" w:firstColumn="1" w:lastColumn="1" w:noHBand="0" w:noVBand="0"/>
                  </w:tblPr>
                  <w:tblGrid>
                    <w:gridCol w:w="1320"/>
                  </w:tblGrid>
                  <w:tr w:rsidR="003D658D" w:rsidRPr="00D33300" w14:paraId="5C89DFFD" w14:textId="77777777" w:rsidTr="00FF3A1F">
                    <w:tc>
                      <w:tcPr>
                        <w:tcW w:w="1320" w:type="dxa"/>
                        <w:tcMar>
                          <w:top w:w="0" w:type="dxa"/>
                          <w:left w:w="0" w:type="dxa"/>
                          <w:bottom w:w="0" w:type="dxa"/>
                          <w:right w:w="0" w:type="dxa"/>
                        </w:tcMar>
                      </w:tcPr>
                      <w:p w14:paraId="57FD4C63" w14:textId="77777777" w:rsidR="003D658D" w:rsidRPr="00D33300" w:rsidRDefault="003D658D" w:rsidP="003D658D">
                        <w:pPr>
                          <w:jc w:val="left"/>
                          <w:rPr>
                            <w:rFonts w:cs="Arial"/>
                            <w:color w:val="000000"/>
                            <w:sz w:val="16"/>
                            <w:szCs w:val="16"/>
                          </w:rPr>
                        </w:pPr>
                        <w:r>
                          <w:rPr>
                            <w:color w:val="000000"/>
                            <w:sz w:val="16"/>
                          </w:rPr>
                          <w:t>Kiwi</w:t>
                        </w:r>
                      </w:p>
                      <w:p w14:paraId="2B6854CC" w14:textId="77777777" w:rsidR="003D658D" w:rsidRPr="00D33300" w:rsidRDefault="003D658D" w:rsidP="003D658D">
                        <w:pPr>
                          <w:spacing w:line="1" w:lineRule="auto"/>
                          <w:jc w:val="left"/>
                          <w:rPr>
                            <w:lang w:eastAsia="zh-CN"/>
                          </w:rPr>
                        </w:pPr>
                      </w:p>
                    </w:tc>
                  </w:tr>
                </w:tbl>
                <w:p w14:paraId="3062CA7F" w14:textId="77777777" w:rsidR="003D658D" w:rsidRPr="00D33300" w:rsidRDefault="003D658D" w:rsidP="003D658D">
                  <w:pPr>
                    <w:spacing w:line="1" w:lineRule="auto"/>
                    <w:jc w:val="left"/>
                    <w:rPr>
                      <w:lang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FF3EF4" w14:textId="77777777" w:rsidR="003D658D" w:rsidRPr="00D33300" w:rsidRDefault="003D658D" w:rsidP="003D658D">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3D658D" w:rsidRPr="00D33300" w14:paraId="6259E1E5" w14:textId="77777777" w:rsidTr="00FF3A1F">
                    <w:tc>
                      <w:tcPr>
                        <w:tcW w:w="1545" w:type="dxa"/>
                        <w:tcMar>
                          <w:top w:w="0" w:type="dxa"/>
                          <w:left w:w="0" w:type="dxa"/>
                          <w:bottom w:w="0" w:type="dxa"/>
                          <w:right w:w="0" w:type="dxa"/>
                        </w:tcMar>
                      </w:tcPr>
                      <w:p w14:paraId="531F0828" w14:textId="77777777" w:rsidR="003D658D" w:rsidRPr="00D33300" w:rsidRDefault="003D658D" w:rsidP="003D658D">
                        <w:pPr>
                          <w:jc w:val="left"/>
                          <w:rPr>
                            <w:rFonts w:cs="Arial"/>
                            <w:color w:val="000000"/>
                            <w:sz w:val="16"/>
                            <w:szCs w:val="16"/>
                          </w:rPr>
                        </w:pPr>
                        <w:r>
                          <w:rPr>
                            <w:i/>
                            <w:color w:val="000000"/>
                            <w:sz w:val="16"/>
                          </w:rPr>
                          <w:t>Actinidia</w:t>
                        </w:r>
                        <w:r>
                          <w:rPr>
                            <w:color w:val="000000"/>
                            <w:sz w:val="16"/>
                          </w:rPr>
                          <w:t> Lindl.</w:t>
                        </w:r>
                      </w:p>
                      <w:p w14:paraId="6888C77C" w14:textId="77777777" w:rsidR="003D658D" w:rsidRPr="00D33300" w:rsidRDefault="003D658D" w:rsidP="003D658D">
                        <w:pPr>
                          <w:spacing w:line="1" w:lineRule="auto"/>
                          <w:jc w:val="left"/>
                          <w:rPr>
                            <w:lang w:eastAsia="zh-CN"/>
                          </w:rPr>
                        </w:pPr>
                      </w:p>
                    </w:tc>
                  </w:tr>
                </w:tbl>
                <w:p w14:paraId="2D3C0614" w14:textId="77777777" w:rsidR="003D658D" w:rsidRPr="00D33300" w:rsidRDefault="003D658D" w:rsidP="003D658D">
                  <w:pPr>
                    <w:spacing w:line="1" w:lineRule="auto"/>
                    <w:jc w:val="left"/>
                    <w:rPr>
                      <w:lang w:eastAsia="zh-CN"/>
                    </w:rPr>
                  </w:pPr>
                </w:p>
              </w:tc>
            </w:tr>
            <w:tr w:rsidR="003D658D" w:rsidRPr="00D33300" w14:paraId="6B0621DC" w14:textId="77777777" w:rsidTr="00FF3A1F">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6F8150" w14:textId="77777777" w:rsidR="003D658D" w:rsidRPr="00FC2133" w:rsidRDefault="003D658D" w:rsidP="003D658D">
                  <w:pPr>
                    <w:jc w:val="left"/>
                    <w:rPr>
                      <w:vanish/>
                      <w:lang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3D658D" w:rsidRPr="00FC2133" w14:paraId="4F8F0FF0" w14:textId="77777777" w:rsidTr="00FF3A1F">
                    <w:trPr>
                      <w:trHeight w:val="486"/>
                    </w:trPr>
                    <w:tc>
                      <w:tcPr>
                        <w:tcW w:w="540" w:type="dxa"/>
                        <w:tcMar>
                          <w:top w:w="0" w:type="dxa"/>
                          <w:left w:w="0" w:type="dxa"/>
                          <w:bottom w:w="0" w:type="dxa"/>
                          <w:right w:w="0" w:type="dxa"/>
                        </w:tcMar>
                      </w:tcPr>
                      <w:p w14:paraId="4EC0A537" w14:textId="77777777" w:rsidR="003D658D" w:rsidRPr="00FC2133" w:rsidRDefault="003D658D" w:rsidP="003D658D">
                        <w:pPr>
                          <w:jc w:val="left"/>
                          <w:rPr>
                            <w:lang w:eastAsia="zh-CN"/>
                          </w:rPr>
                        </w:pPr>
                      </w:p>
                    </w:tc>
                  </w:tr>
                </w:tbl>
                <w:p w14:paraId="3E6345AD" w14:textId="77777777" w:rsidR="003D658D" w:rsidRPr="00FC2133" w:rsidRDefault="003D658D" w:rsidP="003D658D">
                  <w:pPr>
                    <w:spacing w:line="1" w:lineRule="auto"/>
                    <w:jc w:val="left"/>
                    <w:rPr>
                      <w:lang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74CF60" w14:textId="77777777" w:rsidR="003D658D" w:rsidRPr="00FC2133" w:rsidRDefault="003D658D" w:rsidP="003D658D">
                  <w:pPr>
                    <w:jc w:val="left"/>
                    <w:rPr>
                      <w:vanish/>
                      <w:lang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3D658D" w:rsidRPr="00FC2133" w14:paraId="3DF03712" w14:textId="77777777" w:rsidTr="00FF3A1F">
                    <w:tc>
                      <w:tcPr>
                        <w:tcW w:w="975" w:type="dxa"/>
                        <w:tcMar>
                          <w:top w:w="0" w:type="dxa"/>
                          <w:left w:w="0" w:type="dxa"/>
                          <w:bottom w:w="0" w:type="dxa"/>
                          <w:right w:w="0" w:type="dxa"/>
                        </w:tcMar>
                      </w:tcPr>
                      <w:p w14:paraId="79443AF6" w14:textId="77777777" w:rsidR="003D658D" w:rsidRPr="00FC2133" w:rsidRDefault="003D658D" w:rsidP="003D658D">
                        <w:pPr>
                          <w:jc w:val="left"/>
                          <w:rPr>
                            <w:rFonts w:cs="Arial"/>
                            <w:color w:val="000000"/>
                            <w:sz w:val="16"/>
                            <w:szCs w:val="16"/>
                          </w:rPr>
                        </w:pPr>
                        <w:r>
                          <w:rPr>
                            <w:color w:val="000000"/>
                            <w:sz w:val="16"/>
                          </w:rPr>
                          <w:t>TWF/TWO</w:t>
                        </w:r>
                      </w:p>
                      <w:p w14:paraId="4996EC33" w14:textId="77777777" w:rsidR="003D658D" w:rsidRPr="00FC2133" w:rsidRDefault="003D658D" w:rsidP="003D658D">
                        <w:pPr>
                          <w:spacing w:line="1" w:lineRule="auto"/>
                          <w:jc w:val="left"/>
                          <w:rPr>
                            <w:lang w:eastAsia="zh-CN"/>
                          </w:rPr>
                        </w:pPr>
                      </w:p>
                    </w:tc>
                  </w:tr>
                </w:tbl>
                <w:p w14:paraId="437D7F83" w14:textId="77777777" w:rsidR="003D658D" w:rsidRPr="00FC2133" w:rsidRDefault="003D658D" w:rsidP="003D658D">
                  <w:pPr>
                    <w:spacing w:line="1" w:lineRule="auto"/>
                    <w:jc w:val="left"/>
                    <w:rPr>
                      <w:lang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91937D" w14:textId="77777777" w:rsidR="003D658D" w:rsidRPr="00FC2133" w:rsidRDefault="003D658D" w:rsidP="003D658D">
                  <w:pPr>
                    <w:jc w:val="left"/>
                    <w:rPr>
                      <w:vanish/>
                      <w:lang w:eastAsia="zh-CN"/>
                    </w:rPr>
                  </w:pPr>
                </w:p>
                <w:tbl>
                  <w:tblPr>
                    <w:tblW w:w="1185" w:type="dxa"/>
                    <w:tblLayout w:type="fixed"/>
                    <w:tblCellMar>
                      <w:left w:w="0" w:type="dxa"/>
                      <w:right w:w="0" w:type="dxa"/>
                    </w:tblCellMar>
                    <w:tblLook w:val="01E0" w:firstRow="1" w:lastRow="1" w:firstColumn="1" w:lastColumn="1" w:noHBand="0" w:noVBand="0"/>
                  </w:tblPr>
                  <w:tblGrid>
                    <w:gridCol w:w="1185"/>
                  </w:tblGrid>
                  <w:tr w:rsidR="003D658D" w:rsidRPr="00FC2133" w14:paraId="37EF8625" w14:textId="77777777" w:rsidTr="00FF3A1F">
                    <w:tc>
                      <w:tcPr>
                        <w:tcW w:w="1185" w:type="dxa"/>
                        <w:tcMar>
                          <w:top w:w="0" w:type="dxa"/>
                          <w:left w:w="0" w:type="dxa"/>
                          <w:bottom w:w="0" w:type="dxa"/>
                          <w:right w:w="0" w:type="dxa"/>
                        </w:tcMar>
                      </w:tcPr>
                      <w:p w14:paraId="2BD40684" w14:textId="77777777" w:rsidR="003D658D" w:rsidRPr="00FC2133" w:rsidRDefault="003D658D" w:rsidP="003D658D">
                        <w:pPr>
                          <w:jc w:val="left"/>
                          <w:rPr>
                            <w:rFonts w:cs="Arial"/>
                            <w:color w:val="000000"/>
                            <w:sz w:val="16"/>
                            <w:szCs w:val="16"/>
                          </w:rPr>
                        </w:pPr>
                        <w:r>
                          <w:rPr>
                            <w:color w:val="000000"/>
                            <w:sz w:val="16"/>
                          </w:rPr>
                          <w:t>TG/187/2 Rev. (proj.1)</w:t>
                        </w:r>
                      </w:p>
                      <w:p w14:paraId="000AC335" w14:textId="77777777" w:rsidR="003D658D" w:rsidRPr="00FC2133" w:rsidRDefault="003D658D" w:rsidP="003D658D">
                        <w:pPr>
                          <w:spacing w:line="1" w:lineRule="auto"/>
                          <w:jc w:val="left"/>
                          <w:rPr>
                            <w:lang w:eastAsia="zh-CN"/>
                          </w:rPr>
                        </w:pPr>
                      </w:p>
                    </w:tc>
                  </w:tr>
                </w:tbl>
                <w:p w14:paraId="7AFA14A1" w14:textId="77777777" w:rsidR="003D658D" w:rsidRPr="00FC2133" w:rsidRDefault="003D658D" w:rsidP="003D658D">
                  <w:pPr>
                    <w:spacing w:line="1" w:lineRule="auto"/>
                    <w:jc w:val="left"/>
                    <w:rPr>
                      <w:lang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F64E23" w14:textId="77777777" w:rsidR="003D658D" w:rsidRPr="00FC2133" w:rsidRDefault="003D658D" w:rsidP="003D658D">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3D658D" w:rsidRPr="00FC2133" w14:paraId="1D5D01CF" w14:textId="77777777" w:rsidTr="00FF3A1F">
                    <w:tc>
                      <w:tcPr>
                        <w:tcW w:w="1545" w:type="dxa"/>
                        <w:tcMar>
                          <w:top w:w="0" w:type="dxa"/>
                          <w:left w:w="0" w:type="dxa"/>
                          <w:bottom w:w="0" w:type="dxa"/>
                          <w:right w:w="0" w:type="dxa"/>
                        </w:tcMar>
                      </w:tcPr>
                      <w:p w14:paraId="1220730D" w14:textId="77777777" w:rsidR="003D658D" w:rsidRPr="00FC2133" w:rsidRDefault="003D658D" w:rsidP="003D658D">
                        <w:pPr>
                          <w:jc w:val="left"/>
                          <w:rPr>
                            <w:rFonts w:cs="Arial"/>
                            <w:color w:val="000000"/>
                            <w:sz w:val="16"/>
                            <w:szCs w:val="16"/>
                          </w:rPr>
                        </w:pPr>
                        <w:r>
                          <w:rPr>
                            <w:color w:val="000000"/>
                            <w:sz w:val="16"/>
                          </w:rPr>
                          <w:t>Prunus Rootstocks</w:t>
                        </w:r>
                      </w:p>
                      <w:p w14:paraId="01EA8781" w14:textId="77777777" w:rsidR="003D658D" w:rsidRPr="00FC2133" w:rsidRDefault="003D658D" w:rsidP="003D658D">
                        <w:pPr>
                          <w:spacing w:line="1" w:lineRule="auto"/>
                          <w:jc w:val="left"/>
                          <w:rPr>
                            <w:lang w:eastAsia="zh-CN"/>
                          </w:rPr>
                        </w:pPr>
                      </w:p>
                    </w:tc>
                  </w:tr>
                </w:tbl>
                <w:p w14:paraId="141B208B" w14:textId="77777777" w:rsidR="003D658D" w:rsidRPr="00FC2133" w:rsidRDefault="003D658D" w:rsidP="003D658D">
                  <w:pPr>
                    <w:spacing w:line="1" w:lineRule="auto"/>
                    <w:jc w:val="left"/>
                    <w:rPr>
                      <w:lang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BC43C5" w14:textId="77777777" w:rsidR="003D658D" w:rsidRPr="00D33300" w:rsidRDefault="003D658D" w:rsidP="003D658D">
                  <w:pPr>
                    <w:jc w:val="left"/>
                    <w:rPr>
                      <w:vanish/>
                      <w:lang w:eastAsia="zh-CN"/>
                    </w:rPr>
                  </w:pPr>
                </w:p>
                <w:tbl>
                  <w:tblPr>
                    <w:tblW w:w="1230" w:type="dxa"/>
                    <w:tblLayout w:type="fixed"/>
                    <w:tblCellMar>
                      <w:left w:w="0" w:type="dxa"/>
                      <w:right w:w="0" w:type="dxa"/>
                    </w:tblCellMar>
                    <w:tblLook w:val="01E0" w:firstRow="1" w:lastRow="1" w:firstColumn="1" w:lastColumn="1" w:noHBand="0" w:noVBand="0"/>
                  </w:tblPr>
                  <w:tblGrid>
                    <w:gridCol w:w="1230"/>
                  </w:tblGrid>
                  <w:tr w:rsidR="003D658D" w:rsidRPr="00D33300" w14:paraId="69EAA68F" w14:textId="77777777" w:rsidTr="00FF3A1F">
                    <w:tc>
                      <w:tcPr>
                        <w:tcW w:w="1230" w:type="dxa"/>
                        <w:tcMar>
                          <w:top w:w="0" w:type="dxa"/>
                          <w:left w:w="0" w:type="dxa"/>
                          <w:bottom w:w="0" w:type="dxa"/>
                          <w:right w:w="0" w:type="dxa"/>
                        </w:tcMar>
                      </w:tcPr>
                      <w:p w14:paraId="2480BD27" w14:textId="77777777" w:rsidR="003D658D" w:rsidRPr="00D33300" w:rsidRDefault="003D658D" w:rsidP="003D658D">
                        <w:pPr>
                          <w:jc w:val="left"/>
                          <w:rPr>
                            <w:rFonts w:cs="Arial"/>
                            <w:color w:val="000000"/>
                            <w:sz w:val="16"/>
                            <w:szCs w:val="16"/>
                          </w:rPr>
                        </w:pPr>
                        <w:r>
                          <w:rPr>
                            <w:color w:val="000000"/>
                            <w:sz w:val="16"/>
                          </w:rPr>
                          <w:t>Porte-greffes de prunus</w:t>
                        </w:r>
                      </w:p>
                      <w:p w14:paraId="79E539E3" w14:textId="77777777" w:rsidR="003D658D" w:rsidRPr="00D33300" w:rsidRDefault="003D658D" w:rsidP="003D658D">
                        <w:pPr>
                          <w:spacing w:line="1" w:lineRule="auto"/>
                          <w:jc w:val="left"/>
                          <w:rPr>
                            <w:lang w:eastAsia="zh-CN"/>
                          </w:rPr>
                        </w:pPr>
                      </w:p>
                    </w:tc>
                  </w:tr>
                </w:tbl>
                <w:p w14:paraId="6A04A7C5" w14:textId="77777777" w:rsidR="003D658D" w:rsidRPr="00D33300" w:rsidRDefault="003D658D" w:rsidP="003D658D">
                  <w:pPr>
                    <w:spacing w:line="1" w:lineRule="auto"/>
                    <w:jc w:val="left"/>
                    <w:rPr>
                      <w:lang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A51904" w14:textId="77777777" w:rsidR="003D658D" w:rsidRPr="00D33300" w:rsidRDefault="003D658D" w:rsidP="003D658D">
                  <w:pPr>
                    <w:jc w:val="left"/>
                    <w:rPr>
                      <w:vanish/>
                      <w:lang w:eastAsia="zh-CN"/>
                    </w:rPr>
                  </w:pPr>
                </w:p>
                <w:tbl>
                  <w:tblPr>
                    <w:tblW w:w="1560" w:type="dxa"/>
                    <w:tblLayout w:type="fixed"/>
                    <w:tblCellMar>
                      <w:left w:w="0" w:type="dxa"/>
                      <w:right w:w="0" w:type="dxa"/>
                    </w:tblCellMar>
                    <w:tblLook w:val="01E0" w:firstRow="1" w:lastRow="1" w:firstColumn="1" w:lastColumn="1" w:noHBand="0" w:noVBand="0"/>
                  </w:tblPr>
                  <w:tblGrid>
                    <w:gridCol w:w="1560"/>
                  </w:tblGrid>
                  <w:tr w:rsidR="003D658D" w:rsidRPr="00D33300" w14:paraId="4B60C72C" w14:textId="77777777" w:rsidTr="00FF3A1F">
                    <w:tc>
                      <w:tcPr>
                        <w:tcW w:w="1560" w:type="dxa"/>
                        <w:tcMar>
                          <w:top w:w="0" w:type="dxa"/>
                          <w:left w:w="0" w:type="dxa"/>
                          <w:bottom w:w="0" w:type="dxa"/>
                          <w:right w:w="0" w:type="dxa"/>
                        </w:tcMar>
                      </w:tcPr>
                      <w:p w14:paraId="0BBD903D" w14:textId="77777777" w:rsidR="003D658D" w:rsidRPr="00D33300" w:rsidRDefault="003D658D" w:rsidP="003D658D">
                        <w:pPr>
                          <w:jc w:val="left"/>
                          <w:rPr>
                            <w:rFonts w:cs="Arial"/>
                            <w:color w:val="000000"/>
                            <w:sz w:val="16"/>
                            <w:szCs w:val="16"/>
                          </w:rPr>
                        </w:pPr>
                        <w:r>
                          <w:rPr>
                            <w:color w:val="000000"/>
                            <w:sz w:val="16"/>
                          </w:rPr>
                          <w:t>Prunus-Unterlagen</w:t>
                        </w:r>
                      </w:p>
                      <w:p w14:paraId="02532937" w14:textId="77777777" w:rsidR="003D658D" w:rsidRPr="00D33300" w:rsidRDefault="003D658D" w:rsidP="003D658D">
                        <w:pPr>
                          <w:spacing w:line="1" w:lineRule="auto"/>
                          <w:jc w:val="left"/>
                          <w:rPr>
                            <w:lang w:eastAsia="zh-CN"/>
                          </w:rPr>
                        </w:pPr>
                      </w:p>
                    </w:tc>
                  </w:tr>
                </w:tbl>
                <w:p w14:paraId="5AC5B28F" w14:textId="77777777" w:rsidR="003D658D" w:rsidRPr="00D33300" w:rsidRDefault="003D658D" w:rsidP="003D658D">
                  <w:pPr>
                    <w:spacing w:line="1" w:lineRule="auto"/>
                    <w:jc w:val="left"/>
                    <w:rPr>
                      <w:lang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60050B" w14:textId="77777777" w:rsidR="003D658D" w:rsidRPr="00D33300" w:rsidRDefault="003D658D" w:rsidP="003D658D">
                  <w:pPr>
                    <w:jc w:val="left"/>
                    <w:rPr>
                      <w:vanish/>
                      <w:lang w:eastAsia="zh-CN"/>
                    </w:rPr>
                  </w:pPr>
                </w:p>
                <w:tbl>
                  <w:tblPr>
                    <w:tblW w:w="1320" w:type="dxa"/>
                    <w:tblLayout w:type="fixed"/>
                    <w:tblCellMar>
                      <w:left w:w="0" w:type="dxa"/>
                      <w:right w:w="0" w:type="dxa"/>
                    </w:tblCellMar>
                    <w:tblLook w:val="01E0" w:firstRow="1" w:lastRow="1" w:firstColumn="1" w:lastColumn="1" w:noHBand="0" w:noVBand="0"/>
                  </w:tblPr>
                  <w:tblGrid>
                    <w:gridCol w:w="1320"/>
                  </w:tblGrid>
                  <w:tr w:rsidR="003D658D" w:rsidRPr="00D33300" w14:paraId="7F102886" w14:textId="77777777" w:rsidTr="00FF3A1F">
                    <w:tc>
                      <w:tcPr>
                        <w:tcW w:w="1320" w:type="dxa"/>
                        <w:tcMar>
                          <w:top w:w="0" w:type="dxa"/>
                          <w:left w:w="0" w:type="dxa"/>
                          <w:bottom w:w="0" w:type="dxa"/>
                          <w:right w:w="0" w:type="dxa"/>
                        </w:tcMar>
                      </w:tcPr>
                      <w:p w14:paraId="17AE62D2" w14:textId="77777777" w:rsidR="003D658D" w:rsidRPr="00D33300" w:rsidRDefault="003D658D" w:rsidP="003D658D">
                        <w:pPr>
                          <w:jc w:val="left"/>
                          <w:rPr>
                            <w:rFonts w:cs="Arial"/>
                            <w:color w:val="000000"/>
                            <w:sz w:val="16"/>
                            <w:szCs w:val="16"/>
                          </w:rPr>
                        </w:pPr>
                        <w:r>
                          <w:rPr>
                            <w:color w:val="000000"/>
                            <w:sz w:val="16"/>
                          </w:rPr>
                          <w:t>Portainjertos de prunus</w:t>
                        </w:r>
                      </w:p>
                      <w:p w14:paraId="1811D474" w14:textId="77777777" w:rsidR="003D658D" w:rsidRPr="00D33300" w:rsidRDefault="003D658D" w:rsidP="003D658D">
                        <w:pPr>
                          <w:spacing w:line="1" w:lineRule="auto"/>
                          <w:jc w:val="left"/>
                          <w:rPr>
                            <w:lang w:eastAsia="zh-CN"/>
                          </w:rPr>
                        </w:pPr>
                      </w:p>
                    </w:tc>
                  </w:tr>
                </w:tbl>
                <w:p w14:paraId="29EF9A56" w14:textId="77777777" w:rsidR="003D658D" w:rsidRPr="00D33300" w:rsidRDefault="003D658D" w:rsidP="003D658D">
                  <w:pPr>
                    <w:spacing w:line="1" w:lineRule="auto"/>
                    <w:jc w:val="left"/>
                    <w:rPr>
                      <w:lang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00A03E" w14:textId="77777777" w:rsidR="003D658D" w:rsidRPr="00D33300" w:rsidRDefault="003D658D" w:rsidP="003D658D">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3D658D" w:rsidRPr="00D33300" w14:paraId="244206F1" w14:textId="77777777" w:rsidTr="00FF3A1F">
                    <w:tc>
                      <w:tcPr>
                        <w:tcW w:w="1545" w:type="dxa"/>
                        <w:tcMar>
                          <w:top w:w="0" w:type="dxa"/>
                          <w:left w:w="0" w:type="dxa"/>
                          <w:bottom w:w="0" w:type="dxa"/>
                          <w:right w:w="0" w:type="dxa"/>
                        </w:tcMar>
                      </w:tcPr>
                      <w:p w14:paraId="7B1063E7" w14:textId="77777777" w:rsidR="003D658D" w:rsidRPr="00D33300" w:rsidRDefault="003D658D" w:rsidP="003D658D">
                        <w:pPr>
                          <w:jc w:val="left"/>
                          <w:rPr>
                            <w:rFonts w:cs="Arial"/>
                            <w:color w:val="000000"/>
                            <w:sz w:val="16"/>
                            <w:szCs w:val="16"/>
                          </w:rPr>
                        </w:pPr>
                        <w:r>
                          <w:rPr>
                            <w:i/>
                            <w:color w:val="000000"/>
                            <w:sz w:val="16"/>
                          </w:rPr>
                          <w:t>Prunus</w:t>
                        </w:r>
                        <w:r>
                          <w:rPr>
                            <w:color w:val="000000"/>
                            <w:sz w:val="16"/>
                          </w:rPr>
                          <w:t> L.</w:t>
                        </w:r>
                      </w:p>
                      <w:p w14:paraId="3ED59F03" w14:textId="77777777" w:rsidR="003D658D" w:rsidRPr="00D33300" w:rsidRDefault="003D658D" w:rsidP="003D658D">
                        <w:pPr>
                          <w:spacing w:line="1" w:lineRule="auto"/>
                          <w:jc w:val="left"/>
                          <w:rPr>
                            <w:lang w:eastAsia="zh-CN"/>
                          </w:rPr>
                        </w:pPr>
                      </w:p>
                    </w:tc>
                  </w:tr>
                </w:tbl>
                <w:p w14:paraId="1410FEA8" w14:textId="77777777" w:rsidR="003D658D" w:rsidRPr="00D33300" w:rsidRDefault="003D658D" w:rsidP="003D658D">
                  <w:pPr>
                    <w:spacing w:line="1" w:lineRule="auto"/>
                    <w:jc w:val="left"/>
                    <w:rPr>
                      <w:lang w:eastAsia="zh-CN"/>
                    </w:rPr>
                  </w:pPr>
                </w:p>
              </w:tc>
            </w:tr>
            <w:tr w:rsidR="003D658D" w:rsidRPr="00D33300" w14:paraId="49A17E7E" w14:textId="77777777" w:rsidTr="00FF3A1F">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4DE2EA" w14:textId="77777777" w:rsidR="003D658D" w:rsidRPr="00FC2133" w:rsidRDefault="003D658D" w:rsidP="003D658D">
                  <w:pPr>
                    <w:jc w:val="left"/>
                    <w:rPr>
                      <w:vanish/>
                      <w:lang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3D658D" w:rsidRPr="00FC2133" w14:paraId="2023E41B" w14:textId="77777777" w:rsidTr="00FF3A1F">
                    <w:tc>
                      <w:tcPr>
                        <w:tcW w:w="540" w:type="dxa"/>
                        <w:tcMar>
                          <w:top w:w="0" w:type="dxa"/>
                          <w:left w:w="0" w:type="dxa"/>
                          <w:bottom w:w="0" w:type="dxa"/>
                          <w:right w:w="0" w:type="dxa"/>
                        </w:tcMar>
                      </w:tcPr>
                      <w:p w14:paraId="78071DB8" w14:textId="77777777" w:rsidR="003D658D" w:rsidRPr="00FC2133" w:rsidRDefault="003D658D" w:rsidP="003D658D">
                        <w:pPr>
                          <w:jc w:val="left"/>
                          <w:rPr>
                            <w:rFonts w:cs="Arial"/>
                            <w:color w:val="000000"/>
                            <w:sz w:val="16"/>
                            <w:szCs w:val="16"/>
                          </w:rPr>
                        </w:pPr>
                        <w:r>
                          <w:rPr>
                            <w:color w:val="000000"/>
                            <w:sz w:val="16"/>
                          </w:rPr>
                          <w:t>NL</w:t>
                        </w:r>
                      </w:p>
                      <w:p w14:paraId="440C1F91" w14:textId="77777777" w:rsidR="003D658D" w:rsidRPr="00FC2133" w:rsidRDefault="003D658D" w:rsidP="003D658D">
                        <w:pPr>
                          <w:spacing w:line="1" w:lineRule="auto"/>
                          <w:jc w:val="left"/>
                          <w:rPr>
                            <w:lang w:eastAsia="zh-CN"/>
                          </w:rPr>
                        </w:pPr>
                      </w:p>
                    </w:tc>
                  </w:tr>
                </w:tbl>
                <w:p w14:paraId="1BF29EE7" w14:textId="77777777" w:rsidR="003D658D" w:rsidRPr="00FC2133" w:rsidRDefault="003D658D" w:rsidP="003D658D">
                  <w:pPr>
                    <w:spacing w:line="1" w:lineRule="auto"/>
                    <w:jc w:val="left"/>
                    <w:rPr>
                      <w:lang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C6B525" w14:textId="77777777" w:rsidR="003D658D" w:rsidRPr="00FC2133" w:rsidRDefault="003D658D" w:rsidP="003D658D">
                  <w:pPr>
                    <w:jc w:val="left"/>
                    <w:rPr>
                      <w:vanish/>
                      <w:lang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3D658D" w:rsidRPr="00FC2133" w14:paraId="73A35290" w14:textId="77777777" w:rsidTr="00FF3A1F">
                    <w:tc>
                      <w:tcPr>
                        <w:tcW w:w="975" w:type="dxa"/>
                        <w:tcMar>
                          <w:top w:w="0" w:type="dxa"/>
                          <w:left w:w="0" w:type="dxa"/>
                          <w:bottom w:w="0" w:type="dxa"/>
                          <w:right w:w="0" w:type="dxa"/>
                        </w:tcMar>
                      </w:tcPr>
                      <w:p w14:paraId="7320333D" w14:textId="77777777" w:rsidR="003D658D" w:rsidRPr="00FC2133" w:rsidRDefault="003D658D" w:rsidP="003D658D">
                        <w:pPr>
                          <w:jc w:val="left"/>
                          <w:rPr>
                            <w:rFonts w:cs="Arial"/>
                            <w:color w:val="000000"/>
                            <w:sz w:val="16"/>
                            <w:szCs w:val="16"/>
                          </w:rPr>
                        </w:pPr>
                        <w:r>
                          <w:rPr>
                            <w:color w:val="000000"/>
                            <w:sz w:val="16"/>
                          </w:rPr>
                          <w:t>TWV</w:t>
                        </w:r>
                      </w:p>
                      <w:p w14:paraId="355AB375" w14:textId="77777777" w:rsidR="003D658D" w:rsidRPr="00FC2133" w:rsidRDefault="003D658D" w:rsidP="003D658D">
                        <w:pPr>
                          <w:spacing w:line="1" w:lineRule="auto"/>
                          <w:jc w:val="left"/>
                          <w:rPr>
                            <w:lang w:eastAsia="zh-CN"/>
                          </w:rPr>
                        </w:pPr>
                      </w:p>
                    </w:tc>
                  </w:tr>
                </w:tbl>
                <w:p w14:paraId="5BA34DF4" w14:textId="77777777" w:rsidR="003D658D" w:rsidRPr="00FC2133" w:rsidRDefault="003D658D" w:rsidP="003D658D">
                  <w:pPr>
                    <w:spacing w:line="1" w:lineRule="auto"/>
                    <w:jc w:val="left"/>
                    <w:rPr>
                      <w:lang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F27C5C" w14:textId="77777777" w:rsidR="003D658D" w:rsidRPr="00FC2133" w:rsidRDefault="003D658D" w:rsidP="003D658D">
                  <w:pPr>
                    <w:jc w:val="left"/>
                    <w:rPr>
                      <w:vanish/>
                      <w:lang w:eastAsia="zh-CN"/>
                    </w:rPr>
                  </w:pPr>
                </w:p>
                <w:tbl>
                  <w:tblPr>
                    <w:tblW w:w="1185" w:type="dxa"/>
                    <w:tblLayout w:type="fixed"/>
                    <w:tblCellMar>
                      <w:left w:w="0" w:type="dxa"/>
                      <w:right w:w="0" w:type="dxa"/>
                    </w:tblCellMar>
                    <w:tblLook w:val="01E0" w:firstRow="1" w:lastRow="1" w:firstColumn="1" w:lastColumn="1" w:noHBand="0" w:noVBand="0"/>
                  </w:tblPr>
                  <w:tblGrid>
                    <w:gridCol w:w="1185"/>
                  </w:tblGrid>
                  <w:tr w:rsidR="003D658D" w:rsidRPr="00FC2133" w14:paraId="6BFA4852" w14:textId="77777777" w:rsidTr="00FF3A1F">
                    <w:tc>
                      <w:tcPr>
                        <w:tcW w:w="1185" w:type="dxa"/>
                        <w:tcMar>
                          <w:top w:w="0" w:type="dxa"/>
                          <w:left w:w="0" w:type="dxa"/>
                          <w:bottom w:w="0" w:type="dxa"/>
                          <w:right w:w="0" w:type="dxa"/>
                        </w:tcMar>
                      </w:tcPr>
                      <w:p w14:paraId="4B998C6B" w14:textId="77777777" w:rsidR="003D658D" w:rsidRPr="00FC2133" w:rsidRDefault="003D658D" w:rsidP="003D658D">
                        <w:pPr>
                          <w:jc w:val="left"/>
                          <w:rPr>
                            <w:rFonts w:cs="Arial"/>
                            <w:color w:val="000000"/>
                            <w:sz w:val="16"/>
                            <w:szCs w:val="16"/>
                          </w:rPr>
                        </w:pPr>
                        <w:r>
                          <w:rPr>
                            <w:color w:val="000000"/>
                            <w:sz w:val="16"/>
                          </w:rPr>
                          <w:t>TG/244/1 Rev. (proj.2)</w:t>
                        </w:r>
                      </w:p>
                      <w:p w14:paraId="5CACCB26" w14:textId="77777777" w:rsidR="003D658D" w:rsidRPr="00FC2133" w:rsidRDefault="003D658D" w:rsidP="003D658D">
                        <w:pPr>
                          <w:spacing w:line="1" w:lineRule="auto"/>
                          <w:jc w:val="left"/>
                          <w:rPr>
                            <w:lang w:eastAsia="zh-CN"/>
                          </w:rPr>
                        </w:pPr>
                      </w:p>
                    </w:tc>
                  </w:tr>
                </w:tbl>
                <w:p w14:paraId="7BB5519E" w14:textId="77777777" w:rsidR="003D658D" w:rsidRPr="00FC2133" w:rsidRDefault="003D658D" w:rsidP="003D658D">
                  <w:pPr>
                    <w:spacing w:line="1" w:lineRule="auto"/>
                    <w:jc w:val="left"/>
                    <w:rPr>
                      <w:lang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0926E3" w14:textId="77777777" w:rsidR="003D658D" w:rsidRPr="00FC2133" w:rsidRDefault="003D658D" w:rsidP="003D658D">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3D658D" w:rsidRPr="00FC2133" w14:paraId="713DBB9F" w14:textId="77777777" w:rsidTr="00FF3A1F">
                    <w:tc>
                      <w:tcPr>
                        <w:tcW w:w="1545" w:type="dxa"/>
                        <w:tcMar>
                          <w:top w:w="0" w:type="dxa"/>
                          <w:left w:w="0" w:type="dxa"/>
                          <w:bottom w:w="0" w:type="dxa"/>
                          <w:right w:w="0" w:type="dxa"/>
                        </w:tcMar>
                      </w:tcPr>
                      <w:p w14:paraId="5825C27B" w14:textId="77777777" w:rsidR="003D658D" w:rsidRPr="00FC2133" w:rsidRDefault="003D658D" w:rsidP="003D658D">
                        <w:pPr>
                          <w:jc w:val="left"/>
                          <w:rPr>
                            <w:rFonts w:cs="Arial"/>
                            <w:color w:val="000000"/>
                            <w:sz w:val="16"/>
                            <w:szCs w:val="16"/>
                          </w:rPr>
                        </w:pPr>
                        <w:r>
                          <w:rPr>
                            <w:color w:val="000000"/>
                            <w:sz w:val="16"/>
                          </w:rPr>
                          <w:t>Wild Rocket</w:t>
                        </w:r>
                      </w:p>
                      <w:p w14:paraId="3BA2D7CE" w14:textId="77777777" w:rsidR="003D658D" w:rsidRPr="00FC2133" w:rsidRDefault="003D658D" w:rsidP="003D658D">
                        <w:pPr>
                          <w:spacing w:line="1" w:lineRule="auto"/>
                          <w:jc w:val="left"/>
                          <w:rPr>
                            <w:lang w:eastAsia="zh-CN"/>
                          </w:rPr>
                        </w:pPr>
                      </w:p>
                    </w:tc>
                  </w:tr>
                </w:tbl>
                <w:p w14:paraId="6853AF08" w14:textId="77777777" w:rsidR="003D658D" w:rsidRPr="00FC2133" w:rsidRDefault="003D658D" w:rsidP="003D658D">
                  <w:pPr>
                    <w:spacing w:line="1" w:lineRule="auto"/>
                    <w:jc w:val="left"/>
                    <w:rPr>
                      <w:lang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6EB1E0" w14:textId="77777777" w:rsidR="003D658D" w:rsidRPr="00D33300" w:rsidRDefault="003D658D" w:rsidP="003D658D">
                  <w:pPr>
                    <w:jc w:val="left"/>
                  </w:pPr>
                  <w:r>
                    <w:rPr>
                      <w:color w:val="000000"/>
                      <w:sz w:val="16"/>
                    </w:rPr>
                    <w:t>Roquette sauvage</w:t>
                  </w: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AAD4C3" w14:textId="77777777" w:rsidR="003D658D" w:rsidRPr="00D33300" w:rsidRDefault="003D658D" w:rsidP="003D658D">
                  <w:pPr>
                    <w:jc w:val="left"/>
                  </w:pPr>
                  <w:r>
                    <w:rPr>
                      <w:color w:val="000000"/>
                      <w:sz w:val="16"/>
                    </w:rPr>
                    <w:t>Wilde Rauke</w:t>
                  </w: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B11662" w14:textId="77777777" w:rsidR="003D658D" w:rsidRPr="00D33300" w:rsidRDefault="003D658D" w:rsidP="003D658D">
                  <w:pPr>
                    <w:jc w:val="left"/>
                  </w:pPr>
                  <w:r>
                    <w:rPr>
                      <w:color w:val="000000"/>
                      <w:sz w:val="16"/>
                    </w:rPr>
                    <w:t>Roqueta silvestre</w:t>
                  </w: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B46367" w14:textId="77777777" w:rsidR="003D658D" w:rsidRPr="00D33300" w:rsidRDefault="003D658D" w:rsidP="003D658D">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3D658D" w:rsidRPr="00D33300" w14:paraId="49447747" w14:textId="77777777" w:rsidTr="00FF3A1F">
                    <w:tc>
                      <w:tcPr>
                        <w:tcW w:w="1545" w:type="dxa"/>
                        <w:tcMar>
                          <w:top w:w="0" w:type="dxa"/>
                          <w:left w:w="0" w:type="dxa"/>
                          <w:bottom w:w="0" w:type="dxa"/>
                          <w:right w:w="0" w:type="dxa"/>
                        </w:tcMar>
                      </w:tcPr>
                      <w:p w14:paraId="7D5629ED" w14:textId="77777777" w:rsidR="003D658D" w:rsidRPr="00D33300" w:rsidRDefault="003D658D" w:rsidP="003D658D">
                        <w:pPr>
                          <w:jc w:val="left"/>
                          <w:rPr>
                            <w:rFonts w:cs="Arial"/>
                            <w:color w:val="000000"/>
                            <w:sz w:val="16"/>
                            <w:szCs w:val="16"/>
                          </w:rPr>
                        </w:pPr>
                        <w:r>
                          <w:rPr>
                            <w:i/>
                            <w:color w:val="000000"/>
                            <w:sz w:val="16"/>
                          </w:rPr>
                          <w:t>Diplotaxis tenuifolia</w:t>
                        </w:r>
                        <w:r>
                          <w:rPr>
                            <w:color w:val="000000"/>
                            <w:sz w:val="16"/>
                          </w:rPr>
                          <w:t> (L.) DC.</w:t>
                        </w:r>
                      </w:p>
                      <w:p w14:paraId="6D935C2F" w14:textId="77777777" w:rsidR="003D658D" w:rsidRPr="00D33300" w:rsidRDefault="003D658D" w:rsidP="003D658D">
                        <w:pPr>
                          <w:spacing w:line="1" w:lineRule="auto"/>
                          <w:jc w:val="left"/>
                          <w:rPr>
                            <w:lang w:eastAsia="zh-CN"/>
                          </w:rPr>
                        </w:pPr>
                      </w:p>
                    </w:tc>
                  </w:tr>
                </w:tbl>
                <w:p w14:paraId="62A0B08A" w14:textId="77777777" w:rsidR="003D658D" w:rsidRPr="00D33300" w:rsidRDefault="003D658D" w:rsidP="003D658D">
                  <w:pPr>
                    <w:spacing w:line="1" w:lineRule="auto"/>
                    <w:jc w:val="left"/>
                    <w:rPr>
                      <w:lang w:eastAsia="zh-CN"/>
                    </w:rPr>
                  </w:pPr>
                </w:p>
              </w:tc>
            </w:tr>
            <w:tr w:rsidR="003D658D" w:rsidRPr="00D33300" w14:paraId="097F2EF2" w14:textId="77777777" w:rsidTr="00FF3A1F">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7E71E0" w14:textId="77777777" w:rsidR="003D658D" w:rsidRPr="00D33300" w:rsidRDefault="003D658D" w:rsidP="003D658D">
                  <w:pPr>
                    <w:jc w:val="left"/>
                    <w:rPr>
                      <w:vanish/>
                      <w:lang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3D658D" w:rsidRPr="00D33300" w14:paraId="48B5A116" w14:textId="77777777" w:rsidTr="00FF3A1F">
                    <w:tc>
                      <w:tcPr>
                        <w:tcW w:w="540" w:type="dxa"/>
                        <w:tcMar>
                          <w:top w:w="0" w:type="dxa"/>
                          <w:left w:w="0" w:type="dxa"/>
                          <w:bottom w:w="0" w:type="dxa"/>
                          <w:right w:w="0" w:type="dxa"/>
                        </w:tcMar>
                      </w:tcPr>
                      <w:p w14:paraId="34E390DE" w14:textId="77777777" w:rsidR="003D658D" w:rsidRPr="00D33300" w:rsidRDefault="003D658D" w:rsidP="003D658D">
                        <w:pPr>
                          <w:jc w:val="left"/>
                          <w:rPr>
                            <w:rFonts w:cs="Arial"/>
                            <w:color w:val="000000"/>
                            <w:sz w:val="16"/>
                            <w:szCs w:val="16"/>
                          </w:rPr>
                        </w:pPr>
                        <w:r>
                          <w:rPr>
                            <w:color w:val="000000"/>
                            <w:sz w:val="16"/>
                          </w:rPr>
                          <w:t>NL</w:t>
                        </w:r>
                      </w:p>
                      <w:p w14:paraId="19395D1B" w14:textId="77777777" w:rsidR="003D658D" w:rsidRPr="00D33300" w:rsidRDefault="003D658D" w:rsidP="003D658D">
                        <w:pPr>
                          <w:spacing w:line="1" w:lineRule="auto"/>
                          <w:jc w:val="left"/>
                          <w:rPr>
                            <w:lang w:eastAsia="zh-CN"/>
                          </w:rPr>
                        </w:pPr>
                      </w:p>
                    </w:tc>
                  </w:tr>
                </w:tbl>
                <w:p w14:paraId="7AF19F62" w14:textId="77777777" w:rsidR="003D658D" w:rsidRPr="00D33300" w:rsidRDefault="003D658D" w:rsidP="003D658D">
                  <w:pPr>
                    <w:spacing w:line="1" w:lineRule="auto"/>
                    <w:jc w:val="left"/>
                    <w:rPr>
                      <w:lang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7C5D00" w14:textId="77777777" w:rsidR="003D658D" w:rsidRPr="00D33300" w:rsidRDefault="003D658D" w:rsidP="003D658D">
                  <w:pPr>
                    <w:jc w:val="left"/>
                    <w:rPr>
                      <w:vanish/>
                      <w:lang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3D658D" w:rsidRPr="00D33300" w14:paraId="44573E9E" w14:textId="77777777" w:rsidTr="00FF3A1F">
                    <w:tc>
                      <w:tcPr>
                        <w:tcW w:w="975" w:type="dxa"/>
                        <w:tcMar>
                          <w:top w:w="0" w:type="dxa"/>
                          <w:left w:w="0" w:type="dxa"/>
                          <w:bottom w:w="0" w:type="dxa"/>
                          <w:right w:w="0" w:type="dxa"/>
                        </w:tcMar>
                      </w:tcPr>
                      <w:p w14:paraId="1808A025" w14:textId="77777777" w:rsidR="003D658D" w:rsidRPr="00D33300" w:rsidRDefault="003D658D" w:rsidP="003D658D">
                        <w:pPr>
                          <w:jc w:val="left"/>
                          <w:rPr>
                            <w:rFonts w:cs="Arial"/>
                            <w:color w:val="000000"/>
                            <w:sz w:val="16"/>
                            <w:szCs w:val="16"/>
                          </w:rPr>
                        </w:pPr>
                        <w:r>
                          <w:rPr>
                            <w:color w:val="000000"/>
                            <w:sz w:val="16"/>
                          </w:rPr>
                          <w:t>TWV</w:t>
                        </w:r>
                      </w:p>
                      <w:p w14:paraId="1DF4686F" w14:textId="77777777" w:rsidR="003D658D" w:rsidRPr="00D33300" w:rsidRDefault="003D658D" w:rsidP="003D658D">
                        <w:pPr>
                          <w:spacing w:line="1" w:lineRule="auto"/>
                          <w:jc w:val="left"/>
                          <w:rPr>
                            <w:lang w:eastAsia="zh-CN"/>
                          </w:rPr>
                        </w:pPr>
                      </w:p>
                    </w:tc>
                  </w:tr>
                </w:tbl>
                <w:p w14:paraId="620A1A7F" w14:textId="77777777" w:rsidR="003D658D" w:rsidRPr="00D33300" w:rsidRDefault="003D658D" w:rsidP="003D658D">
                  <w:pPr>
                    <w:spacing w:line="1" w:lineRule="auto"/>
                    <w:jc w:val="left"/>
                    <w:rPr>
                      <w:lang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A777F1" w14:textId="77777777" w:rsidR="003D658D" w:rsidRPr="00D33300" w:rsidRDefault="003D658D" w:rsidP="003D658D">
                  <w:pPr>
                    <w:jc w:val="left"/>
                    <w:rPr>
                      <w:vanish/>
                      <w:lang w:eastAsia="zh-CN"/>
                    </w:rPr>
                  </w:pPr>
                </w:p>
                <w:tbl>
                  <w:tblPr>
                    <w:tblW w:w="1185" w:type="dxa"/>
                    <w:tblLayout w:type="fixed"/>
                    <w:tblCellMar>
                      <w:left w:w="0" w:type="dxa"/>
                      <w:right w:w="0" w:type="dxa"/>
                    </w:tblCellMar>
                    <w:tblLook w:val="01E0" w:firstRow="1" w:lastRow="1" w:firstColumn="1" w:lastColumn="1" w:noHBand="0" w:noVBand="0"/>
                  </w:tblPr>
                  <w:tblGrid>
                    <w:gridCol w:w="1185"/>
                  </w:tblGrid>
                  <w:tr w:rsidR="003D658D" w:rsidRPr="00D33300" w14:paraId="493190D0" w14:textId="77777777" w:rsidTr="00FF3A1F">
                    <w:tc>
                      <w:tcPr>
                        <w:tcW w:w="1185" w:type="dxa"/>
                        <w:tcMar>
                          <w:top w:w="0" w:type="dxa"/>
                          <w:left w:w="0" w:type="dxa"/>
                          <w:bottom w:w="0" w:type="dxa"/>
                          <w:right w:w="0" w:type="dxa"/>
                        </w:tcMar>
                      </w:tcPr>
                      <w:p w14:paraId="0BB1316B" w14:textId="77777777" w:rsidR="003D658D" w:rsidRPr="00D33300" w:rsidRDefault="003D658D" w:rsidP="003D658D">
                        <w:pPr>
                          <w:jc w:val="left"/>
                          <w:rPr>
                            <w:rFonts w:cs="Arial"/>
                            <w:color w:val="000000"/>
                            <w:sz w:val="16"/>
                            <w:szCs w:val="16"/>
                          </w:rPr>
                        </w:pPr>
                        <w:r>
                          <w:rPr>
                            <w:color w:val="000000"/>
                            <w:sz w:val="16"/>
                          </w:rPr>
                          <w:t>TG/245/1 Rev. (proj.2)</w:t>
                        </w:r>
                      </w:p>
                      <w:p w14:paraId="27C199AF" w14:textId="77777777" w:rsidR="003D658D" w:rsidRPr="00D33300" w:rsidRDefault="003D658D" w:rsidP="003D658D">
                        <w:pPr>
                          <w:spacing w:line="1" w:lineRule="auto"/>
                          <w:jc w:val="left"/>
                          <w:rPr>
                            <w:lang w:eastAsia="zh-CN"/>
                          </w:rPr>
                        </w:pPr>
                      </w:p>
                    </w:tc>
                  </w:tr>
                </w:tbl>
                <w:p w14:paraId="0D8D44EC" w14:textId="77777777" w:rsidR="003D658D" w:rsidRPr="00D33300" w:rsidRDefault="003D658D" w:rsidP="003D658D">
                  <w:pPr>
                    <w:spacing w:line="1" w:lineRule="auto"/>
                    <w:jc w:val="left"/>
                    <w:rPr>
                      <w:lang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99BE8A" w14:textId="77777777" w:rsidR="003D658D" w:rsidRPr="00D33300" w:rsidRDefault="003D658D" w:rsidP="003D658D">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3D658D" w:rsidRPr="00D33300" w14:paraId="643D437A" w14:textId="77777777" w:rsidTr="00FF3A1F">
                    <w:tc>
                      <w:tcPr>
                        <w:tcW w:w="1545" w:type="dxa"/>
                        <w:tcMar>
                          <w:top w:w="0" w:type="dxa"/>
                          <w:left w:w="0" w:type="dxa"/>
                          <w:bottom w:w="0" w:type="dxa"/>
                          <w:right w:w="0" w:type="dxa"/>
                        </w:tcMar>
                      </w:tcPr>
                      <w:p w14:paraId="482FA5CD" w14:textId="77777777" w:rsidR="003D658D" w:rsidRPr="00D33300" w:rsidRDefault="003D658D" w:rsidP="003D658D">
                        <w:pPr>
                          <w:jc w:val="left"/>
                          <w:rPr>
                            <w:rFonts w:cs="Arial"/>
                            <w:color w:val="000000"/>
                            <w:sz w:val="16"/>
                            <w:szCs w:val="16"/>
                          </w:rPr>
                        </w:pPr>
                        <w:r>
                          <w:rPr>
                            <w:color w:val="000000"/>
                            <w:sz w:val="16"/>
                          </w:rPr>
                          <w:t>Garden Rocket</w:t>
                        </w:r>
                      </w:p>
                      <w:p w14:paraId="66F87213" w14:textId="77777777" w:rsidR="003D658D" w:rsidRPr="00D33300" w:rsidRDefault="003D658D" w:rsidP="003D658D">
                        <w:pPr>
                          <w:spacing w:line="1" w:lineRule="auto"/>
                          <w:jc w:val="left"/>
                          <w:rPr>
                            <w:lang w:eastAsia="zh-CN"/>
                          </w:rPr>
                        </w:pPr>
                      </w:p>
                    </w:tc>
                  </w:tr>
                </w:tbl>
                <w:p w14:paraId="1D5293D6" w14:textId="77777777" w:rsidR="003D658D" w:rsidRPr="00D33300" w:rsidRDefault="003D658D" w:rsidP="003D658D">
                  <w:pPr>
                    <w:spacing w:line="1" w:lineRule="auto"/>
                    <w:jc w:val="left"/>
                    <w:rPr>
                      <w:lang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FE3D88" w14:textId="77777777" w:rsidR="003D658D" w:rsidRPr="00D33300" w:rsidRDefault="003D658D" w:rsidP="003D658D">
                  <w:pPr>
                    <w:jc w:val="left"/>
                  </w:pPr>
                  <w:r>
                    <w:rPr>
                      <w:color w:val="000000"/>
                      <w:sz w:val="16"/>
                    </w:rPr>
                    <w:t>Roquette cultivée</w:t>
                  </w: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8B3424" w14:textId="77777777" w:rsidR="003D658D" w:rsidRPr="00D33300" w:rsidRDefault="003D658D" w:rsidP="003D658D">
                  <w:pPr>
                    <w:jc w:val="left"/>
                  </w:pPr>
                  <w:r>
                    <w:rPr>
                      <w:color w:val="000000"/>
                      <w:sz w:val="16"/>
                    </w:rPr>
                    <w:t>Ölrauke</w:t>
                  </w: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5C2996" w14:textId="77777777" w:rsidR="003D658D" w:rsidRPr="00D33300" w:rsidRDefault="003D658D" w:rsidP="003D658D">
                  <w:pPr>
                    <w:jc w:val="left"/>
                  </w:pPr>
                  <w:r>
                    <w:rPr>
                      <w:color w:val="000000"/>
                      <w:sz w:val="16"/>
                    </w:rPr>
                    <w:t>Roqueta</w:t>
                  </w: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B43789" w14:textId="77777777" w:rsidR="003D658D" w:rsidRPr="00D33300" w:rsidRDefault="003D658D" w:rsidP="003D658D">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3D658D" w:rsidRPr="00D33300" w14:paraId="3C643D65" w14:textId="77777777" w:rsidTr="00FF3A1F">
                    <w:tc>
                      <w:tcPr>
                        <w:tcW w:w="1545" w:type="dxa"/>
                        <w:tcMar>
                          <w:top w:w="0" w:type="dxa"/>
                          <w:left w:w="0" w:type="dxa"/>
                          <w:bottom w:w="0" w:type="dxa"/>
                          <w:right w:w="0" w:type="dxa"/>
                        </w:tcMar>
                      </w:tcPr>
                      <w:p w14:paraId="04C346A9" w14:textId="77777777" w:rsidR="003D658D" w:rsidRPr="00D33300" w:rsidRDefault="003D658D" w:rsidP="003D658D">
                        <w:pPr>
                          <w:jc w:val="left"/>
                          <w:rPr>
                            <w:rFonts w:cs="Arial"/>
                            <w:color w:val="000000"/>
                            <w:sz w:val="16"/>
                            <w:szCs w:val="16"/>
                          </w:rPr>
                        </w:pPr>
                        <w:r>
                          <w:rPr>
                            <w:i/>
                            <w:color w:val="000000"/>
                            <w:sz w:val="16"/>
                          </w:rPr>
                          <w:t>Eruca</w:t>
                        </w:r>
                        <w:r>
                          <w:rPr>
                            <w:color w:val="000000"/>
                            <w:sz w:val="16"/>
                          </w:rPr>
                          <w:t> </w:t>
                        </w:r>
                        <w:r>
                          <w:rPr>
                            <w:i/>
                            <w:color w:val="000000"/>
                            <w:sz w:val="16"/>
                          </w:rPr>
                          <w:t>sativa</w:t>
                        </w:r>
                        <w:r>
                          <w:rPr>
                            <w:color w:val="000000"/>
                            <w:sz w:val="16"/>
                          </w:rPr>
                          <w:t> Mill.</w:t>
                        </w:r>
                      </w:p>
                      <w:p w14:paraId="527A643C" w14:textId="77777777" w:rsidR="003D658D" w:rsidRPr="00D33300" w:rsidRDefault="003D658D" w:rsidP="003D658D">
                        <w:pPr>
                          <w:spacing w:line="1" w:lineRule="auto"/>
                          <w:jc w:val="left"/>
                          <w:rPr>
                            <w:lang w:eastAsia="zh-CN"/>
                          </w:rPr>
                        </w:pPr>
                      </w:p>
                    </w:tc>
                  </w:tr>
                </w:tbl>
                <w:p w14:paraId="6C941F3C" w14:textId="77777777" w:rsidR="003D658D" w:rsidRPr="00D33300" w:rsidRDefault="003D658D" w:rsidP="003D658D">
                  <w:pPr>
                    <w:spacing w:line="1" w:lineRule="auto"/>
                    <w:jc w:val="left"/>
                    <w:rPr>
                      <w:lang w:eastAsia="zh-CN"/>
                    </w:rPr>
                  </w:pPr>
                </w:p>
              </w:tc>
            </w:tr>
            <w:tr w:rsidR="003D658D" w:rsidRPr="00D33300" w14:paraId="5EE4AEEB" w14:textId="77777777" w:rsidTr="00FF3A1F">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38ADFD" w14:textId="77777777" w:rsidR="003D658D" w:rsidRPr="00D33300" w:rsidRDefault="003D658D" w:rsidP="003D658D">
                  <w:pPr>
                    <w:jc w:val="left"/>
                    <w:rPr>
                      <w:vanish/>
                      <w:lang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3D658D" w:rsidRPr="00D33300" w14:paraId="4526D3AA" w14:textId="77777777" w:rsidTr="00FF3A1F">
                    <w:tc>
                      <w:tcPr>
                        <w:tcW w:w="540" w:type="dxa"/>
                        <w:tcMar>
                          <w:top w:w="0" w:type="dxa"/>
                          <w:left w:w="0" w:type="dxa"/>
                          <w:bottom w:w="0" w:type="dxa"/>
                          <w:right w:w="0" w:type="dxa"/>
                        </w:tcMar>
                      </w:tcPr>
                      <w:p w14:paraId="6C77A5F7" w14:textId="77777777" w:rsidR="003D658D" w:rsidRPr="00D33300" w:rsidRDefault="003D658D" w:rsidP="003D658D">
                        <w:pPr>
                          <w:jc w:val="left"/>
                          <w:rPr>
                            <w:lang w:eastAsia="zh-CN"/>
                          </w:rPr>
                        </w:pPr>
                      </w:p>
                    </w:tc>
                  </w:tr>
                </w:tbl>
                <w:p w14:paraId="7D92FFFD" w14:textId="77777777" w:rsidR="003D658D" w:rsidRPr="00D33300" w:rsidRDefault="003D658D" w:rsidP="003D658D">
                  <w:pPr>
                    <w:spacing w:line="1" w:lineRule="auto"/>
                    <w:jc w:val="left"/>
                    <w:rPr>
                      <w:lang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7387F2" w14:textId="77777777" w:rsidR="003D658D" w:rsidRPr="00D33300" w:rsidRDefault="003D658D" w:rsidP="003D658D">
                  <w:pPr>
                    <w:jc w:val="left"/>
                    <w:rPr>
                      <w:vanish/>
                      <w:lang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3D658D" w:rsidRPr="00D33300" w14:paraId="798FDAF4" w14:textId="77777777" w:rsidTr="00FF3A1F">
                    <w:tc>
                      <w:tcPr>
                        <w:tcW w:w="975" w:type="dxa"/>
                        <w:tcMar>
                          <w:top w:w="0" w:type="dxa"/>
                          <w:left w:w="0" w:type="dxa"/>
                          <w:bottom w:w="0" w:type="dxa"/>
                          <w:right w:w="0" w:type="dxa"/>
                        </w:tcMar>
                      </w:tcPr>
                      <w:p w14:paraId="6A330C47" w14:textId="77777777" w:rsidR="003D658D" w:rsidRPr="00D33300" w:rsidRDefault="003D658D" w:rsidP="003D658D">
                        <w:pPr>
                          <w:jc w:val="left"/>
                          <w:rPr>
                            <w:rFonts w:cs="Arial"/>
                            <w:color w:val="000000"/>
                            <w:sz w:val="16"/>
                            <w:szCs w:val="16"/>
                          </w:rPr>
                        </w:pPr>
                        <w:r>
                          <w:rPr>
                            <w:color w:val="000000"/>
                            <w:sz w:val="16"/>
                          </w:rPr>
                          <w:t>TWA</w:t>
                        </w:r>
                      </w:p>
                      <w:p w14:paraId="436AF6EE" w14:textId="77777777" w:rsidR="003D658D" w:rsidRPr="00D33300" w:rsidRDefault="003D658D" w:rsidP="003D658D">
                        <w:pPr>
                          <w:spacing w:line="1" w:lineRule="auto"/>
                          <w:jc w:val="left"/>
                          <w:rPr>
                            <w:lang w:eastAsia="zh-CN"/>
                          </w:rPr>
                        </w:pPr>
                      </w:p>
                    </w:tc>
                  </w:tr>
                </w:tbl>
                <w:p w14:paraId="1ECFC252" w14:textId="77777777" w:rsidR="003D658D" w:rsidRPr="00D33300" w:rsidRDefault="003D658D" w:rsidP="003D658D">
                  <w:pPr>
                    <w:spacing w:line="1" w:lineRule="auto"/>
                    <w:jc w:val="left"/>
                    <w:rPr>
                      <w:lang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5E8B0C" w14:textId="77777777" w:rsidR="003D658D" w:rsidRPr="00D33300" w:rsidRDefault="003D658D" w:rsidP="003D658D">
                  <w:pPr>
                    <w:jc w:val="left"/>
                    <w:rPr>
                      <w:vanish/>
                      <w:lang w:eastAsia="zh-CN"/>
                    </w:rPr>
                  </w:pPr>
                </w:p>
                <w:tbl>
                  <w:tblPr>
                    <w:tblW w:w="1185" w:type="dxa"/>
                    <w:tblLayout w:type="fixed"/>
                    <w:tblCellMar>
                      <w:left w:w="0" w:type="dxa"/>
                      <w:right w:w="0" w:type="dxa"/>
                    </w:tblCellMar>
                    <w:tblLook w:val="01E0" w:firstRow="1" w:lastRow="1" w:firstColumn="1" w:lastColumn="1" w:noHBand="0" w:noVBand="0"/>
                  </w:tblPr>
                  <w:tblGrid>
                    <w:gridCol w:w="1185"/>
                  </w:tblGrid>
                  <w:tr w:rsidR="003D658D" w:rsidRPr="00D33300" w14:paraId="37F16589" w14:textId="77777777" w:rsidTr="00FF3A1F">
                    <w:tc>
                      <w:tcPr>
                        <w:tcW w:w="1185" w:type="dxa"/>
                        <w:tcMar>
                          <w:top w:w="0" w:type="dxa"/>
                          <w:left w:w="0" w:type="dxa"/>
                          <w:bottom w:w="0" w:type="dxa"/>
                          <w:right w:w="0" w:type="dxa"/>
                        </w:tcMar>
                      </w:tcPr>
                      <w:p w14:paraId="7D091B3B" w14:textId="77777777" w:rsidR="003D658D" w:rsidRPr="00D33300" w:rsidRDefault="003D658D" w:rsidP="003D658D">
                        <w:pPr>
                          <w:jc w:val="left"/>
                          <w:rPr>
                            <w:rFonts w:cs="Arial"/>
                            <w:color w:val="000000"/>
                            <w:sz w:val="16"/>
                            <w:szCs w:val="16"/>
                          </w:rPr>
                        </w:pPr>
                        <w:r>
                          <w:rPr>
                            <w:color w:val="000000"/>
                            <w:sz w:val="16"/>
                          </w:rPr>
                          <w:t>TG/276/1 Rev. (proj.1)</w:t>
                        </w:r>
                      </w:p>
                      <w:p w14:paraId="61669866" w14:textId="77777777" w:rsidR="003D658D" w:rsidRPr="00D33300" w:rsidRDefault="003D658D" w:rsidP="003D658D">
                        <w:pPr>
                          <w:spacing w:line="1" w:lineRule="auto"/>
                          <w:jc w:val="left"/>
                          <w:rPr>
                            <w:lang w:eastAsia="zh-CN"/>
                          </w:rPr>
                        </w:pPr>
                      </w:p>
                    </w:tc>
                  </w:tr>
                </w:tbl>
                <w:p w14:paraId="42D10280" w14:textId="77777777" w:rsidR="003D658D" w:rsidRPr="00D33300" w:rsidRDefault="003D658D" w:rsidP="003D658D">
                  <w:pPr>
                    <w:spacing w:line="1" w:lineRule="auto"/>
                    <w:jc w:val="left"/>
                    <w:rPr>
                      <w:lang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59B826" w14:textId="77777777" w:rsidR="003D658D" w:rsidRPr="00D33300" w:rsidRDefault="003D658D" w:rsidP="003D658D">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3D658D" w:rsidRPr="00D33300" w14:paraId="7BEC63CB" w14:textId="77777777" w:rsidTr="00FF3A1F">
                    <w:tc>
                      <w:tcPr>
                        <w:tcW w:w="1545" w:type="dxa"/>
                        <w:tcMar>
                          <w:top w:w="0" w:type="dxa"/>
                          <w:left w:w="0" w:type="dxa"/>
                          <w:bottom w:w="0" w:type="dxa"/>
                          <w:right w:w="0" w:type="dxa"/>
                        </w:tcMar>
                      </w:tcPr>
                      <w:p w14:paraId="77FA66DD" w14:textId="77777777" w:rsidR="003D658D" w:rsidRPr="00D33300" w:rsidRDefault="003D658D" w:rsidP="003D658D">
                        <w:pPr>
                          <w:jc w:val="left"/>
                          <w:rPr>
                            <w:rFonts w:cs="Arial"/>
                            <w:color w:val="000000"/>
                            <w:sz w:val="16"/>
                            <w:szCs w:val="16"/>
                          </w:rPr>
                        </w:pPr>
                        <w:r>
                          <w:rPr>
                            <w:color w:val="000000"/>
                            <w:sz w:val="16"/>
                          </w:rPr>
                          <w:t>Hemp</w:t>
                        </w:r>
                      </w:p>
                      <w:p w14:paraId="5C491D0D" w14:textId="77777777" w:rsidR="003D658D" w:rsidRPr="00D33300" w:rsidRDefault="003D658D" w:rsidP="003D658D">
                        <w:pPr>
                          <w:spacing w:line="1" w:lineRule="auto"/>
                          <w:jc w:val="left"/>
                          <w:rPr>
                            <w:lang w:eastAsia="zh-CN"/>
                          </w:rPr>
                        </w:pPr>
                      </w:p>
                    </w:tc>
                  </w:tr>
                </w:tbl>
                <w:p w14:paraId="36BD6E6A" w14:textId="77777777" w:rsidR="003D658D" w:rsidRPr="00D33300" w:rsidRDefault="003D658D" w:rsidP="003D658D">
                  <w:pPr>
                    <w:spacing w:line="1" w:lineRule="auto"/>
                    <w:jc w:val="left"/>
                    <w:rPr>
                      <w:lang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41A22A" w14:textId="77777777" w:rsidR="003D658D" w:rsidRPr="00D33300" w:rsidRDefault="003D658D" w:rsidP="003D658D">
                  <w:pPr>
                    <w:jc w:val="left"/>
                    <w:rPr>
                      <w:vanish/>
                      <w:lang w:eastAsia="zh-CN"/>
                    </w:rPr>
                  </w:pPr>
                </w:p>
                <w:tbl>
                  <w:tblPr>
                    <w:tblW w:w="1230" w:type="dxa"/>
                    <w:tblLayout w:type="fixed"/>
                    <w:tblCellMar>
                      <w:left w:w="0" w:type="dxa"/>
                      <w:right w:w="0" w:type="dxa"/>
                    </w:tblCellMar>
                    <w:tblLook w:val="01E0" w:firstRow="1" w:lastRow="1" w:firstColumn="1" w:lastColumn="1" w:noHBand="0" w:noVBand="0"/>
                  </w:tblPr>
                  <w:tblGrid>
                    <w:gridCol w:w="1230"/>
                  </w:tblGrid>
                  <w:tr w:rsidR="003D658D" w:rsidRPr="00D33300" w14:paraId="19C2938B" w14:textId="77777777" w:rsidTr="00FF3A1F">
                    <w:tc>
                      <w:tcPr>
                        <w:tcW w:w="1230" w:type="dxa"/>
                        <w:tcMar>
                          <w:top w:w="0" w:type="dxa"/>
                          <w:left w:w="0" w:type="dxa"/>
                          <w:bottom w:w="0" w:type="dxa"/>
                          <w:right w:w="0" w:type="dxa"/>
                        </w:tcMar>
                      </w:tcPr>
                      <w:p w14:paraId="1CF6EDF1" w14:textId="77777777" w:rsidR="003D658D" w:rsidRPr="00D33300" w:rsidRDefault="003D658D" w:rsidP="003D658D">
                        <w:pPr>
                          <w:jc w:val="left"/>
                          <w:rPr>
                            <w:rFonts w:cs="Arial"/>
                            <w:color w:val="000000"/>
                            <w:sz w:val="16"/>
                            <w:szCs w:val="16"/>
                          </w:rPr>
                        </w:pPr>
                        <w:r>
                          <w:rPr>
                            <w:color w:val="000000"/>
                            <w:sz w:val="16"/>
                          </w:rPr>
                          <w:t>Chanvre</w:t>
                        </w:r>
                      </w:p>
                      <w:p w14:paraId="4812F15F" w14:textId="77777777" w:rsidR="003D658D" w:rsidRPr="00D33300" w:rsidRDefault="003D658D" w:rsidP="003D658D">
                        <w:pPr>
                          <w:spacing w:line="1" w:lineRule="auto"/>
                          <w:jc w:val="left"/>
                          <w:rPr>
                            <w:lang w:eastAsia="zh-CN"/>
                          </w:rPr>
                        </w:pPr>
                      </w:p>
                    </w:tc>
                  </w:tr>
                </w:tbl>
                <w:p w14:paraId="58A300A7" w14:textId="77777777" w:rsidR="003D658D" w:rsidRPr="00D33300" w:rsidRDefault="003D658D" w:rsidP="003D658D">
                  <w:pPr>
                    <w:spacing w:line="1" w:lineRule="auto"/>
                    <w:jc w:val="left"/>
                    <w:rPr>
                      <w:lang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5CF99D" w14:textId="77777777" w:rsidR="003D658D" w:rsidRPr="00D33300" w:rsidRDefault="003D658D" w:rsidP="003D658D">
                  <w:pPr>
                    <w:jc w:val="left"/>
                    <w:rPr>
                      <w:vanish/>
                      <w:lang w:eastAsia="zh-CN"/>
                    </w:rPr>
                  </w:pPr>
                </w:p>
                <w:tbl>
                  <w:tblPr>
                    <w:tblW w:w="1560" w:type="dxa"/>
                    <w:tblLayout w:type="fixed"/>
                    <w:tblCellMar>
                      <w:left w:w="0" w:type="dxa"/>
                      <w:right w:w="0" w:type="dxa"/>
                    </w:tblCellMar>
                    <w:tblLook w:val="01E0" w:firstRow="1" w:lastRow="1" w:firstColumn="1" w:lastColumn="1" w:noHBand="0" w:noVBand="0"/>
                  </w:tblPr>
                  <w:tblGrid>
                    <w:gridCol w:w="1560"/>
                  </w:tblGrid>
                  <w:tr w:rsidR="003D658D" w:rsidRPr="00D33300" w14:paraId="5B663071" w14:textId="77777777" w:rsidTr="00FF3A1F">
                    <w:tc>
                      <w:tcPr>
                        <w:tcW w:w="1560" w:type="dxa"/>
                        <w:tcMar>
                          <w:top w:w="0" w:type="dxa"/>
                          <w:left w:w="0" w:type="dxa"/>
                          <w:bottom w:w="0" w:type="dxa"/>
                          <w:right w:w="0" w:type="dxa"/>
                        </w:tcMar>
                      </w:tcPr>
                      <w:p w14:paraId="09E0A194" w14:textId="77777777" w:rsidR="003D658D" w:rsidRPr="00D33300" w:rsidRDefault="003D658D" w:rsidP="003D658D">
                        <w:pPr>
                          <w:jc w:val="left"/>
                          <w:rPr>
                            <w:rFonts w:cs="Arial"/>
                            <w:color w:val="000000"/>
                            <w:sz w:val="16"/>
                            <w:szCs w:val="16"/>
                          </w:rPr>
                        </w:pPr>
                        <w:r>
                          <w:rPr>
                            <w:color w:val="000000"/>
                            <w:sz w:val="16"/>
                          </w:rPr>
                          <w:t>Hanf</w:t>
                        </w:r>
                      </w:p>
                      <w:p w14:paraId="09A35E52" w14:textId="77777777" w:rsidR="003D658D" w:rsidRPr="00D33300" w:rsidRDefault="003D658D" w:rsidP="003D658D">
                        <w:pPr>
                          <w:spacing w:line="1" w:lineRule="auto"/>
                          <w:jc w:val="left"/>
                          <w:rPr>
                            <w:lang w:eastAsia="zh-CN"/>
                          </w:rPr>
                        </w:pPr>
                      </w:p>
                    </w:tc>
                  </w:tr>
                </w:tbl>
                <w:p w14:paraId="7A5D46A0" w14:textId="77777777" w:rsidR="003D658D" w:rsidRPr="00D33300" w:rsidRDefault="003D658D" w:rsidP="003D658D">
                  <w:pPr>
                    <w:spacing w:line="1" w:lineRule="auto"/>
                    <w:jc w:val="left"/>
                    <w:rPr>
                      <w:lang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6B70CB" w14:textId="77777777" w:rsidR="003D658D" w:rsidRPr="00D33300" w:rsidRDefault="003D658D" w:rsidP="003D658D">
                  <w:pPr>
                    <w:jc w:val="left"/>
                    <w:rPr>
                      <w:vanish/>
                      <w:lang w:eastAsia="zh-CN"/>
                    </w:rPr>
                  </w:pPr>
                </w:p>
                <w:tbl>
                  <w:tblPr>
                    <w:tblW w:w="1320" w:type="dxa"/>
                    <w:tblLayout w:type="fixed"/>
                    <w:tblCellMar>
                      <w:left w:w="0" w:type="dxa"/>
                      <w:right w:w="0" w:type="dxa"/>
                    </w:tblCellMar>
                    <w:tblLook w:val="01E0" w:firstRow="1" w:lastRow="1" w:firstColumn="1" w:lastColumn="1" w:noHBand="0" w:noVBand="0"/>
                  </w:tblPr>
                  <w:tblGrid>
                    <w:gridCol w:w="1320"/>
                  </w:tblGrid>
                  <w:tr w:rsidR="003D658D" w:rsidRPr="00D33300" w14:paraId="26B34C28" w14:textId="77777777" w:rsidTr="00FF3A1F">
                    <w:tc>
                      <w:tcPr>
                        <w:tcW w:w="1320" w:type="dxa"/>
                        <w:tcMar>
                          <w:top w:w="0" w:type="dxa"/>
                          <w:left w:w="0" w:type="dxa"/>
                          <w:bottom w:w="0" w:type="dxa"/>
                          <w:right w:w="0" w:type="dxa"/>
                        </w:tcMar>
                      </w:tcPr>
                      <w:p w14:paraId="1FD30193" w14:textId="77777777" w:rsidR="003D658D" w:rsidRPr="00D33300" w:rsidRDefault="003D658D" w:rsidP="003D658D">
                        <w:pPr>
                          <w:jc w:val="left"/>
                          <w:rPr>
                            <w:rFonts w:cs="Arial"/>
                            <w:color w:val="000000"/>
                            <w:sz w:val="16"/>
                            <w:szCs w:val="16"/>
                          </w:rPr>
                        </w:pPr>
                        <w:r>
                          <w:rPr>
                            <w:color w:val="000000"/>
                            <w:sz w:val="16"/>
                          </w:rPr>
                          <w:t>Cáñamo</w:t>
                        </w:r>
                      </w:p>
                      <w:p w14:paraId="7CF03878" w14:textId="77777777" w:rsidR="003D658D" w:rsidRPr="00D33300" w:rsidRDefault="003D658D" w:rsidP="003D658D">
                        <w:pPr>
                          <w:spacing w:line="1" w:lineRule="auto"/>
                          <w:jc w:val="left"/>
                          <w:rPr>
                            <w:lang w:eastAsia="zh-CN"/>
                          </w:rPr>
                        </w:pPr>
                      </w:p>
                    </w:tc>
                  </w:tr>
                </w:tbl>
                <w:p w14:paraId="477D580C" w14:textId="77777777" w:rsidR="003D658D" w:rsidRPr="00D33300" w:rsidRDefault="003D658D" w:rsidP="003D658D">
                  <w:pPr>
                    <w:spacing w:line="1" w:lineRule="auto"/>
                    <w:jc w:val="left"/>
                    <w:rPr>
                      <w:lang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A7A312" w14:textId="77777777" w:rsidR="003D658D" w:rsidRPr="00D33300" w:rsidRDefault="003D658D" w:rsidP="003D658D">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3D658D" w:rsidRPr="00D33300" w14:paraId="517487ED" w14:textId="77777777" w:rsidTr="00FF3A1F">
                    <w:tc>
                      <w:tcPr>
                        <w:tcW w:w="1545" w:type="dxa"/>
                        <w:tcMar>
                          <w:top w:w="0" w:type="dxa"/>
                          <w:left w:w="0" w:type="dxa"/>
                          <w:bottom w:w="0" w:type="dxa"/>
                          <w:right w:w="0" w:type="dxa"/>
                        </w:tcMar>
                      </w:tcPr>
                      <w:p w14:paraId="7027B3CA" w14:textId="77777777" w:rsidR="003D658D" w:rsidRPr="00D33300" w:rsidRDefault="003D658D" w:rsidP="003D658D">
                        <w:pPr>
                          <w:jc w:val="left"/>
                          <w:rPr>
                            <w:rFonts w:cs="Arial"/>
                            <w:color w:val="000000"/>
                            <w:sz w:val="16"/>
                            <w:szCs w:val="16"/>
                          </w:rPr>
                        </w:pPr>
                        <w:r>
                          <w:rPr>
                            <w:i/>
                            <w:color w:val="000000"/>
                            <w:sz w:val="16"/>
                          </w:rPr>
                          <w:t>Cannabis sativa</w:t>
                        </w:r>
                        <w:r>
                          <w:rPr>
                            <w:color w:val="000000"/>
                            <w:sz w:val="16"/>
                          </w:rPr>
                          <w:t> L.</w:t>
                        </w:r>
                      </w:p>
                      <w:p w14:paraId="3E294CCF" w14:textId="77777777" w:rsidR="003D658D" w:rsidRPr="00D33300" w:rsidRDefault="003D658D" w:rsidP="003D658D">
                        <w:pPr>
                          <w:spacing w:line="1" w:lineRule="auto"/>
                          <w:jc w:val="left"/>
                          <w:rPr>
                            <w:lang w:eastAsia="zh-CN"/>
                          </w:rPr>
                        </w:pPr>
                      </w:p>
                    </w:tc>
                  </w:tr>
                </w:tbl>
                <w:p w14:paraId="7E8F6A0F" w14:textId="77777777" w:rsidR="003D658D" w:rsidRPr="00D33300" w:rsidRDefault="003D658D" w:rsidP="003D658D">
                  <w:pPr>
                    <w:spacing w:line="1" w:lineRule="auto"/>
                    <w:jc w:val="left"/>
                    <w:rPr>
                      <w:lang w:eastAsia="zh-CN"/>
                    </w:rPr>
                  </w:pPr>
                </w:p>
              </w:tc>
            </w:tr>
          </w:tbl>
          <w:p w14:paraId="061755C0" w14:textId="77777777" w:rsidR="003D658D" w:rsidRPr="00D33300" w:rsidRDefault="003D658D" w:rsidP="003E10EF">
            <w:pPr>
              <w:rPr>
                <w:rFonts w:eastAsia="Arial"/>
                <w:lang w:eastAsia="zh-CN"/>
              </w:rPr>
            </w:pPr>
          </w:p>
        </w:tc>
      </w:tr>
      <w:tr w:rsidR="00D07169" w:rsidRPr="00D33300" w14:paraId="5D9A96FD" w14:textId="77777777" w:rsidTr="00D07169">
        <w:tc>
          <w:tcPr>
            <w:tcW w:w="10080" w:type="dxa"/>
            <w:tcMar>
              <w:top w:w="0" w:type="dxa"/>
              <w:left w:w="0" w:type="dxa"/>
              <w:bottom w:w="0" w:type="dxa"/>
              <w:right w:w="0" w:type="dxa"/>
            </w:tcMar>
          </w:tcPr>
          <w:p w14:paraId="0E549310" w14:textId="77777777" w:rsidR="00D07169" w:rsidRPr="00D33300" w:rsidRDefault="00D07169" w:rsidP="00D07169">
            <w:pPr>
              <w:spacing w:line="1" w:lineRule="auto"/>
              <w:jc w:val="left"/>
              <w:rPr>
                <w:lang w:eastAsia="zh-CN"/>
              </w:rPr>
            </w:pPr>
          </w:p>
        </w:tc>
      </w:tr>
    </w:tbl>
    <w:p w14:paraId="0E9F615F" w14:textId="77777777" w:rsidR="003E10EF" w:rsidRDefault="003E10EF" w:rsidP="0094798F">
      <w:pPr>
        <w:jc w:val="left"/>
      </w:pPr>
    </w:p>
    <w:p w14:paraId="13673DD9" w14:textId="77777777" w:rsidR="00D07169" w:rsidRDefault="0094798F" w:rsidP="00B61154">
      <w:pPr>
        <w:jc w:val="left"/>
      </w:pPr>
      <w:r>
        <w:fldChar w:fldCharType="begin"/>
      </w:r>
      <w:r>
        <w:instrText xml:space="preserve"> AUTONUM  </w:instrText>
      </w:r>
      <w:r>
        <w:fldChar w:fldCharType="end"/>
      </w:r>
      <w:r>
        <w:tab/>
        <w:t>Die UPOV hat 336 Prüfungsrichtlinien angenommen, die auf der UPOV-Website frei verfügbar sind (http://www.upov.int/test_guidelines/en/).</w:t>
      </w:r>
    </w:p>
    <w:p w14:paraId="7ABC7A7B" w14:textId="77777777" w:rsidR="00D07169" w:rsidRDefault="00D07169" w:rsidP="00313FAF"/>
    <w:p w14:paraId="2BB3B9EB" w14:textId="77777777" w:rsidR="003E10EF" w:rsidRDefault="003E10EF" w:rsidP="00313FAF">
      <w:r>
        <w:fldChar w:fldCharType="begin"/>
      </w:r>
      <w:r>
        <w:instrText xml:space="preserve"> AUTONUM  </w:instrText>
      </w:r>
      <w:r>
        <w:fldChar w:fldCharType="end"/>
      </w:r>
      <w:r>
        <w:tab/>
        <w:t>Aufgrund der Empfehlungen des TC-EDC, die in Anlage II dieses Dokuments wiedergegeben sind, vereinbarte der TC, dass die folgenden Entwürfe von Prüfungsrichtlinien redaktioneller Klarstellungen seitens der führenden Sachverständigen bedürfen:</w:t>
      </w:r>
    </w:p>
    <w:p w14:paraId="28F04251" w14:textId="77777777" w:rsidR="003E10EF" w:rsidRDefault="003E10EF" w:rsidP="00313FAF"/>
    <w:tbl>
      <w:tblPr>
        <w:tblW w:w="10080" w:type="dxa"/>
        <w:tblLayout w:type="fixed"/>
        <w:tblLook w:val="01E0" w:firstRow="1" w:lastRow="1" w:firstColumn="1" w:lastColumn="1" w:noHBand="0" w:noVBand="0"/>
      </w:tblPr>
      <w:tblGrid>
        <w:gridCol w:w="10080"/>
      </w:tblGrid>
      <w:tr w:rsidR="003E10EF" w:rsidRPr="00D33300" w14:paraId="4FC924EC" w14:textId="77777777" w:rsidTr="00FF3A1F">
        <w:tc>
          <w:tcPr>
            <w:tcW w:w="10080" w:type="dxa"/>
            <w:tcMar>
              <w:top w:w="0" w:type="dxa"/>
              <w:left w:w="0" w:type="dxa"/>
              <w:bottom w:w="0" w:type="dxa"/>
              <w:right w:w="0" w:type="dxa"/>
            </w:tcMar>
          </w:tcPr>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00"/>
              <w:gridCol w:w="870"/>
              <w:gridCol w:w="1245"/>
              <w:gridCol w:w="1530"/>
              <w:gridCol w:w="1365"/>
              <w:gridCol w:w="1440"/>
              <w:gridCol w:w="1350"/>
              <w:gridCol w:w="1500"/>
            </w:tblGrid>
            <w:tr w:rsidR="003E10EF" w:rsidRPr="00D33300" w14:paraId="2D938E37" w14:textId="77777777" w:rsidTr="00FF3A1F">
              <w:tc>
                <w:tcPr>
                  <w:tcW w:w="600" w:type="dxa"/>
                  <w:shd w:val="clear" w:color="auto" w:fill="CACACA"/>
                  <w:tcMar>
                    <w:top w:w="0" w:type="dxa"/>
                    <w:left w:w="0" w:type="dxa"/>
                    <w:bottom w:w="0" w:type="dxa"/>
                    <w:right w:w="0" w:type="dxa"/>
                  </w:tcMar>
                  <w:vAlign w:val="center"/>
                </w:tcPr>
                <w:p w14:paraId="242CDE04" w14:textId="77777777" w:rsidR="003E10EF" w:rsidRPr="00D33300" w:rsidRDefault="003E10EF" w:rsidP="003E10EF">
                  <w:pPr>
                    <w:keepNext/>
                    <w:jc w:val="left"/>
                  </w:pPr>
                  <w:r>
                    <w:rPr>
                      <w:color w:val="000000"/>
                      <w:sz w:val="16"/>
                      <w:shd w:val="clear" w:color="auto" w:fill="CACACA"/>
                    </w:rPr>
                    <w:t>**</w:t>
                  </w:r>
                </w:p>
              </w:tc>
              <w:tc>
                <w:tcPr>
                  <w:tcW w:w="870" w:type="dxa"/>
                  <w:shd w:val="clear" w:color="auto" w:fill="CACACA"/>
                  <w:tcMar>
                    <w:top w:w="0" w:type="dxa"/>
                    <w:left w:w="0" w:type="dxa"/>
                    <w:bottom w:w="0" w:type="dxa"/>
                    <w:right w:w="0" w:type="dxa"/>
                  </w:tcMar>
                  <w:vAlign w:val="center"/>
                </w:tcPr>
                <w:p w14:paraId="684E08F5" w14:textId="77777777" w:rsidR="003E10EF" w:rsidRPr="00D33300" w:rsidRDefault="003E10EF" w:rsidP="003E10EF">
                  <w:pPr>
                    <w:keepNext/>
                    <w:jc w:val="left"/>
                  </w:pPr>
                  <w:r>
                    <w:rPr>
                      <w:color w:val="000000"/>
                      <w:sz w:val="16"/>
                      <w:shd w:val="clear" w:color="auto" w:fill="CACACA"/>
                    </w:rPr>
                    <w:t>TWP</w:t>
                  </w:r>
                </w:p>
              </w:tc>
              <w:tc>
                <w:tcPr>
                  <w:tcW w:w="1245" w:type="dxa"/>
                  <w:shd w:val="clear" w:color="auto" w:fill="CACACA"/>
                  <w:tcMar>
                    <w:top w:w="0" w:type="dxa"/>
                    <w:left w:w="0" w:type="dxa"/>
                    <w:bottom w:w="0" w:type="dxa"/>
                    <w:right w:w="0" w:type="dxa"/>
                  </w:tcMar>
                  <w:vAlign w:val="center"/>
                </w:tcPr>
                <w:p w14:paraId="14BA801D" w14:textId="77777777" w:rsidR="003E10EF" w:rsidRPr="0052329D" w:rsidRDefault="003E10EF" w:rsidP="003E10EF">
                  <w:pPr>
                    <w:keepNext/>
                    <w:jc w:val="left"/>
                    <w:rPr>
                      <w:lang w:val="it-IT"/>
                    </w:rPr>
                  </w:pPr>
                  <w:r w:rsidRPr="0052329D">
                    <w:rPr>
                      <w:color w:val="000000"/>
                      <w:sz w:val="16"/>
                      <w:shd w:val="clear" w:color="auto" w:fill="CACACA"/>
                      <w:lang w:val="it-IT"/>
                    </w:rPr>
                    <w:t xml:space="preserve">Document No. </w:t>
                  </w:r>
                  <w:r w:rsidRPr="0052329D">
                    <w:rPr>
                      <w:color w:val="000000"/>
                      <w:sz w:val="16"/>
                      <w:shd w:val="clear" w:color="auto" w:fill="CACACA"/>
                      <w:lang w:val="it-IT"/>
                    </w:rPr>
                    <w:br/>
                    <w:t xml:space="preserve">No. du document </w:t>
                  </w:r>
                  <w:r w:rsidRPr="0052329D">
                    <w:rPr>
                      <w:color w:val="000000"/>
                      <w:sz w:val="16"/>
                      <w:shd w:val="clear" w:color="auto" w:fill="CACACA"/>
                      <w:lang w:val="it-IT"/>
                    </w:rPr>
                    <w:br/>
                    <w:t xml:space="preserve">Dokument-Nr. </w:t>
                  </w:r>
                  <w:r w:rsidRPr="0052329D">
                    <w:rPr>
                      <w:color w:val="000000"/>
                      <w:sz w:val="16"/>
                      <w:shd w:val="clear" w:color="auto" w:fill="CACACA"/>
                      <w:lang w:val="it-IT"/>
                    </w:rPr>
                    <w:br/>
                    <w:t>No del documento</w:t>
                  </w:r>
                  <w:r w:rsidRPr="0052329D">
                    <w:rPr>
                      <w:color w:val="000000"/>
                      <w:sz w:val="16"/>
                      <w:shd w:val="clear" w:color="auto" w:fill="CACACA"/>
                      <w:lang w:val="it-IT"/>
                    </w:rPr>
                    <w:br/>
                  </w:r>
                </w:p>
              </w:tc>
              <w:tc>
                <w:tcPr>
                  <w:tcW w:w="1530" w:type="dxa"/>
                  <w:shd w:val="clear" w:color="auto" w:fill="CACACA"/>
                  <w:tcMar>
                    <w:top w:w="0" w:type="dxa"/>
                    <w:left w:w="0" w:type="dxa"/>
                    <w:bottom w:w="0" w:type="dxa"/>
                    <w:right w:w="0" w:type="dxa"/>
                  </w:tcMar>
                  <w:vAlign w:val="center"/>
                </w:tcPr>
                <w:p w14:paraId="51D19B98" w14:textId="77777777" w:rsidR="003E10EF" w:rsidRPr="00D33300" w:rsidRDefault="003E10EF" w:rsidP="003E10EF">
                  <w:pPr>
                    <w:keepNext/>
                    <w:jc w:val="left"/>
                  </w:pPr>
                  <w:r>
                    <w:rPr>
                      <w:color w:val="000000"/>
                      <w:sz w:val="16"/>
                      <w:shd w:val="clear" w:color="auto" w:fill="CACACA"/>
                    </w:rPr>
                    <w:t>Englisch</w:t>
                  </w:r>
                </w:p>
              </w:tc>
              <w:tc>
                <w:tcPr>
                  <w:tcW w:w="1365" w:type="dxa"/>
                  <w:shd w:val="clear" w:color="auto" w:fill="CACACA"/>
                  <w:tcMar>
                    <w:top w:w="0" w:type="dxa"/>
                    <w:left w:w="0" w:type="dxa"/>
                    <w:bottom w:w="0" w:type="dxa"/>
                    <w:right w:w="0" w:type="dxa"/>
                  </w:tcMar>
                  <w:vAlign w:val="center"/>
                </w:tcPr>
                <w:p w14:paraId="714B05DC" w14:textId="77777777" w:rsidR="003E10EF" w:rsidRPr="00D33300" w:rsidRDefault="003E10EF" w:rsidP="003E10EF">
                  <w:pPr>
                    <w:keepNext/>
                    <w:jc w:val="left"/>
                  </w:pPr>
                  <w:r>
                    <w:rPr>
                      <w:color w:val="000000"/>
                      <w:sz w:val="16"/>
                      <w:shd w:val="clear" w:color="auto" w:fill="CACACA"/>
                    </w:rPr>
                    <w:t>Français</w:t>
                  </w:r>
                </w:p>
              </w:tc>
              <w:tc>
                <w:tcPr>
                  <w:tcW w:w="1440" w:type="dxa"/>
                  <w:shd w:val="clear" w:color="auto" w:fill="CACACA"/>
                  <w:tcMar>
                    <w:top w:w="0" w:type="dxa"/>
                    <w:left w:w="0" w:type="dxa"/>
                    <w:bottom w:w="0" w:type="dxa"/>
                    <w:right w:w="0" w:type="dxa"/>
                  </w:tcMar>
                  <w:vAlign w:val="center"/>
                </w:tcPr>
                <w:p w14:paraId="662CBB7C" w14:textId="77777777" w:rsidR="003E10EF" w:rsidRPr="00D33300" w:rsidRDefault="003E10EF" w:rsidP="003E10EF">
                  <w:pPr>
                    <w:keepNext/>
                    <w:jc w:val="left"/>
                  </w:pPr>
                  <w:r>
                    <w:rPr>
                      <w:color w:val="000000"/>
                      <w:sz w:val="16"/>
                      <w:shd w:val="clear" w:color="auto" w:fill="CACACA"/>
                    </w:rPr>
                    <w:t>Deutsch</w:t>
                  </w:r>
                </w:p>
              </w:tc>
              <w:tc>
                <w:tcPr>
                  <w:tcW w:w="1350" w:type="dxa"/>
                  <w:shd w:val="clear" w:color="auto" w:fill="CACACA"/>
                  <w:tcMar>
                    <w:top w:w="20" w:type="dxa"/>
                    <w:left w:w="20" w:type="dxa"/>
                    <w:bottom w:w="20" w:type="dxa"/>
                    <w:right w:w="20" w:type="dxa"/>
                  </w:tcMar>
                  <w:vAlign w:val="center"/>
                </w:tcPr>
                <w:p w14:paraId="5D2179E8" w14:textId="77777777" w:rsidR="003E10EF" w:rsidRPr="00D33300" w:rsidRDefault="003E10EF" w:rsidP="003E10EF">
                  <w:pPr>
                    <w:keepNext/>
                    <w:jc w:val="left"/>
                  </w:pPr>
                  <w:r>
                    <w:rPr>
                      <w:color w:val="000000"/>
                      <w:sz w:val="16"/>
                      <w:shd w:val="clear" w:color="auto" w:fill="CACACA"/>
                    </w:rPr>
                    <w:t>Español</w:t>
                  </w:r>
                </w:p>
              </w:tc>
              <w:tc>
                <w:tcPr>
                  <w:tcW w:w="1500" w:type="dxa"/>
                  <w:shd w:val="clear" w:color="auto" w:fill="CACACA"/>
                  <w:tcMar>
                    <w:top w:w="0" w:type="dxa"/>
                    <w:left w:w="0" w:type="dxa"/>
                    <w:bottom w:w="0" w:type="dxa"/>
                    <w:right w:w="0" w:type="dxa"/>
                  </w:tcMar>
                  <w:vAlign w:val="center"/>
                </w:tcPr>
                <w:p w14:paraId="684EAEC4" w14:textId="77777777" w:rsidR="003E10EF" w:rsidRPr="00D33300" w:rsidRDefault="003E10EF" w:rsidP="003E10EF">
                  <w:pPr>
                    <w:keepNext/>
                    <w:jc w:val="left"/>
                  </w:pPr>
                  <w:r>
                    <w:rPr>
                      <w:color w:val="000000"/>
                      <w:sz w:val="16"/>
                      <w:shd w:val="clear" w:color="auto" w:fill="CACACA"/>
                    </w:rPr>
                    <w:t>Botanical name</w:t>
                  </w:r>
                  <w:r>
                    <w:rPr>
                      <w:color w:val="000000"/>
                      <w:sz w:val="16"/>
                      <w:shd w:val="clear" w:color="auto" w:fill="CACACA"/>
                    </w:rPr>
                    <w:br/>
                    <w:t>Nom botanique</w:t>
                  </w:r>
                  <w:r>
                    <w:rPr>
                      <w:color w:val="000000"/>
                      <w:sz w:val="16"/>
                      <w:shd w:val="clear" w:color="auto" w:fill="CACACA"/>
                    </w:rPr>
                    <w:br/>
                    <w:t>Botanischer Name</w:t>
                  </w:r>
                  <w:r>
                    <w:rPr>
                      <w:color w:val="000000"/>
                      <w:sz w:val="16"/>
                      <w:shd w:val="clear" w:color="auto" w:fill="CACACA"/>
                    </w:rPr>
                    <w:br/>
                    <w:t>Nombre botánico</w:t>
                  </w:r>
                  <w:r>
                    <w:rPr>
                      <w:color w:val="000000"/>
                      <w:sz w:val="16"/>
                      <w:shd w:val="clear" w:color="auto" w:fill="CACACA"/>
                    </w:rPr>
                    <w:br/>
                  </w:r>
                </w:p>
              </w:tc>
            </w:tr>
            <w:tr w:rsidR="003E10EF" w:rsidRPr="00D33300" w14:paraId="3EEF5AD1" w14:textId="77777777" w:rsidTr="00FF3A1F">
              <w:tc>
                <w:tcPr>
                  <w:tcW w:w="600" w:type="dxa"/>
                  <w:tcMar>
                    <w:top w:w="0" w:type="dxa"/>
                    <w:left w:w="0" w:type="dxa"/>
                    <w:bottom w:w="0" w:type="dxa"/>
                    <w:right w:w="0" w:type="dxa"/>
                  </w:tcMar>
                </w:tcPr>
                <w:p w14:paraId="10C394DF" w14:textId="77777777" w:rsidR="003E10EF" w:rsidRPr="00D33300" w:rsidRDefault="003E10EF" w:rsidP="003E10EF">
                  <w:pPr>
                    <w:keepNext/>
                    <w:spacing w:line="1" w:lineRule="auto"/>
                    <w:jc w:val="center"/>
                    <w:rPr>
                      <w:lang w:eastAsia="zh-CN"/>
                    </w:rPr>
                  </w:pPr>
                </w:p>
              </w:tc>
              <w:tc>
                <w:tcPr>
                  <w:tcW w:w="870" w:type="dxa"/>
                  <w:tcMar>
                    <w:top w:w="0" w:type="dxa"/>
                    <w:left w:w="0" w:type="dxa"/>
                    <w:bottom w:w="0" w:type="dxa"/>
                    <w:right w:w="0" w:type="dxa"/>
                  </w:tcMar>
                </w:tcPr>
                <w:p w14:paraId="3A32EE07" w14:textId="77777777" w:rsidR="003E10EF" w:rsidRPr="00D33300" w:rsidRDefault="003E10EF" w:rsidP="003E10EF">
                  <w:pPr>
                    <w:keepNext/>
                    <w:spacing w:line="1" w:lineRule="auto"/>
                    <w:jc w:val="center"/>
                    <w:rPr>
                      <w:lang w:eastAsia="zh-CN"/>
                    </w:rPr>
                  </w:pPr>
                </w:p>
              </w:tc>
              <w:tc>
                <w:tcPr>
                  <w:tcW w:w="1245" w:type="dxa"/>
                  <w:tcMar>
                    <w:top w:w="0" w:type="dxa"/>
                    <w:left w:w="0" w:type="dxa"/>
                    <w:bottom w:w="0" w:type="dxa"/>
                    <w:right w:w="0" w:type="dxa"/>
                  </w:tcMar>
                </w:tcPr>
                <w:p w14:paraId="4EE2532A" w14:textId="77777777" w:rsidR="003E10EF" w:rsidRPr="00D33300" w:rsidRDefault="003E10EF" w:rsidP="003E10EF">
                  <w:pPr>
                    <w:keepNext/>
                    <w:spacing w:line="1" w:lineRule="auto"/>
                    <w:jc w:val="center"/>
                    <w:rPr>
                      <w:lang w:eastAsia="zh-CN"/>
                    </w:rPr>
                  </w:pPr>
                </w:p>
              </w:tc>
              <w:tc>
                <w:tcPr>
                  <w:tcW w:w="1530" w:type="dxa"/>
                  <w:tcMar>
                    <w:top w:w="0" w:type="dxa"/>
                    <w:left w:w="0" w:type="dxa"/>
                    <w:bottom w:w="0" w:type="dxa"/>
                    <w:right w:w="0" w:type="dxa"/>
                  </w:tcMar>
                </w:tcPr>
                <w:p w14:paraId="5B9D5D2E" w14:textId="77777777" w:rsidR="003E10EF" w:rsidRPr="00D33300" w:rsidRDefault="003E10EF" w:rsidP="003E10EF">
                  <w:pPr>
                    <w:keepNext/>
                    <w:spacing w:line="1" w:lineRule="auto"/>
                    <w:jc w:val="center"/>
                    <w:rPr>
                      <w:lang w:eastAsia="zh-CN"/>
                    </w:rPr>
                  </w:pPr>
                </w:p>
              </w:tc>
              <w:tc>
                <w:tcPr>
                  <w:tcW w:w="1365" w:type="dxa"/>
                  <w:tcMar>
                    <w:top w:w="0" w:type="dxa"/>
                    <w:left w:w="0" w:type="dxa"/>
                    <w:bottom w:w="0" w:type="dxa"/>
                    <w:right w:w="0" w:type="dxa"/>
                  </w:tcMar>
                </w:tcPr>
                <w:p w14:paraId="3F0C8F45" w14:textId="77777777" w:rsidR="003E10EF" w:rsidRPr="00D33300" w:rsidRDefault="003E10EF" w:rsidP="003E10EF">
                  <w:pPr>
                    <w:keepNext/>
                    <w:spacing w:line="1" w:lineRule="auto"/>
                    <w:jc w:val="center"/>
                    <w:rPr>
                      <w:lang w:eastAsia="zh-CN"/>
                    </w:rPr>
                  </w:pPr>
                </w:p>
              </w:tc>
              <w:tc>
                <w:tcPr>
                  <w:tcW w:w="1440" w:type="dxa"/>
                  <w:tcMar>
                    <w:top w:w="0" w:type="dxa"/>
                    <w:left w:w="0" w:type="dxa"/>
                    <w:bottom w:w="0" w:type="dxa"/>
                    <w:right w:w="0" w:type="dxa"/>
                  </w:tcMar>
                </w:tcPr>
                <w:p w14:paraId="5FE11093" w14:textId="77777777" w:rsidR="003E10EF" w:rsidRPr="00D33300" w:rsidRDefault="003E10EF" w:rsidP="003E10EF">
                  <w:pPr>
                    <w:keepNext/>
                    <w:spacing w:line="1" w:lineRule="auto"/>
                    <w:jc w:val="center"/>
                    <w:rPr>
                      <w:lang w:eastAsia="zh-CN"/>
                    </w:rPr>
                  </w:pPr>
                </w:p>
              </w:tc>
              <w:tc>
                <w:tcPr>
                  <w:tcW w:w="1350" w:type="dxa"/>
                  <w:tcMar>
                    <w:top w:w="0" w:type="dxa"/>
                    <w:left w:w="0" w:type="dxa"/>
                    <w:bottom w:w="0" w:type="dxa"/>
                    <w:right w:w="0" w:type="dxa"/>
                  </w:tcMar>
                </w:tcPr>
                <w:p w14:paraId="5845AE51" w14:textId="77777777" w:rsidR="003E10EF" w:rsidRPr="00D33300" w:rsidRDefault="003E10EF" w:rsidP="003E10EF">
                  <w:pPr>
                    <w:keepNext/>
                    <w:spacing w:line="1" w:lineRule="auto"/>
                    <w:jc w:val="center"/>
                    <w:rPr>
                      <w:lang w:eastAsia="zh-CN"/>
                    </w:rPr>
                  </w:pPr>
                </w:p>
              </w:tc>
              <w:tc>
                <w:tcPr>
                  <w:tcW w:w="1500" w:type="dxa"/>
                  <w:tcMar>
                    <w:top w:w="0" w:type="dxa"/>
                    <w:left w:w="0" w:type="dxa"/>
                    <w:bottom w:w="0" w:type="dxa"/>
                    <w:right w:w="0" w:type="dxa"/>
                  </w:tcMar>
                </w:tcPr>
                <w:p w14:paraId="043D4E3E" w14:textId="77777777" w:rsidR="003E10EF" w:rsidRPr="00D33300" w:rsidRDefault="003E10EF" w:rsidP="003E10EF">
                  <w:pPr>
                    <w:keepNext/>
                    <w:spacing w:line="1" w:lineRule="auto"/>
                    <w:jc w:val="center"/>
                    <w:rPr>
                      <w:lang w:eastAsia="zh-CN"/>
                    </w:rPr>
                  </w:pPr>
                </w:p>
              </w:tc>
            </w:tr>
          </w:tbl>
          <w:p w14:paraId="7F7BE9E6" w14:textId="77777777" w:rsidR="003E10EF" w:rsidRPr="00D33300" w:rsidRDefault="003E10EF" w:rsidP="003E10EF">
            <w:pPr>
              <w:keepNext/>
              <w:spacing w:line="1" w:lineRule="auto"/>
              <w:jc w:val="left"/>
              <w:rPr>
                <w:lang w:eastAsia="zh-CN"/>
              </w:rPr>
            </w:pPr>
          </w:p>
        </w:tc>
      </w:tr>
      <w:tr w:rsidR="003E10EF" w:rsidRPr="00C72898" w14:paraId="699D5D30" w14:textId="77777777" w:rsidTr="00FF3A1F">
        <w:tc>
          <w:tcPr>
            <w:tcW w:w="10080" w:type="dxa"/>
            <w:tcMar>
              <w:top w:w="0" w:type="dxa"/>
              <w:left w:w="0" w:type="dxa"/>
              <w:bottom w:w="0" w:type="dxa"/>
              <w:right w:w="0" w:type="dxa"/>
            </w:tcMar>
          </w:tcPr>
          <w:p w14:paraId="729A620D" w14:textId="77777777" w:rsidR="003E10EF" w:rsidRDefault="003E10EF" w:rsidP="003E10EF">
            <w:pPr>
              <w:keepNext/>
            </w:pPr>
          </w:p>
          <w:tbl>
            <w:tblPr>
              <w:tblW w:w="9894" w:type="dxa"/>
              <w:tblInd w:w="6"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9894"/>
            </w:tblGrid>
            <w:tr w:rsidR="003E10EF" w:rsidRPr="00C72898" w14:paraId="36F681A4" w14:textId="77777777" w:rsidTr="00FF3A1F">
              <w:trPr>
                <w:trHeight w:val="184"/>
              </w:trPr>
              <w:tc>
                <w:tcPr>
                  <w:tcW w:w="9894" w:type="dxa"/>
                  <w:tcBorders>
                    <w:top w:val="single" w:sz="6" w:space="0" w:color="000000"/>
                    <w:left w:val="single" w:sz="6" w:space="0" w:color="000000"/>
                    <w:bottom w:val="single" w:sz="4" w:space="0" w:color="auto"/>
                    <w:right w:val="single" w:sz="6" w:space="0" w:color="000000"/>
                  </w:tcBorders>
                  <w:tcMar>
                    <w:top w:w="0" w:type="dxa"/>
                    <w:left w:w="0" w:type="dxa"/>
                    <w:bottom w:w="0" w:type="dxa"/>
                    <w:right w:w="0" w:type="dxa"/>
                  </w:tcMar>
                </w:tcPr>
                <w:p w14:paraId="27B07147" w14:textId="77777777" w:rsidR="003E10EF" w:rsidRPr="0052329D" w:rsidRDefault="003E10EF" w:rsidP="003E10EF">
                  <w:pPr>
                    <w:keepNext/>
                    <w:jc w:val="left"/>
                    <w:rPr>
                      <w:rFonts w:eastAsia="Arial" w:cs="Arial"/>
                      <w:color w:val="000000"/>
                      <w:sz w:val="16"/>
                      <w:szCs w:val="16"/>
                      <w:u w:val="single"/>
                      <w:lang w:val="fr-FR"/>
                    </w:rPr>
                  </w:pPr>
                  <w:r w:rsidRPr="0052329D">
                    <w:rPr>
                      <w:sz w:val="16"/>
                      <w:u w:val="single"/>
                      <w:lang w:val="fr-FR"/>
                    </w:rPr>
                    <w:t>NEW TEST GUIDELINES / NOUVEAUX PRINCIPES DIRECTEURS D’EXAMEN / NEUE PRÜFUNGSRICHTILINIEN /</w:t>
                  </w:r>
                  <w:r w:rsidRPr="0052329D">
                    <w:rPr>
                      <w:sz w:val="16"/>
                      <w:u w:val="single"/>
                      <w:lang w:val="fr-FR"/>
                    </w:rPr>
                    <w:br/>
                    <w:t>NUEVAS DIRECTRICES DE EXAMEN</w:t>
                  </w:r>
                  <w:r w:rsidRPr="0052329D">
                    <w:rPr>
                      <w:color w:val="000000"/>
                      <w:sz w:val="16"/>
                      <w:u w:val="single"/>
                      <w:lang w:val="fr-FR"/>
                    </w:rPr>
                    <w:br/>
                  </w:r>
                </w:p>
              </w:tc>
            </w:tr>
          </w:tbl>
          <w:p w14:paraId="29D84A0B" w14:textId="77777777" w:rsidR="003E10EF" w:rsidRPr="004849CA" w:rsidRDefault="003E10EF" w:rsidP="003E10EF">
            <w:pPr>
              <w:keepNext/>
              <w:jc w:val="left"/>
              <w:rPr>
                <w:rFonts w:ascii="Times New Roman" w:hAnsi="Times New Roman"/>
                <w:lang w:val="fr-CH"/>
              </w:rPr>
            </w:pPr>
          </w:p>
        </w:tc>
      </w:tr>
      <w:tr w:rsidR="003E10EF" w:rsidRPr="00C72898" w14:paraId="6CEF4554" w14:textId="77777777" w:rsidTr="00FF3A1F">
        <w:tc>
          <w:tcPr>
            <w:tcW w:w="10080" w:type="dxa"/>
            <w:tcMar>
              <w:top w:w="0" w:type="dxa"/>
              <w:left w:w="0" w:type="dxa"/>
              <w:bottom w:w="0" w:type="dxa"/>
              <w:right w:w="0" w:type="dxa"/>
            </w:tcMar>
          </w:tcPr>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45"/>
              <w:gridCol w:w="885"/>
              <w:gridCol w:w="1245"/>
              <w:gridCol w:w="1545"/>
              <w:gridCol w:w="1290"/>
              <w:gridCol w:w="1470"/>
              <w:gridCol w:w="1365"/>
              <w:gridCol w:w="1455"/>
            </w:tblGrid>
            <w:tr w:rsidR="003E10EF" w:rsidRPr="00C72898" w14:paraId="2F9D8C6D" w14:textId="77777777" w:rsidTr="00FF3A1F">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45" w:type="dxa"/>
                    <w:tblLayout w:type="fixed"/>
                    <w:tblCellMar>
                      <w:left w:w="0" w:type="dxa"/>
                      <w:right w:w="0" w:type="dxa"/>
                    </w:tblCellMar>
                    <w:tblLook w:val="01E0" w:firstRow="1" w:lastRow="1" w:firstColumn="1" w:lastColumn="1" w:noHBand="0" w:noVBand="0"/>
                  </w:tblPr>
                  <w:tblGrid>
                    <w:gridCol w:w="645"/>
                  </w:tblGrid>
                  <w:tr w:rsidR="003E10EF" w:rsidRPr="00FC2133" w14:paraId="3995E836" w14:textId="77777777" w:rsidTr="00FF3A1F">
                    <w:tc>
                      <w:tcPr>
                        <w:tcW w:w="645" w:type="dxa"/>
                        <w:tcMar>
                          <w:top w:w="0" w:type="dxa"/>
                          <w:left w:w="0" w:type="dxa"/>
                          <w:bottom w:w="0" w:type="dxa"/>
                          <w:right w:w="0" w:type="dxa"/>
                        </w:tcMar>
                      </w:tcPr>
                      <w:p w14:paraId="550CE86E" w14:textId="77777777" w:rsidR="003E10EF" w:rsidRPr="00FC2133" w:rsidRDefault="003E10EF" w:rsidP="00FF3A1F">
                        <w:pPr>
                          <w:jc w:val="left"/>
                          <w:rPr>
                            <w:rFonts w:cs="Arial"/>
                            <w:color w:val="000000"/>
                            <w:sz w:val="16"/>
                            <w:szCs w:val="16"/>
                          </w:rPr>
                        </w:pPr>
                        <w:r>
                          <w:rPr>
                            <w:color w:val="000000"/>
                            <w:sz w:val="16"/>
                          </w:rPr>
                          <w:t>MX</w:t>
                        </w:r>
                      </w:p>
                      <w:p w14:paraId="6B3DB6AD" w14:textId="77777777" w:rsidR="003E10EF" w:rsidRPr="00FC2133" w:rsidRDefault="003E10EF" w:rsidP="00FF3A1F">
                        <w:pPr>
                          <w:spacing w:line="1" w:lineRule="auto"/>
                          <w:jc w:val="left"/>
                          <w:rPr>
                            <w:lang w:eastAsia="zh-CN"/>
                          </w:rPr>
                        </w:pPr>
                      </w:p>
                    </w:tc>
                  </w:tr>
                  <w:tr w:rsidR="003E10EF" w:rsidRPr="00FC2133" w14:paraId="049E3BAB" w14:textId="77777777" w:rsidTr="00FF3A1F">
                    <w:tc>
                      <w:tcPr>
                        <w:tcW w:w="645" w:type="dxa"/>
                        <w:tcMar>
                          <w:top w:w="0" w:type="dxa"/>
                          <w:left w:w="0" w:type="dxa"/>
                          <w:bottom w:w="0" w:type="dxa"/>
                          <w:right w:w="0" w:type="dxa"/>
                        </w:tcMar>
                      </w:tcPr>
                      <w:p w14:paraId="46FA1FAE" w14:textId="77777777" w:rsidR="003E10EF" w:rsidRPr="00FC2133" w:rsidRDefault="003E10EF" w:rsidP="00FF3A1F">
                        <w:pPr>
                          <w:jc w:val="left"/>
                          <w:rPr>
                            <w:rFonts w:cs="Arial"/>
                            <w:color w:val="000000"/>
                            <w:sz w:val="16"/>
                            <w:szCs w:val="16"/>
                            <w:lang w:eastAsia="zh-CN"/>
                          </w:rPr>
                        </w:pPr>
                      </w:p>
                    </w:tc>
                  </w:tr>
                </w:tbl>
                <w:p w14:paraId="4563C059" w14:textId="77777777" w:rsidR="003E10EF" w:rsidRPr="00FC2133" w:rsidRDefault="003E10EF" w:rsidP="00FF3A1F">
                  <w:pPr>
                    <w:spacing w:line="1" w:lineRule="auto"/>
                    <w:jc w:val="left"/>
                    <w:rPr>
                      <w:lang w:eastAsia="zh-CN"/>
                    </w:rPr>
                  </w:pPr>
                </w:p>
              </w:tc>
              <w:tc>
                <w:tcPr>
                  <w:tcW w:w="8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D6FD23" w14:textId="77777777" w:rsidR="003E10EF" w:rsidRPr="00FC2133" w:rsidRDefault="003E10EF" w:rsidP="00FF3A1F">
                  <w:pPr>
                    <w:jc w:val="left"/>
                    <w:rPr>
                      <w:vanish/>
                      <w:lang w:eastAsia="zh-CN"/>
                    </w:rPr>
                  </w:pPr>
                </w:p>
                <w:tbl>
                  <w:tblPr>
                    <w:tblW w:w="885" w:type="dxa"/>
                    <w:tblLayout w:type="fixed"/>
                    <w:tblCellMar>
                      <w:left w:w="0" w:type="dxa"/>
                      <w:right w:w="0" w:type="dxa"/>
                    </w:tblCellMar>
                    <w:tblLook w:val="01E0" w:firstRow="1" w:lastRow="1" w:firstColumn="1" w:lastColumn="1" w:noHBand="0" w:noVBand="0"/>
                  </w:tblPr>
                  <w:tblGrid>
                    <w:gridCol w:w="885"/>
                  </w:tblGrid>
                  <w:tr w:rsidR="003E10EF" w:rsidRPr="00FC2133" w14:paraId="1AD87F8A" w14:textId="77777777" w:rsidTr="00FF3A1F">
                    <w:tc>
                      <w:tcPr>
                        <w:tcW w:w="885" w:type="dxa"/>
                        <w:tcMar>
                          <w:top w:w="0" w:type="dxa"/>
                          <w:left w:w="0" w:type="dxa"/>
                          <w:bottom w:w="0" w:type="dxa"/>
                          <w:right w:w="0" w:type="dxa"/>
                        </w:tcMar>
                      </w:tcPr>
                      <w:p w14:paraId="38B9E349" w14:textId="77777777" w:rsidR="003E10EF" w:rsidRPr="00FC2133" w:rsidRDefault="003E10EF" w:rsidP="00FF3A1F">
                        <w:pPr>
                          <w:jc w:val="left"/>
                          <w:rPr>
                            <w:rFonts w:cs="Arial"/>
                            <w:color w:val="000000"/>
                            <w:sz w:val="16"/>
                            <w:szCs w:val="16"/>
                          </w:rPr>
                        </w:pPr>
                        <w:r>
                          <w:rPr>
                            <w:color w:val="000000"/>
                            <w:sz w:val="16"/>
                          </w:rPr>
                          <w:t>TWO</w:t>
                        </w:r>
                      </w:p>
                      <w:p w14:paraId="4E512A81" w14:textId="77777777" w:rsidR="003E10EF" w:rsidRPr="00FC2133" w:rsidRDefault="003E10EF" w:rsidP="00FF3A1F">
                        <w:pPr>
                          <w:spacing w:line="1" w:lineRule="auto"/>
                          <w:jc w:val="left"/>
                          <w:rPr>
                            <w:lang w:eastAsia="zh-CN"/>
                          </w:rPr>
                        </w:pPr>
                      </w:p>
                    </w:tc>
                  </w:tr>
                </w:tbl>
                <w:p w14:paraId="7EA1A174" w14:textId="77777777" w:rsidR="003E10EF" w:rsidRPr="00FC2133" w:rsidRDefault="003E10EF" w:rsidP="00FF3A1F">
                  <w:pPr>
                    <w:spacing w:line="1" w:lineRule="auto"/>
                    <w:jc w:val="left"/>
                    <w:rPr>
                      <w:lang w:eastAsia="zh-CN"/>
                    </w:rPr>
                  </w:pPr>
                </w:p>
              </w:tc>
              <w:tc>
                <w:tcPr>
                  <w:tcW w:w="12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BBD48E" w14:textId="77777777" w:rsidR="003E10EF" w:rsidRPr="00FC2133" w:rsidRDefault="003E10EF" w:rsidP="00FF3A1F">
                  <w:pPr>
                    <w:jc w:val="left"/>
                    <w:rPr>
                      <w:vanish/>
                      <w:lang w:eastAsia="zh-CN"/>
                    </w:rPr>
                  </w:pPr>
                </w:p>
                <w:tbl>
                  <w:tblPr>
                    <w:tblW w:w="1245" w:type="dxa"/>
                    <w:tblLayout w:type="fixed"/>
                    <w:tblCellMar>
                      <w:left w:w="0" w:type="dxa"/>
                      <w:right w:w="0" w:type="dxa"/>
                    </w:tblCellMar>
                    <w:tblLook w:val="01E0" w:firstRow="1" w:lastRow="1" w:firstColumn="1" w:lastColumn="1" w:noHBand="0" w:noVBand="0"/>
                  </w:tblPr>
                  <w:tblGrid>
                    <w:gridCol w:w="1245"/>
                  </w:tblGrid>
                  <w:tr w:rsidR="003E10EF" w:rsidRPr="00FC2133" w14:paraId="6636A502" w14:textId="77777777" w:rsidTr="00FF3A1F">
                    <w:tc>
                      <w:tcPr>
                        <w:tcW w:w="1245" w:type="dxa"/>
                        <w:tcMar>
                          <w:top w:w="0" w:type="dxa"/>
                          <w:left w:w="0" w:type="dxa"/>
                          <w:bottom w:w="0" w:type="dxa"/>
                          <w:right w:w="0" w:type="dxa"/>
                        </w:tcMar>
                      </w:tcPr>
                      <w:p w14:paraId="55D61756" w14:textId="77777777" w:rsidR="003E10EF" w:rsidRPr="00FC2133" w:rsidRDefault="003E10EF" w:rsidP="00FF3A1F">
                        <w:pPr>
                          <w:jc w:val="left"/>
                          <w:rPr>
                            <w:rFonts w:cs="Arial"/>
                            <w:color w:val="000000"/>
                            <w:sz w:val="16"/>
                            <w:szCs w:val="16"/>
                          </w:rPr>
                        </w:pPr>
                        <w:r>
                          <w:rPr>
                            <w:color w:val="000000"/>
                            <w:sz w:val="16"/>
                          </w:rPr>
                          <w:t>TG/ZINNI</w:t>
                        </w:r>
                        <w:r>
                          <w:rPr>
                            <w:color w:val="000000"/>
                            <w:sz w:val="16"/>
                          </w:rPr>
                          <w:br/>
                          <w:t>(proj.10)</w:t>
                        </w:r>
                      </w:p>
                      <w:p w14:paraId="114A3096" w14:textId="77777777" w:rsidR="003E10EF" w:rsidRPr="00FC2133" w:rsidRDefault="003E10EF" w:rsidP="00FF3A1F">
                        <w:pPr>
                          <w:spacing w:line="1" w:lineRule="auto"/>
                          <w:jc w:val="left"/>
                          <w:rPr>
                            <w:lang w:eastAsia="zh-CN"/>
                          </w:rPr>
                        </w:pPr>
                      </w:p>
                    </w:tc>
                  </w:tr>
                </w:tbl>
                <w:p w14:paraId="5965389C" w14:textId="77777777" w:rsidR="003E10EF" w:rsidRPr="00FC2133" w:rsidRDefault="003E10EF" w:rsidP="00FF3A1F">
                  <w:pPr>
                    <w:spacing w:line="1" w:lineRule="auto"/>
                    <w:jc w:val="left"/>
                    <w:rPr>
                      <w:lang w:eastAsia="zh-CN"/>
                    </w:rPr>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398E51" w14:textId="77777777" w:rsidR="003E10EF" w:rsidRPr="00FC2133" w:rsidRDefault="003E10EF" w:rsidP="00FF3A1F">
                  <w:pPr>
                    <w:jc w:val="left"/>
                  </w:pPr>
                  <w:r>
                    <w:rPr>
                      <w:color w:val="000000"/>
                      <w:sz w:val="16"/>
                    </w:rPr>
                    <w:t>Zinnia</w:t>
                  </w: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158482" w14:textId="77777777" w:rsidR="003E10EF" w:rsidRPr="00FC2133" w:rsidRDefault="003E10EF" w:rsidP="00FF3A1F">
                  <w:pPr>
                    <w:jc w:val="left"/>
                  </w:pPr>
                  <w:r>
                    <w:rPr>
                      <w:color w:val="000000"/>
                      <w:sz w:val="16"/>
                    </w:rPr>
                    <w:t>Zinnia</w:t>
                  </w: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8922D9" w14:textId="6763836F" w:rsidR="003E10EF" w:rsidRPr="00FC2133" w:rsidRDefault="003E10EF" w:rsidP="00FF3A1F">
                  <w:pPr>
                    <w:jc w:val="left"/>
                  </w:pPr>
                  <w:r>
                    <w:rPr>
                      <w:color w:val="000000"/>
                      <w:sz w:val="16"/>
                    </w:rPr>
                    <w:t>Zinni</w:t>
                  </w:r>
                  <w:r w:rsidR="00717C47">
                    <w:rPr>
                      <w:color w:val="000000"/>
                      <w:sz w:val="16"/>
                    </w:rPr>
                    <w:t>e</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0AE4CF" w14:textId="77777777" w:rsidR="003E10EF" w:rsidRPr="00FC2133" w:rsidRDefault="003E10EF" w:rsidP="00FF3A1F">
                  <w:pPr>
                    <w:jc w:val="left"/>
                  </w:pPr>
                  <w:r>
                    <w:rPr>
                      <w:color w:val="000000"/>
                      <w:sz w:val="16"/>
                    </w:rPr>
                    <w:t>Zinnia</w:t>
                  </w: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F883FB" w14:textId="77777777" w:rsidR="003E10EF" w:rsidRPr="00FC2133" w:rsidRDefault="003E10EF" w:rsidP="00FF3A1F">
                  <w:pPr>
                    <w:jc w:val="left"/>
                    <w:rPr>
                      <w:vanish/>
                      <w:lang w:eastAsia="zh-CN"/>
                    </w:rPr>
                  </w:pPr>
                </w:p>
                <w:tbl>
                  <w:tblPr>
                    <w:tblW w:w="1455" w:type="dxa"/>
                    <w:tblLayout w:type="fixed"/>
                    <w:tblCellMar>
                      <w:left w:w="0" w:type="dxa"/>
                      <w:right w:w="0" w:type="dxa"/>
                    </w:tblCellMar>
                    <w:tblLook w:val="01E0" w:firstRow="1" w:lastRow="1" w:firstColumn="1" w:lastColumn="1" w:noHBand="0" w:noVBand="0"/>
                  </w:tblPr>
                  <w:tblGrid>
                    <w:gridCol w:w="1455"/>
                  </w:tblGrid>
                  <w:tr w:rsidR="003E10EF" w:rsidRPr="00C72898" w14:paraId="2AF78B33" w14:textId="77777777" w:rsidTr="00FF3A1F">
                    <w:tc>
                      <w:tcPr>
                        <w:tcW w:w="1455" w:type="dxa"/>
                        <w:tcMar>
                          <w:top w:w="0" w:type="dxa"/>
                          <w:left w:w="0" w:type="dxa"/>
                          <w:bottom w:w="0" w:type="dxa"/>
                          <w:right w:w="0" w:type="dxa"/>
                        </w:tcMar>
                      </w:tcPr>
                      <w:p w14:paraId="5AEC2985" w14:textId="77777777" w:rsidR="003E10EF" w:rsidRPr="00C72898" w:rsidRDefault="003E10EF" w:rsidP="00FF3A1F">
                        <w:pPr>
                          <w:jc w:val="left"/>
                          <w:rPr>
                            <w:rFonts w:cs="Arial"/>
                            <w:i/>
                            <w:iCs/>
                            <w:color w:val="000000"/>
                            <w:sz w:val="16"/>
                            <w:szCs w:val="16"/>
                            <w:lang w:val="en-US"/>
                          </w:rPr>
                        </w:pPr>
                        <w:r w:rsidRPr="00C72898">
                          <w:rPr>
                            <w:i/>
                            <w:color w:val="000000"/>
                            <w:sz w:val="16"/>
                            <w:lang w:val="en-US"/>
                          </w:rPr>
                          <w:t>Zinnia</w:t>
                        </w:r>
                        <w:r w:rsidRPr="00C72898">
                          <w:rPr>
                            <w:color w:val="000000"/>
                            <w:sz w:val="16"/>
                            <w:lang w:val="en-US"/>
                          </w:rPr>
                          <w:t xml:space="preserve"> ×</w:t>
                        </w:r>
                        <w:r w:rsidRPr="00C72898">
                          <w:rPr>
                            <w:i/>
                            <w:color w:val="000000"/>
                            <w:sz w:val="16"/>
                            <w:lang w:val="en-US"/>
                          </w:rPr>
                          <w:t>marylandica</w:t>
                        </w:r>
                        <w:r w:rsidRPr="00C72898">
                          <w:rPr>
                            <w:color w:val="000000"/>
                            <w:sz w:val="16"/>
                            <w:lang w:val="en-US"/>
                          </w:rPr>
                          <w:t xml:space="preserve"> D. M. Spooner et al. , </w:t>
                        </w:r>
                        <w:r w:rsidRPr="00C72898">
                          <w:rPr>
                            <w:i/>
                            <w:color w:val="000000"/>
                            <w:sz w:val="16"/>
                            <w:lang w:val="en-US"/>
                          </w:rPr>
                          <w:t>Zinnia elegans</w:t>
                        </w:r>
                        <w:r w:rsidRPr="00C72898">
                          <w:rPr>
                            <w:color w:val="000000"/>
                            <w:sz w:val="16"/>
                            <w:lang w:val="en-US"/>
                          </w:rPr>
                          <w:t xml:space="preserve"> Jacq. , </w:t>
                        </w:r>
                        <w:r w:rsidRPr="00C72898">
                          <w:rPr>
                            <w:i/>
                            <w:color w:val="000000"/>
                            <w:sz w:val="16"/>
                            <w:lang w:val="en-US"/>
                          </w:rPr>
                          <w:t>Zinnia angustifolia</w:t>
                        </w:r>
                        <w:r w:rsidRPr="00C72898">
                          <w:rPr>
                            <w:color w:val="000000"/>
                            <w:sz w:val="16"/>
                            <w:lang w:val="en-US"/>
                          </w:rPr>
                          <w:t xml:space="preserve"> Kunth , </w:t>
                        </w:r>
                        <w:r w:rsidRPr="00C72898">
                          <w:rPr>
                            <w:i/>
                            <w:color w:val="000000"/>
                            <w:sz w:val="16"/>
                            <w:lang w:val="en-US"/>
                          </w:rPr>
                          <w:t>Zinnia peruviana</w:t>
                        </w:r>
                        <w:r w:rsidRPr="00C72898">
                          <w:rPr>
                            <w:color w:val="000000"/>
                            <w:sz w:val="16"/>
                            <w:lang w:val="en-US"/>
                          </w:rPr>
                          <w:t xml:space="preserve"> (L.) L.</w:t>
                        </w:r>
                      </w:p>
                      <w:p w14:paraId="3101BE8A" w14:textId="77777777" w:rsidR="003E10EF" w:rsidRPr="00C72898" w:rsidRDefault="003E10EF" w:rsidP="00FF3A1F">
                        <w:pPr>
                          <w:spacing w:line="1" w:lineRule="auto"/>
                          <w:jc w:val="left"/>
                          <w:rPr>
                            <w:lang w:val="en-US" w:eastAsia="zh-CN"/>
                          </w:rPr>
                        </w:pPr>
                      </w:p>
                    </w:tc>
                  </w:tr>
                </w:tbl>
                <w:p w14:paraId="75A3FFE9" w14:textId="77777777" w:rsidR="003E10EF" w:rsidRPr="00C72898" w:rsidRDefault="003E10EF" w:rsidP="00FF3A1F">
                  <w:pPr>
                    <w:spacing w:line="1" w:lineRule="auto"/>
                    <w:jc w:val="left"/>
                    <w:rPr>
                      <w:lang w:val="en-US" w:eastAsia="zh-CN"/>
                    </w:rPr>
                  </w:pPr>
                </w:p>
              </w:tc>
            </w:tr>
          </w:tbl>
          <w:p w14:paraId="4A20F1F6" w14:textId="77777777" w:rsidR="003E10EF" w:rsidRPr="00C72898" w:rsidRDefault="003E10EF" w:rsidP="00FF3A1F">
            <w:pPr>
              <w:jc w:val="left"/>
              <w:rPr>
                <w:rFonts w:eastAsia="Arial" w:cs="Arial"/>
                <w:color w:val="000000"/>
                <w:lang w:val="en-US"/>
              </w:rPr>
            </w:pPr>
            <w:r w:rsidRPr="00C72898">
              <w:rPr>
                <w:color w:val="000000"/>
                <w:lang w:val="en-US"/>
              </w:rPr>
              <w:t xml:space="preserve">     </w:t>
            </w:r>
          </w:p>
        </w:tc>
      </w:tr>
      <w:tr w:rsidR="003E10EF" w:rsidRPr="00D33300" w14:paraId="777FCA21" w14:textId="77777777" w:rsidTr="00FF3A1F">
        <w:tc>
          <w:tcPr>
            <w:tcW w:w="10080" w:type="dxa"/>
            <w:tcMar>
              <w:top w:w="0" w:type="dxa"/>
              <w:left w:w="0" w:type="dxa"/>
              <w:bottom w:w="0" w:type="dxa"/>
              <w:right w:w="0" w:type="dxa"/>
            </w:tcMar>
          </w:tcPr>
          <w:tbl>
            <w:tblPr>
              <w:tblW w:w="991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49"/>
              <w:gridCol w:w="887"/>
              <w:gridCol w:w="1243"/>
              <w:gridCol w:w="1543"/>
              <w:gridCol w:w="7"/>
              <w:gridCol w:w="1284"/>
              <w:gridCol w:w="1471"/>
              <w:gridCol w:w="1363"/>
              <w:gridCol w:w="6"/>
              <w:gridCol w:w="1462"/>
            </w:tblGrid>
            <w:tr w:rsidR="003E10EF" w:rsidRPr="00C72898" w14:paraId="494D8B8C" w14:textId="77777777" w:rsidTr="00FF3A1F">
              <w:trPr>
                <w:trHeight w:val="184"/>
              </w:trPr>
              <w:tc>
                <w:tcPr>
                  <w:tcW w:w="9915"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4394FD" w14:textId="77777777" w:rsidR="003E10EF" w:rsidRPr="0052329D" w:rsidRDefault="003E10EF" w:rsidP="00FF3A1F">
                  <w:pPr>
                    <w:jc w:val="left"/>
                    <w:rPr>
                      <w:vanish/>
                      <w:lang w:val="fr-FR"/>
                    </w:rPr>
                  </w:pPr>
                  <w:r w:rsidRPr="00D33300">
                    <w:fldChar w:fldCharType="begin"/>
                  </w:r>
                  <w:r w:rsidRPr="0052329D">
                    <w:rPr>
                      <w:lang w:val="fr-FR"/>
                    </w:rPr>
                    <w:instrText>TC 1 \f C \l "1"</w:instrText>
                  </w:r>
                  <w:r w:rsidRPr="00D33300">
                    <w:fldChar w:fldCharType="end"/>
                  </w:r>
                </w:p>
                <w:p w14:paraId="65B76FEC" w14:textId="77777777" w:rsidR="003E10EF" w:rsidRPr="0052329D" w:rsidRDefault="003E10EF" w:rsidP="00FF3A1F">
                  <w:pPr>
                    <w:jc w:val="left"/>
                    <w:rPr>
                      <w:rFonts w:eastAsia="Arial" w:cs="Arial"/>
                      <w:color w:val="000000"/>
                      <w:sz w:val="16"/>
                      <w:szCs w:val="16"/>
                      <w:u w:val="single"/>
                      <w:lang w:val="fr-FR"/>
                    </w:rPr>
                  </w:pPr>
                  <w:r w:rsidRPr="0052329D">
                    <w:rPr>
                      <w:color w:val="000000"/>
                      <w:sz w:val="16"/>
                      <w:u w:val="single"/>
                      <w:lang w:val="fr-FR"/>
                    </w:rPr>
                    <w:t>REVISIONS OF TEST GUIDELINES / RÉVISIONS DE PRINCIPES DIRECTEURS D’EXAMEN ADOPTÉS / REVISIONEN ANGENOMMENER PRÜFUNGSRICHTLINIEN / REVISIONES DE DIRECTRICES DE EXAMEN ADOPTADAS</w:t>
                  </w:r>
                  <w:r w:rsidRPr="0052329D">
                    <w:rPr>
                      <w:color w:val="000000"/>
                      <w:sz w:val="16"/>
                      <w:u w:val="single"/>
                      <w:lang w:val="fr-FR"/>
                    </w:rPr>
                    <w:br/>
                  </w:r>
                </w:p>
              </w:tc>
            </w:tr>
            <w:tr w:rsidR="003E10EF" w:rsidRPr="00D33300" w14:paraId="3999BFFD" w14:textId="77777777" w:rsidTr="00FF3A1F">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45" w:type="dxa"/>
                    <w:tblLayout w:type="fixed"/>
                    <w:tblCellMar>
                      <w:left w:w="0" w:type="dxa"/>
                      <w:right w:w="0" w:type="dxa"/>
                    </w:tblCellMar>
                    <w:tblLook w:val="01E0" w:firstRow="1" w:lastRow="1" w:firstColumn="1" w:lastColumn="1" w:noHBand="0" w:noVBand="0"/>
                  </w:tblPr>
                  <w:tblGrid>
                    <w:gridCol w:w="645"/>
                  </w:tblGrid>
                  <w:tr w:rsidR="003E10EF" w:rsidRPr="00FC2133" w14:paraId="1EFCDB1C" w14:textId="77777777" w:rsidTr="00FF3A1F">
                    <w:tc>
                      <w:tcPr>
                        <w:tcW w:w="645" w:type="dxa"/>
                        <w:tcMar>
                          <w:top w:w="0" w:type="dxa"/>
                          <w:left w:w="0" w:type="dxa"/>
                          <w:bottom w:w="0" w:type="dxa"/>
                          <w:right w:w="0" w:type="dxa"/>
                        </w:tcMar>
                      </w:tcPr>
                      <w:p w14:paraId="3EEF5965" w14:textId="77777777" w:rsidR="003E10EF" w:rsidRPr="00FC2133" w:rsidRDefault="003E10EF" w:rsidP="00FF3A1F">
                        <w:pPr>
                          <w:jc w:val="left"/>
                          <w:rPr>
                            <w:rFonts w:cs="Arial"/>
                            <w:color w:val="000000"/>
                            <w:sz w:val="16"/>
                            <w:szCs w:val="16"/>
                          </w:rPr>
                        </w:pPr>
                        <w:r>
                          <w:rPr>
                            <w:color w:val="000000"/>
                            <w:sz w:val="16"/>
                          </w:rPr>
                          <w:t>FR</w:t>
                        </w:r>
                      </w:p>
                      <w:p w14:paraId="7F4541DE" w14:textId="77777777" w:rsidR="003E10EF" w:rsidRPr="00FC2133" w:rsidRDefault="003E10EF" w:rsidP="00FF3A1F">
                        <w:pPr>
                          <w:spacing w:line="1" w:lineRule="auto"/>
                          <w:jc w:val="left"/>
                          <w:rPr>
                            <w:lang w:eastAsia="zh-CN"/>
                          </w:rPr>
                        </w:pPr>
                      </w:p>
                    </w:tc>
                  </w:tr>
                </w:tbl>
                <w:p w14:paraId="656E8594" w14:textId="77777777" w:rsidR="003E10EF" w:rsidRPr="00FC2133" w:rsidRDefault="003E10EF" w:rsidP="00FF3A1F">
                  <w:pPr>
                    <w:spacing w:line="1" w:lineRule="auto"/>
                    <w:jc w:val="left"/>
                    <w:rPr>
                      <w:lang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0778BF" w14:textId="77777777" w:rsidR="003E10EF" w:rsidRPr="00FC2133" w:rsidRDefault="003E10EF" w:rsidP="00FF3A1F">
                  <w:pPr>
                    <w:jc w:val="left"/>
                    <w:rPr>
                      <w:vanish/>
                      <w:lang w:eastAsia="zh-CN"/>
                    </w:rPr>
                  </w:pPr>
                </w:p>
                <w:tbl>
                  <w:tblPr>
                    <w:tblW w:w="885" w:type="dxa"/>
                    <w:tblLayout w:type="fixed"/>
                    <w:tblCellMar>
                      <w:left w:w="0" w:type="dxa"/>
                      <w:right w:w="0" w:type="dxa"/>
                    </w:tblCellMar>
                    <w:tblLook w:val="01E0" w:firstRow="1" w:lastRow="1" w:firstColumn="1" w:lastColumn="1" w:noHBand="0" w:noVBand="0"/>
                  </w:tblPr>
                  <w:tblGrid>
                    <w:gridCol w:w="885"/>
                  </w:tblGrid>
                  <w:tr w:rsidR="003E10EF" w:rsidRPr="00FC2133" w14:paraId="322E759E" w14:textId="77777777" w:rsidTr="00FF3A1F">
                    <w:tc>
                      <w:tcPr>
                        <w:tcW w:w="885" w:type="dxa"/>
                        <w:tcMar>
                          <w:top w:w="0" w:type="dxa"/>
                          <w:left w:w="0" w:type="dxa"/>
                          <w:bottom w:w="0" w:type="dxa"/>
                          <w:right w:w="0" w:type="dxa"/>
                        </w:tcMar>
                      </w:tcPr>
                      <w:p w14:paraId="25B02C80" w14:textId="77777777" w:rsidR="003E10EF" w:rsidRPr="00FC2133" w:rsidRDefault="003E10EF" w:rsidP="00FF3A1F">
                        <w:pPr>
                          <w:jc w:val="left"/>
                          <w:rPr>
                            <w:rFonts w:cs="Arial"/>
                            <w:color w:val="000000"/>
                            <w:sz w:val="16"/>
                            <w:szCs w:val="16"/>
                          </w:rPr>
                        </w:pPr>
                        <w:r>
                          <w:rPr>
                            <w:color w:val="000000"/>
                            <w:sz w:val="16"/>
                          </w:rPr>
                          <w:t>TWV</w:t>
                        </w:r>
                      </w:p>
                      <w:p w14:paraId="72A800AA" w14:textId="77777777" w:rsidR="003E10EF" w:rsidRPr="00FC2133" w:rsidRDefault="003E10EF" w:rsidP="00FF3A1F">
                        <w:pPr>
                          <w:spacing w:line="1" w:lineRule="auto"/>
                          <w:jc w:val="left"/>
                          <w:rPr>
                            <w:lang w:eastAsia="zh-CN"/>
                          </w:rPr>
                        </w:pPr>
                      </w:p>
                    </w:tc>
                  </w:tr>
                </w:tbl>
                <w:p w14:paraId="3B62EB9E" w14:textId="77777777" w:rsidR="003E10EF" w:rsidRPr="00FC2133" w:rsidRDefault="003E10EF" w:rsidP="00FF3A1F">
                  <w:pPr>
                    <w:spacing w:line="1" w:lineRule="auto"/>
                    <w:jc w:val="left"/>
                    <w:rPr>
                      <w:lang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F5CF3C" w14:textId="77777777" w:rsidR="003E10EF" w:rsidRPr="00FC2133" w:rsidRDefault="003E10EF" w:rsidP="00FF3A1F">
                  <w:pPr>
                    <w:jc w:val="left"/>
                    <w:rPr>
                      <w:vanish/>
                      <w:lang w:eastAsia="zh-CN"/>
                    </w:rPr>
                  </w:pPr>
                </w:p>
                <w:tbl>
                  <w:tblPr>
                    <w:tblW w:w="1245" w:type="dxa"/>
                    <w:tblLayout w:type="fixed"/>
                    <w:tblCellMar>
                      <w:left w:w="0" w:type="dxa"/>
                      <w:right w:w="0" w:type="dxa"/>
                    </w:tblCellMar>
                    <w:tblLook w:val="01E0" w:firstRow="1" w:lastRow="1" w:firstColumn="1" w:lastColumn="1" w:noHBand="0" w:noVBand="0"/>
                  </w:tblPr>
                  <w:tblGrid>
                    <w:gridCol w:w="1245"/>
                  </w:tblGrid>
                  <w:tr w:rsidR="003E10EF" w:rsidRPr="00FC2133" w14:paraId="6E9D348A" w14:textId="77777777" w:rsidTr="00FF3A1F">
                    <w:tc>
                      <w:tcPr>
                        <w:tcW w:w="1245" w:type="dxa"/>
                        <w:tcMar>
                          <w:top w:w="0" w:type="dxa"/>
                          <w:left w:w="0" w:type="dxa"/>
                          <w:bottom w:w="0" w:type="dxa"/>
                          <w:right w:w="0" w:type="dxa"/>
                        </w:tcMar>
                      </w:tcPr>
                      <w:p w14:paraId="5D1C0B89" w14:textId="77777777" w:rsidR="003E10EF" w:rsidRPr="00FC2133" w:rsidRDefault="003E10EF" w:rsidP="00FF3A1F">
                        <w:pPr>
                          <w:jc w:val="left"/>
                          <w:rPr>
                            <w:rFonts w:cs="Arial"/>
                            <w:color w:val="000000"/>
                            <w:sz w:val="16"/>
                            <w:szCs w:val="16"/>
                          </w:rPr>
                        </w:pPr>
                        <w:r>
                          <w:rPr>
                            <w:color w:val="000000"/>
                            <w:sz w:val="16"/>
                          </w:rPr>
                          <w:t>TG/37/11(proj.8)</w:t>
                        </w:r>
                      </w:p>
                      <w:p w14:paraId="17F35F56" w14:textId="77777777" w:rsidR="003E10EF" w:rsidRPr="00FC2133" w:rsidRDefault="003E10EF" w:rsidP="00FF3A1F">
                        <w:pPr>
                          <w:spacing w:line="1" w:lineRule="auto"/>
                          <w:jc w:val="left"/>
                          <w:rPr>
                            <w:lang w:eastAsia="zh-CN"/>
                          </w:rPr>
                        </w:pPr>
                      </w:p>
                    </w:tc>
                  </w:tr>
                </w:tbl>
                <w:p w14:paraId="1FF58B38" w14:textId="77777777" w:rsidR="003E10EF" w:rsidRPr="00FC2133" w:rsidRDefault="003E10EF" w:rsidP="00FF3A1F">
                  <w:pPr>
                    <w:spacing w:line="1" w:lineRule="auto"/>
                    <w:jc w:val="left"/>
                    <w:rPr>
                      <w:lang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EAAB34" w14:textId="77777777" w:rsidR="003E10EF" w:rsidRPr="00FC2133" w:rsidRDefault="003E10EF" w:rsidP="00FF3A1F">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3E10EF" w:rsidRPr="00FC2133" w14:paraId="15C174DB" w14:textId="77777777" w:rsidTr="00FF3A1F">
                    <w:tc>
                      <w:tcPr>
                        <w:tcW w:w="1545" w:type="dxa"/>
                        <w:tcMar>
                          <w:top w:w="0" w:type="dxa"/>
                          <w:left w:w="0" w:type="dxa"/>
                          <w:bottom w:w="0" w:type="dxa"/>
                          <w:right w:w="0" w:type="dxa"/>
                        </w:tcMar>
                      </w:tcPr>
                      <w:p w14:paraId="2AB6A4C9" w14:textId="77777777" w:rsidR="003E10EF" w:rsidRPr="00FC2133" w:rsidRDefault="003E10EF" w:rsidP="00FF3A1F">
                        <w:pPr>
                          <w:jc w:val="left"/>
                          <w:rPr>
                            <w:rFonts w:cs="Arial"/>
                            <w:color w:val="000000"/>
                            <w:sz w:val="16"/>
                            <w:szCs w:val="16"/>
                          </w:rPr>
                        </w:pPr>
                        <w:r>
                          <w:rPr>
                            <w:color w:val="000000"/>
                            <w:sz w:val="16"/>
                          </w:rPr>
                          <w:t>Turnip</w:t>
                        </w:r>
                      </w:p>
                      <w:p w14:paraId="3BDC8405" w14:textId="77777777" w:rsidR="003E10EF" w:rsidRPr="00FC2133" w:rsidRDefault="003E10EF" w:rsidP="00FF3A1F">
                        <w:pPr>
                          <w:spacing w:line="1" w:lineRule="auto"/>
                          <w:jc w:val="left"/>
                          <w:rPr>
                            <w:lang w:eastAsia="zh-CN"/>
                          </w:rPr>
                        </w:pPr>
                      </w:p>
                    </w:tc>
                  </w:tr>
                </w:tbl>
                <w:p w14:paraId="39ACC283" w14:textId="77777777" w:rsidR="003E10EF" w:rsidRPr="00FC2133" w:rsidRDefault="003E10EF" w:rsidP="00FF3A1F">
                  <w:pPr>
                    <w:spacing w:line="1" w:lineRule="auto"/>
                    <w:jc w:val="left"/>
                    <w:rPr>
                      <w:lang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AEE3F9" w14:textId="77777777" w:rsidR="003E10EF" w:rsidRPr="00FC2133" w:rsidRDefault="003E10EF" w:rsidP="00FF3A1F">
                  <w:pPr>
                    <w:jc w:val="left"/>
                    <w:rPr>
                      <w:vanish/>
                      <w:lang w:eastAsia="zh-CN"/>
                    </w:rPr>
                  </w:pPr>
                </w:p>
                <w:tbl>
                  <w:tblPr>
                    <w:tblW w:w="1290" w:type="dxa"/>
                    <w:tblLayout w:type="fixed"/>
                    <w:tblCellMar>
                      <w:left w:w="0" w:type="dxa"/>
                      <w:right w:w="0" w:type="dxa"/>
                    </w:tblCellMar>
                    <w:tblLook w:val="01E0" w:firstRow="1" w:lastRow="1" w:firstColumn="1" w:lastColumn="1" w:noHBand="0" w:noVBand="0"/>
                  </w:tblPr>
                  <w:tblGrid>
                    <w:gridCol w:w="1290"/>
                  </w:tblGrid>
                  <w:tr w:rsidR="003E10EF" w:rsidRPr="00FC2133" w14:paraId="798AF780" w14:textId="77777777" w:rsidTr="00FF3A1F">
                    <w:tc>
                      <w:tcPr>
                        <w:tcW w:w="1290" w:type="dxa"/>
                        <w:tcMar>
                          <w:top w:w="0" w:type="dxa"/>
                          <w:left w:w="0" w:type="dxa"/>
                          <w:bottom w:w="0" w:type="dxa"/>
                          <w:right w:w="0" w:type="dxa"/>
                        </w:tcMar>
                      </w:tcPr>
                      <w:p w14:paraId="576C8CC4" w14:textId="77777777" w:rsidR="003E10EF" w:rsidRPr="00FC2133" w:rsidRDefault="003E10EF" w:rsidP="00FF3A1F">
                        <w:pPr>
                          <w:jc w:val="left"/>
                          <w:rPr>
                            <w:rFonts w:cs="Arial"/>
                            <w:color w:val="000000"/>
                            <w:sz w:val="16"/>
                            <w:szCs w:val="16"/>
                          </w:rPr>
                        </w:pPr>
                        <w:r>
                          <w:rPr>
                            <w:color w:val="000000"/>
                            <w:sz w:val="16"/>
                          </w:rPr>
                          <w:t>Navet</w:t>
                        </w:r>
                      </w:p>
                      <w:p w14:paraId="7A6115B7" w14:textId="77777777" w:rsidR="003E10EF" w:rsidRPr="00FC2133" w:rsidRDefault="003E10EF" w:rsidP="00FF3A1F">
                        <w:pPr>
                          <w:spacing w:line="1" w:lineRule="auto"/>
                          <w:jc w:val="left"/>
                          <w:rPr>
                            <w:lang w:eastAsia="zh-CN"/>
                          </w:rPr>
                        </w:pPr>
                      </w:p>
                    </w:tc>
                  </w:tr>
                </w:tbl>
                <w:p w14:paraId="6345EA9A" w14:textId="77777777" w:rsidR="003E10EF" w:rsidRPr="00FC2133" w:rsidRDefault="003E10EF" w:rsidP="00FF3A1F">
                  <w:pPr>
                    <w:spacing w:line="1" w:lineRule="auto"/>
                    <w:jc w:val="left"/>
                    <w:rPr>
                      <w:lang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45EE97" w14:textId="77777777" w:rsidR="003E10EF" w:rsidRPr="00D33300" w:rsidRDefault="003E10EF" w:rsidP="00FF3A1F">
                  <w:pPr>
                    <w:jc w:val="left"/>
                    <w:rPr>
                      <w:vanish/>
                      <w:lang w:eastAsia="zh-CN"/>
                    </w:rPr>
                  </w:pPr>
                </w:p>
                <w:tbl>
                  <w:tblPr>
                    <w:tblW w:w="1470" w:type="dxa"/>
                    <w:tblLayout w:type="fixed"/>
                    <w:tblCellMar>
                      <w:left w:w="0" w:type="dxa"/>
                      <w:right w:w="0" w:type="dxa"/>
                    </w:tblCellMar>
                    <w:tblLook w:val="01E0" w:firstRow="1" w:lastRow="1" w:firstColumn="1" w:lastColumn="1" w:noHBand="0" w:noVBand="0"/>
                  </w:tblPr>
                  <w:tblGrid>
                    <w:gridCol w:w="1470"/>
                  </w:tblGrid>
                  <w:tr w:rsidR="003E10EF" w:rsidRPr="00D33300" w14:paraId="10C5EF5C" w14:textId="77777777" w:rsidTr="00FF3A1F">
                    <w:tc>
                      <w:tcPr>
                        <w:tcW w:w="1470" w:type="dxa"/>
                        <w:tcMar>
                          <w:top w:w="0" w:type="dxa"/>
                          <w:left w:w="0" w:type="dxa"/>
                          <w:bottom w:w="0" w:type="dxa"/>
                          <w:right w:w="0" w:type="dxa"/>
                        </w:tcMar>
                      </w:tcPr>
                      <w:p w14:paraId="71DEC5C2" w14:textId="77777777" w:rsidR="003E10EF" w:rsidRPr="00D33300" w:rsidRDefault="003E10EF" w:rsidP="00FF3A1F">
                        <w:pPr>
                          <w:jc w:val="left"/>
                          <w:rPr>
                            <w:rFonts w:cs="Arial"/>
                            <w:color w:val="000000"/>
                            <w:sz w:val="16"/>
                            <w:szCs w:val="16"/>
                          </w:rPr>
                        </w:pPr>
                        <w:r>
                          <w:rPr>
                            <w:color w:val="000000"/>
                            <w:sz w:val="16"/>
                          </w:rPr>
                          <w:t>Mairübe</w:t>
                        </w:r>
                      </w:p>
                      <w:p w14:paraId="0A559871" w14:textId="77777777" w:rsidR="003E10EF" w:rsidRPr="00D33300" w:rsidRDefault="003E10EF" w:rsidP="00FF3A1F">
                        <w:pPr>
                          <w:spacing w:line="1" w:lineRule="auto"/>
                          <w:jc w:val="left"/>
                          <w:rPr>
                            <w:lang w:eastAsia="zh-CN"/>
                          </w:rPr>
                        </w:pPr>
                      </w:p>
                    </w:tc>
                  </w:tr>
                </w:tbl>
                <w:p w14:paraId="147C5AC4" w14:textId="77777777" w:rsidR="003E10EF" w:rsidRPr="00D33300" w:rsidRDefault="003E10EF" w:rsidP="00FF3A1F">
                  <w:pPr>
                    <w:spacing w:line="1" w:lineRule="auto"/>
                    <w:jc w:val="left"/>
                    <w:rPr>
                      <w:lang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B2C97A" w14:textId="77777777" w:rsidR="003E10EF" w:rsidRPr="00D33300" w:rsidRDefault="003E10EF" w:rsidP="00FF3A1F">
                  <w:pPr>
                    <w:jc w:val="left"/>
                    <w:rPr>
                      <w:vanish/>
                      <w:lang w:eastAsia="zh-CN"/>
                    </w:rPr>
                  </w:pPr>
                </w:p>
                <w:tbl>
                  <w:tblPr>
                    <w:tblW w:w="1365" w:type="dxa"/>
                    <w:tblLayout w:type="fixed"/>
                    <w:tblCellMar>
                      <w:left w:w="0" w:type="dxa"/>
                      <w:right w:w="0" w:type="dxa"/>
                    </w:tblCellMar>
                    <w:tblLook w:val="01E0" w:firstRow="1" w:lastRow="1" w:firstColumn="1" w:lastColumn="1" w:noHBand="0" w:noVBand="0"/>
                  </w:tblPr>
                  <w:tblGrid>
                    <w:gridCol w:w="1365"/>
                  </w:tblGrid>
                  <w:tr w:rsidR="003E10EF" w:rsidRPr="00D33300" w14:paraId="1ED126FB" w14:textId="77777777" w:rsidTr="00FF3A1F">
                    <w:tc>
                      <w:tcPr>
                        <w:tcW w:w="1365" w:type="dxa"/>
                        <w:tcMar>
                          <w:top w:w="0" w:type="dxa"/>
                          <w:left w:w="0" w:type="dxa"/>
                          <w:bottom w:w="0" w:type="dxa"/>
                          <w:right w:w="0" w:type="dxa"/>
                        </w:tcMar>
                      </w:tcPr>
                      <w:p w14:paraId="42E8109B" w14:textId="77777777" w:rsidR="003E10EF" w:rsidRPr="00D33300" w:rsidRDefault="003E10EF" w:rsidP="00FF3A1F">
                        <w:pPr>
                          <w:jc w:val="left"/>
                          <w:rPr>
                            <w:rFonts w:cs="Arial"/>
                            <w:color w:val="000000"/>
                            <w:sz w:val="16"/>
                            <w:szCs w:val="16"/>
                          </w:rPr>
                        </w:pPr>
                        <w:r>
                          <w:rPr>
                            <w:color w:val="000000"/>
                            <w:sz w:val="16"/>
                          </w:rPr>
                          <w:t>Nabo</w:t>
                        </w:r>
                      </w:p>
                      <w:p w14:paraId="5BD1E87F" w14:textId="77777777" w:rsidR="003E10EF" w:rsidRPr="00D33300" w:rsidRDefault="003E10EF" w:rsidP="00FF3A1F">
                        <w:pPr>
                          <w:spacing w:line="1" w:lineRule="auto"/>
                          <w:jc w:val="left"/>
                          <w:rPr>
                            <w:lang w:eastAsia="zh-CN"/>
                          </w:rPr>
                        </w:pPr>
                      </w:p>
                    </w:tc>
                  </w:tr>
                </w:tbl>
                <w:p w14:paraId="58D132AA" w14:textId="77777777" w:rsidR="003E10EF" w:rsidRPr="00D33300" w:rsidRDefault="003E10EF" w:rsidP="00FF3A1F">
                  <w:pPr>
                    <w:spacing w:line="1" w:lineRule="auto"/>
                    <w:jc w:val="left"/>
                    <w:rPr>
                      <w:lang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918889" w14:textId="77777777" w:rsidR="003E10EF" w:rsidRPr="00D33300" w:rsidRDefault="003E10EF" w:rsidP="00FF3A1F">
                  <w:pPr>
                    <w:jc w:val="left"/>
                    <w:rPr>
                      <w:vanish/>
                      <w:lang w:eastAsia="zh-CN"/>
                    </w:rPr>
                  </w:pPr>
                </w:p>
                <w:tbl>
                  <w:tblPr>
                    <w:tblW w:w="1455" w:type="dxa"/>
                    <w:tblLayout w:type="fixed"/>
                    <w:tblCellMar>
                      <w:left w:w="0" w:type="dxa"/>
                      <w:right w:w="0" w:type="dxa"/>
                    </w:tblCellMar>
                    <w:tblLook w:val="01E0" w:firstRow="1" w:lastRow="1" w:firstColumn="1" w:lastColumn="1" w:noHBand="0" w:noVBand="0"/>
                  </w:tblPr>
                  <w:tblGrid>
                    <w:gridCol w:w="1455"/>
                  </w:tblGrid>
                  <w:tr w:rsidR="003E10EF" w:rsidRPr="00D33300" w14:paraId="31C4F532" w14:textId="77777777" w:rsidTr="00FF3A1F">
                    <w:tc>
                      <w:tcPr>
                        <w:tcW w:w="1455" w:type="dxa"/>
                        <w:tcMar>
                          <w:top w:w="0" w:type="dxa"/>
                          <w:left w:w="0" w:type="dxa"/>
                          <w:bottom w:w="0" w:type="dxa"/>
                          <w:right w:w="0" w:type="dxa"/>
                        </w:tcMar>
                      </w:tcPr>
                      <w:p w14:paraId="262FD560" w14:textId="77777777" w:rsidR="003E10EF" w:rsidRPr="00D33300" w:rsidRDefault="003E10EF" w:rsidP="00FF3A1F">
                        <w:pPr>
                          <w:jc w:val="left"/>
                          <w:rPr>
                            <w:rFonts w:cs="Arial"/>
                            <w:color w:val="000000"/>
                            <w:sz w:val="16"/>
                            <w:szCs w:val="16"/>
                          </w:rPr>
                        </w:pPr>
                        <w:r>
                          <w:rPr>
                            <w:i/>
                            <w:color w:val="000000"/>
                            <w:sz w:val="16"/>
                          </w:rPr>
                          <w:t>Brassica rapa</w:t>
                        </w:r>
                        <w:r>
                          <w:rPr>
                            <w:color w:val="000000"/>
                            <w:sz w:val="16"/>
                          </w:rPr>
                          <w:t xml:space="preserve"> L. var.  </w:t>
                        </w:r>
                        <w:r>
                          <w:rPr>
                            <w:i/>
                            <w:color w:val="000000"/>
                            <w:sz w:val="16"/>
                          </w:rPr>
                          <w:t>rapa</w:t>
                        </w:r>
                      </w:p>
                      <w:p w14:paraId="1419830B" w14:textId="77777777" w:rsidR="003E10EF" w:rsidRPr="00D33300" w:rsidRDefault="003E10EF" w:rsidP="00FF3A1F">
                        <w:pPr>
                          <w:spacing w:line="1" w:lineRule="auto"/>
                          <w:jc w:val="left"/>
                          <w:rPr>
                            <w:lang w:eastAsia="zh-CN"/>
                          </w:rPr>
                        </w:pPr>
                      </w:p>
                    </w:tc>
                  </w:tr>
                </w:tbl>
                <w:p w14:paraId="6BFF3B7B" w14:textId="77777777" w:rsidR="003E10EF" w:rsidRPr="00D33300" w:rsidRDefault="003E10EF" w:rsidP="00FF3A1F">
                  <w:pPr>
                    <w:spacing w:line="1" w:lineRule="auto"/>
                    <w:jc w:val="left"/>
                    <w:rPr>
                      <w:lang w:eastAsia="zh-CN"/>
                    </w:rPr>
                  </w:pPr>
                </w:p>
              </w:tc>
            </w:tr>
            <w:tr w:rsidR="003E10EF" w:rsidRPr="00D33300" w14:paraId="10CD4A4B" w14:textId="77777777" w:rsidTr="00FF3A1F">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6732BD" w14:textId="77777777" w:rsidR="003E10EF" w:rsidRPr="00FC2133" w:rsidRDefault="003E10EF" w:rsidP="00FF3A1F">
                  <w:pPr>
                    <w:jc w:val="left"/>
                    <w:rPr>
                      <w:vanish/>
                      <w:lang w:eastAsia="zh-CN"/>
                    </w:rPr>
                  </w:pPr>
                </w:p>
                <w:tbl>
                  <w:tblPr>
                    <w:tblW w:w="645" w:type="dxa"/>
                    <w:tblLayout w:type="fixed"/>
                    <w:tblCellMar>
                      <w:left w:w="0" w:type="dxa"/>
                      <w:right w:w="0" w:type="dxa"/>
                    </w:tblCellMar>
                    <w:tblLook w:val="01E0" w:firstRow="1" w:lastRow="1" w:firstColumn="1" w:lastColumn="1" w:noHBand="0" w:noVBand="0"/>
                  </w:tblPr>
                  <w:tblGrid>
                    <w:gridCol w:w="645"/>
                  </w:tblGrid>
                  <w:tr w:rsidR="003E10EF" w:rsidRPr="00FC2133" w14:paraId="30691DCB" w14:textId="77777777" w:rsidTr="00FF3A1F">
                    <w:tc>
                      <w:tcPr>
                        <w:tcW w:w="645" w:type="dxa"/>
                        <w:tcMar>
                          <w:top w:w="0" w:type="dxa"/>
                          <w:left w:w="0" w:type="dxa"/>
                          <w:bottom w:w="0" w:type="dxa"/>
                          <w:right w:w="0" w:type="dxa"/>
                        </w:tcMar>
                      </w:tcPr>
                      <w:p w14:paraId="441250BB" w14:textId="77777777" w:rsidR="003E10EF" w:rsidRPr="00FC2133" w:rsidRDefault="003E10EF" w:rsidP="00FF3A1F">
                        <w:pPr>
                          <w:jc w:val="left"/>
                          <w:rPr>
                            <w:rFonts w:cs="Arial"/>
                            <w:color w:val="000000"/>
                            <w:sz w:val="16"/>
                            <w:szCs w:val="16"/>
                          </w:rPr>
                        </w:pPr>
                        <w:r>
                          <w:rPr>
                            <w:color w:val="000000"/>
                            <w:sz w:val="16"/>
                          </w:rPr>
                          <w:t>FR</w:t>
                        </w:r>
                      </w:p>
                      <w:p w14:paraId="0DAFE822" w14:textId="77777777" w:rsidR="003E10EF" w:rsidRPr="00FC2133" w:rsidRDefault="003E10EF" w:rsidP="00FF3A1F">
                        <w:pPr>
                          <w:spacing w:line="1" w:lineRule="auto"/>
                          <w:jc w:val="left"/>
                          <w:rPr>
                            <w:lang w:eastAsia="zh-CN"/>
                          </w:rPr>
                        </w:pPr>
                      </w:p>
                    </w:tc>
                  </w:tr>
                </w:tbl>
                <w:p w14:paraId="4BA8CC7D" w14:textId="77777777" w:rsidR="003E10EF" w:rsidRPr="00FC2133" w:rsidRDefault="003E10EF" w:rsidP="00FF3A1F">
                  <w:pPr>
                    <w:spacing w:line="1" w:lineRule="auto"/>
                    <w:jc w:val="left"/>
                    <w:rPr>
                      <w:lang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B9A5C9" w14:textId="77777777" w:rsidR="003E10EF" w:rsidRPr="00FC2133" w:rsidRDefault="003E10EF" w:rsidP="00FF3A1F">
                  <w:pPr>
                    <w:jc w:val="left"/>
                    <w:rPr>
                      <w:vanish/>
                      <w:lang w:eastAsia="zh-CN"/>
                    </w:rPr>
                  </w:pPr>
                </w:p>
                <w:tbl>
                  <w:tblPr>
                    <w:tblW w:w="885" w:type="dxa"/>
                    <w:tblLayout w:type="fixed"/>
                    <w:tblCellMar>
                      <w:left w:w="0" w:type="dxa"/>
                      <w:right w:w="0" w:type="dxa"/>
                    </w:tblCellMar>
                    <w:tblLook w:val="01E0" w:firstRow="1" w:lastRow="1" w:firstColumn="1" w:lastColumn="1" w:noHBand="0" w:noVBand="0"/>
                  </w:tblPr>
                  <w:tblGrid>
                    <w:gridCol w:w="885"/>
                  </w:tblGrid>
                  <w:tr w:rsidR="003E10EF" w:rsidRPr="00FC2133" w14:paraId="446BC2D4" w14:textId="77777777" w:rsidTr="00FF3A1F">
                    <w:tc>
                      <w:tcPr>
                        <w:tcW w:w="885" w:type="dxa"/>
                        <w:tcMar>
                          <w:top w:w="0" w:type="dxa"/>
                          <w:left w:w="0" w:type="dxa"/>
                          <w:bottom w:w="0" w:type="dxa"/>
                          <w:right w:w="0" w:type="dxa"/>
                        </w:tcMar>
                      </w:tcPr>
                      <w:p w14:paraId="5E19E9B5" w14:textId="77777777" w:rsidR="003E10EF" w:rsidRPr="00FC2133" w:rsidRDefault="003E10EF" w:rsidP="00FF3A1F">
                        <w:pPr>
                          <w:jc w:val="left"/>
                          <w:rPr>
                            <w:rFonts w:cs="Arial"/>
                            <w:color w:val="000000"/>
                            <w:sz w:val="16"/>
                            <w:szCs w:val="16"/>
                          </w:rPr>
                        </w:pPr>
                        <w:r>
                          <w:rPr>
                            <w:color w:val="000000"/>
                            <w:sz w:val="16"/>
                          </w:rPr>
                          <w:t>TWO</w:t>
                        </w:r>
                      </w:p>
                      <w:p w14:paraId="2327AEDB" w14:textId="77777777" w:rsidR="003E10EF" w:rsidRPr="00FC2133" w:rsidRDefault="003E10EF" w:rsidP="00FF3A1F">
                        <w:pPr>
                          <w:spacing w:line="1" w:lineRule="auto"/>
                          <w:jc w:val="left"/>
                          <w:rPr>
                            <w:lang w:eastAsia="zh-CN"/>
                          </w:rPr>
                        </w:pPr>
                      </w:p>
                    </w:tc>
                  </w:tr>
                </w:tbl>
                <w:p w14:paraId="751E0C7D" w14:textId="77777777" w:rsidR="003E10EF" w:rsidRPr="00FC2133" w:rsidRDefault="003E10EF" w:rsidP="00FF3A1F">
                  <w:pPr>
                    <w:spacing w:line="1" w:lineRule="auto"/>
                    <w:jc w:val="left"/>
                    <w:rPr>
                      <w:lang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D21092" w14:textId="77777777" w:rsidR="003E10EF" w:rsidRPr="00FC2133" w:rsidRDefault="003E10EF" w:rsidP="00FF3A1F">
                  <w:pPr>
                    <w:jc w:val="left"/>
                    <w:rPr>
                      <w:vanish/>
                      <w:lang w:eastAsia="zh-CN"/>
                    </w:rPr>
                  </w:pPr>
                </w:p>
                <w:tbl>
                  <w:tblPr>
                    <w:tblW w:w="1245" w:type="dxa"/>
                    <w:tblLayout w:type="fixed"/>
                    <w:tblCellMar>
                      <w:left w:w="0" w:type="dxa"/>
                      <w:right w:w="0" w:type="dxa"/>
                    </w:tblCellMar>
                    <w:tblLook w:val="01E0" w:firstRow="1" w:lastRow="1" w:firstColumn="1" w:lastColumn="1" w:noHBand="0" w:noVBand="0"/>
                  </w:tblPr>
                  <w:tblGrid>
                    <w:gridCol w:w="1245"/>
                  </w:tblGrid>
                  <w:tr w:rsidR="003E10EF" w:rsidRPr="00FC2133" w14:paraId="13625080" w14:textId="77777777" w:rsidTr="00FF3A1F">
                    <w:tc>
                      <w:tcPr>
                        <w:tcW w:w="1245" w:type="dxa"/>
                        <w:tcMar>
                          <w:top w:w="0" w:type="dxa"/>
                          <w:left w:w="0" w:type="dxa"/>
                          <w:bottom w:w="0" w:type="dxa"/>
                          <w:right w:w="0" w:type="dxa"/>
                        </w:tcMar>
                      </w:tcPr>
                      <w:p w14:paraId="41D27FF0" w14:textId="77777777" w:rsidR="003E10EF" w:rsidRPr="00FC2133" w:rsidRDefault="003E10EF" w:rsidP="00FF3A1F">
                        <w:pPr>
                          <w:jc w:val="left"/>
                          <w:rPr>
                            <w:rFonts w:cs="Arial"/>
                            <w:color w:val="000000"/>
                            <w:sz w:val="16"/>
                            <w:szCs w:val="16"/>
                          </w:rPr>
                        </w:pPr>
                        <w:r>
                          <w:rPr>
                            <w:color w:val="000000"/>
                            <w:sz w:val="16"/>
                          </w:rPr>
                          <w:t>TG/68/4(proj.5)</w:t>
                        </w:r>
                      </w:p>
                      <w:p w14:paraId="4382FE4B" w14:textId="77777777" w:rsidR="003E10EF" w:rsidRPr="00FC2133" w:rsidRDefault="003E10EF" w:rsidP="00FF3A1F">
                        <w:pPr>
                          <w:spacing w:line="1" w:lineRule="auto"/>
                          <w:jc w:val="left"/>
                          <w:rPr>
                            <w:lang w:eastAsia="zh-CN"/>
                          </w:rPr>
                        </w:pPr>
                      </w:p>
                    </w:tc>
                  </w:tr>
                </w:tbl>
                <w:p w14:paraId="3DB6FC64" w14:textId="77777777" w:rsidR="003E10EF" w:rsidRPr="00FC2133" w:rsidRDefault="003E10EF" w:rsidP="00FF3A1F">
                  <w:pPr>
                    <w:spacing w:line="1" w:lineRule="auto"/>
                    <w:jc w:val="left"/>
                    <w:rPr>
                      <w:lang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FD6384" w14:textId="77777777" w:rsidR="003E10EF" w:rsidRPr="00FC2133" w:rsidRDefault="003E10EF" w:rsidP="00FF3A1F">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3E10EF" w:rsidRPr="00FC2133" w14:paraId="63A06217" w14:textId="77777777" w:rsidTr="00FF3A1F">
                    <w:tc>
                      <w:tcPr>
                        <w:tcW w:w="1545" w:type="dxa"/>
                        <w:tcMar>
                          <w:top w:w="0" w:type="dxa"/>
                          <w:left w:w="0" w:type="dxa"/>
                          <w:bottom w:w="0" w:type="dxa"/>
                          <w:right w:w="0" w:type="dxa"/>
                        </w:tcMar>
                      </w:tcPr>
                      <w:p w14:paraId="26DF9AF8" w14:textId="77777777" w:rsidR="003E10EF" w:rsidRPr="00FC2133" w:rsidRDefault="003E10EF" w:rsidP="00FF3A1F">
                        <w:pPr>
                          <w:jc w:val="left"/>
                          <w:rPr>
                            <w:rFonts w:cs="Arial"/>
                            <w:color w:val="000000"/>
                            <w:sz w:val="16"/>
                            <w:szCs w:val="16"/>
                          </w:rPr>
                        </w:pPr>
                        <w:r>
                          <w:rPr>
                            <w:color w:val="000000"/>
                            <w:sz w:val="16"/>
                          </w:rPr>
                          <w:t>Berberis</w:t>
                        </w:r>
                      </w:p>
                      <w:p w14:paraId="6B48D1AA" w14:textId="77777777" w:rsidR="003E10EF" w:rsidRPr="00FC2133" w:rsidRDefault="003E10EF" w:rsidP="00FF3A1F">
                        <w:pPr>
                          <w:spacing w:line="1" w:lineRule="auto"/>
                          <w:jc w:val="left"/>
                          <w:rPr>
                            <w:lang w:eastAsia="zh-CN"/>
                          </w:rPr>
                        </w:pPr>
                      </w:p>
                    </w:tc>
                  </w:tr>
                </w:tbl>
                <w:p w14:paraId="1ADFE599" w14:textId="77777777" w:rsidR="003E10EF" w:rsidRPr="00FC2133" w:rsidRDefault="003E10EF" w:rsidP="00FF3A1F">
                  <w:pPr>
                    <w:spacing w:line="1" w:lineRule="auto"/>
                    <w:jc w:val="left"/>
                    <w:rPr>
                      <w:lang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77DEE0" w14:textId="77777777" w:rsidR="003E10EF" w:rsidRPr="00FC2133" w:rsidRDefault="003E10EF" w:rsidP="00FF3A1F">
                  <w:pPr>
                    <w:jc w:val="left"/>
                    <w:rPr>
                      <w:vanish/>
                      <w:lang w:eastAsia="zh-CN"/>
                    </w:rPr>
                  </w:pPr>
                </w:p>
                <w:tbl>
                  <w:tblPr>
                    <w:tblW w:w="1290" w:type="dxa"/>
                    <w:tblLayout w:type="fixed"/>
                    <w:tblCellMar>
                      <w:left w:w="0" w:type="dxa"/>
                      <w:right w:w="0" w:type="dxa"/>
                    </w:tblCellMar>
                    <w:tblLook w:val="01E0" w:firstRow="1" w:lastRow="1" w:firstColumn="1" w:lastColumn="1" w:noHBand="0" w:noVBand="0"/>
                  </w:tblPr>
                  <w:tblGrid>
                    <w:gridCol w:w="1290"/>
                  </w:tblGrid>
                  <w:tr w:rsidR="003E10EF" w:rsidRPr="00FC2133" w14:paraId="00F6A092" w14:textId="77777777" w:rsidTr="00FF3A1F">
                    <w:tc>
                      <w:tcPr>
                        <w:tcW w:w="1290" w:type="dxa"/>
                        <w:tcMar>
                          <w:top w:w="0" w:type="dxa"/>
                          <w:left w:w="0" w:type="dxa"/>
                          <w:bottom w:w="0" w:type="dxa"/>
                          <w:right w:w="0" w:type="dxa"/>
                        </w:tcMar>
                      </w:tcPr>
                      <w:p w14:paraId="03ADE503" w14:textId="77777777" w:rsidR="003E10EF" w:rsidRPr="00FC2133" w:rsidRDefault="003E10EF" w:rsidP="00FF3A1F">
                        <w:pPr>
                          <w:jc w:val="left"/>
                          <w:rPr>
                            <w:rFonts w:cs="Arial"/>
                            <w:color w:val="000000"/>
                            <w:sz w:val="16"/>
                            <w:szCs w:val="16"/>
                          </w:rPr>
                        </w:pPr>
                        <w:r>
                          <w:rPr>
                            <w:color w:val="000000"/>
                            <w:sz w:val="16"/>
                          </w:rPr>
                          <w:t>Berberis</w:t>
                        </w:r>
                      </w:p>
                      <w:p w14:paraId="413748F4" w14:textId="77777777" w:rsidR="003E10EF" w:rsidRPr="00FC2133" w:rsidRDefault="003E10EF" w:rsidP="00FF3A1F">
                        <w:pPr>
                          <w:spacing w:line="1" w:lineRule="auto"/>
                          <w:jc w:val="left"/>
                          <w:rPr>
                            <w:lang w:eastAsia="zh-CN"/>
                          </w:rPr>
                        </w:pPr>
                      </w:p>
                    </w:tc>
                  </w:tr>
                </w:tbl>
                <w:p w14:paraId="107AB20C" w14:textId="77777777" w:rsidR="003E10EF" w:rsidRPr="00FC2133" w:rsidRDefault="003E10EF" w:rsidP="00FF3A1F">
                  <w:pPr>
                    <w:spacing w:line="1" w:lineRule="auto"/>
                    <w:jc w:val="left"/>
                    <w:rPr>
                      <w:lang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0D21E5" w14:textId="77777777" w:rsidR="003E10EF" w:rsidRPr="00D33300" w:rsidRDefault="003E10EF" w:rsidP="00FF3A1F">
                  <w:pPr>
                    <w:jc w:val="left"/>
                    <w:rPr>
                      <w:vanish/>
                      <w:lang w:eastAsia="zh-CN"/>
                    </w:rPr>
                  </w:pPr>
                </w:p>
                <w:tbl>
                  <w:tblPr>
                    <w:tblW w:w="1470" w:type="dxa"/>
                    <w:tblLayout w:type="fixed"/>
                    <w:tblCellMar>
                      <w:left w:w="0" w:type="dxa"/>
                      <w:right w:w="0" w:type="dxa"/>
                    </w:tblCellMar>
                    <w:tblLook w:val="01E0" w:firstRow="1" w:lastRow="1" w:firstColumn="1" w:lastColumn="1" w:noHBand="0" w:noVBand="0"/>
                  </w:tblPr>
                  <w:tblGrid>
                    <w:gridCol w:w="1470"/>
                  </w:tblGrid>
                  <w:tr w:rsidR="003E10EF" w:rsidRPr="00D33300" w14:paraId="6A1E1591" w14:textId="77777777" w:rsidTr="00FF3A1F">
                    <w:tc>
                      <w:tcPr>
                        <w:tcW w:w="1470" w:type="dxa"/>
                        <w:tcMar>
                          <w:top w:w="0" w:type="dxa"/>
                          <w:left w:w="0" w:type="dxa"/>
                          <w:bottom w:w="0" w:type="dxa"/>
                          <w:right w:w="0" w:type="dxa"/>
                        </w:tcMar>
                      </w:tcPr>
                      <w:p w14:paraId="68DA219F" w14:textId="77777777" w:rsidR="003E10EF" w:rsidRPr="00D33300" w:rsidRDefault="003E10EF" w:rsidP="00FF3A1F">
                        <w:pPr>
                          <w:jc w:val="left"/>
                          <w:rPr>
                            <w:rFonts w:cs="Arial"/>
                            <w:color w:val="000000"/>
                            <w:sz w:val="16"/>
                            <w:szCs w:val="16"/>
                          </w:rPr>
                        </w:pPr>
                        <w:r>
                          <w:rPr>
                            <w:color w:val="000000"/>
                            <w:sz w:val="16"/>
                          </w:rPr>
                          <w:t>Berberitze</w:t>
                        </w:r>
                      </w:p>
                      <w:p w14:paraId="1348C79A" w14:textId="77777777" w:rsidR="003E10EF" w:rsidRPr="00D33300" w:rsidRDefault="003E10EF" w:rsidP="00FF3A1F">
                        <w:pPr>
                          <w:spacing w:line="1" w:lineRule="auto"/>
                          <w:jc w:val="left"/>
                          <w:rPr>
                            <w:lang w:eastAsia="zh-CN"/>
                          </w:rPr>
                        </w:pPr>
                      </w:p>
                    </w:tc>
                  </w:tr>
                </w:tbl>
                <w:p w14:paraId="1F2E457A" w14:textId="77777777" w:rsidR="003E10EF" w:rsidRPr="00D33300" w:rsidRDefault="003E10EF" w:rsidP="00FF3A1F">
                  <w:pPr>
                    <w:spacing w:line="1" w:lineRule="auto"/>
                    <w:jc w:val="left"/>
                    <w:rPr>
                      <w:lang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2C1F14" w14:textId="77777777" w:rsidR="003E10EF" w:rsidRPr="00D33300" w:rsidRDefault="003E10EF" w:rsidP="00FF3A1F">
                  <w:pPr>
                    <w:jc w:val="left"/>
                    <w:rPr>
                      <w:vanish/>
                      <w:lang w:eastAsia="zh-CN"/>
                    </w:rPr>
                  </w:pPr>
                </w:p>
                <w:tbl>
                  <w:tblPr>
                    <w:tblW w:w="1365" w:type="dxa"/>
                    <w:tblLayout w:type="fixed"/>
                    <w:tblCellMar>
                      <w:left w:w="0" w:type="dxa"/>
                      <w:right w:w="0" w:type="dxa"/>
                    </w:tblCellMar>
                    <w:tblLook w:val="01E0" w:firstRow="1" w:lastRow="1" w:firstColumn="1" w:lastColumn="1" w:noHBand="0" w:noVBand="0"/>
                  </w:tblPr>
                  <w:tblGrid>
                    <w:gridCol w:w="1365"/>
                  </w:tblGrid>
                  <w:tr w:rsidR="003E10EF" w:rsidRPr="00D33300" w14:paraId="02E94D10" w14:textId="77777777" w:rsidTr="00FF3A1F">
                    <w:tc>
                      <w:tcPr>
                        <w:tcW w:w="1365" w:type="dxa"/>
                        <w:tcMar>
                          <w:top w:w="0" w:type="dxa"/>
                          <w:left w:w="0" w:type="dxa"/>
                          <w:bottom w:w="0" w:type="dxa"/>
                          <w:right w:w="0" w:type="dxa"/>
                        </w:tcMar>
                      </w:tcPr>
                      <w:p w14:paraId="30B1203A" w14:textId="77777777" w:rsidR="003E10EF" w:rsidRPr="00D33300" w:rsidRDefault="003E10EF" w:rsidP="00FF3A1F">
                        <w:pPr>
                          <w:jc w:val="left"/>
                          <w:rPr>
                            <w:rFonts w:cs="Arial"/>
                            <w:color w:val="000000"/>
                            <w:sz w:val="16"/>
                            <w:szCs w:val="16"/>
                          </w:rPr>
                        </w:pPr>
                        <w:r>
                          <w:rPr>
                            <w:color w:val="000000"/>
                            <w:sz w:val="16"/>
                          </w:rPr>
                          <w:t>Berberis</w:t>
                        </w:r>
                      </w:p>
                      <w:p w14:paraId="162E225F" w14:textId="77777777" w:rsidR="003E10EF" w:rsidRPr="00D33300" w:rsidRDefault="003E10EF" w:rsidP="00FF3A1F">
                        <w:pPr>
                          <w:spacing w:line="1" w:lineRule="auto"/>
                          <w:jc w:val="left"/>
                          <w:rPr>
                            <w:lang w:eastAsia="zh-CN"/>
                          </w:rPr>
                        </w:pPr>
                      </w:p>
                    </w:tc>
                  </w:tr>
                </w:tbl>
                <w:p w14:paraId="4B3E1B47" w14:textId="77777777" w:rsidR="003E10EF" w:rsidRPr="00D33300" w:rsidRDefault="003E10EF" w:rsidP="00FF3A1F">
                  <w:pPr>
                    <w:spacing w:line="1" w:lineRule="auto"/>
                    <w:jc w:val="left"/>
                    <w:rPr>
                      <w:lang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A9630A" w14:textId="77777777" w:rsidR="003E10EF" w:rsidRPr="00D33300" w:rsidRDefault="003E10EF" w:rsidP="00FF3A1F">
                  <w:pPr>
                    <w:jc w:val="left"/>
                    <w:rPr>
                      <w:vanish/>
                      <w:lang w:eastAsia="zh-CN"/>
                    </w:rPr>
                  </w:pPr>
                </w:p>
                <w:tbl>
                  <w:tblPr>
                    <w:tblW w:w="1455" w:type="dxa"/>
                    <w:tblLayout w:type="fixed"/>
                    <w:tblCellMar>
                      <w:left w:w="0" w:type="dxa"/>
                      <w:right w:w="0" w:type="dxa"/>
                    </w:tblCellMar>
                    <w:tblLook w:val="01E0" w:firstRow="1" w:lastRow="1" w:firstColumn="1" w:lastColumn="1" w:noHBand="0" w:noVBand="0"/>
                  </w:tblPr>
                  <w:tblGrid>
                    <w:gridCol w:w="1455"/>
                  </w:tblGrid>
                  <w:tr w:rsidR="003E10EF" w:rsidRPr="00D33300" w14:paraId="3F72F3D3" w14:textId="77777777" w:rsidTr="00FF3A1F">
                    <w:tc>
                      <w:tcPr>
                        <w:tcW w:w="1455" w:type="dxa"/>
                        <w:tcMar>
                          <w:top w:w="0" w:type="dxa"/>
                          <w:left w:w="0" w:type="dxa"/>
                          <w:bottom w:w="0" w:type="dxa"/>
                          <w:right w:w="0" w:type="dxa"/>
                        </w:tcMar>
                      </w:tcPr>
                      <w:p w14:paraId="054944DD" w14:textId="77777777" w:rsidR="003E10EF" w:rsidRPr="00D33300" w:rsidRDefault="003E10EF" w:rsidP="00FF3A1F">
                        <w:pPr>
                          <w:jc w:val="left"/>
                          <w:rPr>
                            <w:rFonts w:cs="Arial"/>
                            <w:color w:val="000000"/>
                            <w:sz w:val="16"/>
                            <w:szCs w:val="16"/>
                          </w:rPr>
                        </w:pPr>
                        <w:r>
                          <w:rPr>
                            <w:i/>
                            <w:color w:val="000000"/>
                            <w:sz w:val="16"/>
                          </w:rPr>
                          <w:t>Berberis</w:t>
                        </w:r>
                        <w:r>
                          <w:rPr>
                            <w:color w:val="000000"/>
                            <w:sz w:val="16"/>
                          </w:rPr>
                          <w:t> L.</w:t>
                        </w:r>
                      </w:p>
                      <w:p w14:paraId="66E377AC" w14:textId="77777777" w:rsidR="003E10EF" w:rsidRPr="00D33300" w:rsidRDefault="003E10EF" w:rsidP="00FF3A1F">
                        <w:pPr>
                          <w:spacing w:line="1" w:lineRule="auto"/>
                          <w:jc w:val="left"/>
                          <w:rPr>
                            <w:lang w:eastAsia="zh-CN"/>
                          </w:rPr>
                        </w:pPr>
                      </w:p>
                    </w:tc>
                  </w:tr>
                </w:tbl>
                <w:p w14:paraId="3800C689" w14:textId="77777777" w:rsidR="003E10EF" w:rsidRPr="00D33300" w:rsidRDefault="003E10EF" w:rsidP="00FF3A1F">
                  <w:pPr>
                    <w:spacing w:line="1" w:lineRule="auto"/>
                    <w:jc w:val="left"/>
                    <w:rPr>
                      <w:lang w:eastAsia="zh-CN"/>
                    </w:rPr>
                  </w:pPr>
                </w:p>
              </w:tc>
            </w:tr>
            <w:tr w:rsidR="003E10EF" w:rsidRPr="00D33300" w14:paraId="7CC760FF" w14:textId="77777777" w:rsidTr="00FF3A1F">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A7CE87" w14:textId="77777777" w:rsidR="003E10EF" w:rsidRPr="00FC2133" w:rsidRDefault="003E10EF" w:rsidP="00FF3A1F">
                  <w:pPr>
                    <w:jc w:val="left"/>
                    <w:rPr>
                      <w:vanish/>
                      <w:lang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AADC1E" w14:textId="77777777" w:rsidR="003E10EF" w:rsidRPr="00FC2133" w:rsidRDefault="003E10EF" w:rsidP="00FF3A1F">
                  <w:pPr>
                    <w:jc w:val="left"/>
                    <w:rPr>
                      <w:vanish/>
                      <w:lang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CB6B41" w14:textId="77777777" w:rsidR="003E10EF" w:rsidRPr="00FC2133" w:rsidRDefault="003E10EF" w:rsidP="00FF3A1F">
                  <w:pPr>
                    <w:jc w:val="left"/>
                    <w:rPr>
                      <w:vanish/>
                      <w:lang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DE55EE" w14:textId="77777777" w:rsidR="003E10EF" w:rsidRPr="00FC2133" w:rsidRDefault="003E10EF" w:rsidP="00FF3A1F">
                  <w:pPr>
                    <w:jc w:val="left"/>
                    <w:rPr>
                      <w:vanish/>
                      <w:lang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9389F0" w14:textId="77777777" w:rsidR="003E10EF" w:rsidRPr="00FC2133" w:rsidRDefault="003E10EF" w:rsidP="00FF3A1F">
                  <w:pPr>
                    <w:jc w:val="left"/>
                    <w:rPr>
                      <w:vanish/>
                      <w:lang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1FAD68" w14:textId="77777777" w:rsidR="003E10EF" w:rsidRPr="00D33300" w:rsidRDefault="003E10EF" w:rsidP="00FF3A1F">
                  <w:pPr>
                    <w:jc w:val="left"/>
                    <w:rPr>
                      <w:vanish/>
                      <w:lang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4C33DE" w14:textId="77777777" w:rsidR="003E10EF" w:rsidRPr="00D33300" w:rsidRDefault="003E10EF" w:rsidP="00FF3A1F">
                  <w:pPr>
                    <w:jc w:val="left"/>
                    <w:rPr>
                      <w:vanish/>
                      <w:lang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6E9143" w14:textId="77777777" w:rsidR="003E10EF" w:rsidRPr="00D33300" w:rsidRDefault="003E10EF" w:rsidP="00FF3A1F">
                  <w:pPr>
                    <w:jc w:val="left"/>
                    <w:rPr>
                      <w:vanish/>
                      <w:lang w:eastAsia="zh-CN"/>
                    </w:rPr>
                  </w:pPr>
                </w:p>
              </w:tc>
            </w:tr>
            <w:tr w:rsidR="003E10EF" w:rsidRPr="00B81EFD" w14:paraId="1F83E922" w14:textId="77777777" w:rsidTr="00FF3A1F">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E1168B" w14:textId="77777777" w:rsidR="003E10EF" w:rsidRPr="00FC2133" w:rsidRDefault="003E10EF" w:rsidP="00FF3A1F">
                  <w:pPr>
                    <w:jc w:val="left"/>
                    <w:rPr>
                      <w:rFonts w:cs="Arial"/>
                      <w:color w:val="000000"/>
                      <w:sz w:val="16"/>
                      <w:szCs w:val="16"/>
                    </w:rPr>
                  </w:pPr>
                  <w:r>
                    <w:rPr>
                      <w:color w:val="000000"/>
                      <w:sz w:val="16"/>
                    </w:rPr>
                    <w:t>KE</w:t>
                  </w: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2A885E" w14:textId="77777777" w:rsidR="003E10EF" w:rsidRPr="00FC2133" w:rsidRDefault="003E10EF" w:rsidP="00FF3A1F">
                  <w:pPr>
                    <w:jc w:val="left"/>
                    <w:rPr>
                      <w:rFonts w:cs="Arial"/>
                      <w:color w:val="000000"/>
                      <w:sz w:val="16"/>
                      <w:szCs w:val="16"/>
                    </w:rPr>
                  </w:pPr>
                  <w:r>
                    <w:rPr>
                      <w:color w:val="000000"/>
                      <w:sz w:val="16"/>
                    </w:rPr>
                    <w:t>TWA</w:t>
                  </w: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BE6EFE" w14:textId="77777777" w:rsidR="003E10EF" w:rsidRPr="00FC2133" w:rsidRDefault="003E10EF" w:rsidP="00FF3A1F">
                  <w:pPr>
                    <w:jc w:val="left"/>
                    <w:rPr>
                      <w:rFonts w:cs="Arial"/>
                      <w:color w:val="000000"/>
                      <w:sz w:val="16"/>
                      <w:szCs w:val="16"/>
                    </w:rPr>
                  </w:pPr>
                  <w:r>
                    <w:rPr>
                      <w:color w:val="000000"/>
                      <w:sz w:val="16"/>
                    </w:rPr>
                    <w:t>TG/238/2(proj.5)</w:t>
                  </w:r>
                </w:p>
              </w:tc>
              <w:tc>
                <w:tcPr>
                  <w:tcW w:w="15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B4CEE2" w14:textId="77777777" w:rsidR="003E10EF" w:rsidRPr="00FC2133" w:rsidRDefault="003E10EF" w:rsidP="00FF3A1F">
                  <w:pPr>
                    <w:jc w:val="left"/>
                    <w:rPr>
                      <w:rFonts w:cs="Arial"/>
                      <w:color w:val="000000"/>
                      <w:sz w:val="16"/>
                      <w:szCs w:val="16"/>
                    </w:rPr>
                  </w:pPr>
                  <w:r>
                    <w:rPr>
                      <w:color w:val="000000"/>
                      <w:sz w:val="16"/>
                    </w:rPr>
                    <w:t>Tea</w:t>
                  </w:r>
                </w:p>
              </w:tc>
              <w:tc>
                <w:tcPr>
                  <w:tcW w:w="1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7167F3" w14:textId="77777777" w:rsidR="003E10EF" w:rsidRPr="00B81EFD" w:rsidRDefault="003E10EF" w:rsidP="00FF3A1F">
                  <w:pPr>
                    <w:jc w:val="left"/>
                    <w:rPr>
                      <w:rFonts w:cs="Arial"/>
                      <w:color w:val="000000"/>
                      <w:sz w:val="16"/>
                      <w:szCs w:val="16"/>
                    </w:rPr>
                  </w:pPr>
                  <w:r>
                    <w:rPr>
                      <w:color w:val="000000"/>
                      <w:sz w:val="16"/>
                    </w:rPr>
                    <w:t>Théier</w:t>
                  </w: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ADC9CA" w14:textId="77777777" w:rsidR="003E10EF" w:rsidRPr="00B81EFD" w:rsidRDefault="003E10EF" w:rsidP="00FF3A1F">
                  <w:pPr>
                    <w:jc w:val="left"/>
                    <w:rPr>
                      <w:rFonts w:cs="Arial"/>
                      <w:color w:val="000000"/>
                      <w:sz w:val="16"/>
                      <w:szCs w:val="16"/>
                    </w:rPr>
                  </w:pPr>
                  <w:r>
                    <w:rPr>
                      <w:color w:val="000000"/>
                      <w:sz w:val="16"/>
                    </w:rPr>
                    <w:t>Tee</w:t>
                  </w:r>
                </w:p>
              </w:tc>
              <w:tc>
                <w:tcPr>
                  <w:tcW w:w="136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23359A" w14:textId="77777777" w:rsidR="003E10EF" w:rsidRPr="00B81EFD" w:rsidRDefault="003E10EF" w:rsidP="00FF3A1F">
                  <w:pPr>
                    <w:jc w:val="left"/>
                    <w:rPr>
                      <w:rFonts w:cs="Arial"/>
                      <w:color w:val="000000"/>
                      <w:sz w:val="16"/>
                      <w:szCs w:val="16"/>
                    </w:rPr>
                  </w:pPr>
                  <w:r>
                    <w:rPr>
                      <w:color w:val="000000"/>
                      <w:sz w:val="16"/>
                    </w:rPr>
                    <w:t>Té</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CC5274" w14:textId="77777777" w:rsidR="003E10EF" w:rsidRPr="00B81EFD" w:rsidRDefault="003E10EF" w:rsidP="00FF3A1F">
                  <w:pPr>
                    <w:jc w:val="left"/>
                    <w:rPr>
                      <w:rFonts w:cs="Arial"/>
                      <w:color w:val="000000"/>
                      <w:sz w:val="16"/>
                      <w:szCs w:val="16"/>
                    </w:rPr>
                  </w:pPr>
                  <w:r>
                    <w:rPr>
                      <w:i/>
                      <w:color w:val="000000"/>
                      <w:sz w:val="16"/>
                    </w:rPr>
                    <w:t>Camellia sinensis</w:t>
                  </w:r>
                  <w:r>
                    <w:rPr>
                      <w:color w:val="000000"/>
                      <w:sz w:val="16"/>
                    </w:rPr>
                    <w:t xml:space="preserve"> (L.) Kuntze</w:t>
                  </w:r>
                </w:p>
              </w:tc>
            </w:tr>
            <w:tr w:rsidR="003E10EF" w:rsidRPr="00D33300" w14:paraId="289CC55A" w14:textId="77777777" w:rsidTr="00FF3A1F">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9391A6" w14:textId="77777777" w:rsidR="003E10EF" w:rsidRPr="00D33300" w:rsidRDefault="003E10EF" w:rsidP="00FF3A1F">
                  <w:pPr>
                    <w:jc w:val="left"/>
                    <w:rPr>
                      <w:vanish/>
                      <w:lang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474E0C" w14:textId="77777777" w:rsidR="003E10EF" w:rsidRPr="00D33300" w:rsidRDefault="003E10EF" w:rsidP="00FF3A1F">
                  <w:pPr>
                    <w:jc w:val="left"/>
                    <w:rPr>
                      <w:vanish/>
                      <w:lang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89D370" w14:textId="77777777" w:rsidR="003E10EF" w:rsidRPr="00D33300" w:rsidRDefault="003E10EF" w:rsidP="00FF3A1F">
                  <w:pPr>
                    <w:jc w:val="left"/>
                    <w:rPr>
                      <w:vanish/>
                      <w:lang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81488D" w14:textId="77777777" w:rsidR="003E10EF" w:rsidRPr="00D33300" w:rsidRDefault="003E10EF" w:rsidP="00FF3A1F">
                  <w:pPr>
                    <w:jc w:val="left"/>
                    <w:rPr>
                      <w:vanish/>
                      <w:lang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C93365" w14:textId="77777777" w:rsidR="003E10EF" w:rsidRPr="00D33300" w:rsidRDefault="003E10EF" w:rsidP="00FF3A1F">
                  <w:pPr>
                    <w:jc w:val="left"/>
                    <w:rPr>
                      <w:vanish/>
                      <w:lang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C5924C" w14:textId="77777777" w:rsidR="003E10EF" w:rsidRPr="00D33300" w:rsidRDefault="003E10EF" w:rsidP="00FF3A1F">
                  <w:pPr>
                    <w:jc w:val="left"/>
                    <w:rPr>
                      <w:vanish/>
                      <w:lang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8A1099" w14:textId="77777777" w:rsidR="003E10EF" w:rsidRPr="00D33300" w:rsidRDefault="003E10EF" w:rsidP="00FF3A1F">
                  <w:pPr>
                    <w:jc w:val="left"/>
                    <w:rPr>
                      <w:vanish/>
                      <w:lang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ABB71D" w14:textId="77777777" w:rsidR="003E10EF" w:rsidRPr="00D33300" w:rsidRDefault="003E10EF" w:rsidP="00FF3A1F">
                  <w:pPr>
                    <w:jc w:val="left"/>
                    <w:rPr>
                      <w:vanish/>
                      <w:lang w:eastAsia="zh-CN"/>
                    </w:rPr>
                  </w:pPr>
                </w:p>
              </w:tc>
            </w:tr>
          </w:tbl>
          <w:p w14:paraId="214BE43D" w14:textId="77777777" w:rsidR="003E10EF" w:rsidRPr="00D33300" w:rsidRDefault="003E10EF" w:rsidP="00FF3A1F">
            <w:pPr>
              <w:spacing w:line="1" w:lineRule="auto"/>
              <w:jc w:val="left"/>
              <w:rPr>
                <w:lang w:eastAsia="zh-CN"/>
              </w:rPr>
            </w:pPr>
          </w:p>
        </w:tc>
      </w:tr>
      <w:tr w:rsidR="003E10EF" w:rsidRPr="00D33300" w14:paraId="7A59006D" w14:textId="77777777" w:rsidTr="00FF3A1F">
        <w:tc>
          <w:tcPr>
            <w:tcW w:w="10080" w:type="dxa"/>
            <w:tcMar>
              <w:top w:w="0" w:type="dxa"/>
              <w:left w:w="0" w:type="dxa"/>
              <w:bottom w:w="0" w:type="dxa"/>
              <w:right w:w="0" w:type="dxa"/>
            </w:tcMar>
          </w:tcPr>
          <w:p w14:paraId="7C7A493F" w14:textId="77777777" w:rsidR="003E10EF" w:rsidRPr="00D33300" w:rsidRDefault="003E10EF" w:rsidP="00FF3A1F">
            <w:pPr>
              <w:jc w:val="left"/>
              <w:rPr>
                <w:rFonts w:eastAsia="Arial" w:cs="Arial"/>
                <w:color w:val="000000"/>
              </w:rPr>
            </w:pPr>
            <w:r>
              <w:rPr>
                <w:color w:val="000000"/>
              </w:rPr>
              <w:t xml:space="preserve">     </w:t>
            </w:r>
          </w:p>
        </w:tc>
      </w:tr>
      <w:tr w:rsidR="003E10EF" w:rsidRPr="00D33300" w14:paraId="137DB4CB" w14:textId="77777777" w:rsidTr="00FF3A1F">
        <w:tc>
          <w:tcPr>
            <w:tcW w:w="10080" w:type="dxa"/>
            <w:tcMar>
              <w:top w:w="0" w:type="dxa"/>
              <w:left w:w="0" w:type="dxa"/>
              <w:bottom w:w="0" w:type="dxa"/>
              <w:right w:w="0" w:type="dxa"/>
            </w:tcMar>
          </w:tcPr>
          <w:p w14:paraId="43725041" w14:textId="77777777" w:rsidR="003E10EF" w:rsidRPr="00D33300" w:rsidRDefault="003E10EF" w:rsidP="00FF3A1F">
            <w:pPr>
              <w:spacing w:line="1" w:lineRule="auto"/>
              <w:jc w:val="left"/>
              <w:rPr>
                <w:lang w:eastAsia="zh-CN"/>
              </w:rPr>
            </w:pPr>
          </w:p>
        </w:tc>
      </w:tr>
    </w:tbl>
    <w:p w14:paraId="588D87CB" w14:textId="77777777" w:rsidR="003E10EF" w:rsidRDefault="003E10EF" w:rsidP="003E10EF">
      <w:r>
        <w:fldChar w:fldCharType="begin"/>
      </w:r>
      <w:r>
        <w:instrText xml:space="preserve"> AUTONUM  </w:instrText>
      </w:r>
      <w:r>
        <w:fldChar w:fldCharType="end"/>
      </w:r>
      <w:r>
        <w:tab/>
        <w:t>Aufgrund der Empfehlungen des TC-EDC, die in Anlage II dieses Dokuments wiedergegeben sind, vereinbarte der TC, dass es ungelöste technische Probleme bei der Teilüberarbeitung der Prüfungsrichtlinien für Tomaten-Unterlagen (Dokument TC/57/18) gebe, welche die TWV auf ihrer sechsundfünfzigsten Tagung ansprechen sollte:</w:t>
      </w:r>
    </w:p>
    <w:p w14:paraId="489F4B7D" w14:textId="77777777" w:rsidR="00D07169" w:rsidRDefault="003E10EF" w:rsidP="00313FAF">
      <w:r>
        <w:t xml:space="preserve"> </w:t>
      </w:r>
    </w:p>
    <w:p w14:paraId="221FE4F6" w14:textId="77777777" w:rsidR="00D07169" w:rsidRDefault="00367572" w:rsidP="004E282E">
      <w:pPr>
        <w:pStyle w:val="Heading3"/>
      </w:pPr>
      <w:bookmarkStart w:id="62" w:name="_Toc479752533"/>
      <w:bookmarkStart w:id="63" w:name="_Toc81228951"/>
      <w:r>
        <w:t>Korrekturen an Prüfungsrichtlinien</w:t>
      </w:r>
      <w:bookmarkEnd w:id="62"/>
      <w:bookmarkEnd w:id="63"/>
    </w:p>
    <w:p w14:paraId="3C9F7015" w14:textId="77777777" w:rsidR="00D07169" w:rsidRDefault="00D07169" w:rsidP="00AC5450">
      <w:pPr>
        <w:keepNext/>
      </w:pPr>
    </w:p>
    <w:p w14:paraId="4B9BB0BE" w14:textId="77777777" w:rsidR="00D07169" w:rsidRDefault="00CD5E46" w:rsidP="00313FAF">
      <w:r>
        <w:fldChar w:fldCharType="begin"/>
      </w:r>
      <w:r>
        <w:instrText xml:space="preserve"> AUTONUM  </w:instrText>
      </w:r>
      <w:r>
        <w:fldChar w:fldCharType="end"/>
      </w:r>
      <w:r>
        <w:tab/>
        <w:t xml:space="preserve">Der TC nahm die an den angenommenen Prüfungsrichtlinien für Kiwi und Pahlaenopsis vorgenommenen Korrekturen zur Kenntnis: </w:t>
      </w:r>
    </w:p>
    <w:p w14:paraId="2ED83E12" w14:textId="77777777" w:rsidR="00D07169" w:rsidRDefault="00D07169" w:rsidP="00313FAF"/>
    <w:p w14:paraId="38D1F23C" w14:textId="77777777" w:rsidR="00BA1DFA" w:rsidRPr="00BA1DFA" w:rsidRDefault="00BA1DFA" w:rsidP="00BA1DFA">
      <w:pPr>
        <w:pStyle w:val="ListParagraph"/>
        <w:keepNext/>
        <w:numPr>
          <w:ilvl w:val="0"/>
          <w:numId w:val="14"/>
        </w:numPr>
        <w:tabs>
          <w:tab w:val="left" w:pos="1134"/>
        </w:tabs>
        <w:rPr>
          <w:rFonts w:cs="Arial"/>
        </w:rPr>
      </w:pPr>
      <w:r>
        <w:t>Prüfungsrichtlinien für Kiwi (Dokument TG/98/7 Rev. Corr.)</w:t>
      </w:r>
    </w:p>
    <w:p w14:paraId="6946BC64" w14:textId="77777777" w:rsidR="00BA1DFA" w:rsidRPr="00BA1DFA" w:rsidRDefault="00BA1DFA" w:rsidP="00BA1DFA">
      <w:pPr>
        <w:pStyle w:val="ListParagraph"/>
        <w:keepNext/>
        <w:numPr>
          <w:ilvl w:val="1"/>
          <w:numId w:val="14"/>
        </w:numPr>
        <w:rPr>
          <w:rFonts w:cs="Arial"/>
        </w:rPr>
      </w:pPr>
      <w:r>
        <w:t>Merkmal 47: Berichtigung der Schreibweise der Beispielssorte „Hort16A (A)“ (anstelle von Hort16 (A))</w:t>
      </w:r>
    </w:p>
    <w:p w14:paraId="59B624F0" w14:textId="6FB627D7" w:rsidR="00BA1DFA" w:rsidRPr="00BA1DFA" w:rsidRDefault="00BA1DFA" w:rsidP="00BA1DFA">
      <w:pPr>
        <w:pStyle w:val="ListParagraph"/>
        <w:numPr>
          <w:ilvl w:val="1"/>
          <w:numId w:val="14"/>
        </w:numPr>
        <w:rPr>
          <w:rFonts w:cs="Arial"/>
        </w:rPr>
      </w:pPr>
      <w:r>
        <w:t>Merkmal 63: Berichtigung der Schreibweise der Beispielssorte „Abbott”“ (anstelle von</w:t>
      </w:r>
      <w:r w:rsidR="00717C47">
        <w:t xml:space="preserve"> </w:t>
      </w:r>
      <w:r w:rsidRPr="00D132B8">
        <w:t>„</w:t>
      </w:r>
      <w:r>
        <w:t>Abott”)</w:t>
      </w:r>
    </w:p>
    <w:p w14:paraId="3BB3F882" w14:textId="77777777" w:rsidR="00BA1DFA" w:rsidRPr="00BA1DFA" w:rsidRDefault="00BA1DFA" w:rsidP="00BA1DFA">
      <w:pPr>
        <w:pStyle w:val="ListParagraph"/>
        <w:numPr>
          <w:ilvl w:val="1"/>
          <w:numId w:val="14"/>
        </w:numPr>
        <w:rPr>
          <w:rFonts w:cs="Arial"/>
        </w:rPr>
      </w:pPr>
      <w:r>
        <w:t>Merkmal 72: Berichtigung der Noten (1, 2, 3, 4 anstelle von 1, 2, 3, 5)</w:t>
      </w:r>
    </w:p>
    <w:p w14:paraId="02516D98" w14:textId="77777777" w:rsidR="00BA1DFA" w:rsidRPr="00BA1DFA" w:rsidRDefault="00BA1DFA" w:rsidP="00BA1DFA">
      <w:pPr>
        <w:pStyle w:val="ListParagraph"/>
        <w:numPr>
          <w:ilvl w:val="1"/>
          <w:numId w:val="14"/>
        </w:numPr>
        <w:rPr>
          <w:rFonts w:cs="Arial"/>
        </w:rPr>
      </w:pPr>
      <w:r>
        <w:t>Zu 50: in der Legende der Tabelle wird „langgezogen“ durch „groß“ und „zusammengedrückt“ durch „klein“ ersetzt</w:t>
      </w:r>
    </w:p>
    <w:p w14:paraId="08E615F2" w14:textId="77777777" w:rsidR="00BA1DFA" w:rsidRDefault="00BA1DFA" w:rsidP="00BA1DFA"/>
    <w:p w14:paraId="7DE4A174" w14:textId="24BB5739" w:rsidR="00BA1DFA" w:rsidRPr="00BA1DFA" w:rsidRDefault="00BA1DFA" w:rsidP="00BA1DFA">
      <w:pPr>
        <w:pStyle w:val="ListParagraph"/>
        <w:keepNext/>
        <w:numPr>
          <w:ilvl w:val="0"/>
          <w:numId w:val="14"/>
        </w:numPr>
        <w:tabs>
          <w:tab w:val="left" w:pos="1134"/>
        </w:tabs>
        <w:rPr>
          <w:rFonts w:cs="Arial"/>
        </w:rPr>
      </w:pPr>
      <w:r>
        <w:t>Prüfungsrichtlinien für Phalaenopsis (Dokument TG/213/2 Rev. Corr.)</w:t>
      </w:r>
    </w:p>
    <w:p w14:paraId="4712ED58" w14:textId="77777777" w:rsidR="00BA1DFA" w:rsidRPr="00BA1DFA" w:rsidRDefault="00BA1DFA" w:rsidP="00BA1DFA">
      <w:pPr>
        <w:pStyle w:val="ListParagraph"/>
        <w:numPr>
          <w:ilvl w:val="1"/>
          <w:numId w:val="14"/>
        </w:numPr>
        <w:rPr>
          <w:rFonts w:cs="Arial"/>
        </w:rPr>
      </w:pPr>
      <w:r>
        <w:t>Merkmal 20: statt als PQ als QN anzugeben</w:t>
      </w:r>
    </w:p>
    <w:p w14:paraId="3C283098" w14:textId="77777777" w:rsidR="00BA1DFA" w:rsidRPr="00CC5769" w:rsidRDefault="00BA1DFA" w:rsidP="00BA1DFA">
      <w:pPr>
        <w:pStyle w:val="ListParagraph"/>
        <w:numPr>
          <w:ilvl w:val="1"/>
          <w:numId w:val="14"/>
        </w:numPr>
      </w:pPr>
      <w:r>
        <w:t>Merkmal 79: die fehlende Erfassungsmethode (VG) ist zu ergänzen</w:t>
      </w:r>
    </w:p>
    <w:p w14:paraId="6CDD1913" w14:textId="3A23603D" w:rsidR="00BA1DFA" w:rsidRDefault="00BA1DFA" w:rsidP="00BA1DFA">
      <w:pPr>
        <w:pStyle w:val="ListParagraph"/>
        <w:numPr>
          <w:ilvl w:val="1"/>
          <w:numId w:val="14"/>
        </w:numPr>
      </w:pPr>
      <w:r>
        <w:t>Zu 12: sollte lauten: „..., die dunklere Farbe ist als Hauptfarbe zu betrachten“ anstelle von „...,die dunkelste Farbe...“</w:t>
      </w:r>
    </w:p>
    <w:p w14:paraId="7917D048" w14:textId="77777777" w:rsidR="00D07169" w:rsidRDefault="00D07169" w:rsidP="00313FAF"/>
    <w:p w14:paraId="219E4707" w14:textId="77777777" w:rsidR="00D07169" w:rsidRDefault="00BA1DFA" w:rsidP="004E282E">
      <w:pPr>
        <w:pStyle w:val="Heading3"/>
      </w:pPr>
      <w:bookmarkStart w:id="64" w:name="_Toc81228952"/>
      <w:r>
        <w:t>Von den Technischen Arbeitsgruppen im Jahr 2021 behandelte Entwürfe von Prüfungsrichtlinien</w:t>
      </w:r>
      <w:bookmarkEnd w:id="64"/>
    </w:p>
    <w:p w14:paraId="5017AE89" w14:textId="77777777" w:rsidR="00D07169" w:rsidRDefault="00D07169" w:rsidP="00AC5450">
      <w:pPr>
        <w:keepNext/>
        <w:keepLines/>
      </w:pPr>
    </w:p>
    <w:p w14:paraId="378F9330" w14:textId="77777777" w:rsidR="00D07169" w:rsidRDefault="00BA1DFA" w:rsidP="00313FAF">
      <w:r>
        <w:fldChar w:fldCharType="begin"/>
      </w:r>
      <w:r>
        <w:instrText xml:space="preserve"> AUTONUM  </w:instrText>
      </w:r>
      <w:r>
        <w:fldChar w:fldCharType="end"/>
      </w:r>
      <w:r>
        <w:tab/>
        <w:t>Der TC nahm die von den Technischen Arbeitsgruppen auf ihren Tagungen im Jahr 2021 behandelten Entwürfe von Prüfungsrichtlinien, wie in Anlage III von Dokument TC/57/2 wiedergegeben, zur Kenntnis.</w:t>
      </w:r>
    </w:p>
    <w:p w14:paraId="1A0E74FA" w14:textId="77777777" w:rsidR="00BA1DFA" w:rsidRDefault="00BA1DFA" w:rsidP="00313FAF"/>
    <w:p w14:paraId="37AA5ACF" w14:textId="77777777" w:rsidR="00BA1DFA" w:rsidRPr="000A4363" w:rsidRDefault="00BA1DFA" w:rsidP="004E282E">
      <w:pPr>
        <w:pStyle w:val="Heading3"/>
      </w:pPr>
      <w:bookmarkStart w:id="65" w:name="_Toc443394707"/>
      <w:bookmarkStart w:id="66" w:name="_Toc81228953"/>
      <w:r>
        <w:t>Von den Technischen Arbeitsgruppen im Jahr 2022 zu behandelnde Entwürfe von Prüfungsrichtlinien</w:t>
      </w:r>
      <w:bookmarkEnd w:id="65"/>
      <w:bookmarkEnd w:id="66"/>
    </w:p>
    <w:p w14:paraId="1D6A95B0" w14:textId="77777777" w:rsidR="00BA1DFA" w:rsidRDefault="00BA1DFA" w:rsidP="00AC5450">
      <w:pPr>
        <w:keepNext/>
        <w:keepLines/>
      </w:pPr>
    </w:p>
    <w:p w14:paraId="1CFD364A" w14:textId="77777777" w:rsidR="00BA1DFA" w:rsidRDefault="00976209" w:rsidP="00313FAF">
      <w:r>
        <w:fldChar w:fldCharType="begin"/>
      </w:r>
      <w:r>
        <w:instrText xml:space="preserve"> AUTONUM  </w:instrText>
      </w:r>
      <w:r>
        <w:fldChar w:fldCharType="end"/>
      </w:r>
      <w:r>
        <w:tab/>
        <w:t xml:space="preserve">Der TC vereinbarte, um eine Teilüberarbeitung der Prüfungsrichtlinien für Heidelbeere (Dokument TG/137/5) zu ersuchen, die von der TWF auf ihrer Tagung im Jahr 2022 mit Frau Nahida Bhuiyan (Australien) als Führender Sachverständiger und unter Neufassung der folgenden Stellen geprüft werden soll: </w:t>
      </w:r>
    </w:p>
    <w:p w14:paraId="391874F2" w14:textId="77777777" w:rsidR="00EE09B6" w:rsidRPr="0052329D" w:rsidRDefault="00EE09B6" w:rsidP="00313FAF"/>
    <w:p w14:paraId="7A4B4D5D" w14:textId="77777777" w:rsidR="00EE09B6" w:rsidRDefault="00EE09B6" w:rsidP="00EE09B6">
      <w:pPr>
        <w:pStyle w:val="ListParagraph"/>
        <w:numPr>
          <w:ilvl w:val="0"/>
          <w:numId w:val="17"/>
        </w:numPr>
      </w:pPr>
      <w:r>
        <w:t xml:space="preserve">Ausweitung des Anwendungsbereichs um </w:t>
      </w:r>
      <w:r>
        <w:rPr>
          <w:i/>
        </w:rPr>
        <w:t>V. darrowii;</w:t>
      </w:r>
    </w:p>
    <w:p w14:paraId="35E3E6BE" w14:textId="77777777" w:rsidR="00EE09B6" w:rsidRDefault="00EE09B6" w:rsidP="00EE09B6">
      <w:pPr>
        <w:pStyle w:val="ListParagraph"/>
        <w:numPr>
          <w:ilvl w:val="0"/>
          <w:numId w:val="17"/>
        </w:numPr>
      </w:pPr>
      <w:r>
        <w:t xml:space="preserve">Merkm. 14: Beispielssorte ‚Ridley‘ ist aus Note 2 zu streichen </w:t>
      </w:r>
    </w:p>
    <w:p w14:paraId="0317C78A" w14:textId="77777777" w:rsidR="00EE09B6" w:rsidRDefault="00EE09B6" w:rsidP="00EE09B6">
      <w:pPr>
        <w:pStyle w:val="ListParagraph"/>
        <w:numPr>
          <w:ilvl w:val="0"/>
          <w:numId w:val="17"/>
        </w:numPr>
      </w:pPr>
      <w:r>
        <w:t xml:space="preserve">Zu 8: die Abbildung für die Ausprägungsstufe „lanzettlich“ ist zu ersetzen </w:t>
      </w:r>
    </w:p>
    <w:p w14:paraId="424EBBAB" w14:textId="77777777" w:rsidR="00EE09B6" w:rsidRDefault="00EE09B6" w:rsidP="00313FAF"/>
    <w:p w14:paraId="6182745A" w14:textId="77777777" w:rsidR="00BA1DFA" w:rsidRDefault="00EE09B6" w:rsidP="00313FAF">
      <w:r>
        <w:fldChar w:fldCharType="begin"/>
      </w:r>
      <w:r>
        <w:instrText xml:space="preserve"> AUTONUM  </w:instrText>
      </w:r>
      <w:r>
        <w:fldChar w:fldCharType="end"/>
      </w:r>
      <w:r>
        <w:tab/>
        <w:t>Der TC vereinbarte, um eine Teilüberarbeitung der Prüfungsrichtlinien für Futterrübe (Dokument TG/150/3) zu ersuchen, die von der TWA auf ihrer Tagung im Jahr 2022 mit Frau Anne-Lise Corbel (Frankreich) als Führender Sachverständiger geprüft werden soll.</w:t>
      </w:r>
    </w:p>
    <w:p w14:paraId="64B67A62" w14:textId="77777777" w:rsidR="00EE09B6" w:rsidRPr="0052329D" w:rsidRDefault="00EE09B6" w:rsidP="00313FAF"/>
    <w:p w14:paraId="4781EBB3" w14:textId="77777777" w:rsidR="00EE09B6" w:rsidRDefault="00EE09B6" w:rsidP="00313FAF">
      <w:r>
        <w:fldChar w:fldCharType="begin"/>
      </w:r>
      <w:r>
        <w:instrText xml:space="preserve"> AUTONUM  </w:instrText>
      </w:r>
      <w:r>
        <w:fldChar w:fldCharType="end"/>
      </w:r>
      <w:r>
        <w:tab/>
        <w:t>Der TC stimmte dem Programm für die Erstellung neuer Prüfungsrichtlinien und für die Überarbeitung von angenommenen Prüfungsrichtlinien, wie in Anlage IV des Dokuments TC/57/2 dargelegt, zu.</w:t>
      </w:r>
    </w:p>
    <w:p w14:paraId="5E3C13A8" w14:textId="77777777" w:rsidR="00EE09B6" w:rsidRDefault="00EE09B6" w:rsidP="00313FAF"/>
    <w:p w14:paraId="41CB07DF" w14:textId="77777777" w:rsidR="00EE09B6" w:rsidRPr="000A4363" w:rsidRDefault="00EE09B6" w:rsidP="004E282E">
      <w:pPr>
        <w:pStyle w:val="Heading3"/>
      </w:pPr>
      <w:bookmarkStart w:id="67" w:name="_Toc443394708"/>
      <w:bookmarkStart w:id="68" w:name="_Toc81228958"/>
      <w:r>
        <w:t>Stand der bestehenden Prüfungsrichtlinien oder der Entwürfe von Prüfungsrichtlinien</w:t>
      </w:r>
      <w:bookmarkEnd w:id="67"/>
      <w:bookmarkEnd w:id="68"/>
    </w:p>
    <w:p w14:paraId="24F9C8CF" w14:textId="77777777" w:rsidR="00EE09B6" w:rsidRDefault="00EE09B6" w:rsidP="00AC5450">
      <w:pPr>
        <w:keepNext/>
      </w:pPr>
    </w:p>
    <w:p w14:paraId="1D997C07" w14:textId="77777777" w:rsidR="00EE09B6" w:rsidRDefault="00EE09B6" w:rsidP="00313FAF">
      <w:r>
        <w:fldChar w:fldCharType="begin"/>
      </w:r>
      <w:r>
        <w:instrText xml:space="preserve"> AUTONUM  </w:instrText>
      </w:r>
      <w:r>
        <w:fldChar w:fldCharType="end"/>
      </w:r>
      <w:r>
        <w:tab/>
        <w:t>Der TC nahm den Stand der bestehenden Prüfungsrichtlinien oder Entwürfe von Prüfungsrichtlinien zur Kenntnis, wie in Anlage V des Dokuments TC/57/2 dargelegt.</w:t>
      </w:r>
    </w:p>
    <w:p w14:paraId="2437CF51" w14:textId="77777777" w:rsidR="00EE09B6" w:rsidRDefault="00EE09B6" w:rsidP="00313FAF"/>
    <w:p w14:paraId="0C1927CD" w14:textId="77777777" w:rsidR="00EE09B6" w:rsidRDefault="00EE09B6" w:rsidP="004E282E">
      <w:pPr>
        <w:pStyle w:val="Heading3"/>
      </w:pPr>
      <w:bookmarkStart w:id="69" w:name="_Toc443394709"/>
      <w:bookmarkStart w:id="70" w:name="_Toc81228959"/>
      <w:r>
        <w:t>Ersetzte Prüfungsrichtlinien</w:t>
      </w:r>
      <w:bookmarkEnd w:id="69"/>
      <w:bookmarkEnd w:id="70"/>
    </w:p>
    <w:p w14:paraId="3C18A0FD" w14:textId="77777777" w:rsidR="00EE09B6" w:rsidRDefault="00EE09B6" w:rsidP="00AC5450">
      <w:pPr>
        <w:keepNext/>
      </w:pPr>
    </w:p>
    <w:p w14:paraId="17E4E89F" w14:textId="77777777" w:rsidR="00EE09B6" w:rsidRDefault="00EE09B6" w:rsidP="00313FAF">
      <w:r>
        <w:fldChar w:fldCharType="begin"/>
      </w:r>
      <w:r>
        <w:instrText xml:space="preserve"> AUTONUM  </w:instrText>
      </w:r>
      <w:r>
        <w:fldChar w:fldCharType="end"/>
      </w:r>
      <w:r>
        <w:tab/>
        <w:t xml:space="preserve">Der TC nahm die Liste ersetzter Prüfungsrichtlinien, wie in Anlage VI von Dokument TC/57/2 dargelegt, zur Kenntnis. </w:t>
      </w:r>
    </w:p>
    <w:p w14:paraId="43BCE604" w14:textId="77777777" w:rsidR="00EE09B6" w:rsidRDefault="00EE09B6" w:rsidP="00313FAF"/>
    <w:p w14:paraId="2D340B88" w14:textId="00DD8F63" w:rsidR="00EE09B6" w:rsidRDefault="00EE09B6" w:rsidP="00313FAF">
      <w:r>
        <w:fldChar w:fldCharType="begin"/>
      </w:r>
      <w:r>
        <w:instrText xml:space="preserve"> AUTONUM  </w:instrText>
      </w:r>
      <w:r>
        <w:fldChar w:fldCharType="end"/>
      </w:r>
      <w:r>
        <w:tab/>
        <w:t>Der TC nahm zur Kenntnis, dass die ersetzten Fassungen von Prüfungsrichtlinien auf der Seite für Prüfungsrichtlinien auf der UPOV-Webseite verfügbar sind.</w:t>
      </w:r>
      <w:r>
        <w:cr/>
      </w:r>
    </w:p>
    <w:p w14:paraId="40AB2D6F" w14:textId="77777777" w:rsidR="00D07169" w:rsidRPr="003805CD" w:rsidRDefault="00D07169" w:rsidP="00313FAF"/>
    <w:p w14:paraId="01FACAAD" w14:textId="77777777" w:rsidR="00313FAF" w:rsidRPr="008D0013" w:rsidRDefault="00313FAF" w:rsidP="00313FAF">
      <w:pPr>
        <w:pStyle w:val="Heading2"/>
      </w:pPr>
      <w:r>
        <w:t>Programm für die achtundfünfzigste Tagung</w:t>
      </w:r>
    </w:p>
    <w:p w14:paraId="0D3E100A" w14:textId="77777777" w:rsidR="00313FAF" w:rsidRPr="008D0013" w:rsidRDefault="00313FAF" w:rsidP="00AC5450">
      <w:pPr>
        <w:keepNext/>
        <w:jc w:val="left"/>
      </w:pPr>
    </w:p>
    <w:p w14:paraId="20FA042A" w14:textId="77777777" w:rsidR="00313FAF" w:rsidRPr="008D0013" w:rsidRDefault="00313FAF" w:rsidP="00AC5450">
      <w:pPr>
        <w:keepNext/>
        <w:jc w:val="left"/>
      </w:pPr>
      <w:r w:rsidRPr="008D0013">
        <w:fldChar w:fldCharType="begin"/>
      </w:r>
      <w:r w:rsidRPr="008D0013">
        <w:instrText xml:space="preserve"> AUTONUM  </w:instrText>
      </w:r>
      <w:r w:rsidRPr="008D0013">
        <w:fldChar w:fldCharType="end"/>
      </w:r>
      <w:r>
        <w:tab/>
        <w:t>Der TC schlug vor, auf seiner nächsten Tagung die folgenden Punkte zu erörtern:</w:t>
      </w:r>
    </w:p>
    <w:p w14:paraId="327E7007" w14:textId="77777777" w:rsidR="00730C37" w:rsidRPr="008D0013" w:rsidRDefault="00730C37" w:rsidP="00AC5450">
      <w:pPr>
        <w:keepNext/>
        <w:jc w:val="left"/>
      </w:pPr>
    </w:p>
    <w:p w14:paraId="379C90A7" w14:textId="77777777" w:rsidR="006C1256" w:rsidRPr="00B735FD" w:rsidRDefault="006C1256" w:rsidP="006C1256">
      <w:pPr>
        <w:pStyle w:val="ListParagraph"/>
        <w:keepNext/>
        <w:numPr>
          <w:ilvl w:val="0"/>
          <w:numId w:val="2"/>
        </w:numPr>
        <w:tabs>
          <w:tab w:val="left" w:pos="1134"/>
        </w:tabs>
        <w:spacing w:line="276" w:lineRule="auto"/>
      </w:pPr>
      <w:r>
        <w:t>Eröffnung der Tagung</w:t>
      </w:r>
    </w:p>
    <w:p w14:paraId="0C66192C" w14:textId="77777777" w:rsidR="006C1256" w:rsidRPr="00B735FD" w:rsidRDefault="006C1256" w:rsidP="006C1256">
      <w:pPr>
        <w:pStyle w:val="ListParagraph"/>
        <w:numPr>
          <w:ilvl w:val="0"/>
          <w:numId w:val="2"/>
        </w:numPr>
        <w:tabs>
          <w:tab w:val="left" w:pos="1134"/>
        </w:tabs>
        <w:spacing w:line="276" w:lineRule="auto"/>
      </w:pPr>
      <w:r>
        <w:t>Annahme der Tagesordnung</w:t>
      </w:r>
    </w:p>
    <w:p w14:paraId="43E05525" w14:textId="77777777" w:rsidR="006C1256" w:rsidRPr="00B735FD" w:rsidRDefault="006C1256" w:rsidP="006C1256">
      <w:pPr>
        <w:pStyle w:val="ListParagraph"/>
        <w:numPr>
          <w:ilvl w:val="0"/>
          <w:numId w:val="2"/>
        </w:numPr>
        <w:tabs>
          <w:tab w:val="left" w:pos="1134"/>
        </w:tabs>
        <w:spacing w:line="276" w:lineRule="auto"/>
      </w:pPr>
      <w:r>
        <w:t>Bericht über Entwicklungen in der UPOV</w:t>
      </w:r>
    </w:p>
    <w:p w14:paraId="102F5412" w14:textId="77777777" w:rsidR="006C1256" w:rsidRPr="00B735FD" w:rsidRDefault="006C1256" w:rsidP="006C1256">
      <w:pPr>
        <w:pStyle w:val="ListParagraph"/>
        <w:numPr>
          <w:ilvl w:val="0"/>
          <w:numId w:val="2"/>
        </w:numPr>
        <w:tabs>
          <w:tab w:val="left" w:pos="1134"/>
        </w:tabs>
        <w:spacing w:line="276" w:lineRule="auto"/>
      </w:pPr>
      <w:r>
        <w:t xml:space="preserve">Bericht über den Fortschritt der Arbeiten der Technischen Arbeitsgruppen </w:t>
      </w:r>
    </w:p>
    <w:p w14:paraId="02B8F209" w14:textId="77777777" w:rsidR="006C1256" w:rsidRPr="00B735FD" w:rsidRDefault="006C1256" w:rsidP="006C1256">
      <w:pPr>
        <w:pStyle w:val="ListParagraph"/>
        <w:numPr>
          <w:ilvl w:val="0"/>
          <w:numId w:val="2"/>
        </w:numPr>
        <w:tabs>
          <w:tab w:val="left" w:pos="1134"/>
        </w:tabs>
        <w:spacing w:line="276" w:lineRule="auto"/>
      </w:pPr>
      <w:r>
        <w:t xml:space="preserve">Fragen, die von den technischen Arbeitsgruppen aufgeworfen wurden </w:t>
      </w:r>
    </w:p>
    <w:p w14:paraId="0C29FF4A" w14:textId="77777777" w:rsidR="006C1256" w:rsidRPr="00B735FD" w:rsidRDefault="006C1256" w:rsidP="006C1256">
      <w:pPr>
        <w:pStyle w:val="ListParagraph"/>
        <w:numPr>
          <w:ilvl w:val="0"/>
          <w:numId w:val="2"/>
        </w:numPr>
        <w:tabs>
          <w:tab w:val="left" w:pos="1134"/>
        </w:tabs>
        <w:spacing w:line="276" w:lineRule="auto"/>
      </w:pPr>
      <w:r>
        <w:t>Anleitungen und Informationsmaterial</w:t>
      </w:r>
    </w:p>
    <w:p w14:paraId="42338051" w14:textId="77777777" w:rsidR="006C1256" w:rsidRPr="00B735FD" w:rsidRDefault="006C1256" w:rsidP="006C1256">
      <w:pPr>
        <w:pStyle w:val="ListParagraph"/>
        <w:numPr>
          <w:ilvl w:val="0"/>
          <w:numId w:val="2"/>
        </w:numPr>
        <w:tabs>
          <w:tab w:val="left" w:pos="1134"/>
        </w:tabs>
        <w:spacing w:line="276" w:lineRule="auto"/>
      </w:pPr>
      <w:r>
        <w:t xml:space="preserve">Molekulare Verfahren </w:t>
      </w:r>
    </w:p>
    <w:p w14:paraId="4CCE8A5E" w14:textId="77777777" w:rsidR="006C1256" w:rsidRPr="00B735FD" w:rsidRDefault="006C1256" w:rsidP="006C1256">
      <w:pPr>
        <w:pStyle w:val="ListParagraph"/>
        <w:numPr>
          <w:ilvl w:val="0"/>
          <w:numId w:val="2"/>
        </w:numPr>
        <w:tabs>
          <w:tab w:val="left" w:pos="1134"/>
        </w:tabs>
        <w:spacing w:line="276" w:lineRule="auto"/>
      </w:pPr>
      <w:r>
        <w:t>Zusammenarbeit bei der Prüfung</w:t>
      </w:r>
    </w:p>
    <w:p w14:paraId="2A9F18BC" w14:textId="77777777" w:rsidR="006C1256" w:rsidRPr="00B735FD" w:rsidRDefault="006C1256" w:rsidP="006C1256">
      <w:pPr>
        <w:pStyle w:val="ListParagraph"/>
        <w:numPr>
          <w:ilvl w:val="0"/>
          <w:numId w:val="2"/>
        </w:numPr>
        <w:tabs>
          <w:tab w:val="left" w:pos="1134"/>
        </w:tabs>
        <w:spacing w:line="276" w:lineRule="auto"/>
      </w:pPr>
      <w:r>
        <w:t>Verstärkte Mitwirkung neuer Mitglieder an der Arbeit des TC und der verschiedenen TWP</w:t>
      </w:r>
    </w:p>
    <w:p w14:paraId="34849CF2" w14:textId="77777777" w:rsidR="006C1256" w:rsidRPr="00B735FD" w:rsidRDefault="006C1256" w:rsidP="006C1256">
      <w:pPr>
        <w:pStyle w:val="ListParagraph"/>
        <w:keepNext/>
        <w:numPr>
          <w:ilvl w:val="0"/>
          <w:numId w:val="2"/>
        </w:numPr>
        <w:tabs>
          <w:tab w:val="left" w:pos="1134"/>
        </w:tabs>
        <w:spacing w:line="276" w:lineRule="auto"/>
      </w:pPr>
      <w:r>
        <w:t>Informationen und Datenbanken</w:t>
      </w:r>
    </w:p>
    <w:p w14:paraId="5E85AFAD" w14:textId="77777777" w:rsidR="006C1256" w:rsidRPr="00B735FD" w:rsidRDefault="006C1256" w:rsidP="006C1256">
      <w:pPr>
        <w:pStyle w:val="ListParagraph"/>
        <w:keepNext/>
        <w:numPr>
          <w:ilvl w:val="1"/>
          <w:numId w:val="2"/>
        </w:numPr>
        <w:tabs>
          <w:tab w:val="left" w:pos="1134"/>
          <w:tab w:val="left" w:pos="1701"/>
        </w:tabs>
        <w:spacing w:line="276" w:lineRule="auto"/>
      </w:pPr>
      <w:r>
        <w:t xml:space="preserve">UPOV-Informationsdatenbanken </w:t>
      </w:r>
    </w:p>
    <w:p w14:paraId="49B16FCA" w14:textId="77777777" w:rsidR="006C1256" w:rsidRPr="00B735FD" w:rsidRDefault="006C1256" w:rsidP="006C1256">
      <w:pPr>
        <w:pStyle w:val="ListParagraph"/>
        <w:numPr>
          <w:ilvl w:val="1"/>
          <w:numId w:val="2"/>
        </w:numPr>
        <w:tabs>
          <w:tab w:val="left" w:pos="1134"/>
          <w:tab w:val="left" w:pos="1701"/>
        </w:tabs>
        <w:spacing w:line="276" w:lineRule="auto"/>
      </w:pPr>
      <w:r>
        <w:t xml:space="preserve">UPOV PRISMA </w:t>
      </w:r>
    </w:p>
    <w:p w14:paraId="371A8076" w14:textId="77777777" w:rsidR="006C1256" w:rsidRPr="00B735FD" w:rsidRDefault="006C1256" w:rsidP="006C1256">
      <w:pPr>
        <w:pStyle w:val="ListParagraph"/>
        <w:numPr>
          <w:ilvl w:val="1"/>
          <w:numId w:val="2"/>
        </w:numPr>
        <w:tabs>
          <w:tab w:val="left" w:pos="1134"/>
          <w:tab w:val="left" w:pos="1701"/>
        </w:tabs>
        <w:spacing w:line="276" w:lineRule="auto"/>
      </w:pPr>
      <w:r>
        <w:t xml:space="preserve">Austausch und Verwendung von Software und Ausrüstung </w:t>
      </w:r>
    </w:p>
    <w:p w14:paraId="0EBEEDCF" w14:textId="77777777" w:rsidR="006C1256" w:rsidRPr="00B735FD" w:rsidRDefault="006C1256" w:rsidP="006C1256">
      <w:pPr>
        <w:pStyle w:val="ListParagraph"/>
        <w:numPr>
          <w:ilvl w:val="1"/>
          <w:numId w:val="2"/>
        </w:numPr>
        <w:tabs>
          <w:tab w:val="left" w:pos="1134"/>
          <w:tab w:val="left" w:pos="1701"/>
        </w:tabs>
        <w:spacing w:line="276" w:lineRule="auto"/>
      </w:pPr>
      <w:r>
        <w:t xml:space="preserve">Datenbanken für Sortenbeschreibungen </w:t>
      </w:r>
    </w:p>
    <w:p w14:paraId="4DB5E7DA" w14:textId="77777777" w:rsidR="006C1256" w:rsidRPr="00EE154A" w:rsidRDefault="006C1256" w:rsidP="006C1256">
      <w:pPr>
        <w:pStyle w:val="ListParagraph"/>
        <w:numPr>
          <w:ilvl w:val="1"/>
          <w:numId w:val="2"/>
        </w:numPr>
        <w:tabs>
          <w:tab w:val="left" w:pos="1134"/>
          <w:tab w:val="left" w:pos="1701"/>
        </w:tabs>
        <w:spacing w:line="276" w:lineRule="auto"/>
      </w:pPr>
      <w:r>
        <w:t>Webbasierte TG-Mustervorlage</w:t>
      </w:r>
    </w:p>
    <w:p w14:paraId="568C853D" w14:textId="77777777" w:rsidR="006C1256" w:rsidRPr="00B735FD" w:rsidRDefault="006C1256" w:rsidP="006C1256">
      <w:pPr>
        <w:pStyle w:val="ListParagraph"/>
        <w:numPr>
          <w:ilvl w:val="0"/>
          <w:numId w:val="2"/>
        </w:numPr>
        <w:tabs>
          <w:tab w:val="left" w:pos="1134"/>
        </w:tabs>
        <w:spacing w:line="276" w:lineRule="auto"/>
      </w:pPr>
      <w:r>
        <w:t xml:space="preserve">Vorbereitende Arbeitstagungen </w:t>
      </w:r>
    </w:p>
    <w:p w14:paraId="67E05657" w14:textId="77777777" w:rsidR="006C1256" w:rsidRPr="00B735FD" w:rsidRDefault="006C1256" w:rsidP="006C1256">
      <w:pPr>
        <w:pStyle w:val="ListParagraph"/>
        <w:numPr>
          <w:ilvl w:val="0"/>
          <w:numId w:val="2"/>
        </w:numPr>
        <w:tabs>
          <w:tab w:val="left" w:pos="1134"/>
        </w:tabs>
        <w:spacing w:line="276" w:lineRule="auto"/>
      </w:pPr>
      <w:r>
        <w:t>Sortenbezeichnungen</w:t>
      </w:r>
    </w:p>
    <w:p w14:paraId="245D3800" w14:textId="77777777" w:rsidR="006C1256" w:rsidRPr="004C5E4E" w:rsidRDefault="006C1256" w:rsidP="006C1256">
      <w:pPr>
        <w:pStyle w:val="ListParagraph"/>
        <w:numPr>
          <w:ilvl w:val="0"/>
          <w:numId w:val="2"/>
        </w:numPr>
        <w:tabs>
          <w:tab w:val="left" w:pos="1134"/>
        </w:tabs>
        <w:spacing w:line="276" w:lineRule="auto"/>
      </w:pPr>
      <w:r>
        <w:t>Erörterung über: Mindestabstand zwischen Sorten</w:t>
      </w:r>
    </w:p>
    <w:p w14:paraId="273A1D29" w14:textId="77777777" w:rsidR="006C1256" w:rsidRPr="00B735FD" w:rsidRDefault="006C1256" w:rsidP="006C1256">
      <w:pPr>
        <w:pStyle w:val="ListParagraph"/>
        <w:numPr>
          <w:ilvl w:val="0"/>
          <w:numId w:val="2"/>
        </w:numPr>
        <w:tabs>
          <w:tab w:val="left" w:pos="1134"/>
        </w:tabs>
        <w:spacing w:line="276" w:lineRule="auto"/>
      </w:pPr>
      <w:r>
        <w:t>Liste der Gattungen und Arten, für die die Behörden über praktische Erfahrung bei der Prüfung der Unterscheidbarkeit, Homogenität und Beständigkeit verfügen</w:t>
      </w:r>
    </w:p>
    <w:p w14:paraId="7B7D7A78" w14:textId="77777777" w:rsidR="006C1256" w:rsidRPr="00B735FD" w:rsidRDefault="006C1256" w:rsidP="006C1256">
      <w:pPr>
        <w:pStyle w:val="ListParagraph"/>
        <w:numPr>
          <w:ilvl w:val="0"/>
          <w:numId w:val="2"/>
        </w:numPr>
        <w:tabs>
          <w:tab w:val="left" w:pos="1134"/>
        </w:tabs>
        <w:spacing w:line="276" w:lineRule="auto"/>
      </w:pPr>
      <w:r>
        <w:t>Prüfungsrichtlinien</w:t>
      </w:r>
    </w:p>
    <w:p w14:paraId="17D03FDD" w14:textId="77777777" w:rsidR="006C1256" w:rsidRPr="00B735FD" w:rsidRDefault="006C1256" w:rsidP="006C1256">
      <w:pPr>
        <w:pStyle w:val="ListParagraph"/>
        <w:numPr>
          <w:ilvl w:val="0"/>
          <w:numId w:val="2"/>
        </w:numPr>
        <w:tabs>
          <w:tab w:val="left" w:pos="1134"/>
        </w:tabs>
        <w:spacing w:line="276" w:lineRule="auto"/>
      </w:pPr>
      <w:r>
        <w:t xml:space="preserve">Programm für die neunundfünfzigste Tagung </w:t>
      </w:r>
    </w:p>
    <w:p w14:paraId="39DF2E41" w14:textId="1CD5679F" w:rsidR="006C1256" w:rsidRPr="00B735FD" w:rsidRDefault="006C1256" w:rsidP="00C6116C">
      <w:pPr>
        <w:pStyle w:val="ListParagraph"/>
        <w:numPr>
          <w:ilvl w:val="0"/>
          <w:numId w:val="2"/>
        </w:numPr>
        <w:tabs>
          <w:tab w:val="left" w:pos="1134"/>
        </w:tabs>
        <w:spacing w:line="276" w:lineRule="auto"/>
      </w:pPr>
      <w:r>
        <w:t>Annahme des Beri</w:t>
      </w:r>
      <w:r w:rsidR="00C6116C">
        <w:t>chts (sofern zeitlich möglich)</w:t>
      </w:r>
      <w:r w:rsidR="00C6116C">
        <w:cr/>
      </w:r>
      <w:r>
        <w:t>Schließung der Tagung</w:t>
      </w:r>
    </w:p>
    <w:p w14:paraId="41FE44C3" w14:textId="77777777" w:rsidR="00843F44" w:rsidRDefault="00843F44" w:rsidP="00445B73">
      <w:pPr>
        <w:jc w:val="left"/>
      </w:pPr>
    </w:p>
    <w:p w14:paraId="52A0BBD0" w14:textId="77777777" w:rsidR="003315B3" w:rsidRPr="0052329D" w:rsidRDefault="001752ED" w:rsidP="008D312A">
      <w:pPr>
        <w:pStyle w:val="DecisionParagraphs"/>
        <w:tabs>
          <w:tab w:val="clear" w:pos="5954"/>
        </w:tabs>
        <w:rPr>
          <w:lang w:val="en-US"/>
        </w:rPr>
      </w:pPr>
      <w:r>
        <w:fldChar w:fldCharType="begin"/>
      </w:r>
      <w:r>
        <w:instrText xml:space="preserve"> AUTONUM  </w:instrText>
      </w:r>
      <w:r>
        <w:fldChar w:fldCharType="end"/>
      </w:r>
      <w:r>
        <w:tab/>
        <w:t xml:space="preserve">Der TC nahm diesen Bericht am Schluss seiner Tagung am 26. </w:t>
      </w:r>
      <w:r w:rsidRPr="0052329D">
        <w:rPr>
          <w:lang w:val="en-US"/>
        </w:rPr>
        <w:t>Oktober 2021 an.</w:t>
      </w:r>
    </w:p>
    <w:p w14:paraId="7B5205A2" w14:textId="77777777" w:rsidR="00445B73" w:rsidRPr="0052329D" w:rsidRDefault="00445B73" w:rsidP="00445B73">
      <w:pPr>
        <w:rPr>
          <w:lang w:val="en-US"/>
        </w:rPr>
      </w:pPr>
    </w:p>
    <w:p w14:paraId="14AF0759" w14:textId="77777777" w:rsidR="008D312A" w:rsidRPr="0052329D" w:rsidRDefault="008D312A" w:rsidP="00445B73">
      <w:pPr>
        <w:rPr>
          <w:lang w:val="en-US"/>
        </w:rPr>
      </w:pPr>
    </w:p>
    <w:p w14:paraId="19B99F9A" w14:textId="77777777" w:rsidR="008D312A" w:rsidRPr="0052329D" w:rsidRDefault="008D312A" w:rsidP="00445B73">
      <w:pPr>
        <w:rPr>
          <w:lang w:val="en-US"/>
        </w:rPr>
      </w:pPr>
    </w:p>
    <w:p w14:paraId="012C8841" w14:textId="77777777" w:rsidR="00445B73" w:rsidRPr="0052329D" w:rsidRDefault="00445B73" w:rsidP="00445B73">
      <w:pPr>
        <w:jc w:val="right"/>
        <w:rPr>
          <w:lang w:val="en-US"/>
        </w:rPr>
      </w:pPr>
      <w:r w:rsidRPr="0052329D">
        <w:rPr>
          <w:lang w:val="en-US"/>
        </w:rPr>
        <w:t xml:space="preserve"> [Anlage I folgt]</w:t>
      </w:r>
    </w:p>
    <w:p w14:paraId="2473C6A9" w14:textId="77777777" w:rsidR="00445B73" w:rsidRPr="0052329D" w:rsidRDefault="00445B73" w:rsidP="00445B73">
      <w:pPr>
        <w:jc w:val="left"/>
        <w:rPr>
          <w:lang w:val="en-US"/>
        </w:rPr>
      </w:pPr>
    </w:p>
    <w:p w14:paraId="0898F8D9" w14:textId="77777777" w:rsidR="00A8047D" w:rsidRPr="0052329D" w:rsidRDefault="00A8047D" w:rsidP="009B440E">
      <w:pPr>
        <w:jc w:val="left"/>
        <w:rPr>
          <w:lang w:val="en-US"/>
        </w:rPr>
        <w:sectPr w:rsidR="00A8047D" w:rsidRPr="0052329D" w:rsidSect="0004198B">
          <w:headerReference w:type="default" r:id="rId9"/>
          <w:pgSz w:w="11907" w:h="16840" w:code="9"/>
          <w:pgMar w:top="510" w:right="1134" w:bottom="1134" w:left="1134" w:header="510" w:footer="680" w:gutter="0"/>
          <w:pgNumType w:start="1"/>
          <w:cols w:space="720"/>
          <w:titlePg/>
        </w:sectPr>
      </w:pPr>
    </w:p>
    <w:p w14:paraId="6F8F4554" w14:textId="0063E600" w:rsidR="00A8047D" w:rsidRPr="009F1724" w:rsidRDefault="00C6116C" w:rsidP="00A8047D">
      <w:pPr>
        <w:jc w:val="center"/>
      </w:pPr>
      <w:r w:rsidRPr="009F1724">
        <w:t>TEILNEHMERLISTE</w:t>
      </w:r>
    </w:p>
    <w:p w14:paraId="66639B51" w14:textId="77777777" w:rsidR="00A8047D" w:rsidRPr="009F1724" w:rsidRDefault="00A8047D" w:rsidP="00A8047D">
      <w:pPr>
        <w:jc w:val="center"/>
      </w:pPr>
      <w:bookmarkStart w:id="71" w:name="_GoBack"/>
      <w:bookmarkEnd w:id="71"/>
    </w:p>
    <w:p w14:paraId="164A54F6" w14:textId="27FAE315" w:rsidR="00A8047D" w:rsidRPr="009F1724" w:rsidRDefault="00A8047D" w:rsidP="00A8047D">
      <w:pPr>
        <w:jc w:val="center"/>
      </w:pPr>
      <w:r w:rsidRPr="009F1724">
        <w:t>(</w:t>
      </w:r>
      <w:r w:rsidR="009F1724" w:rsidRPr="009F1724">
        <w:t xml:space="preserve">in alphabetischer </w:t>
      </w:r>
      <w:r w:rsidR="00C6116C" w:rsidRPr="009F1724">
        <w:t>Reihenfolge der französischen</w:t>
      </w:r>
      <w:r w:rsidR="009F1724" w:rsidRPr="009F1724">
        <w:t xml:space="preserve"> Namen der Mitglieder</w:t>
      </w:r>
      <w:r w:rsidRPr="009F1724">
        <w:t>)</w:t>
      </w:r>
    </w:p>
    <w:p w14:paraId="3CAA0F60" w14:textId="77777777" w:rsidR="00054E72" w:rsidRPr="00C72898" w:rsidRDefault="00054E72" w:rsidP="00054E72">
      <w:pPr>
        <w:pStyle w:val="plheading"/>
        <w:rPr>
          <w:lang w:val="en-US"/>
        </w:rPr>
      </w:pPr>
      <w:r w:rsidRPr="00C72898">
        <w:rPr>
          <w:lang w:val="en-US"/>
        </w:rPr>
        <w:t>I. MEMBRES / MEMBERS / VERBANDSMITGLIEDER / MIEMBROS</w:t>
      </w:r>
    </w:p>
    <w:p w14:paraId="631C9D94" w14:textId="77777777" w:rsidR="00054E72" w:rsidRPr="00C72898" w:rsidRDefault="00054E72" w:rsidP="00054E72">
      <w:pPr>
        <w:pStyle w:val="plcountry"/>
        <w:rPr>
          <w:lang w:val="en-US"/>
        </w:rPr>
      </w:pPr>
      <w:r w:rsidRPr="00C72898">
        <w:rPr>
          <w:lang w:val="en-US"/>
        </w:rPr>
        <w:t>AFRIQUE DU SUD / SOUTH AFRICA / SÜDAFRIKA / SUDÁFRICA</w:t>
      </w:r>
    </w:p>
    <w:p w14:paraId="5BD63073" w14:textId="77777777" w:rsidR="00054E72" w:rsidRPr="0052329D" w:rsidRDefault="00054E72" w:rsidP="00054E72">
      <w:pPr>
        <w:pStyle w:val="pldetails"/>
        <w:rPr>
          <w:lang w:val="en-US"/>
        </w:rPr>
      </w:pPr>
      <w:r w:rsidRPr="0052329D">
        <w:rPr>
          <w:lang w:val="en-US"/>
        </w:rPr>
        <w:t xml:space="preserve">Noluthando NETNOU-NKOANA (Ms.), Director, Genetic Resources, Department of Agriculture, Rural development and Land Reform, Pretoria </w:t>
      </w:r>
      <w:r w:rsidRPr="0052329D">
        <w:rPr>
          <w:lang w:val="en-US"/>
        </w:rPr>
        <w:br/>
        <w:t>(e-mail: noluthandon@daff.gov.za)</w:t>
      </w:r>
    </w:p>
    <w:p w14:paraId="430D8504" w14:textId="77777777" w:rsidR="00054E72" w:rsidRPr="0052329D" w:rsidRDefault="00054E72" w:rsidP="00054E72">
      <w:pPr>
        <w:pStyle w:val="pldetails"/>
        <w:rPr>
          <w:lang w:val="en-US"/>
        </w:rPr>
      </w:pPr>
      <w:r w:rsidRPr="0052329D">
        <w:rPr>
          <w:lang w:val="en-US"/>
        </w:rPr>
        <w:t xml:space="preserve">Elna DE BRUYN (CJ) (Ms.), Acting Registrar: PBR Act, Directorate:  Genetic Resources,  Division: Plant Breeder’s Rights, Department of Agriculture, Land Reform and rural Development, Pretoria </w:t>
      </w:r>
      <w:r w:rsidRPr="0052329D">
        <w:rPr>
          <w:lang w:val="en-US"/>
        </w:rPr>
        <w:br/>
        <w:t>(e-mail: elnadb@dalrrd.gov.za)</w:t>
      </w:r>
    </w:p>
    <w:p w14:paraId="78B4D11A" w14:textId="77777777" w:rsidR="00054E72" w:rsidRPr="0052329D" w:rsidRDefault="00054E72" w:rsidP="00054E72">
      <w:pPr>
        <w:pStyle w:val="pldetails"/>
        <w:rPr>
          <w:lang w:val="en-US"/>
        </w:rPr>
      </w:pPr>
      <w:r w:rsidRPr="0052329D">
        <w:rPr>
          <w:lang w:val="en-US"/>
        </w:rPr>
        <w:t xml:space="preserve">Thapelo Martin SEKELE (Mr.), Scientist Production, Department of Agriculture, Land Reform and Rural Deveolpment, Pretoria </w:t>
      </w:r>
      <w:r w:rsidRPr="0052329D">
        <w:rPr>
          <w:lang w:val="en-US"/>
        </w:rPr>
        <w:br/>
        <w:t>(e-mail: ThapeloS@dalrrd.gov.za)</w:t>
      </w:r>
    </w:p>
    <w:p w14:paraId="4BC6CCCE" w14:textId="77777777" w:rsidR="00054E72" w:rsidRPr="0052329D" w:rsidRDefault="00054E72" w:rsidP="00054E72">
      <w:pPr>
        <w:pStyle w:val="plcountry"/>
        <w:rPr>
          <w:lang w:val="en-US"/>
        </w:rPr>
      </w:pPr>
      <w:r w:rsidRPr="0052329D">
        <w:rPr>
          <w:lang w:val="en-US"/>
        </w:rPr>
        <w:t>ALLEMAGNE / GERMANY / DEUTSCHLAND / ALEMANIA</w:t>
      </w:r>
    </w:p>
    <w:p w14:paraId="24ABC624" w14:textId="77777777" w:rsidR="00054E72" w:rsidRPr="0052329D" w:rsidRDefault="00054E72" w:rsidP="00054E72">
      <w:pPr>
        <w:pStyle w:val="pldetails"/>
        <w:rPr>
          <w:lang w:val="en-US"/>
        </w:rPr>
      </w:pPr>
      <w:r w:rsidRPr="0052329D">
        <w:rPr>
          <w:lang w:val="en-US"/>
        </w:rPr>
        <w:t xml:space="preserve">Beate RÜCKER (Ms.), Head of Division, Federal Plant Variety Office, Bundessortenamt, Hanover </w:t>
      </w:r>
      <w:r w:rsidRPr="0052329D">
        <w:rPr>
          <w:lang w:val="en-US"/>
        </w:rPr>
        <w:br/>
        <w:t>(e-mail: beate.ruecker@bundessortenamt.de)</w:t>
      </w:r>
    </w:p>
    <w:p w14:paraId="6CDD1B9B" w14:textId="77777777" w:rsidR="00054E72" w:rsidRPr="00C72898" w:rsidRDefault="00054E72" w:rsidP="00054E72">
      <w:pPr>
        <w:pStyle w:val="plcountry"/>
        <w:rPr>
          <w:lang w:val="es-ES"/>
        </w:rPr>
      </w:pPr>
      <w:r w:rsidRPr="00C72898">
        <w:rPr>
          <w:lang w:val="es-ES"/>
        </w:rPr>
        <w:t>ARGENTINE / ARGENTINA / ARGENTINIEN / ARGENTINA</w:t>
      </w:r>
    </w:p>
    <w:p w14:paraId="797902EA" w14:textId="77777777" w:rsidR="00054E72" w:rsidRPr="00C72898" w:rsidRDefault="00054E72" w:rsidP="00054E72">
      <w:pPr>
        <w:pStyle w:val="pldetails"/>
        <w:rPr>
          <w:lang w:val="es-ES"/>
        </w:rPr>
      </w:pPr>
      <w:r w:rsidRPr="00C72898">
        <w:rPr>
          <w:lang w:val="es-ES"/>
        </w:rPr>
        <w:t>Alberto BALLESTEROS (Sr.), Examinador de variedades, Dirección de Registro de Variedades, Instituto Nacional de Semillas (INASE), Secretaría de Agricultura, Ganadería, Pesca y Alimentación, Buenos Aires</w:t>
      </w:r>
      <w:r w:rsidRPr="00C72898">
        <w:rPr>
          <w:lang w:val="es-ES"/>
        </w:rPr>
        <w:br/>
        <w:t>(e-mail: aballesteros@inase.gob.ar)</w:t>
      </w:r>
    </w:p>
    <w:p w14:paraId="3271C3B8" w14:textId="77777777" w:rsidR="00054E72" w:rsidRPr="0052329D" w:rsidRDefault="00054E72" w:rsidP="00054E72">
      <w:pPr>
        <w:pStyle w:val="plcountry"/>
        <w:rPr>
          <w:lang w:val="en-US"/>
        </w:rPr>
      </w:pPr>
      <w:r w:rsidRPr="0052329D">
        <w:rPr>
          <w:lang w:val="en-US"/>
        </w:rPr>
        <w:t>AUSTRALIE / AUSTRALIA / AUSTRALIEN / AUSTRALIA</w:t>
      </w:r>
    </w:p>
    <w:p w14:paraId="516E354C" w14:textId="77777777" w:rsidR="00054E72" w:rsidRPr="0052329D" w:rsidRDefault="00054E72" w:rsidP="00054E72">
      <w:pPr>
        <w:pStyle w:val="pldetails"/>
        <w:rPr>
          <w:lang w:val="en-US"/>
        </w:rPr>
      </w:pPr>
      <w:r w:rsidRPr="0052329D">
        <w:rPr>
          <w:lang w:val="en-US"/>
        </w:rPr>
        <w:t xml:space="preserve">Edwina VANDINE (Ms.), Chief of Plant Breeders' Rights, Plant Breeder's Rights Office, IP Australia, Woden </w:t>
      </w:r>
      <w:r w:rsidRPr="0052329D">
        <w:rPr>
          <w:lang w:val="en-US"/>
        </w:rPr>
        <w:br/>
        <w:t>(e-mail: edwina.vandine@ipaustralia.gov.au)</w:t>
      </w:r>
    </w:p>
    <w:p w14:paraId="0BFF7B15" w14:textId="77777777" w:rsidR="00054E72" w:rsidRPr="0052329D" w:rsidRDefault="00054E72" w:rsidP="00054E72">
      <w:pPr>
        <w:pStyle w:val="pldetails"/>
        <w:rPr>
          <w:lang w:val="en-US"/>
        </w:rPr>
      </w:pPr>
      <w:r w:rsidRPr="0052329D">
        <w:rPr>
          <w:lang w:val="en-US"/>
        </w:rPr>
        <w:t xml:space="preserve">Nik HULSE (Mr.), Director, Plant Breeder's Rights Office, IP Australia, Woden </w:t>
      </w:r>
      <w:r w:rsidRPr="0052329D">
        <w:rPr>
          <w:lang w:val="en-US"/>
        </w:rPr>
        <w:br/>
        <w:t>(e-mail: nik.hulse@ipaustralia.gov.au)</w:t>
      </w:r>
    </w:p>
    <w:p w14:paraId="63217944" w14:textId="77777777" w:rsidR="00054E72" w:rsidRPr="0052329D" w:rsidRDefault="00054E72" w:rsidP="00054E72">
      <w:pPr>
        <w:pStyle w:val="pldetails"/>
        <w:rPr>
          <w:lang w:val="en-US"/>
        </w:rPr>
      </w:pPr>
      <w:r w:rsidRPr="0052329D">
        <w:rPr>
          <w:lang w:val="en-US"/>
        </w:rPr>
        <w:t>Andrew HALLINAN (Mr.), Senior Examiner, Plant Breeders Rights Office, IP Australia, Woden</w:t>
      </w:r>
      <w:r w:rsidRPr="0052329D">
        <w:rPr>
          <w:lang w:val="en-US"/>
        </w:rPr>
        <w:br/>
        <w:t>(e-mail: andrew.hallinan@ipaustralia.gov.au)</w:t>
      </w:r>
    </w:p>
    <w:p w14:paraId="16361F17" w14:textId="77777777" w:rsidR="00054E72" w:rsidRPr="00AC7C59" w:rsidRDefault="00054E72" w:rsidP="00054E72">
      <w:pPr>
        <w:pStyle w:val="plcountry"/>
      </w:pPr>
      <w:r>
        <w:t>AUTRICHE / AUSTRIA / ÖSTERREICH / AUSTRIA</w:t>
      </w:r>
    </w:p>
    <w:p w14:paraId="355372B9" w14:textId="77777777" w:rsidR="00054E72" w:rsidRPr="00AC7C59" w:rsidRDefault="00054E72" w:rsidP="00054E72">
      <w:pPr>
        <w:pStyle w:val="pldetails"/>
      </w:pPr>
      <w:r>
        <w:t xml:space="preserve">Barbara FÜRNWEGER (Frau), Leiterin, Abteilung Sortenschutz und Registerprüfung, Institut für Saat- und Pflanzgut, Pflanzenschutzdienst und Bienen, Österreichische Agentur für Gesundheit und Ernährungssicherheit GmbH, Wien </w:t>
      </w:r>
      <w:r>
        <w:br/>
        <w:t>(e-mail: barbara.fuernweger@ages.at)</w:t>
      </w:r>
    </w:p>
    <w:p w14:paraId="5D64F3FA" w14:textId="77777777" w:rsidR="00054E72" w:rsidRPr="0052329D" w:rsidRDefault="00054E72" w:rsidP="00054E72">
      <w:pPr>
        <w:pStyle w:val="plcountry"/>
        <w:rPr>
          <w:lang w:val="en-US"/>
        </w:rPr>
      </w:pPr>
      <w:r w:rsidRPr="0052329D">
        <w:rPr>
          <w:lang w:val="en-US"/>
        </w:rPr>
        <w:t>BÉLARUS / BELARUS / BELARUS / BELARÚS</w:t>
      </w:r>
    </w:p>
    <w:p w14:paraId="04F0B6AF" w14:textId="77777777" w:rsidR="00054E72" w:rsidRPr="0052329D" w:rsidRDefault="00054E72" w:rsidP="00054E72">
      <w:pPr>
        <w:pStyle w:val="pldetails"/>
        <w:rPr>
          <w:lang w:val="en-US"/>
        </w:rPr>
      </w:pPr>
      <w:r w:rsidRPr="0052329D">
        <w:rPr>
          <w:lang w:val="en-US"/>
        </w:rPr>
        <w:t xml:space="preserve">Tatsiana SIAMASHKA (Ms.), Deputy Director, State Inspection for Testing and Protection of Plant Varieties, Minsk </w:t>
      </w:r>
      <w:r w:rsidRPr="0052329D">
        <w:rPr>
          <w:lang w:val="en-US"/>
        </w:rPr>
        <w:br/>
        <w:t>(e-mail: belsort@mail.ru)</w:t>
      </w:r>
    </w:p>
    <w:p w14:paraId="219D0A87" w14:textId="77777777" w:rsidR="00054E72" w:rsidRPr="0052329D" w:rsidRDefault="00054E72" w:rsidP="00054E72">
      <w:pPr>
        <w:pStyle w:val="pldetails"/>
        <w:rPr>
          <w:lang w:val="en-US"/>
        </w:rPr>
      </w:pPr>
      <w:r w:rsidRPr="0052329D">
        <w:rPr>
          <w:lang w:val="en-US"/>
        </w:rPr>
        <w:t xml:space="preserve">Tatsiana SAUCHANKA (Ms.), Head, DUS Testing Department, State Inspection for Testing and Protection of Plant Varieties, Minsk </w:t>
      </w:r>
      <w:r w:rsidRPr="0052329D">
        <w:rPr>
          <w:lang w:val="en-US"/>
        </w:rPr>
        <w:br/>
        <w:t>(e-mail: tanjasort@mail.ru)</w:t>
      </w:r>
    </w:p>
    <w:p w14:paraId="20A9A44D" w14:textId="77777777" w:rsidR="00054E72" w:rsidRPr="0052329D" w:rsidRDefault="00054E72" w:rsidP="00054E72">
      <w:pPr>
        <w:pStyle w:val="pldetails"/>
        <w:rPr>
          <w:lang w:val="en-US"/>
        </w:rPr>
      </w:pPr>
      <w:r w:rsidRPr="0052329D">
        <w:rPr>
          <w:lang w:val="en-US"/>
        </w:rPr>
        <w:t xml:space="preserve">Tatsiana DUBAUTSOVA (Ms.), Deputy Head of DUS testing Department, State Inspection for Testing and Protection of Plant Varieties, Minsk </w:t>
      </w:r>
      <w:r w:rsidRPr="0052329D">
        <w:rPr>
          <w:lang w:val="en-US"/>
        </w:rPr>
        <w:br/>
        <w:t>(e-mail: belsort@mail.ru)</w:t>
      </w:r>
    </w:p>
    <w:p w14:paraId="2710EDD9" w14:textId="77777777" w:rsidR="00054E72" w:rsidRPr="0052329D" w:rsidRDefault="00054E72" w:rsidP="00054E72">
      <w:pPr>
        <w:pStyle w:val="pldetails"/>
        <w:rPr>
          <w:lang w:val="en-US"/>
        </w:rPr>
      </w:pPr>
      <w:r w:rsidRPr="0052329D">
        <w:rPr>
          <w:lang w:val="en-US"/>
        </w:rPr>
        <w:t xml:space="preserve">Maryna SALADUKHA (Ms.), Deputy Head, International Cooperation Department, State Inspection for Testing and Protection of Plant Varieties, Minsk </w:t>
      </w:r>
      <w:r w:rsidRPr="0052329D">
        <w:rPr>
          <w:lang w:val="en-US"/>
        </w:rPr>
        <w:br/>
        <w:t>(e-mail: belsort@mail.ru)</w:t>
      </w:r>
    </w:p>
    <w:p w14:paraId="4F81696F" w14:textId="77777777" w:rsidR="00054E72" w:rsidRPr="0052329D" w:rsidRDefault="00054E72" w:rsidP="00054E72">
      <w:pPr>
        <w:pStyle w:val="plcountry"/>
        <w:rPr>
          <w:lang w:val="en-US"/>
        </w:rPr>
      </w:pPr>
      <w:r w:rsidRPr="0052329D">
        <w:rPr>
          <w:lang w:val="en-US"/>
        </w:rPr>
        <w:t>BRÉSIL / BRAZIL / BRASILIEN / BRASIL</w:t>
      </w:r>
    </w:p>
    <w:p w14:paraId="32B6ABBB" w14:textId="77777777" w:rsidR="00054E72" w:rsidRPr="0052329D" w:rsidRDefault="00054E72" w:rsidP="00054E72">
      <w:pPr>
        <w:pStyle w:val="pldetails"/>
        <w:rPr>
          <w:lang w:val="en-US"/>
        </w:rPr>
      </w:pPr>
      <w:r w:rsidRPr="0052329D">
        <w:rPr>
          <w:lang w:val="en-US"/>
        </w:rPr>
        <w:t xml:space="preserve">Stefânia PALMA ARAUJO (Ms.), Federal Agricultural Inspector, Plant Variety Protection Office, National Plant Variety Protection Service (Serviço Nacional de Proteção de Cultivares - SNPC), Brasilia </w:t>
      </w:r>
      <w:r w:rsidRPr="0052329D">
        <w:rPr>
          <w:lang w:val="en-US"/>
        </w:rPr>
        <w:br/>
        <w:t>(e-mail: stefania.araujo@agricultura.gov.br)</w:t>
      </w:r>
    </w:p>
    <w:p w14:paraId="24E6E7B2" w14:textId="77777777" w:rsidR="00054E72" w:rsidRPr="0052329D" w:rsidRDefault="00054E72" w:rsidP="00054E72">
      <w:pPr>
        <w:pStyle w:val="plcountry"/>
        <w:rPr>
          <w:lang w:val="en-US"/>
        </w:rPr>
      </w:pPr>
      <w:r w:rsidRPr="0052329D">
        <w:rPr>
          <w:lang w:val="en-US"/>
        </w:rPr>
        <w:t>BULGARIE / BULGARIA / BULGARIEN / BULGARIA</w:t>
      </w:r>
    </w:p>
    <w:p w14:paraId="49536B6F" w14:textId="77777777" w:rsidR="00054E72" w:rsidRPr="0052329D" w:rsidRDefault="00054E72" w:rsidP="00054E72">
      <w:pPr>
        <w:pStyle w:val="pldetails"/>
        <w:rPr>
          <w:lang w:val="en-US"/>
        </w:rPr>
      </w:pPr>
      <w:r w:rsidRPr="0052329D">
        <w:rPr>
          <w:lang w:val="en-US"/>
        </w:rPr>
        <w:t xml:space="preserve">Diliyan Rousev DIMITROV, Head of DUS Methodology Department, Executive Agency for Variety Testing, Field Inspection and Seed Control (EAVTFISC), Sofia </w:t>
      </w:r>
      <w:r w:rsidRPr="0052329D">
        <w:rPr>
          <w:lang w:val="en-US"/>
        </w:rPr>
        <w:br/>
        <w:t>(e-mail: ddimitrov@iasas.government.bg)</w:t>
      </w:r>
    </w:p>
    <w:p w14:paraId="204D5E03" w14:textId="77777777" w:rsidR="00054E72" w:rsidRPr="0052329D" w:rsidRDefault="00054E72" w:rsidP="00054E72">
      <w:pPr>
        <w:pStyle w:val="plcountry"/>
        <w:rPr>
          <w:lang w:val="en-US"/>
        </w:rPr>
      </w:pPr>
      <w:r w:rsidRPr="0052329D">
        <w:rPr>
          <w:lang w:val="en-US"/>
        </w:rPr>
        <w:t>CANADA / CANADA / KANADA / CANADÁ</w:t>
      </w:r>
    </w:p>
    <w:p w14:paraId="531C6704" w14:textId="77777777" w:rsidR="00054E72" w:rsidRPr="0052329D" w:rsidRDefault="00054E72" w:rsidP="00054E72">
      <w:pPr>
        <w:pStyle w:val="pldetails"/>
        <w:rPr>
          <w:lang w:val="en-US"/>
        </w:rPr>
      </w:pPr>
      <w:r w:rsidRPr="0052329D">
        <w:rPr>
          <w:lang w:val="en-US"/>
        </w:rPr>
        <w:t xml:space="preserve">Ashley BALCHIN (Ms.), Examiner, Plant Breeders' Rights Office, Canadian Food Inspection Agency (CFIA), Ottawa </w:t>
      </w:r>
      <w:r w:rsidRPr="0052329D">
        <w:rPr>
          <w:lang w:val="en-US"/>
        </w:rPr>
        <w:br/>
        <w:t>(e-mail: ashley.balchin@inspection.gc.ca)</w:t>
      </w:r>
    </w:p>
    <w:p w14:paraId="03A8DAB3" w14:textId="77777777" w:rsidR="00054E72" w:rsidRPr="0052329D" w:rsidRDefault="00054E72" w:rsidP="00054E72">
      <w:pPr>
        <w:pStyle w:val="pldetails"/>
        <w:rPr>
          <w:lang w:val="en-US"/>
        </w:rPr>
      </w:pPr>
      <w:r w:rsidRPr="0052329D">
        <w:rPr>
          <w:lang w:val="en-US"/>
        </w:rPr>
        <w:t xml:space="preserve">Renée CLOUTIER (Ms.), Examiner, Plant Breeders' Rights Office, Canadian Food Inspection Agency (CFIA), Ottawa </w:t>
      </w:r>
      <w:r w:rsidRPr="0052329D">
        <w:rPr>
          <w:lang w:val="en-US"/>
        </w:rPr>
        <w:br/>
        <w:t>(e-mail: Renee.Cloutier@inspection.gc.ca)</w:t>
      </w:r>
    </w:p>
    <w:p w14:paraId="7FDABB1F" w14:textId="77777777" w:rsidR="00054E72" w:rsidRPr="0052329D" w:rsidRDefault="00054E72" w:rsidP="00054E72">
      <w:pPr>
        <w:pStyle w:val="plcountry"/>
        <w:rPr>
          <w:lang w:val="it-IT"/>
        </w:rPr>
      </w:pPr>
      <w:r w:rsidRPr="0052329D">
        <w:rPr>
          <w:lang w:val="it-IT"/>
        </w:rPr>
        <w:t>CHILI / CHILE / CHILE / CHILE</w:t>
      </w:r>
    </w:p>
    <w:p w14:paraId="05499A03" w14:textId="77777777" w:rsidR="00054E72" w:rsidRPr="0052329D" w:rsidRDefault="00054E72" w:rsidP="00054E72">
      <w:pPr>
        <w:pStyle w:val="pldetails"/>
        <w:rPr>
          <w:lang w:val="it-IT"/>
        </w:rPr>
      </w:pPr>
      <w:r w:rsidRPr="0052329D">
        <w:rPr>
          <w:lang w:val="it-IT"/>
        </w:rPr>
        <w:t xml:space="preserve">Manuel Antonio TORO UGALDE (Sr.), Jefe Departamento, Registro de Variedades Protegidas, División Semillas, Servicio Agrícola y Ganadero (SAG), Santiago de Chile </w:t>
      </w:r>
      <w:r w:rsidRPr="0052329D">
        <w:rPr>
          <w:lang w:val="it-IT"/>
        </w:rPr>
        <w:br/>
        <w:t xml:space="preserve">(e-mail: manuel.toro@sag.gob.cl) </w:t>
      </w:r>
    </w:p>
    <w:p w14:paraId="73A62167" w14:textId="77777777" w:rsidR="00054E72" w:rsidRPr="0052329D" w:rsidRDefault="00054E72" w:rsidP="00054E72">
      <w:pPr>
        <w:pStyle w:val="pldetails"/>
        <w:rPr>
          <w:lang w:val="it-IT"/>
        </w:rPr>
      </w:pPr>
      <w:r w:rsidRPr="0052329D">
        <w:rPr>
          <w:lang w:val="it-IT"/>
        </w:rPr>
        <w:t xml:space="preserve">Alejandro Ignacio SAAVEDRA PÉREZ (Sr.), Profesional Registro de Variedades, Servicio Agrícola y Ganadero (SAG), Santiago de Chile </w:t>
      </w:r>
      <w:r w:rsidRPr="0052329D">
        <w:rPr>
          <w:lang w:val="it-IT"/>
        </w:rPr>
        <w:br/>
        <w:t>(e-mail: alejandro.saavedra@sag.gob.cl)</w:t>
      </w:r>
    </w:p>
    <w:p w14:paraId="475C7516" w14:textId="77777777" w:rsidR="00054E72" w:rsidRPr="0052329D" w:rsidRDefault="00054E72" w:rsidP="00054E72">
      <w:pPr>
        <w:pStyle w:val="plcountry"/>
        <w:rPr>
          <w:lang w:val="en-US"/>
        </w:rPr>
      </w:pPr>
      <w:r w:rsidRPr="0052329D">
        <w:rPr>
          <w:lang w:val="en-US"/>
        </w:rPr>
        <w:t>CHINE / CHINA / CHINA / CHINA</w:t>
      </w:r>
    </w:p>
    <w:p w14:paraId="4104B2D2" w14:textId="77777777" w:rsidR="00054E72" w:rsidRPr="0052329D" w:rsidRDefault="00054E72" w:rsidP="00054E72">
      <w:pPr>
        <w:pStyle w:val="pldetails"/>
        <w:rPr>
          <w:lang w:val="en-US"/>
        </w:rPr>
      </w:pPr>
      <w:r w:rsidRPr="0052329D">
        <w:rPr>
          <w:lang w:val="en-US"/>
        </w:rPr>
        <w:t xml:space="preserve">Yehan CUI (Mr.), Principal Consultant, Division of Plant Variety Protection, Development Center of Science and Technology (DCST), Ministry of Agriculture and Rural Affairs (MARA), Beijing </w:t>
      </w:r>
      <w:r w:rsidRPr="0052329D">
        <w:rPr>
          <w:lang w:val="en-US"/>
        </w:rPr>
        <w:br/>
        <w:t>(e-mail: cuiyehan@agri.gov.cn)</w:t>
      </w:r>
    </w:p>
    <w:p w14:paraId="6C4CF65B" w14:textId="77777777" w:rsidR="00054E72" w:rsidRPr="0052329D" w:rsidRDefault="00054E72" w:rsidP="00054E72">
      <w:pPr>
        <w:pStyle w:val="pldetails"/>
        <w:rPr>
          <w:lang w:val="en-US"/>
        </w:rPr>
      </w:pPr>
      <w:r w:rsidRPr="0052329D">
        <w:rPr>
          <w:lang w:val="en-US"/>
        </w:rPr>
        <w:t xml:space="preserve">Ruixi HAN (Mr.), Deputy Director, Division of DUS Tests, Development Center of Science and Technology (DCST), Ministry of Agriculture and Rural Affairs (MARA), Beijing </w:t>
      </w:r>
      <w:r w:rsidRPr="0052329D">
        <w:rPr>
          <w:lang w:val="en-US"/>
        </w:rPr>
        <w:br/>
        <w:t>(e-mail: wudifeixue007@163.com)</w:t>
      </w:r>
    </w:p>
    <w:p w14:paraId="5F93F99E" w14:textId="77777777" w:rsidR="00054E72" w:rsidRPr="0052329D" w:rsidRDefault="00054E72" w:rsidP="00054E72">
      <w:pPr>
        <w:pStyle w:val="pldetails"/>
        <w:rPr>
          <w:lang w:val="en-US"/>
        </w:rPr>
      </w:pPr>
      <w:r w:rsidRPr="0052329D">
        <w:rPr>
          <w:lang w:val="en-US"/>
        </w:rPr>
        <w:t xml:space="preserve">Yongqi ZHENG (Mr.), Research Professor, Laboratory of Molecular Identification of Plant Varieties, Office of Protection of New Varieties of Plants, National Forestry and Grassland Administration of China (NFGA), Beijing </w:t>
      </w:r>
      <w:r w:rsidRPr="0052329D">
        <w:rPr>
          <w:lang w:val="en-US"/>
        </w:rPr>
        <w:br/>
        <w:t>(e-mail: zyq8565@126.com)</w:t>
      </w:r>
    </w:p>
    <w:p w14:paraId="4ADC0647" w14:textId="77777777" w:rsidR="00054E72" w:rsidRPr="0052329D" w:rsidRDefault="00054E72" w:rsidP="00054E72">
      <w:pPr>
        <w:pStyle w:val="pldetails"/>
        <w:rPr>
          <w:lang w:val="en-US"/>
        </w:rPr>
      </w:pPr>
      <w:r w:rsidRPr="0052329D">
        <w:rPr>
          <w:lang w:val="en-US"/>
        </w:rPr>
        <w:t xml:space="preserve">Xuhong YANG (Ms.), Senior Examiner, Division of DUS Tests, Development Center of Science and Technology (DCST), Ministry of Agriculture and Rural Affairs (MARA), Beijing </w:t>
      </w:r>
      <w:r w:rsidRPr="0052329D">
        <w:rPr>
          <w:lang w:val="en-US"/>
        </w:rPr>
        <w:br/>
        <w:t>(e-mail: yangxuhong@agri.gov.cn)</w:t>
      </w:r>
    </w:p>
    <w:p w14:paraId="75E9B080" w14:textId="77777777" w:rsidR="00054E72" w:rsidRPr="0052329D" w:rsidRDefault="00054E72" w:rsidP="00054E72">
      <w:pPr>
        <w:pStyle w:val="pldetails"/>
        <w:rPr>
          <w:lang w:val="en-US"/>
        </w:rPr>
      </w:pPr>
      <w:r w:rsidRPr="0052329D">
        <w:rPr>
          <w:lang w:val="en-US"/>
        </w:rPr>
        <w:t xml:space="preserve">Ping YANG (Ms.), Consultant, International Cooperation Department, China National Intellectual Property Administration (CNIPA), Beijing </w:t>
      </w:r>
      <w:r w:rsidRPr="0052329D">
        <w:rPr>
          <w:lang w:val="en-US"/>
        </w:rPr>
        <w:br/>
        <w:t>(e-mail: yangping@cnipa.gov.cn)</w:t>
      </w:r>
    </w:p>
    <w:p w14:paraId="21250F1F" w14:textId="77777777" w:rsidR="00054E72" w:rsidRPr="0052329D" w:rsidRDefault="00054E72" w:rsidP="00054E72">
      <w:pPr>
        <w:pStyle w:val="pldetails"/>
        <w:rPr>
          <w:lang w:val="en-US"/>
        </w:rPr>
      </w:pPr>
      <w:r w:rsidRPr="0052329D">
        <w:rPr>
          <w:lang w:val="en-US"/>
        </w:rPr>
        <w:t xml:space="preserve">Chuanhong ZHANG (Ms.), Associate Research Professor, Research Institute of Forestry, Chinese Academy of Forestry, Beijing </w:t>
      </w:r>
      <w:r w:rsidRPr="0052329D">
        <w:rPr>
          <w:lang w:val="en-US"/>
        </w:rPr>
        <w:br/>
        <w:t>(e-mail: zhangch@caf.ac.cn)</w:t>
      </w:r>
    </w:p>
    <w:p w14:paraId="25C1CC0A" w14:textId="77777777" w:rsidR="00054E72" w:rsidRPr="0052329D" w:rsidRDefault="00054E72" w:rsidP="00054E72">
      <w:pPr>
        <w:pStyle w:val="pldetails"/>
        <w:rPr>
          <w:lang w:val="en-US"/>
        </w:rPr>
      </w:pPr>
      <w:r w:rsidRPr="0052329D">
        <w:rPr>
          <w:lang w:val="en-US"/>
        </w:rPr>
        <w:t xml:space="preserve">Yifan WU (Ms.), Program Administrator, International Cooperation Department, National Intellectual Property Administration (CNIPA), Beijing </w:t>
      </w:r>
      <w:r w:rsidRPr="0052329D">
        <w:rPr>
          <w:lang w:val="en-US"/>
        </w:rPr>
        <w:br/>
        <w:t>(e-mail: wuyifan_1@cnipa.gov.cn)</w:t>
      </w:r>
    </w:p>
    <w:p w14:paraId="16BD62D1" w14:textId="77777777" w:rsidR="00054E72" w:rsidRPr="0052329D" w:rsidRDefault="00054E72" w:rsidP="00054E72">
      <w:pPr>
        <w:pStyle w:val="pldetails"/>
        <w:rPr>
          <w:lang w:val="en-US"/>
        </w:rPr>
      </w:pPr>
      <w:r w:rsidRPr="0052329D">
        <w:rPr>
          <w:lang w:val="en-US"/>
        </w:rPr>
        <w:t xml:space="preserve">Yilei HOU (Ms.), Lecturer, Beijing Forestry University, Beijing </w:t>
      </w:r>
      <w:r w:rsidRPr="0052329D">
        <w:rPr>
          <w:lang w:val="en-US"/>
        </w:rPr>
        <w:br/>
        <w:t>(e-mail: houyilei427@163.com)</w:t>
      </w:r>
    </w:p>
    <w:p w14:paraId="7A84B4D4" w14:textId="77777777" w:rsidR="00054E72" w:rsidRPr="0052329D" w:rsidRDefault="00054E72" w:rsidP="00054E72">
      <w:pPr>
        <w:pStyle w:val="pldetails"/>
        <w:rPr>
          <w:lang w:val="en-US"/>
        </w:rPr>
      </w:pPr>
      <w:r w:rsidRPr="0052329D">
        <w:rPr>
          <w:lang w:val="en-US"/>
        </w:rPr>
        <w:t xml:space="preserve">Yuxia LIU (Ms.), Principal Staff Member, Division of Plant Variety Protection, Office for Protection of New Varieties of Plant, National Forestry and Grassland Administration of China (NFGA), Beijing </w:t>
      </w:r>
      <w:r w:rsidRPr="0052329D">
        <w:rPr>
          <w:lang w:val="en-US"/>
        </w:rPr>
        <w:br/>
        <w:t>(e-mail: liuyuxia@cnpvp.net)</w:t>
      </w:r>
    </w:p>
    <w:p w14:paraId="501A1F1A" w14:textId="77777777" w:rsidR="00054E72" w:rsidRPr="0052329D" w:rsidRDefault="00054E72" w:rsidP="00054E72">
      <w:pPr>
        <w:pStyle w:val="plcountry"/>
        <w:rPr>
          <w:lang w:val="it-IT"/>
        </w:rPr>
      </w:pPr>
      <w:r w:rsidRPr="0052329D">
        <w:rPr>
          <w:lang w:val="it-IT"/>
        </w:rPr>
        <w:t>COLOMBIE / COLOMBIA / KOLUMBIEN / COLOMBIA</w:t>
      </w:r>
    </w:p>
    <w:p w14:paraId="15280C7A" w14:textId="77777777" w:rsidR="00054E72" w:rsidRPr="0052329D" w:rsidRDefault="00054E72" w:rsidP="00054E72">
      <w:pPr>
        <w:pStyle w:val="pldetails"/>
        <w:rPr>
          <w:lang w:val="it-IT"/>
        </w:rPr>
      </w:pPr>
      <w:r w:rsidRPr="0052329D">
        <w:rPr>
          <w:lang w:val="it-IT"/>
        </w:rPr>
        <w:t xml:space="preserve">Alfonso Alberto ROSERO (Sr.), Director Técnico de Semillas, Subgerencia de Protección Vegetal, Instituto Colombiano Agropecuario (ICA), Bogotá </w:t>
      </w:r>
      <w:r w:rsidRPr="0052329D">
        <w:rPr>
          <w:lang w:val="it-IT"/>
        </w:rPr>
        <w:br/>
        <w:t>(e-mail: alberto.rosero@ica.gov.co)</w:t>
      </w:r>
    </w:p>
    <w:p w14:paraId="3C736A9B" w14:textId="77777777" w:rsidR="00054E72" w:rsidRPr="0052329D" w:rsidRDefault="00054E72" w:rsidP="00054E72">
      <w:pPr>
        <w:pStyle w:val="plcountry"/>
        <w:rPr>
          <w:lang w:val="en-US"/>
        </w:rPr>
      </w:pPr>
      <w:r w:rsidRPr="0052329D">
        <w:rPr>
          <w:lang w:val="en-US"/>
        </w:rPr>
        <w:t>CROATIE / CROATIA / KROATIEN / CROACIA</w:t>
      </w:r>
    </w:p>
    <w:p w14:paraId="32CD7E52" w14:textId="77777777" w:rsidR="00054E72" w:rsidRPr="0052329D" w:rsidRDefault="00054E72" w:rsidP="00054E72">
      <w:pPr>
        <w:pStyle w:val="pldetails"/>
        <w:rPr>
          <w:lang w:val="en-US"/>
        </w:rPr>
      </w:pPr>
      <w:r w:rsidRPr="0052329D">
        <w:rPr>
          <w:lang w:val="en-US"/>
        </w:rPr>
        <w:t xml:space="preserve">Ivana DUGALIĆ (Ms.), General Manager Advisor for Plant Production, Institute for Seed and Seedlings, Croatian Agency for Agriculture and Food, Osijek </w:t>
      </w:r>
      <w:r w:rsidRPr="0052329D">
        <w:rPr>
          <w:lang w:val="en-US"/>
        </w:rPr>
        <w:br/>
        <w:t>(e-mail: ivana.dugalic@hapih.hr)</w:t>
      </w:r>
    </w:p>
    <w:p w14:paraId="1073EA9B" w14:textId="77777777" w:rsidR="00054E72" w:rsidRPr="0052329D" w:rsidRDefault="00054E72" w:rsidP="00054E72">
      <w:pPr>
        <w:pStyle w:val="plcountry"/>
        <w:rPr>
          <w:lang w:val="en-US"/>
        </w:rPr>
      </w:pPr>
      <w:r w:rsidRPr="0052329D">
        <w:rPr>
          <w:lang w:val="en-US"/>
        </w:rPr>
        <w:t>DANEMARK / DENMARK / DÄNEMARK / DINAMARCA</w:t>
      </w:r>
    </w:p>
    <w:p w14:paraId="49FBF57B" w14:textId="77777777" w:rsidR="00054E72" w:rsidRPr="0052329D" w:rsidRDefault="00054E72" w:rsidP="00054E72">
      <w:pPr>
        <w:pStyle w:val="pldetails"/>
        <w:rPr>
          <w:lang w:val="en-US"/>
        </w:rPr>
      </w:pPr>
      <w:r w:rsidRPr="0052329D">
        <w:rPr>
          <w:lang w:val="en-US"/>
        </w:rPr>
        <w:t xml:space="preserve">Gerhard DENEKEN (Mr.), Director, Tystofte Foundation, Skaelskoer </w:t>
      </w:r>
      <w:r w:rsidRPr="0052329D">
        <w:rPr>
          <w:lang w:val="en-US"/>
        </w:rPr>
        <w:br/>
        <w:t>(e-mail: gde@tystofte.dk)</w:t>
      </w:r>
    </w:p>
    <w:p w14:paraId="620539DC" w14:textId="77777777" w:rsidR="00054E72" w:rsidRPr="0052329D" w:rsidRDefault="00054E72" w:rsidP="00054E72">
      <w:pPr>
        <w:pStyle w:val="plcountry"/>
        <w:rPr>
          <w:lang w:val="en-US"/>
        </w:rPr>
      </w:pPr>
      <w:r w:rsidRPr="0052329D">
        <w:rPr>
          <w:lang w:val="en-US"/>
        </w:rPr>
        <w:t>ÉGYPTE / EGYPT / ÄGYPTEN / EGIPTO</w:t>
      </w:r>
    </w:p>
    <w:p w14:paraId="7D89A661" w14:textId="77777777" w:rsidR="00054E72" w:rsidRPr="0052329D" w:rsidRDefault="00054E72" w:rsidP="00054E72">
      <w:pPr>
        <w:pStyle w:val="pldetails"/>
        <w:rPr>
          <w:lang w:val="en-US"/>
        </w:rPr>
      </w:pPr>
      <w:r w:rsidRPr="0052329D">
        <w:rPr>
          <w:lang w:val="en-US"/>
        </w:rPr>
        <w:t xml:space="preserve">Mahasen Fawaz Mohamed GAD (Ms.), General Manager, Plant Variety Protection Office, Central Administration for Seed Certification (CASC), Giza </w:t>
      </w:r>
      <w:r w:rsidRPr="0052329D">
        <w:rPr>
          <w:lang w:val="en-US"/>
        </w:rPr>
        <w:br/>
        <w:t>(e-mail: mahasen.f.gad@gmail.com)</w:t>
      </w:r>
    </w:p>
    <w:p w14:paraId="24C0C1F0" w14:textId="77777777" w:rsidR="00054E72" w:rsidRPr="0052329D" w:rsidRDefault="00054E72" w:rsidP="00054E72">
      <w:pPr>
        <w:pStyle w:val="pldetails"/>
        <w:rPr>
          <w:lang w:val="en-US"/>
        </w:rPr>
      </w:pPr>
      <w:r w:rsidRPr="0052329D">
        <w:rPr>
          <w:lang w:val="en-US"/>
        </w:rPr>
        <w:t xml:space="preserve">Shymaa ABOSHOSHA (Ms.), Agronomist, Plant Variety Protection Office (PVPO), Central Administration for Seed Testing and Certification (CASC), Giza </w:t>
      </w:r>
      <w:r w:rsidRPr="0052329D">
        <w:rPr>
          <w:lang w:val="en-US"/>
        </w:rPr>
        <w:br/>
        <w:t>(e-mail: sh_z9@hotmail.com)</w:t>
      </w:r>
    </w:p>
    <w:p w14:paraId="11DCE0D8" w14:textId="77777777" w:rsidR="00054E72" w:rsidRPr="00C72898" w:rsidRDefault="00054E72" w:rsidP="00054E72">
      <w:pPr>
        <w:pStyle w:val="plcountry"/>
        <w:rPr>
          <w:lang w:val="es-ES"/>
        </w:rPr>
      </w:pPr>
      <w:r w:rsidRPr="00C72898">
        <w:rPr>
          <w:lang w:val="es-ES"/>
        </w:rPr>
        <w:t>ÉQUATEUR / ECUADOR / ECUADOR / ECUADOR</w:t>
      </w:r>
    </w:p>
    <w:p w14:paraId="61AA6AF9" w14:textId="77777777" w:rsidR="00054E72" w:rsidRPr="00C72898" w:rsidRDefault="00054E72" w:rsidP="00054E72">
      <w:pPr>
        <w:pStyle w:val="pldetails"/>
        <w:rPr>
          <w:lang w:val="es-ES"/>
        </w:rPr>
      </w:pPr>
      <w:r w:rsidRPr="00C72898">
        <w:rPr>
          <w:lang w:val="es-ES"/>
        </w:rPr>
        <w:t xml:space="preserve">Paulina MOSQUERA HIDALGO (Sra.), Directora Nacional de Obtenciones Vegetales y Conocimientos Tradicionales, Servicio Nacional de Derechos Intelectuales (SENADI), Quito </w:t>
      </w:r>
      <w:r w:rsidRPr="00C72898">
        <w:rPr>
          <w:lang w:val="es-ES"/>
        </w:rPr>
        <w:br/>
        <w:t>(e-mail: pcmosquera@senadi.gob.ec)</w:t>
      </w:r>
    </w:p>
    <w:p w14:paraId="61D6CE9D" w14:textId="77777777" w:rsidR="00054E72" w:rsidRPr="00C72898" w:rsidRDefault="00054E72" w:rsidP="00054E72">
      <w:pPr>
        <w:pStyle w:val="pldetails"/>
        <w:rPr>
          <w:lang w:val="es-ES"/>
        </w:rPr>
      </w:pPr>
      <w:r w:rsidRPr="00C72898">
        <w:rPr>
          <w:lang w:val="es-ES"/>
        </w:rPr>
        <w:t xml:space="preserve">Yadira YACELGA (Sra.), Delegada, Dirección Nacional de Obtenciones Vegetales, Servicio Nacional de Derechos Intelectuales, Quito </w:t>
      </w:r>
      <w:r w:rsidRPr="00C72898">
        <w:rPr>
          <w:lang w:val="es-ES"/>
        </w:rPr>
        <w:br/>
        <w:t>(e-mail: yadiyacelga@gmail.com)</w:t>
      </w:r>
    </w:p>
    <w:p w14:paraId="08C1360E" w14:textId="77777777" w:rsidR="00054E72" w:rsidRPr="00C72898" w:rsidRDefault="00054E72" w:rsidP="00054E72">
      <w:pPr>
        <w:pStyle w:val="plcountry"/>
        <w:rPr>
          <w:lang w:val="es-ES"/>
        </w:rPr>
      </w:pPr>
      <w:r w:rsidRPr="00C72898">
        <w:rPr>
          <w:lang w:val="es-ES"/>
        </w:rPr>
        <w:t>ESPAGNE / SPAIN / SPANIEN / ESPAÑA</w:t>
      </w:r>
    </w:p>
    <w:p w14:paraId="77436277" w14:textId="77777777" w:rsidR="00054E72" w:rsidRPr="00C72898" w:rsidRDefault="00054E72" w:rsidP="00054E72">
      <w:pPr>
        <w:pStyle w:val="pldetails"/>
        <w:rPr>
          <w:lang w:val="es-ES"/>
        </w:rPr>
      </w:pPr>
      <w:r w:rsidRPr="00C72898">
        <w:rPr>
          <w:lang w:val="es-ES"/>
        </w:rPr>
        <w:t>Nuria URQUÍA FERNÁNDEZ (Sra.), Jefe de Área de Registro de Variedades, Subdirección General de Medios de Producción Agrícola y Oficina Española de Variedades Vegetales (OEVV), Dirección General de Producciones y Mercados Agrarios, Ministerio de Agricultura, Pesca y Alimentación (MAPA), Madrid</w:t>
      </w:r>
      <w:r w:rsidRPr="00C72898">
        <w:rPr>
          <w:lang w:val="es-ES"/>
        </w:rPr>
        <w:br/>
        <w:t>(e-mail: nurquia@mapa.es)</w:t>
      </w:r>
    </w:p>
    <w:p w14:paraId="6F2575F3" w14:textId="77777777" w:rsidR="00054E72" w:rsidRPr="0052329D" w:rsidRDefault="00054E72" w:rsidP="00054E72">
      <w:pPr>
        <w:pStyle w:val="plcountry"/>
        <w:rPr>
          <w:lang w:val="en-US"/>
        </w:rPr>
      </w:pPr>
      <w:r w:rsidRPr="0052329D">
        <w:rPr>
          <w:lang w:val="en-US"/>
        </w:rPr>
        <w:t>ESTONIE / ESTONIA / ESTLAND / ESTONIA</w:t>
      </w:r>
    </w:p>
    <w:p w14:paraId="0B2ADBE6" w14:textId="77777777" w:rsidR="00054E72" w:rsidRPr="0052329D" w:rsidRDefault="00054E72" w:rsidP="00054E72">
      <w:pPr>
        <w:pStyle w:val="pldetails"/>
        <w:rPr>
          <w:lang w:val="en-US"/>
        </w:rPr>
      </w:pPr>
      <w:r w:rsidRPr="0052329D">
        <w:rPr>
          <w:lang w:val="en-US"/>
        </w:rPr>
        <w:t xml:space="preserve">Laima PUUR (Ms.), Counsellor, Organic Farming and Seed Department, Estonian Agricultural and Food Board, Viljandi </w:t>
      </w:r>
      <w:r w:rsidRPr="0052329D">
        <w:rPr>
          <w:lang w:val="en-US"/>
        </w:rPr>
        <w:br/>
        <w:t>(e-mail: laima.puur@pta.agri.ee)</w:t>
      </w:r>
    </w:p>
    <w:p w14:paraId="0642BA56" w14:textId="77777777" w:rsidR="00054E72" w:rsidRPr="0052329D" w:rsidRDefault="00054E72" w:rsidP="00054E72">
      <w:pPr>
        <w:pStyle w:val="pldetails"/>
        <w:rPr>
          <w:lang w:val="en-US"/>
        </w:rPr>
      </w:pPr>
      <w:r w:rsidRPr="0052329D">
        <w:rPr>
          <w:lang w:val="en-US"/>
        </w:rPr>
        <w:t xml:space="preserve">Merjan SAVILA (Ms.), Head, Plant Material, Plant Health Department, Ministry of Rural Affairs, Tallinn </w:t>
      </w:r>
      <w:r w:rsidRPr="0052329D">
        <w:rPr>
          <w:lang w:val="en-US"/>
        </w:rPr>
        <w:br/>
        <w:t>(e-mail: Marjan.Savila@agri.ee)</w:t>
      </w:r>
    </w:p>
    <w:p w14:paraId="48F31610" w14:textId="77777777" w:rsidR="00054E72" w:rsidRPr="00C72898" w:rsidRDefault="00054E72" w:rsidP="00054E72">
      <w:pPr>
        <w:pStyle w:val="plcountry"/>
        <w:rPr>
          <w:lang w:val="en-US"/>
        </w:rPr>
      </w:pPr>
      <w:r w:rsidRPr="00C72898">
        <w:rPr>
          <w:lang w:val="en-US"/>
        </w:rPr>
        <w:t xml:space="preserve">ÉTATS-UNIS D'AMÉRIQUE / UNITED STATES OF AMERICA / VEREINIGTE STAATEN VON AMERIKA / </w:t>
      </w:r>
      <w:r w:rsidRPr="00C72898">
        <w:rPr>
          <w:lang w:val="en-US"/>
        </w:rPr>
        <w:br/>
        <w:t>ESTADOS UNIDOS DE AMÉRICA</w:t>
      </w:r>
    </w:p>
    <w:p w14:paraId="30A22CB8" w14:textId="77777777" w:rsidR="00054E72" w:rsidRPr="0052329D" w:rsidRDefault="00054E72" w:rsidP="00054E72">
      <w:pPr>
        <w:pStyle w:val="pldetails"/>
        <w:rPr>
          <w:lang w:val="en-US"/>
        </w:rPr>
      </w:pPr>
      <w:r w:rsidRPr="0052329D">
        <w:rPr>
          <w:lang w:val="en-US"/>
        </w:rPr>
        <w:t xml:space="preserve">Jeffery HAYNES (Mr.), Commissioner, Plant Variety Protection Office, USDA, AMS, S&amp;T, Washington D.C. </w:t>
      </w:r>
      <w:r w:rsidRPr="0052329D">
        <w:rPr>
          <w:lang w:val="en-US"/>
        </w:rPr>
        <w:br/>
        <w:t>(e-mail: Jeffery.Haynes@usda.gov)</w:t>
      </w:r>
    </w:p>
    <w:p w14:paraId="589A5E91" w14:textId="77777777" w:rsidR="00054E72" w:rsidRPr="0052329D" w:rsidRDefault="00054E72" w:rsidP="00054E72">
      <w:pPr>
        <w:pStyle w:val="pldetails"/>
        <w:rPr>
          <w:lang w:val="en-US"/>
        </w:rPr>
      </w:pPr>
      <w:r w:rsidRPr="0052329D">
        <w:rPr>
          <w:lang w:val="en-US"/>
        </w:rPr>
        <w:t xml:space="preserve">Yasmine Nicole FULENA (Ms.), Intellectual Property Adviser, Permanent Mission of the United States of America to the United Nations Office and other international organizations in Geneva, Chambésy </w:t>
      </w:r>
      <w:r w:rsidRPr="0052329D">
        <w:rPr>
          <w:lang w:val="en-US"/>
        </w:rPr>
        <w:br/>
        <w:t>(e-mail: fulenayn@state.gov)</w:t>
      </w:r>
    </w:p>
    <w:p w14:paraId="352AC4B5" w14:textId="77777777" w:rsidR="00054E72" w:rsidRPr="0052329D" w:rsidRDefault="00054E72" w:rsidP="00054E72">
      <w:pPr>
        <w:pStyle w:val="pldetails"/>
        <w:rPr>
          <w:lang w:val="en-US"/>
        </w:rPr>
      </w:pPr>
      <w:r w:rsidRPr="0052329D">
        <w:rPr>
          <w:lang w:val="en-US"/>
        </w:rPr>
        <w:t>Amanda CORCOS (Ms.), Foreign Affairs Officer, Office of Intellectual Property Enforcement, U.S. Department of State, Washington D.C.</w:t>
      </w:r>
      <w:r w:rsidRPr="0052329D">
        <w:rPr>
          <w:lang w:val="en-US"/>
        </w:rPr>
        <w:br/>
        <w:t>(e-mail: CorcosA@state.gov)</w:t>
      </w:r>
    </w:p>
    <w:p w14:paraId="44C91A09" w14:textId="77777777" w:rsidR="00054E72" w:rsidRPr="00C72898" w:rsidRDefault="00054E72" w:rsidP="00054E72">
      <w:pPr>
        <w:pStyle w:val="plcountry"/>
        <w:rPr>
          <w:lang w:val="en-US"/>
        </w:rPr>
      </w:pPr>
      <w:r w:rsidRPr="00C72898">
        <w:rPr>
          <w:lang w:val="en-US"/>
        </w:rPr>
        <w:t xml:space="preserve">FÉDÉRATION DE RUSSIE / RUSSIAN FEDERATION / RUSSISCHE FÖDERATION / </w:t>
      </w:r>
      <w:r w:rsidRPr="00C72898">
        <w:rPr>
          <w:lang w:val="en-US"/>
        </w:rPr>
        <w:br/>
        <w:t>FEDERACIÓN DE RUSIA</w:t>
      </w:r>
    </w:p>
    <w:p w14:paraId="71F8B3A4" w14:textId="77777777" w:rsidR="00054E72" w:rsidRPr="0052329D" w:rsidRDefault="00054E72" w:rsidP="00054E72">
      <w:pPr>
        <w:pStyle w:val="pldetails"/>
        <w:rPr>
          <w:lang w:val="en-US"/>
        </w:rPr>
      </w:pPr>
      <w:r w:rsidRPr="0052329D">
        <w:rPr>
          <w:lang w:val="en-US"/>
        </w:rPr>
        <w:t xml:space="preserve">Mikhail ALEXANDROV (Mr.), Chairman, State Commission of the Russian Federation for Selection Achievements Test and Protection, Moscow </w:t>
      </w:r>
      <w:r w:rsidRPr="0052329D">
        <w:rPr>
          <w:lang w:val="en-US"/>
        </w:rPr>
        <w:br/>
        <w:t>(e-mail: gsk@gossortrf.ru)</w:t>
      </w:r>
    </w:p>
    <w:p w14:paraId="6D109BC1" w14:textId="77777777" w:rsidR="00054E72" w:rsidRPr="0052329D" w:rsidRDefault="00054E72" w:rsidP="00054E72">
      <w:pPr>
        <w:pStyle w:val="pldetails"/>
        <w:rPr>
          <w:lang w:val="en-US"/>
        </w:rPr>
      </w:pPr>
      <w:r w:rsidRPr="0052329D">
        <w:rPr>
          <w:lang w:val="en-US"/>
        </w:rPr>
        <w:t xml:space="preserve">Yuri L. GONCHAROV (Mr.), Deputy Chairman, State Commission of the Russian Federation for Selection Achievements Test and Protection, Moscow </w:t>
      </w:r>
      <w:r w:rsidRPr="0052329D">
        <w:rPr>
          <w:lang w:val="en-US"/>
        </w:rPr>
        <w:br/>
        <w:t>(e-mail: ygoncharov1@yandex.ru)</w:t>
      </w:r>
    </w:p>
    <w:p w14:paraId="31341AA6" w14:textId="77777777" w:rsidR="00054E72" w:rsidRPr="0052329D" w:rsidRDefault="00054E72" w:rsidP="00054E72">
      <w:pPr>
        <w:pStyle w:val="pldetails"/>
        <w:rPr>
          <w:lang w:val="en-US"/>
        </w:rPr>
      </w:pPr>
      <w:r w:rsidRPr="0052329D">
        <w:rPr>
          <w:lang w:val="en-US"/>
        </w:rPr>
        <w:t xml:space="preserve">Anton GAYTER (Mr.), Head, Department for Methodology and International Cooperation, State Commission of the Russian Federation for Selection Achievements Test and Protection, Moscow </w:t>
      </w:r>
      <w:r w:rsidRPr="0052329D">
        <w:rPr>
          <w:lang w:val="en-US"/>
        </w:rPr>
        <w:br/>
        <w:t>(e-mail: gsk@gossortrf.ru)</w:t>
      </w:r>
    </w:p>
    <w:p w14:paraId="36EF1C8F" w14:textId="77777777" w:rsidR="00054E72" w:rsidRPr="0052329D" w:rsidRDefault="00054E72" w:rsidP="00054E72">
      <w:pPr>
        <w:pStyle w:val="pldetails"/>
        <w:rPr>
          <w:lang w:val="en-US"/>
        </w:rPr>
      </w:pPr>
      <w:r w:rsidRPr="0052329D">
        <w:rPr>
          <w:lang w:val="en-US"/>
        </w:rPr>
        <w:t xml:space="preserve">Ekaterina BOYKO (Ms.), Deputy Head, Department for Methodology and International Cooperation, State Commission of the Russian Federation for Selection Achievements Test and Protection, Moscow </w:t>
      </w:r>
      <w:r w:rsidRPr="0052329D">
        <w:rPr>
          <w:lang w:val="en-US"/>
        </w:rPr>
        <w:br/>
        <w:t>(e-mail: metod@gossortrf.ru)</w:t>
      </w:r>
    </w:p>
    <w:p w14:paraId="0E277404" w14:textId="77777777" w:rsidR="00054E72" w:rsidRPr="0052329D" w:rsidRDefault="00054E72" w:rsidP="00054E72">
      <w:pPr>
        <w:pStyle w:val="pldetails"/>
        <w:rPr>
          <w:lang w:val="en-US"/>
        </w:rPr>
      </w:pPr>
      <w:r w:rsidRPr="0052329D">
        <w:rPr>
          <w:lang w:val="en-US"/>
        </w:rPr>
        <w:t xml:space="preserve">Lilia BAKIEVA (Ms.), Leading Specialist, Methodology and International Cooperation Department, State Commission of the Russian Federation for Selection Achievements Test and Protection, Moscow </w:t>
      </w:r>
      <w:r w:rsidRPr="0052329D">
        <w:rPr>
          <w:lang w:val="en-US"/>
        </w:rPr>
        <w:br/>
        <w:t>(e-mail: kuznetsova@mail.ru)</w:t>
      </w:r>
    </w:p>
    <w:p w14:paraId="1A9A7DAB" w14:textId="77777777" w:rsidR="00054E72" w:rsidRPr="0052329D" w:rsidRDefault="00054E72" w:rsidP="00054E72">
      <w:pPr>
        <w:pStyle w:val="pldetails"/>
        <w:rPr>
          <w:lang w:val="en-US"/>
        </w:rPr>
      </w:pPr>
      <w:r w:rsidRPr="0052329D">
        <w:rPr>
          <w:lang w:val="en-US"/>
        </w:rPr>
        <w:t xml:space="preserve">Aleksey KULIKOV (Mr.), State Commission of the Russian Federation for Selection Achievements Test and Protection, Moscow </w:t>
      </w:r>
      <w:r w:rsidRPr="0052329D">
        <w:rPr>
          <w:lang w:val="en-US"/>
        </w:rPr>
        <w:br/>
        <w:t>(e-mail: gsk@gossortrf.ru)</w:t>
      </w:r>
    </w:p>
    <w:p w14:paraId="33D3D626" w14:textId="77777777" w:rsidR="00054E72" w:rsidRPr="0052329D" w:rsidRDefault="00054E72" w:rsidP="00054E72">
      <w:pPr>
        <w:pStyle w:val="plcountry"/>
        <w:rPr>
          <w:lang w:val="en-US"/>
        </w:rPr>
      </w:pPr>
      <w:r w:rsidRPr="0052329D">
        <w:rPr>
          <w:lang w:val="en-US"/>
        </w:rPr>
        <w:t>FINLANDE / FINLAND / FINNLAND / FINLANDIA</w:t>
      </w:r>
    </w:p>
    <w:p w14:paraId="60CB3F27" w14:textId="77777777" w:rsidR="00054E72" w:rsidRPr="0052329D" w:rsidRDefault="00054E72" w:rsidP="00054E72">
      <w:pPr>
        <w:pStyle w:val="pldetails"/>
        <w:rPr>
          <w:lang w:val="en-US"/>
        </w:rPr>
      </w:pPr>
      <w:r w:rsidRPr="0052329D">
        <w:rPr>
          <w:lang w:val="en-US"/>
        </w:rPr>
        <w:t xml:space="preserve">Kaarina PAAVILAINEN (Ms.), Senior Officer, Seed Unit, Finnish Food Authority, Loimaa </w:t>
      </w:r>
      <w:r w:rsidRPr="0052329D">
        <w:rPr>
          <w:lang w:val="en-US"/>
        </w:rPr>
        <w:br/>
        <w:t>(e-mail: kaarina.paavilainen@ruokavirasto.fi)</w:t>
      </w:r>
    </w:p>
    <w:p w14:paraId="7042A2B7" w14:textId="77777777" w:rsidR="00054E72" w:rsidRPr="0052329D" w:rsidRDefault="00054E72" w:rsidP="00054E72">
      <w:pPr>
        <w:pStyle w:val="plcountry"/>
        <w:rPr>
          <w:lang w:val="fr-FR"/>
        </w:rPr>
      </w:pPr>
      <w:r w:rsidRPr="0052329D">
        <w:rPr>
          <w:lang w:val="fr-FR"/>
        </w:rPr>
        <w:t>FRANCE / France / FRANKREICH / FRANCIA</w:t>
      </w:r>
    </w:p>
    <w:p w14:paraId="476947BB" w14:textId="77777777" w:rsidR="00054E72" w:rsidRPr="0052329D" w:rsidRDefault="00054E72" w:rsidP="00054E72">
      <w:pPr>
        <w:pStyle w:val="pldetails"/>
        <w:rPr>
          <w:lang w:val="fr-FR"/>
        </w:rPr>
      </w:pPr>
      <w:r w:rsidRPr="0052329D">
        <w:rPr>
          <w:lang w:val="fr-FR"/>
        </w:rPr>
        <w:t xml:space="preserve">Alain TRIDON (M.), Directeur Général, Groupe d'Etude et de contrôle des Variétés et des Semences (GEVES), Beaucouzé </w:t>
      </w:r>
      <w:r w:rsidRPr="0052329D">
        <w:rPr>
          <w:lang w:val="fr-FR"/>
        </w:rPr>
        <w:br/>
        <w:t>(e-mail: alain.tridon@geves.fr)</w:t>
      </w:r>
    </w:p>
    <w:p w14:paraId="2CF1B783" w14:textId="77777777" w:rsidR="00054E72" w:rsidRPr="0052329D" w:rsidRDefault="00054E72" w:rsidP="00054E72">
      <w:pPr>
        <w:pStyle w:val="pldetails"/>
        <w:rPr>
          <w:lang w:val="fr-FR"/>
        </w:rPr>
      </w:pPr>
      <w:r w:rsidRPr="0052329D">
        <w:rPr>
          <w:lang w:val="fr-FR"/>
        </w:rPr>
        <w:t xml:space="preserve">Fabien MASSON (Mr.), Head of Variety Study Department (SEV), Groupe d'Etude et de contrôle des Variétés et des Semences (GEVES), Beaucouzé </w:t>
      </w:r>
      <w:r w:rsidRPr="0052329D">
        <w:rPr>
          <w:lang w:val="fr-FR"/>
        </w:rPr>
        <w:br/>
        <w:t>(e-mail: fabien.masson@geves.fr)</w:t>
      </w:r>
    </w:p>
    <w:p w14:paraId="5019E99E" w14:textId="77777777" w:rsidR="00054E72" w:rsidRPr="0052329D" w:rsidRDefault="00054E72" w:rsidP="00054E72">
      <w:pPr>
        <w:pStyle w:val="pldetails"/>
        <w:rPr>
          <w:lang w:val="fr-FR"/>
        </w:rPr>
      </w:pPr>
      <w:r w:rsidRPr="0052329D">
        <w:rPr>
          <w:lang w:val="fr-FR"/>
        </w:rPr>
        <w:t xml:space="preserve">Clarisse LECLAIR (Ms.), Head of DUS Testing, Groupe d'étude et de contrôle des variétés et des semences (GEVES), Beaucouzé </w:t>
      </w:r>
      <w:r w:rsidRPr="0052329D">
        <w:rPr>
          <w:lang w:val="fr-FR"/>
        </w:rPr>
        <w:br/>
        <w:t>(e-mail: clarisse.leclair@geves.fr)</w:t>
      </w:r>
    </w:p>
    <w:p w14:paraId="0D2421C0" w14:textId="77777777" w:rsidR="00054E72" w:rsidRPr="0052329D" w:rsidRDefault="00054E72" w:rsidP="00054E72">
      <w:pPr>
        <w:pStyle w:val="plcountry"/>
        <w:rPr>
          <w:lang w:val="en-US"/>
        </w:rPr>
      </w:pPr>
      <w:r w:rsidRPr="0052329D">
        <w:rPr>
          <w:lang w:val="en-US"/>
        </w:rPr>
        <w:t>GÉORGIE / GEORGIA / GEORGIEN / GEORGIA</w:t>
      </w:r>
    </w:p>
    <w:p w14:paraId="3E2F83F0" w14:textId="77777777" w:rsidR="00054E72" w:rsidRPr="0052329D" w:rsidRDefault="00054E72" w:rsidP="00054E72">
      <w:pPr>
        <w:pStyle w:val="pldetails"/>
        <w:rPr>
          <w:lang w:val="en-US"/>
        </w:rPr>
      </w:pPr>
      <w:r w:rsidRPr="0052329D">
        <w:rPr>
          <w:lang w:val="en-US"/>
        </w:rPr>
        <w:t xml:space="preserve">Merab KUTSIA (Mr.), Head, Department of Inventions and New Plant Varieties and Animal Breeds, National Intellectual Property Center (SAKPATENTI), Mtskheta </w:t>
      </w:r>
      <w:r w:rsidRPr="0052329D">
        <w:rPr>
          <w:lang w:val="en-US"/>
        </w:rPr>
        <w:br/>
        <w:t>(e-mail: mkutsia@sakpatenti.org.ge)</w:t>
      </w:r>
    </w:p>
    <w:p w14:paraId="3FE56913" w14:textId="77777777" w:rsidR="00054E72" w:rsidRPr="0052329D" w:rsidRDefault="00054E72" w:rsidP="00054E72">
      <w:pPr>
        <w:pStyle w:val="plcountry"/>
        <w:rPr>
          <w:lang w:val="en-US"/>
        </w:rPr>
      </w:pPr>
      <w:r w:rsidRPr="0052329D">
        <w:rPr>
          <w:lang w:val="en-US"/>
        </w:rPr>
        <w:t>HONGRIE / HUNGARY / UNGARN / HUNGRÍA</w:t>
      </w:r>
    </w:p>
    <w:p w14:paraId="5EFCE467" w14:textId="77777777" w:rsidR="00054E72" w:rsidRPr="0052329D" w:rsidRDefault="00054E72" w:rsidP="00054E72">
      <w:pPr>
        <w:pStyle w:val="pldetails"/>
        <w:rPr>
          <w:lang w:val="en-US"/>
        </w:rPr>
      </w:pPr>
      <w:r w:rsidRPr="0052329D">
        <w:rPr>
          <w:lang w:val="en-US"/>
        </w:rPr>
        <w:t xml:space="preserve">Márton PÉCS (Mr.), Agricultural IT Expert, Directorate of Plant Production and Horticulture, National Food Chain Safety Office (NÉBIH), Budapest </w:t>
      </w:r>
      <w:r w:rsidRPr="0052329D">
        <w:rPr>
          <w:lang w:val="en-US"/>
        </w:rPr>
        <w:br/>
        <w:t>(e-mail: pecsm@nebih.gov.hu)</w:t>
      </w:r>
    </w:p>
    <w:p w14:paraId="26D32FD7" w14:textId="77777777" w:rsidR="00054E72" w:rsidRPr="0052329D" w:rsidRDefault="00054E72" w:rsidP="00054E72">
      <w:pPr>
        <w:pStyle w:val="plcountry"/>
        <w:rPr>
          <w:lang w:val="en-US"/>
        </w:rPr>
      </w:pPr>
      <w:r w:rsidRPr="0052329D">
        <w:rPr>
          <w:lang w:val="en-US"/>
        </w:rPr>
        <w:t>ISRAËL / ISRAEL / ISRAEL / ISRAEL</w:t>
      </w:r>
    </w:p>
    <w:p w14:paraId="0EDF1E94" w14:textId="77777777" w:rsidR="00054E72" w:rsidRPr="0052329D" w:rsidRDefault="00054E72" w:rsidP="00054E72">
      <w:pPr>
        <w:pStyle w:val="pldetails"/>
        <w:rPr>
          <w:lang w:val="en-US"/>
        </w:rPr>
      </w:pPr>
      <w:r w:rsidRPr="0052329D">
        <w:rPr>
          <w:lang w:val="en-US"/>
        </w:rPr>
        <w:t xml:space="preserve">Dikla DABBY-NAOR (Ms.), Chairperson, Plant Breeders' Rights Council, Ministry of Agriculture and Rural Development, Beit-Dagan </w:t>
      </w:r>
      <w:r w:rsidRPr="0052329D">
        <w:rPr>
          <w:lang w:val="en-US"/>
        </w:rPr>
        <w:br/>
        <w:t>(e-mail: diklad@moag.gov.il)</w:t>
      </w:r>
    </w:p>
    <w:p w14:paraId="20A4D495" w14:textId="77777777" w:rsidR="00054E72" w:rsidRPr="0052329D" w:rsidRDefault="00054E72" w:rsidP="00054E72">
      <w:pPr>
        <w:pStyle w:val="plcountry"/>
        <w:rPr>
          <w:lang w:val="en-US"/>
        </w:rPr>
      </w:pPr>
      <w:r w:rsidRPr="0052329D">
        <w:rPr>
          <w:lang w:val="en-US"/>
        </w:rPr>
        <w:t>ITALIE / ITALY / ITALIEN / ITALIA</w:t>
      </w:r>
    </w:p>
    <w:p w14:paraId="6E7C102C" w14:textId="77777777" w:rsidR="00054E72" w:rsidRPr="0052329D" w:rsidRDefault="00054E72" w:rsidP="00054E72">
      <w:pPr>
        <w:pStyle w:val="pldetails"/>
        <w:rPr>
          <w:lang w:val="en-US"/>
        </w:rPr>
      </w:pPr>
      <w:r w:rsidRPr="0052329D">
        <w:rPr>
          <w:lang w:val="en-US"/>
        </w:rPr>
        <w:t xml:space="preserve">Pier Giacomo BIANCHI (Mr.), Scientific Coordinator Seed Area, Plant Protection and Seed Certification (CREA - DC), Milano </w:t>
      </w:r>
      <w:r w:rsidRPr="0052329D">
        <w:rPr>
          <w:lang w:val="en-US"/>
        </w:rPr>
        <w:br/>
        <w:t>(e-mail: piergiacomo.bianchi@crea.gov.it)</w:t>
      </w:r>
    </w:p>
    <w:p w14:paraId="28856318" w14:textId="77777777" w:rsidR="00054E72" w:rsidRPr="0052329D" w:rsidRDefault="00054E72" w:rsidP="00054E72">
      <w:pPr>
        <w:pStyle w:val="plcountry"/>
        <w:rPr>
          <w:lang w:val="en-US"/>
        </w:rPr>
      </w:pPr>
      <w:r w:rsidRPr="0052329D">
        <w:rPr>
          <w:lang w:val="en-US"/>
        </w:rPr>
        <w:t>JAPON / JAPAN / JAPAN / JAPÓN</w:t>
      </w:r>
    </w:p>
    <w:p w14:paraId="203753FB" w14:textId="77777777" w:rsidR="00054E72" w:rsidRPr="0052329D" w:rsidRDefault="00054E72" w:rsidP="00054E72">
      <w:pPr>
        <w:pStyle w:val="pldetails"/>
        <w:rPr>
          <w:lang w:val="en-US"/>
        </w:rPr>
      </w:pPr>
      <w:r w:rsidRPr="0052329D">
        <w:rPr>
          <w:lang w:val="en-US"/>
        </w:rPr>
        <w:t xml:space="preserve">Teruhisa MIYAMOTO (Mr.), Deputy Director for International Affairs, Intellectual Propetry Division, Export and International Affairs Bureau, Ministry of Agriculture, Forestry and Fisheries (MAFF), Tokyo </w:t>
      </w:r>
      <w:r w:rsidRPr="0052329D">
        <w:rPr>
          <w:lang w:val="en-US"/>
        </w:rPr>
        <w:br/>
        <w:t>(e-mail: teruhisa_miyamoto170@maff.go.jp)</w:t>
      </w:r>
    </w:p>
    <w:p w14:paraId="059D89DF" w14:textId="77777777" w:rsidR="00054E72" w:rsidRPr="0052329D" w:rsidRDefault="00054E72" w:rsidP="00054E72">
      <w:pPr>
        <w:pStyle w:val="pldetails"/>
        <w:rPr>
          <w:lang w:val="en-US"/>
        </w:rPr>
      </w:pPr>
      <w:r w:rsidRPr="0052329D">
        <w:rPr>
          <w:lang w:val="en-US"/>
        </w:rPr>
        <w:t xml:space="preserve">Ryusaku KASHIWAGI (Mr.), Chief Examiner, Plant Variety Protection Office, Intellectual Property Division, Export and International Affairs Bureau, Ministry of Agriculture, Forestry and Fisheries (MAFF), Tokyo </w:t>
      </w:r>
      <w:r w:rsidRPr="0052329D">
        <w:rPr>
          <w:lang w:val="en-US"/>
        </w:rPr>
        <w:br/>
        <w:t>(e-mail: ryusaku_kashiwagi840@maff.go.jp)</w:t>
      </w:r>
    </w:p>
    <w:p w14:paraId="07BEE0A5" w14:textId="77777777" w:rsidR="00054E72" w:rsidRPr="0052329D" w:rsidRDefault="00054E72" w:rsidP="00054E72">
      <w:pPr>
        <w:pStyle w:val="pldetails"/>
        <w:rPr>
          <w:lang w:val="en-US"/>
        </w:rPr>
      </w:pPr>
      <w:r w:rsidRPr="0052329D">
        <w:rPr>
          <w:lang w:val="en-US"/>
        </w:rPr>
        <w:t xml:space="preserve">Daisuke FUJITSUKA (Mr.), Technical Official, Intellectual Property Division, Export and International Affairs Bureau, Ministry of Agriculture, Forestry and Fisheries (MAFF), Tokyo </w:t>
      </w:r>
      <w:r w:rsidRPr="0052329D">
        <w:rPr>
          <w:lang w:val="en-US"/>
        </w:rPr>
        <w:br/>
        <w:t>(e-mail: daisuke_fujitsuka080@maff.go.jp)</w:t>
      </w:r>
    </w:p>
    <w:p w14:paraId="40BCC8FF" w14:textId="77777777" w:rsidR="00054E72" w:rsidRPr="0052329D" w:rsidRDefault="00054E72" w:rsidP="00054E72">
      <w:pPr>
        <w:pStyle w:val="pldetails"/>
        <w:rPr>
          <w:lang w:val="en-US"/>
        </w:rPr>
      </w:pPr>
      <w:r w:rsidRPr="0052329D">
        <w:rPr>
          <w:lang w:val="en-US"/>
        </w:rPr>
        <w:t xml:space="preserve">Yoshiyuki OHNO (Mr.), Examiner, Intellectual Property Division , Export and International Affairs Bureau, Ministry of Agriculture, Forestry and Fisheries (MAFF), Tokyo </w:t>
      </w:r>
      <w:r w:rsidRPr="0052329D">
        <w:rPr>
          <w:lang w:val="en-US"/>
        </w:rPr>
        <w:br/>
        <w:t>(e-mail: yoshiyuki_ono300@maff.go.jp)</w:t>
      </w:r>
    </w:p>
    <w:p w14:paraId="2577BB2D" w14:textId="77777777" w:rsidR="00054E72" w:rsidRPr="0052329D" w:rsidRDefault="00054E72" w:rsidP="00054E72">
      <w:pPr>
        <w:pStyle w:val="plcountry"/>
        <w:rPr>
          <w:lang w:val="en-US"/>
        </w:rPr>
      </w:pPr>
      <w:r w:rsidRPr="0052329D">
        <w:rPr>
          <w:lang w:val="en-US"/>
        </w:rPr>
        <w:t>KENYA / Kenya / KENIA / KENYA</w:t>
      </w:r>
    </w:p>
    <w:p w14:paraId="7D546D55" w14:textId="77777777" w:rsidR="00054E72" w:rsidRPr="0052329D" w:rsidRDefault="00054E72" w:rsidP="00054E72">
      <w:pPr>
        <w:pStyle w:val="pldetails"/>
        <w:rPr>
          <w:lang w:val="en-US"/>
        </w:rPr>
      </w:pPr>
      <w:r w:rsidRPr="0052329D">
        <w:rPr>
          <w:lang w:val="en-US"/>
        </w:rPr>
        <w:t xml:space="preserve">Gentrix Nasimiyu JUMA (Ms.), Chief Plant Examiner, Kenya Plant Health Inspectorate Service (KEPHIS), Nairobi </w:t>
      </w:r>
      <w:r w:rsidRPr="0052329D">
        <w:rPr>
          <w:lang w:val="en-US"/>
        </w:rPr>
        <w:br/>
        <w:t>(e-mail: gjuma@kephis.org)</w:t>
      </w:r>
    </w:p>
    <w:p w14:paraId="2AF35ABA" w14:textId="77777777" w:rsidR="00054E72" w:rsidRPr="0052329D" w:rsidRDefault="00054E72" w:rsidP="00054E72">
      <w:pPr>
        <w:pStyle w:val="plcountry"/>
        <w:rPr>
          <w:lang w:val="en-US"/>
        </w:rPr>
      </w:pPr>
      <w:r w:rsidRPr="0052329D">
        <w:rPr>
          <w:lang w:val="en-US"/>
        </w:rPr>
        <w:t>LETTONIE / LATVIA / LETTLAND / LETONIA</w:t>
      </w:r>
    </w:p>
    <w:p w14:paraId="54EC6D5B" w14:textId="77777777" w:rsidR="00054E72" w:rsidRPr="0052329D" w:rsidRDefault="00054E72" w:rsidP="00054E72">
      <w:pPr>
        <w:pStyle w:val="pldetails"/>
        <w:rPr>
          <w:lang w:val="en-US"/>
        </w:rPr>
      </w:pPr>
      <w:r w:rsidRPr="0052329D">
        <w:rPr>
          <w:lang w:val="en-US"/>
        </w:rPr>
        <w:t xml:space="preserve">Inga OVSJANNIKA (Ms.), Senior Officer, Division of Seed Certification and Plant Variety Protection, Seed Control Department, State Plant Protection Service, Riga </w:t>
      </w:r>
      <w:r w:rsidRPr="0052329D">
        <w:rPr>
          <w:lang w:val="en-US"/>
        </w:rPr>
        <w:br/>
        <w:t>(e-mail: inga.ovsjannika@vaad.gov.lv)</w:t>
      </w:r>
    </w:p>
    <w:p w14:paraId="0D2C2975" w14:textId="77777777" w:rsidR="00054E72" w:rsidRPr="0052329D" w:rsidRDefault="00054E72" w:rsidP="00054E72">
      <w:pPr>
        <w:pStyle w:val="plcountry"/>
        <w:rPr>
          <w:lang w:val="fr-FR"/>
        </w:rPr>
      </w:pPr>
      <w:r w:rsidRPr="0052329D">
        <w:rPr>
          <w:lang w:val="fr-FR"/>
        </w:rPr>
        <w:t>MAROC / MOROCCO / MAROKKO / MARRUECOS</w:t>
      </w:r>
    </w:p>
    <w:p w14:paraId="723F2878" w14:textId="77777777" w:rsidR="00054E72" w:rsidRPr="0052329D" w:rsidRDefault="00054E72" w:rsidP="00054E72">
      <w:pPr>
        <w:pStyle w:val="pldetails"/>
        <w:rPr>
          <w:lang w:val="fr-FR"/>
        </w:rPr>
      </w:pPr>
      <w:r w:rsidRPr="0052329D">
        <w:rPr>
          <w:lang w:val="fr-FR"/>
        </w:rPr>
        <w:t xml:space="preserve">Zoubida TAOUSSI (Mme), Chargée de la protection des obtentions végétales, Office National de Sécurité de Produits Alimentaires (ONSSA), Rabat  </w:t>
      </w:r>
      <w:r w:rsidRPr="0052329D">
        <w:rPr>
          <w:lang w:val="fr-FR"/>
        </w:rPr>
        <w:br/>
        <w:t xml:space="preserve">(e-mail: ztaoussi67@gmail.com) </w:t>
      </w:r>
    </w:p>
    <w:p w14:paraId="7C0081EB" w14:textId="77777777" w:rsidR="00054E72" w:rsidRPr="00C72898" w:rsidRDefault="00054E72" w:rsidP="00054E72">
      <w:pPr>
        <w:pStyle w:val="plcountry"/>
        <w:rPr>
          <w:lang w:val="es-ES"/>
        </w:rPr>
      </w:pPr>
      <w:r w:rsidRPr="00C72898">
        <w:rPr>
          <w:lang w:val="es-ES"/>
        </w:rPr>
        <w:t>MEXIQUE / MEXICO / MEXIKO / MÉXICO</w:t>
      </w:r>
    </w:p>
    <w:p w14:paraId="3A851E2A" w14:textId="77777777" w:rsidR="00054E72" w:rsidRPr="00C72898" w:rsidRDefault="00054E72" w:rsidP="00054E72">
      <w:pPr>
        <w:pStyle w:val="pldetails"/>
        <w:rPr>
          <w:lang w:val="es-ES"/>
        </w:rPr>
      </w:pPr>
      <w:r w:rsidRPr="00C72898">
        <w:rPr>
          <w:lang w:val="es-ES"/>
        </w:rPr>
        <w:t xml:space="preserve">Víctor Manuel VÁSQUEZ NAVARRETE (Sr.), Director de área, Servicio Nacional de Inspección y Certificación de Semillas (SNICS), Secretaria de Agricultura y Desarrollo Rural (Agricultura), Ciudad de México </w:t>
      </w:r>
      <w:r w:rsidRPr="00C72898">
        <w:rPr>
          <w:lang w:val="es-ES"/>
        </w:rPr>
        <w:br/>
        <w:t>(e-mail: victor.vasquez@agricultura.gob.mx)</w:t>
      </w:r>
    </w:p>
    <w:p w14:paraId="1FE30C99" w14:textId="77777777" w:rsidR="00054E72" w:rsidRPr="00C72898" w:rsidRDefault="00054E72" w:rsidP="00054E72">
      <w:pPr>
        <w:pStyle w:val="plcountry"/>
        <w:rPr>
          <w:lang w:val="en-US"/>
        </w:rPr>
      </w:pPr>
      <w:r w:rsidRPr="00C72898">
        <w:rPr>
          <w:lang w:val="en-US"/>
        </w:rPr>
        <w:t>NOUVELLE-ZÉLANDE / NEW ZEALAND / NEUSEELAND / NUEVA ZELANDIA</w:t>
      </w:r>
    </w:p>
    <w:p w14:paraId="64670D2A" w14:textId="77777777" w:rsidR="00054E72" w:rsidRPr="0052329D" w:rsidRDefault="00054E72" w:rsidP="00054E72">
      <w:pPr>
        <w:pStyle w:val="pldetails"/>
        <w:rPr>
          <w:lang w:val="en-US"/>
        </w:rPr>
      </w:pPr>
      <w:r w:rsidRPr="0052329D">
        <w:rPr>
          <w:lang w:val="en-US"/>
        </w:rPr>
        <w:t xml:space="preserve">Christopher James BARNABY (Mr.), PVR Manager / Assistant Commissioner, Plant Variety Rights Office, Intellectual Property Office of New Zealand, Ministry of Business, Innovation and Employment, Christchurch </w:t>
      </w:r>
      <w:r w:rsidRPr="0052329D">
        <w:rPr>
          <w:lang w:val="en-US"/>
        </w:rPr>
        <w:br/>
        <w:t>(e-mail: Chris.Barnaby@pvr.govt.nz)</w:t>
      </w:r>
    </w:p>
    <w:p w14:paraId="6070FE50" w14:textId="77777777" w:rsidR="00054E72" w:rsidRPr="00C72898" w:rsidRDefault="00054E72" w:rsidP="00054E72">
      <w:pPr>
        <w:pStyle w:val="plcountry"/>
        <w:rPr>
          <w:lang w:val="en-US"/>
        </w:rPr>
      </w:pPr>
      <w:r w:rsidRPr="00C72898">
        <w:rPr>
          <w:lang w:val="en-US"/>
        </w:rPr>
        <w:t>PAYS-BAS / NETHERLANDS / NIEDERLANDE / PAÍSES BAJOS</w:t>
      </w:r>
    </w:p>
    <w:p w14:paraId="69D93F24" w14:textId="77777777" w:rsidR="00054E72" w:rsidRPr="0052329D" w:rsidRDefault="00054E72" w:rsidP="00054E72">
      <w:pPr>
        <w:pStyle w:val="pldetails"/>
        <w:rPr>
          <w:lang w:val="en-US"/>
        </w:rPr>
      </w:pPr>
      <w:r w:rsidRPr="0052329D">
        <w:rPr>
          <w:lang w:val="en-US"/>
        </w:rPr>
        <w:t xml:space="preserve">Bert SCHOLTE (Mr.), Head Department Variety Testing, Naktuinbouw NL, Roelofarendsveen </w:t>
      </w:r>
      <w:r w:rsidRPr="0052329D">
        <w:rPr>
          <w:lang w:val="en-US"/>
        </w:rPr>
        <w:br/>
        <w:t>(e-mail: b.scholte@naktuinbouw.nl)</w:t>
      </w:r>
    </w:p>
    <w:p w14:paraId="4E58407D" w14:textId="77777777" w:rsidR="00054E72" w:rsidRPr="0052329D" w:rsidRDefault="00054E72" w:rsidP="00054E72">
      <w:pPr>
        <w:pStyle w:val="pldetails"/>
        <w:rPr>
          <w:lang w:val="nl-NL"/>
        </w:rPr>
      </w:pPr>
      <w:r w:rsidRPr="0052329D">
        <w:rPr>
          <w:lang w:val="nl-NL"/>
        </w:rPr>
        <w:t xml:space="preserve">Marian A. VAN LEEUWEN (Ms.), DUS Specialist, Team DUS Vegetable Crops, Variety Testing Department, Naktuinbouw, Roelofarendsveen </w:t>
      </w:r>
      <w:r w:rsidRPr="0052329D">
        <w:rPr>
          <w:lang w:val="nl-NL"/>
        </w:rPr>
        <w:br/>
        <w:t>(e-mail: m.v.leeuwen@naktuinbouw.nl)</w:t>
      </w:r>
    </w:p>
    <w:p w14:paraId="2AAED148" w14:textId="77777777" w:rsidR="00054E72" w:rsidRPr="0052329D" w:rsidRDefault="00054E72" w:rsidP="00054E72">
      <w:pPr>
        <w:pStyle w:val="plcountry"/>
        <w:rPr>
          <w:lang w:val="en-US"/>
        </w:rPr>
      </w:pPr>
      <w:r w:rsidRPr="0052329D">
        <w:rPr>
          <w:lang w:val="en-US"/>
        </w:rPr>
        <w:t>POLOGNE / POLAND / POLEN / POLONIA</w:t>
      </w:r>
    </w:p>
    <w:p w14:paraId="0F9F70C8" w14:textId="77777777" w:rsidR="00054E72" w:rsidRPr="0052329D" w:rsidRDefault="00054E72" w:rsidP="00054E72">
      <w:pPr>
        <w:pStyle w:val="pldetails"/>
        <w:rPr>
          <w:lang w:val="en-US"/>
        </w:rPr>
      </w:pPr>
      <w:r w:rsidRPr="0052329D">
        <w:rPr>
          <w:lang w:val="en-US"/>
        </w:rPr>
        <w:t xml:space="preserve">Marcin KRÓL (Mr.), Head, DUS Testing Department, Research Centre for Cultivar Testing (COBORU), Slupia Wielka </w:t>
      </w:r>
      <w:r w:rsidRPr="0052329D">
        <w:rPr>
          <w:lang w:val="en-US"/>
        </w:rPr>
        <w:br/>
        <w:t>(e-mail: M.Krol@coboru.gov.pl)</w:t>
      </w:r>
    </w:p>
    <w:p w14:paraId="72B64FEA" w14:textId="77777777" w:rsidR="00054E72" w:rsidRPr="0052329D" w:rsidRDefault="00054E72" w:rsidP="00054E72">
      <w:pPr>
        <w:pStyle w:val="pldetails"/>
        <w:rPr>
          <w:lang w:val="en-US"/>
        </w:rPr>
      </w:pPr>
      <w:r w:rsidRPr="0052329D">
        <w:rPr>
          <w:lang w:val="en-US"/>
        </w:rPr>
        <w:t xml:space="preserve">Joanna GRUSZCZYŃSKA (Ms.), Head of DUS Testing and Variety Identity Verification Unit, DUS Testing Department, Research Centre for Cultivar Testing (COBORU), Slupia Wielka </w:t>
      </w:r>
      <w:r w:rsidRPr="0052329D">
        <w:rPr>
          <w:lang w:val="en-US"/>
        </w:rPr>
        <w:br/>
        <w:t>(e-mail: j.gruszczynska@coboru.gov.pl)</w:t>
      </w:r>
    </w:p>
    <w:p w14:paraId="5724CB1A" w14:textId="77777777" w:rsidR="00054E72" w:rsidRPr="0052329D" w:rsidRDefault="00054E72" w:rsidP="00054E72">
      <w:pPr>
        <w:pStyle w:val="plcountry"/>
        <w:rPr>
          <w:lang w:val="en-US"/>
        </w:rPr>
      </w:pPr>
      <w:r w:rsidRPr="0052329D">
        <w:rPr>
          <w:lang w:val="en-US"/>
        </w:rPr>
        <w:t>PORTUGAL / PORTUGAL / PORTUGAL</w:t>
      </w:r>
    </w:p>
    <w:p w14:paraId="39909177" w14:textId="77777777" w:rsidR="00054E72" w:rsidRPr="0052329D" w:rsidRDefault="00054E72" w:rsidP="00054E72">
      <w:pPr>
        <w:pStyle w:val="pldetails"/>
        <w:rPr>
          <w:lang w:val="en-US"/>
        </w:rPr>
      </w:pPr>
      <w:r w:rsidRPr="0052329D">
        <w:rPr>
          <w:lang w:val="en-US"/>
        </w:rPr>
        <w:t xml:space="preserve">Anabela ROCHA (Ms.), Senior officer, Plant Breeder Rights Office and National List, Divisão de Variedades e Sementes (DVS), Direção-Geral de Alimentação e Veterinária (DGAV), Lisboa </w:t>
      </w:r>
      <w:r w:rsidRPr="0052329D">
        <w:rPr>
          <w:lang w:val="en-US"/>
        </w:rPr>
        <w:br/>
        <w:t>(e-mail: anabelarocha@dgav.pt)</w:t>
      </w:r>
    </w:p>
    <w:p w14:paraId="7A296715" w14:textId="77777777" w:rsidR="00054E72" w:rsidRPr="00C72898" w:rsidRDefault="00054E72" w:rsidP="00054E72">
      <w:pPr>
        <w:pStyle w:val="plcountry"/>
        <w:rPr>
          <w:lang w:val="en-US"/>
        </w:rPr>
      </w:pPr>
      <w:r w:rsidRPr="00C72898">
        <w:rPr>
          <w:lang w:val="en-US"/>
        </w:rPr>
        <w:t>RÉPUBLIQUE DE CORÉE / REPUBLIC OF KOREA / REPUBLIK KOREA / REPÚBLICA DE COREA</w:t>
      </w:r>
    </w:p>
    <w:p w14:paraId="21647D34" w14:textId="77777777" w:rsidR="00054E72" w:rsidRPr="0052329D" w:rsidRDefault="00054E72" w:rsidP="00054E72">
      <w:pPr>
        <w:pStyle w:val="pldetails"/>
        <w:rPr>
          <w:lang w:val="en-US"/>
        </w:rPr>
      </w:pPr>
      <w:r w:rsidRPr="0052329D">
        <w:rPr>
          <w:lang w:val="en-US"/>
        </w:rPr>
        <w:t xml:space="preserve">Yongseok JANG (Mr.), Director, Plant Variety Protection Division, National Forest Seed Variety Center (NFSV), Chungcheongbuk-do </w:t>
      </w:r>
      <w:r w:rsidRPr="0052329D">
        <w:rPr>
          <w:lang w:val="en-US"/>
        </w:rPr>
        <w:br/>
        <w:t>(e-mail: mushrm@korea.kr)</w:t>
      </w:r>
    </w:p>
    <w:p w14:paraId="2723EF03" w14:textId="77777777" w:rsidR="00054E72" w:rsidRPr="0052329D" w:rsidRDefault="00054E72" w:rsidP="00054E72">
      <w:pPr>
        <w:pStyle w:val="pldetails"/>
        <w:rPr>
          <w:lang w:val="en-US"/>
        </w:rPr>
      </w:pPr>
      <w:r w:rsidRPr="0052329D">
        <w:rPr>
          <w:lang w:val="en-US"/>
        </w:rPr>
        <w:t xml:space="preserve">Yoon-Young KIM (Mr.), Researcher, Plant Variety Protection Division, National Forest Seed Variety Center (NFSV), Chungcheongbuk-do </w:t>
      </w:r>
      <w:r w:rsidRPr="0052329D">
        <w:rPr>
          <w:lang w:val="en-US"/>
        </w:rPr>
        <w:br/>
        <w:t>(e-mail: wildflower2@korea.kr)</w:t>
      </w:r>
    </w:p>
    <w:p w14:paraId="289505A1" w14:textId="77777777" w:rsidR="00054E72" w:rsidRPr="0052329D" w:rsidRDefault="00054E72" w:rsidP="00054E72">
      <w:pPr>
        <w:pStyle w:val="pldetails"/>
        <w:rPr>
          <w:lang w:val="en-US"/>
        </w:rPr>
      </w:pPr>
      <w:r w:rsidRPr="0052329D">
        <w:rPr>
          <w:lang w:val="en-US"/>
        </w:rPr>
        <w:t xml:space="preserve">Kwanghong LEE (Mr.), DUS Examiner, Korea Seed and Variety Service (KSVS), Gyeongsangbuk-do </w:t>
      </w:r>
      <w:r w:rsidRPr="0052329D">
        <w:rPr>
          <w:lang w:val="en-US"/>
        </w:rPr>
        <w:br/>
        <w:t>(e-mail: grin@korea.kr)</w:t>
      </w:r>
    </w:p>
    <w:p w14:paraId="7805CC86" w14:textId="77777777" w:rsidR="00054E72" w:rsidRPr="0052329D" w:rsidRDefault="00054E72" w:rsidP="00054E72">
      <w:pPr>
        <w:pStyle w:val="pldetails"/>
        <w:rPr>
          <w:lang w:val="en-US"/>
        </w:rPr>
      </w:pPr>
      <w:r w:rsidRPr="0052329D">
        <w:rPr>
          <w:lang w:val="en-US"/>
        </w:rPr>
        <w:t xml:space="preserve">Chan Woong PARK (Mr.), Examiner, International Cooperation Division, Korea Seed &amp; Variety Service (KSVS), Gyeongsangbuk-do </w:t>
      </w:r>
      <w:r w:rsidRPr="0052329D">
        <w:rPr>
          <w:lang w:val="en-US"/>
        </w:rPr>
        <w:br/>
        <w:t>(e-mail: chwopark@korea.kr)</w:t>
      </w:r>
    </w:p>
    <w:p w14:paraId="1184251F" w14:textId="77777777" w:rsidR="00054E72" w:rsidRPr="0052329D" w:rsidRDefault="00054E72" w:rsidP="00054E72">
      <w:pPr>
        <w:pStyle w:val="plcountry"/>
        <w:rPr>
          <w:lang w:val="en-US"/>
        </w:rPr>
      </w:pPr>
      <w:r w:rsidRPr="0052329D">
        <w:rPr>
          <w:lang w:val="en-US"/>
        </w:rPr>
        <w:t>RÉPUBLIQUE TCHÈQUE / CZECH REPUBLIC / TSCHECHISCHE REPUBLIK / REPÚBLICA CHECA</w:t>
      </w:r>
    </w:p>
    <w:p w14:paraId="1590D43B" w14:textId="77777777" w:rsidR="00054E72" w:rsidRPr="0052329D" w:rsidRDefault="00054E72" w:rsidP="00054E72">
      <w:pPr>
        <w:pStyle w:val="pldetails"/>
        <w:rPr>
          <w:lang w:val="en-US"/>
        </w:rPr>
      </w:pPr>
      <w:r w:rsidRPr="0052329D">
        <w:rPr>
          <w:lang w:val="en-US"/>
        </w:rPr>
        <w:t xml:space="preserve">Tomás MEZLÍK (Mr.), Head, National Plant Variety Office, Central Institute for Supervising and Testing in Agriculture (ÚKZÚZ), Brno </w:t>
      </w:r>
      <w:r w:rsidRPr="0052329D">
        <w:rPr>
          <w:lang w:val="en-US"/>
        </w:rPr>
        <w:br/>
        <w:t>(e-mail: tomas.mezlik@ukzuz.cz)</w:t>
      </w:r>
    </w:p>
    <w:p w14:paraId="702A9739" w14:textId="77777777" w:rsidR="00054E72" w:rsidRPr="0052329D" w:rsidRDefault="00054E72" w:rsidP="00054E72">
      <w:pPr>
        <w:pStyle w:val="pldetails"/>
        <w:rPr>
          <w:lang w:val="en-US"/>
        </w:rPr>
      </w:pPr>
      <w:r w:rsidRPr="0052329D">
        <w:rPr>
          <w:lang w:val="en-US"/>
        </w:rPr>
        <w:t xml:space="preserve">Andrea POVOLNÁ (Ms.), Head of DUS Department, National Plant Variety Office, Central Institute for Supervising and Testing in Agriculture (ÚKZÚZ), Brno </w:t>
      </w:r>
      <w:r w:rsidRPr="0052329D">
        <w:rPr>
          <w:lang w:val="en-US"/>
        </w:rPr>
        <w:br/>
        <w:t>(e-mail: andrea.povolna@ukzuz.cz)</w:t>
      </w:r>
    </w:p>
    <w:p w14:paraId="2CF863F6" w14:textId="77777777" w:rsidR="00054E72" w:rsidRPr="0052329D" w:rsidRDefault="00054E72" w:rsidP="00054E72">
      <w:pPr>
        <w:pStyle w:val="pldetails"/>
        <w:rPr>
          <w:lang w:val="en-US"/>
        </w:rPr>
      </w:pPr>
      <w:r w:rsidRPr="0052329D">
        <w:rPr>
          <w:lang w:val="en-US"/>
        </w:rPr>
        <w:t xml:space="preserve">Pavla BIMOVÁ (Ms.), DUS Expert and Methodology Specialist, National Plant Variety Office, Central Institute for Supervising and Testing in Agriculture (ÚKZÚZ), Brno </w:t>
      </w:r>
      <w:r w:rsidRPr="0052329D">
        <w:rPr>
          <w:lang w:val="en-US"/>
        </w:rPr>
        <w:br/>
        <w:t>(e-mail: pavla.bimova@ukzuz.cz)</w:t>
      </w:r>
    </w:p>
    <w:p w14:paraId="501FB0C1" w14:textId="77777777" w:rsidR="00054E72" w:rsidRPr="00C72898" w:rsidRDefault="00054E72" w:rsidP="00054E72">
      <w:pPr>
        <w:pStyle w:val="plcountry"/>
        <w:rPr>
          <w:lang w:val="es-ES"/>
        </w:rPr>
      </w:pPr>
      <w:r w:rsidRPr="00C72898">
        <w:rPr>
          <w:lang w:val="es-ES"/>
        </w:rPr>
        <w:t xml:space="preserve">RÉPUBLIQUE-UNIE DE TANZANIE / UNITED REPUBLIC OF TANZANIA / </w:t>
      </w:r>
      <w:r w:rsidRPr="00C72898">
        <w:rPr>
          <w:lang w:val="es-ES"/>
        </w:rPr>
        <w:br/>
        <w:t>VEREINIGTE REPUBLIK TANSANIA / REPÚBLICA UNIDA DE TANZANÍA</w:t>
      </w:r>
    </w:p>
    <w:p w14:paraId="6ACCB487" w14:textId="77777777" w:rsidR="00054E72" w:rsidRPr="0052329D" w:rsidRDefault="00054E72" w:rsidP="00054E72">
      <w:pPr>
        <w:pStyle w:val="pldetails"/>
        <w:rPr>
          <w:lang w:val="en-US"/>
        </w:rPr>
      </w:pPr>
      <w:r w:rsidRPr="0052329D">
        <w:rPr>
          <w:lang w:val="en-US"/>
        </w:rPr>
        <w:t xml:space="preserve">Twalib Mustafa NJOHOLE (Mr.), Registrar of Plant Breeders' Rights, Plant Breeders Rights' Office, Ministry of Agriculture (MoA), Dodoma </w:t>
      </w:r>
      <w:r w:rsidRPr="0052329D">
        <w:rPr>
          <w:lang w:val="en-US"/>
        </w:rPr>
        <w:br/>
        <w:t>(e-mail: twalib.njohole@kilimo.go.tz)</w:t>
      </w:r>
    </w:p>
    <w:p w14:paraId="4A3685C5" w14:textId="77777777" w:rsidR="00054E72" w:rsidRPr="0052329D" w:rsidRDefault="00054E72" w:rsidP="00054E72">
      <w:pPr>
        <w:pStyle w:val="pldetails"/>
        <w:rPr>
          <w:lang w:val="en-US"/>
        </w:rPr>
      </w:pPr>
      <w:r w:rsidRPr="0052329D">
        <w:rPr>
          <w:lang w:val="en-US"/>
        </w:rPr>
        <w:t xml:space="preserve">Dorah Herman BIVUGILE (Ms.), Research Officer, Tanzania Official Seed Certification Institute (TOSCI), Morogoro </w:t>
      </w:r>
      <w:r w:rsidRPr="0052329D">
        <w:rPr>
          <w:lang w:val="en-US"/>
        </w:rPr>
        <w:br/>
        <w:t>(e-mail: info@tosci.go.tz)</w:t>
      </w:r>
    </w:p>
    <w:p w14:paraId="28B6B19B" w14:textId="77777777" w:rsidR="00054E72" w:rsidRPr="0052329D" w:rsidRDefault="00054E72" w:rsidP="00054E72">
      <w:pPr>
        <w:pStyle w:val="pldetails"/>
        <w:rPr>
          <w:lang w:val="en-US"/>
        </w:rPr>
      </w:pPr>
      <w:r w:rsidRPr="0052329D">
        <w:rPr>
          <w:lang w:val="en-US"/>
        </w:rPr>
        <w:t xml:space="preserve">Jacqueline MBUYA MHANDO (Ms.), Principal Agricultural Officer, Ministry of Foreign Affairs and East African Cooperation, Dodoma </w:t>
      </w:r>
      <w:r w:rsidRPr="0052329D">
        <w:rPr>
          <w:lang w:val="en-US"/>
        </w:rPr>
        <w:br/>
        <w:t>(e-mail: jacqueline.mbuya@nje.go.tz)</w:t>
      </w:r>
    </w:p>
    <w:p w14:paraId="03C85563" w14:textId="77777777" w:rsidR="00054E72" w:rsidRPr="0052329D" w:rsidRDefault="00054E72" w:rsidP="00054E72">
      <w:pPr>
        <w:pStyle w:val="pldetails"/>
        <w:rPr>
          <w:lang w:val="en-US"/>
        </w:rPr>
      </w:pPr>
      <w:r w:rsidRPr="0052329D">
        <w:rPr>
          <w:lang w:val="en-US"/>
        </w:rPr>
        <w:t xml:space="preserve">Joyce Eligi MOSILE (Ms.), Agricultural Officer, Plant Breeders' Rights Office, Ministry of Agriculture (MoA), Dodoma </w:t>
      </w:r>
      <w:r w:rsidRPr="0052329D">
        <w:rPr>
          <w:lang w:val="en-US"/>
        </w:rPr>
        <w:br/>
        <w:t>(e-mail: Joyce.mosile@kilimo.go.tz)</w:t>
      </w:r>
    </w:p>
    <w:p w14:paraId="378074C8" w14:textId="77777777" w:rsidR="00054E72" w:rsidRPr="0052329D" w:rsidRDefault="00054E72" w:rsidP="00054E72">
      <w:pPr>
        <w:pStyle w:val="pldetails"/>
        <w:rPr>
          <w:lang w:val="en-US"/>
        </w:rPr>
      </w:pPr>
      <w:r w:rsidRPr="0052329D">
        <w:rPr>
          <w:lang w:val="en-US"/>
        </w:rPr>
        <w:t xml:space="preserve">Lawrence NDOSI (Mr.), Agricultural Officer, Plant Breeders' Rights Office, Ministry of Agriculture (MoA), Dodoma </w:t>
      </w:r>
      <w:r w:rsidRPr="0052329D">
        <w:rPr>
          <w:lang w:val="en-US"/>
        </w:rPr>
        <w:br/>
        <w:t>(e-mail: lawrenceyobu@gmail.com)</w:t>
      </w:r>
    </w:p>
    <w:p w14:paraId="560CF0E0" w14:textId="77777777" w:rsidR="00054E72" w:rsidRPr="0052329D" w:rsidRDefault="00054E72" w:rsidP="00054E72">
      <w:pPr>
        <w:pStyle w:val="pldetails"/>
        <w:rPr>
          <w:lang w:val="en-US"/>
        </w:rPr>
      </w:pPr>
      <w:r w:rsidRPr="0052329D">
        <w:rPr>
          <w:lang w:val="en-US"/>
        </w:rPr>
        <w:t xml:space="preserve">Kelvin Charles HERI (Mr.), Policy and Planning, Ministry of Agriculture (MoA), Dodoma </w:t>
      </w:r>
      <w:r w:rsidRPr="0052329D">
        <w:rPr>
          <w:lang w:val="en-US"/>
        </w:rPr>
        <w:br/>
        <w:t>(e-mail: kelvin.heri@kilimo.go.tz)</w:t>
      </w:r>
    </w:p>
    <w:p w14:paraId="4981A182" w14:textId="77777777" w:rsidR="00054E72" w:rsidRPr="0052329D" w:rsidRDefault="00054E72" w:rsidP="00054E72">
      <w:pPr>
        <w:pStyle w:val="plcountry"/>
        <w:rPr>
          <w:lang w:val="en-US"/>
        </w:rPr>
      </w:pPr>
      <w:r w:rsidRPr="0052329D">
        <w:rPr>
          <w:lang w:val="en-US"/>
        </w:rPr>
        <w:t>ROUMANIE / ROMANIA / RUMÄNIEN / RUMANIA</w:t>
      </w:r>
    </w:p>
    <w:p w14:paraId="0D1DD3CB" w14:textId="77777777" w:rsidR="00054E72" w:rsidRPr="0052329D" w:rsidRDefault="00054E72" w:rsidP="00054E72">
      <w:pPr>
        <w:pStyle w:val="pldetails"/>
        <w:rPr>
          <w:lang w:val="en-US"/>
        </w:rPr>
      </w:pPr>
      <w:r w:rsidRPr="0052329D">
        <w:rPr>
          <w:lang w:val="en-US"/>
        </w:rPr>
        <w:t>Teodor Dan ENESCU (Mr.), Counsellor, State Institute for Variety Testing and Registration (ISTIS), Bucarest</w:t>
      </w:r>
      <w:r w:rsidRPr="0052329D">
        <w:rPr>
          <w:lang w:val="en-US"/>
        </w:rPr>
        <w:br/>
        <w:t>(e-mail: enescu_teodor@istis.ro)</w:t>
      </w:r>
    </w:p>
    <w:p w14:paraId="4C52C4DF" w14:textId="77777777" w:rsidR="00054E72" w:rsidRPr="0052329D" w:rsidRDefault="00054E72" w:rsidP="00054E72">
      <w:pPr>
        <w:pStyle w:val="plcountry"/>
        <w:rPr>
          <w:lang w:val="en-US"/>
        </w:rPr>
      </w:pPr>
      <w:r w:rsidRPr="0052329D">
        <w:rPr>
          <w:lang w:val="en-US"/>
        </w:rPr>
        <w:t>ROYAUME-UNI / UNITED KINGDOM / VEREINIGTES KÖNIGREICH / REINO UNIDO</w:t>
      </w:r>
    </w:p>
    <w:p w14:paraId="1E578CB6" w14:textId="77777777" w:rsidR="00054E72" w:rsidRPr="0052329D" w:rsidRDefault="00054E72" w:rsidP="00054E72">
      <w:pPr>
        <w:pStyle w:val="pldetails"/>
        <w:rPr>
          <w:lang w:val="en-US"/>
        </w:rPr>
      </w:pPr>
      <w:r w:rsidRPr="0052329D">
        <w:rPr>
          <w:lang w:val="en-US"/>
        </w:rPr>
        <w:t xml:space="preserve">Michael BROWN (Mr.), Head of Plant Variety and Seeds (PVS), Animal and Plant Health Agency (APHA), Cambridge </w:t>
      </w:r>
      <w:r w:rsidRPr="0052329D">
        <w:rPr>
          <w:lang w:val="en-US"/>
        </w:rPr>
        <w:br/>
        <w:t>(e-mail: Michael.Brown@apha.gov.uk)</w:t>
      </w:r>
    </w:p>
    <w:p w14:paraId="1FBDD299" w14:textId="77777777" w:rsidR="00054E72" w:rsidRPr="0052329D" w:rsidRDefault="00054E72" w:rsidP="00054E72">
      <w:pPr>
        <w:pStyle w:val="pldetails"/>
        <w:rPr>
          <w:lang w:val="en-US"/>
        </w:rPr>
      </w:pPr>
      <w:r w:rsidRPr="0052329D">
        <w:rPr>
          <w:lang w:val="en-US"/>
        </w:rPr>
        <w:t xml:space="preserve">Sigurd RAMANS-HARBOROUGH (Mr.), Delivery Manager for United Kingdom Plant Breeders' Rights and National Listing, Plant Varieties and Seeds, Animal and Plant Health Agency (APHA), Cambridge </w:t>
      </w:r>
      <w:r w:rsidRPr="0052329D">
        <w:rPr>
          <w:lang w:val="en-US"/>
        </w:rPr>
        <w:br/>
        <w:t>(e-mail: Sigurd.Ramans-Harborough@defra.gov.uk)</w:t>
      </w:r>
    </w:p>
    <w:p w14:paraId="5044FF10" w14:textId="77777777" w:rsidR="00054E72" w:rsidRPr="0052329D" w:rsidRDefault="00054E72" w:rsidP="00054E72">
      <w:pPr>
        <w:pStyle w:val="pldetails"/>
        <w:rPr>
          <w:lang w:val="en-US"/>
        </w:rPr>
      </w:pPr>
      <w:r w:rsidRPr="0052329D">
        <w:rPr>
          <w:lang w:val="en-US"/>
        </w:rPr>
        <w:t xml:space="preserve">Lesley MCCARTHY (Ms.), Variety Testing Manager, SASA, Edinburgh </w:t>
      </w:r>
      <w:r w:rsidRPr="0052329D">
        <w:rPr>
          <w:lang w:val="en-US"/>
        </w:rPr>
        <w:br/>
        <w:t>(e-mail: lesley.mccarthy@sasa.gov.scot)</w:t>
      </w:r>
    </w:p>
    <w:p w14:paraId="01F9ED98" w14:textId="77777777" w:rsidR="00054E72" w:rsidRPr="0052329D" w:rsidRDefault="00054E72" w:rsidP="00054E72">
      <w:pPr>
        <w:pStyle w:val="plcountry"/>
        <w:rPr>
          <w:lang w:val="en-US"/>
        </w:rPr>
      </w:pPr>
      <w:r w:rsidRPr="0052329D">
        <w:rPr>
          <w:lang w:val="en-US"/>
        </w:rPr>
        <w:t>SERBIE / SERBIA / SERBIEN / SERBIA</w:t>
      </w:r>
    </w:p>
    <w:p w14:paraId="6C1C9F75" w14:textId="77777777" w:rsidR="00054E72" w:rsidRPr="0052329D" w:rsidRDefault="00054E72" w:rsidP="00054E72">
      <w:pPr>
        <w:pStyle w:val="pldetails"/>
        <w:rPr>
          <w:lang w:val="en-US"/>
        </w:rPr>
      </w:pPr>
      <w:r w:rsidRPr="0052329D">
        <w:rPr>
          <w:lang w:val="en-US"/>
        </w:rPr>
        <w:t xml:space="preserve">Gordana LONCAR (Ms.), Senior Adviser for Plant Variety protection, Plant Protection Directorate, Group for Plant Variety Protection and Biosafety, Ministry of Agriculture, Forestry and Water Management, Belgrade </w:t>
      </w:r>
      <w:r w:rsidRPr="0052329D">
        <w:rPr>
          <w:lang w:val="en-US"/>
        </w:rPr>
        <w:br/>
        <w:t>(e-mail: gordana.loncar@minpolj.gov.rs)</w:t>
      </w:r>
    </w:p>
    <w:p w14:paraId="211E3109" w14:textId="77777777" w:rsidR="00054E72" w:rsidRPr="0052329D" w:rsidRDefault="00054E72" w:rsidP="00054E72">
      <w:pPr>
        <w:pStyle w:val="plcountry"/>
        <w:rPr>
          <w:lang w:val="en-US"/>
        </w:rPr>
      </w:pPr>
      <w:r w:rsidRPr="0052329D">
        <w:rPr>
          <w:lang w:val="en-US"/>
        </w:rPr>
        <w:t>SLOVAQUIE / SLOVAKIA / SLOWAKEI / ESLOVAQUIA</w:t>
      </w:r>
    </w:p>
    <w:p w14:paraId="1E4BF579" w14:textId="77777777" w:rsidR="00054E72" w:rsidRPr="0052329D" w:rsidRDefault="00054E72" w:rsidP="00054E72">
      <w:pPr>
        <w:pStyle w:val="pldetails"/>
        <w:rPr>
          <w:lang w:val="en-US"/>
        </w:rPr>
      </w:pPr>
      <w:r w:rsidRPr="0052329D">
        <w:rPr>
          <w:lang w:val="en-US"/>
        </w:rPr>
        <w:t xml:space="preserve">Ľubomir BASTA (Mr.), National Coordinator for the Cooperation of the Slovak Republic with UPOV, Head of DUS testing, Department of Variety Testing, Central Control and Testing Institute in Agriculture (ÚKSÚP), Bratislava </w:t>
      </w:r>
      <w:r w:rsidRPr="0052329D">
        <w:rPr>
          <w:lang w:val="en-US"/>
        </w:rPr>
        <w:br/>
        <w:t>(e-mail: lubomir.basta@uksup.sk)</w:t>
      </w:r>
    </w:p>
    <w:p w14:paraId="6314D635" w14:textId="77777777" w:rsidR="00054E72" w:rsidRPr="0052329D" w:rsidRDefault="00054E72" w:rsidP="00054E72">
      <w:pPr>
        <w:pStyle w:val="plcountry"/>
        <w:rPr>
          <w:lang w:val="en-US"/>
        </w:rPr>
      </w:pPr>
      <w:r w:rsidRPr="0052329D">
        <w:rPr>
          <w:lang w:val="en-US"/>
        </w:rPr>
        <w:t>SLOVÉNIE / SLOVENIA / SLOWENIEN / ESLOVENIA</w:t>
      </w:r>
    </w:p>
    <w:p w14:paraId="316A9263" w14:textId="77777777" w:rsidR="00054E72" w:rsidRPr="0052329D" w:rsidRDefault="00054E72" w:rsidP="00054E72">
      <w:pPr>
        <w:pStyle w:val="pldetails"/>
        <w:rPr>
          <w:lang w:val="en-US"/>
        </w:rPr>
      </w:pPr>
      <w:r w:rsidRPr="0052329D">
        <w:rPr>
          <w:lang w:val="en-US"/>
        </w:rPr>
        <w:t xml:space="preserve">Joži JERMAN CVELBAR (Ms.), Secretary, Agriculture Directorate, Ministry of Agriculture, Forestry and Food (MAFF), Ljubljana </w:t>
      </w:r>
      <w:r w:rsidRPr="0052329D">
        <w:rPr>
          <w:lang w:val="en-US"/>
        </w:rPr>
        <w:br/>
        <w:t>(e-mail: jozi.cvelbar@gov.si)</w:t>
      </w:r>
    </w:p>
    <w:p w14:paraId="607E9F5A" w14:textId="77777777" w:rsidR="00054E72" w:rsidRPr="0052329D" w:rsidRDefault="00054E72" w:rsidP="00054E72">
      <w:pPr>
        <w:pStyle w:val="pldetails"/>
        <w:rPr>
          <w:lang w:val="en-US"/>
        </w:rPr>
      </w:pPr>
      <w:r w:rsidRPr="0052329D">
        <w:rPr>
          <w:lang w:val="en-US"/>
        </w:rPr>
        <w:t xml:space="preserve">Jože ILERŠIČ (Mr.), Under Secretary, Agriculture Directorate, Ministry of Agriculture, Forestry and Food (MAFF), Ljubljana </w:t>
      </w:r>
      <w:r w:rsidRPr="0052329D">
        <w:rPr>
          <w:lang w:val="en-US"/>
        </w:rPr>
        <w:br/>
        <w:t>(e-mail: joze.ilersic@gov.si)</w:t>
      </w:r>
    </w:p>
    <w:p w14:paraId="74B43328" w14:textId="77777777" w:rsidR="00054E72" w:rsidRPr="0052329D" w:rsidRDefault="00054E72" w:rsidP="00054E72">
      <w:pPr>
        <w:pStyle w:val="pldetails"/>
        <w:rPr>
          <w:lang w:val="en-US"/>
        </w:rPr>
      </w:pPr>
      <w:r w:rsidRPr="0052329D">
        <w:rPr>
          <w:lang w:val="en-US"/>
        </w:rPr>
        <w:t>Sasa VUKSANOVIC (Mr.), Senior advisor, Ministry of Agriculture, Forestry and Food (MAFF), Ljubljana</w:t>
      </w:r>
      <w:r w:rsidRPr="0052329D">
        <w:rPr>
          <w:lang w:val="en-US"/>
        </w:rPr>
        <w:br/>
        <w:t>(e-mail: Sasa.Vuksanovic@gov.si)</w:t>
      </w:r>
    </w:p>
    <w:p w14:paraId="401B8236" w14:textId="77777777" w:rsidR="00054E72" w:rsidRPr="0052329D" w:rsidRDefault="00054E72" w:rsidP="00054E72">
      <w:pPr>
        <w:pStyle w:val="pldetails"/>
        <w:rPr>
          <w:lang w:val="en-US"/>
        </w:rPr>
      </w:pPr>
      <w:r w:rsidRPr="0052329D">
        <w:rPr>
          <w:lang w:val="en-US"/>
        </w:rPr>
        <w:t xml:space="preserve">Volker WACHTLER (Mr.), Political Administrator, General Secretariat, Council of the European Union, Brussels </w:t>
      </w:r>
      <w:r w:rsidRPr="0052329D">
        <w:rPr>
          <w:lang w:val="en-US"/>
        </w:rPr>
        <w:br/>
        <w:t>(e-mail: volker.wachtler@consilium.europa.eu)</w:t>
      </w:r>
    </w:p>
    <w:p w14:paraId="7A5F350B" w14:textId="77777777" w:rsidR="00054E72" w:rsidRPr="0052329D" w:rsidRDefault="00054E72" w:rsidP="00054E72">
      <w:pPr>
        <w:pStyle w:val="plcountry"/>
        <w:rPr>
          <w:lang w:val="en-US"/>
        </w:rPr>
      </w:pPr>
      <w:r w:rsidRPr="0052329D">
        <w:rPr>
          <w:lang w:val="en-US"/>
        </w:rPr>
        <w:t>SUISSE / SWITZERLAND / SCHWEIZ / SUIZA</w:t>
      </w:r>
    </w:p>
    <w:p w14:paraId="3182E8A0" w14:textId="77777777" w:rsidR="00054E72" w:rsidRPr="0052329D" w:rsidRDefault="00054E72" w:rsidP="00054E72">
      <w:pPr>
        <w:pStyle w:val="pldetails"/>
        <w:rPr>
          <w:lang w:val="en-US"/>
        </w:rPr>
      </w:pPr>
      <w:r w:rsidRPr="0052329D">
        <w:rPr>
          <w:lang w:val="en-US"/>
        </w:rPr>
        <w:t xml:space="preserve">Manuela BRAND (Ms.), Plant Variety Rights Office, Plant Health and Varieties, Office fédéral de l'agriculture (OFAG), Bern </w:t>
      </w:r>
      <w:r w:rsidRPr="0052329D">
        <w:rPr>
          <w:lang w:val="en-US"/>
        </w:rPr>
        <w:br/>
        <w:t>(e-mail: manuela.brand@blw.admin.ch)</w:t>
      </w:r>
    </w:p>
    <w:p w14:paraId="0622FEE5" w14:textId="77777777" w:rsidR="00054E72" w:rsidRPr="0052329D" w:rsidRDefault="00054E72" w:rsidP="00054E72">
      <w:pPr>
        <w:pStyle w:val="plcountry"/>
        <w:rPr>
          <w:lang w:val="en-US"/>
        </w:rPr>
      </w:pPr>
      <w:r w:rsidRPr="0052329D">
        <w:rPr>
          <w:lang w:val="en-US"/>
        </w:rPr>
        <w:t>UKRAINE / UKRAINE / UKRAINE / UCRANIA</w:t>
      </w:r>
    </w:p>
    <w:p w14:paraId="07995696" w14:textId="77777777" w:rsidR="00054E72" w:rsidRPr="0052329D" w:rsidRDefault="00054E72" w:rsidP="00054E72">
      <w:pPr>
        <w:pStyle w:val="pldetails"/>
        <w:rPr>
          <w:lang w:val="en-US"/>
        </w:rPr>
      </w:pPr>
      <w:r w:rsidRPr="0052329D">
        <w:rPr>
          <w:lang w:val="en-US"/>
        </w:rPr>
        <w:t xml:space="preserve">Nataliya YAKUBENKO (Ms.), Head, Department of International Cooperation and Support of the UPOV Council Representative, Ukrainian Institute for Plant Variety Examination, Kyiv </w:t>
      </w:r>
      <w:r w:rsidRPr="0052329D">
        <w:rPr>
          <w:lang w:val="en-US"/>
        </w:rPr>
        <w:br/>
        <w:t>(e-mail: nataliya.yakubenko@gmail.com)</w:t>
      </w:r>
    </w:p>
    <w:p w14:paraId="209B5F3B" w14:textId="77777777" w:rsidR="00054E72" w:rsidRPr="0052329D" w:rsidRDefault="00054E72" w:rsidP="00054E72">
      <w:pPr>
        <w:pStyle w:val="plcountry"/>
        <w:rPr>
          <w:lang w:val="en-US"/>
        </w:rPr>
      </w:pPr>
      <w:r w:rsidRPr="0052329D">
        <w:rPr>
          <w:lang w:val="en-US"/>
        </w:rPr>
        <w:t>UNION EUROPÉENNE / EUROPEAN UNION / EUROPÄISCHE UNION / UNIÓN EUROPEA</w:t>
      </w:r>
    </w:p>
    <w:p w14:paraId="03A130C1" w14:textId="77777777" w:rsidR="00054E72" w:rsidRPr="0052329D" w:rsidRDefault="00054E72" w:rsidP="00054E72">
      <w:pPr>
        <w:pStyle w:val="pldetails"/>
        <w:rPr>
          <w:lang w:val="en-US"/>
        </w:rPr>
      </w:pPr>
      <w:r w:rsidRPr="0052329D">
        <w:rPr>
          <w:lang w:val="en-US"/>
        </w:rPr>
        <w:t xml:space="preserve">Jože ILERŠIČ (Mr.), Under Secretary, Agriculture Directorate, Ministry of Agriculture, Forestry and Food (MAFF), Ljubljana </w:t>
      </w:r>
      <w:r w:rsidRPr="0052329D">
        <w:rPr>
          <w:lang w:val="en-US"/>
        </w:rPr>
        <w:br/>
        <w:t>(e-mail: joze.ilersic@gov.si)</w:t>
      </w:r>
    </w:p>
    <w:p w14:paraId="59D8192E" w14:textId="77777777" w:rsidR="00054E72" w:rsidRPr="0052329D" w:rsidRDefault="00054E72" w:rsidP="00054E72">
      <w:pPr>
        <w:pStyle w:val="pldetails"/>
        <w:rPr>
          <w:lang w:val="en-US"/>
        </w:rPr>
      </w:pPr>
      <w:r w:rsidRPr="0052329D">
        <w:rPr>
          <w:lang w:val="en-US"/>
        </w:rPr>
        <w:t xml:space="preserve">Päivi MANNERKORPI (Ms.), Team Leader - Plant Reproductive Material, Unit G1 Plant Health, Directorate General for Health and Food Safety (DG SANTE), European Commission, Brussels </w:t>
      </w:r>
      <w:r w:rsidRPr="0052329D">
        <w:rPr>
          <w:lang w:val="en-US"/>
        </w:rPr>
        <w:br/>
        <w:t>(e-mail: paivi.mannerkorpi@ec.europa.eu)</w:t>
      </w:r>
    </w:p>
    <w:p w14:paraId="524AD4F9" w14:textId="77777777" w:rsidR="00054E72" w:rsidRPr="0052329D" w:rsidRDefault="00054E72" w:rsidP="00054E72">
      <w:pPr>
        <w:pStyle w:val="pldetails"/>
        <w:rPr>
          <w:lang w:val="en-US"/>
        </w:rPr>
      </w:pPr>
      <w:r w:rsidRPr="0052329D">
        <w:rPr>
          <w:lang w:val="en-US"/>
        </w:rPr>
        <w:t xml:space="preserve">Dirk THEOBALD (Mr.), Senior Adviser, Community Plant Variety Office (CPVO), Angers </w:t>
      </w:r>
      <w:r w:rsidRPr="0052329D">
        <w:rPr>
          <w:lang w:val="en-US"/>
        </w:rPr>
        <w:br/>
        <w:t>(e-mail: theobald@cpvo.europa.eu)</w:t>
      </w:r>
    </w:p>
    <w:p w14:paraId="1BD93771" w14:textId="77777777" w:rsidR="00054E72" w:rsidRPr="0052329D" w:rsidRDefault="00054E72" w:rsidP="00054E72">
      <w:pPr>
        <w:pStyle w:val="pldetails"/>
        <w:rPr>
          <w:lang w:val="en-US"/>
        </w:rPr>
      </w:pPr>
      <w:r w:rsidRPr="0052329D">
        <w:rPr>
          <w:lang w:val="en-US"/>
        </w:rPr>
        <w:t xml:space="preserve">Volker WACHTLER (Mr.), Political Administrator, General Secretariat, Council of the European Union, Brussels </w:t>
      </w:r>
      <w:r w:rsidRPr="0052329D">
        <w:rPr>
          <w:lang w:val="en-US"/>
        </w:rPr>
        <w:br/>
        <w:t>(e-mail: volker.wachtler@consilium.europa.eu)</w:t>
      </w:r>
    </w:p>
    <w:p w14:paraId="77309B80" w14:textId="77777777" w:rsidR="00054E72" w:rsidRPr="0052329D" w:rsidRDefault="00054E72" w:rsidP="00054E72">
      <w:pPr>
        <w:pStyle w:val="pldetails"/>
        <w:rPr>
          <w:lang w:val="en-US"/>
        </w:rPr>
      </w:pPr>
      <w:r w:rsidRPr="0052329D">
        <w:rPr>
          <w:lang w:val="en-US"/>
        </w:rPr>
        <w:t>Stefan HAFFKE (Mr.), Policy Officer, Directorate General for Health and Food Safety (DG SANTE), Brussels</w:t>
      </w:r>
      <w:r w:rsidRPr="0052329D">
        <w:rPr>
          <w:lang w:val="en-US"/>
        </w:rPr>
        <w:br/>
        <w:t>(e-mail: stefan.haffke@ec.europa.eu)</w:t>
      </w:r>
    </w:p>
    <w:p w14:paraId="1ECA7935" w14:textId="77777777" w:rsidR="00054E72" w:rsidRPr="0052329D" w:rsidRDefault="00054E72" w:rsidP="00054E72">
      <w:pPr>
        <w:pStyle w:val="pldetails"/>
        <w:rPr>
          <w:lang w:val="en-US"/>
        </w:rPr>
      </w:pPr>
      <w:r w:rsidRPr="0052329D">
        <w:rPr>
          <w:lang w:val="en-US"/>
        </w:rPr>
        <w:t xml:space="preserve">Jean MAISON, Deputy Head, Technical Unit, Community Plant Variety Office (CPVO), </w:t>
      </w:r>
      <w:r w:rsidRPr="0052329D">
        <w:rPr>
          <w:lang w:val="en-US"/>
        </w:rPr>
        <w:br/>
        <w:t>Angers (e-mail: maison@cpvo.europa.eu)</w:t>
      </w:r>
    </w:p>
    <w:p w14:paraId="5898BBE5" w14:textId="77777777" w:rsidR="00054E72" w:rsidRPr="0052329D" w:rsidRDefault="00054E72" w:rsidP="00054E72">
      <w:pPr>
        <w:pStyle w:val="plcountry"/>
        <w:rPr>
          <w:lang w:val="en-US"/>
        </w:rPr>
      </w:pPr>
      <w:r w:rsidRPr="0052329D">
        <w:rPr>
          <w:lang w:val="en-US"/>
        </w:rPr>
        <w:t>VIET NAM / VIET NAM / VIET NAM</w:t>
      </w:r>
    </w:p>
    <w:p w14:paraId="766D31A1" w14:textId="77777777" w:rsidR="00054E72" w:rsidRPr="0052329D" w:rsidRDefault="00054E72" w:rsidP="00054E72">
      <w:pPr>
        <w:pStyle w:val="pldetails"/>
        <w:rPr>
          <w:lang w:val="en-US"/>
        </w:rPr>
      </w:pPr>
      <w:r w:rsidRPr="0052329D">
        <w:rPr>
          <w:lang w:val="en-US"/>
        </w:rPr>
        <w:t xml:space="preserve">Thi Hoa TRAN (Ms.), Director, Plant Variety Protection Office (PVPO), Deputy Director General Department of Crop Production (DCP), Ministry of Agriculture and Rural Development (MARD), Hanoi </w:t>
      </w:r>
      <w:r w:rsidRPr="0052329D">
        <w:rPr>
          <w:lang w:val="en-US"/>
        </w:rPr>
        <w:br/>
        <w:t>(e-mail: Hoalinh85@gmail.com)</w:t>
      </w:r>
    </w:p>
    <w:p w14:paraId="5615EDD7" w14:textId="77777777" w:rsidR="00054E72" w:rsidRPr="0052329D" w:rsidRDefault="00054E72" w:rsidP="00054E72">
      <w:pPr>
        <w:pStyle w:val="pldetails"/>
        <w:rPr>
          <w:lang w:val="en-US"/>
        </w:rPr>
      </w:pPr>
      <w:r w:rsidRPr="0052329D">
        <w:rPr>
          <w:lang w:val="en-US"/>
        </w:rPr>
        <w:t xml:space="preserve">Ngoc Lam LE (Mr.), Counsellor, Permanent Mission of Viet Nam to the United Nations, the World Trade Organization and other International Organizations in Geneva, Geneva </w:t>
      </w:r>
      <w:r w:rsidRPr="0052329D">
        <w:rPr>
          <w:lang w:val="en-US"/>
        </w:rPr>
        <w:br/>
        <w:t>(e-mail: lengoclamip@gmail.com)</w:t>
      </w:r>
    </w:p>
    <w:p w14:paraId="225230CB" w14:textId="77777777" w:rsidR="00054E72" w:rsidRPr="00AC7C59" w:rsidRDefault="00054E72" w:rsidP="00054E72">
      <w:pPr>
        <w:pStyle w:val="plheading"/>
      </w:pPr>
      <w:r>
        <w:t>II. OBSERVATEURS / OBSERVERS / BEOBACHTER / OBSERVADORES</w:t>
      </w:r>
    </w:p>
    <w:p w14:paraId="46268D80" w14:textId="77777777" w:rsidR="00054E72" w:rsidRPr="00AC7C59" w:rsidRDefault="00054E72" w:rsidP="00054E72">
      <w:pPr>
        <w:pStyle w:val="plcountry"/>
      </w:pPr>
      <w:r>
        <w:t>ALGÉRIE / ALGERIA / ALGERIEN / ARGELIA</w:t>
      </w:r>
    </w:p>
    <w:p w14:paraId="500F325A" w14:textId="77777777" w:rsidR="00054E72" w:rsidRPr="0052329D" w:rsidRDefault="00054E72" w:rsidP="00054E72">
      <w:pPr>
        <w:pStyle w:val="pldetails"/>
        <w:rPr>
          <w:lang w:val="fr-FR"/>
        </w:rPr>
      </w:pPr>
      <w:r w:rsidRPr="0052329D">
        <w:rPr>
          <w:lang w:val="fr-FR"/>
        </w:rPr>
        <w:t xml:space="preserve">Nesrine GHAZI (Mme), Examinatrice des Brevets d'invention, Ministère de l'agriculture et du développement rural, Alger </w:t>
      </w:r>
      <w:r w:rsidRPr="0052329D">
        <w:rPr>
          <w:lang w:val="fr-FR"/>
        </w:rPr>
        <w:br/>
        <w:t>(e-mail: n.ghazi@inapi.org)</w:t>
      </w:r>
    </w:p>
    <w:p w14:paraId="720B9224" w14:textId="77777777" w:rsidR="00054E72" w:rsidRPr="0052329D" w:rsidRDefault="00054E72" w:rsidP="00054E72">
      <w:pPr>
        <w:pStyle w:val="pldetails"/>
        <w:rPr>
          <w:lang w:val="fr-FR"/>
        </w:rPr>
      </w:pPr>
      <w:r w:rsidRPr="0052329D">
        <w:rPr>
          <w:lang w:val="fr-FR"/>
        </w:rPr>
        <w:t xml:space="preserve">Naila BOUDISSA (Mme), Assistante technique, Ministère de l'agriculture et du développement rural, Alger </w:t>
      </w:r>
      <w:r w:rsidRPr="0052329D">
        <w:rPr>
          <w:lang w:val="fr-FR"/>
        </w:rPr>
        <w:br/>
        <w:t>(e-mail: n.boudissa@inapi.org)</w:t>
      </w:r>
    </w:p>
    <w:p w14:paraId="40F25B0D" w14:textId="77777777" w:rsidR="00054E72" w:rsidRPr="0079261C" w:rsidRDefault="00054E72" w:rsidP="00054E72">
      <w:pPr>
        <w:pStyle w:val="plcountry"/>
        <w:rPr>
          <w:lang w:val="en-US"/>
        </w:rPr>
      </w:pPr>
      <w:r w:rsidRPr="0079261C">
        <w:rPr>
          <w:lang w:val="en-US"/>
        </w:rPr>
        <w:t>KAZAKHSTAN / KAZAKHSTAN / KASACHSTAN / KAZAJSTÁN</w:t>
      </w:r>
    </w:p>
    <w:p w14:paraId="2C9BD1D3" w14:textId="77777777" w:rsidR="00054E72" w:rsidRPr="0079261C" w:rsidRDefault="00054E72" w:rsidP="00054E72">
      <w:pPr>
        <w:pStyle w:val="pldetails"/>
        <w:rPr>
          <w:lang w:val="en-US"/>
        </w:rPr>
      </w:pPr>
      <w:r w:rsidRPr="0079261C">
        <w:rPr>
          <w:lang w:val="en-US"/>
        </w:rPr>
        <w:t xml:space="preserve">Talgat AZHGALIYEV (Mr.), Chairman, State Commission for Variety Testing of Agricultural Crops (RSI), Ministry of Agriculture, Nur-Sultan </w:t>
      </w:r>
      <w:r w:rsidRPr="0079261C">
        <w:rPr>
          <w:lang w:val="en-US"/>
        </w:rPr>
        <w:br/>
        <w:t>(e-mail: office@sortcom.kz)</w:t>
      </w:r>
    </w:p>
    <w:p w14:paraId="70CD45CB" w14:textId="77777777" w:rsidR="00054E72" w:rsidRPr="0052329D" w:rsidRDefault="00054E72" w:rsidP="00054E72">
      <w:pPr>
        <w:pStyle w:val="pldetails"/>
        <w:rPr>
          <w:lang w:val="en-US"/>
        </w:rPr>
      </w:pPr>
      <w:r w:rsidRPr="0052329D">
        <w:rPr>
          <w:lang w:val="en-US"/>
        </w:rPr>
        <w:t xml:space="preserve">Ademi GABDOLA (Ms.), Specialist, State Commission for variety testing of agricultural crops, Nur-Sultan </w:t>
      </w:r>
      <w:r w:rsidRPr="0052329D">
        <w:rPr>
          <w:lang w:val="en-US"/>
        </w:rPr>
        <w:br/>
        <w:t>(e-mail: for_work_15@mail.ru)</w:t>
      </w:r>
    </w:p>
    <w:p w14:paraId="0DFB7B27" w14:textId="77777777" w:rsidR="00054E72" w:rsidRPr="0052329D" w:rsidRDefault="00054E72" w:rsidP="00054E72">
      <w:pPr>
        <w:pStyle w:val="pldetails"/>
        <w:rPr>
          <w:lang w:val="en-US"/>
        </w:rPr>
      </w:pPr>
      <w:r w:rsidRPr="0052329D">
        <w:rPr>
          <w:lang w:val="en-US"/>
        </w:rPr>
        <w:t xml:space="preserve">Gulferuz Mairambekovna SEITPENBETOVA (Ms.), Specialist, Department of Examination for Plant Variety Patentability, State Commission for Variety Testing of Agricultural Crops (RSI), Nur-Sultan </w:t>
      </w:r>
      <w:r w:rsidRPr="0052329D">
        <w:rPr>
          <w:lang w:val="en-US"/>
        </w:rPr>
        <w:br/>
        <w:t>(e-mail: office@sortcom.kz)</w:t>
      </w:r>
    </w:p>
    <w:p w14:paraId="03B04B22" w14:textId="77777777" w:rsidR="00054E72" w:rsidRPr="0052329D" w:rsidRDefault="00054E72" w:rsidP="00054E72">
      <w:pPr>
        <w:pStyle w:val="plcountry"/>
        <w:rPr>
          <w:lang w:val="en-US"/>
        </w:rPr>
      </w:pPr>
      <w:r w:rsidRPr="0052329D">
        <w:rPr>
          <w:lang w:val="en-US"/>
        </w:rPr>
        <w:t>THAÏLANDE / THAILAND / THAILAND / TAILANDIA</w:t>
      </w:r>
    </w:p>
    <w:p w14:paraId="1D3F012A" w14:textId="77777777" w:rsidR="00054E72" w:rsidRPr="0052329D" w:rsidRDefault="00054E72" w:rsidP="00054E72">
      <w:pPr>
        <w:pStyle w:val="pldetails"/>
        <w:rPr>
          <w:lang w:val="en-US"/>
        </w:rPr>
      </w:pPr>
      <w:r w:rsidRPr="0052329D">
        <w:rPr>
          <w:lang w:val="en-US"/>
        </w:rPr>
        <w:t xml:space="preserve">Kunyaporn PIPITHSANGCHAN (Ms.), Director of Genebank Research and Development Group, Biotechnology Research and Development Office, Ministry of Agriculture and Cooperatives, Rangsit </w:t>
      </w:r>
      <w:r w:rsidRPr="0052329D">
        <w:rPr>
          <w:lang w:val="en-US"/>
        </w:rPr>
        <w:br/>
        <w:t>(e-mail: kunyapithsan1@gmail.com)</w:t>
      </w:r>
    </w:p>
    <w:p w14:paraId="151C6960" w14:textId="77777777" w:rsidR="00054E72" w:rsidRPr="0052329D" w:rsidRDefault="00054E72" w:rsidP="00054E72">
      <w:pPr>
        <w:pStyle w:val="plheading"/>
        <w:rPr>
          <w:lang w:val="en-US"/>
        </w:rPr>
      </w:pPr>
      <w:r w:rsidRPr="0052329D">
        <w:rPr>
          <w:lang w:val="en-US"/>
        </w:rPr>
        <w:t>III. ORGANISATIONS / ORGANIZATIONS / ORGANISATIONEN / ORGANIZACIONES</w:t>
      </w:r>
    </w:p>
    <w:p w14:paraId="7E03356E" w14:textId="77777777" w:rsidR="00054E72" w:rsidRPr="0052329D" w:rsidRDefault="00054E72" w:rsidP="00054E72">
      <w:pPr>
        <w:pStyle w:val="plcountry"/>
        <w:rPr>
          <w:lang w:val="en-US"/>
        </w:rPr>
      </w:pPr>
      <w:r w:rsidRPr="0052329D">
        <w:rPr>
          <w:lang w:val="en-US"/>
        </w:rPr>
        <w:t>AFRICAN SEED TRADE ASSOCIATION</w:t>
      </w:r>
    </w:p>
    <w:p w14:paraId="5C25A795" w14:textId="77777777" w:rsidR="00054E72" w:rsidRPr="0052329D" w:rsidRDefault="00054E72" w:rsidP="00054E72">
      <w:pPr>
        <w:pStyle w:val="pldetails"/>
        <w:rPr>
          <w:lang w:val="en-US"/>
        </w:rPr>
      </w:pPr>
      <w:r w:rsidRPr="0052329D">
        <w:rPr>
          <w:lang w:val="en-US"/>
        </w:rPr>
        <w:t>Justin J. RAKOTOARISAONA, Secretary General, African Seed Trade Association (AFSTA), Nairobi, Kenya</w:t>
      </w:r>
      <w:r w:rsidRPr="0052329D">
        <w:rPr>
          <w:lang w:val="en-US"/>
        </w:rPr>
        <w:br/>
        <w:t>(e-mail: justin@afsta.org)</w:t>
      </w:r>
    </w:p>
    <w:p w14:paraId="2B9AEB41" w14:textId="77777777" w:rsidR="00054E72" w:rsidRPr="0052329D" w:rsidRDefault="00054E72" w:rsidP="00054E72">
      <w:pPr>
        <w:pStyle w:val="plcountry"/>
        <w:rPr>
          <w:lang w:val="en-US"/>
        </w:rPr>
      </w:pPr>
      <w:r w:rsidRPr="0052329D">
        <w:rPr>
          <w:lang w:val="en-US"/>
        </w:rPr>
        <w:t>CROPLIFE INTERNATIONAL</w:t>
      </w:r>
    </w:p>
    <w:p w14:paraId="713FD435" w14:textId="77777777" w:rsidR="00054E72" w:rsidRPr="0052329D" w:rsidRDefault="00054E72" w:rsidP="00054E72">
      <w:pPr>
        <w:pStyle w:val="pldetails"/>
        <w:rPr>
          <w:lang w:val="en-US"/>
        </w:rPr>
      </w:pPr>
      <w:r w:rsidRPr="0052329D">
        <w:rPr>
          <w:lang w:val="en-US"/>
        </w:rPr>
        <w:t>Marcel BRUINS (Mr.), Consultant, CropLife International, Bruxelles, Belgium</w:t>
      </w:r>
      <w:r w:rsidRPr="0052329D">
        <w:rPr>
          <w:lang w:val="en-US"/>
        </w:rPr>
        <w:br/>
        <w:t>(e-mail: marcel@bruinsseedconsultancy.com)</w:t>
      </w:r>
    </w:p>
    <w:p w14:paraId="38BCECEA" w14:textId="77777777" w:rsidR="00054E72" w:rsidRPr="0052329D" w:rsidRDefault="00054E72" w:rsidP="00054E72">
      <w:pPr>
        <w:pStyle w:val="plcountry"/>
        <w:rPr>
          <w:lang w:val="en-US"/>
        </w:rPr>
      </w:pPr>
      <w:r w:rsidRPr="0052329D">
        <w:rPr>
          <w:lang w:val="en-US"/>
        </w:rPr>
        <w:t>INTERNATIONAL SEED FEDERATION (ISF)</w:t>
      </w:r>
    </w:p>
    <w:p w14:paraId="42D9A9FE" w14:textId="77777777" w:rsidR="00054E72" w:rsidRPr="0052329D" w:rsidRDefault="00054E72" w:rsidP="00054E72">
      <w:pPr>
        <w:pStyle w:val="pldetails"/>
        <w:rPr>
          <w:lang w:val="en-US"/>
        </w:rPr>
      </w:pPr>
      <w:r w:rsidRPr="0052329D">
        <w:rPr>
          <w:lang w:val="en-US"/>
        </w:rPr>
        <w:t xml:space="preserve">Astrid M. SCHENKEVELD (Ms.), Specialist, Plant Breeder's Rights &amp; Variety Registration | Legal, Rijk Zwaan Zaadteelt en Zaadhandel B.V., De Lier, Netherlands </w:t>
      </w:r>
      <w:r w:rsidRPr="0052329D">
        <w:rPr>
          <w:lang w:val="en-US"/>
        </w:rPr>
        <w:br/>
        <w:t>(e-mail: a.schenkeveld@rijkzwaan.nl)</w:t>
      </w:r>
    </w:p>
    <w:p w14:paraId="335B5F13" w14:textId="77777777" w:rsidR="00054E72" w:rsidRPr="0052329D" w:rsidRDefault="00054E72" w:rsidP="00054E72">
      <w:pPr>
        <w:pStyle w:val="plcountry"/>
        <w:rPr>
          <w:lang w:val="en-US"/>
        </w:rPr>
      </w:pPr>
      <w:r w:rsidRPr="0052329D">
        <w:rPr>
          <w:lang w:val="en-US"/>
        </w:rPr>
        <w:t>EUROSEEDS</w:t>
      </w:r>
    </w:p>
    <w:p w14:paraId="535B21A9" w14:textId="77777777" w:rsidR="00054E72" w:rsidRPr="0052329D" w:rsidRDefault="00054E72" w:rsidP="00054E72">
      <w:pPr>
        <w:pStyle w:val="pldetails"/>
        <w:rPr>
          <w:lang w:val="en-US"/>
        </w:rPr>
      </w:pPr>
      <w:r w:rsidRPr="0052329D">
        <w:rPr>
          <w:lang w:val="en-US"/>
        </w:rPr>
        <w:t>Catherine Chepkurui LANG'AT (Ms.), Technical Manager Plant Breeding &amp; Variety Registration, Euroseeds, Bruxelles, Belgium</w:t>
      </w:r>
      <w:r w:rsidRPr="0052329D">
        <w:rPr>
          <w:lang w:val="en-US"/>
        </w:rPr>
        <w:br/>
        <w:t>(e-mail: catherinelangat@euroseeds.eu)</w:t>
      </w:r>
    </w:p>
    <w:p w14:paraId="6A272E5A" w14:textId="77777777" w:rsidR="00054E72" w:rsidRPr="0052329D" w:rsidRDefault="00054E72" w:rsidP="00054E72">
      <w:pPr>
        <w:pStyle w:val="plcountry"/>
        <w:rPr>
          <w:lang w:val="en-US"/>
        </w:rPr>
      </w:pPr>
      <w:r w:rsidRPr="0052329D">
        <w:rPr>
          <w:lang w:val="en-US"/>
        </w:rPr>
        <w:t xml:space="preserve">ORGANISATION RÉGIONALE AFRICAINE DE LA PROPRIÉTÉ INTELLECTUELLE (ARIPO) / </w:t>
      </w:r>
      <w:r w:rsidRPr="0052329D">
        <w:rPr>
          <w:lang w:val="en-US"/>
        </w:rPr>
        <w:br/>
        <w:t xml:space="preserve">AFRICAN REGIONAL INTELLECTUAL PROPERTY ORGANIZATION (ARIPO) / </w:t>
      </w:r>
      <w:r w:rsidRPr="0052329D">
        <w:rPr>
          <w:lang w:val="en-US"/>
        </w:rPr>
        <w:br/>
        <w:t>AFRIKANISCHE REGIONALORGANISATION FÜR GEWERBLICHES EIGENTUM (ARIPO)</w:t>
      </w:r>
      <w:r w:rsidRPr="0052329D">
        <w:rPr>
          <w:lang w:val="en-US"/>
        </w:rPr>
        <w:br/>
        <w:t>ORGANIZACIÓN REGIONAL AFRICANA DE LA PROPIEDAD INTELECTUAL (ARIPO)</w:t>
      </w:r>
    </w:p>
    <w:p w14:paraId="7C2A2A5A" w14:textId="77777777" w:rsidR="00054E72" w:rsidRPr="0052329D" w:rsidRDefault="00054E72" w:rsidP="00054E72">
      <w:pPr>
        <w:pStyle w:val="pldetails"/>
        <w:rPr>
          <w:lang w:val="en-US"/>
        </w:rPr>
      </w:pPr>
      <w:r w:rsidRPr="0052329D">
        <w:rPr>
          <w:lang w:val="en-US"/>
        </w:rPr>
        <w:t xml:space="preserve">Flora Kokwihyukya MPANJU (Ms.), Head, Search and Substantive Examination, Harare, Zimbabwe </w:t>
      </w:r>
      <w:r w:rsidRPr="0052329D">
        <w:rPr>
          <w:lang w:val="en-US"/>
        </w:rPr>
        <w:br/>
        <w:t>(e-mail: fmpanju@aripo.org)</w:t>
      </w:r>
    </w:p>
    <w:p w14:paraId="78A7C1F7" w14:textId="77777777" w:rsidR="00054E72" w:rsidRPr="0052329D" w:rsidRDefault="00054E72" w:rsidP="00054E72">
      <w:pPr>
        <w:pStyle w:val="plcountry"/>
        <w:rPr>
          <w:lang w:val="en-US"/>
        </w:rPr>
      </w:pPr>
      <w:r w:rsidRPr="0052329D">
        <w:rPr>
          <w:lang w:val="en-US"/>
        </w:rPr>
        <w:t>SEED ASSOCIATION OF THE AMERICAS (SAA)</w:t>
      </w:r>
    </w:p>
    <w:p w14:paraId="56C929EC" w14:textId="77777777" w:rsidR="00054E72" w:rsidRPr="0052329D" w:rsidRDefault="00054E72" w:rsidP="00054E72">
      <w:pPr>
        <w:pStyle w:val="pldetails"/>
        <w:rPr>
          <w:lang w:val="en-US"/>
        </w:rPr>
      </w:pPr>
      <w:r w:rsidRPr="0052329D">
        <w:rPr>
          <w:lang w:val="en-US"/>
        </w:rPr>
        <w:t xml:space="preserve">Marymar BUTRUILLE (Ms.), Germplasm IP Scientist Lead, Bayer Crop Science, Ankeny, United States of America </w:t>
      </w:r>
      <w:r w:rsidRPr="0052329D">
        <w:rPr>
          <w:lang w:val="en-US"/>
        </w:rPr>
        <w:br/>
        <w:t>(e-mail: marymar.butruille@bayer.com)</w:t>
      </w:r>
    </w:p>
    <w:p w14:paraId="7E5A330C" w14:textId="77777777" w:rsidR="00054E72" w:rsidRPr="0052329D" w:rsidRDefault="00054E72" w:rsidP="00054E72">
      <w:pPr>
        <w:pStyle w:val="plheading"/>
        <w:rPr>
          <w:rFonts w:cs="Arial"/>
          <w:lang w:val="en-US"/>
        </w:rPr>
      </w:pPr>
      <w:r w:rsidRPr="0052329D">
        <w:rPr>
          <w:lang w:val="en-US"/>
        </w:rPr>
        <w:t>IV. BUREAU / OFFICER / VORSITZ / OFICINA</w:t>
      </w:r>
    </w:p>
    <w:p w14:paraId="65655E46" w14:textId="77777777" w:rsidR="00054E72" w:rsidRPr="0052329D" w:rsidRDefault="00054E72" w:rsidP="00054E72">
      <w:pPr>
        <w:pStyle w:val="pldetails"/>
        <w:rPr>
          <w:lang w:val="en-US"/>
        </w:rPr>
      </w:pPr>
      <w:r w:rsidRPr="0052329D">
        <w:rPr>
          <w:lang w:val="en-US"/>
        </w:rPr>
        <w:t>Nik HULSE (Mr.), Chair</w:t>
      </w:r>
    </w:p>
    <w:p w14:paraId="7CDE9AA3" w14:textId="77777777" w:rsidR="00054E72" w:rsidRPr="0052329D" w:rsidRDefault="00054E72" w:rsidP="00054E72">
      <w:pPr>
        <w:pStyle w:val="pldetails"/>
        <w:rPr>
          <w:lang w:val="en-US"/>
        </w:rPr>
      </w:pPr>
      <w:r w:rsidRPr="0052329D">
        <w:rPr>
          <w:lang w:val="en-US"/>
        </w:rPr>
        <w:t>Beate RÜCKER (Ms.), Vice-Chair</w:t>
      </w:r>
    </w:p>
    <w:p w14:paraId="02DF5F0C" w14:textId="77777777" w:rsidR="00054E72" w:rsidRPr="0052329D" w:rsidRDefault="00054E72" w:rsidP="00054E72">
      <w:pPr>
        <w:pStyle w:val="plheading"/>
        <w:keepLines/>
        <w:rPr>
          <w:rFonts w:cs="Arial"/>
          <w:lang w:val="en-US"/>
        </w:rPr>
      </w:pPr>
      <w:r w:rsidRPr="0052329D">
        <w:rPr>
          <w:lang w:val="en-US"/>
        </w:rPr>
        <w:t>V. BUREAU DE L’UPOV / OFFICE OF UPOV / BÜRO DER UPOV / OFICINA DE LA UPOV</w:t>
      </w:r>
    </w:p>
    <w:p w14:paraId="4E4DFE57" w14:textId="77777777" w:rsidR="00054E72" w:rsidRPr="0052329D" w:rsidRDefault="00054E72" w:rsidP="00054E72">
      <w:pPr>
        <w:pStyle w:val="pldetails"/>
        <w:keepNext/>
        <w:rPr>
          <w:lang w:val="en-US"/>
        </w:rPr>
      </w:pPr>
      <w:r w:rsidRPr="0052329D">
        <w:rPr>
          <w:lang w:val="en-US"/>
        </w:rPr>
        <w:t>Peter BUTTON (Mr.), Vice Secretary-General</w:t>
      </w:r>
    </w:p>
    <w:p w14:paraId="2123252E" w14:textId="77777777" w:rsidR="00054E72" w:rsidRPr="0052329D" w:rsidRDefault="00054E72" w:rsidP="00054E72">
      <w:pPr>
        <w:pStyle w:val="pldetails"/>
        <w:keepNext/>
        <w:rPr>
          <w:lang w:val="en-US"/>
        </w:rPr>
      </w:pPr>
      <w:r w:rsidRPr="0052329D">
        <w:rPr>
          <w:lang w:val="en-US"/>
        </w:rPr>
        <w:t>Yolanda HUERTA (Ms.), Legal Counsel and Director of Training and Assistance</w:t>
      </w:r>
    </w:p>
    <w:p w14:paraId="5C560A76" w14:textId="77777777" w:rsidR="00054E72" w:rsidRPr="0052329D" w:rsidRDefault="00054E72" w:rsidP="00054E72">
      <w:pPr>
        <w:pStyle w:val="pldetails"/>
        <w:keepNext/>
        <w:rPr>
          <w:lang w:val="en-US"/>
        </w:rPr>
      </w:pPr>
      <w:r w:rsidRPr="0052329D">
        <w:rPr>
          <w:lang w:val="en-US"/>
        </w:rPr>
        <w:t>Ben RIVOIRE (Mr.), Head of Seed Sector Cooperation and Regional Development (Africa, Arab Countries)</w:t>
      </w:r>
    </w:p>
    <w:p w14:paraId="6BDC25E9" w14:textId="77777777" w:rsidR="00054E72" w:rsidRPr="0052329D" w:rsidRDefault="00054E72" w:rsidP="00054E72">
      <w:pPr>
        <w:pStyle w:val="pldetails"/>
        <w:rPr>
          <w:lang w:val="en-US"/>
        </w:rPr>
      </w:pPr>
      <w:r w:rsidRPr="0052329D">
        <w:rPr>
          <w:lang w:val="en-US"/>
        </w:rPr>
        <w:t>Leontino TAVEIRA (Mr.), Head of Technical Affairs and Regional Development (Latin America, Caribbean)</w:t>
      </w:r>
    </w:p>
    <w:p w14:paraId="77A73BB3" w14:textId="77777777" w:rsidR="00054E72" w:rsidRPr="0052329D" w:rsidRDefault="00054E72" w:rsidP="00054E72">
      <w:pPr>
        <w:pStyle w:val="pldetails"/>
        <w:rPr>
          <w:lang w:val="en-US"/>
        </w:rPr>
      </w:pPr>
      <w:r w:rsidRPr="0052329D">
        <w:rPr>
          <w:lang w:val="en-US"/>
        </w:rPr>
        <w:t>Hend MADHOUR (Ms.), IT Officer</w:t>
      </w:r>
    </w:p>
    <w:p w14:paraId="65AA3D22" w14:textId="77777777" w:rsidR="00054E72" w:rsidRPr="0052329D" w:rsidRDefault="00054E72" w:rsidP="00054E72">
      <w:pPr>
        <w:pStyle w:val="pldetails"/>
        <w:rPr>
          <w:lang w:val="en-US"/>
        </w:rPr>
      </w:pPr>
      <w:r w:rsidRPr="0052329D">
        <w:rPr>
          <w:lang w:val="en-US"/>
        </w:rPr>
        <w:t>Manabu SUZUKI (Mr.), Technical/Regional Officer (Asia)</w:t>
      </w:r>
    </w:p>
    <w:p w14:paraId="4EF82BF9" w14:textId="77777777" w:rsidR="00054E72" w:rsidRPr="0052329D" w:rsidRDefault="00054E72" w:rsidP="00054E72">
      <w:pPr>
        <w:pStyle w:val="pldetails"/>
        <w:rPr>
          <w:lang w:val="en-US"/>
        </w:rPr>
      </w:pPr>
      <w:r w:rsidRPr="0052329D">
        <w:rPr>
          <w:lang w:val="en-US"/>
        </w:rPr>
        <w:t>Amit SHARMA (Mr.), IT Support Officer</w:t>
      </w:r>
    </w:p>
    <w:p w14:paraId="21BBDB81" w14:textId="77777777" w:rsidR="00054E72" w:rsidRPr="0052329D" w:rsidRDefault="00054E72" w:rsidP="00054E72">
      <w:pPr>
        <w:pStyle w:val="pldetails"/>
        <w:rPr>
          <w:lang w:val="en-US"/>
        </w:rPr>
      </w:pPr>
      <w:r w:rsidRPr="0052329D">
        <w:rPr>
          <w:lang w:val="en-US"/>
        </w:rPr>
        <w:t>Ariane BESSE (Ms.), Administrative Assistant</w:t>
      </w:r>
    </w:p>
    <w:p w14:paraId="3EE0BADB" w14:textId="77777777" w:rsidR="00054E72" w:rsidRPr="0052329D" w:rsidRDefault="00054E72" w:rsidP="00054E72">
      <w:pPr>
        <w:pStyle w:val="pldetails"/>
        <w:rPr>
          <w:lang w:val="en-US"/>
        </w:rPr>
      </w:pPr>
      <w:r w:rsidRPr="0052329D">
        <w:rPr>
          <w:lang w:val="en-US"/>
        </w:rPr>
        <w:t>Romy OERTEL (Ms.), Secretary I</w:t>
      </w:r>
    </w:p>
    <w:p w14:paraId="4E6D38FA" w14:textId="77777777" w:rsidR="00A8047D" w:rsidRPr="0052329D" w:rsidRDefault="00A8047D" w:rsidP="009B440E">
      <w:pPr>
        <w:jc w:val="left"/>
        <w:rPr>
          <w:lang w:val="en-US"/>
        </w:rPr>
      </w:pPr>
    </w:p>
    <w:p w14:paraId="4F2FAB5B" w14:textId="77777777" w:rsidR="00054E72" w:rsidRPr="0052329D" w:rsidRDefault="00054E72" w:rsidP="009B440E">
      <w:pPr>
        <w:jc w:val="left"/>
        <w:rPr>
          <w:lang w:val="en-US"/>
        </w:rPr>
      </w:pPr>
    </w:p>
    <w:p w14:paraId="72CDA868" w14:textId="77777777" w:rsidR="00054E72" w:rsidRPr="0052329D" w:rsidRDefault="00054E72" w:rsidP="009B440E">
      <w:pPr>
        <w:jc w:val="left"/>
        <w:rPr>
          <w:lang w:val="en-US"/>
        </w:rPr>
      </w:pPr>
    </w:p>
    <w:p w14:paraId="56C2A2A1" w14:textId="77777777" w:rsidR="00A8047D" w:rsidRDefault="00A8047D" w:rsidP="00A8047D">
      <w:pPr>
        <w:jc w:val="right"/>
      </w:pPr>
      <w:r>
        <w:t>[Anlage II folgt]</w:t>
      </w:r>
    </w:p>
    <w:p w14:paraId="03E5D648" w14:textId="77777777" w:rsidR="00A8047D" w:rsidRDefault="00A8047D" w:rsidP="00A8047D">
      <w:pPr>
        <w:jc w:val="left"/>
        <w:sectPr w:rsidR="00A8047D" w:rsidSect="0004198B">
          <w:headerReference w:type="default" r:id="rId10"/>
          <w:headerReference w:type="first" r:id="rId11"/>
          <w:pgSz w:w="11907" w:h="16840" w:code="9"/>
          <w:pgMar w:top="510" w:right="1134" w:bottom="1134" w:left="1134" w:header="510" w:footer="680" w:gutter="0"/>
          <w:pgNumType w:start="1"/>
          <w:cols w:space="720"/>
          <w:titlePg/>
        </w:sectPr>
      </w:pPr>
    </w:p>
    <w:p w14:paraId="235A28D4" w14:textId="77777777" w:rsidR="004C3F58" w:rsidRPr="004C3F58" w:rsidRDefault="004C3F58" w:rsidP="004C3F58">
      <w:pPr>
        <w:jc w:val="center"/>
        <w:rPr>
          <w:rFonts w:cs="Arial"/>
          <w:snapToGrid w:val="0"/>
        </w:rPr>
      </w:pPr>
      <w:r>
        <w:rPr>
          <w:snapToGrid w:val="0"/>
        </w:rPr>
        <w:t xml:space="preserve">ÄNDERUNGEN AN DEN ENTWÜRFEN VON PRÜFUNGSRICHTLINIEN </w:t>
      </w:r>
    </w:p>
    <w:p w14:paraId="54DD07FC" w14:textId="77777777" w:rsidR="004C3F58" w:rsidRPr="004C3F58" w:rsidRDefault="004C3F58" w:rsidP="004C3F58">
      <w:pPr>
        <w:jc w:val="center"/>
        <w:rPr>
          <w:rFonts w:cs="Arial"/>
          <w:snapToGrid w:val="0"/>
        </w:rPr>
      </w:pPr>
      <w:r>
        <w:rPr>
          <w:snapToGrid w:val="0"/>
        </w:rPr>
        <w:t>VOR IHRER ANNAHME AUF DER SIEBENUNDFÜNFZIGSTEN TAGUNG DES</w:t>
      </w:r>
    </w:p>
    <w:p w14:paraId="3E882683" w14:textId="77777777" w:rsidR="00A8047D" w:rsidRDefault="004C3F58" w:rsidP="004C3F58">
      <w:pPr>
        <w:jc w:val="center"/>
        <w:rPr>
          <w:rFonts w:cs="Arial"/>
          <w:snapToGrid w:val="0"/>
        </w:rPr>
      </w:pPr>
      <w:r>
        <w:rPr>
          <w:snapToGrid w:val="0"/>
        </w:rPr>
        <w:t>TECHNISCHEN AUSSCHUSSES (TC)</w:t>
      </w:r>
    </w:p>
    <w:p w14:paraId="083A52E0" w14:textId="77777777" w:rsidR="00E81874" w:rsidRDefault="00E81874" w:rsidP="004C3F58">
      <w:pPr>
        <w:jc w:val="center"/>
        <w:rPr>
          <w:rFonts w:cs="Arial"/>
          <w:snapToGrid w:val="0"/>
        </w:rPr>
      </w:pPr>
    </w:p>
    <w:p w14:paraId="408A0257" w14:textId="77777777" w:rsidR="00E81874" w:rsidRDefault="00E81874" w:rsidP="00E81874">
      <w:pPr>
        <w:pStyle w:val="Heading2"/>
      </w:pPr>
      <w:r>
        <w:t>Teilüberarbeitungen</w:t>
      </w:r>
    </w:p>
    <w:p w14:paraId="09888878" w14:textId="77777777" w:rsidR="00E81874" w:rsidRDefault="00E81874" w:rsidP="00E81874"/>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E81874" w:rsidRPr="008A73B8" w14:paraId="435F83FF" w14:textId="77777777" w:rsidTr="00C07756">
        <w:trPr>
          <w:cantSplit/>
          <w:jc w:val="center"/>
        </w:trPr>
        <w:tc>
          <w:tcPr>
            <w:tcW w:w="9670" w:type="dxa"/>
            <w:shd w:val="clear" w:color="auto" w:fill="D9D9D9"/>
            <w:vAlign w:val="center"/>
          </w:tcPr>
          <w:p w14:paraId="55E8144C" w14:textId="77777777" w:rsidR="00E81874" w:rsidRPr="008A73B8" w:rsidRDefault="00E81874" w:rsidP="00C07756">
            <w:pPr>
              <w:pStyle w:val="BodyText"/>
              <w:keepNext/>
              <w:tabs>
                <w:tab w:val="left" w:pos="1849"/>
              </w:tabs>
              <w:ind w:left="1803" w:hanging="1803"/>
              <w:jc w:val="left"/>
              <w:rPr>
                <w:rFonts w:cs="Arial"/>
                <w:b/>
                <w:iCs/>
              </w:rPr>
            </w:pPr>
            <w:r>
              <w:rPr>
                <w:b/>
              </w:rPr>
              <w:t>TC/57/15</w:t>
            </w:r>
            <w:r>
              <w:rPr>
                <w:b/>
              </w:rPr>
              <w:tab/>
              <w:t>Teilüberarbeitung der Prüfungsrichtlinien für Rauke</w:t>
            </w:r>
          </w:p>
        </w:tc>
      </w:tr>
    </w:tbl>
    <w:p w14:paraId="4257A60D" w14:textId="77777777" w:rsidR="00E81874" w:rsidRDefault="00E81874" w:rsidP="00E81874">
      <w:pPr>
        <w:keepNext/>
        <w:jc w:val="left"/>
      </w:pPr>
    </w:p>
    <w:p w14:paraId="378A2773" w14:textId="77777777" w:rsidR="00E81874" w:rsidRPr="008A73B8" w:rsidRDefault="00E81874" w:rsidP="00E81874">
      <w:pPr>
        <w:autoSpaceDE w:val="0"/>
        <w:autoSpaceDN w:val="0"/>
        <w:adjustRightInd w:val="0"/>
        <w:ind w:firstLine="567"/>
        <w:rPr>
          <w:rFonts w:cs="Arial"/>
          <w:b/>
          <w:bCs/>
          <w:snapToGrid w:val="0"/>
          <w:color w:val="000000"/>
        </w:rPr>
      </w:pPr>
      <w:r>
        <w:t>Der TC-EDC prüfte auf seiner am 12. und 13. Oktober 2021 auf elektronischem Wege abgehaltenen Tagung das Dokument TC/57/15 und vereinbarte, dass die Teilüberarbeitung der Prüfungsrichtlinien für Rauke dem TC zur Annahme vorzulegen sei.</w:t>
      </w:r>
    </w:p>
    <w:p w14:paraId="4A1841BD" w14:textId="77777777" w:rsidR="00E81874" w:rsidRDefault="00E81874" w:rsidP="00E81874">
      <w:pPr>
        <w:jc w:val="left"/>
      </w:pPr>
    </w:p>
    <w:p w14:paraId="1F9EDD22" w14:textId="77777777" w:rsidR="00E81874" w:rsidRDefault="00E81874" w:rsidP="00E81874"/>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E81874" w:rsidRPr="008A73B8" w14:paraId="16D4A1BB" w14:textId="77777777" w:rsidTr="00C07756">
        <w:trPr>
          <w:cantSplit/>
          <w:jc w:val="center"/>
        </w:trPr>
        <w:tc>
          <w:tcPr>
            <w:tcW w:w="9670" w:type="dxa"/>
            <w:shd w:val="clear" w:color="auto" w:fill="D9D9D9"/>
            <w:vAlign w:val="center"/>
          </w:tcPr>
          <w:p w14:paraId="2C96234A" w14:textId="77777777" w:rsidR="00E81874" w:rsidRPr="008A73B8" w:rsidRDefault="00E81874" w:rsidP="00C07756">
            <w:pPr>
              <w:pStyle w:val="BodyText"/>
              <w:keepNext/>
              <w:tabs>
                <w:tab w:val="left" w:pos="1849"/>
              </w:tabs>
              <w:ind w:left="1803" w:hanging="1803"/>
              <w:jc w:val="left"/>
              <w:rPr>
                <w:rFonts w:cs="Arial"/>
                <w:b/>
                <w:iCs/>
              </w:rPr>
            </w:pPr>
            <w:r>
              <w:rPr>
                <w:b/>
              </w:rPr>
              <w:t>TC/57/16</w:t>
            </w:r>
            <w:r>
              <w:rPr>
                <w:b/>
              </w:rPr>
              <w:tab/>
              <w:t>Teilüberarbeitung der Prüfungsrichtlinien für Wilde Rauke</w:t>
            </w:r>
          </w:p>
        </w:tc>
      </w:tr>
    </w:tbl>
    <w:p w14:paraId="764D4039" w14:textId="77777777" w:rsidR="00E81874" w:rsidRDefault="00E81874" w:rsidP="00E81874"/>
    <w:p w14:paraId="0CA5BAE1" w14:textId="77777777" w:rsidR="00E81874" w:rsidRPr="008A73B8" w:rsidRDefault="00E81874" w:rsidP="00E81874">
      <w:pPr>
        <w:autoSpaceDE w:val="0"/>
        <w:autoSpaceDN w:val="0"/>
        <w:adjustRightInd w:val="0"/>
        <w:ind w:firstLine="567"/>
        <w:rPr>
          <w:rFonts w:cs="Arial"/>
          <w:b/>
          <w:bCs/>
          <w:snapToGrid w:val="0"/>
          <w:color w:val="000000"/>
        </w:rPr>
      </w:pPr>
      <w:r>
        <w:t>Der TC-EDC prüfte auf seiner am 12. und 13. Oktober 2021 auf elektronischem Wege abgehaltenen Tagung das Dokument TC/57/16 und vereinbarte, dass die Teilüberarbeitung der Prüfungsrichtlinien für Wilde Rauke dem TC zur Annahme vorzulegen sei.</w:t>
      </w:r>
    </w:p>
    <w:p w14:paraId="4CFEFA11" w14:textId="77777777" w:rsidR="00E81874" w:rsidRDefault="00E81874" w:rsidP="00E81874"/>
    <w:p w14:paraId="6CCC3E15" w14:textId="77777777" w:rsidR="00E81874" w:rsidRDefault="00E81874" w:rsidP="00E81874"/>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E81874" w:rsidRPr="008A73B8" w14:paraId="4ACAFD3C" w14:textId="77777777" w:rsidTr="00C07756">
        <w:trPr>
          <w:cantSplit/>
          <w:jc w:val="center"/>
        </w:trPr>
        <w:tc>
          <w:tcPr>
            <w:tcW w:w="9670" w:type="dxa"/>
            <w:shd w:val="clear" w:color="auto" w:fill="D9D9D9"/>
            <w:vAlign w:val="center"/>
          </w:tcPr>
          <w:p w14:paraId="727698A6" w14:textId="77777777" w:rsidR="00E81874" w:rsidRPr="008A73B8" w:rsidRDefault="00E81874" w:rsidP="00C07756">
            <w:pPr>
              <w:pStyle w:val="BodyText"/>
              <w:keepNext/>
              <w:tabs>
                <w:tab w:val="left" w:pos="1849"/>
              </w:tabs>
              <w:ind w:left="1803" w:hanging="1803"/>
              <w:jc w:val="left"/>
              <w:rPr>
                <w:rFonts w:cs="Arial"/>
                <w:b/>
                <w:iCs/>
              </w:rPr>
            </w:pPr>
            <w:r>
              <w:rPr>
                <w:b/>
              </w:rPr>
              <w:t>TC/57/17</w:t>
            </w:r>
            <w:r>
              <w:rPr>
                <w:b/>
              </w:rPr>
              <w:tab/>
              <w:t>Teilüberarbeitung der Prüfungsrichtlinien für Salat</w:t>
            </w:r>
          </w:p>
        </w:tc>
      </w:tr>
    </w:tbl>
    <w:p w14:paraId="6861B40C" w14:textId="77777777" w:rsidR="00E81874" w:rsidRDefault="00E81874" w:rsidP="00E81874"/>
    <w:p w14:paraId="0745149E" w14:textId="77777777" w:rsidR="00E81874" w:rsidRPr="008D0013" w:rsidRDefault="00E81874" w:rsidP="00E81874">
      <w:pPr>
        <w:keepNext/>
        <w:ind w:firstLine="567"/>
        <w:rPr>
          <w:rFonts w:cs="Arial"/>
        </w:rPr>
      </w:pPr>
      <w:r>
        <w:t>Der TC-EDC prüfte auf seiner am 12. Und 13. Oktober 2021 auf elektronischem Wege abgehaltenen Tagung das Dokument TC/57/17 und gab die in der nachstehenden Tabelle aufgeführten Empfehlungen ab.</w:t>
      </w:r>
    </w:p>
    <w:p w14:paraId="0034A63A" w14:textId="77777777" w:rsidR="00E81874" w:rsidRPr="008D0013" w:rsidRDefault="00E81874" w:rsidP="00E81874">
      <w:pPr>
        <w:keepNext/>
        <w:autoSpaceDE w:val="0"/>
        <w:autoSpaceDN w:val="0"/>
        <w:adjustRightInd w:val="0"/>
        <w:ind w:firstLine="567"/>
        <w:rPr>
          <w:rFonts w:cs="Arial"/>
        </w:rPr>
      </w:pPr>
    </w:p>
    <w:p w14:paraId="7ED9B4B7" w14:textId="77777777" w:rsidR="00E81874" w:rsidRPr="008D0013" w:rsidRDefault="00E81874" w:rsidP="00E81874">
      <w:pPr>
        <w:autoSpaceDE w:val="0"/>
        <w:autoSpaceDN w:val="0"/>
        <w:adjustRightInd w:val="0"/>
        <w:ind w:firstLine="567"/>
        <w:rPr>
          <w:rFonts w:cs="Arial"/>
        </w:rPr>
      </w:pPr>
      <w:r>
        <w:t>Der TC-EDC vereinbarte, dass die Teilüberarbeitung der Prüfungsrichtlinien für Salat dem TC zur Annahme vorzulegen sei.</w:t>
      </w:r>
    </w:p>
    <w:p w14:paraId="00F6D2C9" w14:textId="77777777" w:rsidR="00E81874" w:rsidRDefault="00E81874" w:rsidP="00E8187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E81874" w:rsidRPr="008A73B8" w14:paraId="61B3AD18" w14:textId="77777777" w:rsidTr="00C07756">
        <w:trPr>
          <w:cantSplit/>
        </w:trPr>
        <w:tc>
          <w:tcPr>
            <w:tcW w:w="1573" w:type="dxa"/>
          </w:tcPr>
          <w:p w14:paraId="18012617" w14:textId="7A2FC4D2" w:rsidR="00E81874" w:rsidRDefault="00E81874" w:rsidP="00C07756">
            <w:r>
              <w:t xml:space="preserve">Zu 53 </w:t>
            </w:r>
            <w:r w:rsidR="00717C47">
              <w:t>(</w:t>
            </w:r>
            <w:r>
              <w:t>ii)</w:t>
            </w:r>
          </w:p>
        </w:tc>
        <w:tc>
          <w:tcPr>
            <w:tcW w:w="8208" w:type="dxa"/>
          </w:tcPr>
          <w:p w14:paraId="7F1EF541" w14:textId="77777777" w:rsidR="00E81874" w:rsidRDefault="00E81874" w:rsidP="00C07756">
            <w:r>
              <w:t>Soll lauten:</w:t>
            </w:r>
          </w:p>
        </w:tc>
      </w:tr>
    </w:tbl>
    <w:p w14:paraId="4504584C" w14:textId="77777777" w:rsidR="00E81874" w:rsidRDefault="00E81874" w:rsidP="00E81874"/>
    <w:p w14:paraId="52BC28A3" w14:textId="159EA321" w:rsidR="00E81874" w:rsidRPr="008C79E7" w:rsidRDefault="00E81874" w:rsidP="00E81874">
      <w:pPr>
        <w:jc w:val="left"/>
        <w:rPr>
          <w:szCs w:val="24"/>
        </w:rPr>
      </w:pPr>
      <w:r>
        <w:tab/>
      </w:r>
      <w:r w:rsidR="00717C47">
        <w:t>(</w:t>
      </w:r>
      <w:r>
        <w:t>ii) DNS-Marker-Test</w:t>
      </w:r>
    </w:p>
    <w:p w14:paraId="176FC491" w14:textId="77777777" w:rsidR="00E81874" w:rsidRPr="008C79E7" w:rsidRDefault="00E81874" w:rsidP="00E81874">
      <w:pPr>
        <w:jc w:val="left"/>
        <w:rPr>
          <w:rFonts w:cs="Arial"/>
        </w:rPr>
      </w:pPr>
    </w:p>
    <w:p w14:paraId="35D4AFDD" w14:textId="483574E9" w:rsidR="00E81874" w:rsidRPr="008C79E7" w:rsidRDefault="00E81874" w:rsidP="00E81874">
      <w:pPr>
        <w:widowControl w:val="0"/>
        <w:rPr>
          <w:rFonts w:cs="Arial"/>
        </w:rPr>
      </w:pPr>
      <w:r>
        <w:t xml:space="preserve">Das Gen </w:t>
      </w:r>
      <w:r>
        <w:rPr>
          <w:i/>
          <w:iCs/>
        </w:rPr>
        <w:t>mo1</w:t>
      </w:r>
      <w:r>
        <w:t xml:space="preserve"> (mit den rezessiven Allelen </w:t>
      </w:r>
      <w:r>
        <w:rPr>
          <w:i/>
          <w:iCs/>
        </w:rPr>
        <w:t>mo1</w:t>
      </w:r>
      <w:r>
        <w:rPr>
          <w:i/>
          <w:iCs/>
          <w:vertAlign w:val="superscript"/>
        </w:rPr>
        <w:t>1</w:t>
      </w:r>
      <w:r>
        <w:t xml:space="preserve"> oder </w:t>
      </w:r>
      <w:r>
        <w:rPr>
          <w:i/>
          <w:iCs/>
        </w:rPr>
        <w:t>mo1</w:t>
      </w:r>
      <w:r>
        <w:rPr>
          <w:i/>
          <w:iCs/>
          <w:vertAlign w:val="superscript"/>
        </w:rPr>
        <w:t>2</w:t>
      </w:r>
      <w:r>
        <w:t xml:space="preserve">) bewirkt Resistenz gegen LMV Pathotyp II. Die Resistenzallele </w:t>
      </w:r>
      <w:r>
        <w:rPr>
          <w:i/>
          <w:iCs/>
        </w:rPr>
        <w:t>mo1</w:t>
      </w:r>
      <w:r>
        <w:rPr>
          <w:i/>
          <w:iCs/>
          <w:vertAlign w:val="superscript"/>
        </w:rPr>
        <w:t>1</w:t>
      </w:r>
      <w:r>
        <w:t xml:space="preserve"> und </w:t>
      </w:r>
      <w:r>
        <w:rPr>
          <w:i/>
          <w:iCs/>
        </w:rPr>
        <w:t>mo1</w:t>
      </w:r>
      <w:r>
        <w:rPr>
          <w:i/>
          <w:iCs/>
          <w:vertAlign w:val="superscript"/>
        </w:rPr>
        <w:t>2</w:t>
      </w:r>
      <w:r>
        <w:t xml:space="preserve"> und das dominante Anfälligkeitsallel </w:t>
      </w:r>
      <w:r>
        <w:rPr>
          <w:i/>
        </w:rPr>
        <w:t>mo1</w:t>
      </w:r>
      <w:r>
        <w:rPr>
          <w:i/>
          <w:vertAlign w:val="superscript"/>
        </w:rPr>
        <w:t>0</w:t>
      </w:r>
      <w:r>
        <w:t xml:space="preserve"> können mit dem kodominanten Marker nachgewiesen werden, wie von V. Nicaise </w:t>
      </w:r>
      <w:r>
        <w:rPr>
          <w:i/>
          <w:iCs/>
        </w:rPr>
        <w:t>et al.</w:t>
      </w:r>
      <w:r>
        <w:t xml:space="preserve">  (2003) beschrieben. Besondere Aspekte:</w:t>
      </w:r>
    </w:p>
    <w:p w14:paraId="3B6B8C2C" w14:textId="77777777" w:rsidR="00E81874" w:rsidRPr="008C79E7" w:rsidRDefault="00E81874" w:rsidP="00E81874">
      <w:pPr>
        <w:jc w:val="left"/>
        <w:rPr>
          <w:rFonts w:cs="Arial"/>
        </w:rPr>
      </w:pPr>
    </w:p>
    <w:tbl>
      <w:tblPr>
        <w:tblW w:w="97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15"/>
        <w:gridCol w:w="73"/>
        <w:gridCol w:w="3942"/>
        <w:gridCol w:w="188"/>
        <w:gridCol w:w="216"/>
        <w:gridCol w:w="4442"/>
      </w:tblGrid>
      <w:tr w:rsidR="00E81874" w:rsidRPr="008C79E7" w14:paraId="38E68AFD" w14:textId="77777777" w:rsidTr="00C07756">
        <w:trPr>
          <w:cantSplit/>
        </w:trPr>
        <w:tc>
          <w:tcPr>
            <w:tcW w:w="915" w:type="dxa"/>
          </w:tcPr>
          <w:p w14:paraId="27ED5A7D" w14:textId="77777777" w:rsidR="00E81874" w:rsidRPr="008C79E7" w:rsidRDefault="00E81874" w:rsidP="00C07756">
            <w:pPr>
              <w:tabs>
                <w:tab w:val="left" w:leader="dot" w:pos="3720"/>
              </w:tabs>
              <w:spacing w:before="20" w:after="20"/>
              <w:ind w:left="567" w:right="-108" w:hanging="567"/>
              <w:rPr>
                <w:rFonts w:cs="Arial"/>
                <w:bCs/>
              </w:rPr>
            </w:pPr>
            <w:r>
              <w:t>1.</w:t>
            </w:r>
          </w:p>
        </w:tc>
        <w:tc>
          <w:tcPr>
            <w:tcW w:w="4419" w:type="dxa"/>
            <w:gridSpan w:val="4"/>
          </w:tcPr>
          <w:p w14:paraId="57B53378" w14:textId="77777777" w:rsidR="00E81874" w:rsidRPr="008C79E7" w:rsidRDefault="00E81874" w:rsidP="00C07756">
            <w:pPr>
              <w:tabs>
                <w:tab w:val="left" w:leader="dot" w:pos="3720"/>
              </w:tabs>
              <w:spacing w:before="20" w:after="20"/>
              <w:ind w:left="567" w:right="-108" w:hanging="567"/>
              <w:rPr>
                <w:rFonts w:cs="Arial"/>
                <w:bCs/>
              </w:rPr>
            </w:pPr>
            <w:r>
              <w:t>Pathogen</w:t>
            </w:r>
          </w:p>
        </w:tc>
        <w:tc>
          <w:tcPr>
            <w:tcW w:w="4442" w:type="dxa"/>
          </w:tcPr>
          <w:p w14:paraId="5D845610" w14:textId="77777777" w:rsidR="00E81874" w:rsidRPr="008C79E7" w:rsidRDefault="00E81874" w:rsidP="00C07756">
            <w:pPr>
              <w:widowControl w:val="0"/>
              <w:tabs>
                <w:tab w:val="left" w:pos="3969"/>
              </w:tabs>
              <w:rPr>
                <w:rFonts w:cs="Arial"/>
              </w:rPr>
            </w:pPr>
            <w:r>
              <w:rPr>
                <w:i/>
                <w:iCs/>
              </w:rPr>
              <w:t>Salatmosaikvirus</w:t>
            </w:r>
            <w:r>
              <w:t xml:space="preserve"> Pathotyp II</w:t>
            </w:r>
          </w:p>
        </w:tc>
      </w:tr>
      <w:tr w:rsidR="00E81874" w:rsidRPr="008C79E7" w14:paraId="1D47B498" w14:textId="77777777" w:rsidTr="00C07756">
        <w:trPr>
          <w:cantSplit/>
        </w:trPr>
        <w:tc>
          <w:tcPr>
            <w:tcW w:w="915" w:type="dxa"/>
          </w:tcPr>
          <w:p w14:paraId="7F6EEA51" w14:textId="77777777" w:rsidR="00E81874" w:rsidRPr="008C79E7" w:rsidRDefault="00E81874" w:rsidP="00C07756">
            <w:pPr>
              <w:tabs>
                <w:tab w:val="left" w:leader="dot" w:pos="3720"/>
              </w:tabs>
              <w:spacing w:before="20" w:after="20"/>
              <w:ind w:left="567" w:right="-108" w:hanging="567"/>
              <w:rPr>
                <w:rFonts w:cs="Arial"/>
                <w:bCs/>
              </w:rPr>
            </w:pPr>
            <w:r>
              <w:t>2.</w:t>
            </w:r>
          </w:p>
        </w:tc>
        <w:tc>
          <w:tcPr>
            <w:tcW w:w="4419" w:type="dxa"/>
            <w:gridSpan w:val="4"/>
          </w:tcPr>
          <w:p w14:paraId="5D202088" w14:textId="77777777" w:rsidR="00E81874" w:rsidRPr="008C79E7" w:rsidRDefault="00E81874" w:rsidP="00C07756">
            <w:pPr>
              <w:tabs>
                <w:tab w:val="left" w:leader="dot" w:pos="3720"/>
              </w:tabs>
              <w:spacing w:before="20" w:after="20"/>
              <w:ind w:left="567" w:right="-108" w:hanging="567"/>
              <w:rPr>
                <w:rFonts w:cs="Arial"/>
              </w:rPr>
            </w:pPr>
            <w:r>
              <w:t>Funktionales Gen</w:t>
            </w:r>
          </w:p>
        </w:tc>
        <w:tc>
          <w:tcPr>
            <w:tcW w:w="4442" w:type="dxa"/>
          </w:tcPr>
          <w:p w14:paraId="348CEC08" w14:textId="77777777" w:rsidR="00E81874" w:rsidRPr="008C79E7" w:rsidRDefault="00E81874" w:rsidP="00C07756">
            <w:pPr>
              <w:spacing w:before="20" w:after="20"/>
              <w:rPr>
                <w:rFonts w:cs="Arial"/>
              </w:rPr>
            </w:pPr>
            <w:r>
              <w:rPr>
                <w:i/>
              </w:rPr>
              <w:t>mo1</w:t>
            </w:r>
            <w:r>
              <w:t xml:space="preserve"> (mit den zwei rezessiven Resistenzallelen </w:t>
            </w:r>
            <w:r>
              <w:rPr>
                <w:i/>
              </w:rPr>
              <w:t>mo1</w:t>
            </w:r>
            <w:r>
              <w:rPr>
                <w:i/>
                <w:vertAlign w:val="superscript"/>
              </w:rPr>
              <w:t>1</w:t>
            </w:r>
            <w:r>
              <w:rPr>
                <w:vertAlign w:val="superscript"/>
              </w:rPr>
              <w:t xml:space="preserve"> </w:t>
            </w:r>
            <w:r>
              <w:t xml:space="preserve">und </w:t>
            </w:r>
            <w:r>
              <w:rPr>
                <w:i/>
              </w:rPr>
              <w:t>mo1</w:t>
            </w:r>
            <w:r>
              <w:rPr>
                <w:i/>
                <w:vertAlign w:val="superscript"/>
              </w:rPr>
              <w:t>2</w:t>
            </w:r>
            <w:r>
              <w:rPr>
                <w:vertAlign w:val="superscript"/>
              </w:rPr>
              <w:t xml:space="preserve">  </w:t>
            </w:r>
            <w:r>
              <w:t xml:space="preserve">und dem dominanten Anfälligkeitsallel </w:t>
            </w:r>
            <w:r>
              <w:rPr>
                <w:i/>
              </w:rPr>
              <w:t>mo1</w:t>
            </w:r>
            <w:r>
              <w:rPr>
                <w:i/>
                <w:vertAlign w:val="superscript"/>
              </w:rPr>
              <w:t>0</w:t>
            </w:r>
            <w:r>
              <w:t>)</w:t>
            </w:r>
          </w:p>
        </w:tc>
      </w:tr>
      <w:tr w:rsidR="00E81874" w:rsidRPr="008C79E7" w14:paraId="5211BD72" w14:textId="77777777" w:rsidTr="00C07756">
        <w:trPr>
          <w:cantSplit/>
        </w:trPr>
        <w:tc>
          <w:tcPr>
            <w:tcW w:w="915" w:type="dxa"/>
          </w:tcPr>
          <w:p w14:paraId="62E7DBD8" w14:textId="77777777" w:rsidR="00E81874" w:rsidRPr="008C79E7" w:rsidRDefault="00E81874" w:rsidP="00C07756">
            <w:pPr>
              <w:tabs>
                <w:tab w:val="left" w:leader="dot" w:pos="3720"/>
              </w:tabs>
              <w:spacing w:before="20" w:after="20"/>
              <w:rPr>
                <w:rFonts w:cs="Arial"/>
                <w:bCs/>
              </w:rPr>
            </w:pPr>
            <w:r>
              <w:t>3.</w:t>
            </w:r>
          </w:p>
        </w:tc>
        <w:tc>
          <w:tcPr>
            <w:tcW w:w="4419" w:type="dxa"/>
            <w:gridSpan w:val="4"/>
          </w:tcPr>
          <w:p w14:paraId="73E9E93F" w14:textId="77777777" w:rsidR="00E81874" w:rsidRPr="008C79E7" w:rsidRDefault="00E81874" w:rsidP="00C07756">
            <w:pPr>
              <w:tabs>
                <w:tab w:val="left" w:leader="dot" w:pos="3720"/>
              </w:tabs>
              <w:spacing w:before="20" w:after="20"/>
              <w:rPr>
                <w:rFonts w:cs="Arial"/>
                <w:bCs/>
              </w:rPr>
            </w:pPr>
            <w:r>
              <w:t xml:space="preserve">Sonden und Primer für Taqman PCR </w:t>
            </w:r>
          </w:p>
        </w:tc>
        <w:tc>
          <w:tcPr>
            <w:tcW w:w="4442" w:type="dxa"/>
          </w:tcPr>
          <w:p w14:paraId="6FA618C9" w14:textId="77777777" w:rsidR="00E81874" w:rsidRPr="008C79E7" w:rsidRDefault="00E81874" w:rsidP="00C07756">
            <w:pPr>
              <w:spacing w:before="20" w:after="20"/>
              <w:rPr>
                <w:rFonts w:cs="Arial"/>
                <w:i/>
                <w:color w:val="000000"/>
              </w:rPr>
            </w:pPr>
          </w:p>
        </w:tc>
      </w:tr>
      <w:tr w:rsidR="00E81874" w:rsidRPr="008C79E7" w14:paraId="4547DC93" w14:textId="77777777" w:rsidTr="00C07756">
        <w:trPr>
          <w:cantSplit/>
        </w:trPr>
        <w:tc>
          <w:tcPr>
            <w:tcW w:w="915" w:type="dxa"/>
          </w:tcPr>
          <w:p w14:paraId="0D9DA3F2" w14:textId="77777777" w:rsidR="00E81874" w:rsidRPr="008C79E7" w:rsidRDefault="00E81874" w:rsidP="00C07756">
            <w:pPr>
              <w:tabs>
                <w:tab w:val="left" w:leader="dot" w:pos="3720"/>
              </w:tabs>
              <w:spacing w:before="20" w:after="20"/>
              <w:rPr>
                <w:rFonts w:cs="Arial"/>
                <w:bCs/>
              </w:rPr>
            </w:pPr>
            <w:r>
              <w:t>3.1.</w:t>
            </w:r>
          </w:p>
        </w:tc>
        <w:tc>
          <w:tcPr>
            <w:tcW w:w="4419" w:type="dxa"/>
            <w:gridSpan w:val="4"/>
          </w:tcPr>
          <w:p w14:paraId="73A7331C" w14:textId="77777777" w:rsidR="00E81874" w:rsidRPr="008C79E7" w:rsidRDefault="00E81874" w:rsidP="00C07756">
            <w:pPr>
              <w:tabs>
                <w:tab w:val="left" w:leader="dot" w:pos="3720"/>
              </w:tabs>
              <w:spacing w:before="20" w:after="20"/>
              <w:rPr>
                <w:rFonts w:cs="Arial"/>
                <w:bCs/>
              </w:rPr>
            </w:pPr>
            <w:r>
              <w:t>Test 1</w:t>
            </w:r>
          </w:p>
        </w:tc>
        <w:tc>
          <w:tcPr>
            <w:tcW w:w="4442" w:type="dxa"/>
          </w:tcPr>
          <w:p w14:paraId="70609BDA" w14:textId="07B1109A" w:rsidR="00E81874" w:rsidRPr="008C79E7" w:rsidRDefault="00567009" w:rsidP="00C07756">
            <w:pPr>
              <w:spacing w:before="20" w:after="20"/>
              <w:rPr>
                <w:rFonts w:cs="Arial"/>
                <w:color w:val="000000"/>
              </w:rPr>
            </w:pPr>
            <w:r>
              <w:rPr>
                <w:iCs/>
              </w:rPr>
              <w:t xml:space="preserve">Ziel: </w:t>
            </w:r>
            <w:r w:rsidR="00E81874">
              <w:rPr>
                <w:i/>
              </w:rPr>
              <w:t>mo1</w:t>
            </w:r>
            <w:r w:rsidR="00E81874">
              <w:t xml:space="preserve">-Genotypen von </w:t>
            </w:r>
            <w:r w:rsidR="00E81874">
              <w:rPr>
                <w:i/>
              </w:rPr>
              <w:t>mo1</w:t>
            </w:r>
            <w:r w:rsidR="00E81874">
              <w:rPr>
                <w:i/>
                <w:vertAlign w:val="superscript"/>
              </w:rPr>
              <w:t>0</w:t>
            </w:r>
            <w:r w:rsidR="00E81874">
              <w:t xml:space="preserve">- und </w:t>
            </w:r>
            <w:r w:rsidR="00E81874">
              <w:rPr>
                <w:i/>
              </w:rPr>
              <w:t>mo1</w:t>
            </w:r>
            <w:r w:rsidR="00E81874">
              <w:rPr>
                <w:i/>
                <w:vertAlign w:val="superscript"/>
              </w:rPr>
              <w:t>2</w:t>
            </w:r>
            <w:r w:rsidR="00E81874">
              <w:t>-Genotypen unterscheiden (Deletion von 6 Basen an Nukleotidpositionen 344-349):</w:t>
            </w:r>
            <w:bookmarkStart w:id="72" w:name="_Hlk61612477"/>
            <w:bookmarkEnd w:id="72"/>
          </w:p>
        </w:tc>
      </w:tr>
      <w:tr w:rsidR="00E81874" w:rsidRPr="008C79E7" w14:paraId="3E9BB508" w14:textId="77777777" w:rsidTr="00C07756">
        <w:trPr>
          <w:cantSplit/>
        </w:trPr>
        <w:tc>
          <w:tcPr>
            <w:tcW w:w="9776" w:type="dxa"/>
            <w:gridSpan w:val="6"/>
          </w:tcPr>
          <w:p w14:paraId="70E5E045" w14:textId="77777777" w:rsidR="00E81874" w:rsidRDefault="00E81874" w:rsidP="00C07756"/>
          <w:tbl>
            <w:tblPr>
              <w:tblStyle w:val="TableGrid"/>
              <w:tblW w:w="7938" w:type="dxa"/>
              <w:tblInd w:w="875" w:type="dxa"/>
              <w:tblLayout w:type="fixed"/>
              <w:tblLook w:val="04A0" w:firstRow="1" w:lastRow="0" w:firstColumn="1" w:lastColumn="0" w:noHBand="0" w:noVBand="1"/>
            </w:tblPr>
            <w:tblGrid>
              <w:gridCol w:w="1376"/>
              <w:gridCol w:w="3550"/>
              <w:gridCol w:w="3012"/>
            </w:tblGrid>
            <w:tr w:rsidR="00E81874" w:rsidRPr="008C79E7" w14:paraId="6BDA800A" w14:textId="77777777" w:rsidTr="00C07756">
              <w:tc>
                <w:tcPr>
                  <w:tcW w:w="1376" w:type="dxa"/>
                </w:tcPr>
                <w:p w14:paraId="3DD9B459" w14:textId="77777777" w:rsidR="00E81874" w:rsidRPr="008C79E7" w:rsidRDefault="00E81874" w:rsidP="00C07756">
                  <w:pPr>
                    <w:jc w:val="left"/>
                    <w:rPr>
                      <w:rFonts w:cs="Arial"/>
                    </w:rPr>
                  </w:pPr>
                  <w:r>
                    <w:rPr>
                      <w:color w:val="000000" w:themeColor="text1"/>
                    </w:rPr>
                    <w:t>Sonde</w:t>
                  </w:r>
                </w:p>
              </w:tc>
              <w:tc>
                <w:tcPr>
                  <w:tcW w:w="3550" w:type="dxa"/>
                </w:tcPr>
                <w:p w14:paraId="63E888C8" w14:textId="77777777" w:rsidR="00E81874" w:rsidRPr="008C79E7" w:rsidRDefault="00E81874" w:rsidP="00C07756">
                  <w:pPr>
                    <w:jc w:val="left"/>
                    <w:rPr>
                      <w:rFonts w:cs="Arial"/>
                    </w:rPr>
                  </w:pPr>
                  <w:r>
                    <w:rPr>
                      <w:color w:val="000000" w:themeColor="text1"/>
                    </w:rPr>
                    <w:t xml:space="preserve">DNS-Sequenz </w:t>
                  </w:r>
                  <w:r>
                    <w:t>‘5-‘3</w:t>
                  </w:r>
                </w:p>
              </w:tc>
              <w:tc>
                <w:tcPr>
                  <w:tcW w:w="3012" w:type="dxa"/>
                </w:tcPr>
                <w:p w14:paraId="6AD44150" w14:textId="77777777" w:rsidR="00E81874" w:rsidRPr="008C79E7" w:rsidRDefault="00E81874" w:rsidP="00C07756">
                  <w:pPr>
                    <w:jc w:val="left"/>
                    <w:rPr>
                      <w:rFonts w:cs="Arial"/>
                    </w:rPr>
                  </w:pPr>
                  <w:r>
                    <w:rPr>
                      <w:color w:val="000000" w:themeColor="text1"/>
                    </w:rPr>
                    <w:t>Fluoreszenzfarbstoff (optional)</w:t>
                  </w:r>
                </w:p>
              </w:tc>
            </w:tr>
            <w:tr w:rsidR="00E81874" w:rsidRPr="008C79E7" w14:paraId="4E09E328" w14:textId="77777777" w:rsidTr="00C07756">
              <w:tc>
                <w:tcPr>
                  <w:tcW w:w="1376" w:type="dxa"/>
                </w:tcPr>
                <w:p w14:paraId="386EE1B7" w14:textId="77777777" w:rsidR="00E81874" w:rsidRPr="008C79E7" w:rsidRDefault="00E81874" w:rsidP="00C07756">
                  <w:pPr>
                    <w:jc w:val="left"/>
                    <w:rPr>
                      <w:rFonts w:cs="Arial"/>
                    </w:rPr>
                  </w:pPr>
                  <w:r>
                    <w:rPr>
                      <w:color w:val="000000" w:themeColor="text1"/>
                    </w:rPr>
                    <w:t>Pr-del-mo1</w:t>
                  </w:r>
                </w:p>
              </w:tc>
              <w:tc>
                <w:tcPr>
                  <w:tcW w:w="3550" w:type="dxa"/>
                </w:tcPr>
                <w:p w14:paraId="10D5FA7B" w14:textId="77777777" w:rsidR="00E81874" w:rsidRPr="008C79E7" w:rsidRDefault="00E81874" w:rsidP="00C07756">
                  <w:pPr>
                    <w:jc w:val="left"/>
                    <w:rPr>
                      <w:rFonts w:cs="Arial"/>
                    </w:rPr>
                  </w:pPr>
                  <w:r>
                    <w:rPr>
                      <w:color w:val="000000" w:themeColor="text1"/>
                    </w:rPr>
                    <w:t>GGCTCAAGGAGCTGACTTCTATTG</w:t>
                  </w:r>
                </w:p>
              </w:tc>
              <w:tc>
                <w:tcPr>
                  <w:tcW w:w="3012" w:type="dxa"/>
                </w:tcPr>
                <w:p w14:paraId="7BF701B8" w14:textId="77777777" w:rsidR="00E81874" w:rsidRPr="008C79E7" w:rsidRDefault="00E81874" w:rsidP="00C07756">
                  <w:pPr>
                    <w:jc w:val="left"/>
                    <w:rPr>
                      <w:rFonts w:cs="Arial"/>
                    </w:rPr>
                  </w:pPr>
                  <w:r>
                    <w:rPr>
                      <w:color w:val="000000" w:themeColor="text1"/>
                    </w:rPr>
                    <w:t>Texas Red (anfällig)</w:t>
                  </w:r>
                </w:p>
              </w:tc>
            </w:tr>
            <w:tr w:rsidR="00E81874" w:rsidRPr="008C79E7" w14:paraId="0CC778FA" w14:textId="77777777" w:rsidTr="00C07756">
              <w:tc>
                <w:tcPr>
                  <w:tcW w:w="1376" w:type="dxa"/>
                </w:tcPr>
                <w:p w14:paraId="6C5C6459" w14:textId="77777777" w:rsidR="00E81874" w:rsidRPr="008C79E7" w:rsidRDefault="00E81874" w:rsidP="00C07756">
                  <w:pPr>
                    <w:jc w:val="left"/>
                    <w:rPr>
                      <w:rFonts w:cs="Arial"/>
                    </w:rPr>
                  </w:pPr>
                  <w:r>
                    <w:rPr>
                      <w:color w:val="000000" w:themeColor="text1"/>
                    </w:rPr>
                    <w:t>Pr-del-mo1</w:t>
                  </w:r>
                  <w:r>
                    <w:rPr>
                      <w:color w:val="000000" w:themeColor="text1"/>
                      <w:vertAlign w:val="superscript"/>
                    </w:rPr>
                    <w:t>1</w:t>
                  </w:r>
                </w:p>
              </w:tc>
              <w:tc>
                <w:tcPr>
                  <w:tcW w:w="3550" w:type="dxa"/>
                </w:tcPr>
                <w:p w14:paraId="2F829CF9" w14:textId="77777777" w:rsidR="00E81874" w:rsidRPr="008C79E7" w:rsidRDefault="00E81874" w:rsidP="00C07756">
                  <w:pPr>
                    <w:jc w:val="left"/>
                    <w:rPr>
                      <w:rFonts w:cs="Arial"/>
                    </w:rPr>
                  </w:pPr>
                  <w:r>
                    <w:rPr>
                      <w:color w:val="000000" w:themeColor="text1"/>
                    </w:rPr>
                    <w:t>GGCTCATGACTTCTATTG</w:t>
                  </w:r>
                </w:p>
              </w:tc>
              <w:tc>
                <w:tcPr>
                  <w:tcW w:w="3012" w:type="dxa"/>
                </w:tcPr>
                <w:p w14:paraId="40CCD300" w14:textId="77777777" w:rsidR="00E81874" w:rsidRPr="008C79E7" w:rsidRDefault="00E81874" w:rsidP="00C07756">
                  <w:pPr>
                    <w:jc w:val="left"/>
                    <w:rPr>
                      <w:rFonts w:cs="Arial"/>
                    </w:rPr>
                  </w:pPr>
                  <w:r>
                    <w:rPr>
                      <w:color w:val="000000" w:themeColor="text1"/>
                    </w:rPr>
                    <w:t xml:space="preserve">6FAM-MGB (resistentes </w:t>
                  </w:r>
                  <w:r>
                    <w:rPr>
                      <w:i/>
                    </w:rPr>
                    <w:t>mo1</w:t>
                  </w:r>
                  <w:r>
                    <w:rPr>
                      <w:i/>
                      <w:vertAlign w:val="superscript"/>
                    </w:rPr>
                    <w:t>1</w:t>
                  </w:r>
                  <w:r>
                    <w:rPr>
                      <w:color w:val="000000" w:themeColor="text1"/>
                    </w:rPr>
                    <w:t>)</w:t>
                  </w:r>
                  <w:r>
                    <w:rPr>
                      <w:b/>
                      <w:color w:val="000000" w:themeColor="text1"/>
                    </w:rPr>
                    <w:t xml:space="preserve"> </w:t>
                  </w:r>
                </w:p>
              </w:tc>
            </w:tr>
          </w:tbl>
          <w:p w14:paraId="5B78B75B" w14:textId="77777777" w:rsidR="00E81874" w:rsidRPr="008C79E7" w:rsidRDefault="00E81874" w:rsidP="00C07756">
            <w:pPr>
              <w:spacing w:before="20" w:after="20"/>
              <w:jc w:val="left"/>
              <w:rPr>
                <w:rFonts w:cs="Arial"/>
              </w:rPr>
            </w:pPr>
          </w:p>
          <w:tbl>
            <w:tblPr>
              <w:tblStyle w:val="TableGrid"/>
              <w:tblW w:w="4536" w:type="dxa"/>
              <w:tblInd w:w="875" w:type="dxa"/>
              <w:tblLayout w:type="fixed"/>
              <w:tblLook w:val="04A0" w:firstRow="1" w:lastRow="0" w:firstColumn="1" w:lastColumn="0" w:noHBand="0" w:noVBand="1"/>
            </w:tblPr>
            <w:tblGrid>
              <w:gridCol w:w="1417"/>
              <w:gridCol w:w="3119"/>
            </w:tblGrid>
            <w:tr w:rsidR="00E81874" w:rsidRPr="008C79E7" w14:paraId="4A72A97B" w14:textId="77777777" w:rsidTr="00C07756">
              <w:tc>
                <w:tcPr>
                  <w:tcW w:w="1417" w:type="dxa"/>
                </w:tcPr>
                <w:p w14:paraId="411F022A" w14:textId="77777777" w:rsidR="00E81874" w:rsidRPr="008C79E7" w:rsidRDefault="00E81874" w:rsidP="00C07756">
                  <w:pPr>
                    <w:jc w:val="left"/>
                    <w:rPr>
                      <w:rFonts w:cs="Arial"/>
                    </w:rPr>
                  </w:pPr>
                  <w:r>
                    <w:t>Primer</w:t>
                  </w:r>
                </w:p>
              </w:tc>
              <w:tc>
                <w:tcPr>
                  <w:tcW w:w="3119" w:type="dxa"/>
                </w:tcPr>
                <w:p w14:paraId="5DA2D282" w14:textId="77777777" w:rsidR="00E81874" w:rsidRPr="008C79E7" w:rsidRDefault="00E81874" w:rsidP="00C07756">
                  <w:pPr>
                    <w:jc w:val="left"/>
                    <w:rPr>
                      <w:rFonts w:cs="Arial"/>
                    </w:rPr>
                  </w:pPr>
                  <w:r>
                    <w:rPr>
                      <w:color w:val="000000" w:themeColor="text1"/>
                    </w:rPr>
                    <w:t xml:space="preserve">DNS-Sequenz </w:t>
                  </w:r>
                  <w:r>
                    <w:t>‘5-‘3</w:t>
                  </w:r>
                </w:p>
              </w:tc>
            </w:tr>
            <w:tr w:rsidR="00E81874" w:rsidRPr="008C79E7" w14:paraId="08222B1F" w14:textId="77777777" w:rsidTr="00C07756">
              <w:tc>
                <w:tcPr>
                  <w:tcW w:w="1417" w:type="dxa"/>
                </w:tcPr>
                <w:p w14:paraId="2BDCAEDF" w14:textId="77777777" w:rsidR="00E81874" w:rsidRPr="008C79E7" w:rsidRDefault="00E81874" w:rsidP="00C07756">
                  <w:pPr>
                    <w:jc w:val="left"/>
                    <w:rPr>
                      <w:rFonts w:cs="Arial"/>
                    </w:rPr>
                  </w:pPr>
                  <w:r>
                    <w:rPr>
                      <w:color w:val="000000" w:themeColor="text1"/>
                    </w:rPr>
                    <w:t xml:space="preserve">Fw-del-mo1 </w:t>
                  </w:r>
                </w:p>
              </w:tc>
              <w:tc>
                <w:tcPr>
                  <w:tcW w:w="3119" w:type="dxa"/>
                </w:tcPr>
                <w:p w14:paraId="4C2D7D06" w14:textId="77777777" w:rsidR="00E81874" w:rsidRPr="008C79E7" w:rsidRDefault="00E81874" w:rsidP="00C07756">
                  <w:pPr>
                    <w:jc w:val="left"/>
                    <w:rPr>
                      <w:rFonts w:cs="Arial"/>
                    </w:rPr>
                  </w:pPr>
                  <w:r>
                    <w:rPr>
                      <w:color w:val="000000" w:themeColor="text1"/>
                    </w:rPr>
                    <w:t>CAACAACATACATCGACCAA</w:t>
                  </w:r>
                </w:p>
              </w:tc>
            </w:tr>
            <w:tr w:rsidR="00E81874" w:rsidRPr="008C79E7" w14:paraId="165BB661" w14:textId="77777777" w:rsidTr="00C07756">
              <w:tc>
                <w:tcPr>
                  <w:tcW w:w="1417" w:type="dxa"/>
                </w:tcPr>
                <w:p w14:paraId="21DCF2DF" w14:textId="77777777" w:rsidR="00E81874" w:rsidRPr="008C79E7" w:rsidRDefault="00E81874" w:rsidP="00C07756">
                  <w:pPr>
                    <w:jc w:val="left"/>
                    <w:rPr>
                      <w:rFonts w:cs="Arial"/>
                    </w:rPr>
                  </w:pPr>
                  <w:r>
                    <w:rPr>
                      <w:color w:val="000000" w:themeColor="text1"/>
                    </w:rPr>
                    <w:t>Rev-del-mo1</w:t>
                  </w:r>
                </w:p>
              </w:tc>
              <w:tc>
                <w:tcPr>
                  <w:tcW w:w="3119" w:type="dxa"/>
                </w:tcPr>
                <w:p w14:paraId="345E07BD" w14:textId="77777777" w:rsidR="00E81874" w:rsidRPr="008C79E7" w:rsidRDefault="00E81874" w:rsidP="00C07756">
                  <w:pPr>
                    <w:jc w:val="left"/>
                    <w:rPr>
                      <w:rFonts w:cs="Arial"/>
                    </w:rPr>
                  </w:pPr>
                  <w:r>
                    <w:rPr>
                      <w:color w:val="000000" w:themeColor="text1"/>
                    </w:rPr>
                    <w:t>CTTCCCACTTAGGCTCGAT</w:t>
                  </w:r>
                </w:p>
              </w:tc>
            </w:tr>
          </w:tbl>
          <w:p w14:paraId="57705D1C" w14:textId="77777777" w:rsidR="00E81874" w:rsidRPr="008C79E7" w:rsidRDefault="00E81874" w:rsidP="00C07756">
            <w:pPr>
              <w:widowControl w:val="0"/>
              <w:tabs>
                <w:tab w:val="left" w:pos="3969"/>
              </w:tabs>
              <w:jc w:val="left"/>
              <w:rPr>
                <w:rFonts w:cs="Arial"/>
              </w:rPr>
            </w:pPr>
          </w:p>
          <w:p w14:paraId="0CB0EC04" w14:textId="77777777" w:rsidR="00E81874" w:rsidRPr="008C79E7" w:rsidRDefault="00E81874" w:rsidP="00C07756">
            <w:pPr>
              <w:widowControl w:val="0"/>
              <w:tabs>
                <w:tab w:val="left" w:pos="3969"/>
              </w:tabs>
              <w:ind w:left="881"/>
              <w:jc w:val="left"/>
              <w:rPr>
                <w:rFonts w:cs="Arial"/>
              </w:rPr>
            </w:pPr>
            <w:r>
              <w:t>Sequenz-Amplikon: ‘5-‘3</w:t>
            </w:r>
          </w:p>
          <w:p w14:paraId="7A5B1E0E" w14:textId="77777777" w:rsidR="00E81874" w:rsidRPr="008C79E7" w:rsidRDefault="00E81874" w:rsidP="00C07756">
            <w:pPr>
              <w:widowControl w:val="0"/>
              <w:tabs>
                <w:tab w:val="left" w:pos="3969"/>
              </w:tabs>
              <w:ind w:left="881"/>
              <w:jc w:val="left"/>
              <w:rPr>
                <w:rFonts w:cs="Arial"/>
              </w:rPr>
            </w:pPr>
            <w:r>
              <w:t xml:space="preserve">Amplikonsequenz der Allele </w:t>
            </w:r>
            <w:r>
              <w:rPr>
                <w:i/>
              </w:rPr>
              <w:t>mo1</w:t>
            </w:r>
            <w:r>
              <w:rPr>
                <w:i/>
                <w:vertAlign w:val="superscript"/>
              </w:rPr>
              <w:t>0</w:t>
            </w:r>
            <w:r>
              <w:rPr>
                <w:vertAlign w:val="superscript"/>
              </w:rPr>
              <w:t xml:space="preserve"> </w:t>
            </w:r>
            <w:r>
              <w:t>und</w:t>
            </w:r>
            <w:r>
              <w:rPr>
                <w:vertAlign w:val="superscript"/>
              </w:rPr>
              <w:t xml:space="preserve"> </w:t>
            </w:r>
            <w:r>
              <w:rPr>
                <w:i/>
              </w:rPr>
              <w:t>mo1</w:t>
            </w:r>
            <w:r>
              <w:rPr>
                <w:i/>
                <w:vertAlign w:val="superscript"/>
              </w:rPr>
              <w:t>2</w:t>
            </w:r>
            <w:r>
              <w:rPr>
                <w:i/>
              </w:rPr>
              <w:t>:</w:t>
            </w:r>
          </w:p>
          <w:p w14:paraId="149CFFAA" w14:textId="77777777" w:rsidR="00E81874" w:rsidRPr="007465E6" w:rsidRDefault="00E81874" w:rsidP="00C07756">
            <w:pPr>
              <w:spacing w:before="20" w:after="20"/>
              <w:ind w:left="881"/>
              <w:jc w:val="left"/>
              <w:rPr>
                <w:rFonts w:cs="Arial"/>
              </w:rPr>
            </w:pPr>
            <w:r>
              <w:t>TTACAACAACATACATCGACCAAGCAAGTTGGCTCAAGGAGCTGACTTCTATTGTTTCAAGAATAAAATCGAGCCTAAGTGGGAAGACC</w:t>
            </w:r>
          </w:p>
          <w:p w14:paraId="6608EAE8" w14:textId="77777777" w:rsidR="00E81874" w:rsidRPr="007465E6" w:rsidRDefault="00E81874" w:rsidP="00C07756">
            <w:pPr>
              <w:spacing w:before="20" w:after="20"/>
              <w:ind w:left="881"/>
              <w:jc w:val="left"/>
              <w:rPr>
                <w:rFonts w:cs="Arial"/>
              </w:rPr>
            </w:pPr>
            <w:r>
              <w:t xml:space="preserve">Amplikonsequenz des Resistenzallels </w:t>
            </w:r>
            <w:r>
              <w:rPr>
                <w:i/>
              </w:rPr>
              <w:t>mo1</w:t>
            </w:r>
            <w:r>
              <w:rPr>
                <w:i/>
                <w:vertAlign w:val="superscript"/>
              </w:rPr>
              <w:t>1</w:t>
            </w:r>
            <w:r>
              <w:t xml:space="preserve">: </w:t>
            </w:r>
          </w:p>
          <w:p w14:paraId="7F28B16D" w14:textId="77777777" w:rsidR="00E81874" w:rsidRPr="008C79E7" w:rsidRDefault="00E81874" w:rsidP="00C07756">
            <w:pPr>
              <w:spacing w:before="20" w:after="20"/>
              <w:ind w:left="881"/>
              <w:jc w:val="left"/>
              <w:rPr>
                <w:rFonts w:cs="Arial"/>
              </w:rPr>
            </w:pPr>
            <w:r>
              <w:t>TTACAACAACATACATCGACCAAGCAAGTTGGCTCATGACTTCTATTGTTTCAAGAATAAAATCGAGCCTAAGTGGGAAGACC</w:t>
            </w:r>
          </w:p>
          <w:p w14:paraId="572B990F" w14:textId="77777777" w:rsidR="00E81874" w:rsidRPr="008C79E7" w:rsidRDefault="00E81874" w:rsidP="00C07756">
            <w:pPr>
              <w:spacing w:before="20" w:after="20"/>
              <w:rPr>
                <w:rFonts w:cs="Arial"/>
              </w:rPr>
            </w:pPr>
          </w:p>
        </w:tc>
      </w:tr>
      <w:tr w:rsidR="00E81874" w:rsidRPr="008C79E7" w14:paraId="135BF632" w14:textId="77777777" w:rsidTr="00C07756">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hideMark/>
          </w:tcPr>
          <w:p w14:paraId="767CD2EA" w14:textId="77777777" w:rsidR="00E81874" w:rsidRPr="008C79E7" w:rsidRDefault="00E81874" w:rsidP="00C07756">
            <w:pPr>
              <w:tabs>
                <w:tab w:val="left" w:leader="dot" w:pos="3720"/>
              </w:tabs>
              <w:spacing w:before="20" w:after="20"/>
              <w:rPr>
                <w:rFonts w:cs="Arial"/>
              </w:rPr>
            </w:pPr>
            <w:r>
              <w:t>3.2.</w:t>
            </w:r>
          </w:p>
        </w:tc>
        <w:tc>
          <w:tcPr>
            <w:tcW w:w="4130" w:type="dxa"/>
            <w:gridSpan w:val="2"/>
            <w:tcBorders>
              <w:top w:val="dotted" w:sz="4" w:space="0" w:color="auto"/>
              <w:left w:val="dotted" w:sz="4" w:space="0" w:color="auto"/>
              <w:bottom w:val="dotted" w:sz="4" w:space="0" w:color="auto"/>
              <w:right w:val="dotted" w:sz="4" w:space="0" w:color="auto"/>
            </w:tcBorders>
            <w:hideMark/>
          </w:tcPr>
          <w:p w14:paraId="2DB44123" w14:textId="77777777" w:rsidR="00E81874" w:rsidRPr="008C79E7" w:rsidRDefault="00E81874" w:rsidP="00C07756">
            <w:pPr>
              <w:tabs>
                <w:tab w:val="left" w:leader="dot" w:pos="3720"/>
              </w:tabs>
              <w:spacing w:before="20" w:after="20"/>
              <w:rPr>
                <w:rFonts w:cs="Arial"/>
              </w:rPr>
            </w:pPr>
            <w:r>
              <w:t>Test 2</w:t>
            </w:r>
          </w:p>
        </w:tc>
        <w:tc>
          <w:tcPr>
            <w:tcW w:w="4658" w:type="dxa"/>
            <w:gridSpan w:val="2"/>
            <w:tcBorders>
              <w:top w:val="dotted" w:sz="4" w:space="0" w:color="auto"/>
              <w:left w:val="dotted" w:sz="4" w:space="0" w:color="auto"/>
              <w:bottom w:val="dotted" w:sz="4" w:space="0" w:color="auto"/>
              <w:right w:val="dotted" w:sz="4" w:space="0" w:color="auto"/>
            </w:tcBorders>
          </w:tcPr>
          <w:p w14:paraId="7733A55E" w14:textId="77777777" w:rsidR="00E81874" w:rsidRPr="008C79E7" w:rsidRDefault="00E81874" w:rsidP="00C07756">
            <w:pPr>
              <w:spacing w:before="20" w:after="20"/>
              <w:rPr>
                <w:rFonts w:cs="Arial"/>
              </w:rPr>
            </w:pPr>
            <w:r>
              <w:t xml:space="preserve">Ziel: </w:t>
            </w:r>
            <w:r>
              <w:rPr>
                <w:i/>
              </w:rPr>
              <w:t>mo1</w:t>
            </w:r>
            <w:r>
              <w:rPr>
                <w:i/>
                <w:vertAlign w:val="superscript"/>
              </w:rPr>
              <w:t>2</w:t>
            </w:r>
            <w:r>
              <w:t xml:space="preserve"> -Genotypen von </w:t>
            </w:r>
            <w:r>
              <w:rPr>
                <w:i/>
              </w:rPr>
              <w:t>mo1</w:t>
            </w:r>
            <w:r>
              <w:rPr>
                <w:i/>
                <w:vertAlign w:val="superscript"/>
              </w:rPr>
              <w:t>0</w:t>
            </w:r>
            <w:r>
              <w:t xml:space="preserve">- und </w:t>
            </w:r>
            <w:r>
              <w:rPr>
                <w:i/>
              </w:rPr>
              <w:t>mo1</w:t>
            </w:r>
            <w:r>
              <w:rPr>
                <w:i/>
                <w:vertAlign w:val="superscript"/>
              </w:rPr>
              <w:t>1</w:t>
            </w:r>
            <w:r>
              <w:t>-Genotypen unterscheiden (SNP an Nukleotidpositionen 228):</w:t>
            </w:r>
          </w:p>
        </w:tc>
      </w:tr>
      <w:tr w:rsidR="00E81874" w:rsidRPr="008C79E7" w14:paraId="082AE76A" w14:textId="77777777" w:rsidTr="00C07756">
        <w:tblPrEx>
          <w:tblLook w:val="04A0" w:firstRow="1" w:lastRow="0" w:firstColumn="1" w:lastColumn="0" w:noHBand="0" w:noVBand="1"/>
        </w:tblPrEx>
        <w:trPr>
          <w:cantSplit/>
          <w:trHeight w:val="2680"/>
        </w:trPr>
        <w:tc>
          <w:tcPr>
            <w:tcW w:w="9776" w:type="dxa"/>
            <w:gridSpan w:val="6"/>
            <w:tcBorders>
              <w:top w:val="dotted" w:sz="4" w:space="0" w:color="auto"/>
              <w:left w:val="dotted" w:sz="4" w:space="0" w:color="auto"/>
              <w:right w:val="dotted" w:sz="4" w:space="0" w:color="auto"/>
            </w:tcBorders>
          </w:tcPr>
          <w:p w14:paraId="4A009722" w14:textId="77777777" w:rsidR="00E81874" w:rsidRDefault="00E81874" w:rsidP="00C07756"/>
          <w:tbl>
            <w:tblPr>
              <w:tblStyle w:val="TableGrid"/>
              <w:tblW w:w="7938" w:type="dxa"/>
              <w:tblInd w:w="875" w:type="dxa"/>
              <w:tblLayout w:type="fixed"/>
              <w:tblLook w:val="04A0" w:firstRow="1" w:lastRow="0" w:firstColumn="1" w:lastColumn="0" w:noHBand="0" w:noVBand="1"/>
            </w:tblPr>
            <w:tblGrid>
              <w:gridCol w:w="1843"/>
              <w:gridCol w:w="3118"/>
              <w:gridCol w:w="2977"/>
            </w:tblGrid>
            <w:tr w:rsidR="00E81874" w:rsidRPr="008C79E7" w14:paraId="01E8B07E" w14:textId="77777777" w:rsidTr="00C07756">
              <w:tc>
                <w:tcPr>
                  <w:tcW w:w="1843" w:type="dxa"/>
                </w:tcPr>
                <w:p w14:paraId="13B2CB52" w14:textId="77777777" w:rsidR="00E81874" w:rsidRPr="00E415C0" w:rsidRDefault="00E81874" w:rsidP="00C07756">
                  <w:pPr>
                    <w:rPr>
                      <w:rFonts w:cs="Arial"/>
                    </w:rPr>
                  </w:pPr>
                  <w:r>
                    <w:rPr>
                      <w:color w:val="000000" w:themeColor="text1"/>
                    </w:rPr>
                    <w:t>Sonde</w:t>
                  </w:r>
                </w:p>
              </w:tc>
              <w:tc>
                <w:tcPr>
                  <w:tcW w:w="3118" w:type="dxa"/>
                </w:tcPr>
                <w:p w14:paraId="4D2EC5B5" w14:textId="77777777" w:rsidR="00E81874" w:rsidRPr="00E415C0" w:rsidRDefault="00E81874" w:rsidP="00C07756">
                  <w:pPr>
                    <w:rPr>
                      <w:rFonts w:cs="Arial"/>
                    </w:rPr>
                  </w:pPr>
                  <w:r>
                    <w:rPr>
                      <w:color w:val="000000" w:themeColor="text1"/>
                    </w:rPr>
                    <w:t xml:space="preserve">DNS-Sequenz </w:t>
                  </w:r>
                  <w:r>
                    <w:t>‘5-‘3</w:t>
                  </w:r>
                </w:p>
              </w:tc>
              <w:tc>
                <w:tcPr>
                  <w:tcW w:w="2977" w:type="dxa"/>
                </w:tcPr>
                <w:p w14:paraId="16637E15" w14:textId="77777777" w:rsidR="00E81874" w:rsidRPr="00E415C0" w:rsidRDefault="00E81874" w:rsidP="00C07756">
                  <w:pPr>
                    <w:rPr>
                      <w:rFonts w:cs="Arial"/>
                    </w:rPr>
                  </w:pPr>
                  <w:r>
                    <w:rPr>
                      <w:color w:val="000000" w:themeColor="text1"/>
                    </w:rPr>
                    <w:t>Fluoreszenzfarbstoff (optional)</w:t>
                  </w:r>
                </w:p>
              </w:tc>
            </w:tr>
            <w:tr w:rsidR="00E81874" w:rsidRPr="008C79E7" w14:paraId="4557B6A5" w14:textId="77777777" w:rsidTr="00C07756">
              <w:tc>
                <w:tcPr>
                  <w:tcW w:w="1843" w:type="dxa"/>
                </w:tcPr>
                <w:p w14:paraId="56C7827A" w14:textId="77777777" w:rsidR="00E81874" w:rsidRPr="00E415C0" w:rsidRDefault="00E81874" w:rsidP="00C07756">
                  <w:pPr>
                    <w:rPr>
                      <w:rFonts w:cs="Arial"/>
                    </w:rPr>
                  </w:pPr>
                  <w:r>
                    <w:t>Pr-SNP228-</w:t>
                  </w:r>
                  <w:r>
                    <w:rPr>
                      <w:i/>
                    </w:rPr>
                    <w:t>mo1</w:t>
                  </w:r>
                </w:p>
              </w:tc>
              <w:tc>
                <w:tcPr>
                  <w:tcW w:w="3118" w:type="dxa"/>
                </w:tcPr>
                <w:p w14:paraId="3EE55EB6" w14:textId="77777777" w:rsidR="00E81874" w:rsidRPr="00E415C0" w:rsidRDefault="00E81874" w:rsidP="00C07756">
                  <w:pPr>
                    <w:rPr>
                      <w:rFonts w:cs="Arial"/>
                    </w:rPr>
                  </w:pPr>
                  <w:r>
                    <w:t>CTCCCTCT</w:t>
                  </w:r>
                  <w:r>
                    <w:rPr>
                      <w:b/>
                    </w:rPr>
                    <w:t>G</w:t>
                  </w:r>
                  <w:r>
                    <w:t>CTAAGTC</w:t>
                  </w:r>
                </w:p>
              </w:tc>
              <w:tc>
                <w:tcPr>
                  <w:tcW w:w="2977" w:type="dxa"/>
                </w:tcPr>
                <w:p w14:paraId="006F352D" w14:textId="77777777" w:rsidR="00E81874" w:rsidRPr="00E415C0" w:rsidRDefault="00E81874" w:rsidP="00C07756">
                  <w:pPr>
                    <w:rPr>
                      <w:rFonts w:cs="Arial"/>
                    </w:rPr>
                  </w:pPr>
                  <w:r>
                    <w:rPr>
                      <w:color w:val="000000" w:themeColor="text1"/>
                    </w:rPr>
                    <w:t>6FAM-MGB (anfällig)</w:t>
                  </w:r>
                </w:p>
              </w:tc>
            </w:tr>
            <w:tr w:rsidR="00E81874" w:rsidRPr="008C79E7" w14:paraId="4BE0630D" w14:textId="77777777" w:rsidTr="00C07756">
              <w:tc>
                <w:tcPr>
                  <w:tcW w:w="1843" w:type="dxa"/>
                </w:tcPr>
                <w:p w14:paraId="5106B3BB" w14:textId="77777777" w:rsidR="00E81874" w:rsidRPr="00E415C0" w:rsidRDefault="00E81874" w:rsidP="00C07756">
                  <w:pPr>
                    <w:rPr>
                      <w:rFonts w:cs="Arial"/>
                    </w:rPr>
                  </w:pPr>
                  <w:r>
                    <w:t>Pr-SNP228-</w:t>
                  </w:r>
                  <w:r>
                    <w:rPr>
                      <w:i/>
                    </w:rPr>
                    <w:t>mo1</w:t>
                  </w:r>
                  <w:r>
                    <w:rPr>
                      <w:i/>
                      <w:vertAlign w:val="superscript"/>
                    </w:rPr>
                    <w:t>2</w:t>
                  </w:r>
                </w:p>
              </w:tc>
              <w:tc>
                <w:tcPr>
                  <w:tcW w:w="3118" w:type="dxa"/>
                </w:tcPr>
                <w:p w14:paraId="0929DF6F" w14:textId="77777777" w:rsidR="00E81874" w:rsidRPr="00E415C0" w:rsidRDefault="00E81874" w:rsidP="00C07756">
                  <w:pPr>
                    <w:rPr>
                      <w:rFonts w:cs="Arial"/>
                    </w:rPr>
                  </w:pPr>
                  <w:r>
                    <w:t>ACTCCCTCT</w:t>
                  </w:r>
                  <w:r>
                    <w:rPr>
                      <w:b/>
                    </w:rPr>
                    <w:t>C</w:t>
                  </w:r>
                  <w:r>
                    <w:t xml:space="preserve">CTAAGT </w:t>
                  </w:r>
                </w:p>
              </w:tc>
              <w:tc>
                <w:tcPr>
                  <w:tcW w:w="2977" w:type="dxa"/>
                </w:tcPr>
                <w:p w14:paraId="266D5847" w14:textId="77777777" w:rsidR="00E81874" w:rsidRPr="00E415C0" w:rsidRDefault="00E81874" w:rsidP="00C07756">
                  <w:pPr>
                    <w:rPr>
                      <w:rFonts w:cs="Arial"/>
                    </w:rPr>
                  </w:pPr>
                  <w:r>
                    <w:rPr>
                      <w:color w:val="000000" w:themeColor="text1"/>
                    </w:rPr>
                    <w:t xml:space="preserve">VIC-MGB (resistentes </w:t>
                  </w:r>
                  <w:r>
                    <w:rPr>
                      <w:i/>
                    </w:rPr>
                    <w:t>mo1</w:t>
                  </w:r>
                  <w:r>
                    <w:rPr>
                      <w:i/>
                      <w:vertAlign w:val="superscript"/>
                    </w:rPr>
                    <w:t>2</w:t>
                  </w:r>
                  <w:r>
                    <w:rPr>
                      <w:color w:val="000000" w:themeColor="text1"/>
                    </w:rPr>
                    <w:t>)</w:t>
                  </w:r>
                </w:p>
              </w:tc>
            </w:tr>
          </w:tbl>
          <w:p w14:paraId="7A44B998" w14:textId="77777777" w:rsidR="00E81874" w:rsidRPr="008C79E7" w:rsidRDefault="00E81874" w:rsidP="00C07756">
            <w:pPr>
              <w:spacing w:before="20" w:after="20"/>
              <w:rPr>
                <w:rFonts w:cs="Arial"/>
              </w:rPr>
            </w:pPr>
          </w:p>
          <w:tbl>
            <w:tblPr>
              <w:tblStyle w:val="TableGrid"/>
              <w:tblW w:w="7938" w:type="dxa"/>
              <w:tblInd w:w="875" w:type="dxa"/>
              <w:tblLayout w:type="fixed"/>
              <w:tblLook w:val="04A0" w:firstRow="1" w:lastRow="0" w:firstColumn="1" w:lastColumn="0" w:noHBand="0" w:noVBand="1"/>
            </w:tblPr>
            <w:tblGrid>
              <w:gridCol w:w="1843"/>
              <w:gridCol w:w="6095"/>
            </w:tblGrid>
            <w:tr w:rsidR="00E81874" w:rsidRPr="008C79E7" w14:paraId="2B5AC251" w14:textId="77777777" w:rsidTr="00C07756">
              <w:tc>
                <w:tcPr>
                  <w:tcW w:w="1843" w:type="dxa"/>
                </w:tcPr>
                <w:p w14:paraId="3990EE2F" w14:textId="77777777" w:rsidR="00E81874" w:rsidRPr="00E415C0" w:rsidRDefault="00E81874" w:rsidP="00C07756">
                  <w:pPr>
                    <w:rPr>
                      <w:rFonts w:cs="Arial"/>
                    </w:rPr>
                  </w:pPr>
                  <w:r>
                    <w:t>Primer</w:t>
                  </w:r>
                </w:p>
              </w:tc>
              <w:tc>
                <w:tcPr>
                  <w:tcW w:w="6095" w:type="dxa"/>
                </w:tcPr>
                <w:p w14:paraId="080E658F" w14:textId="77777777" w:rsidR="00E81874" w:rsidRPr="00E415C0" w:rsidRDefault="00E81874" w:rsidP="00C07756">
                  <w:pPr>
                    <w:rPr>
                      <w:rFonts w:cs="Arial"/>
                    </w:rPr>
                  </w:pPr>
                  <w:r>
                    <w:rPr>
                      <w:color w:val="000000" w:themeColor="text1"/>
                    </w:rPr>
                    <w:t xml:space="preserve">DNS-Sequenz </w:t>
                  </w:r>
                  <w:r>
                    <w:t>‘5-‘3</w:t>
                  </w:r>
                </w:p>
              </w:tc>
            </w:tr>
            <w:tr w:rsidR="00E81874" w:rsidRPr="008C79E7" w14:paraId="6A182422" w14:textId="77777777" w:rsidTr="00C07756">
              <w:tc>
                <w:tcPr>
                  <w:tcW w:w="1843" w:type="dxa"/>
                </w:tcPr>
                <w:p w14:paraId="53DD6D13" w14:textId="77777777" w:rsidR="00E81874" w:rsidRPr="00E415C0" w:rsidRDefault="00E81874" w:rsidP="00C07756">
                  <w:pPr>
                    <w:rPr>
                      <w:rFonts w:cs="Arial"/>
                    </w:rPr>
                  </w:pPr>
                  <w:r>
                    <w:t>Fw-SNP228-</w:t>
                  </w:r>
                  <w:r>
                    <w:rPr>
                      <w:i/>
                    </w:rPr>
                    <w:t>mo1</w:t>
                  </w:r>
                  <w:r>
                    <w:t xml:space="preserve"> </w:t>
                  </w:r>
                </w:p>
              </w:tc>
              <w:tc>
                <w:tcPr>
                  <w:tcW w:w="6095" w:type="dxa"/>
                </w:tcPr>
                <w:p w14:paraId="70AE4EF6" w14:textId="77777777" w:rsidR="00E81874" w:rsidRPr="00E415C0" w:rsidRDefault="00E81874" w:rsidP="00C07756">
                  <w:pPr>
                    <w:rPr>
                      <w:rFonts w:cs="Arial"/>
                    </w:rPr>
                  </w:pPr>
                  <w:r>
                    <w:t>GCATCCGCTCGAGCATTC</w:t>
                  </w:r>
                </w:p>
              </w:tc>
            </w:tr>
            <w:tr w:rsidR="00E81874" w:rsidRPr="008C79E7" w14:paraId="71242D92" w14:textId="77777777" w:rsidTr="00C07756">
              <w:tc>
                <w:tcPr>
                  <w:tcW w:w="1843" w:type="dxa"/>
                </w:tcPr>
                <w:p w14:paraId="3B2F146D" w14:textId="77777777" w:rsidR="00E81874" w:rsidRPr="00E415C0" w:rsidRDefault="00E81874" w:rsidP="00C07756">
                  <w:pPr>
                    <w:rPr>
                      <w:rFonts w:cs="Arial"/>
                    </w:rPr>
                  </w:pPr>
                  <w:r>
                    <w:t>Rev-SNP228-</w:t>
                  </w:r>
                  <w:r>
                    <w:rPr>
                      <w:i/>
                    </w:rPr>
                    <w:t>mo1</w:t>
                  </w:r>
                </w:p>
              </w:tc>
              <w:tc>
                <w:tcPr>
                  <w:tcW w:w="6095" w:type="dxa"/>
                </w:tcPr>
                <w:p w14:paraId="182F7EE7" w14:textId="77777777" w:rsidR="00E81874" w:rsidRPr="00E415C0" w:rsidRDefault="00E81874" w:rsidP="00C07756">
                  <w:pPr>
                    <w:rPr>
                      <w:rFonts w:cs="Arial"/>
                    </w:rPr>
                  </w:pPr>
                  <w:r>
                    <w:t>CTACCCCAAGCGACTTGCTT</w:t>
                  </w:r>
                </w:p>
              </w:tc>
            </w:tr>
          </w:tbl>
          <w:p w14:paraId="13F52916" w14:textId="77777777" w:rsidR="00E81874" w:rsidRDefault="00E81874" w:rsidP="00C07756">
            <w:pPr>
              <w:widowControl w:val="0"/>
              <w:tabs>
                <w:tab w:val="left" w:pos="3969"/>
              </w:tabs>
              <w:ind w:left="881"/>
              <w:rPr>
                <w:rFonts w:cs="Arial"/>
              </w:rPr>
            </w:pPr>
          </w:p>
          <w:p w14:paraId="3F35EBF6" w14:textId="77777777" w:rsidR="00E81874" w:rsidRPr="008C79E7" w:rsidRDefault="00E81874" w:rsidP="00C07756">
            <w:pPr>
              <w:widowControl w:val="0"/>
              <w:tabs>
                <w:tab w:val="left" w:pos="3969"/>
              </w:tabs>
              <w:ind w:left="881"/>
              <w:rPr>
                <w:rFonts w:cs="Arial"/>
              </w:rPr>
            </w:pPr>
            <w:r>
              <w:t>Sequenz-Amplikon: ‘5-‘3</w:t>
            </w:r>
          </w:p>
          <w:p w14:paraId="12AA1456" w14:textId="77777777" w:rsidR="00E81874" w:rsidRPr="007465E6" w:rsidRDefault="00E81874" w:rsidP="00C07756">
            <w:pPr>
              <w:widowControl w:val="0"/>
              <w:tabs>
                <w:tab w:val="left" w:pos="3969"/>
              </w:tabs>
              <w:ind w:left="881"/>
              <w:rPr>
                <w:rFonts w:cs="Arial"/>
              </w:rPr>
            </w:pPr>
            <w:r>
              <w:t xml:space="preserve">Amplikonsequenz der Allele </w:t>
            </w:r>
            <w:r>
              <w:rPr>
                <w:i/>
              </w:rPr>
              <w:t>mo1</w:t>
            </w:r>
            <w:r>
              <w:rPr>
                <w:i/>
                <w:vertAlign w:val="superscript"/>
              </w:rPr>
              <w:t>0</w:t>
            </w:r>
            <w:r>
              <w:rPr>
                <w:vertAlign w:val="superscript"/>
              </w:rPr>
              <w:t xml:space="preserve"> </w:t>
            </w:r>
            <w:r>
              <w:t>und</w:t>
            </w:r>
            <w:r>
              <w:rPr>
                <w:vertAlign w:val="superscript"/>
              </w:rPr>
              <w:t xml:space="preserve"> </w:t>
            </w:r>
            <w:r>
              <w:rPr>
                <w:i/>
              </w:rPr>
              <w:t>mo1</w:t>
            </w:r>
            <w:r>
              <w:rPr>
                <w:i/>
                <w:vertAlign w:val="superscript"/>
              </w:rPr>
              <w:t>1</w:t>
            </w:r>
            <w:r>
              <w:rPr>
                <w:i/>
              </w:rPr>
              <w:t>:</w:t>
            </w:r>
          </w:p>
          <w:p w14:paraId="21DAE429" w14:textId="77777777" w:rsidR="00E81874" w:rsidRPr="007465E6" w:rsidRDefault="00E81874" w:rsidP="00C07756">
            <w:pPr>
              <w:spacing w:before="20" w:after="20"/>
              <w:ind w:left="881"/>
              <w:rPr>
                <w:rFonts w:cs="Arial"/>
              </w:rPr>
            </w:pPr>
            <w:r>
              <w:t>TCAGCATCCGCTCGAGCATTCTTGGACTTTCTGGTTCGATACTCCCTCT</w:t>
            </w:r>
            <w:r>
              <w:rPr>
                <w:b/>
              </w:rPr>
              <w:t>G</w:t>
            </w:r>
            <w:r>
              <w:t>CTAAGTCCAAGCAAGTCGCTTGGGGTAGTTCCATGCGCC</w:t>
            </w:r>
          </w:p>
          <w:p w14:paraId="656FC638" w14:textId="77777777" w:rsidR="00E81874" w:rsidRPr="007465E6" w:rsidRDefault="00E81874" w:rsidP="00C07756">
            <w:pPr>
              <w:spacing w:before="20" w:after="20"/>
              <w:ind w:left="881"/>
              <w:rPr>
                <w:rFonts w:cs="Arial"/>
              </w:rPr>
            </w:pPr>
            <w:r>
              <w:t xml:space="preserve">Amplikonsequenz des Resistenzallels </w:t>
            </w:r>
            <w:r>
              <w:rPr>
                <w:i/>
              </w:rPr>
              <w:t>mo1</w:t>
            </w:r>
            <w:r>
              <w:rPr>
                <w:i/>
                <w:vertAlign w:val="superscript"/>
              </w:rPr>
              <w:t>2</w:t>
            </w:r>
            <w:r>
              <w:t>:</w:t>
            </w:r>
          </w:p>
          <w:p w14:paraId="0C143D92" w14:textId="77777777" w:rsidR="00E81874" w:rsidRDefault="00E81874" w:rsidP="00C07756">
            <w:pPr>
              <w:spacing w:before="20" w:after="20"/>
              <w:ind w:left="881"/>
              <w:rPr>
                <w:rFonts w:cs="Arial"/>
              </w:rPr>
            </w:pPr>
            <w:r>
              <w:t>TCAGCATCCGCTCGAGCATTCTTGGACTTTCTGGTTCGATACTCCCTCT</w:t>
            </w:r>
            <w:r>
              <w:rPr>
                <w:b/>
              </w:rPr>
              <w:t>C</w:t>
            </w:r>
            <w:r>
              <w:t>CTAAGTCCAAGCAAGTCGCTTGGGGTAGTTCCATGCGCC</w:t>
            </w:r>
          </w:p>
          <w:p w14:paraId="7F8ABABD" w14:textId="77777777" w:rsidR="00E81874" w:rsidRPr="008C79E7" w:rsidRDefault="00E81874" w:rsidP="00C07756">
            <w:pPr>
              <w:spacing w:before="20" w:after="20"/>
              <w:ind w:left="881"/>
              <w:rPr>
                <w:rFonts w:cs="Arial"/>
              </w:rPr>
            </w:pPr>
          </w:p>
        </w:tc>
      </w:tr>
      <w:tr w:rsidR="00E81874" w:rsidRPr="008C79E7" w14:paraId="3436FCE0" w14:textId="77777777" w:rsidTr="00C07756">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14:paraId="70FC7FA2" w14:textId="77777777" w:rsidR="00E81874" w:rsidRPr="008C79E7" w:rsidRDefault="00E81874" w:rsidP="00C07756">
            <w:pPr>
              <w:tabs>
                <w:tab w:val="left" w:leader="dot" w:pos="3720"/>
              </w:tabs>
              <w:spacing w:before="20" w:after="20"/>
              <w:rPr>
                <w:rFonts w:cs="Arial"/>
              </w:rPr>
            </w:pPr>
            <w:r>
              <w:t>4.</w:t>
            </w:r>
          </w:p>
        </w:tc>
        <w:tc>
          <w:tcPr>
            <w:tcW w:w="4130" w:type="dxa"/>
            <w:gridSpan w:val="2"/>
            <w:tcBorders>
              <w:top w:val="dotted" w:sz="4" w:space="0" w:color="auto"/>
              <w:left w:val="dotted" w:sz="4" w:space="0" w:color="auto"/>
              <w:bottom w:val="dotted" w:sz="4" w:space="0" w:color="auto"/>
              <w:right w:val="dotted" w:sz="4" w:space="0" w:color="auto"/>
            </w:tcBorders>
          </w:tcPr>
          <w:p w14:paraId="21B9578C" w14:textId="77777777" w:rsidR="00E81874" w:rsidRPr="008C79E7" w:rsidRDefault="00E81874" w:rsidP="00C07756">
            <w:pPr>
              <w:widowControl w:val="0"/>
              <w:rPr>
                <w:rFonts w:cs="Arial"/>
              </w:rPr>
            </w:pPr>
            <w:r>
              <w:t>Prüfungsanlage</w:t>
            </w:r>
          </w:p>
        </w:tc>
        <w:tc>
          <w:tcPr>
            <w:tcW w:w="4658" w:type="dxa"/>
            <w:gridSpan w:val="2"/>
            <w:tcBorders>
              <w:top w:val="dotted" w:sz="4" w:space="0" w:color="auto"/>
              <w:left w:val="dotted" w:sz="4" w:space="0" w:color="auto"/>
              <w:bottom w:val="dotted" w:sz="4" w:space="0" w:color="auto"/>
              <w:right w:val="dotted" w:sz="4" w:space="0" w:color="auto"/>
            </w:tcBorders>
          </w:tcPr>
          <w:p w14:paraId="5E606CB3" w14:textId="77777777" w:rsidR="00E81874" w:rsidRPr="008C79E7" w:rsidRDefault="00E81874" w:rsidP="00C07756">
            <w:pPr>
              <w:widowControl w:val="0"/>
              <w:tabs>
                <w:tab w:val="left" w:pos="284"/>
                <w:tab w:val="left" w:pos="3969"/>
              </w:tabs>
              <w:rPr>
                <w:rFonts w:cs="Arial"/>
              </w:rPr>
            </w:pPr>
          </w:p>
        </w:tc>
      </w:tr>
      <w:tr w:rsidR="00E81874" w:rsidRPr="008C79E7" w14:paraId="1D5A5D8A" w14:textId="77777777" w:rsidTr="00C07756">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14:paraId="3C8FDBCA" w14:textId="77777777" w:rsidR="00E81874" w:rsidRPr="008C79E7" w:rsidRDefault="00E81874" w:rsidP="00C07756">
            <w:pPr>
              <w:tabs>
                <w:tab w:val="left" w:leader="dot" w:pos="3720"/>
              </w:tabs>
              <w:spacing w:before="20" w:after="20"/>
              <w:rPr>
                <w:rFonts w:cs="Arial"/>
              </w:rPr>
            </w:pPr>
            <w:r>
              <w:t>4.1</w:t>
            </w:r>
          </w:p>
        </w:tc>
        <w:tc>
          <w:tcPr>
            <w:tcW w:w="4130" w:type="dxa"/>
            <w:gridSpan w:val="2"/>
            <w:tcBorders>
              <w:top w:val="dotted" w:sz="4" w:space="0" w:color="auto"/>
              <w:left w:val="dotted" w:sz="4" w:space="0" w:color="auto"/>
              <w:bottom w:val="dotted" w:sz="4" w:space="0" w:color="auto"/>
              <w:right w:val="dotted" w:sz="4" w:space="0" w:color="auto"/>
            </w:tcBorders>
          </w:tcPr>
          <w:p w14:paraId="75EFB9FC" w14:textId="77777777" w:rsidR="00E81874" w:rsidRPr="008C79E7" w:rsidRDefault="00E81874" w:rsidP="00C07756">
            <w:pPr>
              <w:widowControl w:val="0"/>
              <w:rPr>
                <w:rFonts w:cs="Arial"/>
              </w:rPr>
            </w:pPr>
            <w:r>
              <w:t>Anzahl der Pflanzen pro Genotyp</w:t>
            </w:r>
          </w:p>
        </w:tc>
        <w:tc>
          <w:tcPr>
            <w:tcW w:w="4658" w:type="dxa"/>
            <w:gridSpan w:val="2"/>
            <w:tcBorders>
              <w:top w:val="dotted" w:sz="4" w:space="0" w:color="auto"/>
              <w:left w:val="dotted" w:sz="4" w:space="0" w:color="auto"/>
              <w:bottom w:val="dotted" w:sz="4" w:space="0" w:color="auto"/>
              <w:right w:val="dotted" w:sz="4" w:space="0" w:color="auto"/>
            </w:tcBorders>
          </w:tcPr>
          <w:p w14:paraId="08BEDE14" w14:textId="77777777" w:rsidR="00E81874" w:rsidRPr="008C79E7" w:rsidRDefault="00E81874" w:rsidP="00C07756">
            <w:pPr>
              <w:widowControl w:val="0"/>
              <w:tabs>
                <w:tab w:val="left" w:pos="284"/>
                <w:tab w:val="left" w:pos="3969"/>
              </w:tabs>
              <w:rPr>
                <w:rFonts w:cs="Arial"/>
              </w:rPr>
            </w:pPr>
            <w:r>
              <w:t>Mindestens 20 Pflanzen</w:t>
            </w:r>
          </w:p>
        </w:tc>
      </w:tr>
      <w:tr w:rsidR="00E81874" w:rsidRPr="008C79E7" w14:paraId="34A75212" w14:textId="77777777" w:rsidTr="00C07756">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14:paraId="2EC33A6B" w14:textId="77777777" w:rsidR="00E81874" w:rsidRPr="008C79E7" w:rsidRDefault="00E81874" w:rsidP="00C07756">
            <w:pPr>
              <w:tabs>
                <w:tab w:val="left" w:leader="dot" w:pos="3720"/>
              </w:tabs>
              <w:spacing w:before="20" w:after="20"/>
              <w:rPr>
                <w:rFonts w:cs="Arial"/>
              </w:rPr>
            </w:pPr>
            <w:r>
              <w:t>4.2</w:t>
            </w:r>
          </w:p>
        </w:tc>
        <w:tc>
          <w:tcPr>
            <w:tcW w:w="4130" w:type="dxa"/>
            <w:gridSpan w:val="2"/>
            <w:tcBorders>
              <w:top w:val="dotted" w:sz="4" w:space="0" w:color="auto"/>
              <w:left w:val="dotted" w:sz="4" w:space="0" w:color="auto"/>
              <w:bottom w:val="dotted" w:sz="4" w:space="0" w:color="auto"/>
              <w:right w:val="dotted" w:sz="4" w:space="0" w:color="auto"/>
            </w:tcBorders>
          </w:tcPr>
          <w:p w14:paraId="12A4F90F" w14:textId="77777777" w:rsidR="00E81874" w:rsidRPr="008C79E7" w:rsidRDefault="00E81874" w:rsidP="00C07756">
            <w:pPr>
              <w:widowControl w:val="0"/>
              <w:rPr>
                <w:rFonts w:cs="Arial"/>
              </w:rPr>
            </w:pPr>
            <w:r>
              <w:t xml:space="preserve">Kontrollsorten </w:t>
            </w:r>
          </w:p>
        </w:tc>
        <w:tc>
          <w:tcPr>
            <w:tcW w:w="4658" w:type="dxa"/>
            <w:gridSpan w:val="2"/>
            <w:tcBorders>
              <w:top w:val="dotted" w:sz="4" w:space="0" w:color="auto"/>
              <w:left w:val="dotted" w:sz="4" w:space="0" w:color="auto"/>
              <w:bottom w:val="dotted" w:sz="4" w:space="0" w:color="auto"/>
              <w:right w:val="dotted" w:sz="4" w:space="0" w:color="auto"/>
            </w:tcBorders>
          </w:tcPr>
          <w:p w14:paraId="5DF37449" w14:textId="77777777" w:rsidR="00E81874" w:rsidRPr="008C79E7" w:rsidRDefault="00E81874" w:rsidP="00C07756">
            <w:pPr>
              <w:widowControl w:val="0"/>
              <w:tabs>
                <w:tab w:val="left" w:pos="284"/>
                <w:tab w:val="left" w:pos="3969"/>
              </w:tabs>
              <w:rPr>
                <w:rFonts w:cs="Arial"/>
              </w:rPr>
            </w:pPr>
            <w:r>
              <w:t xml:space="preserve">Homozygotes Anfälligkeitsallel </w:t>
            </w:r>
            <w:r>
              <w:rPr>
                <w:i/>
              </w:rPr>
              <w:t>mo1</w:t>
            </w:r>
            <w:r>
              <w:rPr>
                <w:i/>
                <w:vertAlign w:val="superscript"/>
              </w:rPr>
              <w:t>0</w:t>
            </w:r>
            <w:r>
              <w:t xml:space="preserve"> vorhanden: Sprinter, Sucrine</w:t>
            </w:r>
          </w:p>
          <w:p w14:paraId="5FC10B6E" w14:textId="77777777" w:rsidR="00E81874" w:rsidRPr="008C79E7" w:rsidRDefault="00E81874" w:rsidP="00C07756">
            <w:pPr>
              <w:widowControl w:val="0"/>
              <w:tabs>
                <w:tab w:val="left" w:pos="284"/>
                <w:tab w:val="left" w:pos="3969"/>
              </w:tabs>
              <w:rPr>
                <w:rFonts w:cs="Arial"/>
              </w:rPr>
            </w:pPr>
            <w:r>
              <w:t xml:space="preserve">Homozygotes Resistenzallel </w:t>
            </w:r>
            <w:r>
              <w:rPr>
                <w:i/>
              </w:rPr>
              <w:t>mo1</w:t>
            </w:r>
            <w:r>
              <w:rPr>
                <w:i/>
                <w:vertAlign w:val="superscript"/>
              </w:rPr>
              <w:t>1</w:t>
            </w:r>
            <w:r>
              <w:t xml:space="preserve"> vorhanden: Capitan, Kanaryole</w:t>
            </w:r>
          </w:p>
          <w:p w14:paraId="0BE05EEB" w14:textId="77777777" w:rsidR="00E81874" w:rsidRPr="008C79E7" w:rsidRDefault="00E81874" w:rsidP="00C07756">
            <w:pPr>
              <w:widowControl w:val="0"/>
              <w:tabs>
                <w:tab w:val="left" w:pos="284"/>
                <w:tab w:val="left" w:pos="3969"/>
              </w:tabs>
              <w:rPr>
                <w:rFonts w:cs="Arial"/>
              </w:rPr>
            </w:pPr>
            <w:r>
              <w:t xml:space="preserve">Homozygotes Resistenzallel </w:t>
            </w:r>
            <w:r>
              <w:rPr>
                <w:i/>
              </w:rPr>
              <w:t>mo1</w:t>
            </w:r>
            <w:r>
              <w:rPr>
                <w:i/>
                <w:vertAlign w:val="superscript"/>
              </w:rPr>
              <w:t>2</w:t>
            </w:r>
            <w:r>
              <w:t xml:space="preserve"> vorhanden: Corianas</w:t>
            </w:r>
          </w:p>
          <w:p w14:paraId="39A61CB0" w14:textId="77777777" w:rsidR="00E81874" w:rsidRPr="008C79E7" w:rsidRDefault="00E81874" w:rsidP="00C07756">
            <w:pPr>
              <w:widowControl w:val="0"/>
              <w:tabs>
                <w:tab w:val="left" w:pos="3969"/>
              </w:tabs>
              <w:rPr>
                <w:rFonts w:cs="Arial"/>
              </w:rPr>
            </w:pPr>
            <w:r>
              <w:t>DNS mischen, um heterozygote Kontrollen zu erhalten</w:t>
            </w:r>
          </w:p>
        </w:tc>
      </w:tr>
      <w:tr w:rsidR="00E81874" w:rsidRPr="008C79E7" w14:paraId="6C14351D" w14:textId="77777777" w:rsidTr="00C07756">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14:paraId="120456FB" w14:textId="77777777" w:rsidR="00E81874" w:rsidRPr="008C79E7" w:rsidRDefault="00E81874" w:rsidP="00C07756">
            <w:pPr>
              <w:tabs>
                <w:tab w:val="left" w:leader="dot" w:pos="3720"/>
              </w:tabs>
              <w:spacing w:before="20" w:after="20"/>
              <w:rPr>
                <w:rFonts w:cs="Arial"/>
              </w:rPr>
            </w:pPr>
            <w:r>
              <w:t>5.</w:t>
            </w:r>
          </w:p>
        </w:tc>
        <w:tc>
          <w:tcPr>
            <w:tcW w:w="4130" w:type="dxa"/>
            <w:gridSpan w:val="2"/>
            <w:tcBorders>
              <w:top w:val="dotted" w:sz="4" w:space="0" w:color="auto"/>
              <w:left w:val="dotted" w:sz="4" w:space="0" w:color="auto"/>
              <w:bottom w:val="dotted" w:sz="4" w:space="0" w:color="auto"/>
              <w:right w:val="dotted" w:sz="4" w:space="0" w:color="auto"/>
            </w:tcBorders>
          </w:tcPr>
          <w:p w14:paraId="4B8997E0" w14:textId="77777777" w:rsidR="00E81874" w:rsidRPr="008C79E7" w:rsidRDefault="00E81874" w:rsidP="00C07756">
            <w:pPr>
              <w:widowControl w:val="0"/>
              <w:rPr>
                <w:rFonts w:cs="Arial"/>
              </w:rPr>
            </w:pPr>
            <w:r>
              <w:t>Vorbereitung</w:t>
            </w:r>
          </w:p>
        </w:tc>
        <w:tc>
          <w:tcPr>
            <w:tcW w:w="4658" w:type="dxa"/>
            <w:gridSpan w:val="2"/>
            <w:tcBorders>
              <w:top w:val="dotted" w:sz="4" w:space="0" w:color="auto"/>
              <w:left w:val="dotted" w:sz="4" w:space="0" w:color="auto"/>
              <w:bottom w:val="dotted" w:sz="4" w:space="0" w:color="auto"/>
              <w:right w:val="dotted" w:sz="4" w:space="0" w:color="auto"/>
            </w:tcBorders>
          </w:tcPr>
          <w:p w14:paraId="78944B28" w14:textId="77777777" w:rsidR="00E81874" w:rsidRPr="008C79E7" w:rsidRDefault="00E81874" w:rsidP="00C07756">
            <w:pPr>
              <w:widowControl w:val="0"/>
              <w:tabs>
                <w:tab w:val="left" w:pos="284"/>
                <w:tab w:val="left" w:pos="3969"/>
              </w:tabs>
              <w:rPr>
                <w:rFonts w:cs="Arial"/>
              </w:rPr>
            </w:pPr>
          </w:p>
        </w:tc>
      </w:tr>
      <w:tr w:rsidR="00E81874" w:rsidRPr="008C79E7" w14:paraId="2B3703A4" w14:textId="77777777" w:rsidTr="00C07756">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14:paraId="5E4695D7" w14:textId="77777777" w:rsidR="00E81874" w:rsidRPr="008C79E7" w:rsidRDefault="00E81874" w:rsidP="00C07756">
            <w:pPr>
              <w:tabs>
                <w:tab w:val="left" w:leader="dot" w:pos="3720"/>
              </w:tabs>
              <w:spacing w:before="20" w:after="20"/>
              <w:rPr>
                <w:rFonts w:cs="Arial"/>
              </w:rPr>
            </w:pPr>
            <w:r>
              <w:t>5.1</w:t>
            </w:r>
          </w:p>
        </w:tc>
        <w:tc>
          <w:tcPr>
            <w:tcW w:w="4130" w:type="dxa"/>
            <w:gridSpan w:val="2"/>
            <w:tcBorders>
              <w:top w:val="dotted" w:sz="4" w:space="0" w:color="auto"/>
              <w:left w:val="dotted" w:sz="4" w:space="0" w:color="auto"/>
              <w:bottom w:val="dotted" w:sz="4" w:space="0" w:color="auto"/>
              <w:right w:val="dotted" w:sz="4" w:space="0" w:color="auto"/>
            </w:tcBorders>
          </w:tcPr>
          <w:p w14:paraId="54EF4022" w14:textId="77777777" w:rsidR="00E81874" w:rsidRPr="008C79E7" w:rsidRDefault="00E81874" w:rsidP="00C07756">
            <w:pPr>
              <w:widowControl w:val="0"/>
              <w:rPr>
                <w:rFonts w:cs="Arial"/>
              </w:rPr>
            </w:pPr>
            <w:r>
              <w:t>Vorbereitung DNS</w:t>
            </w:r>
          </w:p>
        </w:tc>
        <w:tc>
          <w:tcPr>
            <w:tcW w:w="4658" w:type="dxa"/>
            <w:gridSpan w:val="2"/>
            <w:tcBorders>
              <w:top w:val="dotted" w:sz="4" w:space="0" w:color="auto"/>
              <w:left w:val="dotted" w:sz="4" w:space="0" w:color="auto"/>
              <w:bottom w:val="dotted" w:sz="4" w:space="0" w:color="auto"/>
              <w:right w:val="dotted" w:sz="4" w:space="0" w:color="auto"/>
            </w:tcBorders>
          </w:tcPr>
          <w:p w14:paraId="797C28D2" w14:textId="7B2B0881" w:rsidR="00E81874" w:rsidRPr="008C79E7" w:rsidRDefault="00E81874" w:rsidP="00C07756">
            <w:pPr>
              <w:widowControl w:val="0"/>
              <w:tabs>
                <w:tab w:val="left" w:pos="284"/>
                <w:tab w:val="left" w:pos="3969"/>
              </w:tabs>
              <w:rPr>
                <w:rFonts w:cs="Arial"/>
              </w:rPr>
            </w:pPr>
            <w:r>
              <w:t>Pro Einzelpflanze einen Teil eines jungen Blattes entnehmen.</w:t>
            </w:r>
            <w:r w:rsidR="00567009">
              <w:t xml:space="preserve"> </w:t>
            </w:r>
            <w:r>
              <w:t>Die Gesamt-DNS mit einem Standard-DNS-Isolationsprotokoll isolieren.</w:t>
            </w:r>
          </w:p>
        </w:tc>
      </w:tr>
      <w:tr w:rsidR="00E81874" w:rsidRPr="008C79E7" w14:paraId="41DE0D44" w14:textId="77777777" w:rsidTr="00C07756">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14:paraId="78936E16" w14:textId="77777777" w:rsidR="00E81874" w:rsidRPr="008C79E7" w:rsidRDefault="00E81874" w:rsidP="00C07756">
            <w:pPr>
              <w:tabs>
                <w:tab w:val="left" w:leader="dot" w:pos="3720"/>
              </w:tabs>
              <w:spacing w:before="20" w:after="20"/>
              <w:rPr>
                <w:rFonts w:cs="Arial"/>
              </w:rPr>
            </w:pPr>
            <w:r>
              <w:t>5.2</w:t>
            </w:r>
          </w:p>
        </w:tc>
        <w:tc>
          <w:tcPr>
            <w:tcW w:w="4130" w:type="dxa"/>
            <w:gridSpan w:val="2"/>
            <w:tcBorders>
              <w:top w:val="dotted" w:sz="4" w:space="0" w:color="auto"/>
              <w:left w:val="dotted" w:sz="4" w:space="0" w:color="auto"/>
              <w:bottom w:val="dotted" w:sz="4" w:space="0" w:color="auto"/>
              <w:right w:val="dotted" w:sz="4" w:space="0" w:color="auto"/>
            </w:tcBorders>
          </w:tcPr>
          <w:p w14:paraId="4AF33515" w14:textId="77777777" w:rsidR="00E81874" w:rsidRPr="008C79E7" w:rsidRDefault="00E81874" w:rsidP="00C07756">
            <w:pPr>
              <w:widowControl w:val="0"/>
              <w:rPr>
                <w:rFonts w:cs="Arial"/>
              </w:rPr>
            </w:pPr>
            <w:r>
              <w:t>Vorbereitung PCR</w:t>
            </w:r>
          </w:p>
        </w:tc>
        <w:tc>
          <w:tcPr>
            <w:tcW w:w="4658" w:type="dxa"/>
            <w:gridSpan w:val="2"/>
            <w:tcBorders>
              <w:top w:val="dotted" w:sz="4" w:space="0" w:color="auto"/>
              <w:left w:val="dotted" w:sz="4" w:space="0" w:color="auto"/>
              <w:bottom w:val="dotted" w:sz="4" w:space="0" w:color="auto"/>
              <w:right w:val="dotted" w:sz="4" w:space="0" w:color="auto"/>
            </w:tcBorders>
          </w:tcPr>
          <w:p w14:paraId="6F484077" w14:textId="77777777" w:rsidR="00E81874" w:rsidRPr="008C79E7" w:rsidRDefault="00E81874" w:rsidP="00C07756">
            <w:pPr>
              <w:pStyle w:val="BasistekstNaktuinbouw"/>
              <w:tabs>
                <w:tab w:val="left" w:pos="284"/>
                <w:tab w:val="left" w:pos="3969"/>
              </w:tabs>
              <w:rPr>
                <w:rFonts w:eastAsia="Arial" w:cs="Arial"/>
                <w:spacing w:val="2"/>
                <w:szCs w:val="20"/>
              </w:rPr>
            </w:pPr>
            <w:r>
              <w:t>Jede DNS-Probe und einen handelsüblichen Echtzeit-PCR-Mastermix in die jeweiligen Vertiefungen für Test 1 und Test 2 pipettieren. Die Proben in einem Echtzeit-PCR-Gerät analysieren, das die Fluorophordaten aller Sonden auslesen kann, und darauf achten, dass die Reaktionsbedingungen für den verwendeten Mastermix geeignet sind.</w:t>
            </w:r>
          </w:p>
        </w:tc>
      </w:tr>
      <w:tr w:rsidR="00E81874" w:rsidRPr="008C79E7" w14:paraId="42C6243F" w14:textId="77777777" w:rsidTr="00C07756">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14:paraId="7EAFC33D" w14:textId="77777777" w:rsidR="00E81874" w:rsidRPr="008C79E7" w:rsidRDefault="00E81874" w:rsidP="00C07756">
            <w:pPr>
              <w:tabs>
                <w:tab w:val="left" w:leader="dot" w:pos="3720"/>
              </w:tabs>
              <w:spacing w:before="20" w:after="20"/>
              <w:rPr>
                <w:rFonts w:cs="Arial"/>
              </w:rPr>
            </w:pPr>
            <w:r>
              <w:t>6.</w:t>
            </w:r>
          </w:p>
        </w:tc>
        <w:tc>
          <w:tcPr>
            <w:tcW w:w="4130" w:type="dxa"/>
            <w:gridSpan w:val="2"/>
            <w:tcBorders>
              <w:top w:val="dotted" w:sz="4" w:space="0" w:color="auto"/>
              <w:left w:val="dotted" w:sz="4" w:space="0" w:color="auto"/>
              <w:bottom w:val="dotted" w:sz="4" w:space="0" w:color="auto"/>
              <w:right w:val="dotted" w:sz="4" w:space="0" w:color="auto"/>
            </w:tcBorders>
          </w:tcPr>
          <w:p w14:paraId="37E1FDB0" w14:textId="77777777" w:rsidR="00E81874" w:rsidRPr="008C79E7" w:rsidRDefault="00E81874" w:rsidP="00C07756">
            <w:pPr>
              <w:widowControl w:val="0"/>
              <w:rPr>
                <w:rFonts w:cs="Arial"/>
              </w:rPr>
            </w:pPr>
            <w:r>
              <w:t>PCR-Bedingungen</w:t>
            </w:r>
          </w:p>
        </w:tc>
        <w:tc>
          <w:tcPr>
            <w:tcW w:w="4658" w:type="dxa"/>
            <w:gridSpan w:val="2"/>
            <w:tcBorders>
              <w:top w:val="dotted" w:sz="4" w:space="0" w:color="auto"/>
              <w:left w:val="dotted" w:sz="4" w:space="0" w:color="auto"/>
              <w:bottom w:val="dotted" w:sz="4" w:space="0" w:color="auto"/>
              <w:right w:val="dotted" w:sz="4" w:space="0" w:color="auto"/>
            </w:tcBorders>
          </w:tcPr>
          <w:p w14:paraId="73CE0C98" w14:textId="77777777" w:rsidR="00E81874" w:rsidRPr="008C79E7" w:rsidRDefault="00E81874" w:rsidP="00C07756">
            <w:pPr>
              <w:widowControl w:val="0"/>
              <w:tabs>
                <w:tab w:val="left" w:pos="3969"/>
              </w:tabs>
              <w:rPr>
                <w:rFonts w:cs="Arial"/>
              </w:rPr>
            </w:pPr>
            <w:r>
              <w:t>(Ausführliches Prüfprotokoll erhältlich über Naktuinbouw</w:t>
            </w:r>
            <w:r w:rsidRPr="008C79E7">
              <w:rPr>
                <w:rStyle w:val="FootnoteReference"/>
                <w:rFonts w:cs="Arial"/>
              </w:rPr>
              <w:footnoteReference w:id="3"/>
            </w:r>
            <w:r>
              <w:t xml:space="preserve"> (NL))</w:t>
            </w:r>
          </w:p>
        </w:tc>
      </w:tr>
      <w:tr w:rsidR="00E81874" w:rsidRPr="008C79E7" w14:paraId="54A8B66E" w14:textId="77777777" w:rsidTr="00C07756">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14:paraId="466956A2" w14:textId="77777777" w:rsidR="00E81874" w:rsidRPr="008C79E7" w:rsidRDefault="00E81874" w:rsidP="00C07756">
            <w:pPr>
              <w:tabs>
                <w:tab w:val="left" w:leader="dot" w:pos="3720"/>
              </w:tabs>
              <w:spacing w:before="20" w:after="20"/>
              <w:rPr>
                <w:rFonts w:cs="Arial"/>
              </w:rPr>
            </w:pPr>
          </w:p>
        </w:tc>
        <w:tc>
          <w:tcPr>
            <w:tcW w:w="8788" w:type="dxa"/>
            <w:gridSpan w:val="4"/>
            <w:tcBorders>
              <w:top w:val="dotted" w:sz="4" w:space="0" w:color="auto"/>
              <w:left w:val="dotted" w:sz="4" w:space="0" w:color="auto"/>
              <w:bottom w:val="dotted" w:sz="4" w:space="0" w:color="auto"/>
              <w:right w:val="dotted" w:sz="4" w:space="0" w:color="auto"/>
            </w:tcBorders>
          </w:tcPr>
          <w:p w14:paraId="522D6535" w14:textId="77777777" w:rsidR="00E81874" w:rsidRDefault="00E81874" w:rsidP="00C07756">
            <w:pPr>
              <w:widowControl w:val="0"/>
              <w:tabs>
                <w:tab w:val="left" w:pos="284"/>
                <w:tab w:val="left" w:pos="3969"/>
              </w:tabs>
              <w:rPr>
                <w:rFonts w:cs="Arial"/>
              </w:rPr>
            </w:pPr>
            <w:r>
              <w:t>Test 1:</w:t>
            </w:r>
          </w:p>
          <w:tbl>
            <w:tblPr>
              <w:tblStyle w:val="TableGrid"/>
              <w:tblW w:w="4822" w:type="dxa"/>
              <w:tblInd w:w="881" w:type="dxa"/>
              <w:tblLayout w:type="fixed"/>
              <w:tblLook w:val="04A0" w:firstRow="1" w:lastRow="0" w:firstColumn="1" w:lastColumn="0" w:noHBand="0" w:noVBand="1"/>
            </w:tblPr>
            <w:tblGrid>
              <w:gridCol w:w="1268"/>
              <w:gridCol w:w="1361"/>
              <w:gridCol w:w="1057"/>
              <w:gridCol w:w="1136"/>
            </w:tblGrid>
            <w:tr w:rsidR="00E81874" w:rsidRPr="008C79E7" w14:paraId="2AF8379A" w14:textId="77777777" w:rsidTr="00C07756">
              <w:tc>
                <w:tcPr>
                  <w:tcW w:w="1268" w:type="dxa"/>
                </w:tcPr>
                <w:p w14:paraId="329092B9" w14:textId="77777777" w:rsidR="00E81874" w:rsidRPr="008C79E7" w:rsidRDefault="00E81874" w:rsidP="00C07756">
                  <w:pPr>
                    <w:jc w:val="center"/>
                    <w:rPr>
                      <w:rFonts w:cs="Arial"/>
                    </w:rPr>
                  </w:pPr>
                </w:p>
              </w:tc>
              <w:tc>
                <w:tcPr>
                  <w:tcW w:w="1361" w:type="dxa"/>
                </w:tcPr>
                <w:p w14:paraId="6F598F55" w14:textId="77777777" w:rsidR="00E81874" w:rsidRPr="0023048D" w:rsidRDefault="00E81874" w:rsidP="00C07756">
                  <w:pPr>
                    <w:jc w:val="center"/>
                    <w:rPr>
                      <w:rFonts w:cs="Arial"/>
                    </w:rPr>
                  </w:pPr>
                  <w:r>
                    <w:t>Temperatur</w:t>
                  </w:r>
                </w:p>
              </w:tc>
              <w:tc>
                <w:tcPr>
                  <w:tcW w:w="1057" w:type="dxa"/>
                </w:tcPr>
                <w:p w14:paraId="59DC9EB2" w14:textId="77777777" w:rsidR="00E81874" w:rsidRPr="0023048D" w:rsidRDefault="00E81874" w:rsidP="00C07756">
                  <w:pPr>
                    <w:jc w:val="center"/>
                    <w:rPr>
                      <w:rFonts w:cs="Arial"/>
                    </w:rPr>
                  </w:pPr>
                  <w:r>
                    <w:t>Zeit</w:t>
                  </w:r>
                </w:p>
              </w:tc>
              <w:tc>
                <w:tcPr>
                  <w:tcW w:w="1136" w:type="dxa"/>
                </w:tcPr>
                <w:p w14:paraId="7FC10560" w14:textId="77777777" w:rsidR="00E81874" w:rsidRPr="0023048D" w:rsidRDefault="00E81874" w:rsidP="00C07756">
                  <w:pPr>
                    <w:jc w:val="center"/>
                    <w:rPr>
                      <w:rFonts w:cs="Arial"/>
                    </w:rPr>
                  </w:pPr>
                  <w:r>
                    <w:t>Anstiegsgeschwindigkeit</w:t>
                  </w:r>
                </w:p>
              </w:tc>
            </w:tr>
            <w:tr w:rsidR="00E81874" w:rsidRPr="008C79E7" w14:paraId="30602B46" w14:textId="77777777" w:rsidTr="00C07756">
              <w:tc>
                <w:tcPr>
                  <w:tcW w:w="1268" w:type="dxa"/>
                </w:tcPr>
                <w:p w14:paraId="0F79CF03" w14:textId="77777777" w:rsidR="00E81874" w:rsidRPr="0023048D" w:rsidRDefault="00E81874" w:rsidP="00C07756">
                  <w:pPr>
                    <w:jc w:val="center"/>
                    <w:rPr>
                      <w:rFonts w:cs="Arial"/>
                    </w:rPr>
                  </w:pPr>
                  <w:r>
                    <w:t>Erstaktivierung</w:t>
                  </w:r>
                </w:p>
                <w:p w14:paraId="4F07652E" w14:textId="77777777" w:rsidR="00E81874" w:rsidRPr="0023048D" w:rsidRDefault="00E81874" w:rsidP="00C07756">
                  <w:pPr>
                    <w:jc w:val="center"/>
                    <w:rPr>
                      <w:rFonts w:cs="Arial"/>
                    </w:rPr>
                  </w:pPr>
                  <w:r>
                    <w:t>des Enzyms</w:t>
                  </w:r>
                </w:p>
              </w:tc>
              <w:tc>
                <w:tcPr>
                  <w:tcW w:w="1361" w:type="dxa"/>
                </w:tcPr>
                <w:p w14:paraId="69C16D4D" w14:textId="77777777" w:rsidR="00E81874" w:rsidRPr="0023048D" w:rsidRDefault="00E81874" w:rsidP="00C07756">
                  <w:pPr>
                    <w:jc w:val="center"/>
                    <w:rPr>
                      <w:rFonts w:cs="Arial"/>
                    </w:rPr>
                  </w:pPr>
                  <w:r>
                    <w:t>95°C</w:t>
                  </w:r>
                </w:p>
              </w:tc>
              <w:tc>
                <w:tcPr>
                  <w:tcW w:w="1057" w:type="dxa"/>
                </w:tcPr>
                <w:p w14:paraId="3C8B09C6" w14:textId="77777777" w:rsidR="00E81874" w:rsidRPr="0023048D" w:rsidRDefault="00E81874" w:rsidP="00C07756">
                  <w:pPr>
                    <w:jc w:val="center"/>
                    <w:rPr>
                      <w:rFonts w:cs="Arial"/>
                    </w:rPr>
                  </w:pPr>
                  <w:r>
                    <w:t>2' 00"</w:t>
                  </w:r>
                </w:p>
              </w:tc>
              <w:tc>
                <w:tcPr>
                  <w:tcW w:w="1136" w:type="dxa"/>
                </w:tcPr>
                <w:p w14:paraId="3D02D2DD" w14:textId="77777777" w:rsidR="00E81874" w:rsidRPr="0023048D" w:rsidRDefault="00E81874" w:rsidP="00C07756">
                  <w:pPr>
                    <w:jc w:val="center"/>
                    <w:rPr>
                      <w:rFonts w:cs="Arial"/>
                    </w:rPr>
                  </w:pPr>
                </w:p>
              </w:tc>
            </w:tr>
            <w:tr w:rsidR="00E81874" w:rsidRPr="008C79E7" w14:paraId="26F5D60A" w14:textId="77777777" w:rsidTr="00C07756">
              <w:tc>
                <w:tcPr>
                  <w:tcW w:w="1268" w:type="dxa"/>
                </w:tcPr>
                <w:p w14:paraId="7468DEBD" w14:textId="77777777" w:rsidR="00E81874" w:rsidRPr="0023048D" w:rsidRDefault="00E81874" w:rsidP="00C07756">
                  <w:pPr>
                    <w:jc w:val="center"/>
                    <w:rPr>
                      <w:rFonts w:cs="Arial"/>
                    </w:rPr>
                  </w:pPr>
                  <w:r>
                    <w:t>40 Zyklen</w:t>
                  </w:r>
                </w:p>
              </w:tc>
              <w:tc>
                <w:tcPr>
                  <w:tcW w:w="1361" w:type="dxa"/>
                </w:tcPr>
                <w:p w14:paraId="7635EF58" w14:textId="77777777" w:rsidR="00E81874" w:rsidRPr="0023048D" w:rsidRDefault="00E81874" w:rsidP="00C07756">
                  <w:pPr>
                    <w:jc w:val="center"/>
                    <w:rPr>
                      <w:rFonts w:cs="Arial"/>
                    </w:rPr>
                  </w:pPr>
                  <w:r>
                    <w:t>95°C</w:t>
                  </w:r>
                </w:p>
              </w:tc>
              <w:tc>
                <w:tcPr>
                  <w:tcW w:w="1057" w:type="dxa"/>
                </w:tcPr>
                <w:p w14:paraId="0E2BF862" w14:textId="77777777" w:rsidR="00E81874" w:rsidRPr="0023048D" w:rsidRDefault="00E81874" w:rsidP="00C07756">
                  <w:pPr>
                    <w:jc w:val="center"/>
                    <w:rPr>
                      <w:rFonts w:cs="Arial"/>
                    </w:rPr>
                  </w:pPr>
                  <w:r>
                    <w:t>0' 15"</w:t>
                  </w:r>
                </w:p>
              </w:tc>
              <w:tc>
                <w:tcPr>
                  <w:tcW w:w="1136" w:type="dxa"/>
                </w:tcPr>
                <w:p w14:paraId="47E4935B" w14:textId="77777777" w:rsidR="00E81874" w:rsidRPr="0023048D" w:rsidRDefault="00E81874" w:rsidP="00C07756">
                  <w:pPr>
                    <w:jc w:val="center"/>
                    <w:rPr>
                      <w:rFonts w:cs="Arial"/>
                    </w:rPr>
                  </w:pPr>
                  <w:r>
                    <w:t>5˚C/sec</w:t>
                  </w:r>
                </w:p>
              </w:tc>
            </w:tr>
            <w:tr w:rsidR="00E81874" w:rsidRPr="008C79E7" w14:paraId="7CCA7F64" w14:textId="77777777" w:rsidTr="00C07756">
              <w:tc>
                <w:tcPr>
                  <w:tcW w:w="1268" w:type="dxa"/>
                </w:tcPr>
                <w:p w14:paraId="4020F827" w14:textId="77777777" w:rsidR="00E81874" w:rsidRPr="0023048D" w:rsidRDefault="00E81874" w:rsidP="00C07756">
                  <w:pPr>
                    <w:jc w:val="center"/>
                    <w:rPr>
                      <w:rFonts w:cs="Arial"/>
                    </w:rPr>
                  </w:pPr>
                </w:p>
              </w:tc>
              <w:tc>
                <w:tcPr>
                  <w:tcW w:w="1361" w:type="dxa"/>
                </w:tcPr>
                <w:p w14:paraId="4BDCC4B0" w14:textId="77777777" w:rsidR="00E81874" w:rsidRPr="0023048D" w:rsidRDefault="00E81874" w:rsidP="00C07756">
                  <w:pPr>
                    <w:jc w:val="center"/>
                    <w:rPr>
                      <w:rFonts w:cs="Arial"/>
                    </w:rPr>
                  </w:pPr>
                  <w:r>
                    <w:t>65°C</w:t>
                  </w:r>
                </w:p>
              </w:tc>
              <w:tc>
                <w:tcPr>
                  <w:tcW w:w="1057" w:type="dxa"/>
                </w:tcPr>
                <w:p w14:paraId="6F726994" w14:textId="77777777" w:rsidR="00E81874" w:rsidRPr="0023048D" w:rsidRDefault="00E81874" w:rsidP="00C07756">
                  <w:pPr>
                    <w:jc w:val="center"/>
                    <w:rPr>
                      <w:rFonts w:cs="Arial"/>
                    </w:rPr>
                  </w:pPr>
                  <w:r>
                    <w:t>0' 48"</w:t>
                  </w:r>
                </w:p>
              </w:tc>
              <w:tc>
                <w:tcPr>
                  <w:tcW w:w="1136" w:type="dxa"/>
                </w:tcPr>
                <w:p w14:paraId="13494436" w14:textId="77777777" w:rsidR="00E81874" w:rsidRPr="0023048D" w:rsidRDefault="00E81874" w:rsidP="00C07756">
                  <w:pPr>
                    <w:jc w:val="center"/>
                    <w:rPr>
                      <w:rFonts w:cs="Arial"/>
                    </w:rPr>
                  </w:pPr>
                  <w:r>
                    <w:t>5˚C/sec</w:t>
                  </w:r>
                </w:p>
              </w:tc>
            </w:tr>
          </w:tbl>
          <w:p w14:paraId="7F860CDF" w14:textId="77777777" w:rsidR="00E81874" w:rsidRPr="008C79E7" w:rsidRDefault="00E81874" w:rsidP="00C07756">
            <w:pPr>
              <w:widowControl w:val="0"/>
              <w:tabs>
                <w:tab w:val="left" w:pos="284"/>
                <w:tab w:val="left" w:pos="3969"/>
              </w:tabs>
              <w:rPr>
                <w:rFonts w:cs="Arial"/>
              </w:rPr>
            </w:pPr>
          </w:p>
        </w:tc>
      </w:tr>
      <w:tr w:rsidR="00E81874" w:rsidRPr="008C79E7" w14:paraId="670C25E4" w14:textId="77777777" w:rsidTr="00C07756">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14:paraId="676B77B2" w14:textId="77777777" w:rsidR="00E81874" w:rsidRPr="008C79E7" w:rsidRDefault="00E81874" w:rsidP="00C07756">
            <w:pPr>
              <w:tabs>
                <w:tab w:val="left" w:leader="dot" w:pos="3720"/>
              </w:tabs>
              <w:spacing w:before="20" w:after="20"/>
              <w:rPr>
                <w:rFonts w:cs="Arial"/>
              </w:rPr>
            </w:pPr>
          </w:p>
        </w:tc>
        <w:tc>
          <w:tcPr>
            <w:tcW w:w="8788" w:type="dxa"/>
            <w:gridSpan w:val="4"/>
            <w:tcBorders>
              <w:top w:val="dotted" w:sz="4" w:space="0" w:color="auto"/>
              <w:left w:val="dotted" w:sz="4" w:space="0" w:color="auto"/>
              <w:bottom w:val="dotted" w:sz="4" w:space="0" w:color="auto"/>
              <w:right w:val="dotted" w:sz="4" w:space="0" w:color="auto"/>
            </w:tcBorders>
          </w:tcPr>
          <w:p w14:paraId="20DBCA6C" w14:textId="77777777" w:rsidR="00E81874" w:rsidRPr="008C79E7" w:rsidRDefault="00E81874" w:rsidP="00C07756">
            <w:pPr>
              <w:widowControl w:val="0"/>
              <w:rPr>
                <w:rFonts w:cs="Arial"/>
              </w:rPr>
            </w:pPr>
            <w:r>
              <w:t>Test 2:</w:t>
            </w:r>
          </w:p>
          <w:tbl>
            <w:tblPr>
              <w:tblStyle w:val="TableGrid"/>
              <w:tblW w:w="4822" w:type="dxa"/>
              <w:tblInd w:w="881" w:type="dxa"/>
              <w:tblLayout w:type="fixed"/>
              <w:tblLook w:val="04A0" w:firstRow="1" w:lastRow="0" w:firstColumn="1" w:lastColumn="0" w:noHBand="0" w:noVBand="1"/>
            </w:tblPr>
            <w:tblGrid>
              <w:gridCol w:w="1235"/>
              <w:gridCol w:w="1493"/>
              <w:gridCol w:w="992"/>
              <w:gridCol w:w="1102"/>
            </w:tblGrid>
            <w:tr w:rsidR="00E81874" w:rsidRPr="008C79E7" w14:paraId="191FEF4D" w14:textId="77777777" w:rsidTr="00C07756">
              <w:tc>
                <w:tcPr>
                  <w:tcW w:w="1235" w:type="dxa"/>
                </w:tcPr>
                <w:p w14:paraId="2AF15426" w14:textId="77777777" w:rsidR="00E81874" w:rsidRPr="008C79E7" w:rsidRDefault="00E81874" w:rsidP="00C07756">
                  <w:pPr>
                    <w:jc w:val="center"/>
                    <w:rPr>
                      <w:rFonts w:cs="Arial"/>
                    </w:rPr>
                  </w:pPr>
                </w:p>
              </w:tc>
              <w:tc>
                <w:tcPr>
                  <w:tcW w:w="1493" w:type="dxa"/>
                </w:tcPr>
                <w:p w14:paraId="0735F127" w14:textId="77777777" w:rsidR="00E81874" w:rsidRPr="008C79E7" w:rsidRDefault="00E81874" w:rsidP="00C07756">
                  <w:pPr>
                    <w:jc w:val="center"/>
                    <w:rPr>
                      <w:rFonts w:cs="Arial"/>
                    </w:rPr>
                  </w:pPr>
                  <w:r>
                    <w:t>Temperatur</w:t>
                  </w:r>
                </w:p>
              </w:tc>
              <w:tc>
                <w:tcPr>
                  <w:tcW w:w="992" w:type="dxa"/>
                </w:tcPr>
                <w:p w14:paraId="3B711340" w14:textId="77777777" w:rsidR="00E81874" w:rsidRPr="008C79E7" w:rsidRDefault="00E81874" w:rsidP="00C07756">
                  <w:pPr>
                    <w:jc w:val="center"/>
                    <w:rPr>
                      <w:rFonts w:cs="Arial"/>
                    </w:rPr>
                  </w:pPr>
                  <w:r>
                    <w:t>Zeit</w:t>
                  </w:r>
                </w:p>
              </w:tc>
              <w:tc>
                <w:tcPr>
                  <w:tcW w:w="1102" w:type="dxa"/>
                </w:tcPr>
                <w:p w14:paraId="7BFC4CEC" w14:textId="77777777" w:rsidR="00E81874" w:rsidRPr="008C79E7" w:rsidRDefault="00E81874" w:rsidP="00C07756">
                  <w:pPr>
                    <w:jc w:val="center"/>
                    <w:rPr>
                      <w:rFonts w:cs="Arial"/>
                    </w:rPr>
                  </w:pPr>
                  <w:r>
                    <w:t>Anstiegsgeschwindigkeit</w:t>
                  </w:r>
                </w:p>
              </w:tc>
            </w:tr>
            <w:tr w:rsidR="00E81874" w:rsidRPr="008C79E7" w14:paraId="4A8A52D9" w14:textId="77777777" w:rsidTr="00C07756">
              <w:tc>
                <w:tcPr>
                  <w:tcW w:w="1235" w:type="dxa"/>
                </w:tcPr>
                <w:p w14:paraId="792C104C" w14:textId="77777777" w:rsidR="00E81874" w:rsidRPr="008C79E7" w:rsidRDefault="00E81874" w:rsidP="00C07756">
                  <w:pPr>
                    <w:jc w:val="center"/>
                    <w:rPr>
                      <w:rFonts w:cs="Arial"/>
                    </w:rPr>
                  </w:pPr>
                </w:p>
              </w:tc>
              <w:tc>
                <w:tcPr>
                  <w:tcW w:w="1493" w:type="dxa"/>
                </w:tcPr>
                <w:p w14:paraId="2A7A1DB6" w14:textId="77777777" w:rsidR="00E81874" w:rsidRPr="008C79E7" w:rsidRDefault="00E81874" w:rsidP="00C07756">
                  <w:pPr>
                    <w:jc w:val="center"/>
                    <w:rPr>
                      <w:rFonts w:cs="Arial"/>
                    </w:rPr>
                  </w:pPr>
                  <w:r>
                    <w:t>95°C</w:t>
                  </w:r>
                </w:p>
              </w:tc>
              <w:tc>
                <w:tcPr>
                  <w:tcW w:w="992" w:type="dxa"/>
                </w:tcPr>
                <w:p w14:paraId="29D28A63" w14:textId="77777777" w:rsidR="00E81874" w:rsidRPr="008C79E7" w:rsidRDefault="00E81874" w:rsidP="00C07756">
                  <w:pPr>
                    <w:jc w:val="center"/>
                    <w:rPr>
                      <w:rFonts w:cs="Arial"/>
                    </w:rPr>
                  </w:pPr>
                  <w:r>
                    <w:t>2' 00"</w:t>
                  </w:r>
                </w:p>
              </w:tc>
              <w:tc>
                <w:tcPr>
                  <w:tcW w:w="1102" w:type="dxa"/>
                </w:tcPr>
                <w:p w14:paraId="0D13C572" w14:textId="77777777" w:rsidR="00E81874" w:rsidRPr="008C79E7" w:rsidRDefault="00E81874" w:rsidP="00C07756">
                  <w:pPr>
                    <w:jc w:val="center"/>
                    <w:rPr>
                      <w:rFonts w:cs="Arial"/>
                    </w:rPr>
                  </w:pPr>
                </w:p>
              </w:tc>
            </w:tr>
            <w:tr w:rsidR="00E81874" w:rsidRPr="008C79E7" w14:paraId="60E00BF3" w14:textId="77777777" w:rsidTr="00C07756">
              <w:tc>
                <w:tcPr>
                  <w:tcW w:w="1235" w:type="dxa"/>
                </w:tcPr>
                <w:p w14:paraId="37991DA8" w14:textId="77777777" w:rsidR="00E81874" w:rsidRPr="008C79E7" w:rsidRDefault="00E81874" w:rsidP="00C07756">
                  <w:pPr>
                    <w:jc w:val="center"/>
                    <w:rPr>
                      <w:rFonts w:cs="Arial"/>
                    </w:rPr>
                  </w:pPr>
                  <w:r>
                    <w:t>40 Zyklen</w:t>
                  </w:r>
                </w:p>
              </w:tc>
              <w:tc>
                <w:tcPr>
                  <w:tcW w:w="1493" w:type="dxa"/>
                </w:tcPr>
                <w:p w14:paraId="0813932C" w14:textId="77777777" w:rsidR="00E81874" w:rsidRPr="008C79E7" w:rsidRDefault="00E81874" w:rsidP="00C07756">
                  <w:pPr>
                    <w:jc w:val="center"/>
                    <w:rPr>
                      <w:rFonts w:cs="Arial"/>
                    </w:rPr>
                  </w:pPr>
                  <w:r>
                    <w:t>95°C</w:t>
                  </w:r>
                </w:p>
              </w:tc>
              <w:tc>
                <w:tcPr>
                  <w:tcW w:w="992" w:type="dxa"/>
                </w:tcPr>
                <w:p w14:paraId="7201A9FE" w14:textId="77777777" w:rsidR="00E81874" w:rsidRPr="008C79E7" w:rsidRDefault="00E81874" w:rsidP="00C07756">
                  <w:pPr>
                    <w:jc w:val="center"/>
                    <w:rPr>
                      <w:rFonts w:cs="Arial"/>
                    </w:rPr>
                  </w:pPr>
                  <w:r>
                    <w:t>0' 15"</w:t>
                  </w:r>
                </w:p>
              </w:tc>
              <w:tc>
                <w:tcPr>
                  <w:tcW w:w="1102" w:type="dxa"/>
                </w:tcPr>
                <w:p w14:paraId="44E35927" w14:textId="77777777" w:rsidR="00E81874" w:rsidRPr="008C79E7" w:rsidRDefault="00E81874" w:rsidP="00C07756">
                  <w:pPr>
                    <w:jc w:val="center"/>
                    <w:rPr>
                      <w:rFonts w:cs="Arial"/>
                    </w:rPr>
                  </w:pPr>
                  <w:r>
                    <w:t>5˚C/sec</w:t>
                  </w:r>
                </w:p>
              </w:tc>
            </w:tr>
            <w:tr w:rsidR="00E81874" w:rsidRPr="008C79E7" w14:paraId="01A6E980" w14:textId="77777777" w:rsidTr="00C07756">
              <w:tc>
                <w:tcPr>
                  <w:tcW w:w="1235" w:type="dxa"/>
                </w:tcPr>
                <w:p w14:paraId="0E3760DE" w14:textId="77777777" w:rsidR="00E81874" w:rsidRPr="008C79E7" w:rsidRDefault="00E81874" w:rsidP="00C07756">
                  <w:pPr>
                    <w:jc w:val="center"/>
                    <w:rPr>
                      <w:rFonts w:cs="Arial"/>
                    </w:rPr>
                  </w:pPr>
                </w:p>
              </w:tc>
              <w:tc>
                <w:tcPr>
                  <w:tcW w:w="1493" w:type="dxa"/>
                </w:tcPr>
                <w:p w14:paraId="7D8BD439" w14:textId="77777777" w:rsidR="00E81874" w:rsidRPr="008C79E7" w:rsidRDefault="00E81874" w:rsidP="00C07756">
                  <w:pPr>
                    <w:jc w:val="center"/>
                    <w:rPr>
                      <w:rFonts w:cs="Arial"/>
                    </w:rPr>
                  </w:pPr>
                  <w:r>
                    <w:t>60°C</w:t>
                  </w:r>
                </w:p>
              </w:tc>
              <w:tc>
                <w:tcPr>
                  <w:tcW w:w="992" w:type="dxa"/>
                </w:tcPr>
                <w:p w14:paraId="78599C05" w14:textId="77777777" w:rsidR="00E81874" w:rsidRPr="008C79E7" w:rsidRDefault="00E81874" w:rsidP="00C07756">
                  <w:pPr>
                    <w:jc w:val="center"/>
                    <w:rPr>
                      <w:rFonts w:cs="Arial"/>
                    </w:rPr>
                  </w:pPr>
                  <w:r>
                    <w:t>0' 48"</w:t>
                  </w:r>
                </w:p>
              </w:tc>
              <w:tc>
                <w:tcPr>
                  <w:tcW w:w="1102" w:type="dxa"/>
                </w:tcPr>
                <w:p w14:paraId="20C35BD6" w14:textId="77777777" w:rsidR="00E81874" w:rsidRPr="008C79E7" w:rsidRDefault="00E81874" w:rsidP="00C07756">
                  <w:pPr>
                    <w:jc w:val="center"/>
                    <w:rPr>
                      <w:rFonts w:cs="Arial"/>
                    </w:rPr>
                  </w:pPr>
                  <w:r>
                    <w:t>5˚C/sec</w:t>
                  </w:r>
                </w:p>
              </w:tc>
            </w:tr>
          </w:tbl>
          <w:p w14:paraId="7B589549" w14:textId="77777777" w:rsidR="00E81874" w:rsidRDefault="00E81874" w:rsidP="00C07756">
            <w:pPr>
              <w:widowControl w:val="0"/>
              <w:tabs>
                <w:tab w:val="left" w:pos="284"/>
                <w:tab w:val="left" w:pos="3969"/>
              </w:tabs>
              <w:ind w:left="887"/>
              <w:rPr>
                <w:rFonts w:cs="Arial"/>
              </w:rPr>
            </w:pPr>
            <w:r>
              <w:t>Analyse zum RFU-Endpunkt.</w:t>
            </w:r>
          </w:p>
          <w:p w14:paraId="1063FDCC" w14:textId="77777777" w:rsidR="00E81874" w:rsidRPr="008C79E7" w:rsidRDefault="00E81874" w:rsidP="00C07756">
            <w:pPr>
              <w:widowControl w:val="0"/>
              <w:tabs>
                <w:tab w:val="left" w:pos="284"/>
                <w:tab w:val="left" w:pos="3969"/>
              </w:tabs>
              <w:rPr>
                <w:rFonts w:cs="Arial"/>
              </w:rPr>
            </w:pPr>
          </w:p>
        </w:tc>
      </w:tr>
      <w:tr w:rsidR="00E81874" w:rsidRPr="008C79E7" w14:paraId="54E31A5B" w14:textId="77777777" w:rsidTr="00C07756">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14:paraId="5816912A" w14:textId="77777777" w:rsidR="00E81874" w:rsidRPr="008C79E7" w:rsidRDefault="00E81874" w:rsidP="00C07756">
            <w:pPr>
              <w:tabs>
                <w:tab w:val="left" w:leader="dot" w:pos="3720"/>
              </w:tabs>
              <w:spacing w:before="20" w:after="20"/>
              <w:rPr>
                <w:rFonts w:cs="Arial"/>
              </w:rPr>
            </w:pPr>
            <w:r>
              <w:t>7.</w:t>
            </w:r>
          </w:p>
        </w:tc>
        <w:tc>
          <w:tcPr>
            <w:tcW w:w="4130" w:type="dxa"/>
            <w:gridSpan w:val="2"/>
            <w:tcBorders>
              <w:top w:val="dotted" w:sz="4" w:space="0" w:color="auto"/>
              <w:left w:val="dotted" w:sz="4" w:space="0" w:color="auto"/>
              <w:bottom w:val="dotted" w:sz="4" w:space="0" w:color="auto"/>
              <w:right w:val="dotted" w:sz="4" w:space="0" w:color="auto"/>
            </w:tcBorders>
          </w:tcPr>
          <w:p w14:paraId="74CBE354" w14:textId="77777777" w:rsidR="00E81874" w:rsidRPr="008C79E7" w:rsidRDefault="00E81874" w:rsidP="00C07756">
            <w:pPr>
              <w:widowControl w:val="0"/>
              <w:rPr>
                <w:rFonts w:cs="Arial"/>
              </w:rPr>
            </w:pPr>
            <w:r>
              <w:t>Erfassungen</w:t>
            </w:r>
          </w:p>
        </w:tc>
        <w:tc>
          <w:tcPr>
            <w:tcW w:w="4658" w:type="dxa"/>
            <w:gridSpan w:val="2"/>
            <w:tcBorders>
              <w:top w:val="dotted" w:sz="4" w:space="0" w:color="auto"/>
              <w:left w:val="dotted" w:sz="4" w:space="0" w:color="auto"/>
              <w:bottom w:val="dotted" w:sz="4" w:space="0" w:color="auto"/>
              <w:right w:val="dotted" w:sz="4" w:space="0" w:color="auto"/>
            </w:tcBorders>
          </w:tcPr>
          <w:p w14:paraId="4CDCFD02" w14:textId="77777777" w:rsidR="00E81874" w:rsidRPr="008C79E7" w:rsidRDefault="00E81874" w:rsidP="00C07756">
            <w:pPr>
              <w:widowControl w:val="0"/>
              <w:tabs>
                <w:tab w:val="left" w:pos="3969"/>
              </w:tabs>
              <w:rPr>
                <w:rFonts w:cs="Arial"/>
              </w:rPr>
            </w:pPr>
          </w:p>
        </w:tc>
      </w:tr>
      <w:tr w:rsidR="00E81874" w:rsidRPr="008C79E7" w14:paraId="56108036" w14:textId="77777777" w:rsidTr="00C07756">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14:paraId="2776ECBA" w14:textId="77777777" w:rsidR="00E81874" w:rsidRPr="008C79E7" w:rsidRDefault="00E81874" w:rsidP="00C07756">
            <w:pPr>
              <w:tabs>
                <w:tab w:val="left" w:leader="dot" w:pos="3720"/>
              </w:tabs>
              <w:spacing w:before="20" w:after="20"/>
              <w:rPr>
                <w:rFonts w:cs="Arial"/>
              </w:rPr>
            </w:pPr>
            <w:r>
              <w:t>7.1</w:t>
            </w:r>
          </w:p>
        </w:tc>
        <w:tc>
          <w:tcPr>
            <w:tcW w:w="4130" w:type="dxa"/>
            <w:gridSpan w:val="2"/>
            <w:tcBorders>
              <w:top w:val="dotted" w:sz="4" w:space="0" w:color="auto"/>
              <w:left w:val="dotted" w:sz="4" w:space="0" w:color="auto"/>
              <w:bottom w:val="dotted" w:sz="4" w:space="0" w:color="auto"/>
              <w:right w:val="dotted" w:sz="4" w:space="0" w:color="auto"/>
            </w:tcBorders>
          </w:tcPr>
          <w:p w14:paraId="186462FB" w14:textId="77777777" w:rsidR="00E81874" w:rsidRPr="008C79E7" w:rsidRDefault="00E81874" w:rsidP="00C07756">
            <w:pPr>
              <w:widowControl w:val="0"/>
              <w:rPr>
                <w:rFonts w:cs="Arial"/>
              </w:rPr>
            </w:pPr>
            <w:r>
              <w:t>Erfassungsskala</w:t>
            </w:r>
          </w:p>
        </w:tc>
        <w:tc>
          <w:tcPr>
            <w:tcW w:w="4658" w:type="dxa"/>
            <w:gridSpan w:val="2"/>
            <w:tcBorders>
              <w:top w:val="dotted" w:sz="4" w:space="0" w:color="auto"/>
              <w:left w:val="dotted" w:sz="4" w:space="0" w:color="auto"/>
              <w:bottom w:val="dotted" w:sz="4" w:space="0" w:color="auto"/>
              <w:right w:val="dotted" w:sz="4" w:space="0" w:color="auto"/>
            </w:tcBorders>
          </w:tcPr>
          <w:p w14:paraId="5E35EEA1" w14:textId="77777777" w:rsidR="00E81874" w:rsidRPr="008C79E7" w:rsidRDefault="00E81874" w:rsidP="00C07756">
            <w:pPr>
              <w:widowControl w:val="0"/>
              <w:tabs>
                <w:tab w:val="left" w:pos="284"/>
                <w:tab w:val="left" w:pos="3969"/>
              </w:tabs>
              <w:rPr>
                <w:rFonts w:cs="Arial"/>
              </w:rPr>
            </w:pPr>
          </w:p>
        </w:tc>
      </w:tr>
      <w:tr w:rsidR="00E81874" w:rsidRPr="008C79E7" w14:paraId="0F5ADF5F" w14:textId="77777777" w:rsidTr="00C07756">
        <w:tblPrEx>
          <w:tblLook w:val="04A0" w:firstRow="1" w:lastRow="0" w:firstColumn="1" w:lastColumn="0" w:noHBand="0" w:noVBand="1"/>
        </w:tblPrEx>
        <w:trPr>
          <w:cantSplit/>
        </w:trPr>
        <w:tc>
          <w:tcPr>
            <w:tcW w:w="9776" w:type="dxa"/>
            <w:gridSpan w:val="6"/>
            <w:tcBorders>
              <w:top w:val="dotted" w:sz="4" w:space="0" w:color="auto"/>
              <w:left w:val="dotted" w:sz="4" w:space="0" w:color="auto"/>
              <w:bottom w:val="dotted" w:sz="4" w:space="0" w:color="auto"/>
              <w:right w:val="dotted" w:sz="4" w:space="0" w:color="auto"/>
            </w:tcBorders>
          </w:tcPr>
          <w:p w14:paraId="52137CC5" w14:textId="77777777" w:rsidR="00E81874" w:rsidRPr="008C79E7" w:rsidRDefault="00E81874" w:rsidP="00C07756">
            <w:pPr>
              <w:widowControl w:val="0"/>
              <w:tabs>
                <w:tab w:val="left" w:pos="284"/>
                <w:tab w:val="left" w:pos="3969"/>
              </w:tabs>
              <w:rPr>
                <w:rFonts w:cs="Arial"/>
              </w:rPr>
            </w:pPr>
            <w:r>
              <w:t>Test 1:</w:t>
            </w:r>
          </w:p>
          <w:tbl>
            <w:tblPr>
              <w:tblStyle w:val="TableGrid"/>
              <w:tblW w:w="8675" w:type="dxa"/>
              <w:tblInd w:w="875" w:type="dxa"/>
              <w:tblLayout w:type="fixed"/>
              <w:tblLook w:val="04A0" w:firstRow="1" w:lastRow="0" w:firstColumn="1" w:lastColumn="0" w:noHBand="0" w:noVBand="1"/>
            </w:tblPr>
            <w:tblGrid>
              <w:gridCol w:w="2551"/>
              <w:gridCol w:w="2722"/>
              <w:gridCol w:w="3402"/>
            </w:tblGrid>
            <w:tr w:rsidR="00E81874" w:rsidRPr="008C79E7" w14:paraId="3ED90AF0" w14:textId="77777777" w:rsidTr="00C07756">
              <w:tc>
                <w:tcPr>
                  <w:tcW w:w="2551" w:type="dxa"/>
                </w:tcPr>
                <w:p w14:paraId="50A673A6" w14:textId="77777777" w:rsidR="00E81874" w:rsidRPr="008C79E7" w:rsidRDefault="00E81874" w:rsidP="00C07756">
                  <w:pPr>
                    <w:jc w:val="center"/>
                    <w:rPr>
                      <w:rFonts w:cs="Arial"/>
                    </w:rPr>
                  </w:pPr>
                  <w:r>
                    <w:t>Signalgebendes Fluorophor</w:t>
                  </w:r>
                </w:p>
              </w:tc>
              <w:tc>
                <w:tcPr>
                  <w:tcW w:w="2722" w:type="dxa"/>
                </w:tcPr>
                <w:p w14:paraId="1CAF783B" w14:textId="77777777" w:rsidR="00E81874" w:rsidRPr="008C79E7" w:rsidRDefault="00E81874" w:rsidP="00C07756">
                  <w:pPr>
                    <w:rPr>
                      <w:rFonts w:cs="Arial"/>
                    </w:rPr>
                  </w:pPr>
                </w:p>
              </w:tc>
              <w:tc>
                <w:tcPr>
                  <w:tcW w:w="3402" w:type="dxa"/>
                </w:tcPr>
                <w:p w14:paraId="12A42982" w14:textId="77777777" w:rsidR="00E81874" w:rsidRPr="008C79E7" w:rsidRDefault="00E81874" w:rsidP="00C07756">
                  <w:pPr>
                    <w:rPr>
                      <w:rFonts w:cs="Arial"/>
                    </w:rPr>
                  </w:pPr>
                </w:p>
              </w:tc>
            </w:tr>
            <w:tr w:rsidR="00E81874" w:rsidRPr="007B633C" w14:paraId="6F78627A" w14:textId="77777777" w:rsidTr="00C07756">
              <w:tc>
                <w:tcPr>
                  <w:tcW w:w="2551" w:type="dxa"/>
                </w:tcPr>
                <w:p w14:paraId="27856132" w14:textId="77777777" w:rsidR="00E81874" w:rsidRPr="008C79E7" w:rsidRDefault="00E81874" w:rsidP="00C07756">
                  <w:pPr>
                    <w:jc w:val="center"/>
                    <w:rPr>
                      <w:rFonts w:cs="Arial"/>
                    </w:rPr>
                  </w:pPr>
                  <w:r>
                    <w:rPr>
                      <w:color w:val="000000" w:themeColor="text1"/>
                    </w:rPr>
                    <w:t>FAM (</w:t>
                  </w:r>
                  <w:r>
                    <w:rPr>
                      <w:i/>
                      <w:color w:val="000000" w:themeColor="text1"/>
                    </w:rPr>
                    <w:t>mo1</w:t>
                  </w:r>
                  <w:r>
                    <w:rPr>
                      <w:i/>
                      <w:color w:val="000000" w:themeColor="text1"/>
                      <w:vertAlign w:val="superscript"/>
                    </w:rPr>
                    <w:t>1</w:t>
                  </w:r>
                  <w:r>
                    <w:rPr>
                      <w:color w:val="000000" w:themeColor="text1"/>
                    </w:rPr>
                    <w:t>)</w:t>
                  </w:r>
                </w:p>
              </w:tc>
              <w:tc>
                <w:tcPr>
                  <w:tcW w:w="2722" w:type="dxa"/>
                </w:tcPr>
                <w:p w14:paraId="42EE83FF" w14:textId="77777777" w:rsidR="00E81874" w:rsidRPr="0052329D" w:rsidRDefault="00E81874" w:rsidP="00C07756">
                  <w:pPr>
                    <w:jc w:val="center"/>
                    <w:rPr>
                      <w:rFonts w:cs="Arial"/>
                      <w:lang w:val="en-US"/>
                    </w:rPr>
                  </w:pPr>
                  <w:r w:rsidRPr="0052329D">
                    <w:rPr>
                      <w:color w:val="000000" w:themeColor="text1"/>
                      <w:lang w:val="en-US"/>
                    </w:rPr>
                    <w:t>Texas Red (</w:t>
                  </w:r>
                  <w:r w:rsidRPr="0052329D">
                    <w:rPr>
                      <w:i/>
                      <w:color w:val="000000" w:themeColor="text1"/>
                      <w:lang w:val="en-US"/>
                    </w:rPr>
                    <w:t>mo1</w:t>
                  </w:r>
                  <w:r w:rsidRPr="0052329D">
                    <w:rPr>
                      <w:i/>
                      <w:color w:val="000000" w:themeColor="text1"/>
                      <w:vertAlign w:val="superscript"/>
                      <w:lang w:val="en-US"/>
                    </w:rPr>
                    <w:t>0</w:t>
                  </w:r>
                  <w:r w:rsidRPr="0052329D">
                    <w:rPr>
                      <w:color w:val="000000" w:themeColor="text1"/>
                      <w:lang w:val="en-US"/>
                    </w:rPr>
                    <w:t xml:space="preserve"> oder </w:t>
                  </w:r>
                  <w:r w:rsidRPr="0052329D">
                    <w:rPr>
                      <w:i/>
                      <w:color w:val="000000" w:themeColor="text1"/>
                      <w:lang w:val="en-US"/>
                    </w:rPr>
                    <w:t>mo1</w:t>
                  </w:r>
                  <w:r w:rsidRPr="0052329D">
                    <w:rPr>
                      <w:i/>
                      <w:color w:val="000000" w:themeColor="text1"/>
                      <w:vertAlign w:val="superscript"/>
                      <w:lang w:val="en-US"/>
                    </w:rPr>
                    <w:t>2</w:t>
                  </w:r>
                  <w:r w:rsidRPr="0052329D">
                    <w:rPr>
                      <w:color w:val="000000" w:themeColor="text1"/>
                      <w:lang w:val="en-US"/>
                    </w:rPr>
                    <w:t>)</w:t>
                  </w:r>
                </w:p>
              </w:tc>
              <w:tc>
                <w:tcPr>
                  <w:tcW w:w="3402" w:type="dxa"/>
                </w:tcPr>
                <w:p w14:paraId="534A9664" w14:textId="77777777" w:rsidR="00E81874" w:rsidRPr="0052329D" w:rsidRDefault="00E81874" w:rsidP="00C07756">
                  <w:pPr>
                    <w:rPr>
                      <w:rFonts w:cs="Arial"/>
                      <w:lang w:val="en-US"/>
                    </w:rPr>
                  </w:pPr>
                  <w:r w:rsidRPr="0052329D">
                    <w:rPr>
                      <w:color w:val="000000" w:themeColor="text1"/>
                      <w:lang w:val="en-US"/>
                    </w:rPr>
                    <w:t xml:space="preserve"> </w:t>
                  </w:r>
                </w:p>
              </w:tc>
            </w:tr>
            <w:tr w:rsidR="00E81874" w:rsidRPr="008C79E7" w14:paraId="0E984C0C" w14:textId="77777777" w:rsidTr="00C07756">
              <w:tc>
                <w:tcPr>
                  <w:tcW w:w="2551" w:type="dxa"/>
                </w:tcPr>
                <w:p w14:paraId="7866CE97" w14:textId="77777777" w:rsidR="00E81874" w:rsidRPr="008C79E7" w:rsidRDefault="00E81874" w:rsidP="00C07756">
                  <w:pPr>
                    <w:jc w:val="center"/>
                    <w:rPr>
                      <w:rFonts w:cs="Arial"/>
                    </w:rPr>
                  </w:pPr>
                  <w:r>
                    <w:rPr>
                      <w:color w:val="000000" w:themeColor="text1"/>
                    </w:rPr>
                    <w:t>-</w:t>
                  </w:r>
                </w:p>
              </w:tc>
              <w:tc>
                <w:tcPr>
                  <w:tcW w:w="2722" w:type="dxa"/>
                </w:tcPr>
                <w:p w14:paraId="1B1062D4" w14:textId="77777777" w:rsidR="00E81874" w:rsidRPr="008C79E7" w:rsidRDefault="00E81874" w:rsidP="00C07756">
                  <w:pPr>
                    <w:jc w:val="center"/>
                    <w:rPr>
                      <w:rFonts w:cs="Arial"/>
                    </w:rPr>
                  </w:pPr>
                  <w:r>
                    <w:rPr>
                      <w:color w:val="000000" w:themeColor="text1"/>
                    </w:rPr>
                    <w:t>x</w:t>
                  </w:r>
                </w:p>
              </w:tc>
              <w:tc>
                <w:tcPr>
                  <w:tcW w:w="3402" w:type="dxa"/>
                </w:tcPr>
                <w:p w14:paraId="5EAC2F1D" w14:textId="77777777" w:rsidR="00E81874" w:rsidRPr="008C79E7" w:rsidRDefault="00E81874" w:rsidP="00C07756">
                  <w:pPr>
                    <w:jc w:val="left"/>
                    <w:rPr>
                      <w:rFonts w:cs="Arial"/>
                    </w:rPr>
                  </w:pPr>
                  <w:r>
                    <w:rPr>
                      <w:color w:val="000000" w:themeColor="text1"/>
                    </w:rPr>
                    <w:t xml:space="preserve">Homozygot </w:t>
                  </w:r>
                  <w:r>
                    <w:rPr>
                      <w:i/>
                      <w:color w:val="000000" w:themeColor="text1"/>
                    </w:rPr>
                    <w:t>mo1</w:t>
                  </w:r>
                  <w:r>
                    <w:rPr>
                      <w:i/>
                      <w:color w:val="000000" w:themeColor="text1"/>
                      <w:vertAlign w:val="superscript"/>
                    </w:rPr>
                    <w:t>0</w:t>
                  </w:r>
                  <w:r>
                    <w:rPr>
                      <w:color w:val="000000" w:themeColor="text1"/>
                    </w:rPr>
                    <w:t xml:space="preserve"> oder </w:t>
                  </w:r>
                  <w:r>
                    <w:rPr>
                      <w:i/>
                      <w:color w:val="000000" w:themeColor="text1"/>
                    </w:rPr>
                    <w:t>mo1</w:t>
                  </w:r>
                  <w:r>
                    <w:rPr>
                      <w:i/>
                      <w:color w:val="000000" w:themeColor="text1"/>
                      <w:vertAlign w:val="superscript"/>
                    </w:rPr>
                    <w:t>2</w:t>
                  </w:r>
                  <w:r>
                    <w:rPr>
                      <w:i/>
                      <w:color w:val="000000" w:themeColor="text1"/>
                    </w:rPr>
                    <w:t xml:space="preserve">, </w:t>
                  </w:r>
                  <w:r>
                    <w:t xml:space="preserve">oder heterozygot </w:t>
                  </w:r>
                  <w:r>
                    <w:rPr>
                      <w:i/>
                    </w:rPr>
                    <w:t>mo1</w:t>
                  </w:r>
                  <w:r>
                    <w:rPr>
                      <w:i/>
                      <w:vertAlign w:val="superscript"/>
                    </w:rPr>
                    <w:t>0</w:t>
                  </w:r>
                  <w:r>
                    <w:rPr>
                      <w:i/>
                    </w:rPr>
                    <w:t>mo1</w:t>
                  </w:r>
                  <w:r>
                    <w:rPr>
                      <w:i/>
                      <w:vertAlign w:val="superscript"/>
                    </w:rPr>
                    <w:t>2</w:t>
                  </w:r>
                </w:p>
              </w:tc>
            </w:tr>
            <w:tr w:rsidR="00E81874" w:rsidRPr="008C79E7" w14:paraId="787971E9" w14:textId="77777777" w:rsidTr="00C07756">
              <w:tc>
                <w:tcPr>
                  <w:tcW w:w="2551" w:type="dxa"/>
                </w:tcPr>
                <w:p w14:paraId="03AA1A0A" w14:textId="77777777" w:rsidR="00E81874" w:rsidRPr="008C79E7" w:rsidRDefault="00E81874" w:rsidP="00C07756">
                  <w:pPr>
                    <w:jc w:val="center"/>
                    <w:rPr>
                      <w:rFonts w:cs="Arial"/>
                    </w:rPr>
                  </w:pPr>
                  <w:r>
                    <w:rPr>
                      <w:color w:val="000000" w:themeColor="text1"/>
                    </w:rPr>
                    <w:t>x</w:t>
                  </w:r>
                </w:p>
              </w:tc>
              <w:tc>
                <w:tcPr>
                  <w:tcW w:w="2722" w:type="dxa"/>
                </w:tcPr>
                <w:p w14:paraId="2FB5B585" w14:textId="77777777" w:rsidR="00E81874" w:rsidRPr="008C79E7" w:rsidRDefault="00E81874" w:rsidP="00C07756">
                  <w:pPr>
                    <w:jc w:val="center"/>
                    <w:rPr>
                      <w:rFonts w:cs="Arial"/>
                    </w:rPr>
                  </w:pPr>
                  <w:r>
                    <w:rPr>
                      <w:color w:val="000000" w:themeColor="text1"/>
                    </w:rPr>
                    <w:t>-</w:t>
                  </w:r>
                </w:p>
              </w:tc>
              <w:tc>
                <w:tcPr>
                  <w:tcW w:w="3402" w:type="dxa"/>
                </w:tcPr>
                <w:p w14:paraId="69017885" w14:textId="77777777" w:rsidR="00E81874" w:rsidRPr="008C79E7" w:rsidRDefault="00E81874" w:rsidP="00C07756">
                  <w:pPr>
                    <w:jc w:val="left"/>
                    <w:rPr>
                      <w:rFonts w:cs="Arial"/>
                    </w:rPr>
                  </w:pPr>
                  <w:r>
                    <w:rPr>
                      <w:color w:val="000000" w:themeColor="text1"/>
                    </w:rPr>
                    <w:t xml:space="preserve">Homozygot </w:t>
                  </w:r>
                  <w:r>
                    <w:rPr>
                      <w:i/>
                      <w:color w:val="000000" w:themeColor="text1"/>
                    </w:rPr>
                    <w:t>mo1</w:t>
                  </w:r>
                  <w:r>
                    <w:rPr>
                      <w:i/>
                      <w:color w:val="000000" w:themeColor="text1"/>
                      <w:vertAlign w:val="superscript"/>
                    </w:rPr>
                    <w:t>1</w:t>
                  </w:r>
                </w:p>
              </w:tc>
            </w:tr>
            <w:tr w:rsidR="00E81874" w:rsidRPr="00EF75FB" w14:paraId="3B49B3B3" w14:textId="77777777" w:rsidTr="00C07756">
              <w:tc>
                <w:tcPr>
                  <w:tcW w:w="2551" w:type="dxa"/>
                </w:tcPr>
                <w:p w14:paraId="6613F18D" w14:textId="77777777" w:rsidR="00E81874" w:rsidRPr="008C79E7" w:rsidRDefault="00E81874" w:rsidP="00C07756">
                  <w:pPr>
                    <w:jc w:val="center"/>
                    <w:rPr>
                      <w:rFonts w:cs="Arial"/>
                    </w:rPr>
                  </w:pPr>
                  <w:r>
                    <w:rPr>
                      <w:color w:val="000000" w:themeColor="text1"/>
                    </w:rPr>
                    <w:t>x</w:t>
                  </w:r>
                </w:p>
              </w:tc>
              <w:tc>
                <w:tcPr>
                  <w:tcW w:w="2722" w:type="dxa"/>
                </w:tcPr>
                <w:p w14:paraId="26269C72" w14:textId="77777777" w:rsidR="00E81874" w:rsidRPr="008C79E7" w:rsidRDefault="00E81874" w:rsidP="00C07756">
                  <w:pPr>
                    <w:jc w:val="center"/>
                    <w:rPr>
                      <w:rFonts w:cs="Arial"/>
                    </w:rPr>
                  </w:pPr>
                  <w:r>
                    <w:rPr>
                      <w:color w:val="000000" w:themeColor="text1"/>
                    </w:rPr>
                    <w:t>x</w:t>
                  </w:r>
                </w:p>
              </w:tc>
              <w:tc>
                <w:tcPr>
                  <w:tcW w:w="3402" w:type="dxa"/>
                </w:tcPr>
                <w:p w14:paraId="324C7C4F" w14:textId="77777777" w:rsidR="00E81874" w:rsidRPr="00EF75FB" w:rsidRDefault="00E81874" w:rsidP="00C07756">
                  <w:pPr>
                    <w:jc w:val="left"/>
                    <w:rPr>
                      <w:rFonts w:cs="Arial"/>
                    </w:rPr>
                  </w:pPr>
                  <w:r>
                    <w:t xml:space="preserve">Heterozygot </w:t>
                  </w:r>
                  <w:r>
                    <w:rPr>
                      <w:i/>
                    </w:rPr>
                    <w:t>mo1</w:t>
                  </w:r>
                  <w:r>
                    <w:rPr>
                      <w:i/>
                      <w:vertAlign w:val="superscript"/>
                    </w:rPr>
                    <w:t>0</w:t>
                  </w:r>
                  <w:r>
                    <w:rPr>
                      <w:i/>
                    </w:rPr>
                    <w:t>mo1</w:t>
                  </w:r>
                  <w:r>
                    <w:rPr>
                      <w:i/>
                      <w:vertAlign w:val="superscript"/>
                    </w:rPr>
                    <w:t>1</w:t>
                  </w:r>
                  <w:r>
                    <w:rPr>
                      <w:vertAlign w:val="superscript"/>
                    </w:rPr>
                    <w:t xml:space="preserve"> </w:t>
                  </w:r>
                  <w:r>
                    <w:t xml:space="preserve">oder </w:t>
                  </w:r>
                  <w:r>
                    <w:rPr>
                      <w:i/>
                    </w:rPr>
                    <w:t>mo1</w:t>
                  </w:r>
                  <w:r>
                    <w:rPr>
                      <w:i/>
                      <w:vertAlign w:val="superscript"/>
                    </w:rPr>
                    <w:t>1</w:t>
                  </w:r>
                  <w:r>
                    <w:rPr>
                      <w:i/>
                    </w:rPr>
                    <w:t>mo1</w:t>
                  </w:r>
                  <w:r>
                    <w:rPr>
                      <w:i/>
                      <w:vertAlign w:val="superscript"/>
                    </w:rPr>
                    <w:t>2</w:t>
                  </w:r>
                </w:p>
              </w:tc>
            </w:tr>
            <w:tr w:rsidR="00E81874" w:rsidRPr="008C79E7" w14:paraId="6A7F7BD1" w14:textId="77777777" w:rsidTr="00C07756">
              <w:tc>
                <w:tcPr>
                  <w:tcW w:w="2551" w:type="dxa"/>
                </w:tcPr>
                <w:p w14:paraId="157F9B11" w14:textId="77777777" w:rsidR="00E81874" w:rsidRPr="008C79E7" w:rsidRDefault="00E81874" w:rsidP="00C07756">
                  <w:pPr>
                    <w:jc w:val="center"/>
                    <w:rPr>
                      <w:rFonts w:cs="Arial"/>
                    </w:rPr>
                  </w:pPr>
                  <w:r>
                    <w:rPr>
                      <w:color w:val="000000" w:themeColor="text1"/>
                    </w:rPr>
                    <w:t>-</w:t>
                  </w:r>
                </w:p>
              </w:tc>
              <w:tc>
                <w:tcPr>
                  <w:tcW w:w="2722" w:type="dxa"/>
                </w:tcPr>
                <w:p w14:paraId="5B6CA820" w14:textId="77777777" w:rsidR="00E81874" w:rsidRPr="008C79E7" w:rsidRDefault="00E81874" w:rsidP="00C07756">
                  <w:pPr>
                    <w:jc w:val="center"/>
                    <w:rPr>
                      <w:rFonts w:cs="Arial"/>
                    </w:rPr>
                  </w:pPr>
                  <w:r>
                    <w:rPr>
                      <w:color w:val="000000" w:themeColor="text1"/>
                    </w:rPr>
                    <w:t>-</w:t>
                  </w:r>
                </w:p>
              </w:tc>
              <w:tc>
                <w:tcPr>
                  <w:tcW w:w="3402" w:type="dxa"/>
                </w:tcPr>
                <w:p w14:paraId="727AC25E" w14:textId="77777777" w:rsidR="00E81874" w:rsidRPr="008C79E7" w:rsidRDefault="00E81874" w:rsidP="00C07756">
                  <w:pPr>
                    <w:rPr>
                      <w:rFonts w:cs="Arial"/>
                    </w:rPr>
                  </w:pPr>
                  <w:r>
                    <w:rPr>
                      <w:color w:val="000000" w:themeColor="text1"/>
                    </w:rPr>
                    <w:t>Kein Ergebnis, Test wiederholen</w:t>
                  </w:r>
                </w:p>
              </w:tc>
            </w:tr>
          </w:tbl>
          <w:p w14:paraId="37BE01E1" w14:textId="77777777" w:rsidR="00E81874" w:rsidRPr="008C79E7" w:rsidRDefault="00E81874" w:rsidP="00C07756">
            <w:pPr>
              <w:widowControl w:val="0"/>
              <w:tabs>
                <w:tab w:val="left" w:pos="284"/>
                <w:tab w:val="left" w:pos="3969"/>
              </w:tabs>
              <w:rPr>
                <w:rFonts w:cs="Arial"/>
              </w:rPr>
            </w:pPr>
          </w:p>
        </w:tc>
      </w:tr>
      <w:tr w:rsidR="00E81874" w:rsidRPr="008C79E7" w14:paraId="21093416" w14:textId="77777777" w:rsidTr="00C07756">
        <w:tblPrEx>
          <w:tblLook w:val="04A0" w:firstRow="1" w:lastRow="0" w:firstColumn="1" w:lastColumn="0" w:noHBand="0" w:noVBand="1"/>
        </w:tblPrEx>
        <w:trPr>
          <w:cantSplit/>
        </w:trPr>
        <w:tc>
          <w:tcPr>
            <w:tcW w:w="9776" w:type="dxa"/>
            <w:gridSpan w:val="6"/>
            <w:tcBorders>
              <w:top w:val="dotted" w:sz="4" w:space="0" w:color="auto"/>
              <w:left w:val="dotted" w:sz="4" w:space="0" w:color="auto"/>
              <w:bottom w:val="dotted" w:sz="4" w:space="0" w:color="auto"/>
              <w:right w:val="dotted" w:sz="4" w:space="0" w:color="auto"/>
            </w:tcBorders>
          </w:tcPr>
          <w:p w14:paraId="2C37EFB1" w14:textId="77777777" w:rsidR="00E81874" w:rsidRPr="008C79E7" w:rsidRDefault="00E81874" w:rsidP="00C07756">
            <w:pPr>
              <w:widowControl w:val="0"/>
              <w:tabs>
                <w:tab w:val="left" w:pos="284"/>
                <w:tab w:val="left" w:pos="3969"/>
              </w:tabs>
              <w:rPr>
                <w:rFonts w:cs="Arial"/>
              </w:rPr>
            </w:pPr>
            <w:r>
              <w:t xml:space="preserve">Test 2: </w:t>
            </w:r>
          </w:p>
          <w:tbl>
            <w:tblPr>
              <w:tblStyle w:val="TableGrid"/>
              <w:tblW w:w="8680" w:type="dxa"/>
              <w:tblInd w:w="875" w:type="dxa"/>
              <w:tblLayout w:type="fixed"/>
              <w:tblLook w:val="04A0" w:firstRow="1" w:lastRow="0" w:firstColumn="1" w:lastColumn="0" w:noHBand="0" w:noVBand="1"/>
            </w:tblPr>
            <w:tblGrid>
              <w:gridCol w:w="2552"/>
              <w:gridCol w:w="2726"/>
              <w:gridCol w:w="3402"/>
            </w:tblGrid>
            <w:tr w:rsidR="00E81874" w:rsidRPr="008C79E7" w14:paraId="2F4355E3" w14:textId="77777777" w:rsidTr="00C07756">
              <w:tc>
                <w:tcPr>
                  <w:tcW w:w="2552" w:type="dxa"/>
                </w:tcPr>
                <w:p w14:paraId="78F32B45" w14:textId="77777777" w:rsidR="00E81874" w:rsidRPr="008C79E7" w:rsidRDefault="00E81874" w:rsidP="00C07756">
                  <w:pPr>
                    <w:jc w:val="center"/>
                    <w:rPr>
                      <w:rFonts w:cs="Arial"/>
                    </w:rPr>
                  </w:pPr>
                  <w:r>
                    <w:rPr>
                      <w:color w:val="000000" w:themeColor="text1"/>
                    </w:rPr>
                    <w:t>Signalgebendes Fluorophor</w:t>
                  </w:r>
                </w:p>
              </w:tc>
              <w:tc>
                <w:tcPr>
                  <w:tcW w:w="2726" w:type="dxa"/>
                </w:tcPr>
                <w:p w14:paraId="23CFEB55" w14:textId="77777777" w:rsidR="00E81874" w:rsidRPr="008C79E7" w:rsidRDefault="00E81874" w:rsidP="00C07756">
                  <w:pPr>
                    <w:rPr>
                      <w:rFonts w:cs="Arial"/>
                    </w:rPr>
                  </w:pPr>
                </w:p>
              </w:tc>
              <w:tc>
                <w:tcPr>
                  <w:tcW w:w="3402" w:type="dxa"/>
                </w:tcPr>
                <w:p w14:paraId="7A83D9B1" w14:textId="77777777" w:rsidR="00E81874" w:rsidRPr="008C79E7" w:rsidRDefault="00E81874" w:rsidP="00C07756">
                  <w:pPr>
                    <w:rPr>
                      <w:rFonts w:cs="Arial"/>
                    </w:rPr>
                  </w:pPr>
                </w:p>
              </w:tc>
            </w:tr>
            <w:tr w:rsidR="00E81874" w:rsidRPr="008C79E7" w14:paraId="27A3D157" w14:textId="77777777" w:rsidTr="00C07756">
              <w:tc>
                <w:tcPr>
                  <w:tcW w:w="2552" w:type="dxa"/>
                </w:tcPr>
                <w:p w14:paraId="45429F3C" w14:textId="77777777" w:rsidR="00E81874" w:rsidRPr="008C79E7" w:rsidRDefault="00E81874" w:rsidP="00C07756">
                  <w:pPr>
                    <w:jc w:val="center"/>
                    <w:rPr>
                      <w:rFonts w:cs="Arial"/>
                    </w:rPr>
                  </w:pPr>
                  <w:r>
                    <w:rPr>
                      <w:color w:val="000000" w:themeColor="text1"/>
                    </w:rPr>
                    <w:t>FAM (</w:t>
                  </w:r>
                  <w:r>
                    <w:rPr>
                      <w:i/>
                      <w:color w:val="000000" w:themeColor="text1"/>
                    </w:rPr>
                    <w:t>mo1</w:t>
                  </w:r>
                  <w:r>
                    <w:rPr>
                      <w:i/>
                      <w:color w:val="000000" w:themeColor="text1"/>
                      <w:vertAlign w:val="superscript"/>
                    </w:rPr>
                    <w:t>0</w:t>
                  </w:r>
                  <w:r>
                    <w:rPr>
                      <w:color w:val="000000" w:themeColor="text1"/>
                    </w:rPr>
                    <w:t xml:space="preserve"> oder </w:t>
                  </w:r>
                  <w:r>
                    <w:rPr>
                      <w:i/>
                      <w:color w:val="000000" w:themeColor="text1"/>
                    </w:rPr>
                    <w:t>mo1</w:t>
                  </w:r>
                  <w:r>
                    <w:rPr>
                      <w:i/>
                      <w:color w:val="000000" w:themeColor="text1"/>
                      <w:vertAlign w:val="superscript"/>
                    </w:rPr>
                    <w:t>1</w:t>
                  </w:r>
                  <w:r>
                    <w:rPr>
                      <w:color w:val="000000" w:themeColor="text1"/>
                    </w:rPr>
                    <w:t>)</w:t>
                  </w:r>
                </w:p>
              </w:tc>
              <w:tc>
                <w:tcPr>
                  <w:tcW w:w="2726" w:type="dxa"/>
                </w:tcPr>
                <w:p w14:paraId="27E39C5C" w14:textId="77777777" w:rsidR="00E81874" w:rsidRPr="008C79E7" w:rsidRDefault="00E81874" w:rsidP="00C07756">
                  <w:pPr>
                    <w:jc w:val="center"/>
                    <w:rPr>
                      <w:rFonts w:cs="Arial"/>
                    </w:rPr>
                  </w:pPr>
                  <w:r>
                    <w:rPr>
                      <w:color w:val="000000" w:themeColor="text1"/>
                    </w:rPr>
                    <w:t>VIC (</w:t>
                  </w:r>
                  <w:r>
                    <w:rPr>
                      <w:i/>
                      <w:color w:val="000000" w:themeColor="text1"/>
                    </w:rPr>
                    <w:t>mo1</w:t>
                  </w:r>
                  <w:r>
                    <w:rPr>
                      <w:i/>
                      <w:color w:val="000000" w:themeColor="text1"/>
                      <w:vertAlign w:val="superscript"/>
                    </w:rPr>
                    <w:t>2</w:t>
                  </w:r>
                  <w:r>
                    <w:rPr>
                      <w:color w:val="000000" w:themeColor="text1"/>
                    </w:rPr>
                    <w:t>)</w:t>
                  </w:r>
                </w:p>
              </w:tc>
              <w:tc>
                <w:tcPr>
                  <w:tcW w:w="3402" w:type="dxa"/>
                </w:tcPr>
                <w:p w14:paraId="61F24DE9" w14:textId="77777777" w:rsidR="00E81874" w:rsidRPr="008C79E7" w:rsidRDefault="00E81874" w:rsidP="00C07756">
                  <w:pPr>
                    <w:rPr>
                      <w:rFonts w:cs="Arial"/>
                    </w:rPr>
                  </w:pPr>
                  <w:r>
                    <w:rPr>
                      <w:color w:val="000000" w:themeColor="text1"/>
                    </w:rPr>
                    <w:t xml:space="preserve"> </w:t>
                  </w:r>
                </w:p>
              </w:tc>
            </w:tr>
            <w:tr w:rsidR="00E81874" w:rsidRPr="008C79E7" w14:paraId="483DD5B7" w14:textId="77777777" w:rsidTr="00C07756">
              <w:tc>
                <w:tcPr>
                  <w:tcW w:w="2552" w:type="dxa"/>
                </w:tcPr>
                <w:p w14:paraId="52A2CD72" w14:textId="77777777" w:rsidR="00E81874" w:rsidRPr="0052329D" w:rsidRDefault="00E81874" w:rsidP="00C07756">
                  <w:pPr>
                    <w:jc w:val="center"/>
                    <w:rPr>
                      <w:rFonts w:cs="Arial"/>
                      <w:lang w:val="en-US"/>
                    </w:rPr>
                  </w:pPr>
                  <w:r w:rsidRPr="0052329D">
                    <w:rPr>
                      <w:color w:val="000000" w:themeColor="text1"/>
                      <w:lang w:val="en-US"/>
                    </w:rPr>
                    <w:t>(x) (FAM RFU &lt;&lt; VIC RFU)</w:t>
                  </w:r>
                </w:p>
              </w:tc>
              <w:tc>
                <w:tcPr>
                  <w:tcW w:w="2726" w:type="dxa"/>
                </w:tcPr>
                <w:p w14:paraId="4AB07C42" w14:textId="77777777" w:rsidR="00E81874" w:rsidRPr="008C79E7" w:rsidRDefault="00E81874" w:rsidP="00C07756">
                  <w:pPr>
                    <w:jc w:val="center"/>
                    <w:rPr>
                      <w:rFonts w:cs="Arial"/>
                    </w:rPr>
                  </w:pPr>
                  <w:r>
                    <w:rPr>
                      <w:color w:val="000000" w:themeColor="text1"/>
                    </w:rPr>
                    <w:t>x</w:t>
                  </w:r>
                </w:p>
              </w:tc>
              <w:tc>
                <w:tcPr>
                  <w:tcW w:w="3402" w:type="dxa"/>
                </w:tcPr>
                <w:p w14:paraId="6F9BD4C1" w14:textId="77777777" w:rsidR="00E81874" w:rsidRPr="008C79E7" w:rsidRDefault="00E81874" w:rsidP="00C07756">
                  <w:pPr>
                    <w:jc w:val="left"/>
                    <w:rPr>
                      <w:rFonts w:cs="Arial"/>
                    </w:rPr>
                  </w:pPr>
                  <w:r>
                    <w:rPr>
                      <w:color w:val="000000" w:themeColor="text1"/>
                    </w:rPr>
                    <w:t xml:space="preserve">Homozygot </w:t>
                  </w:r>
                  <w:r>
                    <w:rPr>
                      <w:i/>
                      <w:color w:val="000000" w:themeColor="text1"/>
                    </w:rPr>
                    <w:t>mo1</w:t>
                  </w:r>
                  <w:r>
                    <w:rPr>
                      <w:i/>
                      <w:color w:val="000000" w:themeColor="text1"/>
                      <w:vertAlign w:val="superscript"/>
                    </w:rPr>
                    <w:t>2</w:t>
                  </w:r>
                </w:p>
              </w:tc>
            </w:tr>
            <w:tr w:rsidR="00E81874" w:rsidRPr="008C79E7" w14:paraId="202B6FD6" w14:textId="77777777" w:rsidTr="00C07756">
              <w:tc>
                <w:tcPr>
                  <w:tcW w:w="2552" w:type="dxa"/>
                </w:tcPr>
                <w:p w14:paraId="073CB303" w14:textId="77777777" w:rsidR="00E81874" w:rsidRPr="008C79E7" w:rsidRDefault="00E81874" w:rsidP="00C07756">
                  <w:pPr>
                    <w:jc w:val="center"/>
                    <w:rPr>
                      <w:rFonts w:cs="Arial"/>
                    </w:rPr>
                  </w:pPr>
                  <w:r>
                    <w:rPr>
                      <w:color w:val="000000" w:themeColor="text1"/>
                    </w:rPr>
                    <w:t>x</w:t>
                  </w:r>
                </w:p>
              </w:tc>
              <w:tc>
                <w:tcPr>
                  <w:tcW w:w="2726" w:type="dxa"/>
                </w:tcPr>
                <w:p w14:paraId="3EAC3249" w14:textId="77777777" w:rsidR="00E81874" w:rsidRPr="008C79E7" w:rsidRDefault="00E81874" w:rsidP="00C07756">
                  <w:pPr>
                    <w:jc w:val="center"/>
                    <w:rPr>
                      <w:rFonts w:cs="Arial"/>
                    </w:rPr>
                  </w:pPr>
                  <w:r>
                    <w:rPr>
                      <w:color w:val="000000" w:themeColor="text1"/>
                    </w:rPr>
                    <w:t>-</w:t>
                  </w:r>
                </w:p>
              </w:tc>
              <w:tc>
                <w:tcPr>
                  <w:tcW w:w="3402" w:type="dxa"/>
                </w:tcPr>
                <w:p w14:paraId="6F11FD33" w14:textId="77777777" w:rsidR="00E81874" w:rsidRPr="008C79E7" w:rsidRDefault="00E81874" w:rsidP="00C07756">
                  <w:pPr>
                    <w:jc w:val="left"/>
                    <w:rPr>
                      <w:rFonts w:cs="Arial"/>
                    </w:rPr>
                  </w:pPr>
                  <w:r>
                    <w:rPr>
                      <w:color w:val="000000" w:themeColor="text1"/>
                    </w:rPr>
                    <w:t xml:space="preserve">Homozygot </w:t>
                  </w:r>
                  <w:r>
                    <w:rPr>
                      <w:i/>
                      <w:color w:val="000000" w:themeColor="text1"/>
                    </w:rPr>
                    <w:t>mo1</w:t>
                  </w:r>
                  <w:r>
                    <w:rPr>
                      <w:i/>
                      <w:color w:val="000000" w:themeColor="text1"/>
                      <w:vertAlign w:val="superscript"/>
                    </w:rPr>
                    <w:t>0</w:t>
                  </w:r>
                  <w:r>
                    <w:rPr>
                      <w:color w:val="000000" w:themeColor="text1"/>
                    </w:rPr>
                    <w:t xml:space="preserve"> oder </w:t>
                  </w:r>
                  <w:r>
                    <w:rPr>
                      <w:i/>
                      <w:color w:val="000000" w:themeColor="text1"/>
                    </w:rPr>
                    <w:t>mo1</w:t>
                  </w:r>
                  <w:r>
                    <w:rPr>
                      <w:i/>
                      <w:color w:val="000000" w:themeColor="text1"/>
                      <w:vertAlign w:val="superscript"/>
                    </w:rPr>
                    <w:t>1</w:t>
                  </w:r>
                  <w:r>
                    <w:rPr>
                      <w:i/>
                      <w:color w:val="000000" w:themeColor="text1"/>
                    </w:rPr>
                    <w:t xml:space="preserve">, </w:t>
                  </w:r>
                  <w:r>
                    <w:t xml:space="preserve">oder heterozygot </w:t>
                  </w:r>
                  <w:r>
                    <w:rPr>
                      <w:i/>
                    </w:rPr>
                    <w:t>mo1</w:t>
                  </w:r>
                  <w:r>
                    <w:rPr>
                      <w:i/>
                      <w:vertAlign w:val="superscript"/>
                    </w:rPr>
                    <w:t>0</w:t>
                  </w:r>
                  <w:r>
                    <w:rPr>
                      <w:i/>
                    </w:rPr>
                    <w:t>mo1</w:t>
                  </w:r>
                  <w:r>
                    <w:rPr>
                      <w:i/>
                      <w:vertAlign w:val="superscript"/>
                    </w:rPr>
                    <w:t>1</w:t>
                  </w:r>
                </w:p>
              </w:tc>
            </w:tr>
            <w:tr w:rsidR="00E81874" w:rsidRPr="00EF75FB" w14:paraId="32199523" w14:textId="77777777" w:rsidTr="00C07756">
              <w:tc>
                <w:tcPr>
                  <w:tcW w:w="2552" w:type="dxa"/>
                </w:tcPr>
                <w:p w14:paraId="3D6E2435" w14:textId="77777777" w:rsidR="00E81874" w:rsidRPr="008C79E7" w:rsidRDefault="00E81874" w:rsidP="00C07756">
                  <w:pPr>
                    <w:jc w:val="center"/>
                    <w:rPr>
                      <w:rFonts w:cs="Arial"/>
                    </w:rPr>
                  </w:pPr>
                  <w:r>
                    <w:rPr>
                      <w:color w:val="000000" w:themeColor="text1"/>
                    </w:rPr>
                    <w:t xml:space="preserve">x </w:t>
                  </w:r>
                </w:p>
              </w:tc>
              <w:tc>
                <w:tcPr>
                  <w:tcW w:w="2726" w:type="dxa"/>
                </w:tcPr>
                <w:p w14:paraId="456FD953" w14:textId="77777777" w:rsidR="00E81874" w:rsidRPr="0052329D" w:rsidRDefault="00E81874" w:rsidP="00C07756">
                  <w:pPr>
                    <w:jc w:val="center"/>
                    <w:rPr>
                      <w:rFonts w:cs="Arial"/>
                      <w:lang w:val="en-US"/>
                    </w:rPr>
                  </w:pPr>
                  <w:r w:rsidRPr="0052329D">
                    <w:rPr>
                      <w:color w:val="000000" w:themeColor="text1"/>
                      <w:lang w:val="en-US"/>
                    </w:rPr>
                    <w:t>(x) (FAM RFU &gt;&gt; VIC RFU)</w:t>
                  </w:r>
                </w:p>
              </w:tc>
              <w:tc>
                <w:tcPr>
                  <w:tcW w:w="3402" w:type="dxa"/>
                </w:tcPr>
                <w:p w14:paraId="6EF11759" w14:textId="77777777" w:rsidR="00E81874" w:rsidRPr="00EF75FB" w:rsidRDefault="00E81874" w:rsidP="00C07756">
                  <w:pPr>
                    <w:jc w:val="left"/>
                    <w:rPr>
                      <w:rFonts w:cs="Arial"/>
                    </w:rPr>
                  </w:pPr>
                  <w:r>
                    <w:t xml:space="preserve">Heterozygot </w:t>
                  </w:r>
                  <w:r>
                    <w:rPr>
                      <w:i/>
                    </w:rPr>
                    <w:t>mo1</w:t>
                  </w:r>
                  <w:r>
                    <w:rPr>
                      <w:i/>
                      <w:vertAlign w:val="superscript"/>
                    </w:rPr>
                    <w:t>0</w:t>
                  </w:r>
                  <w:r>
                    <w:rPr>
                      <w:i/>
                    </w:rPr>
                    <w:t>mo1</w:t>
                  </w:r>
                  <w:r>
                    <w:rPr>
                      <w:i/>
                      <w:vertAlign w:val="superscript"/>
                    </w:rPr>
                    <w:t>2</w:t>
                  </w:r>
                  <w:r>
                    <w:rPr>
                      <w:vertAlign w:val="superscript"/>
                    </w:rPr>
                    <w:t xml:space="preserve"> </w:t>
                  </w:r>
                  <w:r>
                    <w:t xml:space="preserve">oder </w:t>
                  </w:r>
                  <w:r>
                    <w:rPr>
                      <w:i/>
                    </w:rPr>
                    <w:t>mo1</w:t>
                  </w:r>
                  <w:r>
                    <w:rPr>
                      <w:i/>
                      <w:vertAlign w:val="superscript"/>
                    </w:rPr>
                    <w:t>1</w:t>
                  </w:r>
                  <w:r>
                    <w:rPr>
                      <w:i/>
                    </w:rPr>
                    <w:t>mo1</w:t>
                  </w:r>
                  <w:r>
                    <w:rPr>
                      <w:i/>
                      <w:vertAlign w:val="superscript"/>
                    </w:rPr>
                    <w:t>2</w:t>
                  </w:r>
                </w:p>
              </w:tc>
            </w:tr>
            <w:tr w:rsidR="00E81874" w:rsidRPr="008C79E7" w14:paraId="5B3D85B2" w14:textId="77777777" w:rsidTr="00C07756">
              <w:tc>
                <w:tcPr>
                  <w:tcW w:w="2552" w:type="dxa"/>
                </w:tcPr>
                <w:p w14:paraId="1A7B3775" w14:textId="77777777" w:rsidR="00E81874" w:rsidRPr="008C79E7" w:rsidRDefault="00E81874" w:rsidP="00C07756">
                  <w:pPr>
                    <w:jc w:val="center"/>
                    <w:rPr>
                      <w:rFonts w:cs="Arial"/>
                    </w:rPr>
                  </w:pPr>
                  <w:r>
                    <w:rPr>
                      <w:color w:val="000000" w:themeColor="text1"/>
                    </w:rPr>
                    <w:t>-</w:t>
                  </w:r>
                </w:p>
              </w:tc>
              <w:tc>
                <w:tcPr>
                  <w:tcW w:w="2726" w:type="dxa"/>
                </w:tcPr>
                <w:p w14:paraId="040B51E2" w14:textId="77777777" w:rsidR="00E81874" w:rsidRPr="008C79E7" w:rsidRDefault="00E81874" w:rsidP="00C07756">
                  <w:pPr>
                    <w:jc w:val="center"/>
                    <w:rPr>
                      <w:rFonts w:cs="Arial"/>
                    </w:rPr>
                  </w:pPr>
                  <w:r>
                    <w:rPr>
                      <w:color w:val="000000" w:themeColor="text1"/>
                    </w:rPr>
                    <w:t>-</w:t>
                  </w:r>
                </w:p>
              </w:tc>
              <w:tc>
                <w:tcPr>
                  <w:tcW w:w="3402" w:type="dxa"/>
                </w:tcPr>
                <w:p w14:paraId="4150FE6D" w14:textId="77777777" w:rsidR="00E81874" w:rsidRPr="008C79E7" w:rsidRDefault="00E81874" w:rsidP="00C07756">
                  <w:pPr>
                    <w:rPr>
                      <w:rFonts w:cs="Arial"/>
                    </w:rPr>
                  </w:pPr>
                  <w:r>
                    <w:rPr>
                      <w:color w:val="000000" w:themeColor="text1"/>
                    </w:rPr>
                    <w:t>Kein Ergebnis, Test wiederholen</w:t>
                  </w:r>
                </w:p>
              </w:tc>
            </w:tr>
          </w:tbl>
          <w:p w14:paraId="623EDF4B" w14:textId="77777777" w:rsidR="00E81874" w:rsidRPr="008C79E7" w:rsidRDefault="00E81874" w:rsidP="00C07756">
            <w:pPr>
              <w:widowControl w:val="0"/>
              <w:tabs>
                <w:tab w:val="left" w:pos="284"/>
                <w:tab w:val="left" w:pos="3969"/>
              </w:tabs>
              <w:rPr>
                <w:rFonts w:cs="Arial"/>
                <w:lang w:val="nl-NL"/>
              </w:rPr>
            </w:pPr>
          </w:p>
        </w:tc>
      </w:tr>
      <w:tr w:rsidR="00E81874" w:rsidRPr="008C79E7" w14:paraId="1C0561B4" w14:textId="77777777" w:rsidTr="00C07756">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14:paraId="792002C9" w14:textId="77777777" w:rsidR="00E81874" w:rsidRPr="008C79E7" w:rsidRDefault="00E81874" w:rsidP="00C07756">
            <w:pPr>
              <w:tabs>
                <w:tab w:val="left" w:leader="dot" w:pos="3720"/>
              </w:tabs>
              <w:spacing w:before="20" w:after="20"/>
              <w:rPr>
                <w:rFonts w:cs="Arial"/>
              </w:rPr>
            </w:pPr>
            <w:r>
              <w:t xml:space="preserve">7.2 </w:t>
            </w:r>
          </w:p>
        </w:tc>
        <w:tc>
          <w:tcPr>
            <w:tcW w:w="3942" w:type="dxa"/>
            <w:tcBorders>
              <w:top w:val="dotted" w:sz="4" w:space="0" w:color="auto"/>
              <w:left w:val="dotted" w:sz="4" w:space="0" w:color="auto"/>
              <w:bottom w:val="dotted" w:sz="4" w:space="0" w:color="auto"/>
              <w:right w:val="dotted" w:sz="4" w:space="0" w:color="auto"/>
            </w:tcBorders>
          </w:tcPr>
          <w:p w14:paraId="5C17CE35" w14:textId="77777777" w:rsidR="00E81874" w:rsidRPr="008C79E7" w:rsidRDefault="00E81874" w:rsidP="00C07756">
            <w:pPr>
              <w:widowControl w:val="0"/>
              <w:rPr>
                <w:rFonts w:cs="Arial"/>
              </w:rPr>
            </w:pPr>
            <w:r>
              <w:t>Validierung der Prüfung</w:t>
            </w:r>
          </w:p>
        </w:tc>
        <w:tc>
          <w:tcPr>
            <w:tcW w:w="4846" w:type="dxa"/>
            <w:gridSpan w:val="3"/>
            <w:tcBorders>
              <w:top w:val="dotted" w:sz="4" w:space="0" w:color="auto"/>
              <w:left w:val="dotted" w:sz="4" w:space="0" w:color="auto"/>
              <w:bottom w:val="dotted" w:sz="4" w:space="0" w:color="auto"/>
              <w:right w:val="dotted" w:sz="4" w:space="0" w:color="auto"/>
            </w:tcBorders>
          </w:tcPr>
          <w:p w14:paraId="184EA464" w14:textId="16C36C40" w:rsidR="00E81874" w:rsidRPr="008C79E7" w:rsidRDefault="00E81874" w:rsidP="00C07756">
            <w:pPr>
              <w:widowControl w:val="0"/>
              <w:tabs>
                <w:tab w:val="left" w:pos="3969"/>
              </w:tabs>
              <w:rPr>
                <w:rFonts w:cs="Arial"/>
              </w:rPr>
            </w:pPr>
            <w:r>
              <w:t xml:space="preserve">Die </w:t>
            </w:r>
            <w:r w:rsidRPr="00D132B8">
              <w:t xml:space="preserve">Kontrollsorten </w:t>
            </w:r>
            <w:r w:rsidR="00567009" w:rsidRPr="00D132B8">
              <w:t>sollten</w:t>
            </w:r>
            <w:r>
              <w:t xml:space="preserve"> die erwarteten Ergebnisse liefern. </w:t>
            </w:r>
          </w:p>
        </w:tc>
      </w:tr>
      <w:tr w:rsidR="00E81874" w:rsidRPr="008C79E7" w14:paraId="2458381C" w14:textId="77777777" w:rsidTr="00C07756">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14:paraId="1581F3E9" w14:textId="77777777" w:rsidR="00E81874" w:rsidRPr="008C79E7" w:rsidRDefault="00E81874" w:rsidP="00C07756">
            <w:pPr>
              <w:tabs>
                <w:tab w:val="left" w:leader="dot" w:pos="3720"/>
              </w:tabs>
              <w:spacing w:before="20" w:after="20"/>
              <w:rPr>
                <w:rFonts w:cs="Arial"/>
              </w:rPr>
            </w:pPr>
            <w:r>
              <w:t>8.</w:t>
            </w:r>
          </w:p>
        </w:tc>
        <w:tc>
          <w:tcPr>
            <w:tcW w:w="3942" w:type="dxa"/>
            <w:tcBorders>
              <w:top w:val="dotted" w:sz="4" w:space="0" w:color="auto"/>
              <w:left w:val="dotted" w:sz="4" w:space="0" w:color="auto"/>
              <w:bottom w:val="dotted" w:sz="4" w:space="0" w:color="auto"/>
              <w:right w:val="dotted" w:sz="4" w:space="0" w:color="auto"/>
            </w:tcBorders>
          </w:tcPr>
          <w:p w14:paraId="3576E9FE" w14:textId="77777777" w:rsidR="00E81874" w:rsidRPr="008C79E7" w:rsidRDefault="00E81874" w:rsidP="00C07756">
            <w:pPr>
              <w:widowControl w:val="0"/>
              <w:rPr>
                <w:rFonts w:cs="Arial"/>
              </w:rPr>
            </w:pPr>
            <w:r>
              <w:t>Auswertung der Daten hinsichtlich der UPOV-Ausprägungsstufen</w:t>
            </w:r>
          </w:p>
        </w:tc>
        <w:tc>
          <w:tcPr>
            <w:tcW w:w="4846" w:type="dxa"/>
            <w:gridSpan w:val="3"/>
            <w:tcBorders>
              <w:top w:val="dotted" w:sz="4" w:space="0" w:color="auto"/>
              <w:left w:val="dotted" w:sz="4" w:space="0" w:color="auto"/>
              <w:bottom w:val="dotted" w:sz="4" w:space="0" w:color="auto"/>
              <w:right w:val="dotted" w:sz="4" w:space="0" w:color="auto"/>
            </w:tcBorders>
          </w:tcPr>
          <w:p w14:paraId="2DFB7F87" w14:textId="77777777" w:rsidR="00E81874" w:rsidRPr="008C79E7" w:rsidRDefault="00E81874" w:rsidP="00C07756">
            <w:pPr>
              <w:widowControl w:val="0"/>
              <w:tabs>
                <w:tab w:val="left" w:pos="3969"/>
              </w:tabs>
              <w:rPr>
                <w:rFonts w:cs="Arial"/>
              </w:rPr>
            </w:pPr>
            <w:r>
              <w:t>Die Kombination beider PCR-Tests führt bei einem Biotest mit LMV-Pathotyp II voraussichtlich zu folgendem Ergebnis:</w:t>
            </w:r>
          </w:p>
        </w:tc>
      </w:tr>
      <w:tr w:rsidR="00E81874" w:rsidRPr="008C79E7" w14:paraId="3507CEEB" w14:textId="77777777" w:rsidTr="00C07756">
        <w:tblPrEx>
          <w:tblLook w:val="04A0" w:firstRow="1" w:lastRow="0" w:firstColumn="1" w:lastColumn="0" w:noHBand="0" w:noVBand="1"/>
        </w:tblPrEx>
        <w:trPr>
          <w:cantSplit/>
        </w:trPr>
        <w:tc>
          <w:tcPr>
            <w:tcW w:w="9776" w:type="dxa"/>
            <w:gridSpan w:val="6"/>
            <w:tcBorders>
              <w:top w:val="dotted" w:sz="4" w:space="0" w:color="auto"/>
              <w:left w:val="dotted" w:sz="4" w:space="0" w:color="auto"/>
              <w:bottom w:val="dotted" w:sz="4" w:space="0" w:color="auto"/>
              <w:right w:val="dotted" w:sz="4" w:space="0" w:color="auto"/>
            </w:tcBorders>
          </w:tcPr>
          <w:tbl>
            <w:tblPr>
              <w:tblW w:w="7540" w:type="dxa"/>
              <w:jc w:val="center"/>
              <w:tblLayout w:type="fixed"/>
              <w:tblCellMar>
                <w:left w:w="70" w:type="dxa"/>
                <w:right w:w="70" w:type="dxa"/>
              </w:tblCellMar>
              <w:tblLook w:val="04A0" w:firstRow="1" w:lastRow="0" w:firstColumn="1" w:lastColumn="0" w:noHBand="0" w:noVBand="1"/>
            </w:tblPr>
            <w:tblGrid>
              <w:gridCol w:w="500"/>
              <w:gridCol w:w="1760"/>
              <w:gridCol w:w="1760"/>
              <w:gridCol w:w="1760"/>
              <w:gridCol w:w="1760"/>
            </w:tblGrid>
            <w:tr w:rsidR="00E81874" w:rsidRPr="008C79E7" w14:paraId="7BF8624F" w14:textId="77777777" w:rsidTr="00C07756">
              <w:trPr>
                <w:trHeight w:val="285"/>
                <w:jc w:val="center"/>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76D4A62" w14:textId="77777777" w:rsidR="00E81874" w:rsidRPr="008C79E7" w:rsidRDefault="00E81874" w:rsidP="00C07756">
                  <w:pPr>
                    <w:jc w:val="left"/>
                    <w:rPr>
                      <w:rFonts w:cs="Arial"/>
                      <w:color w:val="000000"/>
                    </w:rPr>
                  </w:pPr>
                  <w:r>
                    <w:rPr>
                      <w:color w:val="000000"/>
                    </w:rPr>
                    <w:t> </w:t>
                  </w:r>
                </w:p>
              </w:tc>
              <w:tc>
                <w:tcPr>
                  <w:tcW w:w="1760" w:type="dxa"/>
                  <w:tcBorders>
                    <w:top w:val="single" w:sz="8" w:space="0" w:color="auto"/>
                    <w:left w:val="nil"/>
                    <w:bottom w:val="single" w:sz="4" w:space="0" w:color="auto"/>
                    <w:right w:val="single" w:sz="4" w:space="0" w:color="auto"/>
                  </w:tcBorders>
                  <w:shd w:val="clear" w:color="auto" w:fill="auto"/>
                  <w:noWrap/>
                  <w:vAlign w:val="bottom"/>
                  <w:hideMark/>
                </w:tcPr>
                <w:p w14:paraId="66CB84FD" w14:textId="77777777" w:rsidR="00E81874" w:rsidRPr="008C79E7" w:rsidRDefault="00E81874" w:rsidP="00C07756">
                  <w:pPr>
                    <w:jc w:val="left"/>
                    <w:rPr>
                      <w:rFonts w:cs="Arial"/>
                      <w:color w:val="000000"/>
                    </w:rPr>
                  </w:pPr>
                  <w:r>
                    <w:rPr>
                      <w:color w:val="000000"/>
                    </w:rPr>
                    <w:t> </w:t>
                  </w:r>
                </w:p>
              </w:tc>
              <w:tc>
                <w:tcPr>
                  <w:tcW w:w="5280"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28B9D3A0" w14:textId="77777777" w:rsidR="00E81874" w:rsidRPr="008C79E7" w:rsidRDefault="00E81874" w:rsidP="00C07756">
                  <w:pPr>
                    <w:jc w:val="center"/>
                    <w:rPr>
                      <w:rFonts w:cs="Arial"/>
                      <w:b/>
                      <w:bCs/>
                      <w:color w:val="000000"/>
                    </w:rPr>
                  </w:pPr>
                  <w:r>
                    <w:rPr>
                      <w:b/>
                      <w:color w:val="000000"/>
                    </w:rPr>
                    <w:t>Test 2 (</w:t>
                  </w:r>
                  <w:r>
                    <w:rPr>
                      <w:b/>
                      <w:i/>
                      <w:color w:val="000000"/>
                    </w:rPr>
                    <w:t>mo1²</w:t>
                  </w:r>
                  <w:r>
                    <w:rPr>
                      <w:b/>
                      <w:color w:val="000000"/>
                    </w:rPr>
                    <w:t>)</w:t>
                  </w:r>
                </w:p>
              </w:tc>
            </w:tr>
            <w:tr w:rsidR="00E81874" w:rsidRPr="008C79E7" w14:paraId="6700053E" w14:textId="77777777" w:rsidTr="00C07756">
              <w:trPr>
                <w:trHeight w:val="585"/>
                <w:jc w:val="center"/>
              </w:trPr>
              <w:tc>
                <w:tcPr>
                  <w:tcW w:w="500" w:type="dxa"/>
                  <w:tcBorders>
                    <w:top w:val="nil"/>
                    <w:left w:val="single" w:sz="8" w:space="0" w:color="auto"/>
                    <w:bottom w:val="single" w:sz="4" w:space="0" w:color="auto"/>
                    <w:right w:val="single" w:sz="4" w:space="0" w:color="auto"/>
                  </w:tcBorders>
                  <w:shd w:val="clear" w:color="auto" w:fill="auto"/>
                  <w:noWrap/>
                  <w:vAlign w:val="bottom"/>
                  <w:hideMark/>
                </w:tcPr>
                <w:p w14:paraId="02E071F4" w14:textId="77777777" w:rsidR="00E81874" w:rsidRPr="008C79E7" w:rsidRDefault="00E81874" w:rsidP="00C07756">
                  <w:pPr>
                    <w:jc w:val="left"/>
                    <w:rPr>
                      <w:rFonts w:cs="Arial"/>
                      <w:color w:val="000000"/>
                    </w:rPr>
                  </w:pPr>
                  <w:r>
                    <w:rPr>
                      <w:color w:val="000000"/>
                    </w:rPr>
                    <w:t> </w:t>
                  </w:r>
                </w:p>
              </w:tc>
              <w:tc>
                <w:tcPr>
                  <w:tcW w:w="1760" w:type="dxa"/>
                  <w:tcBorders>
                    <w:top w:val="nil"/>
                    <w:left w:val="nil"/>
                    <w:bottom w:val="single" w:sz="4" w:space="0" w:color="auto"/>
                    <w:right w:val="single" w:sz="4" w:space="0" w:color="auto"/>
                  </w:tcBorders>
                  <w:shd w:val="clear" w:color="auto" w:fill="auto"/>
                  <w:noWrap/>
                  <w:vAlign w:val="bottom"/>
                  <w:hideMark/>
                </w:tcPr>
                <w:p w14:paraId="77805DDA" w14:textId="77777777" w:rsidR="00E81874" w:rsidRPr="008C79E7" w:rsidRDefault="00E81874" w:rsidP="00C07756">
                  <w:pPr>
                    <w:jc w:val="left"/>
                    <w:rPr>
                      <w:rFonts w:cs="Arial"/>
                      <w:color w:val="000000"/>
                    </w:rPr>
                  </w:pPr>
                  <w:r>
                    <w:rPr>
                      <w:color w:val="000000"/>
                    </w:rPr>
                    <w:t> </w:t>
                  </w:r>
                </w:p>
              </w:tc>
              <w:tc>
                <w:tcPr>
                  <w:tcW w:w="1760" w:type="dxa"/>
                  <w:tcBorders>
                    <w:top w:val="nil"/>
                    <w:left w:val="nil"/>
                    <w:bottom w:val="single" w:sz="4" w:space="0" w:color="auto"/>
                    <w:right w:val="single" w:sz="4" w:space="0" w:color="auto"/>
                  </w:tcBorders>
                  <w:shd w:val="clear" w:color="auto" w:fill="auto"/>
                  <w:noWrap/>
                  <w:vAlign w:val="center"/>
                  <w:hideMark/>
                </w:tcPr>
                <w:p w14:paraId="129D6797" w14:textId="77777777" w:rsidR="00E81874" w:rsidRPr="008C79E7" w:rsidRDefault="00E81874" w:rsidP="00C07756">
                  <w:pPr>
                    <w:jc w:val="center"/>
                    <w:rPr>
                      <w:rFonts w:cs="Arial"/>
                      <w:b/>
                      <w:bCs/>
                      <w:color w:val="000000"/>
                    </w:rPr>
                  </w:pPr>
                  <w:r>
                    <w:rPr>
                      <w:b/>
                      <w:color w:val="000000"/>
                    </w:rPr>
                    <w:t>fehlend</w:t>
                  </w:r>
                </w:p>
              </w:tc>
              <w:tc>
                <w:tcPr>
                  <w:tcW w:w="1760" w:type="dxa"/>
                  <w:tcBorders>
                    <w:top w:val="nil"/>
                    <w:left w:val="nil"/>
                    <w:bottom w:val="single" w:sz="4" w:space="0" w:color="auto"/>
                    <w:right w:val="single" w:sz="4" w:space="0" w:color="auto"/>
                  </w:tcBorders>
                  <w:shd w:val="clear" w:color="auto" w:fill="auto"/>
                  <w:vAlign w:val="center"/>
                  <w:hideMark/>
                </w:tcPr>
                <w:p w14:paraId="3B9BCBEB" w14:textId="77777777" w:rsidR="00E81874" w:rsidRPr="008C79E7" w:rsidRDefault="00E81874" w:rsidP="00C07756">
                  <w:pPr>
                    <w:jc w:val="center"/>
                    <w:rPr>
                      <w:rFonts w:cs="Arial"/>
                      <w:b/>
                      <w:bCs/>
                      <w:color w:val="000000"/>
                    </w:rPr>
                  </w:pPr>
                  <w:r>
                    <w:rPr>
                      <w:b/>
                      <w:color w:val="000000"/>
                    </w:rPr>
                    <w:t xml:space="preserve">Homozygot vorhanden </w:t>
                  </w:r>
                </w:p>
              </w:tc>
              <w:tc>
                <w:tcPr>
                  <w:tcW w:w="1760" w:type="dxa"/>
                  <w:tcBorders>
                    <w:top w:val="nil"/>
                    <w:left w:val="nil"/>
                    <w:bottom w:val="single" w:sz="4" w:space="0" w:color="auto"/>
                    <w:right w:val="single" w:sz="8" w:space="0" w:color="auto"/>
                  </w:tcBorders>
                  <w:shd w:val="clear" w:color="auto" w:fill="auto"/>
                  <w:noWrap/>
                  <w:vAlign w:val="center"/>
                  <w:hideMark/>
                </w:tcPr>
                <w:p w14:paraId="62EADBD2" w14:textId="77777777" w:rsidR="00E81874" w:rsidRPr="008C79E7" w:rsidRDefault="00E81874" w:rsidP="00C07756">
                  <w:pPr>
                    <w:jc w:val="center"/>
                    <w:rPr>
                      <w:rFonts w:cs="Arial"/>
                      <w:b/>
                      <w:bCs/>
                      <w:color w:val="000000"/>
                    </w:rPr>
                  </w:pPr>
                  <w:r>
                    <w:rPr>
                      <w:b/>
                      <w:color w:val="000000"/>
                    </w:rPr>
                    <w:t>heterozygot</w:t>
                  </w:r>
                </w:p>
              </w:tc>
            </w:tr>
            <w:tr w:rsidR="00E81874" w:rsidRPr="008C79E7" w14:paraId="20F19EEB" w14:textId="77777777" w:rsidTr="00C07756">
              <w:trPr>
                <w:trHeight w:val="855"/>
                <w:jc w:val="center"/>
              </w:trPr>
              <w:tc>
                <w:tcPr>
                  <w:tcW w:w="500" w:type="dxa"/>
                  <w:vMerge w:val="restart"/>
                  <w:tcBorders>
                    <w:top w:val="nil"/>
                    <w:left w:val="single" w:sz="8" w:space="0" w:color="auto"/>
                    <w:bottom w:val="single" w:sz="8" w:space="0" w:color="000000"/>
                    <w:right w:val="single" w:sz="4" w:space="0" w:color="auto"/>
                  </w:tcBorders>
                  <w:shd w:val="clear" w:color="auto" w:fill="auto"/>
                  <w:noWrap/>
                  <w:textDirection w:val="btLr"/>
                  <w:vAlign w:val="center"/>
                  <w:hideMark/>
                </w:tcPr>
                <w:p w14:paraId="06D60254" w14:textId="77777777" w:rsidR="00E81874" w:rsidRPr="008C79E7" w:rsidRDefault="00E81874" w:rsidP="00C07756">
                  <w:pPr>
                    <w:jc w:val="center"/>
                    <w:rPr>
                      <w:rFonts w:cs="Arial"/>
                      <w:b/>
                      <w:bCs/>
                      <w:color w:val="000000"/>
                    </w:rPr>
                  </w:pPr>
                  <w:r>
                    <w:rPr>
                      <w:b/>
                      <w:color w:val="000000"/>
                    </w:rPr>
                    <w:t>Test 1 (</w:t>
                  </w:r>
                  <w:r>
                    <w:rPr>
                      <w:b/>
                      <w:i/>
                      <w:color w:val="000000"/>
                    </w:rPr>
                    <w:t>mo1</w:t>
                  </w:r>
                  <w:r>
                    <w:rPr>
                      <w:b/>
                      <w:i/>
                      <w:color w:val="000000"/>
                      <w:vertAlign w:val="superscript"/>
                    </w:rPr>
                    <w:t>1</w:t>
                  </w:r>
                  <w:r>
                    <w:rPr>
                      <w:b/>
                      <w:color w:val="000000"/>
                    </w:rPr>
                    <w:t>)</w:t>
                  </w:r>
                </w:p>
              </w:tc>
              <w:tc>
                <w:tcPr>
                  <w:tcW w:w="1760" w:type="dxa"/>
                  <w:tcBorders>
                    <w:top w:val="nil"/>
                    <w:left w:val="nil"/>
                    <w:bottom w:val="single" w:sz="4" w:space="0" w:color="auto"/>
                    <w:right w:val="single" w:sz="4" w:space="0" w:color="auto"/>
                  </w:tcBorders>
                  <w:shd w:val="clear" w:color="auto" w:fill="auto"/>
                  <w:vAlign w:val="center"/>
                  <w:hideMark/>
                </w:tcPr>
                <w:p w14:paraId="5B240C15" w14:textId="77777777" w:rsidR="00E81874" w:rsidRPr="008C79E7" w:rsidRDefault="00E81874" w:rsidP="00C07756">
                  <w:pPr>
                    <w:jc w:val="center"/>
                    <w:rPr>
                      <w:rFonts w:cs="Arial"/>
                      <w:b/>
                      <w:bCs/>
                      <w:color w:val="000000"/>
                    </w:rPr>
                  </w:pPr>
                  <w:r>
                    <w:rPr>
                      <w:b/>
                      <w:color w:val="000000"/>
                    </w:rPr>
                    <w:t xml:space="preserve">fehlend </w:t>
                  </w:r>
                </w:p>
              </w:tc>
              <w:tc>
                <w:tcPr>
                  <w:tcW w:w="1760" w:type="dxa"/>
                  <w:tcBorders>
                    <w:top w:val="nil"/>
                    <w:left w:val="nil"/>
                    <w:bottom w:val="single" w:sz="4" w:space="0" w:color="auto"/>
                    <w:right w:val="single" w:sz="4" w:space="0" w:color="auto"/>
                  </w:tcBorders>
                  <w:shd w:val="clear" w:color="auto" w:fill="auto"/>
                  <w:vAlign w:val="center"/>
                  <w:hideMark/>
                </w:tcPr>
                <w:p w14:paraId="10F06AFB" w14:textId="77777777" w:rsidR="00E81874" w:rsidRPr="008C79E7" w:rsidRDefault="00E81874" w:rsidP="00C07756">
                  <w:pPr>
                    <w:jc w:val="center"/>
                    <w:rPr>
                      <w:rFonts w:cs="Arial"/>
                      <w:color w:val="000000"/>
                    </w:rPr>
                  </w:pPr>
                  <w:r>
                    <w:rPr>
                      <w:color w:val="000000"/>
                    </w:rPr>
                    <w:t>anfällig (</w:t>
                  </w:r>
                  <w:r>
                    <w:rPr>
                      <w:i/>
                      <w:color w:val="000000"/>
                    </w:rPr>
                    <w:t>mo1</w:t>
                  </w:r>
                  <w:r>
                    <w:rPr>
                      <w:i/>
                      <w:color w:val="000000"/>
                      <w:vertAlign w:val="superscript"/>
                    </w:rPr>
                    <w:t>0</w:t>
                  </w:r>
                  <w:r>
                    <w:rPr>
                      <w:color w:val="000000"/>
                    </w:rPr>
                    <w:t>)</w:t>
                  </w:r>
                </w:p>
              </w:tc>
              <w:tc>
                <w:tcPr>
                  <w:tcW w:w="1760" w:type="dxa"/>
                  <w:tcBorders>
                    <w:top w:val="nil"/>
                    <w:left w:val="nil"/>
                    <w:bottom w:val="single" w:sz="4" w:space="0" w:color="auto"/>
                    <w:right w:val="single" w:sz="4" w:space="0" w:color="auto"/>
                  </w:tcBorders>
                  <w:shd w:val="clear" w:color="auto" w:fill="auto"/>
                  <w:noWrap/>
                  <w:vAlign w:val="center"/>
                  <w:hideMark/>
                </w:tcPr>
                <w:p w14:paraId="7244E17E" w14:textId="77777777" w:rsidR="00E81874" w:rsidRPr="008C79E7" w:rsidRDefault="00E81874" w:rsidP="00C07756">
                  <w:pPr>
                    <w:jc w:val="center"/>
                    <w:rPr>
                      <w:rFonts w:cs="Arial"/>
                      <w:color w:val="000000"/>
                    </w:rPr>
                  </w:pPr>
                  <w:r>
                    <w:rPr>
                      <w:color w:val="000000"/>
                    </w:rPr>
                    <w:t xml:space="preserve">resistent </w:t>
                  </w:r>
                  <w:r>
                    <w:rPr>
                      <w:color w:val="000000"/>
                    </w:rPr>
                    <w:br/>
                    <w:t>(</w:t>
                  </w:r>
                  <w:r>
                    <w:rPr>
                      <w:i/>
                      <w:color w:val="000000"/>
                    </w:rPr>
                    <w:t>mo1</w:t>
                  </w:r>
                  <w:r>
                    <w:rPr>
                      <w:i/>
                      <w:color w:val="000000"/>
                      <w:vertAlign w:val="superscript"/>
                    </w:rPr>
                    <w:t>2</w:t>
                  </w:r>
                  <w:r>
                    <w:rPr>
                      <w:color w:val="000000"/>
                    </w:rPr>
                    <w:t>)</w:t>
                  </w:r>
                </w:p>
              </w:tc>
              <w:tc>
                <w:tcPr>
                  <w:tcW w:w="1760" w:type="dxa"/>
                  <w:tcBorders>
                    <w:top w:val="nil"/>
                    <w:left w:val="nil"/>
                    <w:bottom w:val="single" w:sz="4" w:space="0" w:color="auto"/>
                    <w:right w:val="single" w:sz="8" w:space="0" w:color="auto"/>
                  </w:tcBorders>
                  <w:shd w:val="clear" w:color="auto" w:fill="auto"/>
                  <w:vAlign w:val="center"/>
                  <w:hideMark/>
                </w:tcPr>
                <w:p w14:paraId="578B9575" w14:textId="77777777" w:rsidR="00E81874" w:rsidRPr="008C79E7" w:rsidRDefault="00E81874" w:rsidP="00C07756">
                  <w:pPr>
                    <w:jc w:val="center"/>
                    <w:rPr>
                      <w:rFonts w:cs="Arial"/>
                      <w:color w:val="000000"/>
                    </w:rPr>
                  </w:pPr>
                  <w:r>
                    <w:rPr>
                      <w:color w:val="000000"/>
                    </w:rPr>
                    <w:t>anfällig (</w:t>
                  </w:r>
                  <w:r>
                    <w:rPr>
                      <w:i/>
                      <w:color w:val="000000"/>
                    </w:rPr>
                    <w:t>mo1</w:t>
                  </w:r>
                  <w:r>
                    <w:rPr>
                      <w:i/>
                      <w:color w:val="000000"/>
                      <w:vertAlign w:val="superscript"/>
                    </w:rPr>
                    <w:t>0</w:t>
                  </w:r>
                  <w:r>
                    <w:rPr>
                      <w:color w:val="000000"/>
                    </w:rPr>
                    <w:t xml:space="preserve"> oder </w:t>
                  </w:r>
                  <w:r>
                    <w:rPr>
                      <w:i/>
                      <w:color w:val="000000"/>
                    </w:rPr>
                    <w:t>mo1</w:t>
                  </w:r>
                  <w:r>
                    <w:rPr>
                      <w:i/>
                      <w:color w:val="000000"/>
                      <w:vertAlign w:val="superscript"/>
                    </w:rPr>
                    <w:t>2</w:t>
                  </w:r>
                  <w:r>
                    <w:rPr>
                      <w:color w:val="000000"/>
                    </w:rPr>
                    <w:t>)</w:t>
                  </w:r>
                </w:p>
              </w:tc>
            </w:tr>
            <w:tr w:rsidR="00E81874" w:rsidRPr="008C79E7" w14:paraId="6BF8E4E1" w14:textId="77777777" w:rsidTr="00C07756">
              <w:trPr>
                <w:trHeight w:val="855"/>
                <w:jc w:val="center"/>
              </w:trPr>
              <w:tc>
                <w:tcPr>
                  <w:tcW w:w="500" w:type="dxa"/>
                  <w:vMerge/>
                  <w:tcBorders>
                    <w:top w:val="nil"/>
                    <w:left w:val="single" w:sz="8" w:space="0" w:color="auto"/>
                    <w:bottom w:val="single" w:sz="8" w:space="0" w:color="000000"/>
                    <w:right w:val="single" w:sz="4" w:space="0" w:color="auto"/>
                  </w:tcBorders>
                  <w:vAlign w:val="center"/>
                  <w:hideMark/>
                </w:tcPr>
                <w:p w14:paraId="706A690C" w14:textId="77777777" w:rsidR="00E81874" w:rsidRPr="008C79E7" w:rsidRDefault="00E81874" w:rsidP="00C07756">
                  <w:pPr>
                    <w:jc w:val="left"/>
                    <w:rPr>
                      <w:rFonts w:cs="Arial"/>
                      <w:b/>
                      <w:bCs/>
                      <w:color w:val="000000"/>
                      <w:lang w:val="nl-NL" w:eastAsia="nl-NL"/>
                    </w:rPr>
                  </w:pPr>
                </w:p>
              </w:tc>
              <w:tc>
                <w:tcPr>
                  <w:tcW w:w="1760" w:type="dxa"/>
                  <w:tcBorders>
                    <w:top w:val="nil"/>
                    <w:left w:val="nil"/>
                    <w:bottom w:val="single" w:sz="4" w:space="0" w:color="auto"/>
                    <w:right w:val="single" w:sz="4" w:space="0" w:color="auto"/>
                  </w:tcBorders>
                  <w:shd w:val="clear" w:color="auto" w:fill="auto"/>
                  <w:vAlign w:val="center"/>
                  <w:hideMark/>
                </w:tcPr>
                <w:p w14:paraId="3D4CDCBB" w14:textId="77777777" w:rsidR="00E81874" w:rsidRPr="008C79E7" w:rsidRDefault="00E81874" w:rsidP="00C07756">
                  <w:pPr>
                    <w:jc w:val="center"/>
                    <w:rPr>
                      <w:rFonts w:cs="Arial"/>
                      <w:b/>
                      <w:bCs/>
                      <w:color w:val="000000"/>
                    </w:rPr>
                  </w:pPr>
                  <w:r>
                    <w:rPr>
                      <w:b/>
                      <w:color w:val="000000"/>
                    </w:rPr>
                    <w:t xml:space="preserve">Homozygot vorhanden </w:t>
                  </w:r>
                </w:p>
              </w:tc>
              <w:tc>
                <w:tcPr>
                  <w:tcW w:w="1760" w:type="dxa"/>
                  <w:tcBorders>
                    <w:top w:val="nil"/>
                    <w:left w:val="nil"/>
                    <w:bottom w:val="single" w:sz="4" w:space="0" w:color="auto"/>
                    <w:right w:val="single" w:sz="4" w:space="0" w:color="auto"/>
                  </w:tcBorders>
                  <w:shd w:val="clear" w:color="auto" w:fill="auto"/>
                  <w:vAlign w:val="center"/>
                  <w:hideMark/>
                </w:tcPr>
                <w:p w14:paraId="48BCD703" w14:textId="77777777" w:rsidR="00E81874" w:rsidRPr="008C79E7" w:rsidRDefault="00E81874" w:rsidP="00C07756">
                  <w:pPr>
                    <w:jc w:val="center"/>
                    <w:rPr>
                      <w:rFonts w:cs="Arial"/>
                      <w:color w:val="000000"/>
                    </w:rPr>
                  </w:pPr>
                  <w:r>
                    <w:rPr>
                      <w:color w:val="000000"/>
                    </w:rPr>
                    <w:t xml:space="preserve">resistent </w:t>
                  </w:r>
                  <w:r>
                    <w:rPr>
                      <w:color w:val="000000"/>
                    </w:rPr>
                    <w:br/>
                    <w:t>(</w:t>
                  </w:r>
                  <w:r>
                    <w:rPr>
                      <w:i/>
                      <w:color w:val="000000"/>
                    </w:rPr>
                    <w:t>mo1</w:t>
                  </w:r>
                  <w:r>
                    <w:rPr>
                      <w:i/>
                      <w:color w:val="000000"/>
                      <w:vertAlign w:val="superscript"/>
                    </w:rPr>
                    <w:t>1</w:t>
                  </w:r>
                  <w:r>
                    <w:rPr>
                      <w:color w:val="000000"/>
                    </w:rPr>
                    <w:t>)</w:t>
                  </w:r>
                </w:p>
              </w:tc>
              <w:tc>
                <w:tcPr>
                  <w:tcW w:w="1760" w:type="dxa"/>
                  <w:tcBorders>
                    <w:top w:val="nil"/>
                    <w:left w:val="nil"/>
                    <w:bottom w:val="single" w:sz="4" w:space="0" w:color="auto"/>
                    <w:right w:val="single" w:sz="4" w:space="0" w:color="auto"/>
                  </w:tcBorders>
                  <w:shd w:val="clear" w:color="auto" w:fill="auto"/>
                  <w:vAlign w:val="center"/>
                  <w:hideMark/>
                </w:tcPr>
                <w:p w14:paraId="0F916935" w14:textId="77777777" w:rsidR="00E81874" w:rsidRPr="008C79E7" w:rsidRDefault="00E81874" w:rsidP="00C07756">
                  <w:pPr>
                    <w:jc w:val="center"/>
                    <w:rPr>
                      <w:rFonts w:cs="Arial"/>
                      <w:color w:val="000000"/>
                    </w:rPr>
                  </w:pPr>
                  <w:r>
                    <w:rPr>
                      <w:color w:val="000000"/>
                    </w:rPr>
                    <w:t>-</w:t>
                  </w:r>
                </w:p>
              </w:tc>
              <w:tc>
                <w:tcPr>
                  <w:tcW w:w="1760" w:type="dxa"/>
                  <w:tcBorders>
                    <w:top w:val="nil"/>
                    <w:left w:val="nil"/>
                    <w:bottom w:val="single" w:sz="4" w:space="0" w:color="auto"/>
                    <w:right w:val="single" w:sz="8" w:space="0" w:color="auto"/>
                  </w:tcBorders>
                  <w:shd w:val="clear" w:color="auto" w:fill="auto"/>
                  <w:vAlign w:val="center"/>
                  <w:hideMark/>
                </w:tcPr>
                <w:p w14:paraId="587DC4EF" w14:textId="77777777" w:rsidR="00E81874" w:rsidRPr="008C79E7" w:rsidRDefault="00E81874" w:rsidP="00C07756">
                  <w:pPr>
                    <w:jc w:val="center"/>
                    <w:rPr>
                      <w:rFonts w:cs="Arial"/>
                      <w:color w:val="000000"/>
                    </w:rPr>
                  </w:pPr>
                  <w:r>
                    <w:rPr>
                      <w:color w:val="000000"/>
                    </w:rPr>
                    <w:t>-</w:t>
                  </w:r>
                </w:p>
              </w:tc>
            </w:tr>
            <w:tr w:rsidR="00E81874" w:rsidRPr="008C79E7" w14:paraId="00BAEAE9" w14:textId="77777777" w:rsidTr="00C07756">
              <w:trPr>
                <w:trHeight w:val="855"/>
                <w:jc w:val="center"/>
              </w:trPr>
              <w:tc>
                <w:tcPr>
                  <w:tcW w:w="500" w:type="dxa"/>
                  <w:vMerge/>
                  <w:tcBorders>
                    <w:top w:val="nil"/>
                    <w:left w:val="single" w:sz="8" w:space="0" w:color="auto"/>
                    <w:bottom w:val="single" w:sz="8" w:space="0" w:color="000000"/>
                    <w:right w:val="single" w:sz="4" w:space="0" w:color="auto"/>
                  </w:tcBorders>
                  <w:vAlign w:val="center"/>
                  <w:hideMark/>
                </w:tcPr>
                <w:p w14:paraId="467186B2" w14:textId="77777777" w:rsidR="00E81874" w:rsidRPr="008C79E7" w:rsidRDefault="00E81874" w:rsidP="00C07756">
                  <w:pPr>
                    <w:jc w:val="left"/>
                    <w:rPr>
                      <w:rFonts w:cs="Arial"/>
                      <w:b/>
                      <w:bCs/>
                      <w:color w:val="000000"/>
                      <w:lang w:val="nl-NL" w:eastAsia="nl-NL"/>
                    </w:rPr>
                  </w:pPr>
                </w:p>
              </w:tc>
              <w:tc>
                <w:tcPr>
                  <w:tcW w:w="1760" w:type="dxa"/>
                  <w:tcBorders>
                    <w:top w:val="nil"/>
                    <w:left w:val="nil"/>
                    <w:bottom w:val="single" w:sz="8" w:space="0" w:color="auto"/>
                    <w:right w:val="single" w:sz="4" w:space="0" w:color="auto"/>
                  </w:tcBorders>
                  <w:shd w:val="clear" w:color="auto" w:fill="auto"/>
                  <w:vAlign w:val="center"/>
                  <w:hideMark/>
                </w:tcPr>
                <w:p w14:paraId="0C49375B" w14:textId="77777777" w:rsidR="00E81874" w:rsidRPr="008C79E7" w:rsidRDefault="00E81874" w:rsidP="00C07756">
                  <w:pPr>
                    <w:jc w:val="center"/>
                    <w:rPr>
                      <w:rFonts w:cs="Arial"/>
                      <w:b/>
                      <w:bCs/>
                      <w:color w:val="000000"/>
                    </w:rPr>
                  </w:pPr>
                  <w:r>
                    <w:rPr>
                      <w:b/>
                      <w:color w:val="000000"/>
                    </w:rPr>
                    <w:t>heterozygot</w:t>
                  </w:r>
                </w:p>
              </w:tc>
              <w:tc>
                <w:tcPr>
                  <w:tcW w:w="1760" w:type="dxa"/>
                  <w:tcBorders>
                    <w:top w:val="nil"/>
                    <w:left w:val="nil"/>
                    <w:bottom w:val="single" w:sz="8" w:space="0" w:color="auto"/>
                    <w:right w:val="single" w:sz="4" w:space="0" w:color="auto"/>
                  </w:tcBorders>
                  <w:shd w:val="clear" w:color="auto" w:fill="auto"/>
                  <w:vAlign w:val="center"/>
                  <w:hideMark/>
                </w:tcPr>
                <w:p w14:paraId="6FDD459E" w14:textId="77777777" w:rsidR="00E81874" w:rsidRPr="008C79E7" w:rsidRDefault="00E81874" w:rsidP="00C07756">
                  <w:pPr>
                    <w:jc w:val="center"/>
                    <w:rPr>
                      <w:rFonts w:cs="Arial"/>
                      <w:color w:val="000000"/>
                    </w:rPr>
                  </w:pPr>
                  <w:r>
                    <w:rPr>
                      <w:color w:val="000000"/>
                    </w:rPr>
                    <w:t>anfällig (</w:t>
                  </w:r>
                  <w:r>
                    <w:rPr>
                      <w:i/>
                      <w:color w:val="000000"/>
                    </w:rPr>
                    <w:t>mo1</w:t>
                  </w:r>
                  <w:r>
                    <w:rPr>
                      <w:i/>
                      <w:color w:val="000000"/>
                      <w:vertAlign w:val="superscript"/>
                    </w:rPr>
                    <w:t>0</w:t>
                  </w:r>
                  <w:r>
                    <w:rPr>
                      <w:color w:val="000000"/>
                    </w:rPr>
                    <w:t xml:space="preserve"> oder </w:t>
                  </w:r>
                  <w:r>
                    <w:rPr>
                      <w:i/>
                      <w:color w:val="000000"/>
                    </w:rPr>
                    <w:t>mo1</w:t>
                  </w:r>
                  <w:r>
                    <w:rPr>
                      <w:i/>
                      <w:color w:val="000000"/>
                      <w:vertAlign w:val="superscript"/>
                    </w:rPr>
                    <w:t>1</w:t>
                  </w:r>
                  <w:r>
                    <w:rPr>
                      <w:color w:val="000000"/>
                    </w:rPr>
                    <w:t>)</w:t>
                  </w:r>
                </w:p>
              </w:tc>
              <w:tc>
                <w:tcPr>
                  <w:tcW w:w="1760" w:type="dxa"/>
                  <w:tcBorders>
                    <w:top w:val="nil"/>
                    <w:left w:val="nil"/>
                    <w:bottom w:val="single" w:sz="8" w:space="0" w:color="auto"/>
                    <w:right w:val="single" w:sz="4" w:space="0" w:color="auto"/>
                  </w:tcBorders>
                  <w:shd w:val="clear" w:color="auto" w:fill="auto"/>
                  <w:vAlign w:val="center"/>
                  <w:hideMark/>
                </w:tcPr>
                <w:p w14:paraId="16C4BB02" w14:textId="77777777" w:rsidR="00E81874" w:rsidRPr="008C79E7" w:rsidRDefault="00E81874" w:rsidP="00C07756">
                  <w:pPr>
                    <w:jc w:val="center"/>
                    <w:rPr>
                      <w:rFonts w:cs="Arial"/>
                      <w:color w:val="000000"/>
                    </w:rPr>
                  </w:pPr>
                  <w:r>
                    <w:rPr>
                      <w:color w:val="000000"/>
                    </w:rPr>
                    <w:t>-</w:t>
                  </w:r>
                </w:p>
              </w:tc>
              <w:tc>
                <w:tcPr>
                  <w:tcW w:w="1760" w:type="dxa"/>
                  <w:tcBorders>
                    <w:top w:val="nil"/>
                    <w:left w:val="nil"/>
                    <w:bottom w:val="single" w:sz="8" w:space="0" w:color="auto"/>
                    <w:right w:val="single" w:sz="8" w:space="0" w:color="auto"/>
                  </w:tcBorders>
                  <w:shd w:val="clear" w:color="auto" w:fill="auto"/>
                  <w:vAlign w:val="center"/>
                  <w:hideMark/>
                </w:tcPr>
                <w:p w14:paraId="1446F1E7" w14:textId="7E579D7C" w:rsidR="00E81874" w:rsidRPr="008C79E7" w:rsidRDefault="00567009" w:rsidP="00C07756">
                  <w:pPr>
                    <w:jc w:val="center"/>
                    <w:rPr>
                      <w:rFonts w:cs="Arial"/>
                      <w:color w:val="000000"/>
                    </w:rPr>
                  </w:pPr>
                  <w:r>
                    <w:rPr>
                      <w:color w:val="000000"/>
                    </w:rPr>
                    <w:t>n</w:t>
                  </w:r>
                  <w:r w:rsidR="00E81874">
                    <w:rPr>
                      <w:color w:val="000000"/>
                    </w:rPr>
                    <w:t>och nicht validiert</w:t>
                  </w:r>
                </w:p>
              </w:tc>
            </w:tr>
          </w:tbl>
          <w:p w14:paraId="1DD2A4C5" w14:textId="77777777" w:rsidR="00E81874" w:rsidRPr="008C79E7" w:rsidRDefault="00E81874" w:rsidP="00C07756">
            <w:pPr>
              <w:widowControl w:val="0"/>
              <w:tabs>
                <w:tab w:val="left" w:pos="3969"/>
              </w:tabs>
              <w:rPr>
                <w:rFonts w:cs="Arial"/>
              </w:rPr>
            </w:pPr>
          </w:p>
        </w:tc>
      </w:tr>
      <w:tr w:rsidR="00E81874" w:rsidRPr="008C79E7" w14:paraId="5F65C916" w14:textId="77777777" w:rsidTr="00C07756">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14:paraId="0799D8F1" w14:textId="77777777" w:rsidR="00E81874" w:rsidRPr="008C79E7" w:rsidRDefault="00E81874" w:rsidP="00C07756">
            <w:pPr>
              <w:tabs>
                <w:tab w:val="left" w:leader="dot" w:pos="3720"/>
              </w:tabs>
              <w:spacing w:before="20" w:after="20"/>
              <w:rPr>
                <w:rFonts w:cs="Arial"/>
              </w:rPr>
            </w:pPr>
          </w:p>
        </w:tc>
        <w:tc>
          <w:tcPr>
            <w:tcW w:w="3942" w:type="dxa"/>
            <w:tcBorders>
              <w:top w:val="dotted" w:sz="4" w:space="0" w:color="auto"/>
              <w:left w:val="dotted" w:sz="4" w:space="0" w:color="auto"/>
              <w:bottom w:val="dotted" w:sz="4" w:space="0" w:color="auto"/>
              <w:right w:val="dotted" w:sz="4" w:space="0" w:color="auto"/>
            </w:tcBorders>
          </w:tcPr>
          <w:p w14:paraId="34243CED" w14:textId="77777777" w:rsidR="00E81874" w:rsidRPr="008C79E7" w:rsidRDefault="00E81874" w:rsidP="00C07756">
            <w:pPr>
              <w:widowControl w:val="0"/>
              <w:rPr>
                <w:rFonts w:cs="Arial"/>
                <w:lang w:val="nl-NL"/>
              </w:rPr>
            </w:pPr>
          </w:p>
        </w:tc>
        <w:tc>
          <w:tcPr>
            <w:tcW w:w="4846" w:type="dxa"/>
            <w:gridSpan w:val="3"/>
            <w:tcBorders>
              <w:top w:val="dotted" w:sz="4" w:space="0" w:color="auto"/>
              <w:left w:val="dotted" w:sz="4" w:space="0" w:color="auto"/>
              <w:bottom w:val="dotted" w:sz="4" w:space="0" w:color="auto"/>
              <w:right w:val="dotted" w:sz="4" w:space="0" w:color="auto"/>
            </w:tcBorders>
          </w:tcPr>
          <w:p w14:paraId="6D422819" w14:textId="77777777" w:rsidR="00E81874" w:rsidRDefault="00E81874" w:rsidP="00C07756">
            <w:pPr>
              <w:widowControl w:val="0"/>
              <w:tabs>
                <w:tab w:val="left" w:pos="3969"/>
              </w:tabs>
              <w:rPr>
                <w:rFonts w:cs="Arial"/>
              </w:rPr>
            </w:pPr>
            <w:r>
              <w:t>Heterozygote Pflanzen (</w:t>
            </w:r>
            <w:r>
              <w:rPr>
                <w:i/>
              </w:rPr>
              <w:t>mo1</w:t>
            </w:r>
            <w:r>
              <w:rPr>
                <w:i/>
                <w:vertAlign w:val="superscript"/>
              </w:rPr>
              <w:t>0</w:t>
            </w:r>
            <w:r>
              <w:rPr>
                <w:i/>
              </w:rPr>
              <w:t>mo1</w:t>
            </w:r>
            <w:r>
              <w:rPr>
                <w:i/>
                <w:vertAlign w:val="superscript"/>
              </w:rPr>
              <w:t>1</w:t>
            </w:r>
            <w:r>
              <w:t xml:space="preserve"> oder </w:t>
            </w:r>
            <w:r>
              <w:rPr>
                <w:i/>
              </w:rPr>
              <w:t>mo1</w:t>
            </w:r>
            <w:r>
              <w:rPr>
                <w:i/>
                <w:vertAlign w:val="superscript"/>
              </w:rPr>
              <w:t>0</w:t>
            </w:r>
            <w:r>
              <w:rPr>
                <w:i/>
              </w:rPr>
              <w:t>mo1</w:t>
            </w:r>
            <w:r>
              <w:rPr>
                <w:i/>
                <w:vertAlign w:val="superscript"/>
              </w:rPr>
              <w:t>2</w:t>
            </w:r>
            <w:r>
              <w:t xml:space="preserve">) sind im Biotest voraussichtlich anfällig, da die Allele </w:t>
            </w:r>
            <w:r>
              <w:rPr>
                <w:i/>
              </w:rPr>
              <w:t>mo1</w:t>
            </w:r>
            <w:r>
              <w:rPr>
                <w:i/>
                <w:vertAlign w:val="superscript"/>
              </w:rPr>
              <w:t>1</w:t>
            </w:r>
            <w:r>
              <w:t xml:space="preserve"> und </w:t>
            </w:r>
            <w:r>
              <w:rPr>
                <w:i/>
              </w:rPr>
              <w:t>mo1</w:t>
            </w:r>
            <w:r>
              <w:rPr>
                <w:i/>
                <w:vertAlign w:val="superscript"/>
              </w:rPr>
              <w:t>2</w:t>
            </w:r>
            <w:r>
              <w:t>rezessiv sind.</w:t>
            </w:r>
          </w:p>
          <w:p w14:paraId="1E094108" w14:textId="02419C61" w:rsidR="00E81874" w:rsidRPr="008C79E7" w:rsidRDefault="00E81874" w:rsidP="00C07756">
            <w:pPr>
              <w:widowControl w:val="0"/>
              <w:tabs>
                <w:tab w:val="left" w:pos="3969"/>
              </w:tabs>
              <w:rPr>
                <w:rFonts w:cs="Arial"/>
              </w:rPr>
            </w:pPr>
            <w:r>
              <w:t>Für heterozygote Pflanzen (</w:t>
            </w:r>
            <w:r>
              <w:rPr>
                <w:i/>
              </w:rPr>
              <w:t>mo1</w:t>
            </w:r>
            <w:r>
              <w:rPr>
                <w:i/>
                <w:vertAlign w:val="superscript"/>
              </w:rPr>
              <w:t>1</w:t>
            </w:r>
            <w:r>
              <w:rPr>
                <w:i/>
              </w:rPr>
              <w:t>mo1</w:t>
            </w:r>
            <w:r>
              <w:rPr>
                <w:i/>
                <w:vertAlign w:val="superscript"/>
              </w:rPr>
              <w:t>2</w:t>
            </w:r>
            <w:r>
              <w:t>) ist ein Biotest-Ergebnis erforderlich.</w:t>
            </w:r>
          </w:p>
          <w:p w14:paraId="64108807" w14:textId="2D8898C4" w:rsidR="00E81874" w:rsidRPr="008C79E7" w:rsidRDefault="00E81874" w:rsidP="00C07756">
            <w:pPr>
              <w:widowControl w:val="0"/>
              <w:tabs>
                <w:tab w:val="left" w:pos="3969"/>
              </w:tabs>
              <w:rPr>
                <w:rFonts w:cs="Arial"/>
              </w:rPr>
            </w:pPr>
            <w:r>
              <w:t xml:space="preserve">Bei Sorten mit gemischten Genotypen (heterozygote Pflanzen des Typs </w:t>
            </w:r>
            <w:r>
              <w:rPr>
                <w:i/>
              </w:rPr>
              <w:t>mo1</w:t>
            </w:r>
            <w:r>
              <w:rPr>
                <w:i/>
                <w:vertAlign w:val="superscript"/>
              </w:rPr>
              <w:t>0</w:t>
            </w:r>
            <w:r>
              <w:rPr>
                <w:i/>
              </w:rPr>
              <w:t>mo1</w:t>
            </w:r>
            <w:r>
              <w:rPr>
                <w:i/>
                <w:vertAlign w:val="superscript"/>
              </w:rPr>
              <w:t>1</w:t>
            </w:r>
            <w:r>
              <w:t xml:space="preserve">, </w:t>
            </w:r>
            <w:r>
              <w:rPr>
                <w:i/>
              </w:rPr>
              <w:t>mo1</w:t>
            </w:r>
            <w:r>
              <w:rPr>
                <w:i/>
                <w:vertAlign w:val="superscript"/>
              </w:rPr>
              <w:t>0</w:t>
            </w:r>
            <w:r>
              <w:rPr>
                <w:i/>
              </w:rPr>
              <w:t>mo1</w:t>
            </w:r>
            <w:r>
              <w:rPr>
                <w:i/>
                <w:vertAlign w:val="superscript"/>
              </w:rPr>
              <w:t>2</w:t>
            </w:r>
            <w:r>
              <w:t xml:space="preserve"> oder homozygote Pflanzen des Typs </w:t>
            </w:r>
            <w:r>
              <w:rPr>
                <w:i/>
              </w:rPr>
              <w:t>mo1</w:t>
            </w:r>
            <w:r>
              <w:rPr>
                <w:i/>
                <w:vertAlign w:val="superscript"/>
              </w:rPr>
              <w:t>0</w:t>
            </w:r>
            <w:r>
              <w:t xml:space="preserve"> (voraussichtlich anfälliger Phänotyp)</w:t>
            </w:r>
            <w:r w:rsidR="00567009">
              <w:t xml:space="preserve"> </w:t>
            </w:r>
            <w:r>
              <w:br/>
              <w:t>und homozygote Pflanzen des Typs</w:t>
            </w:r>
            <w:r>
              <w:rPr>
                <w:vertAlign w:val="superscript"/>
              </w:rPr>
              <w:t xml:space="preserve"> </w:t>
            </w:r>
            <w:r>
              <w:rPr>
                <w:i/>
              </w:rPr>
              <w:t>mo1</w:t>
            </w:r>
            <w:r>
              <w:rPr>
                <w:i/>
                <w:vertAlign w:val="superscript"/>
              </w:rPr>
              <w:t>1</w:t>
            </w:r>
            <w:r>
              <w:t xml:space="preserve"> oder </w:t>
            </w:r>
            <w:r>
              <w:rPr>
                <w:i/>
              </w:rPr>
              <w:t>mo1</w:t>
            </w:r>
            <w:r>
              <w:rPr>
                <w:i/>
                <w:vertAlign w:val="superscript"/>
              </w:rPr>
              <w:t>2</w:t>
            </w:r>
            <w:r w:rsidR="00567009">
              <w:rPr>
                <w:i/>
                <w:vertAlign w:val="superscript"/>
              </w:rPr>
              <w:t xml:space="preserve"> </w:t>
            </w:r>
            <w:r>
              <w:t>(voraussichtlich resistenter Phänotyp)) ist davon auszugehen, dass sie im Biotest nichthomogen sind.</w:t>
            </w:r>
          </w:p>
          <w:p w14:paraId="693F5041" w14:textId="77777777" w:rsidR="00E81874" w:rsidRPr="008C79E7" w:rsidRDefault="00E81874" w:rsidP="00C07756">
            <w:pPr>
              <w:widowControl w:val="0"/>
              <w:tabs>
                <w:tab w:val="left" w:pos="3969"/>
              </w:tabs>
              <w:rPr>
                <w:rFonts w:cs="Arial"/>
              </w:rPr>
            </w:pPr>
          </w:p>
          <w:p w14:paraId="3CF6B40A" w14:textId="77777777" w:rsidR="00E81874" w:rsidRPr="008C79E7" w:rsidRDefault="00E81874" w:rsidP="00C07756">
            <w:pPr>
              <w:widowControl w:val="0"/>
              <w:tabs>
                <w:tab w:val="left" w:pos="3969"/>
              </w:tabs>
              <w:rPr>
                <w:rFonts w:cs="Arial"/>
              </w:rPr>
            </w:pPr>
            <w:r>
              <w:t>Wenn das Ergebnis des DNS-Marker-Tests die Angaben im TQ nicht bestätigt, sollte ein Biotest durchgeführt werden, um zu herauszufinden, ob ein anderer Vorgang für die Resistenz der Sorte verantwortlich ist.</w:t>
            </w:r>
          </w:p>
        </w:tc>
      </w:tr>
    </w:tbl>
    <w:p w14:paraId="5EE02895" w14:textId="77777777" w:rsidR="00E81874" w:rsidRDefault="00E81874" w:rsidP="00E81874"/>
    <w:p w14:paraId="5881C2EE" w14:textId="77777777" w:rsidR="00E81874" w:rsidRDefault="00E81874" w:rsidP="00E81874"/>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E81874" w:rsidRPr="008A73B8" w14:paraId="38A213AE" w14:textId="77777777" w:rsidTr="00C07756">
        <w:trPr>
          <w:cantSplit/>
          <w:jc w:val="center"/>
        </w:trPr>
        <w:tc>
          <w:tcPr>
            <w:tcW w:w="9670" w:type="dxa"/>
            <w:shd w:val="clear" w:color="auto" w:fill="D9D9D9"/>
            <w:vAlign w:val="center"/>
          </w:tcPr>
          <w:p w14:paraId="05200665" w14:textId="77777777" w:rsidR="00E81874" w:rsidRPr="008A73B8" w:rsidRDefault="00E81874" w:rsidP="00C07756">
            <w:pPr>
              <w:pStyle w:val="BodyText"/>
              <w:keepNext/>
              <w:tabs>
                <w:tab w:val="left" w:pos="1849"/>
              </w:tabs>
              <w:ind w:left="1803" w:hanging="1803"/>
              <w:jc w:val="left"/>
              <w:rPr>
                <w:rFonts w:cs="Arial"/>
                <w:b/>
                <w:iCs/>
              </w:rPr>
            </w:pPr>
            <w:r>
              <w:rPr>
                <w:b/>
              </w:rPr>
              <w:t>TC/57/18</w:t>
            </w:r>
            <w:r>
              <w:rPr>
                <w:b/>
              </w:rPr>
              <w:tab/>
              <w:t>Teilüberarbeitung der Prüfungsrichtlinien für Tomaten-Unterlagen</w:t>
            </w:r>
          </w:p>
        </w:tc>
      </w:tr>
    </w:tbl>
    <w:p w14:paraId="3CD9BC86" w14:textId="77777777" w:rsidR="00E81874" w:rsidRDefault="00E81874" w:rsidP="00E81874">
      <w:pPr>
        <w:keepNext/>
      </w:pPr>
    </w:p>
    <w:p w14:paraId="08223102" w14:textId="77777777" w:rsidR="00E81874" w:rsidRPr="008D0013" w:rsidRDefault="00E81874" w:rsidP="00E81874">
      <w:pPr>
        <w:keepNext/>
        <w:ind w:firstLine="567"/>
        <w:rPr>
          <w:rFonts w:cs="Arial"/>
        </w:rPr>
      </w:pPr>
      <w:r>
        <w:t>Der TC-EDC prüfte auf seiner am 12. und 13. Oktober 2021 auf elektronischem Wege abgehaltenen Tagung das Dokument TC/57/18 und gab die in der nachstehenden Tabelle aufgeführten Empfehlungen ab.</w:t>
      </w:r>
    </w:p>
    <w:p w14:paraId="22BEC26A" w14:textId="77777777" w:rsidR="00E81874" w:rsidRDefault="00E81874" w:rsidP="00E81874"/>
    <w:p w14:paraId="0B352830" w14:textId="77777777" w:rsidR="00E81874" w:rsidRPr="008D0013" w:rsidRDefault="00E81874" w:rsidP="00E81874">
      <w:pPr>
        <w:ind w:firstLine="567"/>
      </w:pPr>
      <w:r>
        <w:t>Der TC-EDC war sich einig, dass es bei der Teilüberarbeitung der Prüfungsrichtlinien für Tomaten-Unterlagen (nachstehend durch „</w:t>
      </w:r>
      <w:r>
        <w:rPr>
          <w:vertAlign w:val="superscript"/>
        </w:rPr>
        <w:t>#</w:t>
      </w:r>
      <w:r>
        <w:t>“ bezeichnet) noch nicht gelöste technische Probleme gebe, die von der TWV auf ihrer sechsundfünfzigsten Tagung angesprochen werden sollten.</w:t>
      </w:r>
    </w:p>
    <w:p w14:paraId="11537E73" w14:textId="77777777" w:rsidR="00E81874" w:rsidRDefault="00E81874" w:rsidP="00E8187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E81874" w:rsidRPr="008A73B8" w14:paraId="67873C14" w14:textId="77777777" w:rsidTr="00C07756">
        <w:trPr>
          <w:cantSplit/>
        </w:trPr>
        <w:tc>
          <w:tcPr>
            <w:tcW w:w="1573" w:type="dxa"/>
            <w:shd w:val="clear" w:color="auto" w:fill="auto"/>
          </w:tcPr>
          <w:p w14:paraId="4B26C06B" w14:textId="77777777" w:rsidR="00E81874" w:rsidRPr="008E3505" w:rsidRDefault="00E81874" w:rsidP="00C07756">
            <w:pPr>
              <w:pStyle w:val="BodyText"/>
              <w:jc w:val="left"/>
              <w:rPr>
                <w:rFonts w:cs="Arial"/>
                <w:color w:val="000000"/>
              </w:rPr>
            </w:pPr>
            <w:r>
              <w:rPr>
                <w:vertAlign w:val="superscript"/>
              </w:rPr>
              <w:t>#</w:t>
            </w:r>
            <w:r>
              <w:t>Merkm.</w:t>
            </w:r>
            <w:r>
              <w:rPr>
                <w:color w:val="000000"/>
              </w:rPr>
              <w:t xml:space="preserve"> 22, </w:t>
            </w:r>
            <w:r>
              <w:rPr>
                <w:color w:val="000000"/>
              </w:rPr>
              <w:br/>
              <w:t>Zu 22</w:t>
            </w:r>
          </w:p>
        </w:tc>
        <w:tc>
          <w:tcPr>
            <w:tcW w:w="8208" w:type="dxa"/>
          </w:tcPr>
          <w:p w14:paraId="28B09D04" w14:textId="77777777" w:rsidR="00E81874" w:rsidRPr="008E3505" w:rsidRDefault="00E81874" w:rsidP="00C07756">
            <w:pPr>
              <w:pStyle w:val="BodyText"/>
              <w:jc w:val="left"/>
              <w:rPr>
                <w:rFonts w:cs="Arial"/>
                <w:color w:val="000000"/>
              </w:rPr>
            </w:pPr>
            <w:r>
              <w:rPr>
                <w:color w:val="000000"/>
              </w:rPr>
              <w:t>Prüfen, ob die Skala auf 3 Noten beschränkt werden soll oder ob bei Verwendung aller Noten der 5-stufigen Skala die Erläuterung zur Benotung des Merkmals verbessert werden soll.</w:t>
            </w:r>
          </w:p>
          <w:p w14:paraId="1A847B9F" w14:textId="77777777" w:rsidR="00E81874" w:rsidRPr="008E3505" w:rsidRDefault="00E81874" w:rsidP="00C07756">
            <w:pPr>
              <w:pStyle w:val="BodyText"/>
              <w:jc w:val="left"/>
              <w:rPr>
                <w:rFonts w:cs="Arial"/>
                <w:color w:val="000000"/>
              </w:rPr>
            </w:pPr>
          </w:p>
        </w:tc>
      </w:tr>
      <w:tr w:rsidR="00E81874" w:rsidRPr="008A73B8" w14:paraId="0FB8629C" w14:textId="77777777" w:rsidTr="00C07756">
        <w:trPr>
          <w:cantSplit/>
        </w:trPr>
        <w:tc>
          <w:tcPr>
            <w:tcW w:w="1573" w:type="dxa"/>
            <w:shd w:val="clear" w:color="auto" w:fill="auto"/>
          </w:tcPr>
          <w:p w14:paraId="4A18C9BF" w14:textId="77777777" w:rsidR="00E81874" w:rsidRPr="00CD4EE0" w:rsidRDefault="00E81874" w:rsidP="00C07756">
            <w:pPr>
              <w:pStyle w:val="BodyText"/>
              <w:jc w:val="left"/>
              <w:rPr>
                <w:rFonts w:cs="Arial"/>
                <w:color w:val="000000"/>
              </w:rPr>
            </w:pPr>
            <w:r>
              <w:rPr>
                <w:vertAlign w:val="superscript"/>
              </w:rPr>
              <w:t>#</w:t>
            </w:r>
            <w:r>
              <w:t>Zu</w:t>
            </w:r>
            <w:r>
              <w:rPr>
                <w:color w:val="000000"/>
              </w:rPr>
              <w:t xml:space="preserve"> 22, 9.1, 9.4, 11.3</w:t>
            </w:r>
          </w:p>
        </w:tc>
        <w:tc>
          <w:tcPr>
            <w:tcW w:w="8208" w:type="dxa"/>
          </w:tcPr>
          <w:p w14:paraId="34006F3E" w14:textId="77777777" w:rsidR="00E81874" w:rsidRPr="008E3505" w:rsidRDefault="00E81874" w:rsidP="00C07756">
            <w:pPr>
              <w:pStyle w:val="BodyText"/>
              <w:jc w:val="left"/>
              <w:rPr>
                <w:rFonts w:cs="Arial"/>
                <w:snapToGrid w:val="0"/>
                <w:color w:val="000000"/>
              </w:rPr>
            </w:pPr>
            <w:r>
              <w:rPr>
                <w:snapToGrid w:val="0"/>
                <w:color w:val="000000"/>
              </w:rPr>
              <w:t>Die Erläuterung dazu, wie Keimung sich auf die Benotung des Merkmals auswirkt, verbessern.</w:t>
            </w:r>
          </w:p>
        </w:tc>
      </w:tr>
      <w:tr w:rsidR="00E81874" w:rsidRPr="008A73B8" w14:paraId="6E1C703F" w14:textId="77777777" w:rsidTr="00C07756">
        <w:trPr>
          <w:cantSplit/>
        </w:trPr>
        <w:tc>
          <w:tcPr>
            <w:tcW w:w="1573" w:type="dxa"/>
            <w:shd w:val="clear" w:color="auto" w:fill="auto"/>
          </w:tcPr>
          <w:p w14:paraId="2FABC048" w14:textId="77777777" w:rsidR="00E81874" w:rsidRPr="00CD4EE0" w:rsidRDefault="00E81874" w:rsidP="00C07756">
            <w:pPr>
              <w:tabs>
                <w:tab w:val="left" w:leader="dot" w:pos="3402"/>
              </w:tabs>
              <w:ind w:right="227"/>
              <w:jc w:val="left"/>
              <w:rPr>
                <w:rFonts w:cs="Arial"/>
              </w:rPr>
            </w:pPr>
            <w:r>
              <w:rPr>
                <w:color w:val="000000"/>
              </w:rPr>
              <w:t xml:space="preserve">Zu 22, </w:t>
            </w:r>
            <w:r>
              <w:t>9.1</w:t>
            </w:r>
          </w:p>
        </w:tc>
        <w:tc>
          <w:tcPr>
            <w:tcW w:w="8208" w:type="dxa"/>
          </w:tcPr>
          <w:p w14:paraId="6AFC5A2D" w14:textId="77777777" w:rsidR="00E81874" w:rsidRPr="00841B0F" w:rsidRDefault="00E81874" w:rsidP="00C07756">
            <w:pPr>
              <w:pStyle w:val="BodyText"/>
              <w:jc w:val="left"/>
              <w:rPr>
                <w:rFonts w:cs="Arial"/>
                <w:snapToGrid w:val="0"/>
                <w:color w:val="000000"/>
              </w:rPr>
            </w:pPr>
            <w:r>
              <w:t xml:space="preserve">Soll lauten „...auf Nematoden zurückzuführen ist </w:t>
            </w:r>
            <w:r>
              <w:rPr>
                <w:strike/>
              </w:rPr>
              <w:t>oder nicht</w:t>
            </w:r>
            <w:r>
              <w:t>“</w:t>
            </w:r>
          </w:p>
        </w:tc>
      </w:tr>
      <w:tr w:rsidR="00E81874" w:rsidRPr="008A73B8" w14:paraId="75F89F4D" w14:textId="77777777" w:rsidTr="00C07756">
        <w:trPr>
          <w:cantSplit/>
        </w:trPr>
        <w:tc>
          <w:tcPr>
            <w:tcW w:w="1573" w:type="dxa"/>
            <w:shd w:val="clear" w:color="auto" w:fill="auto"/>
          </w:tcPr>
          <w:p w14:paraId="540B237C" w14:textId="77777777" w:rsidR="00E81874" w:rsidRPr="00CD4EE0" w:rsidRDefault="00E81874" w:rsidP="00C07756">
            <w:pPr>
              <w:tabs>
                <w:tab w:val="left" w:leader="dot" w:pos="3402"/>
              </w:tabs>
              <w:ind w:right="227"/>
              <w:jc w:val="left"/>
              <w:rPr>
                <w:rFonts w:cs="Arial"/>
              </w:rPr>
            </w:pPr>
            <w:r>
              <w:rPr>
                <w:color w:val="000000"/>
              </w:rPr>
              <w:t xml:space="preserve">Zu 22, </w:t>
            </w:r>
            <w:r>
              <w:t>9.2</w:t>
            </w:r>
          </w:p>
        </w:tc>
        <w:tc>
          <w:tcPr>
            <w:tcW w:w="8208" w:type="dxa"/>
          </w:tcPr>
          <w:p w14:paraId="4A5D3CF7" w14:textId="77777777" w:rsidR="00E81874" w:rsidRPr="00841B0F" w:rsidRDefault="00E81874" w:rsidP="00C07756">
            <w:pPr>
              <w:pStyle w:val="BodyText"/>
              <w:jc w:val="left"/>
              <w:rPr>
                <w:rFonts w:cs="Arial"/>
                <w:snapToGrid w:val="0"/>
                <w:color w:val="000000"/>
              </w:rPr>
            </w:pPr>
            <w:r>
              <w:t>Soll lauten „mindestens 2, vorzugsweise 3</w:t>
            </w:r>
            <w:r>
              <w:rPr>
                <w:color w:val="000000"/>
              </w:rPr>
              <w:t xml:space="preserve">, </w:t>
            </w:r>
            <w:r>
              <w:rPr>
                <w:strike/>
              </w:rPr>
              <w:t>um eine statistische Auswertung zu ermöglichen</w:t>
            </w:r>
            <w:r>
              <w:rPr>
                <w:color w:val="000000"/>
              </w:rPr>
              <w:t>”</w:t>
            </w:r>
          </w:p>
        </w:tc>
      </w:tr>
      <w:tr w:rsidR="00E81874" w:rsidRPr="008A73B8" w14:paraId="40048F8B" w14:textId="77777777" w:rsidTr="00567009">
        <w:trPr>
          <w:cantSplit/>
          <w:trHeight w:val="255"/>
        </w:trPr>
        <w:tc>
          <w:tcPr>
            <w:tcW w:w="1573" w:type="dxa"/>
            <w:shd w:val="clear" w:color="auto" w:fill="auto"/>
          </w:tcPr>
          <w:p w14:paraId="5E04496D" w14:textId="77777777" w:rsidR="00E81874" w:rsidRPr="00CD4EE0" w:rsidRDefault="00E81874" w:rsidP="00C07756">
            <w:pPr>
              <w:tabs>
                <w:tab w:val="left" w:leader="dot" w:pos="3402"/>
              </w:tabs>
              <w:ind w:right="227"/>
              <w:jc w:val="left"/>
              <w:rPr>
                <w:rFonts w:cs="Arial"/>
              </w:rPr>
            </w:pPr>
            <w:r>
              <w:rPr>
                <w:color w:val="000000"/>
              </w:rPr>
              <w:t xml:space="preserve">Zu 22, </w:t>
            </w:r>
            <w:r>
              <w:t>9.6</w:t>
            </w:r>
          </w:p>
        </w:tc>
        <w:tc>
          <w:tcPr>
            <w:tcW w:w="8208" w:type="dxa"/>
          </w:tcPr>
          <w:p w14:paraId="6581CF8F" w14:textId="77777777" w:rsidR="00E81874" w:rsidRPr="00841B0F" w:rsidRDefault="00E81874" w:rsidP="00C07756">
            <w:pPr>
              <w:pStyle w:val="BodyText"/>
              <w:jc w:val="left"/>
              <w:rPr>
                <w:rFonts w:cs="Arial"/>
                <w:snapToGrid w:val="0"/>
                <w:color w:val="000000"/>
              </w:rPr>
            </w:pPr>
            <w:r>
              <w:t xml:space="preserve">Soll lauten „20-26°C, die Temperatur </w:t>
            </w:r>
            <w:r>
              <w:rPr>
                <w:strike/>
              </w:rPr>
              <w:t>kann</w:t>
            </w:r>
            <w:r>
              <w:t xml:space="preserve"> </w:t>
            </w:r>
            <w:r w:rsidRPr="00567009">
              <w:rPr>
                <w:u w:val="single"/>
              </w:rPr>
              <w:t>sollte</w:t>
            </w:r>
            <w:r>
              <w:t>...“</w:t>
            </w:r>
          </w:p>
        </w:tc>
      </w:tr>
      <w:tr w:rsidR="00E81874" w:rsidRPr="008A73B8" w14:paraId="544239B6" w14:textId="77777777" w:rsidTr="00C07756">
        <w:trPr>
          <w:cantSplit/>
        </w:trPr>
        <w:tc>
          <w:tcPr>
            <w:tcW w:w="1573" w:type="dxa"/>
            <w:shd w:val="clear" w:color="auto" w:fill="auto"/>
          </w:tcPr>
          <w:p w14:paraId="0A03A53C" w14:textId="77777777" w:rsidR="00E81874" w:rsidRPr="00CD4EE0" w:rsidRDefault="00E81874" w:rsidP="00C07756">
            <w:pPr>
              <w:tabs>
                <w:tab w:val="left" w:leader="dot" w:pos="3402"/>
              </w:tabs>
              <w:ind w:right="227"/>
              <w:jc w:val="left"/>
              <w:rPr>
                <w:rFonts w:cs="Arial"/>
              </w:rPr>
            </w:pPr>
            <w:r>
              <w:rPr>
                <w:color w:val="000000"/>
              </w:rPr>
              <w:t xml:space="preserve">Zu 22, </w:t>
            </w:r>
            <w:r>
              <w:t>10.2</w:t>
            </w:r>
          </w:p>
        </w:tc>
        <w:tc>
          <w:tcPr>
            <w:tcW w:w="8208" w:type="dxa"/>
          </w:tcPr>
          <w:p w14:paraId="48E6AB30" w14:textId="77777777" w:rsidR="00E81874" w:rsidRPr="00841B0F" w:rsidRDefault="00E81874" w:rsidP="00C07756">
            <w:pPr>
              <w:pStyle w:val="BodyText"/>
              <w:jc w:val="left"/>
              <w:rPr>
                <w:rFonts w:cs="Arial"/>
                <w:snapToGrid w:val="0"/>
                <w:color w:val="000000"/>
              </w:rPr>
            </w:pPr>
            <w:r>
              <w:t>Soll lauten „</w:t>
            </w:r>
            <w:r>
              <w:rPr>
                <w:strike/>
              </w:rPr>
              <w:t xml:space="preserve">Das Verhältnis hängt </w:t>
            </w:r>
            <w:r>
              <w:t xml:space="preserve"> </w:t>
            </w:r>
            <w:r>
              <w:rPr>
                <w:u w:val="single"/>
              </w:rPr>
              <w:t>Die Menge des Inokulums</w:t>
            </w:r>
            <w:r>
              <w:t xml:space="preserve"> </w:t>
            </w:r>
            <w:r>
              <w:rPr>
                <w:u w:val="single"/>
              </w:rPr>
              <w:t>hängt</w:t>
            </w:r>
            <w:r>
              <w:t xml:space="preserve"> von der Aggressivität der Prüfung und den </w:t>
            </w:r>
            <w:r>
              <w:rPr>
                <w:strike/>
              </w:rPr>
              <w:t>Laborbedingungen</w:t>
            </w:r>
            <w:r>
              <w:t xml:space="preserve"> </w:t>
            </w:r>
            <w:r>
              <w:rPr>
                <w:u w:val="single"/>
              </w:rPr>
              <w:t>Wachstumsbedingungen</w:t>
            </w:r>
            <w:r>
              <w:t xml:space="preserve"> ab (z. B. zwischen 30 g und 60 g befallene Wurzeln für 100 Pflanzen in einer Schale von 45*30 cm, die etwa 5,5 kg Substrat enthält); Knoten sollten homogen mit Erde vermischt werden.“</w:t>
            </w:r>
          </w:p>
        </w:tc>
      </w:tr>
      <w:tr w:rsidR="00E81874" w:rsidRPr="00D03087" w14:paraId="006D10C3" w14:textId="77777777" w:rsidTr="00C07756">
        <w:trPr>
          <w:cantSplit/>
        </w:trPr>
        <w:tc>
          <w:tcPr>
            <w:tcW w:w="1573" w:type="dxa"/>
            <w:shd w:val="clear" w:color="auto" w:fill="auto"/>
          </w:tcPr>
          <w:p w14:paraId="0BACDCD4" w14:textId="77777777" w:rsidR="00E81874" w:rsidRPr="00CD4EE0" w:rsidRDefault="00E81874" w:rsidP="00C07756">
            <w:r>
              <w:t>Zu 22, 10.4</w:t>
            </w:r>
          </w:p>
        </w:tc>
        <w:tc>
          <w:tcPr>
            <w:tcW w:w="8208" w:type="dxa"/>
          </w:tcPr>
          <w:p w14:paraId="01A05F1A" w14:textId="77777777" w:rsidR="00E81874" w:rsidRPr="001C3F09" w:rsidRDefault="00E81874" w:rsidP="00C07756">
            <w:r>
              <w:t>Soll lauten „</w:t>
            </w:r>
            <w:r>
              <w:rPr>
                <w:strike/>
              </w:rPr>
              <w:t>Pflanzen</w:t>
            </w:r>
            <w:r>
              <w:t xml:space="preserve"> werden in mit Knoten verseuchten Boden ausgesät.“</w:t>
            </w:r>
          </w:p>
        </w:tc>
      </w:tr>
      <w:tr w:rsidR="00E81874" w:rsidRPr="00D03087" w14:paraId="3FF19E41" w14:textId="77777777" w:rsidTr="00C07756">
        <w:trPr>
          <w:cantSplit/>
        </w:trPr>
        <w:tc>
          <w:tcPr>
            <w:tcW w:w="1573" w:type="dxa"/>
            <w:shd w:val="clear" w:color="auto" w:fill="auto"/>
          </w:tcPr>
          <w:p w14:paraId="7328B1AD" w14:textId="77777777" w:rsidR="00E81874" w:rsidRPr="00CD4EE0" w:rsidRDefault="00E81874" w:rsidP="00C07756">
            <w:pPr>
              <w:pStyle w:val="BodyText"/>
              <w:ind w:right="227"/>
              <w:jc w:val="left"/>
              <w:rPr>
                <w:rFonts w:cs="Arial"/>
                <w:color w:val="000000"/>
              </w:rPr>
            </w:pPr>
            <w:r>
              <w:rPr>
                <w:color w:val="000000"/>
              </w:rPr>
              <w:t>Zu 22, 11.4</w:t>
            </w:r>
          </w:p>
        </w:tc>
        <w:tc>
          <w:tcPr>
            <w:tcW w:w="8208" w:type="dxa"/>
          </w:tcPr>
          <w:p w14:paraId="7B351EF5" w14:textId="1B472F7B" w:rsidR="00E81874" w:rsidRPr="00841B0F" w:rsidRDefault="00EC565C" w:rsidP="00C07756">
            <w:pPr>
              <w:pStyle w:val="BodyText"/>
              <w:jc w:val="left"/>
              <w:rPr>
                <w:rFonts w:cs="Arial"/>
                <w:color w:val="000000"/>
              </w:rPr>
            </w:pPr>
            <w:r>
              <w:rPr>
                <w:color w:val="000000"/>
              </w:rPr>
              <w:t>S</w:t>
            </w:r>
            <w:r w:rsidR="00E81874">
              <w:rPr>
                <w:color w:val="000000"/>
              </w:rPr>
              <w:t>treichen</w:t>
            </w:r>
          </w:p>
        </w:tc>
      </w:tr>
      <w:tr w:rsidR="00E81874" w:rsidRPr="008A73B8" w14:paraId="2638377E" w14:textId="77777777" w:rsidTr="00C07756">
        <w:trPr>
          <w:cantSplit/>
        </w:trPr>
        <w:tc>
          <w:tcPr>
            <w:tcW w:w="1573" w:type="dxa"/>
            <w:shd w:val="clear" w:color="auto" w:fill="auto"/>
          </w:tcPr>
          <w:p w14:paraId="33510A31" w14:textId="77777777" w:rsidR="00E81874" w:rsidRPr="00CD4EE0" w:rsidRDefault="00E81874" w:rsidP="00C07756">
            <w:r>
              <w:t>Zu 22, 12.</w:t>
            </w:r>
          </w:p>
        </w:tc>
        <w:tc>
          <w:tcPr>
            <w:tcW w:w="8208" w:type="dxa"/>
          </w:tcPr>
          <w:p w14:paraId="4700C6D4" w14:textId="77777777" w:rsidR="00E81874" w:rsidRDefault="00E81874" w:rsidP="00C07756">
            <w:pPr>
              <w:rPr>
                <w:rFonts w:cs="Arial"/>
              </w:rPr>
            </w:pPr>
            <w:r>
              <w:t>- blauer Text in der Abbildung: „Tyonoc“ soll lauten „Tyonic“</w:t>
            </w:r>
          </w:p>
          <w:p w14:paraId="03D8825E" w14:textId="77777777" w:rsidR="00E81874" w:rsidRDefault="00E81874" w:rsidP="00C07756">
            <w:r>
              <w:t>- folgenden Wortlaut hinzufügen:</w:t>
            </w:r>
          </w:p>
          <w:p w14:paraId="240E1157" w14:textId="77777777" w:rsidR="00E81874" w:rsidRDefault="00E81874" w:rsidP="00C07756">
            <w:r>
              <w:t>„Fehlende [1] Verteilung der Pflanzen in mit den anfälligen Kontrollen vergleichbaren Klassen.</w:t>
            </w:r>
          </w:p>
          <w:p w14:paraId="4ABBEB21" w14:textId="77777777" w:rsidR="00E81874" w:rsidRPr="00D03087" w:rsidRDefault="00E81874" w:rsidP="00C07756">
            <w:r>
              <w:t>„Vorhandene [9] Verteilung der Pflanzen in mit den resistenten Kontrollen vergleichbaren Klassen.”</w:t>
            </w:r>
          </w:p>
        </w:tc>
      </w:tr>
      <w:tr w:rsidR="00E81874" w:rsidRPr="008A73B8" w14:paraId="60D8A402" w14:textId="77777777" w:rsidTr="00C07756">
        <w:trPr>
          <w:cantSplit/>
        </w:trPr>
        <w:tc>
          <w:tcPr>
            <w:tcW w:w="1573" w:type="dxa"/>
            <w:shd w:val="clear" w:color="auto" w:fill="auto"/>
          </w:tcPr>
          <w:p w14:paraId="55B5A2D5" w14:textId="143BC2AC" w:rsidR="00E81874" w:rsidRPr="00CD4EE0" w:rsidRDefault="00E81874" w:rsidP="00C07756">
            <w:r>
              <w:t>TQ 5.</w:t>
            </w:r>
            <w:r w:rsidRPr="00D132B8">
              <w:t xml:space="preserve">7 </w:t>
            </w:r>
            <w:r w:rsidR="000B26E0" w:rsidRPr="00D132B8">
              <w:t>bis</w:t>
            </w:r>
            <w:r>
              <w:t xml:space="preserve"> 5.10</w:t>
            </w:r>
          </w:p>
        </w:tc>
        <w:tc>
          <w:tcPr>
            <w:tcW w:w="8208" w:type="dxa"/>
          </w:tcPr>
          <w:p w14:paraId="343498DA" w14:textId="21D68B99" w:rsidR="00E81874" w:rsidRPr="00D03087" w:rsidRDefault="00E81874" w:rsidP="00C07756">
            <w:r>
              <w:t xml:space="preserve">5.7 streichen und bei 5.8 bis 5.9 Namen des Merkm. </w:t>
            </w:r>
            <w:r w:rsidR="00EC565C">
              <w:t>h</w:t>
            </w:r>
            <w:r>
              <w:t xml:space="preserve">inzufügen (wie in </w:t>
            </w:r>
            <w:r>
              <w:rPr>
                <w:color w:val="000000"/>
              </w:rPr>
              <w:t>5.12-5.17 und 5.18-5.20)</w:t>
            </w:r>
          </w:p>
        </w:tc>
      </w:tr>
    </w:tbl>
    <w:p w14:paraId="7218BF22" w14:textId="77777777" w:rsidR="00E81874" w:rsidRDefault="00E81874" w:rsidP="00E81874"/>
    <w:p w14:paraId="3A697676" w14:textId="77777777" w:rsidR="00E81874" w:rsidRDefault="00E81874" w:rsidP="00E81874"/>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E81874" w:rsidRPr="008A73B8" w14:paraId="3D1F24AC" w14:textId="77777777" w:rsidTr="00C07756">
        <w:trPr>
          <w:cantSplit/>
          <w:jc w:val="center"/>
        </w:trPr>
        <w:tc>
          <w:tcPr>
            <w:tcW w:w="9670" w:type="dxa"/>
            <w:shd w:val="clear" w:color="auto" w:fill="D9D9D9"/>
            <w:vAlign w:val="center"/>
          </w:tcPr>
          <w:p w14:paraId="7AF25120" w14:textId="77777777" w:rsidR="00E81874" w:rsidRPr="008A73B8" w:rsidRDefault="00E81874" w:rsidP="00C07756">
            <w:pPr>
              <w:pStyle w:val="BodyText"/>
              <w:keepNext/>
              <w:tabs>
                <w:tab w:val="left" w:pos="1849"/>
              </w:tabs>
              <w:ind w:left="1803" w:hanging="1803"/>
              <w:jc w:val="left"/>
              <w:rPr>
                <w:rFonts w:cs="Arial"/>
                <w:b/>
                <w:iCs/>
              </w:rPr>
            </w:pPr>
            <w:r>
              <w:rPr>
                <w:b/>
              </w:rPr>
              <w:t>TC/57/19</w:t>
            </w:r>
            <w:r>
              <w:rPr>
                <w:b/>
              </w:rPr>
              <w:tab/>
              <w:t>Teilüberarbeitung der Prüfungsrichtlinien für Hanf</w:t>
            </w:r>
          </w:p>
        </w:tc>
      </w:tr>
    </w:tbl>
    <w:p w14:paraId="6ECEB1A0" w14:textId="77777777" w:rsidR="00E81874" w:rsidRDefault="00E81874" w:rsidP="00E81874"/>
    <w:p w14:paraId="0A812A7C" w14:textId="77777777" w:rsidR="00E81874" w:rsidRPr="003E3EB6" w:rsidRDefault="00E81874" w:rsidP="00E81874">
      <w:pPr>
        <w:autoSpaceDE w:val="0"/>
        <w:autoSpaceDN w:val="0"/>
        <w:adjustRightInd w:val="0"/>
        <w:ind w:firstLine="567"/>
        <w:rPr>
          <w:rFonts w:cs="Arial"/>
          <w:bCs/>
          <w:snapToGrid w:val="0"/>
          <w:color w:val="000000"/>
        </w:rPr>
      </w:pPr>
      <w:r>
        <w:t>Der TC-EDC prüfte auf seiner am 12. und 13. Oktober 2021 auf elektronischem Wege abgehaltenen Tagung das Dokument TC/57/19 und vereinbarte, dass die Teilüberarbeitung der Prüfungsrichtlinien für Hanf dem TC zur Annahme vorzulegen sei.</w:t>
      </w:r>
    </w:p>
    <w:p w14:paraId="18478521" w14:textId="77777777" w:rsidR="00E81874" w:rsidRDefault="00E81874" w:rsidP="00E81874"/>
    <w:p w14:paraId="0ACB11AB" w14:textId="77777777" w:rsidR="00E81874" w:rsidRDefault="00E81874" w:rsidP="00E81874"/>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E81874" w:rsidRPr="008A73B8" w14:paraId="3AC7119E" w14:textId="77777777" w:rsidTr="00C07756">
        <w:trPr>
          <w:cantSplit/>
          <w:jc w:val="center"/>
        </w:trPr>
        <w:tc>
          <w:tcPr>
            <w:tcW w:w="9670" w:type="dxa"/>
            <w:shd w:val="clear" w:color="auto" w:fill="D9D9D9"/>
            <w:vAlign w:val="center"/>
          </w:tcPr>
          <w:p w14:paraId="2B7175F5" w14:textId="77777777" w:rsidR="00E81874" w:rsidRPr="008A73B8" w:rsidRDefault="00E81874" w:rsidP="00C07756">
            <w:pPr>
              <w:pStyle w:val="BodyText"/>
              <w:keepNext/>
              <w:tabs>
                <w:tab w:val="left" w:pos="1849"/>
              </w:tabs>
              <w:ind w:left="1803" w:hanging="1803"/>
              <w:jc w:val="left"/>
              <w:rPr>
                <w:rFonts w:cs="Arial"/>
                <w:b/>
                <w:iCs/>
              </w:rPr>
            </w:pPr>
            <w:r>
              <w:rPr>
                <w:b/>
              </w:rPr>
              <w:t>TC/57/20</w:t>
            </w:r>
            <w:r>
              <w:rPr>
                <w:b/>
              </w:rPr>
              <w:tab/>
              <w:t>Teilüberarbeitung der Prüfungsrichtlinien für Kiwi</w:t>
            </w:r>
          </w:p>
        </w:tc>
      </w:tr>
    </w:tbl>
    <w:p w14:paraId="01FBBD88" w14:textId="77777777" w:rsidR="00E81874" w:rsidRDefault="00E81874" w:rsidP="00E81874">
      <w:pPr>
        <w:keepNext/>
      </w:pPr>
    </w:p>
    <w:p w14:paraId="31A2C9CC" w14:textId="77777777" w:rsidR="00E81874" w:rsidRPr="003E3EB6" w:rsidRDefault="00E81874" w:rsidP="00E81874">
      <w:pPr>
        <w:autoSpaceDE w:val="0"/>
        <w:autoSpaceDN w:val="0"/>
        <w:adjustRightInd w:val="0"/>
        <w:ind w:firstLine="567"/>
        <w:rPr>
          <w:rFonts w:cs="Arial"/>
          <w:bCs/>
          <w:snapToGrid w:val="0"/>
          <w:color w:val="000000"/>
        </w:rPr>
      </w:pPr>
      <w:r>
        <w:t>Der TC-EDC prüfte auf seiner am 12. und 13. Oktober 2021 auf elektronischem Wege abgehaltenen Tagung das Dokument TC/57/20 und vereinbarte, dass die Teilüberarbeitung der Prüfungsrichtlinien für Kiwi dem TC zur Annahme vorzulegen sei.</w:t>
      </w:r>
    </w:p>
    <w:p w14:paraId="4D246436" w14:textId="77777777" w:rsidR="00E81874" w:rsidRDefault="00E81874" w:rsidP="00E81874"/>
    <w:p w14:paraId="082558F1" w14:textId="77777777" w:rsidR="00E81874" w:rsidRDefault="00E81874" w:rsidP="00E81874"/>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E81874" w:rsidRPr="008A73B8" w14:paraId="5A2E024F" w14:textId="77777777" w:rsidTr="00C07756">
        <w:trPr>
          <w:cantSplit/>
          <w:jc w:val="center"/>
        </w:trPr>
        <w:tc>
          <w:tcPr>
            <w:tcW w:w="9670" w:type="dxa"/>
            <w:shd w:val="clear" w:color="auto" w:fill="D9D9D9"/>
            <w:vAlign w:val="center"/>
          </w:tcPr>
          <w:p w14:paraId="1BD1C98E" w14:textId="77777777" w:rsidR="00E81874" w:rsidRPr="008A73B8" w:rsidRDefault="00E81874" w:rsidP="00C07756">
            <w:pPr>
              <w:pStyle w:val="BodyText"/>
              <w:keepNext/>
              <w:tabs>
                <w:tab w:val="left" w:pos="1849"/>
              </w:tabs>
              <w:ind w:left="1803" w:hanging="1803"/>
              <w:jc w:val="left"/>
              <w:rPr>
                <w:rFonts w:cs="Arial"/>
                <w:b/>
                <w:iCs/>
              </w:rPr>
            </w:pPr>
            <w:r>
              <w:rPr>
                <w:b/>
              </w:rPr>
              <w:t>TC/57/21</w:t>
            </w:r>
            <w:r>
              <w:rPr>
                <w:b/>
              </w:rPr>
              <w:tab/>
              <w:t>Teilüberarbeitung der Prüfungsrichtlinien für Ostasiatische Pflaume</w:t>
            </w:r>
          </w:p>
        </w:tc>
      </w:tr>
    </w:tbl>
    <w:p w14:paraId="321B739B" w14:textId="77777777" w:rsidR="00E81874" w:rsidRPr="00D415EB" w:rsidRDefault="00E81874" w:rsidP="00E81874"/>
    <w:p w14:paraId="622ED228" w14:textId="77777777" w:rsidR="00E81874" w:rsidRPr="003E3EB6" w:rsidRDefault="00E81874" w:rsidP="00E81874">
      <w:pPr>
        <w:autoSpaceDE w:val="0"/>
        <w:autoSpaceDN w:val="0"/>
        <w:adjustRightInd w:val="0"/>
        <w:ind w:firstLine="567"/>
        <w:rPr>
          <w:rFonts w:cs="Arial"/>
          <w:bCs/>
          <w:snapToGrid w:val="0"/>
          <w:color w:val="000000"/>
        </w:rPr>
      </w:pPr>
      <w:r>
        <w:t>Der TC-EDC prüfte auf seiner am 12. und 13. Oktober 2021 auf elektronischem Wege abgehaltenen Tagung das Dokument TC/57/21 und vereinbarte, dass die Teilüberarbeitung der Prüfungsrichtlinien für Ostasiatische Pflaume dem TC zur Annahme vorzulegen sei.</w:t>
      </w:r>
    </w:p>
    <w:p w14:paraId="394121FF" w14:textId="77777777" w:rsidR="00E81874" w:rsidRDefault="00E81874" w:rsidP="00E81874"/>
    <w:p w14:paraId="12C208D5" w14:textId="77777777" w:rsidR="00E81874" w:rsidRPr="00D415EB" w:rsidRDefault="00E81874" w:rsidP="00E81874"/>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E81874" w:rsidRPr="00D415EB" w14:paraId="0F1C8E72" w14:textId="77777777" w:rsidTr="00C07756">
        <w:trPr>
          <w:cantSplit/>
          <w:jc w:val="center"/>
        </w:trPr>
        <w:tc>
          <w:tcPr>
            <w:tcW w:w="9670" w:type="dxa"/>
            <w:shd w:val="clear" w:color="auto" w:fill="D9D9D9"/>
            <w:vAlign w:val="center"/>
          </w:tcPr>
          <w:p w14:paraId="38D99B03" w14:textId="77777777" w:rsidR="00E81874" w:rsidRPr="00D415EB" w:rsidRDefault="00E81874" w:rsidP="00C07756">
            <w:pPr>
              <w:pStyle w:val="BodyText"/>
              <w:keepNext/>
              <w:tabs>
                <w:tab w:val="left" w:pos="1849"/>
              </w:tabs>
              <w:ind w:left="1803" w:hanging="1803"/>
              <w:jc w:val="left"/>
              <w:rPr>
                <w:rFonts w:cs="Arial"/>
                <w:b/>
                <w:iCs/>
              </w:rPr>
            </w:pPr>
            <w:r>
              <w:rPr>
                <w:b/>
              </w:rPr>
              <w:t>TC/57/22</w:t>
            </w:r>
            <w:r>
              <w:rPr>
                <w:b/>
              </w:rPr>
              <w:tab/>
              <w:t>Teilüberarbeitung der Prüfungsrichtlinien für Pfirsich</w:t>
            </w:r>
          </w:p>
        </w:tc>
      </w:tr>
    </w:tbl>
    <w:p w14:paraId="55916269" w14:textId="77777777" w:rsidR="00E81874" w:rsidRDefault="00E81874" w:rsidP="00E81874"/>
    <w:p w14:paraId="45793C6C" w14:textId="77777777" w:rsidR="00E81874" w:rsidRPr="003E3EB6" w:rsidRDefault="00E81874" w:rsidP="00E81874">
      <w:pPr>
        <w:autoSpaceDE w:val="0"/>
        <w:autoSpaceDN w:val="0"/>
        <w:adjustRightInd w:val="0"/>
        <w:ind w:firstLine="567"/>
        <w:rPr>
          <w:rFonts w:cs="Arial"/>
          <w:bCs/>
          <w:snapToGrid w:val="0"/>
          <w:color w:val="000000"/>
        </w:rPr>
      </w:pPr>
      <w:r>
        <w:t>Der TC-EDC prüfte auf seiner am 12. und 13. Oktober 2021 auf elektronischem Wege abgehaltenen Tagung das Dokument TC/57/22 und vereinbarte, dass die Teilüberarbeitung der Prüfungsrichtlinien für Pfirsich dem TC zur Annahme vorzulegen sei.</w:t>
      </w:r>
    </w:p>
    <w:p w14:paraId="570FD2C0" w14:textId="77777777" w:rsidR="00E81874" w:rsidRDefault="00E81874" w:rsidP="00E81874"/>
    <w:p w14:paraId="1514EF96" w14:textId="77777777" w:rsidR="00E81874" w:rsidRDefault="00E81874" w:rsidP="00E81874">
      <w:pPr>
        <w:ind w:firstLine="567"/>
      </w:pPr>
      <w:r>
        <w:t>Der TC-EDC vereinbarte, dass die Korrektur der Übersetzung in nachstehender Tabelle in den Prüfungsrichtlinien für Pfirsich zusammen mit der Teilüberarbeitung vorzunehmen sei.</w:t>
      </w:r>
    </w:p>
    <w:p w14:paraId="5F380D2E" w14:textId="77777777" w:rsidR="00E81874" w:rsidRPr="00D415EB" w:rsidRDefault="00E81874" w:rsidP="00E8187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E81874" w:rsidRPr="00D415EB" w14:paraId="7906117E" w14:textId="77777777" w:rsidTr="00C07756">
        <w:trPr>
          <w:cantSplit/>
        </w:trPr>
        <w:tc>
          <w:tcPr>
            <w:tcW w:w="1573" w:type="dxa"/>
          </w:tcPr>
          <w:p w14:paraId="045E86B0" w14:textId="77777777" w:rsidR="00E81874" w:rsidRPr="00D415EB" w:rsidRDefault="00E81874" w:rsidP="00C07756">
            <w:r>
              <w:t>Merkm. 49</w:t>
            </w:r>
          </w:p>
        </w:tc>
        <w:tc>
          <w:tcPr>
            <w:tcW w:w="8208" w:type="dxa"/>
          </w:tcPr>
          <w:p w14:paraId="3961D3C5" w14:textId="77777777" w:rsidR="00E81874" w:rsidRPr="00D415EB" w:rsidRDefault="00E81874" w:rsidP="00C07756">
            <w:r>
              <w:t>Die DE-Übersetzung von Stufe 1 soll in der Merkmalstabelle auf „sehr gering“ berichtigt werden</w:t>
            </w:r>
          </w:p>
        </w:tc>
      </w:tr>
    </w:tbl>
    <w:p w14:paraId="78DA024F" w14:textId="77777777" w:rsidR="00E81874" w:rsidRDefault="00E81874" w:rsidP="00E81874"/>
    <w:p w14:paraId="5E97947F" w14:textId="77777777" w:rsidR="00E81874" w:rsidRDefault="00E81874" w:rsidP="00E81874"/>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E81874" w:rsidRPr="008A73B8" w14:paraId="4D5F97DE" w14:textId="77777777" w:rsidTr="00C07756">
        <w:trPr>
          <w:cantSplit/>
          <w:jc w:val="center"/>
        </w:trPr>
        <w:tc>
          <w:tcPr>
            <w:tcW w:w="9670" w:type="dxa"/>
            <w:shd w:val="clear" w:color="auto" w:fill="D9D9D9"/>
            <w:vAlign w:val="center"/>
          </w:tcPr>
          <w:p w14:paraId="7828B974" w14:textId="77777777" w:rsidR="00E81874" w:rsidRPr="008A73B8" w:rsidRDefault="00E81874" w:rsidP="00C07756">
            <w:pPr>
              <w:pStyle w:val="BodyText"/>
              <w:keepNext/>
              <w:tabs>
                <w:tab w:val="left" w:pos="1849"/>
              </w:tabs>
              <w:ind w:left="1803" w:hanging="1803"/>
              <w:jc w:val="left"/>
              <w:rPr>
                <w:rFonts w:cs="Arial"/>
                <w:b/>
                <w:iCs/>
              </w:rPr>
            </w:pPr>
            <w:r>
              <w:rPr>
                <w:b/>
              </w:rPr>
              <w:t>TC/57/23</w:t>
            </w:r>
            <w:r>
              <w:rPr>
                <w:b/>
              </w:rPr>
              <w:tab/>
              <w:t>Teilüberarbeitung der Prüfungsrichtlinien für Prunus-Unterlagen</w:t>
            </w:r>
          </w:p>
        </w:tc>
      </w:tr>
    </w:tbl>
    <w:p w14:paraId="6751FBE2" w14:textId="77777777" w:rsidR="00E81874" w:rsidRDefault="00E81874" w:rsidP="00E81874"/>
    <w:p w14:paraId="4F38FDF1" w14:textId="77777777" w:rsidR="00E81874" w:rsidRPr="003E3EB6" w:rsidRDefault="00E81874" w:rsidP="00E81874">
      <w:pPr>
        <w:autoSpaceDE w:val="0"/>
        <w:autoSpaceDN w:val="0"/>
        <w:adjustRightInd w:val="0"/>
        <w:ind w:firstLine="567"/>
        <w:rPr>
          <w:rFonts w:cs="Arial"/>
          <w:bCs/>
          <w:snapToGrid w:val="0"/>
          <w:color w:val="000000"/>
        </w:rPr>
      </w:pPr>
      <w:r>
        <w:t>Der TC-EDC prüfte auf seiner am 12. und 13. Oktober 2021 auf elektronischem Wege abgehaltenen Tagung das Dokument TC/57/23 und vereinbarte, dass die Teilüberarbeitung der Prüfungsrichtlinien für Prunus-Unterlagen dem TC zur Annahme vorzulegen sei.</w:t>
      </w:r>
    </w:p>
    <w:p w14:paraId="5872F585" w14:textId="77777777" w:rsidR="00E81874" w:rsidRDefault="00E81874" w:rsidP="00E81874"/>
    <w:p w14:paraId="4D41C988" w14:textId="77777777" w:rsidR="00E81874" w:rsidRPr="00D415EB" w:rsidRDefault="00E81874" w:rsidP="00E81874"/>
    <w:p w14:paraId="6FDD348E" w14:textId="77777777" w:rsidR="00E81874" w:rsidRPr="00D415EB" w:rsidRDefault="00E81874" w:rsidP="00E81874">
      <w:pPr>
        <w:pStyle w:val="Heading2"/>
      </w:pPr>
      <w:r>
        <w:t>Neue Prüfungsrichtlinien</w:t>
      </w:r>
    </w:p>
    <w:p w14:paraId="143616BD" w14:textId="77777777" w:rsidR="00E81874" w:rsidRPr="00D415EB" w:rsidRDefault="00E81874" w:rsidP="00E81874">
      <w:pPr>
        <w:keepNext/>
        <w:rPr>
          <w:lang w:val="pt-BR"/>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E81874" w:rsidRPr="00D415EB" w14:paraId="5E41A9DD" w14:textId="77777777" w:rsidTr="00C07756">
        <w:trPr>
          <w:cantSplit/>
          <w:trHeight w:val="277"/>
          <w:jc w:val="center"/>
        </w:trPr>
        <w:tc>
          <w:tcPr>
            <w:tcW w:w="2894" w:type="dxa"/>
            <w:vMerge w:val="restart"/>
            <w:shd w:val="clear" w:color="auto" w:fill="D9D9D9"/>
            <w:vAlign w:val="center"/>
          </w:tcPr>
          <w:p w14:paraId="7A12FA8B" w14:textId="77777777" w:rsidR="00E81874" w:rsidRPr="00D415EB" w:rsidRDefault="00E81874" w:rsidP="00C07756">
            <w:pPr>
              <w:pStyle w:val="TitleofDoc"/>
              <w:keepNext/>
              <w:tabs>
                <w:tab w:val="left" w:pos="5245"/>
                <w:tab w:val="left" w:pos="7008"/>
              </w:tabs>
              <w:spacing w:before="0"/>
              <w:jc w:val="left"/>
              <w:rPr>
                <w:rFonts w:cs="Arial"/>
                <w:caps w:val="0"/>
              </w:rPr>
            </w:pPr>
            <w:r>
              <w:rPr>
                <w:caps w:val="0"/>
              </w:rPr>
              <w:t>Purgiernuss</w:t>
            </w:r>
            <w:r>
              <w:rPr>
                <w:caps w:val="0"/>
              </w:rPr>
              <w:br/>
              <w:t>(</w:t>
            </w:r>
            <w:r>
              <w:rPr>
                <w:i/>
                <w:caps w:val="0"/>
              </w:rPr>
              <w:t xml:space="preserve">Jatropha curcas </w:t>
            </w:r>
            <w:r>
              <w:rPr>
                <w:caps w:val="0"/>
              </w:rPr>
              <w:t>L.)</w:t>
            </w:r>
          </w:p>
        </w:tc>
        <w:tc>
          <w:tcPr>
            <w:tcW w:w="2552" w:type="dxa"/>
            <w:shd w:val="clear" w:color="auto" w:fill="D9D9D9"/>
            <w:vAlign w:val="center"/>
          </w:tcPr>
          <w:p w14:paraId="452294F1" w14:textId="77777777" w:rsidR="00E81874" w:rsidRPr="00D415EB" w:rsidRDefault="00E81874" w:rsidP="00C07756">
            <w:pPr>
              <w:pStyle w:val="TitleofDoc"/>
              <w:keepNext/>
              <w:tabs>
                <w:tab w:val="left" w:pos="5245"/>
                <w:tab w:val="left" w:pos="7008"/>
              </w:tabs>
              <w:spacing w:before="0"/>
              <w:jc w:val="left"/>
              <w:rPr>
                <w:rFonts w:cs="Arial"/>
                <w:caps w:val="0"/>
              </w:rPr>
            </w:pPr>
            <w:r>
              <w:rPr>
                <w:color w:val="000000"/>
              </w:rPr>
              <w:t>TG/JATRO_CUR(proj.5)</w:t>
            </w:r>
          </w:p>
        </w:tc>
        <w:tc>
          <w:tcPr>
            <w:tcW w:w="2807" w:type="dxa"/>
            <w:shd w:val="clear" w:color="auto" w:fill="D9D9D9"/>
            <w:vAlign w:val="center"/>
          </w:tcPr>
          <w:p w14:paraId="5AB8B17F" w14:textId="77777777" w:rsidR="00E81874" w:rsidRPr="0052329D" w:rsidRDefault="00E81874" w:rsidP="00C07756">
            <w:pPr>
              <w:keepNext/>
              <w:jc w:val="left"/>
              <w:rPr>
                <w:rFonts w:cs="Arial"/>
                <w:iCs/>
                <w:snapToGrid w:val="0"/>
                <w:color w:val="000000"/>
                <w:lang w:val="it-IT"/>
              </w:rPr>
            </w:pPr>
            <w:r w:rsidRPr="0052329D">
              <w:rPr>
                <w:lang w:val="it-IT"/>
              </w:rPr>
              <w:t>Hr. Alejandro Barrientos-Priego (MX)</w:t>
            </w:r>
          </w:p>
        </w:tc>
        <w:tc>
          <w:tcPr>
            <w:tcW w:w="736" w:type="dxa"/>
            <w:vMerge w:val="restart"/>
            <w:shd w:val="clear" w:color="auto" w:fill="D9D9D9"/>
            <w:vAlign w:val="center"/>
          </w:tcPr>
          <w:p w14:paraId="7A7E4E11" w14:textId="77777777" w:rsidR="00E81874" w:rsidRPr="00D415EB" w:rsidRDefault="00E81874" w:rsidP="00C07756">
            <w:pPr>
              <w:keepNext/>
              <w:jc w:val="left"/>
              <w:rPr>
                <w:rFonts w:cs="Arial"/>
                <w:iCs/>
              </w:rPr>
            </w:pPr>
            <w:r>
              <w:t>TWF</w:t>
            </w:r>
          </w:p>
        </w:tc>
        <w:tc>
          <w:tcPr>
            <w:tcW w:w="993" w:type="dxa"/>
            <w:vMerge w:val="restart"/>
            <w:shd w:val="clear" w:color="auto" w:fill="D9D9D9"/>
            <w:vAlign w:val="center"/>
          </w:tcPr>
          <w:p w14:paraId="5A85E8D2" w14:textId="77777777" w:rsidR="00E81874" w:rsidRPr="00D415EB" w:rsidRDefault="00E81874" w:rsidP="00C07756">
            <w:pPr>
              <w:pStyle w:val="BodyText"/>
              <w:keepNext/>
              <w:jc w:val="left"/>
              <w:rPr>
                <w:rFonts w:cs="Arial"/>
                <w:iCs/>
                <w:snapToGrid w:val="0"/>
              </w:rPr>
            </w:pPr>
            <w:r>
              <w:rPr>
                <w:snapToGrid w:val="0"/>
              </w:rPr>
              <w:t>*</w:t>
            </w:r>
          </w:p>
        </w:tc>
      </w:tr>
      <w:tr w:rsidR="00E81874" w:rsidRPr="00D415EB" w14:paraId="03A085E9" w14:textId="77777777" w:rsidTr="00C07756">
        <w:trPr>
          <w:cantSplit/>
          <w:trHeight w:hRule="exact" w:val="791"/>
          <w:jc w:val="center"/>
        </w:trPr>
        <w:tc>
          <w:tcPr>
            <w:tcW w:w="2894" w:type="dxa"/>
            <w:vMerge/>
            <w:shd w:val="clear" w:color="auto" w:fill="D9D9D9"/>
            <w:vAlign w:val="center"/>
          </w:tcPr>
          <w:p w14:paraId="181E5A81" w14:textId="77777777" w:rsidR="00E81874" w:rsidRPr="00D415EB" w:rsidRDefault="00E81874" w:rsidP="00C07756">
            <w:pPr>
              <w:pStyle w:val="TitleofDoc"/>
              <w:keepNext/>
              <w:tabs>
                <w:tab w:val="left" w:pos="5245"/>
                <w:tab w:val="left" w:pos="7008"/>
              </w:tabs>
              <w:spacing w:before="0"/>
              <w:jc w:val="left"/>
              <w:rPr>
                <w:rFonts w:cs="Arial"/>
                <w:caps w:val="0"/>
              </w:rPr>
            </w:pPr>
          </w:p>
        </w:tc>
        <w:tc>
          <w:tcPr>
            <w:tcW w:w="2552" w:type="dxa"/>
            <w:shd w:val="clear" w:color="auto" w:fill="D9D9D9"/>
            <w:vAlign w:val="center"/>
          </w:tcPr>
          <w:p w14:paraId="5F82CAD2" w14:textId="77777777" w:rsidR="00E81874" w:rsidRPr="00D415EB" w:rsidRDefault="00E81874" w:rsidP="00C07756">
            <w:pPr>
              <w:pStyle w:val="BodyText"/>
              <w:keepNext/>
              <w:jc w:val="left"/>
              <w:rPr>
                <w:rFonts w:cs="Arial"/>
                <w:color w:val="000000"/>
              </w:rPr>
            </w:pPr>
            <w:r>
              <w:rPr>
                <w:color w:val="000000"/>
              </w:rPr>
              <w:t>Anzahl von Merkm.:  30 Anzahl von (</w:t>
            </w:r>
            <w:r>
              <w:rPr>
                <w:color w:val="000000"/>
              </w:rPr>
              <w:sym w:font="Symbol" w:char="F02A"/>
            </w:r>
            <w:r>
              <w:rPr>
                <w:color w:val="000000"/>
              </w:rPr>
              <w:t>) Merkm.:  10</w:t>
            </w:r>
          </w:p>
        </w:tc>
        <w:tc>
          <w:tcPr>
            <w:tcW w:w="2807" w:type="dxa"/>
            <w:shd w:val="clear" w:color="auto" w:fill="D9D9D9"/>
            <w:vAlign w:val="center"/>
          </w:tcPr>
          <w:p w14:paraId="37ABD0D4" w14:textId="77777777" w:rsidR="00E81874" w:rsidRPr="00D415EB" w:rsidRDefault="00E81874" w:rsidP="00C07756">
            <w:pPr>
              <w:keepNext/>
              <w:jc w:val="left"/>
              <w:rPr>
                <w:rFonts w:cs="Arial"/>
                <w:iCs/>
                <w:snapToGrid w:val="0"/>
                <w:color w:val="000000"/>
              </w:rPr>
            </w:pPr>
            <w:r>
              <w:rPr>
                <w:snapToGrid w:val="0"/>
                <w:color w:val="000000"/>
              </w:rPr>
              <w:t xml:space="preserve">(Beteiligte Sachverständige:  </w:t>
            </w:r>
            <w:r>
              <w:t>BR, IL, QZ)</w:t>
            </w:r>
          </w:p>
        </w:tc>
        <w:tc>
          <w:tcPr>
            <w:tcW w:w="736" w:type="dxa"/>
            <w:vMerge/>
            <w:shd w:val="clear" w:color="auto" w:fill="D9D9D9"/>
            <w:vAlign w:val="center"/>
          </w:tcPr>
          <w:p w14:paraId="55771621" w14:textId="77777777" w:rsidR="00E81874" w:rsidRPr="00C72898" w:rsidRDefault="00E81874" w:rsidP="00C07756">
            <w:pPr>
              <w:keepNext/>
              <w:jc w:val="left"/>
              <w:rPr>
                <w:rFonts w:cs="Arial"/>
                <w:iCs/>
              </w:rPr>
            </w:pPr>
          </w:p>
        </w:tc>
        <w:tc>
          <w:tcPr>
            <w:tcW w:w="993" w:type="dxa"/>
            <w:vMerge/>
            <w:shd w:val="clear" w:color="auto" w:fill="D9D9D9"/>
            <w:vAlign w:val="center"/>
          </w:tcPr>
          <w:p w14:paraId="5498C3E8" w14:textId="77777777" w:rsidR="00E81874" w:rsidRPr="00C72898" w:rsidRDefault="00E81874" w:rsidP="00C07756">
            <w:pPr>
              <w:pStyle w:val="BodyText"/>
              <w:keepNext/>
              <w:jc w:val="left"/>
              <w:rPr>
                <w:rFonts w:cs="Arial"/>
                <w:iCs/>
                <w:snapToGrid w:val="0"/>
              </w:rPr>
            </w:pPr>
          </w:p>
        </w:tc>
      </w:tr>
    </w:tbl>
    <w:p w14:paraId="403DDAF7" w14:textId="77777777" w:rsidR="00E81874" w:rsidRDefault="00E81874" w:rsidP="00E81874"/>
    <w:p w14:paraId="20060CB9" w14:textId="77777777" w:rsidR="00E81874" w:rsidRPr="008D0013" w:rsidRDefault="00E81874" w:rsidP="00E81874">
      <w:pPr>
        <w:keepNext/>
        <w:ind w:firstLine="567"/>
        <w:rPr>
          <w:rFonts w:cs="Arial"/>
        </w:rPr>
      </w:pPr>
      <w:r>
        <w:t>Der TC-EDC prüfte auf seiner am 12. und 13. Oktober 2021 auf elektronischem Wege abgehaltenen Tagung das Dokument </w:t>
      </w:r>
      <w:r>
        <w:rPr>
          <w:caps/>
        </w:rPr>
        <w:t>TG/JATRO_CUR(</w:t>
      </w:r>
      <w:r>
        <w:t>proj</w:t>
      </w:r>
      <w:r>
        <w:rPr>
          <w:caps/>
        </w:rPr>
        <w:t>.5)</w:t>
      </w:r>
      <w:r>
        <w:t xml:space="preserve"> und gab die in der nachstehenden Tabelle aufgeführten Empfehlungen ab.</w:t>
      </w:r>
    </w:p>
    <w:p w14:paraId="2322EAA1" w14:textId="77777777" w:rsidR="00E81874" w:rsidRPr="008D0013" w:rsidRDefault="00E81874" w:rsidP="00E81874">
      <w:pPr>
        <w:keepNext/>
        <w:autoSpaceDE w:val="0"/>
        <w:autoSpaceDN w:val="0"/>
        <w:adjustRightInd w:val="0"/>
        <w:ind w:firstLine="567"/>
        <w:rPr>
          <w:rFonts w:cs="Arial"/>
        </w:rPr>
      </w:pPr>
    </w:p>
    <w:p w14:paraId="0D8FD8AA" w14:textId="77777777" w:rsidR="00E81874" w:rsidRPr="008D0013" w:rsidRDefault="00E81874" w:rsidP="00E81874">
      <w:pPr>
        <w:autoSpaceDE w:val="0"/>
        <w:autoSpaceDN w:val="0"/>
        <w:adjustRightInd w:val="0"/>
        <w:ind w:firstLine="567"/>
        <w:rPr>
          <w:rFonts w:cs="Arial"/>
        </w:rPr>
      </w:pPr>
      <w:r>
        <w:t>Der TC-EDC vereinbarte, dass der Entwurf von Prüfungsrichtlinien für Purgiernuss dem TC zur Annahme vorzulegen sei.</w:t>
      </w:r>
    </w:p>
    <w:p w14:paraId="6277B1BF" w14:textId="77777777" w:rsidR="00E81874" w:rsidRPr="00D415EB" w:rsidRDefault="00E81874" w:rsidP="00E8187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E81874" w:rsidRPr="00D415EB" w14:paraId="62D6A7A2" w14:textId="77777777" w:rsidTr="00C07756">
        <w:trPr>
          <w:cantSplit/>
        </w:trPr>
        <w:tc>
          <w:tcPr>
            <w:tcW w:w="1573" w:type="dxa"/>
          </w:tcPr>
          <w:p w14:paraId="24EACAE0" w14:textId="77777777" w:rsidR="00E81874" w:rsidRPr="00D415EB" w:rsidRDefault="00E81874" w:rsidP="00C07756">
            <w:pPr>
              <w:jc w:val="left"/>
            </w:pPr>
            <w:r>
              <w:t>Merkm. 7</w:t>
            </w:r>
          </w:p>
        </w:tc>
        <w:tc>
          <w:tcPr>
            <w:tcW w:w="8208" w:type="dxa"/>
          </w:tcPr>
          <w:p w14:paraId="5E75A8B9" w14:textId="77777777" w:rsidR="00E81874" w:rsidRPr="00D415EB" w:rsidRDefault="00E81874" w:rsidP="00C07756">
            <w:pPr>
              <w:rPr>
                <w:rFonts w:cs="Arial"/>
              </w:rPr>
            </w:pPr>
            <w:r>
              <w:t xml:space="preserve">Soll lauten „Blattspreite: Randeinschnitte“ [„serration </w:t>
            </w:r>
            <w:r>
              <w:rPr>
                <w:strike/>
              </w:rPr>
              <w:t>on</w:t>
            </w:r>
            <w:r>
              <w:t xml:space="preserve"> </w:t>
            </w:r>
            <w:r>
              <w:rPr>
                <w:u w:val="single"/>
              </w:rPr>
              <w:t>of</w:t>
            </w:r>
            <w:r>
              <w:t xml:space="preserve"> margin“]</w:t>
            </w:r>
          </w:p>
        </w:tc>
      </w:tr>
      <w:tr w:rsidR="00E81874" w:rsidRPr="00D415EB" w14:paraId="727844E6" w14:textId="77777777" w:rsidTr="00D132B8">
        <w:trPr>
          <w:cantSplit/>
        </w:trPr>
        <w:tc>
          <w:tcPr>
            <w:tcW w:w="1573" w:type="dxa"/>
            <w:shd w:val="clear" w:color="auto" w:fill="auto"/>
          </w:tcPr>
          <w:p w14:paraId="5FE9D74E" w14:textId="53A7F203" w:rsidR="00E81874" w:rsidRPr="00D132B8" w:rsidRDefault="00E81874" w:rsidP="00C07756">
            <w:r w:rsidRPr="00D132B8">
              <w:t xml:space="preserve">8.1 </w:t>
            </w:r>
            <w:r w:rsidR="000B26E0" w:rsidRPr="00D132B8">
              <w:t>(</w:t>
            </w:r>
            <w:r w:rsidRPr="00D132B8">
              <w:t>a)</w:t>
            </w:r>
          </w:p>
        </w:tc>
        <w:tc>
          <w:tcPr>
            <w:tcW w:w="8208" w:type="dxa"/>
          </w:tcPr>
          <w:p w14:paraId="28F5A2EE" w14:textId="77777777" w:rsidR="00E81874" w:rsidRPr="00D415EB" w:rsidRDefault="00E81874" w:rsidP="00C07756">
            <w:r>
              <w:t>Soll lauten „Erfassungen am Blatt sollten an vollentwickelten Blättern aus dem mittleren Drittel der Jahrestriebe [„current</w:t>
            </w:r>
            <w:r>
              <w:rPr>
                <w:strike/>
              </w:rPr>
              <w:t>’s</w:t>
            </w:r>
            <w:r>
              <w:t xml:space="preserve"> season</w:t>
            </w:r>
            <w:r>
              <w:rPr>
                <w:strike/>
              </w:rPr>
              <w:t>’s</w:t>
            </w:r>
            <w:r>
              <w:t xml:space="preserve"> shoots“] erfolgen.“ </w:t>
            </w:r>
          </w:p>
        </w:tc>
      </w:tr>
      <w:tr w:rsidR="00E81874" w:rsidRPr="00D415EB" w14:paraId="139EE63D" w14:textId="77777777" w:rsidTr="00D132B8">
        <w:trPr>
          <w:cantSplit/>
        </w:trPr>
        <w:tc>
          <w:tcPr>
            <w:tcW w:w="1573" w:type="dxa"/>
            <w:shd w:val="clear" w:color="auto" w:fill="auto"/>
          </w:tcPr>
          <w:p w14:paraId="0AF80D7D" w14:textId="6CFC3966" w:rsidR="00E81874" w:rsidRPr="00D132B8" w:rsidRDefault="00E81874" w:rsidP="00C07756">
            <w:r w:rsidRPr="00D132B8">
              <w:t xml:space="preserve">8.1 </w:t>
            </w:r>
            <w:r w:rsidR="000B26E0" w:rsidRPr="00D132B8">
              <w:t>(</w:t>
            </w:r>
            <w:r w:rsidRPr="00D132B8">
              <w:t>b)</w:t>
            </w:r>
          </w:p>
        </w:tc>
        <w:tc>
          <w:tcPr>
            <w:tcW w:w="8208" w:type="dxa"/>
          </w:tcPr>
          <w:p w14:paraId="692A3778" w14:textId="77777777" w:rsidR="00E81874" w:rsidRPr="00D415EB" w:rsidRDefault="00E81874" w:rsidP="00C07756">
            <w:r>
              <w:t>Soll lauten „Erfassungen am Blatt sollten an vollentwickelten, neben dem Blütenstand befindlichen Blättern aus dem mittleren Drittel der Jahrestriebe erfolgen.“</w:t>
            </w:r>
          </w:p>
        </w:tc>
      </w:tr>
      <w:tr w:rsidR="00E81874" w:rsidRPr="00D415EB" w14:paraId="0A5A30C7" w14:textId="77777777" w:rsidTr="00C07756">
        <w:trPr>
          <w:cantSplit/>
        </w:trPr>
        <w:tc>
          <w:tcPr>
            <w:tcW w:w="1573" w:type="dxa"/>
          </w:tcPr>
          <w:p w14:paraId="51F37E5D" w14:textId="77777777" w:rsidR="00E81874" w:rsidRPr="00D66F3B" w:rsidRDefault="00E81874" w:rsidP="00C07756">
            <w:pPr>
              <w:jc w:val="left"/>
            </w:pPr>
            <w:r>
              <w:t>Zu 6</w:t>
            </w:r>
          </w:p>
        </w:tc>
        <w:tc>
          <w:tcPr>
            <w:tcW w:w="8208" w:type="dxa"/>
          </w:tcPr>
          <w:p w14:paraId="05438537" w14:textId="77777777" w:rsidR="00E81874" w:rsidRPr="00392737" w:rsidRDefault="00E81874" w:rsidP="00C07756">
            <w:pPr>
              <w:rPr>
                <w:rFonts w:cs="Arial"/>
              </w:rPr>
            </w:pPr>
            <w:r>
              <w:t>„Herzförmig“ streichen</w:t>
            </w:r>
          </w:p>
        </w:tc>
      </w:tr>
    </w:tbl>
    <w:p w14:paraId="410DF2B2" w14:textId="77777777" w:rsidR="00E81874" w:rsidRDefault="00E81874" w:rsidP="00E81874"/>
    <w:p w14:paraId="4F247D8A" w14:textId="77777777" w:rsidR="00E81874" w:rsidRDefault="00E81874" w:rsidP="00E81874"/>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8"/>
      </w:tblGrid>
      <w:tr w:rsidR="00E81874" w:rsidRPr="005D2443" w14:paraId="68EA6FB7" w14:textId="77777777" w:rsidTr="00C07756">
        <w:trPr>
          <w:cantSplit/>
          <w:trHeight w:val="277"/>
          <w:jc w:val="center"/>
        </w:trPr>
        <w:tc>
          <w:tcPr>
            <w:tcW w:w="2894" w:type="dxa"/>
            <w:vMerge w:val="restart"/>
            <w:shd w:val="clear" w:color="auto" w:fill="D9D9D9"/>
            <w:vAlign w:val="center"/>
          </w:tcPr>
          <w:p w14:paraId="45F10008" w14:textId="77777777" w:rsidR="00E81874" w:rsidRPr="00E720A7" w:rsidRDefault="00E81874" w:rsidP="00C07756">
            <w:pPr>
              <w:pStyle w:val="TitleofDoc"/>
              <w:keepNext/>
              <w:tabs>
                <w:tab w:val="left" w:pos="5245"/>
                <w:tab w:val="left" w:pos="7008"/>
              </w:tabs>
              <w:spacing w:before="0"/>
              <w:jc w:val="left"/>
              <w:rPr>
                <w:rFonts w:cs="Arial"/>
                <w:caps w:val="0"/>
              </w:rPr>
            </w:pPr>
            <w:r>
              <w:rPr>
                <w:caps w:val="0"/>
              </w:rPr>
              <w:t xml:space="preserve">Pistazie </w:t>
            </w:r>
            <w:r>
              <w:rPr>
                <w:caps w:val="0"/>
              </w:rPr>
              <w:br/>
              <w:t>(</w:t>
            </w:r>
            <w:r>
              <w:rPr>
                <w:i/>
                <w:caps w:val="0"/>
              </w:rPr>
              <w:t>Pistacia vera</w:t>
            </w:r>
            <w:r>
              <w:rPr>
                <w:caps w:val="0"/>
              </w:rPr>
              <w:t xml:space="preserve"> L.)</w:t>
            </w:r>
          </w:p>
        </w:tc>
        <w:tc>
          <w:tcPr>
            <w:tcW w:w="2552" w:type="dxa"/>
            <w:shd w:val="clear" w:color="auto" w:fill="D9D9D9"/>
            <w:vAlign w:val="center"/>
          </w:tcPr>
          <w:p w14:paraId="499B1822" w14:textId="77777777" w:rsidR="00E81874" w:rsidRPr="005D2443" w:rsidRDefault="00E81874" w:rsidP="00C07756">
            <w:pPr>
              <w:pStyle w:val="TitleofDoc"/>
              <w:keepNext/>
              <w:tabs>
                <w:tab w:val="left" w:pos="5245"/>
                <w:tab w:val="left" w:pos="7008"/>
              </w:tabs>
              <w:spacing w:before="0"/>
              <w:jc w:val="left"/>
              <w:rPr>
                <w:rFonts w:cs="Arial"/>
                <w:caps w:val="0"/>
              </w:rPr>
            </w:pPr>
            <w:r>
              <w:rPr>
                <w:color w:val="000000"/>
              </w:rPr>
              <w:t>TG/PISTA(proj.6)</w:t>
            </w:r>
          </w:p>
        </w:tc>
        <w:tc>
          <w:tcPr>
            <w:tcW w:w="2807" w:type="dxa"/>
            <w:shd w:val="clear" w:color="auto" w:fill="D9D9D9"/>
            <w:vAlign w:val="center"/>
          </w:tcPr>
          <w:p w14:paraId="5DF9B966" w14:textId="77777777" w:rsidR="00E81874" w:rsidRPr="00784926" w:rsidRDefault="00E81874" w:rsidP="00C07756">
            <w:pPr>
              <w:keepNext/>
              <w:jc w:val="left"/>
              <w:rPr>
                <w:rFonts w:cs="Arial"/>
                <w:iCs/>
                <w:snapToGrid w:val="0"/>
                <w:color w:val="000000"/>
              </w:rPr>
            </w:pPr>
            <w:r>
              <w:t>Fr. Urszula Braun-Mlodecka (QZ)</w:t>
            </w:r>
          </w:p>
        </w:tc>
        <w:tc>
          <w:tcPr>
            <w:tcW w:w="736" w:type="dxa"/>
            <w:vMerge w:val="restart"/>
            <w:shd w:val="clear" w:color="auto" w:fill="D9D9D9"/>
            <w:vAlign w:val="center"/>
          </w:tcPr>
          <w:p w14:paraId="504A7138" w14:textId="77777777" w:rsidR="00E81874" w:rsidRPr="005D2443" w:rsidRDefault="00E81874" w:rsidP="00C07756">
            <w:pPr>
              <w:keepNext/>
              <w:jc w:val="left"/>
              <w:rPr>
                <w:rFonts w:cs="Arial"/>
                <w:iCs/>
              </w:rPr>
            </w:pPr>
            <w:r>
              <w:t>TWF</w:t>
            </w:r>
          </w:p>
        </w:tc>
        <w:tc>
          <w:tcPr>
            <w:tcW w:w="998" w:type="dxa"/>
            <w:vMerge w:val="restart"/>
            <w:shd w:val="clear" w:color="auto" w:fill="D9D9D9"/>
            <w:vAlign w:val="center"/>
          </w:tcPr>
          <w:p w14:paraId="52E65226" w14:textId="77777777" w:rsidR="00E81874" w:rsidRPr="005D2443" w:rsidRDefault="00E81874" w:rsidP="00C07756">
            <w:pPr>
              <w:pStyle w:val="BodyText"/>
              <w:keepNext/>
              <w:jc w:val="left"/>
              <w:rPr>
                <w:rFonts w:cs="Arial"/>
                <w:iCs/>
                <w:snapToGrid w:val="0"/>
              </w:rPr>
            </w:pPr>
            <w:r>
              <w:rPr>
                <w:snapToGrid w:val="0"/>
              </w:rPr>
              <w:t>*</w:t>
            </w:r>
          </w:p>
        </w:tc>
      </w:tr>
      <w:tr w:rsidR="00E81874" w:rsidRPr="009835C0" w14:paraId="1B39AB1D" w14:textId="77777777" w:rsidTr="00C07756">
        <w:trPr>
          <w:cantSplit/>
          <w:trHeight w:hRule="exact" w:val="791"/>
          <w:jc w:val="center"/>
        </w:trPr>
        <w:tc>
          <w:tcPr>
            <w:tcW w:w="2894" w:type="dxa"/>
            <w:vMerge/>
            <w:shd w:val="clear" w:color="auto" w:fill="D9D9D9"/>
            <w:vAlign w:val="center"/>
          </w:tcPr>
          <w:p w14:paraId="04CCBF9D" w14:textId="77777777" w:rsidR="00E81874" w:rsidRPr="005D2443" w:rsidRDefault="00E81874" w:rsidP="00C07756">
            <w:pPr>
              <w:pStyle w:val="TitleofDoc"/>
              <w:keepNext/>
              <w:tabs>
                <w:tab w:val="left" w:pos="5245"/>
                <w:tab w:val="left" w:pos="7008"/>
              </w:tabs>
              <w:spacing w:before="0"/>
              <w:jc w:val="left"/>
              <w:rPr>
                <w:rFonts w:cs="Arial"/>
                <w:caps w:val="0"/>
              </w:rPr>
            </w:pPr>
          </w:p>
        </w:tc>
        <w:tc>
          <w:tcPr>
            <w:tcW w:w="2552" w:type="dxa"/>
            <w:shd w:val="clear" w:color="auto" w:fill="D9D9D9"/>
            <w:vAlign w:val="center"/>
          </w:tcPr>
          <w:p w14:paraId="3DDF8E60" w14:textId="77777777" w:rsidR="00E81874" w:rsidRPr="008A73B8" w:rsidRDefault="00E81874" w:rsidP="00C07756">
            <w:pPr>
              <w:pStyle w:val="BodyText"/>
              <w:keepNext/>
              <w:jc w:val="left"/>
              <w:rPr>
                <w:rFonts w:cs="Arial"/>
                <w:color w:val="000000"/>
              </w:rPr>
            </w:pPr>
            <w:r>
              <w:rPr>
                <w:color w:val="000000"/>
              </w:rPr>
              <w:t>Anzahl von Merkm.:  37 Anzahl von (</w:t>
            </w:r>
            <w:r>
              <w:rPr>
                <w:color w:val="000000"/>
              </w:rPr>
              <w:sym w:font="Symbol" w:char="F02A"/>
            </w:r>
            <w:r>
              <w:rPr>
                <w:color w:val="000000"/>
              </w:rPr>
              <w:t>) Merkm.:  17</w:t>
            </w:r>
          </w:p>
        </w:tc>
        <w:tc>
          <w:tcPr>
            <w:tcW w:w="2807" w:type="dxa"/>
            <w:shd w:val="clear" w:color="auto" w:fill="D9D9D9"/>
            <w:vAlign w:val="center"/>
          </w:tcPr>
          <w:p w14:paraId="4465D663" w14:textId="77777777" w:rsidR="00E81874" w:rsidRPr="00D03491" w:rsidRDefault="00E81874" w:rsidP="00C07756">
            <w:pPr>
              <w:keepNext/>
              <w:jc w:val="left"/>
              <w:rPr>
                <w:rFonts w:cs="Arial"/>
                <w:iCs/>
                <w:snapToGrid w:val="0"/>
                <w:color w:val="000000"/>
              </w:rPr>
            </w:pPr>
            <w:r>
              <w:rPr>
                <w:snapToGrid w:val="0"/>
                <w:color w:val="000000"/>
              </w:rPr>
              <w:t xml:space="preserve">(Beteiligte Sachverständige:  </w:t>
            </w:r>
            <w:r>
              <w:t>AU, ES, IT, KE, MX, ZA)</w:t>
            </w:r>
          </w:p>
        </w:tc>
        <w:tc>
          <w:tcPr>
            <w:tcW w:w="736" w:type="dxa"/>
            <w:vMerge/>
            <w:shd w:val="clear" w:color="auto" w:fill="D9D9D9"/>
            <w:vAlign w:val="center"/>
          </w:tcPr>
          <w:p w14:paraId="11DE61D2" w14:textId="77777777" w:rsidR="00E81874" w:rsidRPr="00D03491" w:rsidRDefault="00E81874" w:rsidP="00C07756">
            <w:pPr>
              <w:keepNext/>
              <w:jc w:val="left"/>
              <w:rPr>
                <w:rFonts w:cs="Arial"/>
                <w:iCs/>
              </w:rPr>
            </w:pPr>
          </w:p>
        </w:tc>
        <w:tc>
          <w:tcPr>
            <w:tcW w:w="998" w:type="dxa"/>
            <w:vMerge/>
            <w:shd w:val="clear" w:color="auto" w:fill="D9D9D9"/>
            <w:vAlign w:val="center"/>
          </w:tcPr>
          <w:p w14:paraId="1B5B5E34" w14:textId="77777777" w:rsidR="00E81874" w:rsidRPr="00D03491" w:rsidRDefault="00E81874" w:rsidP="00C07756">
            <w:pPr>
              <w:pStyle w:val="BodyText"/>
              <w:keepNext/>
              <w:jc w:val="left"/>
              <w:rPr>
                <w:rFonts w:cs="Arial"/>
                <w:iCs/>
                <w:snapToGrid w:val="0"/>
              </w:rPr>
            </w:pPr>
          </w:p>
        </w:tc>
      </w:tr>
    </w:tbl>
    <w:p w14:paraId="0E66302F" w14:textId="77777777" w:rsidR="00E81874" w:rsidRDefault="00E81874" w:rsidP="00E81874">
      <w:pPr>
        <w:keepNext/>
      </w:pPr>
    </w:p>
    <w:p w14:paraId="01533AD8" w14:textId="77777777" w:rsidR="00E81874" w:rsidRPr="008D0013" w:rsidRDefault="00E81874" w:rsidP="00E81874">
      <w:pPr>
        <w:keepNext/>
        <w:ind w:firstLine="567"/>
        <w:rPr>
          <w:rFonts w:cs="Arial"/>
        </w:rPr>
      </w:pPr>
      <w:r>
        <w:t>Der TC-EDC prüfte auf seiner am 12. und 13. Oktober 2021 auf elektronischem Wege abgehaltenen Tagung das Dokument </w:t>
      </w:r>
      <w:r>
        <w:rPr>
          <w:caps/>
        </w:rPr>
        <w:t>TG/PISTA(</w:t>
      </w:r>
      <w:r>
        <w:t>proj</w:t>
      </w:r>
      <w:r>
        <w:rPr>
          <w:caps/>
        </w:rPr>
        <w:t>.6)</w:t>
      </w:r>
      <w:r>
        <w:t xml:space="preserve"> und gab die in der nachstehenden Tabelle aufgeführten Empfehlungen ab.</w:t>
      </w:r>
    </w:p>
    <w:p w14:paraId="710513AF" w14:textId="77777777" w:rsidR="00E81874" w:rsidRPr="008D0013" w:rsidRDefault="00E81874" w:rsidP="00E81874">
      <w:pPr>
        <w:keepNext/>
        <w:autoSpaceDE w:val="0"/>
        <w:autoSpaceDN w:val="0"/>
        <w:adjustRightInd w:val="0"/>
        <w:ind w:firstLine="567"/>
        <w:rPr>
          <w:rFonts w:cs="Arial"/>
        </w:rPr>
      </w:pPr>
    </w:p>
    <w:p w14:paraId="6AD108A6" w14:textId="77777777" w:rsidR="00E81874" w:rsidRPr="008D0013" w:rsidRDefault="00E81874" w:rsidP="00E81874">
      <w:pPr>
        <w:autoSpaceDE w:val="0"/>
        <w:autoSpaceDN w:val="0"/>
        <w:adjustRightInd w:val="0"/>
        <w:ind w:firstLine="567"/>
        <w:rPr>
          <w:rFonts w:cs="Arial"/>
        </w:rPr>
      </w:pPr>
      <w:r>
        <w:t>Der TC-EDC vereinbarte, dass der Entwurf von Prüfungsrichtlinien für Pistazie dem TC zur Annahme vorzulegen sei.</w:t>
      </w:r>
    </w:p>
    <w:p w14:paraId="7045B938" w14:textId="77777777" w:rsidR="00E81874" w:rsidRPr="00BD7650" w:rsidRDefault="00E81874" w:rsidP="00E81874">
      <w:pPr>
        <w:keepNext/>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E81874" w:rsidRPr="00521951" w14:paraId="34CF168A" w14:textId="77777777" w:rsidTr="00C07756">
        <w:trPr>
          <w:cantSplit/>
        </w:trPr>
        <w:tc>
          <w:tcPr>
            <w:tcW w:w="1573" w:type="dxa"/>
          </w:tcPr>
          <w:p w14:paraId="3DDF8F5B" w14:textId="77777777" w:rsidR="00E81874" w:rsidRPr="00953961" w:rsidRDefault="00E81874" w:rsidP="00C07756">
            <w:pPr>
              <w:keepNext/>
            </w:pPr>
            <w:r>
              <w:t>8.1 (b)</w:t>
            </w:r>
          </w:p>
        </w:tc>
        <w:tc>
          <w:tcPr>
            <w:tcW w:w="8208" w:type="dxa"/>
          </w:tcPr>
          <w:p w14:paraId="448B7332" w14:textId="77777777" w:rsidR="00E81874" w:rsidRPr="00953961" w:rsidRDefault="00E81874" w:rsidP="00C07756">
            <w:pPr>
              <w:keepNext/>
            </w:pPr>
            <w:r>
              <w:rPr>
                <w:color w:val="000000"/>
              </w:rPr>
              <w:t>Soll lauten „Erfassungen am Blatt sollten an vollentwickelten Blättern aus dem mittleren Drittel der Jahrestriebe erfolgen.“</w:t>
            </w:r>
          </w:p>
        </w:tc>
      </w:tr>
    </w:tbl>
    <w:p w14:paraId="07A069A7" w14:textId="77777777" w:rsidR="00E81874" w:rsidRPr="00E91452" w:rsidRDefault="00E81874" w:rsidP="00E81874"/>
    <w:p w14:paraId="3001E404" w14:textId="77777777" w:rsidR="00E81874" w:rsidRPr="00E91452" w:rsidRDefault="00E81874" w:rsidP="00E81874"/>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6"/>
        <w:gridCol w:w="2554"/>
        <w:gridCol w:w="2808"/>
        <w:gridCol w:w="736"/>
        <w:gridCol w:w="993"/>
      </w:tblGrid>
      <w:tr w:rsidR="00E81874" w:rsidRPr="00F72C6C" w14:paraId="0BCDACE7" w14:textId="77777777" w:rsidTr="00C07756">
        <w:trPr>
          <w:cantSplit/>
          <w:trHeight w:val="277"/>
          <w:jc w:val="center"/>
        </w:trPr>
        <w:tc>
          <w:tcPr>
            <w:tcW w:w="2894" w:type="dxa"/>
            <w:vMerge w:val="restart"/>
            <w:shd w:val="clear" w:color="auto" w:fill="D9D9D9"/>
            <w:vAlign w:val="center"/>
          </w:tcPr>
          <w:p w14:paraId="539537B5" w14:textId="77777777" w:rsidR="00E81874" w:rsidRPr="00E91452" w:rsidRDefault="00E81874" w:rsidP="00C07756">
            <w:pPr>
              <w:pStyle w:val="TitleofDoc"/>
              <w:keepNext/>
              <w:tabs>
                <w:tab w:val="left" w:pos="5245"/>
                <w:tab w:val="left" w:pos="7008"/>
              </w:tabs>
              <w:spacing w:before="0"/>
              <w:jc w:val="left"/>
              <w:rPr>
                <w:rFonts w:cs="Arial"/>
                <w:caps w:val="0"/>
              </w:rPr>
            </w:pPr>
            <w:r>
              <w:rPr>
                <w:caps w:val="0"/>
              </w:rPr>
              <w:t>Zinnia</w:t>
            </w:r>
            <w:r>
              <w:rPr>
                <w:caps w:val="0"/>
              </w:rPr>
              <w:br/>
              <w:t>(</w:t>
            </w:r>
            <w:r>
              <w:rPr>
                <w:i/>
                <w:caps w:val="0"/>
              </w:rPr>
              <w:t>Zinnia ×marylandica D. M. Spooner et al.; Z. angustifolia Kunth; Zinnia elegans Jacq.; Zinnia haageana Regel;</w:t>
            </w:r>
            <w:r>
              <w:rPr>
                <w:i/>
                <w:caps w:val="0"/>
              </w:rPr>
              <w:br/>
              <w:t>Zinnia peruviana (L.) L.</w:t>
            </w:r>
            <w:r>
              <w:rPr>
                <w:caps w:val="0"/>
              </w:rPr>
              <w:t>)</w:t>
            </w:r>
          </w:p>
        </w:tc>
        <w:tc>
          <w:tcPr>
            <w:tcW w:w="2552" w:type="dxa"/>
            <w:shd w:val="clear" w:color="auto" w:fill="D9D9D9"/>
            <w:vAlign w:val="center"/>
          </w:tcPr>
          <w:p w14:paraId="1E86F4D2" w14:textId="77777777" w:rsidR="00E81874" w:rsidRPr="00F72C6C" w:rsidRDefault="00E81874" w:rsidP="00C07756">
            <w:pPr>
              <w:pStyle w:val="TitleofDoc"/>
              <w:keepNext/>
              <w:tabs>
                <w:tab w:val="left" w:pos="5245"/>
                <w:tab w:val="left" w:pos="7008"/>
              </w:tabs>
              <w:spacing w:before="0"/>
              <w:jc w:val="left"/>
              <w:rPr>
                <w:rFonts w:cs="Arial"/>
                <w:caps w:val="0"/>
              </w:rPr>
            </w:pPr>
            <w:r>
              <w:rPr>
                <w:color w:val="000000"/>
              </w:rPr>
              <w:t>TG/ZINNI(proj.10)</w:t>
            </w:r>
          </w:p>
        </w:tc>
        <w:tc>
          <w:tcPr>
            <w:tcW w:w="2807" w:type="dxa"/>
            <w:shd w:val="clear" w:color="auto" w:fill="D9D9D9"/>
            <w:vAlign w:val="center"/>
          </w:tcPr>
          <w:p w14:paraId="3A6ADC81" w14:textId="77777777" w:rsidR="00E81874" w:rsidRPr="00C72898" w:rsidRDefault="00E81874" w:rsidP="00C07756">
            <w:pPr>
              <w:keepNext/>
              <w:jc w:val="left"/>
              <w:rPr>
                <w:rFonts w:cs="Arial"/>
                <w:iCs/>
                <w:snapToGrid w:val="0"/>
                <w:color w:val="000000"/>
                <w:lang w:val="es-ES"/>
              </w:rPr>
            </w:pPr>
            <w:r w:rsidRPr="00C72898">
              <w:rPr>
                <w:lang w:val="es-ES"/>
              </w:rPr>
              <w:t>Hr. Jose Mejía Muñoz (MX)</w:t>
            </w:r>
          </w:p>
        </w:tc>
        <w:tc>
          <w:tcPr>
            <w:tcW w:w="736" w:type="dxa"/>
            <w:vMerge w:val="restart"/>
            <w:shd w:val="clear" w:color="auto" w:fill="D9D9D9"/>
            <w:vAlign w:val="center"/>
          </w:tcPr>
          <w:p w14:paraId="309A0DE4" w14:textId="77777777" w:rsidR="00E81874" w:rsidRPr="00F72C6C" w:rsidRDefault="00E81874" w:rsidP="00C07756">
            <w:pPr>
              <w:keepNext/>
              <w:jc w:val="left"/>
              <w:rPr>
                <w:rFonts w:cs="Arial"/>
                <w:iCs/>
              </w:rPr>
            </w:pPr>
            <w:r>
              <w:t>TWO</w:t>
            </w:r>
          </w:p>
        </w:tc>
        <w:tc>
          <w:tcPr>
            <w:tcW w:w="993" w:type="dxa"/>
            <w:vMerge w:val="restart"/>
            <w:shd w:val="clear" w:color="auto" w:fill="D9D9D9"/>
            <w:vAlign w:val="center"/>
          </w:tcPr>
          <w:p w14:paraId="2113B32E" w14:textId="77777777" w:rsidR="00E81874" w:rsidRPr="00F72C6C" w:rsidRDefault="00E81874" w:rsidP="00C07756">
            <w:pPr>
              <w:pStyle w:val="BodyText"/>
              <w:keepNext/>
              <w:jc w:val="left"/>
              <w:rPr>
                <w:rFonts w:cs="Arial"/>
                <w:iCs/>
                <w:snapToGrid w:val="0"/>
              </w:rPr>
            </w:pPr>
            <w:r>
              <w:rPr>
                <w:snapToGrid w:val="0"/>
              </w:rPr>
              <w:t>*</w:t>
            </w:r>
          </w:p>
        </w:tc>
      </w:tr>
      <w:tr w:rsidR="00E81874" w:rsidRPr="00784926" w14:paraId="424A5A17" w14:textId="77777777" w:rsidTr="00C07756">
        <w:trPr>
          <w:cantSplit/>
          <w:trHeight w:hRule="exact" w:val="1475"/>
          <w:jc w:val="center"/>
        </w:trPr>
        <w:tc>
          <w:tcPr>
            <w:tcW w:w="2894" w:type="dxa"/>
            <w:vMerge/>
            <w:shd w:val="clear" w:color="auto" w:fill="D9D9D9"/>
            <w:vAlign w:val="center"/>
          </w:tcPr>
          <w:p w14:paraId="6C6ECE71" w14:textId="77777777" w:rsidR="00E81874" w:rsidRPr="00F72C6C" w:rsidRDefault="00E81874" w:rsidP="00C07756">
            <w:pPr>
              <w:pStyle w:val="TitleofDoc"/>
              <w:keepNext/>
              <w:tabs>
                <w:tab w:val="left" w:pos="5245"/>
                <w:tab w:val="left" w:pos="7008"/>
              </w:tabs>
              <w:spacing w:before="0"/>
              <w:jc w:val="left"/>
              <w:rPr>
                <w:rFonts w:cs="Arial"/>
                <w:caps w:val="0"/>
                <w:lang w:val="pt-BR"/>
              </w:rPr>
            </w:pPr>
          </w:p>
        </w:tc>
        <w:tc>
          <w:tcPr>
            <w:tcW w:w="2552" w:type="dxa"/>
            <w:shd w:val="clear" w:color="auto" w:fill="D9D9D9"/>
            <w:vAlign w:val="center"/>
          </w:tcPr>
          <w:p w14:paraId="71F2AB8D" w14:textId="77777777" w:rsidR="00E81874" w:rsidRPr="003C5745" w:rsidRDefault="00E81874" w:rsidP="00C07756">
            <w:pPr>
              <w:pStyle w:val="BodyText"/>
              <w:keepNext/>
              <w:jc w:val="left"/>
              <w:rPr>
                <w:rFonts w:cs="Arial"/>
                <w:color w:val="000000"/>
              </w:rPr>
            </w:pPr>
            <w:r>
              <w:rPr>
                <w:color w:val="000000"/>
              </w:rPr>
              <w:t>Anzahl von Merkm.:  36 Anzahl von (</w:t>
            </w:r>
            <w:r>
              <w:rPr>
                <w:color w:val="000000"/>
              </w:rPr>
              <w:sym w:font="Symbol" w:char="F02A"/>
            </w:r>
            <w:r>
              <w:rPr>
                <w:color w:val="000000"/>
              </w:rPr>
              <w:t>) Merkm.:  20</w:t>
            </w:r>
          </w:p>
        </w:tc>
        <w:tc>
          <w:tcPr>
            <w:tcW w:w="2807" w:type="dxa"/>
            <w:shd w:val="clear" w:color="auto" w:fill="D9D9D9"/>
            <w:vAlign w:val="center"/>
          </w:tcPr>
          <w:p w14:paraId="05AC2CA6" w14:textId="77777777" w:rsidR="00E81874" w:rsidRPr="00784926" w:rsidRDefault="00E81874" w:rsidP="00C07756">
            <w:pPr>
              <w:keepNext/>
              <w:jc w:val="left"/>
              <w:rPr>
                <w:rFonts w:cs="Arial"/>
                <w:iCs/>
                <w:snapToGrid w:val="0"/>
                <w:color w:val="000000"/>
              </w:rPr>
            </w:pPr>
            <w:r>
              <w:rPr>
                <w:snapToGrid w:val="0"/>
                <w:color w:val="000000"/>
              </w:rPr>
              <w:t xml:space="preserve">(Beteiligte Sachverständige:  </w:t>
            </w:r>
            <w:r>
              <w:t>CN, FR, GB, IL, JP, KR, NL, QZ, US, CIOPORA)</w:t>
            </w:r>
          </w:p>
        </w:tc>
        <w:tc>
          <w:tcPr>
            <w:tcW w:w="736" w:type="dxa"/>
            <w:vMerge/>
            <w:shd w:val="clear" w:color="auto" w:fill="D9D9D9"/>
            <w:vAlign w:val="center"/>
          </w:tcPr>
          <w:p w14:paraId="3939897D" w14:textId="77777777" w:rsidR="00E81874" w:rsidRPr="00784926" w:rsidRDefault="00E81874" w:rsidP="00C07756">
            <w:pPr>
              <w:keepNext/>
              <w:jc w:val="left"/>
              <w:rPr>
                <w:rFonts w:cs="Arial"/>
                <w:iCs/>
              </w:rPr>
            </w:pPr>
          </w:p>
        </w:tc>
        <w:tc>
          <w:tcPr>
            <w:tcW w:w="993" w:type="dxa"/>
            <w:vMerge/>
            <w:shd w:val="clear" w:color="auto" w:fill="D9D9D9"/>
            <w:vAlign w:val="center"/>
          </w:tcPr>
          <w:p w14:paraId="6F5C4830" w14:textId="77777777" w:rsidR="00E81874" w:rsidRPr="00784926" w:rsidRDefault="00E81874" w:rsidP="00C07756">
            <w:pPr>
              <w:pStyle w:val="BodyText"/>
              <w:keepNext/>
              <w:jc w:val="left"/>
              <w:rPr>
                <w:rFonts w:cs="Arial"/>
                <w:iCs/>
                <w:snapToGrid w:val="0"/>
              </w:rPr>
            </w:pPr>
          </w:p>
        </w:tc>
      </w:tr>
    </w:tbl>
    <w:p w14:paraId="396EF98D" w14:textId="77777777" w:rsidR="00E81874" w:rsidRDefault="00E81874" w:rsidP="00E81874"/>
    <w:p w14:paraId="71685DDA" w14:textId="77777777" w:rsidR="00E81874" w:rsidRPr="008D0013" w:rsidRDefault="00E81874" w:rsidP="00E81874">
      <w:pPr>
        <w:keepNext/>
        <w:ind w:firstLine="567"/>
        <w:rPr>
          <w:rFonts w:cs="Arial"/>
        </w:rPr>
      </w:pPr>
      <w:r>
        <w:t>Der TC-EDC prüfte auf seiner am 12. und 13. Oktober 2021 auf elektronischem Wege abgehaltenen Tagung das Dokument </w:t>
      </w:r>
      <w:r>
        <w:rPr>
          <w:caps/>
        </w:rPr>
        <w:t>TG/ZINNI(</w:t>
      </w:r>
      <w:r>
        <w:t>proj</w:t>
      </w:r>
      <w:r>
        <w:rPr>
          <w:caps/>
        </w:rPr>
        <w:t>.10)</w:t>
      </w:r>
      <w:r>
        <w:t xml:space="preserve"> und gab die in der folgenden Tabelle aufgeführten Empfehlungen ab.</w:t>
      </w:r>
    </w:p>
    <w:p w14:paraId="4BE566E9" w14:textId="77777777" w:rsidR="00E81874" w:rsidRDefault="00E81874" w:rsidP="00E81874"/>
    <w:p w14:paraId="3AA9D615" w14:textId="77777777" w:rsidR="00E81874" w:rsidRPr="008D0013" w:rsidRDefault="00E81874" w:rsidP="00E81874">
      <w:pPr>
        <w:ind w:firstLine="567"/>
      </w:pPr>
      <w:r>
        <w:t>Der TC-EDC vereinbarte, dass der Entwurf von Prüfungsrichtlinien für Zinnie (nachstehend mit „</w:t>
      </w:r>
      <w:r>
        <w:rPr>
          <w:vertAlign w:val="superscript"/>
        </w:rPr>
        <w:t>#</w:t>
      </w:r>
      <w:r>
        <w:t>“ bezeichnet) redaktioneller Klarstellungen seitens des führenden Sachverständigen bedürfe und dass der Entwurf der Prüfungsrichtlinien auf der für den März 2022 angesetzten Tagung des TC-EDC erneut geprüft werden solle.</w:t>
      </w:r>
    </w:p>
    <w:p w14:paraId="2086AA83" w14:textId="77777777" w:rsidR="00E81874" w:rsidRPr="00784926" w:rsidRDefault="00E81874" w:rsidP="00E8187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E81874" w:rsidRPr="00784926" w14:paraId="44516BA5" w14:textId="77777777" w:rsidTr="00C07756">
        <w:trPr>
          <w:cantSplit/>
        </w:trPr>
        <w:tc>
          <w:tcPr>
            <w:tcW w:w="1573" w:type="dxa"/>
          </w:tcPr>
          <w:p w14:paraId="694836FC" w14:textId="77777777" w:rsidR="00E81874" w:rsidRDefault="00E81874" w:rsidP="00C07756">
            <w:pPr>
              <w:rPr>
                <w:rFonts w:cs="Arial"/>
              </w:rPr>
            </w:pPr>
            <w:r>
              <w:t>Deckblatt</w:t>
            </w:r>
          </w:p>
        </w:tc>
        <w:tc>
          <w:tcPr>
            <w:tcW w:w="8208" w:type="dxa"/>
          </w:tcPr>
          <w:p w14:paraId="127241C2" w14:textId="4D04B217" w:rsidR="00E81874" w:rsidRPr="00953961" w:rsidRDefault="00E81874" w:rsidP="00C07756">
            <w:r>
              <w:t xml:space="preserve">Schreibweise soll lauten „Peruvian zinnia” und </w:t>
            </w:r>
            <w:r w:rsidR="000B26E0">
              <w:t>„</w:t>
            </w:r>
            <w:r>
              <w:t>Wild zinnia</w:t>
            </w:r>
            <w:r w:rsidR="000B26E0">
              <w:t>"</w:t>
            </w:r>
            <w:r>
              <w:t xml:space="preserve"> mit großem „Z“</w:t>
            </w:r>
          </w:p>
        </w:tc>
      </w:tr>
      <w:tr w:rsidR="00E81874" w:rsidRPr="00784926" w14:paraId="54C8006C" w14:textId="77777777" w:rsidTr="00C07756">
        <w:trPr>
          <w:cantSplit/>
        </w:trPr>
        <w:tc>
          <w:tcPr>
            <w:tcW w:w="1573" w:type="dxa"/>
          </w:tcPr>
          <w:p w14:paraId="029B6D51" w14:textId="77777777" w:rsidR="00E81874" w:rsidRPr="00784926" w:rsidRDefault="00E81874" w:rsidP="00C07756">
            <w:pPr>
              <w:rPr>
                <w:rFonts w:cs="Arial"/>
              </w:rPr>
            </w:pPr>
            <w:r>
              <w:rPr>
                <w:vertAlign w:val="superscript"/>
              </w:rPr>
              <w:t>#</w:t>
            </w:r>
            <w:r>
              <w:t>2.3</w:t>
            </w:r>
          </w:p>
        </w:tc>
        <w:tc>
          <w:tcPr>
            <w:tcW w:w="8208" w:type="dxa"/>
          </w:tcPr>
          <w:p w14:paraId="1FBD5DC5" w14:textId="77777777" w:rsidR="00E81874" w:rsidRPr="0032758E" w:rsidRDefault="00E81874" w:rsidP="00C07756">
            <w:pPr>
              <w:keepNext/>
              <w:rPr>
                <w:rFonts w:cs="Arial"/>
              </w:rPr>
            </w:pPr>
            <w:r>
              <w:t>Prüfen, ob der Wortlaut sein soll:</w:t>
            </w:r>
          </w:p>
          <w:p w14:paraId="3EC321E4" w14:textId="77777777" w:rsidR="00E81874" w:rsidRPr="0032758E" w:rsidRDefault="00E81874" w:rsidP="00C07756">
            <w:pPr>
              <w:keepNext/>
              <w:rPr>
                <w:rFonts w:cs="Arial"/>
              </w:rPr>
            </w:pPr>
            <w:r>
              <w:t xml:space="preserve">„Die vom Anmelder einzusendende Mindestmenge an Vermehrungsmaterial sollte betragen: </w:t>
            </w:r>
          </w:p>
          <w:p w14:paraId="5EF7F1B5" w14:textId="77777777" w:rsidR="00E81874" w:rsidRPr="0032758E" w:rsidRDefault="00E81874" w:rsidP="00C07756">
            <w:pPr>
              <w:keepNext/>
              <w:rPr>
                <w:rFonts w:cs="Arial"/>
              </w:rPr>
            </w:pPr>
            <w:r w:rsidRPr="000B26E0">
              <w:rPr>
                <w:strike/>
                <w:highlight w:val="lightGray"/>
              </w:rPr>
              <w:t>F1-Hybride</w:t>
            </w:r>
            <w:r w:rsidRPr="000B26E0">
              <w:rPr>
                <w:highlight w:val="lightGray"/>
              </w:rPr>
              <w:t xml:space="preserve"> </w:t>
            </w:r>
            <w:r w:rsidRPr="000B26E0">
              <w:rPr>
                <w:highlight w:val="lightGray"/>
                <w:u w:val="single"/>
              </w:rPr>
              <w:t>Selbstbefruchtende Sorten</w:t>
            </w:r>
            <w:r>
              <w:t>: ausreichende Samenmenge, um mindestens 15 Pflanzen zu erzeugen.</w:t>
            </w:r>
          </w:p>
          <w:p w14:paraId="69008A56" w14:textId="77777777" w:rsidR="00E81874" w:rsidRPr="0032758E" w:rsidRDefault="00E81874" w:rsidP="00C07756">
            <w:pPr>
              <w:keepNext/>
              <w:rPr>
                <w:rFonts w:cs="Arial"/>
              </w:rPr>
            </w:pPr>
            <w:r>
              <w:t>„Fremdbefruchtende Sorten: ausreichende Samenmenge, um mindestens 40 Pflanzen zu erzeugen.”</w:t>
            </w:r>
          </w:p>
        </w:tc>
      </w:tr>
      <w:tr w:rsidR="00E81874" w:rsidRPr="00784926" w14:paraId="3A53693E" w14:textId="77777777" w:rsidTr="00C07756">
        <w:trPr>
          <w:cantSplit/>
        </w:trPr>
        <w:tc>
          <w:tcPr>
            <w:tcW w:w="1573" w:type="dxa"/>
            <w:shd w:val="clear" w:color="auto" w:fill="auto"/>
          </w:tcPr>
          <w:p w14:paraId="17C520C1" w14:textId="77777777" w:rsidR="00E81874" w:rsidRPr="00D66F3B" w:rsidRDefault="00E81874" w:rsidP="00C07756">
            <w:pPr>
              <w:pStyle w:val="BodyText"/>
              <w:jc w:val="left"/>
              <w:rPr>
                <w:rFonts w:eastAsia="MS Mincho" w:cs="Arial"/>
              </w:rPr>
            </w:pPr>
            <w:r>
              <w:rPr>
                <w:vertAlign w:val="superscript"/>
              </w:rPr>
              <w:t>#</w:t>
            </w:r>
            <w:r>
              <w:t>3.4.1</w:t>
            </w:r>
          </w:p>
        </w:tc>
        <w:tc>
          <w:tcPr>
            <w:tcW w:w="8208" w:type="dxa"/>
          </w:tcPr>
          <w:p w14:paraId="008646B6" w14:textId="77777777" w:rsidR="00E81874" w:rsidRPr="000449A0" w:rsidRDefault="00E81874" w:rsidP="00C07756">
            <w:pPr>
              <w:pStyle w:val="BodyText"/>
              <w:jc w:val="left"/>
              <w:rPr>
                <w:rFonts w:eastAsia="MS Mincho" w:cs="Arial"/>
              </w:rPr>
            </w:pPr>
            <w:r>
              <w:t xml:space="preserve">Prüfen, ob der Wortlaut sein soll „Bei </w:t>
            </w:r>
            <w:r>
              <w:rPr>
                <w:strike/>
              </w:rPr>
              <w:t xml:space="preserve"> </w:t>
            </w:r>
            <w:r w:rsidRPr="000B26E0">
              <w:rPr>
                <w:strike/>
                <w:highlight w:val="lightGray"/>
              </w:rPr>
              <w:t>F1-Hybriden</w:t>
            </w:r>
            <w:r w:rsidRPr="000B26E0">
              <w:rPr>
                <w:highlight w:val="lightGray"/>
                <w:u w:val="single"/>
              </w:rPr>
              <w:t>selbstbefruchtenden Sorten</w:t>
            </w:r>
            <w:r>
              <w:t xml:space="preserve"> sollte jede Prüfung...“</w:t>
            </w:r>
          </w:p>
        </w:tc>
      </w:tr>
      <w:tr w:rsidR="00E81874" w:rsidRPr="00784926" w14:paraId="4601D541" w14:textId="77777777" w:rsidTr="00C07756">
        <w:trPr>
          <w:cantSplit/>
        </w:trPr>
        <w:tc>
          <w:tcPr>
            <w:tcW w:w="1573" w:type="dxa"/>
            <w:shd w:val="clear" w:color="auto" w:fill="auto"/>
          </w:tcPr>
          <w:p w14:paraId="2CF9410C" w14:textId="77777777" w:rsidR="00E81874" w:rsidRPr="00D66F3B" w:rsidRDefault="00E81874" w:rsidP="00C07756">
            <w:pPr>
              <w:pStyle w:val="BodyText"/>
              <w:jc w:val="left"/>
              <w:rPr>
                <w:rFonts w:eastAsia="MS Mincho" w:cs="Arial"/>
              </w:rPr>
            </w:pPr>
            <w:r>
              <w:rPr>
                <w:vertAlign w:val="superscript"/>
              </w:rPr>
              <w:t>#</w:t>
            </w:r>
            <w:r>
              <w:t>4.1.4</w:t>
            </w:r>
          </w:p>
        </w:tc>
        <w:tc>
          <w:tcPr>
            <w:tcW w:w="8208" w:type="dxa"/>
          </w:tcPr>
          <w:p w14:paraId="71414046" w14:textId="77777777" w:rsidR="00E81874" w:rsidRDefault="00E81874" w:rsidP="00C07756">
            <w:pPr>
              <w:pStyle w:val="BodyText"/>
              <w:jc w:val="left"/>
              <w:rPr>
                <w:rFonts w:eastAsia="MS Mincho" w:cs="Arial"/>
              </w:rPr>
            </w:pPr>
            <w:r>
              <w:t xml:space="preserve">„Bei </w:t>
            </w:r>
            <w:r>
              <w:rPr>
                <w:strike/>
              </w:rPr>
              <w:t xml:space="preserve"> </w:t>
            </w:r>
            <w:r w:rsidRPr="000B26E0">
              <w:rPr>
                <w:strike/>
                <w:highlight w:val="lightGray"/>
              </w:rPr>
              <w:t>F1-Hybriden</w:t>
            </w:r>
            <w:r w:rsidRPr="000B26E0">
              <w:rPr>
                <w:highlight w:val="lightGray"/>
                <w:u w:val="single"/>
              </w:rPr>
              <w:t xml:space="preserve"> fremdbefruchtenden Sorten</w:t>
            </w:r>
            <w:r>
              <w:t xml:space="preserve"> sollten, sofern nicht anders angegeben, zur Prüfung der Unterscheidbarkeit alle Erfassungen an Einzelpflanzen an 20 Pflanzen oder Teilen von 20 Pflanzen und alle übrigen Erfassungen an allen Pflanzen in der Prüfung erfolgen, wobei etwaige Abweicherpflanzen außer Acht gelassen werden.</w:t>
            </w:r>
          </w:p>
          <w:p w14:paraId="6F4BB23E" w14:textId="77777777" w:rsidR="00E81874" w:rsidRPr="000449A0" w:rsidRDefault="00E81874" w:rsidP="00C07756">
            <w:pPr>
              <w:pStyle w:val="BodyText"/>
              <w:jc w:val="left"/>
              <w:rPr>
                <w:rFonts w:eastAsia="MS Mincho" w:cs="Arial"/>
              </w:rPr>
            </w:pPr>
            <w:r>
              <w:t xml:space="preserve">Bei </w:t>
            </w:r>
            <w:r w:rsidRPr="008273EF">
              <w:rPr>
                <w:strike/>
                <w:highlight w:val="lightGray"/>
              </w:rPr>
              <w:t>fremd</w:t>
            </w:r>
            <w:r w:rsidRPr="008273EF">
              <w:rPr>
                <w:highlight w:val="lightGray"/>
                <w:u w:val="single"/>
              </w:rPr>
              <w:t>selbst</w:t>
            </w:r>
            <w:r>
              <w:t>befruchtenden Sorten sollten, sofern nicht anders angegeben, zur Prüfung der Unterscheidbarkeit alle Erfassungen an Einzelpflanzen an 10 Pflanzen oder Teilen von 10 Pflanzen und alle übrigen Erfassungen an allen Pflanzen in der Prüfung erfolgen, wobei etwaige Abweicherpflanzen außer Acht gelassen werden.”</w:t>
            </w:r>
          </w:p>
        </w:tc>
      </w:tr>
      <w:tr w:rsidR="00E81874" w:rsidRPr="00784926" w14:paraId="2DC927F7" w14:textId="77777777" w:rsidTr="00C07756">
        <w:trPr>
          <w:cantSplit/>
        </w:trPr>
        <w:tc>
          <w:tcPr>
            <w:tcW w:w="1573" w:type="dxa"/>
            <w:shd w:val="clear" w:color="auto" w:fill="auto"/>
          </w:tcPr>
          <w:p w14:paraId="4F5F0BA2" w14:textId="77777777" w:rsidR="00E81874" w:rsidRPr="00D66F3B" w:rsidRDefault="00E81874" w:rsidP="00C07756">
            <w:pPr>
              <w:pStyle w:val="BodyText"/>
              <w:jc w:val="left"/>
              <w:rPr>
                <w:rFonts w:eastAsia="MS Mincho" w:cs="Arial"/>
              </w:rPr>
            </w:pPr>
            <w:r>
              <w:rPr>
                <w:vertAlign w:val="superscript"/>
              </w:rPr>
              <w:t>#</w:t>
            </w:r>
            <w:r>
              <w:t>4.2.4</w:t>
            </w:r>
          </w:p>
        </w:tc>
        <w:tc>
          <w:tcPr>
            <w:tcW w:w="8208" w:type="dxa"/>
          </w:tcPr>
          <w:p w14:paraId="0C4E2AB5" w14:textId="4876587F" w:rsidR="00E81874" w:rsidRPr="000449A0" w:rsidRDefault="00E81874" w:rsidP="00C07756">
            <w:pPr>
              <w:pStyle w:val="BodyText"/>
              <w:jc w:val="left"/>
              <w:rPr>
                <w:rFonts w:eastAsia="MS Mincho" w:cs="Arial"/>
              </w:rPr>
            </w:pPr>
            <w:r>
              <w:t xml:space="preserve">Prüfen, ob der Wortlaut sein soll „Für die Bestimmung der Homogenität </w:t>
            </w:r>
            <w:r w:rsidRPr="008273EF">
              <w:rPr>
                <w:highlight w:val="lightGray"/>
              </w:rPr>
              <w:t xml:space="preserve">von </w:t>
            </w:r>
            <w:r w:rsidRPr="008273EF">
              <w:rPr>
                <w:strike/>
                <w:highlight w:val="lightGray"/>
              </w:rPr>
              <w:t xml:space="preserve"> F1-Hybriden</w:t>
            </w:r>
            <w:r w:rsidRPr="008273EF">
              <w:rPr>
                <w:highlight w:val="lightGray"/>
              </w:rPr>
              <w:t xml:space="preserve"> </w:t>
            </w:r>
            <w:r w:rsidRPr="008273EF">
              <w:rPr>
                <w:highlight w:val="lightGray"/>
                <w:u w:val="single"/>
              </w:rPr>
              <w:t>selbstbefruchtenden Sorten</w:t>
            </w:r>
            <w:r>
              <w:t xml:space="preserve"> sollte ein Populationsstandard von 1% mit</w:t>
            </w:r>
            <w:r w:rsidR="008273EF">
              <w:t xml:space="preserve"> </w:t>
            </w:r>
            <w:r>
              <w:t>einer Akzeptanzwahrscheinlichkeit von mindestens 95% angewandt werden. Bei einer Stichprobengröße von 15 Pflanzen, ist die höchste zulässige Anzahl von Abweichern 1.“</w:t>
            </w:r>
          </w:p>
        </w:tc>
      </w:tr>
      <w:tr w:rsidR="00E81874" w:rsidRPr="00784926" w14:paraId="4FD81072" w14:textId="77777777" w:rsidTr="00C07756">
        <w:trPr>
          <w:cantSplit/>
        </w:trPr>
        <w:tc>
          <w:tcPr>
            <w:tcW w:w="1573" w:type="dxa"/>
            <w:shd w:val="clear" w:color="auto" w:fill="auto"/>
          </w:tcPr>
          <w:p w14:paraId="190EE9C7" w14:textId="77777777" w:rsidR="00E81874" w:rsidRPr="008B15A8" w:rsidRDefault="00E81874" w:rsidP="00C07756">
            <w:pPr>
              <w:pStyle w:val="BodyText"/>
              <w:jc w:val="left"/>
              <w:rPr>
                <w:rFonts w:eastAsia="MS Mincho" w:cs="Arial"/>
              </w:rPr>
            </w:pPr>
            <w:r>
              <w:rPr>
                <w:vertAlign w:val="superscript"/>
              </w:rPr>
              <w:t>#</w:t>
            </w:r>
            <w:r>
              <w:t>Merkm. 2</w:t>
            </w:r>
          </w:p>
        </w:tc>
        <w:tc>
          <w:tcPr>
            <w:tcW w:w="8208" w:type="dxa"/>
          </w:tcPr>
          <w:p w14:paraId="6C2B2FDD" w14:textId="77777777" w:rsidR="00E81874" w:rsidRPr="008B15A8" w:rsidRDefault="00E81874" w:rsidP="00C07756">
            <w:pPr>
              <w:pStyle w:val="BodyText"/>
              <w:jc w:val="left"/>
              <w:rPr>
                <w:rFonts w:eastAsia="MS Mincho" w:cs="Arial"/>
              </w:rPr>
            </w:pPr>
            <w:r>
              <w:t>Prüfen, ob bei „Profusion Red“ die angegebene Note 4 richtig ist oder ob Note 3 richtig wäre</w:t>
            </w:r>
          </w:p>
        </w:tc>
      </w:tr>
      <w:tr w:rsidR="00E81874" w:rsidRPr="00784926" w14:paraId="202D8568" w14:textId="77777777" w:rsidTr="00C07756">
        <w:trPr>
          <w:cantSplit/>
        </w:trPr>
        <w:tc>
          <w:tcPr>
            <w:tcW w:w="1573" w:type="dxa"/>
            <w:shd w:val="clear" w:color="auto" w:fill="auto"/>
          </w:tcPr>
          <w:p w14:paraId="2EFBB344" w14:textId="77777777" w:rsidR="00E81874" w:rsidRPr="008B15A8" w:rsidRDefault="00E81874" w:rsidP="00C07756">
            <w:pPr>
              <w:pStyle w:val="BodyText"/>
              <w:jc w:val="left"/>
              <w:rPr>
                <w:rFonts w:eastAsia="MS Mincho" w:cs="Arial"/>
              </w:rPr>
            </w:pPr>
            <w:r>
              <w:rPr>
                <w:vertAlign w:val="superscript"/>
              </w:rPr>
              <w:t>#</w:t>
            </w:r>
            <w:r>
              <w:t>Merkm. 12, 13</w:t>
            </w:r>
          </w:p>
        </w:tc>
        <w:tc>
          <w:tcPr>
            <w:tcW w:w="8208" w:type="dxa"/>
          </w:tcPr>
          <w:p w14:paraId="091906FB" w14:textId="7F2DC990" w:rsidR="00E81874" w:rsidRPr="008B15A8" w:rsidRDefault="00E81874" w:rsidP="00C07756">
            <w:pPr>
              <w:pStyle w:val="BodyText"/>
              <w:jc w:val="left"/>
              <w:rPr>
                <w:rFonts w:eastAsia="MS Mincho" w:cs="Arial"/>
              </w:rPr>
            </w:pPr>
            <w:r>
              <w:t xml:space="preserve">Prüfen, ob die Erläuterung „Die Erfassungen sollten an der Oberseite eines typischen Blattes erfolgen“ hinzugefügt werden soll. </w:t>
            </w:r>
          </w:p>
        </w:tc>
      </w:tr>
      <w:tr w:rsidR="00E81874" w:rsidRPr="00784926" w14:paraId="7C23EF26" w14:textId="77777777" w:rsidTr="00C07756">
        <w:trPr>
          <w:cantSplit/>
        </w:trPr>
        <w:tc>
          <w:tcPr>
            <w:tcW w:w="1573" w:type="dxa"/>
          </w:tcPr>
          <w:p w14:paraId="0D639F6E" w14:textId="77777777" w:rsidR="00E81874" w:rsidRPr="00946852" w:rsidRDefault="00E81874" w:rsidP="00C07756">
            <w:r>
              <w:t>Merkm. 26</w:t>
            </w:r>
          </w:p>
        </w:tc>
        <w:tc>
          <w:tcPr>
            <w:tcW w:w="8208" w:type="dxa"/>
          </w:tcPr>
          <w:p w14:paraId="41E7FEBA" w14:textId="77777777" w:rsidR="00E81874" w:rsidRPr="00946852" w:rsidRDefault="00E81874" w:rsidP="00C07756">
            <w:pPr>
              <w:tabs>
                <w:tab w:val="left" w:pos="5103"/>
                <w:tab w:val="left" w:leader="dot" w:pos="9639"/>
              </w:tabs>
              <w:ind w:left="-9"/>
            </w:pPr>
            <w:r>
              <w:t>Soll lauten „Zungenblüte: Grad der Biegung“</w:t>
            </w:r>
          </w:p>
        </w:tc>
      </w:tr>
      <w:tr w:rsidR="00E81874" w:rsidRPr="00784926" w14:paraId="06492486" w14:textId="77777777" w:rsidTr="00C07756">
        <w:trPr>
          <w:cantSplit/>
        </w:trPr>
        <w:tc>
          <w:tcPr>
            <w:tcW w:w="1573" w:type="dxa"/>
          </w:tcPr>
          <w:p w14:paraId="099A6CE2" w14:textId="77777777" w:rsidR="00E81874" w:rsidRDefault="00E81874" w:rsidP="00C07756">
            <w:r>
              <w:t>#Merkm. 28 bis 34</w:t>
            </w:r>
          </w:p>
        </w:tc>
        <w:tc>
          <w:tcPr>
            <w:tcW w:w="8208" w:type="dxa"/>
          </w:tcPr>
          <w:p w14:paraId="044FD91F" w14:textId="1A9A99D1" w:rsidR="00E81874" w:rsidRPr="00946852" w:rsidDel="00CE2924" w:rsidRDefault="00E81874" w:rsidP="00C07756">
            <w:pPr>
              <w:tabs>
                <w:tab w:val="left" w:pos="5103"/>
                <w:tab w:val="left" w:leader="dot" w:pos="9639"/>
              </w:tabs>
              <w:ind w:left="-9"/>
            </w:pPr>
            <w:r>
              <w:t xml:space="preserve">„Der Innenseite“ (vergleiche 8.1 </w:t>
            </w:r>
            <w:r w:rsidR="008273EF" w:rsidRPr="00D132B8">
              <w:t>(</w:t>
            </w:r>
            <w:r w:rsidRPr="00D132B8">
              <w:t>b))</w:t>
            </w:r>
            <w:r>
              <w:t xml:space="preserve"> streichen</w:t>
            </w:r>
          </w:p>
        </w:tc>
      </w:tr>
      <w:tr w:rsidR="00E81874" w:rsidRPr="00784926" w14:paraId="1A733F5B" w14:textId="77777777" w:rsidTr="00C07756">
        <w:trPr>
          <w:cantSplit/>
        </w:trPr>
        <w:tc>
          <w:tcPr>
            <w:tcW w:w="1573" w:type="dxa"/>
            <w:shd w:val="clear" w:color="auto" w:fill="auto"/>
          </w:tcPr>
          <w:p w14:paraId="3F0AED3D" w14:textId="77777777" w:rsidR="00E81874" w:rsidRPr="003F3D01" w:rsidRDefault="00E81874" w:rsidP="00C07756">
            <w:pPr>
              <w:pStyle w:val="BodyText"/>
              <w:jc w:val="left"/>
              <w:rPr>
                <w:rFonts w:eastAsia="MS Mincho" w:cs="Arial"/>
              </w:rPr>
            </w:pPr>
            <w:r>
              <w:t>8.1 a)</w:t>
            </w:r>
          </w:p>
        </w:tc>
        <w:tc>
          <w:tcPr>
            <w:tcW w:w="8208" w:type="dxa"/>
          </w:tcPr>
          <w:p w14:paraId="213C1EB8" w14:textId="0B2AE735" w:rsidR="00E81874" w:rsidRPr="000449A0" w:rsidRDefault="00E81874" w:rsidP="00C07756">
            <w:pPr>
              <w:pStyle w:val="BodyText"/>
              <w:jc w:val="left"/>
              <w:rPr>
                <w:rFonts w:eastAsia="MS Mincho" w:cs="Arial"/>
              </w:rPr>
            </w:pPr>
            <w:r>
              <w:t xml:space="preserve">Soll lauten „Die Erfassungen sollten an </w:t>
            </w:r>
            <w:r>
              <w:rPr>
                <w:strike/>
                <w:highlight w:val="lightGray"/>
              </w:rPr>
              <w:t>der Oberseite eines typischen Blattes</w:t>
            </w:r>
            <w:r>
              <w:t xml:space="preserve"> </w:t>
            </w:r>
            <w:r>
              <w:rPr>
                <w:u w:val="single"/>
              </w:rPr>
              <w:t>Blättern</w:t>
            </w:r>
            <w:r>
              <w:t xml:space="preserve"> von dem mittleren Drittel des</w:t>
            </w:r>
            <w:r w:rsidR="008273EF">
              <w:t xml:space="preserve"> </w:t>
            </w:r>
            <w:r>
              <w:t>Stängels erfolgen.“</w:t>
            </w:r>
          </w:p>
        </w:tc>
      </w:tr>
      <w:tr w:rsidR="00E81874" w:rsidRPr="00784926" w14:paraId="7A5ABCB3" w14:textId="77777777" w:rsidTr="00C07756">
        <w:trPr>
          <w:cantSplit/>
        </w:trPr>
        <w:tc>
          <w:tcPr>
            <w:tcW w:w="1573" w:type="dxa"/>
            <w:shd w:val="clear" w:color="auto" w:fill="auto"/>
          </w:tcPr>
          <w:p w14:paraId="5252369D" w14:textId="77777777" w:rsidR="00E81874" w:rsidRPr="003F3D01" w:rsidRDefault="00E81874" w:rsidP="00C07756">
            <w:pPr>
              <w:pStyle w:val="BodyText"/>
              <w:jc w:val="left"/>
              <w:rPr>
                <w:rFonts w:eastAsia="MS Mincho" w:cs="Arial"/>
              </w:rPr>
            </w:pPr>
            <w:r>
              <w:t>#Zu 4</w:t>
            </w:r>
          </w:p>
        </w:tc>
        <w:tc>
          <w:tcPr>
            <w:tcW w:w="8208" w:type="dxa"/>
          </w:tcPr>
          <w:p w14:paraId="3705F37C" w14:textId="77777777" w:rsidR="00E81874" w:rsidRPr="000449A0" w:rsidRDefault="00E81874" w:rsidP="00C07756">
            <w:pPr>
              <w:pStyle w:val="BodyText"/>
              <w:jc w:val="left"/>
              <w:rPr>
                <w:rFonts w:eastAsia="MS Mincho" w:cs="Arial"/>
              </w:rPr>
            </w:pPr>
            <w:r>
              <w:t>Prüfen, ob der Kontrast bei den Abbildungen verbessert werden soll (Abbildung mit weißem Hintergrund für einen besseren Kontrast versuchen)</w:t>
            </w:r>
          </w:p>
        </w:tc>
      </w:tr>
      <w:tr w:rsidR="00E81874" w:rsidRPr="00784926" w14:paraId="5248835B" w14:textId="77777777" w:rsidTr="00C07756">
        <w:trPr>
          <w:cantSplit/>
        </w:trPr>
        <w:tc>
          <w:tcPr>
            <w:tcW w:w="1573" w:type="dxa"/>
          </w:tcPr>
          <w:p w14:paraId="06062B5F" w14:textId="77777777" w:rsidR="00E81874" w:rsidRPr="00784926" w:rsidRDefault="00E81874" w:rsidP="00C07756">
            <w:pPr>
              <w:jc w:val="left"/>
              <w:rPr>
                <w:rFonts w:cs="Arial"/>
              </w:rPr>
            </w:pPr>
            <w:r>
              <w:rPr>
                <w:vertAlign w:val="superscript"/>
              </w:rPr>
              <w:t>#</w:t>
            </w:r>
            <w:r>
              <w:t>9</w:t>
            </w:r>
          </w:p>
        </w:tc>
        <w:tc>
          <w:tcPr>
            <w:tcW w:w="8208" w:type="dxa"/>
          </w:tcPr>
          <w:p w14:paraId="35BA973B" w14:textId="77777777" w:rsidR="00E81874" w:rsidRPr="00784926" w:rsidRDefault="00E81874" w:rsidP="00C07756">
            <w:pPr>
              <w:keepNext/>
              <w:rPr>
                <w:rFonts w:cs="Arial"/>
              </w:rPr>
            </w:pPr>
            <w:r>
              <w:t>Formatierung überarbeiten und Verweise vervollständigen (vergleiche Dokument TGP/7, GN 30)</w:t>
            </w:r>
          </w:p>
        </w:tc>
      </w:tr>
      <w:tr w:rsidR="00E81874" w:rsidRPr="00784926" w14:paraId="7C6760D6" w14:textId="77777777" w:rsidTr="00C07756">
        <w:trPr>
          <w:cantSplit/>
        </w:trPr>
        <w:tc>
          <w:tcPr>
            <w:tcW w:w="1573" w:type="dxa"/>
          </w:tcPr>
          <w:p w14:paraId="42E41A7E" w14:textId="77777777" w:rsidR="00E81874" w:rsidRDefault="00E81874" w:rsidP="00C07756">
            <w:pPr>
              <w:jc w:val="left"/>
              <w:rPr>
                <w:rFonts w:cs="Arial"/>
              </w:rPr>
            </w:pPr>
            <w:r>
              <w:rPr>
                <w:vertAlign w:val="superscript"/>
              </w:rPr>
              <w:t>#</w:t>
            </w:r>
            <w:r>
              <w:t>TQ 4.2</w:t>
            </w:r>
          </w:p>
        </w:tc>
        <w:tc>
          <w:tcPr>
            <w:tcW w:w="8208" w:type="dxa"/>
          </w:tcPr>
          <w:p w14:paraId="43D924D9" w14:textId="77777777" w:rsidR="00E81874" w:rsidRPr="00036F47" w:rsidRDefault="00E81874" w:rsidP="00C07756">
            <w:pPr>
              <w:keepNext/>
              <w:rPr>
                <w:rFonts w:cs="Arial"/>
              </w:rPr>
            </w:pPr>
            <w:r>
              <w:t>Prüfen, ob eine Anpassung gemäß den vorgeschlagenen Änderungen der Abschnitte 3.4.1, 4.1.4 und 4.2.4 vorzunehmen ist</w:t>
            </w:r>
          </w:p>
        </w:tc>
      </w:tr>
    </w:tbl>
    <w:p w14:paraId="24FAE0F0" w14:textId="77777777" w:rsidR="00E81874" w:rsidRPr="00784926" w:rsidRDefault="00E81874" w:rsidP="00E81874"/>
    <w:p w14:paraId="47941FF1" w14:textId="77777777" w:rsidR="00E81874" w:rsidRPr="003C5745" w:rsidRDefault="00E81874" w:rsidP="00E81874"/>
    <w:p w14:paraId="189A48B4" w14:textId="77777777" w:rsidR="00E81874" w:rsidRDefault="00E81874" w:rsidP="00E81874">
      <w:pPr>
        <w:pStyle w:val="Heading2"/>
      </w:pPr>
      <w:r>
        <w:t>Überarbeitungen</w:t>
      </w:r>
    </w:p>
    <w:p w14:paraId="71E3E74C" w14:textId="77777777" w:rsidR="00E81874" w:rsidRDefault="00E81874" w:rsidP="00E81874">
      <w:pPr>
        <w:keepNext/>
        <w:rPr>
          <w:lang w:val="pt-BR"/>
        </w:rPr>
      </w:pPr>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8"/>
      </w:tblGrid>
      <w:tr w:rsidR="00E81874" w:rsidRPr="005D2443" w14:paraId="2D4DD7EC" w14:textId="77777777" w:rsidTr="00C07756">
        <w:trPr>
          <w:cantSplit/>
          <w:trHeight w:val="277"/>
          <w:jc w:val="center"/>
        </w:trPr>
        <w:tc>
          <w:tcPr>
            <w:tcW w:w="2894" w:type="dxa"/>
            <w:vMerge w:val="restart"/>
            <w:shd w:val="clear" w:color="auto" w:fill="D9D9D9"/>
            <w:vAlign w:val="center"/>
          </w:tcPr>
          <w:p w14:paraId="4F2D3A81" w14:textId="77777777" w:rsidR="00E81874" w:rsidRPr="0052329D" w:rsidRDefault="00E81874" w:rsidP="00C07756">
            <w:pPr>
              <w:pStyle w:val="TitleofDoc"/>
              <w:keepNext/>
              <w:tabs>
                <w:tab w:val="left" w:pos="5245"/>
                <w:tab w:val="left" w:pos="7008"/>
              </w:tabs>
              <w:spacing w:before="0"/>
              <w:jc w:val="left"/>
              <w:rPr>
                <w:rFonts w:cs="Arial"/>
                <w:caps w:val="0"/>
                <w:lang w:val="sv-SE"/>
              </w:rPr>
            </w:pPr>
            <w:r w:rsidRPr="0052329D">
              <w:rPr>
                <w:caps w:val="0"/>
                <w:lang w:val="sv-SE"/>
              </w:rPr>
              <w:t xml:space="preserve">Herbst-, Mairübe </w:t>
            </w:r>
            <w:r w:rsidRPr="0052329D">
              <w:rPr>
                <w:caps w:val="0"/>
                <w:lang w:val="sv-SE"/>
              </w:rPr>
              <w:br/>
              <w:t>(</w:t>
            </w:r>
            <w:r w:rsidRPr="0052329D">
              <w:rPr>
                <w:i/>
                <w:caps w:val="0"/>
                <w:lang w:val="sv-SE"/>
              </w:rPr>
              <w:t>Brassica rapa</w:t>
            </w:r>
            <w:r w:rsidRPr="0052329D">
              <w:rPr>
                <w:caps w:val="0"/>
                <w:lang w:val="sv-SE"/>
              </w:rPr>
              <w:t xml:space="preserve"> L. var. </w:t>
            </w:r>
            <w:r w:rsidRPr="0052329D">
              <w:rPr>
                <w:i/>
                <w:caps w:val="0"/>
                <w:lang w:val="sv-SE"/>
              </w:rPr>
              <w:t>rapa</w:t>
            </w:r>
            <w:r w:rsidRPr="0052329D">
              <w:rPr>
                <w:caps w:val="0"/>
                <w:lang w:val="sv-SE"/>
              </w:rPr>
              <w:t>)</w:t>
            </w:r>
          </w:p>
        </w:tc>
        <w:tc>
          <w:tcPr>
            <w:tcW w:w="2552" w:type="dxa"/>
            <w:shd w:val="clear" w:color="auto" w:fill="D9D9D9"/>
            <w:vAlign w:val="center"/>
          </w:tcPr>
          <w:p w14:paraId="152A5649" w14:textId="77777777" w:rsidR="00E81874" w:rsidRPr="007660CE" w:rsidRDefault="00E81874" w:rsidP="00C07756">
            <w:pPr>
              <w:pStyle w:val="TitleofDoc"/>
              <w:keepNext/>
              <w:tabs>
                <w:tab w:val="left" w:pos="5245"/>
                <w:tab w:val="left" w:pos="7008"/>
              </w:tabs>
              <w:spacing w:before="0"/>
              <w:jc w:val="left"/>
              <w:rPr>
                <w:rFonts w:cs="Arial"/>
                <w:caps w:val="0"/>
              </w:rPr>
            </w:pPr>
            <w:r>
              <w:rPr>
                <w:color w:val="000000"/>
              </w:rPr>
              <w:t>TG/37/11(proj.8)</w:t>
            </w:r>
          </w:p>
        </w:tc>
        <w:tc>
          <w:tcPr>
            <w:tcW w:w="2807" w:type="dxa"/>
            <w:shd w:val="clear" w:color="auto" w:fill="D9D9D9"/>
            <w:vAlign w:val="center"/>
          </w:tcPr>
          <w:p w14:paraId="143CE5D2" w14:textId="77777777" w:rsidR="00E81874" w:rsidRPr="00784926" w:rsidRDefault="00E81874" w:rsidP="00C07756">
            <w:pPr>
              <w:keepNext/>
              <w:jc w:val="left"/>
              <w:rPr>
                <w:rFonts w:cs="Arial"/>
                <w:iCs/>
                <w:snapToGrid w:val="0"/>
                <w:color w:val="000000"/>
              </w:rPr>
            </w:pPr>
            <w:r>
              <w:t>Hr. Dominique Rousseau (FR)</w:t>
            </w:r>
          </w:p>
        </w:tc>
        <w:tc>
          <w:tcPr>
            <w:tcW w:w="736" w:type="dxa"/>
            <w:vMerge w:val="restart"/>
            <w:shd w:val="clear" w:color="auto" w:fill="D9D9D9"/>
            <w:vAlign w:val="center"/>
          </w:tcPr>
          <w:p w14:paraId="7F495EB6" w14:textId="77777777" w:rsidR="00E81874" w:rsidRPr="005D2443" w:rsidRDefault="00E81874" w:rsidP="00C07756">
            <w:pPr>
              <w:keepNext/>
              <w:jc w:val="left"/>
              <w:rPr>
                <w:rFonts w:cs="Arial"/>
                <w:iCs/>
              </w:rPr>
            </w:pPr>
            <w:r>
              <w:t>TWV</w:t>
            </w:r>
          </w:p>
        </w:tc>
        <w:tc>
          <w:tcPr>
            <w:tcW w:w="998" w:type="dxa"/>
            <w:vMerge w:val="restart"/>
            <w:shd w:val="clear" w:color="auto" w:fill="D9D9D9"/>
            <w:vAlign w:val="center"/>
          </w:tcPr>
          <w:p w14:paraId="3CC35983" w14:textId="77777777" w:rsidR="00E81874" w:rsidRPr="005D2443" w:rsidRDefault="00E81874" w:rsidP="00C07756">
            <w:pPr>
              <w:pStyle w:val="BodyText"/>
              <w:keepNext/>
              <w:jc w:val="left"/>
              <w:rPr>
                <w:rFonts w:cs="Arial"/>
                <w:iCs/>
                <w:snapToGrid w:val="0"/>
              </w:rPr>
            </w:pPr>
            <w:r>
              <w:rPr>
                <w:snapToGrid w:val="0"/>
              </w:rPr>
              <w:t>*</w:t>
            </w:r>
          </w:p>
        </w:tc>
      </w:tr>
      <w:tr w:rsidR="00E81874" w:rsidRPr="007660CE" w14:paraId="5706D26F" w14:textId="77777777" w:rsidTr="00C07756">
        <w:trPr>
          <w:cantSplit/>
          <w:trHeight w:hRule="exact" w:val="969"/>
          <w:jc w:val="center"/>
        </w:trPr>
        <w:tc>
          <w:tcPr>
            <w:tcW w:w="2894" w:type="dxa"/>
            <w:vMerge/>
            <w:shd w:val="clear" w:color="auto" w:fill="D9D9D9"/>
            <w:vAlign w:val="center"/>
          </w:tcPr>
          <w:p w14:paraId="1E6150B4" w14:textId="77777777" w:rsidR="00E81874" w:rsidRPr="005D2443" w:rsidRDefault="00E81874" w:rsidP="00C07756">
            <w:pPr>
              <w:pStyle w:val="TitleofDoc"/>
              <w:keepNext/>
              <w:tabs>
                <w:tab w:val="left" w:pos="5245"/>
                <w:tab w:val="left" w:pos="7008"/>
              </w:tabs>
              <w:spacing w:before="0"/>
              <w:jc w:val="left"/>
              <w:rPr>
                <w:rFonts w:cs="Arial"/>
                <w:caps w:val="0"/>
              </w:rPr>
            </w:pPr>
          </w:p>
        </w:tc>
        <w:tc>
          <w:tcPr>
            <w:tcW w:w="2552" w:type="dxa"/>
            <w:shd w:val="clear" w:color="auto" w:fill="D9D9D9"/>
            <w:vAlign w:val="center"/>
          </w:tcPr>
          <w:p w14:paraId="1661C64F" w14:textId="77777777" w:rsidR="00E81874" w:rsidRPr="008A73B8" w:rsidRDefault="00E81874" w:rsidP="00C07756">
            <w:pPr>
              <w:pStyle w:val="BodyText"/>
              <w:keepNext/>
              <w:jc w:val="left"/>
              <w:rPr>
                <w:rFonts w:cs="Arial"/>
                <w:color w:val="000000"/>
              </w:rPr>
            </w:pPr>
            <w:r>
              <w:rPr>
                <w:color w:val="000000"/>
              </w:rPr>
              <w:t>Anzahl von Merkm.:  32 Anzahl von (</w:t>
            </w:r>
            <w:r>
              <w:rPr>
                <w:color w:val="000000"/>
              </w:rPr>
              <w:sym w:font="Symbol" w:char="F02A"/>
            </w:r>
            <w:r>
              <w:rPr>
                <w:color w:val="000000"/>
              </w:rPr>
              <w:t>) Merkm.:  16</w:t>
            </w:r>
          </w:p>
        </w:tc>
        <w:tc>
          <w:tcPr>
            <w:tcW w:w="2807" w:type="dxa"/>
            <w:shd w:val="clear" w:color="auto" w:fill="D9D9D9"/>
            <w:vAlign w:val="center"/>
          </w:tcPr>
          <w:p w14:paraId="40019207" w14:textId="77777777" w:rsidR="00E81874" w:rsidRPr="007660CE" w:rsidRDefault="00E81874" w:rsidP="00C07756">
            <w:pPr>
              <w:keepNext/>
              <w:jc w:val="left"/>
              <w:rPr>
                <w:rFonts w:cs="Arial"/>
                <w:iCs/>
                <w:snapToGrid w:val="0"/>
                <w:color w:val="000000"/>
              </w:rPr>
            </w:pPr>
            <w:r>
              <w:rPr>
                <w:snapToGrid w:val="0"/>
                <w:color w:val="000000"/>
              </w:rPr>
              <w:t xml:space="preserve">(Beteiligte Sachverständige:  </w:t>
            </w:r>
            <w:r>
              <w:t>TWA, CA, CN, CZ, DE, ES, GB, IT, JP, KR, NL, PL, QZ, US, ZA, CLI, Euroseeds, ISF)</w:t>
            </w:r>
          </w:p>
        </w:tc>
        <w:tc>
          <w:tcPr>
            <w:tcW w:w="736" w:type="dxa"/>
            <w:vMerge/>
            <w:shd w:val="clear" w:color="auto" w:fill="D9D9D9"/>
            <w:vAlign w:val="center"/>
          </w:tcPr>
          <w:p w14:paraId="174BDB68" w14:textId="77777777" w:rsidR="00E81874" w:rsidRPr="007660CE" w:rsidRDefault="00E81874" w:rsidP="00C07756">
            <w:pPr>
              <w:keepNext/>
              <w:jc w:val="left"/>
              <w:rPr>
                <w:rFonts w:cs="Arial"/>
                <w:iCs/>
              </w:rPr>
            </w:pPr>
          </w:p>
        </w:tc>
        <w:tc>
          <w:tcPr>
            <w:tcW w:w="998" w:type="dxa"/>
            <w:vMerge/>
            <w:shd w:val="clear" w:color="auto" w:fill="D9D9D9"/>
            <w:vAlign w:val="center"/>
          </w:tcPr>
          <w:p w14:paraId="542CD57C" w14:textId="77777777" w:rsidR="00E81874" w:rsidRPr="007660CE" w:rsidRDefault="00E81874" w:rsidP="00C07756">
            <w:pPr>
              <w:pStyle w:val="BodyText"/>
              <w:keepNext/>
              <w:jc w:val="left"/>
              <w:rPr>
                <w:rFonts w:cs="Arial"/>
                <w:iCs/>
                <w:snapToGrid w:val="0"/>
              </w:rPr>
            </w:pPr>
          </w:p>
        </w:tc>
      </w:tr>
    </w:tbl>
    <w:p w14:paraId="3BC3C4BD" w14:textId="77777777" w:rsidR="00E81874" w:rsidRDefault="00E81874" w:rsidP="00E81874">
      <w:pPr>
        <w:keepNext/>
      </w:pPr>
    </w:p>
    <w:p w14:paraId="605F6D63" w14:textId="77777777" w:rsidR="00E81874" w:rsidRPr="008D0013" w:rsidRDefault="00E81874" w:rsidP="00E81874">
      <w:pPr>
        <w:keepNext/>
        <w:ind w:firstLine="567"/>
        <w:rPr>
          <w:rFonts w:cs="Arial"/>
        </w:rPr>
      </w:pPr>
      <w:r>
        <w:t>Der TC-EDC prüfte auf seiner am 12. und 13. Oktober 2021 auf elektronischem Wege abgehaltenen Tagung das Dokument </w:t>
      </w:r>
      <w:r>
        <w:rPr>
          <w:caps/>
        </w:rPr>
        <w:t>TG/37/11(</w:t>
      </w:r>
      <w:r>
        <w:t>proj</w:t>
      </w:r>
      <w:r>
        <w:rPr>
          <w:caps/>
        </w:rPr>
        <w:t>.8)</w:t>
      </w:r>
      <w:r>
        <w:t xml:space="preserve"> und gab die in der nachstehenden Tabelle aufgeführten Empfehlungen ab.</w:t>
      </w:r>
    </w:p>
    <w:p w14:paraId="47F449ED" w14:textId="77777777" w:rsidR="00E81874" w:rsidRDefault="00E81874" w:rsidP="00E81874">
      <w:pPr>
        <w:keepNext/>
      </w:pPr>
    </w:p>
    <w:p w14:paraId="01C4F692" w14:textId="77777777" w:rsidR="00E81874" w:rsidRPr="008D0013" w:rsidRDefault="00E81874" w:rsidP="00E81874">
      <w:pPr>
        <w:ind w:firstLine="567"/>
      </w:pPr>
      <w:r>
        <w:t>Der TC-EDC vereinbarte, dass der Entwurf von Prüfungsrichtlinien für Herbst-, Mairübe (nachstehend mit „</w:t>
      </w:r>
      <w:r>
        <w:rPr>
          <w:vertAlign w:val="superscript"/>
        </w:rPr>
        <w:t>#</w:t>
      </w:r>
      <w:r>
        <w:t>“ bezeichnet) redaktioneller Klarstellungen seitens des führenden Sachverständigen bedürfe und dass der Entwurf der Prüfungsrichtlinien auf der für den März 2022 angesetzten Tagung des TC-EDC erneut geprüft werden solle.</w:t>
      </w:r>
    </w:p>
    <w:p w14:paraId="7C3400F9" w14:textId="77777777" w:rsidR="00E81874" w:rsidRPr="007660CE" w:rsidRDefault="00E81874" w:rsidP="00E8187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E81874" w:rsidRPr="007660CE" w14:paraId="1D86A2FC" w14:textId="77777777" w:rsidTr="00C07756">
        <w:trPr>
          <w:cantSplit/>
        </w:trPr>
        <w:tc>
          <w:tcPr>
            <w:tcW w:w="1573" w:type="dxa"/>
            <w:shd w:val="clear" w:color="auto" w:fill="auto"/>
          </w:tcPr>
          <w:p w14:paraId="72164AAA" w14:textId="77777777" w:rsidR="00E81874" w:rsidRPr="00304E53" w:rsidRDefault="00E81874" w:rsidP="00C07756">
            <w:pPr>
              <w:rPr>
                <w:b/>
              </w:rPr>
            </w:pPr>
            <w:r>
              <w:t>Merkm. 3</w:t>
            </w:r>
          </w:p>
        </w:tc>
        <w:tc>
          <w:tcPr>
            <w:tcW w:w="8208" w:type="dxa"/>
          </w:tcPr>
          <w:p w14:paraId="5C3B566A" w14:textId="77777777" w:rsidR="00E81874" w:rsidRDefault="00E81874" w:rsidP="00C07756">
            <w:r>
              <w:t>- Stufe 4 soll lauten „halbaufrecht bis waagerecht“</w:t>
            </w:r>
          </w:p>
          <w:p w14:paraId="6B6F07AF" w14:textId="77777777" w:rsidR="00E81874" w:rsidRPr="00FE5BA7" w:rsidRDefault="00E81874" w:rsidP="00C07756">
            <w:r>
              <w:t>- Stufe 5 soll lauten „waagerecht“</w:t>
            </w:r>
          </w:p>
        </w:tc>
      </w:tr>
      <w:tr w:rsidR="00E81874" w:rsidRPr="007660CE" w14:paraId="6B8B9AD1" w14:textId="77777777" w:rsidTr="00C07756">
        <w:trPr>
          <w:cantSplit/>
        </w:trPr>
        <w:tc>
          <w:tcPr>
            <w:tcW w:w="1573" w:type="dxa"/>
            <w:shd w:val="clear" w:color="auto" w:fill="auto"/>
          </w:tcPr>
          <w:p w14:paraId="5127724A" w14:textId="77777777" w:rsidR="00E81874" w:rsidRPr="00304E53" w:rsidRDefault="00E81874" w:rsidP="00C07756">
            <w:pPr>
              <w:pStyle w:val="BodyText"/>
              <w:jc w:val="left"/>
              <w:rPr>
                <w:rFonts w:eastAsia="MS Mincho" w:cs="Arial"/>
              </w:rPr>
            </w:pPr>
            <w:r>
              <w:t>Merkm. 6</w:t>
            </w:r>
          </w:p>
        </w:tc>
        <w:tc>
          <w:tcPr>
            <w:tcW w:w="8208" w:type="dxa"/>
          </w:tcPr>
          <w:p w14:paraId="71586B6E" w14:textId="77777777" w:rsidR="00E81874" w:rsidRDefault="00E81874" w:rsidP="00C07756">
            <w:pPr>
              <w:pStyle w:val="BodyText"/>
              <w:jc w:val="left"/>
              <w:rPr>
                <w:rFonts w:eastAsia="MS Mincho" w:cs="Arial"/>
              </w:rPr>
            </w:pPr>
            <w:r>
              <w:t xml:space="preserve">- (b) ist zu streichen </w:t>
            </w:r>
          </w:p>
          <w:p w14:paraId="681E4009" w14:textId="77777777" w:rsidR="00E81874" w:rsidRPr="00304E53" w:rsidRDefault="00E81874" w:rsidP="00C07756">
            <w:pPr>
              <w:pStyle w:val="BodyText"/>
              <w:jc w:val="left"/>
              <w:rPr>
                <w:rFonts w:eastAsia="MS Mincho" w:cs="Arial"/>
              </w:rPr>
            </w:pPr>
            <w:r>
              <w:t>- (+) ist hinzuzufügen (vergleiche Anmerkung zu 8.1 b))</w:t>
            </w:r>
          </w:p>
        </w:tc>
      </w:tr>
      <w:tr w:rsidR="00E81874" w:rsidRPr="007660CE" w14:paraId="65E6669C" w14:textId="77777777" w:rsidTr="00C07756">
        <w:trPr>
          <w:cantSplit/>
        </w:trPr>
        <w:tc>
          <w:tcPr>
            <w:tcW w:w="1573" w:type="dxa"/>
            <w:shd w:val="clear" w:color="auto" w:fill="auto"/>
          </w:tcPr>
          <w:p w14:paraId="65BF464D" w14:textId="77777777" w:rsidR="00E81874" w:rsidRPr="00304E53" w:rsidRDefault="00E81874" w:rsidP="00C07756">
            <w:pPr>
              <w:pStyle w:val="BodyText"/>
              <w:jc w:val="left"/>
              <w:rPr>
                <w:rFonts w:eastAsia="MS Mincho" w:cs="Arial"/>
              </w:rPr>
            </w:pPr>
            <w:r>
              <w:t>Merkm. 7</w:t>
            </w:r>
          </w:p>
        </w:tc>
        <w:tc>
          <w:tcPr>
            <w:tcW w:w="8208" w:type="dxa"/>
          </w:tcPr>
          <w:p w14:paraId="75F8D3E8" w14:textId="085CEF0C" w:rsidR="00E81874" w:rsidRPr="00304E53" w:rsidRDefault="00E81874" w:rsidP="00C07756">
            <w:pPr>
              <w:pStyle w:val="BodyText"/>
              <w:jc w:val="left"/>
              <w:rPr>
                <w:rFonts w:eastAsia="MS Mincho" w:cs="Arial"/>
              </w:rPr>
            </w:pPr>
            <w:r>
              <w:t>(b) streichen</w:t>
            </w:r>
          </w:p>
        </w:tc>
      </w:tr>
      <w:tr w:rsidR="00E81874" w:rsidRPr="007660CE" w14:paraId="2BF2E45B" w14:textId="77777777" w:rsidTr="00C07756">
        <w:trPr>
          <w:cantSplit/>
        </w:trPr>
        <w:tc>
          <w:tcPr>
            <w:tcW w:w="1573" w:type="dxa"/>
            <w:shd w:val="clear" w:color="auto" w:fill="auto"/>
          </w:tcPr>
          <w:p w14:paraId="52FB6E46" w14:textId="77777777" w:rsidR="00E81874" w:rsidRPr="00304E53" w:rsidRDefault="00E81874" w:rsidP="00C07756">
            <w:r>
              <w:t>Merkm. 9</w:t>
            </w:r>
          </w:p>
        </w:tc>
        <w:tc>
          <w:tcPr>
            <w:tcW w:w="8208" w:type="dxa"/>
          </w:tcPr>
          <w:p w14:paraId="12C25A16" w14:textId="16D4F4F9" w:rsidR="00E81874" w:rsidRDefault="008273EF" w:rsidP="00C07756">
            <w:r>
              <w:t xml:space="preserve">- </w:t>
            </w:r>
            <w:r w:rsidR="00E81874">
              <w:t>Soll lauten: „Blatt: Zähnung des Randes des oberen Blattteils“ mit den Stufen „fehlend oder sehr flach“ bis „sehr tief“</w:t>
            </w:r>
          </w:p>
          <w:p w14:paraId="4506ABA0" w14:textId="77777777" w:rsidR="00E81874" w:rsidRPr="00304E53" w:rsidRDefault="00E81874" w:rsidP="00C07756">
            <w:r>
              <w:t>- zu verschieben hinter Merkm. 7</w:t>
            </w:r>
          </w:p>
        </w:tc>
      </w:tr>
      <w:tr w:rsidR="00E81874" w:rsidRPr="007660CE" w14:paraId="297A1440" w14:textId="77777777" w:rsidTr="00C07756">
        <w:trPr>
          <w:cantSplit/>
        </w:trPr>
        <w:tc>
          <w:tcPr>
            <w:tcW w:w="1573" w:type="dxa"/>
            <w:shd w:val="clear" w:color="auto" w:fill="auto"/>
          </w:tcPr>
          <w:p w14:paraId="202F38A0" w14:textId="77777777" w:rsidR="00E81874" w:rsidRPr="00304E53" w:rsidRDefault="00E81874" w:rsidP="00C07756">
            <w:r>
              <w:rPr>
                <w:vertAlign w:val="superscript"/>
              </w:rPr>
              <w:t>#</w:t>
            </w:r>
            <w:r>
              <w:t>Merkm. 22</w:t>
            </w:r>
          </w:p>
        </w:tc>
        <w:tc>
          <w:tcPr>
            <w:tcW w:w="8208" w:type="dxa"/>
          </w:tcPr>
          <w:p w14:paraId="4E9C0321" w14:textId="77777777" w:rsidR="00E81874" w:rsidRDefault="00E81874" w:rsidP="00C07756">
            <w:r>
              <w:t>- Stufe 2 soll lauten „breit breitrund“</w:t>
            </w:r>
          </w:p>
          <w:p w14:paraId="5230DAE2" w14:textId="77777777" w:rsidR="00E81874" w:rsidRDefault="00E81874" w:rsidP="00C07756">
            <w:r>
              <w:t>- Stufe 5 soll lauten „breit rechteckig“</w:t>
            </w:r>
          </w:p>
          <w:p w14:paraId="3749FE66" w14:textId="77777777" w:rsidR="00E81874" w:rsidRDefault="00E81874" w:rsidP="00C07756">
            <w:r>
              <w:t>- Stufe 7 soll lauten „schmal eiförmig“</w:t>
            </w:r>
          </w:p>
          <w:p w14:paraId="2CB150EB" w14:textId="77777777" w:rsidR="00E81874" w:rsidRPr="00B81BF8" w:rsidRDefault="00E81874" w:rsidP="00C07756">
            <w:r>
              <w:t>- die Stufen neu nummerieren (vergleiche Anmerkung zur Übersicht in Zu 22)</w:t>
            </w:r>
          </w:p>
        </w:tc>
      </w:tr>
      <w:tr w:rsidR="00E81874" w:rsidRPr="007660CE" w14:paraId="4F69252F" w14:textId="77777777" w:rsidTr="00C07756">
        <w:trPr>
          <w:cantSplit/>
        </w:trPr>
        <w:tc>
          <w:tcPr>
            <w:tcW w:w="1573" w:type="dxa"/>
            <w:shd w:val="clear" w:color="auto" w:fill="auto"/>
          </w:tcPr>
          <w:p w14:paraId="4B679CA9" w14:textId="02C6C250" w:rsidR="00E81874" w:rsidRPr="00304E53" w:rsidRDefault="00E81874" w:rsidP="00C07756">
            <w:pPr>
              <w:pStyle w:val="BodyText"/>
              <w:jc w:val="left"/>
              <w:rPr>
                <w:rFonts w:eastAsia="MS Mincho" w:cs="Arial"/>
              </w:rPr>
            </w:pPr>
            <w:r>
              <w:t xml:space="preserve">8.1 </w:t>
            </w:r>
            <w:r w:rsidR="008273EF" w:rsidRPr="00D132B8">
              <w:t>(</w:t>
            </w:r>
            <w:r w:rsidRPr="00D132B8">
              <w:t>b)</w:t>
            </w:r>
          </w:p>
        </w:tc>
        <w:tc>
          <w:tcPr>
            <w:tcW w:w="8208" w:type="dxa"/>
          </w:tcPr>
          <w:p w14:paraId="60F1EF30" w14:textId="77777777" w:rsidR="00E81874" w:rsidRPr="00B81BF8" w:rsidRDefault="00E81874" w:rsidP="00C07756">
            <w:pPr>
              <w:pStyle w:val="BodyText"/>
              <w:jc w:val="left"/>
              <w:rPr>
                <w:rFonts w:cs="Arial"/>
              </w:rPr>
            </w:pPr>
            <w:r>
              <w:t>- den ersten Teil, der sich auf die Anzahl Lappen bezieht, nach Zu 6 verschieben</w:t>
            </w:r>
          </w:p>
          <w:p w14:paraId="3C71DE94" w14:textId="77777777" w:rsidR="00E81874" w:rsidRPr="00B81BF8" w:rsidRDefault="00E81874" w:rsidP="00C07756">
            <w:pPr>
              <w:pStyle w:val="BodyText"/>
              <w:jc w:val="left"/>
              <w:rPr>
                <w:rFonts w:cs="Arial"/>
              </w:rPr>
            </w:pPr>
            <w:r>
              <w:t>- Soll lauten „Teile der Blattspreite werden als Lappen [</w:t>
            </w:r>
            <w:r>
              <w:rPr>
                <w:u w:val="single"/>
              </w:rPr>
              <w:t>lobes</w:t>
            </w:r>
            <w:r>
              <w:t xml:space="preserve"> </w:t>
            </w:r>
            <w:r>
              <w:rPr>
                <w:strike/>
              </w:rPr>
              <w:t>lobed]</w:t>
            </w:r>
            <w:r>
              <w:t xml:space="preserve"> angesehen, wenn: ….“</w:t>
            </w:r>
          </w:p>
          <w:p w14:paraId="77749AF2" w14:textId="77777777" w:rsidR="00E81874" w:rsidRPr="00B81BF8" w:rsidRDefault="00E81874" w:rsidP="00C07756">
            <w:pPr>
              <w:pStyle w:val="BodyText"/>
              <w:jc w:val="left"/>
              <w:rPr>
                <w:rFonts w:eastAsia="MS Mincho" w:cs="Arial"/>
              </w:rPr>
            </w:pPr>
            <w:r>
              <w:t xml:space="preserve">- Verweis auf Merkm. 6 in der Abbildung und derzeit unter (b) unten stehende Legende streichen </w:t>
            </w:r>
          </w:p>
        </w:tc>
      </w:tr>
      <w:tr w:rsidR="00E81874" w:rsidRPr="007660CE" w14:paraId="66FAC346" w14:textId="77777777" w:rsidTr="00C07756">
        <w:trPr>
          <w:cantSplit/>
        </w:trPr>
        <w:tc>
          <w:tcPr>
            <w:tcW w:w="1573" w:type="dxa"/>
            <w:shd w:val="clear" w:color="auto" w:fill="auto"/>
          </w:tcPr>
          <w:p w14:paraId="0FC44BE0" w14:textId="77777777" w:rsidR="00E81874" w:rsidRPr="00304E53" w:rsidRDefault="00E81874" w:rsidP="00C07756">
            <w:pPr>
              <w:pStyle w:val="BodyText"/>
              <w:jc w:val="left"/>
              <w:rPr>
                <w:rFonts w:eastAsia="MS Mincho" w:cs="Arial"/>
              </w:rPr>
            </w:pPr>
            <w:r>
              <w:t>#Zu 1</w:t>
            </w:r>
          </w:p>
        </w:tc>
        <w:tc>
          <w:tcPr>
            <w:tcW w:w="8208" w:type="dxa"/>
          </w:tcPr>
          <w:p w14:paraId="789F9502" w14:textId="77777777" w:rsidR="00E81874" w:rsidRPr="00B81BF8" w:rsidRDefault="00E81874" w:rsidP="00C07756">
            <w:pPr>
              <w:pStyle w:val="BodyText"/>
              <w:jc w:val="left"/>
              <w:rPr>
                <w:rFonts w:cs="Arial"/>
              </w:rPr>
            </w:pPr>
            <w:r>
              <w:t>- prüfen, ob 20 Pflanzen erforderlich sind (genetische Nichthomogenität ist unwahrscheinlich, und Mischungen werden anhand anderer Merkmale gefunden werden.)</w:t>
            </w:r>
          </w:p>
          <w:p w14:paraId="1D245641" w14:textId="77777777" w:rsidR="00E81874" w:rsidRPr="00B81BF8" w:rsidRDefault="00E81874" w:rsidP="00C07756">
            <w:pPr>
              <w:pStyle w:val="BodyText"/>
              <w:jc w:val="left"/>
              <w:rPr>
                <w:rFonts w:cs="Arial"/>
              </w:rPr>
            </w:pPr>
            <w:r>
              <w:t>- den Wortlaut von Zu 1 wie folgt abändern:</w:t>
            </w:r>
          </w:p>
          <w:p w14:paraId="160DBE14" w14:textId="77777777" w:rsidR="00E81874" w:rsidRPr="00B81BF8" w:rsidRDefault="00E81874" w:rsidP="00C07756">
            <w:pPr>
              <w:pStyle w:val="BodyText"/>
              <w:jc w:val="left"/>
              <w:rPr>
                <w:rFonts w:cs="Arial"/>
              </w:rPr>
            </w:pPr>
            <w:r>
              <w:t>„Der Ploidiestatus der Pflanze kann mit verschiedenen Methoden bestimmt werden:</w:t>
            </w:r>
          </w:p>
          <w:p w14:paraId="4674D323" w14:textId="77777777" w:rsidR="008273EF" w:rsidRDefault="00E81874" w:rsidP="008273EF">
            <w:pPr>
              <w:pStyle w:val="BodyText"/>
              <w:ind w:left="228" w:hanging="142"/>
              <w:jc w:val="left"/>
            </w:pPr>
            <w:r>
              <w:t>•</w:t>
            </w:r>
            <w:r>
              <w:tab/>
              <w:t xml:space="preserve">Bestimmung der Anzahl Chromosomen des nicht verdickten Wurzelmeristems </w:t>
            </w:r>
            <w:r w:rsidRPr="008273EF">
              <w:rPr>
                <w:strike/>
              </w:rPr>
              <w:t>(welches die zuverlässigste</w:t>
            </w:r>
            <w:r w:rsidR="008273EF" w:rsidRPr="008273EF">
              <w:rPr>
                <w:strike/>
              </w:rPr>
              <w:t xml:space="preserve"> </w:t>
            </w:r>
            <w:r w:rsidRPr="008273EF">
              <w:rPr>
                <w:strike/>
              </w:rPr>
              <w:t>Methode ist)</w:t>
            </w:r>
            <w:r>
              <w:t>,</w:t>
            </w:r>
          </w:p>
          <w:p w14:paraId="7D02BB10" w14:textId="70213ED8" w:rsidR="00E81874" w:rsidRPr="00B81BF8" w:rsidRDefault="00E81874" w:rsidP="008273EF">
            <w:pPr>
              <w:pStyle w:val="BodyText"/>
              <w:ind w:left="228" w:hanging="142"/>
              <w:jc w:val="left"/>
              <w:rPr>
                <w:rFonts w:cs="Arial"/>
              </w:rPr>
            </w:pPr>
            <w:r>
              <w:t xml:space="preserve"> ….</w:t>
            </w:r>
          </w:p>
          <w:p w14:paraId="6CCF479A" w14:textId="77777777" w:rsidR="00E81874" w:rsidRPr="00B81BF8" w:rsidRDefault="00E81874" w:rsidP="00C07756">
            <w:pPr>
              <w:pStyle w:val="BodyText"/>
              <w:jc w:val="left"/>
              <w:rPr>
                <w:rFonts w:cs="Arial"/>
              </w:rPr>
            </w:pPr>
            <w:r>
              <w:t>Die Erfassungen sollten an 20 Pflanzen/</w:t>
            </w:r>
            <w:r>
              <w:rPr>
                <w:strike/>
              </w:rPr>
              <w:t>Samen</w:t>
            </w:r>
            <w:r>
              <w:t xml:space="preserve"> erfolgen.”</w:t>
            </w:r>
          </w:p>
        </w:tc>
      </w:tr>
      <w:tr w:rsidR="00E81874" w:rsidRPr="007660CE" w14:paraId="2F1D25CE" w14:textId="77777777" w:rsidTr="008273EF">
        <w:trPr>
          <w:cantSplit/>
          <w:trHeight w:val="546"/>
        </w:trPr>
        <w:tc>
          <w:tcPr>
            <w:tcW w:w="1573" w:type="dxa"/>
            <w:shd w:val="clear" w:color="auto" w:fill="auto"/>
          </w:tcPr>
          <w:p w14:paraId="3D2236A9" w14:textId="77777777" w:rsidR="00E81874" w:rsidRPr="00304E53" w:rsidRDefault="00E81874" w:rsidP="00C07756">
            <w:pPr>
              <w:pStyle w:val="BodyText"/>
              <w:jc w:val="left"/>
              <w:rPr>
                <w:rFonts w:eastAsia="MS Mincho" w:cs="Arial"/>
              </w:rPr>
            </w:pPr>
            <w:r>
              <w:t>Zu 4</w:t>
            </w:r>
          </w:p>
        </w:tc>
        <w:tc>
          <w:tcPr>
            <w:tcW w:w="8208" w:type="dxa"/>
          </w:tcPr>
          <w:p w14:paraId="6497D040" w14:textId="77777777" w:rsidR="00E81874" w:rsidRPr="00B81BF8" w:rsidRDefault="00E81874" w:rsidP="00C07756">
            <w:pPr>
              <w:pStyle w:val="BodyText"/>
              <w:jc w:val="left"/>
              <w:rPr>
                <w:rFonts w:cs="Arial"/>
              </w:rPr>
            </w:pPr>
            <w:r>
              <w:t>Der Satz soll lauten „</w:t>
            </w:r>
            <w:r>
              <w:rPr>
                <w:strike/>
              </w:rPr>
              <w:t>Die schwarze Linie stellt das Profil des gesamten Blattes dar</w:t>
            </w:r>
            <w:r>
              <w:t xml:space="preserve"> Das Profil des gesamten Blattes </w:t>
            </w:r>
            <w:r>
              <w:rPr>
                <w:u w:val="single"/>
              </w:rPr>
              <w:t>sollte erfasst werden</w:t>
            </w:r>
            <w:r>
              <w:t>.“</w:t>
            </w:r>
          </w:p>
        </w:tc>
      </w:tr>
      <w:tr w:rsidR="00E81874" w:rsidRPr="007660CE" w14:paraId="7060EB73" w14:textId="77777777" w:rsidTr="00C07756">
        <w:trPr>
          <w:cantSplit/>
        </w:trPr>
        <w:tc>
          <w:tcPr>
            <w:tcW w:w="1573" w:type="dxa"/>
            <w:shd w:val="clear" w:color="auto" w:fill="auto"/>
          </w:tcPr>
          <w:p w14:paraId="0C4021A9" w14:textId="77777777" w:rsidR="00E81874" w:rsidRPr="00304E53" w:rsidRDefault="00E81874" w:rsidP="00C07756">
            <w:pPr>
              <w:pStyle w:val="BodyText"/>
              <w:jc w:val="left"/>
              <w:rPr>
                <w:rFonts w:eastAsia="MS Mincho" w:cs="Arial"/>
              </w:rPr>
            </w:pPr>
            <w:r>
              <w:t>Zu 15</w:t>
            </w:r>
          </w:p>
        </w:tc>
        <w:tc>
          <w:tcPr>
            <w:tcW w:w="8208" w:type="dxa"/>
          </w:tcPr>
          <w:p w14:paraId="1358115C" w14:textId="77777777" w:rsidR="00E81874" w:rsidRDefault="00E81874" w:rsidP="00C07756">
            <w:pPr>
              <w:pStyle w:val="BodyText"/>
              <w:jc w:val="left"/>
              <w:rPr>
                <w:rFonts w:cs="Arial"/>
              </w:rPr>
            </w:pPr>
            <w:r>
              <w:t>Soll lauten:</w:t>
            </w:r>
          </w:p>
          <w:p w14:paraId="349EBC68" w14:textId="77777777" w:rsidR="00E81874" w:rsidRDefault="00E81874" w:rsidP="00C07756">
            <w:pPr>
              <w:pStyle w:val="BodyText"/>
              <w:jc w:val="left"/>
              <w:rPr>
                <w:rFonts w:cs="Arial"/>
              </w:rPr>
            </w:pPr>
            <w:r>
              <w:t>„Das Verhältnis Gewicht der Blätter / Gewicht der Rübe sollte erfasst werden.</w:t>
            </w:r>
          </w:p>
          <w:p w14:paraId="48AEAE48" w14:textId="20B2CD5C" w:rsidR="00E81874" w:rsidRDefault="00E81874" w:rsidP="00C07756">
            <w:pPr>
              <w:pStyle w:val="BodyText"/>
              <w:tabs>
                <w:tab w:val="center" w:pos="2212"/>
              </w:tabs>
              <w:ind w:left="228"/>
              <w:jc w:val="left"/>
              <w:rPr>
                <w:rFonts w:cs="Arial"/>
              </w:rPr>
            </w:pPr>
            <w:r>
              <w:t>Fehlend oder gering</w:t>
            </w:r>
            <w:r w:rsidR="008273EF">
              <w:t xml:space="preserve">         </w:t>
            </w:r>
            <w:r>
              <w:tab/>
              <w:t>&gt;10</w:t>
            </w:r>
            <w:r>
              <w:br/>
              <w:t>mittel</w:t>
            </w:r>
            <w:r>
              <w:tab/>
            </w:r>
            <w:r w:rsidR="008273EF">
              <w:t xml:space="preserve">                              </w:t>
            </w:r>
            <w:r>
              <w:t>2 bis10</w:t>
            </w:r>
            <w:r>
              <w:br/>
              <w:t>stark</w:t>
            </w:r>
            <w:r>
              <w:tab/>
            </w:r>
            <w:r w:rsidR="008273EF">
              <w:t xml:space="preserve">                          </w:t>
            </w:r>
            <w:r>
              <w:t>&lt;2”</w:t>
            </w:r>
          </w:p>
        </w:tc>
      </w:tr>
      <w:tr w:rsidR="00E81874" w:rsidRPr="007660CE" w14:paraId="75264FBF" w14:textId="77777777" w:rsidTr="00C07756">
        <w:trPr>
          <w:cantSplit/>
        </w:trPr>
        <w:tc>
          <w:tcPr>
            <w:tcW w:w="1573" w:type="dxa"/>
            <w:shd w:val="clear" w:color="auto" w:fill="auto"/>
          </w:tcPr>
          <w:p w14:paraId="51359F2D" w14:textId="77777777" w:rsidR="00E81874" w:rsidRPr="00304E53" w:rsidRDefault="00E81874" w:rsidP="00C07756">
            <w:pPr>
              <w:keepNext/>
            </w:pPr>
            <w:r>
              <w:t>#Zu 22</w:t>
            </w:r>
          </w:p>
        </w:tc>
        <w:tc>
          <w:tcPr>
            <w:tcW w:w="8208" w:type="dxa"/>
          </w:tcPr>
          <w:p w14:paraId="112859B1" w14:textId="1B85F6AD" w:rsidR="00E81874" w:rsidRDefault="00E81874" w:rsidP="00C07756">
            <w:pPr>
              <w:keepNext/>
            </w:pPr>
            <w:r>
              <w:t>- bestätigen, wo die Ansatzstelle in der Abbildung für Stufe 1 ist</w:t>
            </w:r>
            <w:r w:rsidR="00850EA7">
              <w:t>.</w:t>
            </w:r>
            <w:r>
              <w:t xml:space="preserve"> Prüfen, ob die Abbildung verbessert werden soll (die Ansatzstellen sind auf anderen Abbildungen deutlich zu sehen und finden sich jeweils oben in der Abbildung)</w:t>
            </w:r>
          </w:p>
          <w:p w14:paraId="540594B2" w14:textId="77777777" w:rsidR="00E81874" w:rsidRPr="007270CC" w:rsidRDefault="00E81874" w:rsidP="00C07756">
            <w:pPr>
              <w:keepNext/>
              <w:rPr>
                <w:i/>
              </w:rPr>
            </w:pPr>
            <w:r>
              <w:t>- prüfen, ob die geänderte Übersicht unten verwendet werden soll (Nummerierung der Ausprägungsstufen gemäß Dokument TGP/14 angepasst; Größe der Abbildung für  Stufe 8 angepasst; ‚schmal/breit‘ zu den jeweiligen Stufen hinzugefügt; Namen der Stufen „breit verkehrt eiförmig“ und „schmal verkehrt eiförmig“ gemäß Abbildungen umgedreht)</w:t>
            </w:r>
          </w:p>
        </w:tc>
      </w:tr>
    </w:tbl>
    <w:p w14:paraId="59CE3F7B" w14:textId="77777777" w:rsidR="00E81874" w:rsidRDefault="00E81874" w:rsidP="00E81874">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
        <w:gridCol w:w="7"/>
        <w:gridCol w:w="276"/>
        <w:gridCol w:w="7"/>
        <w:gridCol w:w="1389"/>
        <w:gridCol w:w="31"/>
        <w:gridCol w:w="236"/>
        <w:gridCol w:w="1122"/>
        <w:gridCol w:w="59"/>
        <w:gridCol w:w="1329"/>
        <w:gridCol w:w="32"/>
        <w:gridCol w:w="1357"/>
        <w:gridCol w:w="31"/>
        <w:gridCol w:w="1363"/>
        <w:gridCol w:w="268"/>
      </w:tblGrid>
      <w:tr w:rsidR="00E81874" w:rsidRPr="008256AC" w14:paraId="2129F5E2" w14:textId="77777777" w:rsidTr="00C07756">
        <w:trPr>
          <w:gridAfter w:val="1"/>
          <w:wAfter w:w="268" w:type="dxa"/>
          <w:cantSplit/>
        </w:trPr>
        <w:tc>
          <w:tcPr>
            <w:tcW w:w="422" w:type="dxa"/>
            <w:tcBorders>
              <w:top w:val="nil"/>
              <w:left w:val="nil"/>
              <w:bottom w:val="nil"/>
              <w:right w:val="nil"/>
            </w:tcBorders>
          </w:tcPr>
          <w:p w14:paraId="58663D81" w14:textId="77777777" w:rsidR="00E81874" w:rsidRPr="008256AC" w:rsidRDefault="00E81874" w:rsidP="00C07756">
            <w:pPr>
              <w:keepNext/>
              <w:jc w:val="center"/>
            </w:pPr>
          </w:p>
        </w:tc>
        <w:tc>
          <w:tcPr>
            <w:tcW w:w="283" w:type="dxa"/>
            <w:gridSpan w:val="2"/>
            <w:tcBorders>
              <w:top w:val="nil"/>
              <w:left w:val="nil"/>
              <w:bottom w:val="nil"/>
              <w:right w:val="nil"/>
            </w:tcBorders>
          </w:tcPr>
          <w:p w14:paraId="65526650" w14:textId="77777777" w:rsidR="00E81874" w:rsidRPr="008256AC" w:rsidRDefault="00E81874" w:rsidP="00C07756">
            <w:pPr>
              <w:keepNext/>
              <w:jc w:val="center"/>
            </w:pPr>
          </w:p>
        </w:tc>
        <w:tc>
          <w:tcPr>
            <w:tcW w:w="6951" w:type="dxa"/>
            <w:gridSpan w:val="11"/>
            <w:tcBorders>
              <w:left w:val="single" w:sz="4" w:space="0" w:color="auto"/>
              <w:bottom w:val="nil"/>
            </w:tcBorders>
          </w:tcPr>
          <w:p w14:paraId="252BECD9" w14:textId="77777777" w:rsidR="00E81874" w:rsidRPr="008256AC" w:rsidRDefault="00E81874" w:rsidP="00C07756">
            <w:pPr>
              <w:keepNext/>
              <w:jc w:val="center"/>
            </w:pPr>
            <w:r>
              <w:tab/>
            </w:r>
            <w:r>
              <w:sym w:font="Wingdings" w:char="F0DF"/>
            </w:r>
            <w:r>
              <w:tab/>
            </w:r>
            <w:r>
              <w:tab/>
              <w:t>Breitester Teil</w:t>
            </w:r>
            <w:r>
              <w:tab/>
            </w:r>
            <w:r>
              <w:tab/>
            </w:r>
            <w:r>
              <w:sym w:font="Wingdings" w:char="F0E0"/>
            </w:r>
            <w:r>
              <w:t xml:space="preserve"> </w:t>
            </w:r>
            <w:r>
              <w:tab/>
            </w:r>
          </w:p>
        </w:tc>
      </w:tr>
      <w:tr w:rsidR="00E81874" w:rsidRPr="008256AC" w14:paraId="792AD733" w14:textId="77777777" w:rsidTr="00C07756">
        <w:trPr>
          <w:gridAfter w:val="1"/>
          <w:wAfter w:w="268" w:type="dxa"/>
          <w:cantSplit/>
        </w:trPr>
        <w:tc>
          <w:tcPr>
            <w:tcW w:w="422" w:type="dxa"/>
            <w:tcBorders>
              <w:top w:val="nil"/>
              <w:left w:val="nil"/>
              <w:bottom w:val="nil"/>
              <w:right w:val="nil"/>
            </w:tcBorders>
          </w:tcPr>
          <w:p w14:paraId="61CAA9A7" w14:textId="77777777" w:rsidR="00E81874" w:rsidRPr="008256AC" w:rsidRDefault="00E81874" w:rsidP="00C07756">
            <w:pPr>
              <w:keepNext/>
              <w:jc w:val="center"/>
            </w:pPr>
          </w:p>
        </w:tc>
        <w:tc>
          <w:tcPr>
            <w:tcW w:w="283" w:type="dxa"/>
            <w:gridSpan w:val="2"/>
            <w:tcBorders>
              <w:top w:val="nil"/>
              <w:left w:val="nil"/>
              <w:bottom w:val="nil"/>
              <w:right w:val="nil"/>
            </w:tcBorders>
          </w:tcPr>
          <w:p w14:paraId="36DB619B" w14:textId="77777777" w:rsidR="00E81874" w:rsidRPr="008256AC" w:rsidRDefault="00E81874" w:rsidP="00C07756">
            <w:pPr>
              <w:keepNext/>
              <w:jc w:val="center"/>
            </w:pPr>
          </w:p>
        </w:tc>
        <w:tc>
          <w:tcPr>
            <w:tcW w:w="1422" w:type="dxa"/>
            <w:gridSpan w:val="3"/>
            <w:tcBorders>
              <w:top w:val="single" w:sz="4" w:space="0" w:color="auto"/>
              <w:left w:val="single" w:sz="4" w:space="0" w:color="auto"/>
              <w:bottom w:val="single" w:sz="4" w:space="0" w:color="auto"/>
              <w:right w:val="single" w:sz="4" w:space="0" w:color="auto"/>
            </w:tcBorders>
          </w:tcPr>
          <w:p w14:paraId="193C4D67" w14:textId="77777777" w:rsidR="00E81874" w:rsidRPr="008256AC" w:rsidRDefault="00E81874" w:rsidP="00C07756">
            <w:pPr>
              <w:keepNext/>
              <w:jc w:val="center"/>
            </w:pPr>
            <w:r>
              <w:t>Unterhalb der Mitte</w:t>
            </w:r>
          </w:p>
        </w:tc>
        <w:tc>
          <w:tcPr>
            <w:tcW w:w="1417" w:type="dxa"/>
            <w:gridSpan w:val="3"/>
            <w:tcBorders>
              <w:top w:val="single" w:sz="4" w:space="0" w:color="auto"/>
              <w:left w:val="single" w:sz="4" w:space="0" w:color="auto"/>
              <w:bottom w:val="single" w:sz="4" w:space="0" w:color="auto"/>
              <w:right w:val="single" w:sz="4" w:space="0" w:color="auto"/>
            </w:tcBorders>
          </w:tcPr>
          <w:p w14:paraId="397236F2" w14:textId="77777777" w:rsidR="00E81874" w:rsidRPr="008256AC" w:rsidRDefault="00E81874" w:rsidP="00C07756">
            <w:pPr>
              <w:keepNext/>
              <w:jc w:val="center"/>
            </w:pPr>
            <w:r>
              <w:t>In der Mitte</w:t>
            </w:r>
          </w:p>
        </w:tc>
        <w:tc>
          <w:tcPr>
            <w:tcW w:w="4112" w:type="dxa"/>
            <w:gridSpan w:val="5"/>
            <w:tcBorders>
              <w:top w:val="single" w:sz="4" w:space="0" w:color="auto"/>
              <w:left w:val="single" w:sz="4" w:space="0" w:color="auto"/>
              <w:bottom w:val="single" w:sz="4" w:space="0" w:color="auto"/>
              <w:right w:val="single" w:sz="4" w:space="0" w:color="auto"/>
            </w:tcBorders>
          </w:tcPr>
          <w:p w14:paraId="6DB2A32D" w14:textId="77777777" w:rsidR="00E81874" w:rsidRPr="008256AC" w:rsidRDefault="00E81874" w:rsidP="00C07756">
            <w:pPr>
              <w:keepNext/>
              <w:jc w:val="center"/>
            </w:pPr>
            <w:r>
              <w:t>Oberhalb der Mitte</w:t>
            </w:r>
          </w:p>
        </w:tc>
      </w:tr>
      <w:tr w:rsidR="00E81874" w:rsidRPr="008256AC" w14:paraId="0F2C64C8" w14:textId="77777777" w:rsidTr="00C07756">
        <w:trPr>
          <w:trHeight w:val="163"/>
        </w:trPr>
        <w:tc>
          <w:tcPr>
            <w:tcW w:w="429" w:type="dxa"/>
            <w:gridSpan w:val="2"/>
            <w:tcBorders>
              <w:top w:val="nil"/>
              <w:left w:val="nil"/>
              <w:bottom w:val="nil"/>
              <w:right w:val="nil"/>
            </w:tcBorders>
          </w:tcPr>
          <w:p w14:paraId="7B8EC86B" w14:textId="77777777" w:rsidR="00E81874" w:rsidRPr="008256AC" w:rsidRDefault="00E81874" w:rsidP="00C07756">
            <w:pPr>
              <w:keepNext/>
              <w:jc w:val="center"/>
            </w:pPr>
          </w:p>
        </w:tc>
        <w:tc>
          <w:tcPr>
            <w:tcW w:w="283" w:type="dxa"/>
            <w:gridSpan w:val="2"/>
            <w:tcBorders>
              <w:top w:val="nil"/>
              <w:left w:val="nil"/>
              <w:bottom w:val="nil"/>
              <w:right w:val="nil"/>
            </w:tcBorders>
          </w:tcPr>
          <w:p w14:paraId="2FABABAE" w14:textId="77777777" w:rsidR="00E81874" w:rsidRPr="008256AC" w:rsidRDefault="00E81874" w:rsidP="00C07756">
            <w:pPr>
              <w:keepNext/>
              <w:jc w:val="center"/>
            </w:pPr>
          </w:p>
        </w:tc>
        <w:tc>
          <w:tcPr>
            <w:tcW w:w="1420" w:type="dxa"/>
            <w:gridSpan w:val="2"/>
            <w:tcBorders>
              <w:top w:val="nil"/>
              <w:left w:val="nil"/>
              <w:bottom w:val="nil"/>
              <w:right w:val="nil"/>
            </w:tcBorders>
          </w:tcPr>
          <w:p w14:paraId="67E600F5" w14:textId="77777777" w:rsidR="00E81874" w:rsidRPr="008256AC" w:rsidRDefault="00E81874" w:rsidP="00C07756">
            <w:pPr>
              <w:keepNext/>
              <w:jc w:val="center"/>
            </w:pPr>
          </w:p>
        </w:tc>
        <w:tc>
          <w:tcPr>
            <w:tcW w:w="236" w:type="dxa"/>
            <w:tcBorders>
              <w:top w:val="nil"/>
              <w:left w:val="nil"/>
              <w:bottom w:val="nil"/>
              <w:right w:val="nil"/>
            </w:tcBorders>
          </w:tcPr>
          <w:p w14:paraId="7DBFB388" w14:textId="77777777" w:rsidR="00E81874" w:rsidRPr="008256AC" w:rsidRDefault="00E81874" w:rsidP="00C07756">
            <w:pPr>
              <w:keepNext/>
              <w:jc w:val="center"/>
            </w:pPr>
          </w:p>
        </w:tc>
        <w:tc>
          <w:tcPr>
            <w:tcW w:w="2542" w:type="dxa"/>
            <w:gridSpan w:val="4"/>
            <w:tcBorders>
              <w:top w:val="nil"/>
              <w:left w:val="nil"/>
              <w:bottom w:val="nil"/>
              <w:right w:val="nil"/>
            </w:tcBorders>
          </w:tcPr>
          <w:p w14:paraId="3E576443" w14:textId="77777777" w:rsidR="00E81874" w:rsidRPr="008256AC" w:rsidRDefault="00E81874" w:rsidP="00C07756">
            <w:pPr>
              <w:keepNext/>
              <w:jc w:val="center"/>
            </w:pPr>
          </w:p>
        </w:tc>
        <w:tc>
          <w:tcPr>
            <w:tcW w:w="1388" w:type="dxa"/>
            <w:gridSpan w:val="2"/>
            <w:tcBorders>
              <w:top w:val="nil"/>
              <w:left w:val="nil"/>
              <w:bottom w:val="nil"/>
              <w:right w:val="nil"/>
            </w:tcBorders>
          </w:tcPr>
          <w:p w14:paraId="39AE41EC" w14:textId="77777777" w:rsidR="00E81874" w:rsidRPr="008256AC" w:rsidRDefault="00E81874" w:rsidP="00C07756">
            <w:pPr>
              <w:keepNext/>
              <w:jc w:val="center"/>
            </w:pPr>
          </w:p>
        </w:tc>
        <w:tc>
          <w:tcPr>
            <w:tcW w:w="1389" w:type="dxa"/>
            <w:gridSpan w:val="2"/>
            <w:tcBorders>
              <w:top w:val="nil"/>
              <w:left w:val="nil"/>
              <w:bottom w:val="nil"/>
              <w:right w:val="nil"/>
            </w:tcBorders>
          </w:tcPr>
          <w:p w14:paraId="6D23BD91" w14:textId="77777777" w:rsidR="00E81874" w:rsidRPr="008256AC" w:rsidRDefault="00E81874" w:rsidP="00C07756">
            <w:pPr>
              <w:keepNext/>
              <w:jc w:val="center"/>
            </w:pPr>
          </w:p>
        </w:tc>
      </w:tr>
      <w:tr w:rsidR="00E81874" w:rsidRPr="008256AC" w14:paraId="4C61D7F7" w14:textId="77777777" w:rsidTr="00C07756">
        <w:trPr>
          <w:gridAfter w:val="1"/>
          <w:wAfter w:w="268" w:type="dxa"/>
          <w:cantSplit/>
        </w:trPr>
        <w:tc>
          <w:tcPr>
            <w:tcW w:w="429" w:type="dxa"/>
            <w:gridSpan w:val="2"/>
            <w:vMerge w:val="restart"/>
            <w:tcBorders>
              <w:top w:val="single" w:sz="4" w:space="0" w:color="auto"/>
              <w:right w:val="single" w:sz="4" w:space="0" w:color="auto"/>
            </w:tcBorders>
            <w:textDirection w:val="btLr"/>
          </w:tcPr>
          <w:p w14:paraId="3522FEEF" w14:textId="77777777" w:rsidR="00E81874" w:rsidRPr="008256AC" w:rsidRDefault="00E81874" w:rsidP="00C07756">
            <w:pPr>
              <w:keepNext/>
              <w:ind w:left="113" w:right="113"/>
              <w:jc w:val="center"/>
            </w:pPr>
            <w:r>
              <w:t xml:space="preserve">breit </w:t>
            </w:r>
            <w:r>
              <w:tab/>
            </w:r>
            <w:r>
              <w:tab/>
            </w:r>
            <w:r>
              <w:sym w:font="Wingdings" w:char="F0DF"/>
            </w:r>
            <w:r>
              <w:tab/>
              <w:t>relative Breite</w:t>
            </w:r>
            <w:r>
              <w:tab/>
            </w:r>
            <w:r>
              <w:sym w:font="Wingdings" w:char="F0E0"/>
            </w:r>
            <w:r>
              <w:tab/>
            </w:r>
            <w:r>
              <w:tab/>
              <w:t xml:space="preserve"> schmal </w:t>
            </w:r>
          </w:p>
        </w:tc>
        <w:tc>
          <w:tcPr>
            <w:tcW w:w="283" w:type="dxa"/>
            <w:gridSpan w:val="2"/>
            <w:tcBorders>
              <w:top w:val="nil"/>
              <w:left w:val="nil"/>
              <w:bottom w:val="nil"/>
              <w:right w:val="nil"/>
            </w:tcBorders>
          </w:tcPr>
          <w:p w14:paraId="1A9AEC18" w14:textId="77777777" w:rsidR="00E81874" w:rsidRPr="008256AC" w:rsidRDefault="00E81874" w:rsidP="00C07756">
            <w:pPr>
              <w:keepNext/>
              <w:jc w:val="center"/>
            </w:pPr>
          </w:p>
        </w:tc>
        <w:tc>
          <w:tcPr>
            <w:tcW w:w="1389" w:type="dxa"/>
          </w:tcPr>
          <w:p w14:paraId="44602352" w14:textId="77777777" w:rsidR="00E81874" w:rsidRPr="008256AC" w:rsidRDefault="00E81874" w:rsidP="00C07756">
            <w:pPr>
              <w:keepNext/>
              <w:jc w:val="center"/>
            </w:pPr>
          </w:p>
        </w:tc>
        <w:tc>
          <w:tcPr>
            <w:tcW w:w="1389" w:type="dxa"/>
            <w:gridSpan w:val="3"/>
          </w:tcPr>
          <w:p w14:paraId="3737C905" w14:textId="77777777" w:rsidR="00E81874" w:rsidRPr="008256AC" w:rsidRDefault="00E81874" w:rsidP="00C07756">
            <w:pPr>
              <w:keepNext/>
              <w:jc w:val="center"/>
            </w:pPr>
            <w:r>
              <w:rPr>
                <w:noProof/>
                <w:lang w:val="en-US"/>
              </w:rPr>
              <w:drawing>
                <wp:inline distT="0" distB="0" distL="0" distR="0" wp14:anchorId="4878A1EE" wp14:editId="56E9044C">
                  <wp:extent cx="381000" cy="76136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761365"/>
                          </a:xfrm>
                          <a:prstGeom prst="rect">
                            <a:avLst/>
                          </a:prstGeom>
                          <a:noFill/>
                          <a:ln>
                            <a:noFill/>
                          </a:ln>
                        </pic:spPr>
                      </pic:pic>
                    </a:graphicData>
                  </a:graphic>
                </wp:inline>
              </w:drawing>
            </w:r>
          </w:p>
          <w:p w14:paraId="7227A28D" w14:textId="77777777" w:rsidR="00E81874" w:rsidRPr="008256AC" w:rsidRDefault="00E81874" w:rsidP="00C07756">
            <w:pPr>
              <w:keepNext/>
              <w:jc w:val="center"/>
            </w:pPr>
            <w:r>
              <w:t xml:space="preserve">6 </w:t>
            </w:r>
          </w:p>
          <w:p w14:paraId="7593DDFA" w14:textId="412C0222" w:rsidR="00E81874" w:rsidRPr="008256AC" w:rsidRDefault="00850EA7" w:rsidP="00C07756">
            <w:pPr>
              <w:keepNext/>
              <w:jc w:val="center"/>
            </w:pPr>
            <w:r>
              <w:t>s</w:t>
            </w:r>
            <w:r w:rsidR="00E81874">
              <w:t>chmal rechteckig</w:t>
            </w:r>
          </w:p>
        </w:tc>
        <w:tc>
          <w:tcPr>
            <w:tcW w:w="1388" w:type="dxa"/>
            <w:gridSpan w:val="2"/>
          </w:tcPr>
          <w:p w14:paraId="44B7A93F" w14:textId="77777777" w:rsidR="00E81874" w:rsidRPr="008256AC" w:rsidRDefault="00E81874" w:rsidP="00C07756">
            <w:pPr>
              <w:keepNext/>
              <w:jc w:val="center"/>
            </w:pPr>
          </w:p>
        </w:tc>
        <w:tc>
          <w:tcPr>
            <w:tcW w:w="1389" w:type="dxa"/>
            <w:gridSpan w:val="2"/>
          </w:tcPr>
          <w:p w14:paraId="54E49F3E" w14:textId="77777777" w:rsidR="00E81874" w:rsidRPr="008256AC" w:rsidRDefault="00E81874" w:rsidP="00C07756">
            <w:pPr>
              <w:keepNext/>
              <w:jc w:val="center"/>
            </w:pPr>
          </w:p>
        </w:tc>
        <w:tc>
          <w:tcPr>
            <w:tcW w:w="1389" w:type="dxa"/>
            <w:gridSpan w:val="2"/>
          </w:tcPr>
          <w:p w14:paraId="61BDE0B1" w14:textId="77777777" w:rsidR="00E81874" w:rsidRPr="008256AC" w:rsidRDefault="00E81874" w:rsidP="00C07756">
            <w:pPr>
              <w:keepNext/>
              <w:jc w:val="center"/>
            </w:pPr>
          </w:p>
        </w:tc>
      </w:tr>
      <w:tr w:rsidR="00E81874" w:rsidRPr="008256AC" w14:paraId="6B93E558" w14:textId="77777777" w:rsidTr="00C07756">
        <w:trPr>
          <w:gridAfter w:val="1"/>
          <w:wAfter w:w="268" w:type="dxa"/>
          <w:cantSplit/>
        </w:trPr>
        <w:tc>
          <w:tcPr>
            <w:tcW w:w="429" w:type="dxa"/>
            <w:gridSpan w:val="2"/>
            <w:vMerge/>
            <w:tcBorders>
              <w:right w:val="single" w:sz="4" w:space="0" w:color="auto"/>
            </w:tcBorders>
          </w:tcPr>
          <w:p w14:paraId="60A70D9F" w14:textId="77777777" w:rsidR="00E81874" w:rsidRPr="008256AC" w:rsidRDefault="00E81874" w:rsidP="00C07756">
            <w:pPr>
              <w:keepNext/>
              <w:jc w:val="center"/>
            </w:pPr>
          </w:p>
        </w:tc>
        <w:tc>
          <w:tcPr>
            <w:tcW w:w="283" w:type="dxa"/>
            <w:gridSpan w:val="2"/>
            <w:tcBorders>
              <w:top w:val="nil"/>
              <w:left w:val="nil"/>
              <w:bottom w:val="nil"/>
              <w:right w:val="nil"/>
            </w:tcBorders>
          </w:tcPr>
          <w:p w14:paraId="03C28660" w14:textId="77777777" w:rsidR="00E81874" w:rsidRPr="008256AC" w:rsidRDefault="00E81874" w:rsidP="00C07756">
            <w:pPr>
              <w:keepNext/>
              <w:jc w:val="center"/>
            </w:pPr>
          </w:p>
        </w:tc>
        <w:tc>
          <w:tcPr>
            <w:tcW w:w="1389" w:type="dxa"/>
          </w:tcPr>
          <w:p w14:paraId="58A9BCC8" w14:textId="77777777" w:rsidR="00E81874" w:rsidRPr="008256AC" w:rsidRDefault="00E81874" w:rsidP="00C07756">
            <w:pPr>
              <w:keepNext/>
              <w:jc w:val="center"/>
            </w:pPr>
          </w:p>
        </w:tc>
        <w:tc>
          <w:tcPr>
            <w:tcW w:w="1389" w:type="dxa"/>
            <w:gridSpan w:val="3"/>
          </w:tcPr>
          <w:p w14:paraId="02BC2F6F" w14:textId="77777777" w:rsidR="00E81874" w:rsidRPr="008256AC" w:rsidRDefault="00E81874" w:rsidP="00C07756">
            <w:pPr>
              <w:keepNext/>
              <w:jc w:val="center"/>
            </w:pPr>
            <w:r>
              <w:rPr>
                <w:noProof/>
                <w:lang w:val="en-US"/>
              </w:rPr>
              <w:drawing>
                <wp:inline distT="0" distB="0" distL="0" distR="0" wp14:anchorId="4456B379" wp14:editId="4D2FF6F5">
                  <wp:extent cx="407035" cy="570865"/>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7035" cy="570865"/>
                          </a:xfrm>
                          <a:prstGeom prst="rect">
                            <a:avLst/>
                          </a:prstGeom>
                          <a:noFill/>
                          <a:ln>
                            <a:noFill/>
                          </a:ln>
                        </pic:spPr>
                      </pic:pic>
                    </a:graphicData>
                  </a:graphic>
                </wp:inline>
              </w:drawing>
            </w:r>
          </w:p>
          <w:p w14:paraId="08746296" w14:textId="77777777" w:rsidR="00E81874" w:rsidRDefault="00E81874" w:rsidP="00C07756">
            <w:pPr>
              <w:keepNext/>
              <w:jc w:val="center"/>
            </w:pPr>
            <w:r>
              <w:t>5</w:t>
            </w:r>
          </w:p>
          <w:p w14:paraId="73F6BCE1" w14:textId="77777777" w:rsidR="00E81874" w:rsidRPr="00B05405" w:rsidRDefault="00E81874" w:rsidP="00C07756">
            <w:pPr>
              <w:keepNext/>
              <w:jc w:val="center"/>
              <w:rPr>
                <w:highlight w:val="lightGray"/>
              </w:rPr>
            </w:pPr>
            <w:r>
              <w:rPr>
                <w:highlight w:val="lightGray"/>
              </w:rPr>
              <w:t>breit</w:t>
            </w:r>
          </w:p>
          <w:p w14:paraId="5BB8F0E6" w14:textId="77777777" w:rsidR="00E81874" w:rsidRPr="008256AC" w:rsidRDefault="00E81874" w:rsidP="00C07756">
            <w:pPr>
              <w:keepNext/>
              <w:jc w:val="center"/>
            </w:pPr>
            <w:r>
              <w:rPr>
                <w:highlight w:val="lightGray"/>
              </w:rPr>
              <w:t>rechteckig</w:t>
            </w:r>
          </w:p>
        </w:tc>
        <w:tc>
          <w:tcPr>
            <w:tcW w:w="1388" w:type="dxa"/>
            <w:gridSpan w:val="2"/>
          </w:tcPr>
          <w:p w14:paraId="60FE8B22" w14:textId="77777777" w:rsidR="00E81874" w:rsidRPr="008256AC" w:rsidRDefault="00E81874" w:rsidP="00C07756">
            <w:pPr>
              <w:keepNext/>
              <w:jc w:val="center"/>
            </w:pPr>
          </w:p>
          <w:p w14:paraId="202C808E" w14:textId="77777777" w:rsidR="00E81874" w:rsidRPr="008256AC" w:rsidRDefault="00E81874" w:rsidP="00C07756">
            <w:pPr>
              <w:keepNext/>
              <w:jc w:val="center"/>
            </w:pPr>
          </w:p>
        </w:tc>
        <w:tc>
          <w:tcPr>
            <w:tcW w:w="1389" w:type="dxa"/>
            <w:gridSpan w:val="2"/>
          </w:tcPr>
          <w:p w14:paraId="664C7BF5" w14:textId="77777777" w:rsidR="00E81874" w:rsidRPr="008256AC" w:rsidRDefault="00E81874" w:rsidP="00C07756">
            <w:pPr>
              <w:keepNext/>
              <w:jc w:val="center"/>
            </w:pPr>
          </w:p>
          <w:p w14:paraId="1F3C64EF" w14:textId="77777777" w:rsidR="00E81874" w:rsidRPr="008256AC" w:rsidRDefault="00E81874" w:rsidP="00C07756">
            <w:pPr>
              <w:keepNext/>
              <w:jc w:val="center"/>
            </w:pPr>
          </w:p>
        </w:tc>
        <w:tc>
          <w:tcPr>
            <w:tcW w:w="1389" w:type="dxa"/>
            <w:gridSpan w:val="2"/>
          </w:tcPr>
          <w:p w14:paraId="6AF8F31F" w14:textId="77777777" w:rsidR="00E81874" w:rsidRPr="008256AC" w:rsidRDefault="00E81874" w:rsidP="00C07756">
            <w:pPr>
              <w:keepNext/>
              <w:jc w:val="center"/>
            </w:pPr>
          </w:p>
        </w:tc>
      </w:tr>
      <w:tr w:rsidR="00E81874" w:rsidRPr="008256AC" w14:paraId="2D880E27" w14:textId="77777777" w:rsidTr="00C07756">
        <w:trPr>
          <w:gridAfter w:val="1"/>
          <w:wAfter w:w="268" w:type="dxa"/>
          <w:cantSplit/>
        </w:trPr>
        <w:tc>
          <w:tcPr>
            <w:tcW w:w="429" w:type="dxa"/>
            <w:gridSpan w:val="2"/>
            <w:vMerge/>
            <w:tcBorders>
              <w:right w:val="single" w:sz="4" w:space="0" w:color="auto"/>
            </w:tcBorders>
          </w:tcPr>
          <w:p w14:paraId="23D24F31" w14:textId="77777777" w:rsidR="00E81874" w:rsidRPr="008256AC" w:rsidRDefault="00E81874" w:rsidP="00C07756">
            <w:pPr>
              <w:jc w:val="center"/>
            </w:pPr>
          </w:p>
        </w:tc>
        <w:tc>
          <w:tcPr>
            <w:tcW w:w="283" w:type="dxa"/>
            <w:gridSpan w:val="2"/>
            <w:tcBorders>
              <w:top w:val="nil"/>
              <w:left w:val="nil"/>
              <w:bottom w:val="nil"/>
              <w:right w:val="nil"/>
            </w:tcBorders>
          </w:tcPr>
          <w:p w14:paraId="5634C5C5" w14:textId="77777777" w:rsidR="00E81874" w:rsidRPr="008256AC" w:rsidRDefault="00E81874" w:rsidP="00C07756">
            <w:pPr>
              <w:jc w:val="center"/>
            </w:pPr>
          </w:p>
        </w:tc>
        <w:tc>
          <w:tcPr>
            <w:tcW w:w="1389" w:type="dxa"/>
          </w:tcPr>
          <w:p w14:paraId="4193EE88" w14:textId="77777777" w:rsidR="00E81874" w:rsidRPr="008256AC" w:rsidRDefault="00E81874" w:rsidP="00C07756">
            <w:pPr>
              <w:jc w:val="center"/>
            </w:pPr>
          </w:p>
          <w:p w14:paraId="6332BAAF" w14:textId="77777777" w:rsidR="00E81874" w:rsidRPr="008256AC" w:rsidRDefault="00E81874" w:rsidP="00C07756">
            <w:pPr>
              <w:jc w:val="center"/>
            </w:pPr>
            <w:r>
              <w:rPr>
                <w:noProof/>
                <w:lang w:val="en-US"/>
              </w:rPr>
              <w:drawing>
                <wp:inline distT="0" distB="0" distL="0" distR="0" wp14:anchorId="4421F237" wp14:editId="65560052">
                  <wp:extent cx="459105" cy="395605"/>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4">
                            <a:extLst>
                              <a:ext uri="{28A0092B-C50C-407E-A947-70E740481C1C}">
                                <a14:useLocalDpi xmlns:a14="http://schemas.microsoft.com/office/drawing/2010/main" val="0"/>
                              </a:ext>
                            </a:extLst>
                          </a:blip>
                          <a:srcRect t="7051"/>
                          <a:stretch>
                            <a:fillRect/>
                          </a:stretch>
                        </pic:blipFill>
                        <pic:spPr bwMode="auto">
                          <a:xfrm rot="10800000">
                            <a:off x="0" y="0"/>
                            <a:ext cx="459105" cy="395605"/>
                          </a:xfrm>
                          <a:prstGeom prst="rect">
                            <a:avLst/>
                          </a:prstGeom>
                          <a:noFill/>
                          <a:ln>
                            <a:noFill/>
                          </a:ln>
                        </pic:spPr>
                      </pic:pic>
                    </a:graphicData>
                  </a:graphic>
                </wp:inline>
              </w:drawing>
            </w:r>
          </w:p>
          <w:p w14:paraId="2C30BF44" w14:textId="77777777" w:rsidR="00E81874" w:rsidRPr="008256AC" w:rsidRDefault="00E81874" w:rsidP="00C07756">
            <w:pPr>
              <w:jc w:val="center"/>
            </w:pPr>
          </w:p>
          <w:p w14:paraId="6526588F" w14:textId="77777777" w:rsidR="00E81874" w:rsidRPr="008256AC" w:rsidRDefault="00E81874" w:rsidP="00C07756">
            <w:pPr>
              <w:jc w:val="center"/>
            </w:pPr>
            <w:r>
              <w:t xml:space="preserve">1 </w:t>
            </w:r>
          </w:p>
          <w:p w14:paraId="0B206362" w14:textId="77777777" w:rsidR="00E81874" w:rsidRPr="008256AC" w:rsidRDefault="00E81874" w:rsidP="00C07756">
            <w:pPr>
              <w:jc w:val="center"/>
            </w:pPr>
            <w:r>
              <w:t>eiförmig</w:t>
            </w:r>
          </w:p>
        </w:tc>
        <w:tc>
          <w:tcPr>
            <w:tcW w:w="1389" w:type="dxa"/>
            <w:gridSpan w:val="3"/>
          </w:tcPr>
          <w:p w14:paraId="74915C9F" w14:textId="77777777" w:rsidR="00E81874" w:rsidRPr="008256AC" w:rsidRDefault="00E81874" w:rsidP="00C07756">
            <w:pPr>
              <w:jc w:val="center"/>
            </w:pPr>
          </w:p>
          <w:p w14:paraId="079B3E8B" w14:textId="77777777" w:rsidR="00E81874" w:rsidRPr="008256AC" w:rsidRDefault="00E81874" w:rsidP="00C07756">
            <w:pPr>
              <w:jc w:val="center"/>
              <w:rPr>
                <w:noProof/>
              </w:rPr>
            </w:pPr>
          </w:p>
          <w:p w14:paraId="69BB1ADB" w14:textId="77777777" w:rsidR="00E81874" w:rsidRPr="008256AC" w:rsidRDefault="00E81874" w:rsidP="00C07756">
            <w:pPr>
              <w:jc w:val="center"/>
            </w:pPr>
            <w:r>
              <w:rPr>
                <w:noProof/>
                <w:lang w:val="en-US"/>
              </w:rPr>
              <w:drawing>
                <wp:inline distT="0" distB="0" distL="0" distR="0" wp14:anchorId="2F57298C" wp14:editId="3DE1BEF2">
                  <wp:extent cx="407035" cy="3505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035" cy="350520"/>
                          </a:xfrm>
                          <a:prstGeom prst="rect">
                            <a:avLst/>
                          </a:prstGeom>
                          <a:noFill/>
                          <a:ln>
                            <a:noFill/>
                          </a:ln>
                        </pic:spPr>
                      </pic:pic>
                    </a:graphicData>
                  </a:graphic>
                </wp:inline>
              </w:drawing>
            </w:r>
          </w:p>
          <w:p w14:paraId="4A0244E2" w14:textId="77777777" w:rsidR="00E81874" w:rsidRPr="008256AC" w:rsidRDefault="00E81874" w:rsidP="00C07756">
            <w:pPr>
              <w:jc w:val="center"/>
            </w:pPr>
            <w:r>
              <w:t>4</w:t>
            </w:r>
          </w:p>
          <w:p w14:paraId="54197F92" w14:textId="77777777" w:rsidR="00E81874" w:rsidRPr="008256AC" w:rsidRDefault="00E81874" w:rsidP="00C07756">
            <w:pPr>
              <w:jc w:val="center"/>
            </w:pPr>
            <w:r>
              <w:t>kreisförmig</w:t>
            </w:r>
          </w:p>
        </w:tc>
        <w:tc>
          <w:tcPr>
            <w:tcW w:w="1388" w:type="dxa"/>
            <w:gridSpan w:val="2"/>
          </w:tcPr>
          <w:p w14:paraId="713FEC56" w14:textId="77777777" w:rsidR="00E81874" w:rsidRPr="008256AC" w:rsidRDefault="00E81874" w:rsidP="00C07756">
            <w:pPr>
              <w:jc w:val="center"/>
            </w:pPr>
          </w:p>
          <w:p w14:paraId="3C5A9973" w14:textId="77777777" w:rsidR="00E81874" w:rsidRPr="008256AC" w:rsidRDefault="00E81874" w:rsidP="00C07756">
            <w:pPr>
              <w:jc w:val="center"/>
            </w:pPr>
            <w:r>
              <w:rPr>
                <w:noProof/>
                <w:lang w:val="en-US"/>
              </w:rPr>
              <w:drawing>
                <wp:inline distT="0" distB="0" distL="0" distR="0" wp14:anchorId="186710A6" wp14:editId="44F675C3">
                  <wp:extent cx="459105" cy="41402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9105" cy="414020"/>
                          </a:xfrm>
                          <a:prstGeom prst="rect">
                            <a:avLst/>
                          </a:prstGeom>
                          <a:noFill/>
                          <a:ln>
                            <a:noFill/>
                          </a:ln>
                        </pic:spPr>
                      </pic:pic>
                    </a:graphicData>
                  </a:graphic>
                </wp:inline>
              </w:drawing>
            </w:r>
          </w:p>
          <w:p w14:paraId="7ABDB481" w14:textId="77777777" w:rsidR="00E81874" w:rsidRDefault="00E81874" w:rsidP="00C07756">
            <w:pPr>
              <w:jc w:val="center"/>
            </w:pPr>
            <w:r>
              <w:t>7</w:t>
            </w:r>
          </w:p>
          <w:p w14:paraId="5AC2AFFF" w14:textId="77777777" w:rsidR="00E81874" w:rsidRPr="008256AC" w:rsidRDefault="00E81874" w:rsidP="00C07756">
            <w:pPr>
              <w:jc w:val="center"/>
            </w:pPr>
            <w:r>
              <w:rPr>
                <w:highlight w:val="lightGray"/>
              </w:rPr>
              <w:t>breit eiförmig</w:t>
            </w:r>
          </w:p>
        </w:tc>
        <w:tc>
          <w:tcPr>
            <w:tcW w:w="1389" w:type="dxa"/>
            <w:gridSpan w:val="2"/>
          </w:tcPr>
          <w:p w14:paraId="79E6C2A5" w14:textId="77777777" w:rsidR="00E81874" w:rsidRPr="00B05405" w:rsidRDefault="00E81874" w:rsidP="00C07756">
            <w:pPr>
              <w:jc w:val="center"/>
              <w:rPr>
                <w:highlight w:val="lightGray"/>
              </w:rPr>
            </w:pPr>
            <w:r>
              <w:rPr>
                <w:noProof/>
                <w:highlight w:val="lightGray"/>
                <w:lang w:val="en-US"/>
              </w:rPr>
              <w:drawing>
                <wp:inline distT="0" distB="0" distL="0" distR="0" wp14:anchorId="3E10A24A" wp14:editId="1F2ED2AB">
                  <wp:extent cx="381000" cy="492760"/>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 cy="492760"/>
                          </a:xfrm>
                          <a:prstGeom prst="rect">
                            <a:avLst/>
                          </a:prstGeom>
                          <a:noFill/>
                          <a:ln>
                            <a:noFill/>
                          </a:ln>
                        </pic:spPr>
                      </pic:pic>
                    </a:graphicData>
                  </a:graphic>
                </wp:inline>
              </w:drawing>
            </w:r>
          </w:p>
          <w:p w14:paraId="24C61B32" w14:textId="77777777" w:rsidR="00E81874" w:rsidRPr="008256AC" w:rsidRDefault="00E81874" w:rsidP="00C07756">
            <w:pPr>
              <w:jc w:val="center"/>
            </w:pPr>
            <w:r>
              <w:rPr>
                <w:highlight w:val="lightGray"/>
              </w:rPr>
              <w:t xml:space="preserve">8 </w:t>
            </w:r>
            <w:r>
              <w:rPr>
                <w:highlight w:val="lightGray"/>
              </w:rPr>
              <w:br/>
              <w:t>schmal eiförmig</w:t>
            </w:r>
            <w:r>
              <w:t xml:space="preserve"> </w:t>
            </w:r>
          </w:p>
        </w:tc>
        <w:tc>
          <w:tcPr>
            <w:tcW w:w="1389" w:type="dxa"/>
            <w:gridSpan w:val="2"/>
          </w:tcPr>
          <w:p w14:paraId="5F0E0C54" w14:textId="77777777" w:rsidR="00E81874" w:rsidRPr="008256AC" w:rsidRDefault="00E81874" w:rsidP="00C07756">
            <w:pPr>
              <w:jc w:val="center"/>
            </w:pPr>
            <w:r>
              <w:rPr>
                <w:noProof/>
                <w:lang w:val="en-US"/>
              </w:rPr>
              <w:drawing>
                <wp:inline distT="0" distB="0" distL="0" distR="0" wp14:anchorId="62549F2B" wp14:editId="636B2589">
                  <wp:extent cx="395605" cy="522605"/>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5605" cy="522605"/>
                          </a:xfrm>
                          <a:prstGeom prst="rect">
                            <a:avLst/>
                          </a:prstGeom>
                          <a:noFill/>
                          <a:ln>
                            <a:noFill/>
                          </a:ln>
                        </pic:spPr>
                      </pic:pic>
                    </a:graphicData>
                  </a:graphic>
                </wp:inline>
              </w:drawing>
            </w:r>
          </w:p>
          <w:p w14:paraId="38FBD113" w14:textId="77777777" w:rsidR="00E81874" w:rsidRPr="008256AC" w:rsidRDefault="00E81874" w:rsidP="00C07756">
            <w:pPr>
              <w:jc w:val="center"/>
            </w:pPr>
            <w:r>
              <w:t>9</w:t>
            </w:r>
          </w:p>
          <w:p w14:paraId="2F90A896" w14:textId="77777777" w:rsidR="00E81874" w:rsidRPr="008256AC" w:rsidRDefault="00E81874" w:rsidP="00C07756">
            <w:pPr>
              <w:jc w:val="center"/>
            </w:pPr>
            <w:r>
              <w:t>dreieckig</w:t>
            </w:r>
          </w:p>
          <w:p w14:paraId="5BA03E6F" w14:textId="77777777" w:rsidR="00E81874" w:rsidRPr="008256AC" w:rsidRDefault="00E81874" w:rsidP="00C07756">
            <w:pPr>
              <w:jc w:val="center"/>
            </w:pPr>
          </w:p>
        </w:tc>
      </w:tr>
      <w:tr w:rsidR="00E81874" w:rsidRPr="008256AC" w14:paraId="4A7C5E94" w14:textId="77777777" w:rsidTr="00C07756">
        <w:trPr>
          <w:gridAfter w:val="1"/>
          <w:wAfter w:w="268" w:type="dxa"/>
          <w:cantSplit/>
          <w:trHeight w:val="1309"/>
        </w:trPr>
        <w:tc>
          <w:tcPr>
            <w:tcW w:w="429" w:type="dxa"/>
            <w:gridSpan w:val="2"/>
            <w:vMerge/>
            <w:tcBorders>
              <w:right w:val="single" w:sz="4" w:space="0" w:color="auto"/>
            </w:tcBorders>
          </w:tcPr>
          <w:p w14:paraId="5793C23D" w14:textId="77777777" w:rsidR="00E81874" w:rsidRPr="008256AC" w:rsidRDefault="00E81874" w:rsidP="00C07756">
            <w:pPr>
              <w:jc w:val="center"/>
            </w:pPr>
          </w:p>
        </w:tc>
        <w:tc>
          <w:tcPr>
            <w:tcW w:w="283" w:type="dxa"/>
            <w:gridSpan w:val="2"/>
            <w:tcBorders>
              <w:top w:val="nil"/>
              <w:left w:val="nil"/>
              <w:bottom w:val="nil"/>
              <w:right w:val="nil"/>
            </w:tcBorders>
          </w:tcPr>
          <w:p w14:paraId="5A8F705B" w14:textId="77777777" w:rsidR="00E81874" w:rsidRPr="008256AC" w:rsidRDefault="00E81874" w:rsidP="00C07756">
            <w:pPr>
              <w:jc w:val="center"/>
            </w:pPr>
          </w:p>
        </w:tc>
        <w:tc>
          <w:tcPr>
            <w:tcW w:w="1389" w:type="dxa"/>
          </w:tcPr>
          <w:p w14:paraId="4BD636DD" w14:textId="77777777" w:rsidR="00E81874" w:rsidRPr="008256AC" w:rsidRDefault="00E81874" w:rsidP="00C07756">
            <w:pPr>
              <w:jc w:val="center"/>
            </w:pPr>
          </w:p>
        </w:tc>
        <w:tc>
          <w:tcPr>
            <w:tcW w:w="1389" w:type="dxa"/>
            <w:gridSpan w:val="3"/>
          </w:tcPr>
          <w:p w14:paraId="74039406" w14:textId="77777777" w:rsidR="00E81874" w:rsidRPr="008256AC" w:rsidRDefault="00E81874" w:rsidP="00C07756">
            <w:pPr>
              <w:jc w:val="center"/>
              <w:rPr>
                <w:noProof/>
              </w:rPr>
            </w:pPr>
          </w:p>
          <w:p w14:paraId="48529EEB" w14:textId="77777777" w:rsidR="00E81874" w:rsidRPr="008256AC" w:rsidRDefault="00E81874" w:rsidP="00C07756">
            <w:pPr>
              <w:jc w:val="center"/>
            </w:pPr>
            <w:r>
              <w:rPr>
                <w:noProof/>
                <w:lang w:val="en-US"/>
              </w:rPr>
              <w:drawing>
                <wp:inline distT="0" distB="0" distL="0" distR="0" wp14:anchorId="208BEEB5" wp14:editId="33516BD9">
                  <wp:extent cx="518795" cy="2686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8795" cy="268605"/>
                          </a:xfrm>
                          <a:prstGeom prst="rect">
                            <a:avLst/>
                          </a:prstGeom>
                          <a:noFill/>
                          <a:ln>
                            <a:noFill/>
                          </a:ln>
                        </pic:spPr>
                      </pic:pic>
                    </a:graphicData>
                  </a:graphic>
                </wp:inline>
              </w:drawing>
            </w:r>
          </w:p>
          <w:p w14:paraId="24A77736" w14:textId="77777777" w:rsidR="00E81874" w:rsidRPr="008256AC" w:rsidRDefault="00E81874" w:rsidP="00C07756">
            <w:pPr>
              <w:jc w:val="center"/>
            </w:pPr>
            <w:r>
              <w:t>3</w:t>
            </w:r>
          </w:p>
          <w:p w14:paraId="4795244A" w14:textId="77777777" w:rsidR="00E81874" w:rsidRDefault="00E81874" w:rsidP="00C07756">
            <w:pPr>
              <w:jc w:val="center"/>
            </w:pPr>
            <w:r>
              <w:rPr>
                <w:highlight w:val="lightGray"/>
              </w:rPr>
              <w:t>breit</w:t>
            </w:r>
          </w:p>
          <w:p w14:paraId="3F9E0446" w14:textId="77777777" w:rsidR="00E81874" w:rsidRPr="008256AC" w:rsidRDefault="00E81874" w:rsidP="00C07756">
            <w:pPr>
              <w:jc w:val="center"/>
            </w:pPr>
            <w:r>
              <w:t>breitrund</w:t>
            </w:r>
          </w:p>
          <w:p w14:paraId="2C16BFA8" w14:textId="77777777" w:rsidR="00E81874" w:rsidRPr="008256AC" w:rsidRDefault="00E81874" w:rsidP="00C07756">
            <w:pPr>
              <w:jc w:val="center"/>
            </w:pPr>
          </w:p>
        </w:tc>
        <w:tc>
          <w:tcPr>
            <w:tcW w:w="1388" w:type="dxa"/>
            <w:gridSpan w:val="2"/>
          </w:tcPr>
          <w:p w14:paraId="7FC35BC8" w14:textId="77777777" w:rsidR="00E81874" w:rsidRPr="008256AC" w:rsidRDefault="00E81874" w:rsidP="00C07756">
            <w:pPr>
              <w:jc w:val="center"/>
            </w:pPr>
          </w:p>
        </w:tc>
        <w:tc>
          <w:tcPr>
            <w:tcW w:w="1389" w:type="dxa"/>
            <w:gridSpan w:val="2"/>
          </w:tcPr>
          <w:p w14:paraId="04A4FA00" w14:textId="77777777" w:rsidR="00E81874" w:rsidRPr="008256AC" w:rsidRDefault="00E81874" w:rsidP="00C07756">
            <w:pPr>
              <w:jc w:val="center"/>
            </w:pPr>
          </w:p>
        </w:tc>
        <w:tc>
          <w:tcPr>
            <w:tcW w:w="1389" w:type="dxa"/>
            <w:gridSpan w:val="2"/>
          </w:tcPr>
          <w:p w14:paraId="48178CAB" w14:textId="77777777" w:rsidR="00E81874" w:rsidRPr="008256AC" w:rsidRDefault="00E81874" w:rsidP="00C07756">
            <w:pPr>
              <w:jc w:val="center"/>
            </w:pPr>
          </w:p>
        </w:tc>
      </w:tr>
      <w:tr w:rsidR="00E81874" w:rsidRPr="008256AC" w14:paraId="2A9C23A3" w14:textId="77777777" w:rsidTr="00C07756">
        <w:trPr>
          <w:gridAfter w:val="1"/>
          <w:wAfter w:w="268" w:type="dxa"/>
          <w:cantSplit/>
          <w:trHeight w:val="1309"/>
        </w:trPr>
        <w:tc>
          <w:tcPr>
            <w:tcW w:w="429" w:type="dxa"/>
            <w:gridSpan w:val="2"/>
            <w:vMerge/>
            <w:tcBorders>
              <w:right w:val="single" w:sz="4" w:space="0" w:color="auto"/>
            </w:tcBorders>
          </w:tcPr>
          <w:p w14:paraId="2045212B" w14:textId="77777777" w:rsidR="00E81874" w:rsidRPr="008256AC" w:rsidRDefault="00E81874" w:rsidP="00C07756">
            <w:pPr>
              <w:jc w:val="center"/>
            </w:pPr>
          </w:p>
        </w:tc>
        <w:tc>
          <w:tcPr>
            <w:tcW w:w="283" w:type="dxa"/>
            <w:gridSpan w:val="2"/>
            <w:tcBorders>
              <w:top w:val="nil"/>
              <w:left w:val="nil"/>
              <w:bottom w:val="nil"/>
              <w:right w:val="nil"/>
            </w:tcBorders>
          </w:tcPr>
          <w:p w14:paraId="17163A74" w14:textId="77777777" w:rsidR="00E81874" w:rsidRPr="008256AC" w:rsidRDefault="00E81874" w:rsidP="00C07756">
            <w:pPr>
              <w:jc w:val="center"/>
            </w:pPr>
          </w:p>
        </w:tc>
        <w:tc>
          <w:tcPr>
            <w:tcW w:w="1389" w:type="dxa"/>
          </w:tcPr>
          <w:p w14:paraId="4ACD20B9" w14:textId="77777777" w:rsidR="00E81874" w:rsidRPr="008256AC" w:rsidRDefault="00E81874" w:rsidP="00C07756">
            <w:pPr>
              <w:jc w:val="center"/>
            </w:pPr>
          </w:p>
        </w:tc>
        <w:tc>
          <w:tcPr>
            <w:tcW w:w="1389" w:type="dxa"/>
            <w:gridSpan w:val="3"/>
          </w:tcPr>
          <w:p w14:paraId="3A6D35F8" w14:textId="77777777" w:rsidR="00E81874" w:rsidRPr="008256AC" w:rsidRDefault="00E81874" w:rsidP="00C07756">
            <w:pPr>
              <w:jc w:val="center"/>
              <w:rPr>
                <w:noProof/>
              </w:rPr>
            </w:pPr>
          </w:p>
          <w:p w14:paraId="0ABC3FFE" w14:textId="77777777" w:rsidR="00E81874" w:rsidRPr="008256AC" w:rsidRDefault="00E81874" w:rsidP="00C07756">
            <w:pPr>
              <w:jc w:val="center"/>
            </w:pPr>
            <w:r>
              <w:rPr>
                <w:noProof/>
                <w:lang w:val="en-US"/>
              </w:rPr>
              <w:drawing>
                <wp:inline distT="0" distB="0" distL="0" distR="0" wp14:anchorId="55A3325B" wp14:editId="70CFB4AF">
                  <wp:extent cx="485140" cy="1606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5140" cy="160655"/>
                          </a:xfrm>
                          <a:prstGeom prst="rect">
                            <a:avLst/>
                          </a:prstGeom>
                          <a:noFill/>
                          <a:ln>
                            <a:noFill/>
                          </a:ln>
                        </pic:spPr>
                      </pic:pic>
                    </a:graphicData>
                  </a:graphic>
                </wp:inline>
              </w:drawing>
            </w:r>
          </w:p>
          <w:p w14:paraId="72EF9F07" w14:textId="77777777" w:rsidR="00E81874" w:rsidRPr="008256AC" w:rsidRDefault="00E81874" w:rsidP="00C07756">
            <w:pPr>
              <w:jc w:val="center"/>
            </w:pPr>
            <w:r>
              <w:t>2</w:t>
            </w:r>
          </w:p>
          <w:p w14:paraId="6DB4D2BD" w14:textId="77777777" w:rsidR="00E81874" w:rsidRPr="008256AC" w:rsidRDefault="00E81874" w:rsidP="00C07756">
            <w:pPr>
              <w:jc w:val="center"/>
            </w:pPr>
            <w:r>
              <w:t xml:space="preserve">Schmal breitrund </w:t>
            </w:r>
          </w:p>
        </w:tc>
        <w:tc>
          <w:tcPr>
            <w:tcW w:w="1388" w:type="dxa"/>
            <w:gridSpan w:val="2"/>
          </w:tcPr>
          <w:p w14:paraId="4D059EF6" w14:textId="77777777" w:rsidR="00E81874" w:rsidRPr="008256AC" w:rsidRDefault="00E81874" w:rsidP="00C07756">
            <w:pPr>
              <w:jc w:val="center"/>
            </w:pPr>
          </w:p>
        </w:tc>
        <w:tc>
          <w:tcPr>
            <w:tcW w:w="1389" w:type="dxa"/>
            <w:gridSpan w:val="2"/>
          </w:tcPr>
          <w:p w14:paraId="6BB01869" w14:textId="77777777" w:rsidR="00E81874" w:rsidRPr="008256AC" w:rsidRDefault="00E81874" w:rsidP="00C07756">
            <w:pPr>
              <w:jc w:val="center"/>
            </w:pPr>
          </w:p>
        </w:tc>
        <w:tc>
          <w:tcPr>
            <w:tcW w:w="1389" w:type="dxa"/>
            <w:gridSpan w:val="2"/>
          </w:tcPr>
          <w:p w14:paraId="5DA55433" w14:textId="77777777" w:rsidR="00E81874" w:rsidRPr="008256AC" w:rsidRDefault="00E81874" w:rsidP="00C07756">
            <w:pPr>
              <w:jc w:val="center"/>
            </w:pPr>
          </w:p>
        </w:tc>
      </w:tr>
    </w:tbl>
    <w:p w14:paraId="430FE866" w14:textId="77777777" w:rsidR="00E81874" w:rsidRDefault="00E81874" w:rsidP="00E81874"/>
    <w:p w14:paraId="54537622" w14:textId="77777777" w:rsidR="00E81874" w:rsidRDefault="00E81874" w:rsidP="00E8187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E81874" w:rsidRPr="007660CE" w14:paraId="31CEE828" w14:textId="77777777" w:rsidTr="00C07756">
        <w:trPr>
          <w:cantSplit/>
        </w:trPr>
        <w:tc>
          <w:tcPr>
            <w:tcW w:w="1573" w:type="dxa"/>
          </w:tcPr>
          <w:p w14:paraId="20E7D177" w14:textId="77777777" w:rsidR="00E81874" w:rsidRPr="00953961" w:rsidRDefault="00E81874" w:rsidP="00C07756">
            <w:r>
              <w:t>#Zu 30</w:t>
            </w:r>
          </w:p>
          <w:p w14:paraId="785B9745" w14:textId="77777777" w:rsidR="00E81874" w:rsidRPr="00953961" w:rsidRDefault="00E81874" w:rsidP="00C07756">
            <w:pPr>
              <w:rPr>
                <w:lang w:val="en-CA"/>
              </w:rPr>
            </w:pPr>
          </w:p>
        </w:tc>
        <w:tc>
          <w:tcPr>
            <w:tcW w:w="8208" w:type="dxa"/>
          </w:tcPr>
          <w:p w14:paraId="6CC7387C" w14:textId="77777777" w:rsidR="00E81874" w:rsidRPr="00AF7DE9" w:rsidRDefault="00E81874" w:rsidP="00C07756">
            <w:r>
              <w:t>die Bilder so zuschneiden, dass sie sich auf das erklärte Merkmal (oberer Teil) konzentrieren. Damit sollte es weniger Verwirrung geben, was den Begriff ‚Spross‘ anbelangt.</w:t>
            </w:r>
          </w:p>
        </w:tc>
      </w:tr>
      <w:tr w:rsidR="00E81874" w:rsidRPr="007660CE" w14:paraId="1252F9F5" w14:textId="77777777" w:rsidTr="00C07756">
        <w:trPr>
          <w:cantSplit/>
        </w:trPr>
        <w:tc>
          <w:tcPr>
            <w:tcW w:w="1573" w:type="dxa"/>
          </w:tcPr>
          <w:p w14:paraId="69AD0ACA" w14:textId="77777777" w:rsidR="00E81874" w:rsidRDefault="00E81874" w:rsidP="00C07756">
            <w:pPr>
              <w:pStyle w:val="BodyText"/>
              <w:jc w:val="left"/>
              <w:rPr>
                <w:rFonts w:eastAsia="MS Mincho" w:cs="Arial"/>
              </w:rPr>
            </w:pPr>
            <w:r>
              <w:t>TQ 6.</w:t>
            </w:r>
          </w:p>
        </w:tc>
        <w:tc>
          <w:tcPr>
            <w:tcW w:w="8208" w:type="dxa"/>
          </w:tcPr>
          <w:p w14:paraId="2E83D36E" w14:textId="77777777" w:rsidR="00E81874" w:rsidRPr="00AF7DE9" w:rsidRDefault="00E81874" w:rsidP="00C07756">
            <w:pPr>
              <w:rPr>
                <w:rFonts w:cs="Arial"/>
              </w:rPr>
            </w:pPr>
            <w:r>
              <w:t>Beispiel soll lauten „Blatt: Haltung“, „aufrecht“ und „halbaufrecht“</w:t>
            </w:r>
          </w:p>
        </w:tc>
      </w:tr>
    </w:tbl>
    <w:p w14:paraId="144BDB10" w14:textId="77777777" w:rsidR="00E81874" w:rsidRDefault="00E81874" w:rsidP="00E81874"/>
    <w:p w14:paraId="3D1FAAFC" w14:textId="77777777" w:rsidR="00E81874" w:rsidRPr="003C5745" w:rsidRDefault="00E81874" w:rsidP="00E81874"/>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8"/>
      </w:tblGrid>
      <w:tr w:rsidR="00E81874" w:rsidRPr="005D2443" w14:paraId="50749977" w14:textId="77777777" w:rsidTr="00C07756">
        <w:trPr>
          <w:cantSplit/>
          <w:trHeight w:val="277"/>
          <w:jc w:val="center"/>
        </w:trPr>
        <w:tc>
          <w:tcPr>
            <w:tcW w:w="2894" w:type="dxa"/>
            <w:vMerge w:val="restart"/>
            <w:shd w:val="clear" w:color="auto" w:fill="D9D9D9"/>
            <w:vAlign w:val="center"/>
          </w:tcPr>
          <w:p w14:paraId="02EF6BE7" w14:textId="77777777" w:rsidR="00E81874" w:rsidRPr="005B5163" w:rsidRDefault="00E81874" w:rsidP="00C07756">
            <w:pPr>
              <w:pStyle w:val="TitleofDoc"/>
              <w:keepNext/>
              <w:tabs>
                <w:tab w:val="left" w:pos="5245"/>
                <w:tab w:val="left" w:pos="7008"/>
              </w:tabs>
              <w:spacing w:before="0"/>
              <w:jc w:val="left"/>
              <w:rPr>
                <w:rFonts w:cs="Arial"/>
                <w:caps w:val="0"/>
              </w:rPr>
            </w:pPr>
            <w:r>
              <w:rPr>
                <w:caps w:val="0"/>
              </w:rPr>
              <w:t>Berberitze</w:t>
            </w:r>
            <w:r>
              <w:rPr>
                <w:caps w:val="0"/>
              </w:rPr>
              <w:br/>
              <w:t>(</w:t>
            </w:r>
            <w:r>
              <w:rPr>
                <w:i/>
                <w:caps w:val="0"/>
              </w:rPr>
              <w:t>Berberis</w:t>
            </w:r>
            <w:r>
              <w:rPr>
                <w:caps w:val="0"/>
              </w:rPr>
              <w:t xml:space="preserve"> L.)</w:t>
            </w:r>
          </w:p>
        </w:tc>
        <w:tc>
          <w:tcPr>
            <w:tcW w:w="2552" w:type="dxa"/>
            <w:shd w:val="clear" w:color="auto" w:fill="D9D9D9"/>
            <w:vAlign w:val="center"/>
          </w:tcPr>
          <w:p w14:paraId="360B350A" w14:textId="77777777" w:rsidR="00E81874" w:rsidRPr="005B5163" w:rsidRDefault="00E81874" w:rsidP="00C07756">
            <w:pPr>
              <w:pStyle w:val="TitleofDoc"/>
              <w:keepNext/>
              <w:tabs>
                <w:tab w:val="left" w:pos="5245"/>
                <w:tab w:val="left" w:pos="7008"/>
              </w:tabs>
              <w:spacing w:before="0"/>
              <w:jc w:val="left"/>
              <w:rPr>
                <w:rFonts w:cs="Arial"/>
                <w:caps w:val="0"/>
              </w:rPr>
            </w:pPr>
            <w:r>
              <w:rPr>
                <w:color w:val="000000"/>
              </w:rPr>
              <w:t>TG/68/4(proj.5)</w:t>
            </w:r>
          </w:p>
        </w:tc>
        <w:tc>
          <w:tcPr>
            <w:tcW w:w="2807" w:type="dxa"/>
            <w:shd w:val="clear" w:color="auto" w:fill="D9D9D9"/>
            <w:vAlign w:val="center"/>
          </w:tcPr>
          <w:p w14:paraId="66FE9C58" w14:textId="77777777" w:rsidR="00E81874" w:rsidRPr="00784926" w:rsidRDefault="00E81874" w:rsidP="00C07756">
            <w:pPr>
              <w:keepNext/>
              <w:jc w:val="left"/>
              <w:rPr>
                <w:rFonts w:cs="Arial"/>
                <w:iCs/>
                <w:snapToGrid w:val="0"/>
                <w:color w:val="000000"/>
              </w:rPr>
            </w:pPr>
            <w:r>
              <w:t>Fr. Stéphanie Christien (FR)</w:t>
            </w:r>
          </w:p>
        </w:tc>
        <w:tc>
          <w:tcPr>
            <w:tcW w:w="736" w:type="dxa"/>
            <w:vMerge w:val="restart"/>
            <w:shd w:val="clear" w:color="auto" w:fill="D9D9D9"/>
            <w:vAlign w:val="center"/>
          </w:tcPr>
          <w:p w14:paraId="50C0D966" w14:textId="77777777" w:rsidR="00E81874" w:rsidRPr="005D2443" w:rsidRDefault="00E81874" w:rsidP="00C07756">
            <w:pPr>
              <w:keepNext/>
              <w:jc w:val="left"/>
              <w:rPr>
                <w:rFonts w:cs="Arial"/>
                <w:iCs/>
              </w:rPr>
            </w:pPr>
            <w:r>
              <w:t>TWO</w:t>
            </w:r>
          </w:p>
        </w:tc>
        <w:tc>
          <w:tcPr>
            <w:tcW w:w="998" w:type="dxa"/>
            <w:vMerge w:val="restart"/>
            <w:shd w:val="clear" w:color="auto" w:fill="D9D9D9"/>
            <w:vAlign w:val="center"/>
          </w:tcPr>
          <w:p w14:paraId="1160FA72" w14:textId="77777777" w:rsidR="00E81874" w:rsidRPr="005D2443" w:rsidRDefault="00E81874" w:rsidP="00C07756">
            <w:pPr>
              <w:pStyle w:val="BodyText"/>
              <w:keepNext/>
              <w:jc w:val="left"/>
              <w:rPr>
                <w:rFonts w:cs="Arial"/>
                <w:iCs/>
                <w:snapToGrid w:val="0"/>
              </w:rPr>
            </w:pPr>
            <w:r>
              <w:rPr>
                <w:snapToGrid w:val="0"/>
              </w:rPr>
              <w:t>*</w:t>
            </w:r>
          </w:p>
        </w:tc>
      </w:tr>
      <w:tr w:rsidR="00E81874" w:rsidRPr="007660CE" w14:paraId="393F8F78" w14:textId="77777777" w:rsidTr="00C07756">
        <w:trPr>
          <w:cantSplit/>
          <w:trHeight w:hRule="exact" w:val="969"/>
          <w:jc w:val="center"/>
        </w:trPr>
        <w:tc>
          <w:tcPr>
            <w:tcW w:w="2894" w:type="dxa"/>
            <w:vMerge/>
            <w:shd w:val="clear" w:color="auto" w:fill="D9D9D9"/>
            <w:vAlign w:val="center"/>
          </w:tcPr>
          <w:p w14:paraId="243050F6" w14:textId="77777777" w:rsidR="00E81874" w:rsidRPr="005D2443" w:rsidRDefault="00E81874" w:rsidP="00C07756">
            <w:pPr>
              <w:pStyle w:val="TitleofDoc"/>
              <w:keepNext/>
              <w:tabs>
                <w:tab w:val="left" w:pos="5245"/>
                <w:tab w:val="left" w:pos="7008"/>
              </w:tabs>
              <w:spacing w:before="0"/>
              <w:jc w:val="left"/>
              <w:rPr>
                <w:rFonts w:cs="Arial"/>
                <w:caps w:val="0"/>
              </w:rPr>
            </w:pPr>
          </w:p>
        </w:tc>
        <w:tc>
          <w:tcPr>
            <w:tcW w:w="2552" w:type="dxa"/>
            <w:shd w:val="clear" w:color="auto" w:fill="D9D9D9"/>
            <w:vAlign w:val="center"/>
          </w:tcPr>
          <w:p w14:paraId="6C9EA1F7" w14:textId="77777777" w:rsidR="00E81874" w:rsidRPr="008A73B8" w:rsidRDefault="00E81874" w:rsidP="00C07756">
            <w:pPr>
              <w:pStyle w:val="BodyText"/>
              <w:keepNext/>
              <w:jc w:val="left"/>
              <w:rPr>
                <w:rFonts w:cs="Arial"/>
                <w:color w:val="000000"/>
              </w:rPr>
            </w:pPr>
            <w:r>
              <w:rPr>
                <w:color w:val="000000"/>
              </w:rPr>
              <w:t>Anzahl von Merkm.:  31 Anzahl von (</w:t>
            </w:r>
            <w:r>
              <w:rPr>
                <w:color w:val="000000"/>
              </w:rPr>
              <w:sym w:font="Symbol" w:char="F02A"/>
            </w:r>
            <w:r>
              <w:rPr>
                <w:color w:val="000000"/>
              </w:rPr>
              <w:t>) Merkm.:  27</w:t>
            </w:r>
          </w:p>
        </w:tc>
        <w:tc>
          <w:tcPr>
            <w:tcW w:w="2807" w:type="dxa"/>
            <w:shd w:val="clear" w:color="auto" w:fill="D9D9D9"/>
            <w:vAlign w:val="center"/>
          </w:tcPr>
          <w:p w14:paraId="1CB86E34" w14:textId="77777777" w:rsidR="00E81874" w:rsidRPr="007660CE" w:rsidRDefault="00E81874" w:rsidP="00C07756">
            <w:pPr>
              <w:keepNext/>
              <w:jc w:val="left"/>
              <w:rPr>
                <w:rFonts w:cs="Arial"/>
                <w:iCs/>
                <w:snapToGrid w:val="0"/>
                <w:color w:val="000000"/>
              </w:rPr>
            </w:pPr>
            <w:r>
              <w:rPr>
                <w:snapToGrid w:val="0"/>
                <w:color w:val="000000"/>
              </w:rPr>
              <w:t xml:space="preserve">(Beteiligte Sachverständige:  </w:t>
            </w:r>
            <w:r>
              <w:t>CA, GB, PL, QZ, CIOPORA)</w:t>
            </w:r>
          </w:p>
        </w:tc>
        <w:tc>
          <w:tcPr>
            <w:tcW w:w="736" w:type="dxa"/>
            <w:vMerge/>
            <w:shd w:val="clear" w:color="auto" w:fill="D9D9D9"/>
            <w:vAlign w:val="center"/>
          </w:tcPr>
          <w:p w14:paraId="6A6882E6" w14:textId="77777777" w:rsidR="00E81874" w:rsidRPr="007660CE" w:rsidRDefault="00E81874" w:rsidP="00C07756">
            <w:pPr>
              <w:keepNext/>
              <w:jc w:val="left"/>
              <w:rPr>
                <w:rFonts w:cs="Arial"/>
                <w:iCs/>
              </w:rPr>
            </w:pPr>
          </w:p>
        </w:tc>
        <w:tc>
          <w:tcPr>
            <w:tcW w:w="998" w:type="dxa"/>
            <w:vMerge/>
            <w:shd w:val="clear" w:color="auto" w:fill="D9D9D9"/>
            <w:vAlign w:val="center"/>
          </w:tcPr>
          <w:p w14:paraId="4672B2BB" w14:textId="77777777" w:rsidR="00E81874" w:rsidRPr="007660CE" w:rsidRDefault="00E81874" w:rsidP="00C07756">
            <w:pPr>
              <w:pStyle w:val="BodyText"/>
              <w:keepNext/>
              <w:jc w:val="left"/>
              <w:rPr>
                <w:rFonts w:cs="Arial"/>
                <w:iCs/>
                <w:snapToGrid w:val="0"/>
              </w:rPr>
            </w:pPr>
          </w:p>
        </w:tc>
      </w:tr>
    </w:tbl>
    <w:p w14:paraId="566FB8C6" w14:textId="77777777" w:rsidR="00E81874" w:rsidRDefault="00E81874" w:rsidP="00E81874">
      <w:pPr>
        <w:keepNext/>
      </w:pPr>
    </w:p>
    <w:p w14:paraId="17105707" w14:textId="77777777" w:rsidR="00E81874" w:rsidRPr="008D0013" w:rsidRDefault="00E81874" w:rsidP="00E81874">
      <w:pPr>
        <w:keepNext/>
        <w:ind w:firstLine="567"/>
        <w:rPr>
          <w:rFonts w:cs="Arial"/>
        </w:rPr>
      </w:pPr>
      <w:r>
        <w:t>Der TC-EDC prüfte auf seiner am 12. und 13. Oktober 2021 auf elektronischem Wege abgehaltenen Tagung das Dokument </w:t>
      </w:r>
      <w:r>
        <w:rPr>
          <w:caps/>
        </w:rPr>
        <w:t>TG/68/4(</w:t>
      </w:r>
      <w:r>
        <w:t>proj</w:t>
      </w:r>
      <w:r>
        <w:rPr>
          <w:caps/>
        </w:rPr>
        <w:t>.5)</w:t>
      </w:r>
      <w:r>
        <w:t xml:space="preserve"> und gab die in der nachstehenden Tabelle aufgeführten Empfehlungen ab.</w:t>
      </w:r>
    </w:p>
    <w:p w14:paraId="68E76BE0" w14:textId="77777777" w:rsidR="00E81874" w:rsidRPr="008D0013" w:rsidRDefault="00E81874" w:rsidP="00E81874">
      <w:pPr>
        <w:keepNext/>
        <w:autoSpaceDE w:val="0"/>
        <w:autoSpaceDN w:val="0"/>
        <w:adjustRightInd w:val="0"/>
        <w:ind w:firstLine="567"/>
        <w:rPr>
          <w:rFonts w:cs="Arial"/>
        </w:rPr>
      </w:pPr>
    </w:p>
    <w:p w14:paraId="11226365" w14:textId="77777777" w:rsidR="00E81874" w:rsidRPr="008D0013" w:rsidRDefault="00E81874" w:rsidP="00E81874">
      <w:pPr>
        <w:ind w:firstLine="567"/>
      </w:pPr>
      <w:r>
        <w:t>Der TC-EDC vereinbarte, dass der Entwurf von Prüfungsrichtlinien für Berberitze (nachstehend mit „</w:t>
      </w:r>
      <w:r>
        <w:rPr>
          <w:vertAlign w:val="superscript"/>
        </w:rPr>
        <w:t>#</w:t>
      </w:r>
      <w:r>
        <w:t>“ bezeichnet) redaktioneller Klarstellungen seitens des führenden Sachverständigen bedürfe und dass der Entwurf der Prüfungsrichtlinien auf der für den März 2022 angesetzten Tagung des TC-EDC erneut geprüft werden solle.</w:t>
      </w:r>
    </w:p>
    <w:p w14:paraId="6F4BC632" w14:textId="77777777" w:rsidR="00E81874" w:rsidRPr="007660CE" w:rsidRDefault="00E81874" w:rsidP="00E8187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E81874" w:rsidRPr="007660CE" w14:paraId="26AC9275" w14:textId="77777777" w:rsidTr="00C07756">
        <w:trPr>
          <w:cantSplit/>
        </w:trPr>
        <w:tc>
          <w:tcPr>
            <w:tcW w:w="1573" w:type="dxa"/>
          </w:tcPr>
          <w:p w14:paraId="48FF6852" w14:textId="77777777" w:rsidR="00E81874" w:rsidRPr="00304E53" w:rsidRDefault="00E81874" w:rsidP="00C07756">
            <w:r>
              <w:t>Deckblatt</w:t>
            </w:r>
          </w:p>
        </w:tc>
        <w:tc>
          <w:tcPr>
            <w:tcW w:w="8208" w:type="dxa"/>
          </w:tcPr>
          <w:p w14:paraId="0951EAE2" w14:textId="77777777" w:rsidR="00E81874" w:rsidRPr="00304E53" w:rsidRDefault="00E81874" w:rsidP="00C07756">
            <w:r>
              <w:t>Im Namensfeld „ohne...“ (wie in Kapitel 1.) hinzufügen</w:t>
            </w:r>
          </w:p>
        </w:tc>
      </w:tr>
      <w:tr w:rsidR="00E81874" w:rsidRPr="007660CE" w14:paraId="4C5B0A73" w14:textId="77777777" w:rsidTr="00C07756">
        <w:trPr>
          <w:cantSplit/>
        </w:trPr>
        <w:tc>
          <w:tcPr>
            <w:tcW w:w="1573" w:type="dxa"/>
          </w:tcPr>
          <w:p w14:paraId="457B4861" w14:textId="77777777" w:rsidR="00E81874" w:rsidRPr="00304E53" w:rsidRDefault="00E81874" w:rsidP="00C07756">
            <w:r>
              <w:rPr>
                <w:vertAlign w:val="superscript"/>
              </w:rPr>
              <w:t>#</w:t>
            </w:r>
            <w:r>
              <w:t>Merkm. 2</w:t>
            </w:r>
          </w:p>
        </w:tc>
        <w:tc>
          <w:tcPr>
            <w:tcW w:w="8208" w:type="dxa"/>
          </w:tcPr>
          <w:p w14:paraId="25947BB8" w14:textId="77777777" w:rsidR="00E81874" w:rsidRPr="002135BE" w:rsidDel="0013323E" w:rsidRDefault="00E81874" w:rsidP="00C07756">
            <w:r>
              <w:t>Prüfen, ob Stufe 1 „aufrecht“ [„upright“] lauten sollte (vergleiche z.B. TG Lavendel)</w:t>
            </w:r>
          </w:p>
        </w:tc>
      </w:tr>
      <w:tr w:rsidR="00E81874" w:rsidRPr="007660CE" w14:paraId="10426F63" w14:textId="77777777" w:rsidTr="00C07756">
        <w:trPr>
          <w:cantSplit/>
        </w:trPr>
        <w:tc>
          <w:tcPr>
            <w:tcW w:w="1573" w:type="dxa"/>
          </w:tcPr>
          <w:p w14:paraId="5BACB7FD" w14:textId="77777777" w:rsidR="00E81874" w:rsidRPr="00304E53" w:rsidRDefault="00E81874" w:rsidP="00C07756">
            <w:r>
              <w:t>#Merkm. 6, 7</w:t>
            </w:r>
          </w:p>
        </w:tc>
        <w:tc>
          <w:tcPr>
            <w:tcW w:w="8208" w:type="dxa"/>
          </w:tcPr>
          <w:p w14:paraId="0C1B596D" w14:textId="77777777" w:rsidR="00E81874" w:rsidRPr="002135BE" w:rsidRDefault="00E81874" w:rsidP="00C07756">
            <w:r>
              <w:t>(a) hinzufügen</w:t>
            </w:r>
          </w:p>
        </w:tc>
      </w:tr>
      <w:tr w:rsidR="00E81874" w:rsidRPr="007660CE" w14:paraId="687D48CF" w14:textId="77777777" w:rsidTr="00C07756">
        <w:trPr>
          <w:cantSplit/>
        </w:trPr>
        <w:tc>
          <w:tcPr>
            <w:tcW w:w="1573" w:type="dxa"/>
          </w:tcPr>
          <w:p w14:paraId="5FB7D2B3" w14:textId="77777777" w:rsidR="00E81874" w:rsidRPr="001A2345" w:rsidRDefault="00E81874" w:rsidP="00C07756">
            <w:pPr>
              <w:jc w:val="left"/>
              <w:rPr>
                <w:rFonts w:cs="Arial"/>
              </w:rPr>
            </w:pPr>
            <w:r>
              <w:t>Merkm. 6</w:t>
            </w:r>
          </w:p>
        </w:tc>
        <w:tc>
          <w:tcPr>
            <w:tcW w:w="8208" w:type="dxa"/>
          </w:tcPr>
          <w:p w14:paraId="2A1AFD89" w14:textId="77777777" w:rsidR="00E81874" w:rsidRPr="001A2345" w:rsidRDefault="00E81874" w:rsidP="00C07756">
            <w:pPr>
              <w:keepNext/>
              <w:rPr>
                <w:rFonts w:cs="Arial"/>
              </w:rPr>
            </w:pPr>
            <w:r>
              <w:t>Als PQ und VG anzugeben (wie in proj.4; Korrektur)</w:t>
            </w:r>
          </w:p>
        </w:tc>
      </w:tr>
      <w:tr w:rsidR="00E81874" w:rsidRPr="007660CE" w14:paraId="42560BC8" w14:textId="77777777" w:rsidTr="00C07756">
        <w:trPr>
          <w:cantSplit/>
        </w:trPr>
        <w:tc>
          <w:tcPr>
            <w:tcW w:w="1573" w:type="dxa"/>
          </w:tcPr>
          <w:p w14:paraId="295F1773" w14:textId="77777777" w:rsidR="00E81874" w:rsidRPr="00304E53" w:rsidRDefault="00E81874" w:rsidP="00C07756">
            <w:pPr>
              <w:jc w:val="left"/>
              <w:rPr>
                <w:rFonts w:cs="Arial"/>
              </w:rPr>
            </w:pPr>
            <w:r>
              <w:t>Merkm. 8</w:t>
            </w:r>
          </w:p>
        </w:tc>
        <w:tc>
          <w:tcPr>
            <w:tcW w:w="8208" w:type="dxa"/>
          </w:tcPr>
          <w:p w14:paraId="40135FFC" w14:textId="7ECB44E5" w:rsidR="00E81874" w:rsidRPr="00304E53" w:rsidRDefault="00E81874" w:rsidP="00C07756">
            <w:pPr>
              <w:keepNext/>
              <w:rPr>
                <w:rFonts w:cs="Arial"/>
              </w:rPr>
            </w:pPr>
            <w:r>
              <w:t>Soll lauten „</w:t>
            </w:r>
            <w:r w:rsidR="00A304F6">
              <w:t>Stängel: Dornentyp" [„</w:t>
            </w:r>
            <w:r>
              <w:t>Stem: type of spines“</w:t>
            </w:r>
          </w:p>
        </w:tc>
      </w:tr>
      <w:tr w:rsidR="00E81874" w:rsidRPr="007660CE" w14:paraId="35C80DEC" w14:textId="77777777" w:rsidTr="00C07756">
        <w:trPr>
          <w:cantSplit/>
        </w:trPr>
        <w:tc>
          <w:tcPr>
            <w:tcW w:w="1573" w:type="dxa"/>
          </w:tcPr>
          <w:p w14:paraId="7A0ECB33" w14:textId="77777777" w:rsidR="00E81874" w:rsidRPr="00304E53" w:rsidRDefault="00E81874" w:rsidP="00C07756">
            <w:pPr>
              <w:jc w:val="left"/>
              <w:rPr>
                <w:rFonts w:cs="Arial"/>
              </w:rPr>
            </w:pPr>
            <w:r>
              <w:t>Merkm. 9</w:t>
            </w:r>
          </w:p>
        </w:tc>
        <w:tc>
          <w:tcPr>
            <w:tcW w:w="8208" w:type="dxa"/>
          </w:tcPr>
          <w:p w14:paraId="249651AD" w14:textId="5A8EB5F1" w:rsidR="00E81874" w:rsidRPr="00304E53" w:rsidRDefault="00E81874" w:rsidP="00C07756">
            <w:pPr>
              <w:keepNext/>
              <w:rPr>
                <w:rFonts w:cs="Arial"/>
              </w:rPr>
            </w:pPr>
            <w:r>
              <w:t xml:space="preserve">Soll lauten </w:t>
            </w:r>
            <w:r w:rsidR="00A304F6">
              <w:t>„Stängel: Dornenlänge" [</w:t>
            </w:r>
            <w:r>
              <w:t>„Stem: length of spines“</w:t>
            </w:r>
            <w:r w:rsidR="00A304F6">
              <w:t>]</w:t>
            </w:r>
          </w:p>
        </w:tc>
      </w:tr>
      <w:tr w:rsidR="00E81874" w:rsidRPr="007660CE" w14:paraId="2749D7D8" w14:textId="77777777" w:rsidTr="00C07756">
        <w:trPr>
          <w:cantSplit/>
        </w:trPr>
        <w:tc>
          <w:tcPr>
            <w:tcW w:w="1573" w:type="dxa"/>
          </w:tcPr>
          <w:p w14:paraId="56CAF9CA" w14:textId="77777777" w:rsidR="00E81874" w:rsidRPr="00304E53" w:rsidRDefault="00E81874" w:rsidP="00C07756">
            <w:pPr>
              <w:jc w:val="left"/>
              <w:rPr>
                <w:rFonts w:cs="Arial"/>
              </w:rPr>
            </w:pPr>
            <w:r>
              <w:t>Merkm. 10</w:t>
            </w:r>
          </w:p>
        </w:tc>
        <w:tc>
          <w:tcPr>
            <w:tcW w:w="8208" w:type="dxa"/>
          </w:tcPr>
          <w:p w14:paraId="43DD992B" w14:textId="77777777" w:rsidR="00E81874" w:rsidRPr="00304E53" w:rsidRDefault="00E81874" w:rsidP="00C07756">
            <w:pPr>
              <w:keepNext/>
              <w:rPr>
                <w:rFonts w:cs="Arial"/>
              </w:rPr>
            </w:pPr>
            <w:r>
              <w:t>(d) streichen und die Erläuterung „Erfassungen sollten an vollentwickelten Blättern vom mittleren Drittel des Stängels erfolgen“ hinzufügen</w:t>
            </w:r>
            <w:r>
              <w:rPr>
                <w:color w:val="000000"/>
              </w:rPr>
              <w:t xml:space="preserve"> </w:t>
            </w:r>
          </w:p>
        </w:tc>
      </w:tr>
      <w:tr w:rsidR="00E81874" w:rsidRPr="007660CE" w14:paraId="5FF4C696" w14:textId="77777777" w:rsidTr="00C07756">
        <w:trPr>
          <w:cantSplit/>
        </w:trPr>
        <w:tc>
          <w:tcPr>
            <w:tcW w:w="1573" w:type="dxa"/>
          </w:tcPr>
          <w:p w14:paraId="56EA4F69" w14:textId="77777777" w:rsidR="00E81874" w:rsidRPr="00304E53" w:rsidRDefault="00E81874" w:rsidP="00C07756">
            <w:pPr>
              <w:jc w:val="left"/>
              <w:rPr>
                <w:rFonts w:cs="Arial"/>
              </w:rPr>
            </w:pPr>
            <w:r>
              <w:t>Merkm. 14</w:t>
            </w:r>
          </w:p>
        </w:tc>
        <w:tc>
          <w:tcPr>
            <w:tcW w:w="8208" w:type="dxa"/>
          </w:tcPr>
          <w:p w14:paraId="75F55618" w14:textId="1C3C1A81" w:rsidR="00E81874" w:rsidRPr="00304E53" w:rsidRDefault="00E81874" w:rsidP="00C07756">
            <w:pPr>
              <w:keepNext/>
              <w:rPr>
                <w:rFonts w:cs="Arial"/>
              </w:rPr>
            </w:pPr>
            <w:r>
              <w:t>Soll lauten „Blatt: Dornen“</w:t>
            </w:r>
            <w:r w:rsidR="001034B7">
              <w:t xml:space="preserve"> [„Leaf: spines"]</w:t>
            </w:r>
          </w:p>
        </w:tc>
      </w:tr>
      <w:tr w:rsidR="00E81874" w:rsidRPr="007660CE" w14:paraId="51ABEBE5" w14:textId="77777777" w:rsidTr="00C07756">
        <w:trPr>
          <w:cantSplit/>
        </w:trPr>
        <w:tc>
          <w:tcPr>
            <w:tcW w:w="1573" w:type="dxa"/>
          </w:tcPr>
          <w:p w14:paraId="4C7349AC" w14:textId="77777777" w:rsidR="00E81874" w:rsidRPr="00304E53" w:rsidRDefault="00E81874" w:rsidP="00C07756">
            <w:pPr>
              <w:jc w:val="left"/>
              <w:rPr>
                <w:rFonts w:cs="Arial"/>
              </w:rPr>
            </w:pPr>
            <w:r>
              <w:t xml:space="preserve">Merkm. 18 </w:t>
            </w:r>
          </w:p>
        </w:tc>
        <w:tc>
          <w:tcPr>
            <w:tcW w:w="8208" w:type="dxa"/>
          </w:tcPr>
          <w:p w14:paraId="7DDE3BE0" w14:textId="77777777" w:rsidR="00E81874" w:rsidRPr="00304E53" w:rsidRDefault="00E81874" w:rsidP="00C07756">
            <w:pPr>
              <w:keepNext/>
              <w:rPr>
                <w:rFonts w:cs="Arial"/>
              </w:rPr>
            </w:pPr>
            <w:r>
              <w:t>„der“ [„the“] streichen</w:t>
            </w:r>
          </w:p>
        </w:tc>
      </w:tr>
      <w:tr w:rsidR="00E81874" w:rsidRPr="007660CE" w14:paraId="18F8D06C" w14:textId="77777777" w:rsidTr="00C07756">
        <w:trPr>
          <w:cantSplit/>
        </w:trPr>
        <w:tc>
          <w:tcPr>
            <w:tcW w:w="1573" w:type="dxa"/>
          </w:tcPr>
          <w:p w14:paraId="4B85A335" w14:textId="77777777" w:rsidR="00E81874" w:rsidRPr="00304E53" w:rsidRDefault="00E81874" w:rsidP="00C07756">
            <w:r>
              <w:t>Merkm. 22, 23</w:t>
            </w:r>
          </w:p>
        </w:tc>
        <w:tc>
          <w:tcPr>
            <w:tcW w:w="8208" w:type="dxa"/>
          </w:tcPr>
          <w:p w14:paraId="60D2FB1F" w14:textId="77777777" w:rsidR="00E81874" w:rsidRPr="00304E53" w:rsidRDefault="00E81874" w:rsidP="00C07756">
            <w:r>
              <w:t xml:space="preserve">(d) streichen </w:t>
            </w:r>
          </w:p>
        </w:tc>
      </w:tr>
      <w:tr w:rsidR="00E81874" w:rsidRPr="007660CE" w14:paraId="39026EFA" w14:textId="77777777" w:rsidTr="00C07756">
        <w:trPr>
          <w:cantSplit/>
        </w:trPr>
        <w:tc>
          <w:tcPr>
            <w:tcW w:w="1573" w:type="dxa"/>
          </w:tcPr>
          <w:p w14:paraId="1C6071E3" w14:textId="77777777" w:rsidR="00E81874" w:rsidRPr="00304E53" w:rsidRDefault="00E81874" w:rsidP="00C07756">
            <w:r>
              <w:t>Merkm. 23</w:t>
            </w:r>
          </w:p>
        </w:tc>
        <w:tc>
          <w:tcPr>
            <w:tcW w:w="8208" w:type="dxa"/>
          </w:tcPr>
          <w:p w14:paraId="3AFDE336" w14:textId="77777777" w:rsidR="00E81874" w:rsidRPr="00304E53" w:rsidRDefault="00E81874" w:rsidP="00C07756">
            <w:r>
              <w:t>Soll lauten „Blatt: Randwellung“ [„Leaf: undulation of margin“]</w:t>
            </w:r>
          </w:p>
        </w:tc>
      </w:tr>
      <w:tr w:rsidR="00E81874" w:rsidRPr="007660CE" w14:paraId="0832EF88" w14:textId="77777777" w:rsidTr="00C07756">
        <w:trPr>
          <w:cantSplit/>
        </w:trPr>
        <w:tc>
          <w:tcPr>
            <w:tcW w:w="1573" w:type="dxa"/>
          </w:tcPr>
          <w:p w14:paraId="2D6836ED" w14:textId="77777777" w:rsidR="00E81874" w:rsidRPr="00304E53" w:rsidRDefault="00E81874" w:rsidP="00C07756">
            <w:r>
              <w:rPr>
                <w:vertAlign w:val="superscript"/>
              </w:rPr>
              <w:t>#</w:t>
            </w:r>
            <w:r>
              <w:t xml:space="preserve">Merkm. 24 </w:t>
            </w:r>
          </w:p>
        </w:tc>
        <w:tc>
          <w:tcPr>
            <w:tcW w:w="8208" w:type="dxa"/>
          </w:tcPr>
          <w:p w14:paraId="120FEE3A" w14:textId="77777777" w:rsidR="00E81874" w:rsidRPr="00304E53" w:rsidRDefault="00E81874" w:rsidP="00C07756">
            <w:r>
              <w:t>Prüfen, ob der Wortlaut „Blütenstand: Typ“ sein soll</w:t>
            </w:r>
          </w:p>
        </w:tc>
      </w:tr>
      <w:tr w:rsidR="00E81874" w:rsidRPr="007660CE" w14:paraId="06C4991D" w14:textId="77777777" w:rsidTr="00C07756">
        <w:trPr>
          <w:cantSplit/>
        </w:trPr>
        <w:tc>
          <w:tcPr>
            <w:tcW w:w="1573" w:type="dxa"/>
          </w:tcPr>
          <w:p w14:paraId="251BDA52" w14:textId="77777777" w:rsidR="00E81874" w:rsidRPr="00304E53" w:rsidRDefault="00E81874" w:rsidP="00C07756">
            <w:pPr>
              <w:jc w:val="left"/>
            </w:pPr>
            <w:r>
              <w:t>Merkm. 28</w:t>
            </w:r>
          </w:p>
        </w:tc>
        <w:tc>
          <w:tcPr>
            <w:tcW w:w="8208" w:type="dxa"/>
          </w:tcPr>
          <w:p w14:paraId="3893522F" w14:textId="77777777" w:rsidR="00E81874" w:rsidRPr="00DB080D" w:rsidRDefault="00E81874" w:rsidP="00C07756">
            <w:r>
              <w:t>Beispielssorte „Electra“ in Stufe 1 soll lauten „Erecta“</w:t>
            </w:r>
          </w:p>
        </w:tc>
      </w:tr>
      <w:tr w:rsidR="00E81874" w:rsidRPr="007660CE" w14:paraId="03CA4B2B" w14:textId="77777777" w:rsidTr="00C07756">
        <w:trPr>
          <w:cantSplit/>
        </w:trPr>
        <w:tc>
          <w:tcPr>
            <w:tcW w:w="1573" w:type="dxa"/>
          </w:tcPr>
          <w:p w14:paraId="3F329E50" w14:textId="77777777" w:rsidR="00E81874" w:rsidRDefault="00E81874" w:rsidP="00C07756">
            <w:r>
              <w:t>#Zu 5</w:t>
            </w:r>
          </w:p>
        </w:tc>
        <w:tc>
          <w:tcPr>
            <w:tcW w:w="8208" w:type="dxa"/>
          </w:tcPr>
          <w:p w14:paraId="13F0466C" w14:textId="77777777" w:rsidR="00E81874" w:rsidRDefault="00E81874" w:rsidP="00C07756">
            <w:pPr>
              <w:rPr>
                <w:rFonts w:cs="Arial"/>
              </w:rPr>
            </w:pPr>
            <w:r>
              <w:t>Zu verbessern (die derzeitigen Bilder zeigen Bäume, was für Berberitze nicht geeignet ist, und der Unterschied zu Merkm. 2) sollte klarer zutage treten)</w:t>
            </w:r>
          </w:p>
        </w:tc>
      </w:tr>
      <w:tr w:rsidR="00E81874" w:rsidRPr="007660CE" w14:paraId="1221D028" w14:textId="77777777" w:rsidTr="00C07756">
        <w:trPr>
          <w:cantSplit/>
        </w:trPr>
        <w:tc>
          <w:tcPr>
            <w:tcW w:w="1573" w:type="dxa"/>
          </w:tcPr>
          <w:p w14:paraId="02B2715D" w14:textId="77777777" w:rsidR="00E81874" w:rsidRDefault="00E81874" w:rsidP="00C07756">
            <w:r>
              <w:t>Zu 29</w:t>
            </w:r>
          </w:p>
        </w:tc>
        <w:tc>
          <w:tcPr>
            <w:tcW w:w="8208" w:type="dxa"/>
          </w:tcPr>
          <w:p w14:paraId="12B3ADDE" w14:textId="77777777" w:rsidR="00E81874" w:rsidRDefault="00E81874" w:rsidP="00C07756">
            <w:pPr>
              <w:rPr>
                <w:rFonts w:cs="Arial"/>
              </w:rPr>
            </w:pPr>
            <w:r>
              <w:t>Die Legende zur Übersicht gemäß TGP/14 („relative Breite“, „schmal“, „breit“) anpassen</w:t>
            </w:r>
          </w:p>
        </w:tc>
      </w:tr>
      <w:tr w:rsidR="00E81874" w:rsidRPr="007660CE" w14:paraId="5B6D2846" w14:textId="77777777" w:rsidTr="00C07756">
        <w:trPr>
          <w:cantSplit/>
        </w:trPr>
        <w:tc>
          <w:tcPr>
            <w:tcW w:w="1573" w:type="dxa"/>
          </w:tcPr>
          <w:p w14:paraId="363B42FB" w14:textId="77777777" w:rsidR="00E81874" w:rsidRPr="007660CE" w:rsidRDefault="00E81874" w:rsidP="00C07756">
            <w:pPr>
              <w:jc w:val="left"/>
              <w:rPr>
                <w:rFonts w:cs="Arial"/>
              </w:rPr>
            </w:pPr>
            <w:r>
              <w:rPr>
                <w:vertAlign w:val="superscript"/>
              </w:rPr>
              <w:t>#</w:t>
            </w:r>
            <w:r>
              <w:t>9</w:t>
            </w:r>
          </w:p>
        </w:tc>
        <w:tc>
          <w:tcPr>
            <w:tcW w:w="8208" w:type="dxa"/>
          </w:tcPr>
          <w:p w14:paraId="1A8576B8" w14:textId="77777777" w:rsidR="00E81874" w:rsidRDefault="00E81874" w:rsidP="00C07756">
            <w:pPr>
              <w:keepNext/>
            </w:pPr>
            <w:r>
              <w:t>- Tippfehler im Datum der zweiten Verweisangabe berichtigen: „Caduc Alain, 2017:  ….“</w:t>
            </w:r>
          </w:p>
          <w:p w14:paraId="0D283B07" w14:textId="77777777" w:rsidR="00E81874" w:rsidRPr="0032758E" w:rsidRDefault="00E81874" w:rsidP="00C07756">
            <w:pPr>
              <w:keepNext/>
              <w:rPr>
                <w:rFonts w:cs="Arial"/>
              </w:rPr>
            </w:pPr>
            <w:r>
              <w:t>- beiden Verweisangaben Stadt und Land hinzufügen</w:t>
            </w:r>
          </w:p>
        </w:tc>
      </w:tr>
      <w:tr w:rsidR="00E81874" w:rsidRPr="007660CE" w14:paraId="4055DC73" w14:textId="77777777" w:rsidTr="00C07756">
        <w:trPr>
          <w:cantSplit/>
        </w:trPr>
        <w:tc>
          <w:tcPr>
            <w:tcW w:w="1573" w:type="dxa"/>
          </w:tcPr>
          <w:p w14:paraId="05AEF022" w14:textId="77777777" w:rsidR="00E81874" w:rsidRPr="007660CE" w:rsidRDefault="00E81874" w:rsidP="00C07756">
            <w:pPr>
              <w:jc w:val="left"/>
              <w:rPr>
                <w:rFonts w:cs="Arial"/>
              </w:rPr>
            </w:pPr>
            <w:r>
              <w:t>TQ 6.</w:t>
            </w:r>
          </w:p>
        </w:tc>
        <w:tc>
          <w:tcPr>
            <w:tcW w:w="8208" w:type="dxa"/>
          </w:tcPr>
          <w:p w14:paraId="233EEEA4" w14:textId="77777777" w:rsidR="00E81874" w:rsidRPr="007660CE" w:rsidRDefault="00E81874" w:rsidP="00C07756">
            <w:pPr>
              <w:keepNext/>
              <w:rPr>
                <w:rFonts w:cs="Arial"/>
              </w:rPr>
            </w:pPr>
            <w:r>
              <w:t>Merkmalsname soll lauten „Frucht: Form in der Seitenansicht“</w:t>
            </w:r>
          </w:p>
        </w:tc>
      </w:tr>
    </w:tbl>
    <w:p w14:paraId="38F6FD92" w14:textId="77777777" w:rsidR="00E81874" w:rsidRPr="00451A46" w:rsidRDefault="00E81874" w:rsidP="00E81874"/>
    <w:p w14:paraId="766AA30D" w14:textId="77777777" w:rsidR="00E81874" w:rsidRPr="003C5745" w:rsidRDefault="00E81874" w:rsidP="00E81874"/>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8"/>
      </w:tblGrid>
      <w:tr w:rsidR="00E81874" w:rsidRPr="005D2443" w14:paraId="7F9B08D9" w14:textId="77777777" w:rsidTr="00C07756">
        <w:trPr>
          <w:cantSplit/>
          <w:trHeight w:val="277"/>
          <w:jc w:val="center"/>
        </w:trPr>
        <w:tc>
          <w:tcPr>
            <w:tcW w:w="2894" w:type="dxa"/>
            <w:vMerge w:val="restart"/>
            <w:shd w:val="clear" w:color="auto" w:fill="D9D9D9"/>
            <w:vAlign w:val="center"/>
          </w:tcPr>
          <w:p w14:paraId="73FE21D4" w14:textId="77777777" w:rsidR="00E81874" w:rsidRPr="00451A46" w:rsidRDefault="00E81874" w:rsidP="00C07756">
            <w:pPr>
              <w:pStyle w:val="TitleofDoc"/>
              <w:keepNext/>
              <w:tabs>
                <w:tab w:val="left" w:pos="5245"/>
                <w:tab w:val="left" w:pos="7008"/>
              </w:tabs>
              <w:spacing w:before="0"/>
              <w:jc w:val="left"/>
              <w:rPr>
                <w:rFonts w:cs="Arial"/>
                <w:caps w:val="0"/>
              </w:rPr>
            </w:pPr>
            <w:r>
              <w:rPr>
                <w:caps w:val="0"/>
              </w:rPr>
              <w:t>Aprikose</w:t>
            </w:r>
            <w:r>
              <w:rPr>
                <w:caps w:val="0"/>
              </w:rPr>
              <w:br/>
              <w:t>(</w:t>
            </w:r>
            <w:r>
              <w:rPr>
                <w:i/>
                <w:caps w:val="0"/>
              </w:rPr>
              <w:t xml:space="preserve">Prunus armeniaca </w:t>
            </w:r>
            <w:r>
              <w:rPr>
                <w:caps w:val="0"/>
              </w:rPr>
              <w:t>L.)</w:t>
            </w:r>
          </w:p>
        </w:tc>
        <w:tc>
          <w:tcPr>
            <w:tcW w:w="2552" w:type="dxa"/>
            <w:shd w:val="clear" w:color="auto" w:fill="D9D9D9"/>
            <w:vAlign w:val="center"/>
          </w:tcPr>
          <w:p w14:paraId="7764C8CF" w14:textId="77777777" w:rsidR="00E81874" w:rsidRPr="007660CE" w:rsidRDefault="00E81874" w:rsidP="00C07756">
            <w:pPr>
              <w:pStyle w:val="TitleofDoc"/>
              <w:keepNext/>
              <w:tabs>
                <w:tab w:val="left" w:pos="5245"/>
                <w:tab w:val="left" w:pos="7008"/>
              </w:tabs>
              <w:spacing w:before="0"/>
              <w:jc w:val="left"/>
              <w:rPr>
                <w:rFonts w:cs="Arial"/>
                <w:caps w:val="0"/>
              </w:rPr>
            </w:pPr>
            <w:r>
              <w:rPr>
                <w:color w:val="000000"/>
              </w:rPr>
              <w:t>TG/70/5(proj.6)</w:t>
            </w:r>
          </w:p>
        </w:tc>
        <w:tc>
          <w:tcPr>
            <w:tcW w:w="2807" w:type="dxa"/>
            <w:shd w:val="clear" w:color="auto" w:fill="D9D9D9"/>
            <w:vAlign w:val="center"/>
          </w:tcPr>
          <w:p w14:paraId="7078A4B5" w14:textId="77777777" w:rsidR="00E81874" w:rsidRPr="00784926" w:rsidRDefault="00E81874" w:rsidP="00C07756">
            <w:pPr>
              <w:keepNext/>
              <w:jc w:val="left"/>
              <w:rPr>
                <w:rFonts w:cs="Arial"/>
                <w:iCs/>
                <w:snapToGrid w:val="0"/>
                <w:color w:val="000000"/>
              </w:rPr>
            </w:pPr>
            <w:r>
              <w:t>Hr. Zsolt Szani (HU)</w:t>
            </w:r>
          </w:p>
        </w:tc>
        <w:tc>
          <w:tcPr>
            <w:tcW w:w="736" w:type="dxa"/>
            <w:vMerge w:val="restart"/>
            <w:shd w:val="clear" w:color="auto" w:fill="D9D9D9"/>
            <w:vAlign w:val="center"/>
          </w:tcPr>
          <w:p w14:paraId="5F53A92A" w14:textId="77777777" w:rsidR="00E81874" w:rsidRPr="005D2443" w:rsidRDefault="00E81874" w:rsidP="00C07756">
            <w:pPr>
              <w:keepNext/>
              <w:jc w:val="left"/>
              <w:rPr>
                <w:rFonts w:cs="Arial"/>
                <w:iCs/>
              </w:rPr>
            </w:pPr>
            <w:r>
              <w:t>TWF</w:t>
            </w:r>
          </w:p>
        </w:tc>
        <w:tc>
          <w:tcPr>
            <w:tcW w:w="998" w:type="dxa"/>
            <w:vMerge w:val="restart"/>
            <w:shd w:val="clear" w:color="auto" w:fill="D9D9D9"/>
            <w:vAlign w:val="center"/>
          </w:tcPr>
          <w:p w14:paraId="278DA260" w14:textId="77777777" w:rsidR="00E81874" w:rsidRPr="005D2443" w:rsidRDefault="00E81874" w:rsidP="00C07756">
            <w:pPr>
              <w:pStyle w:val="BodyText"/>
              <w:keepNext/>
              <w:jc w:val="left"/>
              <w:rPr>
                <w:rFonts w:cs="Arial"/>
                <w:iCs/>
                <w:snapToGrid w:val="0"/>
              </w:rPr>
            </w:pPr>
            <w:r>
              <w:rPr>
                <w:snapToGrid w:val="0"/>
              </w:rPr>
              <w:t>*</w:t>
            </w:r>
          </w:p>
        </w:tc>
      </w:tr>
      <w:tr w:rsidR="00E81874" w:rsidRPr="007660CE" w14:paraId="5D6E3B1D" w14:textId="77777777" w:rsidTr="00C07756">
        <w:trPr>
          <w:cantSplit/>
          <w:trHeight w:hRule="exact" w:val="969"/>
          <w:jc w:val="center"/>
        </w:trPr>
        <w:tc>
          <w:tcPr>
            <w:tcW w:w="2894" w:type="dxa"/>
            <w:vMerge/>
            <w:shd w:val="clear" w:color="auto" w:fill="D9D9D9"/>
            <w:vAlign w:val="center"/>
          </w:tcPr>
          <w:p w14:paraId="79AF7413" w14:textId="77777777" w:rsidR="00E81874" w:rsidRPr="005D2443" w:rsidRDefault="00E81874" w:rsidP="00C07756">
            <w:pPr>
              <w:pStyle w:val="TitleofDoc"/>
              <w:keepNext/>
              <w:tabs>
                <w:tab w:val="left" w:pos="5245"/>
                <w:tab w:val="left" w:pos="7008"/>
              </w:tabs>
              <w:spacing w:before="0"/>
              <w:jc w:val="left"/>
              <w:rPr>
                <w:rFonts w:cs="Arial"/>
                <w:caps w:val="0"/>
              </w:rPr>
            </w:pPr>
          </w:p>
        </w:tc>
        <w:tc>
          <w:tcPr>
            <w:tcW w:w="2552" w:type="dxa"/>
            <w:shd w:val="clear" w:color="auto" w:fill="D9D9D9"/>
            <w:vAlign w:val="center"/>
          </w:tcPr>
          <w:p w14:paraId="5B04F7DC" w14:textId="77777777" w:rsidR="00E81874" w:rsidRPr="008A73B8" w:rsidRDefault="00E81874" w:rsidP="00C07756">
            <w:pPr>
              <w:pStyle w:val="BodyText"/>
              <w:keepNext/>
              <w:jc w:val="left"/>
              <w:rPr>
                <w:rFonts w:cs="Arial"/>
                <w:color w:val="000000"/>
              </w:rPr>
            </w:pPr>
            <w:r>
              <w:rPr>
                <w:color w:val="000000"/>
              </w:rPr>
              <w:t>Anzahl von Merkm.:  59 Anzahl von (</w:t>
            </w:r>
            <w:r>
              <w:rPr>
                <w:color w:val="000000"/>
              </w:rPr>
              <w:sym w:font="Symbol" w:char="F02A"/>
            </w:r>
            <w:r>
              <w:rPr>
                <w:color w:val="000000"/>
              </w:rPr>
              <w:t>) Merkm.:  29</w:t>
            </w:r>
          </w:p>
        </w:tc>
        <w:tc>
          <w:tcPr>
            <w:tcW w:w="2807" w:type="dxa"/>
            <w:shd w:val="clear" w:color="auto" w:fill="D9D9D9"/>
            <w:vAlign w:val="center"/>
          </w:tcPr>
          <w:p w14:paraId="68A58F9B" w14:textId="77777777" w:rsidR="00E81874" w:rsidRPr="007660CE" w:rsidRDefault="00E81874" w:rsidP="00C07756">
            <w:pPr>
              <w:keepNext/>
              <w:jc w:val="left"/>
              <w:rPr>
                <w:rFonts w:cs="Arial"/>
                <w:iCs/>
                <w:snapToGrid w:val="0"/>
                <w:color w:val="000000"/>
              </w:rPr>
            </w:pPr>
            <w:r>
              <w:rPr>
                <w:snapToGrid w:val="0"/>
                <w:color w:val="000000"/>
              </w:rPr>
              <w:t xml:space="preserve">(Beteiligte Sachverständige:  </w:t>
            </w:r>
            <w:r>
              <w:t>AU, BG, CN, CZ, ES, FR, HU, IL, IT, JP, KR, MA, NZ, PL, QZ, RO, ZA, CIOPORA)</w:t>
            </w:r>
          </w:p>
        </w:tc>
        <w:tc>
          <w:tcPr>
            <w:tcW w:w="736" w:type="dxa"/>
            <w:vMerge/>
            <w:shd w:val="clear" w:color="auto" w:fill="D9D9D9"/>
            <w:vAlign w:val="center"/>
          </w:tcPr>
          <w:p w14:paraId="32832199" w14:textId="77777777" w:rsidR="00E81874" w:rsidRPr="007660CE" w:rsidRDefault="00E81874" w:rsidP="00C07756">
            <w:pPr>
              <w:keepNext/>
              <w:jc w:val="left"/>
              <w:rPr>
                <w:rFonts w:cs="Arial"/>
                <w:iCs/>
              </w:rPr>
            </w:pPr>
          </w:p>
        </w:tc>
        <w:tc>
          <w:tcPr>
            <w:tcW w:w="998" w:type="dxa"/>
            <w:vMerge/>
            <w:shd w:val="clear" w:color="auto" w:fill="D9D9D9"/>
            <w:vAlign w:val="center"/>
          </w:tcPr>
          <w:p w14:paraId="6BACC0D2" w14:textId="77777777" w:rsidR="00E81874" w:rsidRPr="007660CE" w:rsidRDefault="00E81874" w:rsidP="00C07756">
            <w:pPr>
              <w:pStyle w:val="BodyText"/>
              <w:keepNext/>
              <w:jc w:val="left"/>
              <w:rPr>
                <w:rFonts w:cs="Arial"/>
                <w:iCs/>
                <w:snapToGrid w:val="0"/>
              </w:rPr>
            </w:pPr>
          </w:p>
        </w:tc>
      </w:tr>
    </w:tbl>
    <w:p w14:paraId="68DEA711" w14:textId="77777777" w:rsidR="00E81874" w:rsidRDefault="00E81874" w:rsidP="00E81874"/>
    <w:p w14:paraId="40BC27B8" w14:textId="77777777" w:rsidR="00E81874" w:rsidRPr="008D0013" w:rsidRDefault="00E81874" w:rsidP="00E81874">
      <w:pPr>
        <w:keepNext/>
        <w:ind w:firstLine="567"/>
        <w:rPr>
          <w:rFonts w:cs="Arial"/>
        </w:rPr>
      </w:pPr>
      <w:r>
        <w:t>Der TC-EDC prüfte auf seiner am 12. und 13. Oktober 2021 auf elektronischem Wege abgehaltenen Tagung das Dokument </w:t>
      </w:r>
      <w:r>
        <w:rPr>
          <w:caps/>
        </w:rPr>
        <w:t>TG/70/5(</w:t>
      </w:r>
      <w:r>
        <w:t>proj</w:t>
      </w:r>
      <w:r>
        <w:rPr>
          <w:caps/>
        </w:rPr>
        <w:t>.6)</w:t>
      </w:r>
      <w:r>
        <w:t xml:space="preserve"> und gab die in der nachstehenden Tabelle aufgeführten Empfehlungen ab.</w:t>
      </w:r>
    </w:p>
    <w:p w14:paraId="0D4C90F1" w14:textId="77777777" w:rsidR="00E81874" w:rsidRPr="008D0013" w:rsidRDefault="00E81874" w:rsidP="00E81874">
      <w:pPr>
        <w:keepNext/>
        <w:autoSpaceDE w:val="0"/>
        <w:autoSpaceDN w:val="0"/>
        <w:adjustRightInd w:val="0"/>
        <w:ind w:firstLine="567"/>
        <w:rPr>
          <w:rFonts w:cs="Arial"/>
        </w:rPr>
      </w:pPr>
    </w:p>
    <w:p w14:paraId="4D6131E3" w14:textId="77777777" w:rsidR="00E81874" w:rsidRPr="008D0013" w:rsidRDefault="00E81874" w:rsidP="00E81874">
      <w:pPr>
        <w:autoSpaceDE w:val="0"/>
        <w:autoSpaceDN w:val="0"/>
        <w:adjustRightInd w:val="0"/>
        <w:ind w:firstLine="567"/>
        <w:rPr>
          <w:rFonts w:cs="Arial"/>
        </w:rPr>
      </w:pPr>
      <w:r>
        <w:t>Der TC-EDC vereinbarte, dass der Entwurf von Prüfungsrichtlinien für Aprikose dem TC zur Annahme vorzulegen sei.</w:t>
      </w:r>
    </w:p>
    <w:p w14:paraId="24C39E1E" w14:textId="77777777" w:rsidR="00E81874" w:rsidRPr="007660CE" w:rsidRDefault="00E81874" w:rsidP="00E8187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E81874" w:rsidRPr="007660CE" w14:paraId="00A76084" w14:textId="77777777" w:rsidTr="00C07756">
        <w:trPr>
          <w:cantSplit/>
        </w:trPr>
        <w:tc>
          <w:tcPr>
            <w:tcW w:w="1573" w:type="dxa"/>
          </w:tcPr>
          <w:p w14:paraId="7F95B7C4" w14:textId="77777777" w:rsidR="00E81874" w:rsidRPr="00304E53" w:rsidRDefault="00E81874" w:rsidP="00C07756">
            <w:pPr>
              <w:jc w:val="left"/>
              <w:rPr>
                <w:rFonts w:cs="Arial"/>
              </w:rPr>
            </w:pPr>
            <w:r>
              <w:t>Merkm. 27</w:t>
            </w:r>
          </w:p>
        </w:tc>
        <w:tc>
          <w:tcPr>
            <w:tcW w:w="8208" w:type="dxa"/>
          </w:tcPr>
          <w:p w14:paraId="2DB7D65C" w14:textId="77777777" w:rsidR="00E81874" w:rsidRPr="00304E53" w:rsidRDefault="00E81874" w:rsidP="00C07756">
            <w:pPr>
              <w:keepNext/>
              <w:rPr>
                <w:rFonts w:cs="Arial"/>
                <w:i/>
              </w:rPr>
            </w:pPr>
            <w:r>
              <w:t>(c) streichen</w:t>
            </w:r>
            <w:r>
              <w:rPr>
                <w:i/>
              </w:rPr>
              <w:t xml:space="preserve"> </w:t>
            </w:r>
          </w:p>
        </w:tc>
      </w:tr>
      <w:tr w:rsidR="00E81874" w:rsidRPr="007660CE" w14:paraId="526D7DE4" w14:textId="77777777" w:rsidTr="00C07756">
        <w:trPr>
          <w:cantSplit/>
        </w:trPr>
        <w:tc>
          <w:tcPr>
            <w:tcW w:w="1573" w:type="dxa"/>
          </w:tcPr>
          <w:p w14:paraId="302E5A4E" w14:textId="77777777" w:rsidR="00E81874" w:rsidRPr="00304E53" w:rsidRDefault="00E81874" w:rsidP="00C07756">
            <w:r>
              <w:t>Merkm. 29</w:t>
            </w:r>
          </w:p>
        </w:tc>
        <w:tc>
          <w:tcPr>
            <w:tcW w:w="8208" w:type="dxa"/>
          </w:tcPr>
          <w:p w14:paraId="7D4B3E92" w14:textId="77777777" w:rsidR="00E81874" w:rsidRDefault="00E81874" w:rsidP="00C07756">
            <w:pPr>
              <w:rPr>
                <w:i/>
              </w:rPr>
            </w:pPr>
            <w:r>
              <w:t>- (d) streichen</w:t>
            </w:r>
            <w:r>
              <w:rPr>
                <w:i/>
              </w:rPr>
              <w:t xml:space="preserve"> </w:t>
            </w:r>
          </w:p>
          <w:p w14:paraId="4AAC6362" w14:textId="77777777" w:rsidR="00E81874" w:rsidRPr="00304E53" w:rsidRDefault="00E81874" w:rsidP="00C07756">
            <w:r>
              <w:rPr>
                <w:i/>
              </w:rPr>
              <w:t xml:space="preserve">- </w:t>
            </w:r>
            <w:r>
              <w:t>Beispielssorte „Tengeribarack C. 2546“ streichen</w:t>
            </w:r>
          </w:p>
        </w:tc>
      </w:tr>
      <w:tr w:rsidR="00E81874" w:rsidRPr="007660CE" w14:paraId="37A95EEA" w14:textId="77777777" w:rsidTr="00C07756">
        <w:trPr>
          <w:cantSplit/>
        </w:trPr>
        <w:tc>
          <w:tcPr>
            <w:tcW w:w="1573" w:type="dxa"/>
          </w:tcPr>
          <w:p w14:paraId="4D83851F" w14:textId="77777777" w:rsidR="00E81874" w:rsidRPr="00304E53" w:rsidRDefault="00E81874" w:rsidP="00C07756">
            <w:r>
              <w:t>Merkm. 39</w:t>
            </w:r>
          </w:p>
        </w:tc>
        <w:tc>
          <w:tcPr>
            <w:tcW w:w="8208" w:type="dxa"/>
          </w:tcPr>
          <w:p w14:paraId="4996C250" w14:textId="77777777" w:rsidR="00E81874" w:rsidRPr="00304E53" w:rsidRDefault="00E81874" w:rsidP="00C07756">
            <w:r>
              <w:t>- Beispielssorte „Kayzee“ streichen</w:t>
            </w:r>
          </w:p>
        </w:tc>
      </w:tr>
      <w:tr w:rsidR="00E81874" w:rsidRPr="007660CE" w14:paraId="1ED3DE08" w14:textId="77777777" w:rsidTr="00C07756">
        <w:trPr>
          <w:cantSplit/>
        </w:trPr>
        <w:tc>
          <w:tcPr>
            <w:tcW w:w="1573" w:type="dxa"/>
          </w:tcPr>
          <w:p w14:paraId="77AB0767" w14:textId="77777777" w:rsidR="00E81874" w:rsidRPr="00304E53" w:rsidRDefault="00E81874" w:rsidP="00C07756">
            <w:r>
              <w:t>Merkm. 47</w:t>
            </w:r>
          </w:p>
        </w:tc>
        <w:tc>
          <w:tcPr>
            <w:tcW w:w="8208" w:type="dxa"/>
          </w:tcPr>
          <w:p w14:paraId="7747F6CC" w14:textId="77777777" w:rsidR="00E81874" w:rsidRPr="00304E53" w:rsidRDefault="00E81874" w:rsidP="00C07756">
            <w:r>
              <w:t>- Beispielssorte „Kayzee“ streichen</w:t>
            </w:r>
          </w:p>
        </w:tc>
      </w:tr>
      <w:tr w:rsidR="00E81874" w:rsidRPr="007660CE" w14:paraId="1F896595" w14:textId="77777777" w:rsidTr="00C07756">
        <w:trPr>
          <w:cantSplit/>
        </w:trPr>
        <w:tc>
          <w:tcPr>
            <w:tcW w:w="1573" w:type="dxa"/>
          </w:tcPr>
          <w:p w14:paraId="40F99E5D" w14:textId="77777777" w:rsidR="00E81874" w:rsidRPr="00304E53" w:rsidRDefault="00E81874" w:rsidP="00C07756">
            <w:r>
              <w:t>Merkm. 50</w:t>
            </w:r>
          </w:p>
        </w:tc>
        <w:tc>
          <w:tcPr>
            <w:tcW w:w="8208" w:type="dxa"/>
          </w:tcPr>
          <w:p w14:paraId="433D3E3C" w14:textId="77777777" w:rsidR="00E81874" w:rsidRPr="00304E53" w:rsidRDefault="00E81874" w:rsidP="00C07756">
            <w:r>
              <w:t>Stufe 3 soll lauten „durchgehend sehr fein gefleckt“ [„very small spots throughout“]</w:t>
            </w:r>
          </w:p>
        </w:tc>
      </w:tr>
      <w:tr w:rsidR="00E81874" w:rsidRPr="007660CE" w14:paraId="5FEA3D7A" w14:textId="77777777" w:rsidTr="00C07756">
        <w:trPr>
          <w:cantSplit/>
        </w:trPr>
        <w:tc>
          <w:tcPr>
            <w:tcW w:w="1573" w:type="dxa"/>
            <w:shd w:val="clear" w:color="auto" w:fill="auto"/>
          </w:tcPr>
          <w:p w14:paraId="750ABA2D" w14:textId="77777777" w:rsidR="00E81874" w:rsidRPr="00304E53" w:rsidRDefault="00E81874" w:rsidP="00C07756">
            <w:pPr>
              <w:pStyle w:val="BodyText"/>
              <w:jc w:val="left"/>
              <w:rPr>
                <w:rFonts w:eastAsia="MS Mincho" w:cs="Arial"/>
              </w:rPr>
            </w:pPr>
            <w:r>
              <w:t>8.1 (d)</w:t>
            </w:r>
          </w:p>
        </w:tc>
        <w:tc>
          <w:tcPr>
            <w:tcW w:w="8208" w:type="dxa"/>
          </w:tcPr>
          <w:p w14:paraId="37954144" w14:textId="77777777" w:rsidR="00E81874" w:rsidRDefault="00E81874" w:rsidP="00C07756">
            <w:pPr>
              <w:pStyle w:val="BodyText"/>
              <w:jc w:val="left"/>
              <w:rPr>
                <w:rFonts w:eastAsia="MS Mincho" w:cs="Arial"/>
              </w:rPr>
            </w:pPr>
            <w:r>
              <w:t xml:space="preserve">- hinzufügen: „Erfassungen sollten an erntereifen Früchten erfolgen. Die Fruchtreife sollte als der Zeitpunkt der Genussreife betrachtet werden.“ </w:t>
            </w:r>
          </w:p>
          <w:p w14:paraId="73F59D59" w14:textId="77777777" w:rsidR="00E81874" w:rsidRDefault="00E81874" w:rsidP="00C07756">
            <w:pPr>
              <w:pStyle w:val="BodyText"/>
              <w:jc w:val="left"/>
              <w:rPr>
                <w:rFonts w:eastAsia="MS Mincho" w:cs="Arial"/>
              </w:rPr>
            </w:pPr>
            <w:r>
              <w:t>- die Legenden zur Abbildung sollen lauten:</w:t>
            </w:r>
          </w:p>
          <w:p w14:paraId="30A262C2" w14:textId="77777777" w:rsidR="00E81874" w:rsidRPr="005053D5" w:rsidRDefault="00E81874" w:rsidP="00C07756">
            <w:pPr>
              <w:pStyle w:val="BodyText"/>
              <w:jc w:val="left"/>
              <w:rPr>
                <w:rFonts w:eastAsia="MS Mincho" w:cs="Arial"/>
              </w:rPr>
            </w:pPr>
            <w:r>
              <w:t xml:space="preserve">„c = </w:t>
            </w:r>
            <w:r>
              <w:rPr>
                <w:strike/>
              </w:rPr>
              <w:t>Laterale</w:t>
            </w:r>
            <w:r>
              <w:t xml:space="preserve"> Breite“</w:t>
            </w:r>
          </w:p>
          <w:p w14:paraId="60B37707" w14:textId="77777777" w:rsidR="00E81874" w:rsidRPr="000449A0" w:rsidRDefault="00E81874" w:rsidP="00C07756">
            <w:pPr>
              <w:pStyle w:val="BodyText"/>
              <w:jc w:val="left"/>
              <w:rPr>
                <w:rFonts w:eastAsia="MS Mincho" w:cs="Arial"/>
              </w:rPr>
            </w:pPr>
            <w:r>
              <w:t xml:space="preserve">„c = </w:t>
            </w:r>
            <w:r>
              <w:rPr>
                <w:strike/>
              </w:rPr>
              <w:t>Ventrale</w:t>
            </w:r>
            <w:r>
              <w:t xml:space="preserve"> Breite“</w:t>
            </w:r>
          </w:p>
        </w:tc>
      </w:tr>
      <w:tr w:rsidR="00E81874" w:rsidRPr="007660CE" w14:paraId="1063EE8E" w14:textId="77777777" w:rsidTr="00C07756">
        <w:trPr>
          <w:cantSplit/>
        </w:trPr>
        <w:tc>
          <w:tcPr>
            <w:tcW w:w="1573" w:type="dxa"/>
            <w:shd w:val="clear" w:color="auto" w:fill="auto"/>
          </w:tcPr>
          <w:p w14:paraId="38456DC7" w14:textId="77777777" w:rsidR="00E81874" w:rsidRPr="00304E53" w:rsidRDefault="00E81874" w:rsidP="00C07756">
            <w:r>
              <w:t>Zu 15</w:t>
            </w:r>
          </w:p>
        </w:tc>
        <w:tc>
          <w:tcPr>
            <w:tcW w:w="8208" w:type="dxa"/>
          </w:tcPr>
          <w:p w14:paraId="5A9139D1" w14:textId="77777777" w:rsidR="00E81874" w:rsidRPr="00953961" w:rsidRDefault="00E81874" w:rsidP="00C07756">
            <w:r>
              <w:t>Schriftgröße des Satzes prüfen (erscheint kleiner).</w:t>
            </w:r>
          </w:p>
        </w:tc>
      </w:tr>
      <w:tr w:rsidR="00E81874" w:rsidRPr="007660CE" w14:paraId="759B113E" w14:textId="77777777" w:rsidTr="00C07756">
        <w:trPr>
          <w:cantSplit/>
        </w:trPr>
        <w:tc>
          <w:tcPr>
            <w:tcW w:w="1573" w:type="dxa"/>
            <w:shd w:val="clear" w:color="auto" w:fill="auto"/>
          </w:tcPr>
          <w:p w14:paraId="64C37914" w14:textId="77777777" w:rsidR="00E81874" w:rsidRPr="00304E53" w:rsidRDefault="00E81874" w:rsidP="00C07756">
            <w:pPr>
              <w:pStyle w:val="BodyText"/>
              <w:keepNext/>
              <w:jc w:val="left"/>
              <w:rPr>
                <w:rFonts w:eastAsia="MS Mincho" w:cs="Arial"/>
              </w:rPr>
            </w:pPr>
            <w:r>
              <w:t>Zu 38</w:t>
            </w:r>
          </w:p>
        </w:tc>
        <w:tc>
          <w:tcPr>
            <w:tcW w:w="8208" w:type="dxa"/>
          </w:tcPr>
          <w:p w14:paraId="3A08D6A6" w14:textId="77777777" w:rsidR="00E81874" w:rsidRDefault="00E81874" w:rsidP="00C07756">
            <w:pPr>
              <w:pStyle w:val="BodyText"/>
              <w:keepNext/>
              <w:jc w:val="left"/>
              <w:rPr>
                <w:rFonts w:eastAsia="MS Mincho" w:cs="Arial"/>
              </w:rPr>
            </w:pPr>
            <w:r>
              <w:t>- Stufen aktualisieren, so dass sie zum Merkmal passen</w:t>
            </w:r>
          </w:p>
          <w:p w14:paraId="001F64BE" w14:textId="77777777" w:rsidR="00E81874" w:rsidRDefault="00E81874" w:rsidP="00C07756">
            <w:pPr>
              <w:pStyle w:val="BodyText"/>
              <w:keepNext/>
              <w:jc w:val="left"/>
              <w:rPr>
                <w:rFonts w:eastAsia="MS Mincho" w:cs="Arial"/>
              </w:rPr>
            </w:pPr>
            <w:r>
              <w:t>- den Rahmen aus der Abbildung zu Stufe 1 entfernen</w:t>
            </w:r>
          </w:p>
          <w:p w14:paraId="4F68769C" w14:textId="77777777" w:rsidR="00E81874" w:rsidRDefault="00E81874" w:rsidP="00C07756">
            <w:pPr>
              <w:pStyle w:val="BodyText"/>
              <w:keepNext/>
              <w:jc w:val="left"/>
              <w:rPr>
                <w:rFonts w:eastAsia="MS Mincho" w:cs="Arial"/>
              </w:rPr>
            </w:pPr>
            <w:r>
              <w:t>- Abbildungen zu Stufen 2 bis 4 durch untenstehende Abbildungen ersetzen</w:t>
            </w:r>
          </w:p>
        </w:tc>
      </w:tr>
    </w:tbl>
    <w:p w14:paraId="58F16631" w14:textId="77777777" w:rsidR="00E81874" w:rsidRPr="001906C5" w:rsidRDefault="00E81874" w:rsidP="00E81874">
      <w:pPr>
        <w:keepNext/>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410"/>
        <w:gridCol w:w="2410"/>
      </w:tblGrid>
      <w:tr w:rsidR="00E81874" w14:paraId="1D2A5769" w14:textId="77777777" w:rsidTr="00C07756">
        <w:tc>
          <w:tcPr>
            <w:tcW w:w="2410" w:type="dxa"/>
          </w:tcPr>
          <w:p w14:paraId="3FEA4A94" w14:textId="77777777" w:rsidR="00E81874" w:rsidRDefault="00E81874" w:rsidP="00C07756">
            <w:pPr>
              <w:jc w:val="center"/>
            </w:pPr>
            <w:r>
              <w:rPr>
                <w:noProof/>
                <w:lang w:val="en-US"/>
              </w:rPr>
              <w:drawing>
                <wp:inline distT="0" distB="0" distL="0" distR="0" wp14:anchorId="6B537F6E" wp14:editId="7D4C817D">
                  <wp:extent cx="1234059" cy="1234059"/>
                  <wp:effectExtent l="0" t="0" r="444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ar 38_state 2 slightly sunken_cut.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37404" cy="1237404"/>
                          </a:xfrm>
                          <a:prstGeom prst="rect">
                            <a:avLst/>
                          </a:prstGeom>
                        </pic:spPr>
                      </pic:pic>
                    </a:graphicData>
                  </a:graphic>
                </wp:inline>
              </w:drawing>
            </w:r>
          </w:p>
        </w:tc>
        <w:tc>
          <w:tcPr>
            <w:tcW w:w="2410" w:type="dxa"/>
          </w:tcPr>
          <w:p w14:paraId="1A3BF55F" w14:textId="77777777" w:rsidR="00E81874" w:rsidRDefault="00E81874" w:rsidP="00C07756">
            <w:pPr>
              <w:jc w:val="center"/>
            </w:pPr>
            <w:r>
              <w:rPr>
                <w:noProof/>
                <w:lang w:val="en-US"/>
              </w:rPr>
              <w:drawing>
                <wp:inline distT="0" distB="0" distL="0" distR="0" wp14:anchorId="7B109337" wp14:editId="45EC9A18">
                  <wp:extent cx="1226718" cy="122671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ar 38_state 3 moderately sunken_cut.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36673" cy="1236673"/>
                          </a:xfrm>
                          <a:prstGeom prst="rect">
                            <a:avLst/>
                          </a:prstGeom>
                        </pic:spPr>
                      </pic:pic>
                    </a:graphicData>
                  </a:graphic>
                </wp:inline>
              </w:drawing>
            </w:r>
          </w:p>
        </w:tc>
        <w:tc>
          <w:tcPr>
            <w:tcW w:w="2410" w:type="dxa"/>
          </w:tcPr>
          <w:p w14:paraId="0940FCAE" w14:textId="77777777" w:rsidR="00E81874" w:rsidRDefault="00E81874" w:rsidP="00C07756">
            <w:pPr>
              <w:jc w:val="center"/>
            </w:pPr>
            <w:r>
              <w:rPr>
                <w:noProof/>
                <w:lang w:val="en-US"/>
              </w:rPr>
              <w:drawing>
                <wp:inline distT="0" distB="0" distL="0" distR="0" wp14:anchorId="20E060F7" wp14:editId="5AF499D4">
                  <wp:extent cx="1233083" cy="1233595"/>
                  <wp:effectExtent l="0" t="0" r="5715"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har 38_state 4 deeply sunken_cut.jpg"/>
                          <pic:cNvPicPr/>
                        </pic:nvPicPr>
                        <pic:blipFill>
                          <a:blip r:embed="rId22" cstate="print">
                            <a:extLst>
                              <a:ext uri="{28A0092B-C50C-407E-A947-70E740481C1C}">
                                <a14:useLocalDpi xmlns:a14="http://schemas.microsoft.com/office/drawing/2010/main" val="0"/>
                              </a:ext>
                            </a:extLst>
                          </a:blip>
                          <a:stretch>
                            <a:fillRect/>
                          </a:stretch>
                        </pic:blipFill>
                        <pic:spPr>
                          <a:xfrm flipH="1">
                            <a:off x="0" y="0"/>
                            <a:ext cx="1241153" cy="1241668"/>
                          </a:xfrm>
                          <a:prstGeom prst="rect">
                            <a:avLst/>
                          </a:prstGeom>
                        </pic:spPr>
                      </pic:pic>
                    </a:graphicData>
                  </a:graphic>
                </wp:inline>
              </w:drawing>
            </w:r>
          </w:p>
        </w:tc>
      </w:tr>
      <w:tr w:rsidR="00E81874" w14:paraId="46BBA0A2" w14:textId="77777777" w:rsidTr="00C07756">
        <w:tc>
          <w:tcPr>
            <w:tcW w:w="2410" w:type="dxa"/>
          </w:tcPr>
          <w:p w14:paraId="7C681375" w14:textId="77777777" w:rsidR="00E81874" w:rsidRDefault="00E81874" w:rsidP="00C07756">
            <w:pPr>
              <w:jc w:val="center"/>
            </w:pPr>
            <w:r>
              <w:t>2</w:t>
            </w:r>
          </w:p>
        </w:tc>
        <w:tc>
          <w:tcPr>
            <w:tcW w:w="2410" w:type="dxa"/>
          </w:tcPr>
          <w:p w14:paraId="3FBF782C" w14:textId="77777777" w:rsidR="00E81874" w:rsidRDefault="00E81874" w:rsidP="00C07756">
            <w:pPr>
              <w:jc w:val="center"/>
            </w:pPr>
            <w:r>
              <w:t>3</w:t>
            </w:r>
          </w:p>
        </w:tc>
        <w:tc>
          <w:tcPr>
            <w:tcW w:w="2410" w:type="dxa"/>
          </w:tcPr>
          <w:p w14:paraId="2F7215D0" w14:textId="77777777" w:rsidR="00E81874" w:rsidRDefault="00E81874" w:rsidP="00C07756">
            <w:pPr>
              <w:jc w:val="center"/>
            </w:pPr>
            <w:r>
              <w:t>4</w:t>
            </w:r>
          </w:p>
        </w:tc>
      </w:tr>
      <w:tr w:rsidR="00E81874" w14:paraId="0979D261" w14:textId="77777777" w:rsidTr="00C07756">
        <w:tc>
          <w:tcPr>
            <w:tcW w:w="2410" w:type="dxa"/>
          </w:tcPr>
          <w:p w14:paraId="270E390D" w14:textId="77777777" w:rsidR="00E81874" w:rsidRDefault="00E81874" w:rsidP="00C07756">
            <w:pPr>
              <w:jc w:val="center"/>
            </w:pPr>
            <w:r>
              <w:t>leicht eingesunken</w:t>
            </w:r>
          </w:p>
        </w:tc>
        <w:tc>
          <w:tcPr>
            <w:tcW w:w="2410" w:type="dxa"/>
          </w:tcPr>
          <w:p w14:paraId="67AF6529" w14:textId="77777777" w:rsidR="00E81874" w:rsidRDefault="00E81874" w:rsidP="00C07756">
            <w:pPr>
              <w:jc w:val="center"/>
            </w:pPr>
            <w:r>
              <w:t>mäßig eingesunken</w:t>
            </w:r>
          </w:p>
        </w:tc>
        <w:tc>
          <w:tcPr>
            <w:tcW w:w="2410" w:type="dxa"/>
          </w:tcPr>
          <w:p w14:paraId="4EC8D400" w14:textId="77777777" w:rsidR="00E81874" w:rsidRDefault="00E81874" w:rsidP="00C07756">
            <w:pPr>
              <w:jc w:val="center"/>
            </w:pPr>
            <w:r>
              <w:t>tief eingesunken</w:t>
            </w:r>
          </w:p>
        </w:tc>
      </w:tr>
    </w:tbl>
    <w:p w14:paraId="21888691" w14:textId="77777777" w:rsidR="00E81874" w:rsidRDefault="00E81874" w:rsidP="00E8187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E81874" w:rsidRPr="007660CE" w14:paraId="3D5334C5" w14:textId="77777777" w:rsidTr="00C07756">
        <w:trPr>
          <w:cantSplit/>
        </w:trPr>
        <w:tc>
          <w:tcPr>
            <w:tcW w:w="1573" w:type="dxa"/>
            <w:shd w:val="clear" w:color="auto" w:fill="auto"/>
          </w:tcPr>
          <w:p w14:paraId="0D9F2C6A" w14:textId="77777777" w:rsidR="00E81874" w:rsidRPr="003F3D01" w:rsidRDefault="00E81874" w:rsidP="00C07756">
            <w:pPr>
              <w:pStyle w:val="BodyText"/>
              <w:jc w:val="left"/>
              <w:rPr>
                <w:rFonts w:eastAsia="MS Mincho" w:cs="Arial"/>
              </w:rPr>
            </w:pPr>
            <w:r>
              <w:t>Zu 40</w:t>
            </w:r>
          </w:p>
        </w:tc>
        <w:tc>
          <w:tcPr>
            <w:tcW w:w="8208" w:type="dxa"/>
          </w:tcPr>
          <w:p w14:paraId="2E7799C7" w14:textId="77777777" w:rsidR="00E81874" w:rsidRPr="000449A0" w:rsidRDefault="00E81874" w:rsidP="00C07756">
            <w:pPr>
              <w:pStyle w:val="BodyText"/>
              <w:jc w:val="left"/>
              <w:rPr>
                <w:rFonts w:eastAsia="MS Mincho" w:cs="Arial"/>
              </w:rPr>
            </w:pPr>
            <w:r>
              <w:t>Text über den Abbildungen streichen</w:t>
            </w:r>
          </w:p>
        </w:tc>
      </w:tr>
      <w:tr w:rsidR="00E81874" w:rsidRPr="007660CE" w14:paraId="3A865FCF" w14:textId="77777777" w:rsidTr="00C07756">
        <w:trPr>
          <w:cantSplit/>
        </w:trPr>
        <w:tc>
          <w:tcPr>
            <w:tcW w:w="1573" w:type="dxa"/>
            <w:shd w:val="clear" w:color="auto" w:fill="auto"/>
          </w:tcPr>
          <w:p w14:paraId="3C1C3C5D" w14:textId="77777777" w:rsidR="00E81874" w:rsidRPr="003F3D01" w:rsidRDefault="00E81874" w:rsidP="00C07756">
            <w:pPr>
              <w:pStyle w:val="BodyText"/>
              <w:jc w:val="left"/>
              <w:rPr>
                <w:rFonts w:eastAsia="MS Mincho" w:cs="Arial"/>
              </w:rPr>
            </w:pPr>
            <w:r>
              <w:t>Zu 47</w:t>
            </w:r>
          </w:p>
        </w:tc>
        <w:tc>
          <w:tcPr>
            <w:tcW w:w="8208" w:type="dxa"/>
          </w:tcPr>
          <w:p w14:paraId="22448A9D" w14:textId="79C3CC78" w:rsidR="00E81874" w:rsidRPr="000449A0" w:rsidRDefault="00975122" w:rsidP="00C07756">
            <w:pPr>
              <w:pStyle w:val="BodyText"/>
              <w:jc w:val="left"/>
              <w:rPr>
                <w:rFonts w:eastAsia="MS Mincho" w:cs="Arial"/>
              </w:rPr>
            </w:pPr>
            <w:r>
              <w:t>S</w:t>
            </w:r>
            <w:r w:rsidR="00E81874">
              <w:t>treichen</w:t>
            </w:r>
          </w:p>
        </w:tc>
      </w:tr>
      <w:tr w:rsidR="00E81874" w:rsidRPr="007660CE" w14:paraId="682A2B14" w14:textId="77777777" w:rsidTr="00C07756">
        <w:trPr>
          <w:cantSplit/>
        </w:trPr>
        <w:tc>
          <w:tcPr>
            <w:tcW w:w="1573" w:type="dxa"/>
            <w:shd w:val="clear" w:color="auto" w:fill="auto"/>
          </w:tcPr>
          <w:p w14:paraId="50165992" w14:textId="77777777" w:rsidR="00E81874" w:rsidRPr="003F3D01" w:rsidRDefault="00E81874" w:rsidP="00C07756">
            <w:pPr>
              <w:pStyle w:val="BodyText"/>
              <w:jc w:val="left"/>
              <w:rPr>
                <w:rFonts w:eastAsia="MS Mincho" w:cs="Arial"/>
              </w:rPr>
            </w:pPr>
            <w:r>
              <w:t>Zu 58</w:t>
            </w:r>
          </w:p>
        </w:tc>
        <w:tc>
          <w:tcPr>
            <w:tcW w:w="8208" w:type="dxa"/>
          </w:tcPr>
          <w:p w14:paraId="047719EC" w14:textId="77777777" w:rsidR="00E81874" w:rsidRPr="000449A0" w:rsidRDefault="00E81874" w:rsidP="00C07756">
            <w:pPr>
              <w:pStyle w:val="BodyText"/>
              <w:jc w:val="left"/>
              <w:rPr>
                <w:rFonts w:eastAsia="MS Mincho" w:cs="Arial"/>
              </w:rPr>
            </w:pPr>
            <w:r>
              <w:t>Soll lauten „Der Zeitpunkt des Blühbeginns ist erreicht, wenn 5-10% der Blüten geöffnet sind.</w:t>
            </w:r>
          </w:p>
        </w:tc>
      </w:tr>
      <w:tr w:rsidR="00E81874" w:rsidRPr="007660CE" w14:paraId="29BC87D6" w14:textId="77777777" w:rsidTr="00C07756">
        <w:trPr>
          <w:cantSplit/>
        </w:trPr>
        <w:tc>
          <w:tcPr>
            <w:tcW w:w="1573" w:type="dxa"/>
            <w:shd w:val="clear" w:color="auto" w:fill="auto"/>
          </w:tcPr>
          <w:p w14:paraId="34C38EE2" w14:textId="77777777" w:rsidR="00E81874" w:rsidRPr="003F3D01" w:rsidRDefault="00E81874" w:rsidP="00C07756">
            <w:pPr>
              <w:pStyle w:val="BodyText"/>
              <w:jc w:val="left"/>
              <w:rPr>
                <w:rFonts w:eastAsia="MS Mincho" w:cs="Arial"/>
              </w:rPr>
            </w:pPr>
            <w:r>
              <w:t>Zu 59</w:t>
            </w:r>
          </w:p>
        </w:tc>
        <w:tc>
          <w:tcPr>
            <w:tcW w:w="8208" w:type="dxa"/>
          </w:tcPr>
          <w:p w14:paraId="4D4D4E2A" w14:textId="77777777" w:rsidR="00E81874" w:rsidRPr="000449A0" w:rsidRDefault="00E81874" w:rsidP="00C07756">
            <w:pPr>
              <w:pStyle w:val="BodyText"/>
              <w:jc w:val="left"/>
              <w:rPr>
                <w:rFonts w:eastAsia="MS Mincho" w:cs="Arial"/>
              </w:rPr>
            </w:pPr>
            <w:r>
              <w:t>Soll lauten „Der Zeitpunkt des Fruchtreife ist erreicht, wenn 5-10% der Früchte genussreif sind.</w:t>
            </w:r>
          </w:p>
        </w:tc>
      </w:tr>
    </w:tbl>
    <w:p w14:paraId="40B3E9C5" w14:textId="77777777" w:rsidR="00E81874" w:rsidRPr="003C5745" w:rsidRDefault="00E81874" w:rsidP="00E81874"/>
    <w:p w14:paraId="511BF9EA" w14:textId="77777777" w:rsidR="00E81874" w:rsidRPr="003C5745" w:rsidRDefault="00E81874" w:rsidP="00E81874"/>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E81874" w:rsidRPr="008A73B8" w14:paraId="35D2F7DB" w14:textId="77777777" w:rsidTr="00C07756">
        <w:trPr>
          <w:cantSplit/>
          <w:trHeight w:val="277"/>
          <w:jc w:val="center"/>
        </w:trPr>
        <w:tc>
          <w:tcPr>
            <w:tcW w:w="2894" w:type="dxa"/>
            <w:vMerge w:val="restart"/>
            <w:shd w:val="clear" w:color="auto" w:fill="D9D9D9"/>
            <w:vAlign w:val="center"/>
          </w:tcPr>
          <w:p w14:paraId="394F6D8F" w14:textId="77777777" w:rsidR="00E81874" w:rsidRPr="00521951" w:rsidRDefault="00E81874" w:rsidP="00C07756">
            <w:pPr>
              <w:pStyle w:val="TitleofDoc"/>
              <w:keepNext/>
              <w:tabs>
                <w:tab w:val="left" w:pos="5245"/>
                <w:tab w:val="left" w:pos="7008"/>
              </w:tabs>
              <w:spacing w:before="0"/>
              <w:jc w:val="left"/>
              <w:rPr>
                <w:rFonts w:cs="Arial"/>
                <w:caps w:val="0"/>
              </w:rPr>
            </w:pPr>
            <w:r>
              <w:rPr>
                <w:caps w:val="0"/>
              </w:rPr>
              <w:t>Lagerstroemia (</w:t>
            </w:r>
            <w:r>
              <w:rPr>
                <w:i/>
                <w:caps w:val="0"/>
              </w:rPr>
              <w:t>Lagerstroemia</w:t>
            </w:r>
            <w:r>
              <w:rPr>
                <w:caps w:val="0"/>
              </w:rPr>
              <w:t> L.)</w:t>
            </w:r>
          </w:p>
        </w:tc>
        <w:tc>
          <w:tcPr>
            <w:tcW w:w="2552" w:type="dxa"/>
            <w:shd w:val="clear" w:color="auto" w:fill="D9D9D9"/>
            <w:vAlign w:val="center"/>
          </w:tcPr>
          <w:p w14:paraId="372AE1D7" w14:textId="77777777" w:rsidR="00E81874" w:rsidRPr="008A73B8" w:rsidRDefault="00E81874" w:rsidP="00C07756">
            <w:pPr>
              <w:pStyle w:val="TitleofDoc"/>
              <w:keepNext/>
              <w:tabs>
                <w:tab w:val="left" w:pos="5245"/>
                <w:tab w:val="left" w:pos="7008"/>
              </w:tabs>
              <w:spacing w:before="0"/>
              <w:jc w:val="left"/>
              <w:rPr>
                <w:rFonts w:cs="Arial"/>
                <w:caps w:val="0"/>
              </w:rPr>
            </w:pPr>
            <w:r>
              <w:rPr>
                <w:snapToGrid w:val="0"/>
                <w:color w:val="000000"/>
              </w:rPr>
              <w:t>TG/95/4(proj.5)</w:t>
            </w:r>
          </w:p>
        </w:tc>
        <w:tc>
          <w:tcPr>
            <w:tcW w:w="2807" w:type="dxa"/>
            <w:shd w:val="clear" w:color="auto" w:fill="D9D9D9"/>
            <w:vAlign w:val="center"/>
          </w:tcPr>
          <w:p w14:paraId="0326B540" w14:textId="77777777" w:rsidR="00E81874" w:rsidRPr="00EB6632" w:rsidRDefault="00E81874" w:rsidP="00C07756">
            <w:pPr>
              <w:keepNext/>
              <w:jc w:val="left"/>
              <w:rPr>
                <w:rFonts w:cs="Arial"/>
                <w:iCs/>
                <w:snapToGrid w:val="0"/>
                <w:color w:val="000000"/>
              </w:rPr>
            </w:pPr>
            <w:r>
              <w:t>Fr. Stéphanie Christien (FR)</w:t>
            </w:r>
          </w:p>
        </w:tc>
        <w:tc>
          <w:tcPr>
            <w:tcW w:w="736" w:type="dxa"/>
            <w:vMerge w:val="restart"/>
            <w:shd w:val="clear" w:color="auto" w:fill="D9D9D9"/>
            <w:vAlign w:val="center"/>
          </w:tcPr>
          <w:p w14:paraId="7F03F7F1" w14:textId="77777777" w:rsidR="00E81874" w:rsidRPr="008A73B8" w:rsidRDefault="00E81874" w:rsidP="00C07756">
            <w:pPr>
              <w:keepNext/>
              <w:jc w:val="left"/>
              <w:rPr>
                <w:rFonts w:cs="Arial"/>
                <w:iCs/>
              </w:rPr>
            </w:pPr>
            <w:r>
              <w:t>TWO</w:t>
            </w:r>
          </w:p>
        </w:tc>
        <w:tc>
          <w:tcPr>
            <w:tcW w:w="993" w:type="dxa"/>
            <w:vMerge w:val="restart"/>
            <w:shd w:val="clear" w:color="auto" w:fill="D9D9D9"/>
            <w:vAlign w:val="center"/>
          </w:tcPr>
          <w:p w14:paraId="564BD263" w14:textId="77777777" w:rsidR="00E81874" w:rsidRPr="008A73B8" w:rsidRDefault="00E81874" w:rsidP="00C07756">
            <w:pPr>
              <w:pStyle w:val="BodyText"/>
              <w:keepNext/>
              <w:jc w:val="left"/>
              <w:rPr>
                <w:rFonts w:cs="Arial"/>
                <w:iCs/>
                <w:snapToGrid w:val="0"/>
              </w:rPr>
            </w:pPr>
            <w:r>
              <w:rPr>
                <w:snapToGrid w:val="0"/>
              </w:rPr>
              <w:t>*</w:t>
            </w:r>
          </w:p>
        </w:tc>
      </w:tr>
      <w:tr w:rsidR="00E81874" w:rsidRPr="00881021" w14:paraId="4BA1594A" w14:textId="77777777" w:rsidTr="00C07756">
        <w:trPr>
          <w:cantSplit/>
          <w:trHeight w:hRule="exact" w:val="1015"/>
          <w:jc w:val="center"/>
        </w:trPr>
        <w:tc>
          <w:tcPr>
            <w:tcW w:w="2894" w:type="dxa"/>
            <w:vMerge/>
            <w:shd w:val="clear" w:color="auto" w:fill="D9D9D9"/>
            <w:vAlign w:val="center"/>
          </w:tcPr>
          <w:p w14:paraId="797B68DE" w14:textId="77777777" w:rsidR="00E81874" w:rsidRPr="008A73B8" w:rsidRDefault="00E81874" w:rsidP="00C07756">
            <w:pPr>
              <w:pStyle w:val="TitleofDoc"/>
              <w:keepNext/>
              <w:tabs>
                <w:tab w:val="left" w:pos="5245"/>
                <w:tab w:val="left" w:pos="7008"/>
              </w:tabs>
              <w:spacing w:before="0"/>
              <w:jc w:val="left"/>
              <w:rPr>
                <w:rFonts w:cs="Arial"/>
                <w:caps w:val="0"/>
              </w:rPr>
            </w:pPr>
          </w:p>
        </w:tc>
        <w:tc>
          <w:tcPr>
            <w:tcW w:w="2552" w:type="dxa"/>
            <w:shd w:val="clear" w:color="auto" w:fill="D9D9D9"/>
            <w:vAlign w:val="center"/>
          </w:tcPr>
          <w:p w14:paraId="0E730476" w14:textId="77777777" w:rsidR="00E81874" w:rsidRPr="008A73B8" w:rsidRDefault="00E81874" w:rsidP="00C07756">
            <w:pPr>
              <w:pStyle w:val="BodyText"/>
              <w:keepNext/>
              <w:jc w:val="left"/>
              <w:rPr>
                <w:rFonts w:cs="Arial"/>
                <w:color w:val="000000"/>
              </w:rPr>
            </w:pPr>
            <w:r>
              <w:rPr>
                <w:color w:val="000000"/>
              </w:rPr>
              <w:t>Anzahl von Merkm.:  37 Anzahl von (</w:t>
            </w:r>
            <w:r>
              <w:rPr>
                <w:color w:val="000000"/>
              </w:rPr>
              <w:sym w:font="Symbol" w:char="F02A"/>
            </w:r>
            <w:r>
              <w:rPr>
                <w:color w:val="000000"/>
              </w:rPr>
              <w:t>) Merkm.:  29</w:t>
            </w:r>
          </w:p>
        </w:tc>
        <w:tc>
          <w:tcPr>
            <w:tcW w:w="2807" w:type="dxa"/>
            <w:shd w:val="clear" w:color="auto" w:fill="D9D9D9"/>
            <w:vAlign w:val="center"/>
          </w:tcPr>
          <w:p w14:paraId="6D7EE76D" w14:textId="77777777" w:rsidR="00E81874" w:rsidRPr="00881021" w:rsidRDefault="00E81874" w:rsidP="00C07756">
            <w:pPr>
              <w:keepNext/>
              <w:jc w:val="left"/>
              <w:rPr>
                <w:rFonts w:cs="Arial"/>
                <w:iCs/>
                <w:snapToGrid w:val="0"/>
                <w:color w:val="000000"/>
              </w:rPr>
            </w:pPr>
            <w:r>
              <w:rPr>
                <w:snapToGrid w:val="0"/>
                <w:color w:val="000000"/>
              </w:rPr>
              <w:t xml:space="preserve">(Beteiligte Sachverständige:  </w:t>
            </w:r>
            <w:r>
              <w:t>AU, JP, KR, QZ)</w:t>
            </w:r>
          </w:p>
        </w:tc>
        <w:tc>
          <w:tcPr>
            <w:tcW w:w="736" w:type="dxa"/>
            <w:vMerge/>
            <w:shd w:val="clear" w:color="auto" w:fill="D9D9D9"/>
            <w:vAlign w:val="center"/>
          </w:tcPr>
          <w:p w14:paraId="38812228" w14:textId="77777777" w:rsidR="00E81874" w:rsidRPr="00881021" w:rsidRDefault="00E81874" w:rsidP="00C07756">
            <w:pPr>
              <w:keepNext/>
              <w:jc w:val="left"/>
              <w:rPr>
                <w:rFonts w:cs="Arial"/>
                <w:iCs/>
              </w:rPr>
            </w:pPr>
          </w:p>
        </w:tc>
        <w:tc>
          <w:tcPr>
            <w:tcW w:w="993" w:type="dxa"/>
            <w:vMerge/>
            <w:shd w:val="clear" w:color="auto" w:fill="D9D9D9"/>
            <w:vAlign w:val="center"/>
          </w:tcPr>
          <w:p w14:paraId="4D081F30" w14:textId="77777777" w:rsidR="00E81874" w:rsidRPr="00881021" w:rsidRDefault="00E81874" w:rsidP="00C07756">
            <w:pPr>
              <w:pStyle w:val="BodyText"/>
              <w:keepNext/>
              <w:jc w:val="left"/>
              <w:rPr>
                <w:rFonts w:cs="Arial"/>
                <w:iCs/>
                <w:snapToGrid w:val="0"/>
              </w:rPr>
            </w:pPr>
          </w:p>
        </w:tc>
      </w:tr>
    </w:tbl>
    <w:p w14:paraId="07EB5875" w14:textId="77777777" w:rsidR="00E81874" w:rsidRDefault="00E81874" w:rsidP="00E81874">
      <w:pPr>
        <w:keepNext/>
        <w:ind w:firstLine="567"/>
        <w:rPr>
          <w:rFonts w:cs="Arial"/>
        </w:rPr>
      </w:pPr>
    </w:p>
    <w:p w14:paraId="6AAD3B8C" w14:textId="77777777" w:rsidR="00E81874" w:rsidRPr="008D0013" w:rsidRDefault="00E81874" w:rsidP="00E81874">
      <w:pPr>
        <w:keepNext/>
        <w:ind w:firstLine="567"/>
        <w:rPr>
          <w:rFonts w:cs="Arial"/>
        </w:rPr>
      </w:pPr>
      <w:r>
        <w:t>Der TC-EDC prüfte auf seiner am 12. und 13. Oktober 2021 auf elektronischem Wege abgehaltenen Tagung das Dokument </w:t>
      </w:r>
      <w:r>
        <w:rPr>
          <w:caps/>
        </w:rPr>
        <w:t>TG/95/4(</w:t>
      </w:r>
      <w:r>
        <w:t>proj</w:t>
      </w:r>
      <w:r>
        <w:rPr>
          <w:caps/>
        </w:rPr>
        <w:t>.5)</w:t>
      </w:r>
      <w:r>
        <w:t xml:space="preserve"> und gab die in der nachstehenden Tabelle aufgeführten Empfehlungen ab.</w:t>
      </w:r>
    </w:p>
    <w:p w14:paraId="12D248CC" w14:textId="77777777" w:rsidR="00E81874" w:rsidRPr="008D0013" w:rsidRDefault="00E81874" w:rsidP="00E81874">
      <w:pPr>
        <w:keepNext/>
        <w:autoSpaceDE w:val="0"/>
        <w:autoSpaceDN w:val="0"/>
        <w:adjustRightInd w:val="0"/>
        <w:ind w:firstLine="567"/>
        <w:rPr>
          <w:rFonts w:cs="Arial"/>
        </w:rPr>
      </w:pPr>
    </w:p>
    <w:p w14:paraId="283F72E8" w14:textId="77777777" w:rsidR="00E81874" w:rsidRPr="005053D5" w:rsidRDefault="00E81874" w:rsidP="00E81874">
      <w:pPr>
        <w:autoSpaceDE w:val="0"/>
        <w:autoSpaceDN w:val="0"/>
        <w:adjustRightInd w:val="0"/>
        <w:ind w:firstLine="567"/>
      </w:pPr>
      <w:r>
        <w:t>Der TC-EDC vereinbarte, dass der Entwurf von Prüfungsrichtlinien für Lagerstroemia dem TC zur Annahme vorzulegen sei.</w:t>
      </w:r>
    </w:p>
    <w:p w14:paraId="2527FBFC" w14:textId="77777777" w:rsidR="00E81874" w:rsidRPr="003C5745" w:rsidRDefault="00E81874" w:rsidP="00E8187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E81874" w:rsidRPr="007660CE" w14:paraId="658FDB5B" w14:textId="77777777" w:rsidTr="00C07756">
        <w:trPr>
          <w:cantSplit/>
        </w:trPr>
        <w:tc>
          <w:tcPr>
            <w:tcW w:w="1573" w:type="dxa"/>
            <w:shd w:val="clear" w:color="auto" w:fill="auto"/>
          </w:tcPr>
          <w:p w14:paraId="09FAB3E3" w14:textId="77777777" w:rsidR="00E81874" w:rsidRPr="00BD074B" w:rsidRDefault="00E81874" w:rsidP="00C07756">
            <w:pPr>
              <w:pStyle w:val="BodyText"/>
              <w:jc w:val="left"/>
              <w:rPr>
                <w:rFonts w:cs="Arial"/>
                <w:color w:val="000000"/>
              </w:rPr>
            </w:pPr>
            <w:r>
              <w:rPr>
                <w:color w:val="000000"/>
              </w:rPr>
              <w:t>Merkm. 19</w:t>
            </w:r>
          </w:p>
        </w:tc>
        <w:tc>
          <w:tcPr>
            <w:tcW w:w="8208" w:type="dxa"/>
          </w:tcPr>
          <w:p w14:paraId="71D3CDEC" w14:textId="77777777" w:rsidR="00E81874" w:rsidRPr="008D01ED" w:rsidRDefault="00E81874" w:rsidP="00C07756">
            <w:pPr>
              <w:pStyle w:val="BodyText"/>
              <w:jc w:val="left"/>
              <w:rPr>
                <w:rFonts w:cs="Arial"/>
                <w:color w:val="000000"/>
              </w:rPr>
            </w:pPr>
            <w:r>
              <w:rPr>
                <w:color w:val="000000"/>
              </w:rPr>
              <w:t>Soll lauten: „Pflanze: Anzahl Thyrsen“</w:t>
            </w:r>
          </w:p>
        </w:tc>
      </w:tr>
      <w:tr w:rsidR="00E81874" w:rsidRPr="007660CE" w14:paraId="38DB3E08" w14:textId="77777777" w:rsidTr="00C07756">
        <w:trPr>
          <w:cantSplit/>
        </w:trPr>
        <w:tc>
          <w:tcPr>
            <w:tcW w:w="1573" w:type="dxa"/>
            <w:shd w:val="clear" w:color="auto" w:fill="auto"/>
          </w:tcPr>
          <w:p w14:paraId="5ADF1F61" w14:textId="77777777" w:rsidR="00E81874" w:rsidRPr="00BD074B" w:rsidRDefault="00E81874" w:rsidP="00C07756">
            <w:pPr>
              <w:pStyle w:val="BodyText"/>
              <w:jc w:val="left"/>
              <w:rPr>
                <w:rFonts w:cs="Arial"/>
                <w:color w:val="000000"/>
              </w:rPr>
            </w:pPr>
            <w:r>
              <w:rPr>
                <w:color w:val="000000"/>
              </w:rPr>
              <w:t>8.1 (d)</w:t>
            </w:r>
          </w:p>
        </w:tc>
        <w:tc>
          <w:tcPr>
            <w:tcW w:w="8208" w:type="dxa"/>
          </w:tcPr>
          <w:p w14:paraId="3CC3A69A" w14:textId="77777777" w:rsidR="00E81874" w:rsidRPr="00E66EAF" w:rsidRDefault="00E81874" w:rsidP="00C07756">
            <w:pPr>
              <w:pStyle w:val="BodyText"/>
              <w:jc w:val="left"/>
              <w:rPr>
                <w:rFonts w:cs="Arial"/>
                <w:color w:val="000000"/>
              </w:rPr>
            </w:pPr>
            <w:r>
              <w:rPr>
                <w:color w:val="000000"/>
              </w:rPr>
              <w:t>„Die Erfassungen sollten an voll entwickelten Thyrsen erfolgen, wenn alle Blüten geöffnet sind.“</w:t>
            </w:r>
          </w:p>
        </w:tc>
      </w:tr>
      <w:tr w:rsidR="00E81874" w:rsidRPr="007660CE" w14:paraId="4EC6D49C" w14:textId="77777777" w:rsidTr="00C07756">
        <w:trPr>
          <w:cantSplit/>
        </w:trPr>
        <w:tc>
          <w:tcPr>
            <w:tcW w:w="1573" w:type="dxa"/>
            <w:shd w:val="clear" w:color="auto" w:fill="auto"/>
          </w:tcPr>
          <w:p w14:paraId="4DE79BD0" w14:textId="77777777" w:rsidR="00E81874" w:rsidRPr="00BD074B" w:rsidRDefault="00E81874" w:rsidP="00C07756">
            <w:pPr>
              <w:pStyle w:val="BodyText"/>
              <w:jc w:val="left"/>
              <w:rPr>
                <w:rFonts w:cs="Arial"/>
                <w:color w:val="000000"/>
              </w:rPr>
            </w:pPr>
            <w:r>
              <w:rPr>
                <w:color w:val="000000"/>
              </w:rPr>
              <w:t>8.1 (e)</w:t>
            </w:r>
          </w:p>
        </w:tc>
        <w:tc>
          <w:tcPr>
            <w:tcW w:w="8208" w:type="dxa"/>
          </w:tcPr>
          <w:p w14:paraId="49514B69" w14:textId="77777777" w:rsidR="00E81874" w:rsidRPr="00E66EAF" w:rsidRDefault="00E81874" w:rsidP="00C07756">
            <w:pPr>
              <w:pStyle w:val="BodyText"/>
              <w:jc w:val="left"/>
              <w:rPr>
                <w:rFonts w:cs="Arial"/>
                <w:color w:val="000000"/>
              </w:rPr>
            </w:pPr>
            <w:r>
              <w:rPr>
                <w:color w:val="000000"/>
              </w:rPr>
              <w:t>„Die Erfassungen sollten an de</w:t>
            </w:r>
            <w:r>
              <w:rPr>
                <w:color w:val="000000"/>
                <w:u w:val="single"/>
              </w:rPr>
              <w:t>n</w:t>
            </w:r>
            <w:r>
              <w:rPr>
                <w:color w:val="000000"/>
              </w:rPr>
              <w:t xml:space="preserve"> gerade geöffneten Blüte</w:t>
            </w:r>
            <w:r>
              <w:rPr>
                <w:color w:val="000000"/>
                <w:u w:val="single"/>
              </w:rPr>
              <w:t>n</w:t>
            </w:r>
            <w:r>
              <w:rPr>
                <w:color w:val="000000"/>
              </w:rPr>
              <w:t xml:space="preserve"> erfolgen.“</w:t>
            </w:r>
          </w:p>
        </w:tc>
      </w:tr>
      <w:tr w:rsidR="00E81874" w:rsidRPr="007660CE" w14:paraId="01AAB383" w14:textId="77777777" w:rsidTr="00C07756">
        <w:trPr>
          <w:cantSplit/>
        </w:trPr>
        <w:tc>
          <w:tcPr>
            <w:tcW w:w="1573" w:type="dxa"/>
            <w:shd w:val="clear" w:color="auto" w:fill="auto"/>
          </w:tcPr>
          <w:p w14:paraId="3CD739DE" w14:textId="77777777" w:rsidR="00E81874" w:rsidRPr="00BD074B" w:rsidRDefault="00E81874" w:rsidP="00C07756">
            <w:pPr>
              <w:pStyle w:val="BodyText"/>
              <w:jc w:val="left"/>
              <w:rPr>
                <w:rFonts w:cs="Arial"/>
                <w:color w:val="000000"/>
              </w:rPr>
            </w:pPr>
            <w:r>
              <w:rPr>
                <w:color w:val="000000"/>
              </w:rPr>
              <w:t>8.1 (g)</w:t>
            </w:r>
          </w:p>
        </w:tc>
        <w:tc>
          <w:tcPr>
            <w:tcW w:w="8208" w:type="dxa"/>
          </w:tcPr>
          <w:p w14:paraId="27D3C148" w14:textId="77777777" w:rsidR="00E81874" w:rsidRPr="00E66EAF" w:rsidRDefault="00E81874" w:rsidP="00C07756">
            <w:pPr>
              <w:pStyle w:val="BodyText"/>
              <w:jc w:val="left"/>
              <w:rPr>
                <w:rFonts w:cs="Arial"/>
                <w:color w:val="000000"/>
              </w:rPr>
            </w:pPr>
            <w:r>
              <w:rPr>
                <w:color w:val="000000"/>
              </w:rPr>
              <w:t xml:space="preserve">„Die Erfassungen sollten an gut entwickelten </w:t>
            </w:r>
            <w:r>
              <w:rPr>
                <w:color w:val="000000"/>
                <w:u w:val="single"/>
              </w:rPr>
              <w:t>reifen</w:t>
            </w:r>
            <w:r>
              <w:rPr>
                <w:color w:val="000000"/>
              </w:rPr>
              <w:t xml:space="preserve"> Früchten von der Spitze des Primärthyrsus </w:t>
            </w:r>
            <w:r>
              <w:rPr>
                <w:strike/>
                <w:color w:val="000000"/>
              </w:rPr>
              <w:t>bei der Reife</w:t>
            </w:r>
            <w:r>
              <w:rPr>
                <w:color w:val="000000"/>
              </w:rPr>
              <w:t xml:space="preserve"> erfolgen.</w:t>
            </w:r>
          </w:p>
        </w:tc>
      </w:tr>
    </w:tbl>
    <w:p w14:paraId="0CB55F97" w14:textId="77777777" w:rsidR="00E81874" w:rsidRPr="003C5745" w:rsidRDefault="00E81874" w:rsidP="00E81874"/>
    <w:p w14:paraId="2520E3C6" w14:textId="77777777" w:rsidR="00E81874" w:rsidRPr="003C5745" w:rsidRDefault="00E81874" w:rsidP="00E81874"/>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E81874" w:rsidRPr="008A73B8" w14:paraId="34F6D754" w14:textId="77777777" w:rsidTr="00C07756">
        <w:trPr>
          <w:cantSplit/>
          <w:trHeight w:val="277"/>
          <w:jc w:val="center"/>
        </w:trPr>
        <w:tc>
          <w:tcPr>
            <w:tcW w:w="2894" w:type="dxa"/>
            <w:vMerge w:val="restart"/>
            <w:shd w:val="clear" w:color="auto" w:fill="D9D9D9"/>
            <w:vAlign w:val="center"/>
          </w:tcPr>
          <w:p w14:paraId="79CEEB13" w14:textId="77777777" w:rsidR="00E81874" w:rsidRPr="00482191" w:rsidRDefault="00E81874" w:rsidP="00C07756">
            <w:pPr>
              <w:pStyle w:val="TitleofDoc"/>
              <w:keepNext/>
              <w:tabs>
                <w:tab w:val="left" w:pos="5245"/>
                <w:tab w:val="left" w:pos="7008"/>
              </w:tabs>
              <w:spacing w:before="0"/>
              <w:jc w:val="left"/>
              <w:rPr>
                <w:rFonts w:cs="Arial"/>
                <w:caps w:val="0"/>
              </w:rPr>
            </w:pPr>
            <w:r w:rsidRPr="0052329D">
              <w:rPr>
                <w:caps w:val="0"/>
                <w:lang w:val="it-IT"/>
              </w:rPr>
              <w:t>Eustoma</w:t>
            </w:r>
            <w:r w:rsidRPr="0052329D">
              <w:rPr>
                <w:caps w:val="0"/>
                <w:lang w:val="it-IT"/>
              </w:rPr>
              <w:br/>
              <w:t>(</w:t>
            </w:r>
            <w:r w:rsidRPr="0052329D">
              <w:rPr>
                <w:i/>
                <w:caps w:val="0"/>
                <w:lang w:val="it-IT"/>
              </w:rPr>
              <w:t>Eustoma exaltatum</w:t>
            </w:r>
            <w:r w:rsidRPr="0052329D">
              <w:rPr>
                <w:caps w:val="0"/>
                <w:lang w:val="it-IT"/>
              </w:rPr>
              <w:t xml:space="preserve"> (L.) Salisb. ex G. Don subsp. </w:t>
            </w:r>
            <w:r w:rsidRPr="0052329D">
              <w:rPr>
                <w:i/>
                <w:caps w:val="0"/>
                <w:lang w:val="it-IT"/>
              </w:rPr>
              <w:t>russellianum</w:t>
            </w:r>
            <w:r w:rsidRPr="0052329D">
              <w:rPr>
                <w:caps w:val="0"/>
                <w:lang w:val="it-IT"/>
              </w:rPr>
              <w:t xml:space="preserve"> (Hook.) </w:t>
            </w:r>
            <w:r>
              <w:rPr>
                <w:caps w:val="0"/>
              </w:rPr>
              <w:t>Kartesz)</w:t>
            </w:r>
          </w:p>
        </w:tc>
        <w:tc>
          <w:tcPr>
            <w:tcW w:w="2552" w:type="dxa"/>
            <w:shd w:val="clear" w:color="auto" w:fill="D9D9D9"/>
            <w:vAlign w:val="center"/>
          </w:tcPr>
          <w:p w14:paraId="121D25CA" w14:textId="77777777" w:rsidR="00E81874" w:rsidRPr="008A73B8" w:rsidRDefault="00E81874" w:rsidP="00C07756">
            <w:pPr>
              <w:pStyle w:val="TitleofDoc"/>
              <w:keepNext/>
              <w:tabs>
                <w:tab w:val="left" w:pos="5245"/>
                <w:tab w:val="left" w:pos="7008"/>
              </w:tabs>
              <w:spacing w:before="0"/>
              <w:jc w:val="left"/>
              <w:rPr>
                <w:rFonts w:cs="Arial"/>
                <w:caps w:val="0"/>
              </w:rPr>
            </w:pPr>
            <w:r>
              <w:rPr>
                <w:snapToGrid w:val="0"/>
                <w:color w:val="000000"/>
              </w:rPr>
              <w:t>TG/197/2(proj.4)</w:t>
            </w:r>
          </w:p>
        </w:tc>
        <w:tc>
          <w:tcPr>
            <w:tcW w:w="2807" w:type="dxa"/>
            <w:shd w:val="clear" w:color="auto" w:fill="D9D9D9"/>
            <w:vAlign w:val="center"/>
          </w:tcPr>
          <w:p w14:paraId="033F6538" w14:textId="77777777" w:rsidR="00E81874" w:rsidRPr="004219E9" w:rsidRDefault="00E81874" w:rsidP="00C07756">
            <w:pPr>
              <w:keepNext/>
              <w:jc w:val="left"/>
              <w:rPr>
                <w:rFonts w:cs="Arial"/>
                <w:iCs/>
                <w:snapToGrid w:val="0"/>
                <w:color w:val="000000"/>
              </w:rPr>
            </w:pPr>
            <w:r>
              <w:t>Hr. Kiyofumi Nakamura (JP)</w:t>
            </w:r>
          </w:p>
        </w:tc>
        <w:tc>
          <w:tcPr>
            <w:tcW w:w="736" w:type="dxa"/>
            <w:vMerge w:val="restart"/>
            <w:shd w:val="clear" w:color="auto" w:fill="D9D9D9"/>
            <w:vAlign w:val="center"/>
          </w:tcPr>
          <w:p w14:paraId="321AB69D" w14:textId="77777777" w:rsidR="00E81874" w:rsidRPr="008A73B8" w:rsidRDefault="00E81874" w:rsidP="00C07756">
            <w:pPr>
              <w:keepNext/>
              <w:jc w:val="left"/>
              <w:rPr>
                <w:rFonts w:cs="Arial"/>
                <w:iCs/>
              </w:rPr>
            </w:pPr>
            <w:r>
              <w:t>TWO</w:t>
            </w:r>
          </w:p>
        </w:tc>
        <w:tc>
          <w:tcPr>
            <w:tcW w:w="993" w:type="dxa"/>
            <w:vMerge w:val="restart"/>
            <w:shd w:val="clear" w:color="auto" w:fill="D9D9D9"/>
            <w:vAlign w:val="center"/>
          </w:tcPr>
          <w:p w14:paraId="45DC7164" w14:textId="77777777" w:rsidR="00E81874" w:rsidRPr="008A73B8" w:rsidRDefault="00E81874" w:rsidP="00C07756">
            <w:pPr>
              <w:pStyle w:val="BodyText"/>
              <w:keepNext/>
              <w:jc w:val="left"/>
              <w:rPr>
                <w:rFonts w:cs="Arial"/>
                <w:iCs/>
                <w:snapToGrid w:val="0"/>
              </w:rPr>
            </w:pPr>
            <w:r>
              <w:rPr>
                <w:snapToGrid w:val="0"/>
              </w:rPr>
              <w:t>*</w:t>
            </w:r>
          </w:p>
        </w:tc>
      </w:tr>
      <w:tr w:rsidR="00E81874" w:rsidRPr="009835C0" w14:paraId="34A02901" w14:textId="77777777" w:rsidTr="00C07756">
        <w:trPr>
          <w:cantSplit/>
          <w:trHeight w:hRule="exact" w:val="1015"/>
          <w:jc w:val="center"/>
        </w:trPr>
        <w:tc>
          <w:tcPr>
            <w:tcW w:w="2894" w:type="dxa"/>
            <w:vMerge/>
            <w:shd w:val="clear" w:color="auto" w:fill="D9D9D9"/>
            <w:vAlign w:val="center"/>
          </w:tcPr>
          <w:p w14:paraId="7CAF8EB9" w14:textId="77777777" w:rsidR="00E81874" w:rsidRPr="008A73B8" w:rsidRDefault="00E81874" w:rsidP="00C07756">
            <w:pPr>
              <w:pStyle w:val="TitleofDoc"/>
              <w:keepNext/>
              <w:tabs>
                <w:tab w:val="left" w:pos="5245"/>
                <w:tab w:val="left" w:pos="7008"/>
              </w:tabs>
              <w:spacing w:before="0"/>
              <w:jc w:val="left"/>
              <w:rPr>
                <w:rFonts w:cs="Arial"/>
                <w:caps w:val="0"/>
              </w:rPr>
            </w:pPr>
          </w:p>
        </w:tc>
        <w:tc>
          <w:tcPr>
            <w:tcW w:w="2552" w:type="dxa"/>
            <w:shd w:val="clear" w:color="auto" w:fill="D9D9D9"/>
            <w:vAlign w:val="center"/>
          </w:tcPr>
          <w:p w14:paraId="76034DE8" w14:textId="77777777" w:rsidR="00E81874" w:rsidRPr="008A73B8" w:rsidRDefault="00E81874" w:rsidP="00C07756">
            <w:pPr>
              <w:pStyle w:val="BodyText"/>
              <w:keepNext/>
              <w:jc w:val="left"/>
              <w:rPr>
                <w:rFonts w:cs="Arial"/>
                <w:color w:val="000000"/>
              </w:rPr>
            </w:pPr>
            <w:r>
              <w:rPr>
                <w:color w:val="000000"/>
              </w:rPr>
              <w:t>Anzahl von Merkm.:  34 Anzahl von (</w:t>
            </w:r>
            <w:r>
              <w:rPr>
                <w:color w:val="000000"/>
              </w:rPr>
              <w:sym w:font="Symbol" w:char="F02A"/>
            </w:r>
            <w:r>
              <w:rPr>
                <w:color w:val="000000"/>
              </w:rPr>
              <w:t>) Merkm.:  20</w:t>
            </w:r>
          </w:p>
        </w:tc>
        <w:tc>
          <w:tcPr>
            <w:tcW w:w="2807" w:type="dxa"/>
            <w:shd w:val="clear" w:color="auto" w:fill="D9D9D9"/>
            <w:vAlign w:val="center"/>
          </w:tcPr>
          <w:p w14:paraId="77D0C37A" w14:textId="77777777" w:rsidR="00E81874" w:rsidRPr="004219E9" w:rsidRDefault="00E81874" w:rsidP="00C07756">
            <w:pPr>
              <w:keepNext/>
              <w:jc w:val="left"/>
              <w:rPr>
                <w:rFonts w:cs="Arial"/>
                <w:iCs/>
                <w:snapToGrid w:val="0"/>
                <w:color w:val="000000"/>
              </w:rPr>
            </w:pPr>
            <w:r>
              <w:rPr>
                <w:snapToGrid w:val="0"/>
                <w:color w:val="000000"/>
              </w:rPr>
              <w:t xml:space="preserve">(Beteiligte Sachverständige:  </w:t>
            </w:r>
            <w:r>
              <w:t>DE, MX, KR, QZ, CIOPORA)</w:t>
            </w:r>
          </w:p>
        </w:tc>
        <w:tc>
          <w:tcPr>
            <w:tcW w:w="736" w:type="dxa"/>
            <w:vMerge/>
            <w:shd w:val="clear" w:color="auto" w:fill="D9D9D9"/>
            <w:vAlign w:val="center"/>
          </w:tcPr>
          <w:p w14:paraId="1EE80573" w14:textId="77777777" w:rsidR="00E81874" w:rsidRPr="00C72898" w:rsidRDefault="00E81874" w:rsidP="00C07756">
            <w:pPr>
              <w:keepNext/>
              <w:jc w:val="left"/>
              <w:rPr>
                <w:rFonts w:cs="Arial"/>
                <w:iCs/>
              </w:rPr>
            </w:pPr>
          </w:p>
        </w:tc>
        <w:tc>
          <w:tcPr>
            <w:tcW w:w="993" w:type="dxa"/>
            <w:vMerge/>
            <w:shd w:val="clear" w:color="auto" w:fill="D9D9D9"/>
            <w:vAlign w:val="center"/>
          </w:tcPr>
          <w:p w14:paraId="4625D66F" w14:textId="77777777" w:rsidR="00E81874" w:rsidRPr="00C72898" w:rsidRDefault="00E81874" w:rsidP="00C07756">
            <w:pPr>
              <w:pStyle w:val="BodyText"/>
              <w:keepNext/>
              <w:jc w:val="left"/>
              <w:rPr>
                <w:rFonts w:cs="Arial"/>
                <w:iCs/>
                <w:snapToGrid w:val="0"/>
              </w:rPr>
            </w:pPr>
          </w:p>
        </w:tc>
      </w:tr>
    </w:tbl>
    <w:p w14:paraId="7F51EC8B" w14:textId="77777777" w:rsidR="00E81874" w:rsidRPr="00C72898" w:rsidRDefault="00E81874" w:rsidP="00E81874">
      <w:pPr>
        <w:keepNext/>
      </w:pPr>
    </w:p>
    <w:p w14:paraId="04EC80E4" w14:textId="77777777" w:rsidR="00E81874" w:rsidRPr="008D0013" w:rsidRDefault="00E81874" w:rsidP="00E81874">
      <w:pPr>
        <w:keepNext/>
        <w:ind w:firstLine="567"/>
        <w:rPr>
          <w:rFonts w:cs="Arial"/>
        </w:rPr>
      </w:pPr>
      <w:r>
        <w:t>Der TC-EDC prüfte auf seiner am 12. und 13. Oktober 2021 auf elektronischem Wege abgehaltenen Tagung das Dokument </w:t>
      </w:r>
      <w:r>
        <w:rPr>
          <w:caps/>
        </w:rPr>
        <w:t>TG/197/2(</w:t>
      </w:r>
      <w:r>
        <w:t>proj</w:t>
      </w:r>
      <w:r>
        <w:rPr>
          <w:caps/>
        </w:rPr>
        <w:t>.4)</w:t>
      </w:r>
      <w:r>
        <w:t xml:space="preserve"> und gab die in der nachstehenden Tabelle aufgeführten Empfehlungen ab.</w:t>
      </w:r>
    </w:p>
    <w:p w14:paraId="00196FFE" w14:textId="77777777" w:rsidR="00E81874" w:rsidRPr="008D0013" w:rsidRDefault="00E81874" w:rsidP="00E81874">
      <w:pPr>
        <w:keepNext/>
        <w:autoSpaceDE w:val="0"/>
        <w:autoSpaceDN w:val="0"/>
        <w:adjustRightInd w:val="0"/>
        <w:ind w:firstLine="567"/>
        <w:rPr>
          <w:rFonts w:cs="Arial"/>
        </w:rPr>
      </w:pPr>
    </w:p>
    <w:p w14:paraId="6AEA097C" w14:textId="77777777" w:rsidR="00E81874" w:rsidRPr="005053D5" w:rsidRDefault="00E81874" w:rsidP="00E81874">
      <w:pPr>
        <w:autoSpaceDE w:val="0"/>
        <w:autoSpaceDN w:val="0"/>
        <w:adjustRightInd w:val="0"/>
        <w:ind w:firstLine="567"/>
      </w:pPr>
      <w:r>
        <w:t>Der TC-EDC vereinbarte, dass der Entwurf von Prüfungsrichtlinien für Eustoma dem TC zur Annahme vorzulegen sei.</w:t>
      </w:r>
    </w:p>
    <w:p w14:paraId="2F7ACC51" w14:textId="77777777" w:rsidR="00E81874" w:rsidRPr="000D70A7" w:rsidRDefault="00E81874" w:rsidP="00E81874">
      <w:pPr>
        <w:keepNext/>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E81874" w:rsidRPr="00F67717" w14:paraId="0FB8EB21" w14:textId="77777777" w:rsidTr="00C07756">
        <w:trPr>
          <w:cantSplit/>
        </w:trPr>
        <w:tc>
          <w:tcPr>
            <w:tcW w:w="1573" w:type="dxa"/>
            <w:shd w:val="clear" w:color="auto" w:fill="auto"/>
          </w:tcPr>
          <w:p w14:paraId="14FD00B1" w14:textId="77777777" w:rsidR="00E81874" w:rsidRPr="00304E53" w:rsidRDefault="00E81874" w:rsidP="00C07756">
            <w:pPr>
              <w:pStyle w:val="BodyText"/>
              <w:jc w:val="left"/>
              <w:rPr>
                <w:rFonts w:eastAsia="MS Mincho" w:cs="Arial"/>
              </w:rPr>
            </w:pPr>
            <w:r>
              <w:t>Merkm. 8</w:t>
            </w:r>
          </w:p>
        </w:tc>
        <w:tc>
          <w:tcPr>
            <w:tcW w:w="8208" w:type="dxa"/>
          </w:tcPr>
          <w:p w14:paraId="491041CB" w14:textId="77777777" w:rsidR="00E81874" w:rsidRPr="000449A0" w:rsidRDefault="00E81874" w:rsidP="00C07756">
            <w:pPr>
              <w:pStyle w:val="BodyText"/>
              <w:jc w:val="left"/>
              <w:rPr>
                <w:rFonts w:eastAsia="MS Mincho" w:cs="Arial"/>
              </w:rPr>
            </w:pPr>
            <w:r>
              <w:t>Erläuterung „Die Erfassungen sollten an der Oberseite der Blätter erfolgen“ hinzufügen.</w:t>
            </w:r>
          </w:p>
        </w:tc>
      </w:tr>
      <w:tr w:rsidR="00E81874" w:rsidRPr="00F67717" w14:paraId="576C8FA5" w14:textId="77777777" w:rsidTr="00C07756">
        <w:trPr>
          <w:cantSplit/>
        </w:trPr>
        <w:tc>
          <w:tcPr>
            <w:tcW w:w="1573" w:type="dxa"/>
            <w:shd w:val="clear" w:color="auto" w:fill="auto"/>
          </w:tcPr>
          <w:p w14:paraId="4421176C" w14:textId="77777777" w:rsidR="00E81874" w:rsidRPr="00304E53" w:rsidRDefault="00E81874" w:rsidP="00C07756">
            <w:pPr>
              <w:jc w:val="left"/>
              <w:rPr>
                <w:rFonts w:cs="Arial"/>
              </w:rPr>
            </w:pPr>
            <w:r>
              <w:t>Merkm. 19</w:t>
            </w:r>
          </w:p>
        </w:tc>
        <w:tc>
          <w:tcPr>
            <w:tcW w:w="8208" w:type="dxa"/>
          </w:tcPr>
          <w:p w14:paraId="448C5A2F" w14:textId="06AD79A0" w:rsidR="00E81874" w:rsidRDefault="00975122" w:rsidP="00C07756">
            <w:pPr>
              <w:keepNext/>
              <w:rPr>
                <w:rFonts w:cs="Arial"/>
              </w:rPr>
            </w:pPr>
            <w:r>
              <w:t xml:space="preserve">Englisches Wort </w:t>
            </w:r>
            <w:r w:rsidR="00E81874">
              <w:t>„of“ streichen</w:t>
            </w:r>
          </w:p>
        </w:tc>
      </w:tr>
      <w:tr w:rsidR="00E81874" w:rsidRPr="00521951" w14:paraId="7C269A80" w14:textId="77777777" w:rsidTr="00C07756">
        <w:trPr>
          <w:cantSplit/>
        </w:trPr>
        <w:tc>
          <w:tcPr>
            <w:tcW w:w="1573" w:type="dxa"/>
            <w:shd w:val="clear" w:color="auto" w:fill="auto"/>
          </w:tcPr>
          <w:p w14:paraId="7ACF8D39" w14:textId="77777777" w:rsidR="00E81874" w:rsidRPr="00304E53" w:rsidRDefault="00E81874" w:rsidP="00C07756">
            <w:pPr>
              <w:pStyle w:val="BodyText"/>
              <w:jc w:val="left"/>
            </w:pPr>
            <w:r>
              <w:t>8.1 (a)</w:t>
            </w:r>
          </w:p>
        </w:tc>
        <w:tc>
          <w:tcPr>
            <w:tcW w:w="8208" w:type="dxa"/>
          </w:tcPr>
          <w:p w14:paraId="0769AD36" w14:textId="076CA6CE" w:rsidR="00E81874" w:rsidRPr="00E973A7" w:rsidRDefault="00E81874" w:rsidP="00C07756">
            <w:pPr>
              <w:pStyle w:val="BodyText"/>
              <w:jc w:val="left"/>
            </w:pPr>
            <w:r>
              <w:t xml:space="preserve">„Die Erfassungen sollten an </w:t>
            </w:r>
            <w:r>
              <w:rPr>
                <w:strike/>
              </w:rPr>
              <w:t xml:space="preserve">der Oberseite von </w:t>
            </w:r>
            <w:r>
              <w:t xml:space="preserve"> voll entwickelten Blättern vom mittleren Drittel des</w:t>
            </w:r>
            <w:r w:rsidR="00975122">
              <w:t xml:space="preserve"> </w:t>
            </w:r>
            <w:r>
              <w:t xml:space="preserve">Stängels erfolgen.“ („Oberseite“ ist für Merkm. 5 bis 7 nicht maßgeblich; </w:t>
            </w:r>
            <w:r w:rsidRPr="00D132B8">
              <w:t>vergleich</w:t>
            </w:r>
            <w:r w:rsidR="00975122" w:rsidRPr="00D132B8">
              <w:t>e</w:t>
            </w:r>
            <w:r w:rsidRPr="00D132B8">
              <w:t xml:space="preserve"> Z</w:t>
            </w:r>
            <w:r>
              <w:t>u 9)</w:t>
            </w:r>
          </w:p>
        </w:tc>
      </w:tr>
      <w:tr w:rsidR="00E81874" w:rsidRPr="00521951" w14:paraId="2CC6D5EF" w14:textId="77777777" w:rsidTr="00C07756">
        <w:trPr>
          <w:cantSplit/>
        </w:trPr>
        <w:tc>
          <w:tcPr>
            <w:tcW w:w="1573" w:type="dxa"/>
            <w:shd w:val="clear" w:color="auto" w:fill="auto"/>
          </w:tcPr>
          <w:p w14:paraId="70020EF1" w14:textId="77777777" w:rsidR="00E81874" w:rsidRPr="00304E53" w:rsidRDefault="00E81874" w:rsidP="00C07756">
            <w:pPr>
              <w:pStyle w:val="BodyText"/>
              <w:jc w:val="left"/>
            </w:pPr>
            <w:r>
              <w:t>Zu 33</w:t>
            </w:r>
          </w:p>
        </w:tc>
        <w:tc>
          <w:tcPr>
            <w:tcW w:w="8208" w:type="dxa"/>
          </w:tcPr>
          <w:p w14:paraId="1A0429DD" w14:textId="58BCB47B" w:rsidR="00E81874" w:rsidRPr="00E973A7" w:rsidRDefault="00975122" w:rsidP="00C07756">
            <w:pPr>
              <w:pStyle w:val="BodyText"/>
              <w:jc w:val="left"/>
            </w:pPr>
            <w:r>
              <w:t>S</w:t>
            </w:r>
            <w:r w:rsidR="00E81874">
              <w:t>treichen</w:t>
            </w:r>
          </w:p>
        </w:tc>
      </w:tr>
    </w:tbl>
    <w:p w14:paraId="6309F2B6" w14:textId="77777777" w:rsidR="00E81874" w:rsidRDefault="00E81874" w:rsidP="00E81874">
      <w:pPr>
        <w:rPr>
          <w:lang w:val="pt-BR"/>
        </w:rPr>
      </w:pPr>
    </w:p>
    <w:p w14:paraId="0FB11580" w14:textId="77777777" w:rsidR="00E81874" w:rsidRDefault="00E81874" w:rsidP="00E81874">
      <w:pPr>
        <w:rPr>
          <w:lang w:val="pt-BR"/>
        </w:rPr>
      </w:pPr>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6"/>
        <w:gridCol w:w="2554"/>
        <w:gridCol w:w="2808"/>
        <w:gridCol w:w="736"/>
        <w:gridCol w:w="993"/>
      </w:tblGrid>
      <w:tr w:rsidR="00E81874" w:rsidRPr="00F72C6C" w14:paraId="24769FBD" w14:textId="77777777" w:rsidTr="00C07756">
        <w:trPr>
          <w:cantSplit/>
          <w:trHeight w:val="379"/>
          <w:jc w:val="center"/>
        </w:trPr>
        <w:tc>
          <w:tcPr>
            <w:tcW w:w="2894" w:type="dxa"/>
            <w:vMerge w:val="restart"/>
            <w:shd w:val="clear" w:color="auto" w:fill="D9D9D9"/>
            <w:vAlign w:val="center"/>
          </w:tcPr>
          <w:p w14:paraId="179279C3" w14:textId="77777777" w:rsidR="00E81874" w:rsidRDefault="00E81874" w:rsidP="00C07756">
            <w:pPr>
              <w:pStyle w:val="TitleofDoc"/>
              <w:keepNext/>
              <w:tabs>
                <w:tab w:val="left" w:pos="5245"/>
                <w:tab w:val="left" w:pos="7008"/>
              </w:tabs>
              <w:spacing w:before="0"/>
              <w:jc w:val="left"/>
              <w:rPr>
                <w:rFonts w:cs="Arial"/>
                <w:caps w:val="0"/>
              </w:rPr>
            </w:pPr>
            <w:r>
              <w:rPr>
                <w:caps w:val="0"/>
              </w:rPr>
              <w:t>Tee</w:t>
            </w:r>
          </w:p>
          <w:p w14:paraId="6955F266" w14:textId="77777777" w:rsidR="00E81874" w:rsidRPr="00F72C6C" w:rsidRDefault="00E81874" w:rsidP="00C07756">
            <w:pPr>
              <w:pStyle w:val="TitleofDoc"/>
              <w:keepNext/>
              <w:tabs>
                <w:tab w:val="left" w:pos="5245"/>
                <w:tab w:val="left" w:pos="7008"/>
              </w:tabs>
              <w:spacing w:before="0"/>
              <w:jc w:val="left"/>
              <w:rPr>
                <w:rFonts w:cs="Arial"/>
                <w:caps w:val="0"/>
              </w:rPr>
            </w:pPr>
            <w:r>
              <w:rPr>
                <w:i/>
                <w:caps w:val="0"/>
              </w:rPr>
              <w:t>(Camellia sinensis</w:t>
            </w:r>
            <w:r>
              <w:rPr>
                <w:caps w:val="0"/>
              </w:rPr>
              <w:t xml:space="preserve"> (L.) Kuntze)</w:t>
            </w:r>
          </w:p>
        </w:tc>
        <w:tc>
          <w:tcPr>
            <w:tcW w:w="2552" w:type="dxa"/>
            <w:shd w:val="clear" w:color="auto" w:fill="D9D9D9"/>
            <w:vAlign w:val="center"/>
          </w:tcPr>
          <w:p w14:paraId="2141149D" w14:textId="77777777" w:rsidR="00E81874" w:rsidRPr="00F72C6C" w:rsidRDefault="00E81874" w:rsidP="00C07756">
            <w:pPr>
              <w:pStyle w:val="TitleofDoc"/>
              <w:keepNext/>
              <w:tabs>
                <w:tab w:val="left" w:pos="5245"/>
                <w:tab w:val="left" w:pos="7008"/>
              </w:tabs>
              <w:spacing w:before="0"/>
              <w:jc w:val="left"/>
              <w:rPr>
                <w:rFonts w:cs="Arial"/>
                <w:caps w:val="0"/>
              </w:rPr>
            </w:pPr>
            <w:r>
              <w:rPr>
                <w:color w:val="000000"/>
              </w:rPr>
              <w:t>TG/238/2(proj.5)</w:t>
            </w:r>
          </w:p>
        </w:tc>
        <w:tc>
          <w:tcPr>
            <w:tcW w:w="2807" w:type="dxa"/>
            <w:shd w:val="clear" w:color="auto" w:fill="D9D9D9"/>
            <w:vAlign w:val="center"/>
          </w:tcPr>
          <w:p w14:paraId="58C0918B" w14:textId="77777777" w:rsidR="00E81874" w:rsidRPr="0052329D" w:rsidRDefault="00E81874" w:rsidP="00C07756">
            <w:pPr>
              <w:keepNext/>
              <w:jc w:val="left"/>
              <w:rPr>
                <w:rFonts w:cs="Arial"/>
                <w:iCs/>
                <w:snapToGrid w:val="0"/>
                <w:color w:val="000000"/>
                <w:lang w:val="sv-SE"/>
              </w:rPr>
            </w:pPr>
            <w:r w:rsidRPr="0052329D">
              <w:rPr>
                <w:lang w:val="sv-SE"/>
              </w:rPr>
              <w:t>Hr. Simeon Kibet Kogo (KE)</w:t>
            </w:r>
          </w:p>
        </w:tc>
        <w:tc>
          <w:tcPr>
            <w:tcW w:w="736" w:type="dxa"/>
            <w:vMerge w:val="restart"/>
            <w:shd w:val="clear" w:color="auto" w:fill="D9D9D9"/>
            <w:vAlign w:val="center"/>
          </w:tcPr>
          <w:p w14:paraId="6E9C5869" w14:textId="77777777" w:rsidR="00E81874" w:rsidRPr="00F72C6C" w:rsidRDefault="00E81874" w:rsidP="00C07756">
            <w:pPr>
              <w:keepNext/>
              <w:jc w:val="left"/>
              <w:rPr>
                <w:rFonts w:cs="Arial"/>
                <w:iCs/>
              </w:rPr>
            </w:pPr>
            <w:r>
              <w:t>TWA</w:t>
            </w:r>
          </w:p>
        </w:tc>
        <w:tc>
          <w:tcPr>
            <w:tcW w:w="993" w:type="dxa"/>
            <w:vMerge w:val="restart"/>
            <w:shd w:val="clear" w:color="auto" w:fill="D9D9D9"/>
            <w:vAlign w:val="center"/>
          </w:tcPr>
          <w:p w14:paraId="7EF8A8F4" w14:textId="77777777" w:rsidR="00E81874" w:rsidRPr="00F72C6C" w:rsidRDefault="00E81874" w:rsidP="00C07756">
            <w:pPr>
              <w:pStyle w:val="BodyText"/>
              <w:keepNext/>
              <w:jc w:val="left"/>
              <w:rPr>
                <w:rFonts w:cs="Arial"/>
                <w:iCs/>
                <w:snapToGrid w:val="0"/>
              </w:rPr>
            </w:pPr>
            <w:r>
              <w:rPr>
                <w:snapToGrid w:val="0"/>
              </w:rPr>
              <w:t>*</w:t>
            </w:r>
          </w:p>
        </w:tc>
      </w:tr>
      <w:tr w:rsidR="00E81874" w:rsidRPr="007639BC" w14:paraId="2A49269B" w14:textId="77777777" w:rsidTr="00C07756">
        <w:trPr>
          <w:cantSplit/>
          <w:trHeight w:hRule="exact" w:val="574"/>
          <w:jc w:val="center"/>
        </w:trPr>
        <w:tc>
          <w:tcPr>
            <w:tcW w:w="2894" w:type="dxa"/>
            <w:vMerge/>
            <w:shd w:val="clear" w:color="auto" w:fill="D9D9D9"/>
            <w:vAlign w:val="center"/>
          </w:tcPr>
          <w:p w14:paraId="75DADC51" w14:textId="77777777" w:rsidR="00E81874" w:rsidRPr="00F72C6C" w:rsidRDefault="00E81874" w:rsidP="00C07756">
            <w:pPr>
              <w:pStyle w:val="TitleofDoc"/>
              <w:keepNext/>
              <w:tabs>
                <w:tab w:val="left" w:pos="5245"/>
                <w:tab w:val="left" w:pos="7008"/>
              </w:tabs>
              <w:spacing w:before="0"/>
              <w:jc w:val="left"/>
              <w:rPr>
                <w:rFonts w:cs="Arial"/>
                <w:caps w:val="0"/>
                <w:lang w:val="pt-BR"/>
              </w:rPr>
            </w:pPr>
          </w:p>
        </w:tc>
        <w:tc>
          <w:tcPr>
            <w:tcW w:w="2552" w:type="dxa"/>
            <w:shd w:val="clear" w:color="auto" w:fill="D9D9D9"/>
            <w:vAlign w:val="center"/>
          </w:tcPr>
          <w:p w14:paraId="6842F447" w14:textId="77777777" w:rsidR="00E81874" w:rsidRPr="003C5745" w:rsidRDefault="00E81874" w:rsidP="00C07756">
            <w:pPr>
              <w:pStyle w:val="BodyText"/>
              <w:keepNext/>
              <w:jc w:val="left"/>
              <w:rPr>
                <w:rFonts w:cs="Arial"/>
                <w:color w:val="000000"/>
              </w:rPr>
            </w:pPr>
            <w:r>
              <w:rPr>
                <w:color w:val="000000"/>
              </w:rPr>
              <w:t>Anzahl von Merkm.:  33 Anzahl von (</w:t>
            </w:r>
            <w:r>
              <w:rPr>
                <w:color w:val="000000"/>
              </w:rPr>
              <w:sym w:font="Symbol" w:char="F02A"/>
            </w:r>
            <w:r>
              <w:rPr>
                <w:color w:val="000000"/>
              </w:rPr>
              <w:t>) Merkm.:  19</w:t>
            </w:r>
          </w:p>
        </w:tc>
        <w:tc>
          <w:tcPr>
            <w:tcW w:w="2807" w:type="dxa"/>
            <w:shd w:val="clear" w:color="auto" w:fill="D9D9D9"/>
            <w:vAlign w:val="center"/>
          </w:tcPr>
          <w:p w14:paraId="6BA23483" w14:textId="77777777" w:rsidR="00E81874" w:rsidRPr="007639BC" w:rsidRDefault="00E81874" w:rsidP="00C07756">
            <w:pPr>
              <w:keepNext/>
              <w:jc w:val="left"/>
              <w:rPr>
                <w:rFonts w:cs="Arial"/>
                <w:iCs/>
                <w:snapToGrid w:val="0"/>
                <w:color w:val="000000"/>
              </w:rPr>
            </w:pPr>
            <w:r>
              <w:rPr>
                <w:snapToGrid w:val="0"/>
                <w:color w:val="000000"/>
              </w:rPr>
              <w:t xml:space="preserve">(Beteiligte Sachverständige:  </w:t>
            </w:r>
            <w:r>
              <w:t>AR, BR, CN, KR, JP, TZ, US)</w:t>
            </w:r>
          </w:p>
        </w:tc>
        <w:tc>
          <w:tcPr>
            <w:tcW w:w="736" w:type="dxa"/>
            <w:vMerge/>
            <w:shd w:val="clear" w:color="auto" w:fill="D9D9D9"/>
            <w:vAlign w:val="center"/>
          </w:tcPr>
          <w:p w14:paraId="48C574EF" w14:textId="77777777" w:rsidR="00E81874" w:rsidRPr="007639BC" w:rsidRDefault="00E81874" w:rsidP="00C07756">
            <w:pPr>
              <w:keepNext/>
              <w:jc w:val="left"/>
              <w:rPr>
                <w:rFonts w:cs="Arial"/>
                <w:iCs/>
              </w:rPr>
            </w:pPr>
          </w:p>
        </w:tc>
        <w:tc>
          <w:tcPr>
            <w:tcW w:w="993" w:type="dxa"/>
            <w:vMerge/>
            <w:shd w:val="clear" w:color="auto" w:fill="D9D9D9"/>
            <w:vAlign w:val="center"/>
          </w:tcPr>
          <w:p w14:paraId="5A23CBAA" w14:textId="77777777" w:rsidR="00E81874" w:rsidRPr="007639BC" w:rsidRDefault="00E81874" w:rsidP="00C07756">
            <w:pPr>
              <w:pStyle w:val="BodyText"/>
              <w:keepNext/>
              <w:jc w:val="left"/>
              <w:rPr>
                <w:rFonts w:cs="Arial"/>
                <w:iCs/>
                <w:snapToGrid w:val="0"/>
              </w:rPr>
            </w:pPr>
          </w:p>
        </w:tc>
      </w:tr>
    </w:tbl>
    <w:p w14:paraId="535AC6B9" w14:textId="77777777" w:rsidR="00E81874" w:rsidRDefault="00E81874" w:rsidP="00E81874"/>
    <w:p w14:paraId="5C868CCF" w14:textId="77777777" w:rsidR="00E81874" w:rsidRPr="008D0013" w:rsidRDefault="00E81874" w:rsidP="00E81874">
      <w:pPr>
        <w:keepNext/>
        <w:ind w:firstLine="567"/>
        <w:rPr>
          <w:rFonts w:cs="Arial"/>
        </w:rPr>
      </w:pPr>
      <w:r>
        <w:t>Der TC-EDC prüfte auf seiner am 12. und 13. Oktober 2021 auf elektronischem Wege abgehaltenen Tagung das Dokument </w:t>
      </w:r>
      <w:r>
        <w:rPr>
          <w:caps/>
        </w:rPr>
        <w:t>TG/238/2(</w:t>
      </w:r>
      <w:r>
        <w:t>proj</w:t>
      </w:r>
      <w:r>
        <w:rPr>
          <w:caps/>
        </w:rPr>
        <w:t>.5)</w:t>
      </w:r>
      <w:r>
        <w:t xml:space="preserve"> und gab die in der nachstehenden Tabelle aufgeführten Empfehlungen ab.</w:t>
      </w:r>
    </w:p>
    <w:p w14:paraId="30D4C6BA" w14:textId="77777777" w:rsidR="00E81874" w:rsidRPr="008D0013" w:rsidRDefault="00E81874" w:rsidP="00E81874">
      <w:pPr>
        <w:keepNext/>
        <w:autoSpaceDE w:val="0"/>
        <w:autoSpaceDN w:val="0"/>
        <w:adjustRightInd w:val="0"/>
        <w:ind w:firstLine="567"/>
        <w:rPr>
          <w:rFonts w:cs="Arial"/>
        </w:rPr>
      </w:pPr>
    </w:p>
    <w:p w14:paraId="6DD8AC21" w14:textId="77777777" w:rsidR="00E81874" w:rsidRPr="008D0013" w:rsidRDefault="00E81874" w:rsidP="00E81874">
      <w:pPr>
        <w:ind w:firstLine="567"/>
      </w:pPr>
      <w:r>
        <w:t>Der TC-EDC vereinbarte, dass der Entwurf von Prüfungsrichtlinien für Tee (nachstehend mit „</w:t>
      </w:r>
      <w:r>
        <w:rPr>
          <w:vertAlign w:val="superscript"/>
        </w:rPr>
        <w:t>#</w:t>
      </w:r>
      <w:r>
        <w:t>“ bezeichnet) redaktioneller Klarstellungen seitens des führenden Sachverständigen bedürfe und dass der Entwurf der Prüfungsrichtlinien auf der für den März 2022 angesetzten Tagung des TC-EDC erneut geprüft werden solle.</w:t>
      </w:r>
    </w:p>
    <w:p w14:paraId="2C5050AC" w14:textId="77777777" w:rsidR="00E81874" w:rsidRPr="007639BC" w:rsidRDefault="00E81874" w:rsidP="00E8187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E81874" w:rsidRPr="00F72C6C" w14:paraId="030BA490" w14:textId="77777777" w:rsidTr="00C07756">
        <w:trPr>
          <w:cantSplit/>
        </w:trPr>
        <w:tc>
          <w:tcPr>
            <w:tcW w:w="1573" w:type="dxa"/>
          </w:tcPr>
          <w:p w14:paraId="20339281" w14:textId="77777777" w:rsidR="00E81874" w:rsidRPr="00886EDB" w:rsidRDefault="00E81874" w:rsidP="00C07756">
            <w:pPr>
              <w:jc w:val="left"/>
            </w:pPr>
            <w:r>
              <w:t>Merkmalstabelle</w:t>
            </w:r>
          </w:p>
        </w:tc>
        <w:tc>
          <w:tcPr>
            <w:tcW w:w="8208" w:type="dxa"/>
          </w:tcPr>
          <w:p w14:paraId="7588254B" w14:textId="77777777" w:rsidR="00E81874" w:rsidRDefault="00E81874" w:rsidP="00C07756">
            <w:pPr>
              <w:rPr>
                <w:rFonts w:cs="Arial"/>
              </w:rPr>
            </w:pPr>
            <w:r>
              <w:t>Merkm. 12 (Korrektur) wieder einsetzen</w:t>
            </w:r>
          </w:p>
        </w:tc>
      </w:tr>
      <w:tr w:rsidR="00E81874" w:rsidRPr="00F72C6C" w14:paraId="6D67A20C" w14:textId="77777777" w:rsidTr="00C07756">
        <w:trPr>
          <w:cantSplit/>
        </w:trPr>
        <w:tc>
          <w:tcPr>
            <w:tcW w:w="1573" w:type="dxa"/>
          </w:tcPr>
          <w:p w14:paraId="70B4D498" w14:textId="77777777" w:rsidR="00E81874" w:rsidRPr="00886EDB" w:rsidRDefault="00E81874" w:rsidP="00C07756">
            <w:pPr>
              <w:jc w:val="left"/>
            </w:pPr>
            <w:r>
              <w:t>Merkm. 11</w:t>
            </w:r>
          </w:p>
        </w:tc>
        <w:tc>
          <w:tcPr>
            <w:tcW w:w="8208" w:type="dxa"/>
          </w:tcPr>
          <w:p w14:paraId="644CB278" w14:textId="77777777" w:rsidR="00E81874" w:rsidRPr="00886EDB" w:rsidRDefault="00E81874" w:rsidP="00C07756">
            <w:r>
              <w:t>Stufe 2 soll lauten „aufwärts gerichtet bis waagerecht“</w:t>
            </w:r>
          </w:p>
        </w:tc>
      </w:tr>
      <w:tr w:rsidR="00E81874" w:rsidRPr="00F72C6C" w14:paraId="04F72E73" w14:textId="77777777" w:rsidTr="00C07756">
        <w:trPr>
          <w:cantSplit/>
        </w:trPr>
        <w:tc>
          <w:tcPr>
            <w:tcW w:w="1573" w:type="dxa"/>
          </w:tcPr>
          <w:p w14:paraId="3BC09B40" w14:textId="77777777" w:rsidR="00E81874" w:rsidRPr="00886EDB" w:rsidRDefault="00E81874" w:rsidP="00C07756">
            <w:pPr>
              <w:jc w:val="left"/>
            </w:pPr>
            <w:r>
              <w:rPr>
                <w:vertAlign w:val="superscript"/>
              </w:rPr>
              <w:t>#</w:t>
            </w:r>
            <w:r>
              <w:t>Merkm. 14</w:t>
            </w:r>
          </w:p>
        </w:tc>
        <w:tc>
          <w:tcPr>
            <w:tcW w:w="8208" w:type="dxa"/>
          </w:tcPr>
          <w:p w14:paraId="6710A783" w14:textId="77777777" w:rsidR="00E81874" w:rsidRDefault="00E81874" w:rsidP="00C07756">
            <w:pPr>
              <w:rPr>
                <w:rFonts w:cs="Arial"/>
              </w:rPr>
            </w:pPr>
            <w:r>
              <w:t>Prüfen, ob MS hinzugefügt werden soll</w:t>
            </w:r>
          </w:p>
        </w:tc>
      </w:tr>
      <w:tr w:rsidR="00E81874" w:rsidRPr="00F72C6C" w14:paraId="3A967172" w14:textId="77777777" w:rsidTr="00C07756">
        <w:trPr>
          <w:cantSplit/>
        </w:trPr>
        <w:tc>
          <w:tcPr>
            <w:tcW w:w="1573" w:type="dxa"/>
          </w:tcPr>
          <w:p w14:paraId="19BDADCC" w14:textId="77777777" w:rsidR="00E81874" w:rsidRPr="00886EDB" w:rsidRDefault="00E81874" w:rsidP="00C07756">
            <w:pPr>
              <w:jc w:val="left"/>
            </w:pPr>
            <w:r>
              <w:t>Merkm. 17</w:t>
            </w:r>
          </w:p>
        </w:tc>
        <w:tc>
          <w:tcPr>
            <w:tcW w:w="8208" w:type="dxa"/>
          </w:tcPr>
          <w:p w14:paraId="1CC1318B" w14:textId="77777777" w:rsidR="00E81874" w:rsidRDefault="00E81874" w:rsidP="00C07756">
            <w:pPr>
              <w:rPr>
                <w:rFonts w:cs="Arial"/>
              </w:rPr>
            </w:pPr>
            <w:r>
              <w:t>Prüfen, ob (b) hinzugefügt werden soll</w:t>
            </w:r>
          </w:p>
        </w:tc>
      </w:tr>
      <w:tr w:rsidR="00E81874" w:rsidRPr="00F72C6C" w14:paraId="08017985" w14:textId="77777777" w:rsidTr="00C07756">
        <w:trPr>
          <w:cantSplit/>
        </w:trPr>
        <w:tc>
          <w:tcPr>
            <w:tcW w:w="1573" w:type="dxa"/>
          </w:tcPr>
          <w:p w14:paraId="388AF4FC" w14:textId="77777777" w:rsidR="00E81874" w:rsidRPr="00304E53" w:rsidRDefault="00E81874" w:rsidP="00C07756">
            <w:pPr>
              <w:jc w:val="left"/>
            </w:pPr>
            <w:r>
              <w:t>#Zu 2</w:t>
            </w:r>
          </w:p>
        </w:tc>
        <w:tc>
          <w:tcPr>
            <w:tcW w:w="8208" w:type="dxa"/>
          </w:tcPr>
          <w:p w14:paraId="45E547D4" w14:textId="77777777" w:rsidR="00E81874" w:rsidRPr="00304E53" w:rsidDel="00CF0C36" w:rsidRDefault="00E81874" w:rsidP="00C07756">
            <w:r>
              <w:t>Prüfen, ob die Abbildung für Stufe 1 geeignet ist (dort ist derzeit eine „sehr aufrechte“ statt einer „aufrechten“ Wuchsform zu sehen)</w:t>
            </w:r>
          </w:p>
        </w:tc>
      </w:tr>
      <w:tr w:rsidR="00E81874" w:rsidRPr="00F72C6C" w14:paraId="4DB5DF41" w14:textId="77777777" w:rsidTr="00C07756">
        <w:trPr>
          <w:cantSplit/>
        </w:trPr>
        <w:tc>
          <w:tcPr>
            <w:tcW w:w="1573" w:type="dxa"/>
          </w:tcPr>
          <w:p w14:paraId="3B9F8D34" w14:textId="77777777" w:rsidR="00E81874" w:rsidRPr="00304E53" w:rsidRDefault="00E81874" w:rsidP="00C07756">
            <w:pPr>
              <w:jc w:val="left"/>
            </w:pPr>
            <w:r>
              <w:t>#Zu 14</w:t>
            </w:r>
          </w:p>
        </w:tc>
        <w:tc>
          <w:tcPr>
            <w:tcW w:w="8208" w:type="dxa"/>
          </w:tcPr>
          <w:p w14:paraId="72F8CBF8" w14:textId="77777777" w:rsidR="00E81874" w:rsidRPr="00304E53" w:rsidRDefault="00E81874" w:rsidP="00C07756">
            <w:pPr>
              <w:rPr>
                <w:i/>
              </w:rPr>
            </w:pPr>
            <w:r>
              <w:t>Die Abbildung an den neuen Wortlaut anpassen (zur Verdeutlichung des Verhältnisses Länge/Breite bitte zwei Bilder zeigen)</w:t>
            </w:r>
          </w:p>
        </w:tc>
      </w:tr>
    </w:tbl>
    <w:p w14:paraId="5542ABAF" w14:textId="77777777" w:rsidR="00E81874" w:rsidRPr="003C5745" w:rsidRDefault="00E81874" w:rsidP="00E81874"/>
    <w:p w14:paraId="79C14810" w14:textId="77777777" w:rsidR="00E81874" w:rsidRDefault="00E81874" w:rsidP="00E81874"/>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E81874" w:rsidRPr="008A73B8" w14:paraId="2AC6D89B" w14:textId="77777777" w:rsidTr="00C07756">
        <w:trPr>
          <w:cantSplit/>
          <w:trHeight w:val="277"/>
          <w:jc w:val="center"/>
        </w:trPr>
        <w:tc>
          <w:tcPr>
            <w:tcW w:w="2894" w:type="dxa"/>
            <w:vMerge w:val="restart"/>
            <w:shd w:val="clear" w:color="auto" w:fill="D9D9D9"/>
            <w:vAlign w:val="center"/>
          </w:tcPr>
          <w:p w14:paraId="06F698CF" w14:textId="77777777" w:rsidR="00E81874" w:rsidRPr="00482191" w:rsidRDefault="00E81874" w:rsidP="00C07756">
            <w:pPr>
              <w:pStyle w:val="TitleofDoc"/>
              <w:keepNext/>
              <w:tabs>
                <w:tab w:val="left" w:pos="5245"/>
                <w:tab w:val="left" w:pos="7008"/>
              </w:tabs>
              <w:spacing w:before="0"/>
              <w:jc w:val="left"/>
              <w:rPr>
                <w:rFonts w:cs="Arial"/>
                <w:caps w:val="0"/>
              </w:rPr>
            </w:pPr>
            <w:r>
              <w:rPr>
                <w:caps w:val="0"/>
              </w:rPr>
              <w:t>Igelkopf</w:t>
            </w:r>
            <w:r>
              <w:rPr>
                <w:caps w:val="0"/>
              </w:rPr>
              <w:br/>
              <w:t>(</w:t>
            </w:r>
            <w:r>
              <w:rPr>
                <w:i/>
                <w:caps w:val="0"/>
              </w:rPr>
              <w:t xml:space="preserve">Echinacea </w:t>
            </w:r>
            <w:r>
              <w:rPr>
                <w:caps w:val="0"/>
              </w:rPr>
              <w:t>Moench)</w:t>
            </w:r>
          </w:p>
        </w:tc>
        <w:tc>
          <w:tcPr>
            <w:tcW w:w="2552" w:type="dxa"/>
            <w:shd w:val="clear" w:color="auto" w:fill="D9D9D9"/>
            <w:vAlign w:val="center"/>
          </w:tcPr>
          <w:p w14:paraId="3D50EE94" w14:textId="77777777" w:rsidR="00E81874" w:rsidRPr="008A73B8" w:rsidRDefault="00E81874" w:rsidP="00C07756">
            <w:pPr>
              <w:pStyle w:val="TitleofDoc"/>
              <w:keepNext/>
              <w:tabs>
                <w:tab w:val="left" w:pos="5245"/>
                <w:tab w:val="left" w:pos="7008"/>
              </w:tabs>
              <w:spacing w:before="0"/>
              <w:jc w:val="left"/>
              <w:rPr>
                <w:rFonts w:cs="Arial"/>
                <w:caps w:val="0"/>
              </w:rPr>
            </w:pPr>
            <w:r>
              <w:rPr>
                <w:snapToGrid w:val="0"/>
                <w:color w:val="000000"/>
              </w:rPr>
              <w:t>TG/281/2(proj.3)</w:t>
            </w:r>
          </w:p>
        </w:tc>
        <w:tc>
          <w:tcPr>
            <w:tcW w:w="2807" w:type="dxa"/>
            <w:shd w:val="clear" w:color="auto" w:fill="D9D9D9"/>
            <w:vAlign w:val="center"/>
          </w:tcPr>
          <w:p w14:paraId="64DD7224" w14:textId="77777777" w:rsidR="00E81874" w:rsidRPr="000D70A7" w:rsidRDefault="00E81874" w:rsidP="00C07756">
            <w:pPr>
              <w:keepNext/>
              <w:jc w:val="left"/>
              <w:rPr>
                <w:rFonts w:cs="Arial"/>
                <w:iCs/>
                <w:snapToGrid w:val="0"/>
                <w:color w:val="000000"/>
              </w:rPr>
            </w:pPr>
            <w:r>
              <w:t>Fr. Hilary Papworth (GB)</w:t>
            </w:r>
          </w:p>
        </w:tc>
        <w:tc>
          <w:tcPr>
            <w:tcW w:w="736" w:type="dxa"/>
            <w:vMerge w:val="restart"/>
            <w:shd w:val="clear" w:color="auto" w:fill="D9D9D9"/>
            <w:vAlign w:val="center"/>
          </w:tcPr>
          <w:p w14:paraId="1E70A8C5" w14:textId="77777777" w:rsidR="00E81874" w:rsidRPr="008A73B8" w:rsidRDefault="00E81874" w:rsidP="00C07756">
            <w:pPr>
              <w:keepNext/>
              <w:jc w:val="left"/>
              <w:rPr>
                <w:rFonts w:cs="Arial"/>
                <w:iCs/>
              </w:rPr>
            </w:pPr>
            <w:r>
              <w:t>TWO</w:t>
            </w:r>
          </w:p>
        </w:tc>
        <w:tc>
          <w:tcPr>
            <w:tcW w:w="993" w:type="dxa"/>
            <w:vMerge w:val="restart"/>
            <w:shd w:val="clear" w:color="auto" w:fill="D9D9D9"/>
            <w:vAlign w:val="center"/>
          </w:tcPr>
          <w:p w14:paraId="6307514D" w14:textId="77777777" w:rsidR="00E81874" w:rsidRPr="008A73B8" w:rsidRDefault="00E81874" w:rsidP="00C07756">
            <w:pPr>
              <w:pStyle w:val="BodyText"/>
              <w:keepNext/>
              <w:jc w:val="left"/>
              <w:rPr>
                <w:rFonts w:cs="Arial"/>
                <w:iCs/>
                <w:snapToGrid w:val="0"/>
              </w:rPr>
            </w:pPr>
            <w:r>
              <w:rPr>
                <w:snapToGrid w:val="0"/>
              </w:rPr>
              <w:t>*</w:t>
            </w:r>
          </w:p>
        </w:tc>
      </w:tr>
      <w:tr w:rsidR="00E81874" w:rsidRPr="004219E9" w14:paraId="1F647CA0" w14:textId="77777777" w:rsidTr="00C07756">
        <w:trPr>
          <w:cantSplit/>
          <w:trHeight w:hRule="exact" w:val="1015"/>
          <w:jc w:val="center"/>
        </w:trPr>
        <w:tc>
          <w:tcPr>
            <w:tcW w:w="2894" w:type="dxa"/>
            <w:vMerge/>
            <w:shd w:val="clear" w:color="auto" w:fill="D9D9D9"/>
            <w:vAlign w:val="center"/>
          </w:tcPr>
          <w:p w14:paraId="29707FC9" w14:textId="77777777" w:rsidR="00E81874" w:rsidRPr="008A73B8" w:rsidRDefault="00E81874" w:rsidP="00C07756">
            <w:pPr>
              <w:pStyle w:val="TitleofDoc"/>
              <w:keepNext/>
              <w:tabs>
                <w:tab w:val="left" w:pos="5245"/>
                <w:tab w:val="left" w:pos="7008"/>
              </w:tabs>
              <w:spacing w:before="0"/>
              <w:jc w:val="left"/>
              <w:rPr>
                <w:rFonts w:cs="Arial"/>
                <w:caps w:val="0"/>
              </w:rPr>
            </w:pPr>
          </w:p>
        </w:tc>
        <w:tc>
          <w:tcPr>
            <w:tcW w:w="2552" w:type="dxa"/>
            <w:shd w:val="clear" w:color="auto" w:fill="D9D9D9"/>
            <w:vAlign w:val="center"/>
          </w:tcPr>
          <w:p w14:paraId="5BE314D0" w14:textId="77777777" w:rsidR="00E81874" w:rsidRPr="008A73B8" w:rsidRDefault="00E81874" w:rsidP="00C07756">
            <w:pPr>
              <w:pStyle w:val="BodyText"/>
              <w:keepNext/>
              <w:jc w:val="left"/>
              <w:rPr>
                <w:rFonts w:cs="Arial"/>
                <w:color w:val="000000"/>
              </w:rPr>
            </w:pPr>
            <w:r>
              <w:rPr>
                <w:color w:val="000000"/>
              </w:rPr>
              <w:t>Anzahl von Merkm.:  54 Anzahl von (</w:t>
            </w:r>
            <w:r>
              <w:rPr>
                <w:color w:val="000000"/>
              </w:rPr>
              <w:sym w:font="Symbol" w:char="F02A"/>
            </w:r>
            <w:r>
              <w:rPr>
                <w:color w:val="000000"/>
              </w:rPr>
              <w:t>) Merkm.:  42</w:t>
            </w:r>
          </w:p>
        </w:tc>
        <w:tc>
          <w:tcPr>
            <w:tcW w:w="2807" w:type="dxa"/>
            <w:shd w:val="clear" w:color="auto" w:fill="D9D9D9"/>
            <w:vAlign w:val="center"/>
          </w:tcPr>
          <w:p w14:paraId="31A264C0" w14:textId="77777777" w:rsidR="00E81874" w:rsidRPr="004219E9" w:rsidRDefault="00E81874" w:rsidP="00C07756">
            <w:pPr>
              <w:keepNext/>
              <w:jc w:val="left"/>
              <w:rPr>
                <w:rFonts w:cs="Arial"/>
                <w:iCs/>
                <w:snapToGrid w:val="0"/>
                <w:color w:val="000000"/>
              </w:rPr>
            </w:pPr>
            <w:r>
              <w:rPr>
                <w:snapToGrid w:val="0"/>
                <w:color w:val="000000"/>
              </w:rPr>
              <w:t xml:space="preserve">(Beteiligte Sachverständige:  </w:t>
            </w:r>
            <w:r>
              <w:t>CA, FR, JP, NZ, QZ, CIOPORA)</w:t>
            </w:r>
          </w:p>
        </w:tc>
        <w:tc>
          <w:tcPr>
            <w:tcW w:w="736" w:type="dxa"/>
            <w:vMerge/>
            <w:shd w:val="clear" w:color="auto" w:fill="D9D9D9"/>
            <w:vAlign w:val="center"/>
          </w:tcPr>
          <w:p w14:paraId="3DFFF6E3" w14:textId="77777777" w:rsidR="00E81874" w:rsidRPr="00C72898" w:rsidRDefault="00E81874" w:rsidP="00C07756">
            <w:pPr>
              <w:keepNext/>
              <w:jc w:val="left"/>
              <w:rPr>
                <w:rFonts w:cs="Arial"/>
                <w:iCs/>
              </w:rPr>
            </w:pPr>
          </w:p>
        </w:tc>
        <w:tc>
          <w:tcPr>
            <w:tcW w:w="993" w:type="dxa"/>
            <w:vMerge/>
            <w:shd w:val="clear" w:color="auto" w:fill="D9D9D9"/>
            <w:vAlign w:val="center"/>
          </w:tcPr>
          <w:p w14:paraId="1FAF33D7" w14:textId="77777777" w:rsidR="00E81874" w:rsidRPr="00C72898" w:rsidRDefault="00E81874" w:rsidP="00C07756">
            <w:pPr>
              <w:pStyle w:val="BodyText"/>
              <w:keepNext/>
              <w:jc w:val="left"/>
              <w:rPr>
                <w:rFonts w:cs="Arial"/>
                <w:iCs/>
                <w:snapToGrid w:val="0"/>
              </w:rPr>
            </w:pPr>
          </w:p>
        </w:tc>
      </w:tr>
    </w:tbl>
    <w:p w14:paraId="6D0DBE78" w14:textId="77777777" w:rsidR="00E81874" w:rsidRDefault="00E81874" w:rsidP="00E81874">
      <w:pPr>
        <w:rPr>
          <w:lang w:val="pt-BR"/>
        </w:rPr>
      </w:pPr>
    </w:p>
    <w:p w14:paraId="4350F236" w14:textId="77777777" w:rsidR="00E81874" w:rsidRPr="008D0013" w:rsidRDefault="00E81874" w:rsidP="00E81874">
      <w:pPr>
        <w:keepNext/>
        <w:ind w:firstLine="567"/>
        <w:rPr>
          <w:rFonts w:cs="Arial"/>
        </w:rPr>
      </w:pPr>
      <w:r>
        <w:t>Der TC-EDC prüfte auf seiner am 12. und 13. Oktober 2021 auf elektronischem Wege abgehaltenen Tagung das Dokument </w:t>
      </w:r>
      <w:r>
        <w:rPr>
          <w:caps/>
        </w:rPr>
        <w:t>TG/281/2(</w:t>
      </w:r>
      <w:r>
        <w:t>proj</w:t>
      </w:r>
      <w:r>
        <w:rPr>
          <w:caps/>
        </w:rPr>
        <w:t>.3)</w:t>
      </w:r>
      <w:r>
        <w:t xml:space="preserve"> und gab die in der nachstehenden Tabelle aufgeführten Empfehlungen ab.</w:t>
      </w:r>
    </w:p>
    <w:p w14:paraId="1368DBC2" w14:textId="77777777" w:rsidR="00E81874" w:rsidRPr="008D0013" w:rsidRDefault="00E81874" w:rsidP="00E81874">
      <w:pPr>
        <w:keepNext/>
        <w:autoSpaceDE w:val="0"/>
        <w:autoSpaceDN w:val="0"/>
        <w:adjustRightInd w:val="0"/>
        <w:ind w:firstLine="567"/>
        <w:rPr>
          <w:rFonts w:cs="Arial"/>
        </w:rPr>
      </w:pPr>
    </w:p>
    <w:p w14:paraId="38C368A9" w14:textId="77777777" w:rsidR="00E81874" w:rsidRPr="005053D5" w:rsidRDefault="00E81874" w:rsidP="00E81874">
      <w:pPr>
        <w:autoSpaceDE w:val="0"/>
        <w:autoSpaceDN w:val="0"/>
        <w:adjustRightInd w:val="0"/>
        <w:ind w:firstLine="567"/>
      </w:pPr>
      <w:r>
        <w:t>Der TC-EDC vereinbarte, dass der Entwurf von Prüfungsrichtlinien für Igelkopf dem TC zur Annahme vorzulegen sei.</w:t>
      </w:r>
    </w:p>
    <w:p w14:paraId="3B92E44D" w14:textId="77777777" w:rsidR="00E81874" w:rsidRPr="000D70A7" w:rsidRDefault="00E81874" w:rsidP="00E8187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E81874" w:rsidRPr="004219E9" w14:paraId="6F7B8749" w14:textId="77777777" w:rsidTr="00C07756">
        <w:trPr>
          <w:cantSplit/>
        </w:trPr>
        <w:tc>
          <w:tcPr>
            <w:tcW w:w="1573" w:type="dxa"/>
          </w:tcPr>
          <w:p w14:paraId="0D4D2DB3" w14:textId="77777777" w:rsidR="00E81874" w:rsidRPr="00953961" w:rsidRDefault="00E81874" w:rsidP="00C07756">
            <w:r>
              <w:t>Botanischer Name</w:t>
            </w:r>
          </w:p>
        </w:tc>
        <w:tc>
          <w:tcPr>
            <w:tcW w:w="8208" w:type="dxa"/>
          </w:tcPr>
          <w:p w14:paraId="64DEE9B1" w14:textId="77777777" w:rsidR="00E81874" w:rsidRDefault="00E81874" w:rsidP="00C07756">
            <w:r>
              <w:t>- Der landesübliche englische Name „Cone Flower“ soll als ein Wort („Coneflower“) geschrieben werden</w:t>
            </w:r>
          </w:p>
          <w:p w14:paraId="56B817F2" w14:textId="77777777" w:rsidR="00E81874" w:rsidRPr="00953961" w:rsidRDefault="00E81874" w:rsidP="00C07756">
            <w:r>
              <w:t>-  den landesüblichen deutschen Namen „Scheinsonnenhut“ hinzufügen</w:t>
            </w:r>
          </w:p>
        </w:tc>
      </w:tr>
      <w:tr w:rsidR="00E81874" w:rsidRPr="004219E9" w14:paraId="0CD526C9" w14:textId="77777777" w:rsidTr="00C07756">
        <w:trPr>
          <w:cantSplit/>
        </w:trPr>
        <w:tc>
          <w:tcPr>
            <w:tcW w:w="1573" w:type="dxa"/>
          </w:tcPr>
          <w:p w14:paraId="7101FCB1" w14:textId="77777777" w:rsidR="00E81874" w:rsidRDefault="00E81874" w:rsidP="00C07756">
            <w:pPr>
              <w:jc w:val="left"/>
              <w:rPr>
                <w:rFonts w:cs="Arial"/>
              </w:rPr>
            </w:pPr>
            <w:r>
              <w:t>2.3</w:t>
            </w:r>
          </w:p>
        </w:tc>
        <w:tc>
          <w:tcPr>
            <w:tcW w:w="8208" w:type="dxa"/>
          </w:tcPr>
          <w:p w14:paraId="74481832" w14:textId="77777777" w:rsidR="00E81874" w:rsidRDefault="00E81874" w:rsidP="00C07756">
            <w:pPr>
              <w:keepNext/>
              <w:rPr>
                <w:rFonts w:cs="Arial"/>
              </w:rPr>
            </w:pPr>
            <w:r>
              <w:t>„Jung“ in ‚vegetativ vermehrte Sorten‘ streichen</w:t>
            </w:r>
          </w:p>
        </w:tc>
      </w:tr>
      <w:tr w:rsidR="00E81874" w:rsidRPr="00C72898" w14:paraId="208FFB27" w14:textId="77777777" w:rsidTr="00C07756">
        <w:trPr>
          <w:cantSplit/>
        </w:trPr>
        <w:tc>
          <w:tcPr>
            <w:tcW w:w="1573" w:type="dxa"/>
            <w:shd w:val="clear" w:color="auto" w:fill="auto"/>
          </w:tcPr>
          <w:p w14:paraId="683DA0CB" w14:textId="77777777" w:rsidR="00E81874" w:rsidRPr="00304E53" w:rsidRDefault="00E81874" w:rsidP="00C07756">
            <w:r>
              <w:t>Merkm. 49</w:t>
            </w:r>
          </w:p>
        </w:tc>
        <w:tc>
          <w:tcPr>
            <w:tcW w:w="8208" w:type="dxa"/>
          </w:tcPr>
          <w:p w14:paraId="1F4E794B" w14:textId="7613D1CE" w:rsidR="00E81874" w:rsidRPr="0052329D" w:rsidRDefault="00E81874" w:rsidP="00C07756">
            <w:pPr>
              <w:tabs>
                <w:tab w:val="left" w:pos="5103"/>
                <w:tab w:val="left" w:leader="dot" w:pos="9639"/>
              </w:tabs>
              <w:ind w:left="-9"/>
              <w:rPr>
                <w:lang w:val="en-US"/>
              </w:rPr>
            </w:pPr>
            <w:r>
              <w:t>Soll lauten „</w:t>
            </w:r>
            <w:r>
              <w:rPr>
                <w:u w:val="single"/>
              </w:rPr>
              <w:t>Nur Sorten mit Scheiben vom Typ: margeritenförmig: mit Randblüten in der Scheibe...</w:t>
            </w:r>
            <w:r>
              <w:t xml:space="preserve">“ </w:t>
            </w:r>
            <w:r w:rsidRPr="0052329D">
              <w:rPr>
                <w:lang w:val="en-US"/>
              </w:rPr>
              <w:t>[</w:t>
            </w:r>
            <w:r w:rsidR="00975122" w:rsidRPr="00975122">
              <w:rPr>
                <w:lang w:val="en-US"/>
              </w:rPr>
              <w:t>„</w:t>
            </w:r>
            <w:r w:rsidRPr="0052329D">
              <w:rPr>
                <w:u w:val="single"/>
                <w:lang w:val="en-US"/>
              </w:rPr>
              <w:t xml:space="preserve">Only varieties with disc type: daisy: with ray florets present within </w:t>
            </w:r>
            <w:r w:rsidRPr="0052329D">
              <w:rPr>
                <w:strike/>
                <w:u w:val="single"/>
                <w:lang w:val="en-US"/>
              </w:rPr>
              <w:t>the</w:t>
            </w:r>
            <w:r w:rsidRPr="0052329D">
              <w:rPr>
                <w:u w:val="single"/>
                <w:lang w:val="en-US"/>
              </w:rPr>
              <w:t xml:space="preserve"> disc:</w:t>
            </w:r>
            <w:r w:rsidRPr="0052329D">
              <w:rPr>
                <w:lang w:val="en-US"/>
              </w:rPr>
              <w:t>…”]</w:t>
            </w:r>
          </w:p>
        </w:tc>
      </w:tr>
      <w:tr w:rsidR="00E81874" w:rsidRPr="004219E9" w14:paraId="1731DA35" w14:textId="77777777" w:rsidTr="00C07756">
        <w:trPr>
          <w:cantSplit/>
        </w:trPr>
        <w:tc>
          <w:tcPr>
            <w:tcW w:w="1573" w:type="dxa"/>
            <w:shd w:val="clear" w:color="auto" w:fill="auto"/>
          </w:tcPr>
          <w:p w14:paraId="4EA2D6E4" w14:textId="77777777" w:rsidR="00E81874" w:rsidRPr="00304E53" w:rsidRDefault="00E81874" w:rsidP="00C07756">
            <w:pPr>
              <w:pStyle w:val="BodyText"/>
              <w:jc w:val="left"/>
              <w:rPr>
                <w:rFonts w:eastAsia="MS Mincho" w:cs="Arial"/>
              </w:rPr>
            </w:pPr>
            <w:r>
              <w:t>8.1 (a)</w:t>
            </w:r>
          </w:p>
        </w:tc>
        <w:tc>
          <w:tcPr>
            <w:tcW w:w="8208" w:type="dxa"/>
          </w:tcPr>
          <w:p w14:paraId="581ACCDB" w14:textId="3A35DDE6" w:rsidR="00E81874" w:rsidRPr="000D70A7" w:rsidRDefault="00E81874" w:rsidP="00C07756">
            <w:pPr>
              <w:pStyle w:val="BodyText"/>
              <w:jc w:val="left"/>
              <w:rPr>
                <w:rFonts w:eastAsia="MS Mincho" w:cs="Arial"/>
              </w:rPr>
            </w:pPr>
            <w:r>
              <w:t xml:space="preserve">Soll lauten „Die Erfassungen sollten an Blättern </w:t>
            </w:r>
            <w:r>
              <w:rPr>
                <w:strike/>
              </w:rPr>
              <w:t>des Triebs</w:t>
            </w:r>
            <w:r>
              <w:t xml:space="preserve">  aus dem mittleren Drittel des blühenden Triebs</w:t>
            </w:r>
            <w:r w:rsidR="00975122">
              <w:t xml:space="preserve"> </w:t>
            </w:r>
            <w:r>
              <w:t xml:space="preserve">und, </w:t>
            </w:r>
            <w:r>
              <w:rPr>
                <w:u w:val="single"/>
              </w:rPr>
              <w:t>sofern nicht anders angegeben,</w:t>
            </w:r>
            <w:r>
              <w:t xml:space="preserve"> an der Oberseite erfolgen.</w:t>
            </w:r>
            <w:r w:rsidR="00BB7212">
              <w:t xml:space="preserve"> </w:t>
            </w:r>
            <w:r w:rsidR="00BB7212" w:rsidRPr="00BB7212">
              <w:rPr>
                <w:strike/>
              </w:rPr>
              <w:t>,sofern nicht anders angegeben</w:t>
            </w:r>
            <w:r>
              <w:t>“</w:t>
            </w:r>
            <w:r>
              <w:br/>
            </w:r>
          </w:p>
        </w:tc>
      </w:tr>
      <w:tr w:rsidR="00E81874" w:rsidRPr="004219E9" w14:paraId="0AD2737E" w14:textId="77777777" w:rsidTr="00C07756">
        <w:trPr>
          <w:cantSplit/>
        </w:trPr>
        <w:tc>
          <w:tcPr>
            <w:tcW w:w="1573" w:type="dxa"/>
          </w:tcPr>
          <w:p w14:paraId="6E8CE543" w14:textId="77777777" w:rsidR="00E81874" w:rsidRPr="00BA2BDC" w:rsidRDefault="00E81874" w:rsidP="00C07756">
            <w:r>
              <w:t>9.</w:t>
            </w:r>
          </w:p>
        </w:tc>
        <w:tc>
          <w:tcPr>
            <w:tcW w:w="8208" w:type="dxa"/>
          </w:tcPr>
          <w:p w14:paraId="2E443C85" w14:textId="77777777" w:rsidR="00E81874" w:rsidRPr="00BA2BDC" w:rsidRDefault="00E81874" w:rsidP="00C07756">
            <w:pPr>
              <w:tabs>
                <w:tab w:val="left" w:pos="5103"/>
                <w:tab w:val="left" w:leader="dot" w:pos="9639"/>
              </w:tabs>
              <w:ind w:left="-9"/>
            </w:pPr>
            <w:r>
              <w:t>Vierte Verweisangabe soll lauten „Köck, O. 2001: Medicinal plant varieties of Hungary: Dr Károly Neszmélyi, OMMI, Budapest, HU, pp. 23“</w:t>
            </w:r>
          </w:p>
        </w:tc>
      </w:tr>
    </w:tbl>
    <w:p w14:paraId="46A54C97" w14:textId="77777777" w:rsidR="00E81874" w:rsidRDefault="00E81874" w:rsidP="00E81874"/>
    <w:p w14:paraId="4E780FF3" w14:textId="77777777" w:rsidR="00E81874" w:rsidRPr="00521951" w:rsidRDefault="00E81874" w:rsidP="00E81874"/>
    <w:p w14:paraId="6F08C7F9" w14:textId="77777777" w:rsidR="00E81874" w:rsidRDefault="00E81874" w:rsidP="00E81874"/>
    <w:p w14:paraId="3EEC8E79" w14:textId="77777777" w:rsidR="00E81874" w:rsidRPr="00521951" w:rsidRDefault="00E81874" w:rsidP="00E81874">
      <w:pPr>
        <w:jc w:val="right"/>
      </w:pPr>
      <w:r>
        <w:t>[Ende der Anlage II und des Dokuments]</w:t>
      </w:r>
    </w:p>
    <w:p w14:paraId="14228AE8" w14:textId="77777777" w:rsidR="00E81874" w:rsidRPr="00C5280D" w:rsidRDefault="00E81874" w:rsidP="00E81874"/>
    <w:sectPr w:rsidR="00E81874" w:rsidRPr="00C5280D" w:rsidSect="0004198B">
      <w:headerReference w:type="default" r:id="rId23"/>
      <w:headerReference w:type="first" r:id="rId24"/>
      <w:pgSz w:w="11907" w:h="16840" w:code="9"/>
      <w:pgMar w:top="510" w:right="1134" w:bottom="1134" w:left="1134" w:header="510" w:footer="680"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79D5F" w16cex:dateUtc="2021-11-11T1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18FAE8" w16cid:durableId="25379D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C43B3" w14:textId="77777777" w:rsidR="00C6116C" w:rsidRDefault="00C6116C" w:rsidP="006655D3">
      <w:r>
        <w:separator/>
      </w:r>
    </w:p>
    <w:p w14:paraId="74ADF2DB" w14:textId="77777777" w:rsidR="00C6116C" w:rsidRDefault="00C6116C" w:rsidP="006655D3"/>
    <w:p w14:paraId="504AAAAD" w14:textId="77777777" w:rsidR="00C6116C" w:rsidRDefault="00C6116C" w:rsidP="006655D3"/>
  </w:endnote>
  <w:endnote w:type="continuationSeparator" w:id="0">
    <w:p w14:paraId="3BEA80C8" w14:textId="77777777" w:rsidR="00C6116C" w:rsidRDefault="00C6116C" w:rsidP="006655D3">
      <w:r>
        <w:separator/>
      </w:r>
    </w:p>
    <w:p w14:paraId="2E5B3A12" w14:textId="77777777" w:rsidR="00C6116C" w:rsidRPr="00294751" w:rsidRDefault="00C6116C">
      <w:pPr>
        <w:pStyle w:val="Footer"/>
        <w:spacing w:after="60"/>
        <w:rPr>
          <w:sz w:val="18"/>
          <w:lang w:val="fr-FR"/>
        </w:rPr>
      </w:pPr>
      <w:r w:rsidRPr="00294751">
        <w:rPr>
          <w:sz w:val="18"/>
          <w:lang w:val="fr-FR"/>
        </w:rPr>
        <w:t>[Suite de la note de la page précédente]</w:t>
      </w:r>
    </w:p>
    <w:p w14:paraId="7CCF8DF7" w14:textId="77777777" w:rsidR="00C6116C" w:rsidRPr="00294751" w:rsidRDefault="00C6116C" w:rsidP="006655D3">
      <w:pPr>
        <w:rPr>
          <w:lang w:val="fr-FR"/>
        </w:rPr>
      </w:pPr>
    </w:p>
    <w:p w14:paraId="41863D3C" w14:textId="77777777" w:rsidR="00C6116C" w:rsidRPr="00294751" w:rsidRDefault="00C6116C" w:rsidP="006655D3">
      <w:pPr>
        <w:rPr>
          <w:lang w:val="fr-FR"/>
        </w:rPr>
      </w:pPr>
    </w:p>
  </w:endnote>
  <w:endnote w:type="continuationNotice" w:id="1">
    <w:p w14:paraId="3DA45EF6" w14:textId="77777777" w:rsidR="00C6116C" w:rsidRPr="00294751" w:rsidRDefault="00C6116C" w:rsidP="006655D3">
      <w:pPr>
        <w:rPr>
          <w:lang w:val="fr-FR"/>
        </w:rPr>
      </w:pPr>
      <w:r w:rsidRPr="00294751">
        <w:rPr>
          <w:lang w:val="fr-FR"/>
        </w:rPr>
        <w:t>[Suite de la note page suivante]</w:t>
      </w:r>
    </w:p>
    <w:p w14:paraId="65DBCEF8" w14:textId="77777777" w:rsidR="00C6116C" w:rsidRPr="00294751" w:rsidRDefault="00C6116C" w:rsidP="006655D3">
      <w:pPr>
        <w:rPr>
          <w:lang w:val="fr-FR"/>
        </w:rPr>
      </w:pPr>
    </w:p>
    <w:p w14:paraId="3C9FE480" w14:textId="77777777" w:rsidR="00C6116C" w:rsidRPr="00294751" w:rsidRDefault="00C6116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F199B" w14:textId="77777777" w:rsidR="00C6116C" w:rsidRDefault="00C6116C" w:rsidP="006655D3">
      <w:r>
        <w:separator/>
      </w:r>
    </w:p>
  </w:footnote>
  <w:footnote w:type="continuationSeparator" w:id="0">
    <w:p w14:paraId="64459F56" w14:textId="77777777" w:rsidR="00C6116C" w:rsidRDefault="00C6116C" w:rsidP="006655D3">
      <w:r>
        <w:separator/>
      </w:r>
    </w:p>
  </w:footnote>
  <w:footnote w:type="continuationNotice" w:id="1">
    <w:p w14:paraId="0BEE247B" w14:textId="77777777" w:rsidR="00C6116C" w:rsidRPr="00AB530F" w:rsidRDefault="00C6116C" w:rsidP="00AB530F">
      <w:pPr>
        <w:pStyle w:val="Footer"/>
      </w:pPr>
    </w:p>
  </w:footnote>
  <w:footnote w:id="2">
    <w:p w14:paraId="16381F11" w14:textId="77777777" w:rsidR="00C6116C" w:rsidRDefault="00C6116C" w:rsidP="009C2EC2">
      <w:pPr>
        <w:pStyle w:val="FootnoteText"/>
      </w:pPr>
      <w:r>
        <w:rPr>
          <w:rStyle w:val="FootnoteReference"/>
        </w:rPr>
        <w:footnoteRef/>
      </w:r>
      <w:r>
        <w:t xml:space="preserve"> „Tag der Züchter”</w:t>
      </w:r>
    </w:p>
  </w:footnote>
  <w:footnote w:id="3">
    <w:p w14:paraId="020C9025" w14:textId="77777777" w:rsidR="00C6116C" w:rsidRPr="009205CB" w:rsidRDefault="00C6116C" w:rsidP="00E81874">
      <w:pPr>
        <w:pStyle w:val="FootnoteText"/>
      </w:pPr>
      <w:r>
        <w:rPr>
          <w:rStyle w:val="FootnoteReference"/>
        </w:rPr>
        <w:footnoteRef/>
      </w:r>
      <w:r>
        <w:t xml:space="preserve"> Naktuinbouw: resistentie@naktuinbouw.nl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A71D6" w14:textId="77777777" w:rsidR="00C6116C" w:rsidRPr="00C5280D" w:rsidRDefault="00C6116C" w:rsidP="00EB048E">
    <w:pPr>
      <w:pStyle w:val="Header"/>
      <w:rPr>
        <w:rStyle w:val="PageNumber"/>
      </w:rPr>
    </w:pPr>
    <w:r>
      <w:rPr>
        <w:rStyle w:val="PageNumber"/>
      </w:rPr>
      <w:t>TC/57/25</w:t>
    </w:r>
  </w:p>
  <w:p w14:paraId="7BFDDD4E" w14:textId="49A6D3A4" w:rsidR="00C6116C" w:rsidRPr="00C5280D" w:rsidRDefault="00C6116C"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AC4812">
      <w:rPr>
        <w:rStyle w:val="PageNumber"/>
        <w:noProof/>
      </w:rPr>
      <w:t>18</w:t>
    </w:r>
    <w:r w:rsidRPr="00C5280D">
      <w:rPr>
        <w:rStyle w:val="PageNumber"/>
      </w:rPr>
      <w:fldChar w:fldCharType="end"/>
    </w:r>
  </w:p>
  <w:p w14:paraId="551FECE0" w14:textId="77777777" w:rsidR="00C6116C" w:rsidRPr="00C5280D" w:rsidRDefault="00C6116C"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A3472" w14:textId="77777777" w:rsidR="00C6116C" w:rsidRPr="00C5280D" w:rsidRDefault="00C6116C" w:rsidP="00EB048E">
    <w:pPr>
      <w:pStyle w:val="Header"/>
      <w:rPr>
        <w:rStyle w:val="PageNumber"/>
      </w:rPr>
    </w:pPr>
    <w:r>
      <w:rPr>
        <w:rStyle w:val="PageNumber"/>
      </w:rPr>
      <w:t>TC/57/25</w:t>
    </w:r>
  </w:p>
  <w:p w14:paraId="4EAACCCF" w14:textId="5C1EB7E5" w:rsidR="00C6116C" w:rsidRPr="00C5280D" w:rsidRDefault="00C6116C" w:rsidP="00EB048E">
    <w:pPr>
      <w:pStyle w:val="Header"/>
    </w:pPr>
    <w:r>
      <w:t xml:space="preserve">Anlage I, 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E00933">
      <w:rPr>
        <w:rStyle w:val="PageNumber"/>
        <w:noProof/>
      </w:rPr>
      <w:t>9</w:t>
    </w:r>
    <w:r w:rsidRPr="00C5280D">
      <w:rPr>
        <w:rStyle w:val="PageNumber"/>
      </w:rPr>
      <w:fldChar w:fldCharType="end"/>
    </w:r>
  </w:p>
  <w:p w14:paraId="09800169" w14:textId="77777777" w:rsidR="00C6116C" w:rsidRPr="00C5280D" w:rsidRDefault="00C6116C"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E326E" w14:textId="77777777" w:rsidR="00C6116C" w:rsidRDefault="00C6116C" w:rsidP="0004198B">
    <w:pPr>
      <w:pStyle w:val="Header"/>
    </w:pPr>
    <w:r>
      <w:t>TC/57/25</w:t>
    </w:r>
  </w:p>
  <w:p w14:paraId="7B619407" w14:textId="77777777" w:rsidR="00C6116C" w:rsidRDefault="00C6116C" w:rsidP="0004198B">
    <w:pPr>
      <w:pStyle w:val="Header"/>
      <w:rPr>
        <w:lang w:val="fr-CH"/>
      </w:rPr>
    </w:pPr>
  </w:p>
  <w:p w14:paraId="6978CA39" w14:textId="77777777" w:rsidR="00C6116C" w:rsidRDefault="00C6116C" w:rsidP="0004198B">
    <w:pPr>
      <w:pStyle w:val="Header"/>
    </w:pPr>
    <w:r>
      <w:t>ANLAGE I</w:t>
    </w:r>
  </w:p>
  <w:p w14:paraId="59F2EC4F" w14:textId="77777777" w:rsidR="00C6116C" w:rsidRPr="00A8047D" w:rsidRDefault="00C6116C" w:rsidP="0004198B">
    <w:pPr>
      <w:pStyle w:val="Head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C45B1" w14:textId="77777777" w:rsidR="00C6116C" w:rsidRPr="00C5280D" w:rsidRDefault="00C6116C" w:rsidP="00EB048E">
    <w:pPr>
      <w:pStyle w:val="Header"/>
      <w:rPr>
        <w:rStyle w:val="PageNumber"/>
      </w:rPr>
    </w:pPr>
    <w:r>
      <w:rPr>
        <w:rStyle w:val="PageNumber"/>
      </w:rPr>
      <w:t>TC/57/25</w:t>
    </w:r>
  </w:p>
  <w:p w14:paraId="76AA6287" w14:textId="5292E73F" w:rsidR="00C6116C" w:rsidRPr="00C5280D" w:rsidRDefault="00C6116C" w:rsidP="00EB048E">
    <w:pPr>
      <w:pStyle w:val="Header"/>
    </w:pPr>
    <w:r>
      <w:t>Anlage II Seite</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E00933">
      <w:rPr>
        <w:rStyle w:val="PageNumber"/>
        <w:noProof/>
      </w:rPr>
      <w:t>5</w:t>
    </w:r>
    <w:r w:rsidRPr="00C5280D">
      <w:rPr>
        <w:rStyle w:val="PageNumber"/>
      </w:rPr>
      <w:fldChar w:fldCharType="end"/>
    </w:r>
  </w:p>
  <w:p w14:paraId="0192BCF9" w14:textId="77777777" w:rsidR="00C6116C" w:rsidRPr="00C5280D" w:rsidRDefault="00C6116C"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359A3" w14:textId="77777777" w:rsidR="00C6116C" w:rsidRDefault="00C6116C" w:rsidP="0004198B">
    <w:pPr>
      <w:pStyle w:val="Header"/>
    </w:pPr>
    <w:r>
      <w:t>TC/57/25</w:t>
    </w:r>
  </w:p>
  <w:p w14:paraId="0D429191" w14:textId="77777777" w:rsidR="00C6116C" w:rsidRDefault="00C6116C" w:rsidP="0004198B">
    <w:pPr>
      <w:pStyle w:val="Header"/>
      <w:rPr>
        <w:lang w:val="fr-CH"/>
      </w:rPr>
    </w:pPr>
  </w:p>
  <w:p w14:paraId="4DD728DD" w14:textId="77777777" w:rsidR="00C6116C" w:rsidRDefault="00C6116C" w:rsidP="0004198B">
    <w:pPr>
      <w:pStyle w:val="Header"/>
    </w:pPr>
    <w:r>
      <w:t>ANLAGE II</w:t>
    </w:r>
  </w:p>
  <w:p w14:paraId="5247812C" w14:textId="77777777" w:rsidR="00C6116C" w:rsidRPr="00A8047D" w:rsidRDefault="00C6116C" w:rsidP="0004198B">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1C0"/>
    <w:multiLevelType w:val="hybridMultilevel"/>
    <w:tmpl w:val="57108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E338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 w15:restartNumberingAfterBreak="0">
    <w:nsid w:val="07B31390"/>
    <w:multiLevelType w:val="hybridMultilevel"/>
    <w:tmpl w:val="5D08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366C2"/>
    <w:multiLevelType w:val="hybridMultilevel"/>
    <w:tmpl w:val="A1D03584"/>
    <w:lvl w:ilvl="0" w:tplc="9498264C">
      <w:start w:val="1"/>
      <w:numFmt w:val="lowerRoman"/>
      <w:lvlText w:val="(%1)"/>
      <w:lvlJc w:val="right"/>
      <w:pPr>
        <w:ind w:left="1091" w:hanging="360"/>
      </w:pPr>
      <w:rPr>
        <w:rFonts w:hint="default"/>
      </w:rPr>
    </w:lvl>
    <w:lvl w:ilvl="1" w:tplc="04090019" w:tentative="1">
      <w:start w:val="1"/>
      <w:numFmt w:val="lowerLetter"/>
      <w:lvlText w:val="%2."/>
      <w:lvlJc w:val="left"/>
      <w:pPr>
        <w:ind w:left="1811" w:hanging="360"/>
      </w:pPr>
    </w:lvl>
    <w:lvl w:ilvl="2" w:tplc="0409001B" w:tentative="1">
      <w:start w:val="1"/>
      <w:numFmt w:val="lowerRoman"/>
      <w:lvlText w:val="%3."/>
      <w:lvlJc w:val="right"/>
      <w:pPr>
        <w:ind w:left="2531" w:hanging="180"/>
      </w:pPr>
    </w:lvl>
    <w:lvl w:ilvl="3" w:tplc="0409000F" w:tentative="1">
      <w:start w:val="1"/>
      <w:numFmt w:val="decimal"/>
      <w:lvlText w:val="%4."/>
      <w:lvlJc w:val="left"/>
      <w:pPr>
        <w:ind w:left="3251" w:hanging="360"/>
      </w:pPr>
    </w:lvl>
    <w:lvl w:ilvl="4" w:tplc="04090019" w:tentative="1">
      <w:start w:val="1"/>
      <w:numFmt w:val="lowerLetter"/>
      <w:lvlText w:val="%5."/>
      <w:lvlJc w:val="left"/>
      <w:pPr>
        <w:ind w:left="3971" w:hanging="360"/>
      </w:pPr>
    </w:lvl>
    <w:lvl w:ilvl="5" w:tplc="0409001B" w:tentative="1">
      <w:start w:val="1"/>
      <w:numFmt w:val="lowerRoman"/>
      <w:lvlText w:val="%6."/>
      <w:lvlJc w:val="right"/>
      <w:pPr>
        <w:ind w:left="4691" w:hanging="180"/>
      </w:pPr>
    </w:lvl>
    <w:lvl w:ilvl="6" w:tplc="0409000F" w:tentative="1">
      <w:start w:val="1"/>
      <w:numFmt w:val="decimal"/>
      <w:lvlText w:val="%7."/>
      <w:lvlJc w:val="left"/>
      <w:pPr>
        <w:ind w:left="5411" w:hanging="360"/>
      </w:pPr>
    </w:lvl>
    <w:lvl w:ilvl="7" w:tplc="04090019" w:tentative="1">
      <w:start w:val="1"/>
      <w:numFmt w:val="lowerLetter"/>
      <w:lvlText w:val="%8."/>
      <w:lvlJc w:val="left"/>
      <w:pPr>
        <w:ind w:left="6131" w:hanging="360"/>
      </w:pPr>
    </w:lvl>
    <w:lvl w:ilvl="8" w:tplc="0409001B" w:tentative="1">
      <w:start w:val="1"/>
      <w:numFmt w:val="lowerRoman"/>
      <w:lvlText w:val="%9."/>
      <w:lvlJc w:val="right"/>
      <w:pPr>
        <w:ind w:left="6851" w:hanging="180"/>
      </w:pPr>
    </w:lvl>
  </w:abstractNum>
  <w:abstractNum w:abstractNumId="4" w15:restartNumberingAfterBreak="0">
    <w:nsid w:val="09D15324"/>
    <w:multiLevelType w:val="hybridMultilevel"/>
    <w:tmpl w:val="84D0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C10DA"/>
    <w:multiLevelType w:val="multilevel"/>
    <w:tmpl w:val="40F09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5D16AB"/>
    <w:multiLevelType w:val="hybridMultilevel"/>
    <w:tmpl w:val="2BACE71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31751A57"/>
    <w:multiLevelType w:val="multilevel"/>
    <w:tmpl w:val="732A873A"/>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A561D5"/>
    <w:multiLevelType w:val="hybridMultilevel"/>
    <w:tmpl w:val="11E84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420836"/>
    <w:multiLevelType w:val="hybridMultilevel"/>
    <w:tmpl w:val="66CE84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39B5B47"/>
    <w:multiLevelType w:val="hybridMultilevel"/>
    <w:tmpl w:val="FDCAD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B439B"/>
    <w:multiLevelType w:val="hybridMultilevel"/>
    <w:tmpl w:val="BB0E98B4"/>
    <w:lvl w:ilvl="0" w:tplc="B798E7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9504FF"/>
    <w:multiLevelType w:val="hybridMultilevel"/>
    <w:tmpl w:val="30E4EC36"/>
    <w:lvl w:ilvl="0" w:tplc="2676E57C">
      <w:start w:val="1"/>
      <w:numFmt w:val="lowerLetter"/>
      <w:lvlText w:val="(%1)"/>
      <w:lvlJc w:val="lef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13"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4" w15:restartNumberingAfterBreak="0">
    <w:nsid w:val="497716B8"/>
    <w:multiLevelType w:val="hybridMultilevel"/>
    <w:tmpl w:val="36C45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3178A2"/>
    <w:multiLevelType w:val="hybridMultilevel"/>
    <w:tmpl w:val="45B6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8C155E"/>
    <w:multiLevelType w:val="hybridMultilevel"/>
    <w:tmpl w:val="DC4CC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D265C"/>
    <w:multiLevelType w:val="hybridMultilevel"/>
    <w:tmpl w:val="8482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2A32AC"/>
    <w:multiLevelType w:val="hybridMultilevel"/>
    <w:tmpl w:val="7E7E1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B034638"/>
    <w:multiLevelType w:val="hybridMultilevel"/>
    <w:tmpl w:val="3204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586D98"/>
    <w:multiLevelType w:val="hybridMultilevel"/>
    <w:tmpl w:val="9696A426"/>
    <w:lvl w:ilvl="0" w:tplc="88384460">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648C17E3"/>
    <w:multiLevelType w:val="hybridMultilevel"/>
    <w:tmpl w:val="45E26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B2613"/>
    <w:multiLevelType w:val="hybridMultilevel"/>
    <w:tmpl w:val="9DB4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906147"/>
    <w:multiLevelType w:val="hybridMultilevel"/>
    <w:tmpl w:val="D704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C54E05"/>
    <w:multiLevelType w:val="hybridMultilevel"/>
    <w:tmpl w:val="BF82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28345F"/>
    <w:multiLevelType w:val="hybridMultilevel"/>
    <w:tmpl w:val="5F08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CA5082"/>
    <w:multiLevelType w:val="hybridMultilevel"/>
    <w:tmpl w:val="A226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D00A9A"/>
    <w:multiLevelType w:val="hybridMultilevel"/>
    <w:tmpl w:val="F03A7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3C3CAA"/>
    <w:multiLevelType w:val="hybridMultilevel"/>
    <w:tmpl w:val="FED860F0"/>
    <w:lvl w:ilvl="0" w:tplc="22687514">
      <w:start w:val="1"/>
      <w:numFmt w:val="decimal"/>
      <w:lvlText w:val="%1."/>
      <w:lvlJc w:val="left"/>
      <w:pPr>
        <w:ind w:left="1137" w:hanging="570"/>
      </w:pPr>
      <w:rPr>
        <w:rFonts w:hint="default"/>
      </w:rPr>
    </w:lvl>
    <w:lvl w:ilvl="1" w:tplc="32185068">
      <w:start w:val="1"/>
      <w:numFmt w:val="lowerLetter"/>
      <w:lvlText w:val="(%2)"/>
      <w:lvlJc w:val="left"/>
      <w:pPr>
        <w:ind w:left="1635" w:hanging="55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
  </w:num>
  <w:num w:numId="6">
    <w:abstractNumId w:val="16"/>
  </w:num>
  <w:num w:numId="7">
    <w:abstractNumId w:val="25"/>
  </w:num>
  <w:num w:numId="8">
    <w:abstractNumId w:val="17"/>
  </w:num>
  <w:num w:numId="9">
    <w:abstractNumId w:val="0"/>
  </w:num>
  <w:num w:numId="10">
    <w:abstractNumId w:val="22"/>
  </w:num>
  <w:num w:numId="11">
    <w:abstractNumId w:val="19"/>
  </w:num>
  <w:num w:numId="12">
    <w:abstractNumId w:val="6"/>
  </w:num>
  <w:num w:numId="13">
    <w:abstractNumId w:val="14"/>
  </w:num>
  <w:num w:numId="14">
    <w:abstractNumId w:val="8"/>
  </w:num>
  <w:num w:numId="15">
    <w:abstractNumId w:val="26"/>
  </w:num>
  <w:num w:numId="16">
    <w:abstractNumId w:val="10"/>
  </w:num>
  <w:num w:numId="17">
    <w:abstractNumId w:val="4"/>
  </w:num>
  <w:num w:numId="18">
    <w:abstractNumId w:val="15"/>
  </w:num>
  <w:num w:numId="19">
    <w:abstractNumId w:val="3"/>
  </w:num>
  <w:num w:numId="20">
    <w:abstractNumId w:val="12"/>
  </w:num>
  <w:num w:numId="21">
    <w:abstractNumId w:val="5"/>
  </w:num>
  <w:num w:numId="22">
    <w:abstractNumId w:val="27"/>
  </w:num>
  <w:num w:numId="23">
    <w:abstractNumId w:val="23"/>
  </w:num>
  <w:num w:numId="24">
    <w:abstractNumId w:val="24"/>
  </w:num>
  <w:num w:numId="25">
    <w:abstractNumId w:val="21"/>
  </w:num>
  <w:num w:numId="26">
    <w:abstractNumId w:val="9"/>
  </w:num>
  <w:num w:numId="27">
    <w:abstractNumId w:val="7"/>
  </w:num>
  <w:num w:numId="28">
    <w:abstractNumId w:val="20"/>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es-ES" w:vendorID="64" w:dllVersion="6" w:nlCheck="1" w:checkStyle="0"/>
  <w:activeWritingStyle w:appName="MSWord" w:lang="de-DE" w:vendorID="64" w:dllVersion="6" w:nlCheck="1" w:checkStyle="0"/>
  <w:activeWritingStyle w:appName="MSWord" w:lang="es-ES_tradnl" w:vendorID="64" w:dllVersion="6" w:nlCheck="1" w:checkStyle="0"/>
  <w:activeWritingStyle w:appName="MSWord" w:lang="en-CA" w:vendorID="64" w:dllVersion="6" w:nlCheck="1" w:checkStyle="1"/>
  <w:activeWritingStyle w:appName="MSWord" w:lang="en-US" w:vendorID="64" w:dllVersion="131078" w:nlCheck="1" w:checkStyle="1"/>
  <w:activeWritingStyle w:appName="MSWord" w:lang="fr-FR" w:vendorID="64" w:dllVersion="131078" w:nlCheck="1" w:checkStyle="0"/>
  <w:activeWritingStyle w:appName="MSWord" w:lang="de-DE" w:vendorID="64" w:dllVersion="131078" w:nlCheck="1" w:checkStyle="0"/>
  <w:activeWritingStyle w:appName="MSWord" w:lang="es-ES"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D02"/>
    <w:rsid w:val="00010CF3"/>
    <w:rsid w:val="00011E27"/>
    <w:rsid w:val="000148BC"/>
    <w:rsid w:val="00024AB8"/>
    <w:rsid w:val="00030854"/>
    <w:rsid w:val="00033A95"/>
    <w:rsid w:val="00036028"/>
    <w:rsid w:val="0004198B"/>
    <w:rsid w:val="00044642"/>
    <w:rsid w:val="000446B9"/>
    <w:rsid w:val="00047E21"/>
    <w:rsid w:val="00050E16"/>
    <w:rsid w:val="00054C6A"/>
    <w:rsid w:val="00054E72"/>
    <w:rsid w:val="000560A0"/>
    <w:rsid w:val="00071F2B"/>
    <w:rsid w:val="00085505"/>
    <w:rsid w:val="00094E47"/>
    <w:rsid w:val="000A13C3"/>
    <w:rsid w:val="000B26E0"/>
    <w:rsid w:val="000C4589"/>
    <w:rsid w:val="000C4E25"/>
    <w:rsid w:val="000C7021"/>
    <w:rsid w:val="000D6BBC"/>
    <w:rsid w:val="000D7780"/>
    <w:rsid w:val="000E2CB9"/>
    <w:rsid w:val="000E636A"/>
    <w:rsid w:val="000F2F11"/>
    <w:rsid w:val="00100A5F"/>
    <w:rsid w:val="001034B7"/>
    <w:rsid w:val="00105929"/>
    <w:rsid w:val="00110BED"/>
    <w:rsid w:val="00110C36"/>
    <w:rsid w:val="001110F4"/>
    <w:rsid w:val="001131D5"/>
    <w:rsid w:val="00114547"/>
    <w:rsid w:val="00141DB8"/>
    <w:rsid w:val="0014240E"/>
    <w:rsid w:val="00152C95"/>
    <w:rsid w:val="001543D9"/>
    <w:rsid w:val="0015712A"/>
    <w:rsid w:val="00172084"/>
    <w:rsid w:val="00172920"/>
    <w:rsid w:val="0017474A"/>
    <w:rsid w:val="001752ED"/>
    <w:rsid w:val="001758C6"/>
    <w:rsid w:val="00182B99"/>
    <w:rsid w:val="00190111"/>
    <w:rsid w:val="00191E80"/>
    <w:rsid w:val="001C1525"/>
    <w:rsid w:val="001C797F"/>
    <w:rsid w:val="001D181F"/>
    <w:rsid w:val="001D27F4"/>
    <w:rsid w:val="0021332C"/>
    <w:rsid w:val="00213982"/>
    <w:rsid w:val="002279C0"/>
    <w:rsid w:val="002309AF"/>
    <w:rsid w:val="00236A3B"/>
    <w:rsid w:val="0024416D"/>
    <w:rsid w:val="00271911"/>
    <w:rsid w:val="00271C00"/>
    <w:rsid w:val="00273187"/>
    <w:rsid w:val="002800A0"/>
    <w:rsid w:val="002801B3"/>
    <w:rsid w:val="00280BE3"/>
    <w:rsid w:val="00281060"/>
    <w:rsid w:val="00284050"/>
    <w:rsid w:val="00285BD0"/>
    <w:rsid w:val="002877B7"/>
    <w:rsid w:val="002940E8"/>
    <w:rsid w:val="00294751"/>
    <w:rsid w:val="002A6E50"/>
    <w:rsid w:val="002B1015"/>
    <w:rsid w:val="002B4298"/>
    <w:rsid w:val="002B4FAA"/>
    <w:rsid w:val="002B7A36"/>
    <w:rsid w:val="002C1228"/>
    <w:rsid w:val="002C256A"/>
    <w:rsid w:val="002D5226"/>
    <w:rsid w:val="002D5256"/>
    <w:rsid w:val="002D5C99"/>
    <w:rsid w:val="002F4899"/>
    <w:rsid w:val="00305A7F"/>
    <w:rsid w:val="00313FAF"/>
    <w:rsid w:val="00314335"/>
    <w:rsid w:val="003152FE"/>
    <w:rsid w:val="0031722B"/>
    <w:rsid w:val="0032509E"/>
    <w:rsid w:val="00327436"/>
    <w:rsid w:val="003315B3"/>
    <w:rsid w:val="003330F4"/>
    <w:rsid w:val="00336573"/>
    <w:rsid w:val="00344BD6"/>
    <w:rsid w:val="003543BD"/>
    <w:rsid w:val="0035528D"/>
    <w:rsid w:val="00361821"/>
    <w:rsid w:val="00361E9E"/>
    <w:rsid w:val="00367572"/>
    <w:rsid w:val="003753EE"/>
    <w:rsid w:val="003805CD"/>
    <w:rsid w:val="003A0835"/>
    <w:rsid w:val="003A5AAF"/>
    <w:rsid w:val="003B700A"/>
    <w:rsid w:val="003C7FBE"/>
    <w:rsid w:val="003D227C"/>
    <w:rsid w:val="003D2B4D"/>
    <w:rsid w:val="003D658D"/>
    <w:rsid w:val="003D7EBC"/>
    <w:rsid w:val="003E10EF"/>
    <w:rsid w:val="003F05F7"/>
    <w:rsid w:val="003F37F5"/>
    <w:rsid w:val="004063A4"/>
    <w:rsid w:val="0042051D"/>
    <w:rsid w:val="00440194"/>
    <w:rsid w:val="00444A88"/>
    <w:rsid w:val="00445B73"/>
    <w:rsid w:val="004530BC"/>
    <w:rsid w:val="00457BC1"/>
    <w:rsid w:val="00463A12"/>
    <w:rsid w:val="0047246E"/>
    <w:rsid w:val="00474DA4"/>
    <w:rsid w:val="00476B4D"/>
    <w:rsid w:val="00477B12"/>
    <w:rsid w:val="004805FA"/>
    <w:rsid w:val="00485FF1"/>
    <w:rsid w:val="004923B4"/>
    <w:rsid w:val="004935D2"/>
    <w:rsid w:val="00493D66"/>
    <w:rsid w:val="004B1215"/>
    <w:rsid w:val="004C3712"/>
    <w:rsid w:val="004C3F58"/>
    <w:rsid w:val="004C5E4E"/>
    <w:rsid w:val="004D047D"/>
    <w:rsid w:val="004E17D4"/>
    <w:rsid w:val="004E282E"/>
    <w:rsid w:val="004E6891"/>
    <w:rsid w:val="004F1E9E"/>
    <w:rsid w:val="004F305A"/>
    <w:rsid w:val="004F7653"/>
    <w:rsid w:val="00500F61"/>
    <w:rsid w:val="00512164"/>
    <w:rsid w:val="00520297"/>
    <w:rsid w:val="0052329D"/>
    <w:rsid w:val="005319B5"/>
    <w:rsid w:val="005319F5"/>
    <w:rsid w:val="005338F9"/>
    <w:rsid w:val="00534CDC"/>
    <w:rsid w:val="0054281C"/>
    <w:rsid w:val="005434BC"/>
    <w:rsid w:val="00544581"/>
    <w:rsid w:val="005471FB"/>
    <w:rsid w:val="0055268D"/>
    <w:rsid w:val="005655F3"/>
    <w:rsid w:val="00567009"/>
    <w:rsid w:val="005738FF"/>
    <w:rsid w:val="00575DE2"/>
    <w:rsid w:val="00576BE4"/>
    <w:rsid w:val="005779DB"/>
    <w:rsid w:val="00581C01"/>
    <w:rsid w:val="00592E35"/>
    <w:rsid w:val="00594B23"/>
    <w:rsid w:val="0059558C"/>
    <w:rsid w:val="005A2A67"/>
    <w:rsid w:val="005A3BE7"/>
    <w:rsid w:val="005A400A"/>
    <w:rsid w:val="005B269D"/>
    <w:rsid w:val="005D4024"/>
    <w:rsid w:val="005E7347"/>
    <w:rsid w:val="005F17C4"/>
    <w:rsid w:val="005F231F"/>
    <w:rsid w:val="005F7B92"/>
    <w:rsid w:val="00612379"/>
    <w:rsid w:val="00613ABA"/>
    <w:rsid w:val="006153B6"/>
    <w:rsid w:val="0061555F"/>
    <w:rsid w:val="006245ED"/>
    <w:rsid w:val="00635246"/>
    <w:rsid w:val="00636CA6"/>
    <w:rsid w:val="00641200"/>
    <w:rsid w:val="00644382"/>
    <w:rsid w:val="00645CA8"/>
    <w:rsid w:val="0065742A"/>
    <w:rsid w:val="006655D3"/>
    <w:rsid w:val="00666C5A"/>
    <w:rsid w:val="00667404"/>
    <w:rsid w:val="006733CD"/>
    <w:rsid w:val="00680A76"/>
    <w:rsid w:val="00687EB4"/>
    <w:rsid w:val="00695C56"/>
    <w:rsid w:val="006A4A41"/>
    <w:rsid w:val="006A5CDE"/>
    <w:rsid w:val="006A644A"/>
    <w:rsid w:val="006B17D2"/>
    <w:rsid w:val="006C1256"/>
    <w:rsid w:val="006C224E"/>
    <w:rsid w:val="006D780A"/>
    <w:rsid w:val="006D7D02"/>
    <w:rsid w:val="006E3C65"/>
    <w:rsid w:val="006F2E29"/>
    <w:rsid w:val="006F3DB0"/>
    <w:rsid w:val="00711D2C"/>
    <w:rsid w:val="0071271E"/>
    <w:rsid w:val="00717C47"/>
    <w:rsid w:val="0072175C"/>
    <w:rsid w:val="00730C37"/>
    <w:rsid w:val="00732DEC"/>
    <w:rsid w:val="00735BD5"/>
    <w:rsid w:val="007451EC"/>
    <w:rsid w:val="00751613"/>
    <w:rsid w:val="00753EE9"/>
    <w:rsid w:val="007556F6"/>
    <w:rsid w:val="00760EEF"/>
    <w:rsid w:val="00777EE5"/>
    <w:rsid w:val="00784836"/>
    <w:rsid w:val="0079023E"/>
    <w:rsid w:val="0079261C"/>
    <w:rsid w:val="0079266A"/>
    <w:rsid w:val="007A2854"/>
    <w:rsid w:val="007B633C"/>
    <w:rsid w:val="007C1D92"/>
    <w:rsid w:val="007C44EF"/>
    <w:rsid w:val="007C4CB9"/>
    <w:rsid w:val="007C5589"/>
    <w:rsid w:val="007D0B9D"/>
    <w:rsid w:val="007D19B0"/>
    <w:rsid w:val="007F451C"/>
    <w:rsid w:val="007F498F"/>
    <w:rsid w:val="0080679D"/>
    <w:rsid w:val="008108B0"/>
    <w:rsid w:val="00811B20"/>
    <w:rsid w:val="00812609"/>
    <w:rsid w:val="008211B5"/>
    <w:rsid w:val="0082296E"/>
    <w:rsid w:val="00824099"/>
    <w:rsid w:val="008273EF"/>
    <w:rsid w:val="0083646D"/>
    <w:rsid w:val="008408E8"/>
    <w:rsid w:val="00842AEE"/>
    <w:rsid w:val="00843F44"/>
    <w:rsid w:val="00846D7C"/>
    <w:rsid w:val="00850EA7"/>
    <w:rsid w:val="00854C58"/>
    <w:rsid w:val="00867AC1"/>
    <w:rsid w:val="008751DE"/>
    <w:rsid w:val="00890DF8"/>
    <w:rsid w:val="00892164"/>
    <w:rsid w:val="00893FEF"/>
    <w:rsid w:val="008A0ADE"/>
    <w:rsid w:val="008A743F"/>
    <w:rsid w:val="008B12FF"/>
    <w:rsid w:val="008B74AC"/>
    <w:rsid w:val="008C0970"/>
    <w:rsid w:val="008C1446"/>
    <w:rsid w:val="008D0BC5"/>
    <w:rsid w:val="008D1C3F"/>
    <w:rsid w:val="008D2CF7"/>
    <w:rsid w:val="008D312A"/>
    <w:rsid w:val="008E07E2"/>
    <w:rsid w:val="008F5CBE"/>
    <w:rsid w:val="00900C26"/>
    <w:rsid w:val="0090197F"/>
    <w:rsid w:val="00903039"/>
    <w:rsid w:val="00903264"/>
    <w:rsid w:val="00906DDC"/>
    <w:rsid w:val="00907570"/>
    <w:rsid w:val="009205CB"/>
    <w:rsid w:val="00923571"/>
    <w:rsid w:val="00930E62"/>
    <w:rsid w:val="00934E09"/>
    <w:rsid w:val="00936253"/>
    <w:rsid w:val="00940D46"/>
    <w:rsid w:val="009413F1"/>
    <w:rsid w:val="00942B49"/>
    <w:rsid w:val="0094798F"/>
    <w:rsid w:val="00952DD4"/>
    <w:rsid w:val="009561F4"/>
    <w:rsid w:val="00965AE7"/>
    <w:rsid w:val="00970BB5"/>
    <w:rsid w:val="00970FED"/>
    <w:rsid w:val="00975122"/>
    <w:rsid w:val="00976209"/>
    <w:rsid w:val="009835C0"/>
    <w:rsid w:val="00985089"/>
    <w:rsid w:val="00985E41"/>
    <w:rsid w:val="009860F7"/>
    <w:rsid w:val="00992D82"/>
    <w:rsid w:val="00997029"/>
    <w:rsid w:val="009A7339"/>
    <w:rsid w:val="009B440E"/>
    <w:rsid w:val="009C2EC2"/>
    <w:rsid w:val="009C4C74"/>
    <w:rsid w:val="009C7E18"/>
    <w:rsid w:val="009D690D"/>
    <w:rsid w:val="009D75A1"/>
    <w:rsid w:val="009E65B6"/>
    <w:rsid w:val="009F0A51"/>
    <w:rsid w:val="009F0B7F"/>
    <w:rsid w:val="009F1724"/>
    <w:rsid w:val="009F77CF"/>
    <w:rsid w:val="00A12795"/>
    <w:rsid w:val="00A14746"/>
    <w:rsid w:val="00A168F8"/>
    <w:rsid w:val="00A24C10"/>
    <w:rsid w:val="00A304F6"/>
    <w:rsid w:val="00A41C0E"/>
    <w:rsid w:val="00A42AC3"/>
    <w:rsid w:val="00A430CF"/>
    <w:rsid w:val="00A54309"/>
    <w:rsid w:val="00A55168"/>
    <w:rsid w:val="00A610A9"/>
    <w:rsid w:val="00A67CCD"/>
    <w:rsid w:val="00A8047D"/>
    <w:rsid w:val="00A80F2A"/>
    <w:rsid w:val="00A949EF"/>
    <w:rsid w:val="00A96C33"/>
    <w:rsid w:val="00AA67C2"/>
    <w:rsid w:val="00AB2B93"/>
    <w:rsid w:val="00AB530F"/>
    <w:rsid w:val="00AB7E5B"/>
    <w:rsid w:val="00AC2883"/>
    <w:rsid w:val="00AC4812"/>
    <w:rsid w:val="00AC5450"/>
    <w:rsid w:val="00AD1060"/>
    <w:rsid w:val="00AE0EF1"/>
    <w:rsid w:val="00AE2937"/>
    <w:rsid w:val="00B05A60"/>
    <w:rsid w:val="00B07301"/>
    <w:rsid w:val="00B11F3E"/>
    <w:rsid w:val="00B224DE"/>
    <w:rsid w:val="00B324D4"/>
    <w:rsid w:val="00B46575"/>
    <w:rsid w:val="00B468CB"/>
    <w:rsid w:val="00B53B75"/>
    <w:rsid w:val="00B61154"/>
    <w:rsid w:val="00B61777"/>
    <w:rsid w:val="00B622E6"/>
    <w:rsid w:val="00B83E82"/>
    <w:rsid w:val="00B84BBD"/>
    <w:rsid w:val="00B850FD"/>
    <w:rsid w:val="00B86EED"/>
    <w:rsid w:val="00B933D2"/>
    <w:rsid w:val="00BA06F7"/>
    <w:rsid w:val="00BA1DFA"/>
    <w:rsid w:val="00BA43FB"/>
    <w:rsid w:val="00BA7810"/>
    <w:rsid w:val="00BB7212"/>
    <w:rsid w:val="00BC127D"/>
    <w:rsid w:val="00BC1FE6"/>
    <w:rsid w:val="00BF3A87"/>
    <w:rsid w:val="00C061B6"/>
    <w:rsid w:val="00C07756"/>
    <w:rsid w:val="00C10919"/>
    <w:rsid w:val="00C2446C"/>
    <w:rsid w:val="00C2740C"/>
    <w:rsid w:val="00C3249E"/>
    <w:rsid w:val="00C3383C"/>
    <w:rsid w:val="00C36AE5"/>
    <w:rsid w:val="00C41F17"/>
    <w:rsid w:val="00C44061"/>
    <w:rsid w:val="00C44854"/>
    <w:rsid w:val="00C527FA"/>
    <w:rsid w:val="00C5280D"/>
    <w:rsid w:val="00C53EB3"/>
    <w:rsid w:val="00C55783"/>
    <w:rsid w:val="00C5791C"/>
    <w:rsid w:val="00C6116C"/>
    <w:rsid w:val="00C617E3"/>
    <w:rsid w:val="00C63AB1"/>
    <w:rsid w:val="00C66290"/>
    <w:rsid w:val="00C72898"/>
    <w:rsid w:val="00C72B7A"/>
    <w:rsid w:val="00C85523"/>
    <w:rsid w:val="00C90677"/>
    <w:rsid w:val="00C973F2"/>
    <w:rsid w:val="00CA304C"/>
    <w:rsid w:val="00CA774A"/>
    <w:rsid w:val="00CB22CF"/>
    <w:rsid w:val="00CB4921"/>
    <w:rsid w:val="00CC11B0"/>
    <w:rsid w:val="00CC2841"/>
    <w:rsid w:val="00CC3903"/>
    <w:rsid w:val="00CC64D2"/>
    <w:rsid w:val="00CD30BD"/>
    <w:rsid w:val="00CD5E46"/>
    <w:rsid w:val="00CD74B4"/>
    <w:rsid w:val="00CE573D"/>
    <w:rsid w:val="00CE7104"/>
    <w:rsid w:val="00CF1330"/>
    <w:rsid w:val="00CF7E36"/>
    <w:rsid w:val="00D07169"/>
    <w:rsid w:val="00D132B8"/>
    <w:rsid w:val="00D3708D"/>
    <w:rsid w:val="00D376CA"/>
    <w:rsid w:val="00D40426"/>
    <w:rsid w:val="00D46118"/>
    <w:rsid w:val="00D57C96"/>
    <w:rsid w:val="00D57D18"/>
    <w:rsid w:val="00D638A4"/>
    <w:rsid w:val="00D70E65"/>
    <w:rsid w:val="00D73D90"/>
    <w:rsid w:val="00D768D7"/>
    <w:rsid w:val="00D91203"/>
    <w:rsid w:val="00D95174"/>
    <w:rsid w:val="00D960B9"/>
    <w:rsid w:val="00DA4973"/>
    <w:rsid w:val="00DA6F36"/>
    <w:rsid w:val="00DB596E"/>
    <w:rsid w:val="00DB7773"/>
    <w:rsid w:val="00DC00EA"/>
    <w:rsid w:val="00DC3802"/>
    <w:rsid w:val="00DD582E"/>
    <w:rsid w:val="00DD6208"/>
    <w:rsid w:val="00DF7E99"/>
    <w:rsid w:val="00E00933"/>
    <w:rsid w:val="00E07836"/>
    <w:rsid w:val="00E07D87"/>
    <w:rsid w:val="00E249C8"/>
    <w:rsid w:val="00E25251"/>
    <w:rsid w:val="00E32F7E"/>
    <w:rsid w:val="00E5267B"/>
    <w:rsid w:val="00E53AF7"/>
    <w:rsid w:val="00E559F0"/>
    <w:rsid w:val="00E63C0E"/>
    <w:rsid w:val="00E72D49"/>
    <w:rsid w:val="00E7593C"/>
    <w:rsid w:val="00E7678A"/>
    <w:rsid w:val="00E81874"/>
    <w:rsid w:val="00E91452"/>
    <w:rsid w:val="00E935F1"/>
    <w:rsid w:val="00E94A81"/>
    <w:rsid w:val="00E96393"/>
    <w:rsid w:val="00EA1FFB"/>
    <w:rsid w:val="00EA51B4"/>
    <w:rsid w:val="00EB048E"/>
    <w:rsid w:val="00EB4E9C"/>
    <w:rsid w:val="00EC565C"/>
    <w:rsid w:val="00EC634B"/>
    <w:rsid w:val="00ED662F"/>
    <w:rsid w:val="00EE09B6"/>
    <w:rsid w:val="00EE1991"/>
    <w:rsid w:val="00EE34DF"/>
    <w:rsid w:val="00EF26BE"/>
    <w:rsid w:val="00EF2F89"/>
    <w:rsid w:val="00EF531B"/>
    <w:rsid w:val="00F03E98"/>
    <w:rsid w:val="00F1237A"/>
    <w:rsid w:val="00F143F5"/>
    <w:rsid w:val="00F17355"/>
    <w:rsid w:val="00F179C4"/>
    <w:rsid w:val="00F22CBD"/>
    <w:rsid w:val="00F272F1"/>
    <w:rsid w:val="00F31412"/>
    <w:rsid w:val="00F335E6"/>
    <w:rsid w:val="00F45372"/>
    <w:rsid w:val="00F47331"/>
    <w:rsid w:val="00F560F7"/>
    <w:rsid w:val="00F6334D"/>
    <w:rsid w:val="00F63599"/>
    <w:rsid w:val="00F71781"/>
    <w:rsid w:val="00F74578"/>
    <w:rsid w:val="00F817A2"/>
    <w:rsid w:val="00F92922"/>
    <w:rsid w:val="00FA49AB"/>
    <w:rsid w:val="00FC5FD0"/>
    <w:rsid w:val="00FC6B70"/>
    <w:rsid w:val="00FD0D0F"/>
    <w:rsid w:val="00FE39C7"/>
    <w:rsid w:val="00FF3A1F"/>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BBC5C"/>
  <w15:docId w15:val="{AD808153-1ED3-4A1B-ABC2-4B0A541C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E282E"/>
    <w:pPr>
      <w:keepNext/>
      <w:jc w:val="both"/>
      <w:outlineLvl w:val="2"/>
    </w:pPr>
    <w:rPr>
      <w:rFonts w:ascii="Arial" w:hAnsi="Arial"/>
      <w:i/>
      <w:snapToGrid w:val="0"/>
    </w:rPr>
  </w:style>
  <w:style w:type="paragraph" w:styleId="Heading4">
    <w:name w:val="heading 4"/>
    <w:next w:val="Normal"/>
    <w:link w:val="Heading4Char"/>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842AEE"/>
    <w:pPr>
      <w:ind w:left="1134"/>
      <w:outlineLvl w:val="5"/>
    </w:pPr>
    <w:rPr>
      <w:smallCaps/>
    </w:rPr>
  </w:style>
  <w:style w:type="paragraph" w:styleId="Heading7">
    <w:name w:val="heading 7"/>
    <w:basedOn w:val="Normal"/>
    <w:next w:val="Normal"/>
    <w:link w:val="Heading7Char"/>
    <w:qFormat/>
    <w:rsid w:val="00842AEE"/>
    <w:pPr>
      <w:ind w:left="1134"/>
      <w:outlineLvl w:val="6"/>
    </w:pPr>
    <w:rPr>
      <w:i/>
      <w:smallCaps/>
      <w:szCs w:val="24"/>
    </w:rPr>
  </w:style>
  <w:style w:type="paragraph" w:styleId="Heading8">
    <w:name w:val="heading 8"/>
    <w:basedOn w:val="Normal"/>
    <w:next w:val="Normal"/>
    <w:link w:val="Heading8Char"/>
    <w:qFormat/>
    <w:rsid w:val="00E81874"/>
    <w:pPr>
      <w:keepNext/>
      <w:jc w:val="center"/>
      <w:outlineLvl w:val="7"/>
    </w:pPr>
    <w:rPr>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next w:val="Normal"/>
    <w:autoRedefine/>
    <w:uiPriority w:val="39"/>
    <w:qFormat/>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qFormat/>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next w:val="Normal"/>
    <w:autoRedefine/>
    <w:uiPriority w:val="39"/>
    <w:qFormat/>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link w:val="Heading2"/>
    <w:uiPriority w:val="9"/>
    <w:locked/>
    <w:rsid w:val="00843F44"/>
    <w:rPr>
      <w:rFonts w:ascii="Arial" w:hAnsi="Arial"/>
      <w:u w:val="single"/>
    </w:rPr>
  </w:style>
  <w:style w:type="paragraph" w:styleId="ListParagraph">
    <w:name w:val="List Paragraph"/>
    <w:aliases w:val="auto_list_(i),List Paragraph1"/>
    <w:basedOn w:val="Normal"/>
    <w:link w:val="ListParagraphChar"/>
    <w:uiPriority w:val="34"/>
    <w:qFormat/>
    <w:rsid w:val="00313FAF"/>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313FAF"/>
    <w:rPr>
      <w:rFonts w:ascii="Arial" w:hAnsi="Arial"/>
    </w:rPr>
  </w:style>
  <w:style w:type="character" w:customStyle="1" w:styleId="FootnoteTextChar">
    <w:name w:val="Footnote Text Char"/>
    <w:basedOn w:val="DefaultParagraphFont"/>
    <w:link w:val="FootnoteText"/>
    <w:rsid w:val="009C2EC2"/>
    <w:rPr>
      <w:rFonts w:ascii="Arial" w:hAnsi="Arial"/>
      <w:sz w:val="16"/>
    </w:rPr>
  </w:style>
  <w:style w:type="character" w:customStyle="1" w:styleId="Heading1Char">
    <w:name w:val="Heading 1 Char"/>
    <w:aliases w:val="COMMON NAME Char,common Char"/>
    <w:basedOn w:val="DefaultParagraphFont"/>
    <w:link w:val="Heading1"/>
    <w:rsid w:val="00B933D2"/>
    <w:rPr>
      <w:rFonts w:ascii="Arial" w:hAnsi="Arial"/>
      <w:caps/>
    </w:rPr>
  </w:style>
  <w:style w:type="character" w:customStyle="1" w:styleId="DecisionParagraphsChar">
    <w:name w:val="DecisionParagraphs Char"/>
    <w:basedOn w:val="DefaultParagraphFont"/>
    <w:link w:val="DecisionParagraphs"/>
    <w:rsid w:val="00C55783"/>
    <w:rPr>
      <w:rFonts w:ascii="Arial" w:hAnsi="Arial"/>
      <w:i/>
    </w:rPr>
  </w:style>
  <w:style w:type="table" w:styleId="TableGrid">
    <w:name w:val="Table Grid"/>
    <w:basedOn w:val="TableNormal"/>
    <w:rsid w:val="00D376CA"/>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C4485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4854"/>
    <w:rPr>
      <w:rFonts w:asciiTheme="minorHAnsi" w:eastAsiaTheme="minorEastAsia" w:hAnsiTheme="minorHAnsi" w:cstheme="minorBidi"/>
      <w:color w:val="5A5A5A" w:themeColor="text1" w:themeTint="A5"/>
      <w:spacing w:val="15"/>
      <w:sz w:val="22"/>
      <w:szCs w:val="22"/>
    </w:rPr>
  </w:style>
  <w:style w:type="character" w:customStyle="1" w:styleId="Heading3Char">
    <w:name w:val="Heading 3 Char"/>
    <w:basedOn w:val="DefaultParagraphFont"/>
    <w:link w:val="Heading3"/>
    <w:rsid w:val="004E282E"/>
    <w:rPr>
      <w:rFonts w:ascii="Arial" w:hAnsi="Arial"/>
      <w:i/>
      <w:snapToGrid w:val="0"/>
    </w:rPr>
  </w:style>
  <w:style w:type="character" w:customStyle="1" w:styleId="Heading4Char">
    <w:name w:val="Heading 4 Char"/>
    <w:link w:val="Heading4"/>
    <w:rsid w:val="00D07169"/>
    <w:rPr>
      <w:rFonts w:ascii="Arial" w:hAnsi="Arial"/>
      <w:u w:val="single"/>
      <w:lang w:val="de-DE"/>
    </w:rPr>
  </w:style>
  <w:style w:type="paragraph" w:customStyle="1" w:styleId="TableParagraph">
    <w:name w:val="Table Paragraph"/>
    <w:basedOn w:val="Normal"/>
    <w:uiPriority w:val="1"/>
    <w:qFormat/>
    <w:rsid w:val="00A949EF"/>
    <w:pPr>
      <w:widowControl w:val="0"/>
      <w:autoSpaceDE w:val="0"/>
      <w:autoSpaceDN w:val="0"/>
      <w:jc w:val="left"/>
    </w:pPr>
    <w:rPr>
      <w:rFonts w:ascii="Times New Roman" w:hAnsi="Times New Roman"/>
      <w:sz w:val="22"/>
      <w:szCs w:val="22"/>
    </w:rPr>
  </w:style>
  <w:style w:type="character" w:customStyle="1" w:styleId="Heading6Char">
    <w:name w:val="Heading 6 Char"/>
    <w:basedOn w:val="DefaultParagraphFont"/>
    <w:link w:val="Heading6"/>
    <w:rsid w:val="00842AEE"/>
    <w:rPr>
      <w:rFonts w:ascii="Arial" w:hAnsi="Arial"/>
      <w:smallCaps/>
      <w:lang w:val="de-DE"/>
    </w:rPr>
  </w:style>
  <w:style w:type="character" w:customStyle="1" w:styleId="Heading7Char">
    <w:name w:val="Heading 7 Char"/>
    <w:basedOn w:val="DefaultParagraphFont"/>
    <w:link w:val="Heading7"/>
    <w:rsid w:val="00842AEE"/>
    <w:rPr>
      <w:rFonts w:ascii="Arial" w:hAnsi="Arial"/>
      <w:i/>
      <w:smallCaps/>
      <w:szCs w:val="24"/>
    </w:rPr>
  </w:style>
  <w:style w:type="character" w:customStyle="1" w:styleId="Heading8Char">
    <w:name w:val="Heading 8 Char"/>
    <w:basedOn w:val="DefaultParagraphFont"/>
    <w:link w:val="Heading8"/>
    <w:rsid w:val="00E81874"/>
    <w:rPr>
      <w:rFonts w:ascii="Arial" w:hAnsi="Arial"/>
      <w:u w:val="single"/>
    </w:rPr>
  </w:style>
  <w:style w:type="paragraph" w:styleId="NormalWeb">
    <w:name w:val="Normal (Web)"/>
    <w:basedOn w:val="Normal"/>
    <w:uiPriority w:val="99"/>
    <w:rsid w:val="00E81874"/>
    <w:pPr>
      <w:spacing w:before="100" w:beforeAutospacing="1" w:after="100" w:afterAutospacing="1"/>
      <w:jc w:val="left"/>
    </w:pPr>
    <w:rPr>
      <w:szCs w:val="24"/>
    </w:rPr>
  </w:style>
  <w:style w:type="paragraph" w:customStyle="1" w:styleId="pdflink">
    <w:name w:val="pdflink"/>
    <w:basedOn w:val="Normal"/>
    <w:next w:val="Normal"/>
    <w:rsid w:val="00E81874"/>
    <w:rPr>
      <w:color w:val="800000"/>
      <w:u w:val="words"/>
    </w:rPr>
  </w:style>
  <w:style w:type="paragraph" w:customStyle="1" w:styleId="Draft">
    <w:name w:val="Draft"/>
    <w:basedOn w:val="Normal"/>
    <w:next w:val="preparedby"/>
    <w:rsid w:val="00E81874"/>
    <w:pPr>
      <w:spacing w:before="720" w:after="480"/>
      <w:jc w:val="center"/>
    </w:pPr>
    <w:rPr>
      <w:caps/>
      <w:sz w:val="28"/>
    </w:rPr>
  </w:style>
  <w:style w:type="paragraph" w:customStyle="1" w:styleId="quote1">
    <w:name w:val="quote1"/>
    <w:basedOn w:val="Normal"/>
    <w:semiHidden/>
    <w:rsid w:val="00E81874"/>
    <w:pPr>
      <w:ind w:left="567" w:right="565" w:firstLine="567"/>
    </w:pPr>
    <w:rPr>
      <w:snapToGrid w:val="0"/>
      <w:sz w:val="22"/>
      <w:szCs w:val="22"/>
    </w:rPr>
  </w:style>
  <w:style w:type="paragraph" w:customStyle="1" w:styleId="tqparabox">
    <w:name w:val="tqparabox"/>
    <w:basedOn w:val="Normal"/>
    <w:rsid w:val="00E81874"/>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semiHidden/>
    <w:rsid w:val="00E81874"/>
    <w:pPr>
      <w:ind w:left="1200"/>
    </w:pPr>
  </w:style>
  <w:style w:type="paragraph" w:styleId="BodyTextIndent">
    <w:name w:val="Body Text Indent"/>
    <w:basedOn w:val="Normal"/>
    <w:link w:val="BodyTextIndentChar"/>
    <w:rsid w:val="00E81874"/>
    <w:pPr>
      <w:ind w:left="567"/>
    </w:pPr>
  </w:style>
  <w:style w:type="character" w:customStyle="1" w:styleId="BodyTextIndentChar">
    <w:name w:val="Body Text Indent Char"/>
    <w:basedOn w:val="DefaultParagraphFont"/>
    <w:link w:val="BodyTextIndent"/>
    <w:rsid w:val="00E81874"/>
    <w:rPr>
      <w:rFonts w:ascii="Arial" w:hAnsi="Arial"/>
      <w:lang w:val="de-DE"/>
    </w:rPr>
  </w:style>
  <w:style w:type="paragraph" w:customStyle="1" w:styleId="twpcheck">
    <w:name w:val="twpcheck"/>
    <w:basedOn w:val="Normal"/>
    <w:rsid w:val="00E81874"/>
    <w:pPr>
      <w:spacing w:before="80" w:after="80"/>
      <w:jc w:val="left"/>
    </w:pPr>
    <w:rPr>
      <w:snapToGrid w:val="0"/>
      <w:sz w:val="16"/>
      <w:szCs w:val="16"/>
    </w:rPr>
  </w:style>
  <w:style w:type="paragraph" w:customStyle="1" w:styleId="DecisionInvitingPara">
    <w:name w:val="Decision Inviting Para."/>
    <w:basedOn w:val="Normal"/>
    <w:rsid w:val="00E81874"/>
    <w:pPr>
      <w:ind w:left="4536"/>
    </w:pPr>
    <w:rPr>
      <w:i/>
    </w:rPr>
  </w:style>
  <w:style w:type="paragraph" w:customStyle="1" w:styleId="Enttepair">
    <w:name w:val="Entête_pair"/>
    <w:basedOn w:val="Normal"/>
    <w:next w:val="Normal"/>
    <w:rsid w:val="00E81874"/>
    <w:pPr>
      <w:pBdr>
        <w:bottom w:val="single" w:sz="4" w:space="1" w:color="auto"/>
      </w:pBdr>
      <w:jc w:val="left"/>
    </w:pPr>
    <w:rPr>
      <w:szCs w:val="24"/>
    </w:rPr>
  </w:style>
  <w:style w:type="paragraph" w:customStyle="1" w:styleId="Entteimpair">
    <w:name w:val="Entête_impair"/>
    <w:basedOn w:val="Normal"/>
    <w:next w:val="Normal"/>
    <w:rsid w:val="00E81874"/>
    <w:pPr>
      <w:pBdr>
        <w:bottom w:val="single" w:sz="4" w:space="1" w:color="auto"/>
      </w:pBdr>
      <w:jc w:val="right"/>
    </w:pPr>
  </w:style>
  <w:style w:type="paragraph" w:styleId="E-mailSignature">
    <w:name w:val="E-mail Signature"/>
    <w:basedOn w:val="Normal"/>
    <w:link w:val="E-mailSignatureChar"/>
    <w:semiHidden/>
    <w:rsid w:val="00E81874"/>
  </w:style>
  <w:style w:type="character" w:customStyle="1" w:styleId="E-mailSignatureChar">
    <w:name w:val="E-mail Signature Char"/>
    <w:basedOn w:val="DefaultParagraphFont"/>
    <w:link w:val="E-mailSignature"/>
    <w:semiHidden/>
    <w:rsid w:val="00E81874"/>
    <w:rPr>
      <w:rFonts w:ascii="Arial" w:hAnsi="Arial"/>
    </w:rPr>
  </w:style>
  <w:style w:type="character" w:styleId="Emphasis">
    <w:name w:val="Emphasis"/>
    <w:basedOn w:val="DefaultParagraphFont"/>
    <w:uiPriority w:val="20"/>
    <w:qFormat/>
    <w:rsid w:val="00E81874"/>
    <w:rPr>
      <w:i/>
      <w:iCs/>
    </w:rPr>
  </w:style>
  <w:style w:type="paragraph" w:styleId="EnvelopeAddress">
    <w:name w:val="envelope address"/>
    <w:basedOn w:val="Normal"/>
    <w:semiHidden/>
    <w:rsid w:val="00E81874"/>
    <w:pPr>
      <w:framePr w:w="7920" w:h="1980" w:hRule="exact" w:hSpace="180" w:wrap="auto" w:hAnchor="page" w:xAlign="center" w:yAlign="bottom"/>
      <w:ind w:left="2880"/>
    </w:pPr>
    <w:rPr>
      <w:szCs w:val="24"/>
    </w:rPr>
  </w:style>
  <w:style w:type="paragraph" w:styleId="EnvelopeReturn">
    <w:name w:val="envelope return"/>
    <w:basedOn w:val="Normal"/>
    <w:semiHidden/>
    <w:rsid w:val="00E81874"/>
  </w:style>
  <w:style w:type="character" w:styleId="HTMLAcronym">
    <w:name w:val="HTML Acronym"/>
    <w:basedOn w:val="DefaultParagraphFont"/>
    <w:semiHidden/>
    <w:rsid w:val="00E81874"/>
  </w:style>
  <w:style w:type="paragraph" w:styleId="HTMLAddress">
    <w:name w:val="HTML Address"/>
    <w:basedOn w:val="Normal"/>
    <w:link w:val="HTMLAddressChar"/>
    <w:semiHidden/>
    <w:rsid w:val="00E81874"/>
    <w:rPr>
      <w:i/>
      <w:iCs/>
    </w:rPr>
  </w:style>
  <w:style w:type="character" w:customStyle="1" w:styleId="HTMLAddressChar">
    <w:name w:val="HTML Address Char"/>
    <w:basedOn w:val="DefaultParagraphFont"/>
    <w:link w:val="HTMLAddress"/>
    <w:semiHidden/>
    <w:rsid w:val="00E81874"/>
    <w:rPr>
      <w:rFonts w:ascii="Arial" w:hAnsi="Arial"/>
      <w:i/>
      <w:iCs/>
    </w:rPr>
  </w:style>
  <w:style w:type="character" w:styleId="HTMLCite">
    <w:name w:val="HTML Cite"/>
    <w:basedOn w:val="DefaultParagraphFont"/>
    <w:semiHidden/>
    <w:rsid w:val="00E81874"/>
    <w:rPr>
      <w:i/>
      <w:iCs/>
    </w:rPr>
  </w:style>
  <w:style w:type="character" w:styleId="HTMLCode">
    <w:name w:val="HTML Code"/>
    <w:basedOn w:val="DefaultParagraphFont"/>
    <w:semiHidden/>
    <w:rsid w:val="00E81874"/>
    <w:rPr>
      <w:rFonts w:ascii="Courier New" w:hAnsi="Courier New" w:cs="Courier New"/>
      <w:sz w:val="20"/>
      <w:szCs w:val="20"/>
    </w:rPr>
  </w:style>
  <w:style w:type="character" w:styleId="HTMLDefinition">
    <w:name w:val="HTML Definition"/>
    <w:basedOn w:val="DefaultParagraphFont"/>
    <w:semiHidden/>
    <w:rsid w:val="00E81874"/>
    <w:rPr>
      <w:i/>
      <w:iCs/>
    </w:rPr>
  </w:style>
  <w:style w:type="character" w:styleId="HTMLKeyboard">
    <w:name w:val="HTML Keyboard"/>
    <w:basedOn w:val="DefaultParagraphFont"/>
    <w:semiHidden/>
    <w:rsid w:val="00E81874"/>
    <w:rPr>
      <w:rFonts w:ascii="Courier New" w:hAnsi="Courier New" w:cs="Courier New"/>
      <w:sz w:val="20"/>
      <w:szCs w:val="20"/>
    </w:rPr>
  </w:style>
  <w:style w:type="paragraph" w:styleId="HTMLPreformatted">
    <w:name w:val="HTML Preformatted"/>
    <w:basedOn w:val="Normal"/>
    <w:link w:val="HTMLPreformattedChar"/>
    <w:semiHidden/>
    <w:rsid w:val="00E81874"/>
    <w:rPr>
      <w:rFonts w:ascii="Courier New" w:hAnsi="Courier New" w:cs="Courier New"/>
    </w:rPr>
  </w:style>
  <w:style w:type="character" w:customStyle="1" w:styleId="HTMLPreformattedChar">
    <w:name w:val="HTML Preformatted Char"/>
    <w:basedOn w:val="DefaultParagraphFont"/>
    <w:link w:val="HTMLPreformatted"/>
    <w:semiHidden/>
    <w:rsid w:val="00E81874"/>
    <w:rPr>
      <w:rFonts w:ascii="Courier New" w:hAnsi="Courier New" w:cs="Courier New"/>
    </w:rPr>
  </w:style>
  <w:style w:type="character" w:styleId="HTMLSample">
    <w:name w:val="HTML Sample"/>
    <w:basedOn w:val="DefaultParagraphFont"/>
    <w:semiHidden/>
    <w:rsid w:val="00E81874"/>
    <w:rPr>
      <w:rFonts w:ascii="Courier New" w:hAnsi="Courier New" w:cs="Courier New"/>
    </w:rPr>
  </w:style>
  <w:style w:type="character" w:styleId="HTMLTypewriter">
    <w:name w:val="HTML Typewriter"/>
    <w:basedOn w:val="DefaultParagraphFont"/>
    <w:semiHidden/>
    <w:rsid w:val="00E81874"/>
    <w:rPr>
      <w:rFonts w:ascii="Courier New" w:hAnsi="Courier New" w:cs="Courier New"/>
      <w:sz w:val="20"/>
      <w:szCs w:val="20"/>
    </w:rPr>
  </w:style>
  <w:style w:type="character" w:styleId="HTMLVariable">
    <w:name w:val="HTML Variable"/>
    <w:basedOn w:val="DefaultParagraphFont"/>
    <w:semiHidden/>
    <w:rsid w:val="00E81874"/>
    <w:rPr>
      <w:i/>
      <w:iCs/>
    </w:rPr>
  </w:style>
  <w:style w:type="character" w:styleId="LineNumber">
    <w:name w:val="line number"/>
    <w:basedOn w:val="DefaultParagraphFont"/>
    <w:semiHidden/>
    <w:rsid w:val="00E81874"/>
  </w:style>
  <w:style w:type="paragraph" w:styleId="List">
    <w:name w:val="List"/>
    <w:basedOn w:val="Normal"/>
    <w:semiHidden/>
    <w:rsid w:val="00E81874"/>
    <w:pPr>
      <w:ind w:left="360" w:hanging="360"/>
    </w:pPr>
  </w:style>
  <w:style w:type="paragraph" w:styleId="List2">
    <w:name w:val="List 2"/>
    <w:basedOn w:val="Normal"/>
    <w:semiHidden/>
    <w:rsid w:val="00E81874"/>
    <w:pPr>
      <w:ind w:left="720" w:hanging="360"/>
    </w:pPr>
  </w:style>
  <w:style w:type="paragraph" w:styleId="List3">
    <w:name w:val="List 3"/>
    <w:basedOn w:val="Normal"/>
    <w:semiHidden/>
    <w:rsid w:val="00E81874"/>
    <w:pPr>
      <w:ind w:left="1080" w:hanging="360"/>
    </w:pPr>
  </w:style>
  <w:style w:type="paragraph" w:styleId="List4">
    <w:name w:val="List 4"/>
    <w:basedOn w:val="Normal"/>
    <w:rsid w:val="00E81874"/>
    <w:pPr>
      <w:ind w:left="1440" w:hanging="360"/>
    </w:pPr>
  </w:style>
  <w:style w:type="paragraph" w:styleId="List5">
    <w:name w:val="List 5"/>
    <w:basedOn w:val="Normal"/>
    <w:rsid w:val="00E81874"/>
    <w:pPr>
      <w:ind w:left="1800" w:hanging="360"/>
    </w:pPr>
  </w:style>
  <w:style w:type="paragraph" w:styleId="ListBullet">
    <w:name w:val="List Bullet"/>
    <w:basedOn w:val="Normal"/>
    <w:autoRedefine/>
    <w:rsid w:val="00E81874"/>
    <w:pPr>
      <w:tabs>
        <w:tab w:val="num" w:pos="360"/>
      </w:tabs>
      <w:ind w:left="360" w:hanging="360"/>
    </w:pPr>
    <w:rPr>
      <w:bCs/>
      <w:szCs w:val="24"/>
      <w:lang w:eastAsia="zh-CN"/>
    </w:rPr>
  </w:style>
  <w:style w:type="paragraph" w:styleId="ListBullet2">
    <w:name w:val="List Bullet 2"/>
    <w:basedOn w:val="Normal"/>
    <w:semiHidden/>
    <w:rsid w:val="00E81874"/>
    <w:pPr>
      <w:tabs>
        <w:tab w:val="num" w:pos="720"/>
      </w:tabs>
      <w:ind w:left="720" w:hanging="360"/>
    </w:pPr>
  </w:style>
  <w:style w:type="paragraph" w:styleId="ListBullet3">
    <w:name w:val="List Bullet 3"/>
    <w:basedOn w:val="Normal"/>
    <w:semiHidden/>
    <w:rsid w:val="00E81874"/>
    <w:pPr>
      <w:tabs>
        <w:tab w:val="num" w:pos="1080"/>
      </w:tabs>
      <w:ind w:left="1080" w:hanging="360"/>
    </w:pPr>
  </w:style>
  <w:style w:type="paragraph" w:styleId="ListBullet4">
    <w:name w:val="List Bullet 4"/>
    <w:basedOn w:val="Normal"/>
    <w:semiHidden/>
    <w:rsid w:val="00E81874"/>
    <w:pPr>
      <w:tabs>
        <w:tab w:val="num" w:pos="1440"/>
      </w:tabs>
      <w:ind w:left="1440" w:hanging="360"/>
    </w:pPr>
  </w:style>
  <w:style w:type="paragraph" w:styleId="ListBullet5">
    <w:name w:val="List Bullet 5"/>
    <w:basedOn w:val="Normal"/>
    <w:semiHidden/>
    <w:rsid w:val="00E81874"/>
    <w:pPr>
      <w:tabs>
        <w:tab w:val="num" w:pos="1800"/>
      </w:tabs>
      <w:ind w:left="1800" w:hanging="360"/>
    </w:pPr>
  </w:style>
  <w:style w:type="paragraph" w:styleId="ListContinue">
    <w:name w:val="List Continue"/>
    <w:basedOn w:val="Normal"/>
    <w:semiHidden/>
    <w:rsid w:val="00E81874"/>
    <w:pPr>
      <w:spacing w:after="120"/>
      <w:ind w:left="360"/>
    </w:pPr>
  </w:style>
  <w:style w:type="paragraph" w:styleId="ListContinue2">
    <w:name w:val="List Continue 2"/>
    <w:basedOn w:val="Normal"/>
    <w:semiHidden/>
    <w:rsid w:val="00E81874"/>
    <w:pPr>
      <w:spacing w:after="120"/>
      <w:ind w:left="720"/>
    </w:pPr>
  </w:style>
  <w:style w:type="paragraph" w:styleId="ListContinue3">
    <w:name w:val="List Continue 3"/>
    <w:basedOn w:val="Normal"/>
    <w:semiHidden/>
    <w:rsid w:val="00E81874"/>
    <w:pPr>
      <w:spacing w:after="120"/>
      <w:ind w:left="1080"/>
    </w:pPr>
  </w:style>
  <w:style w:type="paragraph" w:styleId="ListContinue4">
    <w:name w:val="List Continue 4"/>
    <w:basedOn w:val="Normal"/>
    <w:semiHidden/>
    <w:rsid w:val="00E81874"/>
    <w:pPr>
      <w:spacing w:after="120"/>
      <w:ind w:left="1440"/>
    </w:pPr>
  </w:style>
  <w:style w:type="paragraph" w:styleId="ListContinue5">
    <w:name w:val="List Continue 5"/>
    <w:basedOn w:val="Normal"/>
    <w:semiHidden/>
    <w:rsid w:val="00E81874"/>
    <w:pPr>
      <w:spacing w:after="120"/>
      <w:ind w:left="1800"/>
    </w:pPr>
  </w:style>
  <w:style w:type="paragraph" w:styleId="ListNumber">
    <w:name w:val="List Number"/>
    <w:basedOn w:val="Normal"/>
    <w:rsid w:val="00E81874"/>
    <w:pPr>
      <w:tabs>
        <w:tab w:val="num" w:pos="360"/>
      </w:tabs>
      <w:ind w:left="360" w:hanging="360"/>
    </w:pPr>
  </w:style>
  <w:style w:type="paragraph" w:styleId="ListNumber2">
    <w:name w:val="List Number 2"/>
    <w:basedOn w:val="Normal"/>
    <w:semiHidden/>
    <w:rsid w:val="00E81874"/>
    <w:pPr>
      <w:tabs>
        <w:tab w:val="num" w:pos="720"/>
      </w:tabs>
      <w:ind w:left="720" w:hanging="360"/>
    </w:pPr>
  </w:style>
  <w:style w:type="paragraph" w:styleId="ListNumber3">
    <w:name w:val="List Number 3"/>
    <w:basedOn w:val="Normal"/>
    <w:semiHidden/>
    <w:rsid w:val="00E81874"/>
    <w:pPr>
      <w:tabs>
        <w:tab w:val="num" w:pos="1080"/>
      </w:tabs>
      <w:ind w:left="1080" w:hanging="360"/>
    </w:pPr>
  </w:style>
  <w:style w:type="paragraph" w:styleId="ListNumber4">
    <w:name w:val="List Number 4"/>
    <w:basedOn w:val="Normal"/>
    <w:semiHidden/>
    <w:rsid w:val="00E81874"/>
    <w:pPr>
      <w:tabs>
        <w:tab w:val="num" w:pos="1440"/>
      </w:tabs>
      <w:ind w:left="1440" w:hanging="360"/>
    </w:pPr>
  </w:style>
  <w:style w:type="paragraph" w:styleId="ListNumber5">
    <w:name w:val="List Number 5"/>
    <w:basedOn w:val="Normal"/>
    <w:semiHidden/>
    <w:rsid w:val="00E81874"/>
    <w:pPr>
      <w:tabs>
        <w:tab w:val="num" w:pos="1800"/>
      </w:tabs>
      <w:ind w:left="1800" w:hanging="360"/>
    </w:pPr>
  </w:style>
  <w:style w:type="paragraph" w:styleId="MessageHeader">
    <w:name w:val="Message Header"/>
    <w:basedOn w:val="Normal"/>
    <w:link w:val="MessageHeaderChar"/>
    <w:semiHidden/>
    <w:rsid w:val="00E81874"/>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semiHidden/>
    <w:rsid w:val="00E81874"/>
    <w:rPr>
      <w:rFonts w:ascii="Arial" w:hAnsi="Arial"/>
      <w:szCs w:val="24"/>
      <w:shd w:val="pct20" w:color="auto" w:fill="auto"/>
    </w:rPr>
  </w:style>
  <w:style w:type="paragraph" w:styleId="NoteHeading">
    <w:name w:val="Note Heading"/>
    <w:basedOn w:val="Normal"/>
    <w:next w:val="Normal"/>
    <w:link w:val="NoteHeadingChar"/>
    <w:semiHidden/>
    <w:rsid w:val="00E81874"/>
  </w:style>
  <w:style w:type="character" w:customStyle="1" w:styleId="NoteHeadingChar">
    <w:name w:val="Note Heading Char"/>
    <w:basedOn w:val="DefaultParagraphFont"/>
    <w:link w:val="NoteHeading"/>
    <w:semiHidden/>
    <w:rsid w:val="00E81874"/>
    <w:rPr>
      <w:rFonts w:ascii="Arial" w:hAnsi="Arial"/>
    </w:rPr>
  </w:style>
  <w:style w:type="paragraph" w:styleId="Salutation">
    <w:name w:val="Salutation"/>
    <w:basedOn w:val="Normal"/>
    <w:next w:val="Normal"/>
    <w:link w:val="SalutationChar"/>
    <w:rsid w:val="00E81874"/>
  </w:style>
  <w:style w:type="character" w:customStyle="1" w:styleId="SalutationChar">
    <w:name w:val="Salutation Char"/>
    <w:basedOn w:val="DefaultParagraphFont"/>
    <w:link w:val="Salutation"/>
    <w:rsid w:val="00E81874"/>
    <w:rPr>
      <w:rFonts w:ascii="Arial" w:hAnsi="Arial"/>
    </w:rPr>
  </w:style>
  <w:style w:type="character" w:styleId="Strong">
    <w:name w:val="Strong"/>
    <w:basedOn w:val="DefaultParagraphFont"/>
    <w:uiPriority w:val="22"/>
    <w:qFormat/>
    <w:rsid w:val="00E81874"/>
    <w:rPr>
      <w:b/>
      <w:bCs/>
    </w:rPr>
  </w:style>
  <w:style w:type="table" w:styleId="Table3Deffects1">
    <w:name w:val="Table 3D effects 1"/>
    <w:basedOn w:val="TableNormal"/>
    <w:semiHidden/>
    <w:rsid w:val="00E81874"/>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81874"/>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81874"/>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81874"/>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81874"/>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81874"/>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81874"/>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81874"/>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81874"/>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81874"/>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81874"/>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81874"/>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81874"/>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81874"/>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81874"/>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81874"/>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81874"/>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E81874"/>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81874"/>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81874"/>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81874"/>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81874"/>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81874"/>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81874"/>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81874"/>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81874"/>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81874"/>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81874"/>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81874"/>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81874"/>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81874"/>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81874"/>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81874"/>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81874"/>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81874"/>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81874"/>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81874"/>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81874"/>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81874"/>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81874"/>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81874"/>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81874"/>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81874"/>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E81874"/>
    <w:pPr>
      <w:ind w:left="1440"/>
    </w:pPr>
  </w:style>
  <w:style w:type="paragraph" w:styleId="TOC8">
    <w:name w:val="toc 8"/>
    <w:basedOn w:val="Normal"/>
    <w:next w:val="Normal"/>
    <w:autoRedefine/>
    <w:semiHidden/>
    <w:rsid w:val="00E81874"/>
    <w:pPr>
      <w:ind w:left="1680"/>
    </w:pPr>
  </w:style>
  <w:style w:type="paragraph" w:styleId="TOC9">
    <w:name w:val="toc 9"/>
    <w:basedOn w:val="Normal"/>
    <w:next w:val="Normal"/>
    <w:autoRedefine/>
    <w:semiHidden/>
    <w:rsid w:val="00E81874"/>
    <w:pPr>
      <w:ind w:left="1920"/>
    </w:pPr>
  </w:style>
  <w:style w:type="character" w:styleId="FollowedHyperlink">
    <w:name w:val="FollowedHyperlink"/>
    <w:basedOn w:val="DefaultParagraphFont"/>
    <w:rsid w:val="00E81874"/>
    <w:rPr>
      <w:color w:val="606420"/>
      <w:u w:val="single"/>
    </w:rPr>
  </w:style>
  <w:style w:type="paragraph" w:styleId="BlockText">
    <w:name w:val="Block Text"/>
    <w:basedOn w:val="Normal"/>
    <w:rsid w:val="00E81874"/>
    <w:pPr>
      <w:ind w:left="567" w:right="566"/>
    </w:pPr>
    <w:rPr>
      <w:sz w:val="22"/>
    </w:rPr>
  </w:style>
  <w:style w:type="paragraph" w:styleId="Caption">
    <w:name w:val="caption"/>
    <w:basedOn w:val="Normal"/>
    <w:next w:val="Normal"/>
    <w:qFormat/>
    <w:rsid w:val="00E81874"/>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E81874"/>
    <w:rPr>
      <w:sz w:val="22"/>
    </w:rPr>
  </w:style>
  <w:style w:type="character" w:customStyle="1" w:styleId="CommentTextChar">
    <w:name w:val="Comment Text Char"/>
    <w:basedOn w:val="DefaultParagraphFont"/>
    <w:link w:val="CommentText"/>
    <w:rsid w:val="00E81874"/>
    <w:rPr>
      <w:rFonts w:ascii="Arial" w:hAnsi="Arial"/>
      <w:sz w:val="22"/>
      <w:lang w:val="de-DE"/>
    </w:rPr>
  </w:style>
  <w:style w:type="paragraph" w:customStyle="1" w:styleId="Committee">
    <w:name w:val="Committee"/>
    <w:basedOn w:val="Title"/>
    <w:rsid w:val="00E81874"/>
    <w:rPr>
      <w:caps w:val="0"/>
    </w:rPr>
  </w:style>
  <w:style w:type="paragraph" w:customStyle="1" w:styleId="n">
    <w:name w:val="n"/>
    <w:basedOn w:val="Header"/>
    <w:rsid w:val="00E81874"/>
  </w:style>
  <w:style w:type="paragraph" w:customStyle="1" w:styleId="TitleofSection">
    <w:name w:val="Title of Section"/>
    <w:basedOn w:val="TitleofDoc"/>
    <w:rsid w:val="00E81874"/>
    <w:pPr>
      <w:spacing w:before="120" w:after="120"/>
    </w:pPr>
    <w:rPr>
      <w:b/>
      <w:caps w:val="0"/>
      <w:lang w:eastAsia="de-DE"/>
    </w:rPr>
  </w:style>
  <w:style w:type="paragraph" w:customStyle="1" w:styleId="TOCAnnex">
    <w:name w:val="TOC Annex"/>
    <w:basedOn w:val="Normal"/>
    <w:rsid w:val="00E81874"/>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E81874"/>
    <w:pPr>
      <w:jc w:val="center"/>
    </w:pPr>
    <w:rPr>
      <w:b/>
      <w:caps/>
      <w:szCs w:val="24"/>
    </w:rPr>
  </w:style>
  <w:style w:type="paragraph" w:customStyle="1" w:styleId="Notetoarticle">
    <w:name w:val="Note to article"/>
    <w:basedOn w:val="Normal"/>
    <w:semiHidden/>
    <w:rsid w:val="00E81874"/>
  </w:style>
  <w:style w:type="paragraph" w:styleId="PlainText">
    <w:name w:val="Plain Text"/>
    <w:basedOn w:val="Normal"/>
    <w:link w:val="PlainTextChar"/>
    <w:rsid w:val="00E81874"/>
    <w:rPr>
      <w:rFonts w:ascii="Courier New" w:hAnsi="Courier New" w:cs="Courier New"/>
      <w:lang w:eastAsia="fr-FR"/>
    </w:rPr>
  </w:style>
  <w:style w:type="character" w:customStyle="1" w:styleId="PlainTextChar">
    <w:name w:val="Plain Text Char"/>
    <w:basedOn w:val="DefaultParagraphFont"/>
    <w:link w:val="PlainText"/>
    <w:rsid w:val="00E81874"/>
    <w:rPr>
      <w:rFonts w:ascii="Courier New" w:hAnsi="Courier New" w:cs="Courier New"/>
      <w:lang w:eastAsia="fr-FR"/>
    </w:rPr>
  </w:style>
  <w:style w:type="character" w:customStyle="1" w:styleId="plcountryChar">
    <w:name w:val="plcountry Char"/>
    <w:basedOn w:val="DefaultParagraphFont"/>
    <w:link w:val="plcountry"/>
    <w:rsid w:val="00E81874"/>
    <w:rPr>
      <w:rFonts w:ascii="Arial" w:hAnsi="Arial"/>
      <w:caps/>
      <w:noProof/>
      <w:snapToGrid w:val="0"/>
      <w:u w:val="single"/>
    </w:rPr>
  </w:style>
  <w:style w:type="character" w:customStyle="1" w:styleId="pldetailsChar">
    <w:name w:val="pldetails Char"/>
    <w:link w:val="pldetails"/>
    <w:locked/>
    <w:rsid w:val="00E81874"/>
    <w:rPr>
      <w:rFonts w:ascii="Arial" w:hAnsi="Arial"/>
      <w:noProof/>
      <w:snapToGrid w:val="0"/>
    </w:rPr>
  </w:style>
  <w:style w:type="character" w:customStyle="1" w:styleId="BodyTextChar">
    <w:name w:val="Body Text Char"/>
    <w:basedOn w:val="DefaultParagraphFont"/>
    <w:link w:val="BodyText"/>
    <w:rsid w:val="00E81874"/>
    <w:rPr>
      <w:rFonts w:ascii="Arial" w:hAnsi="Arial"/>
    </w:rPr>
  </w:style>
  <w:style w:type="paragraph" w:customStyle="1" w:styleId="Inf6Titre4">
    <w:name w:val="Inf6_Titre4"/>
    <w:basedOn w:val="Normal"/>
    <w:next w:val="Normal"/>
    <w:rsid w:val="00E81874"/>
    <w:pPr>
      <w:spacing w:after="360"/>
      <w:jc w:val="center"/>
    </w:pPr>
    <w:rPr>
      <w:rFonts w:cs="Arial"/>
      <w:caps/>
    </w:rPr>
  </w:style>
  <w:style w:type="paragraph" w:customStyle="1" w:styleId="Inf6Titre1">
    <w:name w:val="Inf6_Titre1"/>
    <w:basedOn w:val="Heading1"/>
    <w:next w:val="Normal"/>
    <w:rsid w:val="00E81874"/>
    <w:pPr>
      <w:ind w:firstLine="284"/>
      <w:jc w:val="center"/>
    </w:pPr>
    <w:rPr>
      <w:b/>
    </w:rPr>
  </w:style>
  <w:style w:type="paragraph" w:customStyle="1" w:styleId="Inf6Titre2">
    <w:name w:val="Inf6_Titre2"/>
    <w:basedOn w:val="Inf6Titre1"/>
    <w:next w:val="Normal"/>
    <w:rsid w:val="00E81874"/>
    <w:pPr>
      <w:spacing w:after="360" w:line="360" w:lineRule="auto"/>
      <w:ind w:firstLine="0"/>
    </w:pPr>
    <w:rPr>
      <w:rFonts w:cs="Arial"/>
      <w:b w:val="0"/>
    </w:rPr>
  </w:style>
  <w:style w:type="paragraph" w:customStyle="1" w:styleId="Inf6Titre3">
    <w:name w:val="Inf6_Titre3"/>
    <w:basedOn w:val="Inf6Titre2"/>
    <w:next w:val="Normal"/>
    <w:rsid w:val="00E81874"/>
    <w:pPr>
      <w:keepNext w:val="0"/>
      <w:spacing w:after="240" w:line="240" w:lineRule="auto"/>
    </w:pPr>
    <w:rPr>
      <w:b/>
      <w:caps w:val="0"/>
    </w:rPr>
  </w:style>
  <w:style w:type="character" w:customStyle="1" w:styleId="HeaderChar">
    <w:name w:val="Header Char"/>
    <w:basedOn w:val="DefaultParagraphFont"/>
    <w:link w:val="Header"/>
    <w:uiPriority w:val="99"/>
    <w:rsid w:val="00E81874"/>
    <w:rPr>
      <w:rFonts w:ascii="Arial" w:hAnsi="Arial"/>
      <w:lang w:val="de-DE"/>
    </w:rPr>
  </w:style>
  <w:style w:type="paragraph" w:customStyle="1" w:styleId="BasistekstNaktuinbouw">
    <w:name w:val="Basistekst Naktuinbouw"/>
    <w:basedOn w:val="Normal"/>
    <w:qFormat/>
    <w:rsid w:val="00E81874"/>
    <w:pPr>
      <w:spacing w:line="240" w:lineRule="atLeast"/>
      <w:jc w:val="left"/>
    </w:pPr>
    <w:rPr>
      <w:rFonts w:cs="Maiandra GD"/>
      <w:color w:val="000000" w:themeColor="text1"/>
      <w:szCs w:val="18"/>
      <w:lang w:eastAsia="nl-NL"/>
    </w:rPr>
  </w:style>
  <w:style w:type="paragraph" w:styleId="Revision">
    <w:name w:val="Revision"/>
    <w:hidden/>
    <w:uiPriority w:val="99"/>
    <w:semiHidden/>
    <w:rsid w:val="00E81874"/>
    <w:rPr>
      <w:rFonts w:ascii="Arial" w:hAnsi="Arial"/>
    </w:rPr>
  </w:style>
  <w:style w:type="character" w:styleId="CommentReference">
    <w:name w:val="annotation reference"/>
    <w:basedOn w:val="DefaultParagraphFont"/>
    <w:semiHidden/>
    <w:unhideWhenUsed/>
    <w:rsid w:val="0052329D"/>
    <w:rPr>
      <w:sz w:val="16"/>
      <w:szCs w:val="16"/>
    </w:rPr>
  </w:style>
  <w:style w:type="paragraph" w:styleId="CommentSubject">
    <w:name w:val="annotation subject"/>
    <w:basedOn w:val="CommentText"/>
    <w:next w:val="CommentText"/>
    <w:link w:val="CommentSubjectChar"/>
    <w:semiHidden/>
    <w:unhideWhenUsed/>
    <w:rsid w:val="0052329D"/>
    <w:rPr>
      <w:b/>
      <w:bCs/>
      <w:sz w:val="20"/>
    </w:rPr>
  </w:style>
  <w:style w:type="character" w:customStyle="1" w:styleId="CommentSubjectChar">
    <w:name w:val="Comment Subject Char"/>
    <w:basedOn w:val="CommentTextChar"/>
    <w:link w:val="CommentSubject"/>
    <w:semiHidden/>
    <w:rsid w:val="0052329D"/>
    <w:rPr>
      <w:rFonts w:ascii="Arial" w:hAnsi="Arial"/>
      <w:b/>
      <w:bCs/>
      <w:sz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89389">
      <w:bodyDiv w:val="1"/>
      <w:marLeft w:val="0"/>
      <w:marRight w:val="0"/>
      <w:marTop w:val="0"/>
      <w:marBottom w:val="0"/>
      <w:divBdr>
        <w:top w:val="none" w:sz="0" w:space="0" w:color="auto"/>
        <w:left w:val="none" w:sz="0" w:space="0" w:color="auto"/>
        <w:bottom w:val="none" w:sz="0" w:space="0" w:color="auto"/>
        <w:right w:val="none" w:sz="0" w:space="0" w:color="auto"/>
      </w:divBdr>
    </w:div>
    <w:div w:id="1125351279">
      <w:bodyDiv w:val="1"/>
      <w:marLeft w:val="0"/>
      <w:marRight w:val="0"/>
      <w:marTop w:val="0"/>
      <w:marBottom w:val="0"/>
      <w:divBdr>
        <w:top w:val="none" w:sz="0" w:space="0" w:color="auto"/>
        <w:left w:val="none" w:sz="0" w:space="0" w:color="auto"/>
        <w:bottom w:val="none" w:sz="0" w:space="0" w:color="auto"/>
        <w:right w:val="none" w:sz="0" w:space="0" w:color="auto"/>
      </w:divBdr>
    </w:div>
    <w:div w:id="1685590596">
      <w:bodyDiv w:val="1"/>
      <w:marLeft w:val="0"/>
      <w:marRight w:val="0"/>
      <w:marTop w:val="0"/>
      <w:marBottom w:val="0"/>
      <w:divBdr>
        <w:top w:val="none" w:sz="0" w:space="0" w:color="auto"/>
        <w:left w:val="none" w:sz="0" w:space="0" w:color="auto"/>
        <w:bottom w:val="none" w:sz="0" w:space="0" w:color="auto"/>
        <w:right w:val="none" w:sz="0" w:space="0" w:color="auto"/>
      </w:divBdr>
    </w:div>
    <w:div w:id="2036035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9.emf"/><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image" Target="media/image12.jpeg"/><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2C9BE-28A3-4FE3-9A91-33414193C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12842</Words>
  <Characters>87285</Characters>
  <Application>Microsoft Office Word</Application>
  <DocSecurity>0</DocSecurity>
  <Lines>727</Lines>
  <Paragraphs>199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TC/57/25 Prov.</vt:lpstr>
      <vt:lpstr>TC/57/25 Prov.</vt:lpstr>
    </vt:vector>
  </TitlesOfParts>
  <Company>UPOV</Company>
  <LinksUpToDate>false</LinksUpToDate>
  <CharactersWithSpaces>99928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TC/57/25</dc:title>
  <dc:creator>OERTEL Romy</dc:creator>
  <cp:lastModifiedBy>MAY Jessica</cp:lastModifiedBy>
  <cp:revision>9</cp:revision>
  <cp:lastPrinted>2016-11-22T15:41:00Z</cp:lastPrinted>
  <dcterms:created xsi:type="dcterms:W3CDTF">2021-11-11T16:12:00Z</dcterms:created>
  <dcterms:modified xsi:type="dcterms:W3CDTF">2021-11-15T15:26:00Z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ed27a103-fee1-409b-b02d-96f600acd397</vt:lpwstr>
  </property>
</Properties>
</file>