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831964">
        <w:tc>
          <w:tcPr>
            <w:tcW w:w="6512" w:type="dxa"/>
            <w:tcBorders>
              <w:bottom w:val="single" w:sz="4" w:space="0" w:color="auto"/>
            </w:tcBorders>
          </w:tcPr>
          <w:p w:rsidR="00445B73" w:rsidRPr="00AC2883" w:rsidRDefault="00445B73" w:rsidP="0049284B">
            <w:pPr>
              <w:pStyle w:val="Sessiontc"/>
              <w:spacing w:line="240" w:lineRule="auto"/>
            </w:pPr>
            <w:r>
              <w:t>Technischer Ausschuss</w:t>
            </w:r>
          </w:p>
          <w:p w:rsidR="00445B73" w:rsidRPr="00DC3802" w:rsidRDefault="00445B73" w:rsidP="0049284B">
            <w:pPr>
              <w:pStyle w:val="Sessiontcplacedate"/>
              <w:rPr>
                <w:sz w:val="22"/>
              </w:rPr>
            </w:pPr>
            <w:r>
              <w:t>Siebenundfünfzigste Tagung</w:t>
            </w:r>
            <w:r>
              <w:br/>
              <w:t>Genf, 25. und 26. Oktober 2021</w:t>
            </w:r>
          </w:p>
        </w:tc>
        <w:tc>
          <w:tcPr>
            <w:tcW w:w="3127" w:type="dxa"/>
            <w:tcBorders>
              <w:bottom w:val="single" w:sz="4" w:space="0" w:color="auto"/>
            </w:tcBorders>
          </w:tcPr>
          <w:p w:rsidR="00445B73" w:rsidRPr="003C7FBE" w:rsidRDefault="00677D33" w:rsidP="0049284B">
            <w:pPr>
              <w:pStyle w:val="Doccode"/>
            </w:pPr>
            <w:r>
              <w:t>TC/57/13</w:t>
            </w:r>
          </w:p>
          <w:p w:rsidR="00445B73" w:rsidRPr="003C7FBE" w:rsidRDefault="00445B73" w:rsidP="0049284B">
            <w:pPr>
              <w:pStyle w:val="Docoriginal"/>
            </w:pPr>
            <w:r>
              <w:t>Original:</w:t>
            </w:r>
            <w:r>
              <w:rPr>
                <w:b w:val="0"/>
              </w:rPr>
              <w:t xml:space="preserve">  </w:t>
            </w:r>
            <w:r w:rsidRPr="006E6CDE">
              <w:rPr>
                <w:b w:val="0"/>
                <w:spacing w:val="0"/>
              </w:rPr>
              <w:t>englisch</w:t>
            </w:r>
          </w:p>
          <w:p w:rsidR="00445B73" w:rsidRPr="007C1D92" w:rsidRDefault="00445B73" w:rsidP="00931592">
            <w:pPr>
              <w:pStyle w:val="Docoriginal"/>
            </w:pPr>
            <w:r>
              <w:t>Datum</w:t>
            </w:r>
            <w:r w:rsidRPr="00931592">
              <w:t>:</w:t>
            </w:r>
            <w:r w:rsidRPr="00931592">
              <w:rPr>
                <w:b w:val="0"/>
              </w:rPr>
              <w:t xml:space="preserve">  </w:t>
            </w:r>
            <w:r w:rsidR="00931592" w:rsidRPr="006E6CDE">
              <w:rPr>
                <w:b w:val="0"/>
                <w:spacing w:val="0"/>
              </w:rPr>
              <w:t>3</w:t>
            </w:r>
            <w:r w:rsidRPr="006E6CDE">
              <w:rPr>
                <w:b w:val="0"/>
                <w:spacing w:val="0"/>
              </w:rPr>
              <w:t>. Juni 2021</w:t>
            </w:r>
          </w:p>
        </w:tc>
      </w:tr>
      <w:tr w:rsidR="00831964" w:rsidRPr="00F7581E" w:rsidTr="00831964">
        <w:tc>
          <w:tcPr>
            <w:tcW w:w="6512" w:type="dxa"/>
            <w:tcBorders>
              <w:top w:val="single" w:sz="4" w:space="0" w:color="auto"/>
              <w:bottom w:val="single" w:sz="4" w:space="0" w:color="auto"/>
            </w:tcBorders>
          </w:tcPr>
          <w:p w:rsidR="00831964" w:rsidRPr="00F7581E" w:rsidRDefault="006E6CDE" w:rsidP="006E606A">
            <w:pPr>
              <w:pStyle w:val="Sessiontc"/>
              <w:spacing w:line="240" w:lineRule="auto"/>
              <w:rPr>
                <w:i/>
              </w:rPr>
            </w:pPr>
            <w:r>
              <w:rPr>
                <w:i/>
              </w:rPr>
              <w:t xml:space="preserve">zur </w:t>
            </w:r>
            <w:r w:rsidR="00831964" w:rsidRPr="00F7581E">
              <w:rPr>
                <w:i/>
              </w:rPr>
              <w:t>Prüfung auf dem Schriftweg</w:t>
            </w:r>
          </w:p>
        </w:tc>
        <w:tc>
          <w:tcPr>
            <w:tcW w:w="3127" w:type="dxa"/>
            <w:tcBorders>
              <w:top w:val="single" w:sz="4" w:space="0" w:color="auto"/>
              <w:bottom w:val="single" w:sz="4" w:space="0" w:color="auto"/>
            </w:tcBorders>
          </w:tcPr>
          <w:p w:rsidR="00831964" w:rsidRPr="00F7581E" w:rsidRDefault="00831964" w:rsidP="006E606A">
            <w:pPr>
              <w:pStyle w:val="Doccode"/>
              <w:rPr>
                <w:i/>
              </w:rPr>
            </w:pPr>
          </w:p>
        </w:tc>
      </w:tr>
    </w:tbl>
    <w:p w:rsidR="00445B73" w:rsidRPr="006A644A" w:rsidRDefault="00677D33" w:rsidP="00445B73">
      <w:pPr>
        <w:pStyle w:val="Titleofdoc0"/>
      </w:pPr>
      <w:r>
        <w:t>Vorbereitende Arbeitstagungen</w:t>
      </w:r>
    </w:p>
    <w:p w:rsidR="00445B73" w:rsidRPr="006A644A" w:rsidRDefault="00445B73" w:rsidP="00445B73">
      <w:pPr>
        <w:pStyle w:val="preparedby1"/>
        <w:jc w:val="left"/>
      </w:pPr>
      <w:r>
        <w:t>vom Verbandsbüro erstelltes Dokument</w:t>
      </w:r>
    </w:p>
    <w:p w:rsidR="00445B73" w:rsidRPr="006A644A" w:rsidRDefault="00445B73" w:rsidP="00445B73">
      <w:pPr>
        <w:pStyle w:val="Disclaimer"/>
      </w:pPr>
      <w:r>
        <w:t>Haftungsausschluss:  dieses Dokument gibt nicht die Grundsätze oder eine Anleitung der UPOV wieder</w:t>
      </w:r>
    </w:p>
    <w:p w:rsidR="00195A49" w:rsidRPr="003F5E6A" w:rsidRDefault="00195A49" w:rsidP="00195A49">
      <w:pPr>
        <w:pStyle w:val="Heading1"/>
      </w:pPr>
      <w:bookmarkStart w:id="0" w:name="_Toc475955714"/>
      <w:bookmarkStart w:id="1" w:name="_Toc74222639"/>
      <w:r>
        <w:t>ZUSAMMENFASSUNG</w:t>
      </w:r>
      <w:bookmarkEnd w:id="0"/>
      <w:bookmarkEnd w:id="1"/>
    </w:p>
    <w:p w:rsidR="00195A49" w:rsidRPr="003F5E6A" w:rsidRDefault="00195A49" w:rsidP="00195A49">
      <w:pPr>
        <w:autoSpaceDE w:val="0"/>
        <w:autoSpaceDN w:val="0"/>
        <w:adjustRightInd w:val="0"/>
        <w:rPr>
          <w:rFonts w:cs="Arial"/>
        </w:rPr>
      </w:pPr>
    </w:p>
    <w:p w:rsidR="00195A49" w:rsidRPr="003F5E6A" w:rsidRDefault="00195A49" w:rsidP="00195A49">
      <w:pPr>
        <w:rPr>
          <w:rFonts w:cs="Arial"/>
        </w:rPr>
      </w:pPr>
      <w:r w:rsidRPr="003F5E6A">
        <w:rPr>
          <w:rFonts w:cs="Arial"/>
        </w:rPr>
        <w:fldChar w:fldCharType="begin"/>
      </w:r>
      <w:r w:rsidRPr="003F5E6A">
        <w:rPr>
          <w:rFonts w:cs="Arial"/>
        </w:rPr>
        <w:instrText xml:space="preserve"> AUTONUM  </w:instrText>
      </w:r>
      <w:r w:rsidRPr="003F5E6A">
        <w:rPr>
          <w:rFonts w:cs="Arial"/>
        </w:rPr>
        <w:fldChar w:fldCharType="end"/>
      </w:r>
      <w:r>
        <w:tab/>
        <w:t>Zweck dieses Dokuments ist es, über die im Jahre 2021 abgehaltenen vorbereitenden Arbeitstagungen zu berichten und Vorschläge für das Jahr 2022 zu unterbreiten.</w:t>
      </w:r>
    </w:p>
    <w:p w:rsidR="00195A49" w:rsidRPr="00904FB5" w:rsidRDefault="00195A49" w:rsidP="00195A49">
      <w:pPr>
        <w:tabs>
          <w:tab w:val="left" w:pos="567"/>
          <w:tab w:val="left" w:pos="1134"/>
        </w:tabs>
        <w:autoSpaceDE w:val="0"/>
        <w:autoSpaceDN w:val="0"/>
        <w:adjustRightInd w:val="0"/>
        <w:rPr>
          <w:rFonts w:cs="Arial"/>
        </w:rPr>
      </w:pPr>
    </w:p>
    <w:p w:rsidR="00195A49" w:rsidRPr="00F63CFA" w:rsidRDefault="00195A49" w:rsidP="00195A49">
      <w:pPr>
        <w:pStyle w:val="DecisionParagraphs"/>
        <w:tabs>
          <w:tab w:val="left" w:pos="567"/>
          <w:tab w:val="left" w:pos="1134"/>
        </w:tabs>
        <w:ind w:left="0"/>
        <w:rPr>
          <w:rFonts w:cs="Arial"/>
          <w:i w:val="0"/>
        </w:rPr>
      </w:pPr>
      <w:r w:rsidRPr="00D31BFA">
        <w:rPr>
          <w:rFonts w:cs="Arial"/>
          <w:i w:val="0"/>
        </w:rPr>
        <w:fldChar w:fldCharType="begin"/>
      </w:r>
      <w:r w:rsidRPr="00D31BFA">
        <w:rPr>
          <w:rFonts w:cs="Arial"/>
          <w:i w:val="0"/>
        </w:rPr>
        <w:instrText xml:space="preserve"> AUTONUM  </w:instrText>
      </w:r>
      <w:r w:rsidRPr="00D31BFA">
        <w:rPr>
          <w:rFonts w:cs="Arial"/>
          <w:i w:val="0"/>
        </w:rPr>
        <w:fldChar w:fldCharType="end"/>
      </w:r>
      <w:r>
        <w:rPr>
          <w:i w:val="0"/>
        </w:rPr>
        <w:tab/>
        <w:t>Der TC wird ersucht</w:t>
      </w:r>
      <w:r w:rsidR="005620EA">
        <w:rPr>
          <w:i w:val="0"/>
        </w:rPr>
        <w:t>,</w:t>
      </w:r>
      <w:r>
        <w:rPr>
          <w:i w:val="0"/>
        </w:rPr>
        <w:t xml:space="preserve"> </w:t>
      </w:r>
      <w:r>
        <w:rPr>
          <w:i w:val="0"/>
          <w:snapToGrid w:val="0"/>
        </w:rPr>
        <w:t>zu prüfen, ob vorbereitende Arbeitstagungen als eine Reihe von Webinaren organisiert werden sollen, die zu geeigneten Terminen gemäß dem Zeitpla</w:t>
      </w:r>
      <w:r w:rsidR="005620EA">
        <w:rPr>
          <w:i w:val="0"/>
          <w:snapToGrid w:val="0"/>
        </w:rPr>
        <w:t xml:space="preserve">n der TWP-Tagungen im Jahr 2022, sofern darum ersucht wird </w:t>
      </w:r>
      <w:r>
        <w:rPr>
          <w:i w:val="0"/>
          <w:snapToGrid w:val="0"/>
        </w:rPr>
        <w:t>in Verbindung mit Arbeitstagungen mit Präsenzteilnahme</w:t>
      </w:r>
      <w:r w:rsidR="005620EA">
        <w:rPr>
          <w:i w:val="0"/>
          <w:snapToGrid w:val="0"/>
        </w:rPr>
        <w:t xml:space="preserve"> </w:t>
      </w:r>
      <w:r>
        <w:rPr>
          <w:i w:val="0"/>
          <w:snapToGrid w:val="0"/>
        </w:rPr>
        <w:t>wie in den Absätzen 20 bis 21 dieses Dokuments dargelegt, durchgeführt werden sollen.</w:t>
      </w:r>
    </w:p>
    <w:p w:rsidR="00195A49" w:rsidRPr="00F63CFA" w:rsidRDefault="00195A49" w:rsidP="00195A49">
      <w:pPr>
        <w:pStyle w:val="DecisionParagraphs"/>
        <w:tabs>
          <w:tab w:val="left" w:pos="567"/>
          <w:tab w:val="left" w:pos="1134"/>
          <w:tab w:val="num" w:pos="5387"/>
        </w:tabs>
        <w:ind w:left="567"/>
        <w:rPr>
          <w:rFonts w:cs="Arial"/>
          <w:i w:val="0"/>
        </w:rPr>
      </w:pPr>
    </w:p>
    <w:p w:rsidR="00195A49" w:rsidRPr="00F63CFA" w:rsidRDefault="00195A49" w:rsidP="00195A49">
      <w:pPr>
        <w:rPr>
          <w:rFonts w:cs="Arial"/>
          <w:color w:val="000000"/>
        </w:rPr>
      </w:pPr>
      <w:r w:rsidRPr="00F63CFA">
        <w:rPr>
          <w:rFonts w:cs="Arial"/>
          <w:color w:val="000000"/>
        </w:rPr>
        <w:fldChar w:fldCharType="begin"/>
      </w:r>
      <w:r w:rsidRPr="00F63CFA">
        <w:rPr>
          <w:rFonts w:cs="Arial"/>
          <w:color w:val="000000"/>
        </w:rPr>
        <w:instrText xml:space="preserve"> AUTONUM  </w:instrText>
      </w:r>
      <w:r w:rsidRPr="00F63CFA">
        <w:rPr>
          <w:rFonts w:cs="Arial"/>
          <w:color w:val="000000"/>
        </w:rPr>
        <w:fldChar w:fldCharType="end"/>
      </w:r>
      <w:r>
        <w:tab/>
        <w:t>In diesem Dokument werden folgende Abkürzungen verwendet:</w:t>
      </w:r>
    </w:p>
    <w:p w:rsidR="00195A49" w:rsidRPr="00F63CFA" w:rsidRDefault="00195A49" w:rsidP="00195A49">
      <w:pPr>
        <w:rPr>
          <w:rFonts w:cs="Arial"/>
          <w:color w:val="000000"/>
        </w:rPr>
      </w:pPr>
    </w:p>
    <w:p w:rsidR="00C97118" w:rsidRPr="00F63CFA" w:rsidRDefault="00C97118" w:rsidP="00C97118">
      <w:pPr>
        <w:pStyle w:val="BodyTextIndent3"/>
        <w:tabs>
          <w:tab w:val="left" w:pos="567"/>
        </w:tabs>
        <w:ind w:left="1418" w:hanging="851"/>
        <w:rPr>
          <w:rFonts w:ascii="Arial" w:hAnsi="Arial" w:cs="Arial"/>
          <w:sz w:val="20"/>
          <w:szCs w:val="20"/>
        </w:rPr>
      </w:pPr>
      <w:r>
        <w:rPr>
          <w:rFonts w:ascii="Arial" w:hAnsi="Arial"/>
          <w:sz w:val="20"/>
        </w:rPr>
        <w:t>BMT:</w:t>
      </w:r>
      <w:r>
        <w:rPr>
          <w:rFonts w:ascii="Arial" w:hAnsi="Arial"/>
          <w:sz w:val="20"/>
        </w:rPr>
        <w:tab/>
        <w:t>Arbeitsgruppe für biochemische und molekulare Verfahren und insbesondere für DNS</w:t>
      </w:r>
      <w:r>
        <w:rPr>
          <w:rFonts w:ascii="Arial" w:hAnsi="Arial"/>
          <w:sz w:val="20"/>
        </w:rPr>
        <w:noBreakHyphen/>
        <w:t>Profilierungsverfahren</w:t>
      </w:r>
    </w:p>
    <w:p w:rsidR="00195A49" w:rsidRPr="00F63CFA" w:rsidRDefault="00195A49" w:rsidP="00195A49">
      <w:pPr>
        <w:tabs>
          <w:tab w:val="left" w:pos="567"/>
        </w:tabs>
        <w:ind w:left="1418" w:hanging="851"/>
        <w:rPr>
          <w:rFonts w:cs="Arial"/>
          <w:color w:val="000000"/>
        </w:rPr>
      </w:pPr>
      <w:r>
        <w:rPr>
          <w:color w:val="000000"/>
        </w:rPr>
        <w:t>TC:</w:t>
      </w:r>
      <w:r>
        <w:rPr>
          <w:color w:val="000000"/>
        </w:rPr>
        <w:tab/>
        <w:t>Technischer Ausschuss</w:t>
      </w:r>
    </w:p>
    <w:p w:rsidR="00195A49" w:rsidRPr="00F63CFA" w:rsidRDefault="00195A49" w:rsidP="00195A49">
      <w:pPr>
        <w:tabs>
          <w:tab w:val="left" w:pos="567"/>
        </w:tabs>
        <w:ind w:left="1418" w:hanging="851"/>
        <w:rPr>
          <w:rFonts w:cs="Arial"/>
          <w:color w:val="000000"/>
        </w:rPr>
      </w:pPr>
      <w:r>
        <w:rPr>
          <w:color w:val="000000"/>
        </w:rPr>
        <w:t>TWA:</w:t>
      </w:r>
      <w:r>
        <w:rPr>
          <w:color w:val="000000"/>
        </w:rPr>
        <w:tab/>
        <w:t>Technische Arbeitsgruppe für landwirtschaftliche Arten</w:t>
      </w:r>
    </w:p>
    <w:p w:rsidR="00195A49" w:rsidRPr="00F63CFA" w:rsidRDefault="00195A49" w:rsidP="00195A49">
      <w:pPr>
        <w:ind w:left="1418" w:hanging="851"/>
        <w:rPr>
          <w:rFonts w:cs="Arial"/>
          <w:color w:val="000000"/>
        </w:rPr>
      </w:pPr>
      <w:r>
        <w:rPr>
          <w:color w:val="000000"/>
        </w:rPr>
        <w:t>TWC:</w:t>
      </w:r>
      <w:r>
        <w:rPr>
          <w:color w:val="000000"/>
        </w:rPr>
        <w:tab/>
        <w:t>Technische Arbeitsgruppe für Automatisierung und Computerprogramme</w:t>
      </w:r>
    </w:p>
    <w:p w:rsidR="00195A49" w:rsidRPr="00F63CFA" w:rsidRDefault="00195A49" w:rsidP="00195A49">
      <w:pPr>
        <w:ind w:left="1418" w:hanging="851"/>
        <w:rPr>
          <w:rFonts w:cs="Arial"/>
          <w:color w:val="000000"/>
        </w:rPr>
      </w:pPr>
      <w:r>
        <w:rPr>
          <w:color w:val="000000"/>
        </w:rPr>
        <w:t xml:space="preserve">TWF: </w:t>
      </w:r>
      <w:r>
        <w:rPr>
          <w:color w:val="000000"/>
        </w:rPr>
        <w:tab/>
        <w:t>Technische Arbeitsgruppe für Obstarten</w:t>
      </w:r>
    </w:p>
    <w:p w:rsidR="00C97118" w:rsidRPr="00F63CFA" w:rsidRDefault="00C97118" w:rsidP="00195A49">
      <w:pPr>
        <w:ind w:left="1418" w:hanging="851"/>
        <w:rPr>
          <w:rFonts w:cs="Arial"/>
          <w:color w:val="000000"/>
        </w:rPr>
      </w:pPr>
      <w:r>
        <w:rPr>
          <w:color w:val="000000"/>
        </w:rPr>
        <w:t>TWM:</w:t>
      </w:r>
      <w:r>
        <w:rPr>
          <w:color w:val="000000"/>
        </w:rPr>
        <w:tab/>
      </w:r>
      <w:r>
        <w:t>Technische Arbeitsgruppe für Prüfverfahren und -techniken</w:t>
      </w:r>
    </w:p>
    <w:p w:rsidR="00195A49" w:rsidRPr="00F63CFA" w:rsidRDefault="00195A49" w:rsidP="00195A49">
      <w:pPr>
        <w:ind w:left="1418" w:hanging="851"/>
        <w:rPr>
          <w:rFonts w:cs="Arial"/>
          <w:color w:val="000000"/>
        </w:rPr>
      </w:pPr>
      <w:r>
        <w:rPr>
          <w:color w:val="000000"/>
        </w:rPr>
        <w:t>TWO:</w:t>
      </w:r>
      <w:r>
        <w:rPr>
          <w:color w:val="000000"/>
        </w:rPr>
        <w:tab/>
        <w:t>Technische Arbeitsgruppe für Zierpflanzen und forstliche Baumarten</w:t>
      </w:r>
    </w:p>
    <w:p w:rsidR="00C97118" w:rsidRPr="003F5E6A" w:rsidRDefault="00C97118" w:rsidP="00C97118">
      <w:pPr>
        <w:pStyle w:val="BodyTextIndent3"/>
        <w:tabs>
          <w:tab w:val="left" w:pos="567"/>
        </w:tabs>
        <w:ind w:left="1418" w:hanging="851"/>
        <w:rPr>
          <w:rFonts w:ascii="Arial" w:hAnsi="Arial" w:cs="Arial"/>
          <w:sz w:val="20"/>
          <w:szCs w:val="20"/>
        </w:rPr>
      </w:pPr>
      <w:r>
        <w:rPr>
          <w:rFonts w:ascii="Arial" w:hAnsi="Arial"/>
          <w:sz w:val="20"/>
        </w:rPr>
        <w:t>TWP:</w:t>
      </w:r>
      <w:r>
        <w:rPr>
          <w:rFonts w:ascii="Arial" w:hAnsi="Arial"/>
          <w:sz w:val="20"/>
        </w:rPr>
        <w:tab/>
        <w:t>Technische Arbeitsgruppen</w:t>
      </w:r>
    </w:p>
    <w:p w:rsidR="00195A49" w:rsidRPr="003F5E6A" w:rsidRDefault="00195A49" w:rsidP="00195A49">
      <w:pPr>
        <w:ind w:left="1418" w:hanging="851"/>
        <w:rPr>
          <w:rFonts w:cs="Arial"/>
          <w:color w:val="000000"/>
        </w:rPr>
      </w:pPr>
      <w:r>
        <w:rPr>
          <w:color w:val="000000"/>
        </w:rPr>
        <w:t>TWV:</w:t>
      </w:r>
      <w:r>
        <w:rPr>
          <w:color w:val="000000"/>
        </w:rPr>
        <w:tab/>
        <w:t>Technische Arbeitsgruppe für Gemüsearten</w:t>
      </w:r>
    </w:p>
    <w:p w:rsidR="00195A49" w:rsidRPr="003F5E6A" w:rsidRDefault="00195A49" w:rsidP="00195A49">
      <w:pPr>
        <w:autoSpaceDE w:val="0"/>
        <w:autoSpaceDN w:val="0"/>
        <w:adjustRightInd w:val="0"/>
        <w:rPr>
          <w:rFonts w:cs="Arial"/>
          <w:snapToGrid w:val="0"/>
        </w:rPr>
      </w:pPr>
    </w:p>
    <w:p w:rsidR="00195A49" w:rsidRPr="003F5E6A" w:rsidRDefault="00195A49" w:rsidP="00195A49">
      <w:pPr>
        <w:autoSpaceDE w:val="0"/>
        <w:autoSpaceDN w:val="0"/>
        <w:adjustRightInd w:val="0"/>
        <w:rPr>
          <w:rFonts w:cs="Arial"/>
          <w:snapToGrid w:val="0"/>
        </w:rPr>
      </w:pPr>
      <w:r w:rsidRPr="003F5E6A">
        <w:rPr>
          <w:rFonts w:cs="Arial"/>
          <w:snapToGrid w:val="0"/>
        </w:rPr>
        <w:fldChar w:fldCharType="begin"/>
      </w:r>
      <w:r w:rsidRPr="003F5E6A">
        <w:rPr>
          <w:rFonts w:cs="Arial"/>
          <w:snapToGrid w:val="0"/>
        </w:rPr>
        <w:instrText xml:space="preserve"> AUTONUM  </w:instrText>
      </w:r>
      <w:r w:rsidRPr="003F5E6A">
        <w:rPr>
          <w:rFonts w:cs="Arial"/>
          <w:snapToGrid w:val="0"/>
        </w:rPr>
        <w:fldChar w:fldCharType="end"/>
      </w:r>
      <w:r>
        <w:rPr>
          <w:snapToGrid w:val="0"/>
        </w:rPr>
        <w:tab/>
        <w:t>Der Aufbau dieses Dokuments ist nachstehend zusammengefasst:</w:t>
      </w:r>
    </w:p>
    <w:p w:rsidR="00195A49" w:rsidRPr="003F5E6A" w:rsidRDefault="00195A49" w:rsidP="00195A49">
      <w:pPr>
        <w:autoSpaceDE w:val="0"/>
        <w:autoSpaceDN w:val="0"/>
        <w:adjustRightInd w:val="0"/>
        <w:rPr>
          <w:rFonts w:cs="Arial"/>
          <w:snapToGrid w:val="0"/>
          <w:lang w:eastAsia="ja-JP"/>
        </w:rPr>
      </w:pPr>
    </w:p>
    <w:p w:rsidR="005620EA" w:rsidRDefault="00195A49" w:rsidP="001F0E07">
      <w:pPr>
        <w:pStyle w:val="TOC1"/>
        <w:rPr>
          <w:rFonts w:asciiTheme="minorHAnsi" w:eastAsiaTheme="minorEastAsia" w:hAnsiTheme="minorHAnsi" w:cstheme="minorBidi"/>
          <w:noProof/>
          <w:sz w:val="22"/>
          <w:szCs w:val="22"/>
          <w:lang w:eastAsia="de-DE"/>
        </w:rPr>
      </w:pPr>
      <w:r w:rsidRPr="003F5E6A">
        <w:rPr>
          <w:rFonts w:eastAsiaTheme="minorEastAsia"/>
          <w:snapToGrid w:val="0"/>
        </w:rPr>
        <w:fldChar w:fldCharType="begin"/>
      </w:r>
      <w:r w:rsidRPr="003F5E6A">
        <w:rPr>
          <w:snapToGrid w:val="0"/>
        </w:rPr>
        <w:instrText xml:space="preserve"> TOC \o "1-3" \h \z \u </w:instrText>
      </w:r>
      <w:r w:rsidRPr="003F5E6A">
        <w:rPr>
          <w:rFonts w:eastAsiaTheme="minorEastAsia"/>
          <w:snapToGrid w:val="0"/>
        </w:rPr>
        <w:fldChar w:fldCharType="separate"/>
      </w:r>
      <w:hyperlink w:anchor="_Toc74222639" w:history="1">
        <w:r w:rsidR="005620EA" w:rsidRPr="00AD095C">
          <w:rPr>
            <w:rStyle w:val="Hyperlink"/>
            <w:noProof/>
          </w:rPr>
          <w:t>ZUSAMMENFASSUNG</w:t>
        </w:r>
        <w:r w:rsidR="005620EA">
          <w:rPr>
            <w:noProof/>
            <w:webHidden/>
          </w:rPr>
          <w:tab/>
        </w:r>
        <w:r w:rsidR="005620EA">
          <w:rPr>
            <w:noProof/>
            <w:webHidden/>
          </w:rPr>
          <w:fldChar w:fldCharType="begin"/>
        </w:r>
        <w:r w:rsidR="005620EA">
          <w:rPr>
            <w:noProof/>
            <w:webHidden/>
          </w:rPr>
          <w:instrText xml:space="preserve"> PAGEREF _Toc74222639 \h </w:instrText>
        </w:r>
        <w:r w:rsidR="005620EA">
          <w:rPr>
            <w:noProof/>
            <w:webHidden/>
          </w:rPr>
        </w:r>
        <w:r w:rsidR="005620EA">
          <w:rPr>
            <w:noProof/>
            <w:webHidden/>
          </w:rPr>
          <w:fldChar w:fldCharType="separate"/>
        </w:r>
        <w:r w:rsidR="001D60D6">
          <w:rPr>
            <w:noProof/>
            <w:webHidden/>
          </w:rPr>
          <w:t>1</w:t>
        </w:r>
        <w:r w:rsidR="005620EA">
          <w:rPr>
            <w:noProof/>
            <w:webHidden/>
          </w:rPr>
          <w:fldChar w:fldCharType="end"/>
        </w:r>
      </w:hyperlink>
    </w:p>
    <w:p w:rsidR="005620EA" w:rsidRDefault="006E6CDE" w:rsidP="001F0E07">
      <w:pPr>
        <w:pStyle w:val="TOC1"/>
        <w:rPr>
          <w:rFonts w:asciiTheme="minorHAnsi" w:eastAsiaTheme="minorEastAsia" w:hAnsiTheme="minorHAnsi" w:cstheme="minorBidi"/>
          <w:noProof/>
          <w:sz w:val="22"/>
          <w:szCs w:val="22"/>
          <w:lang w:eastAsia="de-DE"/>
        </w:rPr>
      </w:pPr>
      <w:hyperlink w:anchor="_Toc74222640" w:history="1">
        <w:r w:rsidR="005620EA" w:rsidRPr="00AD095C">
          <w:rPr>
            <w:rStyle w:val="Hyperlink"/>
            <w:noProof/>
          </w:rPr>
          <w:t>HINTERGRUND</w:t>
        </w:r>
        <w:r w:rsidR="005620EA">
          <w:rPr>
            <w:noProof/>
            <w:webHidden/>
          </w:rPr>
          <w:tab/>
        </w:r>
        <w:r w:rsidR="005620EA">
          <w:rPr>
            <w:noProof/>
            <w:webHidden/>
          </w:rPr>
          <w:fldChar w:fldCharType="begin"/>
        </w:r>
        <w:r w:rsidR="005620EA">
          <w:rPr>
            <w:noProof/>
            <w:webHidden/>
          </w:rPr>
          <w:instrText xml:space="preserve"> PAGEREF _Toc74222640 \h </w:instrText>
        </w:r>
        <w:r w:rsidR="005620EA">
          <w:rPr>
            <w:noProof/>
            <w:webHidden/>
          </w:rPr>
        </w:r>
        <w:r w:rsidR="005620EA">
          <w:rPr>
            <w:noProof/>
            <w:webHidden/>
          </w:rPr>
          <w:fldChar w:fldCharType="separate"/>
        </w:r>
        <w:r w:rsidR="001D60D6">
          <w:rPr>
            <w:noProof/>
            <w:webHidden/>
          </w:rPr>
          <w:t>2</w:t>
        </w:r>
        <w:r w:rsidR="005620EA">
          <w:rPr>
            <w:noProof/>
            <w:webHidden/>
          </w:rPr>
          <w:fldChar w:fldCharType="end"/>
        </w:r>
      </w:hyperlink>
    </w:p>
    <w:p w:rsidR="005620EA" w:rsidRDefault="006E6CDE" w:rsidP="001F0E07">
      <w:pPr>
        <w:pStyle w:val="TOC1"/>
        <w:rPr>
          <w:rFonts w:asciiTheme="minorHAnsi" w:eastAsiaTheme="minorEastAsia" w:hAnsiTheme="minorHAnsi" w:cstheme="minorBidi"/>
          <w:noProof/>
          <w:sz w:val="22"/>
          <w:szCs w:val="22"/>
          <w:lang w:eastAsia="de-DE"/>
        </w:rPr>
      </w:pPr>
      <w:hyperlink w:anchor="_Toc74222641" w:history="1">
        <w:r w:rsidR="005620EA" w:rsidRPr="00AD095C">
          <w:rPr>
            <w:rStyle w:val="Hyperlink"/>
            <w:noProof/>
          </w:rPr>
          <w:t>Prüfung durch den Technischen Ausschuss auf seiner siebenundfünfzigsten Tagung</w:t>
        </w:r>
        <w:r w:rsidR="005620EA">
          <w:rPr>
            <w:noProof/>
            <w:webHidden/>
          </w:rPr>
          <w:tab/>
        </w:r>
        <w:r w:rsidR="005620EA">
          <w:rPr>
            <w:noProof/>
            <w:webHidden/>
          </w:rPr>
          <w:fldChar w:fldCharType="begin"/>
        </w:r>
        <w:r w:rsidR="005620EA">
          <w:rPr>
            <w:noProof/>
            <w:webHidden/>
          </w:rPr>
          <w:instrText xml:space="preserve"> PAGEREF _Toc74222641 \h </w:instrText>
        </w:r>
        <w:r w:rsidR="005620EA">
          <w:rPr>
            <w:noProof/>
            <w:webHidden/>
          </w:rPr>
        </w:r>
        <w:r w:rsidR="005620EA">
          <w:rPr>
            <w:noProof/>
            <w:webHidden/>
          </w:rPr>
          <w:fldChar w:fldCharType="separate"/>
        </w:r>
        <w:r w:rsidR="001D60D6">
          <w:rPr>
            <w:noProof/>
            <w:webHidden/>
          </w:rPr>
          <w:t>2</w:t>
        </w:r>
        <w:r w:rsidR="005620EA">
          <w:rPr>
            <w:noProof/>
            <w:webHidden/>
          </w:rPr>
          <w:fldChar w:fldCharType="end"/>
        </w:r>
      </w:hyperlink>
    </w:p>
    <w:p w:rsidR="005620EA" w:rsidRDefault="006E6CDE" w:rsidP="001F0E07">
      <w:pPr>
        <w:pStyle w:val="TOC1"/>
        <w:rPr>
          <w:rFonts w:asciiTheme="minorHAnsi" w:eastAsiaTheme="minorEastAsia" w:hAnsiTheme="minorHAnsi" w:cstheme="minorBidi"/>
          <w:noProof/>
          <w:sz w:val="22"/>
          <w:szCs w:val="22"/>
          <w:lang w:eastAsia="de-DE"/>
        </w:rPr>
      </w:pPr>
      <w:hyperlink w:anchor="_Toc74222642" w:history="1">
        <w:r w:rsidR="005620EA" w:rsidRPr="00AD095C">
          <w:rPr>
            <w:rStyle w:val="Hyperlink"/>
            <w:noProof/>
          </w:rPr>
          <w:t>Bericht über die vorbereitenden Arbeitstagungen im Jahr 2021</w:t>
        </w:r>
        <w:r w:rsidR="005620EA">
          <w:rPr>
            <w:noProof/>
            <w:webHidden/>
          </w:rPr>
          <w:tab/>
        </w:r>
        <w:r w:rsidR="005620EA">
          <w:rPr>
            <w:noProof/>
            <w:webHidden/>
          </w:rPr>
          <w:fldChar w:fldCharType="begin"/>
        </w:r>
        <w:r w:rsidR="005620EA">
          <w:rPr>
            <w:noProof/>
            <w:webHidden/>
          </w:rPr>
          <w:instrText xml:space="preserve"> PAGEREF _Toc74222642 \h </w:instrText>
        </w:r>
        <w:r w:rsidR="005620EA">
          <w:rPr>
            <w:noProof/>
            <w:webHidden/>
          </w:rPr>
        </w:r>
        <w:r w:rsidR="005620EA">
          <w:rPr>
            <w:noProof/>
            <w:webHidden/>
          </w:rPr>
          <w:fldChar w:fldCharType="separate"/>
        </w:r>
        <w:r w:rsidR="001D60D6">
          <w:rPr>
            <w:noProof/>
            <w:webHidden/>
          </w:rPr>
          <w:t>3</w:t>
        </w:r>
        <w:r w:rsidR="005620EA">
          <w:rPr>
            <w:noProof/>
            <w:webHidden/>
          </w:rPr>
          <w:fldChar w:fldCharType="end"/>
        </w:r>
      </w:hyperlink>
    </w:p>
    <w:p w:rsidR="005620EA" w:rsidRDefault="006E6CDE">
      <w:pPr>
        <w:pStyle w:val="TOC2"/>
        <w:rPr>
          <w:rFonts w:asciiTheme="minorHAnsi" w:eastAsiaTheme="minorEastAsia" w:hAnsiTheme="minorHAnsi" w:cstheme="minorBidi"/>
          <w:smallCaps/>
          <w:noProof/>
          <w:sz w:val="22"/>
          <w:szCs w:val="22"/>
          <w:lang w:eastAsia="de-DE"/>
        </w:rPr>
      </w:pPr>
      <w:hyperlink w:anchor="_Toc74222643" w:history="1">
        <w:r w:rsidR="005620EA" w:rsidRPr="00AD095C">
          <w:rPr>
            <w:rStyle w:val="Hyperlink"/>
            <w:noProof/>
          </w:rPr>
          <w:t>Vorbereitende Webinare</w:t>
        </w:r>
        <w:r w:rsidR="005620EA">
          <w:rPr>
            <w:noProof/>
            <w:webHidden/>
          </w:rPr>
          <w:tab/>
        </w:r>
        <w:r w:rsidR="005620EA">
          <w:rPr>
            <w:noProof/>
            <w:webHidden/>
          </w:rPr>
          <w:fldChar w:fldCharType="begin"/>
        </w:r>
        <w:r w:rsidR="005620EA">
          <w:rPr>
            <w:noProof/>
            <w:webHidden/>
          </w:rPr>
          <w:instrText xml:space="preserve"> PAGEREF _Toc74222643 \h </w:instrText>
        </w:r>
        <w:r w:rsidR="005620EA">
          <w:rPr>
            <w:noProof/>
            <w:webHidden/>
          </w:rPr>
        </w:r>
        <w:r w:rsidR="005620EA">
          <w:rPr>
            <w:noProof/>
            <w:webHidden/>
          </w:rPr>
          <w:fldChar w:fldCharType="separate"/>
        </w:r>
        <w:r w:rsidR="001D60D6">
          <w:rPr>
            <w:noProof/>
            <w:webHidden/>
          </w:rPr>
          <w:t>3</w:t>
        </w:r>
        <w:r w:rsidR="005620EA">
          <w:rPr>
            <w:noProof/>
            <w:webHidden/>
          </w:rPr>
          <w:fldChar w:fldCharType="end"/>
        </w:r>
      </w:hyperlink>
    </w:p>
    <w:p w:rsidR="005620EA" w:rsidRDefault="006E6CDE" w:rsidP="001F0E07">
      <w:pPr>
        <w:pStyle w:val="TOC1"/>
        <w:rPr>
          <w:rFonts w:asciiTheme="minorHAnsi" w:eastAsiaTheme="minorEastAsia" w:hAnsiTheme="minorHAnsi" w:cstheme="minorBidi"/>
          <w:noProof/>
          <w:sz w:val="22"/>
          <w:szCs w:val="22"/>
          <w:lang w:eastAsia="de-DE"/>
        </w:rPr>
      </w:pPr>
      <w:hyperlink w:anchor="_Toc74222644" w:history="1">
        <w:r w:rsidR="005620EA" w:rsidRPr="00AD095C">
          <w:rPr>
            <w:rStyle w:val="Hyperlink"/>
            <w:noProof/>
          </w:rPr>
          <w:t>Programm und Format für die vorbereitenden Arbeiten im Jahr 2022</w:t>
        </w:r>
        <w:r w:rsidR="005620EA">
          <w:rPr>
            <w:noProof/>
            <w:webHidden/>
          </w:rPr>
          <w:tab/>
        </w:r>
        <w:r w:rsidR="005620EA">
          <w:rPr>
            <w:noProof/>
            <w:webHidden/>
          </w:rPr>
          <w:fldChar w:fldCharType="begin"/>
        </w:r>
        <w:r w:rsidR="005620EA">
          <w:rPr>
            <w:noProof/>
            <w:webHidden/>
          </w:rPr>
          <w:instrText xml:space="preserve"> PAGEREF _Toc74222644 \h </w:instrText>
        </w:r>
        <w:r w:rsidR="005620EA">
          <w:rPr>
            <w:noProof/>
            <w:webHidden/>
          </w:rPr>
        </w:r>
        <w:r w:rsidR="005620EA">
          <w:rPr>
            <w:noProof/>
            <w:webHidden/>
          </w:rPr>
          <w:fldChar w:fldCharType="separate"/>
        </w:r>
        <w:r w:rsidR="001D60D6">
          <w:rPr>
            <w:noProof/>
            <w:webHidden/>
          </w:rPr>
          <w:t>4</w:t>
        </w:r>
        <w:r w:rsidR="005620EA">
          <w:rPr>
            <w:noProof/>
            <w:webHidden/>
          </w:rPr>
          <w:fldChar w:fldCharType="end"/>
        </w:r>
      </w:hyperlink>
    </w:p>
    <w:p w:rsidR="005620EA" w:rsidRDefault="006E6CDE">
      <w:pPr>
        <w:pStyle w:val="TOC2"/>
        <w:rPr>
          <w:rFonts w:asciiTheme="minorHAnsi" w:eastAsiaTheme="minorEastAsia" w:hAnsiTheme="minorHAnsi" w:cstheme="minorBidi"/>
          <w:smallCaps/>
          <w:noProof/>
          <w:sz w:val="22"/>
          <w:szCs w:val="22"/>
          <w:lang w:eastAsia="de-DE"/>
        </w:rPr>
      </w:pPr>
      <w:hyperlink w:anchor="_Toc74222645" w:history="1">
        <w:r w:rsidR="005620EA" w:rsidRPr="00AD095C">
          <w:rPr>
            <w:rStyle w:val="Hyperlink"/>
            <w:noProof/>
          </w:rPr>
          <w:t>Vorschlag</w:t>
        </w:r>
        <w:r w:rsidR="005620EA">
          <w:rPr>
            <w:noProof/>
            <w:webHidden/>
          </w:rPr>
          <w:tab/>
        </w:r>
        <w:r w:rsidR="005620EA">
          <w:rPr>
            <w:noProof/>
            <w:webHidden/>
          </w:rPr>
          <w:fldChar w:fldCharType="begin"/>
        </w:r>
        <w:r w:rsidR="005620EA">
          <w:rPr>
            <w:noProof/>
            <w:webHidden/>
          </w:rPr>
          <w:instrText xml:space="preserve"> PAGEREF _Toc74222645 \h </w:instrText>
        </w:r>
        <w:r w:rsidR="005620EA">
          <w:rPr>
            <w:noProof/>
            <w:webHidden/>
          </w:rPr>
        </w:r>
        <w:r w:rsidR="005620EA">
          <w:rPr>
            <w:noProof/>
            <w:webHidden/>
          </w:rPr>
          <w:fldChar w:fldCharType="separate"/>
        </w:r>
        <w:r w:rsidR="001D60D6">
          <w:rPr>
            <w:noProof/>
            <w:webHidden/>
          </w:rPr>
          <w:t>4</w:t>
        </w:r>
        <w:r w:rsidR="005620EA">
          <w:rPr>
            <w:noProof/>
            <w:webHidden/>
          </w:rPr>
          <w:fldChar w:fldCharType="end"/>
        </w:r>
      </w:hyperlink>
    </w:p>
    <w:p w:rsidR="005620EA" w:rsidRDefault="006E6CDE" w:rsidP="001F0E07">
      <w:pPr>
        <w:pStyle w:val="TOC1"/>
        <w:rPr>
          <w:rFonts w:asciiTheme="minorHAnsi" w:eastAsiaTheme="minorEastAsia" w:hAnsiTheme="minorHAnsi" w:cstheme="minorBidi"/>
          <w:noProof/>
          <w:sz w:val="22"/>
          <w:szCs w:val="22"/>
          <w:lang w:eastAsia="de-DE"/>
        </w:rPr>
      </w:pPr>
      <w:hyperlink w:anchor="_Toc74222646" w:history="1">
        <w:r w:rsidR="005620EA" w:rsidRPr="00AD095C">
          <w:rPr>
            <w:rStyle w:val="Hyperlink"/>
            <w:noProof/>
          </w:rPr>
          <w:t>PROGRAMM FÜR DIE VORBEREITENDEN WEBINARE  IM JAHR 2021</w:t>
        </w:r>
        <w:r w:rsidR="005620EA">
          <w:rPr>
            <w:noProof/>
            <w:webHidden/>
          </w:rPr>
          <w:tab/>
        </w:r>
        <w:r w:rsidR="005620EA">
          <w:rPr>
            <w:noProof/>
            <w:webHidden/>
          </w:rPr>
          <w:fldChar w:fldCharType="begin"/>
        </w:r>
        <w:r w:rsidR="005620EA">
          <w:rPr>
            <w:noProof/>
            <w:webHidden/>
          </w:rPr>
          <w:instrText xml:space="preserve"> PAGEREF _Toc74222646 \h </w:instrText>
        </w:r>
        <w:r w:rsidR="005620EA">
          <w:rPr>
            <w:noProof/>
            <w:webHidden/>
          </w:rPr>
        </w:r>
        <w:r w:rsidR="005620EA">
          <w:rPr>
            <w:noProof/>
            <w:webHidden/>
          </w:rPr>
          <w:fldChar w:fldCharType="separate"/>
        </w:r>
        <w:r w:rsidR="001D60D6">
          <w:rPr>
            <w:noProof/>
            <w:webHidden/>
          </w:rPr>
          <w:t>1</w:t>
        </w:r>
        <w:r w:rsidR="005620EA">
          <w:rPr>
            <w:noProof/>
            <w:webHidden/>
          </w:rPr>
          <w:fldChar w:fldCharType="end"/>
        </w:r>
      </w:hyperlink>
    </w:p>
    <w:p w:rsidR="008F3E73" w:rsidRDefault="00195A49" w:rsidP="00195A49">
      <w:pPr>
        <w:rPr>
          <w:rFonts w:cs="Arial"/>
          <w:snapToGrid w:val="0"/>
        </w:rPr>
      </w:pPr>
      <w:r w:rsidRPr="003F5E6A">
        <w:rPr>
          <w:rFonts w:cs="Arial"/>
          <w:snapToGrid w:val="0"/>
        </w:rPr>
        <w:fldChar w:fldCharType="end"/>
      </w:r>
    </w:p>
    <w:p w:rsidR="00195A49" w:rsidRPr="00FA7D5A" w:rsidRDefault="00532A66" w:rsidP="00195A49">
      <w:pPr>
        <w:rPr>
          <w:rFonts w:cs="Arial"/>
          <w:snapToGrid w:val="0"/>
        </w:rPr>
      </w:pPr>
      <w:r>
        <w:rPr>
          <w:snapToGrid w:val="0"/>
        </w:rPr>
        <w:t>ANLAGE:  Programm für die vorbereitenden Arbeitstagungen im Jahr 2021</w:t>
      </w:r>
    </w:p>
    <w:p w:rsidR="00532A66" w:rsidRDefault="00532A66" w:rsidP="00195A49">
      <w:pPr>
        <w:rPr>
          <w:rFonts w:cs="Arial"/>
          <w:snapToGrid w:val="0"/>
        </w:rPr>
      </w:pPr>
    </w:p>
    <w:p w:rsidR="00532A66" w:rsidRPr="003F5E6A" w:rsidRDefault="00D31BFA" w:rsidP="00195A49">
      <w:r>
        <w:rPr>
          <w:noProof/>
          <w:lang w:val="en-US"/>
        </w:rPr>
        <mc:AlternateContent>
          <mc:Choice Requires="wps">
            <w:drawing>
              <wp:anchor distT="0" distB="0" distL="114300" distR="114300" simplePos="0" relativeHeight="251659264" behindDoc="0" locked="0" layoutInCell="1" allowOverlap="1">
                <wp:simplePos x="0" y="0"/>
                <wp:positionH relativeFrom="column">
                  <wp:posOffset>-694690</wp:posOffset>
                </wp:positionH>
                <wp:positionV relativeFrom="paragraph">
                  <wp:posOffset>155575</wp:posOffset>
                </wp:positionV>
                <wp:extent cx="317500" cy="6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rsidR="00D31BFA" w:rsidRPr="00D31BFA" w:rsidRDefault="00D31BFA" w:rsidP="00D31BFA">
                            <w:pPr>
                              <w:jc w:val="right"/>
                              <w:rPr>
                                <w:rFonts w:cs="Arial"/>
                                <w:color w:val="000000"/>
                              </w:rPr>
                            </w:pPr>
                            <w:r>
                              <w:rPr>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7pt;margin-top:12.2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" fillcolor="black" strokeweight=".5pt">
                <v:fill opacity="0"/>
                <v:stroke opacity="0" joinstyle="round"/>
                <v:textbox inset="0,0,0,0">
                  <w:txbxContent>
                    <w:p w:rsidR="00D31BFA" w:rsidRPr="00D31BFA" w:rsidRDefault="00D31BFA" w:rsidP="00D31BFA">
                      <w:pPr>
                        <w:jc w:val="right"/>
                        <w:rPr>
                          <w:rFonts w:cs="Arial"/>
                          <w:color w:val="000000"/>
                        </w:rPr>
                      </w:pPr>
                      <w:r>
                        <w:rPr>
                          <w:color w:val="000000"/>
                        </w:rPr>
                        <w:t xml:space="preserve">./. </w:t>
                      </w:r>
                    </w:p>
                  </w:txbxContent>
                </v:textbox>
              </v:shape>
            </w:pict>
          </mc:Fallback>
        </mc:AlternateContent>
      </w:r>
    </w:p>
    <w:p w:rsidR="00195A49" w:rsidRPr="003F5E6A" w:rsidRDefault="00195A49" w:rsidP="00D31BFA">
      <w:pPr>
        <w:pStyle w:val="Heading1"/>
        <w:keepLines/>
      </w:pPr>
      <w:bookmarkStart w:id="2" w:name="_Toc74222640"/>
      <w:r>
        <w:lastRenderedPageBreak/>
        <w:t>HINTERGRUND</w:t>
      </w:r>
      <w:bookmarkEnd w:id="2"/>
    </w:p>
    <w:p w:rsidR="00195A49" w:rsidRPr="003F5E6A" w:rsidRDefault="00195A49" w:rsidP="00D31BFA">
      <w:pPr>
        <w:keepNext/>
        <w:keepLines/>
      </w:pPr>
    </w:p>
    <w:p w:rsidR="00195A49" w:rsidRPr="003F5E6A" w:rsidRDefault="00195A49" w:rsidP="00D31BFA">
      <w:pPr>
        <w:keepLines/>
        <w:autoSpaceDE w:val="0"/>
        <w:autoSpaceDN w:val="0"/>
        <w:adjustRightInd w:val="0"/>
        <w:rPr>
          <w:rFonts w:cs="Arial"/>
          <w:snapToGrid w:val="0"/>
        </w:rPr>
      </w:pPr>
      <w:r w:rsidRPr="003F5E6A">
        <w:rPr>
          <w:rFonts w:cs="Arial"/>
        </w:rPr>
        <w:fldChar w:fldCharType="begin"/>
      </w:r>
      <w:r w:rsidRPr="003F5E6A">
        <w:rPr>
          <w:rFonts w:cs="Arial"/>
        </w:rPr>
        <w:instrText xml:space="preserve"> AUTONUM  </w:instrText>
      </w:r>
      <w:r w:rsidRPr="003F5E6A">
        <w:rPr>
          <w:rFonts w:cs="Arial"/>
        </w:rPr>
        <w:fldChar w:fldCharType="end"/>
      </w:r>
      <w:r>
        <w:tab/>
        <w:t>Der TC vereinbarte auf seiner achtunddreißigsten Tagung</w:t>
      </w:r>
      <w:r w:rsidRPr="003F5E6A">
        <w:rPr>
          <w:rStyle w:val="FootnoteReference"/>
          <w:rFonts w:cs="Arial"/>
        </w:rPr>
        <w:footnoteReference w:id="2"/>
      </w:r>
      <w:r>
        <w:t xml:space="preserve"> auf der Grundlage des Dokuments TC/38/12, jeweils vor den Sitzungen der Technischen Arbeitsgruppen (TWP) eine vorbereitende Arbeitstagung abzuhalten mit dem Ziel, einige Delegierte dabei zu unterstützen, sich aktiver an der Sitzung zu beteiligen (siehe Dokument TC/38/16 „Bericht“, Absätze 215 bis 218).</w:t>
      </w:r>
    </w:p>
    <w:p w:rsidR="00195A49" w:rsidRPr="003F5E6A" w:rsidRDefault="00195A49" w:rsidP="00195A49"/>
    <w:p w:rsidR="00195A49" w:rsidRPr="003F5E6A" w:rsidRDefault="00195A49" w:rsidP="00195A49">
      <w:r w:rsidRPr="003F5E6A">
        <w:fldChar w:fldCharType="begin"/>
      </w:r>
      <w:r w:rsidRPr="003F5E6A">
        <w:instrText xml:space="preserve"> AUTONUM  </w:instrText>
      </w:r>
      <w:r w:rsidRPr="003F5E6A">
        <w:fldChar w:fldCharType="end"/>
      </w:r>
      <w:r>
        <w:tab/>
        <w:t>Der TC erinnerte auf seiner fünfundfünfzigsten Tagung</w:t>
      </w:r>
      <w:r w:rsidRPr="003F5E6A">
        <w:rPr>
          <w:rStyle w:val="FootnoteReference"/>
        </w:rPr>
        <w:footnoteReference w:id="3"/>
      </w:r>
      <w:r>
        <w:t xml:space="preserve"> daran, dass vorbereitende Arbeitstagungen eine Gelegenheit zur Schulung von lokalen Teilnehmern darstellten, und vereinbarte, dass die Gastgeber der Tagungen der TWP die Möglichkeit haben sollten, zu entscheiden, ob sie vor der Tagung eine vorbereitende Arbeitstagung organisieren oder nicht (vergleiche Dokument TC/55/25 „Bericht“, Absätze 226 und 227).</w:t>
      </w:r>
    </w:p>
    <w:p w:rsidR="00195A49" w:rsidRPr="003F5E6A" w:rsidRDefault="00195A49" w:rsidP="00195A49"/>
    <w:p w:rsidR="00195A49" w:rsidRPr="003F5E6A" w:rsidRDefault="00195A49" w:rsidP="00195A49">
      <w:r w:rsidRPr="003F5E6A">
        <w:fldChar w:fldCharType="begin"/>
      </w:r>
      <w:r w:rsidRPr="003F5E6A">
        <w:instrText xml:space="preserve"> AUTONUM  </w:instrText>
      </w:r>
      <w:r w:rsidRPr="003F5E6A">
        <w:fldChar w:fldCharType="end"/>
      </w:r>
      <w:r>
        <w:tab/>
        <w:t>Der TC vereinbarte auf seiner fünfundfünfzigsten Tagung, dass die TWP ersucht werden sollten, die mögliche Organisation von vorbereitenden Arbeitstagungen bei den Überlegungen zu Datum und Ort ihrer künftigen Tagungen zu erörtern.</w:t>
      </w:r>
    </w:p>
    <w:p w:rsidR="00195A49" w:rsidRDefault="00195A49" w:rsidP="00195A49"/>
    <w:p w:rsidR="002E194F" w:rsidRDefault="002E194F" w:rsidP="00195A49"/>
    <w:p w:rsidR="002E194F" w:rsidRDefault="002E194F" w:rsidP="002E194F">
      <w:pPr>
        <w:pStyle w:val="Heading1"/>
      </w:pPr>
      <w:bookmarkStart w:id="3" w:name="_Toc74222641"/>
      <w:r>
        <w:t>Prüfung durch den Technischen Ausschuss auf seiner siebenundfünfzigsten Tagung</w:t>
      </w:r>
      <w:bookmarkEnd w:id="3"/>
    </w:p>
    <w:p w:rsidR="00C07812" w:rsidRDefault="00C07812" w:rsidP="00195A49"/>
    <w:p w:rsidR="00C07812" w:rsidRPr="00C07812" w:rsidRDefault="00C07812" w:rsidP="00C07812">
      <w:r w:rsidRPr="00C07812">
        <w:fldChar w:fldCharType="begin"/>
      </w:r>
      <w:r w:rsidRPr="00C07812">
        <w:instrText xml:space="preserve"> AUTONUM  </w:instrText>
      </w:r>
      <w:r w:rsidRPr="00C07812">
        <w:fldChar w:fldCharType="end"/>
      </w:r>
      <w:r>
        <w:tab/>
        <w:t>Der TC prüfte auf seiner sechsundfünfzigsten Tagung</w:t>
      </w:r>
      <w:r>
        <w:rPr>
          <w:rStyle w:val="FootnoteReference"/>
        </w:rPr>
        <w:footnoteReference w:id="4"/>
      </w:r>
      <w:r>
        <w:t xml:space="preserve"> das Dokument TC/56/9 „Vorbereitende Arbeitstagungen“ (vergleiche Dokument TC/56/23 „Bericht“, Absätze 71 und 75).</w:t>
      </w:r>
    </w:p>
    <w:p w:rsidR="00C07812" w:rsidRPr="00C07812" w:rsidRDefault="00C07812" w:rsidP="00C07812"/>
    <w:p w:rsidR="00C07812" w:rsidRPr="00C07812" w:rsidRDefault="00C07812" w:rsidP="00C07812">
      <w:pPr>
        <w:rPr>
          <w:snapToGrid w:val="0"/>
        </w:rPr>
      </w:pPr>
      <w:r w:rsidRPr="00C07812">
        <w:fldChar w:fldCharType="begin"/>
      </w:r>
      <w:r w:rsidRPr="00C07812">
        <w:instrText xml:space="preserve"> AUTONUM  </w:instrText>
      </w:r>
      <w:r w:rsidRPr="00C07812">
        <w:fldChar w:fldCharType="end"/>
      </w:r>
      <w:r>
        <w:tab/>
        <w:t>Der TC vereinbarte</w:t>
      </w:r>
      <w:r>
        <w:rPr>
          <w:snapToGrid w:val="0"/>
        </w:rPr>
        <w:t>, vorbereitende Arbeitstagungen als eine Reihe von Webinaren zu geeigneten Terminen gemäß dem Zeitplan der TWP-Tagungen wie folgt zu veranstalten</w:t>
      </w:r>
      <w:r w:rsidR="005620EA">
        <w:rPr>
          <w:snapToGrid w:val="0"/>
        </w:rPr>
        <w:t xml:space="preserve">: </w:t>
      </w:r>
    </w:p>
    <w:p w:rsidR="00C07812" w:rsidRPr="00C07812" w:rsidRDefault="00C07812" w:rsidP="00C07812">
      <w:pPr>
        <w:rPr>
          <w:snapToGrid w:val="0"/>
        </w:rPr>
      </w:pPr>
    </w:p>
    <w:p w:rsidR="00147A23" w:rsidRDefault="00147A23" w:rsidP="00C07812">
      <w:pPr>
        <w:keepNext/>
      </w:pPr>
    </w:p>
    <w:p w:rsidR="00C07812" w:rsidRPr="00C07812" w:rsidRDefault="00C07812" w:rsidP="00C07812">
      <w:pPr>
        <w:keepNext/>
        <w:rPr>
          <w:rFonts w:cs="Arial"/>
        </w:rPr>
      </w:pPr>
      <w:r>
        <w:t>Webinar 1:</w:t>
      </w:r>
    </w:p>
    <w:p w:rsidR="00C07812" w:rsidRPr="00C07812" w:rsidRDefault="00C07812" w:rsidP="00C07812">
      <w:pPr>
        <w:keepNext/>
        <w:numPr>
          <w:ilvl w:val="1"/>
          <w:numId w:val="9"/>
        </w:numPr>
        <w:spacing w:line="276" w:lineRule="auto"/>
        <w:ind w:left="1134" w:hanging="567"/>
        <w:contextualSpacing/>
        <w:rPr>
          <w:rFonts w:cs="Arial"/>
        </w:rPr>
      </w:pPr>
      <w:r>
        <w:t>Einführung in die UPOV und Rolle der Technischen Arbeitsgruppen (TWP) der UPOV</w:t>
      </w:r>
    </w:p>
    <w:p w:rsidR="00C07812" w:rsidRPr="00C07812" w:rsidRDefault="00C07812" w:rsidP="00C07812">
      <w:pPr>
        <w:keepNext/>
        <w:numPr>
          <w:ilvl w:val="1"/>
          <w:numId w:val="9"/>
        </w:numPr>
        <w:spacing w:line="276" w:lineRule="auto"/>
        <w:ind w:left="1134" w:hanging="567"/>
        <w:contextualSpacing/>
        <w:rPr>
          <w:rFonts w:cs="Arial"/>
        </w:rPr>
      </w:pPr>
      <w:r>
        <w:t>Überblick über die Allgemeine Einführung (Dokument TG/1/3 und TGP-Dokumente)</w:t>
      </w:r>
    </w:p>
    <w:p w:rsidR="00C07812" w:rsidRDefault="00C07812" w:rsidP="00C07812">
      <w:pPr>
        <w:numPr>
          <w:ilvl w:val="0"/>
          <w:numId w:val="10"/>
        </w:numPr>
        <w:tabs>
          <w:tab w:val="left" w:pos="1134"/>
        </w:tabs>
        <w:spacing w:line="276" w:lineRule="auto"/>
        <w:ind w:left="1134" w:firstLine="0"/>
        <w:rPr>
          <w:rFonts w:cs="Arial"/>
        </w:rPr>
      </w:pPr>
      <w:r>
        <w:t>Merkmale als Grundlage für die DUS-Prüfun</w:t>
      </w:r>
      <w:r w:rsidR="00C54718">
        <w:t>g und die Auswahl von Merkmalen</w:t>
      </w:r>
    </w:p>
    <w:p w:rsidR="00C07812" w:rsidRPr="00C07812" w:rsidRDefault="00C07812" w:rsidP="00C07812">
      <w:pPr>
        <w:spacing w:line="276" w:lineRule="auto"/>
        <w:rPr>
          <w:rFonts w:cs="Arial"/>
        </w:rPr>
      </w:pPr>
      <w:r>
        <w:t>Webinar 2:</w:t>
      </w:r>
    </w:p>
    <w:p w:rsidR="00C07812" w:rsidRPr="00C07812" w:rsidRDefault="00C07812" w:rsidP="00C07812">
      <w:pPr>
        <w:spacing w:line="276" w:lineRule="auto"/>
        <w:ind w:left="567"/>
        <w:rPr>
          <w:rFonts w:cs="Arial"/>
        </w:rPr>
      </w:pPr>
      <w:r>
        <w:t xml:space="preserve">Anleitung zur Erstellung von Prüfungsrichtlinien – Teil </w:t>
      </w:r>
      <w:r w:rsidR="005620EA">
        <w:t>I (</w:t>
      </w:r>
      <w:r>
        <w:t xml:space="preserve">Dokument TGP/7) </w:t>
      </w:r>
    </w:p>
    <w:p w:rsidR="00C07812" w:rsidRPr="00C07812" w:rsidRDefault="00C07812" w:rsidP="00C07812">
      <w:pPr>
        <w:numPr>
          <w:ilvl w:val="0"/>
          <w:numId w:val="11"/>
        </w:numPr>
        <w:tabs>
          <w:tab w:val="num" w:pos="1134"/>
        </w:tabs>
        <w:spacing w:line="276" w:lineRule="auto"/>
        <w:ind w:left="567" w:firstLine="0"/>
        <w:rPr>
          <w:rFonts w:cs="Arial"/>
        </w:rPr>
      </w:pPr>
      <w:r>
        <w:t>Erf</w:t>
      </w:r>
      <w:r w:rsidR="00C54718">
        <w:t>assungsmethode (MS, MG, VS, VG)</w:t>
      </w:r>
    </w:p>
    <w:p w:rsidR="00C07812" w:rsidRDefault="00C07812" w:rsidP="00C07812">
      <w:pPr>
        <w:numPr>
          <w:ilvl w:val="0"/>
          <w:numId w:val="11"/>
        </w:numPr>
        <w:tabs>
          <w:tab w:val="left" w:pos="567"/>
          <w:tab w:val="num" w:pos="1134"/>
          <w:tab w:val="left" w:pos="2268"/>
          <w:tab w:val="left" w:pos="2835"/>
          <w:tab w:val="left" w:pos="3402"/>
          <w:tab w:val="left" w:pos="3969"/>
          <w:tab w:val="left" w:pos="4536"/>
          <w:tab w:val="center" w:pos="5386"/>
        </w:tabs>
        <w:spacing w:line="276" w:lineRule="auto"/>
        <w:ind w:left="567" w:firstLine="0"/>
        <w:rPr>
          <w:rFonts w:cs="Arial"/>
        </w:rPr>
      </w:pPr>
      <w:r>
        <w:t>Ausprägungstypen (QL, QN, PQ</w:t>
      </w:r>
      <w:r w:rsidR="00C54718">
        <w:t>), Noten und Unterscheidbarkeit</w:t>
      </w:r>
    </w:p>
    <w:p w:rsidR="00C07812" w:rsidRPr="00C07812" w:rsidRDefault="00C07812" w:rsidP="00C07812">
      <w:pPr>
        <w:tabs>
          <w:tab w:val="left" w:pos="567"/>
          <w:tab w:val="left" w:pos="1134"/>
          <w:tab w:val="left" w:pos="2268"/>
          <w:tab w:val="left" w:pos="2835"/>
          <w:tab w:val="left" w:pos="3402"/>
          <w:tab w:val="left" w:pos="3969"/>
          <w:tab w:val="left" w:pos="4536"/>
          <w:tab w:val="center" w:pos="5386"/>
        </w:tabs>
        <w:spacing w:line="276" w:lineRule="auto"/>
        <w:rPr>
          <w:rFonts w:cs="Arial"/>
        </w:rPr>
      </w:pPr>
      <w:r>
        <w:t>Webinar 3:</w:t>
      </w:r>
    </w:p>
    <w:p w:rsidR="00C07812" w:rsidRPr="00C07812" w:rsidRDefault="00C07812" w:rsidP="00C07812">
      <w:pPr>
        <w:spacing w:line="276" w:lineRule="auto"/>
        <w:ind w:left="567"/>
        <w:rPr>
          <w:rFonts w:cs="Arial"/>
        </w:rPr>
      </w:pPr>
      <w:r>
        <w:t xml:space="preserve">Anleitung zur Erstellung von Prüfungsrichtlinien – Teil </w:t>
      </w:r>
      <w:r w:rsidR="005620EA">
        <w:t>II (</w:t>
      </w:r>
      <w:r>
        <w:t xml:space="preserve">Dokument TGP/7) </w:t>
      </w:r>
    </w:p>
    <w:p w:rsidR="00C07812" w:rsidRPr="006E6CDE" w:rsidRDefault="00C07812" w:rsidP="006E6CDE">
      <w:pPr>
        <w:numPr>
          <w:ilvl w:val="0"/>
          <w:numId w:val="12"/>
        </w:numPr>
        <w:tabs>
          <w:tab w:val="left" w:pos="1134"/>
        </w:tabs>
        <w:spacing w:line="276" w:lineRule="auto"/>
        <w:ind w:left="1134" w:hanging="567"/>
        <w:rPr>
          <w:rFonts w:cs="Arial"/>
        </w:rPr>
      </w:pPr>
      <w:r>
        <w:t>Gegenstand der Prüfungsrichtlinien, Anforderungen an das Vermehrungsmateri</w:t>
      </w:r>
      <w:r w:rsidR="00C54718">
        <w:t>al und</w:t>
      </w:r>
      <w:r w:rsidR="006E6CDE">
        <w:t xml:space="preserve"> </w:t>
      </w:r>
      <w:r w:rsidR="00C54718">
        <w:t>Durchführung der Prüfung</w:t>
      </w:r>
    </w:p>
    <w:p w:rsidR="00C07812" w:rsidRPr="00C07812" w:rsidRDefault="00C54718" w:rsidP="00C07812">
      <w:pPr>
        <w:numPr>
          <w:ilvl w:val="0"/>
          <w:numId w:val="12"/>
        </w:numPr>
        <w:tabs>
          <w:tab w:val="left" w:pos="1134"/>
        </w:tabs>
        <w:spacing w:line="276" w:lineRule="auto"/>
        <w:ind w:left="567" w:firstLine="0"/>
        <w:rPr>
          <w:rFonts w:cs="Arial"/>
        </w:rPr>
      </w:pPr>
      <w:r>
        <w:t>Form- und Farbmerkmale</w:t>
      </w:r>
    </w:p>
    <w:p w:rsidR="00C07812" w:rsidRDefault="00C54718" w:rsidP="00C07812">
      <w:pPr>
        <w:numPr>
          <w:ilvl w:val="0"/>
          <w:numId w:val="12"/>
        </w:numPr>
        <w:tabs>
          <w:tab w:val="left" w:pos="1134"/>
        </w:tabs>
        <w:spacing w:line="276" w:lineRule="auto"/>
        <w:ind w:left="567" w:firstLine="0"/>
        <w:rPr>
          <w:rFonts w:cs="Arial"/>
        </w:rPr>
      </w:pPr>
      <w:r>
        <w:t>Beispielsorten</w:t>
      </w:r>
    </w:p>
    <w:p w:rsidR="00C07812" w:rsidRPr="00C07812" w:rsidRDefault="00C07812" w:rsidP="00C07812">
      <w:pPr>
        <w:spacing w:line="276" w:lineRule="auto"/>
        <w:rPr>
          <w:rFonts w:cs="Arial"/>
        </w:rPr>
      </w:pPr>
      <w:r>
        <w:t>Webinar 4:</w:t>
      </w:r>
    </w:p>
    <w:p w:rsidR="00C07812" w:rsidRPr="00C07812" w:rsidRDefault="00C07812" w:rsidP="00C07812">
      <w:pPr>
        <w:tabs>
          <w:tab w:val="left" w:pos="1134"/>
        </w:tabs>
        <w:spacing w:line="276" w:lineRule="auto"/>
        <w:ind w:left="567"/>
        <w:rPr>
          <w:rFonts w:cs="Arial"/>
          <w:snapToGrid w:val="0"/>
          <w:color w:val="000000"/>
        </w:rPr>
      </w:pPr>
      <w:r>
        <w:rPr>
          <w:snapToGrid w:val="0"/>
          <w:color w:val="000000"/>
        </w:rPr>
        <w:t>Verfahren zur Erstellung von UPOV-Prüfungsrichtlinien:</w:t>
      </w:r>
    </w:p>
    <w:p w:rsidR="00C07812" w:rsidRPr="00C07812" w:rsidRDefault="005620EA" w:rsidP="00C07812">
      <w:pPr>
        <w:tabs>
          <w:tab w:val="left" w:pos="1134"/>
        </w:tabs>
        <w:spacing w:line="276" w:lineRule="auto"/>
        <w:ind w:left="567"/>
        <w:rPr>
          <w:rFonts w:cs="Arial"/>
        </w:rPr>
      </w:pPr>
      <w:r>
        <w:rPr>
          <w:snapToGrid w:val="0"/>
          <w:color w:val="000000"/>
        </w:rPr>
        <w:t>a)</w:t>
      </w:r>
      <w:r>
        <w:rPr>
          <w:snapToGrid w:val="0"/>
          <w:color w:val="000000"/>
        </w:rPr>
        <w:tab/>
      </w:r>
      <w:r>
        <w:t>Webbasierte</w:t>
      </w:r>
      <w:r>
        <w:rPr>
          <w:snapToGrid w:val="0"/>
          <w:color w:val="000000"/>
        </w:rPr>
        <w:t xml:space="preserve"> T</w:t>
      </w:r>
      <w:r>
        <w:t>G-Mustervorlage; Zusätzlicher Standardwortla</w:t>
      </w:r>
      <w:r w:rsidR="00C54718">
        <w:t>ut; und erläuternde Anmerkungen</w:t>
      </w:r>
    </w:p>
    <w:p w:rsidR="00C07812" w:rsidRDefault="00C07812" w:rsidP="00147A23">
      <w:pPr>
        <w:tabs>
          <w:tab w:val="left" w:pos="1134"/>
        </w:tabs>
        <w:spacing w:line="276" w:lineRule="auto"/>
        <w:ind w:left="1134" w:hanging="567"/>
        <w:rPr>
          <w:rFonts w:cs="Arial"/>
        </w:rPr>
      </w:pPr>
      <w:r>
        <w:t xml:space="preserve">b) </w:t>
      </w:r>
      <w:r w:rsidR="00147A23">
        <w:tab/>
      </w:r>
      <w:r>
        <w:t>Rolle des führenden Sachverständigen bei der Abfassung von Prüfungsrichtlinien und wie man als interessierter Sachverständiger teilnehmen kann</w:t>
      </w:r>
    </w:p>
    <w:p w:rsidR="00C07812" w:rsidRPr="00C07812" w:rsidRDefault="00C07812" w:rsidP="00C07812">
      <w:pPr>
        <w:tabs>
          <w:tab w:val="left" w:pos="567"/>
        </w:tabs>
        <w:spacing w:line="276" w:lineRule="auto"/>
        <w:rPr>
          <w:rFonts w:cs="Arial"/>
        </w:rPr>
      </w:pPr>
      <w:r>
        <w:t>Webinar 5:</w:t>
      </w:r>
    </w:p>
    <w:p w:rsidR="00C07812" w:rsidRPr="00C07812" w:rsidRDefault="00C07812" w:rsidP="00C07812">
      <w:pPr>
        <w:keepNext/>
        <w:keepLines/>
        <w:spacing w:line="276" w:lineRule="auto"/>
        <w:ind w:firstLine="567"/>
        <w:rPr>
          <w:rFonts w:cs="Arial"/>
        </w:rPr>
      </w:pPr>
      <w:r>
        <w:t>UPOV-Online-Ressourcen</w:t>
      </w:r>
    </w:p>
    <w:p w:rsidR="00C07812" w:rsidRPr="00C07812" w:rsidRDefault="00C07812" w:rsidP="00C07812">
      <w:pPr>
        <w:numPr>
          <w:ilvl w:val="2"/>
          <w:numId w:val="13"/>
        </w:numPr>
        <w:spacing w:line="276" w:lineRule="auto"/>
        <w:ind w:left="1134" w:hanging="567"/>
        <w:rPr>
          <w:rFonts w:cs="Arial"/>
        </w:rPr>
      </w:pPr>
      <w:r>
        <w:t>Gesetze der UPOV-Mitglieder:  UPOV Lex</w:t>
      </w:r>
    </w:p>
    <w:p w:rsidR="00C07812" w:rsidRPr="00C07812" w:rsidRDefault="00C07812" w:rsidP="00C07812">
      <w:pPr>
        <w:numPr>
          <w:ilvl w:val="2"/>
          <w:numId w:val="13"/>
        </w:numPr>
        <w:spacing w:line="276" w:lineRule="auto"/>
        <w:ind w:left="1134" w:hanging="567"/>
        <w:rPr>
          <w:rFonts w:cs="Arial"/>
          <w:spacing w:val="-2"/>
        </w:rPr>
      </w:pPr>
      <w:r>
        <w:t>Anträge auf Erteilung von Züchterrechten:  UPOV PRISMA Antragsinstrument für Züchterrechte</w:t>
      </w:r>
    </w:p>
    <w:p w:rsidR="00C07812" w:rsidRPr="00C07812" w:rsidRDefault="00C07812" w:rsidP="00C07812">
      <w:pPr>
        <w:numPr>
          <w:ilvl w:val="2"/>
          <w:numId w:val="13"/>
        </w:numPr>
        <w:spacing w:line="276" w:lineRule="auto"/>
        <w:ind w:left="1134" w:hanging="567"/>
        <w:rPr>
          <w:rFonts w:cs="Arial"/>
          <w:spacing w:val="-2"/>
        </w:rPr>
      </w:pPr>
      <w:r>
        <w:t>DUS-Prüfung:  GENIE-Datenbank, UPOV-Code</w:t>
      </w:r>
    </w:p>
    <w:p w:rsidR="00C07812" w:rsidRDefault="00C07812" w:rsidP="00C07812">
      <w:pPr>
        <w:numPr>
          <w:ilvl w:val="2"/>
          <w:numId w:val="13"/>
        </w:numPr>
        <w:spacing w:line="276" w:lineRule="auto"/>
        <w:ind w:left="1134" w:hanging="567"/>
        <w:rPr>
          <w:rFonts w:cs="Arial"/>
          <w:spacing w:val="-2"/>
        </w:rPr>
      </w:pPr>
      <w:r>
        <w:t>Sortenbezeichnung/Neuheit:  PLUTO-Datenbank</w:t>
      </w:r>
    </w:p>
    <w:p w:rsidR="00C07812" w:rsidRPr="00C07812" w:rsidRDefault="00C07812" w:rsidP="001F0E07">
      <w:pPr>
        <w:keepNext/>
        <w:spacing w:line="276" w:lineRule="auto"/>
        <w:rPr>
          <w:rFonts w:cs="Arial"/>
          <w:spacing w:val="-2"/>
        </w:rPr>
      </w:pPr>
      <w:r>
        <w:lastRenderedPageBreak/>
        <w:t>Webinar 6:</w:t>
      </w:r>
    </w:p>
    <w:p w:rsidR="00C07812" w:rsidRPr="00C07812" w:rsidRDefault="00C07812" w:rsidP="001F0E07">
      <w:pPr>
        <w:keepNext/>
        <w:numPr>
          <w:ilvl w:val="0"/>
          <w:numId w:val="14"/>
        </w:numPr>
        <w:ind w:left="1134" w:hanging="567"/>
        <w:contextualSpacing/>
      </w:pPr>
      <w:r>
        <w:t>Lage in der UPOV betreffend die etwaige Anwendung molekularer Verfahren in der DUS-Prüfung</w:t>
      </w:r>
    </w:p>
    <w:p w:rsidR="00C07812" w:rsidRPr="00C07812" w:rsidRDefault="00C07812" w:rsidP="001F0E07">
      <w:pPr>
        <w:keepNext/>
        <w:numPr>
          <w:ilvl w:val="0"/>
          <w:numId w:val="14"/>
        </w:numPr>
        <w:ind w:left="1134" w:hanging="567"/>
        <w:contextualSpacing/>
        <w:rPr>
          <w:rFonts w:cs="Arial"/>
        </w:rPr>
      </w:pPr>
      <w:r>
        <w:t>Der Begriff der im Wesentlichen abgeleiteten Sorten</w:t>
      </w:r>
    </w:p>
    <w:p w:rsidR="00C07812" w:rsidRPr="00C07812" w:rsidRDefault="00C07812" w:rsidP="001F0E07">
      <w:pPr>
        <w:keepNext/>
        <w:numPr>
          <w:ilvl w:val="0"/>
          <w:numId w:val="14"/>
        </w:numPr>
        <w:ind w:left="1134" w:hanging="567"/>
        <w:contextualSpacing/>
        <w:rPr>
          <w:rFonts w:cs="Arial"/>
        </w:rPr>
      </w:pPr>
      <w:r>
        <w:t>Die Rolle der UPOV bei der Sortenidentifikation</w:t>
      </w:r>
      <w:r w:rsidR="00B16CF1">
        <w:t>.</w:t>
      </w:r>
    </w:p>
    <w:p w:rsidR="00C07812" w:rsidRPr="00C07812" w:rsidRDefault="00C07812" w:rsidP="001F0E07">
      <w:pPr>
        <w:keepNext/>
        <w:rPr>
          <w:snapToGrid w:val="0"/>
        </w:rPr>
      </w:pPr>
    </w:p>
    <w:p w:rsidR="00C07812" w:rsidRPr="00C07812" w:rsidRDefault="00C07812" w:rsidP="00C07812">
      <w:pPr>
        <w:rPr>
          <w:snapToGrid w:val="0"/>
        </w:rPr>
      </w:pPr>
      <w:r w:rsidRPr="00C07812">
        <w:rPr>
          <w:snapToGrid w:val="0"/>
        </w:rPr>
        <w:fldChar w:fldCharType="begin"/>
      </w:r>
      <w:r w:rsidRPr="00C07812">
        <w:rPr>
          <w:snapToGrid w:val="0"/>
        </w:rPr>
        <w:instrText xml:space="preserve"> AUTONUM  </w:instrText>
      </w:r>
      <w:r w:rsidRPr="00C07812">
        <w:rPr>
          <w:snapToGrid w:val="0"/>
        </w:rPr>
        <w:fldChar w:fldCharType="end"/>
      </w:r>
      <w:r>
        <w:rPr>
          <w:snapToGrid w:val="0"/>
        </w:rPr>
        <w:tab/>
        <w:t>Der TC nahm zur Kenntnis, dass die Webinar-Referate aufgezeichnet und online verfügbar gemacht würden, nicht jedoch die Erörterungen</w:t>
      </w:r>
      <w:r w:rsidR="005620EA">
        <w:rPr>
          <w:snapToGrid w:val="0"/>
        </w:rPr>
        <w:t xml:space="preserve">. </w:t>
      </w:r>
      <w:r>
        <w:rPr>
          <w:snapToGrid w:val="0"/>
        </w:rPr>
        <w:t>Der TC nahm zur Kenntnis, dass das Verbandsbüro Inhalte für die Webinare bereitstellen und Sachverständige aus den Verbandsmitgliedern dazu einladen werde, als Diskussionsteilnehmer für die Erörterungen zu fungieren und praktische Beispiele zu geben</w:t>
      </w:r>
      <w:r w:rsidR="005620EA">
        <w:rPr>
          <w:snapToGrid w:val="0"/>
        </w:rPr>
        <w:t xml:space="preserve">. </w:t>
      </w:r>
    </w:p>
    <w:p w:rsidR="00C07812" w:rsidRPr="00C07812" w:rsidRDefault="00C07812" w:rsidP="00C07812">
      <w:pPr>
        <w:rPr>
          <w:snapToGrid w:val="0"/>
        </w:rPr>
      </w:pPr>
    </w:p>
    <w:p w:rsidR="00C07812" w:rsidRPr="00C07812" w:rsidRDefault="00C07812" w:rsidP="00C07812">
      <w:pPr>
        <w:rPr>
          <w:snapToGrid w:val="0"/>
        </w:rPr>
      </w:pPr>
      <w:r w:rsidRPr="00C07812">
        <w:rPr>
          <w:snapToGrid w:val="0"/>
        </w:rPr>
        <w:fldChar w:fldCharType="begin"/>
      </w:r>
      <w:r w:rsidRPr="00C07812">
        <w:rPr>
          <w:snapToGrid w:val="0"/>
        </w:rPr>
        <w:instrText xml:space="preserve"> AUTONUM  </w:instrText>
      </w:r>
      <w:r w:rsidRPr="00C07812">
        <w:rPr>
          <w:snapToGrid w:val="0"/>
        </w:rPr>
        <w:fldChar w:fldCharType="end"/>
      </w:r>
      <w:r>
        <w:rPr>
          <w:snapToGrid w:val="0"/>
        </w:rPr>
        <w:tab/>
        <w:t>Der TC nahm zur Kenntnis, dass die detaillierten Vereinbarungen betreffend die Webinare vom Verbandsbüro in Abstimmung mit den Vorsitzenden des TC und der TWP fertiggestellt würden.</w:t>
      </w:r>
    </w:p>
    <w:p w:rsidR="00C07812" w:rsidRPr="00C07812" w:rsidRDefault="00C07812" w:rsidP="00C07812">
      <w:pPr>
        <w:rPr>
          <w:rFonts w:cs="Arial"/>
        </w:rPr>
      </w:pPr>
    </w:p>
    <w:p w:rsidR="00C07812" w:rsidRPr="00C07812" w:rsidRDefault="00C07812" w:rsidP="00C07812">
      <w:pPr>
        <w:rPr>
          <w:rFonts w:cs="Arial"/>
        </w:rPr>
      </w:pPr>
      <w:r w:rsidRPr="00C07812">
        <w:rPr>
          <w:rFonts w:cs="Arial"/>
        </w:rPr>
        <w:fldChar w:fldCharType="begin"/>
      </w:r>
      <w:r w:rsidRPr="00C07812">
        <w:rPr>
          <w:rFonts w:cs="Arial"/>
        </w:rPr>
        <w:instrText xml:space="preserve"> AUTONUM  </w:instrText>
      </w:r>
      <w:r w:rsidRPr="00C07812">
        <w:rPr>
          <w:rFonts w:cs="Arial"/>
        </w:rPr>
        <w:fldChar w:fldCharType="end"/>
      </w:r>
      <w:r>
        <w:tab/>
        <w:t>Der TC nahm zur Kenntnis, dass vorbehaltlich eines Ersuchens der Veranstalter der TWP-Tagungen, Arbeitstagungen mit Präsenzteilnahme in Verbindung mit TWP-Tagungen veranstaltet werden könnten</w:t>
      </w:r>
      <w:r w:rsidR="005620EA">
        <w:t xml:space="preserve">. </w:t>
      </w:r>
      <w:r>
        <w:t>In solchen Fällen würde der Inhalt an den jeweiligen Kontext angepasst werden.</w:t>
      </w:r>
    </w:p>
    <w:p w:rsidR="00C97118" w:rsidRPr="003F5E6A" w:rsidRDefault="00C97118" w:rsidP="00195A49"/>
    <w:p w:rsidR="00195A49" w:rsidRPr="003F5E6A" w:rsidRDefault="00195A49" w:rsidP="00195A49">
      <w:pPr>
        <w:pStyle w:val="Heading1"/>
        <w:rPr>
          <w:i/>
        </w:rPr>
      </w:pPr>
      <w:bookmarkStart w:id="4" w:name="_Toc524688361"/>
      <w:bookmarkStart w:id="5" w:name="_Toc74222642"/>
      <w:r>
        <w:t xml:space="preserve">Bericht über die vorbereitenden Arbeitstagungen im </w:t>
      </w:r>
      <w:bookmarkEnd w:id="4"/>
      <w:r>
        <w:t>Jahr 2021</w:t>
      </w:r>
      <w:bookmarkEnd w:id="5"/>
    </w:p>
    <w:p w:rsidR="003F74D4" w:rsidRDefault="003F74D4" w:rsidP="003F74D4">
      <w:pPr>
        <w:jc w:val="left"/>
        <w:rPr>
          <w:snapToGrid w:val="0"/>
        </w:rPr>
      </w:pPr>
    </w:p>
    <w:p w:rsidR="003F74D4" w:rsidRPr="00CD68AC" w:rsidRDefault="00CD68AC" w:rsidP="00CD68AC">
      <w:pPr>
        <w:pStyle w:val="Heading2"/>
      </w:pPr>
      <w:bookmarkStart w:id="6" w:name="_Toc74222643"/>
      <w:r>
        <w:t>Vorbereitende Webinare</w:t>
      </w:r>
      <w:bookmarkEnd w:id="6"/>
    </w:p>
    <w:p w:rsidR="00CD68AC" w:rsidRDefault="00CD68AC" w:rsidP="003F74D4">
      <w:pPr>
        <w:jc w:val="left"/>
        <w:rPr>
          <w:snapToGrid w:val="0"/>
        </w:rPr>
      </w:pPr>
    </w:p>
    <w:p w:rsidR="00CD68AC" w:rsidRDefault="0033773D" w:rsidP="0033773D">
      <w:pPr>
        <w:rPr>
          <w:snapToGrid w:val="0"/>
        </w:rPr>
      </w:pPr>
      <w:r>
        <w:rPr>
          <w:snapToGrid w:val="0"/>
        </w:rPr>
        <w:fldChar w:fldCharType="begin"/>
      </w:r>
      <w:r>
        <w:rPr>
          <w:snapToGrid w:val="0"/>
        </w:rPr>
        <w:instrText xml:space="preserve"> AUTONUM  </w:instrText>
      </w:r>
      <w:r>
        <w:rPr>
          <w:snapToGrid w:val="0"/>
        </w:rPr>
        <w:fldChar w:fldCharType="end"/>
      </w:r>
      <w:r>
        <w:rPr>
          <w:snapToGrid w:val="0"/>
        </w:rPr>
        <w:tab/>
        <w:t>Vier vorbereitende Webinare wurden vom 19. bis 22. April 2021 durchgeführt</w:t>
      </w:r>
      <w:r w:rsidR="005620EA">
        <w:rPr>
          <w:snapToGrid w:val="0"/>
        </w:rPr>
        <w:t xml:space="preserve">. </w:t>
      </w:r>
      <w:r>
        <w:rPr>
          <w:snapToGrid w:val="0"/>
        </w:rPr>
        <w:t>Die Vorkehrungen für die Webinare wurden vom Verbandsbüro in Abstimmung mit den Vorsitzenden des TC und der TWP abgeschlossen</w:t>
      </w:r>
      <w:r w:rsidR="005620EA">
        <w:rPr>
          <w:snapToGrid w:val="0"/>
        </w:rPr>
        <w:t xml:space="preserve">. </w:t>
      </w:r>
    </w:p>
    <w:p w:rsidR="00532A66" w:rsidRDefault="00532A66" w:rsidP="0033773D">
      <w:pPr>
        <w:rPr>
          <w:snapToGrid w:val="0"/>
        </w:rPr>
      </w:pPr>
    </w:p>
    <w:p w:rsidR="00532A66" w:rsidRDefault="00532A66" w:rsidP="0033773D">
      <w:pPr>
        <w:rPr>
          <w:snapToGrid w:val="0"/>
        </w:rPr>
      </w:pPr>
      <w:r>
        <w:rPr>
          <w:snapToGrid w:val="0"/>
        </w:rPr>
        <w:fldChar w:fldCharType="begin"/>
      </w:r>
      <w:r>
        <w:rPr>
          <w:snapToGrid w:val="0"/>
        </w:rPr>
        <w:instrText xml:space="preserve"> AUTONUM  </w:instrText>
      </w:r>
      <w:r>
        <w:rPr>
          <w:snapToGrid w:val="0"/>
        </w:rPr>
        <w:fldChar w:fldCharType="end"/>
      </w:r>
      <w:r>
        <w:rPr>
          <w:snapToGrid w:val="0"/>
        </w:rPr>
        <w:tab/>
        <w:t>Der Inhalt der Webinare war wie folgt:</w:t>
      </w:r>
    </w:p>
    <w:p w:rsidR="00257210" w:rsidRDefault="00257210" w:rsidP="0033773D">
      <w:pPr>
        <w:rPr>
          <w:snapToGrid w:val="0"/>
        </w:rPr>
      </w:pPr>
    </w:p>
    <w:p w:rsidR="00257210" w:rsidRPr="00501DB4" w:rsidRDefault="00257210" w:rsidP="00501DB4">
      <w:pPr>
        <w:pStyle w:val="ListParagraph"/>
        <w:numPr>
          <w:ilvl w:val="0"/>
          <w:numId w:val="15"/>
        </w:numPr>
        <w:rPr>
          <w:rFonts w:cs="Arial"/>
          <w:color w:val="000000" w:themeColor="text1"/>
          <w:szCs w:val="18"/>
        </w:rPr>
      </w:pPr>
      <w:r>
        <w:rPr>
          <w:color w:val="000000" w:themeColor="text1"/>
        </w:rPr>
        <w:t>Webinar 1:  Wie sind die DUS-Prüfung und die internationale Zusammenarbeit zu organisieren?</w:t>
      </w:r>
    </w:p>
    <w:p w:rsidR="00257210" w:rsidRPr="00501DB4" w:rsidRDefault="00257210" w:rsidP="00501DB4">
      <w:pPr>
        <w:pStyle w:val="ListParagraph"/>
        <w:numPr>
          <w:ilvl w:val="0"/>
          <w:numId w:val="15"/>
        </w:numPr>
        <w:rPr>
          <w:rFonts w:cs="Arial"/>
          <w:color w:val="000000" w:themeColor="text1"/>
          <w:szCs w:val="18"/>
        </w:rPr>
      </w:pPr>
      <w:r>
        <w:rPr>
          <w:color w:val="000000" w:themeColor="text1"/>
        </w:rPr>
        <w:t>Webinar 2:  Internationale Harmonisierung bei der DUS-Prüfung</w:t>
      </w:r>
    </w:p>
    <w:p w:rsidR="00257210" w:rsidRPr="00501DB4" w:rsidRDefault="00257210" w:rsidP="00501DB4">
      <w:pPr>
        <w:pStyle w:val="ListParagraph"/>
        <w:numPr>
          <w:ilvl w:val="0"/>
          <w:numId w:val="15"/>
        </w:numPr>
        <w:rPr>
          <w:rFonts w:cs="Arial"/>
          <w:color w:val="000000" w:themeColor="text1"/>
          <w:szCs w:val="18"/>
        </w:rPr>
      </w:pPr>
      <w:r>
        <w:rPr>
          <w:color w:val="000000" w:themeColor="text1"/>
        </w:rPr>
        <w:t>Webinar 3:  Erstellung und Verwendung von UPOV-Prüfungsrichtlinien</w:t>
      </w:r>
    </w:p>
    <w:p w:rsidR="00257210" w:rsidRPr="00501DB4" w:rsidRDefault="00257210" w:rsidP="00501DB4">
      <w:pPr>
        <w:pStyle w:val="ListParagraph"/>
        <w:numPr>
          <w:ilvl w:val="0"/>
          <w:numId w:val="15"/>
        </w:numPr>
        <w:rPr>
          <w:snapToGrid w:val="0"/>
          <w:sz w:val="22"/>
        </w:rPr>
      </w:pPr>
      <w:r>
        <w:rPr>
          <w:color w:val="000000" w:themeColor="text1"/>
        </w:rPr>
        <w:t>Webinar 4:  Verwendung molekularer Marker bei der DUS-Prüfung und die Rolle der BMT</w:t>
      </w:r>
    </w:p>
    <w:p w:rsidR="003F74D4" w:rsidRDefault="003F74D4" w:rsidP="0033773D">
      <w:pPr>
        <w:rPr>
          <w:snapToGrid w:val="0"/>
        </w:rPr>
      </w:pPr>
    </w:p>
    <w:p w:rsidR="003F74D4" w:rsidRDefault="002358E3" w:rsidP="003F74D4">
      <w:pPr>
        <w:rPr>
          <w:rFonts w:cs="Arial"/>
        </w:rPr>
      </w:pPr>
      <w:r>
        <w:rPr>
          <w:rFonts w:cs="Arial"/>
        </w:rPr>
        <w:fldChar w:fldCharType="begin"/>
      </w:r>
      <w:r>
        <w:rPr>
          <w:rFonts w:cs="Arial"/>
        </w:rPr>
        <w:instrText xml:space="preserve"> AUTONUM  </w:instrText>
      </w:r>
      <w:r>
        <w:rPr>
          <w:rFonts w:cs="Arial"/>
        </w:rPr>
        <w:fldChar w:fldCharType="end"/>
      </w:r>
      <w:r>
        <w:tab/>
      </w:r>
      <w:r w:rsidR="005620EA">
        <w:t xml:space="preserve">Videoaufzeichnungen der Webinare, mit Ausnahme der Sitzungen für die Erörterungen, werden auf der UPOV-Webseite </w:t>
      </w:r>
      <w:hyperlink r:id="rId9" w:history="1">
        <w:r w:rsidR="005620EA">
          <w:rPr>
            <w:rStyle w:val="Hyperlink"/>
          </w:rPr>
          <w:t>(</w:t>
        </w:r>
      </w:hyperlink>
      <w:r w:rsidR="005620EA">
        <w:rPr>
          <w:rStyle w:val="Hyperlink"/>
        </w:rPr>
        <w:t>https://www.upov.int/meetings/en/webinar_videos.html)</w:t>
      </w:r>
      <w:r w:rsidR="005620EA">
        <w:t xml:space="preserve"> für jede TWP-Sitzung im Jahr 2021 und auf dem UPOV-Youtube-Kanal </w:t>
      </w:r>
      <w:hyperlink r:id="rId10" w:history="1">
        <w:r w:rsidR="005620EA">
          <w:rPr>
            <w:rStyle w:val="Hyperlink"/>
          </w:rPr>
          <w:t>(https://www.youtube.com/user/upov</w:t>
        </w:r>
      </w:hyperlink>
      <w:r w:rsidR="005620EA">
        <w:t xml:space="preserve">) zur Verfügung gestellt. </w:t>
      </w:r>
      <w:r>
        <w:t>Der UPOV-Youtube-Kanal bietet die Möglichkeit, die Videos in der Funktion „</w:t>
      </w:r>
      <w:r w:rsidR="00147A23">
        <w:t>Untertitel abschalten“</w:t>
      </w:r>
      <w:r>
        <w:t xml:space="preserve"> anzusehen und Transkription und Untertitel können automatisch in verschiedenen Sprachen generiert werden</w:t>
      </w:r>
      <w:r w:rsidR="005620EA">
        <w:t xml:space="preserve">. </w:t>
      </w:r>
    </w:p>
    <w:p w:rsidR="00D16E64" w:rsidRDefault="00D16E64" w:rsidP="003F74D4">
      <w:pPr>
        <w:rPr>
          <w:rFonts w:cs="Arial"/>
        </w:rPr>
      </w:pPr>
    </w:p>
    <w:p w:rsidR="003F74D4" w:rsidRDefault="00C6479F" w:rsidP="003F74D4">
      <w:pPr>
        <w:rPr>
          <w:rFonts w:cs="Arial"/>
        </w:rPr>
      </w:pPr>
      <w:r>
        <w:rPr>
          <w:rFonts w:cs="Arial"/>
        </w:rPr>
        <w:fldChar w:fldCharType="begin"/>
      </w:r>
      <w:r>
        <w:rPr>
          <w:rFonts w:cs="Arial"/>
        </w:rPr>
        <w:instrText xml:space="preserve"> AUTONUM  </w:instrText>
      </w:r>
      <w:r>
        <w:rPr>
          <w:rFonts w:cs="Arial"/>
        </w:rPr>
        <w:fldChar w:fldCharType="end"/>
      </w:r>
      <w:r>
        <w:tab/>
        <w:t>Bis zum 31. Mai 2021 wurde folgende Anzahl an Aufrufen verzeichnet:</w:t>
      </w:r>
    </w:p>
    <w:p w:rsidR="00D16E64" w:rsidRDefault="00D16E64" w:rsidP="003F74D4">
      <w:pPr>
        <w:rPr>
          <w:rFonts w:cs="Arial"/>
        </w:rPr>
      </w:pPr>
    </w:p>
    <w:p w:rsidR="00D16E64" w:rsidRDefault="00D16E64" w:rsidP="003F74D4">
      <w:pPr>
        <w:rPr>
          <w:rFonts w:cs="Arial"/>
        </w:rPr>
      </w:pPr>
      <w:r>
        <w:t>UPOV TWP-Webseiten:</w:t>
      </w:r>
    </w:p>
    <w:p w:rsidR="00D16E64" w:rsidRDefault="00D16E64" w:rsidP="003F74D4">
      <w:pPr>
        <w:rPr>
          <w:rFonts w:cs="Arial"/>
        </w:rPr>
      </w:pPr>
    </w:p>
    <w:tbl>
      <w:tblPr>
        <w:tblW w:w="0" w:type="auto"/>
        <w:jc w:val="center"/>
        <w:tblCellMar>
          <w:left w:w="0" w:type="dxa"/>
          <w:right w:w="0" w:type="dxa"/>
        </w:tblCellMar>
        <w:tblLook w:val="04A0" w:firstRow="1" w:lastRow="0" w:firstColumn="1" w:lastColumn="0" w:noHBand="0" w:noVBand="1"/>
      </w:tblPr>
      <w:tblGrid>
        <w:gridCol w:w="2088"/>
        <w:gridCol w:w="1980"/>
      </w:tblGrid>
      <w:tr w:rsidR="00D16E64" w:rsidTr="000A724C">
        <w:trPr>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16E64" w:rsidRDefault="00D16E64" w:rsidP="000A724C">
            <w:pPr>
              <w:jc w:val="center"/>
            </w:pPr>
            <w:r>
              <w:t>Seitenaufrufe</w:t>
            </w:r>
          </w:p>
          <w:p w:rsidR="00D16E64" w:rsidRDefault="00D16E64" w:rsidP="000A724C">
            <w:pPr>
              <w:jc w:val="cente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6E64" w:rsidRDefault="00D16E64" w:rsidP="000A724C">
            <w:pPr>
              <w:jc w:val="center"/>
            </w:pPr>
            <w:r>
              <w:t>Einzelseitenaufrufe</w:t>
            </w:r>
          </w:p>
        </w:tc>
      </w:tr>
      <w:tr w:rsidR="00D16E64" w:rsidTr="000A724C">
        <w:trPr>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6E64" w:rsidRDefault="00D16E64" w:rsidP="000A724C">
            <w:pPr>
              <w:jc w:val="center"/>
            </w:pPr>
            <w:r>
              <w:t>254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16E64" w:rsidRDefault="00D16E64" w:rsidP="000A724C">
            <w:pPr>
              <w:jc w:val="center"/>
            </w:pPr>
            <w:r>
              <w:t>210</w:t>
            </w:r>
          </w:p>
        </w:tc>
      </w:tr>
    </w:tbl>
    <w:p w:rsidR="00D16E64" w:rsidRDefault="00D16E64" w:rsidP="003F74D4">
      <w:pPr>
        <w:rPr>
          <w:rFonts w:cs="Arial"/>
        </w:rPr>
      </w:pPr>
    </w:p>
    <w:p w:rsidR="003F74D4" w:rsidRDefault="00D16E64" w:rsidP="003F74D4">
      <w:r>
        <w:t>UPOV YouTube-Kanal:</w:t>
      </w:r>
    </w:p>
    <w:p w:rsidR="00D16E64" w:rsidRDefault="00D16E64" w:rsidP="003F74D4"/>
    <w:tbl>
      <w:tblPr>
        <w:tblW w:w="0" w:type="auto"/>
        <w:jc w:val="center"/>
        <w:tblCellMar>
          <w:left w:w="0" w:type="dxa"/>
          <w:right w:w="0" w:type="dxa"/>
        </w:tblCellMar>
        <w:tblLook w:val="04A0" w:firstRow="1" w:lastRow="0" w:firstColumn="1" w:lastColumn="0" w:noHBand="0" w:noVBand="1"/>
      </w:tblPr>
      <w:tblGrid>
        <w:gridCol w:w="3285"/>
        <w:gridCol w:w="1863"/>
        <w:gridCol w:w="1890"/>
      </w:tblGrid>
      <w:tr w:rsidR="003F74D4" w:rsidTr="00FE5230">
        <w:trPr>
          <w:jc w:val="center"/>
        </w:trPr>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F74D4" w:rsidRDefault="003F74D4" w:rsidP="002E26E9">
            <w:r>
              <w:t>Webinar</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F74D4" w:rsidRDefault="003F74D4" w:rsidP="00FE5230">
            <w:pPr>
              <w:jc w:val="center"/>
            </w:pPr>
            <w:r>
              <w:t>Ansichten insgesamt</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F74D4" w:rsidRDefault="00C54718" w:rsidP="00FE5230">
            <w:pPr>
              <w:jc w:val="center"/>
            </w:pPr>
            <w:r>
              <w:t xml:space="preserve">Ohne Untertitel </w:t>
            </w:r>
            <w:r w:rsidR="00FE5230">
              <w:t>/Untertitel</w:t>
            </w:r>
          </w:p>
        </w:tc>
      </w:tr>
      <w:tr w:rsidR="003F74D4" w:rsidTr="00FE523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4D4" w:rsidRDefault="003F74D4" w:rsidP="002E26E9">
            <w:r>
              <w:t>TWP Webinar 1</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3F74D4" w:rsidRDefault="003F74D4" w:rsidP="00FE5230">
            <w:pPr>
              <w:jc w:val="center"/>
            </w:pPr>
            <w:r>
              <w:t>178</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3F74D4" w:rsidRDefault="003F74D4" w:rsidP="00FE5230">
            <w:pPr>
              <w:jc w:val="center"/>
            </w:pPr>
            <w:r>
              <w:t>59 (EN)</w:t>
            </w:r>
          </w:p>
        </w:tc>
      </w:tr>
      <w:tr w:rsidR="003F74D4" w:rsidTr="00FE523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4D4" w:rsidRDefault="003F74D4" w:rsidP="002E26E9">
            <w:r>
              <w:t>TWP Webinar 2</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3F74D4" w:rsidRDefault="003F74D4" w:rsidP="00FE5230">
            <w:pPr>
              <w:jc w:val="center"/>
            </w:pPr>
            <w:r>
              <w:t>47</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3F74D4" w:rsidRDefault="003F74D4" w:rsidP="00FE5230">
            <w:pPr>
              <w:jc w:val="center"/>
            </w:pPr>
            <w:r>
              <w:t>8 (EN)</w:t>
            </w:r>
          </w:p>
        </w:tc>
      </w:tr>
      <w:tr w:rsidR="003F74D4" w:rsidTr="00FE523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4D4" w:rsidRDefault="003F74D4" w:rsidP="002E26E9">
            <w:r>
              <w:t>TWP Webinar 3</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3F74D4" w:rsidRDefault="003F74D4" w:rsidP="00FE5230">
            <w:pPr>
              <w:jc w:val="center"/>
            </w:pPr>
            <w:r>
              <w:t>25</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3F74D4" w:rsidRDefault="003F74D4" w:rsidP="00FE5230">
            <w:pPr>
              <w:jc w:val="center"/>
            </w:pPr>
            <w:r>
              <w:t>Keine</w:t>
            </w:r>
          </w:p>
        </w:tc>
      </w:tr>
      <w:tr w:rsidR="003F74D4" w:rsidTr="00FE5230">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F74D4" w:rsidRDefault="003F74D4" w:rsidP="002E26E9">
            <w:r>
              <w:t>TWP Webinar 4</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3F74D4" w:rsidRDefault="003F74D4" w:rsidP="00FE5230">
            <w:pPr>
              <w:jc w:val="center"/>
            </w:pPr>
            <w:r>
              <w:t>32</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3F74D4" w:rsidRDefault="003F74D4" w:rsidP="00FE5230">
            <w:pPr>
              <w:jc w:val="center"/>
            </w:pPr>
            <w:r>
              <w:t>4 (EN)</w:t>
            </w:r>
          </w:p>
        </w:tc>
      </w:tr>
    </w:tbl>
    <w:p w:rsidR="00FE5230" w:rsidRDefault="00FE5230" w:rsidP="00FE5230">
      <w:pPr>
        <w:rPr>
          <w:rFonts w:eastAsiaTheme="minorHAnsi" w:cs="Arial"/>
        </w:rPr>
      </w:pPr>
    </w:p>
    <w:p w:rsidR="00FE5230" w:rsidRDefault="00FE5230" w:rsidP="00FE5230">
      <w:pPr>
        <w:rPr>
          <w:rFonts w:cs="Arial"/>
        </w:rPr>
      </w:pPr>
      <w:r>
        <w:rPr>
          <w:rFonts w:eastAsiaTheme="minorHAnsi" w:cs="Arial"/>
        </w:rPr>
        <w:fldChar w:fldCharType="begin"/>
      </w:r>
      <w:r>
        <w:rPr>
          <w:rFonts w:eastAsiaTheme="minorHAnsi" w:cs="Arial"/>
        </w:rPr>
        <w:instrText xml:space="preserve"> AUTONUM  </w:instrText>
      </w:r>
      <w:r>
        <w:rPr>
          <w:rFonts w:eastAsiaTheme="minorHAnsi" w:cs="Arial"/>
        </w:rPr>
        <w:fldChar w:fldCharType="end"/>
      </w:r>
      <w:r w:rsidR="00B16CF1">
        <w:tab/>
        <w:t>Über d</w:t>
      </w:r>
      <w:r>
        <w:t>ie Verfügbarkeit von Webinaren wird über die UPOV TWP-Webseiten un</w:t>
      </w:r>
      <w:r w:rsidR="00B16CF1">
        <w:t>d über soziale Medien informiert</w:t>
      </w:r>
      <w:r>
        <w:t xml:space="preserve">. </w:t>
      </w:r>
    </w:p>
    <w:p w:rsidR="003F74D4" w:rsidRPr="00831EF9" w:rsidRDefault="003F74D4" w:rsidP="00195A49"/>
    <w:p w:rsidR="003F74D4" w:rsidRPr="003F5E6A" w:rsidRDefault="003F74D4" w:rsidP="00195A49"/>
    <w:p w:rsidR="00195A49" w:rsidRPr="003F5E6A" w:rsidRDefault="00195A49" w:rsidP="00D31BFA">
      <w:pPr>
        <w:pStyle w:val="Heading1"/>
        <w:keepLines/>
        <w:rPr>
          <w:i/>
        </w:rPr>
      </w:pPr>
      <w:bookmarkStart w:id="7" w:name="_Toc524688363"/>
      <w:bookmarkStart w:id="8" w:name="_Toc74222644"/>
      <w:r>
        <w:lastRenderedPageBreak/>
        <w:t>Programm und Format für die vorbereitenden Arbeiten im Jahr 2022</w:t>
      </w:r>
      <w:bookmarkEnd w:id="7"/>
      <w:bookmarkEnd w:id="8"/>
    </w:p>
    <w:p w:rsidR="00195A49" w:rsidRDefault="00195A49" w:rsidP="00D31BFA">
      <w:pPr>
        <w:keepNext/>
        <w:keepLines/>
        <w:rPr>
          <w:snapToGrid w:val="0"/>
        </w:rPr>
      </w:pPr>
    </w:p>
    <w:p w:rsidR="00195A49" w:rsidRPr="003F5E6A" w:rsidRDefault="00195A49" w:rsidP="00D31BFA">
      <w:pPr>
        <w:pStyle w:val="Heading2"/>
        <w:keepLines/>
      </w:pPr>
      <w:bookmarkStart w:id="9" w:name="_Toc74222645"/>
      <w:r>
        <w:t>Vorschlag</w:t>
      </w:r>
      <w:bookmarkEnd w:id="9"/>
    </w:p>
    <w:p w:rsidR="00195A49" w:rsidRPr="003F5E6A" w:rsidRDefault="00195A49" w:rsidP="00D31BFA">
      <w:pPr>
        <w:keepNext/>
        <w:keepLines/>
        <w:rPr>
          <w:snapToGrid w:val="0"/>
        </w:rPr>
      </w:pPr>
    </w:p>
    <w:p w:rsidR="00195A49" w:rsidRPr="003F5E6A" w:rsidRDefault="00195A49" w:rsidP="00D31BFA">
      <w:pPr>
        <w:keepNext/>
        <w:keepLines/>
        <w:rPr>
          <w:snapToGrid w:val="0"/>
        </w:rPr>
      </w:pPr>
      <w:r w:rsidRPr="003F5E6A">
        <w:rPr>
          <w:snapToGrid w:val="0"/>
        </w:rPr>
        <w:fldChar w:fldCharType="begin"/>
      </w:r>
      <w:r w:rsidRPr="003F5E6A">
        <w:rPr>
          <w:snapToGrid w:val="0"/>
        </w:rPr>
        <w:instrText xml:space="preserve"> AUTONUM  </w:instrText>
      </w:r>
      <w:r w:rsidRPr="003F5E6A">
        <w:rPr>
          <w:snapToGrid w:val="0"/>
        </w:rPr>
        <w:fldChar w:fldCharType="end"/>
      </w:r>
      <w:r>
        <w:rPr>
          <w:snapToGrid w:val="0"/>
        </w:rPr>
        <w:tab/>
        <w:t>Es wird vorgeschlagen, dass die vorbereitenden Arbeitstagungen im Jahr 2022 als Webinare zu geeigneten Terminen gemäß dem Zeitplan der TWP-Tagungen organisiert werden</w:t>
      </w:r>
      <w:r w:rsidR="005620EA">
        <w:rPr>
          <w:snapToGrid w:val="0"/>
        </w:rPr>
        <w:t xml:space="preserve">. </w:t>
      </w:r>
      <w:r>
        <w:rPr>
          <w:snapToGrid w:val="0"/>
        </w:rPr>
        <w:t>Die Webinar-Präsentationen und Podiumsdiskussionen werden aufgezeichnet und online zur Verfügung gestellt</w:t>
      </w:r>
      <w:r w:rsidR="005620EA">
        <w:rPr>
          <w:snapToGrid w:val="0"/>
        </w:rPr>
        <w:t xml:space="preserve">. </w:t>
      </w:r>
      <w:r>
        <w:rPr>
          <w:snapToGrid w:val="0"/>
        </w:rPr>
        <w:t xml:space="preserve">Die Session zu Fragen und Antworten wird nicht aufgezeichnet und/oder online zur Verfügung gestellt werden. </w:t>
      </w:r>
    </w:p>
    <w:p w:rsidR="00195A49" w:rsidRPr="003F5E6A" w:rsidRDefault="00195A49" w:rsidP="00195A49">
      <w:pPr>
        <w:rPr>
          <w:snapToGrid w:val="0"/>
        </w:rPr>
      </w:pPr>
    </w:p>
    <w:p w:rsidR="00195A49" w:rsidRPr="003F5E6A" w:rsidRDefault="00195A49" w:rsidP="00195A49">
      <w:pPr>
        <w:rPr>
          <w:snapToGrid w:val="0"/>
        </w:rPr>
      </w:pPr>
      <w:r w:rsidRPr="003F5E6A">
        <w:rPr>
          <w:snapToGrid w:val="0"/>
        </w:rPr>
        <w:fldChar w:fldCharType="begin"/>
      </w:r>
      <w:r w:rsidRPr="003F5E6A">
        <w:rPr>
          <w:snapToGrid w:val="0"/>
        </w:rPr>
        <w:instrText xml:space="preserve"> AUTONUM  </w:instrText>
      </w:r>
      <w:r w:rsidRPr="003F5E6A">
        <w:rPr>
          <w:snapToGrid w:val="0"/>
        </w:rPr>
        <w:fldChar w:fldCharType="end"/>
      </w:r>
      <w:r>
        <w:rPr>
          <w:snapToGrid w:val="0"/>
        </w:rPr>
        <w:tab/>
        <w:t>Sachverständige aus den Reihen der Verbandsmitglieder werden eingeladen, Referate zu ausgewählten Inhalten zu halten und sich als Diskussionsteilnehmer zu beteiligen</w:t>
      </w:r>
      <w:r w:rsidR="005620EA">
        <w:rPr>
          <w:snapToGrid w:val="0"/>
        </w:rPr>
        <w:t xml:space="preserve">. </w:t>
      </w:r>
    </w:p>
    <w:p w:rsidR="00D31BFA" w:rsidRPr="00C07812" w:rsidRDefault="00D31BFA" w:rsidP="00D31BFA">
      <w:pPr>
        <w:rPr>
          <w:snapToGrid w:val="0"/>
        </w:rPr>
      </w:pPr>
    </w:p>
    <w:p w:rsidR="00D31BFA" w:rsidRPr="00C07812" w:rsidRDefault="00D31BFA" w:rsidP="00D31BFA">
      <w:pPr>
        <w:rPr>
          <w:snapToGrid w:val="0"/>
        </w:rPr>
      </w:pPr>
      <w:r w:rsidRPr="00C07812">
        <w:rPr>
          <w:snapToGrid w:val="0"/>
        </w:rPr>
        <w:fldChar w:fldCharType="begin"/>
      </w:r>
      <w:r w:rsidRPr="00C07812">
        <w:rPr>
          <w:snapToGrid w:val="0"/>
        </w:rPr>
        <w:instrText xml:space="preserve"> AUTONUM  </w:instrText>
      </w:r>
      <w:r w:rsidRPr="00C07812">
        <w:rPr>
          <w:snapToGrid w:val="0"/>
        </w:rPr>
        <w:fldChar w:fldCharType="end"/>
      </w:r>
      <w:r>
        <w:rPr>
          <w:snapToGrid w:val="0"/>
        </w:rPr>
        <w:tab/>
        <w:t>Die detaillierten Vorkehrungen betreffend die Webinare werden vom Verbandsbüro in Abstimmung mit den Vorsitzenden des TC und der TWP fertiggestellt.</w:t>
      </w:r>
    </w:p>
    <w:p w:rsidR="00195A49" w:rsidRPr="003F5E6A" w:rsidRDefault="00195A49" w:rsidP="00195A49">
      <w:pPr>
        <w:rPr>
          <w:rFonts w:cs="Arial"/>
        </w:rPr>
      </w:pPr>
    </w:p>
    <w:p w:rsidR="00D31BFA" w:rsidRPr="00C07812" w:rsidRDefault="00B556C8" w:rsidP="00D31BFA">
      <w:pPr>
        <w:rPr>
          <w:rFonts w:cs="Arial"/>
        </w:rPr>
      </w:pPr>
      <w:r w:rsidRPr="003F5E6A">
        <w:fldChar w:fldCharType="begin"/>
      </w:r>
      <w:r w:rsidRPr="003F5E6A">
        <w:instrText xml:space="preserve"> AUTONUM  </w:instrText>
      </w:r>
      <w:r w:rsidRPr="003F5E6A">
        <w:fldChar w:fldCharType="end"/>
      </w:r>
      <w:r>
        <w:tab/>
        <w:t>Vorbehaltlich eines Ersuchens der Veranstalter der TWP-Tagungen könnten Arbeitstagungen mit Präsenzteilnahme in Verbindung mit den TWP-Tagungen veranstaltet werden</w:t>
      </w:r>
      <w:r w:rsidR="005620EA">
        <w:t xml:space="preserve">. </w:t>
      </w:r>
      <w:r>
        <w:t>In solchen Fällen würde der Inhalt an den jeweiligen Kontext angepasst werden.</w:t>
      </w:r>
    </w:p>
    <w:p w:rsidR="00B556C8" w:rsidRDefault="00B556C8" w:rsidP="00195A49">
      <w:pPr>
        <w:rPr>
          <w:rFonts w:eastAsiaTheme="minorHAnsi" w:cs="Arial"/>
        </w:rPr>
      </w:pPr>
    </w:p>
    <w:p w:rsidR="003F74D4" w:rsidRPr="003F5E6A" w:rsidRDefault="003F74D4" w:rsidP="008F3E73">
      <w:pPr>
        <w:pStyle w:val="DecisionParagraphs"/>
        <w:keepNext/>
        <w:keepLines/>
        <w:rPr>
          <w:rFonts w:cs="Arial"/>
        </w:rPr>
      </w:pPr>
      <w:r w:rsidRPr="003F5E6A">
        <w:rPr>
          <w:rFonts w:cs="Arial"/>
          <w:i w:val="0"/>
        </w:rPr>
        <w:fldChar w:fldCharType="begin"/>
      </w:r>
      <w:r w:rsidRPr="003F5E6A">
        <w:rPr>
          <w:rFonts w:cs="Arial"/>
        </w:rPr>
        <w:instrText xml:space="preserve"> AUTONUM  </w:instrText>
      </w:r>
      <w:r w:rsidRPr="003F5E6A">
        <w:rPr>
          <w:rFonts w:cs="Arial"/>
          <w:i w:val="0"/>
        </w:rPr>
        <w:fldChar w:fldCharType="end"/>
      </w:r>
      <w:r>
        <w:tab/>
        <w:t xml:space="preserve">Der TC wird ersucht </w:t>
      </w:r>
      <w:r>
        <w:rPr>
          <w:snapToGrid w:val="0"/>
        </w:rPr>
        <w:t xml:space="preserve">zu prüfen, ob vorbereitende Arbeitstagungen als eine Reihe von Webinaren veranstaltet werden sollen, die zu geeigneten Terminen gemäß dem Zeitplan der TWP-Tagungen im Jahr 2022 in Verbindung mit </w:t>
      </w:r>
      <w:r>
        <w:t>Arbeitstagungen mit Präsenzteilnahme,</w:t>
      </w:r>
      <w:r>
        <w:rPr>
          <w:snapToGrid w:val="0"/>
        </w:rPr>
        <w:t xml:space="preserve"> sofern darum ersucht wird, durchgeführt werden sollen, wie in den</w:t>
      </w:r>
      <w:r w:rsidR="006E6CDE">
        <w:rPr>
          <w:snapToGrid w:val="0"/>
        </w:rPr>
        <w:t xml:space="preserve"> Absätzen 20 bis </w:t>
      </w:r>
      <w:r>
        <w:rPr>
          <w:snapToGrid w:val="0"/>
        </w:rPr>
        <w:t>21 dieses Dokuments dargelegt.</w:t>
      </w:r>
    </w:p>
    <w:p w:rsidR="00195A49" w:rsidRDefault="00195A49" w:rsidP="00195A49">
      <w:pPr>
        <w:jc w:val="left"/>
        <w:rPr>
          <w:snapToGrid w:val="0"/>
        </w:rPr>
      </w:pPr>
    </w:p>
    <w:p w:rsidR="0095641A" w:rsidRDefault="0095641A" w:rsidP="00195A49">
      <w:pPr>
        <w:jc w:val="left"/>
        <w:rPr>
          <w:snapToGrid w:val="0"/>
        </w:rPr>
      </w:pPr>
    </w:p>
    <w:p w:rsidR="0095641A" w:rsidRDefault="0095641A" w:rsidP="00195A49">
      <w:pPr>
        <w:jc w:val="left"/>
        <w:rPr>
          <w:snapToGrid w:val="0"/>
        </w:rPr>
      </w:pPr>
    </w:p>
    <w:p w:rsidR="00A415E5" w:rsidRDefault="00A415E5" w:rsidP="00A415E5">
      <w:pPr>
        <w:jc w:val="right"/>
        <w:rPr>
          <w:snapToGrid w:val="0"/>
        </w:rPr>
      </w:pPr>
      <w:r>
        <w:rPr>
          <w:snapToGrid w:val="0"/>
        </w:rPr>
        <w:t>[Anlage folgt]</w:t>
      </w:r>
    </w:p>
    <w:p w:rsidR="0095641A" w:rsidRDefault="0095641A" w:rsidP="00195A49">
      <w:pPr>
        <w:jc w:val="left"/>
        <w:rPr>
          <w:snapToGrid w:val="0"/>
        </w:rPr>
      </w:pPr>
    </w:p>
    <w:p w:rsidR="0095641A" w:rsidRDefault="0095641A" w:rsidP="00195A49">
      <w:pPr>
        <w:jc w:val="left"/>
        <w:rPr>
          <w:snapToGrid w:val="0"/>
        </w:rPr>
        <w:sectPr w:rsidR="0095641A" w:rsidSect="0004198B">
          <w:headerReference w:type="default" r:id="rId11"/>
          <w:pgSz w:w="11907" w:h="16840" w:code="9"/>
          <w:pgMar w:top="510" w:right="1134" w:bottom="1134" w:left="1134" w:header="510" w:footer="680" w:gutter="0"/>
          <w:pgNumType w:start="1"/>
          <w:cols w:space="720"/>
          <w:titlePg/>
        </w:sectPr>
      </w:pPr>
    </w:p>
    <w:p w:rsidR="0095641A" w:rsidRPr="0095641A" w:rsidRDefault="0095641A" w:rsidP="0095641A">
      <w:pPr>
        <w:jc w:val="center"/>
        <w:outlineLvl w:val="0"/>
        <w:rPr>
          <w:rFonts w:cs="Arial"/>
          <w:caps/>
        </w:rPr>
      </w:pPr>
      <w:bookmarkStart w:id="10" w:name="_Toc74222646"/>
      <w:r>
        <w:rPr>
          <w:caps/>
        </w:rPr>
        <w:lastRenderedPageBreak/>
        <w:t xml:space="preserve">PROGRAMM FÜR DIE VORBEREITENDEN </w:t>
      </w:r>
      <w:r w:rsidR="005620EA">
        <w:rPr>
          <w:caps/>
        </w:rPr>
        <w:t>WEBINARE IM</w:t>
      </w:r>
      <w:r>
        <w:rPr>
          <w:caps/>
        </w:rPr>
        <w:t xml:space="preserve"> JAHR 2021</w:t>
      </w:r>
      <w:bookmarkEnd w:id="10"/>
    </w:p>
    <w:p w:rsidR="0095641A" w:rsidRPr="0095641A" w:rsidRDefault="0095641A" w:rsidP="0095641A">
      <w:pPr>
        <w:spacing w:line="276" w:lineRule="auto"/>
        <w:rPr>
          <w:rFonts w:cs="Arial"/>
          <w:sz w:val="16"/>
        </w:rPr>
      </w:pPr>
    </w:p>
    <w:p w:rsidR="0095641A" w:rsidRPr="0095641A" w:rsidRDefault="0095641A" w:rsidP="006E6CDE">
      <w:pPr>
        <w:rPr>
          <w:rFonts w:cs="Arial"/>
        </w:rPr>
      </w:pPr>
      <w:r>
        <w:t>Die vorbereitenden Webinare, die 2021 abgehalten wurden, bestanden aus Referaten, gefolgt von einer Podiumsdiskussion und einer Session zu Fragen und Antworten</w:t>
      </w:r>
      <w:r w:rsidR="005620EA">
        <w:t xml:space="preserve">. </w:t>
      </w:r>
      <w:r>
        <w:t xml:space="preserve">Die folgenden Inhalte wurden vorgestellt:  </w:t>
      </w:r>
    </w:p>
    <w:p w:rsidR="0095641A" w:rsidRPr="0095641A" w:rsidRDefault="0095641A" w:rsidP="0095641A">
      <w:pPr>
        <w:spacing w:line="276" w:lineRule="auto"/>
        <w:rPr>
          <w:rFonts w:cs="Arial"/>
          <w:sz w:val="16"/>
        </w:rPr>
      </w:pPr>
    </w:p>
    <w:tbl>
      <w:tblPr>
        <w:tblStyle w:val="TableGrid"/>
        <w:tblW w:w="10207" w:type="dxa"/>
        <w:tblInd w:w="-289" w:type="dxa"/>
        <w:tblLook w:val="04A0" w:firstRow="1" w:lastRow="0" w:firstColumn="1" w:lastColumn="0" w:noHBand="0" w:noVBand="1"/>
      </w:tblPr>
      <w:tblGrid>
        <w:gridCol w:w="6663"/>
        <w:gridCol w:w="2790"/>
        <w:gridCol w:w="754"/>
      </w:tblGrid>
      <w:tr w:rsidR="0095641A" w:rsidRPr="004E51E2" w:rsidTr="006E6CDE">
        <w:tc>
          <w:tcPr>
            <w:tcW w:w="6663" w:type="dxa"/>
          </w:tcPr>
          <w:p w:rsidR="0095641A" w:rsidRPr="004E51E2" w:rsidRDefault="0095641A" w:rsidP="0095641A">
            <w:pPr>
              <w:spacing w:line="276" w:lineRule="auto"/>
              <w:jc w:val="left"/>
              <w:rPr>
                <w:color w:val="000000" w:themeColor="text1"/>
                <w:sz w:val="18"/>
                <w:szCs w:val="18"/>
              </w:rPr>
            </w:pPr>
            <w:r>
              <w:rPr>
                <w:color w:val="000000" w:themeColor="text1"/>
                <w:sz w:val="18"/>
              </w:rPr>
              <w:t>19. April 2021:  Webinar 1:  Wie sind die DUS-Prüfung und die internationale Zusammenarbeit zu organisieren?</w:t>
            </w:r>
          </w:p>
          <w:p w:rsidR="0095641A" w:rsidRPr="0095641A" w:rsidRDefault="0095641A" w:rsidP="0095641A">
            <w:pPr>
              <w:spacing w:line="276" w:lineRule="auto"/>
              <w:jc w:val="left"/>
              <w:rPr>
                <w:color w:val="000000" w:themeColor="text1"/>
                <w:sz w:val="18"/>
                <w:szCs w:val="18"/>
              </w:rPr>
            </w:pPr>
          </w:p>
        </w:tc>
        <w:tc>
          <w:tcPr>
            <w:tcW w:w="2790" w:type="dxa"/>
          </w:tcPr>
          <w:p w:rsidR="0095641A" w:rsidRPr="0095641A" w:rsidRDefault="0095641A" w:rsidP="0095641A">
            <w:pPr>
              <w:spacing w:line="276" w:lineRule="auto"/>
              <w:jc w:val="left"/>
              <w:rPr>
                <w:color w:val="000000" w:themeColor="text1"/>
                <w:sz w:val="18"/>
                <w:szCs w:val="18"/>
              </w:rPr>
            </w:pPr>
            <w:r>
              <w:rPr>
                <w:color w:val="000000" w:themeColor="text1"/>
                <w:sz w:val="18"/>
              </w:rPr>
              <w:t>Moderatoren / Diskussionsteilnehmer</w:t>
            </w:r>
          </w:p>
          <w:p w:rsidR="0095641A" w:rsidRPr="0095641A" w:rsidRDefault="0095641A" w:rsidP="0095641A">
            <w:pPr>
              <w:spacing w:line="276" w:lineRule="auto"/>
              <w:jc w:val="left"/>
              <w:rPr>
                <w:color w:val="000000" w:themeColor="text1"/>
                <w:sz w:val="18"/>
                <w:szCs w:val="18"/>
              </w:rPr>
            </w:pPr>
          </w:p>
        </w:tc>
        <w:tc>
          <w:tcPr>
            <w:tcW w:w="754" w:type="dxa"/>
          </w:tcPr>
          <w:p w:rsidR="0095641A" w:rsidRPr="0095641A" w:rsidRDefault="0095641A" w:rsidP="0095641A">
            <w:pPr>
              <w:spacing w:line="276" w:lineRule="auto"/>
              <w:rPr>
                <w:color w:val="000000" w:themeColor="text1"/>
                <w:sz w:val="18"/>
                <w:szCs w:val="18"/>
              </w:rPr>
            </w:pPr>
            <w:r>
              <w:rPr>
                <w:color w:val="000000" w:themeColor="text1"/>
                <w:sz w:val="18"/>
              </w:rPr>
              <w:t>Zeit</w:t>
            </w:r>
          </w:p>
        </w:tc>
      </w:tr>
      <w:tr w:rsidR="0095641A" w:rsidRPr="0095641A" w:rsidTr="006E6CDE">
        <w:tc>
          <w:tcPr>
            <w:tcW w:w="6663" w:type="dxa"/>
          </w:tcPr>
          <w:p w:rsidR="0095641A" w:rsidRPr="0095641A" w:rsidRDefault="0095641A" w:rsidP="0095641A">
            <w:pPr>
              <w:spacing w:line="276" w:lineRule="auto"/>
              <w:ind w:left="332" w:hanging="332"/>
              <w:jc w:val="left"/>
              <w:rPr>
                <w:sz w:val="18"/>
                <w:szCs w:val="18"/>
              </w:rPr>
            </w:pPr>
            <w:r>
              <w:rPr>
                <w:sz w:val="18"/>
              </w:rPr>
              <w:t xml:space="preserve">a) </w:t>
            </w:r>
            <w:r w:rsidR="00BB33C5">
              <w:rPr>
                <w:sz w:val="18"/>
              </w:rPr>
              <w:t xml:space="preserve">  </w:t>
            </w:r>
            <w:r>
              <w:rPr>
                <w:sz w:val="18"/>
              </w:rPr>
              <w:t>Welche Möglichkeiten gibt es für die Organisation von Prüfungen?</w:t>
            </w:r>
          </w:p>
        </w:tc>
        <w:tc>
          <w:tcPr>
            <w:tcW w:w="2790" w:type="dxa"/>
          </w:tcPr>
          <w:p w:rsidR="0095641A" w:rsidRPr="0095641A" w:rsidRDefault="0095641A" w:rsidP="0095641A">
            <w:pPr>
              <w:spacing w:line="276" w:lineRule="auto"/>
              <w:jc w:val="left"/>
              <w:rPr>
                <w:sz w:val="18"/>
                <w:szCs w:val="18"/>
              </w:rPr>
            </w:pPr>
            <w:r>
              <w:rPr>
                <w:sz w:val="18"/>
              </w:rPr>
              <w:t>Ben Rivoire, UPOV</w:t>
            </w:r>
          </w:p>
        </w:tc>
        <w:tc>
          <w:tcPr>
            <w:tcW w:w="754" w:type="dxa"/>
          </w:tcPr>
          <w:p w:rsidR="0095641A" w:rsidRPr="0095641A" w:rsidRDefault="0095641A" w:rsidP="0095641A">
            <w:pPr>
              <w:spacing w:line="276" w:lineRule="auto"/>
              <w:rPr>
                <w:sz w:val="18"/>
                <w:szCs w:val="18"/>
              </w:rPr>
            </w:pPr>
            <w:r>
              <w:rPr>
                <w:sz w:val="18"/>
              </w:rPr>
              <w:t xml:space="preserve">12.00 </w:t>
            </w:r>
          </w:p>
        </w:tc>
      </w:tr>
      <w:tr w:rsidR="0095641A" w:rsidRPr="00BB33C5" w:rsidTr="006E6CDE">
        <w:tc>
          <w:tcPr>
            <w:tcW w:w="6663" w:type="dxa"/>
          </w:tcPr>
          <w:p w:rsidR="0095641A" w:rsidRPr="00BB33C5" w:rsidRDefault="0095641A" w:rsidP="0095641A">
            <w:pPr>
              <w:spacing w:line="276" w:lineRule="auto"/>
              <w:ind w:left="332" w:hanging="332"/>
              <w:jc w:val="left"/>
              <w:rPr>
                <w:i/>
                <w:sz w:val="18"/>
                <w:szCs w:val="18"/>
              </w:rPr>
            </w:pPr>
            <w:r w:rsidRPr="00BB33C5">
              <w:rPr>
                <w:sz w:val="18"/>
              </w:rPr>
              <w:t>b)</w:t>
            </w:r>
            <w:r w:rsidRPr="00BB33C5">
              <w:rPr>
                <w:i/>
                <w:sz w:val="18"/>
              </w:rPr>
              <w:t xml:space="preserve"> </w:t>
            </w:r>
            <w:r w:rsidRPr="00BB33C5">
              <w:rPr>
                <w:i/>
                <w:sz w:val="18"/>
              </w:rPr>
              <w:tab/>
            </w:r>
            <w:r w:rsidRPr="00BB33C5">
              <w:rPr>
                <w:sz w:val="18"/>
              </w:rPr>
              <w:t>Wie kann mit anderen Verbandsmitgliedern zusammengearbeitet werden (Dokument TGP/5)?</w:t>
            </w:r>
            <w:r w:rsidRPr="00BB33C5">
              <w:rPr>
                <w:i/>
                <w:sz w:val="18"/>
              </w:rPr>
              <w:t xml:space="preserve"> </w:t>
            </w:r>
          </w:p>
        </w:tc>
        <w:tc>
          <w:tcPr>
            <w:tcW w:w="2790" w:type="dxa"/>
          </w:tcPr>
          <w:p w:rsidR="0095641A" w:rsidRPr="00BB33C5" w:rsidRDefault="0095641A" w:rsidP="0095641A">
            <w:pPr>
              <w:spacing w:line="276" w:lineRule="auto"/>
              <w:jc w:val="left"/>
              <w:rPr>
                <w:sz w:val="18"/>
                <w:szCs w:val="18"/>
              </w:rPr>
            </w:pPr>
            <w:r w:rsidRPr="00BB33C5">
              <w:rPr>
                <w:sz w:val="18"/>
              </w:rPr>
              <w:t>Leontino Taveira, UPOV</w:t>
            </w:r>
          </w:p>
        </w:tc>
        <w:tc>
          <w:tcPr>
            <w:tcW w:w="754" w:type="dxa"/>
          </w:tcPr>
          <w:p w:rsidR="0095641A" w:rsidRPr="00EB0686" w:rsidRDefault="0095641A" w:rsidP="0095641A">
            <w:pPr>
              <w:spacing w:line="276" w:lineRule="auto"/>
              <w:rPr>
                <w:sz w:val="18"/>
                <w:szCs w:val="18"/>
              </w:rPr>
            </w:pPr>
            <w:r w:rsidRPr="00EB0686">
              <w:rPr>
                <w:sz w:val="18"/>
              </w:rPr>
              <w:t xml:space="preserve">12.10 </w:t>
            </w:r>
          </w:p>
        </w:tc>
      </w:tr>
      <w:tr w:rsidR="0095641A" w:rsidRPr="0095641A" w:rsidTr="006E6CDE">
        <w:tc>
          <w:tcPr>
            <w:tcW w:w="6663" w:type="dxa"/>
          </w:tcPr>
          <w:p w:rsidR="0095641A" w:rsidRPr="0095641A" w:rsidRDefault="0095641A" w:rsidP="0095641A">
            <w:pPr>
              <w:spacing w:line="276" w:lineRule="auto"/>
              <w:ind w:left="332" w:hanging="332"/>
              <w:jc w:val="left"/>
              <w:rPr>
                <w:spacing w:val="-2"/>
                <w:sz w:val="18"/>
                <w:szCs w:val="18"/>
              </w:rPr>
            </w:pPr>
            <w:r>
              <w:rPr>
                <w:sz w:val="18"/>
              </w:rPr>
              <w:t xml:space="preserve">c) </w:t>
            </w:r>
            <w:r>
              <w:rPr>
                <w:sz w:val="18"/>
              </w:rPr>
              <w:tab/>
              <w:t xml:space="preserve">Nutzung der GENIE-Datenbank zur Suche nach praktischer Erfahrung / Zusammenarbeit bei der DUS-Prüfung </w:t>
            </w:r>
          </w:p>
        </w:tc>
        <w:tc>
          <w:tcPr>
            <w:tcW w:w="2790" w:type="dxa"/>
          </w:tcPr>
          <w:p w:rsidR="0095641A" w:rsidRPr="0095641A" w:rsidRDefault="0095641A" w:rsidP="0095641A">
            <w:pPr>
              <w:spacing w:line="276" w:lineRule="auto"/>
              <w:jc w:val="left"/>
              <w:rPr>
                <w:sz w:val="18"/>
                <w:szCs w:val="18"/>
              </w:rPr>
            </w:pPr>
            <w:r>
              <w:rPr>
                <w:sz w:val="18"/>
              </w:rPr>
              <w:t>Manabu Suzuki, UPOV</w:t>
            </w:r>
          </w:p>
        </w:tc>
        <w:tc>
          <w:tcPr>
            <w:tcW w:w="754" w:type="dxa"/>
          </w:tcPr>
          <w:p w:rsidR="0095641A" w:rsidRPr="0095641A" w:rsidRDefault="0095641A" w:rsidP="0095641A">
            <w:pPr>
              <w:spacing w:line="276" w:lineRule="auto"/>
              <w:rPr>
                <w:sz w:val="18"/>
                <w:szCs w:val="18"/>
              </w:rPr>
            </w:pPr>
            <w:r>
              <w:rPr>
                <w:sz w:val="18"/>
              </w:rPr>
              <w:t xml:space="preserve">12.20 </w:t>
            </w:r>
          </w:p>
        </w:tc>
      </w:tr>
      <w:tr w:rsidR="0095641A" w:rsidRPr="0095641A" w:rsidTr="006E6CDE">
        <w:tc>
          <w:tcPr>
            <w:tcW w:w="6663" w:type="dxa"/>
            <w:vAlign w:val="center"/>
          </w:tcPr>
          <w:p w:rsidR="0095641A" w:rsidRPr="0095641A" w:rsidRDefault="0095641A" w:rsidP="0095641A">
            <w:pPr>
              <w:spacing w:line="276" w:lineRule="auto"/>
              <w:jc w:val="left"/>
              <w:rPr>
                <w:sz w:val="18"/>
                <w:szCs w:val="18"/>
              </w:rPr>
            </w:pPr>
            <w:r>
              <w:rPr>
                <w:sz w:val="18"/>
              </w:rPr>
              <w:t>Podiumsdisskussion</w:t>
            </w:r>
          </w:p>
        </w:tc>
        <w:tc>
          <w:tcPr>
            <w:tcW w:w="2790" w:type="dxa"/>
          </w:tcPr>
          <w:p w:rsidR="0095641A" w:rsidRPr="005620EA" w:rsidRDefault="0095641A" w:rsidP="0095641A">
            <w:pPr>
              <w:spacing w:line="276" w:lineRule="auto"/>
              <w:jc w:val="left"/>
              <w:rPr>
                <w:sz w:val="18"/>
                <w:szCs w:val="18"/>
                <w:lang w:val="en-GB"/>
              </w:rPr>
            </w:pPr>
            <w:r w:rsidRPr="005620EA">
              <w:rPr>
                <w:sz w:val="18"/>
                <w:lang w:val="en-GB"/>
              </w:rPr>
              <w:t>Anthony Parker (CA);</w:t>
            </w:r>
          </w:p>
          <w:p w:rsidR="0095641A" w:rsidRPr="005620EA" w:rsidRDefault="0095641A" w:rsidP="0095641A">
            <w:pPr>
              <w:spacing w:line="276" w:lineRule="auto"/>
              <w:jc w:val="left"/>
              <w:rPr>
                <w:sz w:val="18"/>
                <w:szCs w:val="18"/>
                <w:lang w:val="en-GB"/>
              </w:rPr>
            </w:pPr>
            <w:r w:rsidRPr="005620EA">
              <w:rPr>
                <w:sz w:val="18"/>
                <w:lang w:val="en-GB"/>
              </w:rPr>
              <w:t>Manuela Brand (CH);</w:t>
            </w:r>
          </w:p>
          <w:p w:rsidR="0095641A" w:rsidRPr="005620EA" w:rsidRDefault="0095641A" w:rsidP="0095641A">
            <w:pPr>
              <w:spacing w:line="276" w:lineRule="auto"/>
              <w:jc w:val="left"/>
              <w:rPr>
                <w:sz w:val="18"/>
                <w:szCs w:val="18"/>
                <w:lang w:val="en-GB"/>
              </w:rPr>
            </w:pPr>
            <w:r w:rsidRPr="005620EA">
              <w:rPr>
                <w:sz w:val="18"/>
                <w:lang w:val="en-GB"/>
              </w:rPr>
              <w:t>Simon Maina (KE);</w:t>
            </w:r>
          </w:p>
          <w:p w:rsidR="0095641A" w:rsidRPr="005620EA" w:rsidRDefault="0095641A" w:rsidP="0095641A">
            <w:pPr>
              <w:spacing w:line="276" w:lineRule="auto"/>
              <w:jc w:val="left"/>
              <w:rPr>
                <w:sz w:val="18"/>
                <w:szCs w:val="18"/>
                <w:lang w:val="en-GB"/>
              </w:rPr>
            </w:pPr>
            <w:r w:rsidRPr="005620EA">
              <w:rPr>
                <w:sz w:val="18"/>
                <w:lang w:val="en-GB"/>
              </w:rPr>
              <w:t>Yoshiyuki Ohno (JP)</w:t>
            </w:r>
          </w:p>
        </w:tc>
        <w:tc>
          <w:tcPr>
            <w:tcW w:w="754" w:type="dxa"/>
          </w:tcPr>
          <w:p w:rsidR="0095641A" w:rsidRPr="0095641A" w:rsidRDefault="0095641A" w:rsidP="0095641A">
            <w:pPr>
              <w:spacing w:line="276" w:lineRule="auto"/>
              <w:rPr>
                <w:sz w:val="18"/>
                <w:szCs w:val="18"/>
              </w:rPr>
            </w:pPr>
            <w:r>
              <w:rPr>
                <w:sz w:val="18"/>
              </w:rPr>
              <w:t xml:space="preserve">12.30 </w:t>
            </w:r>
          </w:p>
        </w:tc>
      </w:tr>
      <w:tr w:rsidR="0095641A" w:rsidRPr="0095641A" w:rsidTr="006E6CDE">
        <w:tc>
          <w:tcPr>
            <w:tcW w:w="6663" w:type="dxa"/>
          </w:tcPr>
          <w:p w:rsidR="0095641A" w:rsidRPr="0095641A" w:rsidRDefault="0095641A" w:rsidP="0095641A">
            <w:pPr>
              <w:spacing w:line="276" w:lineRule="auto"/>
              <w:jc w:val="left"/>
              <w:rPr>
                <w:sz w:val="18"/>
                <w:szCs w:val="18"/>
              </w:rPr>
            </w:pPr>
            <w:r>
              <w:rPr>
                <w:sz w:val="18"/>
              </w:rPr>
              <w:t>Session zu Fragen und Antworten</w:t>
            </w:r>
          </w:p>
        </w:tc>
        <w:tc>
          <w:tcPr>
            <w:tcW w:w="2790" w:type="dxa"/>
          </w:tcPr>
          <w:p w:rsidR="0095641A" w:rsidRPr="0095641A" w:rsidRDefault="0095641A" w:rsidP="0095641A">
            <w:pPr>
              <w:spacing w:line="276" w:lineRule="auto"/>
              <w:jc w:val="left"/>
              <w:rPr>
                <w:sz w:val="18"/>
                <w:szCs w:val="18"/>
              </w:rPr>
            </w:pPr>
          </w:p>
        </w:tc>
        <w:tc>
          <w:tcPr>
            <w:tcW w:w="754" w:type="dxa"/>
          </w:tcPr>
          <w:p w:rsidR="0095641A" w:rsidRPr="0095641A" w:rsidRDefault="0095641A" w:rsidP="0095641A">
            <w:pPr>
              <w:spacing w:line="276" w:lineRule="auto"/>
              <w:rPr>
                <w:sz w:val="18"/>
                <w:szCs w:val="18"/>
              </w:rPr>
            </w:pPr>
            <w:r>
              <w:rPr>
                <w:sz w:val="18"/>
              </w:rPr>
              <w:t xml:space="preserve">13.00 </w:t>
            </w:r>
          </w:p>
        </w:tc>
      </w:tr>
    </w:tbl>
    <w:p w:rsidR="0095641A" w:rsidRPr="0095641A" w:rsidRDefault="0095641A" w:rsidP="0095641A">
      <w:pPr>
        <w:spacing w:line="276" w:lineRule="auto"/>
        <w:rPr>
          <w:rFonts w:cs="Arial"/>
          <w:sz w:val="18"/>
          <w:szCs w:val="18"/>
        </w:rPr>
      </w:pPr>
    </w:p>
    <w:tbl>
      <w:tblPr>
        <w:tblStyle w:val="TableGrid"/>
        <w:tblW w:w="10207" w:type="dxa"/>
        <w:tblInd w:w="-289" w:type="dxa"/>
        <w:tblLook w:val="04A0" w:firstRow="1" w:lastRow="0" w:firstColumn="1" w:lastColumn="0" w:noHBand="0" w:noVBand="1"/>
      </w:tblPr>
      <w:tblGrid>
        <w:gridCol w:w="6663"/>
        <w:gridCol w:w="2835"/>
        <w:gridCol w:w="709"/>
      </w:tblGrid>
      <w:tr w:rsidR="0095641A" w:rsidRPr="004E51E2" w:rsidTr="006E6CDE">
        <w:tc>
          <w:tcPr>
            <w:tcW w:w="6663" w:type="dxa"/>
          </w:tcPr>
          <w:p w:rsidR="0095641A" w:rsidRPr="004E51E2" w:rsidRDefault="0095641A" w:rsidP="0095641A">
            <w:pPr>
              <w:spacing w:line="276" w:lineRule="auto"/>
              <w:jc w:val="left"/>
              <w:rPr>
                <w:color w:val="000000" w:themeColor="text1"/>
                <w:sz w:val="18"/>
                <w:szCs w:val="18"/>
              </w:rPr>
            </w:pPr>
            <w:r>
              <w:rPr>
                <w:color w:val="000000" w:themeColor="text1"/>
                <w:sz w:val="18"/>
              </w:rPr>
              <w:t xml:space="preserve">20. April 2021:  Webinar 2:  Internationale Harmonisierung bei der DUS-Prüfung </w:t>
            </w:r>
          </w:p>
          <w:p w:rsidR="0095641A" w:rsidRPr="0095641A" w:rsidRDefault="0095641A" w:rsidP="0095641A">
            <w:pPr>
              <w:spacing w:line="276" w:lineRule="auto"/>
              <w:jc w:val="left"/>
              <w:rPr>
                <w:color w:val="000000" w:themeColor="text1"/>
                <w:sz w:val="18"/>
                <w:szCs w:val="18"/>
              </w:rPr>
            </w:pPr>
          </w:p>
        </w:tc>
        <w:tc>
          <w:tcPr>
            <w:tcW w:w="2835" w:type="dxa"/>
          </w:tcPr>
          <w:p w:rsidR="0095641A" w:rsidRPr="0095641A" w:rsidRDefault="0095641A" w:rsidP="0095641A">
            <w:pPr>
              <w:spacing w:line="276" w:lineRule="auto"/>
              <w:jc w:val="left"/>
              <w:rPr>
                <w:color w:val="000000" w:themeColor="text1"/>
                <w:sz w:val="18"/>
                <w:szCs w:val="18"/>
              </w:rPr>
            </w:pPr>
            <w:r>
              <w:rPr>
                <w:color w:val="000000" w:themeColor="text1"/>
                <w:sz w:val="18"/>
              </w:rPr>
              <w:t>Moderatoren / Diskussionsteilnehmer</w:t>
            </w:r>
          </w:p>
          <w:p w:rsidR="0095641A" w:rsidRPr="0095641A" w:rsidRDefault="0095641A" w:rsidP="0095641A">
            <w:pPr>
              <w:spacing w:line="276" w:lineRule="auto"/>
              <w:jc w:val="left"/>
              <w:rPr>
                <w:color w:val="000000" w:themeColor="text1"/>
                <w:sz w:val="18"/>
                <w:szCs w:val="18"/>
              </w:rPr>
            </w:pPr>
          </w:p>
        </w:tc>
        <w:tc>
          <w:tcPr>
            <w:tcW w:w="709" w:type="dxa"/>
          </w:tcPr>
          <w:p w:rsidR="0095641A" w:rsidRPr="0095641A" w:rsidRDefault="0095641A" w:rsidP="0095641A">
            <w:pPr>
              <w:spacing w:line="276" w:lineRule="auto"/>
              <w:rPr>
                <w:color w:val="000000" w:themeColor="text1"/>
                <w:sz w:val="18"/>
                <w:szCs w:val="18"/>
              </w:rPr>
            </w:pPr>
            <w:r>
              <w:rPr>
                <w:color w:val="000000" w:themeColor="text1"/>
                <w:sz w:val="18"/>
              </w:rPr>
              <w:t>Zeit</w:t>
            </w:r>
          </w:p>
        </w:tc>
      </w:tr>
      <w:tr w:rsidR="0095641A" w:rsidRPr="0095641A" w:rsidTr="006E6CDE">
        <w:tc>
          <w:tcPr>
            <w:tcW w:w="6663" w:type="dxa"/>
          </w:tcPr>
          <w:p w:rsidR="0095641A" w:rsidRPr="0095641A" w:rsidRDefault="0095641A" w:rsidP="0095641A">
            <w:pPr>
              <w:spacing w:line="276" w:lineRule="auto"/>
              <w:ind w:left="332" w:hanging="332"/>
              <w:jc w:val="left"/>
              <w:rPr>
                <w:sz w:val="18"/>
                <w:szCs w:val="18"/>
              </w:rPr>
            </w:pPr>
            <w:r>
              <w:rPr>
                <w:sz w:val="18"/>
              </w:rPr>
              <w:t xml:space="preserve">a) </w:t>
            </w:r>
            <w:r w:rsidR="00EB0686">
              <w:rPr>
                <w:sz w:val="18"/>
              </w:rPr>
              <w:t xml:space="preserve">  </w:t>
            </w:r>
            <w:r>
              <w:rPr>
                <w:sz w:val="18"/>
              </w:rPr>
              <w:t>Die Rolle der Technischen Arbeitsgruppen (TWP) und des Technischen Ausschusses (TC)</w:t>
            </w:r>
          </w:p>
        </w:tc>
        <w:tc>
          <w:tcPr>
            <w:tcW w:w="2835" w:type="dxa"/>
          </w:tcPr>
          <w:p w:rsidR="0095641A" w:rsidRPr="0095641A" w:rsidRDefault="0095641A" w:rsidP="0095641A">
            <w:pPr>
              <w:spacing w:line="276" w:lineRule="auto"/>
              <w:jc w:val="left"/>
              <w:rPr>
                <w:sz w:val="18"/>
                <w:szCs w:val="18"/>
              </w:rPr>
            </w:pPr>
            <w:r>
              <w:rPr>
                <w:sz w:val="18"/>
              </w:rPr>
              <w:t>Leontino Taveira, UPOV</w:t>
            </w:r>
          </w:p>
        </w:tc>
        <w:tc>
          <w:tcPr>
            <w:tcW w:w="709" w:type="dxa"/>
          </w:tcPr>
          <w:p w:rsidR="0095641A" w:rsidRPr="0095641A" w:rsidRDefault="0095641A" w:rsidP="0095641A">
            <w:pPr>
              <w:spacing w:line="276" w:lineRule="auto"/>
              <w:rPr>
                <w:sz w:val="18"/>
                <w:szCs w:val="18"/>
              </w:rPr>
            </w:pPr>
            <w:r>
              <w:rPr>
                <w:sz w:val="18"/>
              </w:rPr>
              <w:t xml:space="preserve">12.00 </w:t>
            </w:r>
          </w:p>
        </w:tc>
      </w:tr>
      <w:tr w:rsidR="0095641A" w:rsidRPr="0095641A" w:rsidTr="006E6CDE">
        <w:tc>
          <w:tcPr>
            <w:tcW w:w="6663" w:type="dxa"/>
          </w:tcPr>
          <w:p w:rsidR="0095641A" w:rsidRPr="0095641A" w:rsidRDefault="0095641A" w:rsidP="0095641A">
            <w:pPr>
              <w:spacing w:line="276" w:lineRule="auto"/>
              <w:ind w:left="332" w:hanging="332"/>
              <w:jc w:val="left"/>
              <w:rPr>
                <w:sz w:val="18"/>
                <w:szCs w:val="18"/>
              </w:rPr>
            </w:pPr>
            <w:r>
              <w:rPr>
                <w:sz w:val="18"/>
              </w:rPr>
              <w:t xml:space="preserve">b) </w:t>
            </w:r>
            <w:r w:rsidR="00EB0686">
              <w:rPr>
                <w:sz w:val="18"/>
              </w:rPr>
              <w:t xml:space="preserve"> </w:t>
            </w:r>
            <w:r>
              <w:rPr>
                <w:sz w:val="18"/>
              </w:rPr>
              <w:t>UPOV-Anleitung zur DUS-Prüfung (Dokument TG/1/3, TGP-Dokumente und TGs)</w:t>
            </w:r>
          </w:p>
        </w:tc>
        <w:tc>
          <w:tcPr>
            <w:tcW w:w="2835" w:type="dxa"/>
          </w:tcPr>
          <w:p w:rsidR="0095641A" w:rsidRPr="0095641A" w:rsidRDefault="0095641A" w:rsidP="0095641A">
            <w:pPr>
              <w:spacing w:line="276" w:lineRule="auto"/>
              <w:jc w:val="left"/>
              <w:rPr>
                <w:sz w:val="18"/>
                <w:szCs w:val="18"/>
              </w:rPr>
            </w:pPr>
            <w:r>
              <w:rPr>
                <w:sz w:val="18"/>
              </w:rPr>
              <w:t>Ben Rivoire, UPOV</w:t>
            </w:r>
          </w:p>
        </w:tc>
        <w:tc>
          <w:tcPr>
            <w:tcW w:w="709" w:type="dxa"/>
          </w:tcPr>
          <w:p w:rsidR="0095641A" w:rsidRPr="0095641A" w:rsidRDefault="0095641A" w:rsidP="0095641A">
            <w:pPr>
              <w:spacing w:line="276" w:lineRule="auto"/>
              <w:rPr>
                <w:sz w:val="18"/>
                <w:szCs w:val="18"/>
              </w:rPr>
            </w:pPr>
            <w:r>
              <w:rPr>
                <w:sz w:val="18"/>
              </w:rPr>
              <w:t xml:space="preserve">12.10 </w:t>
            </w:r>
          </w:p>
        </w:tc>
      </w:tr>
      <w:tr w:rsidR="0095641A" w:rsidRPr="0095641A" w:rsidTr="006E6CDE">
        <w:tc>
          <w:tcPr>
            <w:tcW w:w="6663" w:type="dxa"/>
          </w:tcPr>
          <w:p w:rsidR="0095641A" w:rsidRPr="0095641A" w:rsidRDefault="0095641A" w:rsidP="0095641A">
            <w:pPr>
              <w:spacing w:line="276" w:lineRule="auto"/>
              <w:ind w:left="332" w:hanging="332"/>
              <w:jc w:val="left"/>
              <w:rPr>
                <w:spacing w:val="-2"/>
                <w:sz w:val="18"/>
                <w:szCs w:val="18"/>
              </w:rPr>
            </w:pPr>
            <w:r>
              <w:rPr>
                <w:sz w:val="18"/>
              </w:rPr>
              <w:t xml:space="preserve">c) </w:t>
            </w:r>
            <w:r w:rsidR="00EB0686">
              <w:rPr>
                <w:sz w:val="18"/>
              </w:rPr>
              <w:t xml:space="preserve"> </w:t>
            </w:r>
            <w:r>
              <w:rPr>
                <w:sz w:val="18"/>
              </w:rPr>
              <w:t>Harmonisierung von Erfassungen und Entscheidungsfindung (TGP-Dokumente)</w:t>
            </w:r>
          </w:p>
        </w:tc>
        <w:tc>
          <w:tcPr>
            <w:tcW w:w="2835" w:type="dxa"/>
          </w:tcPr>
          <w:p w:rsidR="0095641A" w:rsidRPr="0095641A" w:rsidRDefault="0095641A" w:rsidP="0095641A">
            <w:pPr>
              <w:spacing w:line="276" w:lineRule="auto"/>
              <w:jc w:val="left"/>
              <w:rPr>
                <w:sz w:val="18"/>
                <w:szCs w:val="18"/>
              </w:rPr>
            </w:pPr>
            <w:r>
              <w:rPr>
                <w:sz w:val="18"/>
              </w:rPr>
              <w:t>Leontino Taveira, UPOV</w:t>
            </w:r>
          </w:p>
        </w:tc>
        <w:tc>
          <w:tcPr>
            <w:tcW w:w="709" w:type="dxa"/>
          </w:tcPr>
          <w:p w:rsidR="0095641A" w:rsidRPr="0095641A" w:rsidRDefault="0095641A" w:rsidP="0095641A">
            <w:pPr>
              <w:spacing w:line="276" w:lineRule="auto"/>
              <w:rPr>
                <w:sz w:val="18"/>
                <w:szCs w:val="18"/>
              </w:rPr>
            </w:pPr>
            <w:r>
              <w:rPr>
                <w:sz w:val="18"/>
              </w:rPr>
              <w:t xml:space="preserve">12.20 </w:t>
            </w:r>
          </w:p>
        </w:tc>
      </w:tr>
      <w:tr w:rsidR="0095641A" w:rsidRPr="0095641A" w:rsidTr="006E6CDE">
        <w:tc>
          <w:tcPr>
            <w:tcW w:w="6663" w:type="dxa"/>
            <w:vAlign w:val="center"/>
          </w:tcPr>
          <w:p w:rsidR="0095641A" w:rsidRPr="0095641A" w:rsidRDefault="0095641A" w:rsidP="0095641A">
            <w:pPr>
              <w:spacing w:line="276" w:lineRule="auto"/>
              <w:jc w:val="left"/>
              <w:rPr>
                <w:sz w:val="18"/>
                <w:szCs w:val="18"/>
              </w:rPr>
            </w:pPr>
            <w:r>
              <w:rPr>
                <w:sz w:val="18"/>
              </w:rPr>
              <w:t>Podiumsdisskussion</w:t>
            </w:r>
          </w:p>
        </w:tc>
        <w:tc>
          <w:tcPr>
            <w:tcW w:w="2835" w:type="dxa"/>
          </w:tcPr>
          <w:p w:rsidR="0095641A" w:rsidRPr="0095641A" w:rsidRDefault="0095641A" w:rsidP="0095641A">
            <w:pPr>
              <w:spacing w:line="276" w:lineRule="auto"/>
              <w:jc w:val="left"/>
              <w:rPr>
                <w:sz w:val="18"/>
                <w:szCs w:val="18"/>
              </w:rPr>
            </w:pPr>
            <w:r>
              <w:rPr>
                <w:sz w:val="18"/>
              </w:rPr>
              <w:t>Nik Hulse (Vorsitzender/TC);</w:t>
            </w:r>
          </w:p>
          <w:p w:rsidR="0095641A" w:rsidRPr="0095641A" w:rsidRDefault="0095641A" w:rsidP="0095641A">
            <w:pPr>
              <w:spacing w:line="276" w:lineRule="auto"/>
              <w:jc w:val="left"/>
              <w:rPr>
                <w:sz w:val="18"/>
                <w:szCs w:val="18"/>
              </w:rPr>
            </w:pPr>
            <w:r>
              <w:rPr>
                <w:sz w:val="18"/>
              </w:rPr>
              <w:t>Beate Ruecker (Vorsitzende/BMT/TWC)</w:t>
            </w:r>
          </w:p>
        </w:tc>
        <w:tc>
          <w:tcPr>
            <w:tcW w:w="709" w:type="dxa"/>
          </w:tcPr>
          <w:p w:rsidR="0095641A" w:rsidRPr="0095641A" w:rsidRDefault="0095641A" w:rsidP="0095641A">
            <w:pPr>
              <w:spacing w:line="276" w:lineRule="auto"/>
              <w:rPr>
                <w:sz w:val="18"/>
                <w:szCs w:val="18"/>
              </w:rPr>
            </w:pPr>
            <w:r>
              <w:rPr>
                <w:sz w:val="18"/>
              </w:rPr>
              <w:t xml:space="preserve">12.30 </w:t>
            </w:r>
          </w:p>
        </w:tc>
      </w:tr>
      <w:tr w:rsidR="0095641A" w:rsidRPr="0095641A" w:rsidTr="006E6CDE">
        <w:tc>
          <w:tcPr>
            <w:tcW w:w="6663" w:type="dxa"/>
          </w:tcPr>
          <w:p w:rsidR="0095641A" w:rsidRPr="0095641A" w:rsidRDefault="0095641A" w:rsidP="0095641A">
            <w:pPr>
              <w:spacing w:line="276" w:lineRule="auto"/>
              <w:jc w:val="left"/>
              <w:rPr>
                <w:sz w:val="18"/>
                <w:szCs w:val="18"/>
              </w:rPr>
            </w:pPr>
            <w:r>
              <w:rPr>
                <w:sz w:val="18"/>
              </w:rPr>
              <w:t>Session zu Fragen und Antworten</w:t>
            </w:r>
          </w:p>
        </w:tc>
        <w:tc>
          <w:tcPr>
            <w:tcW w:w="2835" w:type="dxa"/>
          </w:tcPr>
          <w:p w:rsidR="0095641A" w:rsidRPr="0095641A" w:rsidRDefault="0095641A" w:rsidP="0095641A">
            <w:pPr>
              <w:spacing w:line="276" w:lineRule="auto"/>
              <w:jc w:val="left"/>
              <w:rPr>
                <w:sz w:val="18"/>
                <w:szCs w:val="18"/>
              </w:rPr>
            </w:pPr>
          </w:p>
        </w:tc>
        <w:tc>
          <w:tcPr>
            <w:tcW w:w="709" w:type="dxa"/>
          </w:tcPr>
          <w:p w:rsidR="0095641A" w:rsidRPr="0095641A" w:rsidRDefault="0095641A" w:rsidP="0095641A">
            <w:pPr>
              <w:spacing w:line="276" w:lineRule="auto"/>
              <w:rPr>
                <w:sz w:val="18"/>
                <w:szCs w:val="18"/>
              </w:rPr>
            </w:pPr>
            <w:r>
              <w:rPr>
                <w:sz w:val="18"/>
              </w:rPr>
              <w:t xml:space="preserve">13.00 </w:t>
            </w:r>
          </w:p>
        </w:tc>
      </w:tr>
    </w:tbl>
    <w:p w:rsidR="0095641A" w:rsidRPr="0095641A" w:rsidRDefault="0095641A" w:rsidP="0095641A">
      <w:pPr>
        <w:tabs>
          <w:tab w:val="left" w:pos="567"/>
          <w:tab w:val="left" w:pos="1134"/>
          <w:tab w:val="left" w:pos="2268"/>
          <w:tab w:val="left" w:pos="2835"/>
          <w:tab w:val="left" w:pos="3402"/>
          <w:tab w:val="left" w:pos="3969"/>
          <w:tab w:val="left" w:pos="4536"/>
          <w:tab w:val="center" w:pos="5386"/>
        </w:tabs>
        <w:spacing w:line="276" w:lineRule="auto"/>
        <w:rPr>
          <w:rFonts w:cs="Arial"/>
          <w:sz w:val="18"/>
          <w:szCs w:val="18"/>
        </w:rPr>
      </w:pPr>
    </w:p>
    <w:tbl>
      <w:tblPr>
        <w:tblStyle w:val="TableGrid"/>
        <w:tblW w:w="10207" w:type="dxa"/>
        <w:tblInd w:w="-289" w:type="dxa"/>
        <w:tblLook w:val="04A0" w:firstRow="1" w:lastRow="0" w:firstColumn="1" w:lastColumn="0" w:noHBand="0" w:noVBand="1"/>
      </w:tblPr>
      <w:tblGrid>
        <w:gridCol w:w="6663"/>
        <w:gridCol w:w="2835"/>
        <w:gridCol w:w="709"/>
      </w:tblGrid>
      <w:tr w:rsidR="0095641A" w:rsidRPr="004E51E2" w:rsidTr="006E6CDE">
        <w:trPr>
          <w:trHeight w:val="551"/>
        </w:trPr>
        <w:tc>
          <w:tcPr>
            <w:tcW w:w="6663" w:type="dxa"/>
          </w:tcPr>
          <w:p w:rsidR="0095641A" w:rsidRPr="004E51E2" w:rsidRDefault="0095641A" w:rsidP="0095641A">
            <w:pPr>
              <w:spacing w:line="276" w:lineRule="auto"/>
              <w:jc w:val="left"/>
              <w:rPr>
                <w:color w:val="000000" w:themeColor="text1"/>
                <w:sz w:val="18"/>
                <w:szCs w:val="18"/>
              </w:rPr>
            </w:pPr>
            <w:r>
              <w:rPr>
                <w:color w:val="000000" w:themeColor="text1"/>
                <w:sz w:val="18"/>
              </w:rPr>
              <w:t>21. April 2021:  Webinar 3:  Erstellung und Verwendung von UPOV-Prüfungsrichtlinien</w:t>
            </w:r>
          </w:p>
          <w:p w:rsidR="0095641A" w:rsidRPr="0095641A" w:rsidRDefault="0095641A" w:rsidP="0095641A">
            <w:pPr>
              <w:spacing w:line="276" w:lineRule="auto"/>
              <w:jc w:val="left"/>
              <w:rPr>
                <w:color w:val="000000" w:themeColor="text1"/>
                <w:sz w:val="18"/>
                <w:szCs w:val="18"/>
              </w:rPr>
            </w:pPr>
          </w:p>
        </w:tc>
        <w:tc>
          <w:tcPr>
            <w:tcW w:w="2835" w:type="dxa"/>
          </w:tcPr>
          <w:p w:rsidR="0095641A" w:rsidRPr="0095641A" w:rsidRDefault="0095641A" w:rsidP="0095641A">
            <w:pPr>
              <w:spacing w:line="276" w:lineRule="auto"/>
              <w:jc w:val="left"/>
              <w:rPr>
                <w:color w:val="000000" w:themeColor="text1"/>
                <w:sz w:val="18"/>
                <w:szCs w:val="18"/>
              </w:rPr>
            </w:pPr>
            <w:r>
              <w:rPr>
                <w:color w:val="000000" w:themeColor="text1"/>
                <w:sz w:val="18"/>
              </w:rPr>
              <w:t>Moderatoren / Diskussionsteilnehmer</w:t>
            </w:r>
          </w:p>
          <w:p w:rsidR="0095641A" w:rsidRPr="0095641A" w:rsidRDefault="0095641A" w:rsidP="0095641A">
            <w:pPr>
              <w:spacing w:line="276" w:lineRule="auto"/>
              <w:jc w:val="left"/>
              <w:rPr>
                <w:color w:val="000000" w:themeColor="text1"/>
                <w:sz w:val="18"/>
                <w:szCs w:val="18"/>
              </w:rPr>
            </w:pPr>
          </w:p>
        </w:tc>
        <w:tc>
          <w:tcPr>
            <w:tcW w:w="709" w:type="dxa"/>
          </w:tcPr>
          <w:p w:rsidR="0095641A" w:rsidRPr="0095641A" w:rsidRDefault="0095641A" w:rsidP="0095641A">
            <w:pPr>
              <w:spacing w:line="276" w:lineRule="auto"/>
              <w:rPr>
                <w:color w:val="000000" w:themeColor="text1"/>
                <w:sz w:val="18"/>
                <w:szCs w:val="18"/>
              </w:rPr>
            </w:pPr>
            <w:r>
              <w:rPr>
                <w:color w:val="000000" w:themeColor="text1"/>
                <w:sz w:val="18"/>
              </w:rPr>
              <w:t>Zeit</w:t>
            </w:r>
          </w:p>
        </w:tc>
      </w:tr>
      <w:tr w:rsidR="0095641A" w:rsidRPr="0095641A" w:rsidTr="006E6CDE">
        <w:tc>
          <w:tcPr>
            <w:tcW w:w="6663" w:type="dxa"/>
          </w:tcPr>
          <w:p w:rsidR="0095641A" w:rsidRPr="0095641A" w:rsidRDefault="0095641A" w:rsidP="0095641A">
            <w:pPr>
              <w:spacing w:line="276" w:lineRule="auto"/>
              <w:ind w:left="332" w:hanging="332"/>
              <w:jc w:val="left"/>
              <w:rPr>
                <w:sz w:val="18"/>
                <w:szCs w:val="18"/>
              </w:rPr>
            </w:pPr>
            <w:r>
              <w:rPr>
                <w:sz w:val="18"/>
              </w:rPr>
              <w:t xml:space="preserve">a) </w:t>
            </w:r>
            <w:r w:rsidR="00EB0686">
              <w:rPr>
                <w:sz w:val="18"/>
              </w:rPr>
              <w:t xml:space="preserve">  </w:t>
            </w:r>
            <w:r>
              <w:rPr>
                <w:sz w:val="18"/>
              </w:rPr>
              <w:t>Wie kann man sich an der Ausarbeitung von Prüfungsrichtlinien beteiligen (führende und interessierte Sachverständige)</w:t>
            </w:r>
            <w:r w:rsidR="00C54718">
              <w:rPr>
                <w:sz w:val="18"/>
              </w:rPr>
              <w:t>?</w:t>
            </w:r>
          </w:p>
        </w:tc>
        <w:tc>
          <w:tcPr>
            <w:tcW w:w="2835" w:type="dxa"/>
          </w:tcPr>
          <w:p w:rsidR="0095641A" w:rsidRPr="0095641A" w:rsidRDefault="0095641A" w:rsidP="0095641A">
            <w:pPr>
              <w:spacing w:line="276" w:lineRule="auto"/>
              <w:jc w:val="left"/>
              <w:rPr>
                <w:sz w:val="18"/>
                <w:szCs w:val="18"/>
              </w:rPr>
            </w:pPr>
            <w:r>
              <w:rPr>
                <w:sz w:val="18"/>
              </w:rPr>
              <w:t>Ben Rivoire, UPOV</w:t>
            </w:r>
          </w:p>
        </w:tc>
        <w:tc>
          <w:tcPr>
            <w:tcW w:w="709" w:type="dxa"/>
          </w:tcPr>
          <w:p w:rsidR="0095641A" w:rsidRPr="0095641A" w:rsidRDefault="0095641A" w:rsidP="0095641A">
            <w:pPr>
              <w:spacing w:line="276" w:lineRule="auto"/>
              <w:rPr>
                <w:sz w:val="18"/>
                <w:szCs w:val="18"/>
              </w:rPr>
            </w:pPr>
            <w:r>
              <w:rPr>
                <w:sz w:val="18"/>
              </w:rPr>
              <w:t xml:space="preserve">12.00 </w:t>
            </w:r>
          </w:p>
        </w:tc>
      </w:tr>
      <w:tr w:rsidR="0095641A" w:rsidRPr="0095641A" w:rsidTr="006E6CDE">
        <w:tc>
          <w:tcPr>
            <w:tcW w:w="6663" w:type="dxa"/>
          </w:tcPr>
          <w:p w:rsidR="0095641A" w:rsidRPr="0095641A" w:rsidRDefault="0095641A" w:rsidP="0095641A">
            <w:pPr>
              <w:tabs>
                <w:tab w:val="left" w:pos="567"/>
                <w:tab w:val="left" w:pos="1134"/>
              </w:tabs>
              <w:spacing w:line="276" w:lineRule="auto"/>
              <w:ind w:left="332" w:hanging="332"/>
              <w:jc w:val="left"/>
              <w:rPr>
                <w:sz w:val="18"/>
                <w:szCs w:val="18"/>
              </w:rPr>
            </w:pPr>
            <w:r>
              <w:rPr>
                <w:sz w:val="18"/>
              </w:rPr>
              <w:t xml:space="preserve">b) </w:t>
            </w:r>
            <w:r w:rsidR="00EB0686">
              <w:rPr>
                <w:sz w:val="18"/>
              </w:rPr>
              <w:t xml:space="preserve">  </w:t>
            </w:r>
            <w:r>
              <w:rPr>
                <w:sz w:val="18"/>
              </w:rPr>
              <w:t>Elemente der Prüfungsrichtlinien: Erfassungsbereich, Pflanzenmaterial, Merkmale und Erläuterungen</w:t>
            </w:r>
          </w:p>
        </w:tc>
        <w:tc>
          <w:tcPr>
            <w:tcW w:w="2835" w:type="dxa"/>
          </w:tcPr>
          <w:p w:rsidR="0095641A" w:rsidRPr="0095641A" w:rsidRDefault="0095641A" w:rsidP="0095641A">
            <w:pPr>
              <w:spacing w:line="276" w:lineRule="auto"/>
              <w:jc w:val="left"/>
              <w:rPr>
                <w:sz w:val="18"/>
                <w:szCs w:val="18"/>
              </w:rPr>
            </w:pPr>
            <w:r>
              <w:rPr>
                <w:sz w:val="18"/>
              </w:rPr>
              <w:t>Leontino Taveira, UPOV</w:t>
            </w:r>
          </w:p>
        </w:tc>
        <w:tc>
          <w:tcPr>
            <w:tcW w:w="709" w:type="dxa"/>
          </w:tcPr>
          <w:p w:rsidR="0095641A" w:rsidRPr="0095641A" w:rsidRDefault="0095641A" w:rsidP="0095641A">
            <w:pPr>
              <w:spacing w:line="276" w:lineRule="auto"/>
              <w:rPr>
                <w:sz w:val="18"/>
                <w:szCs w:val="18"/>
              </w:rPr>
            </w:pPr>
            <w:r>
              <w:rPr>
                <w:sz w:val="18"/>
              </w:rPr>
              <w:t xml:space="preserve">12.10 </w:t>
            </w:r>
          </w:p>
        </w:tc>
      </w:tr>
      <w:tr w:rsidR="0095641A" w:rsidRPr="0095641A" w:rsidTr="006E6CDE">
        <w:tc>
          <w:tcPr>
            <w:tcW w:w="6663" w:type="dxa"/>
          </w:tcPr>
          <w:p w:rsidR="0095641A" w:rsidRPr="0095641A" w:rsidRDefault="0095641A" w:rsidP="0095641A">
            <w:pPr>
              <w:spacing w:line="276" w:lineRule="auto"/>
              <w:ind w:left="332" w:hanging="332"/>
              <w:jc w:val="left"/>
              <w:rPr>
                <w:spacing w:val="-2"/>
                <w:sz w:val="18"/>
                <w:szCs w:val="18"/>
              </w:rPr>
            </w:pPr>
            <w:r>
              <w:rPr>
                <w:sz w:val="18"/>
              </w:rPr>
              <w:t>c)</w:t>
            </w:r>
            <w:r>
              <w:rPr>
                <w:sz w:val="18"/>
              </w:rPr>
              <w:tab/>
            </w:r>
            <w:r>
              <w:rPr>
                <w:snapToGrid w:val="0"/>
                <w:color w:val="000000"/>
                <w:sz w:val="18"/>
              </w:rPr>
              <w:t xml:space="preserve">Verwendung des Online-Tools </w:t>
            </w:r>
            <w:r>
              <w:rPr>
                <w:sz w:val="18"/>
              </w:rPr>
              <w:t xml:space="preserve">zur Erstellung und Kommentierung von Entwürfen von Prüfungsrichtlinien </w:t>
            </w:r>
            <w:r>
              <w:rPr>
                <w:snapToGrid w:val="0"/>
                <w:color w:val="000000"/>
                <w:sz w:val="18"/>
              </w:rPr>
              <w:t>(</w:t>
            </w:r>
            <w:r>
              <w:rPr>
                <w:sz w:val="18"/>
              </w:rPr>
              <w:t>webbasierte TG-Mustervorlage)</w:t>
            </w:r>
          </w:p>
        </w:tc>
        <w:tc>
          <w:tcPr>
            <w:tcW w:w="2835" w:type="dxa"/>
          </w:tcPr>
          <w:p w:rsidR="0095641A" w:rsidRPr="0095641A" w:rsidRDefault="0095641A" w:rsidP="0095641A">
            <w:pPr>
              <w:spacing w:line="276" w:lineRule="auto"/>
              <w:jc w:val="left"/>
              <w:rPr>
                <w:sz w:val="18"/>
                <w:szCs w:val="18"/>
              </w:rPr>
            </w:pPr>
            <w:r>
              <w:rPr>
                <w:sz w:val="18"/>
              </w:rPr>
              <w:t>Romy Oertel, UPOV</w:t>
            </w:r>
          </w:p>
        </w:tc>
        <w:tc>
          <w:tcPr>
            <w:tcW w:w="709" w:type="dxa"/>
          </w:tcPr>
          <w:p w:rsidR="0095641A" w:rsidRPr="0095641A" w:rsidRDefault="0095641A" w:rsidP="0095641A">
            <w:pPr>
              <w:spacing w:line="276" w:lineRule="auto"/>
              <w:rPr>
                <w:sz w:val="18"/>
                <w:szCs w:val="18"/>
              </w:rPr>
            </w:pPr>
            <w:r>
              <w:rPr>
                <w:sz w:val="18"/>
              </w:rPr>
              <w:t xml:space="preserve">12.20 </w:t>
            </w:r>
          </w:p>
        </w:tc>
      </w:tr>
      <w:tr w:rsidR="0095641A" w:rsidRPr="0095641A" w:rsidTr="006E6CDE">
        <w:tc>
          <w:tcPr>
            <w:tcW w:w="6663" w:type="dxa"/>
          </w:tcPr>
          <w:p w:rsidR="0095641A" w:rsidRPr="0095641A" w:rsidRDefault="0095641A" w:rsidP="0095641A">
            <w:pPr>
              <w:spacing w:line="276" w:lineRule="auto"/>
              <w:ind w:left="332" w:hanging="332"/>
              <w:jc w:val="left"/>
              <w:rPr>
                <w:sz w:val="18"/>
                <w:szCs w:val="18"/>
              </w:rPr>
            </w:pPr>
            <w:r>
              <w:rPr>
                <w:sz w:val="18"/>
              </w:rPr>
              <w:t xml:space="preserve">d) </w:t>
            </w:r>
            <w:r>
              <w:rPr>
                <w:sz w:val="18"/>
              </w:rPr>
              <w:tab/>
              <w:t>Verwendung von Sorten für Vergleich und Referenz (Beispielssorten)</w:t>
            </w:r>
          </w:p>
        </w:tc>
        <w:tc>
          <w:tcPr>
            <w:tcW w:w="2835" w:type="dxa"/>
          </w:tcPr>
          <w:p w:rsidR="0095641A" w:rsidRPr="0095641A" w:rsidRDefault="0095641A" w:rsidP="0095641A">
            <w:pPr>
              <w:spacing w:line="276" w:lineRule="auto"/>
              <w:jc w:val="left"/>
              <w:rPr>
                <w:sz w:val="18"/>
                <w:szCs w:val="18"/>
              </w:rPr>
            </w:pPr>
            <w:r>
              <w:rPr>
                <w:sz w:val="18"/>
              </w:rPr>
              <w:t>Ben Rivoire, UPOV</w:t>
            </w:r>
          </w:p>
        </w:tc>
        <w:tc>
          <w:tcPr>
            <w:tcW w:w="709" w:type="dxa"/>
          </w:tcPr>
          <w:p w:rsidR="0095641A" w:rsidRPr="0095641A" w:rsidRDefault="0095641A" w:rsidP="0095641A">
            <w:pPr>
              <w:spacing w:line="276" w:lineRule="auto"/>
              <w:rPr>
                <w:sz w:val="18"/>
                <w:szCs w:val="18"/>
              </w:rPr>
            </w:pPr>
            <w:r>
              <w:rPr>
                <w:sz w:val="18"/>
              </w:rPr>
              <w:t>12.30</w:t>
            </w:r>
          </w:p>
        </w:tc>
      </w:tr>
      <w:tr w:rsidR="0095641A" w:rsidRPr="0095641A" w:rsidTr="006E6CDE">
        <w:tc>
          <w:tcPr>
            <w:tcW w:w="6663" w:type="dxa"/>
            <w:vAlign w:val="center"/>
          </w:tcPr>
          <w:p w:rsidR="0095641A" w:rsidRPr="0095641A" w:rsidRDefault="005620EA" w:rsidP="0095641A">
            <w:pPr>
              <w:spacing w:line="276" w:lineRule="auto"/>
              <w:jc w:val="left"/>
              <w:rPr>
                <w:sz w:val="18"/>
                <w:szCs w:val="18"/>
              </w:rPr>
            </w:pPr>
            <w:r>
              <w:rPr>
                <w:sz w:val="18"/>
              </w:rPr>
              <w:t>Podiumsdiskussion</w:t>
            </w:r>
          </w:p>
        </w:tc>
        <w:tc>
          <w:tcPr>
            <w:tcW w:w="2835" w:type="dxa"/>
          </w:tcPr>
          <w:p w:rsidR="0095641A" w:rsidRPr="0095641A" w:rsidRDefault="0095641A" w:rsidP="0095641A">
            <w:pPr>
              <w:tabs>
                <w:tab w:val="left" w:pos="567"/>
                <w:tab w:val="left" w:pos="1134"/>
                <w:tab w:val="left" w:pos="2268"/>
                <w:tab w:val="left" w:pos="2835"/>
                <w:tab w:val="left" w:pos="3402"/>
                <w:tab w:val="left" w:pos="3969"/>
                <w:tab w:val="left" w:pos="4536"/>
                <w:tab w:val="center" w:pos="5386"/>
              </w:tabs>
              <w:spacing w:line="276" w:lineRule="auto"/>
              <w:jc w:val="left"/>
              <w:rPr>
                <w:sz w:val="18"/>
                <w:szCs w:val="18"/>
              </w:rPr>
            </w:pPr>
            <w:r>
              <w:rPr>
                <w:sz w:val="18"/>
              </w:rPr>
              <w:t xml:space="preserve">Ashley </w:t>
            </w:r>
            <w:proofErr w:type="spellStart"/>
            <w:r>
              <w:rPr>
                <w:sz w:val="18"/>
              </w:rPr>
              <w:t>Balchin</w:t>
            </w:r>
            <w:proofErr w:type="spellEnd"/>
            <w:r>
              <w:rPr>
                <w:sz w:val="18"/>
              </w:rPr>
              <w:t xml:space="preserve"> (Vorsitz</w:t>
            </w:r>
            <w:r w:rsidR="00C94CB0">
              <w:rPr>
                <w:sz w:val="18"/>
              </w:rPr>
              <w:t>ender</w:t>
            </w:r>
            <w:r>
              <w:rPr>
                <w:sz w:val="18"/>
              </w:rPr>
              <w:t>/TWO); Marian van Leeuwen (Vorsitz/TWV); Renée Cloutier (Vorsitz</w:t>
            </w:r>
            <w:r w:rsidR="00C94CB0">
              <w:rPr>
                <w:sz w:val="18"/>
              </w:rPr>
              <w:t>ende</w:t>
            </w:r>
            <w:r>
              <w:rPr>
                <w:sz w:val="18"/>
              </w:rPr>
              <w:t>/TWA)</w:t>
            </w:r>
          </w:p>
        </w:tc>
        <w:tc>
          <w:tcPr>
            <w:tcW w:w="709" w:type="dxa"/>
          </w:tcPr>
          <w:p w:rsidR="0095641A" w:rsidRPr="0095641A" w:rsidRDefault="0095641A" w:rsidP="0095641A">
            <w:pPr>
              <w:spacing w:line="276" w:lineRule="auto"/>
              <w:rPr>
                <w:sz w:val="18"/>
                <w:szCs w:val="18"/>
              </w:rPr>
            </w:pPr>
            <w:r>
              <w:rPr>
                <w:sz w:val="18"/>
              </w:rPr>
              <w:t xml:space="preserve">12.40 </w:t>
            </w:r>
          </w:p>
        </w:tc>
      </w:tr>
      <w:tr w:rsidR="0095641A" w:rsidRPr="0095641A" w:rsidTr="006E6CDE">
        <w:tc>
          <w:tcPr>
            <w:tcW w:w="6663" w:type="dxa"/>
          </w:tcPr>
          <w:p w:rsidR="0095641A" w:rsidRPr="0095641A" w:rsidRDefault="0095641A" w:rsidP="0095641A">
            <w:pPr>
              <w:spacing w:line="276" w:lineRule="auto"/>
              <w:jc w:val="left"/>
              <w:rPr>
                <w:sz w:val="18"/>
                <w:szCs w:val="18"/>
              </w:rPr>
            </w:pPr>
            <w:r>
              <w:rPr>
                <w:sz w:val="18"/>
              </w:rPr>
              <w:t>Session zu Fragen und Antworten</w:t>
            </w:r>
          </w:p>
        </w:tc>
        <w:tc>
          <w:tcPr>
            <w:tcW w:w="2835" w:type="dxa"/>
          </w:tcPr>
          <w:p w:rsidR="0095641A" w:rsidRPr="0095641A" w:rsidRDefault="0095641A" w:rsidP="0095641A">
            <w:pPr>
              <w:spacing w:line="276" w:lineRule="auto"/>
              <w:jc w:val="left"/>
              <w:rPr>
                <w:sz w:val="18"/>
                <w:szCs w:val="18"/>
              </w:rPr>
            </w:pPr>
          </w:p>
        </w:tc>
        <w:tc>
          <w:tcPr>
            <w:tcW w:w="709" w:type="dxa"/>
          </w:tcPr>
          <w:p w:rsidR="0095641A" w:rsidRPr="0095641A" w:rsidRDefault="0095641A" w:rsidP="0095641A">
            <w:pPr>
              <w:spacing w:line="276" w:lineRule="auto"/>
              <w:rPr>
                <w:sz w:val="18"/>
                <w:szCs w:val="18"/>
              </w:rPr>
            </w:pPr>
            <w:r>
              <w:rPr>
                <w:sz w:val="18"/>
              </w:rPr>
              <w:t xml:space="preserve">13.10 </w:t>
            </w:r>
          </w:p>
        </w:tc>
      </w:tr>
    </w:tbl>
    <w:p w:rsidR="0095641A" w:rsidRPr="0095641A" w:rsidRDefault="0095641A" w:rsidP="0095641A">
      <w:pPr>
        <w:tabs>
          <w:tab w:val="left" w:pos="567"/>
          <w:tab w:val="left" w:pos="1134"/>
          <w:tab w:val="left" w:pos="2268"/>
          <w:tab w:val="left" w:pos="2835"/>
          <w:tab w:val="left" w:pos="3402"/>
          <w:tab w:val="left" w:pos="3969"/>
          <w:tab w:val="left" w:pos="4536"/>
          <w:tab w:val="center" w:pos="5386"/>
        </w:tabs>
        <w:spacing w:line="276" w:lineRule="auto"/>
        <w:rPr>
          <w:rFonts w:cs="Arial"/>
          <w:sz w:val="18"/>
          <w:szCs w:val="18"/>
          <w:u w:val="single"/>
        </w:rPr>
      </w:pPr>
    </w:p>
    <w:tbl>
      <w:tblPr>
        <w:tblStyle w:val="TableGrid"/>
        <w:tblW w:w="10207" w:type="dxa"/>
        <w:tblInd w:w="-289" w:type="dxa"/>
        <w:tblLook w:val="04A0" w:firstRow="1" w:lastRow="0" w:firstColumn="1" w:lastColumn="0" w:noHBand="0" w:noVBand="1"/>
      </w:tblPr>
      <w:tblGrid>
        <w:gridCol w:w="6663"/>
        <w:gridCol w:w="2835"/>
        <w:gridCol w:w="709"/>
      </w:tblGrid>
      <w:tr w:rsidR="0095641A" w:rsidRPr="004E51E2" w:rsidTr="006E6CDE">
        <w:tc>
          <w:tcPr>
            <w:tcW w:w="6663" w:type="dxa"/>
          </w:tcPr>
          <w:p w:rsidR="0095641A" w:rsidRPr="004E51E2" w:rsidRDefault="0095641A" w:rsidP="0095641A">
            <w:pPr>
              <w:spacing w:line="276" w:lineRule="auto"/>
              <w:jc w:val="left"/>
              <w:rPr>
                <w:color w:val="000000" w:themeColor="text1"/>
                <w:sz w:val="18"/>
                <w:szCs w:val="18"/>
              </w:rPr>
            </w:pPr>
            <w:r>
              <w:rPr>
                <w:color w:val="000000" w:themeColor="text1"/>
                <w:sz w:val="18"/>
              </w:rPr>
              <w:t>22. April 2021:  Webinar 4:  Verwendung molekularer Marker bei der DUS-Prüfung und die Rolle der BMT</w:t>
            </w:r>
          </w:p>
          <w:p w:rsidR="0095641A" w:rsidRPr="0095641A" w:rsidRDefault="0095641A" w:rsidP="0095641A">
            <w:pPr>
              <w:spacing w:line="276" w:lineRule="auto"/>
              <w:jc w:val="left"/>
              <w:rPr>
                <w:color w:val="000000" w:themeColor="text1"/>
                <w:sz w:val="18"/>
                <w:szCs w:val="18"/>
              </w:rPr>
            </w:pPr>
          </w:p>
        </w:tc>
        <w:tc>
          <w:tcPr>
            <w:tcW w:w="2835" w:type="dxa"/>
          </w:tcPr>
          <w:p w:rsidR="0095641A" w:rsidRPr="0095641A" w:rsidRDefault="0095641A" w:rsidP="0095641A">
            <w:pPr>
              <w:spacing w:line="276" w:lineRule="auto"/>
              <w:jc w:val="left"/>
              <w:rPr>
                <w:color w:val="000000" w:themeColor="text1"/>
                <w:sz w:val="18"/>
                <w:szCs w:val="18"/>
              </w:rPr>
            </w:pPr>
            <w:r>
              <w:rPr>
                <w:color w:val="000000" w:themeColor="text1"/>
                <w:sz w:val="18"/>
              </w:rPr>
              <w:t>Moderatoren / Diskussionsteilnehmer</w:t>
            </w:r>
          </w:p>
          <w:p w:rsidR="0095641A" w:rsidRPr="0095641A" w:rsidRDefault="0095641A" w:rsidP="0095641A">
            <w:pPr>
              <w:spacing w:line="276" w:lineRule="auto"/>
              <w:jc w:val="left"/>
              <w:rPr>
                <w:color w:val="000000" w:themeColor="text1"/>
                <w:sz w:val="18"/>
                <w:szCs w:val="18"/>
              </w:rPr>
            </w:pPr>
          </w:p>
        </w:tc>
        <w:tc>
          <w:tcPr>
            <w:tcW w:w="709" w:type="dxa"/>
          </w:tcPr>
          <w:p w:rsidR="0095641A" w:rsidRPr="0095641A" w:rsidRDefault="0095641A" w:rsidP="0095641A">
            <w:pPr>
              <w:spacing w:line="276" w:lineRule="auto"/>
              <w:rPr>
                <w:color w:val="000000" w:themeColor="text1"/>
                <w:sz w:val="18"/>
                <w:szCs w:val="18"/>
              </w:rPr>
            </w:pPr>
            <w:r>
              <w:rPr>
                <w:color w:val="000000" w:themeColor="text1"/>
                <w:sz w:val="18"/>
              </w:rPr>
              <w:t>Zeit</w:t>
            </w:r>
          </w:p>
        </w:tc>
      </w:tr>
      <w:tr w:rsidR="0095641A" w:rsidRPr="0095641A" w:rsidTr="006E6CDE">
        <w:tc>
          <w:tcPr>
            <w:tcW w:w="6663" w:type="dxa"/>
          </w:tcPr>
          <w:p w:rsidR="0095641A" w:rsidRPr="0095641A" w:rsidRDefault="0095641A" w:rsidP="0095641A">
            <w:pPr>
              <w:spacing w:line="276" w:lineRule="auto"/>
              <w:ind w:left="332" w:hanging="332"/>
              <w:jc w:val="left"/>
              <w:rPr>
                <w:sz w:val="18"/>
                <w:szCs w:val="18"/>
              </w:rPr>
            </w:pPr>
            <w:r>
              <w:rPr>
                <w:sz w:val="18"/>
              </w:rPr>
              <w:t xml:space="preserve">a) </w:t>
            </w:r>
            <w:r w:rsidR="00C94CB0">
              <w:rPr>
                <w:sz w:val="18"/>
              </w:rPr>
              <w:t xml:space="preserve">  </w:t>
            </w:r>
            <w:r>
              <w:rPr>
                <w:sz w:val="18"/>
              </w:rPr>
              <w:t>UPOV-Anleitung zur Verwendung molekularer Marker bei der DUS-Prüfung</w:t>
            </w:r>
          </w:p>
        </w:tc>
        <w:tc>
          <w:tcPr>
            <w:tcW w:w="2835" w:type="dxa"/>
          </w:tcPr>
          <w:p w:rsidR="0095641A" w:rsidRPr="0095641A" w:rsidRDefault="0095641A" w:rsidP="0095641A">
            <w:pPr>
              <w:spacing w:line="276" w:lineRule="auto"/>
              <w:jc w:val="left"/>
              <w:rPr>
                <w:sz w:val="18"/>
                <w:szCs w:val="18"/>
              </w:rPr>
            </w:pPr>
            <w:r>
              <w:rPr>
                <w:sz w:val="18"/>
              </w:rPr>
              <w:t>Leontino Taveira, UPOV</w:t>
            </w:r>
          </w:p>
        </w:tc>
        <w:tc>
          <w:tcPr>
            <w:tcW w:w="709" w:type="dxa"/>
          </w:tcPr>
          <w:p w:rsidR="0095641A" w:rsidRPr="0095641A" w:rsidRDefault="0095641A" w:rsidP="0095641A">
            <w:pPr>
              <w:spacing w:line="276" w:lineRule="auto"/>
              <w:rPr>
                <w:sz w:val="18"/>
                <w:szCs w:val="18"/>
              </w:rPr>
            </w:pPr>
            <w:r>
              <w:rPr>
                <w:sz w:val="18"/>
              </w:rPr>
              <w:t xml:space="preserve">12.00 </w:t>
            </w:r>
          </w:p>
        </w:tc>
      </w:tr>
      <w:tr w:rsidR="0095641A" w:rsidRPr="0095641A" w:rsidTr="006E6CDE">
        <w:tc>
          <w:tcPr>
            <w:tcW w:w="6663" w:type="dxa"/>
          </w:tcPr>
          <w:p w:rsidR="0095641A" w:rsidRPr="0095641A" w:rsidRDefault="0095641A" w:rsidP="0095641A">
            <w:pPr>
              <w:ind w:left="332" w:hanging="332"/>
              <w:rPr>
                <w:snapToGrid w:val="0"/>
                <w:sz w:val="18"/>
                <w:szCs w:val="18"/>
              </w:rPr>
            </w:pPr>
            <w:r>
              <w:rPr>
                <w:sz w:val="18"/>
              </w:rPr>
              <w:t>b)</w:t>
            </w:r>
            <w:r w:rsidR="00C94CB0">
              <w:rPr>
                <w:sz w:val="18"/>
              </w:rPr>
              <w:t xml:space="preserve"> </w:t>
            </w:r>
            <w:r>
              <w:rPr>
                <w:sz w:val="18"/>
              </w:rPr>
              <w:t xml:space="preserve"> </w:t>
            </w:r>
            <w:r w:rsidR="00C94CB0">
              <w:rPr>
                <w:sz w:val="18"/>
              </w:rPr>
              <w:t xml:space="preserve"> </w:t>
            </w:r>
            <w:r>
              <w:rPr>
                <w:sz w:val="18"/>
              </w:rPr>
              <w:t xml:space="preserve">Die Rolle der </w:t>
            </w:r>
            <w:r>
              <w:rPr>
                <w:snapToGrid w:val="0"/>
                <w:sz w:val="18"/>
              </w:rPr>
              <w:t xml:space="preserve">BMT </w:t>
            </w:r>
          </w:p>
        </w:tc>
        <w:tc>
          <w:tcPr>
            <w:tcW w:w="2835" w:type="dxa"/>
          </w:tcPr>
          <w:p w:rsidR="0095641A" w:rsidRPr="0095641A" w:rsidRDefault="0095641A" w:rsidP="0095641A">
            <w:pPr>
              <w:spacing w:line="276" w:lineRule="auto"/>
              <w:jc w:val="left"/>
              <w:rPr>
                <w:sz w:val="18"/>
                <w:szCs w:val="18"/>
              </w:rPr>
            </w:pPr>
            <w:r>
              <w:rPr>
                <w:sz w:val="18"/>
              </w:rPr>
              <w:t>Manabu Suzuki, UPOV</w:t>
            </w:r>
          </w:p>
        </w:tc>
        <w:tc>
          <w:tcPr>
            <w:tcW w:w="709" w:type="dxa"/>
          </w:tcPr>
          <w:p w:rsidR="0095641A" w:rsidRPr="0095641A" w:rsidRDefault="0095641A" w:rsidP="0095641A">
            <w:pPr>
              <w:spacing w:line="276" w:lineRule="auto"/>
              <w:rPr>
                <w:sz w:val="18"/>
                <w:szCs w:val="18"/>
              </w:rPr>
            </w:pPr>
            <w:r>
              <w:rPr>
                <w:sz w:val="18"/>
              </w:rPr>
              <w:t xml:space="preserve">12.15 </w:t>
            </w:r>
          </w:p>
        </w:tc>
      </w:tr>
      <w:tr w:rsidR="0095641A" w:rsidRPr="0095641A" w:rsidTr="006E6CDE">
        <w:tc>
          <w:tcPr>
            <w:tcW w:w="6663" w:type="dxa"/>
            <w:vAlign w:val="center"/>
          </w:tcPr>
          <w:p w:rsidR="0095641A" w:rsidRPr="0095641A" w:rsidRDefault="005620EA" w:rsidP="0095641A">
            <w:pPr>
              <w:spacing w:line="276" w:lineRule="auto"/>
              <w:jc w:val="left"/>
              <w:rPr>
                <w:sz w:val="18"/>
                <w:szCs w:val="18"/>
              </w:rPr>
            </w:pPr>
            <w:r>
              <w:rPr>
                <w:sz w:val="18"/>
              </w:rPr>
              <w:t>Podiumsdiskussion</w:t>
            </w:r>
          </w:p>
        </w:tc>
        <w:tc>
          <w:tcPr>
            <w:tcW w:w="2835" w:type="dxa"/>
          </w:tcPr>
          <w:p w:rsidR="0095641A" w:rsidRPr="0095641A" w:rsidRDefault="0095641A" w:rsidP="0095641A">
            <w:pPr>
              <w:spacing w:line="276" w:lineRule="auto"/>
              <w:rPr>
                <w:sz w:val="18"/>
                <w:szCs w:val="18"/>
              </w:rPr>
            </w:pPr>
            <w:r>
              <w:rPr>
                <w:sz w:val="18"/>
              </w:rPr>
              <w:t>Amanda van Dijk (NL);</w:t>
            </w:r>
          </w:p>
          <w:p w:rsidR="0095641A" w:rsidRPr="0095641A" w:rsidRDefault="0095641A" w:rsidP="0095641A">
            <w:pPr>
              <w:spacing w:line="276" w:lineRule="auto"/>
              <w:rPr>
                <w:rFonts w:eastAsia="Dotum"/>
                <w:sz w:val="18"/>
                <w:szCs w:val="18"/>
              </w:rPr>
            </w:pPr>
            <w:r>
              <w:rPr>
                <w:sz w:val="18"/>
              </w:rPr>
              <w:t>Jin-Kee Jung (KR);</w:t>
            </w:r>
          </w:p>
          <w:p w:rsidR="0095641A" w:rsidRPr="0095641A" w:rsidRDefault="0095641A" w:rsidP="0095641A">
            <w:pPr>
              <w:spacing w:line="276" w:lineRule="auto"/>
              <w:rPr>
                <w:sz w:val="18"/>
                <w:szCs w:val="18"/>
              </w:rPr>
            </w:pPr>
            <w:r>
              <w:rPr>
                <w:sz w:val="18"/>
              </w:rPr>
              <w:t>Mariano Mangeri (AR)</w:t>
            </w:r>
          </w:p>
        </w:tc>
        <w:tc>
          <w:tcPr>
            <w:tcW w:w="709" w:type="dxa"/>
          </w:tcPr>
          <w:p w:rsidR="0095641A" w:rsidRPr="0095641A" w:rsidRDefault="0095641A" w:rsidP="0095641A">
            <w:pPr>
              <w:spacing w:line="276" w:lineRule="auto"/>
              <w:rPr>
                <w:sz w:val="18"/>
                <w:szCs w:val="18"/>
              </w:rPr>
            </w:pPr>
            <w:r>
              <w:rPr>
                <w:sz w:val="18"/>
              </w:rPr>
              <w:t xml:space="preserve">12.25 </w:t>
            </w:r>
          </w:p>
        </w:tc>
      </w:tr>
      <w:tr w:rsidR="0095641A" w:rsidRPr="0095641A" w:rsidTr="006E6CDE">
        <w:tc>
          <w:tcPr>
            <w:tcW w:w="6663" w:type="dxa"/>
          </w:tcPr>
          <w:p w:rsidR="0095641A" w:rsidRPr="0095641A" w:rsidRDefault="0095641A" w:rsidP="0095641A">
            <w:pPr>
              <w:spacing w:line="276" w:lineRule="auto"/>
              <w:jc w:val="left"/>
              <w:rPr>
                <w:sz w:val="18"/>
                <w:szCs w:val="18"/>
              </w:rPr>
            </w:pPr>
            <w:r>
              <w:rPr>
                <w:sz w:val="18"/>
              </w:rPr>
              <w:t>Session zu Fragen und Antworten</w:t>
            </w:r>
          </w:p>
        </w:tc>
        <w:tc>
          <w:tcPr>
            <w:tcW w:w="2835" w:type="dxa"/>
          </w:tcPr>
          <w:p w:rsidR="0095641A" w:rsidRPr="0095641A" w:rsidRDefault="0095641A" w:rsidP="0095641A">
            <w:pPr>
              <w:spacing w:line="276" w:lineRule="auto"/>
              <w:jc w:val="left"/>
              <w:rPr>
                <w:sz w:val="18"/>
                <w:szCs w:val="18"/>
              </w:rPr>
            </w:pPr>
          </w:p>
        </w:tc>
        <w:tc>
          <w:tcPr>
            <w:tcW w:w="709" w:type="dxa"/>
          </w:tcPr>
          <w:p w:rsidR="0095641A" w:rsidRPr="0095641A" w:rsidRDefault="0095641A" w:rsidP="0095641A">
            <w:pPr>
              <w:spacing w:line="276" w:lineRule="auto"/>
              <w:rPr>
                <w:sz w:val="18"/>
                <w:szCs w:val="18"/>
              </w:rPr>
            </w:pPr>
            <w:r>
              <w:rPr>
                <w:sz w:val="18"/>
              </w:rPr>
              <w:t xml:space="preserve">13.00 </w:t>
            </w:r>
          </w:p>
        </w:tc>
      </w:tr>
    </w:tbl>
    <w:p w:rsidR="0095641A" w:rsidRDefault="0095641A" w:rsidP="0095641A">
      <w:pPr>
        <w:rPr>
          <w:rFonts w:cs="Arial"/>
        </w:rPr>
      </w:pPr>
    </w:p>
    <w:p w:rsidR="006E6CDE" w:rsidRPr="0095641A" w:rsidRDefault="006E6CDE" w:rsidP="0095641A">
      <w:pPr>
        <w:rPr>
          <w:rFonts w:cs="Arial"/>
        </w:rPr>
      </w:pPr>
      <w:bookmarkStart w:id="11" w:name="_GoBack"/>
      <w:bookmarkEnd w:id="11"/>
    </w:p>
    <w:p w:rsidR="00050E16" w:rsidRPr="00C5280D" w:rsidRDefault="00195A49" w:rsidP="009E349F">
      <w:pPr>
        <w:jc w:val="right"/>
      </w:pPr>
      <w:r>
        <w:rPr>
          <w:snapToGrid w:val="0"/>
        </w:rPr>
        <w:t>[Ende der Anlage und des Dokuments]</w:t>
      </w:r>
    </w:p>
    <w:sectPr w:rsidR="00050E16" w:rsidRPr="00C5280D" w:rsidSect="001F0E07">
      <w:headerReference w:type="first" r:id="rId12"/>
      <w:pgSz w:w="11907" w:h="16840" w:code="9"/>
      <w:pgMar w:top="510" w:right="1134" w:bottom="568"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BA4" w:rsidRDefault="006A2BA4" w:rsidP="006655D3">
      <w:r>
        <w:separator/>
      </w:r>
    </w:p>
    <w:p w:rsidR="006A2BA4" w:rsidRDefault="006A2BA4" w:rsidP="006655D3"/>
    <w:p w:rsidR="006A2BA4" w:rsidRDefault="006A2BA4" w:rsidP="006655D3"/>
  </w:endnote>
  <w:endnote w:type="continuationSeparator" w:id="0">
    <w:p w:rsidR="006A2BA4" w:rsidRDefault="006A2BA4" w:rsidP="006655D3">
      <w:r>
        <w:separator/>
      </w:r>
    </w:p>
    <w:p w:rsidR="006A2BA4" w:rsidRPr="00294751" w:rsidRDefault="006A2BA4">
      <w:pPr>
        <w:pStyle w:val="Footer"/>
        <w:spacing w:after="60"/>
        <w:rPr>
          <w:sz w:val="18"/>
          <w:lang w:val="fr-FR"/>
        </w:rPr>
      </w:pPr>
      <w:r w:rsidRPr="00294751">
        <w:rPr>
          <w:sz w:val="18"/>
          <w:lang w:val="fr-FR"/>
        </w:rPr>
        <w:t>[Suite de la note de la page précédente]</w:t>
      </w:r>
    </w:p>
    <w:p w:rsidR="006A2BA4" w:rsidRPr="00294751" w:rsidRDefault="006A2BA4" w:rsidP="006655D3">
      <w:pPr>
        <w:rPr>
          <w:lang w:val="fr-FR"/>
        </w:rPr>
      </w:pPr>
    </w:p>
    <w:p w:rsidR="006A2BA4" w:rsidRPr="00294751" w:rsidRDefault="006A2BA4" w:rsidP="006655D3">
      <w:pPr>
        <w:rPr>
          <w:lang w:val="fr-FR"/>
        </w:rPr>
      </w:pPr>
    </w:p>
  </w:endnote>
  <w:endnote w:type="continuationNotice" w:id="1">
    <w:p w:rsidR="006A2BA4" w:rsidRPr="00294751" w:rsidRDefault="006A2BA4" w:rsidP="006655D3">
      <w:pPr>
        <w:rPr>
          <w:lang w:val="fr-FR"/>
        </w:rPr>
      </w:pPr>
      <w:r w:rsidRPr="00294751">
        <w:rPr>
          <w:lang w:val="fr-FR"/>
        </w:rPr>
        <w:t>[Suite de la note page suivante]</w:t>
      </w:r>
    </w:p>
    <w:p w:rsidR="006A2BA4" w:rsidRPr="00294751" w:rsidRDefault="006A2BA4" w:rsidP="006655D3">
      <w:pPr>
        <w:rPr>
          <w:lang w:val="fr-FR"/>
        </w:rPr>
      </w:pPr>
    </w:p>
    <w:p w:rsidR="006A2BA4" w:rsidRPr="00294751" w:rsidRDefault="006A2B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BA4" w:rsidRDefault="006A2BA4" w:rsidP="006655D3">
      <w:r>
        <w:separator/>
      </w:r>
    </w:p>
  </w:footnote>
  <w:footnote w:type="continuationSeparator" w:id="0">
    <w:p w:rsidR="006A2BA4" w:rsidRDefault="006A2BA4" w:rsidP="006655D3">
      <w:r>
        <w:separator/>
      </w:r>
    </w:p>
  </w:footnote>
  <w:footnote w:type="continuationNotice" w:id="1">
    <w:p w:rsidR="006A2BA4" w:rsidRPr="00AB530F" w:rsidRDefault="006A2BA4" w:rsidP="00AB530F">
      <w:pPr>
        <w:pStyle w:val="Footer"/>
      </w:pPr>
    </w:p>
  </w:footnote>
  <w:footnote w:id="2">
    <w:p w:rsidR="00195A49" w:rsidRDefault="00195A49" w:rsidP="00195A49">
      <w:pPr>
        <w:pStyle w:val="FootnoteText"/>
      </w:pPr>
      <w:r>
        <w:rPr>
          <w:rStyle w:val="FootnoteReference"/>
        </w:rPr>
        <w:footnoteRef/>
      </w:r>
      <w:r w:rsidR="00C94CB0">
        <w:t xml:space="preserve"> </w:t>
      </w:r>
      <w:r>
        <w:t>abgehalten vom 15. bis 17. April 2002 in Genf.</w:t>
      </w:r>
    </w:p>
  </w:footnote>
  <w:footnote w:id="3">
    <w:p w:rsidR="00195A49" w:rsidRDefault="00195A49" w:rsidP="00195A49">
      <w:pPr>
        <w:pStyle w:val="FootnoteText"/>
      </w:pPr>
      <w:r>
        <w:rPr>
          <w:rStyle w:val="FootnoteReference"/>
        </w:rPr>
        <w:footnoteRef/>
      </w:r>
      <w:r>
        <w:t xml:space="preserve"> </w:t>
      </w:r>
      <w:r>
        <w:rPr>
          <w:snapToGrid w:val="0"/>
        </w:rPr>
        <w:t>abgehalten am 28. und 29. Oktober 2019 in Genf</w:t>
      </w:r>
    </w:p>
  </w:footnote>
  <w:footnote w:id="4">
    <w:p w:rsidR="00C07812" w:rsidRDefault="00C07812" w:rsidP="006E6CDE">
      <w:pPr>
        <w:pStyle w:val="FootnoteText"/>
      </w:pPr>
      <w:r>
        <w:rPr>
          <w:rStyle w:val="FootnoteReference"/>
        </w:rPr>
        <w:footnoteRef/>
      </w:r>
      <w:r>
        <w:t xml:space="preserve"> </w:t>
      </w:r>
      <w:r>
        <w:rPr>
          <w:snapToGrid w:val="0"/>
        </w:rPr>
        <w:t>abgehalten am 26. und 27. Oktober 2020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677D33" w:rsidP="00EB048E">
    <w:pPr>
      <w:pStyle w:val="Header"/>
      <w:rPr>
        <w:rStyle w:val="PageNumber"/>
      </w:rPr>
    </w:pPr>
    <w:r>
      <w:rPr>
        <w:rStyle w:val="PageNumber"/>
      </w:rPr>
      <w:t>TC/57/13</w:t>
    </w:r>
  </w:p>
  <w:p w:rsidR="0004198B" w:rsidRPr="00C5280D" w:rsidRDefault="0004198B"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E6CDE">
      <w:rPr>
        <w:rStyle w:val="PageNumber"/>
        <w:noProof/>
      </w:rPr>
      <w:t>4</w:t>
    </w:r>
    <w:r w:rsidRPr="00C5280D">
      <w:rPr>
        <w:rStyle w:val="PageNumber"/>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41A" w:rsidRPr="00C5280D" w:rsidRDefault="0095641A" w:rsidP="0095641A">
    <w:pPr>
      <w:pStyle w:val="Header"/>
      <w:rPr>
        <w:rStyle w:val="PageNumber"/>
      </w:rPr>
    </w:pPr>
    <w:r>
      <w:rPr>
        <w:rStyle w:val="PageNumber"/>
      </w:rPr>
      <w:t>TC/57/13</w:t>
    </w:r>
  </w:p>
  <w:p w:rsidR="0095641A" w:rsidRDefault="0095641A" w:rsidP="0095641A">
    <w:pPr>
      <w:pStyle w:val="Header"/>
      <w:rPr>
        <w:lang w:val="en-US"/>
      </w:rPr>
    </w:pPr>
  </w:p>
  <w:p w:rsidR="0095641A" w:rsidRPr="00C5280D" w:rsidRDefault="0095641A" w:rsidP="0095641A">
    <w:pPr>
      <w:pStyle w:val="Header"/>
    </w:pPr>
    <w:r>
      <w:t>ANLAGE</w:t>
    </w:r>
  </w:p>
  <w:p w:rsidR="0095641A" w:rsidRPr="0004198B" w:rsidRDefault="0095641A"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4EA"/>
    <w:multiLevelType w:val="hybridMultilevel"/>
    <w:tmpl w:val="6A4C8346"/>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04070017">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15:restartNumberingAfterBreak="0">
    <w:nsid w:val="2C0151A4"/>
    <w:multiLevelType w:val="hybridMultilevel"/>
    <w:tmpl w:val="73088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D0482C"/>
    <w:multiLevelType w:val="hybridMultilevel"/>
    <w:tmpl w:val="FF1A0C38"/>
    <w:lvl w:ilvl="0" w:tplc="04070017">
      <w:start w:val="1"/>
      <w:numFmt w:val="lowerLetter"/>
      <w:lvlText w:val="%1)"/>
      <w:lvlJc w:val="left"/>
      <w:pPr>
        <w:tabs>
          <w:tab w:val="num" w:pos="3957"/>
        </w:tabs>
        <w:ind w:left="3957" w:hanging="555"/>
      </w:pPr>
    </w:lvl>
    <w:lvl w:ilvl="1" w:tplc="04090019">
      <w:start w:val="1"/>
      <w:numFmt w:val="lowerLetter"/>
      <w:lvlText w:val="%2."/>
      <w:lvlJc w:val="left"/>
      <w:pPr>
        <w:tabs>
          <w:tab w:val="num" w:pos="3708"/>
        </w:tabs>
        <w:ind w:left="3708" w:hanging="360"/>
      </w:pPr>
    </w:lvl>
    <w:lvl w:ilvl="2" w:tplc="0409001B">
      <w:start w:val="1"/>
      <w:numFmt w:val="lowerRoman"/>
      <w:lvlText w:val="%3."/>
      <w:lvlJc w:val="right"/>
      <w:pPr>
        <w:tabs>
          <w:tab w:val="num" w:pos="4428"/>
        </w:tabs>
        <w:ind w:left="4428" w:hanging="180"/>
      </w:pPr>
    </w:lvl>
    <w:lvl w:ilvl="3" w:tplc="0409000F">
      <w:start w:val="1"/>
      <w:numFmt w:val="decimal"/>
      <w:lvlText w:val="%4."/>
      <w:lvlJc w:val="left"/>
      <w:pPr>
        <w:tabs>
          <w:tab w:val="num" w:pos="5148"/>
        </w:tabs>
        <w:ind w:left="5148" w:hanging="360"/>
      </w:pPr>
    </w:lvl>
    <w:lvl w:ilvl="4" w:tplc="04090019">
      <w:start w:val="1"/>
      <w:numFmt w:val="lowerLetter"/>
      <w:lvlText w:val="%5."/>
      <w:lvlJc w:val="left"/>
      <w:pPr>
        <w:tabs>
          <w:tab w:val="num" w:pos="5868"/>
        </w:tabs>
        <w:ind w:left="5868" w:hanging="360"/>
      </w:pPr>
    </w:lvl>
    <w:lvl w:ilvl="5" w:tplc="0409001B">
      <w:start w:val="1"/>
      <w:numFmt w:val="lowerRoman"/>
      <w:lvlText w:val="%6."/>
      <w:lvlJc w:val="right"/>
      <w:pPr>
        <w:tabs>
          <w:tab w:val="num" w:pos="6588"/>
        </w:tabs>
        <w:ind w:left="6588" w:hanging="180"/>
      </w:pPr>
    </w:lvl>
    <w:lvl w:ilvl="6" w:tplc="0409000F">
      <w:start w:val="1"/>
      <w:numFmt w:val="decimal"/>
      <w:lvlText w:val="%7."/>
      <w:lvlJc w:val="left"/>
      <w:pPr>
        <w:tabs>
          <w:tab w:val="num" w:pos="7308"/>
        </w:tabs>
        <w:ind w:left="7308" w:hanging="360"/>
      </w:pPr>
    </w:lvl>
    <w:lvl w:ilvl="7" w:tplc="04090019">
      <w:start w:val="1"/>
      <w:numFmt w:val="lowerLetter"/>
      <w:lvlText w:val="%8."/>
      <w:lvlJc w:val="left"/>
      <w:pPr>
        <w:tabs>
          <w:tab w:val="num" w:pos="8028"/>
        </w:tabs>
        <w:ind w:left="8028" w:hanging="360"/>
      </w:pPr>
    </w:lvl>
    <w:lvl w:ilvl="8" w:tplc="0409001B">
      <w:start w:val="1"/>
      <w:numFmt w:val="lowerRoman"/>
      <w:lvlText w:val="%9."/>
      <w:lvlJc w:val="right"/>
      <w:pPr>
        <w:tabs>
          <w:tab w:val="num" w:pos="8748"/>
        </w:tabs>
        <w:ind w:left="8748" w:hanging="180"/>
      </w:p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03F7B"/>
    <w:multiLevelType w:val="hybridMultilevel"/>
    <w:tmpl w:val="19D4645E"/>
    <w:lvl w:ilvl="0" w:tplc="0407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699D0B31"/>
    <w:multiLevelType w:val="hybridMultilevel"/>
    <w:tmpl w:val="68DA13B6"/>
    <w:lvl w:ilvl="0" w:tplc="04070017">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8" w15:restartNumberingAfterBreak="0">
    <w:nsid w:val="7EAE3516"/>
    <w:multiLevelType w:val="hybridMultilevel"/>
    <w:tmpl w:val="E6284F48"/>
    <w:lvl w:ilvl="0" w:tplc="A49C906C">
      <w:start w:val="1"/>
      <w:numFmt w:val="bullet"/>
      <w:lvlText w:val="-"/>
      <w:lvlJc w:val="left"/>
      <w:pPr>
        <w:tabs>
          <w:tab w:val="num" w:pos="2064"/>
        </w:tabs>
        <w:ind w:left="2064" w:hanging="360"/>
      </w:pPr>
      <w:rPr>
        <w:rFonts w:ascii="Courier New" w:hAnsi="Courier New" w:cs="Times New Roman" w:hint="default"/>
      </w:rPr>
    </w:lvl>
    <w:lvl w:ilvl="1" w:tplc="04070017">
      <w:start w:val="1"/>
      <w:numFmt w:val="lowerLetter"/>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2"/>
  </w:num>
  <w:num w:numId="7">
    <w:abstractNumId w:val="8"/>
  </w:num>
  <w:num w:numId="8">
    <w:abstractNumId w:val="5"/>
  </w:num>
  <w:num w:numId="9">
    <w:abstractNumId w:val="8"/>
  </w:num>
  <w:num w:numId="10">
    <w:abstractNumId w:val="7"/>
  </w:num>
  <w:num w:numId="11">
    <w:abstractNumId w:val="6"/>
  </w:num>
  <w:num w:numId="12">
    <w:abstractNumId w:val="2"/>
  </w:num>
  <w:num w:numId="13">
    <w:abstractNumId w:val="0"/>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26F2C"/>
    <w:rsid w:val="00030854"/>
    <w:rsid w:val="00036028"/>
    <w:rsid w:val="0004198B"/>
    <w:rsid w:val="00044642"/>
    <w:rsid w:val="000446B9"/>
    <w:rsid w:val="00047E21"/>
    <w:rsid w:val="00050E16"/>
    <w:rsid w:val="00066120"/>
    <w:rsid w:val="00085505"/>
    <w:rsid w:val="000C4E25"/>
    <w:rsid w:val="000C7021"/>
    <w:rsid w:val="000D6BBC"/>
    <w:rsid w:val="000D7780"/>
    <w:rsid w:val="000E636A"/>
    <w:rsid w:val="000F0068"/>
    <w:rsid w:val="000F2F11"/>
    <w:rsid w:val="00100A5F"/>
    <w:rsid w:val="00105929"/>
    <w:rsid w:val="00110BED"/>
    <w:rsid w:val="00110C36"/>
    <w:rsid w:val="001131D5"/>
    <w:rsid w:val="00114547"/>
    <w:rsid w:val="00141DB8"/>
    <w:rsid w:val="00143BC2"/>
    <w:rsid w:val="00147A23"/>
    <w:rsid w:val="0016506C"/>
    <w:rsid w:val="00172084"/>
    <w:rsid w:val="0017474A"/>
    <w:rsid w:val="001758C6"/>
    <w:rsid w:val="00182B99"/>
    <w:rsid w:val="00195A49"/>
    <w:rsid w:val="001C1525"/>
    <w:rsid w:val="001D60D6"/>
    <w:rsid w:val="001F0E07"/>
    <w:rsid w:val="0021332C"/>
    <w:rsid w:val="00213982"/>
    <w:rsid w:val="00217FBB"/>
    <w:rsid w:val="002358E3"/>
    <w:rsid w:val="0024416D"/>
    <w:rsid w:val="00257210"/>
    <w:rsid w:val="00263255"/>
    <w:rsid w:val="00271911"/>
    <w:rsid w:val="00273187"/>
    <w:rsid w:val="00275909"/>
    <w:rsid w:val="002800A0"/>
    <w:rsid w:val="002801B3"/>
    <w:rsid w:val="00281060"/>
    <w:rsid w:val="00284050"/>
    <w:rsid w:val="00285BD0"/>
    <w:rsid w:val="002940E8"/>
    <w:rsid w:val="00294751"/>
    <w:rsid w:val="002A6E50"/>
    <w:rsid w:val="002B4298"/>
    <w:rsid w:val="002B7A36"/>
    <w:rsid w:val="002C256A"/>
    <w:rsid w:val="002D5226"/>
    <w:rsid w:val="002E194F"/>
    <w:rsid w:val="002E58FF"/>
    <w:rsid w:val="00305A7F"/>
    <w:rsid w:val="003152FE"/>
    <w:rsid w:val="00327436"/>
    <w:rsid w:val="00332ED5"/>
    <w:rsid w:val="0033773D"/>
    <w:rsid w:val="00344BD6"/>
    <w:rsid w:val="0035096E"/>
    <w:rsid w:val="0035528D"/>
    <w:rsid w:val="00361821"/>
    <w:rsid w:val="00361E9E"/>
    <w:rsid w:val="003753EE"/>
    <w:rsid w:val="003A0835"/>
    <w:rsid w:val="003A5AAF"/>
    <w:rsid w:val="003B700A"/>
    <w:rsid w:val="003C7FBE"/>
    <w:rsid w:val="003D227C"/>
    <w:rsid w:val="003D2B4D"/>
    <w:rsid w:val="003D5419"/>
    <w:rsid w:val="003F37F5"/>
    <w:rsid w:val="003F74D4"/>
    <w:rsid w:val="00444A88"/>
    <w:rsid w:val="00445B73"/>
    <w:rsid w:val="00474DA4"/>
    <w:rsid w:val="00476584"/>
    <w:rsid w:val="00476B4D"/>
    <w:rsid w:val="004805FA"/>
    <w:rsid w:val="00481798"/>
    <w:rsid w:val="004935D2"/>
    <w:rsid w:val="004B1215"/>
    <w:rsid w:val="004D047D"/>
    <w:rsid w:val="004E51E2"/>
    <w:rsid w:val="004F1896"/>
    <w:rsid w:val="004F1E9E"/>
    <w:rsid w:val="004F305A"/>
    <w:rsid w:val="00501DB4"/>
    <w:rsid w:val="00512164"/>
    <w:rsid w:val="00520297"/>
    <w:rsid w:val="005253DA"/>
    <w:rsid w:val="00532A66"/>
    <w:rsid w:val="005338F9"/>
    <w:rsid w:val="0054281C"/>
    <w:rsid w:val="00544581"/>
    <w:rsid w:val="0055268D"/>
    <w:rsid w:val="005620EA"/>
    <w:rsid w:val="00575DE2"/>
    <w:rsid w:val="00576BE4"/>
    <w:rsid w:val="005779DB"/>
    <w:rsid w:val="00586782"/>
    <w:rsid w:val="005A2A67"/>
    <w:rsid w:val="005A400A"/>
    <w:rsid w:val="005B269D"/>
    <w:rsid w:val="005E29EE"/>
    <w:rsid w:val="005F7B92"/>
    <w:rsid w:val="00612379"/>
    <w:rsid w:val="006153B6"/>
    <w:rsid w:val="0061555F"/>
    <w:rsid w:val="006245ED"/>
    <w:rsid w:val="00636CA6"/>
    <w:rsid w:val="00641200"/>
    <w:rsid w:val="00645CA8"/>
    <w:rsid w:val="006655D3"/>
    <w:rsid w:val="00667404"/>
    <w:rsid w:val="00677D33"/>
    <w:rsid w:val="00687EB4"/>
    <w:rsid w:val="00694814"/>
    <w:rsid w:val="00695C56"/>
    <w:rsid w:val="006A2BA4"/>
    <w:rsid w:val="006A5CDE"/>
    <w:rsid w:val="006A644A"/>
    <w:rsid w:val="006B17D2"/>
    <w:rsid w:val="006C224E"/>
    <w:rsid w:val="006D780A"/>
    <w:rsid w:val="006E6CDE"/>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26928"/>
    <w:rsid w:val="00831964"/>
    <w:rsid w:val="00831EF9"/>
    <w:rsid w:val="00846D7C"/>
    <w:rsid w:val="00867AC1"/>
    <w:rsid w:val="008751DE"/>
    <w:rsid w:val="00890DF8"/>
    <w:rsid w:val="008A0ADE"/>
    <w:rsid w:val="008A743F"/>
    <w:rsid w:val="008C0970"/>
    <w:rsid w:val="008D0BC5"/>
    <w:rsid w:val="008D2CF7"/>
    <w:rsid w:val="008F3E73"/>
    <w:rsid w:val="00900C26"/>
    <w:rsid w:val="0090197F"/>
    <w:rsid w:val="00903264"/>
    <w:rsid w:val="00906DDC"/>
    <w:rsid w:val="00910AE0"/>
    <w:rsid w:val="00931592"/>
    <w:rsid w:val="00934E09"/>
    <w:rsid w:val="00935176"/>
    <w:rsid w:val="00936253"/>
    <w:rsid w:val="00940D46"/>
    <w:rsid w:val="009413F1"/>
    <w:rsid w:val="00952DD4"/>
    <w:rsid w:val="009561F4"/>
    <w:rsid w:val="0095641A"/>
    <w:rsid w:val="00957632"/>
    <w:rsid w:val="0096531C"/>
    <w:rsid w:val="00965AE7"/>
    <w:rsid w:val="00970FED"/>
    <w:rsid w:val="00985E41"/>
    <w:rsid w:val="00992D82"/>
    <w:rsid w:val="00997029"/>
    <w:rsid w:val="009A7339"/>
    <w:rsid w:val="009B440E"/>
    <w:rsid w:val="009D690D"/>
    <w:rsid w:val="009E349F"/>
    <w:rsid w:val="009E65B6"/>
    <w:rsid w:val="009F0A51"/>
    <w:rsid w:val="009F0B7F"/>
    <w:rsid w:val="009F77CF"/>
    <w:rsid w:val="00A12795"/>
    <w:rsid w:val="00A24C10"/>
    <w:rsid w:val="00A415E5"/>
    <w:rsid w:val="00A42AC3"/>
    <w:rsid w:val="00A430CF"/>
    <w:rsid w:val="00A54309"/>
    <w:rsid w:val="00A610A9"/>
    <w:rsid w:val="00A64DE6"/>
    <w:rsid w:val="00A80F2A"/>
    <w:rsid w:val="00A96C33"/>
    <w:rsid w:val="00AB2B93"/>
    <w:rsid w:val="00AB530F"/>
    <w:rsid w:val="00AB7E5B"/>
    <w:rsid w:val="00AC2883"/>
    <w:rsid w:val="00AE0EF1"/>
    <w:rsid w:val="00AE2937"/>
    <w:rsid w:val="00B07301"/>
    <w:rsid w:val="00B11F3E"/>
    <w:rsid w:val="00B13125"/>
    <w:rsid w:val="00B16CF1"/>
    <w:rsid w:val="00B224DE"/>
    <w:rsid w:val="00B324D4"/>
    <w:rsid w:val="00B46575"/>
    <w:rsid w:val="00B556C8"/>
    <w:rsid w:val="00B61777"/>
    <w:rsid w:val="00B622E6"/>
    <w:rsid w:val="00B83E82"/>
    <w:rsid w:val="00B84BBD"/>
    <w:rsid w:val="00BA43FB"/>
    <w:rsid w:val="00BB33C5"/>
    <w:rsid w:val="00BC127D"/>
    <w:rsid w:val="00BC1FE6"/>
    <w:rsid w:val="00C061B6"/>
    <w:rsid w:val="00C07812"/>
    <w:rsid w:val="00C2446C"/>
    <w:rsid w:val="00C2637C"/>
    <w:rsid w:val="00C36AE5"/>
    <w:rsid w:val="00C41F17"/>
    <w:rsid w:val="00C527FA"/>
    <w:rsid w:val="00C5280D"/>
    <w:rsid w:val="00C53EB3"/>
    <w:rsid w:val="00C54718"/>
    <w:rsid w:val="00C5791C"/>
    <w:rsid w:val="00C6479F"/>
    <w:rsid w:val="00C66290"/>
    <w:rsid w:val="00C72221"/>
    <w:rsid w:val="00C72B7A"/>
    <w:rsid w:val="00C94CB0"/>
    <w:rsid w:val="00C97118"/>
    <w:rsid w:val="00C973F2"/>
    <w:rsid w:val="00CA304C"/>
    <w:rsid w:val="00CA46B9"/>
    <w:rsid w:val="00CA774A"/>
    <w:rsid w:val="00CB4921"/>
    <w:rsid w:val="00CC11B0"/>
    <w:rsid w:val="00CC2841"/>
    <w:rsid w:val="00CD68AC"/>
    <w:rsid w:val="00CF1330"/>
    <w:rsid w:val="00CF7E36"/>
    <w:rsid w:val="00D16E64"/>
    <w:rsid w:val="00D31BFA"/>
    <w:rsid w:val="00D3708D"/>
    <w:rsid w:val="00D40426"/>
    <w:rsid w:val="00D57C96"/>
    <w:rsid w:val="00D57D18"/>
    <w:rsid w:val="00D70E65"/>
    <w:rsid w:val="00D91203"/>
    <w:rsid w:val="00D95174"/>
    <w:rsid w:val="00DA4973"/>
    <w:rsid w:val="00DA6F36"/>
    <w:rsid w:val="00DB596E"/>
    <w:rsid w:val="00DB7773"/>
    <w:rsid w:val="00DC00EA"/>
    <w:rsid w:val="00DC3802"/>
    <w:rsid w:val="00DD00C2"/>
    <w:rsid w:val="00DD6208"/>
    <w:rsid w:val="00DF4ADC"/>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0686"/>
    <w:rsid w:val="00EB4E9C"/>
    <w:rsid w:val="00EC634B"/>
    <w:rsid w:val="00EE34DF"/>
    <w:rsid w:val="00EF2F89"/>
    <w:rsid w:val="00F03E98"/>
    <w:rsid w:val="00F04F96"/>
    <w:rsid w:val="00F1237A"/>
    <w:rsid w:val="00F22CBD"/>
    <w:rsid w:val="00F272F1"/>
    <w:rsid w:val="00F31412"/>
    <w:rsid w:val="00F45372"/>
    <w:rsid w:val="00F50B1A"/>
    <w:rsid w:val="00F560F7"/>
    <w:rsid w:val="00F62FC5"/>
    <w:rsid w:val="00F6334D"/>
    <w:rsid w:val="00F63599"/>
    <w:rsid w:val="00F63CFA"/>
    <w:rsid w:val="00F71781"/>
    <w:rsid w:val="00F7581E"/>
    <w:rsid w:val="00F84571"/>
    <w:rsid w:val="00FA49AB"/>
    <w:rsid w:val="00FA7D5A"/>
    <w:rsid w:val="00FC55E7"/>
    <w:rsid w:val="00FC5FD0"/>
    <w:rsid w:val="00FE39C7"/>
    <w:rsid w:val="00FE5230"/>
    <w:rsid w:val="00FE7E0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566E4E"/>
  <w15:docId w15:val="{A395D7DF-2A18-44C2-B27F-DF157F9B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CD68AC"/>
    <w:pPr>
      <w:keepNext/>
      <w:jc w:val="both"/>
      <w:outlineLvl w:val="1"/>
    </w:pPr>
    <w:rPr>
      <w:rFonts w:ascii="Arial" w:hAnsi="Arial"/>
      <w:snapToGrid w:val="0"/>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rsid w:val="001F0E07"/>
    <w:pPr>
      <w:tabs>
        <w:tab w:val="right" w:leader="dot" w:pos="9639"/>
      </w:tabs>
      <w:ind w:left="568" w:right="851" w:hanging="284"/>
      <w:contextualSpacing/>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1F0E07"/>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95A49"/>
    <w:pPr>
      <w:ind w:left="720"/>
      <w:contextualSpacing/>
    </w:pPr>
  </w:style>
  <w:style w:type="paragraph" w:styleId="BodyTextIndent3">
    <w:name w:val="Body Text Indent 3"/>
    <w:basedOn w:val="Normal"/>
    <w:link w:val="BodyTextIndent3Char"/>
    <w:rsid w:val="00195A49"/>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195A49"/>
    <w:rPr>
      <w:rFonts w:cs="Angsana New"/>
      <w:color w:val="000000"/>
      <w:sz w:val="24"/>
      <w:szCs w:val="24"/>
      <w:lang w:eastAsia="ja-JP" w:bidi="th-TH"/>
    </w:rPr>
  </w:style>
  <w:style w:type="table" w:styleId="TableGrid">
    <w:name w:val="Table Grid"/>
    <w:basedOn w:val="TableNormal"/>
    <w:rsid w:val="0095641A"/>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4228">
      <w:bodyDiv w:val="1"/>
      <w:marLeft w:val="0"/>
      <w:marRight w:val="0"/>
      <w:marTop w:val="0"/>
      <w:marBottom w:val="0"/>
      <w:divBdr>
        <w:top w:val="none" w:sz="0" w:space="0" w:color="auto"/>
        <w:left w:val="none" w:sz="0" w:space="0" w:color="auto"/>
        <w:bottom w:val="none" w:sz="0" w:space="0" w:color="auto"/>
        <w:right w:val="none" w:sz="0" w:space="0" w:color="auto"/>
      </w:divBdr>
    </w:div>
    <w:div w:id="803427527">
      <w:bodyDiv w:val="1"/>
      <w:marLeft w:val="0"/>
      <w:marRight w:val="0"/>
      <w:marTop w:val="0"/>
      <w:marBottom w:val="0"/>
      <w:divBdr>
        <w:top w:val="none" w:sz="0" w:space="0" w:color="auto"/>
        <w:left w:val="none" w:sz="0" w:space="0" w:color="auto"/>
        <w:bottom w:val="none" w:sz="0" w:space="0" w:color="auto"/>
        <w:right w:val="none" w:sz="0" w:space="0" w:color="auto"/>
      </w:divBdr>
    </w:div>
    <w:div w:id="1930890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user/upov" TargetMode="External"/><Relationship Id="rId4" Type="http://schemas.openxmlformats.org/officeDocument/2006/relationships/settings" Target="settings.xml"/><Relationship Id="rId9" Type="http://schemas.openxmlformats.org/officeDocument/2006/relationships/hyperlink" Target="https://www.upov.int/meetings/en/web%20%20inar_video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5DF9F-67B2-4670-A9E7-FD06E5AFE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1484</Words>
  <Characters>10909</Characters>
  <Application>Microsoft Office Word</Application>
  <DocSecurity>0</DocSecurity>
  <Lines>90</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TC/57/13</vt:lpstr>
      <vt:lpstr>TC/57/13</vt:lpstr>
    </vt:vector>
  </TitlesOfParts>
  <Company>UPOV</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TC/57/13</dc:title>
  <dc:creator>SANCHEZ VIZCAINO GOMEZ Rosa Maria</dc:creator>
  <cp:lastModifiedBy>SANCHEZ VIZCAINO GOMEZ Rosa Maria</cp:lastModifiedBy>
  <cp:revision>6</cp:revision>
  <cp:lastPrinted>2021-06-10T11:59:00Z</cp:lastPrinted>
  <dcterms:created xsi:type="dcterms:W3CDTF">2021-06-14T09:56:00Z</dcterms:created>
  <dcterms:modified xsi:type="dcterms:W3CDTF">2021-06-15T17:21:00Z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3c2526ea-7cac-40e9-8a56-ba3bb81e63b5</vt:lpwstr>
  </property>
</Properties>
</file>