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E75233">
            <w:pPr>
              <w:pStyle w:val="Sessiontcplacedate"/>
              <w:rPr>
                <w:sz w:val="22"/>
              </w:rPr>
            </w:pPr>
            <w:r>
              <w:t>Sechsundfünfzigste Tagung</w:t>
            </w:r>
            <w:r>
              <w:br/>
              <w:t>Genf, 26. und 27. Oktober 2020</w:t>
            </w:r>
          </w:p>
        </w:tc>
        <w:tc>
          <w:tcPr>
            <w:tcW w:w="3127" w:type="dxa"/>
          </w:tcPr>
          <w:p w:rsidR="00EB4E9C" w:rsidRPr="003C7FBE" w:rsidRDefault="00A7706A" w:rsidP="003C7FBE">
            <w:pPr>
              <w:pStyle w:val="Doccode"/>
            </w:pPr>
            <w:r>
              <w:t>TC/56/INF/6</w:t>
            </w:r>
          </w:p>
          <w:p w:rsidR="00EB4E9C" w:rsidRPr="003C7FBE" w:rsidRDefault="00EB4E9C" w:rsidP="003C7FBE">
            <w:pPr>
              <w:pStyle w:val="Docoriginal"/>
            </w:pPr>
            <w:r>
              <w:t>Original:</w:t>
            </w:r>
            <w:r>
              <w:rPr>
                <w:b w:val="0"/>
              </w:rPr>
              <w:t xml:space="preserve">  englisch</w:t>
            </w:r>
          </w:p>
          <w:p w:rsidR="00EB4E9C" w:rsidRPr="007C1D92" w:rsidRDefault="00EB4E9C" w:rsidP="00E3473F">
            <w:pPr>
              <w:pStyle w:val="Docoriginal"/>
            </w:pPr>
            <w:r>
              <w:t>Datum:</w:t>
            </w:r>
            <w:r>
              <w:rPr>
                <w:b w:val="0"/>
              </w:rPr>
              <w:t xml:space="preserve">  </w:t>
            </w:r>
            <w:r w:rsidRPr="00EF6AC0">
              <w:rPr>
                <w:b w:val="0"/>
              </w:rPr>
              <w:t>15. Oktober 2020</w:t>
            </w:r>
          </w:p>
        </w:tc>
      </w:tr>
    </w:tbl>
    <w:p w:rsidR="000D7780" w:rsidRPr="007645F2" w:rsidRDefault="00A7706A" w:rsidP="006A644A">
      <w:pPr>
        <w:pStyle w:val="Titleofdoc0"/>
      </w:pPr>
      <w:bookmarkStart w:id="0" w:name="TitleOfDoc"/>
      <w:bookmarkEnd w:id="0"/>
      <w:r>
        <w:t>Molekulare Verfahren – Angelegenheiten zur Information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6C5657" w:rsidRPr="00440683" w:rsidRDefault="006C5657" w:rsidP="006C5657">
      <w:pPr>
        <w:pStyle w:val="Heading1"/>
      </w:pPr>
      <w:bookmarkStart w:id="2" w:name="_Toc54021327"/>
      <w:r>
        <w:t>Zusammenfassung</w:t>
      </w:r>
      <w:bookmarkEnd w:id="2"/>
    </w:p>
    <w:p w:rsidR="006C5657" w:rsidRPr="00DF1E9C" w:rsidRDefault="006C5657" w:rsidP="006C5657">
      <w:pPr>
        <w:rPr>
          <w:sz w:val="18"/>
          <w:lang w:eastAsia="ja-JP"/>
        </w:rPr>
      </w:pPr>
    </w:p>
    <w:p w:rsidR="006C5657" w:rsidRPr="002310E5" w:rsidRDefault="006C5657" w:rsidP="006C5657">
      <w:r w:rsidRPr="002310E5">
        <w:fldChar w:fldCharType="begin"/>
      </w:r>
      <w:r w:rsidRPr="002310E5">
        <w:instrText xml:space="preserve"> AUTONUM  </w:instrText>
      </w:r>
      <w:r w:rsidRPr="002310E5">
        <w:fldChar w:fldCharType="end"/>
      </w:r>
      <w:r>
        <w:tab/>
        <w:t xml:space="preserve">Zweck dieses Dokuments ist es, über Entwicklungen in den Technischen Arbeitsgruppen auf ihren Tagungen im Jahr 2020 und auf der neunzehnten Tagung der Arbeitsgruppe für biochemische und molekulare Verfahren und insbesondere für DNS-Profilierungsverfahren (BMT) </w:t>
      </w:r>
      <w:r w:rsidR="00E42839">
        <w:t xml:space="preserve">zum Zwecke der Information </w:t>
      </w:r>
      <w:r>
        <w:t>zu berichten.</w:t>
      </w:r>
    </w:p>
    <w:p w:rsidR="006C5657" w:rsidRPr="002310E5" w:rsidRDefault="006C5657" w:rsidP="006C5657">
      <w:pPr>
        <w:rPr>
          <w:lang w:eastAsia="ja-JP"/>
        </w:rPr>
      </w:pPr>
    </w:p>
    <w:p w:rsidR="006C5657" w:rsidRPr="009A13DE" w:rsidRDefault="006C5657" w:rsidP="006C5657">
      <w:r w:rsidRPr="002310E5">
        <w:fldChar w:fldCharType="begin"/>
      </w:r>
      <w:r w:rsidRPr="002310E5">
        <w:instrText xml:space="preserve"> AUTONUM  </w:instrText>
      </w:r>
      <w:r w:rsidRPr="002310E5">
        <w:fldChar w:fldCharType="end"/>
      </w:r>
      <w:r>
        <w:tab/>
        <w:t xml:space="preserve">Angelegenheiten zur Prüfung durch den </w:t>
      </w:r>
      <w:r>
        <w:rPr>
          <w:snapToGrid w:val="0"/>
        </w:rPr>
        <w:t>Technischen Ausschuss (TC) betreffend die Verwendung biochemischer und molekularer Verfahren bei der DUS-Prüfung und molekularer Verfahren in Bezug auf die Technischen Arbeitsgruppen (TWP) und die Arbeitsgruppe für biochemische und molekulare Verfahren und insbesondere für DNS-Profilierungsverfahren (BMT)</w:t>
      </w:r>
      <w:r>
        <w:t xml:space="preserve"> sind in Dokument TC/56/7 „Molekulare Verfahren“ dargelegt.</w:t>
      </w:r>
    </w:p>
    <w:p w:rsidR="006C5657" w:rsidRPr="00995EAD" w:rsidRDefault="006C5657" w:rsidP="006C5657">
      <w:pPr>
        <w:jc w:val="left"/>
        <w:rPr>
          <w:rFonts w:cs="Arial"/>
          <w:snapToGrid w:val="0"/>
          <w:szCs w:val="24"/>
          <w:lang w:eastAsia="ja-JP"/>
        </w:rPr>
      </w:pPr>
    </w:p>
    <w:p w:rsidR="006C5657" w:rsidRPr="00440683" w:rsidRDefault="006C5657" w:rsidP="006C5657">
      <w:pPr>
        <w:keepNext/>
        <w:keepLines/>
      </w:pPr>
      <w:r w:rsidRPr="00440683">
        <w:fldChar w:fldCharType="begin"/>
      </w:r>
      <w:r w:rsidRPr="00440683">
        <w:instrText xml:space="preserve"> AUTONUM  </w:instrText>
      </w:r>
      <w:r w:rsidRPr="00440683">
        <w:fldChar w:fldCharType="end"/>
      </w:r>
      <w:r>
        <w:tab/>
        <w:t>Der Aufbau dieses Dokumentes ist wie folgt:</w:t>
      </w:r>
    </w:p>
    <w:sdt>
      <w:sdtPr>
        <w:rPr>
          <w:smallCaps/>
          <w:sz w:val="18"/>
        </w:rPr>
        <w:id w:val="-1800911247"/>
        <w:docPartObj>
          <w:docPartGallery w:val="Table of Contents"/>
          <w:docPartUnique/>
        </w:docPartObj>
      </w:sdtPr>
      <w:sdtEndPr>
        <w:rPr>
          <w:b/>
          <w:bCs/>
          <w:noProof/>
          <w:szCs w:val="18"/>
        </w:rPr>
      </w:sdtEndPr>
      <w:sdtContent>
        <w:p w:rsidR="006C5657" w:rsidRPr="00DF1E9C" w:rsidRDefault="006C5657" w:rsidP="006C5657">
          <w:pPr>
            <w:keepNext/>
            <w:keepLines/>
            <w:rPr>
              <w:rFonts w:cs="Arial"/>
              <w:b/>
              <w:sz w:val="18"/>
            </w:rPr>
          </w:pPr>
        </w:p>
        <w:p w:rsidR="00076A4D" w:rsidRDefault="006C5657">
          <w:pPr>
            <w:pStyle w:val="TOC1"/>
            <w:rPr>
              <w:rFonts w:asciiTheme="minorHAnsi" w:eastAsiaTheme="minorEastAsia" w:hAnsiTheme="minorHAnsi" w:cstheme="minorBidi"/>
              <w:caps w:val="0"/>
              <w:noProof/>
              <w:sz w:val="22"/>
              <w:szCs w:val="22"/>
              <w:lang w:eastAsia="de-DE"/>
            </w:rPr>
          </w:pPr>
          <w:r w:rsidRPr="00440683">
            <w:rPr>
              <w:rFonts w:cs="Arial"/>
            </w:rPr>
            <w:fldChar w:fldCharType="begin"/>
          </w:r>
          <w:r w:rsidRPr="00440683">
            <w:rPr>
              <w:rFonts w:cs="Arial"/>
            </w:rPr>
            <w:instrText xml:space="preserve"> TOC \o "1-3" \h \z \u </w:instrText>
          </w:r>
          <w:r w:rsidRPr="00440683">
            <w:rPr>
              <w:rFonts w:cs="Arial"/>
            </w:rPr>
            <w:fldChar w:fldCharType="separate"/>
          </w:r>
          <w:hyperlink w:anchor="_Toc54021327" w:history="1">
            <w:r w:rsidR="00076A4D" w:rsidRPr="00CC6274">
              <w:rPr>
                <w:rStyle w:val="Hyperlink"/>
                <w:noProof/>
              </w:rPr>
              <w:t>Zusammenfassung</w:t>
            </w:r>
            <w:r w:rsidR="00076A4D">
              <w:rPr>
                <w:noProof/>
                <w:webHidden/>
              </w:rPr>
              <w:tab/>
            </w:r>
            <w:r w:rsidR="00076A4D">
              <w:rPr>
                <w:noProof/>
                <w:webHidden/>
              </w:rPr>
              <w:fldChar w:fldCharType="begin"/>
            </w:r>
            <w:r w:rsidR="00076A4D">
              <w:rPr>
                <w:noProof/>
                <w:webHidden/>
              </w:rPr>
              <w:instrText xml:space="preserve"> PAGEREF _Toc54021327 \h </w:instrText>
            </w:r>
            <w:r w:rsidR="00076A4D">
              <w:rPr>
                <w:noProof/>
                <w:webHidden/>
              </w:rPr>
            </w:r>
            <w:r w:rsidR="00076A4D">
              <w:rPr>
                <w:noProof/>
                <w:webHidden/>
              </w:rPr>
              <w:fldChar w:fldCharType="separate"/>
            </w:r>
            <w:r w:rsidR="002A5719">
              <w:rPr>
                <w:noProof/>
                <w:webHidden/>
              </w:rPr>
              <w:t>1</w:t>
            </w:r>
            <w:r w:rsidR="00076A4D">
              <w:rPr>
                <w:noProof/>
                <w:webHidden/>
              </w:rPr>
              <w:fldChar w:fldCharType="end"/>
            </w:r>
          </w:hyperlink>
        </w:p>
        <w:p w:rsidR="00076A4D" w:rsidRDefault="00EF6AC0">
          <w:pPr>
            <w:pStyle w:val="TOC1"/>
            <w:rPr>
              <w:rFonts w:asciiTheme="minorHAnsi" w:eastAsiaTheme="minorEastAsia" w:hAnsiTheme="minorHAnsi" w:cstheme="minorBidi"/>
              <w:caps w:val="0"/>
              <w:noProof/>
              <w:sz w:val="22"/>
              <w:szCs w:val="22"/>
              <w:lang w:eastAsia="de-DE"/>
            </w:rPr>
          </w:pPr>
          <w:hyperlink w:anchor="_Toc54021328" w:history="1">
            <w:r w:rsidR="00076A4D" w:rsidRPr="00CC6274">
              <w:rPr>
                <w:rStyle w:val="Hyperlink"/>
                <w:noProof/>
              </w:rPr>
              <w:t>Entwicklungen in den technischen Arbeitsgruppen auf ihren Tagungen im Jahr 2020</w:t>
            </w:r>
            <w:r w:rsidR="00076A4D">
              <w:rPr>
                <w:noProof/>
                <w:webHidden/>
              </w:rPr>
              <w:tab/>
            </w:r>
            <w:r w:rsidR="00076A4D">
              <w:rPr>
                <w:noProof/>
                <w:webHidden/>
              </w:rPr>
              <w:fldChar w:fldCharType="begin"/>
            </w:r>
            <w:r w:rsidR="00076A4D">
              <w:rPr>
                <w:noProof/>
                <w:webHidden/>
              </w:rPr>
              <w:instrText xml:space="preserve"> PAGEREF _Toc54021328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2"/>
            <w:rPr>
              <w:rFonts w:asciiTheme="minorHAnsi" w:eastAsiaTheme="minorEastAsia" w:hAnsiTheme="minorHAnsi" w:cstheme="minorBidi"/>
              <w:noProof/>
              <w:sz w:val="22"/>
              <w:szCs w:val="22"/>
              <w:lang w:eastAsia="de-DE"/>
            </w:rPr>
          </w:pPr>
          <w:hyperlink w:anchor="_Toc54021329" w:history="1">
            <w:r w:rsidR="00076A4D" w:rsidRPr="00CC6274">
              <w:rPr>
                <w:rStyle w:val="Hyperlink"/>
                <w:noProof/>
              </w:rPr>
              <w:t>Referat über die Verwendung molekularer Verfahren bei der DUS-Prüfung</w:t>
            </w:r>
            <w:r w:rsidR="00076A4D">
              <w:rPr>
                <w:noProof/>
                <w:webHidden/>
              </w:rPr>
              <w:tab/>
            </w:r>
            <w:r w:rsidR="00076A4D">
              <w:rPr>
                <w:noProof/>
                <w:webHidden/>
              </w:rPr>
              <w:fldChar w:fldCharType="begin"/>
            </w:r>
            <w:r w:rsidR="00076A4D">
              <w:rPr>
                <w:noProof/>
                <w:webHidden/>
              </w:rPr>
              <w:instrText xml:space="preserve"> PAGEREF _Toc54021329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3"/>
            <w:rPr>
              <w:rFonts w:asciiTheme="minorHAnsi" w:eastAsiaTheme="minorEastAsia" w:hAnsiTheme="minorHAnsi" w:cstheme="minorBidi"/>
              <w:noProof/>
              <w:sz w:val="22"/>
              <w:szCs w:val="22"/>
              <w:lang w:eastAsia="de-DE"/>
            </w:rPr>
          </w:pPr>
          <w:hyperlink w:anchor="_Toc54021330" w:history="1">
            <w:r w:rsidR="00076A4D" w:rsidRPr="00CC6274">
              <w:rPr>
                <w:rStyle w:val="Hyperlink"/>
                <w:noProof/>
              </w:rPr>
              <w:t>Informationen über molekulare Marker in den Erläuterungen von Prüfungsrichtlinien</w:t>
            </w:r>
            <w:r w:rsidR="00076A4D">
              <w:rPr>
                <w:noProof/>
                <w:webHidden/>
              </w:rPr>
              <w:tab/>
            </w:r>
            <w:r w:rsidR="00076A4D">
              <w:rPr>
                <w:noProof/>
                <w:webHidden/>
              </w:rPr>
              <w:fldChar w:fldCharType="begin"/>
            </w:r>
            <w:r w:rsidR="00076A4D">
              <w:rPr>
                <w:noProof/>
                <w:webHidden/>
              </w:rPr>
              <w:instrText xml:space="preserve"> PAGEREF _Toc54021330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3"/>
            <w:rPr>
              <w:rFonts w:asciiTheme="minorHAnsi" w:eastAsiaTheme="minorEastAsia" w:hAnsiTheme="minorHAnsi" w:cstheme="minorBidi"/>
              <w:noProof/>
              <w:sz w:val="22"/>
              <w:szCs w:val="22"/>
              <w:lang w:eastAsia="de-DE"/>
            </w:rPr>
          </w:pPr>
          <w:hyperlink w:anchor="_Toc54021331" w:history="1">
            <w:r w:rsidR="00076A4D" w:rsidRPr="00CC6274">
              <w:rPr>
                <w:rStyle w:val="Hyperlink"/>
                <w:noProof/>
              </w:rPr>
              <w:t>Entwicklung einer Strategie zur Anwendung molekularer SNP-Marker im Rahmen der DUS-Prüfung von Winterraps</w:t>
            </w:r>
            <w:r w:rsidR="00076A4D">
              <w:rPr>
                <w:noProof/>
                <w:webHidden/>
              </w:rPr>
              <w:tab/>
            </w:r>
            <w:r w:rsidR="00076A4D">
              <w:rPr>
                <w:noProof/>
                <w:webHidden/>
              </w:rPr>
              <w:fldChar w:fldCharType="begin"/>
            </w:r>
            <w:r w:rsidR="00076A4D">
              <w:rPr>
                <w:noProof/>
                <w:webHidden/>
              </w:rPr>
              <w:instrText xml:space="preserve"> PAGEREF _Toc54021331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1"/>
            <w:rPr>
              <w:rFonts w:asciiTheme="minorHAnsi" w:eastAsiaTheme="minorEastAsia" w:hAnsiTheme="minorHAnsi" w:cstheme="minorBidi"/>
              <w:caps w:val="0"/>
              <w:noProof/>
              <w:sz w:val="22"/>
              <w:szCs w:val="22"/>
              <w:lang w:eastAsia="de-DE"/>
            </w:rPr>
          </w:pPr>
          <w:hyperlink w:anchor="_Toc54021332" w:history="1">
            <w:r w:rsidR="00076A4D" w:rsidRPr="00CC6274">
              <w:rPr>
                <w:rStyle w:val="Hyperlink"/>
                <w:noProof/>
              </w:rPr>
              <w:t>Entwicklungen auf der neunzehnten Tagung der Arbeitsgruppe für biochemische und molekulare Verfahren und insbesondere für DNS-Profilierungsverfahren</w:t>
            </w:r>
            <w:r w:rsidR="00076A4D">
              <w:rPr>
                <w:noProof/>
                <w:webHidden/>
              </w:rPr>
              <w:tab/>
            </w:r>
            <w:r w:rsidR="00076A4D">
              <w:rPr>
                <w:noProof/>
                <w:webHidden/>
              </w:rPr>
              <w:fldChar w:fldCharType="begin"/>
            </w:r>
            <w:r w:rsidR="00076A4D">
              <w:rPr>
                <w:noProof/>
                <w:webHidden/>
              </w:rPr>
              <w:instrText xml:space="preserve"> PAGEREF _Toc54021332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2"/>
            <w:rPr>
              <w:rFonts w:asciiTheme="minorHAnsi" w:eastAsiaTheme="minorEastAsia" w:hAnsiTheme="minorHAnsi" w:cstheme="minorBidi"/>
              <w:noProof/>
              <w:sz w:val="22"/>
              <w:szCs w:val="22"/>
              <w:lang w:eastAsia="de-DE"/>
            </w:rPr>
          </w:pPr>
          <w:hyperlink w:anchor="_Toc54021333" w:history="1">
            <w:r w:rsidR="00076A4D" w:rsidRPr="00CC6274">
              <w:rPr>
                <w:rStyle w:val="Hyperlink"/>
                <w:noProof/>
              </w:rPr>
              <w:t>Präsentierte Papiere</w:t>
            </w:r>
            <w:r w:rsidR="00076A4D">
              <w:rPr>
                <w:noProof/>
                <w:webHidden/>
              </w:rPr>
              <w:tab/>
            </w:r>
            <w:r w:rsidR="00076A4D">
              <w:rPr>
                <w:noProof/>
                <w:webHidden/>
              </w:rPr>
              <w:fldChar w:fldCharType="begin"/>
            </w:r>
            <w:r w:rsidR="00076A4D">
              <w:rPr>
                <w:noProof/>
                <w:webHidden/>
              </w:rPr>
              <w:instrText xml:space="preserve"> PAGEREF _Toc54021333 \h </w:instrText>
            </w:r>
            <w:r w:rsidR="00076A4D">
              <w:rPr>
                <w:noProof/>
                <w:webHidden/>
              </w:rPr>
            </w:r>
            <w:r w:rsidR="00076A4D">
              <w:rPr>
                <w:noProof/>
                <w:webHidden/>
              </w:rPr>
              <w:fldChar w:fldCharType="separate"/>
            </w:r>
            <w:r w:rsidR="002A5719">
              <w:rPr>
                <w:noProof/>
                <w:webHidden/>
              </w:rPr>
              <w:t>2</w:t>
            </w:r>
            <w:r w:rsidR="00076A4D">
              <w:rPr>
                <w:noProof/>
                <w:webHidden/>
              </w:rPr>
              <w:fldChar w:fldCharType="end"/>
            </w:r>
          </w:hyperlink>
        </w:p>
        <w:p w:rsidR="00076A4D" w:rsidRDefault="00EF6AC0">
          <w:pPr>
            <w:pStyle w:val="TOC2"/>
            <w:rPr>
              <w:rFonts w:asciiTheme="minorHAnsi" w:eastAsiaTheme="minorEastAsia" w:hAnsiTheme="minorHAnsi" w:cstheme="minorBidi"/>
              <w:noProof/>
              <w:sz w:val="22"/>
              <w:szCs w:val="22"/>
              <w:lang w:eastAsia="de-DE"/>
            </w:rPr>
          </w:pPr>
          <w:hyperlink w:anchor="_Toc54021334" w:history="1">
            <w:r w:rsidR="00076A4D" w:rsidRPr="00CC6274">
              <w:rPr>
                <w:rStyle w:val="Hyperlink"/>
                <w:noProof/>
              </w:rPr>
              <w:t>Ort und Datum der nächsten Tagung</w:t>
            </w:r>
            <w:r w:rsidR="00076A4D">
              <w:rPr>
                <w:noProof/>
                <w:webHidden/>
              </w:rPr>
              <w:tab/>
            </w:r>
            <w:r w:rsidR="00076A4D">
              <w:rPr>
                <w:noProof/>
                <w:webHidden/>
              </w:rPr>
              <w:fldChar w:fldCharType="begin"/>
            </w:r>
            <w:r w:rsidR="00076A4D">
              <w:rPr>
                <w:noProof/>
                <w:webHidden/>
              </w:rPr>
              <w:instrText xml:space="preserve"> PAGEREF _Toc54021334 \h </w:instrText>
            </w:r>
            <w:r w:rsidR="00076A4D">
              <w:rPr>
                <w:noProof/>
                <w:webHidden/>
              </w:rPr>
            </w:r>
            <w:r w:rsidR="00076A4D">
              <w:rPr>
                <w:noProof/>
                <w:webHidden/>
              </w:rPr>
              <w:fldChar w:fldCharType="separate"/>
            </w:r>
            <w:r w:rsidR="002A5719">
              <w:rPr>
                <w:noProof/>
                <w:webHidden/>
              </w:rPr>
              <w:t>3</w:t>
            </w:r>
            <w:r w:rsidR="00076A4D">
              <w:rPr>
                <w:noProof/>
                <w:webHidden/>
              </w:rPr>
              <w:fldChar w:fldCharType="end"/>
            </w:r>
          </w:hyperlink>
        </w:p>
        <w:p w:rsidR="00076A4D" w:rsidRDefault="00EF6AC0">
          <w:pPr>
            <w:pStyle w:val="TOC2"/>
            <w:rPr>
              <w:rFonts w:asciiTheme="minorHAnsi" w:eastAsiaTheme="minorEastAsia" w:hAnsiTheme="minorHAnsi" w:cstheme="minorBidi"/>
              <w:noProof/>
              <w:sz w:val="22"/>
              <w:szCs w:val="22"/>
              <w:lang w:eastAsia="de-DE"/>
            </w:rPr>
          </w:pPr>
          <w:hyperlink w:anchor="_Toc54021335" w:history="1">
            <w:r w:rsidR="00076A4D" w:rsidRPr="00CC6274">
              <w:rPr>
                <w:rStyle w:val="Hyperlink"/>
                <w:noProof/>
              </w:rPr>
              <w:t>Künftiges Programm</w:t>
            </w:r>
            <w:r w:rsidR="00076A4D">
              <w:rPr>
                <w:noProof/>
                <w:webHidden/>
              </w:rPr>
              <w:tab/>
            </w:r>
            <w:r w:rsidR="00076A4D">
              <w:rPr>
                <w:noProof/>
                <w:webHidden/>
              </w:rPr>
              <w:fldChar w:fldCharType="begin"/>
            </w:r>
            <w:r w:rsidR="00076A4D">
              <w:rPr>
                <w:noProof/>
                <w:webHidden/>
              </w:rPr>
              <w:instrText xml:space="preserve"> PAGEREF _Toc54021335 \h </w:instrText>
            </w:r>
            <w:r w:rsidR="00076A4D">
              <w:rPr>
                <w:noProof/>
                <w:webHidden/>
              </w:rPr>
            </w:r>
            <w:r w:rsidR="00076A4D">
              <w:rPr>
                <w:noProof/>
                <w:webHidden/>
              </w:rPr>
              <w:fldChar w:fldCharType="separate"/>
            </w:r>
            <w:r w:rsidR="002A5719">
              <w:rPr>
                <w:noProof/>
                <w:webHidden/>
              </w:rPr>
              <w:t>3</w:t>
            </w:r>
            <w:r w:rsidR="00076A4D">
              <w:rPr>
                <w:noProof/>
                <w:webHidden/>
              </w:rPr>
              <w:fldChar w:fldCharType="end"/>
            </w:r>
          </w:hyperlink>
        </w:p>
        <w:p w:rsidR="006C5657" w:rsidRDefault="006C5657" w:rsidP="006C5657">
          <w:pPr>
            <w:pStyle w:val="TOC2"/>
            <w:rPr>
              <w:b/>
              <w:smallCaps/>
            </w:rPr>
          </w:pPr>
          <w:r w:rsidRPr="00440683">
            <w:rPr>
              <w:b/>
              <w:smallCaps/>
            </w:rPr>
            <w:fldChar w:fldCharType="end"/>
          </w:r>
        </w:p>
      </w:sdtContent>
    </w:sdt>
    <w:p w:rsidR="006C5657" w:rsidRPr="009B01E5" w:rsidRDefault="006C5657" w:rsidP="006C5657"/>
    <w:p w:rsidR="006C5657" w:rsidRPr="009B01E5" w:rsidRDefault="006C5657" w:rsidP="006C5657">
      <w:r w:rsidRPr="009B01E5">
        <w:fldChar w:fldCharType="begin"/>
      </w:r>
      <w:r w:rsidRPr="009B01E5">
        <w:instrText xml:space="preserve"> AUTONUM  </w:instrText>
      </w:r>
      <w:r w:rsidRPr="009B01E5">
        <w:fldChar w:fldCharType="end"/>
      </w:r>
      <w:r>
        <w:tab/>
        <w:t>In diesem Dokument werden folgende Abkürzungen verwendet:</w:t>
      </w:r>
    </w:p>
    <w:p w:rsidR="006C5657" w:rsidRPr="009B01E5" w:rsidRDefault="006C5657" w:rsidP="006C5657"/>
    <w:p w:rsidR="00535784" w:rsidRPr="001857B6" w:rsidRDefault="00535784" w:rsidP="00535784">
      <w:pPr>
        <w:keepNext/>
        <w:tabs>
          <w:tab w:val="left" w:pos="567"/>
        </w:tabs>
        <w:ind w:left="1701" w:hanging="1134"/>
        <w:rPr>
          <w:sz w:val="18"/>
        </w:rPr>
      </w:pPr>
      <w:r>
        <w:rPr>
          <w:sz w:val="18"/>
        </w:rPr>
        <w:t>BMT:</w:t>
      </w:r>
      <w:r>
        <w:rPr>
          <w:sz w:val="18"/>
        </w:rPr>
        <w:tab/>
        <w:t xml:space="preserve">Arbeitsgruppe für biochemische und molekulare Verfahren und insbesondere für DNS-Profilierungsverfahren </w:t>
      </w:r>
    </w:p>
    <w:p w:rsidR="00535784" w:rsidRPr="001857B6" w:rsidRDefault="00535784" w:rsidP="00535784">
      <w:pPr>
        <w:ind w:left="1701" w:hanging="1134"/>
        <w:rPr>
          <w:rFonts w:cs="Arial"/>
          <w:snapToGrid w:val="0"/>
          <w:sz w:val="18"/>
          <w:szCs w:val="24"/>
        </w:rPr>
      </w:pPr>
      <w:r>
        <w:rPr>
          <w:snapToGrid w:val="0"/>
          <w:sz w:val="18"/>
        </w:rPr>
        <w:t xml:space="preserve">ISTA: </w:t>
      </w:r>
      <w:r>
        <w:rPr>
          <w:snapToGrid w:val="0"/>
          <w:sz w:val="18"/>
        </w:rPr>
        <w:tab/>
        <w:t>Internationale Vereinigung für Saatgutprüfung</w:t>
      </w:r>
    </w:p>
    <w:p w:rsidR="00535784" w:rsidRPr="001857B6" w:rsidRDefault="00535784" w:rsidP="00535784">
      <w:pPr>
        <w:ind w:left="1701" w:hanging="1134"/>
        <w:rPr>
          <w:rFonts w:eastAsia="PMingLiU" w:cs="Arial"/>
          <w:snapToGrid w:val="0"/>
          <w:sz w:val="18"/>
          <w:szCs w:val="24"/>
        </w:rPr>
      </w:pPr>
      <w:r>
        <w:rPr>
          <w:sz w:val="18"/>
        </w:rPr>
        <w:t>OECD:</w:t>
      </w:r>
      <w:r>
        <w:rPr>
          <w:sz w:val="18"/>
        </w:rPr>
        <w:tab/>
      </w:r>
      <w:r>
        <w:rPr>
          <w:snapToGrid w:val="0"/>
          <w:sz w:val="18"/>
        </w:rPr>
        <w:t>Organisation für Wirtschaftliche Zusammenarbeit und Entwicklung</w:t>
      </w:r>
    </w:p>
    <w:p w:rsidR="00535784" w:rsidRPr="001857B6" w:rsidRDefault="00535784" w:rsidP="00535784">
      <w:pPr>
        <w:keepNext/>
        <w:tabs>
          <w:tab w:val="left" w:pos="567"/>
        </w:tabs>
        <w:ind w:left="1701" w:hanging="1134"/>
        <w:rPr>
          <w:sz w:val="18"/>
        </w:rPr>
      </w:pPr>
      <w:r>
        <w:rPr>
          <w:sz w:val="18"/>
        </w:rPr>
        <w:t>TC:</w:t>
      </w:r>
      <w:r>
        <w:rPr>
          <w:sz w:val="18"/>
        </w:rPr>
        <w:tab/>
        <w:t>Technischer Ausschuss</w:t>
      </w:r>
    </w:p>
    <w:p w:rsidR="00535784" w:rsidRPr="001857B6" w:rsidRDefault="00535784" w:rsidP="00535784">
      <w:pPr>
        <w:ind w:left="1701" w:hanging="1134"/>
        <w:rPr>
          <w:rFonts w:eastAsia="PMingLiU" w:cs="Arial"/>
          <w:sz w:val="18"/>
          <w:szCs w:val="24"/>
        </w:rPr>
      </w:pPr>
      <w:r>
        <w:rPr>
          <w:sz w:val="18"/>
        </w:rPr>
        <w:t>TWA:</w:t>
      </w:r>
      <w:r>
        <w:rPr>
          <w:sz w:val="18"/>
        </w:rPr>
        <w:tab/>
        <w:t>Technische Arbeitsgruppe für landwirtschaftliche Arten</w:t>
      </w:r>
    </w:p>
    <w:p w:rsidR="00535784" w:rsidRPr="001857B6" w:rsidRDefault="00535784" w:rsidP="00535784">
      <w:pPr>
        <w:ind w:left="1701" w:hanging="1134"/>
        <w:rPr>
          <w:rFonts w:eastAsia="PMingLiU" w:cs="Arial"/>
          <w:sz w:val="18"/>
          <w:szCs w:val="24"/>
        </w:rPr>
      </w:pPr>
      <w:r>
        <w:rPr>
          <w:sz w:val="18"/>
        </w:rPr>
        <w:t>TWC:</w:t>
      </w:r>
      <w:r>
        <w:rPr>
          <w:sz w:val="18"/>
        </w:rPr>
        <w:tab/>
        <w:t>Technische Arbeitsgruppe für Automatisierung und Computerprogramme</w:t>
      </w:r>
    </w:p>
    <w:p w:rsidR="00535784" w:rsidRPr="001857B6" w:rsidRDefault="00535784" w:rsidP="00535784">
      <w:pPr>
        <w:ind w:left="1701" w:hanging="1134"/>
        <w:rPr>
          <w:rFonts w:eastAsia="PMingLiU" w:cs="Arial"/>
          <w:sz w:val="18"/>
          <w:szCs w:val="24"/>
        </w:rPr>
      </w:pPr>
      <w:r>
        <w:rPr>
          <w:sz w:val="18"/>
        </w:rPr>
        <w:t>TWF:</w:t>
      </w:r>
      <w:r>
        <w:rPr>
          <w:sz w:val="18"/>
        </w:rPr>
        <w:tab/>
        <w:t>Technische Arbeitsgruppe für Obstarten</w:t>
      </w:r>
    </w:p>
    <w:p w:rsidR="00535784" w:rsidRPr="001857B6" w:rsidRDefault="00535784" w:rsidP="00535784">
      <w:pPr>
        <w:ind w:left="1701" w:hanging="1134"/>
        <w:rPr>
          <w:rFonts w:eastAsia="PMingLiU" w:cs="Arial"/>
          <w:sz w:val="18"/>
          <w:szCs w:val="24"/>
        </w:rPr>
      </w:pPr>
      <w:r>
        <w:rPr>
          <w:sz w:val="18"/>
        </w:rPr>
        <w:t>TWO:</w:t>
      </w:r>
      <w:r>
        <w:rPr>
          <w:sz w:val="18"/>
        </w:rPr>
        <w:tab/>
        <w:t>Technische Arbeitsgruppe für Zierpflanzen und forstliche Baumarten</w:t>
      </w:r>
    </w:p>
    <w:p w:rsidR="00535784" w:rsidRPr="001857B6" w:rsidRDefault="00535784" w:rsidP="00535784">
      <w:pPr>
        <w:ind w:left="1701" w:hanging="1134"/>
        <w:rPr>
          <w:rFonts w:eastAsia="PMingLiU" w:cs="Arial"/>
          <w:sz w:val="18"/>
          <w:szCs w:val="24"/>
        </w:rPr>
      </w:pPr>
      <w:r>
        <w:rPr>
          <w:sz w:val="18"/>
        </w:rPr>
        <w:t>TWP:</w:t>
      </w:r>
      <w:r>
        <w:rPr>
          <w:sz w:val="18"/>
        </w:rPr>
        <w:tab/>
        <w:t>Technische Arbeitsgruppen</w:t>
      </w:r>
    </w:p>
    <w:p w:rsidR="00535784" w:rsidRPr="001857B6" w:rsidRDefault="00535784" w:rsidP="00535784">
      <w:pPr>
        <w:ind w:left="1701" w:hanging="1134"/>
        <w:rPr>
          <w:rFonts w:eastAsia="PMingLiU" w:cs="Arial"/>
          <w:sz w:val="18"/>
          <w:szCs w:val="24"/>
        </w:rPr>
      </w:pPr>
      <w:r>
        <w:rPr>
          <w:sz w:val="18"/>
        </w:rPr>
        <w:t>TWV:</w:t>
      </w:r>
      <w:r>
        <w:rPr>
          <w:sz w:val="18"/>
        </w:rPr>
        <w:tab/>
        <w:t>Technische Arbeitsgruppe für Gemüsearten</w:t>
      </w:r>
    </w:p>
    <w:p w:rsidR="006C5657" w:rsidRDefault="006C5657" w:rsidP="006C5657">
      <w:pPr>
        <w:rPr>
          <w:noProof/>
          <w:lang w:eastAsia="ja-JP"/>
        </w:rPr>
      </w:pPr>
    </w:p>
    <w:p w:rsidR="00A66AE5" w:rsidRDefault="00A66AE5" w:rsidP="009B6069">
      <w:pPr>
        <w:pStyle w:val="Heading1"/>
      </w:pPr>
      <w:bookmarkStart w:id="3" w:name="_Toc52799199"/>
      <w:bookmarkStart w:id="4" w:name="_Toc52877567"/>
      <w:bookmarkStart w:id="5" w:name="_Toc54021328"/>
      <w:r>
        <w:lastRenderedPageBreak/>
        <w:t>Entwicklungen in den technischen Arbeitsgruppen auf ihren Tagungen im Jahr 2020</w:t>
      </w:r>
      <w:bookmarkEnd w:id="3"/>
      <w:bookmarkEnd w:id="4"/>
      <w:bookmarkEnd w:id="5"/>
    </w:p>
    <w:p w:rsidR="00A66AE5" w:rsidRDefault="00A66AE5" w:rsidP="009B6069">
      <w:pPr>
        <w:keepNext/>
        <w:rPr>
          <w:lang w:eastAsia="ja-JP"/>
        </w:rPr>
      </w:pPr>
    </w:p>
    <w:p w:rsidR="00A66AE5" w:rsidRDefault="00A66AE5" w:rsidP="009B6069">
      <w:pPr>
        <w:keepNext/>
      </w:pPr>
      <w:r>
        <w:fldChar w:fldCharType="begin"/>
      </w:r>
      <w:r>
        <w:instrText xml:space="preserve"> AUTONUM  </w:instrText>
      </w:r>
      <w:r>
        <w:fldChar w:fldCharType="end"/>
      </w:r>
      <w:r>
        <w:tab/>
        <w:t>Auf ihren Tagungen im Jahr 2020 prüften die TWV</w:t>
      </w:r>
      <w:r>
        <w:rPr>
          <w:rStyle w:val="FootnoteReference"/>
        </w:rPr>
        <w:footnoteReference w:id="2"/>
      </w:r>
      <w:r>
        <w:t>, TWO</w:t>
      </w:r>
      <w:r>
        <w:rPr>
          <w:rStyle w:val="FootnoteReference"/>
        </w:rPr>
        <w:footnoteReference w:id="3"/>
      </w:r>
      <w:r>
        <w:t>, TWA</w:t>
      </w:r>
      <w:r>
        <w:rPr>
          <w:rStyle w:val="FootnoteReference"/>
        </w:rPr>
        <w:footnoteReference w:id="4"/>
      </w:r>
      <w:r>
        <w:t>, TWF</w:t>
      </w:r>
      <w:r>
        <w:rPr>
          <w:rStyle w:val="FootnoteReference"/>
        </w:rPr>
        <w:footnoteReference w:id="5"/>
      </w:r>
      <w:r>
        <w:t xml:space="preserve"> und TWC</w:t>
      </w:r>
      <w:r>
        <w:rPr>
          <w:rStyle w:val="FootnoteReference"/>
        </w:rPr>
        <w:footnoteReference w:id="6"/>
      </w:r>
      <w:r>
        <w:t xml:space="preserve"> Dokument TWP/4/7 „</w:t>
      </w:r>
      <w:proofErr w:type="spellStart"/>
      <w:r>
        <w:rPr>
          <w:i/>
          <w:iCs/>
        </w:rPr>
        <w:t>Molecular</w:t>
      </w:r>
      <w:proofErr w:type="spellEnd"/>
      <w:r>
        <w:rPr>
          <w:i/>
          <w:iCs/>
        </w:rPr>
        <w:t xml:space="preserve"> </w:t>
      </w:r>
      <w:proofErr w:type="spellStart"/>
      <w:r>
        <w:rPr>
          <w:i/>
          <w:iCs/>
        </w:rPr>
        <w:t>techniques</w:t>
      </w:r>
      <w:proofErr w:type="spellEnd"/>
      <w:r>
        <w:t>” (vgl. Dokumente TWV/54/9 „</w:t>
      </w:r>
      <w:r>
        <w:rPr>
          <w:i/>
          <w:iCs/>
        </w:rPr>
        <w:t>Report</w:t>
      </w:r>
      <w:r>
        <w:t>”, Absätze 8 bis 22; TWO/52/11 „</w:t>
      </w:r>
      <w:r>
        <w:rPr>
          <w:i/>
          <w:iCs/>
        </w:rPr>
        <w:t>Report</w:t>
      </w:r>
      <w:r>
        <w:t>”, Absätze 79 bis 91; TWA/49/7 „</w:t>
      </w:r>
      <w:r>
        <w:rPr>
          <w:i/>
          <w:iCs/>
        </w:rPr>
        <w:t>Report</w:t>
      </w:r>
      <w:r>
        <w:t>”, Absätze 52 bis 66; TWF/51/10 „</w:t>
      </w:r>
      <w:r>
        <w:rPr>
          <w:i/>
          <w:iCs/>
        </w:rPr>
        <w:t>Report</w:t>
      </w:r>
      <w:r>
        <w:t>”, Absätze 8 bis 20 und TWC/38/11 „</w:t>
      </w:r>
      <w:r>
        <w:rPr>
          <w:i/>
          <w:iCs/>
        </w:rPr>
        <w:t>Report</w:t>
      </w:r>
      <w:r>
        <w:t>”, Absätze 61 bis 73).</w:t>
      </w:r>
    </w:p>
    <w:p w:rsidR="00A66AE5" w:rsidRDefault="00A66AE5" w:rsidP="009B6069">
      <w:pPr>
        <w:keepNext/>
        <w:rPr>
          <w:lang w:eastAsia="ja-JP"/>
        </w:rPr>
      </w:pPr>
    </w:p>
    <w:p w:rsidR="000828A6" w:rsidRDefault="000828A6" w:rsidP="000828A6">
      <w:r w:rsidRPr="000828A6">
        <w:fldChar w:fldCharType="begin"/>
      </w:r>
      <w:r w:rsidRPr="000828A6">
        <w:instrText xml:space="preserve"> AUTONUM  </w:instrText>
      </w:r>
      <w:r w:rsidRPr="000828A6">
        <w:fldChar w:fldCharType="end"/>
      </w:r>
      <w:r>
        <w:tab/>
        <w:t xml:space="preserve">Die TWA nahm auf ihrer </w:t>
      </w:r>
      <w:r w:rsidR="00076A4D">
        <w:t>neunundvierzigsten</w:t>
      </w:r>
      <w:r>
        <w:t xml:space="preserve"> Tagung die Bemerkung von </w:t>
      </w:r>
      <w:proofErr w:type="spellStart"/>
      <w:r>
        <w:t>CropLife</w:t>
      </w:r>
      <w:proofErr w:type="spellEnd"/>
      <w:r>
        <w:t xml:space="preserve"> International, </w:t>
      </w:r>
      <w:proofErr w:type="spellStart"/>
      <w:r>
        <w:t>Euroseeds</w:t>
      </w:r>
      <w:proofErr w:type="spellEnd"/>
      <w:r>
        <w:t>, dem Internationalen Saatgutverband und dem Saatgutverband der Amerikas (</w:t>
      </w:r>
      <w:proofErr w:type="spellStart"/>
      <w:r>
        <w:t>Seed</w:t>
      </w:r>
      <w:proofErr w:type="spellEnd"/>
      <w:r>
        <w:t xml:space="preserve"> </w:t>
      </w:r>
      <w:proofErr w:type="spellStart"/>
      <w:r>
        <w:t>Association</w:t>
      </w:r>
      <w:proofErr w:type="spellEnd"/>
      <w:r>
        <w:t xml:space="preserve"> of the </w:t>
      </w:r>
      <w:proofErr w:type="spellStart"/>
      <w:r>
        <w:t>Americas</w:t>
      </w:r>
      <w:proofErr w:type="spellEnd"/>
      <w:r>
        <w:t>) zur Kenntnis, dass die Anwendung molekularer Verfahren gefördert werden sollte, soweit die Behörden weiterhin gegenseitig Prüfungsergebnisse anerkennen und DUS-Prüfungsberichte übernehmen könnten (vergleiche Dokument TWA/49/7 „</w:t>
      </w:r>
      <w:r>
        <w:rPr>
          <w:i/>
          <w:iCs/>
        </w:rPr>
        <w:t>Report</w:t>
      </w:r>
      <w:r>
        <w:t>”, Absatz 53).</w:t>
      </w:r>
    </w:p>
    <w:p w:rsidR="00A66AE5" w:rsidRDefault="00A66AE5" w:rsidP="00A66AE5">
      <w:pPr>
        <w:rPr>
          <w:lang w:eastAsia="ja-JP"/>
        </w:rPr>
      </w:pPr>
    </w:p>
    <w:p w:rsidR="00A66AE5" w:rsidRPr="000812D1" w:rsidRDefault="00A66AE5" w:rsidP="00A66AE5"/>
    <w:p w:rsidR="00A66AE5" w:rsidRPr="00FE31AE" w:rsidRDefault="00A66AE5" w:rsidP="00A66AE5">
      <w:pPr>
        <w:pStyle w:val="Heading2"/>
      </w:pPr>
      <w:bookmarkStart w:id="6" w:name="_Toc54021329"/>
      <w:r>
        <w:t>Referat über die Verwendung molekularer Verfahren bei der DUS-Prüfung</w:t>
      </w:r>
      <w:bookmarkEnd w:id="6"/>
    </w:p>
    <w:p w:rsidR="00A66AE5" w:rsidRPr="00FE31AE" w:rsidRDefault="00A66AE5" w:rsidP="00A66AE5">
      <w:pPr>
        <w:pStyle w:val="Heading2"/>
      </w:pPr>
    </w:p>
    <w:p w:rsidR="00FE31AE" w:rsidRPr="00FE31AE" w:rsidRDefault="00FE31AE" w:rsidP="00FE31AE">
      <w:pPr>
        <w:pStyle w:val="Heading3"/>
      </w:pPr>
      <w:bookmarkStart w:id="7" w:name="_Toc54021330"/>
      <w:r>
        <w:t>Informationen über molekulare Marker in den Erläuterungen von Prüfungsrichtlinien</w:t>
      </w:r>
      <w:bookmarkEnd w:id="7"/>
    </w:p>
    <w:p w:rsidR="00FE31AE" w:rsidRPr="00FE31AE" w:rsidRDefault="00FE31AE" w:rsidP="00FE31AE"/>
    <w:p w:rsidR="00A66AE5" w:rsidRPr="00FE31AE" w:rsidRDefault="00A66AE5" w:rsidP="00723D5D">
      <w:r w:rsidRPr="00FE31AE">
        <w:fldChar w:fldCharType="begin"/>
      </w:r>
      <w:r w:rsidRPr="00FE31AE">
        <w:instrText xml:space="preserve"> AUTONUM  </w:instrText>
      </w:r>
      <w:r w:rsidRPr="00FE31AE">
        <w:fldChar w:fldCharType="end"/>
      </w:r>
      <w:r>
        <w:tab/>
        <w:t>Die TWV hörte auf ihrer vierundfünfzigsten Tagung ein Referat über „Informationen über molekulare Marker in den Erläuterungen von Prüfungsrichtlinien“ von einem Sachverständigen aus den Niederlanden.  Eine Abschrift des Referats ist in den Dok</w:t>
      </w:r>
      <w:r w:rsidR="00C230DD">
        <w:t>umenten</w:t>
      </w:r>
      <w:r>
        <w:t xml:space="preserve"> TWV/54/7 und TWV/54/7 Add. enthalten (vergleiche Dokument TWV/54/9 „</w:t>
      </w:r>
      <w:r>
        <w:rPr>
          <w:i/>
          <w:iCs/>
        </w:rPr>
        <w:t>Report</w:t>
      </w:r>
      <w:r>
        <w:t>“, Absatz 21).</w:t>
      </w:r>
    </w:p>
    <w:p w:rsidR="00A66AE5" w:rsidRPr="00FE31AE" w:rsidRDefault="00A66AE5" w:rsidP="00A66AE5"/>
    <w:p w:rsidR="00A66AE5" w:rsidRPr="00FE31AE" w:rsidRDefault="00A66AE5" w:rsidP="00A66AE5">
      <w:r w:rsidRPr="00FE31AE">
        <w:fldChar w:fldCharType="begin"/>
      </w:r>
      <w:r w:rsidRPr="00FE31AE">
        <w:instrText xml:space="preserve"> AUTONUM  </w:instrText>
      </w:r>
      <w:r w:rsidRPr="00FE31AE">
        <w:fldChar w:fldCharType="end"/>
      </w:r>
      <w:r>
        <w:tab/>
        <w:t>Die TWV prüfte den Vorschlag, wesentliche Kriterien für die Beschreibung von Molekularmarker-</w:t>
      </w:r>
      <w:proofErr w:type="spellStart"/>
      <w:r>
        <w:t>Assays</w:t>
      </w:r>
      <w:proofErr w:type="spellEnd"/>
      <w:r>
        <w:t xml:space="preserve"> in den Prüfungsrichtlinien festzulegen, wie in den Dokumenten TWV/54/7 und TWV/54/7 Add. dargelegt. Die TWV vereinbarte, die Sachverständigen aus der Europäische Union und Frankreich dazu einzuladen, mit den Niederlanden einen neuen Entwurf eines Vorschlags zur Prüfung durch die TWV auf ihrer fünfundfünfzigsten Tagung auszuarbeiten (vergl</w:t>
      </w:r>
      <w:r w:rsidR="00C230DD">
        <w:t>eiche Dokument TWV/54/9 „</w:t>
      </w:r>
      <w:r w:rsidR="00C230DD" w:rsidRPr="00C230DD">
        <w:rPr>
          <w:i/>
        </w:rPr>
        <w:t>Report</w:t>
      </w:r>
      <w:r>
        <w:t>“, Absatz 22).</w:t>
      </w:r>
    </w:p>
    <w:p w:rsidR="00A66AE5" w:rsidRDefault="00A66AE5" w:rsidP="00A66AE5"/>
    <w:p w:rsidR="00FE31AE" w:rsidRDefault="00FE31AE" w:rsidP="00FE31AE">
      <w:pPr>
        <w:pStyle w:val="Heading3"/>
      </w:pPr>
      <w:bookmarkStart w:id="8" w:name="_Toc54021331"/>
      <w:r>
        <w:t>Entwicklung einer Strategie zur Anwendung molekularer SNP-Marker im Rahmen der DUS-Prüfung von Winterraps</w:t>
      </w:r>
      <w:bookmarkEnd w:id="8"/>
    </w:p>
    <w:p w:rsidR="00FE31AE" w:rsidRPr="00FE31AE" w:rsidRDefault="00FE31AE" w:rsidP="00A66AE5"/>
    <w:p w:rsidR="00A66AE5" w:rsidRPr="009245F9" w:rsidRDefault="00A66AE5" w:rsidP="00A66AE5">
      <w:r w:rsidRPr="00FE31AE">
        <w:fldChar w:fldCharType="begin"/>
      </w:r>
      <w:r w:rsidRPr="00FE31AE">
        <w:instrText xml:space="preserve"> AUTONUM  </w:instrText>
      </w:r>
      <w:r w:rsidRPr="00FE31AE">
        <w:fldChar w:fldCharType="end"/>
      </w:r>
      <w:r>
        <w:tab/>
        <w:t>Die TWA hörte ein Referat über „Entwicklung einer Strategie zur Anwendung molekularer SNP-Marker im Rahmen der DUS-Prüfung von Winterraps“ von einem S</w:t>
      </w:r>
      <w:r w:rsidR="00C230DD">
        <w:t>achverständigen aus Frankreich.</w:t>
      </w:r>
      <w:r>
        <w:t xml:space="preserve"> Eine Abschrift des Referats ist </w:t>
      </w:r>
      <w:r w:rsidR="00C230DD">
        <w:t>in Dokument TWA/49/5 enthalten.</w:t>
      </w:r>
      <w:r>
        <w:t xml:space="preserve"> Die TWA vereinbarte, Frankreich dazu einzuladen, auf ihrer fünfzigsten Tagung über Entwicklungen betreffend das Projekt zu berichten (vergleiche Dokument TWA/49/7 „</w:t>
      </w:r>
      <w:r>
        <w:rPr>
          <w:i/>
          <w:iCs/>
        </w:rPr>
        <w:t>Report</w:t>
      </w:r>
      <w:r>
        <w:t>”, Absatz 66).</w:t>
      </w:r>
    </w:p>
    <w:p w:rsidR="00A66AE5" w:rsidRPr="000812D1" w:rsidRDefault="00A66AE5" w:rsidP="00A66AE5"/>
    <w:p w:rsidR="00A66AE5" w:rsidRDefault="00A66AE5" w:rsidP="00A66AE5">
      <w:pPr>
        <w:ind w:left="567" w:hanging="567"/>
        <w:rPr>
          <w:lang w:eastAsia="ja-JP"/>
        </w:rPr>
      </w:pPr>
    </w:p>
    <w:p w:rsidR="000828A6" w:rsidRPr="00FB197B" w:rsidRDefault="000828A6" w:rsidP="000828A6">
      <w:pPr>
        <w:pStyle w:val="Heading1"/>
      </w:pPr>
      <w:bookmarkStart w:id="9" w:name="_Toc525647178"/>
      <w:bookmarkStart w:id="10" w:name="_Toc526175650"/>
      <w:bookmarkStart w:id="11" w:name="_Toc54021332"/>
      <w:r>
        <w:t>Entwicklungen auf der neunzehnten Tagung der Arbeitsgruppe für biochemische und molekulare Verfahren und insbesondere für DNS-Profilierungsverfahren</w:t>
      </w:r>
      <w:bookmarkEnd w:id="9"/>
      <w:bookmarkEnd w:id="10"/>
      <w:bookmarkEnd w:id="11"/>
    </w:p>
    <w:p w:rsidR="000828A6" w:rsidRPr="009B01E5" w:rsidRDefault="000828A6" w:rsidP="000828A6">
      <w:pPr>
        <w:rPr>
          <w:lang w:eastAsia="ja-JP"/>
        </w:rPr>
      </w:pPr>
    </w:p>
    <w:p w:rsidR="000828A6" w:rsidRPr="009B01E5" w:rsidRDefault="000828A6" w:rsidP="000828A6">
      <w:r w:rsidRPr="009B01E5">
        <w:rPr>
          <w:color w:val="000000"/>
        </w:rPr>
        <w:fldChar w:fldCharType="begin"/>
      </w:r>
      <w:r w:rsidRPr="009B01E5">
        <w:rPr>
          <w:color w:val="000000"/>
        </w:rPr>
        <w:instrText xml:space="preserve"> AUTONUM  </w:instrText>
      </w:r>
      <w:r w:rsidRPr="009B01E5">
        <w:rPr>
          <w:color w:val="000000"/>
        </w:rPr>
        <w:fldChar w:fldCharType="end"/>
      </w:r>
      <w:r>
        <w:rPr>
          <w:color w:val="000000"/>
        </w:rPr>
        <w:tab/>
        <w:t xml:space="preserve">Die BMT hielt ihre neunzehnte Tagung, veranstaltet von den Vereinigten Staaten von Amerika und auf elektronischem Wege organisiert, </w:t>
      </w:r>
      <w:r>
        <w:t>vom 23. bis 25. September 2020 ab (vergleiche Dokument BMT/19/15 „</w:t>
      </w:r>
      <w:r w:rsidRPr="00E42839">
        <w:rPr>
          <w:i/>
        </w:rPr>
        <w:t>Report</w:t>
      </w:r>
      <w:r>
        <w:t xml:space="preserve">“, Absatz 1). </w:t>
      </w:r>
    </w:p>
    <w:p w:rsidR="000828A6" w:rsidRDefault="000828A6" w:rsidP="000828A6">
      <w:pPr>
        <w:rPr>
          <w:noProof/>
          <w:lang w:eastAsia="ja-JP"/>
        </w:rPr>
      </w:pPr>
    </w:p>
    <w:p w:rsidR="000828A6" w:rsidRDefault="000828A6" w:rsidP="000828A6">
      <w:pPr>
        <w:rPr>
          <w:noProof/>
          <w:lang w:eastAsia="ja-JP"/>
        </w:rPr>
      </w:pPr>
    </w:p>
    <w:p w:rsidR="000828A6" w:rsidRPr="00584903" w:rsidRDefault="000828A6" w:rsidP="000828A6">
      <w:pPr>
        <w:pStyle w:val="Heading2"/>
      </w:pPr>
      <w:bookmarkStart w:id="12" w:name="_Toc525647179"/>
      <w:bookmarkStart w:id="13" w:name="_Toc526175651"/>
      <w:bookmarkStart w:id="14" w:name="_Toc54021333"/>
      <w:r>
        <w:t>Präsentierte Papiere</w:t>
      </w:r>
      <w:bookmarkEnd w:id="12"/>
      <w:bookmarkEnd w:id="13"/>
      <w:bookmarkEnd w:id="14"/>
    </w:p>
    <w:p w:rsidR="000828A6" w:rsidRDefault="000828A6" w:rsidP="000828A6">
      <w:pPr>
        <w:keepNext/>
      </w:pPr>
    </w:p>
    <w:p w:rsidR="000828A6" w:rsidRDefault="000828A6" w:rsidP="000828A6">
      <w:pPr>
        <w:keepNext/>
      </w:pPr>
      <w:r w:rsidRPr="00154A92">
        <w:fldChar w:fldCharType="begin"/>
      </w:r>
      <w:r w:rsidRPr="00154A92">
        <w:instrText xml:space="preserve"> AUTONUM  </w:instrText>
      </w:r>
      <w:r w:rsidRPr="00154A92">
        <w:fldChar w:fldCharType="end"/>
      </w:r>
      <w:r>
        <w:tab/>
        <w:t>Die unter jedem Tagesordnungspunkt der achtzehnten Tagung der BMT präsentierten Papiere waren folgende:</w:t>
      </w:r>
    </w:p>
    <w:p w:rsidR="000828A6" w:rsidRPr="00861DBA" w:rsidRDefault="000828A6" w:rsidP="000828A6">
      <w:pPr>
        <w:rPr>
          <w:snapToGrid w:val="0"/>
          <w:sz w:val="18"/>
        </w:rPr>
      </w:pPr>
    </w:p>
    <w:p w:rsidR="000828A6" w:rsidRPr="00EF6AC0" w:rsidRDefault="000828A6" w:rsidP="000828A6">
      <w:pPr>
        <w:ind w:left="567"/>
        <w:rPr>
          <w:i/>
          <w:snapToGrid w:val="0"/>
          <w:lang w:val="en-US"/>
        </w:rPr>
      </w:pPr>
      <w:r w:rsidRPr="00C230DD">
        <w:rPr>
          <w:i/>
          <w:snapToGrid w:val="0"/>
          <w:lang w:val="en-GB"/>
        </w:rPr>
        <w:t xml:space="preserve">Reports on developments in UPOV concerning biochemical and molecular techniques </w:t>
      </w:r>
      <w:r w:rsidRPr="00EF6AC0">
        <w:rPr>
          <w:i/>
          <w:snapToGrid w:val="0"/>
          <w:lang w:val="en-US"/>
        </w:rPr>
        <w:t>(</w:t>
      </w:r>
      <w:proofErr w:type="spellStart"/>
      <w:r w:rsidRPr="00EF6AC0">
        <w:rPr>
          <w:i/>
          <w:snapToGrid w:val="0"/>
          <w:lang w:val="en-US"/>
        </w:rPr>
        <w:t>Dokument</w:t>
      </w:r>
      <w:proofErr w:type="spellEnd"/>
      <w:r w:rsidRPr="00EF6AC0">
        <w:rPr>
          <w:i/>
          <w:snapToGrid w:val="0"/>
          <w:lang w:val="en-US"/>
        </w:rPr>
        <w:t> BMT/19/2)</w:t>
      </w:r>
    </w:p>
    <w:p w:rsidR="000828A6" w:rsidRPr="00EF6AC0" w:rsidRDefault="000828A6" w:rsidP="000828A6">
      <w:pPr>
        <w:ind w:left="567"/>
        <w:rPr>
          <w:i/>
          <w:snapToGrid w:val="0"/>
          <w:lang w:val="en-US"/>
        </w:rPr>
      </w:pPr>
    </w:p>
    <w:p w:rsidR="000828A6" w:rsidRDefault="000828A6" w:rsidP="000828A6">
      <w:pPr>
        <w:ind w:left="567"/>
        <w:rPr>
          <w:i/>
          <w:snapToGrid w:val="0"/>
        </w:rPr>
      </w:pPr>
      <w:r>
        <w:rPr>
          <w:i/>
          <w:snapToGrid w:val="0"/>
        </w:rPr>
        <w:lastRenderedPageBreak/>
        <w:t>Kurzreferate über neue Entwicklungen bei biochemischen und molekularen Verfahren durch DUS-Sachverständige, Biochemie- und Molekularfachleute, Pflanzenzüchter und einschlägige internationale Organisationen (mündliche Berichte von Teilnehmern)</w:t>
      </w:r>
    </w:p>
    <w:p w:rsidR="000828A6" w:rsidRPr="007B306D" w:rsidRDefault="000828A6" w:rsidP="000828A6">
      <w:pPr>
        <w:ind w:left="567"/>
        <w:rPr>
          <w:i/>
          <w:snapToGrid w:val="0"/>
        </w:rPr>
      </w:pPr>
    </w:p>
    <w:p w:rsidR="000828A6" w:rsidRPr="00EF6AC0" w:rsidRDefault="000828A6" w:rsidP="000828A6">
      <w:pPr>
        <w:ind w:left="567"/>
        <w:rPr>
          <w:i/>
          <w:snapToGrid w:val="0"/>
          <w:lang w:val="en-US"/>
        </w:rPr>
      </w:pPr>
      <w:r w:rsidRPr="00EF6AC0">
        <w:rPr>
          <w:i/>
          <w:snapToGrid w:val="0"/>
          <w:lang w:val="en-US"/>
        </w:rPr>
        <w:t xml:space="preserve">Report of work on molecular techniques in relation to DUS examination </w:t>
      </w:r>
    </w:p>
    <w:p w:rsidR="000828A6" w:rsidRPr="00EF6AC0" w:rsidRDefault="000828A6" w:rsidP="000828A6">
      <w:pPr>
        <w:ind w:left="567"/>
        <w:rPr>
          <w:i/>
          <w:snapToGrid w:val="0"/>
          <w:lang w:val="en-US"/>
        </w:rPr>
      </w:pPr>
    </w:p>
    <w:p w:rsidR="000828A6" w:rsidRPr="00EF6AC0" w:rsidRDefault="000828A6" w:rsidP="000828A6">
      <w:pPr>
        <w:ind w:left="1134"/>
        <w:rPr>
          <w:i/>
          <w:lang w:val="en-US"/>
        </w:rPr>
      </w:pPr>
      <w:proofErr w:type="spellStart"/>
      <w:proofErr w:type="gramStart"/>
      <w:r w:rsidRPr="00EF6AC0">
        <w:rPr>
          <w:i/>
          <w:lang w:val="en-US"/>
        </w:rPr>
        <w:t>vmDUS</w:t>
      </w:r>
      <w:proofErr w:type="spellEnd"/>
      <w:proofErr w:type="gramEnd"/>
      <w:r w:rsidRPr="00EF6AC0">
        <w:rPr>
          <w:i/>
          <w:lang w:val="en-US"/>
        </w:rPr>
        <w:t>: Value-molecular linked distinctness determination (</w:t>
      </w:r>
      <w:proofErr w:type="spellStart"/>
      <w:r w:rsidRPr="00EF6AC0">
        <w:rPr>
          <w:i/>
          <w:lang w:val="en-US"/>
        </w:rPr>
        <w:t>Dokument</w:t>
      </w:r>
      <w:proofErr w:type="spellEnd"/>
      <w:r w:rsidRPr="00EF6AC0">
        <w:rPr>
          <w:i/>
          <w:lang w:val="en-US"/>
        </w:rPr>
        <w:t xml:space="preserve"> BMT/19/6)</w:t>
      </w:r>
    </w:p>
    <w:p w:rsidR="000828A6" w:rsidRPr="00EF6AC0" w:rsidRDefault="000828A6" w:rsidP="000828A6">
      <w:pPr>
        <w:ind w:left="1134"/>
        <w:rPr>
          <w:i/>
          <w:lang w:val="en-US"/>
        </w:rPr>
      </w:pPr>
    </w:p>
    <w:p w:rsidR="000828A6" w:rsidRPr="00EF6AC0" w:rsidRDefault="000828A6" w:rsidP="000828A6">
      <w:pPr>
        <w:ind w:left="1134"/>
        <w:rPr>
          <w:i/>
          <w:lang w:val="en-US"/>
        </w:rPr>
      </w:pPr>
      <w:r w:rsidRPr="00EF6AC0">
        <w:rPr>
          <w:i/>
          <w:lang w:val="en-US"/>
        </w:rPr>
        <w:t xml:space="preserve">CPVO report on </w:t>
      </w:r>
      <w:proofErr w:type="gramStart"/>
      <w:r w:rsidRPr="00EF6AC0">
        <w:rPr>
          <w:i/>
          <w:lang w:val="en-US"/>
        </w:rPr>
        <w:t>IMODDUS:</w:t>
      </w:r>
      <w:proofErr w:type="gramEnd"/>
      <w:r w:rsidRPr="00EF6AC0">
        <w:rPr>
          <w:i/>
          <w:lang w:val="en-US"/>
        </w:rPr>
        <w:t xml:space="preserve"> Update on R&amp;D projects (</w:t>
      </w:r>
      <w:proofErr w:type="spellStart"/>
      <w:r w:rsidRPr="00EF6AC0">
        <w:rPr>
          <w:i/>
          <w:lang w:val="en-US"/>
        </w:rPr>
        <w:t>Dokument</w:t>
      </w:r>
      <w:proofErr w:type="spellEnd"/>
      <w:r w:rsidRPr="00EF6AC0">
        <w:rPr>
          <w:i/>
          <w:lang w:val="en-US"/>
        </w:rPr>
        <w:t xml:space="preserve"> BMT/19/4)</w:t>
      </w:r>
    </w:p>
    <w:p w:rsidR="000828A6" w:rsidRPr="00EF6AC0" w:rsidRDefault="000828A6" w:rsidP="000828A6">
      <w:pPr>
        <w:ind w:left="567"/>
        <w:rPr>
          <w:i/>
          <w:lang w:val="en-US"/>
        </w:rPr>
      </w:pPr>
    </w:p>
    <w:p w:rsidR="000828A6" w:rsidRPr="00EF6AC0" w:rsidRDefault="000828A6" w:rsidP="000828A6">
      <w:pPr>
        <w:tabs>
          <w:tab w:val="left" w:pos="567"/>
          <w:tab w:val="left" w:pos="1134"/>
        </w:tabs>
        <w:ind w:left="1134"/>
        <w:rPr>
          <w:i/>
          <w:lang w:val="en-US"/>
        </w:rPr>
      </w:pPr>
      <w:r w:rsidRPr="00EF6AC0">
        <w:rPr>
          <w:i/>
          <w:lang w:val="en-US"/>
        </w:rPr>
        <w:tab/>
        <w:t>Developing a strategy to apply SNP molecular markers in the framework of winter oilseed rape DUS testing (</w:t>
      </w:r>
      <w:proofErr w:type="spellStart"/>
      <w:r w:rsidRPr="00EF6AC0">
        <w:rPr>
          <w:i/>
          <w:lang w:val="en-US"/>
        </w:rPr>
        <w:t>Dokument</w:t>
      </w:r>
      <w:proofErr w:type="spellEnd"/>
      <w:r w:rsidRPr="00EF6AC0">
        <w:rPr>
          <w:i/>
          <w:lang w:val="en-US"/>
        </w:rPr>
        <w:t xml:space="preserve"> BMT/19/11)</w:t>
      </w:r>
    </w:p>
    <w:p w:rsidR="000828A6" w:rsidRPr="00EF6AC0" w:rsidRDefault="000828A6" w:rsidP="000828A6">
      <w:pPr>
        <w:tabs>
          <w:tab w:val="left" w:pos="567"/>
          <w:tab w:val="left" w:pos="1134"/>
        </w:tabs>
        <w:ind w:left="1134"/>
        <w:rPr>
          <w:i/>
          <w:lang w:val="en-US"/>
        </w:rPr>
      </w:pPr>
    </w:p>
    <w:p w:rsidR="000828A6" w:rsidRPr="00EF6AC0" w:rsidRDefault="000828A6" w:rsidP="000828A6">
      <w:pPr>
        <w:tabs>
          <w:tab w:val="left" w:pos="567"/>
          <w:tab w:val="left" w:pos="1134"/>
        </w:tabs>
        <w:ind w:left="1134"/>
        <w:rPr>
          <w:i/>
          <w:lang w:val="en-US"/>
        </w:rPr>
      </w:pPr>
      <w:r w:rsidRPr="00EF6AC0">
        <w:rPr>
          <w:i/>
          <w:lang w:val="en-US"/>
        </w:rPr>
        <w:tab/>
        <w:t>French strategy for access to molecular data and proof of concept for combining phenotype and genotype (</w:t>
      </w:r>
      <w:proofErr w:type="spellStart"/>
      <w:r w:rsidRPr="00EF6AC0">
        <w:rPr>
          <w:i/>
          <w:lang w:val="en-US"/>
        </w:rPr>
        <w:t>Dokument</w:t>
      </w:r>
      <w:proofErr w:type="spellEnd"/>
      <w:r w:rsidRPr="00EF6AC0">
        <w:rPr>
          <w:i/>
          <w:lang w:val="en-US"/>
        </w:rPr>
        <w:t xml:space="preserve"> BMT/19/13)</w:t>
      </w:r>
    </w:p>
    <w:p w:rsidR="000828A6" w:rsidRPr="00EF6AC0" w:rsidRDefault="000828A6" w:rsidP="000828A6">
      <w:pPr>
        <w:tabs>
          <w:tab w:val="left" w:pos="567"/>
          <w:tab w:val="left" w:pos="1134"/>
        </w:tabs>
        <w:ind w:left="1134"/>
        <w:rPr>
          <w:i/>
          <w:lang w:val="en-US"/>
        </w:rPr>
      </w:pPr>
    </w:p>
    <w:p w:rsidR="000828A6" w:rsidRDefault="000828A6" w:rsidP="000828A6">
      <w:pPr>
        <w:ind w:left="567"/>
        <w:rPr>
          <w:i/>
          <w:snapToGrid w:val="0"/>
        </w:rPr>
      </w:pPr>
      <w:r>
        <w:rPr>
          <w:i/>
          <w:snapToGrid w:val="0"/>
        </w:rPr>
        <w:t xml:space="preserve">Überprüfung von Dokument UPOV/INF/17 „Richtlinien für die DNS-Profilierung: Auswahl molekularer Marker und Aufbau von Datenbanken) (Dokumente BMT/19/3 </w:t>
      </w:r>
      <w:proofErr w:type="spellStart"/>
      <w:r>
        <w:rPr>
          <w:i/>
          <w:snapToGrid w:val="0"/>
        </w:rPr>
        <w:t>Rev</w:t>
      </w:r>
      <w:proofErr w:type="spellEnd"/>
      <w:r>
        <w:rPr>
          <w:i/>
          <w:snapToGrid w:val="0"/>
        </w:rPr>
        <w:t xml:space="preserve">. und UPOV/INF/17/2 </w:t>
      </w:r>
      <w:proofErr w:type="spellStart"/>
      <w:r>
        <w:rPr>
          <w:i/>
          <w:snapToGrid w:val="0"/>
        </w:rPr>
        <w:t>Draft</w:t>
      </w:r>
      <w:proofErr w:type="spellEnd"/>
      <w:r>
        <w:rPr>
          <w:i/>
          <w:snapToGrid w:val="0"/>
        </w:rPr>
        <w:t xml:space="preserve"> 3)</w:t>
      </w:r>
    </w:p>
    <w:p w:rsidR="000828A6" w:rsidRPr="007B306D" w:rsidRDefault="000828A6" w:rsidP="000828A6">
      <w:pPr>
        <w:ind w:left="567"/>
        <w:rPr>
          <w:i/>
          <w:snapToGrid w:val="0"/>
        </w:rPr>
      </w:pPr>
    </w:p>
    <w:p w:rsidR="002A5719" w:rsidRPr="00EB1BDB" w:rsidRDefault="000828A6" w:rsidP="00EF6AC0">
      <w:pPr>
        <w:ind w:left="567"/>
        <w:rPr>
          <w:i/>
          <w:snapToGrid w:val="0"/>
          <w:lang w:val="en-US"/>
        </w:rPr>
      </w:pPr>
      <w:bookmarkStart w:id="15" w:name="_GoBack"/>
      <w:bookmarkEnd w:id="15"/>
      <w:r w:rsidRPr="00EB1BDB">
        <w:rPr>
          <w:i/>
          <w:snapToGrid w:val="0"/>
          <w:lang w:val="en-US"/>
        </w:rPr>
        <w:t xml:space="preserve">Confidentiality, ownership and access to molecular </w:t>
      </w:r>
      <w:r w:rsidR="00E42839" w:rsidRPr="00EB1BDB">
        <w:rPr>
          <w:i/>
          <w:snapToGrid w:val="0"/>
          <w:lang w:val="en-US"/>
        </w:rPr>
        <w:t>data</w:t>
      </w:r>
      <w:r w:rsidR="00E42839" w:rsidRPr="007B306D">
        <w:rPr>
          <w:i/>
          <w:snapToGrid w:val="0"/>
        </w:rPr>
        <w:fldChar w:fldCharType="begin"/>
      </w:r>
      <w:r w:rsidR="00E42839" w:rsidRPr="00EB1BDB">
        <w:rPr>
          <w:i/>
          <w:snapToGrid w:val="0"/>
          <w:lang w:val="en-US"/>
        </w:rPr>
        <w:instrText xml:space="preserve"> NOTEREF _Ref50454705 \f \h  \* MERGEFORMAT </w:instrText>
      </w:r>
      <w:r w:rsidR="00E42839" w:rsidRPr="007B306D">
        <w:rPr>
          <w:i/>
          <w:snapToGrid w:val="0"/>
        </w:rPr>
      </w:r>
      <w:r w:rsidR="00E42839" w:rsidRPr="007B306D">
        <w:rPr>
          <w:i/>
          <w:snapToGrid w:val="0"/>
        </w:rPr>
        <w:fldChar w:fldCharType="separate"/>
      </w:r>
      <w:r w:rsidR="00E42839" w:rsidRPr="00EB1BDB">
        <w:rPr>
          <w:rStyle w:val="FootnoteReference"/>
          <w:i/>
          <w:lang w:val="en-US"/>
        </w:rPr>
        <w:t>1</w:t>
      </w:r>
      <w:r w:rsidR="00E42839" w:rsidRPr="007B306D">
        <w:rPr>
          <w:i/>
          <w:snapToGrid w:val="0"/>
        </w:rPr>
        <w:fldChar w:fldCharType="end"/>
      </w:r>
    </w:p>
    <w:p w:rsidR="000828A6" w:rsidRPr="00EB1BDB" w:rsidRDefault="000828A6" w:rsidP="000828A6">
      <w:pPr>
        <w:ind w:left="567"/>
        <w:rPr>
          <w:i/>
          <w:snapToGrid w:val="0"/>
          <w:lang w:val="en-US"/>
        </w:rPr>
      </w:pPr>
    </w:p>
    <w:p w:rsidR="000828A6" w:rsidRPr="00EB1BDB" w:rsidRDefault="000828A6" w:rsidP="000828A6">
      <w:pPr>
        <w:tabs>
          <w:tab w:val="left" w:pos="1134"/>
        </w:tabs>
        <w:ind w:left="1130"/>
        <w:rPr>
          <w:i/>
          <w:snapToGrid w:val="0"/>
          <w:lang w:val="en-US"/>
        </w:rPr>
      </w:pPr>
      <w:r w:rsidRPr="00EB1BDB">
        <w:rPr>
          <w:i/>
          <w:snapToGrid w:val="0"/>
          <w:lang w:val="en-US"/>
        </w:rPr>
        <w:tab/>
        <w:t>Access to reference material and molecular data from CPVO Examination Offices (</w:t>
      </w:r>
      <w:proofErr w:type="spellStart"/>
      <w:r w:rsidRPr="00EB1BDB">
        <w:rPr>
          <w:i/>
          <w:snapToGrid w:val="0"/>
          <w:lang w:val="en-US"/>
        </w:rPr>
        <w:t>Dokument</w:t>
      </w:r>
      <w:proofErr w:type="spellEnd"/>
      <w:r w:rsidRPr="00EB1BDB">
        <w:rPr>
          <w:i/>
          <w:snapToGrid w:val="0"/>
          <w:lang w:val="en-US"/>
        </w:rPr>
        <w:t xml:space="preserve"> BMT/19/5)</w:t>
      </w:r>
    </w:p>
    <w:p w:rsidR="000828A6" w:rsidRPr="00EB1BDB" w:rsidRDefault="000828A6" w:rsidP="000828A6">
      <w:pPr>
        <w:tabs>
          <w:tab w:val="left" w:pos="1134"/>
        </w:tabs>
        <w:ind w:left="1130"/>
        <w:rPr>
          <w:i/>
          <w:snapToGrid w:val="0"/>
          <w:lang w:val="en-US"/>
        </w:rPr>
      </w:pPr>
    </w:p>
    <w:p w:rsidR="000828A6" w:rsidRPr="00EF6AC0" w:rsidRDefault="000828A6" w:rsidP="000828A6">
      <w:pPr>
        <w:ind w:left="1134"/>
        <w:rPr>
          <w:i/>
          <w:snapToGrid w:val="0"/>
          <w:lang w:val="en-US"/>
        </w:rPr>
      </w:pPr>
      <w:r w:rsidRPr="00EF6AC0">
        <w:rPr>
          <w:i/>
          <w:snapToGrid w:val="0"/>
          <w:lang w:val="en-US"/>
        </w:rPr>
        <w:t>Survey on confidentiality and ownership of molecular information (</w:t>
      </w:r>
      <w:proofErr w:type="spellStart"/>
      <w:r w:rsidRPr="00EF6AC0">
        <w:rPr>
          <w:i/>
          <w:snapToGrid w:val="0"/>
          <w:lang w:val="en-US"/>
        </w:rPr>
        <w:t>Dokument</w:t>
      </w:r>
      <w:proofErr w:type="spellEnd"/>
      <w:r w:rsidRPr="00EF6AC0">
        <w:rPr>
          <w:i/>
          <w:snapToGrid w:val="0"/>
          <w:lang w:val="en-US"/>
        </w:rPr>
        <w:t xml:space="preserve"> BMT/19/8)</w:t>
      </w:r>
    </w:p>
    <w:p w:rsidR="000828A6" w:rsidRPr="00EF6AC0" w:rsidRDefault="000828A6" w:rsidP="000828A6">
      <w:pPr>
        <w:ind w:left="567"/>
        <w:rPr>
          <w:i/>
          <w:snapToGrid w:val="0"/>
          <w:lang w:val="en-US"/>
        </w:rPr>
      </w:pPr>
    </w:p>
    <w:p w:rsidR="000828A6" w:rsidRPr="00EF6AC0" w:rsidRDefault="000828A6" w:rsidP="000828A6">
      <w:pPr>
        <w:ind w:left="567"/>
        <w:rPr>
          <w:i/>
          <w:snapToGrid w:val="0"/>
          <w:lang w:val="en-US"/>
        </w:rPr>
      </w:pPr>
      <w:r w:rsidRPr="00EF6AC0">
        <w:rPr>
          <w:i/>
          <w:snapToGrid w:val="0"/>
          <w:lang w:val="en-US"/>
        </w:rPr>
        <w:t>Session to facilitate cooperation (</w:t>
      </w:r>
      <w:proofErr w:type="spellStart"/>
      <w:r w:rsidRPr="00EF6AC0">
        <w:rPr>
          <w:i/>
          <w:snapToGrid w:val="0"/>
          <w:lang w:val="en-US"/>
        </w:rPr>
        <w:t>Dokument</w:t>
      </w:r>
      <w:proofErr w:type="spellEnd"/>
      <w:r w:rsidRPr="00EF6AC0">
        <w:rPr>
          <w:i/>
          <w:snapToGrid w:val="0"/>
          <w:lang w:val="en-US"/>
        </w:rPr>
        <w:t xml:space="preserve"> BMT/19/10) </w:t>
      </w:r>
    </w:p>
    <w:p w:rsidR="000828A6" w:rsidRPr="00EF6AC0" w:rsidRDefault="000828A6" w:rsidP="000828A6">
      <w:pPr>
        <w:ind w:left="567"/>
        <w:rPr>
          <w:i/>
          <w:snapToGrid w:val="0"/>
          <w:lang w:val="en-US"/>
        </w:rPr>
      </w:pPr>
    </w:p>
    <w:p w:rsidR="000828A6" w:rsidRPr="00EF6AC0" w:rsidRDefault="000828A6" w:rsidP="000828A6">
      <w:pPr>
        <w:ind w:left="567"/>
        <w:rPr>
          <w:i/>
          <w:snapToGrid w:val="0"/>
          <w:lang w:val="en-US"/>
        </w:rPr>
      </w:pPr>
      <w:r w:rsidRPr="00EF6AC0">
        <w:rPr>
          <w:i/>
          <w:snapToGrid w:val="0"/>
          <w:lang w:val="en-US"/>
        </w:rPr>
        <w:t>Cooperation between international organizations (</w:t>
      </w:r>
      <w:proofErr w:type="spellStart"/>
      <w:r w:rsidRPr="00EF6AC0">
        <w:rPr>
          <w:i/>
          <w:snapToGrid w:val="0"/>
          <w:lang w:val="en-US"/>
        </w:rPr>
        <w:t>Dokument</w:t>
      </w:r>
      <w:proofErr w:type="spellEnd"/>
      <w:r w:rsidRPr="00EF6AC0">
        <w:rPr>
          <w:i/>
          <w:snapToGrid w:val="0"/>
          <w:lang w:val="en-US"/>
        </w:rPr>
        <w:t xml:space="preserve"> BMT/19/9) </w:t>
      </w:r>
    </w:p>
    <w:p w:rsidR="000828A6" w:rsidRPr="00EF6AC0" w:rsidRDefault="000828A6" w:rsidP="000828A6">
      <w:pPr>
        <w:ind w:left="567"/>
        <w:rPr>
          <w:i/>
          <w:snapToGrid w:val="0"/>
          <w:lang w:val="en-US"/>
        </w:rPr>
      </w:pPr>
    </w:p>
    <w:p w:rsidR="000828A6" w:rsidRPr="00EF6AC0" w:rsidRDefault="000828A6" w:rsidP="000828A6">
      <w:pPr>
        <w:ind w:left="1134"/>
        <w:rPr>
          <w:i/>
          <w:snapToGrid w:val="0"/>
          <w:lang w:val="en-US"/>
        </w:rPr>
      </w:pPr>
      <w:r w:rsidRPr="00EF6AC0">
        <w:rPr>
          <w:i/>
          <w:snapToGrid w:val="0"/>
          <w:lang w:val="en-US"/>
        </w:rPr>
        <w:tab/>
        <w:t>International Seed Testing Association (BMT/19/12)</w:t>
      </w:r>
    </w:p>
    <w:p w:rsidR="000828A6" w:rsidRPr="00EF6AC0" w:rsidRDefault="000828A6" w:rsidP="000828A6">
      <w:pPr>
        <w:ind w:left="1134"/>
        <w:rPr>
          <w:i/>
          <w:snapToGrid w:val="0"/>
          <w:lang w:val="en-US"/>
        </w:rPr>
      </w:pPr>
    </w:p>
    <w:p w:rsidR="000828A6" w:rsidRPr="00EF6AC0" w:rsidRDefault="000828A6" w:rsidP="000828A6">
      <w:pPr>
        <w:ind w:left="1134"/>
        <w:rPr>
          <w:i/>
          <w:snapToGrid w:val="0"/>
          <w:lang w:val="en-US"/>
        </w:rPr>
      </w:pPr>
      <w:r w:rsidRPr="00EF6AC0">
        <w:rPr>
          <w:i/>
          <w:snapToGrid w:val="0"/>
          <w:lang w:val="en-US"/>
        </w:rPr>
        <w:tab/>
        <w:t>International Organization for Standardization (BMT/19/14)</w:t>
      </w:r>
    </w:p>
    <w:p w:rsidR="000828A6" w:rsidRPr="00EF6AC0" w:rsidRDefault="000828A6" w:rsidP="000828A6">
      <w:pPr>
        <w:ind w:left="567"/>
        <w:rPr>
          <w:i/>
          <w:snapToGrid w:val="0"/>
          <w:lang w:val="en-US"/>
        </w:rPr>
      </w:pPr>
    </w:p>
    <w:p w:rsidR="000828A6" w:rsidRPr="00EF6AC0" w:rsidRDefault="000828A6" w:rsidP="000828A6">
      <w:pPr>
        <w:ind w:left="567"/>
        <w:rPr>
          <w:i/>
          <w:snapToGrid w:val="0"/>
          <w:lang w:val="en-US"/>
        </w:rPr>
      </w:pPr>
      <w:r w:rsidRPr="00EF6AC0">
        <w:rPr>
          <w:i/>
          <w:snapToGrid w:val="0"/>
          <w:lang w:val="en-US"/>
        </w:rPr>
        <w:t>Organization of work of the TWC and the BMT (</w:t>
      </w:r>
      <w:proofErr w:type="spellStart"/>
      <w:r w:rsidRPr="00EF6AC0">
        <w:rPr>
          <w:i/>
          <w:snapToGrid w:val="0"/>
          <w:lang w:val="en-US"/>
        </w:rPr>
        <w:t>Dokument</w:t>
      </w:r>
      <w:proofErr w:type="spellEnd"/>
      <w:r w:rsidRPr="00EF6AC0">
        <w:rPr>
          <w:i/>
          <w:snapToGrid w:val="0"/>
          <w:lang w:val="en-US"/>
        </w:rPr>
        <w:t xml:space="preserve"> BMT/19/7)</w:t>
      </w:r>
    </w:p>
    <w:p w:rsidR="000828A6" w:rsidRPr="00EF6AC0" w:rsidRDefault="000828A6" w:rsidP="000828A6">
      <w:pPr>
        <w:rPr>
          <w:lang w:val="en-US"/>
        </w:rPr>
      </w:pPr>
    </w:p>
    <w:p w:rsidR="000828A6" w:rsidRPr="00EF6AC0" w:rsidRDefault="000828A6" w:rsidP="000828A6">
      <w:pPr>
        <w:rPr>
          <w:lang w:val="en-US"/>
        </w:rPr>
      </w:pPr>
    </w:p>
    <w:p w:rsidR="000828A6" w:rsidRPr="00E8527D" w:rsidRDefault="000828A6" w:rsidP="000828A6">
      <w:pPr>
        <w:keepNext/>
        <w:spacing w:after="240"/>
        <w:outlineLvl w:val="1"/>
        <w:rPr>
          <w:u w:val="single"/>
        </w:rPr>
      </w:pPr>
      <w:bookmarkStart w:id="16" w:name="_Toc54021334"/>
      <w:r>
        <w:rPr>
          <w:u w:val="single"/>
        </w:rPr>
        <w:t>Ort und Datum der nächsten Tagung</w:t>
      </w:r>
      <w:bookmarkEnd w:id="16"/>
    </w:p>
    <w:p w:rsidR="000828A6" w:rsidRPr="00E8527D" w:rsidRDefault="000828A6" w:rsidP="000828A6">
      <w:r w:rsidRPr="00E8527D">
        <w:fldChar w:fldCharType="begin"/>
      </w:r>
      <w:r w:rsidRPr="00E8527D">
        <w:instrText xml:space="preserve"> AUTONUM  </w:instrText>
      </w:r>
      <w:r w:rsidRPr="00E8527D">
        <w:fldChar w:fldCharType="end"/>
      </w:r>
      <w:r>
        <w:tab/>
      </w:r>
      <w:r>
        <w:rPr>
          <w:snapToGrid w:val="0"/>
        </w:rPr>
        <w:t>Auf Einladung der Vereinigten Staaten von Amerika vereinbarte die BMT, ihre zwanzigste Tagung gemeinsam mit der TWC in der Woche vom 20. September 2021 in Alexandria, Virginia, abzuhalten</w:t>
      </w:r>
      <w:r>
        <w:t xml:space="preserve"> (vergleiche Dokument BMT/19/15 „</w:t>
      </w:r>
      <w:r>
        <w:rPr>
          <w:i/>
          <w:iCs/>
        </w:rPr>
        <w:t>Report</w:t>
      </w:r>
      <w:r>
        <w:t>“, Absatz 36).</w:t>
      </w:r>
    </w:p>
    <w:p w:rsidR="000828A6" w:rsidRDefault="000828A6" w:rsidP="000828A6"/>
    <w:p w:rsidR="000828A6" w:rsidRPr="00E8527D" w:rsidRDefault="000828A6" w:rsidP="000828A6"/>
    <w:p w:rsidR="000828A6" w:rsidRPr="00E8527D" w:rsidRDefault="000828A6" w:rsidP="000828A6">
      <w:pPr>
        <w:keepNext/>
        <w:spacing w:after="240"/>
        <w:outlineLvl w:val="1"/>
        <w:rPr>
          <w:u w:val="single"/>
        </w:rPr>
      </w:pPr>
      <w:bookmarkStart w:id="17" w:name="_Toc54021335"/>
      <w:r>
        <w:rPr>
          <w:u w:val="single"/>
        </w:rPr>
        <w:t>Künftiges Programm</w:t>
      </w:r>
      <w:bookmarkEnd w:id="17"/>
    </w:p>
    <w:p w:rsidR="000828A6" w:rsidRPr="00E8527D" w:rsidRDefault="000828A6" w:rsidP="000828A6">
      <w:pPr>
        <w:keepNext/>
        <w:rPr>
          <w:rFonts w:cs="Arial"/>
        </w:rPr>
      </w:pPr>
      <w:r w:rsidRPr="00E8527D">
        <w:rPr>
          <w:rFonts w:cs="Arial"/>
          <w:snapToGrid w:val="0"/>
        </w:rPr>
        <w:fldChar w:fldCharType="begin"/>
      </w:r>
      <w:r w:rsidRPr="00E8527D">
        <w:rPr>
          <w:rFonts w:cs="Arial"/>
          <w:snapToGrid w:val="0"/>
        </w:rPr>
        <w:instrText xml:space="preserve"> AUTONUM  </w:instrText>
      </w:r>
      <w:r w:rsidRPr="00E8527D">
        <w:rPr>
          <w:rFonts w:cs="Arial"/>
          <w:snapToGrid w:val="0"/>
        </w:rPr>
        <w:fldChar w:fldCharType="end"/>
      </w:r>
      <w:r>
        <w:rPr>
          <w:snapToGrid w:val="0"/>
        </w:rPr>
        <w:tab/>
      </w:r>
      <w:r>
        <w:t xml:space="preserve">Die BMT hat vor, auf ihrer zwanzigsten Tagung im </w:t>
      </w:r>
      <w:r>
        <w:rPr>
          <w:snapToGrid w:val="0"/>
        </w:rPr>
        <w:t>Jahre 2021</w:t>
      </w:r>
      <w:r>
        <w:t xml:space="preserve"> folgende Punkte zu behandeln (vergleiche Dokument BMT/19/15 „</w:t>
      </w:r>
      <w:r>
        <w:rPr>
          <w:i/>
          <w:iCs/>
        </w:rPr>
        <w:t>Report</w:t>
      </w:r>
      <w:r>
        <w:t>“, Absatz 37):</w:t>
      </w:r>
    </w:p>
    <w:p w:rsidR="000828A6" w:rsidRPr="00861DBA" w:rsidRDefault="000828A6" w:rsidP="000828A6">
      <w:pPr>
        <w:keepNext/>
        <w:rPr>
          <w:rFonts w:cs="Arial"/>
          <w:sz w:val="18"/>
        </w:rPr>
      </w:pPr>
    </w:p>
    <w:p w:rsidR="000828A6" w:rsidRDefault="000828A6" w:rsidP="000828A6">
      <w:pPr>
        <w:spacing w:after="120"/>
        <w:ind w:left="567"/>
        <w:rPr>
          <w:rFonts w:cs="Arial"/>
        </w:rPr>
      </w:pPr>
      <w:r>
        <w:t>1.</w:t>
      </w:r>
      <w:r>
        <w:tab/>
        <w:t>Eröffnung der Tagung</w:t>
      </w:r>
    </w:p>
    <w:p w:rsidR="000828A6" w:rsidRDefault="000828A6" w:rsidP="000828A6">
      <w:pPr>
        <w:spacing w:after="120"/>
        <w:ind w:left="567"/>
        <w:rPr>
          <w:rFonts w:cs="Arial"/>
        </w:rPr>
      </w:pPr>
      <w:r>
        <w:t>2.</w:t>
      </w:r>
      <w:r>
        <w:tab/>
        <w:t>Annahme der Tagesordnung</w:t>
      </w:r>
    </w:p>
    <w:p w:rsidR="000828A6" w:rsidRDefault="000828A6" w:rsidP="000828A6">
      <w:pPr>
        <w:spacing w:after="120"/>
        <w:ind w:left="1134" w:hanging="567"/>
        <w:rPr>
          <w:rFonts w:cs="Arial"/>
        </w:rPr>
      </w:pPr>
      <w:r>
        <w:t>3.</w:t>
      </w:r>
      <w:r>
        <w:tab/>
        <w:t>Berichte über Entwicklungen in der UPOV betreffend biochemische und molekulare Verfahren (vom Verbandsbüro zu erstellendes Dokument)</w:t>
      </w:r>
    </w:p>
    <w:p w:rsidR="000828A6" w:rsidRDefault="000828A6" w:rsidP="000828A6">
      <w:pPr>
        <w:spacing w:after="120"/>
        <w:ind w:left="1134" w:hanging="567"/>
        <w:rPr>
          <w:rFonts w:cs="Arial"/>
        </w:rPr>
      </w:pPr>
      <w:r>
        <w:t>4.</w:t>
      </w:r>
      <w:r>
        <w:tab/>
        <w:t>Kurzreferate über neue Entwicklungen bei biochemischen und molekularen Verfahren durch DUS-Sachverständige, Biochemie- und Molekularfachleute, Pflanzenzüchter und einschlägige internationale Organisationen (Berichte von Teilnehmern)</w:t>
      </w:r>
    </w:p>
    <w:p w:rsidR="000828A6" w:rsidRDefault="000828A6" w:rsidP="002A5719">
      <w:pPr>
        <w:spacing w:after="120"/>
        <w:ind w:left="1127" w:hanging="560"/>
        <w:rPr>
          <w:rFonts w:cs="Arial"/>
        </w:rPr>
      </w:pPr>
      <w:r>
        <w:t>5.</w:t>
      </w:r>
      <w:r>
        <w:tab/>
        <w:t>Bericht über die Arbeiten an molekularen Verfahren im Zusammenhang mit der DUS-Prüfung (Beiträge erbeten)</w:t>
      </w:r>
    </w:p>
    <w:p w:rsidR="000828A6" w:rsidRDefault="000828A6" w:rsidP="000828A6">
      <w:pPr>
        <w:spacing w:after="120"/>
        <w:ind w:left="1134" w:hanging="567"/>
        <w:rPr>
          <w:rFonts w:cs="Arial"/>
        </w:rPr>
      </w:pPr>
      <w:r>
        <w:t>6.</w:t>
      </w:r>
      <w:r>
        <w:tab/>
        <w:t xml:space="preserve">Datenbanken mit Sortenbeschreibungen einschließlich Datenbanken mit molekularen Daten (Beiträge erbeten) </w:t>
      </w:r>
    </w:p>
    <w:p w:rsidR="000828A6" w:rsidRDefault="000828A6" w:rsidP="000828A6">
      <w:pPr>
        <w:spacing w:after="120"/>
        <w:ind w:left="1134" w:hanging="567"/>
        <w:rPr>
          <w:rFonts w:cs="Arial"/>
        </w:rPr>
      </w:pPr>
      <w:r>
        <w:t>7.</w:t>
      </w:r>
      <w:r>
        <w:tab/>
        <w:t>Verfahren für die Analyse molekularer Daten, Verwaltung von Datenbanken und Austausch von Daten und Material (Beiträge erbeten)</w:t>
      </w:r>
    </w:p>
    <w:p w:rsidR="000828A6" w:rsidRDefault="000828A6" w:rsidP="000828A6">
      <w:pPr>
        <w:spacing w:after="120"/>
        <w:ind w:left="1134" w:hanging="567"/>
        <w:rPr>
          <w:rFonts w:cs="Arial"/>
        </w:rPr>
      </w:pPr>
      <w:r>
        <w:t>8.</w:t>
      </w:r>
      <w:r>
        <w:tab/>
        <w:t>Verwendung molekularer Verfahren bei der Prüfung der wesentlichen Ableitung</w:t>
      </w:r>
      <w:bookmarkStart w:id="18" w:name="_Ref498061157"/>
      <w:r>
        <w:rPr>
          <w:vertAlign w:val="superscript"/>
        </w:rPr>
        <w:t>1</w:t>
      </w:r>
      <w:r w:rsidRPr="00887219">
        <w:rPr>
          <w:rFonts w:cs="Arial"/>
          <w:color w:val="FFFFFF" w:themeColor="background1"/>
          <w:sz w:val="2"/>
          <w:vertAlign w:val="superscript"/>
        </w:rPr>
        <w:footnoteReference w:id="7"/>
      </w:r>
      <w:bookmarkEnd w:id="18"/>
      <w:r>
        <w:t xml:space="preserve"> (Beiträge erbeten)</w:t>
      </w:r>
    </w:p>
    <w:p w:rsidR="000828A6" w:rsidRDefault="000828A6" w:rsidP="000828A6">
      <w:pPr>
        <w:spacing w:after="120"/>
        <w:ind w:left="567"/>
        <w:rPr>
          <w:rFonts w:cs="Arial"/>
        </w:rPr>
      </w:pPr>
      <w:r>
        <w:t>9.</w:t>
      </w:r>
      <w:r>
        <w:tab/>
        <w:t>Verwendung molekularer Verfahren bei der Sortenidentifikation</w:t>
      </w:r>
      <w:r>
        <w:rPr>
          <w:vertAlign w:val="superscript"/>
        </w:rPr>
        <w:t>1</w:t>
      </w:r>
      <w:r>
        <w:t xml:space="preserve"> (Beiträge erbeten)</w:t>
      </w:r>
    </w:p>
    <w:p w:rsidR="000828A6" w:rsidRDefault="000828A6" w:rsidP="000828A6">
      <w:pPr>
        <w:spacing w:after="120"/>
        <w:ind w:left="1134" w:hanging="567"/>
        <w:rPr>
          <w:rFonts w:cs="Arial"/>
        </w:rPr>
      </w:pPr>
      <w:r>
        <w:t>10.</w:t>
      </w:r>
      <w:r>
        <w:tab/>
        <w:t>Zusammenarbeit zwischen internationalen Organisationen (vom Verbandsbüro zu erstellendes Dokument)</w:t>
      </w:r>
    </w:p>
    <w:p w:rsidR="000828A6" w:rsidRDefault="000828A6" w:rsidP="000828A6">
      <w:pPr>
        <w:spacing w:after="120"/>
        <w:ind w:left="1134" w:hanging="567"/>
        <w:rPr>
          <w:rFonts w:cs="Arial"/>
        </w:rPr>
      </w:pPr>
      <w:r>
        <w:t>11.</w:t>
      </w:r>
      <w:r>
        <w:tab/>
        <w:t>Vertraulichkeit, Eigentum und Zugang zu molekul</w:t>
      </w:r>
      <w:r w:rsidR="00E42839">
        <w:t>aren Daten, einschließlich einer Vorlage für eine Musterv</w:t>
      </w:r>
      <w:r>
        <w:t>ereinbarung</w:t>
      </w:r>
      <w:r>
        <w:rPr>
          <w:vertAlign w:val="superscript"/>
        </w:rPr>
        <w:t>1</w:t>
      </w:r>
      <w:r>
        <w:t xml:space="preserve"> (Beiträge erbeten)</w:t>
      </w:r>
    </w:p>
    <w:p w:rsidR="000828A6" w:rsidRDefault="000828A6" w:rsidP="000828A6">
      <w:pPr>
        <w:spacing w:after="120"/>
        <w:ind w:left="1134" w:hanging="567"/>
        <w:rPr>
          <w:rFonts w:cs="Arial"/>
        </w:rPr>
      </w:pPr>
      <w:r>
        <w:t>12.</w:t>
      </w:r>
      <w:r>
        <w:tab/>
        <w:t xml:space="preserve">Sitzung zur Erleichterung der Zusammenarbeit </w:t>
      </w:r>
    </w:p>
    <w:p w:rsidR="000828A6" w:rsidRDefault="000828A6" w:rsidP="000828A6">
      <w:pPr>
        <w:spacing w:after="120"/>
        <w:ind w:left="567"/>
        <w:rPr>
          <w:rFonts w:cs="Arial"/>
        </w:rPr>
      </w:pPr>
      <w:r>
        <w:t>13.</w:t>
      </w:r>
      <w:r>
        <w:tab/>
        <w:t>Ort und Datum der nächsten Tagung</w:t>
      </w:r>
    </w:p>
    <w:p w:rsidR="000828A6" w:rsidRDefault="000828A6" w:rsidP="000828A6">
      <w:pPr>
        <w:spacing w:after="120"/>
        <w:ind w:left="567"/>
        <w:rPr>
          <w:rFonts w:cs="Arial"/>
        </w:rPr>
      </w:pPr>
      <w:r>
        <w:t>14.</w:t>
      </w:r>
      <w:r>
        <w:tab/>
        <w:t>Künftiges Programm</w:t>
      </w:r>
    </w:p>
    <w:p w:rsidR="000828A6" w:rsidRDefault="000828A6" w:rsidP="000828A6">
      <w:pPr>
        <w:spacing w:after="120"/>
        <w:ind w:left="567"/>
        <w:rPr>
          <w:rFonts w:cs="Arial"/>
        </w:rPr>
      </w:pPr>
      <w:r>
        <w:t>15.</w:t>
      </w:r>
      <w:r>
        <w:tab/>
        <w:t>Bericht über die Tagung (sofern zeitlich möglich)</w:t>
      </w:r>
    </w:p>
    <w:p w:rsidR="000828A6" w:rsidRDefault="000828A6" w:rsidP="000828A6">
      <w:pPr>
        <w:ind w:left="567"/>
        <w:rPr>
          <w:rFonts w:cs="Arial"/>
        </w:rPr>
      </w:pPr>
      <w:r>
        <w:t>16.</w:t>
      </w:r>
      <w:r>
        <w:tab/>
        <w:t>Schließung der Tagung</w:t>
      </w:r>
    </w:p>
    <w:p w:rsidR="000828A6" w:rsidRDefault="000828A6" w:rsidP="00050E16"/>
    <w:p w:rsidR="000828A6" w:rsidRDefault="000828A6" w:rsidP="00050E16"/>
    <w:p w:rsidR="000828A6" w:rsidRPr="00C651CE" w:rsidRDefault="000828A6" w:rsidP="00050E16"/>
    <w:p w:rsidR="009B440E" w:rsidRDefault="00050E16" w:rsidP="00050E16">
      <w:pPr>
        <w:jc w:val="right"/>
      </w:pPr>
      <w:r>
        <w:t xml:space="preserve"> [Ende des Dokuments]</w:t>
      </w: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2F" w:rsidRDefault="003D402F" w:rsidP="006655D3">
      <w:r>
        <w:separator/>
      </w:r>
    </w:p>
    <w:p w:rsidR="003D402F" w:rsidRDefault="003D402F" w:rsidP="006655D3"/>
    <w:p w:rsidR="003D402F" w:rsidRDefault="003D402F" w:rsidP="006655D3"/>
  </w:endnote>
  <w:endnote w:type="continuationSeparator" w:id="0">
    <w:p w:rsidR="003D402F" w:rsidRDefault="003D402F" w:rsidP="006655D3">
      <w:r>
        <w:separator/>
      </w:r>
    </w:p>
    <w:p w:rsidR="003D402F" w:rsidRPr="00294751" w:rsidRDefault="003D402F">
      <w:pPr>
        <w:pStyle w:val="Footer"/>
        <w:spacing w:after="60"/>
        <w:rPr>
          <w:sz w:val="18"/>
          <w:lang w:val="fr-FR"/>
        </w:rPr>
      </w:pPr>
      <w:r w:rsidRPr="00294751">
        <w:rPr>
          <w:sz w:val="18"/>
          <w:lang w:val="fr-FR"/>
        </w:rPr>
        <w:t>[Suite de la note de la page précédente]</w:t>
      </w:r>
    </w:p>
    <w:p w:rsidR="003D402F" w:rsidRPr="00294751" w:rsidRDefault="003D402F" w:rsidP="006655D3">
      <w:pPr>
        <w:rPr>
          <w:lang w:val="fr-FR"/>
        </w:rPr>
      </w:pPr>
    </w:p>
    <w:p w:rsidR="003D402F" w:rsidRPr="00294751" w:rsidRDefault="003D402F" w:rsidP="006655D3">
      <w:pPr>
        <w:rPr>
          <w:lang w:val="fr-FR"/>
        </w:rPr>
      </w:pPr>
    </w:p>
  </w:endnote>
  <w:endnote w:type="continuationNotice" w:id="1">
    <w:p w:rsidR="003D402F" w:rsidRPr="00294751" w:rsidRDefault="003D402F" w:rsidP="006655D3">
      <w:pPr>
        <w:rPr>
          <w:lang w:val="fr-FR"/>
        </w:rPr>
      </w:pPr>
      <w:r w:rsidRPr="00294751">
        <w:rPr>
          <w:lang w:val="fr-FR"/>
        </w:rPr>
        <w:t>[Suite de la note page suivante]</w:t>
      </w:r>
    </w:p>
    <w:p w:rsidR="003D402F" w:rsidRPr="00294751" w:rsidRDefault="003D402F" w:rsidP="006655D3">
      <w:pPr>
        <w:rPr>
          <w:lang w:val="fr-FR"/>
        </w:rPr>
      </w:pPr>
    </w:p>
    <w:p w:rsidR="003D402F" w:rsidRPr="00294751" w:rsidRDefault="003D402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2F" w:rsidRDefault="003D402F" w:rsidP="006655D3">
      <w:r>
        <w:separator/>
      </w:r>
    </w:p>
  </w:footnote>
  <w:footnote w:type="continuationSeparator" w:id="0">
    <w:p w:rsidR="003D402F" w:rsidRDefault="003D402F" w:rsidP="006655D3">
      <w:r>
        <w:separator/>
      </w:r>
    </w:p>
  </w:footnote>
  <w:footnote w:type="continuationNotice" w:id="1">
    <w:p w:rsidR="003D402F" w:rsidRPr="00AB530F" w:rsidRDefault="003D402F" w:rsidP="00AB530F">
      <w:pPr>
        <w:pStyle w:val="Footer"/>
      </w:pPr>
    </w:p>
  </w:footnote>
  <w:footnote w:id="2">
    <w:p w:rsidR="00A66AE5" w:rsidRDefault="00A66AE5" w:rsidP="00A66AE5">
      <w:pPr>
        <w:pStyle w:val="FootnoteText"/>
      </w:pPr>
      <w:r>
        <w:rPr>
          <w:rStyle w:val="FootnoteReference"/>
        </w:rPr>
        <w:footnoteRef/>
      </w:r>
      <w:r>
        <w:t>auf ihrer vierundfünfzigsten Tagung vom 11. bis 15. Mai 2020.</w:t>
      </w:r>
    </w:p>
  </w:footnote>
  <w:footnote w:id="3">
    <w:p w:rsidR="00A66AE5" w:rsidRDefault="00A66AE5" w:rsidP="00A66AE5">
      <w:pPr>
        <w:pStyle w:val="FootnoteText"/>
      </w:pPr>
      <w:r>
        <w:rPr>
          <w:rStyle w:val="FootnoteReference"/>
        </w:rPr>
        <w:footnoteRef/>
      </w:r>
      <w:r>
        <w:t>auf ihrer zweiundfünfzigsten Tagung vom 8. bis 12. Juni 2020.</w:t>
      </w:r>
    </w:p>
  </w:footnote>
  <w:footnote w:id="4">
    <w:p w:rsidR="00A66AE5" w:rsidRDefault="00A66AE5" w:rsidP="00A66AE5">
      <w:pPr>
        <w:pStyle w:val="FootnoteText"/>
      </w:pPr>
      <w:r>
        <w:rPr>
          <w:rStyle w:val="FootnoteReference"/>
        </w:rPr>
        <w:footnoteRef/>
      </w:r>
      <w:r>
        <w:t xml:space="preserve"> auf ihrer neunundvierzigsten Tagung vom 22. bis 26. Juni 2020.</w:t>
      </w:r>
    </w:p>
  </w:footnote>
  <w:footnote w:id="5">
    <w:p w:rsidR="00A66AE5" w:rsidRDefault="00A66AE5" w:rsidP="00A66AE5">
      <w:pPr>
        <w:pStyle w:val="FootnoteText"/>
      </w:pPr>
      <w:r>
        <w:rPr>
          <w:rStyle w:val="FootnoteReference"/>
        </w:rPr>
        <w:footnoteRef/>
      </w:r>
      <w:r>
        <w:t>auf ihrer einundfünfzigsten Tagung vom 6. bis 10. Juli 2020.</w:t>
      </w:r>
    </w:p>
  </w:footnote>
  <w:footnote w:id="6">
    <w:p w:rsidR="00A66AE5" w:rsidRPr="000329F8" w:rsidRDefault="00A66AE5" w:rsidP="00A66AE5">
      <w:pPr>
        <w:pStyle w:val="FootnoteText"/>
      </w:pPr>
      <w:r>
        <w:rPr>
          <w:rStyle w:val="FootnoteReference"/>
        </w:rPr>
        <w:footnoteRef/>
      </w:r>
      <w:r>
        <w:t>auf ihrer achtunddreißigsten Tagung vom 21. bis 23. September 2020.</w:t>
      </w:r>
    </w:p>
  </w:footnote>
  <w:footnote w:id="7">
    <w:p w:rsidR="000828A6" w:rsidRDefault="00887219" w:rsidP="000828A6">
      <w:pPr>
        <w:pStyle w:val="FootnoteText"/>
      </w:pPr>
      <w:r>
        <w:rPr>
          <w:vertAlign w:val="superscript"/>
        </w:rPr>
        <w:t>1</w:t>
      </w:r>
      <w:r>
        <w:rPr>
          <w:rStyle w:val="FootnoteReference"/>
          <w:color w:val="FFFFFF" w:themeColor="background1"/>
          <w:sz w:val="2"/>
        </w:rPr>
        <w:footnoteRef/>
      </w:r>
      <w:r>
        <w:rPr>
          <w:color w:val="FFFFFF" w:themeColor="background1"/>
        </w:rPr>
        <w:t xml:space="preserve"> </w:t>
      </w:r>
      <w:r>
        <w:t>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A7706A" w:rsidP="00EB048E">
    <w:pPr>
      <w:pStyle w:val="Header"/>
      <w:rPr>
        <w:rStyle w:val="PageNumber"/>
      </w:rPr>
    </w:pPr>
    <w:r>
      <w:rPr>
        <w:rStyle w:val="PageNumber"/>
      </w:rPr>
      <w:t>TC/56/INF/6</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F6AC0">
      <w:rPr>
        <w:rStyle w:val="PageNumber"/>
        <w:noProof/>
      </w:rPr>
      <w:t>4</w:t>
    </w:r>
    <w:r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4894"/>
    <w:rsid w:val="00036028"/>
    <w:rsid w:val="00036D11"/>
    <w:rsid w:val="000375CA"/>
    <w:rsid w:val="00044642"/>
    <w:rsid w:val="000446B9"/>
    <w:rsid w:val="00047E21"/>
    <w:rsid w:val="00050E16"/>
    <w:rsid w:val="00060221"/>
    <w:rsid w:val="00076A4D"/>
    <w:rsid w:val="000828A6"/>
    <w:rsid w:val="00085505"/>
    <w:rsid w:val="00087006"/>
    <w:rsid w:val="000B29B6"/>
    <w:rsid w:val="000C4E25"/>
    <w:rsid w:val="000C7021"/>
    <w:rsid w:val="000D6BBC"/>
    <w:rsid w:val="000D7780"/>
    <w:rsid w:val="000E636A"/>
    <w:rsid w:val="000F2F11"/>
    <w:rsid w:val="00105929"/>
    <w:rsid w:val="00110C36"/>
    <w:rsid w:val="001131D5"/>
    <w:rsid w:val="0013222A"/>
    <w:rsid w:val="00141DB8"/>
    <w:rsid w:val="00172084"/>
    <w:rsid w:val="0017474A"/>
    <w:rsid w:val="001758C6"/>
    <w:rsid w:val="00182B99"/>
    <w:rsid w:val="001833F7"/>
    <w:rsid w:val="001B62CB"/>
    <w:rsid w:val="001D1213"/>
    <w:rsid w:val="001F5259"/>
    <w:rsid w:val="0020054C"/>
    <w:rsid w:val="0021332C"/>
    <w:rsid w:val="00213982"/>
    <w:rsid w:val="002310E5"/>
    <w:rsid w:val="0024416D"/>
    <w:rsid w:val="00252944"/>
    <w:rsid w:val="00271911"/>
    <w:rsid w:val="002800A0"/>
    <w:rsid w:val="002801B3"/>
    <w:rsid w:val="00281060"/>
    <w:rsid w:val="002940E8"/>
    <w:rsid w:val="00294751"/>
    <w:rsid w:val="002A5719"/>
    <w:rsid w:val="002A6E50"/>
    <w:rsid w:val="002B2810"/>
    <w:rsid w:val="002B4298"/>
    <w:rsid w:val="002C256A"/>
    <w:rsid w:val="002E754C"/>
    <w:rsid w:val="00304827"/>
    <w:rsid w:val="00305A7F"/>
    <w:rsid w:val="00310B95"/>
    <w:rsid w:val="003152FE"/>
    <w:rsid w:val="00327436"/>
    <w:rsid w:val="00340D10"/>
    <w:rsid w:val="00344BD6"/>
    <w:rsid w:val="0035528D"/>
    <w:rsid w:val="00357E26"/>
    <w:rsid w:val="00361821"/>
    <w:rsid w:val="00361E9E"/>
    <w:rsid w:val="003701A6"/>
    <w:rsid w:val="003C7FBE"/>
    <w:rsid w:val="003D227C"/>
    <w:rsid w:val="003D2B4D"/>
    <w:rsid w:val="003D402F"/>
    <w:rsid w:val="003F37A5"/>
    <w:rsid w:val="0041242C"/>
    <w:rsid w:val="00431F00"/>
    <w:rsid w:val="00434EDA"/>
    <w:rsid w:val="00444A88"/>
    <w:rsid w:val="00474DA4"/>
    <w:rsid w:val="00476B4D"/>
    <w:rsid w:val="004805FA"/>
    <w:rsid w:val="004935D2"/>
    <w:rsid w:val="004A2014"/>
    <w:rsid w:val="004B1215"/>
    <w:rsid w:val="004D047D"/>
    <w:rsid w:val="004D7344"/>
    <w:rsid w:val="004F1E9E"/>
    <w:rsid w:val="004F305A"/>
    <w:rsid w:val="00512164"/>
    <w:rsid w:val="00513C24"/>
    <w:rsid w:val="00515F7C"/>
    <w:rsid w:val="00520297"/>
    <w:rsid w:val="005269A6"/>
    <w:rsid w:val="005338F9"/>
    <w:rsid w:val="00535784"/>
    <w:rsid w:val="0054281C"/>
    <w:rsid w:val="00544581"/>
    <w:rsid w:val="0055268D"/>
    <w:rsid w:val="00576BE4"/>
    <w:rsid w:val="005817D9"/>
    <w:rsid w:val="005A400A"/>
    <w:rsid w:val="005D1380"/>
    <w:rsid w:val="005F7B92"/>
    <w:rsid w:val="00612379"/>
    <w:rsid w:val="006153B6"/>
    <w:rsid w:val="0061555F"/>
    <w:rsid w:val="00636CA6"/>
    <w:rsid w:val="00641200"/>
    <w:rsid w:val="00645CA8"/>
    <w:rsid w:val="006655D3"/>
    <w:rsid w:val="00667404"/>
    <w:rsid w:val="00687EB4"/>
    <w:rsid w:val="00690323"/>
    <w:rsid w:val="00695C56"/>
    <w:rsid w:val="006A1B9B"/>
    <w:rsid w:val="006A5CDE"/>
    <w:rsid w:val="006A644A"/>
    <w:rsid w:val="006B17D2"/>
    <w:rsid w:val="006B1DCA"/>
    <w:rsid w:val="006C224E"/>
    <w:rsid w:val="006C5657"/>
    <w:rsid w:val="006D1444"/>
    <w:rsid w:val="006D7435"/>
    <w:rsid w:val="006D780A"/>
    <w:rsid w:val="0071271E"/>
    <w:rsid w:val="00723D5D"/>
    <w:rsid w:val="00732DEC"/>
    <w:rsid w:val="00735BD5"/>
    <w:rsid w:val="00751613"/>
    <w:rsid w:val="007556F6"/>
    <w:rsid w:val="00760EEF"/>
    <w:rsid w:val="007645F2"/>
    <w:rsid w:val="00777EE5"/>
    <w:rsid w:val="00784836"/>
    <w:rsid w:val="0079023E"/>
    <w:rsid w:val="007A1CCA"/>
    <w:rsid w:val="007A2854"/>
    <w:rsid w:val="007B306D"/>
    <w:rsid w:val="007C1D92"/>
    <w:rsid w:val="007C4CB9"/>
    <w:rsid w:val="007D0B9D"/>
    <w:rsid w:val="007D19B0"/>
    <w:rsid w:val="007F498F"/>
    <w:rsid w:val="0080679D"/>
    <w:rsid w:val="008108B0"/>
    <w:rsid w:val="00810DF1"/>
    <w:rsid w:val="00811B20"/>
    <w:rsid w:val="008211B5"/>
    <w:rsid w:val="00822657"/>
    <w:rsid w:val="0082296E"/>
    <w:rsid w:val="00824099"/>
    <w:rsid w:val="008326A0"/>
    <w:rsid w:val="00846D7C"/>
    <w:rsid w:val="008619BE"/>
    <w:rsid w:val="00867AC1"/>
    <w:rsid w:val="00880EE5"/>
    <w:rsid w:val="00882C6F"/>
    <w:rsid w:val="00887219"/>
    <w:rsid w:val="00890DF8"/>
    <w:rsid w:val="008A743F"/>
    <w:rsid w:val="008B6E60"/>
    <w:rsid w:val="008C0970"/>
    <w:rsid w:val="008D01EE"/>
    <w:rsid w:val="008D0BC5"/>
    <w:rsid w:val="008D2CF7"/>
    <w:rsid w:val="008D7E86"/>
    <w:rsid w:val="00900C26"/>
    <w:rsid w:val="0090197F"/>
    <w:rsid w:val="00906DDC"/>
    <w:rsid w:val="0091004D"/>
    <w:rsid w:val="0091714B"/>
    <w:rsid w:val="00934E09"/>
    <w:rsid w:val="00935115"/>
    <w:rsid w:val="00936253"/>
    <w:rsid w:val="009369B8"/>
    <w:rsid w:val="00940D46"/>
    <w:rsid w:val="00950B39"/>
    <w:rsid w:val="00952DD4"/>
    <w:rsid w:val="00965AE7"/>
    <w:rsid w:val="00970B42"/>
    <w:rsid w:val="00970FED"/>
    <w:rsid w:val="00992D82"/>
    <w:rsid w:val="00997029"/>
    <w:rsid w:val="009A7339"/>
    <w:rsid w:val="009B440E"/>
    <w:rsid w:val="009B6069"/>
    <w:rsid w:val="009D690D"/>
    <w:rsid w:val="009E65B6"/>
    <w:rsid w:val="00A24C10"/>
    <w:rsid w:val="00A308C3"/>
    <w:rsid w:val="00A37C2B"/>
    <w:rsid w:val="00A42AC3"/>
    <w:rsid w:val="00A430CF"/>
    <w:rsid w:val="00A54309"/>
    <w:rsid w:val="00A66AE5"/>
    <w:rsid w:val="00A7706A"/>
    <w:rsid w:val="00A8305C"/>
    <w:rsid w:val="00AA18B2"/>
    <w:rsid w:val="00AB2B93"/>
    <w:rsid w:val="00AB530F"/>
    <w:rsid w:val="00AB7E5B"/>
    <w:rsid w:val="00AC2883"/>
    <w:rsid w:val="00AD4C95"/>
    <w:rsid w:val="00AE0EF1"/>
    <w:rsid w:val="00AE2937"/>
    <w:rsid w:val="00AF3D4C"/>
    <w:rsid w:val="00B07301"/>
    <w:rsid w:val="00B104FC"/>
    <w:rsid w:val="00B11F3E"/>
    <w:rsid w:val="00B224DE"/>
    <w:rsid w:val="00B31E8A"/>
    <w:rsid w:val="00B324D4"/>
    <w:rsid w:val="00B43D38"/>
    <w:rsid w:val="00B46575"/>
    <w:rsid w:val="00B61777"/>
    <w:rsid w:val="00B828C9"/>
    <w:rsid w:val="00B84BBD"/>
    <w:rsid w:val="00B97F2C"/>
    <w:rsid w:val="00BA43FB"/>
    <w:rsid w:val="00BC127D"/>
    <w:rsid w:val="00BC1FE6"/>
    <w:rsid w:val="00BE6608"/>
    <w:rsid w:val="00C061B6"/>
    <w:rsid w:val="00C230DD"/>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B61C6"/>
    <w:rsid w:val="00CB655B"/>
    <w:rsid w:val="00CC11B0"/>
    <w:rsid w:val="00CC2841"/>
    <w:rsid w:val="00CC2A9D"/>
    <w:rsid w:val="00CD7DF8"/>
    <w:rsid w:val="00CF1330"/>
    <w:rsid w:val="00CF7E36"/>
    <w:rsid w:val="00D118AF"/>
    <w:rsid w:val="00D2709A"/>
    <w:rsid w:val="00D3708D"/>
    <w:rsid w:val="00D40426"/>
    <w:rsid w:val="00D538E2"/>
    <w:rsid w:val="00D57C96"/>
    <w:rsid w:val="00D57D18"/>
    <w:rsid w:val="00D70BFB"/>
    <w:rsid w:val="00D769AD"/>
    <w:rsid w:val="00D91203"/>
    <w:rsid w:val="00D95174"/>
    <w:rsid w:val="00DA4973"/>
    <w:rsid w:val="00DA6F36"/>
    <w:rsid w:val="00DB596E"/>
    <w:rsid w:val="00DB7773"/>
    <w:rsid w:val="00DC00EA"/>
    <w:rsid w:val="00DC3802"/>
    <w:rsid w:val="00DD7591"/>
    <w:rsid w:val="00DF6083"/>
    <w:rsid w:val="00E07D87"/>
    <w:rsid w:val="00E22C64"/>
    <w:rsid w:val="00E32F7E"/>
    <w:rsid w:val="00E3473F"/>
    <w:rsid w:val="00E42839"/>
    <w:rsid w:val="00E5267B"/>
    <w:rsid w:val="00E63C0E"/>
    <w:rsid w:val="00E701C3"/>
    <w:rsid w:val="00E72D49"/>
    <w:rsid w:val="00E75233"/>
    <w:rsid w:val="00E7593C"/>
    <w:rsid w:val="00E7678A"/>
    <w:rsid w:val="00E92AA7"/>
    <w:rsid w:val="00E935F1"/>
    <w:rsid w:val="00E94A81"/>
    <w:rsid w:val="00EA1FFB"/>
    <w:rsid w:val="00EB048E"/>
    <w:rsid w:val="00EB1BDB"/>
    <w:rsid w:val="00EB4E9C"/>
    <w:rsid w:val="00EE34DF"/>
    <w:rsid w:val="00EF2F89"/>
    <w:rsid w:val="00EF6AC0"/>
    <w:rsid w:val="00F03E98"/>
    <w:rsid w:val="00F101A0"/>
    <w:rsid w:val="00F1237A"/>
    <w:rsid w:val="00F12B50"/>
    <w:rsid w:val="00F2023D"/>
    <w:rsid w:val="00F22CBD"/>
    <w:rsid w:val="00F265D2"/>
    <w:rsid w:val="00F272F1"/>
    <w:rsid w:val="00F30951"/>
    <w:rsid w:val="00F331B4"/>
    <w:rsid w:val="00F345F0"/>
    <w:rsid w:val="00F44847"/>
    <w:rsid w:val="00F45372"/>
    <w:rsid w:val="00F560F7"/>
    <w:rsid w:val="00F6334D"/>
    <w:rsid w:val="00F9295F"/>
    <w:rsid w:val="00F94ED8"/>
    <w:rsid w:val="00FA49AB"/>
    <w:rsid w:val="00FD35A3"/>
    <w:rsid w:val="00FE31AE"/>
    <w:rsid w:val="00FE39C7"/>
    <w:rsid w:val="00FF4D07"/>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314C04-49C3-4EEB-AC6E-DCDCD5C7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690323"/>
    <w:pPr>
      <w:tabs>
        <w:tab w:val="right" w:leader="dot" w:pos="9639"/>
      </w:tabs>
      <w:ind w:left="568" w:right="851" w:hanging="284"/>
      <w:contextualSpacing/>
      <w:jc w:val="left"/>
    </w:pPr>
    <w:rPr>
      <w:sz w:val="18"/>
    </w:rPr>
  </w:style>
  <w:style w:type="paragraph" w:styleId="TOC3">
    <w:name w:val="toc 3"/>
    <w:next w:val="Normal"/>
    <w:autoRedefine/>
    <w:uiPriority w:val="39"/>
    <w:rsid w:val="00690323"/>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690323"/>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C5657"/>
    <w:rPr>
      <w:rFonts w:ascii="Arial" w:hAnsi="Arial"/>
      <w:caps/>
    </w:rPr>
  </w:style>
  <w:style w:type="character" w:customStyle="1" w:styleId="FootnoteTextChar">
    <w:name w:val="Footnote Text Char"/>
    <w:basedOn w:val="DefaultParagraphFont"/>
    <w:link w:val="FootnoteText"/>
    <w:rsid w:val="007B306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Template>
  <TotalTime>0</TotalTime>
  <Pages>4</Pages>
  <Words>1091</Words>
  <Characters>8405</Characters>
  <Application>Microsoft Office Word</Application>
  <DocSecurity>0</DocSecurity>
  <Lines>70</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TC/56/INF/6</vt:lpstr>
      <vt:lpstr>TC/56/INF/6</vt:lpstr>
    </vt:vector>
  </TitlesOfParts>
  <Company>UPOV</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TC/56/INF/6</dc:title>
  <dc:creator>MAY Jessica</dc:creator>
  <cp:lastModifiedBy>MAY Jessica</cp:lastModifiedBy>
  <cp:revision>3</cp:revision>
  <cp:lastPrinted>2020-10-19T15:43:00Z</cp:lastPrinted>
  <dcterms:created xsi:type="dcterms:W3CDTF">2020-10-20T14:31:00Z</dcterms:created>
  <dcterms:modified xsi:type="dcterms:W3CDTF">2020-10-21T13:06:00Z</dcterms:modified>
</cp:coreProperties>
</file>