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12BB7" w:rsidRPr="00E20EC0" w14:paraId="6E4030B9" w14:textId="77777777" w:rsidTr="007D0B3B">
        <w:tc>
          <w:tcPr>
            <w:tcW w:w="6522" w:type="dxa"/>
          </w:tcPr>
          <w:p w14:paraId="22836AF0" w14:textId="77777777" w:rsidR="00C12BB7" w:rsidRPr="00E20EC0" w:rsidRDefault="00C12BB7" w:rsidP="007D0B3B">
            <w:pPr>
              <w:rPr>
                <w:lang w:val="de-DE"/>
              </w:rPr>
            </w:pPr>
            <w:r w:rsidRPr="00E20EC0">
              <w:rPr>
                <w:noProof/>
              </w:rPr>
              <w:drawing>
                <wp:inline distT="0" distB="0" distL="0" distR="0" wp14:anchorId="6F303426" wp14:editId="274D992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6AA4C5C" w14:textId="77777777" w:rsidR="00C12BB7" w:rsidRPr="00E20EC0" w:rsidRDefault="00C12BB7" w:rsidP="007D0B3B">
            <w:pPr>
              <w:pStyle w:val="Lettrine"/>
              <w:spacing w:line="240" w:lineRule="auto"/>
              <w:rPr>
                <w:lang w:val="de-DE"/>
              </w:rPr>
            </w:pPr>
            <w:r w:rsidRPr="00E20EC0">
              <w:rPr>
                <w:lang w:val="de-DE"/>
              </w:rPr>
              <w:t>G</w:t>
            </w:r>
          </w:p>
        </w:tc>
      </w:tr>
      <w:tr w:rsidR="00C12BB7" w:rsidRPr="00B87D4B" w14:paraId="773F0892" w14:textId="77777777" w:rsidTr="007D0B3B">
        <w:trPr>
          <w:trHeight w:val="219"/>
        </w:trPr>
        <w:tc>
          <w:tcPr>
            <w:tcW w:w="6522" w:type="dxa"/>
          </w:tcPr>
          <w:p w14:paraId="2F9A181A" w14:textId="77777777" w:rsidR="00C12BB7" w:rsidRPr="00E20EC0" w:rsidRDefault="00C12BB7" w:rsidP="007D0B3B">
            <w:pPr>
              <w:pStyle w:val="upove"/>
              <w:rPr>
                <w:szCs w:val="24"/>
                <w:lang w:val="de-DE"/>
              </w:rPr>
            </w:pPr>
            <w:r w:rsidRPr="00E20EC0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459B70B1" w14:textId="77777777" w:rsidR="00C12BB7" w:rsidRPr="00E20EC0" w:rsidRDefault="00C12BB7" w:rsidP="007D0B3B">
            <w:pPr>
              <w:rPr>
                <w:lang w:val="de-DE"/>
              </w:rPr>
            </w:pPr>
          </w:p>
        </w:tc>
      </w:tr>
    </w:tbl>
    <w:p w14:paraId="4838B3D0" w14:textId="77777777" w:rsidR="00C12BB7" w:rsidRPr="00E20EC0" w:rsidRDefault="00C12BB7" w:rsidP="00C12BB7">
      <w:pPr>
        <w:rPr>
          <w:lang w:val="de-DE"/>
        </w:rPr>
      </w:pPr>
    </w:p>
    <w:p w14:paraId="42570642" w14:textId="77777777" w:rsidR="00C12BB7" w:rsidRPr="00E20EC0" w:rsidRDefault="00C12BB7" w:rsidP="00C12BB7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12BB7" w:rsidRPr="00C01E81" w14:paraId="4F629729" w14:textId="77777777" w:rsidTr="007D0B3B">
        <w:tc>
          <w:tcPr>
            <w:tcW w:w="6512" w:type="dxa"/>
          </w:tcPr>
          <w:p w14:paraId="1F97E7B2" w14:textId="77777777" w:rsidR="00C12BB7" w:rsidRPr="00E20EC0" w:rsidRDefault="00C12BB7" w:rsidP="007D0B3B">
            <w:pPr>
              <w:pStyle w:val="Sessiontc"/>
              <w:spacing w:line="240" w:lineRule="auto"/>
              <w:rPr>
                <w:bCs w:val="0"/>
                <w:szCs w:val="24"/>
                <w:lang w:val="de-DE"/>
              </w:rPr>
            </w:pPr>
            <w:r w:rsidRPr="00E20EC0">
              <w:rPr>
                <w:bCs w:val="0"/>
                <w:szCs w:val="24"/>
                <w:lang w:val="de-DE"/>
              </w:rPr>
              <w:t>Technischer Ausschuss</w:t>
            </w:r>
          </w:p>
          <w:p w14:paraId="21A069B6" w14:textId="77777777" w:rsidR="00C12BB7" w:rsidRPr="00E20EC0" w:rsidRDefault="00C12BB7" w:rsidP="007D0B3B">
            <w:pPr>
              <w:pStyle w:val="Sessiontcplacedate"/>
              <w:rPr>
                <w:lang w:val="de-DE"/>
              </w:rPr>
            </w:pPr>
            <w:r w:rsidRPr="00E20EC0">
              <w:rPr>
                <w:lang w:val="de-DE"/>
              </w:rPr>
              <w:t>Sechsundfünfzigste Tagung</w:t>
            </w:r>
          </w:p>
          <w:p w14:paraId="220440FD" w14:textId="77777777" w:rsidR="00C12BB7" w:rsidRPr="00E20EC0" w:rsidRDefault="00C12BB7" w:rsidP="007D0B3B">
            <w:pPr>
              <w:pStyle w:val="Sessiontcplacedate"/>
              <w:rPr>
                <w:sz w:val="22"/>
                <w:lang w:val="de-DE"/>
              </w:rPr>
            </w:pPr>
            <w:r w:rsidRPr="00E20EC0">
              <w:rPr>
                <w:lang w:val="de-DE"/>
              </w:rPr>
              <w:t>Genf, 26. und 27. Oktober 2020</w:t>
            </w:r>
          </w:p>
        </w:tc>
        <w:tc>
          <w:tcPr>
            <w:tcW w:w="3127" w:type="dxa"/>
          </w:tcPr>
          <w:p w14:paraId="183DE388" w14:textId="77777777" w:rsidR="00C12BB7" w:rsidRPr="00E20EC0" w:rsidRDefault="00C12BB7" w:rsidP="007D0B3B">
            <w:pPr>
              <w:pStyle w:val="Doccode"/>
              <w:rPr>
                <w:lang w:val="de-DE"/>
              </w:rPr>
            </w:pPr>
            <w:r w:rsidRPr="00E20EC0">
              <w:rPr>
                <w:lang w:val="de-DE"/>
              </w:rPr>
              <w:t>TC/56/9</w:t>
            </w:r>
          </w:p>
          <w:p w14:paraId="194EA609" w14:textId="77777777" w:rsidR="00C12BB7" w:rsidRPr="00E20EC0" w:rsidRDefault="00C12BB7" w:rsidP="007D0B3B">
            <w:pPr>
              <w:pStyle w:val="Docoriginal"/>
              <w:spacing w:line="240" w:lineRule="auto"/>
              <w:rPr>
                <w:lang w:val="de-DE"/>
              </w:rPr>
            </w:pPr>
            <w:r w:rsidRPr="00E20EC0">
              <w:rPr>
                <w:lang w:val="de-DE"/>
              </w:rPr>
              <w:t>Original:</w:t>
            </w:r>
            <w:r>
              <w:rPr>
                <w:b w:val="0"/>
                <w:spacing w:val="0"/>
                <w:lang w:val="de-DE"/>
              </w:rPr>
              <w:t xml:space="preserve"> </w:t>
            </w:r>
            <w:r w:rsidRPr="00E20EC0">
              <w:rPr>
                <w:b w:val="0"/>
                <w:spacing w:val="0"/>
                <w:lang w:val="de-DE"/>
              </w:rPr>
              <w:t>Englisch</w:t>
            </w:r>
          </w:p>
          <w:p w14:paraId="794461A3" w14:textId="77777777" w:rsidR="00C12BB7" w:rsidRPr="00E20EC0" w:rsidRDefault="00C12BB7" w:rsidP="007D0B3B">
            <w:pPr>
              <w:pStyle w:val="Docoriginal"/>
              <w:spacing w:line="240" w:lineRule="auto"/>
              <w:rPr>
                <w:lang w:val="de-DE"/>
              </w:rPr>
            </w:pPr>
            <w:r w:rsidRPr="00E20EC0">
              <w:rPr>
                <w:lang w:val="de-DE"/>
              </w:rPr>
              <w:t>Dat</w:t>
            </w:r>
            <w:r>
              <w:rPr>
                <w:lang w:val="de-DE"/>
              </w:rPr>
              <w:t>um</w:t>
            </w:r>
            <w:r w:rsidRPr="00E20EC0">
              <w:rPr>
                <w:lang w:val="de-DE"/>
              </w:rPr>
              <w:t>:</w:t>
            </w:r>
            <w:r>
              <w:rPr>
                <w:b w:val="0"/>
                <w:spacing w:val="0"/>
                <w:lang w:val="de-DE"/>
              </w:rPr>
              <w:t xml:space="preserve"> </w:t>
            </w:r>
            <w:r w:rsidRPr="00B87D4B">
              <w:rPr>
                <w:b w:val="0"/>
                <w:spacing w:val="0"/>
                <w:lang w:val="de-DE"/>
              </w:rPr>
              <w:t>19. Oktober 2020</w:t>
            </w:r>
          </w:p>
        </w:tc>
      </w:tr>
    </w:tbl>
    <w:p w14:paraId="144DDDEF" w14:textId="77777777" w:rsidR="00C12BB7" w:rsidRPr="005C7370" w:rsidRDefault="00C12BB7" w:rsidP="00C12BB7">
      <w:pPr>
        <w:pStyle w:val="Titleofdoc"/>
        <w:rPr>
          <w:szCs w:val="24"/>
          <w:lang w:val="de-DE"/>
        </w:rPr>
      </w:pPr>
      <w:bookmarkStart w:id="0" w:name="TitleOfDoc"/>
      <w:bookmarkStart w:id="1" w:name="Prepared"/>
      <w:bookmarkStart w:id="2" w:name="_Toc475955714"/>
      <w:bookmarkEnd w:id="0"/>
      <w:bookmarkEnd w:id="1"/>
      <w:r w:rsidRPr="005C7370">
        <w:rPr>
          <w:szCs w:val="24"/>
          <w:lang w:val="de-DE"/>
        </w:rPr>
        <w:t>Vorbereitende Arbeitstagungen</w:t>
      </w:r>
    </w:p>
    <w:p w14:paraId="0A47CBBB" w14:textId="77777777" w:rsidR="00C12BB7" w:rsidRPr="00E20EC0" w:rsidRDefault="00C12BB7" w:rsidP="00C12BB7">
      <w:pPr>
        <w:pStyle w:val="preparedby"/>
        <w:jc w:val="left"/>
        <w:rPr>
          <w:lang w:val="de-DE"/>
        </w:rPr>
      </w:pPr>
      <w:r w:rsidRPr="00E20EC0">
        <w:rPr>
          <w:lang w:val="de-DE"/>
        </w:rPr>
        <w:t>vom Verbandsbüro erstelltes Dokument</w:t>
      </w:r>
    </w:p>
    <w:p w14:paraId="7F5F775B" w14:textId="77777777" w:rsidR="00C12BB7" w:rsidRPr="00E20EC0" w:rsidRDefault="00C12BB7" w:rsidP="00C12BB7">
      <w:pPr>
        <w:pStyle w:val="Disclaimer"/>
        <w:rPr>
          <w:lang w:val="de-DE"/>
        </w:rPr>
      </w:pPr>
      <w:r w:rsidRPr="00E20EC0">
        <w:rPr>
          <w:lang w:val="de-DE"/>
        </w:rPr>
        <w:t>Haftungsausschluss: dieses Dokument gibt nicht die Grundsätze oder eine Anleitung der UPOV wieder</w:t>
      </w:r>
    </w:p>
    <w:p w14:paraId="0C72E7A1" w14:textId="77777777" w:rsidR="00C12BB7" w:rsidRPr="005C7370" w:rsidRDefault="00C12BB7" w:rsidP="00C12BB7">
      <w:pPr>
        <w:pStyle w:val="Heading1"/>
        <w:rPr>
          <w:szCs w:val="24"/>
          <w:lang w:val="de-DE"/>
        </w:rPr>
      </w:pPr>
      <w:bookmarkStart w:id="3" w:name="_Toc22734370"/>
      <w:bookmarkStart w:id="4" w:name="_Toc54271790"/>
      <w:bookmarkEnd w:id="2"/>
      <w:r w:rsidRPr="005C7370">
        <w:rPr>
          <w:szCs w:val="24"/>
          <w:lang w:val="de-DE"/>
        </w:rPr>
        <w:t>ZUSAMMENFASSUNG</w:t>
      </w:r>
      <w:bookmarkEnd w:id="3"/>
      <w:bookmarkEnd w:id="4"/>
    </w:p>
    <w:p w14:paraId="2F2CD1D9" w14:textId="77777777" w:rsidR="00C12BB7" w:rsidRPr="00E20EC0" w:rsidRDefault="00C12BB7" w:rsidP="00C12BB7">
      <w:pPr>
        <w:autoSpaceDE w:val="0"/>
        <w:autoSpaceDN w:val="0"/>
        <w:adjustRightInd w:val="0"/>
        <w:rPr>
          <w:rFonts w:cs="Arial"/>
          <w:lang w:val="de-DE"/>
        </w:rPr>
      </w:pPr>
    </w:p>
    <w:p w14:paraId="657B3ACF" w14:textId="77777777" w:rsidR="00C12BB7" w:rsidRPr="00E20EC0" w:rsidRDefault="00C12BB7" w:rsidP="00C12BB7">
      <w:pPr>
        <w:rPr>
          <w:rFonts w:cs="Arial"/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 w:rsidRPr="005C7370">
        <w:rPr>
          <w:szCs w:val="24"/>
          <w:lang w:val="de-DE"/>
        </w:rPr>
        <w:t>Zweck dieses Dokuments ist es, über die im Jahr 20</w:t>
      </w:r>
      <w:r>
        <w:rPr>
          <w:szCs w:val="24"/>
          <w:lang w:val="de-DE"/>
        </w:rPr>
        <w:t>20</w:t>
      </w:r>
      <w:r w:rsidRPr="005C7370">
        <w:rPr>
          <w:szCs w:val="24"/>
          <w:lang w:val="de-DE"/>
        </w:rPr>
        <w:t xml:space="preserve"> abgehaltenen vorbereitenden Arbeitstagungen zu berichten und Vorschläge für das Jahr 202</w:t>
      </w:r>
      <w:r>
        <w:rPr>
          <w:szCs w:val="24"/>
          <w:lang w:val="de-DE"/>
        </w:rPr>
        <w:t>1</w:t>
      </w:r>
      <w:r w:rsidRPr="005C7370">
        <w:rPr>
          <w:szCs w:val="24"/>
          <w:lang w:val="de-DE"/>
        </w:rPr>
        <w:t xml:space="preserve"> zu unterbreiten</w:t>
      </w:r>
      <w:r w:rsidRPr="00E20EC0">
        <w:rPr>
          <w:rFonts w:cs="Arial"/>
          <w:lang w:val="de-DE"/>
        </w:rPr>
        <w:t>.</w:t>
      </w:r>
    </w:p>
    <w:p w14:paraId="438C1441" w14:textId="77777777" w:rsidR="00C12BB7" w:rsidRPr="00E20EC0" w:rsidRDefault="00C12BB7" w:rsidP="00C12BB7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  <w:lang w:val="de-DE"/>
        </w:rPr>
      </w:pPr>
    </w:p>
    <w:p w14:paraId="6FF1E185" w14:textId="04ED0179" w:rsidR="00C12BB7" w:rsidRPr="00E20EC0" w:rsidRDefault="00C12BB7" w:rsidP="00C12BB7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  <w:lang w:val="de-DE"/>
        </w:rPr>
      </w:pPr>
      <w:r w:rsidRPr="00E20EC0">
        <w:rPr>
          <w:rFonts w:cs="Arial"/>
          <w:i w:val="0"/>
          <w:lang w:val="de-DE"/>
        </w:rPr>
        <w:fldChar w:fldCharType="begin"/>
      </w:r>
      <w:r w:rsidRPr="00E20EC0">
        <w:rPr>
          <w:rFonts w:cs="Arial"/>
          <w:i w:val="0"/>
          <w:lang w:val="de-DE"/>
        </w:rPr>
        <w:instrText xml:space="preserve"> AUTONUM  </w:instrText>
      </w:r>
      <w:r w:rsidRPr="00E20EC0">
        <w:rPr>
          <w:rFonts w:cs="Arial"/>
          <w:i w:val="0"/>
          <w:lang w:val="de-DE"/>
        </w:rPr>
        <w:fldChar w:fldCharType="end"/>
      </w:r>
      <w:r w:rsidRPr="00E20EC0">
        <w:rPr>
          <w:rFonts w:cs="Arial"/>
          <w:i w:val="0"/>
          <w:lang w:val="de-DE"/>
        </w:rPr>
        <w:tab/>
      </w:r>
      <w:r w:rsidRPr="005C7370">
        <w:rPr>
          <w:i w:val="0"/>
          <w:szCs w:val="24"/>
          <w:lang w:val="de-DE"/>
        </w:rPr>
        <w:t>Der TC wird ersucht</w:t>
      </w:r>
      <w:r>
        <w:rPr>
          <w:i w:val="0"/>
          <w:szCs w:val="24"/>
          <w:lang w:val="de-DE"/>
        </w:rPr>
        <w:t xml:space="preserve"> </w:t>
      </w:r>
      <w:r w:rsidRPr="00AE5AB1">
        <w:rPr>
          <w:i w:val="0"/>
          <w:szCs w:val="24"/>
          <w:lang w:val="de-DE"/>
        </w:rPr>
        <w:t xml:space="preserve">zu prüfen, ob vorbereitende Arbeitstagungen als </w:t>
      </w:r>
      <w:r>
        <w:rPr>
          <w:i w:val="0"/>
          <w:szCs w:val="24"/>
          <w:lang w:val="de-DE"/>
        </w:rPr>
        <w:t>eine Reihe</w:t>
      </w:r>
      <w:r w:rsidRPr="00AE5AB1">
        <w:rPr>
          <w:i w:val="0"/>
          <w:szCs w:val="24"/>
          <w:lang w:val="de-DE"/>
        </w:rPr>
        <w:t xml:space="preserve"> von Webinaren</w:t>
      </w:r>
      <w:r>
        <w:rPr>
          <w:i w:val="0"/>
          <w:szCs w:val="24"/>
          <w:lang w:val="de-DE"/>
        </w:rPr>
        <w:t xml:space="preserve"> organisiert werden soll</w:t>
      </w:r>
      <w:r w:rsidR="00B83023">
        <w:rPr>
          <w:i w:val="0"/>
          <w:szCs w:val="24"/>
          <w:lang w:val="de-DE"/>
        </w:rPr>
        <w:t>t</w:t>
      </w:r>
      <w:r>
        <w:rPr>
          <w:i w:val="0"/>
          <w:szCs w:val="24"/>
          <w:lang w:val="de-DE"/>
        </w:rPr>
        <w:t xml:space="preserve">en, die </w:t>
      </w:r>
      <w:r w:rsidRPr="00AE5AB1">
        <w:rPr>
          <w:i w:val="0"/>
          <w:szCs w:val="24"/>
          <w:lang w:val="de-DE"/>
        </w:rPr>
        <w:t xml:space="preserve">zu geeigneten Terminen </w:t>
      </w:r>
      <w:r>
        <w:rPr>
          <w:i w:val="0"/>
          <w:szCs w:val="24"/>
          <w:lang w:val="de-DE"/>
        </w:rPr>
        <w:t>gemäß</w:t>
      </w:r>
      <w:r w:rsidRPr="00AE5AB1">
        <w:rPr>
          <w:i w:val="0"/>
          <w:szCs w:val="24"/>
          <w:lang w:val="de-DE"/>
        </w:rPr>
        <w:t xml:space="preserve"> dem Zeitplan der </w:t>
      </w:r>
      <w:r>
        <w:rPr>
          <w:i w:val="0"/>
          <w:szCs w:val="24"/>
          <w:lang w:val="de-DE"/>
        </w:rPr>
        <w:t xml:space="preserve">Tagungen der TWP, auf </w:t>
      </w:r>
      <w:r w:rsidR="00B83023">
        <w:rPr>
          <w:i w:val="0"/>
          <w:szCs w:val="24"/>
          <w:lang w:val="de-DE"/>
        </w:rPr>
        <w:t>Ersuchen</w:t>
      </w:r>
      <w:r>
        <w:rPr>
          <w:i w:val="0"/>
          <w:szCs w:val="24"/>
          <w:lang w:val="de-DE"/>
        </w:rPr>
        <w:t xml:space="preserve"> in Verbindung</w:t>
      </w:r>
      <w:r w:rsidRPr="00AE5AB1">
        <w:rPr>
          <w:i w:val="0"/>
          <w:szCs w:val="24"/>
          <w:lang w:val="de-DE"/>
        </w:rPr>
        <w:t xml:space="preserve"> mit </w:t>
      </w:r>
      <w:r w:rsidR="00B83023" w:rsidRPr="00AE5AB1">
        <w:rPr>
          <w:i w:val="0"/>
          <w:szCs w:val="24"/>
          <w:lang w:val="de-DE"/>
        </w:rPr>
        <w:t xml:space="preserve">Arbeitstagungen </w:t>
      </w:r>
      <w:r w:rsidR="00B83023">
        <w:rPr>
          <w:i w:val="0"/>
          <w:szCs w:val="24"/>
          <w:lang w:val="de-DE"/>
        </w:rPr>
        <w:t xml:space="preserve">mit </w:t>
      </w:r>
      <w:r w:rsidRPr="00AE5AB1">
        <w:rPr>
          <w:i w:val="0"/>
          <w:szCs w:val="24"/>
          <w:lang w:val="de-DE"/>
        </w:rPr>
        <w:t>physischer Teilnahme</w:t>
      </w:r>
      <w:r>
        <w:rPr>
          <w:i w:val="0"/>
          <w:szCs w:val="24"/>
          <w:lang w:val="de-DE"/>
        </w:rPr>
        <w:t xml:space="preserve">, organisiert würden, </w:t>
      </w:r>
      <w:r w:rsidRPr="00AE5AB1">
        <w:rPr>
          <w:i w:val="0"/>
          <w:szCs w:val="24"/>
          <w:lang w:val="de-DE"/>
        </w:rPr>
        <w:t xml:space="preserve">wie </w:t>
      </w:r>
      <w:r w:rsidRPr="00B87D4B">
        <w:rPr>
          <w:i w:val="0"/>
          <w:szCs w:val="24"/>
          <w:lang w:val="de-DE"/>
        </w:rPr>
        <w:t>in Absätzen 14 bis 21 dieses Dokuments dargelegt</w:t>
      </w:r>
      <w:r w:rsidRPr="00B87D4B">
        <w:rPr>
          <w:i w:val="0"/>
          <w:snapToGrid w:val="0"/>
          <w:lang w:val="de-DE"/>
        </w:rPr>
        <w:t>.</w:t>
      </w:r>
    </w:p>
    <w:p w14:paraId="2D659857" w14:textId="77777777" w:rsidR="00C12BB7" w:rsidRPr="00E20EC0" w:rsidRDefault="00C12BB7" w:rsidP="00C12BB7">
      <w:pPr>
        <w:pStyle w:val="DecisionParagraphs"/>
        <w:tabs>
          <w:tab w:val="left" w:pos="567"/>
          <w:tab w:val="left" w:pos="1134"/>
          <w:tab w:val="num" w:pos="5387"/>
          <w:tab w:val="left" w:pos="5954"/>
        </w:tabs>
        <w:ind w:left="567"/>
        <w:rPr>
          <w:rFonts w:cs="Arial"/>
          <w:i w:val="0"/>
          <w:lang w:val="de-DE"/>
        </w:rPr>
      </w:pPr>
    </w:p>
    <w:p w14:paraId="2D92002C" w14:textId="77777777" w:rsidR="00C12BB7" w:rsidRPr="00E20EC0" w:rsidRDefault="00C12BB7" w:rsidP="00C12BB7">
      <w:pPr>
        <w:rPr>
          <w:rFonts w:cs="Arial"/>
          <w:color w:val="000000"/>
          <w:lang w:val="de-DE"/>
        </w:rPr>
      </w:pPr>
      <w:r w:rsidRPr="00E20EC0">
        <w:rPr>
          <w:rFonts w:cs="Arial"/>
          <w:color w:val="000000"/>
          <w:lang w:val="de-DE"/>
        </w:rPr>
        <w:fldChar w:fldCharType="begin"/>
      </w:r>
      <w:r w:rsidRPr="00E20EC0">
        <w:rPr>
          <w:rFonts w:cs="Arial"/>
          <w:color w:val="000000"/>
          <w:lang w:val="de-DE"/>
        </w:rPr>
        <w:instrText xml:space="preserve"> AUTONUM  </w:instrText>
      </w:r>
      <w:r w:rsidRPr="00E20EC0">
        <w:rPr>
          <w:rFonts w:cs="Arial"/>
          <w:color w:val="000000"/>
          <w:lang w:val="de-DE"/>
        </w:rPr>
        <w:fldChar w:fldCharType="end"/>
      </w:r>
      <w:r w:rsidRPr="00E20EC0">
        <w:rPr>
          <w:rFonts w:cs="Arial"/>
          <w:color w:val="000000"/>
          <w:lang w:val="de-DE"/>
        </w:rPr>
        <w:tab/>
      </w:r>
      <w:r w:rsidRPr="005C7370">
        <w:rPr>
          <w:szCs w:val="24"/>
          <w:lang w:val="de-DE"/>
        </w:rPr>
        <w:t>In diesem Dokument werden folgende Abkürzungen verwendet</w:t>
      </w:r>
      <w:r w:rsidRPr="00E20EC0">
        <w:rPr>
          <w:rFonts w:cs="Arial"/>
          <w:color w:val="000000"/>
          <w:lang w:val="de-DE"/>
        </w:rPr>
        <w:t>:</w:t>
      </w:r>
    </w:p>
    <w:p w14:paraId="551D6529" w14:textId="77777777" w:rsidR="00C12BB7" w:rsidRPr="00E20EC0" w:rsidRDefault="00C12BB7" w:rsidP="00C12BB7">
      <w:pPr>
        <w:rPr>
          <w:rFonts w:cs="Arial"/>
          <w:color w:val="000000"/>
          <w:lang w:val="de-DE"/>
        </w:rPr>
      </w:pPr>
    </w:p>
    <w:p w14:paraId="63BEB32E" w14:textId="77777777" w:rsidR="00C12BB7" w:rsidRPr="00AE5AB1" w:rsidRDefault="00C12BB7" w:rsidP="00C12BB7">
      <w:pPr>
        <w:tabs>
          <w:tab w:val="left" w:pos="567"/>
        </w:tabs>
        <w:ind w:left="1418" w:hanging="851"/>
        <w:rPr>
          <w:rFonts w:cs="Arial"/>
          <w:color w:val="000000"/>
          <w:lang w:val="de-DE"/>
        </w:rPr>
      </w:pPr>
      <w:r w:rsidRPr="00E20EC0">
        <w:rPr>
          <w:rFonts w:cs="Arial"/>
          <w:color w:val="000000"/>
          <w:lang w:val="de-DE"/>
        </w:rPr>
        <w:t>TC:</w:t>
      </w:r>
      <w:r w:rsidRPr="00E20EC0">
        <w:rPr>
          <w:rFonts w:cs="Arial"/>
          <w:color w:val="000000"/>
          <w:lang w:val="de-DE"/>
        </w:rPr>
        <w:tab/>
      </w:r>
      <w:r w:rsidRPr="00AE5AB1">
        <w:rPr>
          <w:rFonts w:cs="Arial"/>
          <w:color w:val="000000"/>
          <w:lang w:val="de-DE"/>
        </w:rPr>
        <w:t>Technischer Ausschuss</w:t>
      </w:r>
    </w:p>
    <w:p w14:paraId="25ECCB06" w14:textId="77777777" w:rsidR="00C12BB7" w:rsidRPr="00AE5AB1" w:rsidRDefault="00C12BB7" w:rsidP="00C12BB7">
      <w:pPr>
        <w:tabs>
          <w:tab w:val="left" w:pos="567"/>
        </w:tabs>
        <w:ind w:left="1418" w:hanging="851"/>
        <w:rPr>
          <w:rFonts w:cs="Arial"/>
          <w:color w:val="000000"/>
          <w:lang w:val="de-DE"/>
        </w:rPr>
      </w:pPr>
      <w:r w:rsidRPr="00AE5AB1">
        <w:rPr>
          <w:rFonts w:cs="Arial"/>
          <w:color w:val="000000"/>
          <w:lang w:val="de-DE"/>
        </w:rPr>
        <w:t>TWA:</w:t>
      </w:r>
      <w:r w:rsidRPr="00AE5AB1">
        <w:rPr>
          <w:rFonts w:cs="Arial"/>
          <w:color w:val="000000"/>
          <w:lang w:val="de-DE"/>
        </w:rPr>
        <w:tab/>
        <w:t>Technische Arbeitsgruppe für landwirtschaftliche Arten</w:t>
      </w:r>
    </w:p>
    <w:p w14:paraId="08355A75" w14:textId="77777777" w:rsidR="00C12BB7" w:rsidRPr="00AE5AB1" w:rsidRDefault="00C12BB7" w:rsidP="00C12BB7">
      <w:pPr>
        <w:ind w:left="1418" w:hanging="851"/>
        <w:rPr>
          <w:rFonts w:cs="Arial"/>
          <w:color w:val="000000"/>
          <w:lang w:val="de-DE"/>
        </w:rPr>
      </w:pPr>
      <w:r w:rsidRPr="00AE5AB1">
        <w:rPr>
          <w:rFonts w:cs="Arial"/>
          <w:color w:val="000000"/>
          <w:lang w:val="de-DE"/>
        </w:rPr>
        <w:t>TWC:</w:t>
      </w:r>
      <w:r w:rsidRPr="00AE5AB1">
        <w:rPr>
          <w:rFonts w:cs="Arial"/>
          <w:color w:val="000000"/>
          <w:lang w:val="de-DE"/>
        </w:rPr>
        <w:tab/>
        <w:t>Technische Arbeitsgruppe für Automatisierung und Computerprogramme</w:t>
      </w:r>
    </w:p>
    <w:p w14:paraId="01DBF39A" w14:textId="1ED0CC6D" w:rsidR="00C12BB7" w:rsidRPr="00AE5AB1" w:rsidRDefault="00C12BB7" w:rsidP="00C12BB7">
      <w:pPr>
        <w:ind w:left="1418" w:hanging="851"/>
        <w:rPr>
          <w:rFonts w:cs="Arial"/>
          <w:color w:val="000000"/>
          <w:lang w:val="de-DE"/>
        </w:rPr>
      </w:pPr>
      <w:r w:rsidRPr="00AE5AB1">
        <w:rPr>
          <w:rFonts w:cs="Arial"/>
          <w:color w:val="000000"/>
          <w:lang w:val="de-DE"/>
        </w:rPr>
        <w:t xml:space="preserve">TWF: </w:t>
      </w:r>
      <w:r w:rsidRPr="00AE5AB1">
        <w:rPr>
          <w:rFonts w:cs="Arial"/>
          <w:color w:val="000000"/>
          <w:lang w:val="de-DE"/>
        </w:rPr>
        <w:tab/>
      </w:r>
      <w:r w:rsidRPr="00AE5AB1">
        <w:rPr>
          <w:rFonts w:cs="Arial"/>
          <w:lang w:val="de-DE"/>
        </w:rPr>
        <w:t>Technische Arbeitsgruppe für Obstarten</w:t>
      </w:r>
    </w:p>
    <w:p w14:paraId="6E1D1E27" w14:textId="77777777" w:rsidR="00C12BB7" w:rsidRPr="00AE5AB1" w:rsidRDefault="00C12BB7" w:rsidP="00C12BB7">
      <w:pPr>
        <w:ind w:left="1418" w:hanging="851"/>
        <w:rPr>
          <w:rFonts w:cs="Arial"/>
          <w:color w:val="000000"/>
          <w:lang w:val="de-DE"/>
        </w:rPr>
      </w:pPr>
      <w:r w:rsidRPr="00AE5AB1">
        <w:rPr>
          <w:rFonts w:cs="Arial"/>
          <w:color w:val="000000"/>
          <w:lang w:val="de-DE"/>
        </w:rPr>
        <w:t>TWO:</w:t>
      </w:r>
      <w:r w:rsidRPr="00AE5AB1">
        <w:rPr>
          <w:rFonts w:cs="Arial"/>
          <w:color w:val="000000"/>
          <w:lang w:val="de-DE"/>
        </w:rPr>
        <w:tab/>
      </w:r>
      <w:r w:rsidRPr="00AE5AB1">
        <w:rPr>
          <w:rFonts w:cs="Arial"/>
          <w:lang w:val="de-DE"/>
        </w:rPr>
        <w:t>Technische Arbeitsgruppe für Zierpflanzen und forstliche Baumarten</w:t>
      </w:r>
    </w:p>
    <w:p w14:paraId="6E1ABBBF" w14:textId="77777777" w:rsidR="00C12BB7" w:rsidRPr="00AE5AB1" w:rsidRDefault="00C12BB7" w:rsidP="00C12BB7">
      <w:pPr>
        <w:ind w:left="1418" w:hanging="851"/>
        <w:rPr>
          <w:rFonts w:cs="Arial"/>
          <w:color w:val="000000"/>
          <w:lang w:val="de-DE"/>
        </w:rPr>
      </w:pPr>
      <w:r w:rsidRPr="00AE5AB1">
        <w:rPr>
          <w:rFonts w:cs="Arial"/>
          <w:color w:val="000000"/>
          <w:lang w:val="de-DE"/>
        </w:rPr>
        <w:t>TWV:</w:t>
      </w:r>
      <w:r w:rsidRPr="00AE5AB1">
        <w:rPr>
          <w:rFonts w:cs="Arial"/>
          <w:color w:val="000000"/>
          <w:lang w:val="de-DE"/>
        </w:rPr>
        <w:tab/>
      </w:r>
      <w:r w:rsidRPr="00AE5AB1">
        <w:rPr>
          <w:rFonts w:cs="Arial"/>
          <w:lang w:val="de-DE"/>
        </w:rPr>
        <w:t>Technische Arbeitsgruppe für Gemüsearten</w:t>
      </w:r>
    </w:p>
    <w:p w14:paraId="12A18FCA" w14:textId="77777777" w:rsidR="00C12BB7" w:rsidRPr="00AE5AB1" w:rsidRDefault="00C12BB7" w:rsidP="00C12BB7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  <w:lang w:val="de-DE"/>
        </w:rPr>
      </w:pPr>
      <w:r w:rsidRPr="00AE5AB1">
        <w:rPr>
          <w:rFonts w:ascii="Arial" w:hAnsi="Arial" w:cs="Arial"/>
          <w:sz w:val="20"/>
          <w:szCs w:val="20"/>
          <w:lang w:val="de-DE"/>
        </w:rPr>
        <w:t>BMT:</w:t>
      </w:r>
      <w:r w:rsidRPr="00AE5AB1">
        <w:rPr>
          <w:rFonts w:ascii="Arial" w:hAnsi="Arial" w:cs="Arial"/>
          <w:sz w:val="20"/>
          <w:szCs w:val="20"/>
          <w:lang w:val="de-DE"/>
        </w:rPr>
        <w:tab/>
      </w:r>
      <w:r w:rsidRPr="00AE5AB1">
        <w:rPr>
          <w:rFonts w:ascii="Arial" w:hAnsi="Arial" w:cs="Arial"/>
          <w:color w:val="auto"/>
          <w:sz w:val="20"/>
          <w:szCs w:val="20"/>
          <w:lang w:val="de-DE"/>
        </w:rPr>
        <w:t>Arbeitsgruppe für biochemische und molekulare Verfahren und insbesondere für DNS-Profilierungsverfahren</w:t>
      </w:r>
    </w:p>
    <w:p w14:paraId="5B160688" w14:textId="77777777" w:rsidR="00C12BB7" w:rsidRPr="00E20EC0" w:rsidRDefault="00C12BB7" w:rsidP="00C12BB7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  <w:lang w:val="de-DE"/>
        </w:rPr>
      </w:pPr>
      <w:r w:rsidRPr="00AE5AB1">
        <w:rPr>
          <w:rFonts w:ascii="Arial" w:hAnsi="Arial" w:cs="Arial"/>
          <w:sz w:val="20"/>
          <w:szCs w:val="20"/>
          <w:lang w:val="de-DE"/>
        </w:rPr>
        <w:t>TWP:</w:t>
      </w:r>
      <w:r w:rsidRPr="00AE5AB1">
        <w:rPr>
          <w:rFonts w:ascii="Arial" w:hAnsi="Arial" w:cs="Arial"/>
          <w:sz w:val="20"/>
          <w:szCs w:val="20"/>
          <w:lang w:val="de-DE"/>
        </w:rPr>
        <w:tab/>
      </w:r>
      <w:r w:rsidRPr="00AE5AB1">
        <w:rPr>
          <w:rFonts w:ascii="Arial" w:hAnsi="Arial" w:cs="Arial"/>
          <w:color w:val="auto"/>
          <w:sz w:val="20"/>
          <w:szCs w:val="20"/>
          <w:lang w:val="de-DE"/>
        </w:rPr>
        <w:t>Technische Arbeitsgruppen</w:t>
      </w:r>
    </w:p>
    <w:p w14:paraId="77057A8D" w14:textId="77777777" w:rsidR="00C12BB7" w:rsidRPr="00E20EC0" w:rsidRDefault="00C12BB7" w:rsidP="00C12BB7">
      <w:pPr>
        <w:autoSpaceDE w:val="0"/>
        <w:autoSpaceDN w:val="0"/>
        <w:adjustRightInd w:val="0"/>
        <w:rPr>
          <w:rFonts w:cs="Arial"/>
          <w:snapToGrid w:val="0"/>
          <w:lang w:val="de-DE"/>
        </w:rPr>
      </w:pPr>
    </w:p>
    <w:p w14:paraId="283B69B0" w14:textId="77777777" w:rsidR="00C12BB7" w:rsidRPr="00E20EC0" w:rsidRDefault="00C12BB7" w:rsidP="00C12BB7">
      <w:pPr>
        <w:autoSpaceDE w:val="0"/>
        <w:autoSpaceDN w:val="0"/>
        <w:adjustRightInd w:val="0"/>
        <w:rPr>
          <w:rFonts w:cs="Arial"/>
          <w:snapToGrid w:val="0"/>
          <w:lang w:val="de-DE" w:eastAsia="ja-JP"/>
        </w:rPr>
      </w:pPr>
      <w:r w:rsidRPr="00E20EC0">
        <w:rPr>
          <w:rFonts w:cs="Arial"/>
          <w:snapToGrid w:val="0"/>
          <w:lang w:val="de-DE"/>
        </w:rPr>
        <w:fldChar w:fldCharType="begin"/>
      </w:r>
      <w:r w:rsidRPr="00E20EC0">
        <w:rPr>
          <w:rFonts w:cs="Arial"/>
          <w:snapToGrid w:val="0"/>
          <w:lang w:val="de-DE"/>
        </w:rPr>
        <w:instrText xml:space="preserve"> AUTONUM  </w:instrText>
      </w:r>
      <w:r w:rsidRPr="00E20EC0">
        <w:rPr>
          <w:rFonts w:cs="Arial"/>
          <w:snapToGrid w:val="0"/>
          <w:lang w:val="de-DE"/>
        </w:rPr>
        <w:fldChar w:fldCharType="end"/>
      </w:r>
      <w:r w:rsidRPr="00E20EC0">
        <w:rPr>
          <w:rFonts w:cs="Arial"/>
          <w:snapToGrid w:val="0"/>
          <w:lang w:val="de-DE"/>
        </w:rPr>
        <w:tab/>
      </w:r>
      <w:r w:rsidRPr="00AE5AB1">
        <w:rPr>
          <w:rFonts w:cs="Arial"/>
          <w:snapToGrid w:val="0"/>
          <w:lang w:val="de-DE" w:eastAsia="ja-JP"/>
        </w:rPr>
        <w:t>Der Aufbau dieses Dokuments ist wie folgt</w:t>
      </w:r>
      <w:r w:rsidRPr="00E20EC0">
        <w:rPr>
          <w:rFonts w:cs="Arial"/>
          <w:snapToGrid w:val="0"/>
          <w:lang w:val="de-DE" w:eastAsia="ja-JP"/>
        </w:rPr>
        <w:t>:</w:t>
      </w:r>
    </w:p>
    <w:p w14:paraId="0A523F29" w14:textId="77777777" w:rsidR="00C12BB7" w:rsidRPr="00E20EC0" w:rsidRDefault="00C12BB7" w:rsidP="00C12BB7">
      <w:pPr>
        <w:autoSpaceDE w:val="0"/>
        <w:autoSpaceDN w:val="0"/>
        <w:adjustRightInd w:val="0"/>
        <w:rPr>
          <w:rFonts w:cs="Arial"/>
          <w:snapToGrid w:val="0"/>
          <w:lang w:val="de-DE" w:eastAsia="ja-JP"/>
        </w:rPr>
      </w:pPr>
    </w:p>
    <w:p w14:paraId="2A1C1FD4" w14:textId="3BB74D50" w:rsidR="00C01E81" w:rsidRDefault="00C12BB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 w:rsidRPr="00E20EC0">
        <w:rPr>
          <w:rFonts w:eastAsiaTheme="minorEastAsia"/>
          <w:bCs/>
          <w:snapToGrid w:val="0"/>
          <w:lang w:val="de-DE" w:eastAsia="ja-JP"/>
        </w:rPr>
        <w:fldChar w:fldCharType="begin"/>
      </w:r>
      <w:r w:rsidRPr="00E20EC0">
        <w:rPr>
          <w:snapToGrid w:val="0"/>
          <w:lang w:val="de-DE"/>
        </w:rPr>
        <w:instrText xml:space="preserve"> TOC \o "1-3" \h \z \u </w:instrText>
      </w:r>
      <w:r w:rsidRPr="00E20EC0">
        <w:rPr>
          <w:rFonts w:eastAsiaTheme="minorEastAsia"/>
          <w:bCs/>
          <w:snapToGrid w:val="0"/>
          <w:lang w:val="de-DE" w:eastAsia="ja-JP"/>
        </w:rPr>
        <w:fldChar w:fldCharType="separate"/>
      </w:r>
      <w:hyperlink w:anchor="_Toc54271790" w:history="1">
        <w:r w:rsidR="00C01E81" w:rsidRPr="00997E9D">
          <w:rPr>
            <w:rStyle w:val="Hyperlink"/>
            <w:noProof/>
            <w:lang w:val="de-DE"/>
          </w:rPr>
          <w:t>ZUSAMMENFASSUNG</w:t>
        </w:r>
        <w:r w:rsidR="00C01E81">
          <w:rPr>
            <w:noProof/>
            <w:webHidden/>
          </w:rPr>
          <w:tab/>
        </w:r>
        <w:r w:rsidR="00C01E81">
          <w:rPr>
            <w:noProof/>
            <w:webHidden/>
          </w:rPr>
          <w:fldChar w:fldCharType="begin"/>
        </w:r>
        <w:r w:rsidR="00C01E81">
          <w:rPr>
            <w:noProof/>
            <w:webHidden/>
          </w:rPr>
          <w:instrText xml:space="preserve"> PAGEREF _Toc54271790 \h </w:instrText>
        </w:r>
        <w:r w:rsidR="00C01E81">
          <w:rPr>
            <w:noProof/>
            <w:webHidden/>
          </w:rPr>
        </w:r>
        <w:r w:rsidR="00C01E81">
          <w:rPr>
            <w:noProof/>
            <w:webHidden/>
          </w:rPr>
          <w:fldChar w:fldCharType="separate"/>
        </w:r>
        <w:r w:rsidR="00C01E81">
          <w:rPr>
            <w:noProof/>
            <w:webHidden/>
          </w:rPr>
          <w:t>1</w:t>
        </w:r>
        <w:r w:rsidR="00C01E81">
          <w:rPr>
            <w:noProof/>
            <w:webHidden/>
          </w:rPr>
          <w:fldChar w:fldCharType="end"/>
        </w:r>
      </w:hyperlink>
    </w:p>
    <w:p w14:paraId="13FDC3BD" w14:textId="3E598B07" w:rsidR="00C01E81" w:rsidRDefault="00B87D4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4271791" w:history="1">
        <w:r w:rsidR="00C01E81" w:rsidRPr="00997E9D">
          <w:rPr>
            <w:rStyle w:val="Hyperlink"/>
            <w:noProof/>
            <w:lang w:val="de-DE"/>
          </w:rPr>
          <w:t>Hintergrund</w:t>
        </w:r>
        <w:r w:rsidR="00C01E81">
          <w:rPr>
            <w:noProof/>
            <w:webHidden/>
          </w:rPr>
          <w:tab/>
        </w:r>
        <w:r w:rsidR="00C01E81">
          <w:rPr>
            <w:noProof/>
            <w:webHidden/>
          </w:rPr>
          <w:fldChar w:fldCharType="begin"/>
        </w:r>
        <w:r w:rsidR="00C01E81">
          <w:rPr>
            <w:noProof/>
            <w:webHidden/>
          </w:rPr>
          <w:instrText xml:space="preserve"> PAGEREF _Toc54271791 \h </w:instrText>
        </w:r>
        <w:r w:rsidR="00C01E81">
          <w:rPr>
            <w:noProof/>
            <w:webHidden/>
          </w:rPr>
        </w:r>
        <w:r w:rsidR="00C01E81">
          <w:rPr>
            <w:noProof/>
            <w:webHidden/>
          </w:rPr>
          <w:fldChar w:fldCharType="separate"/>
        </w:r>
        <w:r w:rsidR="00C01E81">
          <w:rPr>
            <w:noProof/>
            <w:webHidden/>
          </w:rPr>
          <w:t>1</w:t>
        </w:r>
        <w:r w:rsidR="00C01E81">
          <w:rPr>
            <w:noProof/>
            <w:webHidden/>
          </w:rPr>
          <w:fldChar w:fldCharType="end"/>
        </w:r>
      </w:hyperlink>
    </w:p>
    <w:p w14:paraId="094AD439" w14:textId="311DBDCA" w:rsidR="00C01E81" w:rsidRDefault="00B87D4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4271792" w:history="1">
        <w:r w:rsidR="00C01E81" w:rsidRPr="00997E9D">
          <w:rPr>
            <w:rStyle w:val="Hyperlink"/>
            <w:noProof/>
            <w:lang w:val="de-DE"/>
          </w:rPr>
          <w:t>Bericht über die im Jahr 2020 ABGEHALTENEN VORBEREITENDEN ARBEITSTAGUNGEN</w:t>
        </w:r>
        <w:r w:rsidR="00C01E81">
          <w:rPr>
            <w:noProof/>
            <w:webHidden/>
          </w:rPr>
          <w:tab/>
        </w:r>
        <w:r w:rsidR="00C01E81">
          <w:rPr>
            <w:noProof/>
            <w:webHidden/>
          </w:rPr>
          <w:fldChar w:fldCharType="begin"/>
        </w:r>
        <w:r w:rsidR="00C01E81">
          <w:rPr>
            <w:noProof/>
            <w:webHidden/>
          </w:rPr>
          <w:instrText xml:space="preserve"> PAGEREF _Toc54271792 \h </w:instrText>
        </w:r>
        <w:r w:rsidR="00C01E81">
          <w:rPr>
            <w:noProof/>
            <w:webHidden/>
          </w:rPr>
        </w:r>
        <w:r w:rsidR="00C01E81">
          <w:rPr>
            <w:noProof/>
            <w:webHidden/>
          </w:rPr>
          <w:fldChar w:fldCharType="separate"/>
        </w:r>
        <w:r w:rsidR="00C01E81">
          <w:rPr>
            <w:noProof/>
            <w:webHidden/>
          </w:rPr>
          <w:t>2</w:t>
        </w:r>
        <w:r w:rsidR="00C01E81">
          <w:rPr>
            <w:noProof/>
            <w:webHidden/>
          </w:rPr>
          <w:fldChar w:fldCharType="end"/>
        </w:r>
      </w:hyperlink>
    </w:p>
    <w:p w14:paraId="16BC48C8" w14:textId="2777B3FD" w:rsidR="00C01E81" w:rsidRDefault="00B87D4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4271793" w:history="1">
        <w:r w:rsidR="00C01E81" w:rsidRPr="00997E9D">
          <w:rPr>
            <w:rStyle w:val="Hyperlink"/>
            <w:noProof/>
            <w:lang w:val="de-DE"/>
          </w:rPr>
          <w:t>ProgramM Und format FÜR VORBEREITENDE ARBEITEN iM JAHR 2021</w:t>
        </w:r>
        <w:r w:rsidR="00C01E81">
          <w:rPr>
            <w:noProof/>
            <w:webHidden/>
          </w:rPr>
          <w:tab/>
        </w:r>
        <w:r w:rsidR="00C01E81">
          <w:rPr>
            <w:noProof/>
            <w:webHidden/>
          </w:rPr>
          <w:fldChar w:fldCharType="begin"/>
        </w:r>
        <w:r w:rsidR="00C01E81">
          <w:rPr>
            <w:noProof/>
            <w:webHidden/>
          </w:rPr>
          <w:instrText xml:space="preserve"> PAGEREF _Toc54271793 \h </w:instrText>
        </w:r>
        <w:r w:rsidR="00C01E81">
          <w:rPr>
            <w:noProof/>
            <w:webHidden/>
          </w:rPr>
        </w:r>
        <w:r w:rsidR="00C01E81">
          <w:rPr>
            <w:noProof/>
            <w:webHidden/>
          </w:rPr>
          <w:fldChar w:fldCharType="separate"/>
        </w:r>
        <w:r w:rsidR="00C01E81">
          <w:rPr>
            <w:noProof/>
            <w:webHidden/>
          </w:rPr>
          <w:t>2</w:t>
        </w:r>
        <w:r w:rsidR="00C01E81">
          <w:rPr>
            <w:noProof/>
            <w:webHidden/>
          </w:rPr>
          <w:fldChar w:fldCharType="end"/>
        </w:r>
      </w:hyperlink>
    </w:p>
    <w:p w14:paraId="5040CB5D" w14:textId="446E7E6D" w:rsidR="00C01E81" w:rsidRDefault="00B87D4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54271794" w:history="1">
        <w:r w:rsidR="00C01E81" w:rsidRPr="00997E9D">
          <w:rPr>
            <w:rStyle w:val="Hyperlink"/>
            <w:noProof/>
            <w:snapToGrid w:val="0"/>
            <w:lang w:val="de-DE"/>
          </w:rPr>
          <w:t>Vorschlag:</w:t>
        </w:r>
        <w:r w:rsidR="00C01E81">
          <w:rPr>
            <w:noProof/>
            <w:webHidden/>
          </w:rPr>
          <w:tab/>
        </w:r>
        <w:r w:rsidR="00C01E81">
          <w:rPr>
            <w:noProof/>
            <w:webHidden/>
          </w:rPr>
          <w:fldChar w:fldCharType="begin"/>
        </w:r>
        <w:r w:rsidR="00C01E81">
          <w:rPr>
            <w:noProof/>
            <w:webHidden/>
          </w:rPr>
          <w:instrText xml:space="preserve"> PAGEREF _Toc54271794 \h </w:instrText>
        </w:r>
        <w:r w:rsidR="00C01E81">
          <w:rPr>
            <w:noProof/>
            <w:webHidden/>
          </w:rPr>
        </w:r>
        <w:r w:rsidR="00C01E81">
          <w:rPr>
            <w:noProof/>
            <w:webHidden/>
          </w:rPr>
          <w:fldChar w:fldCharType="separate"/>
        </w:r>
        <w:r w:rsidR="00C01E81">
          <w:rPr>
            <w:noProof/>
            <w:webHidden/>
          </w:rPr>
          <w:t>2</w:t>
        </w:r>
        <w:r w:rsidR="00C01E81">
          <w:rPr>
            <w:noProof/>
            <w:webHidden/>
          </w:rPr>
          <w:fldChar w:fldCharType="end"/>
        </w:r>
      </w:hyperlink>
    </w:p>
    <w:p w14:paraId="080E3881" w14:textId="60C69D27" w:rsidR="00C12BB7" w:rsidRPr="00E20EC0" w:rsidRDefault="00C12BB7" w:rsidP="00C12BB7">
      <w:pPr>
        <w:rPr>
          <w:lang w:val="de-DE"/>
        </w:rPr>
      </w:pPr>
      <w:r w:rsidRPr="00E20EC0">
        <w:rPr>
          <w:rFonts w:cs="Arial"/>
          <w:snapToGrid w:val="0"/>
          <w:lang w:val="de-DE"/>
        </w:rPr>
        <w:fldChar w:fldCharType="end"/>
      </w:r>
    </w:p>
    <w:p w14:paraId="249A4F2F" w14:textId="77777777" w:rsidR="00C12BB7" w:rsidRPr="005C7370" w:rsidRDefault="00C12BB7" w:rsidP="00C12BB7">
      <w:pPr>
        <w:pStyle w:val="Heading1"/>
        <w:rPr>
          <w:szCs w:val="24"/>
          <w:lang w:val="de-DE"/>
        </w:rPr>
      </w:pPr>
      <w:bookmarkStart w:id="5" w:name="_Toc22734371"/>
      <w:bookmarkStart w:id="6" w:name="_Toc54271791"/>
      <w:r w:rsidRPr="005C7370">
        <w:rPr>
          <w:szCs w:val="24"/>
          <w:lang w:val="de-DE"/>
        </w:rPr>
        <w:t>Hintergrund</w:t>
      </w:r>
      <w:bookmarkEnd w:id="5"/>
      <w:bookmarkEnd w:id="6"/>
    </w:p>
    <w:p w14:paraId="4EDC8FE3" w14:textId="77777777" w:rsidR="00C12BB7" w:rsidRPr="00E20EC0" w:rsidRDefault="00C12BB7" w:rsidP="00C12BB7">
      <w:pPr>
        <w:keepNext/>
        <w:rPr>
          <w:lang w:val="de-DE"/>
        </w:rPr>
      </w:pPr>
    </w:p>
    <w:p w14:paraId="7E88CF8A" w14:textId="77777777" w:rsidR="00C12BB7" w:rsidRPr="00E20EC0" w:rsidRDefault="00C12BB7" w:rsidP="00C12BB7">
      <w:pPr>
        <w:autoSpaceDE w:val="0"/>
        <w:autoSpaceDN w:val="0"/>
        <w:adjustRightInd w:val="0"/>
        <w:rPr>
          <w:rFonts w:cs="Arial"/>
          <w:snapToGrid w:val="0"/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>
        <w:rPr>
          <w:szCs w:val="24"/>
          <w:lang w:val="de-DE"/>
        </w:rPr>
        <w:t xml:space="preserve">Der </w:t>
      </w:r>
      <w:r w:rsidRPr="005C7370">
        <w:rPr>
          <w:szCs w:val="24"/>
          <w:lang w:val="de-DE"/>
        </w:rPr>
        <w:t>TC vereinbarte auf seiner achtunddreißigsten Tagung</w:t>
      </w:r>
      <w:r w:rsidRPr="003F5E6A">
        <w:rPr>
          <w:rStyle w:val="FootnoteReference"/>
          <w:rFonts w:cs="Arial"/>
        </w:rPr>
        <w:footnoteReference w:id="1"/>
      </w:r>
      <w:r w:rsidRPr="005C7370">
        <w:rPr>
          <w:szCs w:val="24"/>
          <w:lang w:val="de-DE"/>
        </w:rPr>
        <w:t xml:space="preserve"> auf der Grundlage </w:t>
      </w:r>
      <w:r>
        <w:rPr>
          <w:szCs w:val="24"/>
          <w:lang w:val="de-DE"/>
        </w:rPr>
        <w:t xml:space="preserve">des </w:t>
      </w:r>
      <w:r w:rsidRPr="005C7370">
        <w:rPr>
          <w:szCs w:val="24"/>
          <w:lang w:val="de-DE"/>
        </w:rPr>
        <w:t>Dokument</w:t>
      </w:r>
      <w:r>
        <w:rPr>
          <w:szCs w:val="24"/>
          <w:lang w:val="de-DE"/>
        </w:rPr>
        <w:t>s</w:t>
      </w:r>
      <w:r w:rsidRPr="005C7370">
        <w:rPr>
          <w:szCs w:val="24"/>
          <w:lang w:val="de-DE"/>
        </w:rPr>
        <w:t xml:space="preserve"> TC/38/12</w:t>
      </w:r>
      <w:r>
        <w:rPr>
          <w:szCs w:val="24"/>
          <w:lang w:val="de-DE"/>
        </w:rPr>
        <w:t>,</w:t>
      </w:r>
      <w:r w:rsidRPr="005C7370">
        <w:rPr>
          <w:szCs w:val="24"/>
          <w:lang w:val="de-DE"/>
        </w:rPr>
        <w:t xml:space="preserve"> jeweils vor den Sitzungen der Technischen Arbeitsgruppen (TWP) eine vorbereitende Arbeitstagung abzuhalten mit dem Ziel, einige Delegierte dabei zu unterstützen, sich aktiver an der Sitzung zu beteiligen (vergleiche Dokument TC/38/16 „Bericht“, Absätze 215 bis 218).</w:t>
      </w:r>
    </w:p>
    <w:p w14:paraId="618EE202" w14:textId="77777777" w:rsidR="00C12BB7" w:rsidRPr="00E20EC0" w:rsidRDefault="00C12BB7" w:rsidP="00C12BB7">
      <w:pPr>
        <w:ind w:left="567" w:hanging="567"/>
        <w:rPr>
          <w:rFonts w:cs="Arial"/>
          <w:snapToGrid w:val="0"/>
          <w:lang w:val="de-DE"/>
        </w:rPr>
      </w:pPr>
    </w:p>
    <w:bookmarkStart w:id="7" w:name="_GoBack"/>
    <w:p w14:paraId="418150C0" w14:textId="77777777" w:rsidR="00C12BB7" w:rsidRPr="00E20EC0" w:rsidRDefault="00C12BB7" w:rsidP="00B87D4B">
      <w:pPr>
        <w:keepNext/>
        <w:rPr>
          <w:rFonts w:cs="Arial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5C7370">
        <w:rPr>
          <w:szCs w:val="24"/>
          <w:lang w:val="de-DE"/>
        </w:rPr>
        <w:t>Der TC vereinbarte auf seiner vierundfünfzigsten Tagung</w:t>
      </w:r>
      <w:r w:rsidRPr="003F5E6A">
        <w:rPr>
          <w:rStyle w:val="FootnoteReference"/>
          <w:snapToGrid w:val="0"/>
        </w:rPr>
        <w:footnoteReference w:id="2"/>
      </w:r>
      <w:r w:rsidRPr="005C7370">
        <w:rPr>
          <w:szCs w:val="24"/>
          <w:lang w:val="de-DE"/>
        </w:rPr>
        <w:t xml:space="preserve"> das Programm für die vorbereitenden Arbeitstagungen für das Jahr 2019. Der TC vereinbarte, da</w:t>
      </w:r>
      <w:r>
        <w:rPr>
          <w:szCs w:val="24"/>
          <w:lang w:val="de-DE"/>
        </w:rPr>
        <w:t>ss</w:t>
      </w:r>
      <w:r w:rsidRPr="005C7370">
        <w:rPr>
          <w:szCs w:val="24"/>
          <w:lang w:val="de-DE"/>
        </w:rPr>
        <w:t xml:space="preserve"> die folgenden Inhalte zu den vorbereitenden Arbeitstagungen hinzugefügt werden sollten (vergleiche Dokument TC/54/31 „Bericht“, Absätze 323 bis 327):</w:t>
      </w:r>
    </w:p>
    <w:p w14:paraId="1903B06A" w14:textId="77777777" w:rsidR="00C12BB7" w:rsidRPr="00E20EC0" w:rsidRDefault="00C12BB7" w:rsidP="00B87D4B">
      <w:pPr>
        <w:keepNext/>
        <w:rPr>
          <w:rFonts w:cs="Arial"/>
          <w:lang w:val="de-DE"/>
        </w:rPr>
      </w:pPr>
    </w:p>
    <w:p w14:paraId="3D93A41B" w14:textId="77777777" w:rsidR="00C12BB7" w:rsidRPr="00E20EC0" w:rsidRDefault="00C12BB7" w:rsidP="00B87D4B">
      <w:pPr>
        <w:pStyle w:val="ListParagraph"/>
        <w:keepNext/>
        <w:numPr>
          <w:ilvl w:val="0"/>
          <w:numId w:val="1"/>
        </w:numPr>
        <w:ind w:left="709" w:hanging="349"/>
        <w:rPr>
          <w:rFonts w:cs="Arial"/>
          <w:lang w:val="de-DE"/>
        </w:rPr>
      </w:pPr>
      <w:r w:rsidRPr="005C7370">
        <w:rPr>
          <w:szCs w:val="24"/>
          <w:lang w:val="de-DE"/>
        </w:rPr>
        <w:t>Verfahren zur Annahme von Prüfungsrichtlinien auf dem Schriftweg</w:t>
      </w:r>
      <w:r w:rsidRPr="00E20EC0">
        <w:rPr>
          <w:rFonts w:cs="Arial"/>
          <w:lang w:val="de-DE"/>
        </w:rPr>
        <w:t>;</w:t>
      </w:r>
    </w:p>
    <w:p w14:paraId="640B723A" w14:textId="77777777" w:rsidR="00C12BB7" w:rsidRPr="007D2535" w:rsidRDefault="00C12BB7" w:rsidP="00B87D4B">
      <w:pPr>
        <w:pStyle w:val="ListParagraph"/>
        <w:keepNext/>
        <w:keepLines/>
        <w:numPr>
          <w:ilvl w:val="0"/>
          <w:numId w:val="1"/>
        </w:numPr>
        <w:ind w:left="709" w:hanging="349"/>
        <w:rPr>
          <w:szCs w:val="24"/>
          <w:lang w:val="de-DE"/>
        </w:rPr>
      </w:pPr>
      <w:r w:rsidRPr="005C7370">
        <w:rPr>
          <w:szCs w:val="24"/>
          <w:lang w:val="de-DE"/>
        </w:rPr>
        <w:lastRenderedPageBreak/>
        <w:t xml:space="preserve">Rolle des führenden Sachverständigen bei der Erstellung von Prüfungsrichtlinien und Teilnahme als </w:t>
      </w:r>
      <w:bookmarkEnd w:id="7"/>
      <w:r w:rsidRPr="005C7370">
        <w:rPr>
          <w:szCs w:val="24"/>
          <w:lang w:val="de-DE"/>
        </w:rPr>
        <w:t>beteiligter Sachverständiger</w:t>
      </w:r>
    </w:p>
    <w:p w14:paraId="262A13C8" w14:textId="77777777" w:rsidR="00C12BB7" w:rsidRPr="005C7370" w:rsidRDefault="00C12BB7" w:rsidP="00C12BB7">
      <w:pPr>
        <w:pStyle w:val="ListParagraph"/>
        <w:keepNext/>
        <w:keepLines/>
        <w:numPr>
          <w:ilvl w:val="0"/>
          <w:numId w:val="1"/>
        </w:numPr>
        <w:ind w:left="709" w:hanging="349"/>
        <w:rPr>
          <w:szCs w:val="24"/>
          <w:lang w:val="de-DE"/>
        </w:rPr>
      </w:pPr>
      <w:r w:rsidRPr="005C7370">
        <w:rPr>
          <w:szCs w:val="24"/>
          <w:lang w:val="de-DE"/>
        </w:rPr>
        <w:t>Möglichkeiten für internationale Zusammenarbeit bei der DUS-Prüfung</w:t>
      </w:r>
    </w:p>
    <w:p w14:paraId="3745AB09" w14:textId="77777777" w:rsidR="00C12BB7" w:rsidRPr="00E20EC0" w:rsidRDefault="00C12BB7" w:rsidP="00C12BB7">
      <w:pPr>
        <w:rPr>
          <w:snapToGrid w:val="0"/>
          <w:lang w:val="de-DE"/>
        </w:rPr>
      </w:pPr>
    </w:p>
    <w:p w14:paraId="06BF47C6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D764CB">
        <w:rPr>
          <w:snapToGrid w:val="0"/>
          <w:lang w:val="de-DE"/>
        </w:rPr>
        <w:t>Der TC vereinbarte auf seiner vierundfünfzigsten Tagung, da</w:t>
      </w:r>
      <w:r>
        <w:rPr>
          <w:snapToGrid w:val="0"/>
          <w:lang w:val="de-DE"/>
        </w:rPr>
        <w:t>ss</w:t>
      </w:r>
      <w:r w:rsidRPr="00D764CB">
        <w:rPr>
          <w:snapToGrid w:val="0"/>
          <w:lang w:val="de-DE"/>
        </w:rPr>
        <w:t xml:space="preserve"> die Vorsitzenden der TWP zusammen mit den Organisatoren, dem Vorsitzenden des TC und dem UPOV-Büro das Verfahren für Einzelfälle erörtern sollten</w:t>
      </w:r>
      <w:r w:rsidRPr="00E20EC0">
        <w:rPr>
          <w:snapToGrid w:val="0"/>
          <w:lang w:val="de-DE"/>
        </w:rPr>
        <w:t>.</w:t>
      </w:r>
    </w:p>
    <w:p w14:paraId="73311FB0" w14:textId="77777777" w:rsidR="00C12BB7" w:rsidRPr="00E20EC0" w:rsidRDefault="00C12BB7" w:rsidP="00C12BB7">
      <w:pPr>
        <w:rPr>
          <w:lang w:val="de-DE"/>
        </w:rPr>
      </w:pPr>
    </w:p>
    <w:p w14:paraId="3E999BF2" w14:textId="77777777" w:rsidR="00C12BB7" w:rsidRPr="00E20EC0" w:rsidRDefault="00C12BB7" w:rsidP="00C12BB7">
      <w:pPr>
        <w:rPr>
          <w:lang w:val="de-DE"/>
        </w:rPr>
      </w:pPr>
      <w:r w:rsidRPr="00E20EC0">
        <w:rPr>
          <w:lang w:val="de-DE"/>
        </w:rPr>
        <w:fldChar w:fldCharType="begin"/>
      </w:r>
      <w:r w:rsidRPr="00E20EC0">
        <w:rPr>
          <w:lang w:val="de-DE"/>
        </w:rPr>
        <w:instrText xml:space="preserve"> AUTONUM  </w:instrText>
      </w:r>
      <w:r w:rsidRPr="00E20EC0">
        <w:rPr>
          <w:lang w:val="de-DE"/>
        </w:rPr>
        <w:fldChar w:fldCharType="end"/>
      </w:r>
      <w:r w:rsidRPr="00E20EC0">
        <w:rPr>
          <w:lang w:val="de-DE"/>
        </w:rPr>
        <w:tab/>
      </w:r>
      <w:r w:rsidRPr="00D764CB">
        <w:rPr>
          <w:lang w:val="de-DE"/>
        </w:rPr>
        <w:t>Der TC erinnerte auf seiner fünfundfünfzigsten Tagung</w:t>
      </w:r>
      <w:r w:rsidRPr="003F5E6A">
        <w:rPr>
          <w:rStyle w:val="FootnoteReference"/>
        </w:rPr>
        <w:footnoteReference w:id="3"/>
      </w:r>
      <w:r w:rsidRPr="00D764CB">
        <w:rPr>
          <w:lang w:val="de-DE"/>
        </w:rPr>
        <w:t xml:space="preserve"> daran, da</w:t>
      </w:r>
      <w:r>
        <w:rPr>
          <w:lang w:val="de-DE"/>
        </w:rPr>
        <w:t>ss</w:t>
      </w:r>
      <w:r w:rsidRPr="00D764CB">
        <w:rPr>
          <w:lang w:val="de-DE"/>
        </w:rPr>
        <w:t xml:space="preserve"> vorbereitende Arbeitstagungen eine Gelegenheit zur </w:t>
      </w:r>
      <w:r>
        <w:rPr>
          <w:lang w:val="de-DE"/>
        </w:rPr>
        <w:t>Schulung</w:t>
      </w:r>
      <w:r w:rsidRPr="00D764CB">
        <w:rPr>
          <w:lang w:val="de-DE"/>
        </w:rPr>
        <w:t xml:space="preserve"> örtlicher Teilnehmer böten, und vereinbarte, da</w:t>
      </w:r>
      <w:r>
        <w:rPr>
          <w:lang w:val="de-DE"/>
        </w:rPr>
        <w:t>ss</w:t>
      </w:r>
      <w:r w:rsidRPr="00D764CB">
        <w:rPr>
          <w:lang w:val="de-DE"/>
        </w:rPr>
        <w:t xml:space="preserve"> die Gastgeber der TWP die Möglichkeit haben sollten, zu entscheiden, ob sie vor der TWP-Tagung eine vorbereitende Arbeitstagung </w:t>
      </w:r>
      <w:r>
        <w:rPr>
          <w:lang w:val="de-DE"/>
        </w:rPr>
        <w:t>organisieren</w:t>
      </w:r>
      <w:r w:rsidRPr="00D764CB">
        <w:rPr>
          <w:lang w:val="de-DE"/>
        </w:rPr>
        <w:t xml:space="preserve"> oder nicht (vergleiche Dokument TC/55/25 </w:t>
      </w:r>
      <w:r>
        <w:rPr>
          <w:lang w:val="de-DE"/>
        </w:rPr>
        <w:t>„</w:t>
      </w:r>
      <w:r w:rsidRPr="00D764CB">
        <w:rPr>
          <w:lang w:val="de-DE"/>
        </w:rPr>
        <w:t>Bericht</w:t>
      </w:r>
      <w:r>
        <w:rPr>
          <w:lang w:val="de-DE"/>
        </w:rPr>
        <w:t>“</w:t>
      </w:r>
      <w:r w:rsidRPr="00D764CB">
        <w:rPr>
          <w:lang w:val="de-DE"/>
        </w:rPr>
        <w:t>, Absätze 226 und 227</w:t>
      </w:r>
      <w:r w:rsidRPr="00E20EC0">
        <w:rPr>
          <w:lang w:val="de-DE"/>
        </w:rPr>
        <w:t>).</w:t>
      </w:r>
    </w:p>
    <w:p w14:paraId="26007A3E" w14:textId="77777777" w:rsidR="00C12BB7" w:rsidRPr="00E20EC0" w:rsidRDefault="00C12BB7" w:rsidP="00C12BB7">
      <w:pPr>
        <w:rPr>
          <w:lang w:val="de-DE"/>
        </w:rPr>
      </w:pPr>
    </w:p>
    <w:p w14:paraId="7B5E6281" w14:textId="77777777" w:rsidR="00C12BB7" w:rsidRPr="00E20EC0" w:rsidRDefault="00C12BB7" w:rsidP="00C12BB7">
      <w:pPr>
        <w:rPr>
          <w:lang w:val="de-DE"/>
        </w:rPr>
      </w:pPr>
      <w:r w:rsidRPr="00E20EC0">
        <w:rPr>
          <w:lang w:val="de-DE"/>
        </w:rPr>
        <w:fldChar w:fldCharType="begin"/>
      </w:r>
      <w:r w:rsidRPr="00E20EC0">
        <w:rPr>
          <w:lang w:val="de-DE"/>
        </w:rPr>
        <w:instrText xml:space="preserve"> AUTONUM  </w:instrText>
      </w:r>
      <w:r w:rsidRPr="00E20EC0">
        <w:rPr>
          <w:lang w:val="de-DE"/>
        </w:rPr>
        <w:fldChar w:fldCharType="end"/>
      </w:r>
      <w:r w:rsidRPr="00E20EC0">
        <w:rPr>
          <w:lang w:val="de-DE"/>
        </w:rPr>
        <w:tab/>
      </w:r>
      <w:r w:rsidRPr="0016620B">
        <w:rPr>
          <w:lang w:val="de-DE"/>
        </w:rPr>
        <w:t>Der TC vereinbarte auf seiner fünfundfünfzigsten Tagung, da</w:t>
      </w:r>
      <w:r>
        <w:rPr>
          <w:lang w:val="de-DE"/>
        </w:rPr>
        <w:t>ss</w:t>
      </w:r>
      <w:r w:rsidRPr="0016620B">
        <w:rPr>
          <w:lang w:val="de-DE"/>
        </w:rPr>
        <w:t xml:space="preserve"> die TWP </w:t>
      </w:r>
      <w:r>
        <w:rPr>
          <w:lang w:val="de-DE"/>
        </w:rPr>
        <w:t>ersucht</w:t>
      </w:r>
      <w:r w:rsidRPr="0016620B">
        <w:rPr>
          <w:lang w:val="de-DE"/>
        </w:rPr>
        <w:t xml:space="preserve"> werden sollten, die </w:t>
      </w:r>
      <w:r>
        <w:rPr>
          <w:lang w:val="de-DE"/>
        </w:rPr>
        <w:t>mögliche</w:t>
      </w:r>
      <w:r w:rsidRPr="0016620B">
        <w:rPr>
          <w:lang w:val="de-DE"/>
        </w:rPr>
        <w:t xml:space="preserve"> Organisation von vorbereitenden Arbeitstagungen </w:t>
      </w:r>
      <w:r w:rsidRPr="0079040F">
        <w:rPr>
          <w:lang w:val="de-DE"/>
        </w:rPr>
        <w:t>bei den Überlegungen zu Datum und Ort ihrer künftigen Tagungen zu erörtern</w:t>
      </w:r>
      <w:r w:rsidRPr="00E20EC0">
        <w:rPr>
          <w:lang w:val="de-DE"/>
        </w:rPr>
        <w:t>.</w:t>
      </w:r>
    </w:p>
    <w:p w14:paraId="6EF5E1BA" w14:textId="77777777" w:rsidR="00C12BB7" w:rsidRPr="00E20EC0" w:rsidRDefault="00C12BB7" w:rsidP="00C12BB7">
      <w:pPr>
        <w:rPr>
          <w:lang w:val="de-DE"/>
        </w:rPr>
      </w:pPr>
    </w:p>
    <w:p w14:paraId="69E187F1" w14:textId="77777777" w:rsidR="00C12BB7" w:rsidRPr="00E20EC0" w:rsidRDefault="00C12BB7" w:rsidP="00C12BB7">
      <w:pPr>
        <w:pStyle w:val="Heading1"/>
        <w:rPr>
          <w:i/>
          <w:lang w:val="de-DE"/>
        </w:rPr>
      </w:pPr>
      <w:bookmarkStart w:id="8" w:name="_Toc524688361"/>
      <w:bookmarkStart w:id="9" w:name="_Toc54271792"/>
      <w:r>
        <w:rPr>
          <w:lang w:val="de-DE"/>
        </w:rPr>
        <w:t>Bericht über die im Jahr</w:t>
      </w:r>
      <w:r w:rsidRPr="00E20EC0">
        <w:rPr>
          <w:lang w:val="de-DE"/>
        </w:rPr>
        <w:t xml:space="preserve"> </w:t>
      </w:r>
      <w:bookmarkEnd w:id="8"/>
      <w:r w:rsidRPr="00E20EC0">
        <w:rPr>
          <w:lang w:val="de-DE"/>
        </w:rPr>
        <w:t>2020</w:t>
      </w:r>
      <w:r>
        <w:rPr>
          <w:lang w:val="de-DE"/>
        </w:rPr>
        <w:t xml:space="preserve"> ABGEHALTENEN VORBEREITENDEN ARBEITSTAGUNGEN</w:t>
      </w:r>
      <w:bookmarkEnd w:id="9"/>
    </w:p>
    <w:p w14:paraId="0C290DA2" w14:textId="77777777" w:rsidR="00C12BB7" w:rsidRPr="00E20EC0" w:rsidRDefault="00C12BB7" w:rsidP="00C12BB7">
      <w:pPr>
        <w:rPr>
          <w:rFonts w:cs="Arial"/>
          <w:i/>
          <w:lang w:val="de-DE"/>
        </w:rPr>
      </w:pPr>
    </w:p>
    <w:p w14:paraId="1DFCB49A" w14:textId="19DABA67" w:rsidR="00C12BB7" w:rsidRPr="00E20EC0" w:rsidRDefault="00C12BB7" w:rsidP="00C12BB7">
      <w:pPr>
        <w:rPr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 w:rsidRPr="00910C30">
        <w:rPr>
          <w:rFonts w:cs="Arial"/>
          <w:lang w:val="de-DE"/>
        </w:rPr>
        <w:t xml:space="preserve">Aufgrund der Maßnahmen, die als Reaktion auf die COVID-19-Pandemie ergriffen wurden, fanden im Jahr 2020 keine vorbereitenden </w:t>
      </w:r>
      <w:r>
        <w:rPr>
          <w:rFonts w:cs="Arial"/>
          <w:lang w:val="de-DE"/>
        </w:rPr>
        <w:t>Arbeitstagungen</w:t>
      </w:r>
      <w:r w:rsidRPr="00910C30">
        <w:rPr>
          <w:rFonts w:cs="Arial"/>
          <w:lang w:val="de-DE"/>
        </w:rPr>
        <w:t xml:space="preserve"> statt. Die Tagungen der TWP und BMT im Jahr 2020 wurden auf elektronischem Wege abgehalten, wobei die vorbereitenden </w:t>
      </w:r>
      <w:r>
        <w:rPr>
          <w:rFonts w:cs="Arial"/>
          <w:lang w:val="de-DE"/>
        </w:rPr>
        <w:t>Sitzungen</w:t>
      </w:r>
      <w:r w:rsidRPr="00910C30">
        <w:rPr>
          <w:rFonts w:cs="Arial"/>
          <w:lang w:val="de-DE"/>
        </w:rPr>
        <w:t xml:space="preserve"> so organisiert wurden, da</w:t>
      </w:r>
      <w:r>
        <w:rPr>
          <w:rFonts w:cs="Arial"/>
          <w:lang w:val="de-DE"/>
        </w:rPr>
        <w:t>ss</w:t>
      </w:r>
      <w:r w:rsidRPr="00910C30">
        <w:rPr>
          <w:rFonts w:cs="Arial"/>
          <w:lang w:val="de-DE"/>
        </w:rPr>
        <w:t xml:space="preserve"> die Teilnehmer die </w:t>
      </w:r>
      <w:r>
        <w:rPr>
          <w:rFonts w:cs="Arial"/>
          <w:lang w:val="de-DE"/>
        </w:rPr>
        <w:t>Sitzungs</w:t>
      </w:r>
      <w:r w:rsidRPr="00910C30">
        <w:rPr>
          <w:rFonts w:cs="Arial"/>
          <w:lang w:val="de-DE"/>
        </w:rPr>
        <w:t>plattform nutzen konnten.</w:t>
      </w:r>
      <w:r>
        <w:rPr>
          <w:rFonts w:cs="Arial"/>
          <w:lang w:val="de-DE"/>
        </w:rPr>
        <w:t xml:space="preserve"> </w:t>
      </w:r>
      <w:r w:rsidRPr="00910C30">
        <w:rPr>
          <w:rFonts w:cs="Arial"/>
          <w:lang w:val="de-DE"/>
        </w:rPr>
        <w:t xml:space="preserve">Es wurde schriftliche Anleitung für verschiedene Arten von Teilnehmern an Online-Sitzungen </w:t>
      </w:r>
      <w:r>
        <w:rPr>
          <w:rFonts w:cs="Arial"/>
          <w:lang w:val="de-DE"/>
        </w:rPr>
        <w:t>erstellt</w:t>
      </w:r>
      <w:r w:rsidRPr="00910C30">
        <w:rPr>
          <w:rFonts w:cs="Arial"/>
          <w:lang w:val="de-DE"/>
        </w:rPr>
        <w:t xml:space="preserve"> (Delegierte, führende Sachverständige, Vorsitzende</w:t>
      </w:r>
      <w:r w:rsidRPr="00E20EC0">
        <w:rPr>
          <w:lang w:val="de-DE"/>
        </w:rPr>
        <w:t>).</w:t>
      </w:r>
      <w:r>
        <w:rPr>
          <w:lang w:val="de-DE"/>
        </w:rPr>
        <w:t xml:space="preserve"> </w:t>
      </w:r>
    </w:p>
    <w:p w14:paraId="02A94CFE" w14:textId="77777777" w:rsidR="00C12BB7" w:rsidRPr="00E20EC0" w:rsidRDefault="00C12BB7" w:rsidP="00C12BB7">
      <w:pPr>
        <w:rPr>
          <w:lang w:val="de-DE"/>
        </w:rPr>
      </w:pPr>
    </w:p>
    <w:p w14:paraId="33FB65F8" w14:textId="77777777" w:rsidR="00C12BB7" w:rsidRPr="00E20EC0" w:rsidRDefault="00C12BB7" w:rsidP="00C12BB7">
      <w:pPr>
        <w:pStyle w:val="Heading1"/>
        <w:rPr>
          <w:i/>
          <w:lang w:val="de-DE"/>
        </w:rPr>
      </w:pPr>
      <w:bookmarkStart w:id="10" w:name="_Toc524688363"/>
      <w:bookmarkStart w:id="11" w:name="_Toc54271793"/>
      <w:r w:rsidRPr="00E20EC0">
        <w:rPr>
          <w:lang w:val="de-DE"/>
        </w:rPr>
        <w:t>Program</w:t>
      </w:r>
      <w:r>
        <w:rPr>
          <w:lang w:val="de-DE"/>
        </w:rPr>
        <w:t>M</w:t>
      </w:r>
      <w:r w:rsidRPr="00E20EC0">
        <w:rPr>
          <w:lang w:val="de-DE"/>
        </w:rPr>
        <w:t xml:space="preserve"> </w:t>
      </w:r>
      <w:r>
        <w:rPr>
          <w:lang w:val="de-DE"/>
        </w:rPr>
        <w:t>U</w:t>
      </w:r>
      <w:r w:rsidRPr="00E20EC0">
        <w:rPr>
          <w:lang w:val="de-DE"/>
        </w:rPr>
        <w:t xml:space="preserve">nd format </w:t>
      </w:r>
      <w:r>
        <w:rPr>
          <w:lang w:val="de-DE"/>
        </w:rPr>
        <w:t>FÜR VORBEREITENDE ARBEITEN</w:t>
      </w:r>
      <w:r w:rsidRPr="00E20EC0">
        <w:rPr>
          <w:lang w:val="de-DE"/>
        </w:rPr>
        <w:t xml:space="preserve"> i</w:t>
      </w:r>
      <w:r>
        <w:rPr>
          <w:lang w:val="de-DE"/>
        </w:rPr>
        <w:t>M JAHR</w:t>
      </w:r>
      <w:r w:rsidRPr="00E20EC0">
        <w:rPr>
          <w:lang w:val="de-DE"/>
        </w:rPr>
        <w:t xml:space="preserve"> 20</w:t>
      </w:r>
      <w:bookmarkEnd w:id="10"/>
      <w:r w:rsidRPr="00E20EC0">
        <w:rPr>
          <w:lang w:val="de-DE"/>
        </w:rPr>
        <w:t>21</w:t>
      </w:r>
      <w:bookmarkEnd w:id="11"/>
    </w:p>
    <w:p w14:paraId="4E83AFB1" w14:textId="77777777" w:rsidR="00C12BB7" w:rsidRPr="00E20EC0" w:rsidRDefault="00C12BB7" w:rsidP="00C12BB7">
      <w:pPr>
        <w:rPr>
          <w:rFonts w:cs="Arial"/>
          <w:lang w:val="de-DE"/>
        </w:rPr>
      </w:pPr>
    </w:p>
    <w:p w14:paraId="2CF7E68E" w14:textId="4B3F3CD3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5C7370">
        <w:rPr>
          <w:szCs w:val="24"/>
          <w:lang w:val="de-DE"/>
        </w:rPr>
        <w:t>Der TC vereinbarte</w:t>
      </w:r>
      <w:r w:rsidRPr="00351354">
        <w:rPr>
          <w:lang w:val="de-DE"/>
        </w:rPr>
        <w:t xml:space="preserve"> </w:t>
      </w:r>
      <w:r w:rsidRPr="00C92D3C">
        <w:rPr>
          <w:szCs w:val="24"/>
          <w:lang w:val="de-DE"/>
        </w:rPr>
        <w:t>auf seiner vierundfünfzigsten Tagung</w:t>
      </w:r>
      <w:r w:rsidRPr="005C7370">
        <w:rPr>
          <w:szCs w:val="24"/>
          <w:lang w:val="de-DE"/>
        </w:rPr>
        <w:t>, da</w:t>
      </w:r>
      <w:r>
        <w:rPr>
          <w:szCs w:val="24"/>
          <w:lang w:val="de-DE"/>
        </w:rPr>
        <w:t>ss</w:t>
      </w:r>
      <w:r w:rsidRPr="005C7370">
        <w:rPr>
          <w:szCs w:val="24"/>
          <w:lang w:val="de-DE"/>
        </w:rPr>
        <w:t xml:space="preserve"> die während der vorbereitenden Arbeitstagung zu erörternden Elemente als eine Einführung in die jeweiligen Tagesordnungspunkte während des normalen Programms für die Tagungen der TWP und der BMT vorgelegt werden könnten. </w:t>
      </w:r>
      <w:r>
        <w:rPr>
          <w:szCs w:val="24"/>
          <w:lang w:val="de-DE"/>
        </w:rPr>
        <w:t>Der TC vereinbarte</w:t>
      </w:r>
      <w:r w:rsidRPr="005C7370">
        <w:rPr>
          <w:szCs w:val="24"/>
          <w:lang w:val="de-DE"/>
        </w:rPr>
        <w:t>, da</w:t>
      </w:r>
      <w:r>
        <w:rPr>
          <w:szCs w:val="24"/>
          <w:lang w:val="de-DE"/>
        </w:rPr>
        <w:t>ss</w:t>
      </w:r>
      <w:r w:rsidRPr="005C7370">
        <w:rPr>
          <w:szCs w:val="24"/>
          <w:lang w:val="de-DE"/>
        </w:rPr>
        <w:t xml:space="preserve"> die Gruppenübungen weiterhin stattfinden sollten und da</w:t>
      </w:r>
      <w:r>
        <w:rPr>
          <w:szCs w:val="24"/>
          <w:lang w:val="de-DE"/>
        </w:rPr>
        <w:t>ss</w:t>
      </w:r>
      <w:r w:rsidRPr="005C7370">
        <w:rPr>
          <w:szCs w:val="24"/>
          <w:lang w:val="de-DE"/>
        </w:rPr>
        <w:t xml:space="preserve"> am Tag vor den Tagungen der TWP für lokale Sachverständige eine nationale Arbeitstagung stattfinden könnte</w:t>
      </w:r>
      <w:r w:rsidRPr="00E20EC0">
        <w:rPr>
          <w:lang w:val="de-DE"/>
        </w:rPr>
        <w:t xml:space="preserve"> (</w:t>
      </w:r>
      <w:r>
        <w:rPr>
          <w:lang w:val="de-DE"/>
        </w:rPr>
        <w:t>vergleiche Dokument</w:t>
      </w:r>
      <w:r w:rsidRPr="00E20EC0">
        <w:rPr>
          <w:lang w:val="de-DE"/>
        </w:rPr>
        <w:t xml:space="preserve"> TC/54/31 </w:t>
      </w:r>
      <w:r w:rsidRPr="005C7370">
        <w:rPr>
          <w:szCs w:val="24"/>
          <w:lang w:val="de-DE"/>
        </w:rPr>
        <w:t xml:space="preserve">„Bericht“, </w:t>
      </w:r>
      <w:r>
        <w:rPr>
          <w:szCs w:val="24"/>
          <w:lang w:val="de-DE"/>
        </w:rPr>
        <w:t>Absatz</w:t>
      </w:r>
      <w:r w:rsidRPr="005C7370">
        <w:rPr>
          <w:szCs w:val="24"/>
          <w:lang w:val="de-DE"/>
        </w:rPr>
        <w:t xml:space="preserve"> </w:t>
      </w:r>
      <w:r w:rsidRPr="00E20EC0">
        <w:rPr>
          <w:lang w:val="de-DE"/>
        </w:rPr>
        <w:t>325)</w:t>
      </w:r>
      <w:r w:rsidRPr="00E20EC0">
        <w:rPr>
          <w:snapToGrid w:val="0"/>
          <w:lang w:val="de-DE"/>
        </w:rPr>
        <w:t>.</w:t>
      </w:r>
      <w:r>
        <w:rPr>
          <w:snapToGrid w:val="0"/>
          <w:lang w:val="de-DE"/>
        </w:rPr>
        <w:t xml:space="preserve"> </w:t>
      </w:r>
    </w:p>
    <w:p w14:paraId="3D54937A" w14:textId="77777777" w:rsidR="00C12BB7" w:rsidRPr="00E20EC0" w:rsidRDefault="00C12BB7" w:rsidP="00C12BB7">
      <w:pPr>
        <w:rPr>
          <w:snapToGrid w:val="0"/>
          <w:lang w:val="de-DE"/>
        </w:rPr>
      </w:pPr>
    </w:p>
    <w:p w14:paraId="70AA8A81" w14:textId="7B034702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5C7370">
        <w:rPr>
          <w:szCs w:val="24"/>
          <w:lang w:val="de-DE"/>
        </w:rPr>
        <w:t xml:space="preserve">Die während der vorbereitenden Arbeitstagung zu erörternden Elemente wurden als eine Einführung in die jeweiligen Tagesordnungspunkte während des normalen Programms </w:t>
      </w:r>
      <w:r w:rsidRPr="00953906">
        <w:rPr>
          <w:szCs w:val="24"/>
          <w:lang w:val="de-DE"/>
        </w:rPr>
        <w:t>der TWA, TWC, TWF und BMT auf ihren Tagungen im Jahre 2019</w:t>
      </w:r>
      <w:r>
        <w:rPr>
          <w:szCs w:val="24"/>
          <w:lang w:val="de-DE"/>
        </w:rPr>
        <w:t xml:space="preserve"> </w:t>
      </w:r>
      <w:r w:rsidRPr="005C7370">
        <w:rPr>
          <w:szCs w:val="24"/>
          <w:lang w:val="de-DE"/>
        </w:rPr>
        <w:t>vorgelegt</w:t>
      </w:r>
      <w:r w:rsidRPr="00E20EC0">
        <w:rPr>
          <w:snapToGrid w:val="0"/>
          <w:lang w:val="de-DE"/>
        </w:rPr>
        <w:t xml:space="preserve">. </w:t>
      </w:r>
      <w:r w:rsidRPr="00953906">
        <w:rPr>
          <w:snapToGrid w:val="0"/>
          <w:lang w:val="de-DE"/>
        </w:rPr>
        <w:t>Das Feedback der Teilnehmer war nicht zufriedenstellend, wobei erwähnt wurde, da</w:t>
      </w:r>
      <w:r>
        <w:rPr>
          <w:snapToGrid w:val="0"/>
          <w:lang w:val="de-DE"/>
        </w:rPr>
        <w:t>ss</w:t>
      </w:r>
      <w:r w:rsidRPr="00953906">
        <w:rPr>
          <w:snapToGrid w:val="0"/>
          <w:lang w:val="de-DE"/>
        </w:rPr>
        <w:t xml:space="preserve"> die Zeit für die Behandlung der vorgestellten Themen nicht ausreiche und da</w:t>
      </w:r>
      <w:r>
        <w:rPr>
          <w:snapToGrid w:val="0"/>
          <w:lang w:val="de-DE"/>
        </w:rPr>
        <w:t>ss</w:t>
      </w:r>
      <w:r w:rsidRPr="00953906">
        <w:rPr>
          <w:snapToGrid w:val="0"/>
          <w:lang w:val="de-DE"/>
        </w:rPr>
        <w:t xml:space="preserve"> es keine </w:t>
      </w:r>
      <w:r w:rsidR="00B83023">
        <w:rPr>
          <w:snapToGrid w:val="0"/>
          <w:lang w:val="de-DE"/>
        </w:rPr>
        <w:t xml:space="preserve">ausreichende </w:t>
      </w:r>
      <w:r w:rsidRPr="00953906">
        <w:rPr>
          <w:snapToGrid w:val="0"/>
          <w:lang w:val="de-DE"/>
        </w:rPr>
        <w:t>Interaktion zwischen neuen und erfahrenen Teilnehmern gebe</w:t>
      </w:r>
      <w:r>
        <w:rPr>
          <w:snapToGrid w:val="0"/>
          <w:lang w:val="de-DE"/>
        </w:rPr>
        <w:t>.</w:t>
      </w:r>
    </w:p>
    <w:p w14:paraId="5990793D" w14:textId="77777777" w:rsidR="00C12BB7" w:rsidRPr="00E20EC0" w:rsidRDefault="00C12BB7" w:rsidP="00C12BB7">
      <w:pPr>
        <w:rPr>
          <w:rFonts w:cs="Arial"/>
          <w:lang w:val="de-DE"/>
        </w:rPr>
      </w:pPr>
    </w:p>
    <w:p w14:paraId="1687F51A" w14:textId="77777777" w:rsidR="00C12BB7" w:rsidRPr="00E20EC0" w:rsidRDefault="00C12BB7" w:rsidP="00C12BB7">
      <w:pPr>
        <w:rPr>
          <w:lang w:val="de-DE"/>
        </w:rPr>
      </w:pPr>
      <w:r w:rsidRPr="00E20EC0">
        <w:rPr>
          <w:lang w:val="de-DE"/>
        </w:rPr>
        <w:fldChar w:fldCharType="begin"/>
      </w:r>
      <w:r w:rsidRPr="00E20EC0">
        <w:rPr>
          <w:lang w:val="de-DE"/>
        </w:rPr>
        <w:instrText xml:space="preserve"> AUTONUM  </w:instrText>
      </w:r>
      <w:r w:rsidRPr="00E20EC0">
        <w:rPr>
          <w:lang w:val="de-DE"/>
        </w:rPr>
        <w:fldChar w:fldCharType="end"/>
      </w:r>
      <w:r w:rsidRPr="00E20EC0">
        <w:rPr>
          <w:lang w:val="de-DE"/>
        </w:rPr>
        <w:tab/>
      </w:r>
      <w:r w:rsidRPr="000C5FD0">
        <w:rPr>
          <w:lang w:val="de-DE"/>
        </w:rPr>
        <w:t xml:space="preserve">Der TC vereinbarte auf seiner fünfundfünfzigsten Tagung, dass das UPOV-Büro die Möglichkeit der Aufzeichnung eines „Webinars", um einen Teil des Inhalts der vorbereitenden Arbeitstagung für Fernlehrgänge online zur Verfügung zu stellen, sondieren sollte (vergleiche Dokument TC/55/25 </w:t>
      </w:r>
      <w:r>
        <w:rPr>
          <w:lang w:val="de-DE"/>
        </w:rPr>
        <w:t>„</w:t>
      </w:r>
      <w:r w:rsidRPr="000C5FD0">
        <w:rPr>
          <w:lang w:val="de-DE"/>
        </w:rPr>
        <w:t>Bericht</w:t>
      </w:r>
      <w:r>
        <w:rPr>
          <w:lang w:val="de-DE"/>
        </w:rPr>
        <w:t>“</w:t>
      </w:r>
      <w:r w:rsidRPr="000C5FD0">
        <w:rPr>
          <w:lang w:val="de-DE"/>
        </w:rPr>
        <w:t>, Absatz 228</w:t>
      </w:r>
      <w:r w:rsidRPr="00E20EC0">
        <w:rPr>
          <w:lang w:val="de-DE"/>
        </w:rPr>
        <w:t>).</w:t>
      </w:r>
      <w:r>
        <w:rPr>
          <w:lang w:val="de-DE"/>
        </w:rPr>
        <w:t xml:space="preserve"> </w:t>
      </w:r>
    </w:p>
    <w:p w14:paraId="78D2950C" w14:textId="77777777" w:rsidR="00C12BB7" w:rsidRPr="00E20EC0" w:rsidRDefault="00C12BB7" w:rsidP="00C12BB7">
      <w:pPr>
        <w:rPr>
          <w:snapToGrid w:val="0"/>
          <w:lang w:val="de-DE"/>
        </w:rPr>
      </w:pPr>
    </w:p>
    <w:p w14:paraId="41ACECD0" w14:textId="77777777" w:rsidR="00C12BB7" w:rsidRPr="00E20EC0" w:rsidRDefault="00C12BB7" w:rsidP="00C12BB7">
      <w:pPr>
        <w:pStyle w:val="Heading2"/>
        <w:rPr>
          <w:snapToGrid w:val="0"/>
          <w:lang w:val="de-DE"/>
        </w:rPr>
      </w:pPr>
      <w:bookmarkStart w:id="12" w:name="_Toc54271794"/>
      <w:r>
        <w:rPr>
          <w:snapToGrid w:val="0"/>
          <w:lang w:val="de-DE"/>
        </w:rPr>
        <w:t>Vorschlag</w:t>
      </w:r>
      <w:r w:rsidRPr="00E20EC0">
        <w:rPr>
          <w:snapToGrid w:val="0"/>
          <w:lang w:val="de-DE"/>
        </w:rPr>
        <w:t>:</w:t>
      </w:r>
      <w:bookmarkEnd w:id="12"/>
    </w:p>
    <w:p w14:paraId="2205C05B" w14:textId="77777777" w:rsidR="00C12BB7" w:rsidRPr="00E20EC0" w:rsidRDefault="00C12BB7" w:rsidP="00C12BB7">
      <w:pPr>
        <w:rPr>
          <w:snapToGrid w:val="0"/>
          <w:lang w:val="de-DE"/>
        </w:rPr>
      </w:pPr>
    </w:p>
    <w:p w14:paraId="51B11FE6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3D6611">
        <w:rPr>
          <w:snapToGrid w:val="0"/>
          <w:lang w:val="de-DE"/>
        </w:rPr>
        <w:t xml:space="preserve">Es wird vorgeschlagen, die vorbereitenden Arbeitstagungen im Jahr 2021 in Form einer Reihe von Webinaren zu geeigneten Terminen </w:t>
      </w:r>
      <w:r>
        <w:rPr>
          <w:snapToGrid w:val="0"/>
          <w:lang w:val="de-DE"/>
        </w:rPr>
        <w:t>gemäß</w:t>
      </w:r>
      <w:r w:rsidRPr="003D6611">
        <w:rPr>
          <w:snapToGrid w:val="0"/>
          <w:lang w:val="de-DE"/>
        </w:rPr>
        <w:t xml:space="preserve"> dem Zeitplan der </w:t>
      </w:r>
      <w:r>
        <w:rPr>
          <w:snapToGrid w:val="0"/>
          <w:lang w:val="de-DE"/>
        </w:rPr>
        <w:t>Tagungen der TWP</w:t>
      </w:r>
      <w:r w:rsidRPr="003D6611">
        <w:rPr>
          <w:snapToGrid w:val="0"/>
          <w:lang w:val="de-DE"/>
        </w:rPr>
        <w:t xml:space="preserve"> zu </w:t>
      </w:r>
      <w:r>
        <w:rPr>
          <w:snapToGrid w:val="0"/>
          <w:lang w:val="de-DE"/>
        </w:rPr>
        <w:t>organisieren</w:t>
      </w:r>
      <w:r w:rsidRPr="003D6611">
        <w:rPr>
          <w:snapToGrid w:val="0"/>
          <w:lang w:val="de-DE"/>
        </w:rPr>
        <w:t>.</w:t>
      </w:r>
      <w:r>
        <w:rPr>
          <w:snapToGrid w:val="0"/>
          <w:lang w:val="de-DE"/>
        </w:rPr>
        <w:t xml:space="preserve"> </w:t>
      </w:r>
      <w:r w:rsidRPr="003D6611">
        <w:rPr>
          <w:snapToGrid w:val="0"/>
          <w:lang w:val="de-DE"/>
        </w:rPr>
        <w:t>Die Webinar-</w:t>
      </w:r>
      <w:r>
        <w:rPr>
          <w:snapToGrid w:val="0"/>
          <w:lang w:val="de-DE"/>
        </w:rPr>
        <w:t>Referate</w:t>
      </w:r>
      <w:r w:rsidRPr="003D6611">
        <w:rPr>
          <w:snapToGrid w:val="0"/>
          <w:lang w:val="de-DE"/>
        </w:rPr>
        <w:t xml:space="preserve"> würden aufgezeichnet und online </w:t>
      </w:r>
      <w:r>
        <w:rPr>
          <w:snapToGrid w:val="0"/>
          <w:lang w:val="de-DE"/>
        </w:rPr>
        <w:t>zur Verfügung gestellt werden</w:t>
      </w:r>
      <w:r w:rsidRPr="003D6611">
        <w:rPr>
          <w:snapToGrid w:val="0"/>
          <w:lang w:val="de-DE"/>
        </w:rPr>
        <w:t>, nicht jedoch die Erörterungen</w:t>
      </w:r>
      <w:r w:rsidRPr="00E20EC0">
        <w:rPr>
          <w:snapToGrid w:val="0"/>
          <w:lang w:val="de-DE"/>
        </w:rPr>
        <w:t>.</w:t>
      </w:r>
      <w:r>
        <w:rPr>
          <w:snapToGrid w:val="0"/>
          <w:lang w:val="de-DE"/>
        </w:rPr>
        <w:t xml:space="preserve"> </w:t>
      </w:r>
    </w:p>
    <w:p w14:paraId="1321A747" w14:textId="77777777" w:rsidR="00C12BB7" w:rsidRPr="00E20EC0" w:rsidRDefault="00C12BB7" w:rsidP="00C12BB7">
      <w:pPr>
        <w:rPr>
          <w:snapToGrid w:val="0"/>
          <w:lang w:val="de-DE"/>
        </w:rPr>
      </w:pPr>
    </w:p>
    <w:p w14:paraId="0D1B17C7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>
        <w:rPr>
          <w:snapToGrid w:val="0"/>
          <w:lang w:val="de-DE"/>
        </w:rPr>
        <w:t>Sachverständige</w:t>
      </w:r>
      <w:r w:rsidRPr="003D6611">
        <w:rPr>
          <w:snapToGrid w:val="0"/>
          <w:lang w:val="de-DE"/>
        </w:rPr>
        <w:t xml:space="preserve"> </w:t>
      </w:r>
      <w:r>
        <w:rPr>
          <w:snapToGrid w:val="0"/>
          <w:lang w:val="de-DE"/>
        </w:rPr>
        <w:t>der M</w:t>
      </w:r>
      <w:r w:rsidRPr="003D6611">
        <w:rPr>
          <w:snapToGrid w:val="0"/>
          <w:lang w:val="de-DE"/>
        </w:rPr>
        <w:t xml:space="preserve">itglieder würden </w:t>
      </w:r>
      <w:r>
        <w:rPr>
          <w:snapToGrid w:val="0"/>
          <w:lang w:val="de-DE"/>
        </w:rPr>
        <w:t>ersucht werden</w:t>
      </w:r>
      <w:r w:rsidRPr="003D6611">
        <w:rPr>
          <w:snapToGrid w:val="0"/>
          <w:lang w:val="de-DE"/>
        </w:rPr>
        <w:t xml:space="preserve">, </w:t>
      </w:r>
      <w:r>
        <w:rPr>
          <w:snapToGrid w:val="0"/>
          <w:lang w:val="de-DE"/>
        </w:rPr>
        <w:t>Referate</w:t>
      </w:r>
      <w:r w:rsidRPr="003D6611">
        <w:rPr>
          <w:snapToGrid w:val="0"/>
          <w:lang w:val="de-DE"/>
        </w:rPr>
        <w:t xml:space="preserve"> zu ausgewählten Inhalten zu halten und als </w:t>
      </w:r>
      <w:r>
        <w:rPr>
          <w:snapToGrid w:val="0"/>
          <w:lang w:val="de-DE"/>
        </w:rPr>
        <w:t xml:space="preserve">Podiumsgäste bei Erörterungen </w:t>
      </w:r>
      <w:r w:rsidRPr="003D6611">
        <w:rPr>
          <w:snapToGrid w:val="0"/>
          <w:lang w:val="de-DE"/>
        </w:rPr>
        <w:t>zu fungieren</w:t>
      </w:r>
      <w:r w:rsidRPr="00E20EC0">
        <w:rPr>
          <w:snapToGrid w:val="0"/>
          <w:lang w:val="de-DE"/>
        </w:rPr>
        <w:t>.</w:t>
      </w:r>
      <w:r>
        <w:rPr>
          <w:snapToGrid w:val="0"/>
          <w:lang w:val="de-DE"/>
        </w:rPr>
        <w:t xml:space="preserve"> </w:t>
      </w:r>
    </w:p>
    <w:p w14:paraId="636BDD9F" w14:textId="77777777" w:rsidR="00C12BB7" w:rsidRPr="00E20EC0" w:rsidRDefault="00C12BB7" w:rsidP="00C12BB7">
      <w:pPr>
        <w:rPr>
          <w:snapToGrid w:val="0"/>
          <w:lang w:val="de-DE"/>
        </w:rPr>
      </w:pPr>
    </w:p>
    <w:p w14:paraId="3C21FCAC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lang w:val="de-DE"/>
        </w:rPr>
        <w:fldChar w:fldCharType="begin"/>
      </w:r>
      <w:r w:rsidRPr="00E20EC0">
        <w:rPr>
          <w:lang w:val="de-DE"/>
        </w:rPr>
        <w:instrText xml:space="preserve"> AUTONUM  </w:instrText>
      </w:r>
      <w:r w:rsidRPr="00E20EC0">
        <w:rPr>
          <w:lang w:val="de-DE"/>
        </w:rPr>
        <w:fldChar w:fldCharType="end"/>
      </w:r>
      <w:r w:rsidRPr="00E20EC0">
        <w:rPr>
          <w:lang w:val="de-DE"/>
        </w:rPr>
        <w:tab/>
      </w:r>
      <w:r>
        <w:rPr>
          <w:lang w:val="de-DE"/>
        </w:rPr>
        <w:t>Gemäß</w:t>
      </w:r>
      <w:r w:rsidRPr="003D6611">
        <w:rPr>
          <w:lang w:val="de-DE"/>
        </w:rPr>
        <w:t xml:space="preserve"> der Vereinbarung des TC auf seiner vierundfünfzigsten Tagung </w:t>
      </w:r>
      <w:r>
        <w:rPr>
          <w:lang w:val="de-DE"/>
        </w:rPr>
        <w:t xml:space="preserve">würden praktische Übungen </w:t>
      </w:r>
      <w:r w:rsidRPr="003D6611">
        <w:rPr>
          <w:lang w:val="de-DE"/>
        </w:rPr>
        <w:t>organisiert werden</w:t>
      </w:r>
      <w:r w:rsidRPr="00E20EC0">
        <w:rPr>
          <w:snapToGrid w:val="0"/>
          <w:lang w:val="de-DE"/>
        </w:rPr>
        <w:t>.</w:t>
      </w:r>
    </w:p>
    <w:p w14:paraId="7EE71923" w14:textId="77777777" w:rsidR="00C12BB7" w:rsidRPr="00E20EC0" w:rsidRDefault="00C12BB7" w:rsidP="00C12BB7">
      <w:pPr>
        <w:rPr>
          <w:rFonts w:cs="Arial"/>
          <w:lang w:val="de-DE"/>
        </w:rPr>
      </w:pPr>
    </w:p>
    <w:p w14:paraId="02BC5EF0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 w:rsidRPr="003D6611">
        <w:rPr>
          <w:snapToGrid w:val="0"/>
          <w:lang w:val="de-DE"/>
        </w:rPr>
        <w:t>Ein Vorschlag</w:t>
      </w:r>
      <w:r>
        <w:rPr>
          <w:snapToGrid w:val="0"/>
          <w:lang w:val="de-DE"/>
        </w:rPr>
        <w:t xml:space="preserve"> zur Organisation der</w:t>
      </w:r>
      <w:r w:rsidRPr="003D6611">
        <w:rPr>
          <w:snapToGrid w:val="0"/>
          <w:lang w:val="de-DE"/>
        </w:rPr>
        <w:t xml:space="preserve"> vorbereitenden Arbeitstagungen als Online-Webinare wird auch in Dokument TC/56/12 </w:t>
      </w:r>
      <w:r>
        <w:rPr>
          <w:snapToGrid w:val="0"/>
          <w:lang w:val="de-DE"/>
        </w:rPr>
        <w:t>„Verbesserung der Beteiligung</w:t>
      </w:r>
      <w:r w:rsidRPr="003D6611">
        <w:rPr>
          <w:snapToGrid w:val="0"/>
          <w:lang w:val="de-DE"/>
        </w:rPr>
        <w:t xml:space="preserve"> neuer Verbandsmitglieder an der Arbeit des TC und der TWP</w:t>
      </w:r>
      <w:r>
        <w:rPr>
          <w:snapToGrid w:val="0"/>
          <w:lang w:val="de-DE"/>
        </w:rPr>
        <w:t>“ betrachtet.</w:t>
      </w:r>
    </w:p>
    <w:p w14:paraId="0F92BD2F" w14:textId="77777777" w:rsidR="00C12BB7" w:rsidRPr="00E20EC0" w:rsidRDefault="00C12BB7" w:rsidP="00C12BB7">
      <w:pPr>
        <w:rPr>
          <w:snapToGrid w:val="0"/>
          <w:lang w:val="de-DE"/>
        </w:rPr>
      </w:pPr>
    </w:p>
    <w:p w14:paraId="0B707D0F" w14:textId="7F9951EF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snapToGrid w:val="0"/>
          <w:lang w:val="de-DE"/>
        </w:rPr>
        <w:fldChar w:fldCharType="begin"/>
      </w:r>
      <w:r w:rsidRPr="00E20EC0">
        <w:rPr>
          <w:snapToGrid w:val="0"/>
          <w:lang w:val="de-DE"/>
        </w:rPr>
        <w:instrText xml:space="preserve"> AUTONUM  </w:instrText>
      </w:r>
      <w:r w:rsidRPr="00E20EC0">
        <w:rPr>
          <w:snapToGrid w:val="0"/>
          <w:lang w:val="de-DE"/>
        </w:rPr>
        <w:fldChar w:fldCharType="end"/>
      </w:r>
      <w:r w:rsidRPr="00E20EC0">
        <w:rPr>
          <w:snapToGrid w:val="0"/>
          <w:lang w:val="de-DE"/>
        </w:rPr>
        <w:tab/>
      </w:r>
      <w:r>
        <w:rPr>
          <w:snapToGrid w:val="0"/>
          <w:lang w:val="de-DE"/>
        </w:rPr>
        <w:t>Ausführliche</w:t>
      </w:r>
      <w:r w:rsidRPr="003D6611">
        <w:rPr>
          <w:snapToGrid w:val="0"/>
          <w:lang w:val="de-DE"/>
        </w:rPr>
        <w:t xml:space="preserve"> Vereinbarungen </w:t>
      </w:r>
      <w:r>
        <w:rPr>
          <w:snapToGrid w:val="0"/>
          <w:lang w:val="de-DE"/>
        </w:rPr>
        <w:t>betreffend die</w:t>
      </w:r>
      <w:r w:rsidRPr="003D6611">
        <w:rPr>
          <w:snapToGrid w:val="0"/>
          <w:lang w:val="de-DE"/>
        </w:rPr>
        <w:t xml:space="preserve"> Webinare würden </w:t>
      </w:r>
      <w:r w:rsidR="00B83023">
        <w:rPr>
          <w:snapToGrid w:val="0"/>
          <w:lang w:val="de-DE"/>
        </w:rPr>
        <w:t>abschließend</w:t>
      </w:r>
      <w:r w:rsidR="00B83023" w:rsidRPr="003D6611">
        <w:rPr>
          <w:snapToGrid w:val="0"/>
          <w:lang w:val="de-DE"/>
        </w:rPr>
        <w:t xml:space="preserve"> </w:t>
      </w:r>
      <w:r w:rsidRPr="003D6611">
        <w:rPr>
          <w:snapToGrid w:val="0"/>
          <w:lang w:val="de-DE"/>
        </w:rPr>
        <w:t xml:space="preserve">vom Verbandsbüro in Abstimmung mit den Vorsitzenden der TWP und BMT </w:t>
      </w:r>
      <w:r>
        <w:rPr>
          <w:snapToGrid w:val="0"/>
          <w:lang w:val="de-DE"/>
        </w:rPr>
        <w:t>getroffen</w:t>
      </w:r>
      <w:r w:rsidRPr="003D6611">
        <w:rPr>
          <w:snapToGrid w:val="0"/>
          <w:lang w:val="de-DE"/>
        </w:rPr>
        <w:t xml:space="preserve"> werden</w:t>
      </w:r>
      <w:r w:rsidRPr="00E20EC0">
        <w:rPr>
          <w:snapToGrid w:val="0"/>
          <w:lang w:val="de-DE"/>
        </w:rPr>
        <w:t>.</w:t>
      </w:r>
    </w:p>
    <w:p w14:paraId="757A6FC7" w14:textId="77777777" w:rsidR="00C12BB7" w:rsidRPr="00E20EC0" w:rsidRDefault="00C12BB7" w:rsidP="00C12BB7">
      <w:pPr>
        <w:rPr>
          <w:snapToGrid w:val="0"/>
          <w:lang w:val="de-DE"/>
        </w:rPr>
      </w:pPr>
    </w:p>
    <w:p w14:paraId="751F227F" w14:textId="77777777" w:rsidR="00C12BB7" w:rsidRPr="00E20EC0" w:rsidRDefault="00C12BB7" w:rsidP="00C12BB7">
      <w:pPr>
        <w:keepNext/>
        <w:rPr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 w:rsidRPr="003D6611">
        <w:rPr>
          <w:rFonts w:cs="Arial"/>
          <w:lang w:val="de-DE"/>
        </w:rPr>
        <w:t>Folgender Inhalt wird für die Webinare im Jahr 2021 vorgeschlagen</w:t>
      </w:r>
      <w:r w:rsidRPr="00E20EC0">
        <w:rPr>
          <w:rFonts w:cs="Arial"/>
          <w:lang w:val="de-DE"/>
        </w:rPr>
        <w:t>:</w:t>
      </w:r>
    </w:p>
    <w:p w14:paraId="467B500E" w14:textId="77777777" w:rsidR="00C12BB7" w:rsidRPr="00E20EC0" w:rsidRDefault="00C12BB7" w:rsidP="00C12BB7">
      <w:pPr>
        <w:keepNext/>
        <w:rPr>
          <w:rFonts w:cs="Arial"/>
          <w:lang w:val="de-DE"/>
        </w:rPr>
      </w:pPr>
    </w:p>
    <w:p w14:paraId="03BB14E9" w14:textId="77777777" w:rsidR="00C12BB7" w:rsidRPr="00E20EC0" w:rsidRDefault="00C12BB7" w:rsidP="00C12BB7">
      <w:pPr>
        <w:keepNext/>
        <w:rPr>
          <w:rFonts w:cs="Arial"/>
          <w:lang w:val="de-DE"/>
        </w:rPr>
      </w:pPr>
      <w:r w:rsidRPr="00E20EC0">
        <w:rPr>
          <w:rFonts w:cs="Arial"/>
          <w:lang w:val="de-DE"/>
        </w:rPr>
        <w:t>Webinar 1:</w:t>
      </w:r>
    </w:p>
    <w:p w14:paraId="3B1DF0BB" w14:textId="77777777" w:rsidR="00C12BB7" w:rsidRPr="00E20EC0" w:rsidRDefault="00C12BB7" w:rsidP="00C12BB7">
      <w:pPr>
        <w:keepNext/>
        <w:rPr>
          <w:rFonts w:cs="Arial"/>
          <w:lang w:val="de-DE"/>
        </w:rPr>
      </w:pPr>
    </w:p>
    <w:p w14:paraId="06A917B8" w14:textId="77777777" w:rsidR="00C12BB7" w:rsidRPr="00E20EC0" w:rsidRDefault="00C12BB7" w:rsidP="00C12BB7">
      <w:pPr>
        <w:pStyle w:val="ListParagraph"/>
        <w:keepNext/>
        <w:numPr>
          <w:ilvl w:val="1"/>
          <w:numId w:val="6"/>
        </w:numPr>
        <w:ind w:left="1134" w:hanging="567"/>
        <w:rPr>
          <w:rFonts w:cs="Arial"/>
          <w:lang w:val="de-DE"/>
        </w:rPr>
      </w:pPr>
      <w:r w:rsidRPr="005C7370">
        <w:rPr>
          <w:szCs w:val="24"/>
          <w:lang w:val="de-DE"/>
        </w:rPr>
        <w:t>Einführung in die UPOV und die Rolle der Technischen Arbeitsgruppen der UPOV (TWP)</w:t>
      </w:r>
    </w:p>
    <w:p w14:paraId="1FFFA2E5" w14:textId="77777777" w:rsidR="00C12BB7" w:rsidRPr="00E20EC0" w:rsidRDefault="00C12BB7" w:rsidP="00C12BB7">
      <w:pPr>
        <w:pStyle w:val="ListParagraph"/>
        <w:keepNext/>
        <w:numPr>
          <w:ilvl w:val="1"/>
          <w:numId w:val="6"/>
        </w:numPr>
        <w:ind w:left="1134" w:hanging="567"/>
        <w:rPr>
          <w:rFonts w:cs="Arial"/>
          <w:lang w:val="de-DE"/>
        </w:rPr>
      </w:pPr>
      <w:r w:rsidRPr="005C7370">
        <w:rPr>
          <w:szCs w:val="24"/>
          <w:lang w:val="de-DE"/>
        </w:rPr>
        <w:t>Überblick über die Allgemeine Einführung (Dokument TG/1/3 und TGP-Dokumente</w:t>
      </w:r>
      <w:r w:rsidRPr="00E20EC0">
        <w:rPr>
          <w:rFonts w:cs="Arial"/>
          <w:lang w:val="de-DE"/>
        </w:rPr>
        <w:t>)</w:t>
      </w:r>
    </w:p>
    <w:p w14:paraId="2D18F5BF" w14:textId="540D5294" w:rsidR="00C12BB7" w:rsidRPr="00E20EC0" w:rsidRDefault="00C12BB7" w:rsidP="00C12BB7">
      <w:pPr>
        <w:numPr>
          <w:ilvl w:val="0"/>
          <w:numId w:val="2"/>
        </w:numPr>
        <w:tabs>
          <w:tab w:val="left" w:pos="1134"/>
        </w:tabs>
        <w:ind w:left="1134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>Merkmale als Grundlage für die DUS-Prüfung und die Auswahl von Merkmalen</w:t>
      </w:r>
    </w:p>
    <w:p w14:paraId="31986FF6" w14:textId="77777777" w:rsidR="00C12BB7" w:rsidRPr="00E20EC0" w:rsidRDefault="00C12BB7" w:rsidP="00C12BB7">
      <w:pPr>
        <w:rPr>
          <w:rFonts w:cs="Arial"/>
          <w:lang w:val="de-DE"/>
        </w:rPr>
      </w:pPr>
    </w:p>
    <w:p w14:paraId="400C0676" w14:textId="77777777" w:rsidR="00C12BB7" w:rsidRPr="00E20EC0" w:rsidRDefault="00C12BB7" w:rsidP="00C12BB7">
      <w:pPr>
        <w:rPr>
          <w:rFonts w:cs="Arial"/>
          <w:lang w:val="de-DE"/>
        </w:rPr>
      </w:pPr>
      <w:r w:rsidRPr="00E20EC0">
        <w:rPr>
          <w:rFonts w:cs="Arial"/>
          <w:lang w:val="de-DE"/>
        </w:rPr>
        <w:t>Webinar 2:</w:t>
      </w:r>
    </w:p>
    <w:p w14:paraId="2860AB65" w14:textId="77777777" w:rsidR="00C12BB7" w:rsidRPr="00E20EC0" w:rsidRDefault="00C12BB7" w:rsidP="00C12BB7">
      <w:pPr>
        <w:rPr>
          <w:rFonts w:cs="Arial"/>
          <w:lang w:val="de-DE"/>
        </w:rPr>
      </w:pPr>
    </w:p>
    <w:p w14:paraId="1F9C02F5" w14:textId="77777777" w:rsidR="00C12BB7" w:rsidRPr="00E20EC0" w:rsidRDefault="00C12BB7" w:rsidP="00C12BB7">
      <w:pPr>
        <w:ind w:left="567"/>
        <w:rPr>
          <w:rFonts w:cs="Arial"/>
          <w:lang w:val="de-DE"/>
        </w:rPr>
      </w:pPr>
      <w:r w:rsidRPr="005C7370">
        <w:rPr>
          <w:szCs w:val="24"/>
          <w:lang w:val="de-DE"/>
        </w:rPr>
        <w:t>Anleitung zur Erstellung von Prüfungsrichtlinien</w:t>
      </w:r>
      <w:r>
        <w:rPr>
          <w:szCs w:val="24"/>
          <w:lang w:val="de-DE"/>
        </w:rPr>
        <w:t xml:space="preserve"> – Teil I</w:t>
      </w:r>
      <w:r w:rsidRPr="005C7370">
        <w:rPr>
          <w:szCs w:val="24"/>
          <w:lang w:val="de-DE"/>
        </w:rPr>
        <w:t xml:space="preserve"> (Dokument TGP/7</w:t>
      </w:r>
      <w:r w:rsidRPr="00E20EC0">
        <w:rPr>
          <w:rFonts w:cs="Arial"/>
          <w:lang w:val="de-DE"/>
        </w:rPr>
        <w:t xml:space="preserve">) </w:t>
      </w:r>
    </w:p>
    <w:p w14:paraId="3F2A2C7F" w14:textId="1E25CF22" w:rsidR="00C12BB7" w:rsidRPr="00E20EC0" w:rsidRDefault="00C12BB7" w:rsidP="00C12BB7">
      <w:pPr>
        <w:numPr>
          <w:ilvl w:val="0"/>
          <w:numId w:val="4"/>
        </w:numPr>
        <w:tabs>
          <w:tab w:val="num" w:pos="1134"/>
        </w:tabs>
        <w:ind w:left="567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>Beobachtungsmethode</w:t>
      </w:r>
      <w:r w:rsidRPr="00E20EC0">
        <w:rPr>
          <w:rFonts w:cs="Arial"/>
          <w:lang w:val="de-DE"/>
        </w:rPr>
        <w:t xml:space="preserve"> (MS, MG, VS, VG)</w:t>
      </w:r>
    </w:p>
    <w:p w14:paraId="4FF9E684" w14:textId="2B881D40" w:rsidR="00C12BB7" w:rsidRPr="00E20EC0" w:rsidRDefault="00C12BB7" w:rsidP="00C12BB7">
      <w:pPr>
        <w:numPr>
          <w:ilvl w:val="0"/>
          <w:numId w:val="4"/>
        </w:numPr>
        <w:tabs>
          <w:tab w:val="left" w:pos="567"/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ind w:left="567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>Ausprägungstypen</w:t>
      </w:r>
      <w:r w:rsidRPr="00E20EC0">
        <w:rPr>
          <w:rFonts w:cs="Arial"/>
          <w:lang w:val="de-DE"/>
        </w:rPr>
        <w:t xml:space="preserve"> (QL, PQ, QN), </w:t>
      </w:r>
      <w:r w:rsidRPr="005C7370">
        <w:rPr>
          <w:szCs w:val="24"/>
          <w:lang w:val="de-DE"/>
        </w:rPr>
        <w:t>Noten und Unterscheidbarkeit</w:t>
      </w:r>
    </w:p>
    <w:p w14:paraId="410D42C0" w14:textId="77777777" w:rsidR="00C12BB7" w:rsidRPr="00E20EC0" w:rsidRDefault="00C12BB7" w:rsidP="00C12BB7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lang w:val="de-DE"/>
        </w:rPr>
      </w:pPr>
    </w:p>
    <w:p w14:paraId="34C68FB3" w14:textId="77777777" w:rsidR="00C12BB7" w:rsidRPr="00E20EC0" w:rsidRDefault="00C12BB7" w:rsidP="00C12BB7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lang w:val="de-DE"/>
        </w:rPr>
      </w:pPr>
      <w:r w:rsidRPr="00E20EC0">
        <w:rPr>
          <w:rFonts w:cs="Arial"/>
          <w:lang w:val="de-DE"/>
        </w:rPr>
        <w:t>Webinar 3:</w:t>
      </w:r>
    </w:p>
    <w:p w14:paraId="40839899" w14:textId="77777777" w:rsidR="00C12BB7" w:rsidRPr="00E20EC0" w:rsidRDefault="00C12BB7" w:rsidP="00C12BB7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lang w:val="de-DE"/>
        </w:rPr>
      </w:pPr>
    </w:p>
    <w:p w14:paraId="138205DE" w14:textId="77777777" w:rsidR="00C12BB7" w:rsidRPr="00E20EC0" w:rsidRDefault="00C12BB7" w:rsidP="00C12BB7">
      <w:pPr>
        <w:ind w:left="567"/>
        <w:rPr>
          <w:rFonts w:cs="Arial"/>
          <w:lang w:val="de-DE"/>
        </w:rPr>
      </w:pPr>
      <w:r w:rsidRPr="005C7370">
        <w:rPr>
          <w:szCs w:val="24"/>
          <w:lang w:val="de-DE"/>
        </w:rPr>
        <w:t>Anleitung zur Erstellung von Prüfungsrichtlinien</w:t>
      </w:r>
      <w:r>
        <w:rPr>
          <w:szCs w:val="24"/>
          <w:lang w:val="de-DE"/>
        </w:rPr>
        <w:t xml:space="preserve"> – Teil II</w:t>
      </w:r>
      <w:r w:rsidRPr="005C7370">
        <w:rPr>
          <w:szCs w:val="24"/>
          <w:lang w:val="de-DE"/>
        </w:rPr>
        <w:t xml:space="preserve"> (Dokument TGP/7</w:t>
      </w:r>
      <w:r w:rsidRPr="00E20EC0">
        <w:rPr>
          <w:rFonts w:cs="Arial"/>
          <w:lang w:val="de-DE"/>
        </w:rPr>
        <w:t xml:space="preserve">) </w:t>
      </w:r>
    </w:p>
    <w:p w14:paraId="7E27D8C8" w14:textId="77777777" w:rsidR="00C12BB7" w:rsidRPr="00A80D76" w:rsidRDefault="00C12BB7" w:rsidP="00C12BB7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 xml:space="preserve">Gegenstand der Prüfungsrichtlinien, Anforderungen an das Vermehrungsmaterial und </w:t>
      </w:r>
    </w:p>
    <w:p w14:paraId="59B46744" w14:textId="1FD6E82F" w:rsidR="00C12BB7" w:rsidRPr="00E20EC0" w:rsidRDefault="00C12BB7" w:rsidP="00C12BB7">
      <w:pPr>
        <w:tabs>
          <w:tab w:val="left" w:pos="1134"/>
        </w:tabs>
        <w:ind w:left="567"/>
        <w:rPr>
          <w:rFonts w:cs="Arial"/>
          <w:lang w:val="de-DE"/>
        </w:rPr>
      </w:pPr>
      <w:r>
        <w:rPr>
          <w:szCs w:val="24"/>
          <w:lang w:val="de-DE"/>
        </w:rPr>
        <w:tab/>
      </w:r>
      <w:r w:rsidRPr="005C7370">
        <w:rPr>
          <w:szCs w:val="24"/>
          <w:lang w:val="de-DE"/>
        </w:rPr>
        <w:t>Durchführung der Prüfung</w:t>
      </w:r>
    </w:p>
    <w:p w14:paraId="78EA8A38" w14:textId="129614F0" w:rsidR="00C12BB7" w:rsidRPr="00E20EC0" w:rsidRDefault="00C12BB7" w:rsidP="00C12BB7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>Form- und Farbmerkmale</w:t>
      </w:r>
    </w:p>
    <w:p w14:paraId="58C58379" w14:textId="22AE0811" w:rsidR="00C12BB7" w:rsidRPr="00E20EC0" w:rsidRDefault="00C12BB7" w:rsidP="00C12BB7">
      <w:pPr>
        <w:numPr>
          <w:ilvl w:val="0"/>
          <w:numId w:val="5"/>
        </w:numPr>
        <w:tabs>
          <w:tab w:val="left" w:pos="1134"/>
        </w:tabs>
        <w:ind w:left="567" w:firstLine="0"/>
        <w:rPr>
          <w:rFonts w:cs="Arial"/>
          <w:lang w:val="de-DE"/>
        </w:rPr>
      </w:pPr>
      <w:r w:rsidRPr="005C7370">
        <w:rPr>
          <w:szCs w:val="24"/>
          <w:lang w:val="de-DE"/>
        </w:rPr>
        <w:t>Beispielssorten</w:t>
      </w:r>
    </w:p>
    <w:p w14:paraId="2C519FFC" w14:textId="77777777" w:rsidR="00C12BB7" w:rsidRPr="00E20EC0" w:rsidRDefault="00C12BB7" w:rsidP="00C12BB7">
      <w:pPr>
        <w:rPr>
          <w:rFonts w:cs="Arial"/>
          <w:lang w:val="de-DE"/>
        </w:rPr>
      </w:pPr>
    </w:p>
    <w:p w14:paraId="52735705" w14:textId="77777777" w:rsidR="00C12BB7" w:rsidRPr="00E20EC0" w:rsidRDefault="00C12BB7" w:rsidP="00C12BB7">
      <w:pPr>
        <w:rPr>
          <w:rFonts w:cs="Arial"/>
          <w:lang w:val="de-DE"/>
        </w:rPr>
      </w:pPr>
      <w:r w:rsidRPr="00E20EC0">
        <w:rPr>
          <w:rFonts w:cs="Arial"/>
          <w:lang w:val="de-DE"/>
        </w:rPr>
        <w:t>Webinar 4:</w:t>
      </w:r>
    </w:p>
    <w:p w14:paraId="2DDE37CE" w14:textId="77777777" w:rsidR="00C12BB7" w:rsidRPr="00E20EC0" w:rsidRDefault="00C12BB7" w:rsidP="00C12BB7">
      <w:pPr>
        <w:rPr>
          <w:rFonts w:cs="Arial"/>
          <w:lang w:val="de-DE"/>
        </w:rPr>
      </w:pPr>
    </w:p>
    <w:p w14:paraId="410F9D46" w14:textId="09783598" w:rsidR="00C12BB7" w:rsidRPr="00E20EC0" w:rsidRDefault="00C12BB7" w:rsidP="00C12BB7">
      <w:pPr>
        <w:tabs>
          <w:tab w:val="left" w:pos="1134"/>
        </w:tabs>
        <w:ind w:left="567"/>
        <w:rPr>
          <w:rFonts w:cs="Arial"/>
          <w:snapToGrid w:val="0"/>
          <w:color w:val="000000"/>
          <w:lang w:val="de-DE"/>
        </w:rPr>
      </w:pPr>
      <w:r w:rsidRPr="005C7370">
        <w:rPr>
          <w:szCs w:val="24"/>
          <w:lang w:val="de-DE"/>
        </w:rPr>
        <w:t>Verfahren zur Erstellung von UPOV-Prüfungsrichtlinien</w:t>
      </w:r>
    </w:p>
    <w:p w14:paraId="0F114C31" w14:textId="63ACAB49" w:rsidR="00C12BB7" w:rsidRPr="00E20EC0" w:rsidRDefault="00C12BB7" w:rsidP="00C12BB7">
      <w:pPr>
        <w:tabs>
          <w:tab w:val="left" w:pos="1134"/>
        </w:tabs>
        <w:ind w:left="567"/>
        <w:rPr>
          <w:rFonts w:cs="Arial"/>
          <w:lang w:val="de-DE"/>
        </w:rPr>
      </w:pPr>
      <w:r w:rsidRPr="00E20EC0">
        <w:rPr>
          <w:rFonts w:cs="Arial"/>
          <w:snapToGrid w:val="0"/>
          <w:color w:val="000000"/>
          <w:lang w:val="de-DE"/>
        </w:rPr>
        <w:t>a)</w:t>
      </w:r>
      <w:r w:rsidRPr="00E20EC0">
        <w:rPr>
          <w:rFonts w:cs="Arial"/>
          <w:snapToGrid w:val="0"/>
          <w:color w:val="000000"/>
          <w:lang w:val="de-DE"/>
        </w:rPr>
        <w:tab/>
      </w:r>
      <w:r w:rsidRPr="005C7370">
        <w:rPr>
          <w:szCs w:val="24"/>
          <w:lang w:val="de-DE"/>
        </w:rPr>
        <w:t>Webbasierte TG-Mustervorlage; Zusätzlicher Standardwortlaut (Additional Standard Wording)</w:t>
      </w:r>
      <w:r w:rsidRPr="00E20EC0">
        <w:rPr>
          <w:rFonts w:cs="Arial"/>
          <w:lang w:val="de-DE"/>
        </w:rPr>
        <w:t>;</w:t>
      </w:r>
      <w:r>
        <w:rPr>
          <w:rFonts w:cs="Arial"/>
          <w:lang w:val="de-DE"/>
        </w:rPr>
        <w:t xml:space="preserve"> und erläuternde Anmerkungen</w:t>
      </w:r>
    </w:p>
    <w:p w14:paraId="25A4AB66" w14:textId="77777777" w:rsidR="00C12BB7" w:rsidRPr="00A80D76" w:rsidRDefault="00C12BB7" w:rsidP="00C12BB7">
      <w:pPr>
        <w:tabs>
          <w:tab w:val="left" w:pos="1134"/>
        </w:tabs>
        <w:ind w:left="567"/>
        <w:rPr>
          <w:szCs w:val="24"/>
          <w:lang w:val="de-DE"/>
        </w:rPr>
      </w:pPr>
      <w:r w:rsidRPr="00E20EC0">
        <w:rPr>
          <w:rFonts w:cs="Arial"/>
          <w:lang w:val="de-DE"/>
        </w:rPr>
        <w:t>b)</w:t>
      </w:r>
      <w:r w:rsidRPr="00E20EC0">
        <w:rPr>
          <w:rFonts w:cs="Arial"/>
          <w:lang w:val="de-DE"/>
        </w:rPr>
        <w:tab/>
      </w:r>
      <w:r w:rsidRPr="005C7370">
        <w:rPr>
          <w:szCs w:val="24"/>
          <w:lang w:val="de-DE"/>
        </w:rPr>
        <w:t xml:space="preserve">Rolle des führenden Sachverständigen bei der Erstellung von Prüfungsrichtlinien und Teilnahme </w:t>
      </w:r>
      <w:r>
        <w:rPr>
          <w:szCs w:val="24"/>
          <w:lang w:val="de-DE"/>
        </w:rPr>
        <w:tab/>
      </w:r>
      <w:r w:rsidRPr="005C7370">
        <w:rPr>
          <w:szCs w:val="24"/>
          <w:lang w:val="de-DE"/>
        </w:rPr>
        <w:t>als beteiligter Sachverständiger</w:t>
      </w:r>
    </w:p>
    <w:p w14:paraId="3950395A" w14:textId="77777777" w:rsidR="00C12BB7" w:rsidRPr="00E20EC0" w:rsidRDefault="00C12BB7" w:rsidP="00C12BB7">
      <w:pPr>
        <w:tabs>
          <w:tab w:val="left" w:pos="567"/>
        </w:tabs>
        <w:rPr>
          <w:rFonts w:cs="Arial"/>
          <w:lang w:val="de-DE"/>
        </w:rPr>
      </w:pPr>
    </w:p>
    <w:p w14:paraId="55B50E9B" w14:textId="77777777" w:rsidR="00C12BB7" w:rsidRPr="00E20EC0" w:rsidRDefault="00C12BB7" w:rsidP="00C12BB7">
      <w:pPr>
        <w:tabs>
          <w:tab w:val="left" w:pos="567"/>
        </w:tabs>
        <w:rPr>
          <w:rFonts w:cs="Arial"/>
          <w:lang w:val="de-DE"/>
        </w:rPr>
      </w:pPr>
      <w:r w:rsidRPr="00E20EC0">
        <w:rPr>
          <w:rFonts w:cs="Arial"/>
          <w:lang w:val="de-DE"/>
        </w:rPr>
        <w:t>Webinar 5:</w:t>
      </w:r>
    </w:p>
    <w:p w14:paraId="1DFE3324" w14:textId="77777777" w:rsidR="00C12BB7" w:rsidRPr="00E20EC0" w:rsidRDefault="00C12BB7" w:rsidP="00C12BB7">
      <w:pPr>
        <w:tabs>
          <w:tab w:val="left" w:pos="567"/>
        </w:tabs>
        <w:rPr>
          <w:rFonts w:cs="Arial"/>
          <w:lang w:val="de-DE"/>
        </w:rPr>
      </w:pPr>
    </w:p>
    <w:p w14:paraId="3BFCB5F5" w14:textId="77777777" w:rsidR="00C12BB7" w:rsidRPr="005C7370" w:rsidRDefault="00C12BB7" w:rsidP="00C12BB7">
      <w:pPr>
        <w:keepNext/>
        <w:keepLines/>
        <w:ind w:firstLine="567"/>
        <w:rPr>
          <w:szCs w:val="24"/>
          <w:lang w:val="de-DE"/>
        </w:rPr>
      </w:pPr>
      <w:r w:rsidRPr="005C7370">
        <w:rPr>
          <w:szCs w:val="24"/>
          <w:lang w:val="de-DE"/>
        </w:rPr>
        <w:t>UPOV-Online-Ressourcen</w:t>
      </w:r>
    </w:p>
    <w:p w14:paraId="68DD5596" w14:textId="77777777" w:rsidR="00C12BB7" w:rsidRPr="00E20EC0" w:rsidRDefault="00C12BB7" w:rsidP="00C12BB7">
      <w:pPr>
        <w:numPr>
          <w:ilvl w:val="2"/>
          <w:numId w:val="3"/>
        </w:numPr>
        <w:ind w:left="1134" w:hanging="567"/>
        <w:rPr>
          <w:rFonts w:cs="Arial"/>
          <w:lang w:val="de-DE"/>
        </w:rPr>
      </w:pPr>
      <w:r w:rsidRPr="005C7370">
        <w:rPr>
          <w:szCs w:val="24"/>
          <w:lang w:val="de-DE"/>
        </w:rPr>
        <w:t>Gesetze der UPOV-Mitglieder: UPOV Lex</w:t>
      </w:r>
    </w:p>
    <w:p w14:paraId="0E2956AD" w14:textId="77777777" w:rsidR="00C12BB7" w:rsidRPr="00605A5C" w:rsidRDefault="00C12BB7" w:rsidP="00C12BB7">
      <w:pPr>
        <w:pStyle w:val="ListParagraph"/>
        <w:numPr>
          <w:ilvl w:val="2"/>
          <w:numId w:val="3"/>
        </w:numPr>
        <w:ind w:left="1134" w:hanging="567"/>
        <w:rPr>
          <w:szCs w:val="24"/>
          <w:lang w:val="de-DE"/>
        </w:rPr>
      </w:pPr>
      <w:r w:rsidRPr="00605A5C">
        <w:rPr>
          <w:spacing w:val="-2"/>
          <w:szCs w:val="24"/>
          <w:lang w:val="de-DE"/>
        </w:rPr>
        <w:t>Anträge auf Erteilung von Züchterrechten: UPOV-PRISMA-Instrument für Anträge auf Erteilung von Züchterrechten</w:t>
      </w:r>
    </w:p>
    <w:p w14:paraId="62EEF600" w14:textId="77777777" w:rsidR="00C12BB7" w:rsidRPr="00E20EC0" w:rsidRDefault="00C12BB7" w:rsidP="00C12BB7">
      <w:pPr>
        <w:numPr>
          <w:ilvl w:val="2"/>
          <w:numId w:val="3"/>
        </w:numPr>
        <w:ind w:left="1134" w:hanging="567"/>
        <w:rPr>
          <w:rFonts w:cs="Arial"/>
          <w:spacing w:val="-2"/>
          <w:lang w:val="de-DE"/>
        </w:rPr>
      </w:pPr>
      <w:r w:rsidRPr="005C7370">
        <w:rPr>
          <w:spacing w:val="-2"/>
          <w:szCs w:val="24"/>
          <w:lang w:val="de-DE"/>
        </w:rPr>
        <w:t>DUS-Prüfung: GENIE-Datenbank</w:t>
      </w:r>
      <w:r w:rsidRPr="00E20EC0">
        <w:rPr>
          <w:rFonts w:cs="Arial"/>
          <w:spacing w:val="-2"/>
          <w:lang w:val="de-DE"/>
        </w:rPr>
        <w:t>, UPOV Code</w:t>
      </w:r>
    </w:p>
    <w:p w14:paraId="04603EF6" w14:textId="77777777" w:rsidR="00C12BB7" w:rsidRPr="00164403" w:rsidRDefault="00C12BB7" w:rsidP="00C12BB7">
      <w:pPr>
        <w:pStyle w:val="ListParagraph"/>
        <w:numPr>
          <w:ilvl w:val="2"/>
          <w:numId w:val="3"/>
        </w:numPr>
        <w:ind w:left="1134" w:hanging="567"/>
        <w:rPr>
          <w:szCs w:val="24"/>
          <w:lang w:val="de-DE"/>
        </w:rPr>
      </w:pPr>
      <w:r w:rsidRPr="00164403">
        <w:rPr>
          <w:spacing w:val="-2"/>
          <w:szCs w:val="24"/>
          <w:lang w:val="de-DE"/>
        </w:rPr>
        <w:t>Sortenbezeichnung/Neuheit: PLUTO-Datenbank</w:t>
      </w:r>
    </w:p>
    <w:p w14:paraId="7B5C187D" w14:textId="77777777" w:rsidR="00C12BB7" w:rsidRPr="00E20EC0" w:rsidRDefault="00C12BB7" w:rsidP="00C12BB7">
      <w:pPr>
        <w:rPr>
          <w:rFonts w:cs="Arial"/>
          <w:spacing w:val="-2"/>
          <w:lang w:val="de-DE"/>
        </w:rPr>
      </w:pPr>
    </w:p>
    <w:p w14:paraId="17246B4C" w14:textId="77777777" w:rsidR="00C12BB7" w:rsidRPr="00E20EC0" w:rsidRDefault="00C12BB7" w:rsidP="00C12BB7">
      <w:pPr>
        <w:rPr>
          <w:rFonts w:cs="Arial"/>
          <w:spacing w:val="-2"/>
          <w:lang w:val="de-DE"/>
        </w:rPr>
      </w:pPr>
      <w:r w:rsidRPr="00E20EC0">
        <w:rPr>
          <w:rFonts w:cs="Arial"/>
          <w:spacing w:val="-2"/>
          <w:lang w:val="de-DE"/>
        </w:rPr>
        <w:t>Webinar 6:</w:t>
      </w:r>
    </w:p>
    <w:p w14:paraId="6B350E0F" w14:textId="77777777" w:rsidR="00C12BB7" w:rsidRPr="00E20EC0" w:rsidRDefault="00C12BB7" w:rsidP="00C12BB7">
      <w:pPr>
        <w:rPr>
          <w:rFonts w:cs="Arial"/>
          <w:spacing w:val="-2"/>
          <w:lang w:val="de-DE"/>
        </w:rPr>
      </w:pPr>
    </w:p>
    <w:p w14:paraId="6D695247" w14:textId="77777777" w:rsidR="00C12BB7" w:rsidRPr="00E20EC0" w:rsidRDefault="00C12BB7" w:rsidP="00C12BB7">
      <w:pPr>
        <w:pStyle w:val="ListParagraph"/>
        <w:numPr>
          <w:ilvl w:val="0"/>
          <w:numId w:val="7"/>
        </w:numPr>
        <w:ind w:left="1134" w:hanging="567"/>
        <w:rPr>
          <w:lang w:val="de-DE"/>
        </w:rPr>
      </w:pPr>
      <w:r w:rsidRPr="005C7370">
        <w:rPr>
          <w:szCs w:val="24"/>
          <w:lang w:val="de-DE"/>
        </w:rPr>
        <w:t>Lage in der UPOV hinsichtlich der etwaigen Anwendung molekularer Verfahren in der DUS-</w:t>
      </w:r>
      <w:r>
        <w:rPr>
          <w:szCs w:val="24"/>
          <w:lang w:val="de-DE"/>
        </w:rPr>
        <w:t>Prüfung</w:t>
      </w:r>
    </w:p>
    <w:p w14:paraId="7C865F4E" w14:textId="77777777" w:rsidR="00C12BB7" w:rsidRPr="00E20EC0" w:rsidRDefault="00C12BB7" w:rsidP="00C12BB7">
      <w:pPr>
        <w:pStyle w:val="ListParagraph"/>
        <w:numPr>
          <w:ilvl w:val="0"/>
          <w:numId w:val="7"/>
        </w:numPr>
        <w:ind w:left="1134" w:hanging="567"/>
        <w:rPr>
          <w:lang w:val="de-DE"/>
        </w:rPr>
      </w:pPr>
      <w:r w:rsidRPr="005C7370">
        <w:rPr>
          <w:szCs w:val="24"/>
          <w:lang w:val="de-DE"/>
        </w:rPr>
        <w:t>Das Konzept der im wesentlichen abgeleiteten</w:t>
      </w:r>
      <w:r w:rsidRPr="00E20EC0">
        <w:rPr>
          <w:lang w:val="de-DE"/>
        </w:rPr>
        <w:t xml:space="preserve"> </w:t>
      </w:r>
      <w:r>
        <w:rPr>
          <w:lang w:val="de-DE"/>
        </w:rPr>
        <w:t>Sorten</w:t>
      </w:r>
    </w:p>
    <w:p w14:paraId="4A033ABB" w14:textId="77777777" w:rsidR="00C12BB7" w:rsidRPr="00E20EC0" w:rsidRDefault="00C12BB7" w:rsidP="00C12BB7">
      <w:pPr>
        <w:pStyle w:val="ListParagraph"/>
        <w:numPr>
          <w:ilvl w:val="0"/>
          <w:numId w:val="7"/>
        </w:numPr>
        <w:ind w:left="1134" w:hanging="567"/>
        <w:rPr>
          <w:lang w:val="de-DE"/>
        </w:rPr>
      </w:pPr>
      <w:r w:rsidRPr="005C7370">
        <w:rPr>
          <w:szCs w:val="24"/>
          <w:lang w:val="de-DE"/>
        </w:rPr>
        <w:t>Die Rolle der UPOV bei der</w:t>
      </w:r>
      <w:r w:rsidRPr="00E20EC0">
        <w:rPr>
          <w:lang w:val="de-DE"/>
        </w:rPr>
        <w:t xml:space="preserve"> </w:t>
      </w:r>
      <w:r>
        <w:rPr>
          <w:lang w:val="de-DE"/>
        </w:rPr>
        <w:t>Sortenidentifikation</w:t>
      </w:r>
    </w:p>
    <w:p w14:paraId="78F0FA76" w14:textId="77777777" w:rsidR="00C12BB7" w:rsidRPr="00E20EC0" w:rsidRDefault="00C12BB7" w:rsidP="00C12BB7">
      <w:pPr>
        <w:rPr>
          <w:rFonts w:cs="Arial"/>
          <w:lang w:val="de-DE"/>
        </w:rPr>
      </w:pPr>
    </w:p>
    <w:p w14:paraId="4FC57B99" w14:textId="77777777" w:rsidR="00C12BB7" w:rsidRPr="00E20EC0" w:rsidRDefault="00C12BB7" w:rsidP="00C12BB7">
      <w:pPr>
        <w:rPr>
          <w:snapToGrid w:val="0"/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 w:rsidRPr="002D7808">
        <w:rPr>
          <w:snapToGrid w:val="0"/>
          <w:lang w:val="de-DE"/>
        </w:rPr>
        <w:t>Die Webinar-</w:t>
      </w:r>
      <w:r>
        <w:rPr>
          <w:snapToGrid w:val="0"/>
          <w:lang w:val="de-DE"/>
        </w:rPr>
        <w:t>Referate</w:t>
      </w:r>
      <w:r w:rsidRPr="002D7808">
        <w:rPr>
          <w:snapToGrid w:val="0"/>
          <w:lang w:val="de-DE"/>
        </w:rPr>
        <w:t xml:space="preserve"> würden aufgezeichnet und online zur Verfügung gestellt</w:t>
      </w:r>
      <w:r>
        <w:rPr>
          <w:snapToGrid w:val="0"/>
          <w:lang w:val="de-DE"/>
        </w:rPr>
        <w:t xml:space="preserve"> werden</w:t>
      </w:r>
      <w:r w:rsidRPr="002D7808">
        <w:rPr>
          <w:snapToGrid w:val="0"/>
          <w:lang w:val="de-DE"/>
        </w:rPr>
        <w:t xml:space="preserve">, nicht </w:t>
      </w:r>
      <w:r>
        <w:rPr>
          <w:snapToGrid w:val="0"/>
          <w:lang w:val="de-DE"/>
        </w:rPr>
        <w:t>jedoch</w:t>
      </w:r>
      <w:r w:rsidRPr="002D7808">
        <w:rPr>
          <w:snapToGrid w:val="0"/>
          <w:lang w:val="de-DE"/>
        </w:rPr>
        <w:t xml:space="preserve"> die </w:t>
      </w:r>
      <w:r>
        <w:rPr>
          <w:snapToGrid w:val="0"/>
          <w:lang w:val="de-DE"/>
        </w:rPr>
        <w:t>Erörterungen</w:t>
      </w:r>
      <w:r w:rsidRPr="00E20EC0">
        <w:rPr>
          <w:snapToGrid w:val="0"/>
          <w:lang w:val="de-DE"/>
        </w:rPr>
        <w:t>.</w:t>
      </w:r>
    </w:p>
    <w:p w14:paraId="66238ACD" w14:textId="77777777" w:rsidR="00C12BB7" w:rsidRPr="00E20EC0" w:rsidRDefault="00C12BB7" w:rsidP="00C12BB7">
      <w:pPr>
        <w:rPr>
          <w:rFonts w:cs="Arial"/>
          <w:lang w:val="de-DE"/>
        </w:rPr>
      </w:pPr>
    </w:p>
    <w:p w14:paraId="7C90BBBA" w14:textId="77777777" w:rsidR="00C12BB7" w:rsidRPr="00E20EC0" w:rsidRDefault="00C12BB7" w:rsidP="00C12BB7">
      <w:pPr>
        <w:rPr>
          <w:rFonts w:cs="Arial"/>
          <w:lang w:val="de-DE"/>
        </w:rPr>
      </w:pPr>
      <w:r w:rsidRPr="00E20EC0">
        <w:rPr>
          <w:rFonts w:cs="Arial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>
        <w:rPr>
          <w:rFonts w:cs="Arial"/>
          <w:lang w:val="de-DE"/>
        </w:rPr>
        <w:t>Zusätzlich</w:t>
      </w:r>
      <w:r w:rsidRPr="002D7808">
        <w:rPr>
          <w:rFonts w:cs="Arial"/>
          <w:lang w:val="de-DE"/>
        </w:rPr>
        <w:t xml:space="preserve"> könnten auf Ersuchen der Gastgeber der TWP, einschließlich der BMT, in Verbindung mit den </w:t>
      </w:r>
      <w:r>
        <w:rPr>
          <w:rFonts w:cs="Arial"/>
          <w:lang w:val="de-DE"/>
        </w:rPr>
        <w:t>Tagungen der TWP</w:t>
      </w:r>
      <w:r w:rsidRPr="002D7808">
        <w:rPr>
          <w:rFonts w:cs="Arial"/>
          <w:lang w:val="de-DE"/>
        </w:rPr>
        <w:t xml:space="preserve"> Arbeitstagungen mit physischer Teilnahme </w:t>
      </w:r>
      <w:r>
        <w:rPr>
          <w:rFonts w:cs="Arial"/>
          <w:lang w:val="de-DE"/>
        </w:rPr>
        <w:t>organisiert</w:t>
      </w:r>
      <w:r w:rsidRPr="002D7808">
        <w:rPr>
          <w:rFonts w:cs="Arial"/>
          <w:lang w:val="de-DE"/>
        </w:rPr>
        <w:t xml:space="preserve"> werden.</w:t>
      </w:r>
      <w:r>
        <w:rPr>
          <w:rFonts w:cs="Arial"/>
          <w:lang w:val="de-DE"/>
        </w:rPr>
        <w:t xml:space="preserve"> </w:t>
      </w:r>
      <w:r w:rsidRPr="002D7808">
        <w:rPr>
          <w:rFonts w:cs="Arial"/>
          <w:lang w:val="de-DE"/>
        </w:rPr>
        <w:t xml:space="preserve">Der Inhalt würde dann </w:t>
      </w:r>
      <w:r>
        <w:rPr>
          <w:rFonts w:cs="Arial"/>
          <w:lang w:val="de-DE"/>
        </w:rPr>
        <w:t>entsprechend</w:t>
      </w:r>
      <w:r w:rsidRPr="002D7808">
        <w:rPr>
          <w:rFonts w:cs="Arial"/>
          <w:lang w:val="de-DE"/>
        </w:rPr>
        <w:t xml:space="preserve"> dem jeweiligen Kontext angepa</w:t>
      </w:r>
      <w:r>
        <w:rPr>
          <w:rFonts w:cs="Arial"/>
          <w:lang w:val="de-DE"/>
        </w:rPr>
        <w:t>ss</w:t>
      </w:r>
      <w:r w:rsidRPr="002D7808">
        <w:rPr>
          <w:rFonts w:cs="Arial"/>
          <w:lang w:val="de-DE"/>
        </w:rPr>
        <w:t>t werden</w:t>
      </w:r>
      <w:r w:rsidRPr="00E20EC0">
        <w:rPr>
          <w:rFonts w:cs="Arial"/>
          <w:lang w:val="de-DE"/>
        </w:rPr>
        <w:t>.</w:t>
      </w:r>
    </w:p>
    <w:p w14:paraId="577EC5EE" w14:textId="77777777" w:rsidR="00C12BB7" w:rsidRPr="00E20EC0" w:rsidRDefault="00C12BB7" w:rsidP="00C12BB7">
      <w:pPr>
        <w:rPr>
          <w:rFonts w:cs="Arial"/>
          <w:lang w:val="de-DE"/>
        </w:rPr>
      </w:pPr>
    </w:p>
    <w:p w14:paraId="357C22F0" w14:textId="0ECF66D9" w:rsidR="00C12BB7" w:rsidRPr="00E20EC0" w:rsidRDefault="00C12BB7" w:rsidP="00C12BB7">
      <w:pPr>
        <w:pStyle w:val="DecisionParagraphs"/>
        <w:rPr>
          <w:rFonts w:cs="Arial"/>
          <w:lang w:val="de-DE"/>
        </w:rPr>
      </w:pPr>
      <w:r w:rsidRPr="00E20EC0">
        <w:rPr>
          <w:rFonts w:cs="Arial"/>
          <w:i w:val="0"/>
          <w:lang w:val="de-DE"/>
        </w:rPr>
        <w:fldChar w:fldCharType="begin"/>
      </w:r>
      <w:r w:rsidRPr="00E20EC0">
        <w:rPr>
          <w:rFonts w:cs="Arial"/>
          <w:lang w:val="de-DE"/>
        </w:rPr>
        <w:instrText xml:space="preserve"> AUTONUM  </w:instrText>
      </w:r>
      <w:r w:rsidRPr="00E20EC0">
        <w:rPr>
          <w:rFonts w:cs="Arial"/>
          <w:i w:val="0"/>
          <w:lang w:val="de-DE"/>
        </w:rPr>
        <w:fldChar w:fldCharType="end"/>
      </w:r>
      <w:r w:rsidRPr="00E20EC0">
        <w:rPr>
          <w:rFonts w:cs="Arial"/>
          <w:lang w:val="de-DE"/>
        </w:rPr>
        <w:tab/>
      </w:r>
      <w:r w:rsidR="00B83023">
        <w:rPr>
          <w:szCs w:val="24"/>
          <w:lang w:val="de-DE"/>
        </w:rPr>
        <w:t xml:space="preserve">Der TC wird ersucht zu prüfen, ob vorbereitende Arbeitstagungen als eine Reihe von Webinaren organisiert werden </w:t>
      </w:r>
      <w:r w:rsidR="00B83023" w:rsidRPr="00C01E81">
        <w:rPr>
          <w:szCs w:val="24"/>
          <w:lang w:val="de-DE"/>
        </w:rPr>
        <w:t>sollten</w:t>
      </w:r>
      <w:r w:rsidR="00B83023">
        <w:rPr>
          <w:szCs w:val="24"/>
          <w:lang w:val="de-DE"/>
        </w:rPr>
        <w:t xml:space="preserve">, die zu geeigneten Terminen gemäß dem Zeitplan der Tagungen der TWP, auf </w:t>
      </w:r>
      <w:r w:rsidR="00B83023" w:rsidRPr="005D0183">
        <w:rPr>
          <w:iCs/>
          <w:szCs w:val="24"/>
          <w:lang w:val="de-DE"/>
        </w:rPr>
        <w:t>Ersuchen in Verbindung mit Arbeitstagungen mit</w:t>
      </w:r>
      <w:r w:rsidR="00B83023">
        <w:rPr>
          <w:i w:val="0"/>
          <w:szCs w:val="24"/>
          <w:lang w:val="de-DE"/>
        </w:rPr>
        <w:t xml:space="preserve"> </w:t>
      </w:r>
      <w:r w:rsidR="00B83023">
        <w:rPr>
          <w:szCs w:val="24"/>
          <w:lang w:val="de-DE"/>
        </w:rPr>
        <w:t xml:space="preserve">physischer Teilnahme, organisiert würden, wie in </w:t>
      </w:r>
      <w:r w:rsidR="00B83023" w:rsidRPr="00B87D4B">
        <w:rPr>
          <w:szCs w:val="24"/>
          <w:lang w:val="de-DE"/>
        </w:rPr>
        <w:t>Absätzen 14 bis 21 dieses Dokuments dargelegt</w:t>
      </w:r>
      <w:r w:rsidRPr="00B87D4B">
        <w:rPr>
          <w:rFonts w:cs="Arial"/>
          <w:lang w:val="de-DE"/>
        </w:rPr>
        <w:t>.</w:t>
      </w:r>
    </w:p>
    <w:p w14:paraId="7655251B" w14:textId="77777777" w:rsidR="00C12BB7" w:rsidRPr="00E20EC0" w:rsidRDefault="00C12BB7" w:rsidP="00C12BB7">
      <w:pPr>
        <w:rPr>
          <w:snapToGrid w:val="0"/>
          <w:lang w:val="de-DE"/>
        </w:rPr>
      </w:pPr>
    </w:p>
    <w:p w14:paraId="3B7D676F" w14:textId="77777777" w:rsidR="00C12BB7" w:rsidRPr="00E20EC0" w:rsidRDefault="00C12BB7" w:rsidP="00C12BB7">
      <w:pPr>
        <w:rPr>
          <w:snapToGrid w:val="0"/>
          <w:lang w:val="de-DE"/>
        </w:rPr>
      </w:pPr>
    </w:p>
    <w:p w14:paraId="54F5D315" w14:textId="77777777" w:rsidR="00C12BB7" w:rsidRPr="00E20EC0" w:rsidRDefault="00C12BB7" w:rsidP="00C12BB7">
      <w:pPr>
        <w:jc w:val="left"/>
        <w:rPr>
          <w:snapToGrid w:val="0"/>
          <w:lang w:val="de-DE"/>
        </w:rPr>
      </w:pPr>
    </w:p>
    <w:p w14:paraId="75AFAA96" w14:textId="77777777" w:rsidR="00C12BB7" w:rsidRPr="00E20EC0" w:rsidRDefault="00C12BB7" w:rsidP="00C12BB7">
      <w:pPr>
        <w:jc w:val="right"/>
        <w:rPr>
          <w:lang w:val="de-DE"/>
        </w:rPr>
      </w:pPr>
      <w:r w:rsidRPr="00E20EC0">
        <w:rPr>
          <w:snapToGrid w:val="0"/>
          <w:lang w:val="de-DE"/>
        </w:rPr>
        <w:t>[Ende des Dokuments]</w:t>
      </w:r>
    </w:p>
    <w:p w14:paraId="239877D4" w14:textId="77777777" w:rsidR="00C12BB7" w:rsidRDefault="00C12BB7"/>
    <w:sectPr w:rsidR="00C12BB7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DAD1" w14:textId="77777777" w:rsidR="00954270" w:rsidRDefault="00954270" w:rsidP="00C12BB7">
      <w:r>
        <w:separator/>
      </w:r>
    </w:p>
  </w:endnote>
  <w:endnote w:type="continuationSeparator" w:id="0">
    <w:p w14:paraId="222787E7" w14:textId="77777777" w:rsidR="00954270" w:rsidRDefault="00954270" w:rsidP="00C1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275B" w14:textId="77777777" w:rsidR="00954270" w:rsidRDefault="00954270" w:rsidP="00C12BB7">
      <w:r>
        <w:separator/>
      </w:r>
    </w:p>
  </w:footnote>
  <w:footnote w:type="continuationSeparator" w:id="0">
    <w:p w14:paraId="7A3896D3" w14:textId="77777777" w:rsidR="00954270" w:rsidRDefault="00954270" w:rsidP="00C12BB7">
      <w:r>
        <w:continuationSeparator/>
      </w:r>
    </w:p>
  </w:footnote>
  <w:footnote w:id="1">
    <w:p w14:paraId="66F9570A" w14:textId="77777777" w:rsidR="00C12BB7" w:rsidRPr="000A7DED" w:rsidRDefault="00C12BB7" w:rsidP="00C12BB7">
      <w:pPr>
        <w:pStyle w:val="FootnoteText"/>
        <w:rPr>
          <w:lang w:val="de-DE"/>
        </w:rPr>
      </w:pPr>
      <w:r w:rsidRPr="000A7DED">
        <w:rPr>
          <w:rStyle w:val="FootnoteReference"/>
          <w:lang w:val="de-DE"/>
        </w:rPr>
        <w:footnoteRef/>
      </w:r>
      <w:r w:rsidRPr="000A7DED">
        <w:rPr>
          <w:lang w:val="de-DE"/>
        </w:rPr>
        <w:t xml:space="preserve"> </w:t>
      </w:r>
      <w:r w:rsidRPr="000A7DED">
        <w:rPr>
          <w:rFonts w:cs="Arial"/>
          <w:lang w:val="de-DE"/>
        </w:rPr>
        <w:t>vom 15. bis 17. April 2002 in Genf</w:t>
      </w:r>
    </w:p>
  </w:footnote>
  <w:footnote w:id="2">
    <w:p w14:paraId="068D0DBA" w14:textId="77777777" w:rsidR="00C12BB7" w:rsidRPr="00351354" w:rsidRDefault="00C12BB7" w:rsidP="00C12BB7">
      <w:pPr>
        <w:pStyle w:val="FootnoteText"/>
        <w:rPr>
          <w:lang w:val="de-DE"/>
        </w:rPr>
      </w:pPr>
      <w:r w:rsidRPr="000A7DED">
        <w:rPr>
          <w:rStyle w:val="FootnoteReference"/>
          <w:lang w:val="de-DE"/>
        </w:rPr>
        <w:footnoteRef/>
      </w:r>
      <w:r w:rsidRPr="000A7DED">
        <w:rPr>
          <w:lang w:val="de-DE"/>
        </w:rPr>
        <w:t xml:space="preserve"> vom </w:t>
      </w:r>
      <w:r w:rsidRPr="000A7DED">
        <w:rPr>
          <w:snapToGrid w:val="0"/>
          <w:lang w:val="de-DE"/>
        </w:rPr>
        <w:t>29. und 30. Oktober 2018 in Genf</w:t>
      </w:r>
    </w:p>
  </w:footnote>
  <w:footnote w:id="3">
    <w:p w14:paraId="6C544C0B" w14:textId="6399B81A" w:rsidR="00C12BB7" w:rsidRPr="00351354" w:rsidRDefault="00C12BB7" w:rsidP="00C12BB7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351354">
        <w:rPr>
          <w:lang w:val="de-DE"/>
        </w:rPr>
        <w:t xml:space="preserve"> </w:t>
      </w:r>
      <w:r w:rsidRPr="00443412">
        <w:rPr>
          <w:snapToGrid w:val="0"/>
          <w:lang w:val="de-DE"/>
        </w:rPr>
        <w:t>am 28</w:t>
      </w:r>
      <w:r w:rsidR="00B83023">
        <w:rPr>
          <w:snapToGrid w:val="0"/>
          <w:lang w:val="de-DE"/>
        </w:rPr>
        <w:t>.</w:t>
      </w:r>
      <w:r w:rsidRPr="00443412">
        <w:rPr>
          <w:snapToGrid w:val="0"/>
          <w:lang w:val="de-DE"/>
        </w:rPr>
        <w:t xml:space="preserve"> and 29</w:t>
      </w:r>
      <w:r w:rsidR="00B83023">
        <w:rPr>
          <w:snapToGrid w:val="0"/>
          <w:lang w:val="de-DE"/>
        </w:rPr>
        <w:t>.</w:t>
      </w:r>
      <w:r w:rsidRPr="00443412">
        <w:rPr>
          <w:snapToGrid w:val="0"/>
          <w:lang w:val="de-DE"/>
        </w:rPr>
        <w:t xml:space="preserve"> Oktober 2019 in Genf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3A07" w14:textId="77777777" w:rsidR="00182B99" w:rsidRPr="00C5280D" w:rsidRDefault="004A3EB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TC/56/9</w:t>
    </w:r>
  </w:p>
  <w:p w14:paraId="191D1E73" w14:textId="14FD2649" w:rsidR="00182B99" w:rsidRPr="007D2535" w:rsidRDefault="004A3EB7" w:rsidP="00EB048E">
    <w:pPr>
      <w:pStyle w:val="Header"/>
      <w:rPr>
        <w:lang w:val="de-DE"/>
      </w:rPr>
    </w:pPr>
    <w:r w:rsidRPr="007D2535">
      <w:rPr>
        <w:lang w:val="de-DE"/>
      </w:rPr>
      <w:t xml:space="preserve">Seite </w:t>
    </w:r>
    <w:r w:rsidRPr="007D2535">
      <w:rPr>
        <w:rStyle w:val="PageNumber"/>
        <w:lang w:val="de-DE"/>
      </w:rPr>
      <w:fldChar w:fldCharType="begin"/>
    </w:r>
    <w:r w:rsidRPr="007D2535">
      <w:rPr>
        <w:rStyle w:val="PageNumber"/>
        <w:lang w:val="de-DE"/>
      </w:rPr>
      <w:instrText xml:space="preserve"> PAGE </w:instrText>
    </w:r>
    <w:r w:rsidRPr="007D2535">
      <w:rPr>
        <w:rStyle w:val="PageNumber"/>
        <w:lang w:val="de-DE"/>
      </w:rPr>
      <w:fldChar w:fldCharType="separate"/>
    </w:r>
    <w:r w:rsidR="00B87D4B">
      <w:rPr>
        <w:rStyle w:val="PageNumber"/>
        <w:noProof/>
        <w:lang w:val="de-DE"/>
      </w:rPr>
      <w:t>4</w:t>
    </w:r>
    <w:r w:rsidRPr="007D2535">
      <w:rPr>
        <w:rStyle w:val="PageNumber"/>
        <w:lang w:val="de-DE"/>
      </w:rPr>
      <w:fldChar w:fldCharType="end"/>
    </w:r>
  </w:p>
  <w:p w14:paraId="0D25D7A7" w14:textId="77777777" w:rsidR="00182B99" w:rsidRPr="00C5280D" w:rsidRDefault="00B87D4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4EA"/>
    <w:multiLevelType w:val="hybridMultilevel"/>
    <w:tmpl w:val="FF168ADE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7">
      <w:start w:val="1"/>
      <w:numFmt w:val="lowerLetter"/>
      <w:lvlText w:val="%3)"/>
      <w:lvlJc w:val="left"/>
      <w:pPr>
        <w:ind w:left="200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82C"/>
    <w:multiLevelType w:val="hybridMultilevel"/>
    <w:tmpl w:val="596AD482"/>
    <w:lvl w:ilvl="0" w:tplc="04070017">
      <w:start w:val="1"/>
      <w:numFmt w:val="lowerLetter"/>
      <w:lvlText w:val="%1)"/>
      <w:lvlJc w:val="left"/>
      <w:pPr>
        <w:ind w:left="484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 w15:restartNumberingAfterBreak="0">
    <w:nsid w:val="62203F7B"/>
    <w:multiLevelType w:val="hybridMultilevel"/>
    <w:tmpl w:val="AD562CCE"/>
    <w:lvl w:ilvl="0" w:tplc="0407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99D0B31"/>
    <w:multiLevelType w:val="hybridMultilevel"/>
    <w:tmpl w:val="5DD2970E"/>
    <w:lvl w:ilvl="0" w:tplc="04070017">
      <w:start w:val="1"/>
      <w:numFmt w:val="lowerLetter"/>
      <w:lvlText w:val="%1)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EAE3516"/>
    <w:multiLevelType w:val="hybridMultilevel"/>
    <w:tmpl w:val="3A961EF8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0407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7"/>
    <w:rsid w:val="00295789"/>
    <w:rsid w:val="002F5A44"/>
    <w:rsid w:val="004A3EB7"/>
    <w:rsid w:val="005D0183"/>
    <w:rsid w:val="00954270"/>
    <w:rsid w:val="00B83023"/>
    <w:rsid w:val="00B87D4B"/>
    <w:rsid w:val="00C01E81"/>
    <w:rsid w:val="00C12BB7"/>
    <w:rsid w:val="00C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A8E9"/>
  <w15:chartTrackingRefBased/>
  <w15:docId w15:val="{AADF7178-36F1-47B2-8D53-9105A1F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next w:val="Normal"/>
    <w:link w:val="Heading1Char"/>
    <w:autoRedefine/>
    <w:qFormat/>
    <w:rsid w:val="00C12BB7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styleId="Heading2">
    <w:name w:val="heading 2"/>
    <w:next w:val="Normal"/>
    <w:link w:val="Heading2Char"/>
    <w:autoRedefine/>
    <w:qFormat/>
    <w:rsid w:val="00C12BB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BB7"/>
    <w:rPr>
      <w:rFonts w:ascii="Arial" w:eastAsia="Times New Roman" w:hAnsi="Arial" w:cs="Times New Roman"/>
      <w:cap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12BB7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Header">
    <w:name w:val="header"/>
    <w:link w:val="HeaderChar"/>
    <w:rsid w:val="00C12BB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C12BB7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C12BB7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C12BB7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C12BB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12BB7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12BB7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C12BB7"/>
    <w:rPr>
      <w:vertAlign w:val="superscript"/>
    </w:rPr>
  </w:style>
  <w:style w:type="paragraph" w:customStyle="1" w:styleId="Disclaimer">
    <w:name w:val="Disclaimer"/>
    <w:next w:val="Normal"/>
    <w:qFormat/>
    <w:rsid w:val="00C12BB7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C12BB7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C12BB7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C12BB7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C12BB7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C12BB7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C12BB7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C12BB7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C12BB7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character" w:styleId="Hyperlink">
    <w:name w:val="Hyperlink"/>
    <w:basedOn w:val="DefaultParagraphFont"/>
    <w:uiPriority w:val="99"/>
    <w:rsid w:val="00C12BB7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C12BB7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customStyle="1" w:styleId="Doccode">
    <w:name w:val="Doc_code"/>
    <w:qFormat/>
    <w:rsid w:val="00C12BB7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qFormat/>
    <w:rsid w:val="00C12BB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12BB7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C12BB7"/>
    <w:rPr>
      <w:rFonts w:ascii="Times New Roman" w:eastAsia="Times New Roman" w:hAnsi="Times New Roman" w:cs="Angsana New"/>
      <w:color w:val="000000"/>
      <w:sz w:val="24"/>
      <w:szCs w:val="24"/>
      <w:lang w:val="en-US" w:eastAsia="ja-JP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MAY Jessica</cp:lastModifiedBy>
  <cp:revision>3</cp:revision>
  <cp:lastPrinted>2020-10-22T12:56:00Z</cp:lastPrinted>
  <dcterms:created xsi:type="dcterms:W3CDTF">2020-10-26T14:14:00Z</dcterms:created>
  <dcterms:modified xsi:type="dcterms:W3CDTF">2020-10-26T14:57:00Z</dcterms:modified>
</cp:coreProperties>
</file>