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20C76" w14:paraId="4C845622" w14:textId="77777777" w:rsidTr="00EB4E9C">
        <w:tc>
          <w:tcPr>
            <w:tcW w:w="6522" w:type="dxa"/>
          </w:tcPr>
          <w:p w14:paraId="7A7DCF2A" w14:textId="77777777" w:rsidR="00DC3802" w:rsidRPr="00C20C76" w:rsidRDefault="00DC3802" w:rsidP="00167246">
            <w:pPr>
              <w:rPr>
                <w:lang w:val="de-DE"/>
              </w:rPr>
            </w:pPr>
            <w:r w:rsidRPr="00C20C76">
              <w:rPr>
                <w:noProof/>
              </w:rPr>
              <w:drawing>
                <wp:inline distT="0" distB="0" distL="0" distR="0" wp14:anchorId="6C16649D" wp14:editId="321EC41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7817578" w14:textId="5C656A36" w:rsidR="00DC3802" w:rsidRPr="00C20C76" w:rsidRDefault="00494F3B" w:rsidP="00167246">
            <w:pPr>
              <w:pStyle w:val="Lettrine"/>
              <w:spacing w:line="240" w:lineRule="auto"/>
              <w:rPr>
                <w:lang w:val="de-DE"/>
              </w:rPr>
            </w:pPr>
            <w:r>
              <w:rPr>
                <w:lang w:val="de-DE"/>
              </w:rPr>
              <w:t>G</w:t>
            </w:r>
          </w:p>
        </w:tc>
      </w:tr>
      <w:tr w:rsidR="007E6BBE" w:rsidRPr="00AA50A2" w14:paraId="1C9562F6" w14:textId="77777777" w:rsidTr="00645CA8">
        <w:trPr>
          <w:trHeight w:val="219"/>
        </w:trPr>
        <w:tc>
          <w:tcPr>
            <w:tcW w:w="6522" w:type="dxa"/>
          </w:tcPr>
          <w:p w14:paraId="0BE93284" w14:textId="0C2274A9" w:rsidR="007E6BBE" w:rsidRPr="00C20C76" w:rsidRDefault="007E6BBE" w:rsidP="00167246">
            <w:pPr>
              <w:pStyle w:val="upove"/>
              <w:rPr>
                <w:lang w:val="de-DE"/>
              </w:rPr>
            </w:pPr>
            <w:r w:rsidRPr="00C20C76">
              <w:rPr>
                <w:rFonts w:cs="Arial"/>
                <w:lang w:val="de-DE"/>
              </w:rPr>
              <w:t>Internationaler Verband zum Schutz von Pflanzenzüchtungen</w:t>
            </w:r>
          </w:p>
        </w:tc>
        <w:tc>
          <w:tcPr>
            <w:tcW w:w="3117" w:type="dxa"/>
          </w:tcPr>
          <w:p w14:paraId="0C43B578" w14:textId="77777777" w:rsidR="007E6BBE" w:rsidRPr="00C20C76" w:rsidRDefault="007E6BBE" w:rsidP="00167246">
            <w:pPr>
              <w:rPr>
                <w:lang w:val="de-DE"/>
              </w:rPr>
            </w:pPr>
          </w:p>
        </w:tc>
      </w:tr>
    </w:tbl>
    <w:p w14:paraId="2A022AD8" w14:textId="77777777" w:rsidR="00DC3802" w:rsidRPr="00C20C76" w:rsidRDefault="00DC3802" w:rsidP="00167246">
      <w:pPr>
        <w:rPr>
          <w:lang w:val="de-DE"/>
        </w:rPr>
      </w:pPr>
    </w:p>
    <w:p w14:paraId="30327224" w14:textId="77777777" w:rsidR="00DA4973" w:rsidRPr="00C20C76" w:rsidRDefault="00DA4973" w:rsidP="00167246">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A50A2" w14:paraId="7B56591F" w14:textId="77777777" w:rsidTr="00EB4E9C">
        <w:tc>
          <w:tcPr>
            <w:tcW w:w="6512" w:type="dxa"/>
          </w:tcPr>
          <w:p w14:paraId="1A51A878" w14:textId="77777777" w:rsidR="00EB4E9C" w:rsidRPr="00C20C76" w:rsidRDefault="00EB4E9C" w:rsidP="00167246">
            <w:pPr>
              <w:pStyle w:val="Sessiontc"/>
              <w:spacing w:line="240" w:lineRule="auto"/>
              <w:rPr>
                <w:lang w:val="de-DE"/>
              </w:rPr>
            </w:pPr>
            <w:r w:rsidRPr="00C20C76">
              <w:rPr>
                <w:lang w:val="de-DE"/>
              </w:rPr>
              <w:t>Technischer Ausschuss</w:t>
            </w:r>
          </w:p>
          <w:p w14:paraId="49B8D1D2" w14:textId="220B3F29" w:rsidR="00EB4E9C" w:rsidRPr="00C20C76" w:rsidRDefault="00E915EA" w:rsidP="00167246">
            <w:pPr>
              <w:pStyle w:val="Sessiontcplacedate"/>
              <w:rPr>
                <w:sz w:val="22"/>
                <w:lang w:val="de-DE"/>
              </w:rPr>
            </w:pPr>
            <w:r>
              <w:rPr>
                <w:bCs w:val="0"/>
                <w:szCs w:val="24"/>
                <w:lang w:val="de-DE"/>
              </w:rPr>
              <w:t>Sechs</w:t>
            </w:r>
            <w:r w:rsidRPr="00C20C76">
              <w:rPr>
                <w:bCs w:val="0"/>
                <w:szCs w:val="24"/>
                <w:lang w:val="de-DE"/>
              </w:rPr>
              <w:t xml:space="preserve">undfünfzigste </w:t>
            </w:r>
            <w:r w:rsidR="007E6BBE" w:rsidRPr="00C20C76">
              <w:rPr>
                <w:bCs w:val="0"/>
                <w:szCs w:val="24"/>
                <w:lang w:val="de-DE"/>
              </w:rPr>
              <w:t>Tagung</w:t>
            </w:r>
            <w:r w:rsidR="007E6BBE" w:rsidRPr="00C20C76">
              <w:rPr>
                <w:bCs w:val="0"/>
                <w:szCs w:val="24"/>
                <w:lang w:val="de-DE"/>
              </w:rPr>
              <w:br/>
              <w:t>Genf, 26. und 27. Oktober 2020</w:t>
            </w:r>
          </w:p>
        </w:tc>
        <w:tc>
          <w:tcPr>
            <w:tcW w:w="3127" w:type="dxa"/>
          </w:tcPr>
          <w:p w14:paraId="5256310A" w14:textId="77777777" w:rsidR="00EB4E9C" w:rsidRPr="00C20C76" w:rsidRDefault="00515F7C" w:rsidP="00167246">
            <w:pPr>
              <w:pStyle w:val="Doccode"/>
              <w:rPr>
                <w:spacing w:val="0"/>
                <w:lang w:val="de-DE"/>
              </w:rPr>
            </w:pPr>
            <w:r w:rsidRPr="00C20C76">
              <w:rPr>
                <w:spacing w:val="0"/>
                <w:lang w:val="de-DE"/>
              </w:rPr>
              <w:t>TC/56/3</w:t>
            </w:r>
          </w:p>
          <w:p w14:paraId="4FA43EF9" w14:textId="77777777" w:rsidR="00EB4E9C" w:rsidRPr="00C20C76" w:rsidRDefault="00EB4E9C" w:rsidP="00167246">
            <w:pPr>
              <w:pStyle w:val="Docoriginal"/>
              <w:spacing w:line="240" w:lineRule="auto"/>
              <w:rPr>
                <w:spacing w:val="0"/>
                <w:lang w:val="de-DE"/>
              </w:rPr>
            </w:pPr>
            <w:r w:rsidRPr="00C20C76">
              <w:rPr>
                <w:spacing w:val="0"/>
                <w:lang w:val="de-DE"/>
              </w:rPr>
              <w:t>Original:</w:t>
            </w:r>
            <w:r w:rsidRPr="00C20C76">
              <w:rPr>
                <w:b w:val="0"/>
                <w:spacing w:val="0"/>
                <w:lang w:val="de-DE"/>
              </w:rPr>
              <w:t xml:space="preserve"> Englisch</w:t>
            </w:r>
          </w:p>
          <w:p w14:paraId="6B10B756" w14:textId="64242CC9" w:rsidR="00EB4E9C" w:rsidRPr="00C20C76" w:rsidRDefault="00EB4E9C" w:rsidP="00AA50A2">
            <w:pPr>
              <w:pStyle w:val="Docoriginal"/>
              <w:spacing w:line="240" w:lineRule="auto"/>
              <w:rPr>
                <w:spacing w:val="0"/>
                <w:lang w:val="de-DE"/>
              </w:rPr>
            </w:pPr>
            <w:r w:rsidRPr="00C20C76">
              <w:rPr>
                <w:spacing w:val="0"/>
                <w:lang w:val="de-DE"/>
              </w:rPr>
              <w:t xml:space="preserve">Datum: </w:t>
            </w:r>
            <w:r w:rsidR="00AA50A2" w:rsidRPr="00AA50A2">
              <w:rPr>
                <w:b w:val="0"/>
                <w:spacing w:val="0"/>
                <w:lang w:val="de-DE"/>
              </w:rPr>
              <w:t>12</w:t>
            </w:r>
            <w:r w:rsidR="008B6E60" w:rsidRPr="00AA50A2">
              <w:rPr>
                <w:b w:val="0"/>
                <w:spacing w:val="0"/>
                <w:lang w:val="de-DE"/>
              </w:rPr>
              <w:t xml:space="preserve">. </w:t>
            </w:r>
            <w:r w:rsidR="004C142C" w:rsidRPr="00AA50A2">
              <w:rPr>
                <w:b w:val="0"/>
                <w:spacing w:val="0"/>
                <w:lang w:val="de-DE"/>
              </w:rPr>
              <w:t xml:space="preserve">Oktober </w:t>
            </w:r>
            <w:r w:rsidR="00E75233" w:rsidRPr="00AA50A2">
              <w:rPr>
                <w:b w:val="0"/>
                <w:spacing w:val="0"/>
                <w:lang w:val="de-DE"/>
              </w:rPr>
              <w:t>2020</w:t>
            </w:r>
          </w:p>
        </w:tc>
      </w:tr>
    </w:tbl>
    <w:p w14:paraId="1DF8712E" w14:textId="77777777" w:rsidR="007E6BBE" w:rsidRPr="00C20C76" w:rsidRDefault="007E6BBE" w:rsidP="00167246">
      <w:pPr>
        <w:pStyle w:val="Titleofdoc0"/>
        <w:rPr>
          <w:szCs w:val="24"/>
          <w:lang w:val="de-DE"/>
        </w:rPr>
      </w:pPr>
      <w:bookmarkStart w:id="0" w:name="TitleOfDoc"/>
      <w:bookmarkStart w:id="1" w:name="Prepared"/>
      <w:bookmarkEnd w:id="0"/>
      <w:bookmarkEnd w:id="1"/>
      <w:r w:rsidRPr="00C20C76">
        <w:rPr>
          <w:szCs w:val="24"/>
          <w:lang w:val="de-DE"/>
        </w:rPr>
        <w:t>Fragen, die von den Technischen Arbeitsgruppen aufgeworfen wurden</w:t>
      </w:r>
    </w:p>
    <w:p w14:paraId="0BE58039" w14:textId="77777777" w:rsidR="006A644A" w:rsidRPr="00C20C76" w:rsidRDefault="0061555F" w:rsidP="00167246">
      <w:pPr>
        <w:pStyle w:val="preparedby1"/>
        <w:jc w:val="left"/>
        <w:rPr>
          <w:lang w:val="de-DE"/>
        </w:rPr>
      </w:pPr>
      <w:r w:rsidRPr="00C20C76">
        <w:rPr>
          <w:lang w:val="de-DE"/>
        </w:rPr>
        <w:t xml:space="preserve">Vom Verbandsbüro erstelltes </w:t>
      </w:r>
      <w:r w:rsidR="00AE0EF1" w:rsidRPr="00C20C76">
        <w:rPr>
          <w:lang w:val="de-DE"/>
        </w:rPr>
        <w:t>Dokument</w:t>
      </w:r>
    </w:p>
    <w:p w14:paraId="7E74C54C" w14:textId="7CBD6247" w:rsidR="00050E16" w:rsidRPr="00C20C76" w:rsidRDefault="00050E16" w:rsidP="00167246">
      <w:pPr>
        <w:pStyle w:val="Disclaimer"/>
        <w:rPr>
          <w:lang w:val="de-DE"/>
        </w:rPr>
      </w:pPr>
      <w:r w:rsidRPr="00C20C76">
        <w:rPr>
          <w:lang w:val="de-DE"/>
        </w:rPr>
        <w:t>Haftungsausschlu</w:t>
      </w:r>
      <w:r w:rsidR="0055751E" w:rsidRPr="00C20C76">
        <w:rPr>
          <w:lang w:val="de-DE"/>
        </w:rPr>
        <w:t>ss</w:t>
      </w:r>
      <w:r w:rsidRPr="00C20C76">
        <w:rPr>
          <w:lang w:val="de-DE"/>
        </w:rPr>
        <w:t>: Dieses Dokument stellt keine Politik oder Anleitung der UPOV dar.</w:t>
      </w:r>
    </w:p>
    <w:p w14:paraId="60C1F675" w14:textId="77777777" w:rsidR="004C142C" w:rsidRPr="00C20C76" w:rsidRDefault="004C142C" w:rsidP="00167246">
      <w:pPr>
        <w:pStyle w:val="Heading1"/>
        <w:rPr>
          <w:lang w:val="de-DE"/>
        </w:rPr>
      </w:pPr>
      <w:bookmarkStart w:id="2" w:name="_Toc54170620"/>
      <w:bookmarkStart w:id="3" w:name="_Toc20505077"/>
      <w:r w:rsidRPr="00C20C76">
        <w:rPr>
          <w:lang w:val="de-DE"/>
        </w:rPr>
        <w:t>ZUSAMMENFASSUNG</w:t>
      </w:r>
      <w:bookmarkEnd w:id="2"/>
      <w:r w:rsidRPr="00C20C76">
        <w:rPr>
          <w:lang w:val="de-DE"/>
        </w:rPr>
        <w:t xml:space="preserve"> </w:t>
      </w:r>
      <w:bookmarkEnd w:id="3"/>
    </w:p>
    <w:p w14:paraId="0C18DE78" w14:textId="77777777" w:rsidR="004C142C" w:rsidRPr="00C20C76" w:rsidRDefault="004C142C" w:rsidP="00167246">
      <w:pPr>
        <w:rPr>
          <w:color w:val="000000"/>
          <w:lang w:val="de-DE"/>
        </w:rPr>
      </w:pPr>
    </w:p>
    <w:p w14:paraId="311B4DA7" w14:textId="529BF489" w:rsidR="004C142C" w:rsidRPr="00C20C76" w:rsidRDefault="004C142C" w:rsidP="00167246">
      <w:pPr>
        <w:rPr>
          <w:color w:val="000000"/>
          <w:lang w:val="de-DE"/>
        </w:rPr>
      </w:pPr>
      <w:r w:rsidRPr="00C20C76">
        <w:rPr>
          <w:color w:val="000000"/>
          <w:lang w:val="de-DE"/>
        </w:rPr>
        <w:fldChar w:fldCharType="begin"/>
      </w:r>
      <w:r w:rsidRPr="00C20C76">
        <w:rPr>
          <w:color w:val="000000"/>
          <w:lang w:val="de-DE"/>
        </w:rPr>
        <w:instrText xml:space="preserve"> AUTONUM  </w:instrText>
      </w:r>
      <w:r w:rsidRPr="00C20C76">
        <w:rPr>
          <w:color w:val="000000"/>
          <w:lang w:val="de-DE"/>
        </w:rPr>
        <w:fldChar w:fldCharType="end"/>
      </w:r>
      <w:r w:rsidRPr="00C20C76">
        <w:rPr>
          <w:color w:val="000000"/>
          <w:lang w:val="de-DE"/>
        </w:rPr>
        <w:tab/>
      </w:r>
      <w:r w:rsidR="00B80B6E" w:rsidRPr="00C20C76">
        <w:rPr>
          <w:szCs w:val="24"/>
          <w:lang w:val="de-DE"/>
        </w:rPr>
        <w:t>Dieses Dokument fasst die Fragen zusammen, die von</w:t>
      </w:r>
      <w:r w:rsidR="00B80B6E" w:rsidRPr="00C20C76">
        <w:rPr>
          <w:color w:val="000000"/>
          <w:lang w:val="de-DE"/>
        </w:rPr>
        <w:t xml:space="preserve"> </w:t>
      </w:r>
      <w:r w:rsidRPr="00C20C76">
        <w:rPr>
          <w:color w:val="000000"/>
          <w:lang w:val="de-DE"/>
        </w:rPr>
        <w:t xml:space="preserve">der </w:t>
      </w:r>
      <w:r w:rsidRPr="00C20C76">
        <w:rPr>
          <w:rFonts w:eastAsia="PMingLiU"/>
          <w:szCs w:val="24"/>
          <w:lang w:val="de-DE"/>
        </w:rPr>
        <w:t>Technischen Arbeitsgruppe für Gemüsearten (TWV)</w:t>
      </w:r>
      <w:r w:rsidR="000912AD" w:rsidRPr="00C20C76">
        <w:rPr>
          <w:rStyle w:val="FootnoteReference"/>
          <w:rFonts w:eastAsia="PMingLiU"/>
          <w:szCs w:val="24"/>
          <w:lang w:val="de-DE"/>
        </w:rPr>
        <w:footnoteReference w:id="2"/>
      </w:r>
      <w:r w:rsidRPr="00C20C76">
        <w:rPr>
          <w:rFonts w:eastAsia="PMingLiU"/>
          <w:szCs w:val="24"/>
          <w:lang w:val="de-DE"/>
        </w:rPr>
        <w:t>, der Technischen Arbeitsgruppe für Zierpflanzen und forstliche Baumarten (TWO)</w:t>
      </w:r>
      <w:r w:rsidR="000912AD" w:rsidRPr="00C20C76">
        <w:rPr>
          <w:rStyle w:val="FootnoteReference"/>
          <w:rFonts w:eastAsia="PMingLiU"/>
          <w:szCs w:val="24"/>
          <w:lang w:val="de-DE"/>
        </w:rPr>
        <w:footnoteReference w:id="3"/>
      </w:r>
      <w:r w:rsidRPr="00C20C76">
        <w:rPr>
          <w:rFonts w:eastAsia="PMingLiU"/>
          <w:szCs w:val="24"/>
          <w:lang w:val="de-DE"/>
        </w:rPr>
        <w:t>, der Technischen Arbeitsgruppe für landwirtschaftliche Arten (TWA)</w:t>
      </w:r>
      <w:r w:rsidR="000912AD" w:rsidRPr="00C20C76">
        <w:rPr>
          <w:rStyle w:val="FootnoteReference"/>
          <w:rFonts w:eastAsia="PMingLiU"/>
          <w:szCs w:val="24"/>
          <w:lang w:val="de-DE"/>
        </w:rPr>
        <w:footnoteReference w:id="4"/>
      </w:r>
      <w:r w:rsidRPr="00C20C76">
        <w:rPr>
          <w:rFonts w:eastAsia="PMingLiU"/>
          <w:szCs w:val="24"/>
          <w:lang w:val="de-DE"/>
        </w:rPr>
        <w:t xml:space="preserve">, der Technischen Arbeitsgruppe für Obstarten </w:t>
      </w:r>
      <w:r w:rsidRPr="00C20C76">
        <w:rPr>
          <w:color w:val="000000"/>
          <w:lang w:val="de-DE"/>
        </w:rPr>
        <w:t>(TWF)</w:t>
      </w:r>
      <w:r w:rsidR="000912AD" w:rsidRPr="00C20C76">
        <w:rPr>
          <w:rStyle w:val="FootnoteReference"/>
          <w:color w:val="000000"/>
          <w:lang w:val="de-DE"/>
        </w:rPr>
        <w:footnoteReference w:id="5"/>
      </w:r>
      <w:r w:rsidRPr="00C20C76">
        <w:rPr>
          <w:color w:val="000000"/>
          <w:lang w:val="de-DE"/>
        </w:rPr>
        <w:t xml:space="preserve">, der </w:t>
      </w:r>
      <w:r w:rsidRPr="00C20C76">
        <w:rPr>
          <w:snapToGrid w:val="0"/>
          <w:lang w:val="de-DE"/>
        </w:rPr>
        <w:t>Technischen Arbeitsgruppe für Automatisierung und Computerprogramme (TWC)</w:t>
      </w:r>
      <w:r w:rsidR="000912AD" w:rsidRPr="00C20C76">
        <w:rPr>
          <w:rStyle w:val="FootnoteReference"/>
          <w:snapToGrid w:val="0"/>
          <w:lang w:val="de-DE"/>
        </w:rPr>
        <w:footnoteReference w:id="6"/>
      </w:r>
      <w:r w:rsidR="00B80B6E" w:rsidRPr="00C20C76">
        <w:rPr>
          <w:snapToGrid w:val="0"/>
          <w:lang w:val="de-DE"/>
        </w:rPr>
        <w:t xml:space="preserve"> </w:t>
      </w:r>
      <w:r w:rsidRPr="00C20C76">
        <w:rPr>
          <w:snapToGrid w:val="0"/>
          <w:lang w:val="de-DE"/>
        </w:rPr>
        <w:t>und der Arbeitsgruppe für biochemische und molekulare Verfahren und insbesondere für DNS-Profilierungsverfahren (BMT)</w:t>
      </w:r>
      <w:r w:rsidR="00B80B6E" w:rsidRPr="00C20C76">
        <w:rPr>
          <w:rStyle w:val="FootnoteReference"/>
          <w:snapToGrid w:val="0"/>
          <w:lang w:val="de-DE"/>
        </w:rPr>
        <w:footnoteReference w:id="7"/>
      </w:r>
      <w:r w:rsidRPr="00C20C76">
        <w:rPr>
          <w:snapToGrid w:val="0"/>
          <w:lang w:val="de-DE"/>
        </w:rPr>
        <w:t xml:space="preserve"> </w:t>
      </w:r>
      <w:r w:rsidR="00494F3B">
        <w:rPr>
          <w:snapToGrid w:val="0"/>
          <w:lang w:val="de-DE"/>
        </w:rPr>
        <w:t xml:space="preserve">auf ihren Tagungen </w:t>
      </w:r>
      <w:r w:rsidRPr="00C20C76">
        <w:rPr>
          <w:color w:val="000000"/>
          <w:lang w:val="de-DE"/>
        </w:rPr>
        <w:t>im Jahr 2020</w:t>
      </w:r>
      <w:r w:rsidR="00B80B6E" w:rsidRPr="00C20C76">
        <w:rPr>
          <w:color w:val="000000"/>
          <w:lang w:val="de-DE"/>
        </w:rPr>
        <w:t xml:space="preserve"> </w:t>
      </w:r>
      <w:r w:rsidR="00B80B6E" w:rsidRPr="00494F3B">
        <w:rPr>
          <w:color w:val="000000"/>
          <w:lang w:val="de-DE"/>
        </w:rPr>
        <w:t>aufgeworfen</w:t>
      </w:r>
      <w:r w:rsidR="00B80B6E" w:rsidRPr="00C20C76">
        <w:rPr>
          <w:color w:val="000000"/>
          <w:lang w:val="de-DE"/>
        </w:rPr>
        <w:t xml:space="preserve"> wurden</w:t>
      </w:r>
      <w:r w:rsidRPr="00C20C76">
        <w:rPr>
          <w:color w:val="000000"/>
          <w:lang w:val="de-DE"/>
        </w:rPr>
        <w:t xml:space="preserve"> und nicht ausdrücklich </w:t>
      </w:r>
      <w:r w:rsidR="00B80B6E" w:rsidRPr="00C20C76">
        <w:rPr>
          <w:color w:val="000000"/>
          <w:lang w:val="de-DE"/>
        </w:rPr>
        <w:t>durch</w:t>
      </w:r>
      <w:r w:rsidRPr="00C20C76">
        <w:rPr>
          <w:color w:val="000000"/>
          <w:lang w:val="de-DE"/>
        </w:rPr>
        <w:t xml:space="preserve"> spezifische Tagesordnungspunkte abgedeckt </w:t>
      </w:r>
      <w:r w:rsidR="00B80B6E" w:rsidRPr="00C20C76">
        <w:rPr>
          <w:color w:val="000000"/>
          <w:lang w:val="de-DE"/>
        </w:rPr>
        <w:t>werden</w:t>
      </w:r>
      <w:r w:rsidRPr="00C20C76">
        <w:rPr>
          <w:color w:val="000000"/>
          <w:lang w:val="de-DE"/>
        </w:rPr>
        <w:t xml:space="preserve">. </w:t>
      </w:r>
    </w:p>
    <w:p w14:paraId="7F7ED203" w14:textId="77777777" w:rsidR="004C142C" w:rsidRPr="00C20C76" w:rsidRDefault="004C142C" w:rsidP="00167246">
      <w:pPr>
        <w:rPr>
          <w:color w:val="000000"/>
          <w:lang w:val="de-DE"/>
        </w:rPr>
      </w:pPr>
    </w:p>
    <w:p w14:paraId="3F4BAED5" w14:textId="259371F4" w:rsidR="004C142C" w:rsidRPr="00C20C76" w:rsidRDefault="004C142C" w:rsidP="00167246">
      <w:pPr>
        <w:rPr>
          <w:lang w:val="de-DE"/>
        </w:rPr>
      </w:pPr>
      <w:r w:rsidRPr="00C20C76">
        <w:rPr>
          <w:color w:val="000000"/>
          <w:lang w:val="de-DE"/>
        </w:rPr>
        <w:fldChar w:fldCharType="begin"/>
      </w:r>
      <w:r w:rsidRPr="00C20C76">
        <w:rPr>
          <w:color w:val="000000"/>
          <w:lang w:val="de-DE"/>
        </w:rPr>
        <w:instrText xml:space="preserve"> AUTONUM  </w:instrText>
      </w:r>
      <w:r w:rsidRPr="00C20C76">
        <w:rPr>
          <w:color w:val="000000"/>
          <w:lang w:val="de-DE"/>
        </w:rPr>
        <w:fldChar w:fldCharType="end"/>
      </w:r>
      <w:r w:rsidRPr="00C20C76">
        <w:rPr>
          <w:color w:val="000000"/>
          <w:lang w:val="de-DE"/>
        </w:rPr>
        <w:tab/>
      </w:r>
      <w:r w:rsidR="006B4686" w:rsidRPr="00C20C76">
        <w:rPr>
          <w:szCs w:val="24"/>
          <w:lang w:val="de-DE"/>
        </w:rPr>
        <w:t xml:space="preserve">Die Fragen sind in zwei Abschnitte unterteilt. Der erste Abschnitt, „Fragen zur Information und für eine vom Technischen Ausschuss gegebenenfalls zu treffende Entscheidung“, </w:t>
      </w:r>
      <w:r w:rsidR="00C144F8">
        <w:rPr>
          <w:szCs w:val="24"/>
          <w:lang w:val="de-DE"/>
        </w:rPr>
        <w:t>ermittelt</w:t>
      </w:r>
      <w:r w:rsidR="006B4686" w:rsidRPr="00C20C76">
        <w:rPr>
          <w:szCs w:val="24"/>
          <w:lang w:val="de-DE"/>
        </w:rPr>
        <w:t xml:space="preserve"> aufgeworfene Angelegenheiten, die einer Entscheidung des TC bedürfen könnten. Das Verbandsbüro (Büro) hob die Aspekte hervor, für die der TC eine Entscheidung treffen könnte, indem es einen Absatz über die vorgeschlagenen Entscheidungen einführte. Der zweite Abschnitt, „Angelegenheiten zur Information“, dient dem TC zur Information, bedarf jedoch in diesem Stadium keiner Entscheidung</w:t>
      </w:r>
      <w:r w:rsidRPr="00C20C76">
        <w:rPr>
          <w:lang w:val="de-DE"/>
        </w:rPr>
        <w:t>.</w:t>
      </w:r>
    </w:p>
    <w:p w14:paraId="557EF107" w14:textId="77777777" w:rsidR="004C142C" w:rsidRPr="00C20C76" w:rsidRDefault="004C142C" w:rsidP="00167246">
      <w:pPr>
        <w:tabs>
          <w:tab w:val="left" w:pos="567"/>
          <w:tab w:val="left" w:pos="1701"/>
        </w:tabs>
        <w:ind w:left="1695" w:hanging="1695"/>
        <w:rPr>
          <w:rFonts w:eastAsia="PMingLiU"/>
          <w:szCs w:val="24"/>
          <w:lang w:val="de-DE"/>
        </w:rPr>
      </w:pPr>
    </w:p>
    <w:p w14:paraId="01F1769C" w14:textId="2A3D7169" w:rsidR="004C142C" w:rsidRPr="00C20C76" w:rsidRDefault="004C142C" w:rsidP="00167246">
      <w:pPr>
        <w:tabs>
          <w:tab w:val="left" w:pos="567"/>
        </w:tabs>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r>
      <w:r w:rsidR="00214DAE" w:rsidRPr="00C20C76">
        <w:rPr>
          <w:szCs w:val="24"/>
          <w:lang w:val="de-DE"/>
        </w:rPr>
        <w:t>Der TC wird ersucht, die Entwicklungen in den TWP zur Kenntnis zu nehmen, die folgende Punkte betreffen</w:t>
      </w:r>
      <w:r w:rsidRPr="00C20C76">
        <w:rPr>
          <w:lang w:val="de-DE"/>
        </w:rPr>
        <w:t>:</w:t>
      </w:r>
    </w:p>
    <w:p w14:paraId="275FE2B7" w14:textId="77777777" w:rsidR="004C142C" w:rsidRPr="00C20C76" w:rsidRDefault="004C142C" w:rsidP="00167246">
      <w:pPr>
        <w:tabs>
          <w:tab w:val="left" w:pos="567"/>
        </w:tabs>
        <w:rPr>
          <w:lang w:val="de-DE"/>
        </w:rPr>
      </w:pPr>
    </w:p>
    <w:p w14:paraId="2489481F" w14:textId="5A220ABE" w:rsidR="004C142C" w:rsidRPr="00C20C76" w:rsidRDefault="004C142C" w:rsidP="00167246">
      <w:pPr>
        <w:tabs>
          <w:tab w:val="left" w:pos="1701"/>
        </w:tabs>
        <w:ind w:left="1134" w:hanging="567"/>
        <w:rPr>
          <w:lang w:val="de-DE"/>
        </w:rPr>
      </w:pPr>
      <w:r w:rsidRPr="00C20C76">
        <w:rPr>
          <w:lang w:val="de-DE"/>
        </w:rPr>
        <w:t>i)</w:t>
      </w:r>
      <w:r w:rsidRPr="00C20C76">
        <w:rPr>
          <w:lang w:val="de-DE"/>
        </w:rPr>
        <w:tab/>
      </w:r>
      <w:r w:rsidR="007A5CA0" w:rsidRPr="00C20C76">
        <w:rPr>
          <w:lang w:val="de-DE"/>
        </w:rPr>
        <w:t xml:space="preserve">Neue Fragen, die sich für die DUS-Prüfung </w:t>
      </w:r>
      <w:r w:rsidR="007A5CA0" w:rsidRPr="00663C67">
        <w:rPr>
          <w:lang w:val="de-DE"/>
        </w:rPr>
        <w:t>ergeben</w:t>
      </w:r>
      <w:r w:rsidRPr="00C20C76">
        <w:rPr>
          <w:lang w:val="de-DE"/>
        </w:rPr>
        <w:t>;</w:t>
      </w:r>
    </w:p>
    <w:p w14:paraId="41A09C3D" w14:textId="6702F47C" w:rsidR="004C142C" w:rsidRPr="00C20C76" w:rsidRDefault="004C142C" w:rsidP="00167246">
      <w:pPr>
        <w:tabs>
          <w:tab w:val="left" w:pos="1701"/>
        </w:tabs>
        <w:ind w:left="1134" w:hanging="567"/>
        <w:rPr>
          <w:lang w:val="de-DE"/>
        </w:rPr>
      </w:pPr>
      <w:r w:rsidRPr="00C20C76">
        <w:rPr>
          <w:lang w:val="de-DE"/>
        </w:rPr>
        <w:t>ii)</w:t>
      </w:r>
      <w:r w:rsidRPr="00C20C76">
        <w:rPr>
          <w:lang w:val="de-DE"/>
        </w:rPr>
        <w:tab/>
      </w:r>
      <w:r w:rsidR="007A5CA0" w:rsidRPr="00C20C76">
        <w:rPr>
          <w:lang w:val="de-DE"/>
        </w:rPr>
        <w:t>Verwendung von Krankheitsresistenzmerkmalen</w:t>
      </w:r>
      <w:r w:rsidRPr="00C20C76">
        <w:rPr>
          <w:lang w:val="de-DE"/>
        </w:rPr>
        <w:t>;</w:t>
      </w:r>
    </w:p>
    <w:p w14:paraId="499694DF" w14:textId="7D8309DA" w:rsidR="002A3829" w:rsidRPr="00C20C76" w:rsidRDefault="002A3829" w:rsidP="00167246">
      <w:pPr>
        <w:tabs>
          <w:tab w:val="left" w:pos="1701"/>
        </w:tabs>
        <w:ind w:left="1134" w:hanging="567"/>
        <w:rPr>
          <w:lang w:val="de-DE"/>
        </w:rPr>
      </w:pPr>
      <w:r w:rsidRPr="00C20C76">
        <w:rPr>
          <w:lang w:val="de-DE"/>
        </w:rPr>
        <w:t>iii)</w:t>
      </w:r>
      <w:r w:rsidRPr="00C20C76">
        <w:rPr>
          <w:lang w:val="de-DE"/>
        </w:rPr>
        <w:tab/>
        <w:t xml:space="preserve">Mögliche Entwicklungen, </w:t>
      </w:r>
      <w:r w:rsidR="009D3262">
        <w:rPr>
          <w:lang w:val="de-DE"/>
        </w:rPr>
        <w:t>um zu</w:t>
      </w:r>
      <w:r w:rsidR="004D20D1" w:rsidRPr="00C20C76">
        <w:rPr>
          <w:lang w:val="de-DE"/>
        </w:rPr>
        <w:t xml:space="preserve"> ermöglichen, dass</w:t>
      </w:r>
      <w:r w:rsidRPr="00C20C76">
        <w:rPr>
          <w:lang w:val="de-DE"/>
        </w:rPr>
        <w:t xml:space="preserve"> UPOV-Codes nützliche Informationen über Sortengruppen oder -typen für DUS-</w:t>
      </w:r>
      <w:r w:rsidR="00E915EA">
        <w:rPr>
          <w:lang w:val="de-DE"/>
        </w:rPr>
        <w:t>Prüfungszwecke liefern</w:t>
      </w:r>
      <w:r w:rsidR="004D20D1" w:rsidRPr="00C20C76">
        <w:rPr>
          <w:lang w:val="de-DE"/>
        </w:rPr>
        <w:t xml:space="preserve"> </w:t>
      </w:r>
      <w:r w:rsidRPr="00C20C76">
        <w:rPr>
          <w:lang w:val="de-DE"/>
        </w:rPr>
        <w:t xml:space="preserve">(Projekt </w:t>
      </w:r>
      <w:r w:rsidRPr="00C20C76">
        <w:rPr>
          <w:i/>
          <w:lang w:val="de-DE"/>
        </w:rPr>
        <w:t xml:space="preserve">Plavarlis </w:t>
      </w:r>
      <w:r w:rsidRPr="00C20C76">
        <w:rPr>
          <w:lang w:val="de-DE"/>
        </w:rPr>
        <w:t>- UPOV-Codes)</w:t>
      </w:r>
      <w:r w:rsidR="00E629F1" w:rsidRPr="00C20C76">
        <w:rPr>
          <w:lang w:val="de-DE"/>
        </w:rPr>
        <w:t>;</w:t>
      </w:r>
    </w:p>
    <w:p w14:paraId="30D9F825" w14:textId="4070E5F1" w:rsidR="004C142C" w:rsidRPr="00C20C76" w:rsidRDefault="002A3829" w:rsidP="00167246">
      <w:pPr>
        <w:tabs>
          <w:tab w:val="left" w:pos="1701"/>
        </w:tabs>
        <w:ind w:left="1134" w:hanging="567"/>
        <w:rPr>
          <w:lang w:val="de-DE"/>
        </w:rPr>
      </w:pPr>
      <w:r w:rsidRPr="00C20C76">
        <w:rPr>
          <w:lang w:val="de-DE"/>
        </w:rPr>
        <w:t>iv</w:t>
      </w:r>
      <w:r w:rsidR="004C142C" w:rsidRPr="00C20C76">
        <w:rPr>
          <w:lang w:val="de-DE"/>
        </w:rPr>
        <w:t>)</w:t>
      </w:r>
      <w:r w:rsidR="004C142C" w:rsidRPr="00C20C76">
        <w:rPr>
          <w:lang w:val="de-DE"/>
        </w:rPr>
        <w:tab/>
      </w:r>
      <w:r w:rsidR="007A5CA0" w:rsidRPr="00C20C76">
        <w:rPr>
          <w:lang w:val="de-DE"/>
        </w:rPr>
        <w:t>Mindestabstände zwischen vegetativ vermehrten Ziersorten</w:t>
      </w:r>
      <w:r w:rsidR="004C142C" w:rsidRPr="00C20C76">
        <w:rPr>
          <w:lang w:val="de-DE"/>
        </w:rPr>
        <w:t>;</w:t>
      </w:r>
    </w:p>
    <w:p w14:paraId="351161B5" w14:textId="52EB0829" w:rsidR="004C142C" w:rsidRPr="00C20C76" w:rsidRDefault="004C142C" w:rsidP="00167246">
      <w:pPr>
        <w:tabs>
          <w:tab w:val="left" w:pos="1701"/>
        </w:tabs>
        <w:ind w:left="1134" w:hanging="567"/>
        <w:rPr>
          <w:lang w:val="de-DE"/>
        </w:rPr>
      </w:pPr>
      <w:r w:rsidRPr="00C20C76">
        <w:rPr>
          <w:lang w:val="de-DE"/>
        </w:rPr>
        <w:t>v)</w:t>
      </w:r>
      <w:r w:rsidRPr="00C20C76">
        <w:rPr>
          <w:lang w:val="de-DE"/>
        </w:rPr>
        <w:tab/>
      </w:r>
      <w:r w:rsidR="007A5CA0" w:rsidRPr="00C20C76">
        <w:rPr>
          <w:lang w:val="de-DE"/>
        </w:rPr>
        <w:t>Zugang zu Pflanzenmaterial zum Zweck der Verwaltung von Sortensammlungen und der DUS-Prüfung</w:t>
      </w:r>
      <w:r w:rsidRPr="00C20C76">
        <w:rPr>
          <w:lang w:val="de-DE"/>
        </w:rPr>
        <w:t>;</w:t>
      </w:r>
    </w:p>
    <w:p w14:paraId="76DE346B" w14:textId="6EC5A5FA" w:rsidR="004C142C" w:rsidRPr="00C20C76" w:rsidRDefault="002A3829" w:rsidP="00167246">
      <w:pPr>
        <w:tabs>
          <w:tab w:val="left" w:pos="1701"/>
        </w:tabs>
        <w:ind w:left="1134" w:hanging="567"/>
        <w:rPr>
          <w:lang w:val="de-DE"/>
        </w:rPr>
      </w:pPr>
      <w:r w:rsidRPr="00C20C76">
        <w:rPr>
          <w:lang w:val="de-DE"/>
        </w:rPr>
        <w:t>vi</w:t>
      </w:r>
      <w:r w:rsidR="004C142C" w:rsidRPr="00C20C76">
        <w:rPr>
          <w:lang w:val="de-DE"/>
        </w:rPr>
        <w:t>)</w:t>
      </w:r>
      <w:r w:rsidR="004C142C" w:rsidRPr="00C20C76">
        <w:rPr>
          <w:lang w:val="de-DE"/>
        </w:rPr>
        <w:tab/>
      </w:r>
      <w:r w:rsidR="00214DAE" w:rsidRPr="00C20C76">
        <w:rPr>
          <w:szCs w:val="24"/>
          <w:lang w:val="de-DE"/>
        </w:rPr>
        <w:t>DUS-Prüfung von Mutantensorten bei Apfel</w:t>
      </w:r>
      <w:r w:rsidR="004C142C" w:rsidRPr="00C20C76">
        <w:rPr>
          <w:lang w:val="de-DE"/>
        </w:rPr>
        <w:t>;</w:t>
      </w:r>
    </w:p>
    <w:p w14:paraId="458DDAA4" w14:textId="34EA3459" w:rsidR="004C142C" w:rsidRPr="00C20C76" w:rsidRDefault="004C142C" w:rsidP="00167246">
      <w:pPr>
        <w:tabs>
          <w:tab w:val="left" w:pos="1701"/>
        </w:tabs>
        <w:ind w:left="1134" w:hanging="567"/>
        <w:rPr>
          <w:lang w:val="de-DE"/>
        </w:rPr>
      </w:pPr>
      <w:r w:rsidRPr="00C20C76">
        <w:rPr>
          <w:lang w:val="de-DE"/>
        </w:rPr>
        <w:t>vii)</w:t>
      </w:r>
      <w:r w:rsidRPr="00C20C76">
        <w:rPr>
          <w:lang w:val="de-DE"/>
        </w:rPr>
        <w:tab/>
      </w:r>
      <w:r w:rsidR="008B44FC" w:rsidRPr="00C20C76">
        <w:rPr>
          <w:lang w:val="de-DE"/>
        </w:rPr>
        <w:t>Maßgebliche Fragen</w:t>
      </w:r>
      <w:r w:rsidR="007A5CA0" w:rsidRPr="00C20C76">
        <w:rPr>
          <w:lang w:val="de-DE"/>
        </w:rPr>
        <w:t xml:space="preserve"> </w:t>
      </w:r>
      <w:r w:rsidR="008B44FC" w:rsidRPr="00C20C76">
        <w:rPr>
          <w:lang w:val="de-DE"/>
        </w:rPr>
        <w:t>bei der</w:t>
      </w:r>
      <w:r w:rsidR="007A5CA0" w:rsidRPr="00C20C76">
        <w:rPr>
          <w:lang w:val="de-DE"/>
        </w:rPr>
        <w:t xml:space="preserve"> DUS-Prüfung im Obstsektor</w:t>
      </w:r>
      <w:r w:rsidRPr="00C20C76">
        <w:rPr>
          <w:lang w:val="de-DE"/>
        </w:rPr>
        <w:t>;</w:t>
      </w:r>
    </w:p>
    <w:p w14:paraId="6E09A376" w14:textId="0D79C10F" w:rsidR="00D534B2" w:rsidRPr="00C20C76" w:rsidRDefault="00D534B2" w:rsidP="00167246">
      <w:pPr>
        <w:tabs>
          <w:tab w:val="left" w:pos="1701"/>
        </w:tabs>
        <w:ind w:left="1134" w:hanging="567"/>
        <w:rPr>
          <w:lang w:val="de-DE"/>
        </w:rPr>
      </w:pPr>
      <w:r w:rsidRPr="00C20C76">
        <w:rPr>
          <w:lang w:val="de-DE"/>
        </w:rPr>
        <w:t>viii)</w:t>
      </w:r>
      <w:r w:rsidRPr="00C20C76">
        <w:rPr>
          <w:lang w:val="de-DE"/>
        </w:rPr>
        <w:tab/>
        <w:t>Anleitung für Verfasser von Prüfungsrichtlinien;</w:t>
      </w:r>
    </w:p>
    <w:p w14:paraId="02D0D690" w14:textId="12F015EC" w:rsidR="004C142C" w:rsidRPr="00C20C76" w:rsidRDefault="002A3829" w:rsidP="00167246">
      <w:pPr>
        <w:tabs>
          <w:tab w:val="left" w:pos="1701"/>
        </w:tabs>
        <w:ind w:left="1134" w:hanging="567"/>
        <w:rPr>
          <w:lang w:val="de-DE"/>
        </w:rPr>
      </w:pPr>
      <w:r w:rsidRPr="00C20C76">
        <w:rPr>
          <w:lang w:val="de-DE"/>
        </w:rPr>
        <w:t>ix</w:t>
      </w:r>
      <w:r w:rsidR="004C142C" w:rsidRPr="00C20C76">
        <w:rPr>
          <w:lang w:val="de-DE"/>
        </w:rPr>
        <w:t>)</w:t>
      </w:r>
      <w:r w:rsidR="004C142C" w:rsidRPr="00C20C76">
        <w:rPr>
          <w:lang w:val="de-DE"/>
        </w:rPr>
        <w:tab/>
      </w:r>
      <w:r w:rsidR="007A5CA0" w:rsidRPr="00C20C76">
        <w:rPr>
          <w:lang w:val="de-DE"/>
        </w:rPr>
        <w:t>Erfahrungen mit neuen Typen und Arten</w:t>
      </w:r>
      <w:r w:rsidR="004C142C" w:rsidRPr="00C20C76">
        <w:rPr>
          <w:lang w:val="de-DE"/>
        </w:rPr>
        <w:t>;</w:t>
      </w:r>
    </w:p>
    <w:p w14:paraId="20C40CFC" w14:textId="70BF9204" w:rsidR="004C142C" w:rsidRPr="00C20C76" w:rsidRDefault="002A3829" w:rsidP="00167246">
      <w:pPr>
        <w:tabs>
          <w:tab w:val="left" w:pos="1701"/>
        </w:tabs>
        <w:ind w:left="1134" w:hanging="567"/>
        <w:rPr>
          <w:lang w:val="de-DE"/>
        </w:rPr>
      </w:pPr>
      <w:r w:rsidRPr="00C20C76">
        <w:rPr>
          <w:lang w:val="de-DE"/>
        </w:rPr>
        <w:t>x</w:t>
      </w:r>
      <w:r w:rsidR="004C142C" w:rsidRPr="00C20C76">
        <w:rPr>
          <w:lang w:val="de-DE"/>
        </w:rPr>
        <w:t>)</w:t>
      </w:r>
      <w:r w:rsidR="004C142C" w:rsidRPr="00C20C76">
        <w:rPr>
          <w:lang w:val="de-DE"/>
        </w:rPr>
        <w:tab/>
      </w:r>
      <w:r w:rsidR="0028739C" w:rsidRPr="00C20C76">
        <w:rPr>
          <w:lang w:val="de-DE"/>
        </w:rPr>
        <w:t>Software</w:t>
      </w:r>
      <w:r w:rsidR="008B44FC" w:rsidRPr="00C20C76">
        <w:rPr>
          <w:lang w:val="de-DE"/>
        </w:rPr>
        <w:t xml:space="preserve"> </w:t>
      </w:r>
      <w:r w:rsidR="0028739C" w:rsidRPr="00C20C76">
        <w:rPr>
          <w:lang w:val="de-DE"/>
        </w:rPr>
        <w:t>für statistische Analyse</w:t>
      </w:r>
      <w:r w:rsidR="00A11F1C">
        <w:rPr>
          <w:lang w:val="de-DE"/>
        </w:rPr>
        <w:t xml:space="preserve"> </w:t>
      </w:r>
      <w:r w:rsidR="00A11F1C" w:rsidRPr="00C20C76">
        <w:rPr>
          <w:lang w:val="de-DE"/>
        </w:rPr>
        <w:t>„DUS Excel“</w:t>
      </w:r>
      <w:r w:rsidR="008B44FC" w:rsidRPr="00C20C76">
        <w:rPr>
          <w:lang w:val="de-DE"/>
        </w:rPr>
        <w:t>;</w:t>
      </w:r>
      <w:r w:rsidR="0028739C" w:rsidRPr="00C20C76">
        <w:rPr>
          <w:lang w:val="de-DE"/>
        </w:rPr>
        <w:t xml:space="preserve"> </w:t>
      </w:r>
    </w:p>
    <w:p w14:paraId="1C32DBA5" w14:textId="638E04E5" w:rsidR="004C142C" w:rsidRPr="00C20C76" w:rsidRDefault="004C142C" w:rsidP="00167246">
      <w:pPr>
        <w:tabs>
          <w:tab w:val="left" w:pos="1701"/>
        </w:tabs>
        <w:ind w:left="1134" w:hanging="567"/>
        <w:rPr>
          <w:lang w:val="de-DE"/>
        </w:rPr>
      </w:pPr>
      <w:r w:rsidRPr="00C20C76">
        <w:rPr>
          <w:lang w:val="de-DE"/>
        </w:rPr>
        <w:t>xi)</w:t>
      </w:r>
      <w:r w:rsidRPr="00C20C76">
        <w:rPr>
          <w:lang w:val="de-DE"/>
        </w:rPr>
        <w:tab/>
      </w:r>
      <w:r w:rsidR="008B44FC" w:rsidRPr="00C20C76">
        <w:rPr>
          <w:snapToGrid w:val="0"/>
          <w:lang w:val="de-DE"/>
        </w:rPr>
        <w:t>Instrumente</w:t>
      </w:r>
      <w:r w:rsidR="0028739C" w:rsidRPr="00C20C76">
        <w:rPr>
          <w:snapToGrid w:val="0"/>
          <w:lang w:val="de-DE"/>
        </w:rPr>
        <w:t xml:space="preserve"> und </w:t>
      </w:r>
      <w:r w:rsidR="008B44FC" w:rsidRPr="00C20C76">
        <w:rPr>
          <w:snapToGrid w:val="0"/>
          <w:lang w:val="de-DE"/>
        </w:rPr>
        <w:t>Methoden</w:t>
      </w:r>
      <w:r w:rsidR="0028739C" w:rsidRPr="00C20C76">
        <w:rPr>
          <w:snapToGrid w:val="0"/>
          <w:lang w:val="de-DE"/>
        </w:rPr>
        <w:t xml:space="preserve"> für die DUS-Prüfung</w:t>
      </w:r>
      <w:r w:rsidRPr="00C20C76">
        <w:rPr>
          <w:lang w:val="de-DE"/>
        </w:rPr>
        <w:t>;</w:t>
      </w:r>
    </w:p>
    <w:p w14:paraId="662106FB" w14:textId="2487596F" w:rsidR="004C142C" w:rsidRPr="00C20C76" w:rsidRDefault="004C142C" w:rsidP="00167246">
      <w:pPr>
        <w:tabs>
          <w:tab w:val="left" w:pos="1701"/>
        </w:tabs>
        <w:ind w:left="1134" w:hanging="567"/>
        <w:rPr>
          <w:lang w:val="de-DE"/>
        </w:rPr>
      </w:pPr>
      <w:r w:rsidRPr="00C20C76">
        <w:rPr>
          <w:lang w:val="de-DE"/>
        </w:rPr>
        <w:t>xii)</w:t>
      </w:r>
      <w:r w:rsidRPr="00C20C76">
        <w:rPr>
          <w:lang w:val="de-DE"/>
        </w:rPr>
        <w:tab/>
      </w:r>
      <w:r w:rsidR="008B44FC" w:rsidRPr="00C20C76">
        <w:rPr>
          <w:lang w:val="de-DE"/>
        </w:rPr>
        <w:t>Phänotypenbestimmung</w:t>
      </w:r>
      <w:r w:rsidR="0028739C" w:rsidRPr="00C20C76">
        <w:rPr>
          <w:lang w:val="de-DE"/>
        </w:rPr>
        <w:t xml:space="preserve"> und Bildanalyse</w:t>
      </w:r>
      <w:r w:rsidR="00C144F8">
        <w:rPr>
          <w:lang w:val="de-DE"/>
        </w:rPr>
        <w:t>.</w:t>
      </w:r>
    </w:p>
    <w:p w14:paraId="1C15B44F" w14:textId="77777777" w:rsidR="004C142C" w:rsidRPr="00C20C76" w:rsidRDefault="004C142C" w:rsidP="00167246">
      <w:pPr>
        <w:tabs>
          <w:tab w:val="left" w:pos="1701"/>
        </w:tabs>
        <w:rPr>
          <w:rFonts w:cs="Arial"/>
          <w:lang w:val="de-DE"/>
        </w:rPr>
      </w:pPr>
    </w:p>
    <w:p w14:paraId="07B30E79" w14:textId="77777777" w:rsidR="004C142C" w:rsidRPr="00C20C76" w:rsidRDefault="004C142C" w:rsidP="00167246">
      <w:pPr>
        <w:keepNext/>
        <w:rPr>
          <w:color w:val="000000"/>
          <w:lang w:val="de-DE"/>
        </w:rPr>
      </w:pPr>
      <w:r w:rsidRPr="00C20C76">
        <w:rPr>
          <w:color w:val="000000"/>
          <w:lang w:val="de-DE"/>
        </w:rPr>
        <w:lastRenderedPageBreak/>
        <w:fldChar w:fldCharType="begin"/>
      </w:r>
      <w:r w:rsidRPr="00C20C76">
        <w:rPr>
          <w:color w:val="000000"/>
          <w:lang w:val="de-DE"/>
        </w:rPr>
        <w:instrText xml:space="preserve"> AUTONUM  </w:instrText>
      </w:r>
      <w:r w:rsidRPr="00C20C76">
        <w:rPr>
          <w:color w:val="000000"/>
          <w:lang w:val="de-DE"/>
        </w:rPr>
        <w:fldChar w:fldCharType="end"/>
      </w:r>
      <w:r w:rsidRPr="00C20C76">
        <w:rPr>
          <w:color w:val="000000"/>
          <w:lang w:val="de-DE"/>
        </w:rPr>
        <w:tab/>
        <w:t>In diesem Dokument werden die folgenden Abkürzungen verwendet:</w:t>
      </w:r>
    </w:p>
    <w:p w14:paraId="7B3EEE47" w14:textId="77777777" w:rsidR="004C142C" w:rsidRPr="00C20C76" w:rsidRDefault="004C142C" w:rsidP="00167246">
      <w:pPr>
        <w:keepNext/>
        <w:ind w:left="1692" w:hanging="1125"/>
        <w:jc w:val="left"/>
        <w:rPr>
          <w:color w:val="000000"/>
          <w:lang w:val="de-DE"/>
        </w:rPr>
      </w:pPr>
    </w:p>
    <w:p w14:paraId="38480E15" w14:textId="6E127EEE" w:rsidR="004C142C" w:rsidRPr="00C20C76" w:rsidRDefault="004C142C" w:rsidP="00167246">
      <w:pPr>
        <w:keepNext/>
        <w:tabs>
          <w:tab w:val="left" w:pos="567"/>
          <w:tab w:val="left" w:pos="1701"/>
        </w:tabs>
        <w:rPr>
          <w:lang w:val="de-DE"/>
        </w:rPr>
      </w:pPr>
      <w:r w:rsidRPr="00C20C76">
        <w:rPr>
          <w:lang w:val="de-DE"/>
        </w:rPr>
        <w:tab/>
        <w:t>CAJ:</w:t>
      </w:r>
      <w:r w:rsidRPr="00C20C76">
        <w:rPr>
          <w:lang w:val="de-DE"/>
        </w:rPr>
        <w:tab/>
        <w:t>Verwaltungs- und Rechtsausschu</w:t>
      </w:r>
      <w:r w:rsidR="008B44FC" w:rsidRPr="00C20C76">
        <w:rPr>
          <w:lang w:val="de-DE"/>
        </w:rPr>
        <w:t>ss</w:t>
      </w:r>
      <w:r w:rsidRPr="00C20C76">
        <w:rPr>
          <w:lang w:val="de-DE"/>
        </w:rPr>
        <w:t xml:space="preserve"> </w:t>
      </w:r>
    </w:p>
    <w:p w14:paraId="3F5111DF" w14:textId="77777777" w:rsidR="004C142C" w:rsidRPr="00C20C76" w:rsidRDefault="004C142C" w:rsidP="00167246">
      <w:pPr>
        <w:keepNext/>
        <w:tabs>
          <w:tab w:val="left" w:pos="567"/>
          <w:tab w:val="left" w:pos="1701"/>
        </w:tabs>
        <w:rPr>
          <w:lang w:val="de-DE"/>
        </w:rPr>
      </w:pPr>
      <w:r w:rsidRPr="00C20C76">
        <w:rPr>
          <w:lang w:val="de-DE"/>
        </w:rPr>
        <w:tab/>
        <w:t>TC:</w:t>
      </w:r>
      <w:r w:rsidRPr="00C20C76">
        <w:rPr>
          <w:lang w:val="de-DE"/>
        </w:rPr>
        <w:tab/>
        <w:t>Technischer Ausschuss</w:t>
      </w:r>
    </w:p>
    <w:p w14:paraId="2427747A" w14:textId="77777777" w:rsidR="004C142C" w:rsidRPr="00C20C76" w:rsidRDefault="004C142C" w:rsidP="00167246">
      <w:pPr>
        <w:keepNext/>
        <w:tabs>
          <w:tab w:val="left" w:pos="567"/>
          <w:tab w:val="left" w:pos="1701"/>
        </w:tabs>
        <w:rPr>
          <w:rFonts w:eastAsia="PMingLiU"/>
          <w:szCs w:val="24"/>
          <w:lang w:val="de-DE"/>
        </w:rPr>
      </w:pPr>
      <w:r w:rsidRPr="00C20C76">
        <w:rPr>
          <w:rFonts w:eastAsia="PMingLiU"/>
          <w:szCs w:val="24"/>
          <w:lang w:val="de-DE"/>
        </w:rPr>
        <w:tab/>
        <w:t>TC-EDC:</w:t>
      </w:r>
      <w:r w:rsidRPr="00C20C76">
        <w:rPr>
          <w:rFonts w:eastAsia="PMingLiU"/>
          <w:szCs w:val="24"/>
          <w:lang w:val="de-DE"/>
        </w:rPr>
        <w:tab/>
        <w:t>Erweiterter Redaktionsausschuss</w:t>
      </w:r>
    </w:p>
    <w:p w14:paraId="18AC2558" w14:textId="77777777" w:rsidR="004C142C" w:rsidRPr="00C20C76" w:rsidRDefault="004C142C" w:rsidP="00167246">
      <w:pPr>
        <w:keepNext/>
        <w:tabs>
          <w:tab w:val="left" w:pos="567"/>
          <w:tab w:val="left" w:pos="1701"/>
        </w:tabs>
        <w:rPr>
          <w:rFonts w:eastAsia="PMingLiU"/>
          <w:szCs w:val="24"/>
          <w:lang w:val="de-DE"/>
        </w:rPr>
      </w:pPr>
      <w:r w:rsidRPr="00C20C76">
        <w:rPr>
          <w:rFonts w:eastAsia="PMingLiU"/>
          <w:szCs w:val="24"/>
          <w:lang w:val="de-DE"/>
        </w:rPr>
        <w:tab/>
        <w:t>TWA:</w:t>
      </w:r>
      <w:r w:rsidRPr="00C20C76">
        <w:rPr>
          <w:rFonts w:eastAsia="PMingLiU"/>
          <w:szCs w:val="24"/>
          <w:lang w:val="de-DE"/>
        </w:rPr>
        <w:tab/>
        <w:t>Technische Arbeitsgruppe für landwirtschaftliche Arten</w:t>
      </w:r>
    </w:p>
    <w:p w14:paraId="1F215D37" w14:textId="77777777" w:rsidR="004C142C" w:rsidRPr="00C20C76" w:rsidRDefault="004C142C" w:rsidP="00167246">
      <w:pPr>
        <w:keepNext/>
        <w:tabs>
          <w:tab w:val="left" w:pos="567"/>
          <w:tab w:val="left" w:pos="1701"/>
        </w:tabs>
        <w:rPr>
          <w:rFonts w:eastAsia="PMingLiU"/>
          <w:szCs w:val="24"/>
          <w:lang w:val="de-DE"/>
        </w:rPr>
      </w:pPr>
      <w:r w:rsidRPr="00C20C76">
        <w:rPr>
          <w:rFonts w:eastAsia="PMingLiU"/>
          <w:szCs w:val="24"/>
          <w:lang w:val="de-DE"/>
        </w:rPr>
        <w:tab/>
        <w:t>TWC:</w:t>
      </w:r>
      <w:r w:rsidRPr="00C20C76">
        <w:rPr>
          <w:rFonts w:eastAsia="PMingLiU"/>
          <w:szCs w:val="24"/>
          <w:lang w:val="de-DE"/>
        </w:rPr>
        <w:tab/>
        <w:t>Technische Arbeitsgruppe für Automatisierung und Computerprogramme</w:t>
      </w:r>
    </w:p>
    <w:p w14:paraId="5E01BBF4" w14:textId="77777777" w:rsidR="004C142C" w:rsidRPr="00C20C76" w:rsidRDefault="004C142C" w:rsidP="00167246">
      <w:pPr>
        <w:keepNext/>
        <w:tabs>
          <w:tab w:val="left" w:pos="567"/>
          <w:tab w:val="left" w:pos="1701"/>
        </w:tabs>
        <w:rPr>
          <w:rFonts w:eastAsia="PMingLiU"/>
          <w:szCs w:val="24"/>
          <w:lang w:val="de-DE"/>
        </w:rPr>
      </w:pPr>
      <w:r w:rsidRPr="00C20C76">
        <w:rPr>
          <w:rFonts w:eastAsia="PMingLiU"/>
          <w:szCs w:val="24"/>
          <w:lang w:val="de-DE"/>
        </w:rPr>
        <w:tab/>
        <w:t xml:space="preserve">TWF: </w:t>
      </w:r>
      <w:r w:rsidRPr="00C20C76">
        <w:rPr>
          <w:rFonts w:eastAsia="PMingLiU"/>
          <w:szCs w:val="24"/>
          <w:lang w:val="de-DE"/>
        </w:rPr>
        <w:tab/>
        <w:t>Technische Arbeitsgruppe für Obstarten</w:t>
      </w:r>
    </w:p>
    <w:p w14:paraId="03946998" w14:textId="77777777" w:rsidR="004C142C" w:rsidRPr="00C20C76" w:rsidRDefault="004C142C" w:rsidP="00167246">
      <w:pPr>
        <w:keepNext/>
        <w:tabs>
          <w:tab w:val="left" w:pos="567"/>
          <w:tab w:val="left" w:pos="1701"/>
        </w:tabs>
        <w:rPr>
          <w:rFonts w:eastAsia="PMingLiU"/>
          <w:szCs w:val="24"/>
          <w:lang w:val="de-DE"/>
        </w:rPr>
      </w:pPr>
      <w:r w:rsidRPr="00C20C76">
        <w:rPr>
          <w:rFonts w:eastAsia="PMingLiU"/>
          <w:szCs w:val="24"/>
          <w:lang w:val="de-DE"/>
        </w:rPr>
        <w:tab/>
        <w:t>TWO:</w:t>
      </w:r>
      <w:r w:rsidRPr="00C20C76">
        <w:rPr>
          <w:rFonts w:eastAsia="PMingLiU"/>
          <w:szCs w:val="24"/>
          <w:lang w:val="de-DE"/>
        </w:rPr>
        <w:tab/>
        <w:t>Technische Arbeitsgruppe für Zierpflanzen und forstliche Baumarten</w:t>
      </w:r>
    </w:p>
    <w:p w14:paraId="6FA3998C" w14:textId="569C674C" w:rsidR="004C142C" w:rsidRPr="00C20C76" w:rsidRDefault="004C142C" w:rsidP="00167246">
      <w:pPr>
        <w:keepNext/>
        <w:tabs>
          <w:tab w:val="left" w:pos="567"/>
          <w:tab w:val="left" w:pos="1701"/>
        </w:tabs>
        <w:rPr>
          <w:rFonts w:eastAsia="PMingLiU"/>
          <w:szCs w:val="24"/>
          <w:lang w:val="de-DE"/>
        </w:rPr>
      </w:pPr>
      <w:r w:rsidRPr="00C20C76">
        <w:rPr>
          <w:rFonts w:eastAsia="PMingLiU"/>
          <w:szCs w:val="24"/>
          <w:lang w:val="de-DE"/>
        </w:rPr>
        <w:tab/>
        <w:t>TWP:</w:t>
      </w:r>
      <w:r w:rsidRPr="00C20C76">
        <w:rPr>
          <w:rFonts w:eastAsia="PMingLiU"/>
          <w:szCs w:val="24"/>
          <w:lang w:val="de-DE"/>
        </w:rPr>
        <w:tab/>
        <w:t>Technische Arbeitsgruppen</w:t>
      </w:r>
    </w:p>
    <w:p w14:paraId="72468BF0" w14:textId="77777777" w:rsidR="004C142C" w:rsidRPr="00C20C76" w:rsidRDefault="004C142C" w:rsidP="00167246">
      <w:pPr>
        <w:keepNext/>
        <w:tabs>
          <w:tab w:val="left" w:pos="567"/>
          <w:tab w:val="left" w:pos="1701"/>
        </w:tabs>
        <w:rPr>
          <w:rFonts w:eastAsia="PMingLiU"/>
          <w:szCs w:val="24"/>
          <w:lang w:val="de-DE"/>
        </w:rPr>
      </w:pPr>
      <w:r w:rsidRPr="00C20C76">
        <w:rPr>
          <w:rFonts w:eastAsia="PMingLiU"/>
          <w:szCs w:val="24"/>
          <w:lang w:val="de-DE"/>
        </w:rPr>
        <w:tab/>
        <w:t>TWV:</w:t>
      </w:r>
      <w:r w:rsidRPr="00C20C76">
        <w:rPr>
          <w:rFonts w:eastAsia="PMingLiU"/>
          <w:szCs w:val="24"/>
          <w:lang w:val="de-DE"/>
        </w:rPr>
        <w:tab/>
        <w:t>Technische Arbeitsgruppe für Gemüsearten</w:t>
      </w:r>
    </w:p>
    <w:p w14:paraId="17736E9A" w14:textId="77777777" w:rsidR="004C142C" w:rsidRPr="00C20C76" w:rsidRDefault="004C142C" w:rsidP="00167246">
      <w:pPr>
        <w:rPr>
          <w:highlight w:val="cyan"/>
          <w:lang w:val="de-DE"/>
        </w:rPr>
      </w:pPr>
    </w:p>
    <w:p w14:paraId="4266B986" w14:textId="25BA435C" w:rsidR="004C142C" w:rsidRPr="00C20C76" w:rsidRDefault="004C142C" w:rsidP="00167246">
      <w:pPr>
        <w:rPr>
          <w:lang w:val="de-DE"/>
        </w:rPr>
      </w:pPr>
      <w:r w:rsidRPr="00C20C76">
        <w:rPr>
          <w:color w:val="000000"/>
          <w:lang w:val="de-DE"/>
        </w:rPr>
        <w:fldChar w:fldCharType="begin"/>
      </w:r>
      <w:r w:rsidRPr="00C20C76">
        <w:rPr>
          <w:color w:val="000000"/>
          <w:lang w:val="de-DE"/>
        </w:rPr>
        <w:instrText xml:space="preserve"> AUTONUM  </w:instrText>
      </w:r>
      <w:r w:rsidRPr="00C20C76">
        <w:rPr>
          <w:color w:val="000000"/>
          <w:lang w:val="de-DE"/>
        </w:rPr>
        <w:fldChar w:fldCharType="end"/>
      </w:r>
      <w:r w:rsidRPr="00C20C76">
        <w:rPr>
          <w:color w:val="000000"/>
          <w:lang w:val="de-DE"/>
        </w:rPr>
        <w:tab/>
      </w:r>
      <w:r w:rsidR="008B44FC" w:rsidRPr="00C20C76">
        <w:rPr>
          <w:lang w:val="de-DE"/>
        </w:rPr>
        <w:t>Der Aufbau dieses Dokuments ist wie folgt</w:t>
      </w:r>
      <w:r w:rsidRPr="00C20C76">
        <w:rPr>
          <w:lang w:val="de-DE"/>
        </w:rPr>
        <w:t>:</w:t>
      </w:r>
    </w:p>
    <w:p w14:paraId="79E830A1" w14:textId="77777777" w:rsidR="004C142C" w:rsidRPr="00C20C76" w:rsidRDefault="004C142C" w:rsidP="00167246">
      <w:pPr>
        <w:rPr>
          <w:lang w:val="de-DE"/>
        </w:rPr>
      </w:pPr>
    </w:p>
    <w:p w14:paraId="53A72AB3" w14:textId="71369CE9" w:rsidR="00402E8F" w:rsidRDefault="004C142C">
      <w:pPr>
        <w:pStyle w:val="TOC1"/>
        <w:rPr>
          <w:rFonts w:asciiTheme="minorHAnsi" w:eastAsiaTheme="minorEastAsia" w:hAnsiTheme="minorHAnsi" w:cstheme="minorBidi"/>
          <w:caps w:val="0"/>
          <w:noProof/>
          <w:sz w:val="22"/>
          <w:szCs w:val="22"/>
          <w:lang w:val="de-DE" w:eastAsia="de-DE"/>
        </w:rPr>
      </w:pPr>
      <w:r w:rsidRPr="00C20C76">
        <w:rPr>
          <w:rFonts w:eastAsia="MS Mincho" w:cs="Arial"/>
          <w:lang w:val="de-DE" w:eastAsia="ja-JP"/>
        </w:rPr>
        <w:fldChar w:fldCharType="begin"/>
      </w:r>
      <w:r w:rsidRPr="00C20C76">
        <w:rPr>
          <w:rFonts w:eastAsia="MS Mincho" w:cs="Arial"/>
          <w:lang w:val="de-DE" w:eastAsia="ja-JP"/>
        </w:rPr>
        <w:instrText xml:space="preserve"> TOC \o "1-2" \u </w:instrText>
      </w:r>
      <w:r w:rsidRPr="00C20C76">
        <w:rPr>
          <w:rFonts w:eastAsia="MS Mincho" w:cs="Arial"/>
          <w:lang w:val="de-DE" w:eastAsia="ja-JP"/>
        </w:rPr>
        <w:fldChar w:fldCharType="separate"/>
      </w:r>
      <w:r w:rsidR="00402E8F" w:rsidRPr="007D16B5">
        <w:rPr>
          <w:noProof/>
          <w:lang w:val="de-DE"/>
        </w:rPr>
        <w:t>ZUSAMMENFASSUNG</w:t>
      </w:r>
      <w:r w:rsidR="00402E8F" w:rsidRPr="00402E8F">
        <w:rPr>
          <w:noProof/>
          <w:lang w:val="de-DE"/>
        </w:rPr>
        <w:tab/>
      </w:r>
      <w:r w:rsidR="00402E8F">
        <w:rPr>
          <w:noProof/>
        </w:rPr>
        <w:fldChar w:fldCharType="begin"/>
      </w:r>
      <w:r w:rsidR="00402E8F" w:rsidRPr="00402E8F">
        <w:rPr>
          <w:noProof/>
          <w:lang w:val="de-DE"/>
        </w:rPr>
        <w:instrText xml:space="preserve"> PAGEREF _Toc54170620 \h </w:instrText>
      </w:r>
      <w:r w:rsidR="00402E8F">
        <w:rPr>
          <w:noProof/>
        </w:rPr>
      </w:r>
      <w:r w:rsidR="00402E8F">
        <w:rPr>
          <w:noProof/>
        </w:rPr>
        <w:fldChar w:fldCharType="separate"/>
      </w:r>
      <w:r w:rsidR="00402E8F" w:rsidRPr="00402E8F">
        <w:rPr>
          <w:noProof/>
          <w:lang w:val="de-DE"/>
        </w:rPr>
        <w:t>1</w:t>
      </w:r>
      <w:r w:rsidR="00402E8F">
        <w:rPr>
          <w:noProof/>
        </w:rPr>
        <w:fldChar w:fldCharType="end"/>
      </w:r>
    </w:p>
    <w:p w14:paraId="4F1DF9F5" w14:textId="336C4C64" w:rsidR="00402E8F" w:rsidRDefault="00402E8F">
      <w:pPr>
        <w:pStyle w:val="TOC1"/>
        <w:rPr>
          <w:rFonts w:asciiTheme="minorHAnsi" w:eastAsiaTheme="minorEastAsia" w:hAnsiTheme="minorHAnsi" w:cstheme="minorBidi"/>
          <w:caps w:val="0"/>
          <w:noProof/>
          <w:sz w:val="22"/>
          <w:szCs w:val="22"/>
          <w:lang w:val="de-DE" w:eastAsia="de-DE"/>
        </w:rPr>
      </w:pPr>
      <w:r w:rsidRPr="007D16B5">
        <w:rPr>
          <w:noProof/>
          <w:lang w:val="de-DE"/>
        </w:rPr>
        <w:t>Fragen zur Information und für eine vom Technischen AusschuSS (TC) gegebenenfalls zu treffende Entscheidung</w:t>
      </w:r>
      <w:r w:rsidRPr="00402E8F">
        <w:rPr>
          <w:noProof/>
          <w:lang w:val="de-DE"/>
        </w:rPr>
        <w:tab/>
      </w:r>
      <w:r>
        <w:rPr>
          <w:noProof/>
        </w:rPr>
        <w:fldChar w:fldCharType="begin"/>
      </w:r>
      <w:r w:rsidRPr="00402E8F">
        <w:rPr>
          <w:noProof/>
          <w:lang w:val="de-DE"/>
        </w:rPr>
        <w:instrText xml:space="preserve"> PAGEREF _Toc54170621 \h </w:instrText>
      </w:r>
      <w:r>
        <w:rPr>
          <w:noProof/>
        </w:rPr>
      </w:r>
      <w:r>
        <w:rPr>
          <w:noProof/>
        </w:rPr>
        <w:fldChar w:fldCharType="separate"/>
      </w:r>
      <w:r w:rsidRPr="00402E8F">
        <w:rPr>
          <w:noProof/>
          <w:lang w:val="de-DE"/>
        </w:rPr>
        <w:t>2</w:t>
      </w:r>
      <w:r>
        <w:rPr>
          <w:noProof/>
        </w:rPr>
        <w:fldChar w:fldCharType="end"/>
      </w:r>
    </w:p>
    <w:p w14:paraId="4C0AF92E" w14:textId="75945603" w:rsidR="00402E8F" w:rsidRDefault="00402E8F">
      <w:pPr>
        <w:pStyle w:val="TOC1"/>
        <w:rPr>
          <w:rFonts w:asciiTheme="minorHAnsi" w:eastAsiaTheme="minorEastAsia" w:hAnsiTheme="minorHAnsi" w:cstheme="minorBidi"/>
          <w:caps w:val="0"/>
          <w:noProof/>
          <w:sz w:val="22"/>
          <w:szCs w:val="22"/>
          <w:lang w:val="de-DE" w:eastAsia="de-DE"/>
        </w:rPr>
      </w:pPr>
      <w:r w:rsidRPr="007D16B5">
        <w:rPr>
          <w:noProof/>
          <w:lang w:val="de-DE"/>
        </w:rPr>
        <w:t>Fragen zur Information</w:t>
      </w:r>
      <w:r w:rsidRPr="00402E8F">
        <w:rPr>
          <w:noProof/>
          <w:lang w:val="de-DE"/>
        </w:rPr>
        <w:tab/>
      </w:r>
      <w:r>
        <w:rPr>
          <w:noProof/>
        </w:rPr>
        <w:fldChar w:fldCharType="begin"/>
      </w:r>
      <w:r w:rsidRPr="00402E8F">
        <w:rPr>
          <w:noProof/>
          <w:lang w:val="de-DE"/>
        </w:rPr>
        <w:instrText xml:space="preserve"> PAGEREF _Toc54170622 \h </w:instrText>
      </w:r>
      <w:r>
        <w:rPr>
          <w:noProof/>
        </w:rPr>
      </w:r>
      <w:r>
        <w:rPr>
          <w:noProof/>
        </w:rPr>
        <w:fldChar w:fldCharType="separate"/>
      </w:r>
      <w:r w:rsidRPr="00402E8F">
        <w:rPr>
          <w:noProof/>
          <w:lang w:val="de-DE"/>
        </w:rPr>
        <w:t>2</w:t>
      </w:r>
      <w:r>
        <w:rPr>
          <w:noProof/>
        </w:rPr>
        <w:fldChar w:fldCharType="end"/>
      </w:r>
    </w:p>
    <w:p w14:paraId="5C0636FF" w14:textId="461D3A94"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Neue Fragen, die sich für die DUS-Prüfung ergeben</w:t>
      </w:r>
      <w:r w:rsidRPr="00402E8F">
        <w:rPr>
          <w:noProof/>
          <w:lang w:val="de-DE"/>
        </w:rPr>
        <w:tab/>
      </w:r>
      <w:r>
        <w:rPr>
          <w:noProof/>
        </w:rPr>
        <w:fldChar w:fldCharType="begin"/>
      </w:r>
      <w:r w:rsidRPr="00402E8F">
        <w:rPr>
          <w:noProof/>
          <w:lang w:val="de-DE"/>
        </w:rPr>
        <w:instrText xml:space="preserve"> PAGEREF _Toc54170623 \h </w:instrText>
      </w:r>
      <w:r>
        <w:rPr>
          <w:noProof/>
        </w:rPr>
      </w:r>
      <w:r>
        <w:rPr>
          <w:noProof/>
        </w:rPr>
        <w:fldChar w:fldCharType="separate"/>
      </w:r>
      <w:r w:rsidRPr="00402E8F">
        <w:rPr>
          <w:noProof/>
          <w:lang w:val="de-DE"/>
        </w:rPr>
        <w:t>2</w:t>
      </w:r>
      <w:r>
        <w:rPr>
          <w:noProof/>
        </w:rPr>
        <w:fldChar w:fldCharType="end"/>
      </w:r>
    </w:p>
    <w:p w14:paraId="7578B3F1" w14:textId="2E23D7AD"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Verwendung von Krankheitsresistenzmerkmalen</w:t>
      </w:r>
      <w:r w:rsidRPr="00402E8F">
        <w:rPr>
          <w:noProof/>
          <w:lang w:val="de-DE"/>
        </w:rPr>
        <w:tab/>
      </w:r>
      <w:r>
        <w:rPr>
          <w:noProof/>
        </w:rPr>
        <w:fldChar w:fldCharType="begin"/>
      </w:r>
      <w:r w:rsidRPr="00402E8F">
        <w:rPr>
          <w:noProof/>
          <w:lang w:val="de-DE"/>
        </w:rPr>
        <w:instrText xml:space="preserve"> PAGEREF _Toc54170624 \h </w:instrText>
      </w:r>
      <w:r>
        <w:rPr>
          <w:noProof/>
        </w:rPr>
      </w:r>
      <w:r>
        <w:rPr>
          <w:noProof/>
        </w:rPr>
        <w:fldChar w:fldCharType="separate"/>
      </w:r>
      <w:r w:rsidRPr="00402E8F">
        <w:rPr>
          <w:noProof/>
          <w:lang w:val="de-DE"/>
        </w:rPr>
        <w:t>3</w:t>
      </w:r>
      <w:r>
        <w:rPr>
          <w:noProof/>
        </w:rPr>
        <w:fldChar w:fldCharType="end"/>
      </w:r>
    </w:p>
    <w:p w14:paraId="329C268D" w14:textId="08F8C87D"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Mögliche Entwicklungen, um zu ermöglichen, dass UPOV-Codes nützliche Informationen über Sortengruppen oder -typen für DUS-Prüfungszwecke liefern (Projekt Plavarlis - UPOV-Codes)</w:t>
      </w:r>
      <w:r w:rsidRPr="00402E8F">
        <w:rPr>
          <w:noProof/>
          <w:lang w:val="de-DE"/>
        </w:rPr>
        <w:tab/>
      </w:r>
      <w:r>
        <w:rPr>
          <w:noProof/>
        </w:rPr>
        <w:fldChar w:fldCharType="begin"/>
      </w:r>
      <w:r w:rsidRPr="00402E8F">
        <w:rPr>
          <w:noProof/>
          <w:lang w:val="de-DE"/>
        </w:rPr>
        <w:instrText xml:space="preserve"> PAGEREF _Toc54170625 \h </w:instrText>
      </w:r>
      <w:r>
        <w:rPr>
          <w:noProof/>
        </w:rPr>
      </w:r>
      <w:r>
        <w:rPr>
          <w:noProof/>
        </w:rPr>
        <w:fldChar w:fldCharType="separate"/>
      </w:r>
      <w:r w:rsidRPr="00402E8F">
        <w:rPr>
          <w:noProof/>
          <w:lang w:val="de-DE"/>
        </w:rPr>
        <w:t>3</w:t>
      </w:r>
      <w:r>
        <w:rPr>
          <w:noProof/>
        </w:rPr>
        <w:fldChar w:fldCharType="end"/>
      </w:r>
    </w:p>
    <w:p w14:paraId="2B7FCEC2" w14:textId="755A792B"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Mindestabstände zwischen vegetativ vermehrten Ziersorten</w:t>
      </w:r>
      <w:r w:rsidRPr="00402E8F">
        <w:rPr>
          <w:noProof/>
          <w:lang w:val="de-DE"/>
        </w:rPr>
        <w:tab/>
      </w:r>
      <w:r>
        <w:rPr>
          <w:noProof/>
        </w:rPr>
        <w:fldChar w:fldCharType="begin"/>
      </w:r>
      <w:r w:rsidRPr="00402E8F">
        <w:rPr>
          <w:noProof/>
          <w:lang w:val="de-DE"/>
        </w:rPr>
        <w:instrText xml:space="preserve"> PAGEREF _Toc54170626 \h </w:instrText>
      </w:r>
      <w:r>
        <w:rPr>
          <w:noProof/>
        </w:rPr>
      </w:r>
      <w:r>
        <w:rPr>
          <w:noProof/>
        </w:rPr>
        <w:fldChar w:fldCharType="separate"/>
      </w:r>
      <w:r w:rsidRPr="00402E8F">
        <w:rPr>
          <w:noProof/>
          <w:lang w:val="de-DE"/>
        </w:rPr>
        <w:t>4</w:t>
      </w:r>
      <w:r>
        <w:rPr>
          <w:noProof/>
        </w:rPr>
        <w:fldChar w:fldCharType="end"/>
      </w:r>
    </w:p>
    <w:p w14:paraId="612BB2A7" w14:textId="42EBFBCD"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Zugang zu Pflanzenmaterial zum Zweck der Verwaltung von Sortensammlungen und der DUS-Prüfung</w:t>
      </w:r>
      <w:r w:rsidRPr="00402E8F">
        <w:rPr>
          <w:noProof/>
          <w:lang w:val="de-DE"/>
        </w:rPr>
        <w:tab/>
      </w:r>
      <w:r>
        <w:rPr>
          <w:noProof/>
        </w:rPr>
        <w:fldChar w:fldCharType="begin"/>
      </w:r>
      <w:r w:rsidRPr="00402E8F">
        <w:rPr>
          <w:noProof/>
          <w:lang w:val="de-DE"/>
        </w:rPr>
        <w:instrText xml:space="preserve"> PAGEREF _Toc54170627 \h </w:instrText>
      </w:r>
      <w:r>
        <w:rPr>
          <w:noProof/>
        </w:rPr>
      </w:r>
      <w:r>
        <w:rPr>
          <w:noProof/>
        </w:rPr>
        <w:fldChar w:fldCharType="separate"/>
      </w:r>
      <w:r w:rsidRPr="00402E8F">
        <w:rPr>
          <w:noProof/>
          <w:lang w:val="de-DE"/>
        </w:rPr>
        <w:t>4</w:t>
      </w:r>
      <w:r>
        <w:rPr>
          <w:noProof/>
        </w:rPr>
        <w:fldChar w:fldCharType="end"/>
      </w:r>
    </w:p>
    <w:p w14:paraId="6471AA20" w14:textId="40CD74F8"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DUS-Prüfung von Mutantensorten bei Apfel</w:t>
      </w:r>
      <w:r w:rsidRPr="00402E8F">
        <w:rPr>
          <w:noProof/>
          <w:lang w:val="de-DE"/>
        </w:rPr>
        <w:tab/>
      </w:r>
      <w:r>
        <w:rPr>
          <w:noProof/>
        </w:rPr>
        <w:fldChar w:fldCharType="begin"/>
      </w:r>
      <w:r w:rsidRPr="00402E8F">
        <w:rPr>
          <w:noProof/>
          <w:lang w:val="de-DE"/>
        </w:rPr>
        <w:instrText xml:space="preserve"> PAGEREF _Toc54170628 \h </w:instrText>
      </w:r>
      <w:r>
        <w:rPr>
          <w:noProof/>
        </w:rPr>
      </w:r>
      <w:r>
        <w:rPr>
          <w:noProof/>
        </w:rPr>
        <w:fldChar w:fldCharType="separate"/>
      </w:r>
      <w:r w:rsidRPr="00402E8F">
        <w:rPr>
          <w:noProof/>
          <w:lang w:val="de-DE"/>
        </w:rPr>
        <w:t>4</w:t>
      </w:r>
      <w:r>
        <w:rPr>
          <w:noProof/>
        </w:rPr>
        <w:fldChar w:fldCharType="end"/>
      </w:r>
    </w:p>
    <w:p w14:paraId="77987852" w14:textId="7E5BF8C6"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Maßgebliche Fragen bei der DUS-Prüfung im Obstsektor</w:t>
      </w:r>
      <w:r w:rsidRPr="00402E8F">
        <w:rPr>
          <w:noProof/>
          <w:lang w:val="de-DE"/>
        </w:rPr>
        <w:tab/>
      </w:r>
      <w:r>
        <w:rPr>
          <w:noProof/>
        </w:rPr>
        <w:fldChar w:fldCharType="begin"/>
      </w:r>
      <w:r w:rsidRPr="00402E8F">
        <w:rPr>
          <w:noProof/>
          <w:lang w:val="de-DE"/>
        </w:rPr>
        <w:instrText xml:space="preserve"> PAGEREF _Toc54170629 \h </w:instrText>
      </w:r>
      <w:r>
        <w:rPr>
          <w:noProof/>
        </w:rPr>
      </w:r>
      <w:r>
        <w:rPr>
          <w:noProof/>
        </w:rPr>
        <w:fldChar w:fldCharType="separate"/>
      </w:r>
      <w:r w:rsidRPr="00402E8F">
        <w:rPr>
          <w:noProof/>
          <w:lang w:val="de-DE"/>
        </w:rPr>
        <w:t>5</w:t>
      </w:r>
      <w:r>
        <w:rPr>
          <w:noProof/>
        </w:rPr>
        <w:fldChar w:fldCharType="end"/>
      </w:r>
    </w:p>
    <w:p w14:paraId="2F4CD4CE" w14:textId="2DB39FC5"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Anleitung für Verfasser von Prüfungsrichtlinien</w:t>
      </w:r>
      <w:r w:rsidRPr="00402E8F">
        <w:rPr>
          <w:noProof/>
          <w:lang w:val="de-DE"/>
        </w:rPr>
        <w:tab/>
      </w:r>
      <w:r>
        <w:rPr>
          <w:noProof/>
        </w:rPr>
        <w:fldChar w:fldCharType="begin"/>
      </w:r>
      <w:r w:rsidRPr="00402E8F">
        <w:rPr>
          <w:noProof/>
          <w:lang w:val="de-DE"/>
        </w:rPr>
        <w:instrText xml:space="preserve"> PAGEREF _Toc54170630 \h </w:instrText>
      </w:r>
      <w:r>
        <w:rPr>
          <w:noProof/>
        </w:rPr>
      </w:r>
      <w:r>
        <w:rPr>
          <w:noProof/>
        </w:rPr>
        <w:fldChar w:fldCharType="separate"/>
      </w:r>
      <w:r w:rsidRPr="00402E8F">
        <w:rPr>
          <w:noProof/>
          <w:lang w:val="de-DE"/>
        </w:rPr>
        <w:t>5</w:t>
      </w:r>
      <w:r>
        <w:rPr>
          <w:noProof/>
        </w:rPr>
        <w:fldChar w:fldCharType="end"/>
      </w:r>
    </w:p>
    <w:p w14:paraId="318CB5C8" w14:textId="0A74BA48"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Erfahrungen mit neuen Typen und Arten</w:t>
      </w:r>
      <w:r w:rsidRPr="00402E8F">
        <w:rPr>
          <w:noProof/>
          <w:lang w:val="de-DE"/>
        </w:rPr>
        <w:tab/>
      </w:r>
      <w:r>
        <w:rPr>
          <w:noProof/>
        </w:rPr>
        <w:fldChar w:fldCharType="begin"/>
      </w:r>
      <w:r w:rsidRPr="00402E8F">
        <w:rPr>
          <w:noProof/>
          <w:lang w:val="de-DE"/>
        </w:rPr>
        <w:instrText xml:space="preserve"> PAGEREF _Toc54170631 \h </w:instrText>
      </w:r>
      <w:r>
        <w:rPr>
          <w:noProof/>
        </w:rPr>
      </w:r>
      <w:r>
        <w:rPr>
          <w:noProof/>
        </w:rPr>
        <w:fldChar w:fldCharType="separate"/>
      </w:r>
      <w:r w:rsidRPr="00402E8F">
        <w:rPr>
          <w:noProof/>
          <w:lang w:val="de-DE"/>
        </w:rPr>
        <w:t>6</w:t>
      </w:r>
      <w:r>
        <w:rPr>
          <w:noProof/>
        </w:rPr>
        <w:fldChar w:fldCharType="end"/>
      </w:r>
    </w:p>
    <w:p w14:paraId="7E26966A" w14:textId="5EAD00C8"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Software für statistische Analyse „DUS Excel“</w:t>
      </w:r>
      <w:r w:rsidRPr="00402E8F">
        <w:rPr>
          <w:noProof/>
          <w:lang w:val="de-DE"/>
        </w:rPr>
        <w:tab/>
      </w:r>
      <w:r>
        <w:rPr>
          <w:noProof/>
        </w:rPr>
        <w:fldChar w:fldCharType="begin"/>
      </w:r>
      <w:r w:rsidRPr="00402E8F">
        <w:rPr>
          <w:noProof/>
          <w:lang w:val="de-DE"/>
        </w:rPr>
        <w:instrText xml:space="preserve"> PAGEREF _Toc54170632 \h </w:instrText>
      </w:r>
      <w:r>
        <w:rPr>
          <w:noProof/>
        </w:rPr>
      </w:r>
      <w:r>
        <w:rPr>
          <w:noProof/>
        </w:rPr>
        <w:fldChar w:fldCharType="separate"/>
      </w:r>
      <w:r w:rsidRPr="00402E8F">
        <w:rPr>
          <w:noProof/>
          <w:lang w:val="de-DE"/>
        </w:rPr>
        <w:t>6</w:t>
      </w:r>
      <w:r>
        <w:rPr>
          <w:noProof/>
        </w:rPr>
        <w:fldChar w:fldCharType="end"/>
      </w:r>
    </w:p>
    <w:p w14:paraId="29655BC4" w14:textId="0DA6CB12" w:rsidR="00402E8F" w:rsidRDefault="00402E8F">
      <w:pPr>
        <w:pStyle w:val="TOC2"/>
        <w:rPr>
          <w:rFonts w:asciiTheme="minorHAnsi" w:eastAsiaTheme="minorEastAsia" w:hAnsiTheme="minorHAnsi" w:cstheme="minorBidi"/>
          <w:noProof/>
          <w:sz w:val="22"/>
          <w:szCs w:val="22"/>
          <w:lang w:val="de-DE" w:eastAsia="de-DE"/>
        </w:rPr>
      </w:pPr>
      <w:r w:rsidRPr="007D16B5">
        <w:rPr>
          <w:noProof/>
          <w:snapToGrid w:val="0"/>
          <w:lang w:val="de-DE"/>
        </w:rPr>
        <w:t>Instrumente und Methoden für die DUS-Prüfung</w:t>
      </w:r>
      <w:r w:rsidRPr="00402E8F">
        <w:rPr>
          <w:noProof/>
          <w:lang w:val="de-DE"/>
        </w:rPr>
        <w:tab/>
      </w:r>
      <w:r>
        <w:rPr>
          <w:noProof/>
        </w:rPr>
        <w:fldChar w:fldCharType="begin"/>
      </w:r>
      <w:r w:rsidRPr="00402E8F">
        <w:rPr>
          <w:noProof/>
          <w:lang w:val="de-DE"/>
        </w:rPr>
        <w:instrText xml:space="preserve"> PAGEREF _Toc54170633 \h </w:instrText>
      </w:r>
      <w:r>
        <w:rPr>
          <w:noProof/>
        </w:rPr>
      </w:r>
      <w:r>
        <w:rPr>
          <w:noProof/>
        </w:rPr>
        <w:fldChar w:fldCharType="separate"/>
      </w:r>
      <w:r w:rsidRPr="00402E8F">
        <w:rPr>
          <w:noProof/>
          <w:lang w:val="de-DE"/>
        </w:rPr>
        <w:t>6</w:t>
      </w:r>
      <w:r>
        <w:rPr>
          <w:noProof/>
        </w:rPr>
        <w:fldChar w:fldCharType="end"/>
      </w:r>
    </w:p>
    <w:p w14:paraId="307E4067" w14:textId="5916EF4E" w:rsidR="00402E8F" w:rsidRDefault="00402E8F">
      <w:pPr>
        <w:pStyle w:val="TOC2"/>
        <w:rPr>
          <w:rFonts w:asciiTheme="minorHAnsi" w:eastAsiaTheme="minorEastAsia" w:hAnsiTheme="minorHAnsi" w:cstheme="minorBidi"/>
          <w:noProof/>
          <w:sz w:val="22"/>
          <w:szCs w:val="22"/>
          <w:lang w:val="de-DE" w:eastAsia="de-DE"/>
        </w:rPr>
      </w:pPr>
      <w:r w:rsidRPr="007D16B5">
        <w:rPr>
          <w:noProof/>
          <w:lang w:val="de-DE"/>
        </w:rPr>
        <w:t>Phänotypenbestimmung und Bildanalyse</w:t>
      </w:r>
      <w:r w:rsidRPr="00C144F8">
        <w:rPr>
          <w:noProof/>
          <w:lang w:val="de-DE"/>
        </w:rPr>
        <w:tab/>
      </w:r>
      <w:r>
        <w:rPr>
          <w:noProof/>
        </w:rPr>
        <w:fldChar w:fldCharType="begin"/>
      </w:r>
      <w:r w:rsidRPr="00C144F8">
        <w:rPr>
          <w:noProof/>
          <w:lang w:val="de-DE"/>
        </w:rPr>
        <w:instrText xml:space="preserve"> PAGEREF _Toc54170634 \h </w:instrText>
      </w:r>
      <w:r>
        <w:rPr>
          <w:noProof/>
        </w:rPr>
      </w:r>
      <w:r>
        <w:rPr>
          <w:noProof/>
        </w:rPr>
        <w:fldChar w:fldCharType="separate"/>
      </w:r>
      <w:r w:rsidRPr="00C144F8">
        <w:rPr>
          <w:noProof/>
          <w:lang w:val="de-DE"/>
        </w:rPr>
        <w:t>7</w:t>
      </w:r>
      <w:r>
        <w:rPr>
          <w:noProof/>
        </w:rPr>
        <w:fldChar w:fldCharType="end"/>
      </w:r>
    </w:p>
    <w:p w14:paraId="57EF29D9" w14:textId="76796CDB" w:rsidR="004C142C" w:rsidRPr="00C20C76" w:rsidRDefault="004C142C" w:rsidP="00167246">
      <w:pPr>
        <w:rPr>
          <w:rFonts w:asciiTheme="minorHAnsi" w:eastAsiaTheme="minorEastAsia" w:hAnsiTheme="minorHAnsi" w:cstheme="minorBidi"/>
          <w:sz w:val="22"/>
          <w:szCs w:val="22"/>
          <w:lang w:val="de-DE"/>
        </w:rPr>
      </w:pPr>
      <w:r w:rsidRPr="00C20C76">
        <w:rPr>
          <w:rFonts w:eastAsia="MS Mincho" w:cs="Arial"/>
          <w:bCs/>
          <w:i/>
          <w:lang w:val="de-DE" w:eastAsia="ja-JP"/>
        </w:rPr>
        <w:fldChar w:fldCharType="end"/>
      </w:r>
      <w:r w:rsidRPr="00C20C76">
        <w:rPr>
          <w:caps/>
          <w:sz w:val="18"/>
          <w:lang w:val="de-DE"/>
        </w:rPr>
        <w:fldChar w:fldCharType="begin"/>
      </w:r>
      <w:r w:rsidRPr="00C20C76">
        <w:rPr>
          <w:lang w:val="de-DE"/>
        </w:rPr>
        <w:instrText xml:space="preserve"> TOC \o "1-3" \h \z \u </w:instrText>
      </w:r>
      <w:r w:rsidRPr="00C20C76">
        <w:rPr>
          <w:caps/>
          <w:sz w:val="18"/>
          <w:lang w:val="de-DE"/>
        </w:rPr>
        <w:fldChar w:fldCharType="separate"/>
      </w:r>
    </w:p>
    <w:p w14:paraId="0D254B8B" w14:textId="77777777" w:rsidR="004C142C" w:rsidRPr="00C20C76" w:rsidRDefault="004C142C" w:rsidP="00167246">
      <w:pPr>
        <w:tabs>
          <w:tab w:val="left" w:pos="567"/>
        </w:tabs>
        <w:rPr>
          <w:rFonts w:cs="Arial"/>
          <w:lang w:val="de-DE"/>
        </w:rPr>
      </w:pPr>
      <w:r w:rsidRPr="00C20C76">
        <w:rPr>
          <w:lang w:val="de-DE"/>
        </w:rPr>
        <w:fldChar w:fldCharType="end"/>
      </w:r>
    </w:p>
    <w:p w14:paraId="1C67CB98" w14:textId="77777777" w:rsidR="008B44FC" w:rsidRPr="00C20C76" w:rsidRDefault="008B44FC" w:rsidP="00167246">
      <w:pPr>
        <w:pStyle w:val="Heading1"/>
        <w:rPr>
          <w:rFonts w:ascii="PMingLiU" w:eastAsia="PMingLiU"/>
          <w:szCs w:val="24"/>
          <w:lang w:val="de-DE"/>
        </w:rPr>
      </w:pPr>
      <w:bookmarkStart w:id="4" w:name="_Toc22044959"/>
      <w:bookmarkStart w:id="5" w:name="_Toc22053611"/>
      <w:bookmarkStart w:id="6" w:name="_Toc54170621"/>
      <w:r w:rsidRPr="00C20C76">
        <w:rPr>
          <w:szCs w:val="24"/>
          <w:lang w:val="de-DE"/>
        </w:rPr>
        <w:t>Fragen zur Information und für eine vom Technischen AusschuSS (TC) gegebenenfalls zu treffende Entscheidung</w:t>
      </w:r>
      <w:bookmarkEnd w:id="4"/>
      <w:bookmarkEnd w:id="5"/>
      <w:bookmarkEnd w:id="6"/>
    </w:p>
    <w:p w14:paraId="40F9E5A7" w14:textId="77777777" w:rsidR="004C142C" w:rsidRPr="00C20C76" w:rsidRDefault="004C142C" w:rsidP="00167246">
      <w:pPr>
        <w:rPr>
          <w:lang w:val="de-DE"/>
        </w:rPr>
      </w:pPr>
    </w:p>
    <w:p w14:paraId="4DEC1C99" w14:textId="764A808D" w:rsidR="004C142C" w:rsidRPr="00C20C76" w:rsidRDefault="004C142C"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r>
      <w:r w:rsidR="008B44FC" w:rsidRPr="00C20C76">
        <w:rPr>
          <w:szCs w:val="24"/>
          <w:lang w:val="de-DE"/>
        </w:rPr>
        <w:t>Es gibt keine Angelegenheiten, für welche der Technische Ausschuss auf seiner sechsundfünfzigsten Tagung eine Entscheidung treffen muss</w:t>
      </w:r>
      <w:r w:rsidRPr="00C20C76">
        <w:rPr>
          <w:lang w:val="de-DE"/>
        </w:rPr>
        <w:t>.</w:t>
      </w:r>
    </w:p>
    <w:p w14:paraId="7611E6C1" w14:textId="77777777" w:rsidR="004C142C" w:rsidRPr="00C20C76" w:rsidRDefault="004C142C" w:rsidP="00167246">
      <w:pPr>
        <w:rPr>
          <w:lang w:val="de-DE"/>
        </w:rPr>
      </w:pPr>
    </w:p>
    <w:p w14:paraId="27CE7DC4" w14:textId="77777777" w:rsidR="004C142C" w:rsidRPr="00C20C76" w:rsidRDefault="004C142C" w:rsidP="00167246">
      <w:pPr>
        <w:rPr>
          <w:lang w:val="de-DE"/>
        </w:rPr>
      </w:pPr>
    </w:p>
    <w:p w14:paraId="37BB8139" w14:textId="3E593C9B" w:rsidR="004C142C" w:rsidRPr="00C20C76" w:rsidRDefault="00C47643" w:rsidP="00167246">
      <w:pPr>
        <w:pStyle w:val="Heading1"/>
        <w:rPr>
          <w:lang w:val="de-DE"/>
        </w:rPr>
      </w:pPr>
      <w:bookmarkStart w:id="7" w:name="_Toc54170622"/>
      <w:bookmarkStart w:id="8" w:name="_Toc441497830"/>
      <w:bookmarkStart w:id="9" w:name="_Toc527377899"/>
      <w:bookmarkStart w:id="10" w:name="_Toc20505079"/>
      <w:r w:rsidRPr="00C20C76">
        <w:rPr>
          <w:lang w:val="de-DE"/>
        </w:rPr>
        <w:t>Fragen</w:t>
      </w:r>
      <w:r w:rsidR="004C142C" w:rsidRPr="00C20C76">
        <w:rPr>
          <w:lang w:val="de-DE"/>
        </w:rPr>
        <w:t xml:space="preserve"> zur Information</w:t>
      </w:r>
      <w:bookmarkEnd w:id="7"/>
      <w:r w:rsidR="004C142C" w:rsidRPr="00C20C76">
        <w:rPr>
          <w:lang w:val="de-DE"/>
        </w:rPr>
        <w:t xml:space="preserve"> </w:t>
      </w:r>
      <w:bookmarkEnd w:id="8"/>
      <w:bookmarkEnd w:id="9"/>
      <w:bookmarkEnd w:id="10"/>
    </w:p>
    <w:p w14:paraId="2F594A50" w14:textId="77777777" w:rsidR="004C142C" w:rsidRPr="00C20C76" w:rsidRDefault="004C142C" w:rsidP="00167246">
      <w:pPr>
        <w:keepNext/>
        <w:rPr>
          <w:lang w:val="de-DE"/>
        </w:rPr>
      </w:pPr>
    </w:p>
    <w:p w14:paraId="0F84BA67" w14:textId="58384BF6" w:rsidR="002F3EA4" w:rsidRPr="00C20C76" w:rsidRDefault="002F3EA4" w:rsidP="00167246">
      <w:pPr>
        <w:pStyle w:val="Heading2"/>
        <w:rPr>
          <w:lang w:val="de-DE"/>
        </w:rPr>
      </w:pPr>
      <w:bookmarkStart w:id="11" w:name="_Toc54170623"/>
      <w:r w:rsidRPr="00C20C76">
        <w:rPr>
          <w:lang w:val="de-DE"/>
        </w:rPr>
        <w:t>Neue Fragen</w:t>
      </w:r>
      <w:r w:rsidR="00C47643" w:rsidRPr="00C20C76">
        <w:rPr>
          <w:lang w:val="de-DE"/>
        </w:rPr>
        <w:t>, die sich für die DUS-Prüfung ergeben</w:t>
      </w:r>
      <w:bookmarkEnd w:id="11"/>
    </w:p>
    <w:p w14:paraId="71EFC500" w14:textId="77777777" w:rsidR="002F3EA4" w:rsidRPr="00C20C76" w:rsidRDefault="002F3EA4" w:rsidP="00167246">
      <w:pPr>
        <w:keepNext/>
        <w:rPr>
          <w:lang w:val="de-DE"/>
        </w:rPr>
      </w:pPr>
    </w:p>
    <w:p w14:paraId="16658B10" w14:textId="445F966C" w:rsidR="002F3EA4" w:rsidRPr="00C20C76" w:rsidRDefault="002F3EA4"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TWV</w:t>
      </w:r>
      <w:r w:rsidR="00AD5A29" w:rsidRPr="00C20C76">
        <w:rPr>
          <w:rStyle w:val="FootnoteReference"/>
          <w:rFonts w:eastAsia="PMingLiU"/>
          <w:szCs w:val="24"/>
          <w:lang w:val="de-DE"/>
        </w:rPr>
        <w:footnoteReference w:id="8"/>
      </w:r>
      <w:r w:rsidR="000F48DC" w:rsidRPr="00C20C76">
        <w:rPr>
          <w:lang w:val="de-DE"/>
        </w:rPr>
        <w:t xml:space="preserve"> </w:t>
      </w:r>
      <w:r w:rsidRPr="00C20C76">
        <w:rPr>
          <w:lang w:val="de-DE"/>
        </w:rPr>
        <w:t xml:space="preserve">hörte ein Referat über </w:t>
      </w:r>
      <w:r w:rsidR="00C76E15" w:rsidRPr="00C20C76">
        <w:rPr>
          <w:lang w:val="de-DE"/>
        </w:rPr>
        <w:t>„</w:t>
      </w:r>
      <w:r w:rsidRPr="00C20C76">
        <w:rPr>
          <w:lang w:val="de-DE"/>
        </w:rPr>
        <w:t xml:space="preserve">Vegetativ vermehrte Sorten bei einer normalerweise samenvermehrten Art: </w:t>
      </w:r>
      <w:r w:rsidR="000F48DC" w:rsidRPr="00C20C76">
        <w:rPr>
          <w:lang w:val="de-DE"/>
        </w:rPr>
        <w:t>Paprika</w:t>
      </w:r>
      <w:r w:rsidR="00C76E15" w:rsidRPr="00C20C76">
        <w:rPr>
          <w:lang w:val="de-DE"/>
        </w:rPr>
        <w:t>“</w:t>
      </w:r>
      <w:r w:rsidRPr="00C20C76">
        <w:rPr>
          <w:lang w:val="de-DE"/>
        </w:rPr>
        <w:t xml:space="preserve"> von einem Sachverständigen aus den Niederlanden. Eine </w:t>
      </w:r>
      <w:r w:rsidR="000963EC" w:rsidRPr="00C20C76">
        <w:rPr>
          <w:lang w:val="de-DE"/>
        </w:rPr>
        <w:t xml:space="preserve">Abschrift </w:t>
      </w:r>
      <w:r w:rsidRPr="00C20C76">
        <w:rPr>
          <w:lang w:val="de-DE"/>
        </w:rPr>
        <w:t xml:space="preserve">des Referats ist in Dokument TWV/54/8 </w:t>
      </w:r>
      <w:r w:rsidR="000F48DC" w:rsidRPr="00C20C76">
        <w:rPr>
          <w:bCs/>
          <w:lang w:val="de-DE"/>
        </w:rPr>
        <w:t>enthalten</w:t>
      </w:r>
      <w:r w:rsidRPr="00C20C76">
        <w:rPr>
          <w:lang w:val="de-DE"/>
        </w:rPr>
        <w:t xml:space="preserve"> </w:t>
      </w:r>
      <w:r w:rsidR="009F73E6" w:rsidRPr="00C20C76">
        <w:rPr>
          <w:lang w:val="de-DE"/>
        </w:rPr>
        <w:t xml:space="preserve">(vergleiche Dokument TWV/54/9 </w:t>
      </w:r>
      <w:r w:rsidR="00C76E15" w:rsidRPr="00C20C76">
        <w:rPr>
          <w:lang w:val="de-DE"/>
        </w:rPr>
        <w:t>„Report“</w:t>
      </w:r>
      <w:r w:rsidR="009F73E6" w:rsidRPr="00C20C76">
        <w:rPr>
          <w:lang w:val="de-DE"/>
        </w:rPr>
        <w:t>, Absätze 74 und 75)</w:t>
      </w:r>
      <w:r w:rsidRPr="00C20C76">
        <w:rPr>
          <w:lang w:val="de-DE"/>
        </w:rPr>
        <w:t>.</w:t>
      </w:r>
    </w:p>
    <w:p w14:paraId="5094943E" w14:textId="77777777" w:rsidR="002F3EA4" w:rsidRPr="00C20C76" w:rsidRDefault="002F3EA4" w:rsidP="00167246">
      <w:pPr>
        <w:rPr>
          <w:lang w:val="de-DE"/>
        </w:rPr>
      </w:pPr>
    </w:p>
    <w:p w14:paraId="6F07E789" w14:textId="3D2CBD69" w:rsidR="002F3EA4" w:rsidRPr="00C20C76" w:rsidRDefault="002F3EA4"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TWV vereinbarte, den Sachverständigen aus den Niederlanden </w:t>
      </w:r>
      <w:r w:rsidR="000F48DC" w:rsidRPr="00C20C76">
        <w:rPr>
          <w:lang w:val="de-DE"/>
        </w:rPr>
        <w:t>zu ersuchen</w:t>
      </w:r>
      <w:r w:rsidRPr="00C20C76">
        <w:rPr>
          <w:lang w:val="de-DE"/>
        </w:rPr>
        <w:t>, auf ihrer fünfundfünfzigsten Tagung über weitere Entwicklungen i</w:t>
      </w:r>
      <w:r w:rsidR="000F48DC" w:rsidRPr="00C20C76">
        <w:rPr>
          <w:lang w:val="de-DE"/>
        </w:rPr>
        <w:t>m</w:t>
      </w:r>
      <w:r w:rsidRPr="00C20C76">
        <w:rPr>
          <w:lang w:val="de-DE"/>
        </w:rPr>
        <w:t xml:space="preserve"> Zusammenhang mit der DUS-Prüfung </w:t>
      </w:r>
      <w:r w:rsidR="000F48DC" w:rsidRPr="00C20C76">
        <w:rPr>
          <w:lang w:val="de-DE"/>
        </w:rPr>
        <w:t xml:space="preserve">von </w:t>
      </w:r>
      <w:r w:rsidRPr="00C20C76">
        <w:rPr>
          <w:lang w:val="de-DE"/>
        </w:rPr>
        <w:t>vegetativ vermehrte</w:t>
      </w:r>
      <w:r w:rsidR="000F48DC" w:rsidRPr="00C20C76">
        <w:rPr>
          <w:lang w:val="de-DE"/>
        </w:rPr>
        <w:t>n</w:t>
      </w:r>
      <w:r w:rsidRPr="00C20C76">
        <w:rPr>
          <w:lang w:val="de-DE"/>
        </w:rPr>
        <w:t xml:space="preserve"> Paprikasorten, insbesondere über den Trend bei Züchtungstätigkeiten, zu </w:t>
      </w:r>
      <w:r w:rsidR="00CF010B" w:rsidRPr="00C20C76">
        <w:rPr>
          <w:lang w:val="de-DE"/>
        </w:rPr>
        <w:t>berichten</w:t>
      </w:r>
      <w:r w:rsidRPr="00C20C76">
        <w:rPr>
          <w:lang w:val="de-DE"/>
        </w:rPr>
        <w:t xml:space="preserve">. Sie ersuchte ferner die an der Erörterung der Prüfungsrichtlinien für </w:t>
      </w:r>
      <w:r w:rsidR="00BC5F55" w:rsidRPr="00C20C76">
        <w:rPr>
          <w:lang w:val="de-DE"/>
        </w:rPr>
        <w:t xml:space="preserve">Paprika (TG/76) </w:t>
      </w:r>
      <w:r w:rsidRPr="00C20C76">
        <w:rPr>
          <w:lang w:val="de-DE"/>
        </w:rPr>
        <w:t>beteiligten Sachverständigen, diese Entwicklung zu prüfen.</w:t>
      </w:r>
    </w:p>
    <w:p w14:paraId="1D4A6AE2" w14:textId="77777777" w:rsidR="002F3EA4" w:rsidRPr="00C20C76" w:rsidRDefault="002F3EA4" w:rsidP="00167246">
      <w:pPr>
        <w:rPr>
          <w:lang w:val="de-DE"/>
        </w:rPr>
      </w:pPr>
    </w:p>
    <w:p w14:paraId="4AF31A2C" w14:textId="6B5FE3F0" w:rsidR="00D035F3" w:rsidRPr="00C20C76" w:rsidRDefault="00D035F3"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TWO</w:t>
      </w:r>
      <w:r w:rsidR="00AD5A29" w:rsidRPr="00C20C76">
        <w:rPr>
          <w:rStyle w:val="FootnoteReference"/>
          <w:rFonts w:eastAsia="PMingLiU"/>
          <w:szCs w:val="24"/>
          <w:lang w:val="de-DE"/>
        </w:rPr>
        <w:footnoteReference w:id="9"/>
      </w:r>
      <w:r w:rsidR="000F48DC" w:rsidRPr="00C20C76">
        <w:rPr>
          <w:lang w:val="de-DE"/>
        </w:rPr>
        <w:t xml:space="preserve"> </w:t>
      </w:r>
      <w:r w:rsidRPr="00C20C76">
        <w:rPr>
          <w:lang w:val="de-DE"/>
        </w:rPr>
        <w:t xml:space="preserve">hörte ein Referat über </w:t>
      </w:r>
      <w:r w:rsidR="000F48DC" w:rsidRPr="00C20C76">
        <w:rPr>
          <w:lang w:val="de-DE"/>
        </w:rPr>
        <w:t>„</w:t>
      </w:r>
      <w:r w:rsidRPr="00C20C76">
        <w:rPr>
          <w:bCs/>
          <w:lang w:val="de-DE"/>
        </w:rPr>
        <w:t>Krankheitsresistenz bei Zierpflanzen</w:t>
      </w:r>
      <w:r w:rsidR="000F48DC" w:rsidRPr="00C20C76">
        <w:rPr>
          <w:lang w:val="de-DE"/>
        </w:rPr>
        <w:t>“</w:t>
      </w:r>
      <w:r w:rsidRPr="00C20C76">
        <w:rPr>
          <w:lang w:val="de-DE"/>
        </w:rPr>
        <w:t xml:space="preserve"> </w:t>
      </w:r>
      <w:r w:rsidRPr="00C20C76">
        <w:rPr>
          <w:bCs/>
          <w:lang w:val="de-DE"/>
        </w:rPr>
        <w:t xml:space="preserve">von Frau Amanda van Dijk (Niederlande). Eine </w:t>
      </w:r>
      <w:r w:rsidR="000963EC" w:rsidRPr="00C20C76">
        <w:rPr>
          <w:bCs/>
          <w:lang w:val="de-DE"/>
        </w:rPr>
        <w:t xml:space="preserve">Abschrift </w:t>
      </w:r>
      <w:r w:rsidRPr="00C20C76">
        <w:rPr>
          <w:bCs/>
          <w:lang w:val="de-DE"/>
        </w:rPr>
        <w:t xml:space="preserve">des Referats ist in Dokument TWO/52/8 enthalten (vergleiche Dokument TWO/52/11 </w:t>
      </w:r>
      <w:r w:rsidR="000F48DC" w:rsidRPr="00C20C76">
        <w:rPr>
          <w:bCs/>
          <w:lang w:val="de-DE"/>
        </w:rPr>
        <w:t>„Report“</w:t>
      </w:r>
      <w:r w:rsidRPr="00C20C76">
        <w:rPr>
          <w:bCs/>
          <w:lang w:val="de-DE"/>
        </w:rPr>
        <w:t>, Absätze 29 und 30).</w:t>
      </w:r>
    </w:p>
    <w:p w14:paraId="6B3FDB0E" w14:textId="77777777" w:rsidR="00D035F3" w:rsidRPr="00C20C76" w:rsidRDefault="00D035F3" w:rsidP="00167246">
      <w:pPr>
        <w:rPr>
          <w:lang w:val="de-DE"/>
        </w:rPr>
      </w:pPr>
    </w:p>
    <w:p w14:paraId="0BC39675" w14:textId="3888CE42" w:rsidR="00D035F3" w:rsidRPr="00C20C76" w:rsidRDefault="00D035F3"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TWO nahm die Einladung der Niederlande an interessierte Sachverständige</w:t>
      </w:r>
      <w:r w:rsidR="008250C8" w:rsidRPr="008250C8">
        <w:rPr>
          <w:lang w:val="de-DE"/>
        </w:rPr>
        <w:t xml:space="preserve"> </w:t>
      </w:r>
      <w:r w:rsidR="008250C8" w:rsidRPr="00C20C76">
        <w:rPr>
          <w:lang w:val="de-DE"/>
        </w:rPr>
        <w:t>zur Kenntnis</w:t>
      </w:r>
      <w:r w:rsidRPr="00C20C76">
        <w:rPr>
          <w:lang w:val="de-DE"/>
        </w:rPr>
        <w:t xml:space="preserve">, an einer Ringprüfung auf Resistenz gegen </w:t>
      </w:r>
      <w:r w:rsidRPr="00C20C76">
        <w:rPr>
          <w:i/>
          <w:lang w:val="de-DE"/>
        </w:rPr>
        <w:t xml:space="preserve">Puccinia horiana </w:t>
      </w:r>
      <w:r w:rsidRPr="00C20C76">
        <w:rPr>
          <w:lang w:val="de-DE"/>
        </w:rPr>
        <w:t xml:space="preserve">bei Chrysanthemensorten teilzunehmen. Die TWO vereinbarte, die Niederlande </w:t>
      </w:r>
      <w:r w:rsidR="000F48DC" w:rsidRPr="00C20C76">
        <w:rPr>
          <w:lang w:val="de-DE"/>
        </w:rPr>
        <w:t>zu ersuchen</w:t>
      </w:r>
      <w:r w:rsidRPr="00C20C76">
        <w:rPr>
          <w:lang w:val="de-DE"/>
        </w:rPr>
        <w:t xml:space="preserve">, auf ihrer dreiundfünfzigsten Tagung über Entwicklungen bei der Ringprüfung zu </w:t>
      </w:r>
      <w:r w:rsidR="00CF010B" w:rsidRPr="00C20C76">
        <w:rPr>
          <w:lang w:val="de-DE"/>
        </w:rPr>
        <w:t>berichten</w:t>
      </w:r>
      <w:r w:rsidRPr="00C20C76">
        <w:rPr>
          <w:lang w:val="de-DE"/>
        </w:rPr>
        <w:t>.</w:t>
      </w:r>
    </w:p>
    <w:p w14:paraId="696FCF68" w14:textId="77777777" w:rsidR="002F3EA4" w:rsidRPr="00C20C76" w:rsidRDefault="002F3EA4" w:rsidP="00167246">
      <w:pPr>
        <w:rPr>
          <w:lang w:val="de-DE"/>
        </w:rPr>
      </w:pPr>
    </w:p>
    <w:p w14:paraId="0174BEDF" w14:textId="77777777" w:rsidR="00D035F3" w:rsidRPr="00C20C76" w:rsidRDefault="00D035F3" w:rsidP="00167246">
      <w:pPr>
        <w:rPr>
          <w:lang w:val="de-DE"/>
        </w:rPr>
      </w:pPr>
    </w:p>
    <w:p w14:paraId="76CB2EAD" w14:textId="77777777" w:rsidR="002F3EA4" w:rsidRPr="00C20C76" w:rsidRDefault="002F3EA4" w:rsidP="00167246">
      <w:pPr>
        <w:pStyle w:val="Heading2"/>
        <w:rPr>
          <w:lang w:val="de-DE"/>
        </w:rPr>
      </w:pPr>
      <w:bookmarkStart w:id="12" w:name="_Toc54170624"/>
      <w:r w:rsidRPr="00C20C76">
        <w:rPr>
          <w:lang w:val="de-DE"/>
        </w:rPr>
        <w:t>Verwendung von Krankheitsresistenzmerkmalen</w:t>
      </w:r>
      <w:bookmarkEnd w:id="12"/>
      <w:r w:rsidRPr="00C20C76">
        <w:rPr>
          <w:lang w:val="de-DE"/>
        </w:rPr>
        <w:t xml:space="preserve"> </w:t>
      </w:r>
    </w:p>
    <w:p w14:paraId="6BCA8F7E" w14:textId="77777777" w:rsidR="002F3EA4" w:rsidRPr="00C20C76" w:rsidRDefault="002F3EA4" w:rsidP="00167246">
      <w:pPr>
        <w:keepNext/>
        <w:rPr>
          <w:lang w:val="de-DE"/>
        </w:rPr>
      </w:pPr>
    </w:p>
    <w:p w14:paraId="54EFC8B0" w14:textId="643A5E30" w:rsidR="002F3EA4" w:rsidRPr="00C20C76" w:rsidRDefault="002F3EA4"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TWV</w:t>
      </w:r>
      <w:r w:rsidR="00AD5A29" w:rsidRPr="00C20C76">
        <w:rPr>
          <w:rStyle w:val="FootnoteReference"/>
          <w:rFonts w:eastAsia="PMingLiU"/>
          <w:szCs w:val="24"/>
          <w:lang w:val="de-DE"/>
        </w:rPr>
        <w:footnoteReference w:id="10"/>
      </w:r>
      <w:r w:rsidR="000963EC" w:rsidRPr="00C20C76">
        <w:rPr>
          <w:lang w:val="de-DE"/>
        </w:rPr>
        <w:t xml:space="preserve"> </w:t>
      </w:r>
      <w:r w:rsidRPr="00C20C76">
        <w:rPr>
          <w:lang w:val="de-DE"/>
        </w:rPr>
        <w:t xml:space="preserve">hörte ein Referat über </w:t>
      </w:r>
      <w:r w:rsidR="000963EC" w:rsidRPr="00C20C76">
        <w:rPr>
          <w:lang w:val="de-DE"/>
        </w:rPr>
        <w:t>„</w:t>
      </w:r>
      <w:r w:rsidRPr="00C20C76">
        <w:rPr>
          <w:lang w:val="de-DE"/>
        </w:rPr>
        <w:t xml:space="preserve">Datenverarbeitung für Krankheitsresistenzmerkmale: </w:t>
      </w:r>
      <w:r w:rsidR="006A161A">
        <w:rPr>
          <w:lang w:val="de-DE"/>
        </w:rPr>
        <w:t>Die</w:t>
      </w:r>
      <w:r w:rsidRPr="00C20C76">
        <w:rPr>
          <w:lang w:val="de-DE"/>
        </w:rPr>
        <w:t xml:space="preserve"> Pathostat</w:t>
      </w:r>
      <w:r w:rsidR="006A161A">
        <w:rPr>
          <w:lang w:val="de-DE"/>
        </w:rPr>
        <w:t>-Anwendung</w:t>
      </w:r>
      <w:r w:rsidR="000963EC" w:rsidRPr="00C20C76">
        <w:rPr>
          <w:lang w:val="de-DE"/>
        </w:rPr>
        <w:t>“</w:t>
      </w:r>
      <w:r w:rsidRPr="00C20C76">
        <w:rPr>
          <w:lang w:val="de-DE"/>
        </w:rPr>
        <w:t xml:space="preserve"> von einem Sachverständigen aus Frankreich. Eine </w:t>
      </w:r>
      <w:r w:rsidR="000963EC" w:rsidRPr="00C20C76">
        <w:rPr>
          <w:lang w:val="de-DE"/>
        </w:rPr>
        <w:t xml:space="preserve">Abschrift </w:t>
      </w:r>
      <w:r w:rsidRPr="00C20C76">
        <w:rPr>
          <w:lang w:val="de-DE"/>
        </w:rPr>
        <w:t xml:space="preserve">des Referats ist in Dokument TWV/54/6 Rev. enthalten </w:t>
      </w:r>
      <w:r w:rsidR="009F73E6" w:rsidRPr="00C20C76">
        <w:rPr>
          <w:lang w:val="de-DE"/>
        </w:rPr>
        <w:t xml:space="preserve">(vergleiche Dokument TWV/54/9 </w:t>
      </w:r>
      <w:r w:rsidR="000963EC" w:rsidRPr="00C20C76">
        <w:rPr>
          <w:lang w:val="de-DE"/>
        </w:rPr>
        <w:t>„Report“</w:t>
      </w:r>
      <w:r w:rsidR="009F73E6" w:rsidRPr="00C20C76">
        <w:rPr>
          <w:lang w:val="de-DE"/>
        </w:rPr>
        <w:t>, Absätze 76 bis 83).</w:t>
      </w:r>
    </w:p>
    <w:p w14:paraId="0DF2E1C8" w14:textId="77777777" w:rsidR="002F3EA4" w:rsidRPr="00C20C76" w:rsidRDefault="002F3EA4" w:rsidP="00167246">
      <w:pPr>
        <w:rPr>
          <w:lang w:val="de-DE"/>
        </w:rPr>
      </w:pPr>
    </w:p>
    <w:p w14:paraId="39CC60F7" w14:textId="04C64C45" w:rsidR="002F3EA4" w:rsidRPr="00C20C76" w:rsidRDefault="002F3EA4"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TWV hörte ein Referat über </w:t>
      </w:r>
      <w:r w:rsidR="000963EC" w:rsidRPr="00C20C76">
        <w:rPr>
          <w:lang w:val="de-DE"/>
        </w:rPr>
        <w:t>„</w:t>
      </w:r>
      <w:r w:rsidRPr="00C20C76">
        <w:rPr>
          <w:lang w:val="de-DE"/>
        </w:rPr>
        <w:t xml:space="preserve">Krankheitsresistenzprüfungen </w:t>
      </w:r>
      <w:r w:rsidRPr="008250C8">
        <w:rPr>
          <w:lang w:val="de-DE"/>
        </w:rPr>
        <w:t>an</w:t>
      </w:r>
      <w:r w:rsidRPr="00C20C76">
        <w:rPr>
          <w:lang w:val="de-DE"/>
        </w:rPr>
        <w:t xml:space="preserve"> </w:t>
      </w:r>
      <w:r w:rsidRPr="00C20C76">
        <w:rPr>
          <w:i/>
          <w:lang w:val="de-DE"/>
        </w:rPr>
        <w:t>Solanum sisymbrifolium</w:t>
      </w:r>
      <w:r w:rsidRPr="00C20C76">
        <w:rPr>
          <w:lang w:val="de-DE"/>
        </w:rPr>
        <w:t xml:space="preserve">, </w:t>
      </w:r>
      <w:r w:rsidRPr="00C20C76">
        <w:rPr>
          <w:i/>
          <w:lang w:val="de-DE"/>
        </w:rPr>
        <w:t xml:space="preserve">S. torvum </w:t>
      </w:r>
      <w:r w:rsidRPr="00C20C76">
        <w:rPr>
          <w:lang w:val="de-DE"/>
        </w:rPr>
        <w:t xml:space="preserve">und </w:t>
      </w:r>
      <w:r w:rsidRPr="00C20C76">
        <w:rPr>
          <w:i/>
          <w:lang w:val="de-DE"/>
        </w:rPr>
        <w:t>S. aethiopicum</w:t>
      </w:r>
      <w:r w:rsidRPr="00C20C76">
        <w:rPr>
          <w:lang w:val="de-DE"/>
        </w:rPr>
        <w:t>: Tomaten- und Auberginenunterlagen - Erfahrungen der italienischen Laboratorien</w:t>
      </w:r>
      <w:r w:rsidR="000963EC" w:rsidRPr="00C20C76">
        <w:rPr>
          <w:lang w:val="de-DE"/>
        </w:rPr>
        <w:t>“</w:t>
      </w:r>
      <w:r w:rsidRPr="00C20C76">
        <w:rPr>
          <w:lang w:val="de-DE"/>
        </w:rPr>
        <w:t xml:space="preserve"> von einem Sachverständigen aus Italien. Eine </w:t>
      </w:r>
      <w:r w:rsidR="000963EC" w:rsidRPr="00C20C76">
        <w:rPr>
          <w:lang w:val="de-DE"/>
        </w:rPr>
        <w:t xml:space="preserve">Abschrift </w:t>
      </w:r>
      <w:r w:rsidRPr="00C20C76">
        <w:rPr>
          <w:lang w:val="de-DE"/>
        </w:rPr>
        <w:t>des Referats ist in Dokument TWV/54/6 Rev. enthalten.</w:t>
      </w:r>
    </w:p>
    <w:p w14:paraId="70B0BD1E" w14:textId="77777777" w:rsidR="002F3EA4" w:rsidRPr="00C20C76" w:rsidRDefault="002F3EA4" w:rsidP="00167246">
      <w:pPr>
        <w:rPr>
          <w:lang w:val="de-DE"/>
        </w:rPr>
      </w:pPr>
    </w:p>
    <w:p w14:paraId="47541C7D" w14:textId="5377B6BC" w:rsidR="002F3EA4" w:rsidRPr="00C20C76" w:rsidRDefault="002F3EA4"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TWV </w:t>
      </w:r>
      <w:r w:rsidR="002D60CB">
        <w:rPr>
          <w:lang w:val="de-DE"/>
        </w:rPr>
        <w:t xml:space="preserve">vereinbarte, </w:t>
      </w:r>
      <w:r w:rsidRPr="00C20C76">
        <w:rPr>
          <w:lang w:val="de-DE"/>
        </w:rPr>
        <w:t xml:space="preserve">vorzuschlagen, </w:t>
      </w:r>
      <w:r w:rsidR="00EF7346">
        <w:rPr>
          <w:lang w:val="de-DE"/>
        </w:rPr>
        <w:t>den</w:t>
      </w:r>
      <w:r w:rsidRPr="00C20C76">
        <w:rPr>
          <w:lang w:val="de-DE"/>
        </w:rPr>
        <w:t xml:space="preserve"> Sachverständige</w:t>
      </w:r>
      <w:r w:rsidR="00EF7346">
        <w:rPr>
          <w:lang w:val="de-DE"/>
        </w:rPr>
        <w:t>n</w:t>
      </w:r>
      <w:r w:rsidRPr="00C20C76">
        <w:rPr>
          <w:lang w:val="de-DE"/>
        </w:rPr>
        <w:t xml:space="preserve"> aus Frankreich </w:t>
      </w:r>
      <w:r w:rsidR="00EF7346">
        <w:rPr>
          <w:lang w:val="de-DE"/>
        </w:rPr>
        <w:t>zu ersuchen</w:t>
      </w:r>
      <w:r w:rsidRPr="00C20C76">
        <w:rPr>
          <w:lang w:val="de-DE"/>
        </w:rPr>
        <w:t>, der TWC auf ihrer achtunddreißigsten Tagung die Pathostat-Software vorzu</w:t>
      </w:r>
      <w:r w:rsidR="00A64A58" w:rsidRPr="00C20C76">
        <w:rPr>
          <w:lang w:val="de-DE"/>
        </w:rPr>
        <w:t>legen</w:t>
      </w:r>
      <w:r w:rsidRPr="00C20C76">
        <w:rPr>
          <w:lang w:val="de-DE"/>
        </w:rPr>
        <w:t xml:space="preserve">. </w:t>
      </w:r>
    </w:p>
    <w:p w14:paraId="00D5B32B" w14:textId="77777777" w:rsidR="002F3EA4" w:rsidRPr="00C20C76" w:rsidRDefault="002F3EA4" w:rsidP="00167246">
      <w:pPr>
        <w:rPr>
          <w:lang w:val="de-DE"/>
        </w:rPr>
      </w:pPr>
    </w:p>
    <w:p w14:paraId="21471E3D" w14:textId="261A78CE" w:rsidR="002F3EA4" w:rsidRPr="00C20C76" w:rsidRDefault="002F3EA4"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TWV nahm das Angebot Frankreichs zur Kenntnis, interessierten Sachverständigen Daten für die Prüfung der Software zur Verfügung zu stellen. Die TWV nahm die </w:t>
      </w:r>
      <w:r w:rsidR="009939B2" w:rsidRPr="00C20C76">
        <w:rPr>
          <w:lang w:val="de-DE"/>
        </w:rPr>
        <w:t>Interessensbekundung der</w:t>
      </w:r>
      <w:r w:rsidRPr="00C20C76">
        <w:rPr>
          <w:lang w:val="de-DE"/>
        </w:rPr>
        <w:t xml:space="preserve"> Sachverständigen aus Deutschland, Italien und den Niederlanden an der Prüfung der Software zur Kenntnis und vereinbarte, den Sachverständigen aus Frankreich </w:t>
      </w:r>
      <w:r w:rsidR="000F48DC" w:rsidRPr="00C20C76">
        <w:rPr>
          <w:lang w:val="de-DE"/>
        </w:rPr>
        <w:t>zu ersuchen</w:t>
      </w:r>
      <w:r w:rsidRPr="00C20C76">
        <w:rPr>
          <w:lang w:val="de-DE"/>
        </w:rPr>
        <w:t xml:space="preserve">, auf ihrer nächsten Tagung unter dem Tagesordnungspunkt </w:t>
      </w:r>
      <w:r w:rsidR="009939B2" w:rsidRPr="00C20C76">
        <w:rPr>
          <w:lang w:val="de-DE"/>
        </w:rPr>
        <w:t>„</w:t>
      </w:r>
      <w:r w:rsidRPr="00C20C76">
        <w:rPr>
          <w:lang w:val="de-DE"/>
        </w:rPr>
        <w:t>Verwendung von Krankheitsresistenzmerkmalen</w:t>
      </w:r>
      <w:r w:rsidR="009939B2" w:rsidRPr="00C20C76">
        <w:rPr>
          <w:lang w:val="de-DE"/>
        </w:rPr>
        <w:t>“</w:t>
      </w:r>
      <w:r w:rsidRPr="00C20C76">
        <w:rPr>
          <w:lang w:val="de-DE"/>
        </w:rPr>
        <w:t xml:space="preserve"> über die Entwicklungen bei der Prüfung zu </w:t>
      </w:r>
      <w:r w:rsidR="00CF010B" w:rsidRPr="00C20C76">
        <w:rPr>
          <w:lang w:val="de-DE"/>
        </w:rPr>
        <w:t>berichten</w:t>
      </w:r>
      <w:r w:rsidRPr="00C20C76">
        <w:rPr>
          <w:lang w:val="de-DE"/>
        </w:rPr>
        <w:t xml:space="preserve">. </w:t>
      </w:r>
    </w:p>
    <w:p w14:paraId="405FC4AE" w14:textId="77777777" w:rsidR="002F3EA4" w:rsidRPr="00C20C76" w:rsidRDefault="002F3EA4" w:rsidP="00167246">
      <w:pPr>
        <w:rPr>
          <w:lang w:val="de-DE"/>
        </w:rPr>
      </w:pPr>
    </w:p>
    <w:p w14:paraId="3509273C" w14:textId="3607981C" w:rsidR="002F3EA4" w:rsidRPr="00C20C76" w:rsidRDefault="002F3EA4"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TWV nahm das Angebot Frankreichs an die UPOV-Mitglieder zur Kenntnis, die Pathostat-Software kostenlos zu nutzen. Sie ersuchte ferner den Sachverständigen aus Frankreich zu prüfen, ob die Aufnahme von Pathostat in Dokument UPOV/INF/16 </w:t>
      </w:r>
      <w:r w:rsidR="009939B2" w:rsidRPr="00C20C76">
        <w:rPr>
          <w:lang w:val="de-DE"/>
        </w:rPr>
        <w:t>„</w:t>
      </w:r>
      <w:r w:rsidRPr="00C20C76">
        <w:rPr>
          <w:lang w:val="de-DE"/>
        </w:rPr>
        <w:t>Austauschbare Software</w:t>
      </w:r>
      <w:r w:rsidR="009939B2" w:rsidRPr="00C20C76">
        <w:rPr>
          <w:lang w:val="de-DE"/>
        </w:rPr>
        <w:t>“</w:t>
      </w:r>
      <w:r w:rsidRPr="00C20C76">
        <w:rPr>
          <w:lang w:val="de-DE"/>
        </w:rPr>
        <w:t xml:space="preserve"> als Antwort auf das Rundschreiben E-20/031 des Verbandsbüros vom 14. April 2020 vorgeschlagen werden sollte.</w:t>
      </w:r>
    </w:p>
    <w:p w14:paraId="3B32E6B0" w14:textId="77777777" w:rsidR="002F3EA4" w:rsidRPr="00C20C76" w:rsidRDefault="002F3EA4" w:rsidP="00167246">
      <w:pPr>
        <w:rPr>
          <w:lang w:val="de-DE"/>
        </w:rPr>
      </w:pPr>
    </w:p>
    <w:p w14:paraId="2AC8C920" w14:textId="4479C077" w:rsidR="002F3EA4" w:rsidRPr="00C20C76" w:rsidRDefault="002F3EA4" w:rsidP="00167246">
      <w:pPr>
        <w:pStyle w:val="Heading3"/>
        <w:rPr>
          <w:lang w:val="de-DE"/>
        </w:rPr>
      </w:pPr>
      <w:r w:rsidRPr="00C20C76">
        <w:rPr>
          <w:lang w:val="de-DE"/>
        </w:rPr>
        <w:t>Be</w:t>
      </w:r>
      <w:r w:rsidR="009939B2" w:rsidRPr="00C20C76">
        <w:rPr>
          <w:lang w:val="de-DE"/>
        </w:rPr>
        <w:t>zeichnung</w:t>
      </w:r>
      <w:r w:rsidRPr="00C20C76">
        <w:rPr>
          <w:lang w:val="de-DE"/>
        </w:rPr>
        <w:t xml:space="preserve"> der intermediären Ausprägungsstufe bei Krankheitsresistenzmerkmalen</w:t>
      </w:r>
    </w:p>
    <w:p w14:paraId="73D8ACA2" w14:textId="77777777" w:rsidR="002F3EA4" w:rsidRPr="00C20C76" w:rsidRDefault="002F3EA4" w:rsidP="00167246">
      <w:pPr>
        <w:rPr>
          <w:lang w:val="de-DE"/>
        </w:rPr>
      </w:pPr>
    </w:p>
    <w:p w14:paraId="5A63C527" w14:textId="17F68651" w:rsidR="002F3EA4" w:rsidRPr="00C20C76" w:rsidRDefault="002F3EA4"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TWV prüfte die </w:t>
      </w:r>
      <w:r w:rsidR="009939B2" w:rsidRPr="00C20C76">
        <w:rPr>
          <w:lang w:val="de-DE"/>
        </w:rPr>
        <w:t>Bezeichnung</w:t>
      </w:r>
      <w:r w:rsidRPr="00C20C76">
        <w:rPr>
          <w:lang w:val="de-DE"/>
        </w:rPr>
        <w:t xml:space="preserve"> der intermediären Ausprägungsstufe bei Krankheitsresistenzmerkmalen. Die TWV nahm zur Kenntnis, da</w:t>
      </w:r>
      <w:r w:rsidR="009939B2" w:rsidRPr="00C20C76">
        <w:rPr>
          <w:lang w:val="de-DE"/>
        </w:rPr>
        <w:t>ss</w:t>
      </w:r>
      <w:r w:rsidRPr="00C20C76">
        <w:rPr>
          <w:lang w:val="de-DE"/>
        </w:rPr>
        <w:t xml:space="preserve"> die Anleitung in Dokument TGP/12 </w:t>
      </w:r>
      <w:r w:rsidR="009939B2" w:rsidRPr="00C20C76">
        <w:rPr>
          <w:lang w:val="de-DE"/>
        </w:rPr>
        <w:t>„</w:t>
      </w:r>
      <w:r w:rsidRPr="00C20C76">
        <w:rPr>
          <w:lang w:val="de-DE"/>
        </w:rPr>
        <w:t>Anleitung zu bestimmten physiologischen Merkmalen</w:t>
      </w:r>
      <w:r w:rsidR="009939B2" w:rsidRPr="00C20C76">
        <w:rPr>
          <w:lang w:val="de-DE"/>
        </w:rPr>
        <w:t>“</w:t>
      </w:r>
      <w:r w:rsidRPr="00C20C76">
        <w:rPr>
          <w:lang w:val="de-DE"/>
        </w:rPr>
        <w:t xml:space="preserve"> ein Beispiel für </w:t>
      </w:r>
      <w:r w:rsidR="00BC5F55" w:rsidRPr="00C20C76">
        <w:rPr>
          <w:lang w:val="de-DE"/>
        </w:rPr>
        <w:t xml:space="preserve">ein </w:t>
      </w:r>
      <w:r w:rsidRPr="00C20C76">
        <w:rPr>
          <w:lang w:val="de-DE"/>
        </w:rPr>
        <w:t xml:space="preserve">quantitatives Krankheitsresistenzmerkmal mit der </w:t>
      </w:r>
      <w:r w:rsidR="00C72CA6">
        <w:rPr>
          <w:lang w:val="de-DE"/>
        </w:rPr>
        <w:t>intermediären</w:t>
      </w:r>
      <w:r w:rsidR="00C72CA6" w:rsidRPr="00C20C76">
        <w:rPr>
          <w:lang w:val="de-DE"/>
        </w:rPr>
        <w:t xml:space="preserve"> </w:t>
      </w:r>
      <w:r w:rsidRPr="00C20C76">
        <w:rPr>
          <w:lang w:val="de-DE"/>
        </w:rPr>
        <w:t xml:space="preserve">Ausprägungsstufe </w:t>
      </w:r>
      <w:r w:rsidR="009939B2" w:rsidRPr="00C20C76">
        <w:rPr>
          <w:lang w:val="de-DE"/>
        </w:rPr>
        <w:t>„</w:t>
      </w:r>
      <w:r w:rsidRPr="00C20C76">
        <w:rPr>
          <w:lang w:val="de-DE"/>
        </w:rPr>
        <w:t>mäßig</w:t>
      </w:r>
      <w:r w:rsidR="009939B2" w:rsidRPr="00C20C76">
        <w:rPr>
          <w:lang w:val="de-DE"/>
        </w:rPr>
        <w:t>“</w:t>
      </w:r>
      <w:r w:rsidRPr="00C20C76">
        <w:rPr>
          <w:lang w:val="de-DE"/>
        </w:rPr>
        <w:t xml:space="preserve"> </w:t>
      </w:r>
      <w:r w:rsidR="000040A9" w:rsidRPr="00C20C76">
        <w:rPr>
          <w:lang w:val="de-DE"/>
        </w:rPr>
        <w:t>bereitstelle</w:t>
      </w:r>
      <w:r w:rsidRPr="00C20C76">
        <w:rPr>
          <w:lang w:val="de-DE"/>
        </w:rPr>
        <w:t xml:space="preserve">. </w:t>
      </w:r>
    </w:p>
    <w:p w14:paraId="408F3E36" w14:textId="77777777" w:rsidR="002F3EA4" w:rsidRPr="00C20C76" w:rsidRDefault="002F3EA4" w:rsidP="00167246">
      <w:pPr>
        <w:rPr>
          <w:lang w:val="de-DE"/>
        </w:rPr>
      </w:pPr>
    </w:p>
    <w:p w14:paraId="52527DAD" w14:textId="176A5CE0" w:rsidR="002F3EA4" w:rsidRPr="00C20C76" w:rsidRDefault="002F3EA4"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TWV nahm zur Kenntnis, da</w:t>
      </w:r>
      <w:r w:rsidR="000040A9" w:rsidRPr="00C20C76">
        <w:rPr>
          <w:lang w:val="de-DE"/>
        </w:rPr>
        <w:t>ss</w:t>
      </w:r>
      <w:r w:rsidRPr="00C20C76">
        <w:rPr>
          <w:lang w:val="de-DE"/>
        </w:rPr>
        <w:t xml:space="preserve"> der Begriff </w:t>
      </w:r>
      <w:r w:rsidR="000040A9" w:rsidRPr="00C20C76">
        <w:rPr>
          <w:lang w:val="de-DE"/>
        </w:rPr>
        <w:t>„i</w:t>
      </w:r>
      <w:r w:rsidRPr="00C20C76">
        <w:rPr>
          <w:lang w:val="de-DE"/>
        </w:rPr>
        <w:t>ntermediär</w:t>
      </w:r>
      <w:r w:rsidR="000040A9" w:rsidRPr="00C20C76">
        <w:rPr>
          <w:lang w:val="de-DE"/>
        </w:rPr>
        <w:t>“</w:t>
      </w:r>
      <w:r w:rsidRPr="00C20C76">
        <w:rPr>
          <w:lang w:val="de-DE"/>
        </w:rPr>
        <w:t xml:space="preserve"> unter Sachverständigen </w:t>
      </w:r>
      <w:r w:rsidR="00C72CA6">
        <w:rPr>
          <w:lang w:val="de-DE"/>
        </w:rPr>
        <w:t>üblicherweise</w:t>
      </w:r>
      <w:r w:rsidR="00C72CA6" w:rsidRPr="00C20C76">
        <w:rPr>
          <w:lang w:val="de-DE"/>
        </w:rPr>
        <w:t xml:space="preserve"> </w:t>
      </w:r>
      <w:r w:rsidRPr="00C20C76">
        <w:rPr>
          <w:lang w:val="de-DE"/>
        </w:rPr>
        <w:t>verwendet werde</w:t>
      </w:r>
      <w:r w:rsidR="00C72CA6">
        <w:rPr>
          <w:lang w:val="de-DE"/>
        </w:rPr>
        <w:t>,</w:t>
      </w:r>
      <w:r w:rsidRPr="00C20C76">
        <w:rPr>
          <w:lang w:val="de-DE"/>
        </w:rPr>
        <w:t xml:space="preserve"> und </w:t>
      </w:r>
      <w:r w:rsidR="002D60CB">
        <w:rPr>
          <w:lang w:val="de-DE"/>
        </w:rPr>
        <w:t xml:space="preserve">vereinbarte, </w:t>
      </w:r>
      <w:r w:rsidRPr="00C20C76">
        <w:rPr>
          <w:lang w:val="de-DE"/>
        </w:rPr>
        <w:t xml:space="preserve">vorzuschlagen, das Beispiel für quantitative Krankheitsresistenzmerkmale mit der Skala </w:t>
      </w:r>
      <w:r w:rsidR="000040A9" w:rsidRPr="00C20C76">
        <w:rPr>
          <w:lang w:val="de-DE"/>
        </w:rPr>
        <w:t>„</w:t>
      </w:r>
      <w:r w:rsidRPr="00C20C76">
        <w:rPr>
          <w:lang w:val="de-DE"/>
        </w:rPr>
        <w:t>1-3</w:t>
      </w:r>
      <w:r w:rsidR="000040A9" w:rsidRPr="00C20C76">
        <w:rPr>
          <w:lang w:val="de-DE"/>
        </w:rPr>
        <w:t>“</w:t>
      </w:r>
      <w:r w:rsidRPr="00C20C76">
        <w:rPr>
          <w:lang w:val="de-DE"/>
        </w:rPr>
        <w:t xml:space="preserve"> in Dokument TGP/12 zu ändern, um die Ausprägungsstufe </w:t>
      </w:r>
      <w:r w:rsidR="000040A9" w:rsidRPr="00C20C76">
        <w:rPr>
          <w:lang w:val="de-DE"/>
        </w:rPr>
        <w:t>„</w:t>
      </w:r>
      <w:r w:rsidRPr="00C20C76">
        <w:rPr>
          <w:lang w:val="de-DE"/>
        </w:rPr>
        <w:t>mäßig</w:t>
      </w:r>
      <w:r w:rsidR="000040A9" w:rsidRPr="00C20C76">
        <w:rPr>
          <w:lang w:val="de-DE"/>
        </w:rPr>
        <w:t>“</w:t>
      </w:r>
      <w:r w:rsidRPr="00C20C76">
        <w:rPr>
          <w:lang w:val="de-DE"/>
        </w:rPr>
        <w:t xml:space="preserve"> durch </w:t>
      </w:r>
      <w:r w:rsidR="000040A9" w:rsidRPr="00C20C76">
        <w:rPr>
          <w:lang w:val="de-DE"/>
        </w:rPr>
        <w:t>„</w:t>
      </w:r>
      <w:r w:rsidRPr="00C20C76">
        <w:rPr>
          <w:lang w:val="de-DE"/>
        </w:rPr>
        <w:t>intermediär</w:t>
      </w:r>
      <w:r w:rsidR="000040A9" w:rsidRPr="00C20C76">
        <w:rPr>
          <w:lang w:val="de-DE"/>
        </w:rPr>
        <w:t>“</w:t>
      </w:r>
      <w:r w:rsidRPr="00C20C76">
        <w:rPr>
          <w:lang w:val="de-DE"/>
        </w:rPr>
        <w:t xml:space="preserve"> zu ersetzen.</w:t>
      </w:r>
      <w:r w:rsidR="000040A9" w:rsidRPr="00C20C76">
        <w:rPr>
          <w:lang w:val="de-DE"/>
        </w:rPr>
        <w:t xml:space="preserve"> </w:t>
      </w:r>
      <w:r w:rsidRPr="00C20C76">
        <w:rPr>
          <w:lang w:val="de-DE"/>
        </w:rPr>
        <w:t>Die TWV vereinbarte, da</w:t>
      </w:r>
      <w:r w:rsidR="000040A9" w:rsidRPr="00C20C76">
        <w:rPr>
          <w:lang w:val="de-DE"/>
        </w:rPr>
        <w:t>ss</w:t>
      </w:r>
      <w:r w:rsidRPr="00C20C76">
        <w:rPr>
          <w:lang w:val="de-DE"/>
        </w:rPr>
        <w:t xml:space="preserve"> dies im </w:t>
      </w:r>
      <w:r w:rsidR="000040A9" w:rsidRPr="00C20C76">
        <w:rPr>
          <w:lang w:val="de-DE"/>
        </w:rPr>
        <w:t>A</w:t>
      </w:r>
      <w:r w:rsidRPr="00C20C76">
        <w:rPr>
          <w:lang w:val="de-DE"/>
        </w:rPr>
        <w:t>llgemeinen der in den Prüfungsrichtlinien für Krankheitsresistenzmerkmale verwendete Begriff sein sollte.</w:t>
      </w:r>
    </w:p>
    <w:p w14:paraId="41AC2A71" w14:textId="77777777" w:rsidR="002F3EA4" w:rsidRPr="00C20C76" w:rsidRDefault="002F3EA4" w:rsidP="00167246">
      <w:pPr>
        <w:rPr>
          <w:lang w:val="de-DE"/>
        </w:rPr>
      </w:pPr>
    </w:p>
    <w:p w14:paraId="04E50DAB" w14:textId="6B934913" w:rsidR="00050E16" w:rsidRPr="00C20C76" w:rsidRDefault="002F3EA4" w:rsidP="00167246">
      <w:pPr>
        <w:rPr>
          <w:lang w:val="de-DE"/>
        </w:rPr>
      </w:pPr>
      <w:r w:rsidRPr="00E57528">
        <w:rPr>
          <w:lang w:val="de-DE"/>
        </w:rPr>
        <w:fldChar w:fldCharType="begin"/>
      </w:r>
      <w:r w:rsidRPr="00E57528">
        <w:rPr>
          <w:lang w:val="de-DE"/>
        </w:rPr>
        <w:instrText xml:space="preserve"> AUTONUM  </w:instrText>
      </w:r>
      <w:r w:rsidRPr="00E57528">
        <w:rPr>
          <w:lang w:val="de-DE"/>
        </w:rPr>
        <w:fldChar w:fldCharType="end"/>
      </w:r>
      <w:r w:rsidRPr="00C20C76">
        <w:rPr>
          <w:lang w:val="de-DE"/>
        </w:rPr>
        <w:tab/>
        <w:t>Die TWV begrüßte das Angebot Frankreichs und der Niederlande, auf ihrer fünfundfünfzigsten Tagung die derzeitige Praxis der Ausprägung de</w:t>
      </w:r>
      <w:r w:rsidR="000040A9" w:rsidRPr="00C20C76">
        <w:rPr>
          <w:lang w:val="de-DE"/>
        </w:rPr>
        <w:t>r</w:t>
      </w:r>
      <w:r w:rsidRPr="00C20C76">
        <w:rPr>
          <w:lang w:val="de-DE"/>
        </w:rPr>
        <w:t xml:space="preserve"> intermediären </w:t>
      </w:r>
      <w:r w:rsidR="000040A9" w:rsidRPr="00C20C76">
        <w:rPr>
          <w:lang w:val="de-DE"/>
        </w:rPr>
        <w:t>Stufe</w:t>
      </w:r>
      <w:r w:rsidRPr="00C20C76">
        <w:rPr>
          <w:lang w:val="de-DE"/>
        </w:rPr>
        <w:t xml:space="preserve"> bei Krankheitsresistenzmerkmalen </w:t>
      </w:r>
      <w:r w:rsidR="00EB579E">
        <w:rPr>
          <w:lang w:val="de-DE"/>
        </w:rPr>
        <w:t>dar</w:t>
      </w:r>
      <w:r w:rsidRPr="00C20C76">
        <w:rPr>
          <w:lang w:val="de-DE"/>
        </w:rPr>
        <w:t>zu</w:t>
      </w:r>
      <w:r w:rsidR="000040A9" w:rsidRPr="00C20C76">
        <w:rPr>
          <w:lang w:val="de-DE"/>
        </w:rPr>
        <w:t>legen</w:t>
      </w:r>
      <w:r w:rsidRPr="00C20C76">
        <w:rPr>
          <w:lang w:val="de-DE"/>
        </w:rPr>
        <w:t xml:space="preserve">. Sie nahm ferner das Ersuchen des Vertreters des ISF zur Kenntnis, eine Angleichung der </w:t>
      </w:r>
      <w:r w:rsidR="0084455A" w:rsidRPr="00C20C76">
        <w:rPr>
          <w:lang w:val="de-DE"/>
        </w:rPr>
        <w:t xml:space="preserve">für </w:t>
      </w:r>
      <w:r w:rsidRPr="00C20C76">
        <w:rPr>
          <w:lang w:val="de-DE"/>
        </w:rPr>
        <w:t xml:space="preserve">Krankheitsresistenz </w:t>
      </w:r>
      <w:r w:rsidR="0084455A" w:rsidRPr="00C20C76">
        <w:rPr>
          <w:lang w:val="de-DE"/>
        </w:rPr>
        <w:t xml:space="preserve">verwendeten </w:t>
      </w:r>
      <w:r w:rsidRPr="00C20C76">
        <w:rPr>
          <w:lang w:val="de-DE"/>
        </w:rPr>
        <w:t xml:space="preserve">Terminologie </w:t>
      </w:r>
      <w:r w:rsidR="000040A9" w:rsidRPr="00C20C76">
        <w:rPr>
          <w:lang w:val="de-DE"/>
        </w:rPr>
        <w:t>anzustreben</w:t>
      </w:r>
      <w:r w:rsidR="00C72CA6">
        <w:rPr>
          <w:lang w:val="de-DE"/>
        </w:rPr>
        <w:t>,</w:t>
      </w:r>
      <w:r w:rsidRPr="00C20C76">
        <w:rPr>
          <w:lang w:val="de-DE"/>
        </w:rPr>
        <w:t xml:space="preserve"> und </w:t>
      </w:r>
      <w:r w:rsidR="00EB579E">
        <w:rPr>
          <w:lang w:val="de-DE"/>
        </w:rPr>
        <w:t>ersuchte</w:t>
      </w:r>
      <w:r w:rsidRPr="00C20C76">
        <w:rPr>
          <w:lang w:val="de-DE"/>
        </w:rPr>
        <w:t xml:space="preserve"> den ISF, auf </w:t>
      </w:r>
      <w:r w:rsidR="00EB579E">
        <w:rPr>
          <w:lang w:val="de-DE"/>
        </w:rPr>
        <w:t>ihrer</w:t>
      </w:r>
      <w:r w:rsidRPr="00C20C76">
        <w:rPr>
          <w:lang w:val="de-DE"/>
        </w:rPr>
        <w:t xml:space="preserve"> fünfundfünfzigsten Tagung ein Referat über </w:t>
      </w:r>
      <w:r w:rsidR="000040A9" w:rsidRPr="00C20C76">
        <w:rPr>
          <w:lang w:val="de-DE"/>
        </w:rPr>
        <w:t>den Standpunkt</w:t>
      </w:r>
      <w:r w:rsidRPr="00C20C76">
        <w:rPr>
          <w:lang w:val="de-DE"/>
        </w:rPr>
        <w:t xml:space="preserve"> </w:t>
      </w:r>
      <w:r w:rsidR="00EA28DF">
        <w:rPr>
          <w:lang w:val="de-DE"/>
        </w:rPr>
        <w:t>des Züchtungswesens für Gemüsesaatgut</w:t>
      </w:r>
      <w:r w:rsidR="000040A9" w:rsidRPr="00C20C76">
        <w:rPr>
          <w:lang w:val="de-DE"/>
        </w:rPr>
        <w:t xml:space="preserve"> </w:t>
      </w:r>
      <w:r w:rsidRPr="00C20C76">
        <w:rPr>
          <w:lang w:val="de-DE"/>
        </w:rPr>
        <w:t>über die</w:t>
      </w:r>
      <w:r w:rsidR="00EB579E">
        <w:rPr>
          <w:lang w:val="de-DE"/>
        </w:rPr>
        <w:t xml:space="preserve"> für</w:t>
      </w:r>
      <w:r w:rsidRPr="00C20C76">
        <w:rPr>
          <w:lang w:val="de-DE"/>
        </w:rPr>
        <w:t xml:space="preserve"> Krankheitsresistenz verwendete Terminologie zu halten. </w:t>
      </w:r>
    </w:p>
    <w:p w14:paraId="6249F9B7" w14:textId="77777777" w:rsidR="00050E16" w:rsidRPr="00C20C76" w:rsidRDefault="00050E16" w:rsidP="00167246">
      <w:pPr>
        <w:rPr>
          <w:lang w:val="de-DE"/>
        </w:rPr>
      </w:pPr>
    </w:p>
    <w:p w14:paraId="4AFDBBD8" w14:textId="77777777" w:rsidR="008D3E41" w:rsidRPr="00C20C76" w:rsidRDefault="008D3E41" w:rsidP="00167246">
      <w:pPr>
        <w:rPr>
          <w:lang w:val="de-DE"/>
        </w:rPr>
      </w:pPr>
    </w:p>
    <w:p w14:paraId="031C298F" w14:textId="04E48688" w:rsidR="002A3829" w:rsidRPr="00C20C76" w:rsidRDefault="002A3829" w:rsidP="00167246">
      <w:pPr>
        <w:pStyle w:val="Heading2"/>
        <w:rPr>
          <w:lang w:val="de-DE"/>
        </w:rPr>
      </w:pPr>
      <w:bookmarkStart w:id="13" w:name="_Toc54170625"/>
      <w:r w:rsidRPr="00C20C76">
        <w:rPr>
          <w:lang w:val="de-DE"/>
        </w:rPr>
        <w:t xml:space="preserve">Mögliche Entwicklungen, </w:t>
      </w:r>
      <w:r w:rsidR="0056188E">
        <w:rPr>
          <w:lang w:val="de-DE"/>
        </w:rPr>
        <w:t>um zu</w:t>
      </w:r>
      <w:r w:rsidR="00EB579E">
        <w:rPr>
          <w:lang w:val="de-DE"/>
        </w:rPr>
        <w:t xml:space="preserve"> ermöglichen, dass</w:t>
      </w:r>
      <w:r w:rsidRPr="00C20C76">
        <w:rPr>
          <w:lang w:val="de-DE"/>
        </w:rPr>
        <w:t xml:space="preserve"> UPOV-Codes nützliche Informationen über Sortengruppen oder -typen für DUS-</w:t>
      </w:r>
      <w:r w:rsidR="00E915EA">
        <w:rPr>
          <w:lang w:val="de-DE"/>
        </w:rPr>
        <w:t>Prüfungszwecke liefern</w:t>
      </w:r>
      <w:r w:rsidRPr="00C20C76">
        <w:rPr>
          <w:lang w:val="de-DE"/>
        </w:rPr>
        <w:t xml:space="preserve"> (Projekt Plavarlis - UPOV-Codes)</w:t>
      </w:r>
      <w:bookmarkEnd w:id="13"/>
    </w:p>
    <w:p w14:paraId="6A730F7D" w14:textId="77777777" w:rsidR="002A3829" w:rsidRPr="00C20C76" w:rsidRDefault="002A3829" w:rsidP="00167246">
      <w:pPr>
        <w:rPr>
          <w:lang w:val="de-DE"/>
        </w:rPr>
      </w:pPr>
    </w:p>
    <w:p w14:paraId="5B26259F" w14:textId="4FE631E9" w:rsidR="002A3829" w:rsidRPr="00C20C76" w:rsidRDefault="002A38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TWO</w:t>
      </w:r>
      <w:r w:rsidRPr="00C20C76">
        <w:rPr>
          <w:rStyle w:val="FootnoteReference"/>
          <w:rFonts w:eastAsia="PMingLiU"/>
          <w:szCs w:val="24"/>
          <w:lang w:val="de-DE"/>
        </w:rPr>
        <w:footnoteReference w:id="11"/>
      </w:r>
      <w:r w:rsidRPr="00C20C76">
        <w:rPr>
          <w:lang w:val="de-DE"/>
        </w:rPr>
        <w:t xml:space="preserve"> hörte ein Referat über </w:t>
      </w:r>
      <w:r w:rsidR="00B96168" w:rsidRPr="00C20C76">
        <w:rPr>
          <w:lang w:val="de-DE"/>
        </w:rPr>
        <w:t>„</w:t>
      </w:r>
      <w:r w:rsidR="00CF010B" w:rsidRPr="00C20C76">
        <w:rPr>
          <w:lang w:val="de-DE"/>
        </w:rPr>
        <w:t xml:space="preserve">Mögliche Entwicklungen, </w:t>
      </w:r>
      <w:r w:rsidR="0056188E">
        <w:rPr>
          <w:lang w:val="de-DE"/>
        </w:rPr>
        <w:t>um zu</w:t>
      </w:r>
      <w:r w:rsidR="00CF010B" w:rsidRPr="00C20C76">
        <w:rPr>
          <w:lang w:val="de-DE"/>
        </w:rPr>
        <w:t xml:space="preserve"> ermöglichen, dass UPOV-Codes nützliche Informationen über Sortengruppen oder -typen für DUS-</w:t>
      </w:r>
      <w:r w:rsidR="00E915EA">
        <w:rPr>
          <w:lang w:val="de-DE"/>
        </w:rPr>
        <w:t>Prüfungszwecke liefern</w:t>
      </w:r>
      <w:r w:rsidR="00B96168" w:rsidRPr="00C20C76">
        <w:rPr>
          <w:lang w:val="de-DE"/>
        </w:rPr>
        <w:t>“</w:t>
      </w:r>
      <w:r w:rsidRPr="00C20C76">
        <w:rPr>
          <w:lang w:val="de-DE"/>
        </w:rPr>
        <w:t xml:space="preserve"> (Projekt Plavarlis) von einem </w:t>
      </w:r>
      <w:r w:rsidR="00B608F4" w:rsidRPr="00C20C76">
        <w:rPr>
          <w:lang w:val="de-DE"/>
        </w:rPr>
        <w:t>Sachverständigen aus der Europäischen</w:t>
      </w:r>
      <w:r w:rsidRPr="00C20C76">
        <w:rPr>
          <w:lang w:val="de-DE"/>
        </w:rPr>
        <w:t xml:space="preserve"> Union. Eine </w:t>
      </w:r>
      <w:r w:rsidR="007F7D0B" w:rsidRPr="00C20C76">
        <w:rPr>
          <w:lang w:val="de-DE"/>
        </w:rPr>
        <w:t>Abschrift des Referats</w:t>
      </w:r>
      <w:r w:rsidRPr="00C20C76">
        <w:rPr>
          <w:lang w:val="de-DE"/>
        </w:rPr>
        <w:t xml:space="preserve"> ist in Dokument TWO/52/9 enthalten </w:t>
      </w:r>
      <w:r w:rsidRPr="00C20C76">
        <w:rPr>
          <w:bCs/>
          <w:lang w:val="de-DE"/>
        </w:rPr>
        <w:t xml:space="preserve">(vergleiche Dokument TWO/52/11 </w:t>
      </w:r>
      <w:r w:rsidR="00B96168" w:rsidRPr="00C20C76">
        <w:rPr>
          <w:bCs/>
          <w:lang w:val="de-DE"/>
        </w:rPr>
        <w:t>„Report“</w:t>
      </w:r>
      <w:r w:rsidRPr="00C20C76">
        <w:rPr>
          <w:bCs/>
          <w:lang w:val="de-DE"/>
        </w:rPr>
        <w:t xml:space="preserve"> Absätze 53 bis 55)</w:t>
      </w:r>
      <w:r w:rsidRPr="00C20C76">
        <w:rPr>
          <w:lang w:val="de-DE"/>
        </w:rPr>
        <w:t>.</w:t>
      </w:r>
    </w:p>
    <w:p w14:paraId="617E353A" w14:textId="77777777" w:rsidR="008D3E41" w:rsidRPr="00C20C76" w:rsidRDefault="008D3E41" w:rsidP="00167246">
      <w:pPr>
        <w:rPr>
          <w:lang w:val="de-DE"/>
        </w:rPr>
      </w:pPr>
    </w:p>
    <w:p w14:paraId="41CCE490" w14:textId="771308B6" w:rsidR="002A3829" w:rsidRPr="00C20C76" w:rsidRDefault="002A38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TWO vereinbarte, die Europäische Union </w:t>
      </w:r>
      <w:r w:rsidR="000F48DC" w:rsidRPr="00C20C76">
        <w:rPr>
          <w:lang w:val="de-DE"/>
        </w:rPr>
        <w:t>zu ersuchen</w:t>
      </w:r>
      <w:r w:rsidRPr="00C20C76">
        <w:rPr>
          <w:lang w:val="de-DE"/>
        </w:rPr>
        <w:t xml:space="preserve">, auf ihrer dreiundfünfzigsten Tagung über die Entwicklungen des Projekts zu </w:t>
      </w:r>
      <w:r w:rsidR="00CF010B" w:rsidRPr="00C20C76">
        <w:rPr>
          <w:lang w:val="de-DE"/>
        </w:rPr>
        <w:t>berichten</w:t>
      </w:r>
      <w:r w:rsidRPr="00C20C76">
        <w:rPr>
          <w:lang w:val="de-DE"/>
        </w:rPr>
        <w:t xml:space="preserve">. </w:t>
      </w:r>
    </w:p>
    <w:p w14:paraId="6C6930C4" w14:textId="77777777" w:rsidR="002A3829" w:rsidRPr="00C20C76" w:rsidRDefault="002A3829" w:rsidP="00167246">
      <w:pPr>
        <w:rPr>
          <w:lang w:val="de-DE"/>
        </w:rPr>
      </w:pPr>
    </w:p>
    <w:p w14:paraId="1A80C1D9" w14:textId="362A7AD5" w:rsidR="002A3829" w:rsidRPr="00C20C76" w:rsidRDefault="002A3829" w:rsidP="00167246">
      <w:pPr>
        <w:rPr>
          <w:lang w:val="de-DE"/>
        </w:rPr>
      </w:pPr>
      <w:r w:rsidRPr="00C20C76">
        <w:rPr>
          <w:bCs/>
          <w:lang w:val="de-DE"/>
        </w:rPr>
        <w:fldChar w:fldCharType="begin"/>
      </w:r>
      <w:r w:rsidRPr="00C20C76">
        <w:rPr>
          <w:bCs/>
          <w:lang w:val="de-DE"/>
        </w:rPr>
        <w:instrText xml:space="preserve"> AUTONUM  </w:instrText>
      </w:r>
      <w:r w:rsidRPr="00C20C76">
        <w:rPr>
          <w:bCs/>
          <w:lang w:val="de-DE"/>
        </w:rPr>
        <w:fldChar w:fldCharType="end"/>
      </w:r>
      <w:r w:rsidRPr="00C20C76">
        <w:rPr>
          <w:bCs/>
          <w:lang w:val="de-DE"/>
        </w:rPr>
        <w:tab/>
        <w:t>Die TWO vereinbarte</w:t>
      </w:r>
      <w:r w:rsidR="009432D0">
        <w:rPr>
          <w:bCs/>
          <w:lang w:val="de-DE"/>
        </w:rPr>
        <w:t>,</w:t>
      </w:r>
      <w:r w:rsidRPr="00C20C76">
        <w:rPr>
          <w:bCs/>
          <w:lang w:val="de-DE"/>
        </w:rPr>
        <w:t xml:space="preserve"> die Niederlande </w:t>
      </w:r>
      <w:r w:rsidR="000F48DC" w:rsidRPr="00C20C76">
        <w:rPr>
          <w:bCs/>
          <w:lang w:val="de-DE"/>
        </w:rPr>
        <w:t>zu ersuchen</w:t>
      </w:r>
      <w:r w:rsidRPr="00C20C76">
        <w:rPr>
          <w:bCs/>
          <w:lang w:val="de-DE"/>
        </w:rPr>
        <w:t xml:space="preserve">, auf ihrer dreiundfünfzigsten Tagung ein </w:t>
      </w:r>
      <w:r w:rsidR="00C72CA6">
        <w:rPr>
          <w:bCs/>
          <w:lang w:val="de-DE"/>
        </w:rPr>
        <w:t>Referat über die</w:t>
      </w:r>
      <w:r w:rsidR="00EF1331" w:rsidRPr="00C20C76">
        <w:rPr>
          <w:bCs/>
          <w:lang w:val="de-DE"/>
        </w:rPr>
        <w:t xml:space="preserve"> Erläuterung des</w:t>
      </w:r>
      <w:r w:rsidRPr="00C20C76">
        <w:rPr>
          <w:bCs/>
          <w:lang w:val="de-DE"/>
        </w:rPr>
        <w:t xml:space="preserve"> Verfahren</w:t>
      </w:r>
      <w:r w:rsidR="00EF1331" w:rsidRPr="00C20C76">
        <w:rPr>
          <w:bCs/>
          <w:lang w:val="de-DE"/>
        </w:rPr>
        <w:t>s</w:t>
      </w:r>
      <w:r w:rsidRPr="00C20C76">
        <w:rPr>
          <w:bCs/>
          <w:lang w:val="de-DE"/>
        </w:rPr>
        <w:t xml:space="preserve"> </w:t>
      </w:r>
      <w:r w:rsidR="00EF1331" w:rsidRPr="00C20C76">
        <w:rPr>
          <w:bCs/>
          <w:lang w:val="de-DE"/>
        </w:rPr>
        <w:t>zur</w:t>
      </w:r>
      <w:r w:rsidRPr="00C20C76">
        <w:rPr>
          <w:bCs/>
          <w:lang w:val="de-DE"/>
        </w:rPr>
        <w:t xml:space="preserve"> Gruppierung </w:t>
      </w:r>
      <w:r w:rsidR="00EF1331" w:rsidRPr="00C20C76">
        <w:rPr>
          <w:bCs/>
          <w:lang w:val="de-DE"/>
        </w:rPr>
        <w:t>von</w:t>
      </w:r>
      <w:r w:rsidRPr="00C20C76">
        <w:rPr>
          <w:bCs/>
          <w:lang w:val="de-DE"/>
        </w:rPr>
        <w:t xml:space="preserve"> Sorten und Organisation der Anbauprüfungen</w:t>
      </w:r>
      <w:r w:rsidR="00EF1331" w:rsidRPr="00C20C76">
        <w:rPr>
          <w:bCs/>
          <w:lang w:val="de-DE"/>
        </w:rPr>
        <w:t xml:space="preserve"> zu halten</w:t>
      </w:r>
      <w:r w:rsidRPr="00C20C76">
        <w:rPr>
          <w:bCs/>
          <w:lang w:val="de-DE"/>
        </w:rPr>
        <w:t xml:space="preserve">. Insbesondere sollte erläutert werden, wie UPOV-Codes zu diesem Zweck verwendet wurden </w:t>
      </w:r>
      <w:r w:rsidR="00B608F4" w:rsidRPr="00C20C76">
        <w:rPr>
          <w:bCs/>
          <w:lang w:val="de-DE"/>
        </w:rPr>
        <w:t>und</w:t>
      </w:r>
      <w:r w:rsidRPr="00C20C76">
        <w:rPr>
          <w:bCs/>
          <w:lang w:val="de-DE"/>
        </w:rPr>
        <w:t xml:space="preserve"> </w:t>
      </w:r>
      <w:r w:rsidR="00B608F4" w:rsidRPr="00C20C76">
        <w:rPr>
          <w:bCs/>
          <w:lang w:val="de-DE"/>
        </w:rPr>
        <w:t>welche</w:t>
      </w:r>
      <w:r w:rsidRPr="00C20C76">
        <w:rPr>
          <w:bCs/>
          <w:lang w:val="de-DE"/>
        </w:rPr>
        <w:t xml:space="preserve"> sonstigen </w:t>
      </w:r>
      <w:r w:rsidR="00021BC0" w:rsidRPr="00C20C76">
        <w:rPr>
          <w:bCs/>
          <w:lang w:val="de-DE"/>
        </w:rPr>
        <w:t>maßgeblichen</w:t>
      </w:r>
      <w:r w:rsidRPr="00C20C76">
        <w:rPr>
          <w:bCs/>
          <w:lang w:val="de-DE"/>
        </w:rPr>
        <w:t xml:space="preserve"> Informationsquellen über Sortengruppen oder -typen es gibt.</w:t>
      </w:r>
    </w:p>
    <w:p w14:paraId="58995202" w14:textId="77777777" w:rsidR="008D3E41" w:rsidRPr="00C20C76" w:rsidRDefault="008D3E41" w:rsidP="00167246">
      <w:pPr>
        <w:rPr>
          <w:lang w:val="de-DE"/>
        </w:rPr>
      </w:pPr>
    </w:p>
    <w:p w14:paraId="0CEC0F11" w14:textId="0AA2AE04" w:rsidR="002A3829" w:rsidRPr="00C20C76" w:rsidRDefault="002A38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TWA</w:t>
      </w:r>
      <w:r w:rsidRPr="00C20C76">
        <w:rPr>
          <w:rStyle w:val="FootnoteReference"/>
          <w:rFonts w:eastAsia="PMingLiU"/>
          <w:szCs w:val="24"/>
          <w:lang w:val="de-DE"/>
        </w:rPr>
        <w:footnoteReference w:id="12"/>
      </w:r>
      <w:r w:rsidR="00B608F4" w:rsidRPr="00C20C76">
        <w:rPr>
          <w:lang w:val="de-DE"/>
        </w:rPr>
        <w:t xml:space="preserve"> </w:t>
      </w:r>
      <w:r w:rsidRPr="00C20C76">
        <w:rPr>
          <w:lang w:val="de-DE"/>
        </w:rPr>
        <w:t xml:space="preserve">hörte ein Referat über </w:t>
      </w:r>
      <w:r w:rsidR="00B608F4" w:rsidRPr="00C20C76">
        <w:rPr>
          <w:lang w:val="de-DE"/>
        </w:rPr>
        <w:t>„</w:t>
      </w:r>
      <w:r w:rsidRPr="00C20C76">
        <w:rPr>
          <w:lang w:val="de-DE"/>
        </w:rPr>
        <w:t>Projekt</w:t>
      </w:r>
      <w:r w:rsidR="00C72CA6">
        <w:rPr>
          <w:lang w:val="de-DE"/>
        </w:rPr>
        <w:t xml:space="preserve"> </w:t>
      </w:r>
      <w:r w:rsidR="00C72CA6" w:rsidRPr="00C20C76">
        <w:rPr>
          <w:lang w:val="de-DE"/>
        </w:rPr>
        <w:t>Plavarlis</w:t>
      </w:r>
      <w:r w:rsidRPr="00C20C76">
        <w:rPr>
          <w:lang w:val="de-DE"/>
        </w:rPr>
        <w:t xml:space="preserve"> - UPOV-Codes</w:t>
      </w:r>
      <w:r w:rsidR="00B608F4" w:rsidRPr="00C20C76">
        <w:rPr>
          <w:lang w:val="de-DE"/>
        </w:rPr>
        <w:t>“</w:t>
      </w:r>
      <w:r w:rsidRPr="00C20C76">
        <w:rPr>
          <w:lang w:val="de-DE"/>
        </w:rPr>
        <w:t xml:space="preserve"> von einem </w:t>
      </w:r>
      <w:r w:rsidR="00B608F4" w:rsidRPr="00C20C76">
        <w:rPr>
          <w:lang w:val="de-DE"/>
        </w:rPr>
        <w:t>Sachverständigen aus der Europäischen</w:t>
      </w:r>
      <w:r w:rsidRPr="00C20C76">
        <w:rPr>
          <w:lang w:val="de-DE"/>
        </w:rPr>
        <w:t xml:space="preserve"> Union. Eine </w:t>
      </w:r>
      <w:r w:rsidR="000963EC" w:rsidRPr="00C20C76">
        <w:rPr>
          <w:lang w:val="de-DE"/>
        </w:rPr>
        <w:t xml:space="preserve">Abschrift </w:t>
      </w:r>
      <w:r w:rsidRPr="00C20C76">
        <w:rPr>
          <w:lang w:val="de-DE"/>
        </w:rPr>
        <w:t>de</w:t>
      </w:r>
      <w:r w:rsidR="00B608F4" w:rsidRPr="00C20C76">
        <w:rPr>
          <w:lang w:val="de-DE"/>
        </w:rPr>
        <w:t>s</w:t>
      </w:r>
      <w:r w:rsidRPr="00C20C76">
        <w:rPr>
          <w:lang w:val="de-DE"/>
        </w:rPr>
        <w:t xml:space="preserve"> </w:t>
      </w:r>
      <w:r w:rsidR="00B608F4" w:rsidRPr="00C20C76">
        <w:rPr>
          <w:lang w:val="de-DE"/>
        </w:rPr>
        <w:t>Referats</w:t>
      </w:r>
      <w:r w:rsidRPr="00C20C76">
        <w:rPr>
          <w:lang w:val="de-DE"/>
        </w:rPr>
        <w:t xml:space="preserve"> ist in Dokument TWA/49/4 enthalten (vergleiche Dokument TWA/49/7 </w:t>
      </w:r>
      <w:r w:rsidR="00B608F4" w:rsidRPr="00C20C76">
        <w:rPr>
          <w:lang w:val="de-DE"/>
        </w:rPr>
        <w:t>„Report“</w:t>
      </w:r>
      <w:r w:rsidRPr="00C20C76">
        <w:rPr>
          <w:lang w:val="de-DE"/>
        </w:rPr>
        <w:t>, Absatz 36).</w:t>
      </w:r>
    </w:p>
    <w:p w14:paraId="570AA7B6" w14:textId="77777777" w:rsidR="00544581" w:rsidRPr="00C20C76" w:rsidRDefault="00544581" w:rsidP="00167246">
      <w:pPr>
        <w:jc w:val="left"/>
        <w:rPr>
          <w:lang w:val="de-DE"/>
        </w:rPr>
      </w:pPr>
    </w:p>
    <w:p w14:paraId="4ED0D539" w14:textId="66AE809A" w:rsidR="002A3829" w:rsidRPr="00C20C76" w:rsidRDefault="002A3829" w:rsidP="00167246">
      <w:pPr>
        <w:autoSpaceDE w:val="0"/>
        <w:autoSpaceDN w:val="0"/>
        <w:adjustRightInd w:val="0"/>
        <w:rPr>
          <w:lang w:val="de-DE"/>
        </w:rPr>
      </w:pPr>
      <w:r w:rsidRPr="00C20C76">
        <w:rPr>
          <w:rFonts w:cs="Arial"/>
          <w:lang w:val="de-DE"/>
        </w:rPr>
        <w:fldChar w:fldCharType="begin"/>
      </w:r>
      <w:r w:rsidRPr="00C20C76">
        <w:rPr>
          <w:rFonts w:cs="Arial"/>
          <w:lang w:val="de-DE"/>
        </w:rPr>
        <w:instrText xml:space="preserve"> AUTONUM  </w:instrText>
      </w:r>
      <w:r w:rsidRPr="00C20C76">
        <w:rPr>
          <w:rFonts w:cs="Arial"/>
          <w:lang w:val="de-DE"/>
        </w:rPr>
        <w:fldChar w:fldCharType="end"/>
      </w:r>
      <w:r w:rsidRPr="00C20C76">
        <w:rPr>
          <w:rFonts w:cs="Arial"/>
          <w:lang w:val="de-DE"/>
        </w:rPr>
        <w:tab/>
        <w:t>Die TWF</w:t>
      </w:r>
      <w:r w:rsidRPr="00C20C76">
        <w:rPr>
          <w:rStyle w:val="FootnoteReference"/>
          <w:color w:val="000000"/>
          <w:lang w:val="de-DE"/>
        </w:rPr>
        <w:footnoteReference w:id="13"/>
      </w:r>
      <w:r w:rsidR="00B608F4" w:rsidRPr="00C20C76">
        <w:rPr>
          <w:rFonts w:cs="Arial"/>
          <w:lang w:val="de-DE"/>
        </w:rPr>
        <w:t xml:space="preserve"> </w:t>
      </w:r>
      <w:r w:rsidRPr="00C20C76">
        <w:rPr>
          <w:rFonts w:cs="Arial"/>
          <w:lang w:val="de-DE"/>
        </w:rPr>
        <w:t xml:space="preserve">hörte </w:t>
      </w:r>
      <w:r w:rsidRPr="00C20C76">
        <w:rPr>
          <w:rFonts w:cs="Arial"/>
          <w:sz w:val="19"/>
          <w:szCs w:val="19"/>
          <w:lang w:val="de-DE"/>
        </w:rPr>
        <w:t xml:space="preserve">ein </w:t>
      </w:r>
      <w:r w:rsidRPr="00C20C76">
        <w:rPr>
          <w:rFonts w:cs="Arial"/>
          <w:lang w:val="de-DE"/>
        </w:rPr>
        <w:t xml:space="preserve">Referat über </w:t>
      </w:r>
      <w:r w:rsidR="00B608F4" w:rsidRPr="00C20C76">
        <w:rPr>
          <w:rFonts w:cs="Arial"/>
          <w:lang w:val="de-DE"/>
        </w:rPr>
        <w:t>„</w:t>
      </w:r>
      <w:r w:rsidR="00CF010B" w:rsidRPr="00C20C76">
        <w:rPr>
          <w:lang w:val="de-DE"/>
        </w:rPr>
        <w:t xml:space="preserve">Mögliche Entwicklungen, </w:t>
      </w:r>
      <w:r w:rsidR="0056188E">
        <w:rPr>
          <w:lang w:val="de-DE"/>
        </w:rPr>
        <w:t>um zu</w:t>
      </w:r>
      <w:r w:rsidR="00CF010B" w:rsidRPr="00C20C76">
        <w:rPr>
          <w:lang w:val="de-DE"/>
        </w:rPr>
        <w:t xml:space="preserve"> ermöglichen, dass UPOV-Codes nützliche Informationen über Sortengruppen oder -typen für DUS-</w:t>
      </w:r>
      <w:r w:rsidR="00E915EA">
        <w:rPr>
          <w:lang w:val="de-DE"/>
        </w:rPr>
        <w:t>Prüfungszwecke liefern</w:t>
      </w:r>
      <w:r w:rsidR="00B608F4" w:rsidRPr="00C20C76">
        <w:rPr>
          <w:rFonts w:cs="Arial"/>
          <w:lang w:val="de-DE"/>
        </w:rPr>
        <w:t>“</w:t>
      </w:r>
      <w:r w:rsidR="0056188E">
        <w:rPr>
          <w:rFonts w:cs="Arial"/>
          <w:lang w:val="de-DE"/>
        </w:rPr>
        <w:t xml:space="preserve"> </w:t>
      </w:r>
      <w:r w:rsidR="0056188E">
        <w:rPr>
          <w:rFonts w:cs="Arial"/>
          <w:sz w:val="19"/>
          <w:szCs w:val="19"/>
          <w:lang w:val="de-DE"/>
        </w:rPr>
        <w:t xml:space="preserve">von einem </w:t>
      </w:r>
      <w:r w:rsidR="0056188E" w:rsidRPr="00C20C76">
        <w:rPr>
          <w:rFonts w:cs="Arial"/>
          <w:sz w:val="19"/>
          <w:szCs w:val="19"/>
          <w:lang w:val="de-DE"/>
        </w:rPr>
        <w:t>Sachverständigen aus der Europäischen Union</w:t>
      </w:r>
      <w:r w:rsidRPr="00C20C76">
        <w:rPr>
          <w:rFonts w:cs="Arial"/>
          <w:lang w:val="de-DE"/>
        </w:rPr>
        <w:t xml:space="preserve">. </w:t>
      </w:r>
      <w:r w:rsidRPr="00C20C76">
        <w:rPr>
          <w:rFonts w:cs="Arial"/>
          <w:sz w:val="19"/>
          <w:szCs w:val="19"/>
          <w:lang w:val="de-DE"/>
        </w:rPr>
        <w:t xml:space="preserve">Eine </w:t>
      </w:r>
      <w:r w:rsidR="000963EC" w:rsidRPr="00C20C76">
        <w:rPr>
          <w:rFonts w:cs="Arial"/>
          <w:sz w:val="19"/>
          <w:szCs w:val="19"/>
          <w:lang w:val="de-DE"/>
        </w:rPr>
        <w:t xml:space="preserve">Abschrift </w:t>
      </w:r>
      <w:r w:rsidRPr="00C20C76">
        <w:rPr>
          <w:rFonts w:cs="Arial"/>
          <w:sz w:val="19"/>
          <w:szCs w:val="19"/>
          <w:lang w:val="de-DE"/>
        </w:rPr>
        <w:t>de</w:t>
      </w:r>
      <w:r w:rsidR="00B608F4" w:rsidRPr="00C20C76">
        <w:rPr>
          <w:rFonts w:cs="Arial"/>
          <w:sz w:val="19"/>
          <w:szCs w:val="19"/>
          <w:lang w:val="de-DE"/>
        </w:rPr>
        <w:t>s</w:t>
      </w:r>
      <w:r w:rsidRPr="00C20C76">
        <w:rPr>
          <w:rFonts w:cs="Arial"/>
          <w:sz w:val="19"/>
          <w:szCs w:val="19"/>
          <w:lang w:val="de-DE"/>
        </w:rPr>
        <w:t xml:space="preserve"> </w:t>
      </w:r>
      <w:r w:rsidR="00B608F4" w:rsidRPr="00C20C76">
        <w:rPr>
          <w:rFonts w:cs="Arial"/>
          <w:sz w:val="19"/>
          <w:szCs w:val="19"/>
          <w:lang w:val="de-DE"/>
        </w:rPr>
        <w:t>Referats</w:t>
      </w:r>
      <w:r w:rsidRPr="00C20C76">
        <w:rPr>
          <w:rFonts w:cs="Arial"/>
          <w:sz w:val="19"/>
          <w:szCs w:val="19"/>
          <w:lang w:val="de-DE"/>
        </w:rPr>
        <w:t xml:space="preserve"> ist in Dokument TWF/51/8 enthalten (vergleiche Dokument </w:t>
      </w:r>
      <w:r w:rsidRPr="00C20C76">
        <w:rPr>
          <w:rFonts w:cs="Arial"/>
          <w:lang w:val="de-DE"/>
        </w:rPr>
        <w:t xml:space="preserve">TWF/51/10 </w:t>
      </w:r>
      <w:r w:rsidR="00B608F4" w:rsidRPr="00C20C76">
        <w:rPr>
          <w:rFonts w:cs="Arial"/>
          <w:lang w:val="de-DE"/>
        </w:rPr>
        <w:t>„Report“</w:t>
      </w:r>
      <w:r w:rsidRPr="00C20C76">
        <w:rPr>
          <w:rFonts w:cs="Arial"/>
          <w:lang w:val="de-DE"/>
        </w:rPr>
        <w:t>, Absatz</w:t>
      </w:r>
      <w:r w:rsidR="0056188E">
        <w:rPr>
          <w:rFonts w:cs="Arial"/>
          <w:lang w:val="de-DE"/>
        </w:rPr>
        <w:t xml:space="preserve"> </w:t>
      </w:r>
      <w:r w:rsidRPr="00C20C76">
        <w:rPr>
          <w:rFonts w:cs="Arial"/>
          <w:lang w:val="de-DE"/>
        </w:rPr>
        <w:t>57)</w:t>
      </w:r>
      <w:r w:rsidRPr="00C20C76">
        <w:rPr>
          <w:rFonts w:cs="Arial"/>
          <w:sz w:val="19"/>
          <w:szCs w:val="19"/>
          <w:lang w:val="de-DE"/>
        </w:rPr>
        <w:t>.</w:t>
      </w:r>
    </w:p>
    <w:p w14:paraId="3C90B8F5" w14:textId="77777777" w:rsidR="002A3829" w:rsidRPr="00C20C76" w:rsidRDefault="002A3829" w:rsidP="00167246">
      <w:pPr>
        <w:jc w:val="left"/>
        <w:rPr>
          <w:lang w:val="de-DE"/>
        </w:rPr>
      </w:pPr>
    </w:p>
    <w:p w14:paraId="17147343" w14:textId="77777777" w:rsidR="002A3829" w:rsidRPr="00C20C76" w:rsidRDefault="002A3829" w:rsidP="00167246">
      <w:pPr>
        <w:jc w:val="left"/>
        <w:rPr>
          <w:lang w:val="de-DE"/>
        </w:rPr>
      </w:pPr>
    </w:p>
    <w:p w14:paraId="0696862B" w14:textId="77777777" w:rsidR="00D035F3" w:rsidRPr="00C20C76" w:rsidRDefault="00D035F3" w:rsidP="00167246">
      <w:pPr>
        <w:pStyle w:val="Heading2"/>
        <w:rPr>
          <w:lang w:val="de-DE"/>
        </w:rPr>
      </w:pPr>
      <w:bookmarkStart w:id="14" w:name="_Toc54170626"/>
      <w:r w:rsidRPr="00C20C76">
        <w:rPr>
          <w:lang w:val="de-DE"/>
        </w:rPr>
        <w:t>Mindestabstände zwischen vegetativ vermehrten Ziersorten</w:t>
      </w:r>
      <w:bookmarkEnd w:id="14"/>
      <w:r w:rsidRPr="00C20C76">
        <w:rPr>
          <w:lang w:val="de-DE"/>
        </w:rPr>
        <w:t xml:space="preserve"> </w:t>
      </w:r>
    </w:p>
    <w:p w14:paraId="57A5D545" w14:textId="77777777" w:rsidR="00D035F3" w:rsidRPr="00C20C76" w:rsidRDefault="00D035F3" w:rsidP="00167246">
      <w:pPr>
        <w:rPr>
          <w:lang w:val="de-DE"/>
        </w:rPr>
      </w:pPr>
    </w:p>
    <w:p w14:paraId="0FF39402" w14:textId="13229F1A" w:rsidR="00D035F3" w:rsidRPr="00C20C76" w:rsidRDefault="00D035F3" w:rsidP="00167246">
      <w:pPr>
        <w:rPr>
          <w:bCs/>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TWO</w:t>
      </w:r>
      <w:r w:rsidR="00AD5A29" w:rsidRPr="00C20C76">
        <w:rPr>
          <w:rStyle w:val="FootnoteReference"/>
          <w:rFonts w:eastAsia="PMingLiU"/>
          <w:szCs w:val="24"/>
          <w:lang w:val="de-DE"/>
        </w:rPr>
        <w:footnoteReference w:id="14"/>
      </w:r>
      <w:r w:rsidR="00FD0EA9" w:rsidRPr="00C20C76">
        <w:rPr>
          <w:lang w:val="de-DE"/>
        </w:rPr>
        <w:t xml:space="preserve"> </w:t>
      </w:r>
      <w:r w:rsidRPr="00C20C76">
        <w:rPr>
          <w:lang w:val="de-DE"/>
        </w:rPr>
        <w:t xml:space="preserve">hörte ein Referat über </w:t>
      </w:r>
      <w:r w:rsidRPr="00C20C76">
        <w:rPr>
          <w:bCs/>
          <w:lang w:val="de-DE"/>
        </w:rPr>
        <w:t xml:space="preserve">Mindestabstände </w:t>
      </w:r>
      <w:r w:rsidR="00CF010B" w:rsidRPr="00C20C76">
        <w:rPr>
          <w:bCs/>
          <w:lang w:val="de-DE"/>
        </w:rPr>
        <w:t>bei</w:t>
      </w:r>
      <w:r w:rsidRPr="00C20C76">
        <w:rPr>
          <w:bCs/>
          <w:lang w:val="de-DE"/>
        </w:rPr>
        <w:t xml:space="preserve"> Tulpe von einem Sachverständigen aus den Niederlanden. Eine </w:t>
      </w:r>
      <w:r w:rsidR="000963EC" w:rsidRPr="00C20C76">
        <w:rPr>
          <w:bCs/>
          <w:lang w:val="de-DE"/>
        </w:rPr>
        <w:t xml:space="preserve">Abschrift </w:t>
      </w:r>
      <w:r w:rsidRPr="00C20C76">
        <w:rPr>
          <w:bCs/>
          <w:lang w:val="de-DE"/>
        </w:rPr>
        <w:t xml:space="preserve">des Referats ist in Dokument TWO/52/7 enthalten (vergleiche Dokument TWO/52/11 </w:t>
      </w:r>
      <w:r w:rsidR="00CF010B" w:rsidRPr="00C20C76">
        <w:rPr>
          <w:bCs/>
          <w:lang w:val="de-DE"/>
        </w:rPr>
        <w:t>„</w:t>
      </w:r>
      <w:r w:rsidR="00B608F4" w:rsidRPr="00C20C76">
        <w:rPr>
          <w:bCs/>
          <w:lang w:val="de-DE"/>
        </w:rPr>
        <w:t>Report</w:t>
      </w:r>
      <w:r w:rsidR="00CF010B" w:rsidRPr="00C20C76">
        <w:rPr>
          <w:bCs/>
          <w:lang w:val="de-DE"/>
        </w:rPr>
        <w:t>“</w:t>
      </w:r>
      <w:r w:rsidRPr="00C20C76">
        <w:rPr>
          <w:bCs/>
          <w:lang w:val="de-DE"/>
        </w:rPr>
        <w:t xml:space="preserve">, Absätze 26 bis 28). </w:t>
      </w:r>
    </w:p>
    <w:p w14:paraId="0E81BF56" w14:textId="77777777" w:rsidR="00D035F3" w:rsidRPr="00C20C76" w:rsidRDefault="00D035F3" w:rsidP="00167246">
      <w:pPr>
        <w:rPr>
          <w:bCs/>
          <w:lang w:val="de-DE"/>
        </w:rPr>
      </w:pPr>
    </w:p>
    <w:p w14:paraId="2295F8F9" w14:textId="1D901DF5" w:rsidR="00D035F3" w:rsidRPr="00C20C76" w:rsidRDefault="00D035F3" w:rsidP="00167246">
      <w:pPr>
        <w:rPr>
          <w:bCs/>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TWO hörte ein Referat über </w:t>
      </w:r>
      <w:r w:rsidR="00CF010B" w:rsidRPr="00C20C76">
        <w:rPr>
          <w:lang w:val="de-DE"/>
        </w:rPr>
        <w:t>„</w:t>
      </w:r>
      <w:r w:rsidRPr="00C20C76">
        <w:rPr>
          <w:lang w:val="de-DE"/>
        </w:rPr>
        <w:t>Mindestabstände zwischen vegetativ vermehrten Ziersorten - Die Fallstudie Pelargonium</w:t>
      </w:r>
      <w:r w:rsidR="00CF010B" w:rsidRPr="00C20C76">
        <w:rPr>
          <w:lang w:val="de-DE"/>
        </w:rPr>
        <w:t>“</w:t>
      </w:r>
      <w:r w:rsidRPr="00C20C76">
        <w:rPr>
          <w:lang w:val="de-DE"/>
        </w:rPr>
        <w:t xml:space="preserve"> </w:t>
      </w:r>
      <w:r w:rsidRPr="00C20C76">
        <w:rPr>
          <w:bCs/>
          <w:lang w:val="de-DE"/>
        </w:rPr>
        <w:t xml:space="preserve">von einem Sachverständigen der Internationalen Gemeinschaft der Züchter vegetativ vermehrbarer Zier- und Obstpflanzen (CIOPORA). Eine </w:t>
      </w:r>
      <w:r w:rsidR="000963EC" w:rsidRPr="00C20C76">
        <w:rPr>
          <w:bCs/>
          <w:lang w:val="de-DE"/>
        </w:rPr>
        <w:t xml:space="preserve">Abschrift </w:t>
      </w:r>
      <w:r w:rsidRPr="00C20C76">
        <w:rPr>
          <w:bCs/>
          <w:lang w:val="de-DE"/>
        </w:rPr>
        <w:t>des Referats ist in Dokument TWO/52/7 Add.</w:t>
      </w:r>
      <w:r w:rsidR="00CF010B" w:rsidRPr="00C20C76">
        <w:rPr>
          <w:bCs/>
          <w:lang w:val="de-DE"/>
        </w:rPr>
        <w:t xml:space="preserve"> enthalten.</w:t>
      </w:r>
      <w:r w:rsidRPr="00C20C76">
        <w:rPr>
          <w:bCs/>
          <w:lang w:val="de-DE"/>
        </w:rPr>
        <w:t xml:space="preserve"> </w:t>
      </w:r>
    </w:p>
    <w:p w14:paraId="6E7D1ACE" w14:textId="77777777" w:rsidR="00D035F3" w:rsidRPr="00C20C76" w:rsidRDefault="00D035F3" w:rsidP="00167246">
      <w:pPr>
        <w:rPr>
          <w:lang w:val="de-DE"/>
        </w:rPr>
      </w:pPr>
    </w:p>
    <w:p w14:paraId="507A536F" w14:textId="51AB6602" w:rsidR="00050E16" w:rsidRPr="00C20C76" w:rsidRDefault="00D035F3"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r>
      <w:r w:rsidRPr="00C20C76">
        <w:rPr>
          <w:bCs/>
          <w:lang w:val="de-DE"/>
        </w:rPr>
        <w:t>Die TWO vereinbarte</w:t>
      </w:r>
      <w:r w:rsidR="0056188E">
        <w:rPr>
          <w:bCs/>
          <w:lang w:val="de-DE"/>
        </w:rPr>
        <w:t>,</w:t>
      </w:r>
      <w:r w:rsidRPr="00C20C76">
        <w:rPr>
          <w:bCs/>
          <w:lang w:val="de-DE"/>
        </w:rPr>
        <w:t xml:space="preserve"> </w:t>
      </w:r>
      <w:r w:rsidR="00CF010B" w:rsidRPr="00C20C76">
        <w:rPr>
          <w:bCs/>
          <w:lang w:val="de-DE"/>
        </w:rPr>
        <w:t>um Referate</w:t>
      </w:r>
      <w:r w:rsidRPr="00C20C76">
        <w:rPr>
          <w:bCs/>
          <w:lang w:val="de-DE"/>
        </w:rPr>
        <w:t xml:space="preserve"> </w:t>
      </w:r>
      <w:r w:rsidR="00402E8F" w:rsidRPr="00C20C76">
        <w:rPr>
          <w:bCs/>
          <w:lang w:val="de-DE"/>
        </w:rPr>
        <w:t xml:space="preserve">auf ihrer dreiundfünfzigsten Tagung </w:t>
      </w:r>
      <w:r w:rsidR="000F48DC" w:rsidRPr="00C20C76">
        <w:rPr>
          <w:bCs/>
          <w:lang w:val="de-DE"/>
        </w:rPr>
        <w:t>zu ersuchen</w:t>
      </w:r>
      <w:r w:rsidRPr="00C20C76">
        <w:rPr>
          <w:bCs/>
          <w:lang w:val="de-DE"/>
        </w:rPr>
        <w:t xml:space="preserve">, um über weitere Entwicklungen bei diesen Projekten zu </w:t>
      </w:r>
      <w:r w:rsidR="00CF010B" w:rsidRPr="00C20C76">
        <w:rPr>
          <w:bCs/>
          <w:lang w:val="de-DE"/>
        </w:rPr>
        <w:t>berichten</w:t>
      </w:r>
      <w:r w:rsidRPr="00C20C76">
        <w:rPr>
          <w:bCs/>
          <w:lang w:val="de-DE"/>
        </w:rPr>
        <w:t>.</w:t>
      </w:r>
    </w:p>
    <w:p w14:paraId="7FDFBA3D" w14:textId="77777777" w:rsidR="00BB224D" w:rsidRPr="00C20C76" w:rsidRDefault="00BB224D" w:rsidP="00167246">
      <w:pPr>
        <w:rPr>
          <w:lang w:val="de-DE"/>
        </w:rPr>
      </w:pPr>
    </w:p>
    <w:p w14:paraId="44F8AC19" w14:textId="77777777" w:rsidR="00D035F3" w:rsidRPr="00C20C76" w:rsidRDefault="00D035F3" w:rsidP="00167246">
      <w:pPr>
        <w:rPr>
          <w:lang w:val="de-DE"/>
        </w:rPr>
      </w:pPr>
    </w:p>
    <w:p w14:paraId="12EF1154" w14:textId="481AE370" w:rsidR="00A63229" w:rsidRPr="00C20C76" w:rsidRDefault="00A63229" w:rsidP="00167246">
      <w:pPr>
        <w:pStyle w:val="Heading2"/>
        <w:rPr>
          <w:lang w:val="de-DE"/>
        </w:rPr>
      </w:pPr>
      <w:bookmarkStart w:id="15" w:name="_Toc54170627"/>
      <w:r w:rsidRPr="00C20C76">
        <w:rPr>
          <w:lang w:val="de-DE"/>
        </w:rPr>
        <w:t>Zugang zu Pflanzenmaterial zum Zweck der Verwaltung von Sortensammlungen und der DUS-Prüfung</w:t>
      </w:r>
      <w:bookmarkEnd w:id="15"/>
      <w:r w:rsidRPr="00C20C76">
        <w:rPr>
          <w:lang w:val="de-DE"/>
        </w:rPr>
        <w:t xml:space="preserve"> </w:t>
      </w:r>
    </w:p>
    <w:p w14:paraId="7878799C" w14:textId="77777777" w:rsidR="00A63229" w:rsidRPr="00C20C76" w:rsidRDefault="00A63229" w:rsidP="00167246">
      <w:pPr>
        <w:keepNext/>
        <w:jc w:val="left"/>
        <w:rPr>
          <w:lang w:val="de-DE"/>
        </w:rPr>
      </w:pPr>
    </w:p>
    <w:p w14:paraId="40DE5B6B" w14:textId="4C40AECC" w:rsidR="00A63229" w:rsidRPr="00C20C76" w:rsidRDefault="00A63229"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TWF</w:t>
      </w:r>
      <w:r w:rsidR="00AD5A29" w:rsidRPr="00C20C76">
        <w:rPr>
          <w:rStyle w:val="FootnoteReference"/>
          <w:color w:val="000000"/>
          <w:lang w:val="de-DE"/>
        </w:rPr>
        <w:footnoteReference w:id="15"/>
      </w:r>
      <w:r w:rsidR="00FD0EA9" w:rsidRPr="00C20C76">
        <w:rPr>
          <w:lang w:val="de-DE"/>
        </w:rPr>
        <w:t xml:space="preserve"> </w:t>
      </w:r>
      <w:r w:rsidRPr="00C20C76">
        <w:rPr>
          <w:lang w:val="de-DE"/>
        </w:rPr>
        <w:t xml:space="preserve">prüfte </w:t>
      </w:r>
      <w:r w:rsidR="00FD0EA9" w:rsidRPr="00C20C76">
        <w:rPr>
          <w:lang w:val="de-DE"/>
        </w:rPr>
        <w:t xml:space="preserve">das </w:t>
      </w:r>
      <w:r w:rsidRPr="00C20C76">
        <w:rPr>
          <w:lang w:val="de-DE"/>
        </w:rPr>
        <w:t xml:space="preserve">Dokument TWF/51/6 und hörte ein Referat über </w:t>
      </w:r>
      <w:r w:rsidR="00FD0EA9" w:rsidRPr="00C20C76">
        <w:rPr>
          <w:lang w:val="de-DE"/>
        </w:rPr>
        <w:t>„Z</w:t>
      </w:r>
      <w:r w:rsidRPr="00C20C76">
        <w:rPr>
          <w:lang w:val="de-DE"/>
        </w:rPr>
        <w:t>ugang zu Material für DUS-Prüfungen - Entwurf einer Analyse der Kernpunkte</w:t>
      </w:r>
      <w:r w:rsidR="00FD0EA9" w:rsidRPr="00C20C76">
        <w:rPr>
          <w:lang w:val="de-DE"/>
        </w:rPr>
        <w:t>“</w:t>
      </w:r>
      <w:r w:rsidR="0056188E" w:rsidRPr="0056188E">
        <w:rPr>
          <w:lang w:val="de-DE"/>
        </w:rPr>
        <w:t xml:space="preserve"> </w:t>
      </w:r>
      <w:r w:rsidR="0056188E">
        <w:rPr>
          <w:lang w:val="de-DE"/>
        </w:rPr>
        <w:t>von einem</w:t>
      </w:r>
      <w:r w:rsidR="0056188E" w:rsidRPr="00C20C76">
        <w:rPr>
          <w:snapToGrid w:val="0"/>
          <w:lang w:val="de-DE"/>
        </w:rPr>
        <w:t xml:space="preserve"> Sachverständige</w:t>
      </w:r>
      <w:r w:rsidR="0056188E">
        <w:rPr>
          <w:snapToGrid w:val="0"/>
          <w:lang w:val="de-DE"/>
        </w:rPr>
        <w:t>n</w:t>
      </w:r>
      <w:r w:rsidR="0056188E" w:rsidRPr="00C20C76">
        <w:rPr>
          <w:snapToGrid w:val="0"/>
          <w:lang w:val="de-DE"/>
        </w:rPr>
        <w:t xml:space="preserve"> aus Italien</w:t>
      </w:r>
      <w:r w:rsidRPr="00C20C76">
        <w:rPr>
          <w:snapToGrid w:val="0"/>
          <w:lang w:val="de-DE"/>
        </w:rPr>
        <w:t xml:space="preserve">, wie in </w:t>
      </w:r>
      <w:r w:rsidR="00FD0EA9" w:rsidRPr="00C20C76">
        <w:rPr>
          <w:snapToGrid w:val="0"/>
          <w:lang w:val="de-DE"/>
        </w:rPr>
        <w:t>der</w:t>
      </w:r>
      <w:r w:rsidR="00C10350" w:rsidRPr="00C20C76">
        <w:rPr>
          <w:snapToGrid w:val="0"/>
          <w:lang w:val="de-DE"/>
        </w:rPr>
        <w:t xml:space="preserve"> </w:t>
      </w:r>
      <w:r w:rsidRPr="00C20C76">
        <w:rPr>
          <w:snapToGrid w:val="0"/>
          <w:lang w:val="de-DE"/>
        </w:rPr>
        <w:t xml:space="preserve">Anlage des Dokuments </w:t>
      </w:r>
      <w:r w:rsidRPr="00C20C76">
        <w:rPr>
          <w:lang w:val="de-DE"/>
        </w:rPr>
        <w:t>TWF/51/6 dargelegt (</w:t>
      </w:r>
      <w:r w:rsidRPr="00C20C76">
        <w:rPr>
          <w:rFonts w:cs="Arial"/>
          <w:lang w:val="de-DE"/>
        </w:rPr>
        <w:t xml:space="preserve">vergleiche Dokument TWF/51/10 </w:t>
      </w:r>
      <w:r w:rsidR="00FD0EA9" w:rsidRPr="00C20C76">
        <w:rPr>
          <w:rFonts w:cs="Arial"/>
          <w:lang w:val="de-DE"/>
        </w:rPr>
        <w:t>„</w:t>
      </w:r>
      <w:r w:rsidR="00B608F4" w:rsidRPr="00C20C76">
        <w:rPr>
          <w:rFonts w:cs="Arial"/>
          <w:lang w:val="de-DE"/>
        </w:rPr>
        <w:t>Report</w:t>
      </w:r>
      <w:r w:rsidR="00FD0EA9" w:rsidRPr="00C20C76">
        <w:rPr>
          <w:rFonts w:cs="Arial"/>
          <w:lang w:val="de-DE"/>
        </w:rPr>
        <w:t>“</w:t>
      </w:r>
      <w:r w:rsidRPr="00C20C76">
        <w:rPr>
          <w:rFonts w:cs="Arial"/>
          <w:lang w:val="de-DE"/>
        </w:rPr>
        <w:t>, Absätze 70 und 71)</w:t>
      </w:r>
      <w:r w:rsidRPr="00C20C76">
        <w:rPr>
          <w:lang w:val="de-DE"/>
        </w:rPr>
        <w:t>.</w:t>
      </w:r>
    </w:p>
    <w:p w14:paraId="2D65FA8E" w14:textId="77777777" w:rsidR="00A63229" w:rsidRPr="00C20C76" w:rsidRDefault="00A63229" w:rsidP="00167246">
      <w:pPr>
        <w:rPr>
          <w:lang w:val="de-DE"/>
        </w:rPr>
      </w:pPr>
    </w:p>
    <w:p w14:paraId="3C49D587" w14:textId="60FB4160"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TWF begrüßte die Analyse und vereinbarte, die </w:t>
      </w:r>
      <w:r w:rsidR="00B608F4" w:rsidRPr="00C20C76">
        <w:rPr>
          <w:lang w:val="de-DE"/>
        </w:rPr>
        <w:t>Sachverständigen aus der Europäischen</w:t>
      </w:r>
      <w:r w:rsidRPr="00C20C76">
        <w:rPr>
          <w:lang w:val="de-DE"/>
        </w:rPr>
        <w:t xml:space="preserve"> Union, Italien und Neuseeland </w:t>
      </w:r>
      <w:r w:rsidR="000F48DC" w:rsidRPr="00C20C76">
        <w:rPr>
          <w:lang w:val="de-DE"/>
        </w:rPr>
        <w:t>zu ersuchen</w:t>
      </w:r>
      <w:r w:rsidRPr="00C20C76">
        <w:rPr>
          <w:lang w:val="de-DE"/>
        </w:rPr>
        <w:t xml:space="preserve">, </w:t>
      </w:r>
      <w:r w:rsidR="00C72CA6" w:rsidRPr="00C20C76">
        <w:rPr>
          <w:lang w:val="de-DE"/>
        </w:rPr>
        <w:t xml:space="preserve">auf ihrer zweiundfünfzigsten Tagung </w:t>
      </w:r>
      <w:r w:rsidRPr="00C20C76">
        <w:rPr>
          <w:lang w:val="de-DE"/>
        </w:rPr>
        <w:t xml:space="preserve">ihre Erfahrungen mit </w:t>
      </w:r>
      <w:r w:rsidR="00C72CA6">
        <w:rPr>
          <w:lang w:val="de-DE"/>
        </w:rPr>
        <w:t>Verfahren</w:t>
      </w:r>
      <w:r w:rsidRPr="00C20C76">
        <w:rPr>
          <w:lang w:val="de-DE"/>
        </w:rPr>
        <w:t xml:space="preserve"> und/oder Musterschreiben/</w:t>
      </w:r>
      <w:r w:rsidR="00C72CA6">
        <w:rPr>
          <w:lang w:val="de-DE"/>
        </w:rPr>
        <w:t>-v</w:t>
      </w:r>
      <w:r w:rsidR="00C72CA6" w:rsidRPr="00C20C76">
        <w:rPr>
          <w:lang w:val="de-DE"/>
        </w:rPr>
        <w:t>erträgen</w:t>
      </w:r>
      <w:r w:rsidRPr="00C20C76">
        <w:rPr>
          <w:lang w:val="de-DE"/>
        </w:rPr>
        <w:t>, die für die Einreichung von Pflanzenmaterial bei ihren Behörden und/oder DUS-Prüfungsämtern verwendet werden</w:t>
      </w:r>
      <w:r w:rsidR="00C10350" w:rsidRPr="00C20C76">
        <w:rPr>
          <w:lang w:val="de-DE"/>
        </w:rPr>
        <w:t>, auszutauschen</w:t>
      </w:r>
      <w:r w:rsidRPr="00C20C76">
        <w:rPr>
          <w:lang w:val="de-DE"/>
        </w:rPr>
        <w:t xml:space="preserve">. Diese Informationen könnten als </w:t>
      </w:r>
      <w:r w:rsidR="00C72CA6">
        <w:rPr>
          <w:lang w:val="de-DE"/>
        </w:rPr>
        <w:t xml:space="preserve">eine </w:t>
      </w:r>
      <w:r w:rsidRPr="00C20C76">
        <w:rPr>
          <w:lang w:val="de-DE"/>
        </w:rPr>
        <w:t xml:space="preserve">Grundlage für </w:t>
      </w:r>
      <w:r w:rsidR="00C10350" w:rsidRPr="00C20C76">
        <w:rPr>
          <w:lang w:val="de-DE"/>
        </w:rPr>
        <w:t>mögliche</w:t>
      </w:r>
      <w:r w:rsidRPr="00C20C76">
        <w:rPr>
          <w:lang w:val="de-DE"/>
        </w:rPr>
        <w:t xml:space="preserve"> künftige Überarbeitungen </w:t>
      </w:r>
      <w:r w:rsidR="00C10350" w:rsidRPr="00C20C76">
        <w:rPr>
          <w:lang w:val="de-DE"/>
        </w:rPr>
        <w:t>von</w:t>
      </w:r>
      <w:r w:rsidRPr="00C20C76">
        <w:rPr>
          <w:lang w:val="de-DE"/>
        </w:rPr>
        <w:t xml:space="preserve"> UPOV-Anleitung (z. B. TGP/5, Abschnitt 11 </w:t>
      </w:r>
      <w:r w:rsidR="00C10350" w:rsidRPr="00C20C76">
        <w:rPr>
          <w:lang w:val="de-DE"/>
        </w:rPr>
        <w:t>„</w:t>
      </w:r>
      <w:r w:rsidR="009C4F3D" w:rsidRPr="00C20C76">
        <w:rPr>
          <w:lang w:val="de-DE"/>
        </w:rPr>
        <w:t>Beispiele für Verfahren und Verträge bezüglich des vom Züchter eingereichten Materials</w:t>
      </w:r>
      <w:r w:rsidR="00E57528">
        <w:rPr>
          <w:lang w:val="de-DE"/>
        </w:rPr>
        <w:t>“</w:t>
      </w:r>
      <w:r w:rsidRPr="00C20C76">
        <w:rPr>
          <w:lang w:val="de-DE"/>
        </w:rPr>
        <w:t xml:space="preserve">) verwendet werden, um </w:t>
      </w:r>
      <w:r w:rsidR="00477F48" w:rsidRPr="00C20C76">
        <w:rPr>
          <w:lang w:val="de-DE"/>
        </w:rPr>
        <w:t xml:space="preserve">dazu beizutragen, </w:t>
      </w:r>
      <w:r w:rsidRPr="00C20C76">
        <w:rPr>
          <w:lang w:val="de-DE"/>
        </w:rPr>
        <w:t>anderen UPOV-Mitgliedern den Zugang zu Pflanzenmaterial zum Zweck der Verwaltung von Sortensammlungen und der DUS-Prüfung zu erleichtern.</w:t>
      </w:r>
    </w:p>
    <w:p w14:paraId="779181DE" w14:textId="77777777" w:rsidR="00D035F3" w:rsidRPr="00C20C76" w:rsidRDefault="00D035F3" w:rsidP="00167246">
      <w:pPr>
        <w:rPr>
          <w:lang w:val="de-DE"/>
        </w:rPr>
      </w:pPr>
    </w:p>
    <w:p w14:paraId="24301C15" w14:textId="77777777" w:rsidR="00D035F3" w:rsidRPr="00C20C76" w:rsidRDefault="00D035F3" w:rsidP="00167246">
      <w:pPr>
        <w:rPr>
          <w:lang w:val="de-DE"/>
        </w:rPr>
      </w:pPr>
    </w:p>
    <w:p w14:paraId="64B223F9" w14:textId="6D621F7C" w:rsidR="00A63229" w:rsidRPr="00C20C76" w:rsidRDefault="00A63229" w:rsidP="00167246">
      <w:pPr>
        <w:pStyle w:val="Heading2"/>
        <w:rPr>
          <w:lang w:val="de-DE"/>
        </w:rPr>
      </w:pPr>
      <w:bookmarkStart w:id="16" w:name="_Toc54170628"/>
      <w:r w:rsidRPr="00C20C76">
        <w:rPr>
          <w:lang w:val="de-DE"/>
        </w:rPr>
        <w:t xml:space="preserve">DUS-Prüfung </w:t>
      </w:r>
      <w:r w:rsidR="009C4F3D" w:rsidRPr="00C20C76">
        <w:rPr>
          <w:lang w:val="de-DE"/>
        </w:rPr>
        <w:t xml:space="preserve">von </w:t>
      </w:r>
      <w:r w:rsidR="001E02EC" w:rsidRPr="00C20C76">
        <w:rPr>
          <w:lang w:val="de-DE"/>
        </w:rPr>
        <w:t>Mutantens</w:t>
      </w:r>
      <w:r w:rsidRPr="00C20C76">
        <w:rPr>
          <w:lang w:val="de-DE"/>
        </w:rPr>
        <w:t xml:space="preserve">orten </w:t>
      </w:r>
      <w:r w:rsidR="009C4F3D" w:rsidRPr="00C20C76">
        <w:rPr>
          <w:lang w:val="de-DE"/>
        </w:rPr>
        <w:t>bei</w:t>
      </w:r>
      <w:r w:rsidRPr="00C20C76">
        <w:rPr>
          <w:lang w:val="de-DE"/>
        </w:rPr>
        <w:t xml:space="preserve"> Apfel</w:t>
      </w:r>
      <w:bookmarkEnd w:id="16"/>
      <w:r w:rsidRPr="00C20C76">
        <w:rPr>
          <w:lang w:val="de-DE"/>
        </w:rPr>
        <w:t xml:space="preserve"> </w:t>
      </w:r>
    </w:p>
    <w:p w14:paraId="211AF933" w14:textId="77777777" w:rsidR="00A63229" w:rsidRPr="00C20C76" w:rsidRDefault="00A63229" w:rsidP="00167246">
      <w:pPr>
        <w:keepNext/>
        <w:jc w:val="left"/>
        <w:rPr>
          <w:lang w:val="de-DE"/>
        </w:rPr>
      </w:pPr>
    </w:p>
    <w:p w14:paraId="22D6E907" w14:textId="34060C82"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TWF</w:t>
      </w:r>
      <w:r w:rsidR="00AD5A29" w:rsidRPr="00C20C76">
        <w:rPr>
          <w:rStyle w:val="FootnoteReference"/>
          <w:color w:val="000000"/>
          <w:lang w:val="de-DE"/>
        </w:rPr>
        <w:footnoteReference w:id="16"/>
      </w:r>
      <w:r w:rsidR="009C4F3D" w:rsidRPr="00C20C76">
        <w:rPr>
          <w:lang w:val="de-DE"/>
        </w:rPr>
        <w:t xml:space="preserve"> </w:t>
      </w:r>
      <w:r w:rsidRPr="00C20C76">
        <w:rPr>
          <w:lang w:val="de-DE"/>
        </w:rPr>
        <w:t xml:space="preserve">prüfte das Dokument TWF/51/7 und </w:t>
      </w:r>
      <w:r w:rsidR="009C4F3D" w:rsidRPr="00C20C76">
        <w:rPr>
          <w:lang w:val="de-DE"/>
        </w:rPr>
        <w:t>hörte</w:t>
      </w:r>
      <w:r w:rsidRPr="00C20C76">
        <w:rPr>
          <w:lang w:val="de-DE"/>
        </w:rPr>
        <w:t xml:space="preserve"> ein Referat über</w:t>
      </w:r>
      <w:r w:rsidR="00EA28DF">
        <w:rPr>
          <w:lang w:val="de-DE"/>
        </w:rPr>
        <w:t xml:space="preserve"> die</w:t>
      </w:r>
      <w:r w:rsidRPr="00C20C76">
        <w:rPr>
          <w:lang w:val="de-DE"/>
        </w:rPr>
        <w:t xml:space="preserve"> </w:t>
      </w:r>
      <w:r w:rsidR="009C4F3D" w:rsidRPr="00C20C76">
        <w:rPr>
          <w:lang w:val="de-DE"/>
        </w:rPr>
        <w:t>„</w:t>
      </w:r>
      <w:r w:rsidRPr="00C20C76">
        <w:rPr>
          <w:lang w:val="de-DE"/>
        </w:rPr>
        <w:t xml:space="preserve">DUS-Prüfung von </w:t>
      </w:r>
      <w:r w:rsidR="009C4F3D" w:rsidRPr="00C20C76">
        <w:rPr>
          <w:lang w:val="de-DE"/>
        </w:rPr>
        <w:t>Mutantensorten bei Apfel“</w:t>
      </w:r>
      <w:r w:rsidRPr="00C20C76">
        <w:rPr>
          <w:lang w:val="de-DE"/>
        </w:rPr>
        <w:t xml:space="preserve"> von einem </w:t>
      </w:r>
      <w:r w:rsidR="00B608F4" w:rsidRPr="00C20C76">
        <w:rPr>
          <w:lang w:val="de-DE"/>
        </w:rPr>
        <w:t>Sachverständigen aus der Europäischen</w:t>
      </w:r>
      <w:r w:rsidRPr="00C20C76">
        <w:rPr>
          <w:lang w:val="de-DE"/>
        </w:rPr>
        <w:t xml:space="preserve"> Union. Eine </w:t>
      </w:r>
      <w:r w:rsidR="000963EC" w:rsidRPr="00C20C76">
        <w:rPr>
          <w:lang w:val="de-DE"/>
        </w:rPr>
        <w:t xml:space="preserve">Abschrift </w:t>
      </w:r>
      <w:r w:rsidRPr="00C20C76">
        <w:rPr>
          <w:lang w:val="de-DE"/>
        </w:rPr>
        <w:t xml:space="preserve">des Referats ist in der Anlage des Dokuments TWF/51/7 enthalten. Die TWF nahm die </w:t>
      </w:r>
      <w:r w:rsidR="009C4F3D" w:rsidRPr="00C20C76">
        <w:rPr>
          <w:lang w:val="de-DE"/>
        </w:rPr>
        <w:t>Feststellung</w:t>
      </w:r>
      <w:r w:rsidRPr="00C20C76">
        <w:rPr>
          <w:lang w:val="de-DE"/>
        </w:rPr>
        <w:t xml:space="preserve"> des </w:t>
      </w:r>
      <w:r w:rsidR="00B608F4" w:rsidRPr="00C20C76">
        <w:rPr>
          <w:lang w:val="de-DE"/>
        </w:rPr>
        <w:t>Sachverständigen aus der Europäischen</w:t>
      </w:r>
      <w:r w:rsidRPr="00C20C76">
        <w:rPr>
          <w:lang w:val="de-DE"/>
        </w:rPr>
        <w:t xml:space="preserve"> Union </w:t>
      </w:r>
      <w:r w:rsidR="00477F48" w:rsidRPr="00C20C76">
        <w:rPr>
          <w:lang w:val="de-DE"/>
        </w:rPr>
        <w:t>über die Wichtigkeit,</w:t>
      </w:r>
      <w:r w:rsidRPr="00C20C76">
        <w:rPr>
          <w:lang w:val="de-DE"/>
        </w:rPr>
        <w:t xml:space="preserve"> gesundes Pflanzenmaterial zu erhalten, um Verzögerungen und zusätzliche Kosten bei der DUS-Prüfung zu vermeiden</w:t>
      </w:r>
      <w:r w:rsidR="00477F48" w:rsidRPr="00C20C76">
        <w:rPr>
          <w:lang w:val="de-DE"/>
        </w:rPr>
        <w:t>, zur Kenntnis</w:t>
      </w:r>
      <w:r w:rsidRPr="00C20C76">
        <w:rPr>
          <w:lang w:val="de-DE"/>
        </w:rPr>
        <w:t xml:space="preserve"> (</w:t>
      </w:r>
      <w:r w:rsidRPr="00C20C76">
        <w:rPr>
          <w:rFonts w:cs="Arial"/>
          <w:lang w:val="de-DE"/>
        </w:rPr>
        <w:t xml:space="preserve">vergleiche Dokument TWF/51/10 </w:t>
      </w:r>
      <w:r w:rsidR="00477F48" w:rsidRPr="00C20C76">
        <w:rPr>
          <w:rFonts w:cs="Arial"/>
          <w:lang w:val="de-DE"/>
        </w:rPr>
        <w:t>„</w:t>
      </w:r>
      <w:r w:rsidR="00C72CA6" w:rsidRPr="00C20C76">
        <w:rPr>
          <w:rFonts w:cs="Arial"/>
          <w:lang w:val="de-DE"/>
        </w:rPr>
        <w:t>Report</w:t>
      </w:r>
      <w:r w:rsidR="00C72CA6">
        <w:rPr>
          <w:rFonts w:cs="Arial"/>
          <w:lang w:val="de-DE"/>
        </w:rPr>
        <w:t>“</w:t>
      </w:r>
      <w:r w:rsidRPr="00C20C76">
        <w:rPr>
          <w:rFonts w:cs="Arial"/>
          <w:lang w:val="de-DE"/>
        </w:rPr>
        <w:t>, Absätze 72 bis 77)</w:t>
      </w:r>
      <w:r w:rsidRPr="00C20C76">
        <w:rPr>
          <w:lang w:val="de-DE"/>
        </w:rPr>
        <w:t>.</w:t>
      </w:r>
    </w:p>
    <w:p w14:paraId="29B680AB" w14:textId="77777777" w:rsidR="00A63229" w:rsidRPr="00C20C76" w:rsidRDefault="00A63229" w:rsidP="00167246">
      <w:pPr>
        <w:rPr>
          <w:lang w:val="de-DE"/>
        </w:rPr>
      </w:pPr>
    </w:p>
    <w:p w14:paraId="5972F2C4" w14:textId="417FF372"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TWF erinnerte an die Bedeutung des Informationsaustausches zwischen den Sortenschutz</w:t>
      </w:r>
      <w:r w:rsidR="00477F48" w:rsidRPr="00C20C76">
        <w:rPr>
          <w:lang w:val="de-DE"/>
        </w:rPr>
        <w:t>ämtern</w:t>
      </w:r>
      <w:r w:rsidRPr="00C20C76">
        <w:rPr>
          <w:lang w:val="de-DE"/>
        </w:rPr>
        <w:t xml:space="preserve"> über eingegangene </w:t>
      </w:r>
      <w:r w:rsidR="00477F48" w:rsidRPr="00C20C76">
        <w:rPr>
          <w:lang w:val="de-DE"/>
        </w:rPr>
        <w:t>Anträge</w:t>
      </w:r>
      <w:r w:rsidRPr="00C20C76">
        <w:rPr>
          <w:lang w:val="de-DE"/>
        </w:rPr>
        <w:t>, insbesondere für Apfelmutationsgruppen, für die in verschiedenen Ländern ähnliche Sorten eingereicht werden könnten. In dieser Hinsicht begrüßte die TWF die zuvor vo</w:t>
      </w:r>
      <w:r w:rsidR="00117AFA">
        <w:rPr>
          <w:lang w:val="de-DE"/>
        </w:rPr>
        <w:t>n de</w:t>
      </w:r>
      <w:r w:rsidRPr="00C20C76">
        <w:rPr>
          <w:lang w:val="de-DE"/>
        </w:rPr>
        <w:t xml:space="preserve">m </w:t>
      </w:r>
      <w:r w:rsidR="00B608F4" w:rsidRPr="00C20C76">
        <w:rPr>
          <w:lang w:val="de-DE"/>
        </w:rPr>
        <w:t>Sachverständigen aus der Europäischen</w:t>
      </w:r>
      <w:r w:rsidRPr="00C20C76">
        <w:rPr>
          <w:lang w:val="de-DE"/>
        </w:rPr>
        <w:t xml:space="preserve"> Union geleistete Arbeit zur </w:t>
      </w:r>
      <w:r w:rsidR="00C72CA6">
        <w:rPr>
          <w:lang w:val="de-DE"/>
        </w:rPr>
        <w:t>Sammlung</w:t>
      </w:r>
      <w:r w:rsidRPr="00C20C76">
        <w:rPr>
          <w:lang w:val="de-DE"/>
        </w:rPr>
        <w:t xml:space="preserve"> von Informationen über in Prüfung befindliche Anträge und bestehende Sorten für bestimmte Apfelmutationsgruppen unter den UPOV-Mitgliedern. Sie </w:t>
      </w:r>
      <w:r w:rsidR="00117AFA">
        <w:rPr>
          <w:lang w:val="de-DE"/>
        </w:rPr>
        <w:t>stimmte</w:t>
      </w:r>
      <w:r w:rsidRPr="00C20C76">
        <w:rPr>
          <w:lang w:val="de-DE"/>
        </w:rPr>
        <w:t xml:space="preserve"> ferner</w:t>
      </w:r>
      <w:r w:rsidR="00117AFA">
        <w:rPr>
          <w:lang w:val="de-DE"/>
        </w:rPr>
        <w:t xml:space="preserve"> zu</w:t>
      </w:r>
      <w:r w:rsidRPr="00C20C76">
        <w:rPr>
          <w:lang w:val="de-DE"/>
        </w:rPr>
        <w:t>, da</w:t>
      </w:r>
      <w:r w:rsidR="00477F48" w:rsidRPr="00C20C76">
        <w:rPr>
          <w:lang w:val="de-DE"/>
        </w:rPr>
        <w:t>ss</w:t>
      </w:r>
      <w:r w:rsidRPr="00C20C76">
        <w:rPr>
          <w:lang w:val="de-DE"/>
        </w:rPr>
        <w:t xml:space="preserve"> der Zugang zu diesen Informationen dazu beitragen werde, </w:t>
      </w:r>
      <w:r w:rsidR="00477F48" w:rsidRPr="00C20C76">
        <w:rPr>
          <w:lang w:val="de-DE"/>
        </w:rPr>
        <w:t>maßgebliche</w:t>
      </w:r>
      <w:r w:rsidRPr="00C20C76">
        <w:rPr>
          <w:lang w:val="de-DE"/>
        </w:rPr>
        <w:t xml:space="preserve"> allgemein bekannte Sorten </w:t>
      </w:r>
      <w:r w:rsidR="00402E8F">
        <w:rPr>
          <w:lang w:val="de-DE"/>
        </w:rPr>
        <w:t>b</w:t>
      </w:r>
      <w:r w:rsidRPr="00C20C76">
        <w:rPr>
          <w:lang w:val="de-DE"/>
        </w:rPr>
        <w:t>erücksichtig</w:t>
      </w:r>
      <w:r w:rsidR="00477F48" w:rsidRPr="00C20C76">
        <w:rPr>
          <w:lang w:val="de-DE"/>
        </w:rPr>
        <w:t>en</w:t>
      </w:r>
      <w:r w:rsidRPr="00C20C76">
        <w:rPr>
          <w:lang w:val="de-DE"/>
        </w:rPr>
        <w:t xml:space="preserve"> und gegebenenfalls in die Anbauprüfung für die Prüfung der Unterscheidbarkeit </w:t>
      </w:r>
      <w:r w:rsidR="00477F48" w:rsidRPr="00C20C76">
        <w:rPr>
          <w:lang w:val="de-DE"/>
        </w:rPr>
        <w:t>aufnehmen</w:t>
      </w:r>
      <w:r w:rsidR="00402E8F">
        <w:rPr>
          <w:lang w:val="de-DE"/>
        </w:rPr>
        <w:t xml:space="preserve"> zu können</w:t>
      </w:r>
      <w:r w:rsidRPr="00C20C76">
        <w:rPr>
          <w:lang w:val="de-DE"/>
        </w:rPr>
        <w:t>.</w:t>
      </w:r>
    </w:p>
    <w:p w14:paraId="29D83075" w14:textId="77777777" w:rsidR="00A63229" w:rsidRPr="00C20C76" w:rsidRDefault="00A63229" w:rsidP="00167246">
      <w:pPr>
        <w:rPr>
          <w:lang w:val="de-DE"/>
        </w:rPr>
      </w:pPr>
    </w:p>
    <w:p w14:paraId="65C7B784" w14:textId="39F7AE10" w:rsidR="00A63229" w:rsidRPr="00C20C76" w:rsidRDefault="00A63229" w:rsidP="00167246">
      <w:pPr>
        <w:rPr>
          <w:rFonts w:cs="Arial"/>
          <w:lang w:val="de-DE" w:eastAsia="ja-JP"/>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TWF vereinbarte, da</w:t>
      </w:r>
      <w:r w:rsidR="0042402F" w:rsidRPr="00C20C76">
        <w:rPr>
          <w:lang w:val="de-DE"/>
        </w:rPr>
        <w:t>ss</w:t>
      </w:r>
      <w:r w:rsidRPr="00C20C76">
        <w:rPr>
          <w:lang w:val="de-DE"/>
        </w:rPr>
        <w:t xml:space="preserve"> die Excel-Tabelle, die administrative und technische Daten über die </w:t>
      </w:r>
      <w:r w:rsidR="0042402F" w:rsidRPr="00C20C76">
        <w:rPr>
          <w:lang w:val="de-DE"/>
        </w:rPr>
        <w:t>„</w:t>
      </w:r>
      <w:r w:rsidRPr="00C20C76">
        <w:rPr>
          <w:lang w:val="de-DE"/>
        </w:rPr>
        <w:t>Gala</w:t>
      </w:r>
      <w:r w:rsidR="0042402F" w:rsidRPr="00C20C76">
        <w:rPr>
          <w:lang w:val="de-DE"/>
        </w:rPr>
        <w:t>“</w:t>
      </w:r>
      <w:r w:rsidRPr="00C20C76">
        <w:rPr>
          <w:lang w:val="de-DE"/>
        </w:rPr>
        <w:t xml:space="preserve">- und </w:t>
      </w:r>
      <w:r w:rsidR="0042402F" w:rsidRPr="00C20C76">
        <w:rPr>
          <w:lang w:val="de-DE"/>
        </w:rPr>
        <w:t>„</w:t>
      </w:r>
      <w:r w:rsidRPr="00C20C76">
        <w:rPr>
          <w:lang w:val="de-DE"/>
        </w:rPr>
        <w:t>Fuji</w:t>
      </w:r>
      <w:r w:rsidR="0042402F" w:rsidRPr="00C20C76">
        <w:rPr>
          <w:lang w:val="de-DE"/>
        </w:rPr>
        <w:t>“</w:t>
      </w:r>
      <w:r w:rsidRPr="00C20C76">
        <w:rPr>
          <w:lang w:val="de-DE"/>
        </w:rPr>
        <w:t xml:space="preserve">-Apfelmutationsgruppe </w:t>
      </w:r>
      <w:r w:rsidR="00402E8F">
        <w:rPr>
          <w:lang w:val="de-DE"/>
        </w:rPr>
        <w:t>sammelt</w:t>
      </w:r>
      <w:r w:rsidRPr="00C20C76">
        <w:rPr>
          <w:lang w:val="de-DE"/>
        </w:rPr>
        <w:t xml:space="preserve"> </w:t>
      </w:r>
      <w:r w:rsidRPr="00C20C76">
        <w:rPr>
          <w:rFonts w:cs="Arial"/>
          <w:lang w:val="de-DE" w:eastAsia="ja-JP"/>
        </w:rPr>
        <w:t xml:space="preserve">(vergleiche Dokument TWF/49/8), </w:t>
      </w:r>
      <w:r w:rsidRPr="00C20C76">
        <w:rPr>
          <w:lang w:val="de-DE"/>
        </w:rPr>
        <w:t xml:space="preserve">aktualisiert und </w:t>
      </w:r>
      <w:r w:rsidR="00C72CA6">
        <w:rPr>
          <w:lang w:val="de-DE"/>
        </w:rPr>
        <w:t>an die</w:t>
      </w:r>
      <w:r w:rsidRPr="00C20C76">
        <w:rPr>
          <w:lang w:val="de-DE"/>
        </w:rPr>
        <w:t xml:space="preserve"> </w:t>
      </w:r>
      <w:r w:rsidRPr="00C20C76">
        <w:rPr>
          <w:rFonts w:cs="Arial"/>
          <w:lang w:val="de-DE" w:eastAsia="ja-JP"/>
        </w:rPr>
        <w:t xml:space="preserve">Teilnehmer der einundfünfzigsten Tagung der TWF und auch an die Teilnehmer früherer TWF-Tagungen mit praktischer Erfahrung auf dem Gebiet der DUS-Prüfung von Apfel </w:t>
      </w:r>
      <w:r w:rsidRPr="00C20C76">
        <w:rPr>
          <w:lang w:val="de-DE"/>
        </w:rPr>
        <w:t>verteilt werden sollte</w:t>
      </w:r>
      <w:r w:rsidRPr="00C20C76">
        <w:rPr>
          <w:rFonts w:cs="Arial"/>
          <w:lang w:val="de-DE" w:eastAsia="ja-JP"/>
        </w:rPr>
        <w:t xml:space="preserve">. </w:t>
      </w:r>
    </w:p>
    <w:p w14:paraId="39D839F1" w14:textId="77777777" w:rsidR="00A63229" w:rsidRPr="00C20C76" w:rsidRDefault="00A63229" w:rsidP="00167246">
      <w:pPr>
        <w:rPr>
          <w:rFonts w:cs="Arial"/>
          <w:lang w:val="de-DE" w:eastAsia="ja-JP"/>
        </w:rPr>
      </w:pPr>
    </w:p>
    <w:p w14:paraId="3733971C" w14:textId="1B1B676A" w:rsidR="00A63229" w:rsidRPr="00C20C76" w:rsidRDefault="00A63229" w:rsidP="00167246">
      <w:pPr>
        <w:rPr>
          <w:rFonts w:cs="Arial"/>
          <w:lang w:val="de-DE" w:eastAsia="ja-JP"/>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TWF vereinbarte, da</w:t>
      </w:r>
      <w:r w:rsidR="0042402F" w:rsidRPr="00C20C76">
        <w:rPr>
          <w:lang w:val="de-DE"/>
        </w:rPr>
        <w:t>ss</w:t>
      </w:r>
      <w:r w:rsidRPr="00C20C76">
        <w:rPr>
          <w:lang w:val="de-DE"/>
        </w:rPr>
        <w:t xml:space="preserve"> der </w:t>
      </w:r>
      <w:r w:rsidR="00C72CA6">
        <w:rPr>
          <w:lang w:val="de-DE"/>
        </w:rPr>
        <w:t>Sachverständige aus der Europäischen Union</w:t>
      </w:r>
      <w:r w:rsidRPr="00C20C76">
        <w:rPr>
          <w:lang w:val="de-DE"/>
        </w:rPr>
        <w:t xml:space="preserve">, wie auf ihrer achtundvierzigsten Tagung vereinbart, den Informationsaustausch zwischen den an der DUS-Prüfung für Apfel beteiligten Behörden weiterhin koordinieren solle (vergleiche Dokument TWF/48/13 </w:t>
      </w:r>
      <w:r w:rsidR="0042402F" w:rsidRPr="00C20C76">
        <w:rPr>
          <w:lang w:val="de-DE"/>
        </w:rPr>
        <w:t>„</w:t>
      </w:r>
      <w:r w:rsidR="00B608F4" w:rsidRPr="00C20C76">
        <w:rPr>
          <w:lang w:val="de-DE"/>
        </w:rPr>
        <w:t>Report</w:t>
      </w:r>
      <w:r w:rsidR="0042402F" w:rsidRPr="00C20C76">
        <w:rPr>
          <w:lang w:val="de-DE"/>
        </w:rPr>
        <w:t>“</w:t>
      </w:r>
      <w:r w:rsidRPr="00C20C76">
        <w:rPr>
          <w:lang w:val="de-DE"/>
        </w:rPr>
        <w:t>, Absätze 101 bis 105), mit folgenden Ergänzungen (</w:t>
      </w:r>
      <w:r w:rsidRPr="00C20C76">
        <w:rPr>
          <w:highlight w:val="lightGray"/>
          <w:lang w:val="de-DE"/>
        </w:rPr>
        <w:t>grau hervorgehoben</w:t>
      </w:r>
      <w:r w:rsidRPr="00C20C76">
        <w:rPr>
          <w:lang w:val="de-DE"/>
        </w:rPr>
        <w:t>):</w:t>
      </w:r>
    </w:p>
    <w:p w14:paraId="5138EEBA" w14:textId="77777777" w:rsidR="00A63229" w:rsidRPr="00C20C76" w:rsidRDefault="00A63229" w:rsidP="00167246">
      <w:pPr>
        <w:rPr>
          <w:lang w:val="de-DE"/>
        </w:rPr>
      </w:pPr>
    </w:p>
    <w:p w14:paraId="102B4272" w14:textId="5FF39F96" w:rsidR="00A63229" w:rsidRPr="00C20C76" w:rsidRDefault="00A63229" w:rsidP="00167246">
      <w:pPr>
        <w:pStyle w:val="ListParagraph"/>
        <w:numPr>
          <w:ilvl w:val="0"/>
          <w:numId w:val="3"/>
        </w:numPr>
        <w:tabs>
          <w:tab w:val="left" w:pos="0"/>
        </w:tabs>
        <w:jc w:val="left"/>
        <w:rPr>
          <w:lang w:val="de-DE"/>
        </w:rPr>
      </w:pPr>
      <w:r w:rsidRPr="00C20C76">
        <w:rPr>
          <w:lang w:val="de-DE"/>
        </w:rPr>
        <w:t>auf elektronischem Wege;</w:t>
      </w:r>
    </w:p>
    <w:p w14:paraId="66A0BFF7" w14:textId="2115E4B4" w:rsidR="00A63229" w:rsidRPr="00C20C76" w:rsidRDefault="00A63229" w:rsidP="00167246">
      <w:pPr>
        <w:pStyle w:val="ListParagraph"/>
        <w:numPr>
          <w:ilvl w:val="0"/>
          <w:numId w:val="3"/>
        </w:numPr>
        <w:jc w:val="left"/>
        <w:rPr>
          <w:lang w:val="de-DE"/>
        </w:rPr>
      </w:pPr>
      <w:r w:rsidRPr="00C20C76">
        <w:rPr>
          <w:lang w:val="de-DE"/>
        </w:rPr>
        <w:t>einmal im Jahr;</w:t>
      </w:r>
    </w:p>
    <w:p w14:paraId="3FF15B8B" w14:textId="729BBF5D" w:rsidR="00A63229" w:rsidRPr="00C20C76" w:rsidRDefault="00C72CA6" w:rsidP="00167246">
      <w:pPr>
        <w:pStyle w:val="ListParagraph"/>
        <w:numPr>
          <w:ilvl w:val="0"/>
          <w:numId w:val="3"/>
        </w:numPr>
        <w:jc w:val="left"/>
        <w:rPr>
          <w:lang w:val="de-DE"/>
        </w:rPr>
      </w:pPr>
      <w:r>
        <w:rPr>
          <w:lang w:val="de-DE"/>
        </w:rPr>
        <w:t>mit Gesuch</w:t>
      </w:r>
      <w:r w:rsidRPr="00C20C76">
        <w:rPr>
          <w:lang w:val="de-DE"/>
        </w:rPr>
        <w:t xml:space="preserve"> </w:t>
      </w:r>
      <w:r w:rsidR="00FE3E6A" w:rsidRPr="00C20C76">
        <w:rPr>
          <w:lang w:val="de-DE"/>
        </w:rPr>
        <w:t xml:space="preserve">um </w:t>
      </w:r>
      <w:r w:rsidR="00A63229" w:rsidRPr="00C20C76">
        <w:rPr>
          <w:lang w:val="de-DE"/>
        </w:rPr>
        <w:t xml:space="preserve">Informationen über </w:t>
      </w:r>
      <w:r w:rsidR="00FE3E6A" w:rsidRPr="00C20C76">
        <w:rPr>
          <w:lang w:val="de-DE"/>
        </w:rPr>
        <w:t>‚</w:t>
      </w:r>
      <w:r w:rsidR="00A63229" w:rsidRPr="00C20C76">
        <w:rPr>
          <w:lang w:val="de-DE"/>
        </w:rPr>
        <w:t>Gala</w:t>
      </w:r>
      <w:r w:rsidR="00FE3E6A" w:rsidRPr="00C20C76">
        <w:rPr>
          <w:lang w:val="de-DE"/>
        </w:rPr>
        <w:t>‘</w:t>
      </w:r>
      <w:r w:rsidR="00A63229" w:rsidRPr="00C20C76">
        <w:rPr>
          <w:lang w:val="de-DE"/>
        </w:rPr>
        <w:t xml:space="preserve">, </w:t>
      </w:r>
      <w:r w:rsidR="00FE3E6A" w:rsidRPr="00C20C76">
        <w:rPr>
          <w:lang w:val="de-DE"/>
        </w:rPr>
        <w:t>‚</w:t>
      </w:r>
      <w:r w:rsidR="00A63229" w:rsidRPr="00C20C76">
        <w:rPr>
          <w:lang w:val="de-DE"/>
        </w:rPr>
        <w:t>Fuji</w:t>
      </w:r>
      <w:r w:rsidR="00FE3E6A" w:rsidRPr="00C20C76">
        <w:rPr>
          <w:lang w:val="de-DE"/>
        </w:rPr>
        <w:t>‘</w:t>
      </w:r>
      <w:r w:rsidR="00A63229" w:rsidRPr="00C20C76">
        <w:rPr>
          <w:lang w:val="de-DE"/>
        </w:rPr>
        <w:t xml:space="preserve">-Typen </w:t>
      </w:r>
      <w:r w:rsidR="00A63229" w:rsidRPr="00C20C76">
        <w:rPr>
          <w:highlight w:val="lightGray"/>
          <w:lang w:val="de-DE"/>
        </w:rPr>
        <w:t xml:space="preserve">und </w:t>
      </w:r>
      <w:r>
        <w:rPr>
          <w:highlight w:val="lightGray"/>
          <w:lang w:val="de-DE"/>
        </w:rPr>
        <w:t xml:space="preserve">Aufnahme von </w:t>
      </w:r>
      <w:r w:rsidR="00FE3E6A" w:rsidRPr="00C20C76">
        <w:rPr>
          <w:highlight w:val="lightGray"/>
          <w:lang w:val="de-DE"/>
        </w:rPr>
        <w:t>‚</w:t>
      </w:r>
      <w:r w:rsidR="00A63229" w:rsidRPr="00C20C76">
        <w:rPr>
          <w:highlight w:val="lightGray"/>
          <w:lang w:val="de-DE"/>
        </w:rPr>
        <w:t>Cripps Pink</w:t>
      </w:r>
      <w:r w:rsidR="00FE3E6A" w:rsidRPr="00C20C76">
        <w:rPr>
          <w:highlight w:val="lightGray"/>
          <w:lang w:val="de-DE"/>
        </w:rPr>
        <w:t>‘</w:t>
      </w:r>
      <w:r w:rsidR="00A63229" w:rsidRPr="00C20C76">
        <w:rPr>
          <w:highlight w:val="lightGray"/>
          <w:lang w:val="de-DE"/>
        </w:rPr>
        <w:t xml:space="preserve">, </w:t>
      </w:r>
      <w:r w:rsidR="00FE3E6A" w:rsidRPr="00C20C76">
        <w:rPr>
          <w:highlight w:val="lightGray"/>
          <w:lang w:val="de-DE"/>
        </w:rPr>
        <w:t>‚</w:t>
      </w:r>
      <w:r w:rsidR="00A63229" w:rsidRPr="00C20C76">
        <w:rPr>
          <w:highlight w:val="lightGray"/>
          <w:lang w:val="de-DE"/>
        </w:rPr>
        <w:t>Jonagold</w:t>
      </w:r>
      <w:r w:rsidR="00FE3E6A" w:rsidRPr="00C20C76">
        <w:rPr>
          <w:highlight w:val="lightGray"/>
          <w:lang w:val="de-DE"/>
        </w:rPr>
        <w:t>‘</w:t>
      </w:r>
      <w:r w:rsidR="00A63229" w:rsidRPr="00C20C76">
        <w:rPr>
          <w:highlight w:val="lightGray"/>
          <w:lang w:val="de-DE"/>
        </w:rPr>
        <w:t xml:space="preserve"> und </w:t>
      </w:r>
      <w:r w:rsidR="00FE3E6A" w:rsidRPr="00C20C76">
        <w:rPr>
          <w:highlight w:val="lightGray"/>
          <w:lang w:val="de-DE"/>
        </w:rPr>
        <w:t>‚</w:t>
      </w:r>
      <w:r w:rsidR="00A63229" w:rsidRPr="00C20C76">
        <w:rPr>
          <w:highlight w:val="lightGray"/>
          <w:lang w:val="de-DE"/>
        </w:rPr>
        <w:t>Elstar</w:t>
      </w:r>
      <w:r w:rsidR="00FE3E6A" w:rsidRPr="00C20C76">
        <w:rPr>
          <w:highlight w:val="lightGray"/>
          <w:lang w:val="de-DE"/>
        </w:rPr>
        <w:t>‘</w:t>
      </w:r>
      <w:r w:rsidR="00A63229" w:rsidRPr="00C20C76">
        <w:rPr>
          <w:highlight w:val="lightGray"/>
          <w:lang w:val="de-DE"/>
        </w:rPr>
        <w:t xml:space="preserve"> </w:t>
      </w:r>
      <w:r w:rsidRPr="00C20C76">
        <w:rPr>
          <w:highlight w:val="lightGray"/>
          <w:lang w:val="de-DE"/>
        </w:rPr>
        <w:t>für künftige Befragung</w:t>
      </w:r>
      <w:r w:rsidR="00A63229" w:rsidRPr="00C20C76">
        <w:rPr>
          <w:highlight w:val="lightGray"/>
          <w:lang w:val="de-DE"/>
        </w:rPr>
        <w:t>;</w:t>
      </w:r>
    </w:p>
    <w:p w14:paraId="2951C428" w14:textId="1D28A8E4" w:rsidR="00A63229" w:rsidRPr="00C20C76" w:rsidRDefault="00C72CA6" w:rsidP="00167246">
      <w:pPr>
        <w:pStyle w:val="ListParagraph"/>
        <w:numPr>
          <w:ilvl w:val="0"/>
          <w:numId w:val="3"/>
        </w:numPr>
        <w:jc w:val="left"/>
        <w:rPr>
          <w:highlight w:val="lightGray"/>
          <w:lang w:val="de-DE"/>
        </w:rPr>
      </w:pPr>
      <w:r>
        <w:rPr>
          <w:highlight w:val="lightGray"/>
          <w:lang w:val="de-DE"/>
        </w:rPr>
        <w:t>mit Gesuch</w:t>
      </w:r>
      <w:r w:rsidRPr="00C20C76">
        <w:rPr>
          <w:highlight w:val="lightGray"/>
          <w:lang w:val="de-DE"/>
        </w:rPr>
        <w:t xml:space="preserve"> </w:t>
      </w:r>
      <w:r w:rsidR="00A63229" w:rsidRPr="00C20C76">
        <w:rPr>
          <w:highlight w:val="lightGray"/>
          <w:lang w:val="de-DE"/>
        </w:rPr>
        <w:t xml:space="preserve">um Informationen von Züchtern über mögliche Synonyme und </w:t>
      </w:r>
      <w:r>
        <w:rPr>
          <w:highlight w:val="lightGray"/>
          <w:lang w:val="de-DE"/>
        </w:rPr>
        <w:t>Marken</w:t>
      </w:r>
      <w:r w:rsidR="00EA28DF">
        <w:rPr>
          <w:highlight w:val="lightGray"/>
          <w:lang w:val="de-DE"/>
        </w:rPr>
        <w:t>.</w:t>
      </w:r>
      <w:r w:rsidR="00A63229" w:rsidRPr="00C20C76">
        <w:rPr>
          <w:highlight w:val="lightGray"/>
          <w:lang w:val="de-DE"/>
        </w:rPr>
        <w:t xml:space="preserve"> </w:t>
      </w:r>
    </w:p>
    <w:p w14:paraId="40DEF225" w14:textId="77777777" w:rsidR="00A63229" w:rsidRPr="00C20C76" w:rsidRDefault="00A63229" w:rsidP="00167246">
      <w:pPr>
        <w:rPr>
          <w:highlight w:val="yellow"/>
          <w:lang w:val="de-DE"/>
        </w:rPr>
      </w:pPr>
    </w:p>
    <w:p w14:paraId="43FC5773" w14:textId="4EF412AF"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r>
      <w:r w:rsidRPr="00C20C76">
        <w:rPr>
          <w:rFonts w:cs="Arial"/>
          <w:lang w:val="de-DE" w:eastAsia="ja-JP"/>
        </w:rPr>
        <w:t xml:space="preserve">Die TWF </w:t>
      </w:r>
      <w:r w:rsidR="005278A8" w:rsidRPr="00C20C76">
        <w:rPr>
          <w:lang w:val="de-DE"/>
        </w:rPr>
        <w:t>nahm zur Kenntnis</w:t>
      </w:r>
      <w:r w:rsidRPr="00C20C76">
        <w:rPr>
          <w:lang w:val="de-DE"/>
        </w:rPr>
        <w:t>, da</w:t>
      </w:r>
      <w:r w:rsidR="005278A8" w:rsidRPr="00C20C76">
        <w:rPr>
          <w:lang w:val="de-DE"/>
        </w:rPr>
        <w:t>s</w:t>
      </w:r>
      <w:r w:rsidRPr="00C20C76">
        <w:rPr>
          <w:lang w:val="de-DE"/>
        </w:rPr>
        <w:t xml:space="preserve"> eine vollständige Sortensammlung für die DUS-Prüfung und für die Förderung der Zusammenarbeit und der </w:t>
      </w:r>
      <w:r w:rsidR="00C72CA6">
        <w:rPr>
          <w:lang w:val="de-DE"/>
        </w:rPr>
        <w:t>Verwendung</w:t>
      </w:r>
      <w:r w:rsidR="00C72CA6" w:rsidRPr="00C20C76">
        <w:rPr>
          <w:lang w:val="de-DE"/>
        </w:rPr>
        <w:t xml:space="preserve"> </w:t>
      </w:r>
      <w:r w:rsidRPr="00C20C76">
        <w:rPr>
          <w:lang w:val="de-DE"/>
        </w:rPr>
        <w:t>der DUS-</w:t>
      </w:r>
      <w:r w:rsidR="005278A8" w:rsidRPr="00C20C76">
        <w:rPr>
          <w:lang w:val="de-DE"/>
        </w:rPr>
        <w:t>Berichte</w:t>
      </w:r>
      <w:r w:rsidRPr="00C20C76">
        <w:rPr>
          <w:lang w:val="de-DE"/>
        </w:rPr>
        <w:t xml:space="preserve"> zwischen den Sortenschutzämtern für </w:t>
      </w:r>
      <w:r w:rsidR="00117AFA" w:rsidRPr="00C20C76">
        <w:rPr>
          <w:lang w:val="de-DE"/>
        </w:rPr>
        <w:t>Apfelmutantensorten</w:t>
      </w:r>
      <w:r w:rsidR="00117AFA">
        <w:rPr>
          <w:lang w:val="de-DE"/>
        </w:rPr>
        <w:t xml:space="preserve"> </w:t>
      </w:r>
      <w:r w:rsidRPr="00C20C76">
        <w:rPr>
          <w:lang w:val="de-DE"/>
        </w:rPr>
        <w:t xml:space="preserve">wichtig sei. Daher ermutigte die TWF ferner alle an der DUS-Prüfung von Apfel beteiligten Mitglieder und Züchter, zu diesem Informationsaustausch beizutragen und mit dem Verbandsbüro zu </w:t>
      </w:r>
      <w:r w:rsidR="00C72CA6">
        <w:rPr>
          <w:lang w:val="de-DE"/>
        </w:rPr>
        <w:t>sondieren</w:t>
      </w:r>
      <w:r w:rsidRPr="00C20C76">
        <w:rPr>
          <w:lang w:val="de-DE"/>
        </w:rPr>
        <w:t xml:space="preserve">, wie diese Informationen leichter </w:t>
      </w:r>
      <w:r w:rsidR="005278A8" w:rsidRPr="00C20C76">
        <w:rPr>
          <w:lang w:val="de-DE"/>
        </w:rPr>
        <w:t>verfügbar</w:t>
      </w:r>
      <w:r w:rsidRPr="00C20C76">
        <w:rPr>
          <w:lang w:val="de-DE"/>
        </w:rPr>
        <w:t xml:space="preserve"> gemacht werden können (z. B. Link auf der UPOV-</w:t>
      </w:r>
      <w:r w:rsidR="00402E8F">
        <w:rPr>
          <w:lang w:val="de-DE"/>
        </w:rPr>
        <w:t>Webseite</w:t>
      </w:r>
      <w:r w:rsidRPr="00C20C76">
        <w:rPr>
          <w:lang w:val="de-DE"/>
        </w:rPr>
        <w:t xml:space="preserve">) oder ob eine Datenbank </w:t>
      </w:r>
      <w:r w:rsidR="00C72CA6">
        <w:rPr>
          <w:lang w:val="de-DE"/>
        </w:rPr>
        <w:t>erstellt</w:t>
      </w:r>
      <w:r w:rsidR="00C72CA6" w:rsidRPr="00C20C76">
        <w:rPr>
          <w:lang w:val="de-DE"/>
        </w:rPr>
        <w:t xml:space="preserve"> </w:t>
      </w:r>
      <w:r w:rsidRPr="00C20C76">
        <w:rPr>
          <w:lang w:val="de-DE"/>
        </w:rPr>
        <w:t xml:space="preserve">werden könnte. </w:t>
      </w:r>
    </w:p>
    <w:p w14:paraId="42B3A0BB" w14:textId="77777777" w:rsidR="00A63229" w:rsidRPr="00C20C76" w:rsidRDefault="00A63229" w:rsidP="00167246">
      <w:pPr>
        <w:rPr>
          <w:lang w:val="de-DE"/>
        </w:rPr>
      </w:pPr>
    </w:p>
    <w:p w14:paraId="002A0A7E" w14:textId="7E51D070" w:rsidR="00D035F3"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r>
      <w:r w:rsidRPr="00C20C76">
        <w:rPr>
          <w:rFonts w:cs="Arial"/>
          <w:lang w:val="de-DE" w:eastAsia="ja-JP"/>
        </w:rPr>
        <w:t xml:space="preserve">Die TWF </w:t>
      </w:r>
      <w:r w:rsidR="005278A8" w:rsidRPr="00C20C76">
        <w:rPr>
          <w:rFonts w:cs="Arial"/>
          <w:lang w:val="de-DE" w:eastAsia="ja-JP"/>
        </w:rPr>
        <w:t>ersuchte</w:t>
      </w:r>
      <w:r w:rsidRPr="00C20C76">
        <w:rPr>
          <w:rFonts w:cs="Arial"/>
          <w:lang w:val="de-DE" w:eastAsia="ja-JP"/>
        </w:rPr>
        <w:t xml:space="preserve"> den </w:t>
      </w:r>
      <w:r w:rsidR="00B608F4" w:rsidRPr="00C20C76">
        <w:rPr>
          <w:rFonts w:cs="Arial"/>
          <w:lang w:val="de-DE" w:eastAsia="ja-JP"/>
        </w:rPr>
        <w:t>Sachverständigen aus der Europäischen</w:t>
      </w:r>
      <w:r w:rsidRPr="00C20C76">
        <w:rPr>
          <w:rFonts w:cs="Arial"/>
          <w:lang w:val="de-DE" w:eastAsia="ja-JP"/>
        </w:rPr>
        <w:t xml:space="preserve"> Union, auf ihrer zweiundfünfzigsten Tagung über die geleistete Arbeit zu </w:t>
      </w:r>
      <w:r w:rsidR="00CF010B" w:rsidRPr="00C20C76">
        <w:rPr>
          <w:rFonts w:cs="Arial"/>
          <w:lang w:val="de-DE" w:eastAsia="ja-JP"/>
        </w:rPr>
        <w:t>berichten</w:t>
      </w:r>
      <w:r w:rsidRPr="00C20C76">
        <w:rPr>
          <w:rFonts w:cs="Arial"/>
          <w:lang w:val="de-DE" w:eastAsia="ja-JP"/>
        </w:rPr>
        <w:t>.</w:t>
      </w:r>
    </w:p>
    <w:p w14:paraId="67E12E1B" w14:textId="77777777" w:rsidR="00D035F3" w:rsidRPr="00C20C76" w:rsidRDefault="00D035F3" w:rsidP="00167246">
      <w:pPr>
        <w:rPr>
          <w:lang w:val="de-DE"/>
        </w:rPr>
      </w:pPr>
    </w:p>
    <w:p w14:paraId="44B2B3B3" w14:textId="77777777" w:rsidR="00D035F3" w:rsidRPr="00C20C76" w:rsidRDefault="00D035F3" w:rsidP="00167246">
      <w:pPr>
        <w:rPr>
          <w:lang w:val="de-DE"/>
        </w:rPr>
      </w:pPr>
    </w:p>
    <w:p w14:paraId="16A4C5DA" w14:textId="31937DDB" w:rsidR="00A63229" w:rsidRPr="00C20C76" w:rsidRDefault="00F21ACE" w:rsidP="00167246">
      <w:pPr>
        <w:pStyle w:val="Heading2"/>
        <w:rPr>
          <w:lang w:val="de-DE"/>
        </w:rPr>
      </w:pPr>
      <w:bookmarkStart w:id="17" w:name="_Toc54170629"/>
      <w:r>
        <w:rPr>
          <w:lang w:val="de-DE"/>
        </w:rPr>
        <w:t xml:space="preserve">Maßgebliche </w:t>
      </w:r>
      <w:r w:rsidRPr="009243C0">
        <w:rPr>
          <w:lang w:val="de-DE"/>
        </w:rPr>
        <w:t>Fragen</w:t>
      </w:r>
      <w:r w:rsidRPr="00C20C76">
        <w:rPr>
          <w:lang w:val="de-DE"/>
        </w:rPr>
        <w:t xml:space="preserve"> </w:t>
      </w:r>
      <w:r>
        <w:rPr>
          <w:lang w:val="de-DE"/>
        </w:rPr>
        <w:t>b</w:t>
      </w:r>
      <w:r w:rsidR="001E02EC" w:rsidRPr="00C20C76">
        <w:rPr>
          <w:lang w:val="de-DE"/>
        </w:rPr>
        <w:t>ei der</w:t>
      </w:r>
      <w:r w:rsidR="00A63229" w:rsidRPr="00C20C76">
        <w:rPr>
          <w:lang w:val="de-DE"/>
        </w:rPr>
        <w:t xml:space="preserve"> DUS-Prüfung </w:t>
      </w:r>
      <w:r w:rsidR="009243C0">
        <w:rPr>
          <w:lang w:val="de-DE"/>
        </w:rPr>
        <w:t>im</w:t>
      </w:r>
      <w:r w:rsidR="00A63229" w:rsidRPr="00C20C76">
        <w:rPr>
          <w:lang w:val="de-DE"/>
        </w:rPr>
        <w:t xml:space="preserve"> Obstsektor</w:t>
      </w:r>
      <w:bookmarkEnd w:id="17"/>
    </w:p>
    <w:p w14:paraId="4A46FE48" w14:textId="77777777" w:rsidR="00A63229" w:rsidRPr="00C20C76" w:rsidRDefault="00A63229" w:rsidP="00167246">
      <w:pPr>
        <w:keepNext/>
        <w:rPr>
          <w:lang w:val="de-DE"/>
        </w:rPr>
      </w:pPr>
    </w:p>
    <w:p w14:paraId="2095F1F1" w14:textId="3966D08A"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TWF</w:t>
      </w:r>
      <w:r w:rsidR="00AD5A29" w:rsidRPr="00C20C76">
        <w:rPr>
          <w:rStyle w:val="FootnoteReference"/>
          <w:color w:val="000000"/>
          <w:lang w:val="de-DE"/>
        </w:rPr>
        <w:footnoteReference w:id="17"/>
      </w:r>
      <w:r w:rsidR="00AC5A1C" w:rsidRPr="00C20C76">
        <w:rPr>
          <w:lang w:val="de-DE"/>
        </w:rPr>
        <w:t xml:space="preserve"> </w:t>
      </w:r>
      <w:r w:rsidRPr="00C20C76">
        <w:rPr>
          <w:lang w:val="de-DE"/>
        </w:rPr>
        <w:t xml:space="preserve">hörte ein Referat über </w:t>
      </w:r>
      <w:r w:rsidR="00AC5A1C" w:rsidRPr="00C20C76">
        <w:rPr>
          <w:snapToGrid w:val="0"/>
          <w:lang w:val="de-DE"/>
        </w:rPr>
        <w:t>„</w:t>
      </w:r>
      <w:r w:rsidRPr="00C20C76">
        <w:rPr>
          <w:bCs/>
          <w:snapToGrid w:val="0"/>
          <w:lang w:val="de-DE"/>
        </w:rPr>
        <w:t xml:space="preserve">Ringprüfungen für Erdbeere </w:t>
      </w:r>
      <w:r w:rsidR="00AC5A1C" w:rsidRPr="00C20C76">
        <w:rPr>
          <w:bCs/>
          <w:snapToGrid w:val="0"/>
          <w:lang w:val="de-DE"/>
        </w:rPr>
        <w:t>–</w:t>
      </w:r>
      <w:r w:rsidRPr="00C20C76">
        <w:rPr>
          <w:bCs/>
          <w:snapToGrid w:val="0"/>
          <w:lang w:val="de-DE"/>
        </w:rPr>
        <w:t xml:space="preserve"> 2016-2019</w:t>
      </w:r>
      <w:r w:rsidR="00AC5A1C" w:rsidRPr="00C20C76">
        <w:rPr>
          <w:snapToGrid w:val="0"/>
          <w:lang w:val="de-DE"/>
        </w:rPr>
        <w:t>“</w:t>
      </w:r>
      <w:r w:rsidRPr="00C20C76">
        <w:rPr>
          <w:snapToGrid w:val="0"/>
          <w:lang w:val="de-DE"/>
        </w:rPr>
        <w:t xml:space="preserve"> von einem </w:t>
      </w:r>
      <w:r w:rsidR="00B608F4" w:rsidRPr="00C20C76">
        <w:rPr>
          <w:snapToGrid w:val="0"/>
          <w:lang w:val="de-DE"/>
        </w:rPr>
        <w:t>Sachverständigen aus der Europäischen</w:t>
      </w:r>
      <w:r w:rsidRPr="00C20C76">
        <w:rPr>
          <w:snapToGrid w:val="0"/>
          <w:lang w:val="de-DE"/>
        </w:rPr>
        <w:t xml:space="preserve"> Union. Eine </w:t>
      </w:r>
      <w:r w:rsidR="000963EC" w:rsidRPr="00C20C76">
        <w:rPr>
          <w:snapToGrid w:val="0"/>
          <w:lang w:val="de-DE"/>
        </w:rPr>
        <w:t xml:space="preserve">Abschrift </w:t>
      </w:r>
      <w:r w:rsidRPr="00C20C76">
        <w:rPr>
          <w:snapToGrid w:val="0"/>
          <w:lang w:val="de-DE"/>
        </w:rPr>
        <w:t>de</w:t>
      </w:r>
      <w:r w:rsidR="00AC5A1C" w:rsidRPr="00C20C76">
        <w:rPr>
          <w:snapToGrid w:val="0"/>
          <w:lang w:val="de-DE"/>
        </w:rPr>
        <w:t>s</w:t>
      </w:r>
      <w:r w:rsidRPr="00C20C76">
        <w:rPr>
          <w:snapToGrid w:val="0"/>
          <w:lang w:val="de-DE"/>
        </w:rPr>
        <w:t xml:space="preserve"> </w:t>
      </w:r>
      <w:r w:rsidR="00B608F4" w:rsidRPr="00C20C76">
        <w:rPr>
          <w:snapToGrid w:val="0"/>
          <w:lang w:val="de-DE"/>
        </w:rPr>
        <w:t>Referat</w:t>
      </w:r>
      <w:r w:rsidR="00AC5A1C" w:rsidRPr="00C20C76">
        <w:rPr>
          <w:snapToGrid w:val="0"/>
          <w:lang w:val="de-DE"/>
        </w:rPr>
        <w:t>s</w:t>
      </w:r>
      <w:r w:rsidRPr="00C20C76">
        <w:rPr>
          <w:snapToGrid w:val="0"/>
          <w:lang w:val="de-DE"/>
        </w:rPr>
        <w:t xml:space="preserve"> ist in der Anlage des Dokuments TWF/51/5 enthalten </w:t>
      </w:r>
      <w:r w:rsidRPr="00C20C76">
        <w:rPr>
          <w:lang w:val="de-DE"/>
        </w:rPr>
        <w:t>(</w:t>
      </w:r>
      <w:r w:rsidRPr="00C20C76">
        <w:rPr>
          <w:rFonts w:cs="Arial"/>
          <w:lang w:val="de-DE"/>
        </w:rPr>
        <w:t xml:space="preserve">vergleiche Dokument TWF/51/10 </w:t>
      </w:r>
      <w:r w:rsidR="00AC5A1C" w:rsidRPr="00C20C76">
        <w:rPr>
          <w:rFonts w:cs="Arial"/>
          <w:lang w:val="de-DE"/>
        </w:rPr>
        <w:t>„</w:t>
      </w:r>
      <w:r w:rsidR="00B608F4" w:rsidRPr="00C20C76">
        <w:rPr>
          <w:rFonts w:cs="Arial"/>
          <w:lang w:val="de-DE"/>
        </w:rPr>
        <w:t>Report</w:t>
      </w:r>
      <w:r w:rsidR="00AC5A1C" w:rsidRPr="00C20C76">
        <w:rPr>
          <w:rFonts w:cs="Arial"/>
          <w:lang w:val="de-DE"/>
        </w:rPr>
        <w:t>“</w:t>
      </w:r>
      <w:r w:rsidRPr="00C20C76">
        <w:rPr>
          <w:rFonts w:cs="Arial"/>
          <w:lang w:val="de-DE"/>
        </w:rPr>
        <w:t>, Absätze 78 bis 80)</w:t>
      </w:r>
      <w:r w:rsidRPr="00C20C76">
        <w:rPr>
          <w:snapToGrid w:val="0"/>
          <w:lang w:val="de-DE"/>
        </w:rPr>
        <w:t>.</w:t>
      </w:r>
    </w:p>
    <w:p w14:paraId="336F5F9A" w14:textId="77777777" w:rsidR="00A63229" w:rsidRPr="00C20C76" w:rsidRDefault="00A63229" w:rsidP="00167246">
      <w:pPr>
        <w:rPr>
          <w:lang w:val="de-DE"/>
        </w:rPr>
      </w:pPr>
    </w:p>
    <w:p w14:paraId="52B36180" w14:textId="16A2C070"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TWF begrüßte die geleistete Arbeit und nahm den Wert solcher Ringprüfungen vor der Erörterung </w:t>
      </w:r>
      <w:r w:rsidR="00F21ACE">
        <w:rPr>
          <w:lang w:val="de-DE"/>
        </w:rPr>
        <w:t>von</w:t>
      </w:r>
      <w:r w:rsidRPr="00C20C76">
        <w:rPr>
          <w:lang w:val="de-DE"/>
        </w:rPr>
        <w:t xml:space="preserve"> Prüfungsrichtlinien zur Kenntnis. Sie nahm insbesondere zur Kenntnis, da</w:t>
      </w:r>
      <w:r w:rsidR="00AC5A1C" w:rsidRPr="00C20C76">
        <w:rPr>
          <w:lang w:val="de-DE"/>
        </w:rPr>
        <w:t>ss</w:t>
      </w:r>
      <w:r w:rsidRPr="00C20C76">
        <w:rPr>
          <w:lang w:val="de-DE"/>
        </w:rPr>
        <w:t xml:space="preserve"> die Ergebnisse die Erörterungen </w:t>
      </w:r>
      <w:r w:rsidR="00F21ACE">
        <w:rPr>
          <w:lang w:val="de-DE"/>
        </w:rPr>
        <w:t>über</w:t>
      </w:r>
      <w:r w:rsidRPr="00C20C76">
        <w:rPr>
          <w:lang w:val="de-DE"/>
        </w:rPr>
        <w:t xml:space="preserve"> Merkmale, die die Kriterien für die DUS-Prüfung erfüllen, </w:t>
      </w:r>
      <w:r w:rsidR="00E21459" w:rsidRPr="00C20C76">
        <w:rPr>
          <w:lang w:val="de-DE"/>
        </w:rPr>
        <w:t>den Satz</w:t>
      </w:r>
      <w:r w:rsidRPr="00C20C76">
        <w:rPr>
          <w:lang w:val="de-DE"/>
        </w:rPr>
        <w:t xml:space="preserve"> von Beispielssorten und </w:t>
      </w:r>
      <w:r w:rsidR="00E21459" w:rsidRPr="00C20C76">
        <w:rPr>
          <w:lang w:val="de-DE"/>
        </w:rPr>
        <w:t xml:space="preserve">über </w:t>
      </w:r>
      <w:r w:rsidRPr="00C20C76">
        <w:rPr>
          <w:lang w:val="de-DE"/>
        </w:rPr>
        <w:t>die Skala der aufgrund der Ausprägungsbreite für jedes Merkmal zu verwendenden Noten erleichtern könnten.</w:t>
      </w:r>
    </w:p>
    <w:p w14:paraId="46B03B13" w14:textId="77777777" w:rsidR="00A63229" w:rsidRPr="00C20C76" w:rsidRDefault="00A63229" w:rsidP="00167246">
      <w:pPr>
        <w:rPr>
          <w:lang w:val="de-DE"/>
        </w:rPr>
      </w:pPr>
    </w:p>
    <w:p w14:paraId="71D71DFE" w14:textId="3BE3F969"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TWF </w:t>
      </w:r>
      <w:r w:rsidR="002D60CB">
        <w:rPr>
          <w:lang w:val="de-DE"/>
        </w:rPr>
        <w:t xml:space="preserve">vereinbarte </w:t>
      </w:r>
      <w:r w:rsidRPr="00C20C76">
        <w:rPr>
          <w:lang w:val="de-DE"/>
        </w:rPr>
        <w:t>ferner, da</w:t>
      </w:r>
      <w:r w:rsidR="00E21459" w:rsidRPr="00C20C76">
        <w:rPr>
          <w:lang w:val="de-DE"/>
        </w:rPr>
        <w:t>ss</w:t>
      </w:r>
      <w:r w:rsidRPr="00C20C76">
        <w:rPr>
          <w:lang w:val="de-DE"/>
        </w:rPr>
        <w:t xml:space="preserve"> ein</w:t>
      </w:r>
      <w:r w:rsidR="00E21459" w:rsidRPr="00C20C76">
        <w:rPr>
          <w:lang w:val="de-DE"/>
        </w:rPr>
        <w:t>e</w:t>
      </w:r>
      <w:r w:rsidRPr="00C20C76">
        <w:rPr>
          <w:lang w:val="de-DE"/>
        </w:rPr>
        <w:t xml:space="preserve"> </w:t>
      </w:r>
      <w:r w:rsidR="00E21459" w:rsidRPr="00C20C76">
        <w:rPr>
          <w:lang w:val="de-DE"/>
        </w:rPr>
        <w:t>Ringprüfung</w:t>
      </w:r>
      <w:r w:rsidRPr="00C20C76">
        <w:rPr>
          <w:lang w:val="de-DE"/>
        </w:rPr>
        <w:t xml:space="preserve"> ein nützliches Instrument zur Sensibilisierung der Sachverständigen für Unterschiede bei der Interpretation von Merkmalen und </w:t>
      </w:r>
      <w:r w:rsidR="00574E68">
        <w:rPr>
          <w:lang w:val="de-DE"/>
        </w:rPr>
        <w:t>der</w:t>
      </w:r>
      <w:r w:rsidRPr="00C20C76">
        <w:rPr>
          <w:lang w:val="de-DE"/>
        </w:rPr>
        <w:t xml:space="preserve"> Gründe für unterschiedliche </w:t>
      </w:r>
      <w:r w:rsidR="00C72CA6">
        <w:rPr>
          <w:lang w:val="de-DE"/>
        </w:rPr>
        <w:t>Erfassungs</w:t>
      </w:r>
      <w:r w:rsidRPr="00C20C76">
        <w:rPr>
          <w:lang w:val="de-DE"/>
        </w:rPr>
        <w:t>methoden sei.</w:t>
      </w:r>
    </w:p>
    <w:p w14:paraId="64A68E29" w14:textId="77777777" w:rsidR="00D035F3" w:rsidRPr="00C20C76" w:rsidRDefault="00D035F3" w:rsidP="00167246">
      <w:pPr>
        <w:rPr>
          <w:lang w:val="de-DE"/>
        </w:rPr>
      </w:pPr>
    </w:p>
    <w:p w14:paraId="64A8A285" w14:textId="77777777" w:rsidR="00D534B2" w:rsidRPr="00C20C76" w:rsidRDefault="00D534B2" w:rsidP="00167246">
      <w:pPr>
        <w:rPr>
          <w:lang w:val="de-DE"/>
        </w:rPr>
      </w:pPr>
    </w:p>
    <w:p w14:paraId="346FAA2C" w14:textId="77777777" w:rsidR="00D534B2" w:rsidRPr="00C20C76" w:rsidRDefault="00D534B2" w:rsidP="00AA50A2">
      <w:pPr>
        <w:pStyle w:val="Heading2"/>
        <w:rPr>
          <w:lang w:val="de-DE"/>
        </w:rPr>
      </w:pPr>
      <w:bookmarkStart w:id="18" w:name="_Toc54170630"/>
      <w:r w:rsidRPr="00C20C76">
        <w:rPr>
          <w:lang w:val="de-DE"/>
        </w:rPr>
        <w:t>Anleitung für Verfasser von Prüfungsrichtlinien</w:t>
      </w:r>
      <w:bookmarkEnd w:id="18"/>
    </w:p>
    <w:p w14:paraId="3AE03C5E" w14:textId="77777777" w:rsidR="00D534B2" w:rsidRPr="00C20C76" w:rsidRDefault="00D534B2" w:rsidP="00AA50A2">
      <w:pPr>
        <w:keepNext/>
        <w:rPr>
          <w:lang w:val="de-DE"/>
        </w:rPr>
      </w:pPr>
    </w:p>
    <w:p w14:paraId="4778A895" w14:textId="15F8AA9B" w:rsidR="00D534B2" w:rsidRPr="00C20C76" w:rsidRDefault="00D534B2" w:rsidP="00AA50A2">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TWV</w:t>
      </w:r>
      <w:r w:rsidRPr="00C20C76">
        <w:rPr>
          <w:rStyle w:val="FootnoteReference"/>
          <w:rFonts w:eastAsia="PMingLiU"/>
          <w:szCs w:val="24"/>
          <w:lang w:val="de-DE"/>
        </w:rPr>
        <w:footnoteReference w:id="18"/>
      </w:r>
      <w:r w:rsidRPr="00C20C76">
        <w:rPr>
          <w:lang w:val="de-DE"/>
        </w:rPr>
        <w:t>, TWO</w:t>
      </w:r>
      <w:r w:rsidRPr="00C20C76">
        <w:rPr>
          <w:rStyle w:val="FootnoteReference"/>
          <w:rFonts w:eastAsia="PMingLiU"/>
          <w:szCs w:val="24"/>
          <w:lang w:val="de-DE"/>
        </w:rPr>
        <w:footnoteReference w:id="19"/>
      </w:r>
      <w:r w:rsidRPr="00C20C76">
        <w:rPr>
          <w:lang w:val="de-DE"/>
        </w:rPr>
        <w:t xml:space="preserve"> , TWA</w:t>
      </w:r>
      <w:r w:rsidRPr="00C20C76">
        <w:rPr>
          <w:rStyle w:val="FootnoteReference"/>
          <w:rFonts w:eastAsia="PMingLiU"/>
          <w:szCs w:val="24"/>
          <w:lang w:val="de-DE"/>
        </w:rPr>
        <w:footnoteReference w:id="20"/>
      </w:r>
      <w:r w:rsidR="00E477E9" w:rsidRPr="00C20C76">
        <w:rPr>
          <w:lang w:val="de-DE"/>
        </w:rPr>
        <w:t xml:space="preserve"> </w:t>
      </w:r>
      <w:r w:rsidRPr="00C20C76">
        <w:rPr>
          <w:lang w:val="de-DE"/>
        </w:rPr>
        <w:t>und TWF</w:t>
      </w:r>
      <w:r w:rsidRPr="00C20C76">
        <w:rPr>
          <w:rStyle w:val="FootnoteReference"/>
          <w:color w:val="000000"/>
          <w:lang w:val="de-DE"/>
        </w:rPr>
        <w:footnoteReference w:id="21"/>
      </w:r>
      <w:r w:rsidR="00E21459" w:rsidRPr="00C20C76">
        <w:rPr>
          <w:lang w:val="de-DE"/>
        </w:rPr>
        <w:t xml:space="preserve"> </w:t>
      </w:r>
      <w:r w:rsidRPr="00C20C76">
        <w:rPr>
          <w:lang w:val="de-DE"/>
        </w:rPr>
        <w:t xml:space="preserve">prüften das Dokument TWP/4/8 (vergleiche Dokumente TWV/54/9 </w:t>
      </w:r>
      <w:r w:rsidR="00E21459" w:rsidRPr="00C20C76">
        <w:rPr>
          <w:lang w:val="de-DE"/>
        </w:rPr>
        <w:t>„</w:t>
      </w:r>
      <w:r w:rsidR="00B608F4" w:rsidRPr="00C20C76">
        <w:rPr>
          <w:lang w:val="de-DE"/>
        </w:rPr>
        <w:t>Report</w:t>
      </w:r>
      <w:r w:rsidR="00E21459" w:rsidRPr="00C20C76">
        <w:rPr>
          <w:lang w:val="de-DE"/>
        </w:rPr>
        <w:t>“</w:t>
      </w:r>
      <w:r w:rsidRPr="00C20C76">
        <w:rPr>
          <w:lang w:val="de-DE"/>
        </w:rPr>
        <w:t xml:space="preserve">, Absätze 110 bis 113; TWO/52/11 </w:t>
      </w:r>
      <w:r w:rsidR="00E21459" w:rsidRPr="00C20C76">
        <w:rPr>
          <w:lang w:val="de-DE"/>
        </w:rPr>
        <w:t>„Report“</w:t>
      </w:r>
      <w:r w:rsidRPr="00C20C76">
        <w:rPr>
          <w:lang w:val="de-DE"/>
        </w:rPr>
        <w:t xml:space="preserve">, Absätze 92 bis 95; TWA/49/7 </w:t>
      </w:r>
      <w:r w:rsidR="00E21459" w:rsidRPr="00C20C76">
        <w:rPr>
          <w:lang w:val="de-DE"/>
        </w:rPr>
        <w:t>„Report“</w:t>
      </w:r>
      <w:r w:rsidRPr="00C20C76">
        <w:rPr>
          <w:lang w:val="de-DE"/>
        </w:rPr>
        <w:t xml:space="preserve">, Absätze 91 bis 94; </w:t>
      </w:r>
      <w:r w:rsidRPr="00C20C76">
        <w:rPr>
          <w:rFonts w:cs="Arial"/>
          <w:lang w:val="de-DE"/>
        </w:rPr>
        <w:t xml:space="preserve">TWF/51/10 </w:t>
      </w:r>
      <w:r w:rsidR="00E21459" w:rsidRPr="00C20C76">
        <w:rPr>
          <w:lang w:val="de-DE"/>
        </w:rPr>
        <w:t>„Report“</w:t>
      </w:r>
      <w:r w:rsidRPr="00C20C76">
        <w:rPr>
          <w:rFonts w:cs="Arial"/>
          <w:lang w:val="de-DE"/>
        </w:rPr>
        <w:t>, Absätze 81 bis 84)</w:t>
      </w:r>
      <w:r w:rsidRPr="00C20C76">
        <w:rPr>
          <w:lang w:val="de-DE"/>
        </w:rPr>
        <w:t>.</w:t>
      </w:r>
    </w:p>
    <w:p w14:paraId="7AE82C13" w14:textId="77777777" w:rsidR="00D534B2" w:rsidRPr="00C20C76" w:rsidRDefault="00D534B2" w:rsidP="00167246">
      <w:pPr>
        <w:rPr>
          <w:lang w:val="de-DE"/>
        </w:rPr>
      </w:pPr>
    </w:p>
    <w:p w14:paraId="37EFCDD6" w14:textId="0B726453" w:rsidR="00D534B2" w:rsidRPr="00C20C76" w:rsidRDefault="00D534B2" w:rsidP="00167246">
      <w:pPr>
        <w:rPr>
          <w:lang w:val="de-DE" w:eastAsia="ja-JP"/>
        </w:rPr>
      </w:pPr>
      <w:r w:rsidRPr="00C20C76">
        <w:rPr>
          <w:lang w:val="de-DE" w:eastAsia="ja-JP"/>
        </w:rPr>
        <w:fldChar w:fldCharType="begin"/>
      </w:r>
      <w:r w:rsidRPr="00C20C76">
        <w:rPr>
          <w:lang w:val="de-DE" w:eastAsia="ja-JP"/>
        </w:rPr>
        <w:instrText xml:space="preserve"> AUTONUM  </w:instrText>
      </w:r>
      <w:r w:rsidRPr="00C20C76">
        <w:rPr>
          <w:lang w:val="de-DE" w:eastAsia="ja-JP"/>
        </w:rPr>
        <w:fldChar w:fldCharType="end"/>
      </w:r>
      <w:r w:rsidRPr="00C20C76">
        <w:rPr>
          <w:lang w:val="de-DE" w:eastAsia="ja-JP"/>
        </w:rPr>
        <w:tab/>
      </w:r>
      <w:r w:rsidRPr="00C20C76">
        <w:rPr>
          <w:lang w:val="de-DE"/>
        </w:rPr>
        <w:t xml:space="preserve">Die TWV nahm die Entwicklungen </w:t>
      </w:r>
      <w:r w:rsidR="002D60CB">
        <w:rPr>
          <w:lang w:val="de-DE"/>
        </w:rPr>
        <w:t>bezüglich</w:t>
      </w:r>
      <w:r w:rsidR="002D60CB" w:rsidRPr="00C20C76">
        <w:rPr>
          <w:lang w:val="de-DE"/>
        </w:rPr>
        <w:t xml:space="preserve"> </w:t>
      </w:r>
      <w:r w:rsidRPr="00C20C76">
        <w:rPr>
          <w:lang w:val="de-DE"/>
        </w:rPr>
        <w:t xml:space="preserve">der webbasierten TG-Mustervorlage zur Kenntnis, </w:t>
      </w:r>
      <w:r w:rsidR="00B418BC" w:rsidRPr="00C20C76">
        <w:rPr>
          <w:lang w:val="de-DE"/>
        </w:rPr>
        <w:t xml:space="preserve">über </w:t>
      </w:r>
      <w:r w:rsidRPr="00C20C76">
        <w:rPr>
          <w:lang w:val="de-DE"/>
        </w:rPr>
        <w:t xml:space="preserve">die in Dokument TWP/4/8, Absätze 15 bis 23, </w:t>
      </w:r>
      <w:r w:rsidR="00985E66" w:rsidRPr="00C20C76">
        <w:rPr>
          <w:lang w:val="de-DE"/>
        </w:rPr>
        <w:t>berichtet</w:t>
      </w:r>
      <w:r w:rsidRPr="00C20C76">
        <w:rPr>
          <w:lang w:val="de-DE"/>
        </w:rPr>
        <w:t xml:space="preserve"> </w:t>
      </w:r>
      <w:r w:rsidR="009768FA" w:rsidRPr="00C20C76">
        <w:rPr>
          <w:lang w:val="de-DE"/>
        </w:rPr>
        <w:t>worden war</w:t>
      </w:r>
      <w:r w:rsidRPr="00C20C76">
        <w:rPr>
          <w:lang w:val="de-DE"/>
        </w:rPr>
        <w:t>.</w:t>
      </w:r>
    </w:p>
    <w:p w14:paraId="05B86B2E" w14:textId="77777777" w:rsidR="00D534B2" w:rsidRPr="00C20C76" w:rsidRDefault="00D534B2" w:rsidP="00167246">
      <w:pPr>
        <w:rPr>
          <w:lang w:val="de-DE" w:eastAsia="ja-JP"/>
        </w:rPr>
      </w:pPr>
    </w:p>
    <w:p w14:paraId="0EF46E6C" w14:textId="47F0C317" w:rsidR="00D534B2" w:rsidRPr="00C20C76" w:rsidRDefault="00D534B2" w:rsidP="00167246">
      <w:pPr>
        <w:rPr>
          <w:lang w:val="de-DE" w:eastAsia="ja-JP"/>
        </w:rPr>
      </w:pPr>
      <w:r w:rsidRPr="00C20C76">
        <w:rPr>
          <w:lang w:val="de-DE" w:eastAsia="ja-JP"/>
        </w:rPr>
        <w:fldChar w:fldCharType="begin"/>
      </w:r>
      <w:r w:rsidRPr="00C20C76">
        <w:rPr>
          <w:lang w:val="de-DE" w:eastAsia="ja-JP"/>
        </w:rPr>
        <w:instrText xml:space="preserve"> AUTONUM  </w:instrText>
      </w:r>
      <w:r w:rsidRPr="00C20C76">
        <w:rPr>
          <w:lang w:val="de-DE" w:eastAsia="ja-JP"/>
        </w:rPr>
        <w:fldChar w:fldCharType="end"/>
      </w:r>
      <w:r w:rsidRPr="00C20C76">
        <w:rPr>
          <w:lang w:val="de-DE" w:eastAsia="ja-JP"/>
        </w:rPr>
        <w:tab/>
      </w:r>
      <w:r w:rsidRPr="00C20C76">
        <w:rPr>
          <w:lang w:val="de-DE"/>
        </w:rPr>
        <w:t>Die TWV nahm zur Kenntnis, da</w:t>
      </w:r>
      <w:r w:rsidR="00985E66" w:rsidRPr="00C20C76">
        <w:rPr>
          <w:lang w:val="de-DE"/>
        </w:rPr>
        <w:t>ss</w:t>
      </w:r>
      <w:r w:rsidRPr="00C20C76">
        <w:rPr>
          <w:lang w:val="de-DE"/>
        </w:rPr>
        <w:t xml:space="preserve"> das Verbandsbüro ein Rundschreiben herausgeben werde, um die Anforderungen </w:t>
      </w:r>
      <w:r w:rsidR="009768FA" w:rsidRPr="00C20C76">
        <w:rPr>
          <w:lang w:val="de-DE"/>
        </w:rPr>
        <w:t>von</w:t>
      </w:r>
      <w:r w:rsidRPr="00C20C76">
        <w:rPr>
          <w:lang w:val="de-DE"/>
        </w:rPr>
        <w:t xml:space="preserve"> UPOV-Mitglieder</w:t>
      </w:r>
      <w:r w:rsidR="009768FA" w:rsidRPr="00C20C76">
        <w:rPr>
          <w:lang w:val="de-DE"/>
        </w:rPr>
        <w:t>n</w:t>
      </w:r>
      <w:r w:rsidRPr="00C20C76">
        <w:rPr>
          <w:lang w:val="de-DE"/>
        </w:rPr>
        <w:t xml:space="preserve"> für die Erstellung von Prüfungsrichtlinien einzelner Behörden unter Verwendung der webbasierten TG-Mustervorlage zu ermitteln.</w:t>
      </w:r>
    </w:p>
    <w:p w14:paraId="523CED3D" w14:textId="77777777" w:rsidR="00D534B2" w:rsidRPr="00C20C76" w:rsidRDefault="00D534B2" w:rsidP="00167246">
      <w:pPr>
        <w:rPr>
          <w:lang w:val="de-DE" w:eastAsia="ja-JP"/>
        </w:rPr>
      </w:pPr>
    </w:p>
    <w:p w14:paraId="06662C5C" w14:textId="3E7F88F0" w:rsidR="00D534B2" w:rsidRPr="00C20C76" w:rsidRDefault="00D534B2" w:rsidP="00167246">
      <w:pPr>
        <w:rPr>
          <w:lang w:val="de-DE"/>
        </w:rPr>
      </w:pPr>
      <w:r w:rsidRPr="00C20C76">
        <w:rPr>
          <w:lang w:val="de-DE" w:eastAsia="ja-JP"/>
        </w:rPr>
        <w:fldChar w:fldCharType="begin"/>
      </w:r>
      <w:r w:rsidRPr="00C20C76">
        <w:rPr>
          <w:lang w:val="de-DE" w:eastAsia="ja-JP"/>
        </w:rPr>
        <w:instrText xml:space="preserve"> AUTONUM  </w:instrText>
      </w:r>
      <w:r w:rsidRPr="00C20C76">
        <w:rPr>
          <w:lang w:val="de-DE" w:eastAsia="ja-JP"/>
        </w:rPr>
        <w:fldChar w:fldCharType="end"/>
      </w:r>
      <w:r w:rsidRPr="00C20C76">
        <w:rPr>
          <w:lang w:val="de-DE" w:eastAsia="ja-JP"/>
        </w:rPr>
        <w:tab/>
      </w:r>
      <w:r w:rsidRPr="00C20C76">
        <w:rPr>
          <w:lang w:val="de-DE"/>
        </w:rPr>
        <w:t>Die TWV nahm zur Kenntnis, da</w:t>
      </w:r>
      <w:r w:rsidR="009768FA" w:rsidRPr="00C20C76">
        <w:rPr>
          <w:lang w:val="de-DE"/>
        </w:rPr>
        <w:t>ss</w:t>
      </w:r>
      <w:r w:rsidRPr="00C20C76">
        <w:rPr>
          <w:lang w:val="de-DE"/>
        </w:rPr>
        <w:t xml:space="preserve"> die </w:t>
      </w:r>
      <w:r w:rsidR="00574E68">
        <w:rPr>
          <w:lang w:val="de-DE"/>
        </w:rPr>
        <w:t>Schulung</w:t>
      </w:r>
      <w:r w:rsidRPr="00C20C76">
        <w:rPr>
          <w:lang w:val="de-DE"/>
        </w:rPr>
        <w:t xml:space="preserve"> über die webbasierte TG-Mustervorlage </w:t>
      </w:r>
      <w:r w:rsidR="002D60CB" w:rsidRPr="00C20C76">
        <w:rPr>
          <w:lang w:val="de-DE"/>
        </w:rPr>
        <w:t xml:space="preserve">auf Ersuchen von Sachverständigen </w:t>
      </w:r>
      <w:r w:rsidRPr="00C20C76">
        <w:rPr>
          <w:lang w:val="de-DE"/>
        </w:rPr>
        <w:t>auf elektronischem Wege organisiert werden könnte.</w:t>
      </w:r>
    </w:p>
    <w:p w14:paraId="18C067D1" w14:textId="77777777" w:rsidR="00D534B2" w:rsidRPr="00C20C76" w:rsidRDefault="00D534B2" w:rsidP="00167246">
      <w:pPr>
        <w:rPr>
          <w:lang w:val="de-DE"/>
        </w:rPr>
      </w:pPr>
    </w:p>
    <w:p w14:paraId="285B7EB7" w14:textId="77777777" w:rsidR="00BB224D" w:rsidRPr="00C20C76" w:rsidRDefault="00BB224D" w:rsidP="00167246">
      <w:pPr>
        <w:rPr>
          <w:lang w:val="de-DE"/>
        </w:rPr>
      </w:pPr>
    </w:p>
    <w:p w14:paraId="5918F863" w14:textId="77777777" w:rsidR="00BB224D" w:rsidRPr="00C20C76" w:rsidRDefault="00BB224D" w:rsidP="00167246">
      <w:pPr>
        <w:pStyle w:val="Heading2"/>
        <w:rPr>
          <w:lang w:val="de-DE"/>
        </w:rPr>
      </w:pPr>
      <w:bookmarkStart w:id="19" w:name="_Toc54170631"/>
      <w:r w:rsidRPr="00C20C76">
        <w:rPr>
          <w:lang w:val="de-DE"/>
        </w:rPr>
        <w:t>Erfahrungen mit neuen Typen und Arten</w:t>
      </w:r>
      <w:bookmarkEnd w:id="19"/>
      <w:r w:rsidRPr="00C20C76">
        <w:rPr>
          <w:lang w:val="de-DE"/>
        </w:rPr>
        <w:t xml:space="preserve"> </w:t>
      </w:r>
    </w:p>
    <w:p w14:paraId="2DFDD9DD" w14:textId="77777777" w:rsidR="00BB224D" w:rsidRPr="00C20C76" w:rsidRDefault="00BB224D" w:rsidP="00167246">
      <w:pPr>
        <w:keepNext/>
        <w:rPr>
          <w:highlight w:val="green"/>
          <w:lang w:val="de-DE"/>
        </w:rPr>
      </w:pPr>
    </w:p>
    <w:p w14:paraId="7E9BBC56" w14:textId="6AE3E406" w:rsidR="00BB224D" w:rsidRPr="00C20C76" w:rsidRDefault="00BB224D"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TWV</w:t>
      </w:r>
      <w:r w:rsidR="00AD5A29" w:rsidRPr="00C20C76">
        <w:rPr>
          <w:rStyle w:val="FootnoteReference"/>
          <w:rFonts w:eastAsia="PMingLiU"/>
          <w:szCs w:val="24"/>
          <w:lang w:val="de-DE"/>
        </w:rPr>
        <w:footnoteReference w:id="22"/>
      </w:r>
      <w:r w:rsidR="009F73E6" w:rsidRPr="00C20C76">
        <w:rPr>
          <w:lang w:val="de-DE"/>
        </w:rPr>
        <w:t>, TWO</w:t>
      </w:r>
      <w:r w:rsidR="00AD5A29" w:rsidRPr="00C20C76">
        <w:rPr>
          <w:rStyle w:val="FootnoteReference"/>
          <w:rFonts w:eastAsia="PMingLiU"/>
          <w:szCs w:val="24"/>
          <w:lang w:val="de-DE"/>
        </w:rPr>
        <w:footnoteReference w:id="23"/>
      </w:r>
      <w:r w:rsidR="009F73E6" w:rsidRPr="00C20C76">
        <w:rPr>
          <w:lang w:val="de-DE"/>
        </w:rPr>
        <w:t xml:space="preserve"> </w:t>
      </w:r>
      <w:r w:rsidR="00A63229" w:rsidRPr="00C20C76">
        <w:rPr>
          <w:lang w:val="de-DE"/>
        </w:rPr>
        <w:t>, TWA</w:t>
      </w:r>
      <w:r w:rsidR="00AD5A29" w:rsidRPr="00C20C76">
        <w:rPr>
          <w:rStyle w:val="FootnoteReference"/>
          <w:rFonts w:eastAsia="PMingLiU"/>
          <w:szCs w:val="24"/>
          <w:lang w:val="de-DE"/>
        </w:rPr>
        <w:footnoteReference w:id="24"/>
      </w:r>
      <w:r w:rsidR="009768FA" w:rsidRPr="00C20C76">
        <w:rPr>
          <w:lang w:val="de-DE"/>
        </w:rPr>
        <w:t xml:space="preserve"> nahm</w:t>
      </w:r>
      <w:r w:rsidR="002D60CB">
        <w:rPr>
          <w:lang w:val="de-DE"/>
        </w:rPr>
        <w:t>en</w:t>
      </w:r>
      <w:r w:rsidR="009768FA" w:rsidRPr="00C20C76">
        <w:rPr>
          <w:lang w:val="de-DE"/>
        </w:rPr>
        <w:t xml:space="preserve"> zur Kenntnis</w:t>
      </w:r>
      <w:r w:rsidRPr="00C20C76">
        <w:rPr>
          <w:lang w:val="de-DE"/>
        </w:rPr>
        <w:t>, da</w:t>
      </w:r>
      <w:r w:rsidR="009768FA" w:rsidRPr="00C20C76">
        <w:rPr>
          <w:lang w:val="de-DE"/>
        </w:rPr>
        <w:t>ss</w:t>
      </w:r>
      <w:r w:rsidRPr="00C20C76">
        <w:rPr>
          <w:lang w:val="de-DE"/>
        </w:rPr>
        <w:t xml:space="preserve"> </w:t>
      </w:r>
      <w:r w:rsidR="00917AAB" w:rsidRPr="00C20C76">
        <w:rPr>
          <w:lang w:val="de-DE"/>
        </w:rPr>
        <w:t xml:space="preserve">über </w:t>
      </w:r>
      <w:r w:rsidRPr="00C20C76">
        <w:rPr>
          <w:rFonts w:cs="Arial"/>
          <w:lang w:val="de-DE"/>
        </w:rPr>
        <w:t xml:space="preserve">keine neuen Erfahrungen mit neuen Typen und Arten </w:t>
      </w:r>
      <w:r w:rsidR="009768FA" w:rsidRPr="00C20C76">
        <w:rPr>
          <w:rFonts w:cs="Arial"/>
          <w:lang w:val="de-DE"/>
        </w:rPr>
        <w:t>berichtet</w:t>
      </w:r>
      <w:r w:rsidRPr="00C20C76">
        <w:rPr>
          <w:rFonts w:cs="Arial"/>
          <w:lang w:val="de-DE"/>
        </w:rPr>
        <w:t xml:space="preserve"> worden </w:t>
      </w:r>
      <w:r w:rsidR="002D60CB">
        <w:rPr>
          <w:rFonts w:cs="Arial"/>
          <w:lang w:val="de-DE"/>
        </w:rPr>
        <w:t>war</w:t>
      </w:r>
      <w:r w:rsidR="002D60CB" w:rsidRPr="00C20C76">
        <w:rPr>
          <w:rFonts w:cs="Arial"/>
          <w:lang w:val="de-DE"/>
        </w:rPr>
        <w:t xml:space="preserve"> </w:t>
      </w:r>
      <w:r w:rsidR="0084455A" w:rsidRPr="00C20C76">
        <w:rPr>
          <w:rFonts w:cs="Arial"/>
          <w:lang w:val="de-DE"/>
        </w:rPr>
        <w:t xml:space="preserve">(vergleiche Dokumente </w:t>
      </w:r>
      <w:r w:rsidR="0084455A" w:rsidRPr="00C20C76">
        <w:rPr>
          <w:lang w:val="de-DE"/>
        </w:rPr>
        <w:t xml:space="preserve">TWV/54/9 </w:t>
      </w:r>
      <w:r w:rsidR="009768FA" w:rsidRPr="00C20C76">
        <w:rPr>
          <w:lang w:val="de-DE"/>
        </w:rPr>
        <w:t>„Report“</w:t>
      </w:r>
      <w:r w:rsidR="0084455A" w:rsidRPr="00C20C76">
        <w:rPr>
          <w:lang w:val="de-DE"/>
        </w:rPr>
        <w:t xml:space="preserve">, Absatz 73; TWO/52/11 </w:t>
      </w:r>
      <w:r w:rsidR="009768FA" w:rsidRPr="00C20C76">
        <w:rPr>
          <w:lang w:val="de-DE"/>
        </w:rPr>
        <w:t>„Report“</w:t>
      </w:r>
      <w:r w:rsidR="0084455A" w:rsidRPr="00C20C76">
        <w:rPr>
          <w:lang w:val="de-DE"/>
        </w:rPr>
        <w:t>, Absatz 78</w:t>
      </w:r>
      <w:r w:rsidR="00A63229" w:rsidRPr="00C20C76">
        <w:rPr>
          <w:lang w:val="de-DE"/>
        </w:rPr>
        <w:t xml:space="preserve">; TWA/49/7 </w:t>
      </w:r>
      <w:r w:rsidR="009768FA" w:rsidRPr="00C20C76">
        <w:rPr>
          <w:lang w:val="de-DE"/>
        </w:rPr>
        <w:t>„Report“</w:t>
      </w:r>
      <w:r w:rsidR="00A63229" w:rsidRPr="00C20C76">
        <w:rPr>
          <w:lang w:val="de-DE"/>
        </w:rPr>
        <w:t>, Absatz 51</w:t>
      </w:r>
      <w:r w:rsidR="0084455A" w:rsidRPr="00C20C76">
        <w:rPr>
          <w:lang w:val="de-DE"/>
        </w:rPr>
        <w:t>)</w:t>
      </w:r>
      <w:r w:rsidRPr="00C20C76">
        <w:rPr>
          <w:rFonts w:cs="Arial"/>
          <w:lang w:val="de-DE"/>
        </w:rPr>
        <w:t>.</w:t>
      </w:r>
    </w:p>
    <w:p w14:paraId="37953344" w14:textId="77777777" w:rsidR="00BB224D" w:rsidRPr="00C20C76" w:rsidRDefault="00BB224D" w:rsidP="00167246">
      <w:pPr>
        <w:rPr>
          <w:lang w:val="de-DE"/>
        </w:rPr>
      </w:pPr>
    </w:p>
    <w:p w14:paraId="71DC93A3" w14:textId="43AFB895" w:rsidR="00A63229" w:rsidRPr="00C20C76" w:rsidRDefault="00A63229"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TWF</w:t>
      </w:r>
      <w:r w:rsidR="00AD5A29" w:rsidRPr="00C20C76">
        <w:rPr>
          <w:rStyle w:val="FootnoteReference"/>
          <w:color w:val="000000"/>
          <w:lang w:val="de-DE"/>
        </w:rPr>
        <w:footnoteReference w:id="25"/>
      </w:r>
      <w:r w:rsidR="00EA4930" w:rsidRPr="00C20C76">
        <w:rPr>
          <w:lang w:val="de-DE"/>
        </w:rPr>
        <w:t xml:space="preserve"> nahm zur Kenntnis, dass</w:t>
      </w:r>
      <w:r w:rsidRPr="00C20C76">
        <w:rPr>
          <w:lang w:val="de-DE"/>
        </w:rPr>
        <w:t xml:space="preserve"> </w:t>
      </w:r>
      <w:r w:rsidR="00917AAB" w:rsidRPr="00C20C76">
        <w:rPr>
          <w:lang w:val="de-DE"/>
        </w:rPr>
        <w:t xml:space="preserve">über </w:t>
      </w:r>
      <w:r w:rsidRPr="00C20C76">
        <w:rPr>
          <w:rFonts w:cs="Arial"/>
          <w:lang w:val="de-DE"/>
        </w:rPr>
        <w:t xml:space="preserve">keine neuen Erfahrungen mit neuen Typen und Arten </w:t>
      </w:r>
      <w:r w:rsidR="00917AAB" w:rsidRPr="00C20C76">
        <w:rPr>
          <w:rFonts w:cs="Arial"/>
          <w:lang w:val="de-DE"/>
        </w:rPr>
        <w:t>berichtet</w:t>
      </w:r>
      <w:r w:rsidRPr="00C20C76">
        <w:rPr>
          <w:rFonts w:cs="Arial"/>
          <w:lang w:val="de-DE"/>
        </w:rPr>
        <w:t xml:space="preserve"> worden </w:t>
      </w:r>
      <w:r w:rsidR="002D60CB">
        <w:rPr>
          <w:rFonts w:cs="Arial"/>
          <w:lang w:val="de-DE"/>
        </w:rPr>
        <w:t>war</w:t>
      </w:r>
      <w:r w:rsidRPr="00C20C76">
        <w:rPr>
          <w:rFonts w:cs="Arial"/>
          <w:lang w:val="de-DE"/>
        </w:rPr>
        <w:t xml:space="preserve">. Dennoch erinnerte die TWF an die Bedeutung dieses Tagesordnungspunktes, um es den UPOV-Mitgliedern zu ermöglichen, über Erfahrungen mit neuen Arten auf nationaler Ebene zu </w:t>
      </w:r>
      <w:r w:rsidR="00CF010B" w:rsidRPr="00C20C76">
        <w:rPr>
          <w:rFonts w:cs="Arial"/>
          <w:lang w:val="de-DE"/>
        </w:rPr>
        <w:t>berichten</w:t>
      </w:r>
      <w:r w:rsidRPr="00C20C76">
        <w:rPr>
          <w:rFonts w:cs="Arial"/>
          <w:lang w:val="de-DE"/>
        </w:rPr>
        <w:t xml:space="preserve">, die danach für Anleitung auf internationaler Ebene von Bedeutung sein </w:t>
      </w:r>
      <w:r w:rsidR="00571D53" w:rsidRPr="00C20C76">
        <w:rPr>
          <w:rFonts w:cs="Arial"/>
          <w:lang w:val="de-DE"/>
        </w:rPr>
        <w:t>könnten</w:t>
      </w:r>
      <w:r w:rsidRPr="00C20C76">
        <w:rPr>
          <w:rFonts w:cs="Arial"/>
          <w:lang w:val="de-DE"/>
        </w:rPr>
        <w:t xml:space="preserve">. Daher ersuchte die TWF alle UPOV-Mitglieder, diese Gelegenheit auf künftigen Tagungen zu nutzen, wenn dies angebracht ist, insbesondere für die </w:t>
      </w:r>
      <w:r w:rsidR="00917AAB" w:rsidRPr="00C20C76">
        <w:rPr>
          <w:rFonts w:cs="Arial"/>
          <w:lang w:val="de-DE"/>
        </w:rPr>
        <w:t>mögliche</w:t>
      </w:r>
      <w:r w:rsidRPr="00C20C76">
        <w:rPr>
          <w:rFonts w:cs="Arial"/>
          <w:lang w:val="de-DE"/>
        </w:rPr>
        <w:t xml:space="preserve"> künftige </w:t>
      </w:r>
      <w:r w:rsidR="00917AAB" w:rsidRPr="00C20C76">
        <w:rPr>
          <w:rFonts w:cs="Arial"/>
          <w:lang w:val="de-DE"/>
        </w:rPr>
        <w:t>Erstellung</w:t>
      </w:r>
      <w:r w:rsidRPr="00C20C76">
        <w:rPr>
          <w:rFonts w:cs="Arial"/>
          <w:lang w:val="de-DE"/>
        </w:rPr>
        <w:t xml:space="preserve"> von Prüfungsrichtlinien (vergleiche Dokument TWF/51/10 </w:t>
      </w:r>
      <w:r w:rsidR="00694897" w:rsidRPr="00C20C76">
        <w:rPr>
          <w:rFonts w:cs="Arial"/>
          <w:lang w:val="de-DE"/>
        </w:rPr>
        <w:t>„</w:t>
      </w:r>
      <w:r w:rsidR="00B608F4" w:rsidRPr="00C20C76">
        <w:rPr>
          <w:rFonts w:cs="Arial"/>
          <w:lang w:val="de-DE"/>
        </w:rPr>
        <w:t>Report</w:t>
      </w:r>
      <w:r w:rsidR="00694897" w:rsidRPr="00C20C76">
        <w:rPr>
          <w:rFonts w:cs="Arial"/>
          <w:lang w:val="de-DE"/>
        </w:rPr>
        <w:t>“</w:t>
      </w:r>
      <w:r w:rsidRPr="00C20C76">
        <w:rPr>
          <w:rFonts w:cs="Arial"/>
          <w:lang w:val="de-DE"/>
        </w:rPr>
        <w:t>, Absätze 69 und 112).</w:t>
      </w:r>
    </w:p>
    <w:p w14:paraId="3618CF8C" w14:textId="77777777" w:rsidR="00BB224D" w:rsidRPr="00C20C76" w:rsidRDefault="00BB224D" w:rsidP="00167246">
      <w:pPr>
        <w:rPr>
          <w:lang w:val="de-DE"/>
        </w:rPr>
      </w:pPr>
    </w:p>
    <w:p w14:paraId="70DF0719" w14:textId="77777777" w:rsidR="007A5CA0" w:rsidRPr="00C20C76" w:rsidRDefault="007A5CA0" w:rsidP="00167246">
      <w:pPr>
        <w:rPr>
          <w:lang w:val="de-DE"/>
        </w:rPr>
      </w:pPr>
    </w:p>
    <w:p w14:paraId="372030BC" w14:textId="56F4B64B" w:rsidR="0028739C" w:rsidRPr="00C20C76" w:rsidRDefault="0028739C" w:rsidP="00167246">
      <w:pPr>
        <w:pStyle w:val="Heading2"/>
        <w:rPr>
          <w:lang w:val="de-DE"/>
        </w:rPr>
      </w:pPr>
      <w:bookmarkStart w:id="20" w:name="_Toc54170632"/>
      <w:r w:rsidRPr="00C20C76">
        <w:rPr>
          <w:lang w:val="de-DE"/>
        </w:rPr>
        <w:t>Software</w:t>
      </w:r>
      <w:r w:rsidR="001E02EC" w:rsidRPr="00C20C76">
        <w:rPr>
          <w:lang w:val="de-DE"/>
        </w:rPr>
        <w:t xml:space="preserve"> </w:t>
      </w:r>
      <w:r w:rsidRPr="00C20C76">
        <w:rPr>
          <w:lang w:val="de-DE"/>
        </w:rPr>
        <w:t>für statistische Analyse</w:t>
      </w:r>
      <w:r w:rsidR="00574E68">
        <w:rPr>
          <w:lang w:val="de-DE"/>
        </w:rPr>
        <w:t xml:space="preserve"> </w:t>
      </w:r>
      <w:r w:rsidR="00574E68" w:rsidRPr="00C20C76">
        <w:rPr>
          <w:lang w:val="de-DE"/>
        </w:rPr>
        <w:t>„DUS Excel</w:t>
      </w:r>
      <w:r w:rsidR="00574E68">
        <w:rPr>
          <w:lang w:val="de-DE"/>
        </w:rPr>
        <w:t>“</w:t>
      </w:r>
      <w:bookmarkEnd w:id="20"/>
      <w:r w:rsidRPr="00C20C76">
        <w:rPr>
          <w:lang w:val="de-DE"/>
        </w:rPr>
        <w:t xml:space="preserve"> </w:t>
      </w:r>
    </w:p>
    <w:p w14:paraId="68FA7070" w14:textId="77777777" w:rsidR="0028739C" w:rsidRPr="00C20C76" w:rsidRDefault="0028739C" w:rsidP="00167246">
      <w:pPr>
        <w:rPr>
          <w:lang w:val="de-DE"/>
        </w:rPr>
      </w:pPr>
    </w:p>
    <w:p w14:paraId="6AB87837" w14:textId="5FED7C5B" w:rsidR="0028739C" w:rsidRPr="00C20C76" w:rsidRDefault="0028739C"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TWC</w:t>
      </w:r>
      <w:r w:rsidRPr="00C20C76">
        <w:rPr>
          <w:rStyle w:val="FootnoteReference"/>
          <w:snapToGrid w:val="0"/>
          <w:lang w:val="de-DE"/>
        </w:rPr>
        <w:footnoteReference w:id="26"/>
      </w:r>
      <w:r w:rsidR="00245163" w:rsidRPr="00C20C76">
        <w:rPr>
          <w:lang w:val="de-DE"/>
        </w:rPr>
        <w:t xml:space="preserve"> </w:t>
      </w:r>
      <w:r w:rsidRPr="00C20C76">
        <w:rPr>
          <w:lang w:val="de-DE"/>
        </w:rPr>
        <w:t xml:space="preserve">prüfte das Dokument TWC/38/9 (vergleiche Dokument TWC/38/11 </w:t>
      </w:r>
      <w:r w:rsidR="00245163" w:rsidRPr="00C20C76">
        <w:rPr>
          <w:rFonts w:cs="Arial"/>
          <w:lang w:val="de-DE"/>
        </w:rPr>
        <w:t xml:space="preserve">„Report“, </w:t>
      </w:r>
      <w:r w:rsidRPr="00C20C76">
        <w:rPr>
          <w:lang w:val="de-DE"/>
        </w:rPr>
        <w:t>Absätze 47 bis 50).</w:t>
      </w:r>
    </w:p>
    <w:p w14:paraId="41E8B5AA" w14:textId="77777777" w:rsidR="0028739C" w:rsidRPr="00C20C76" w:rsidRDefault="0028739C" w:rsidP="00167246">
      <w:pPr>
        <w:rPr>
          <w:lang w:val="de-DE"/>
        </w:rPr>
      </w:pPr>
    </w:p>
    <w:p w14:paraId="178E12E0" w14:textId="47491674" w:rsidR="0028739C" w:rsidRPr="00C20C76" w:rsidRDefault="0028739C"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TWC hörte ein Referat über </w:t>
      </w:r>
      <w:r w:rsidR="002F73A3" w:rsidRPr="00C20C76">
        <w:rPr>
          <w:lang w:val="de-DE"/>
        </w:rPr>
        <w:t>„</w:t>
      </w:r>
      <w:r w:rsidRPr="00C20C76">
        <w:rPr>
          <w:lang w:val="de-DE"/>
        </w:rPr>
        <w:t>Eine Software</w:t>
      </w:r>
      <w:r w:rsidR="002F73A3" w:rsidRPr="00C20C76">
        <w:rPr>
          <w:lang w:val="de-DE"/>
        </w:rPr>
        <w:t xml:space="preserve"> </w:t>
      </w:r>
      <w:r w:rsidRPr="00C20C76">
        <w:rPr>
          <w:lang w:val="de-DE"/>
        </w:rPr>
        <w:t>für statistische</w:t>
      </w:r>
      <w:r w:rsidR="002F73A3" w:rsidRPr="00C20C76">
        <w:rPr>
          <w:lang w:val="de-DE"/>
        </w:rPr>
        <w:t xml:space="preserve"> Analyse</w:t>
      </w:r>
      <w:r w:rsidR="00574E68">
        <w:rPr>
          <w:lang w:val="de-DE"/>
        </w:rPr>
        <w:t xml:space="preserve"> </w:t>
      </w:r>
      <w:r w:rsidR="00574E68" w:rsidRPr="00C20C76">
        <w:rPr>
          <w:lang w:val="de-DE"/>
        </w:rPr>
        <w:t>DUSCEL 2.0</w:t>
      </w:r>
      <w:r w:rsidR="002F73A3" w:rsidRPr="00C20C76">
        <w:rPr>
          <w:lang w:val="de-DE"/>
        </w:rPr>
        <w:t>“</w:t>
      </w:r>
      <w:r w:rsidRPr="00C20C76">
        <w:rPr>
          <w:lang w:val="de-DE"/>
        </w:rPr>
        <w:t xml:space="preserve"> von einem Sachverständigen aus China</w:t>
      </w:r>
      <w:r w:rsidR="002D60CB">
        <w:rPr>
          <w:lang w:val="de-DE"/>
        </w:rPr>
        <w:t>;</w:t>
      </w:r>
      <w:r w:rsidR="002D60CB" w:rsidRPr="00C20C76">
        <w:rPr>
          <w:lang w:val="de-DE"/>
        </w:rPr>
        <w:t xml:space="preserve"> </w:t>
      </w:r>
      <w:r w:rsidRPr="00C20C76">
        <w:rPr>
          <w:lang w:val="de-DE"/>
        </w:rPr>
        <w:t xml:space="preserve">eine </w:t>
      </w:r>
      <w:r w:rsidR="000963EC" w:rsidRPr="00C20C76">
        <w:rPr>
          <w:lang w:val="de-DE"/>
        </w:rPr>
        <w:t xml:space="preserve">Abschrift </w:t>
      </w:r>
      <w:r w:rsidR="00E9222D" w:rsidRPr="00C20C76">
        <w:rPr>
          <w:lang w:val="de-DE"/>
        </w:rPr>
        <w:t xml:space="preserve">des Referats </w:t>
      </w:r>
      <w:r w:rsidR="002F73A3" w:rsidRPr="00C20C76">
        <w:rPr>
          <w:lang w:val="de-DE"/>
        </w:rPr>
        <w:t xml:space="preserve">ist </w:t>
      </w:r>
      <w:r w:rsidRPr="00C20C76">
        <w:rPr>
          <w:lang w:val="de-DE"/>
        </w:rPr>
        <w:t>in Dokument TWC/38/9 enthalten.</w:t>
      </w:r>
    </w:p>
    <w:p w14:paraId="4076E63B" w14:textId="77777777" w:rsidR="0028739C" w:rsidRPr="00C20C76" w:rsidRDefault="0028739C" w:rsidP="00167246">
      <w:pPr>
        <w:keepNext/>
        <w:rPr>
          <w:lang w:val="de-DE"/>
        </w:rPr>
      </w:pPr>
    </w:p>
    <w:p w14:paraId="2C6B2A85" w14:textId="6CBFF30E" w:rsidR="0028739C" w:rsidRPr="00C20C76" w:rsidRDefault="0028739C"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TWC nahm die Entwicklungen bezüglich der Software zur Kenntnis und nahm zur Kenntnis, </w:t>
      </w:r>
      <w:r w:rsidR="00EA4930" w:rsidRPr="00C20C76">
        <w:rPr>
          <w:lang w:val="de-DE"/>
        </w:rPr>
        <w:t>dass</w:t>
      </w:r>
      <w:r w:rsidRPr="00C20C76">
        <w:rPr>
          <w:lang w:val="de-DE"/>
        </w:rPr>
        <w:t xml:space="preserve"> ein Benutzerhandbuch erstellt w</w:t>
      </w:r>
      <w:r w:rsidR="00402E8F">
        <w:rPr>
          <w:lang w:val="de-DE"/>
        </w:rPr>
        <w:t>ü</w:t>
      </w:r>
      <w:r w:rsidRPr="00C20C76">
        <w:rPr>
          <w:lang w:val="de-DE"/>
        </w:rPr>
        <w:t xml:space="preserve">rde. Die TWC vereinbarte, </w:t>
      </w:r>
      <w:r w:rsidR="00EA4930" w:rsidRPr="00C20C76">
        <w:rPr>
          <w:lang w:val="de-DE"/>
        </w:rPr>
        <w:t>dass</w:t>
      </w:r>
      <w:r w:rsidRPr="00C20C76">
        <w:rPr>
          <w:lang w:val="de-DE"/>
        </w:rPr>
        <w:t xml:space="preserve"> interessierte Sachverständige sich für eine </w:t>
      </w:r>
      <w:r w:rsidR="00402E8F">
        <w:rPr>
          <w:lang w:val="de-DE"/>
        </w:rPr>
        <w:t>Sitzung</w:t>
      </w:r>
      <w:r w:rsidR="002D60CB">
        <w:rPr>
          <w:lang w:val="de-DE"/>
        </w:rPr>
        <w:t xml:space="preserve"> zur Vorführung</w:t>
      </w:r>
      <w:r w:rsidRPr="00C20C76">
        <w:rPr>
          <w:lang w:val="de-DE"/>
        </w:rPr>
        <w:t xml:space="preserve"> an China wenden sollten.</w:t>
      </w:r>
    </w:p>
    <w:p w14:paraId="264AF5ED" w14:textId="77777777" w:rsidR="0028739C" w:rsidRPr="00C20C76" w:rsidRDefault="0028739C" w:rsidP="00167246">
      <w:pPr>
        <w:keepNext/>
        <w:rPr>
          <w:lang w:val="de-DE"/>
        </w:rPr>
      </w:pPr>
    </w:p>
    <w:p w14:paraId="24C95520" w14:textId="7468B56C" w:rsidR="007A5CA0" w:rsidRPr="00C20C76" w:rsidRDefault="0028739C"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TWC nahm das Angebot Chinas </w:t>
      </w:r>
      <w:r w:rsidR="009243C0">
        <w:rPr>
          <w:lang w:val="de-DE"/>
        </w:rPr>
        <w:t>zur</w:t>
      </w:r>
      <w:r w:rsidRPr="00C20C76">
        <w:rPr>
          <w:lang w:val="de-DE"/>
        </w:rPr>
        <w:t xml:space="preserve"> künftige</w:t>
      </w:r>
      <w:r w:rsidR="009243C0">
        <w:rPr>
          <w:lang w:val="de-DE"/>
        </w:rPr>
        <w:t>n</w:t>
      </w:r>
      <w:r w:rsidRPr="00C20C76">
        <w:rPr>
          <w:lang w:val="de-DE"/>
        </w:rPr>
        <w:t xml:space="preserve"> Aufnahme der Software DUSCEL 2.0 in das Dokument UPOV/INF/16 </w:t>
      </w:r>
      <w:r w:rsidR="00E9222D" w:rsidRPr="00C20C76">
        <w:rPr>
          <w:lang w:val="de-DE"/>
        </w:rPr>
        <w:t>„</w:t>
      </w:r>
      <w:r w:rsidRPr="00C20C76">
        <w:rPr>
          <w:lang w:val="de-DE"/>
        </w:rPr>
        <w:t>Austauschbare Software</w:t>
      </w:r>
      <w:r w:rsidR="00E9222D" w:rsidRPr="00C20C76">
        <w:rPr>
          <w:lang w:val="de-DE"/>
        </w:rPr>
        <w:t xml:space="preserve">“ </w:t>
      </w:r>
      <w:r w:rsidRPr="00C20C76">
        <w:rPr>
          <w:lang w:val="de-DE"/>
        </w:rPr>
        <w:t>zur Kenntnis.</w:t>
      </w:r>
    </w:p>
    <w:p w14:paraId="5AD35FCD" w14:textId="77777777" w:rsidR="007A5CA0" w:rsidRPr="00C20C76" w:rsidRDefault="007A5CA0" w:rsidP="00167246">
      <w:pPr>
        <w:rPr>
          <w:lang w:val="de-DE"/>
        </w:rPr>
      </w:pPr>
    </w:p>
    <w:p w14:paraId="7A0F17A2" w14:textId="77777777" w:rsidR="007A5CA0" w:rsidRPr="00C20C76" w:rsidRDefault="007A5CA0" w:rsidP="00167246">
      <w:pPr>
        <w:rPr>
          <w:lang w:val="de-DE"/>
        </w:rPr>
      </w:pPr>
    </w:p>
    <w:p w14:paraId="300A8BBA" w14:textId="57E11F7C" w:rsidR="0028739C" w:rsidRPr="00C20C76" w:rsidRDefault="008B44FC" w:rsidP="00167246">
      <w:pPr>
        <w:pStyle w:val="Heading2"/>
        <w:rPr>
          <w:lang w:val="de-DE"/>
        </w:rPr>
      </w:pPr>
      <w:bookmarkStart w:id="21" w:name="_Toc54170633"/>
      <w:r w:rsidRPr="00C20C76">
        <w:rPr>
          <w:snapToGrid w:val="0"/>
          <w:lang w:val="de-DE"/>
        </w:rPr>
        <w:t>Instrumente</w:t>
      </w:r>
      <w:r w:rsidR="0028739C" w:rsidRPr="00C20C76">
        <w:rPr>
          <w:snapToGrid w:val="0"/>
          <w:lang w:val="de-DE"/>
        </w:rPr>
        <w:t xml:space="preserve"> und </w:t>
      </w:r>
      <w:r w:rsidR="001E02EC" w:rsidRPr="00C20C76">
        <w:rPr>
          <w:snapToGrid w:val="0"/>
          <w:lang w:val="de-DE"/>
        </w:rPr>
        <w:t>Methoden</w:t>
      </w:r>
      <w:r w:rsidR="0028739C" w:rsidRPr="00C20C76">
        <w:rPr>
          <w:snapToGrid w:val="0"/>
          <w:lang w:val="de-DE"/>
        </w:rPr>
        <w:t xml:space="preserve"> für die DUS-Prüfung</w:t>
      </w:r>
      <w:bookmarkEnd w:id="21"/>
      <w:r w:rsidR="0028739C" w:rsidRPr="00C20C76">
        <w:rPr>
          <w:snapToGrid w:val="0"/>
          <w:lang w:val="de-DE"/>
        </w:rPr>
        <w:t xml:space="preserve"> </w:t>
      </w:r>
    </w:p>
    <w:p w14:paraId="1F9F2B60" w14:textId="77777777" w:rsidR="0028739C" w:rsidRPr="00C20C76" w:rsidRDefault="0028739C" w:rsidP="00167246">
      <w:pPr>
        <w:rPr>
          <w:lang w:val="de-DE"/>
        </w:rPr>
      </w:pPr>
    </w:p>
    <w:p w14:paraId="384FBC52" w14:textId="03D44433" w:rsidR="0028739C" w:rsidRPr="00C20C76" w:rsidRDefault="00B608F4" w:rsidP="00167246">
      <w:pPr>
        <w:pStyle w:val="Heading3"/>
        <w:rPr>
          <w:lang w:val="de-DE"/>
        </w:rPr>
      </w:pPr>
      <w:r w:rsidRPr="00C20C76">
        <w:rPr>
          <w:lang w:val="de-DE"/>
        </w:rPr>
        <w:t>Referat</w:t>
      </w:r>
      <w:r w:rsidR="0028739C" w:rsidRPr="00C20C76">
        <w:rPr>
          <w:lang w:val="de-DE"/>
        </w:rPr>
        <w:t xml:space="preserve"> </w:t>
      </w:r>
      <w:r w:rsidR="00C20C76" w:rsidRPr="00C20C76">
        <w:rPr>
          <w:lang w:val="de-DE"/>
        </w:rPr>
        <w:t xml:space="preserve">über </w:t>
      </w:r>
      <w:r w:rsidR="002D60CB">
        <w:rPr>
          <w:lang w:val="de-DE"/>
        </w:rPr>
        <w:t>die PATHOSTAT-Anwendung</w:t>
      </w:r>
    </w:p>
    <w:p w14:paraId="65F86356" w14:textId="77777777" w:rsidR="0028739C" w:rsidRPr="00C20C76" w:rsidRDefault="0028739C" w:rsidP="00167246">
      <w:pPr>
        <w:rPr>
          <w:lang w:val="de-DE"/>
        </w:rPr>
      </w:pPr>
    </w:p>
    <w:p w14:paraId="0507DA60" w14:textId="6B0E40EA" w:rsidR="0028739C" w:rsidRPr="00C20C76" w:rsidRDefault="0028739C"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TWC</w:t>
      </w:r>
      <w:r w:rsidRPr="00C20C76">
        <w:rPr>
          <w:rStyle w:val="FootnoteReference"/>
          <w:snapToGrid w:val="0"/>
          <w:lang w:val="de-DE"/>
        </w:rPr>
        <w:footnoteReference w:id="27"/>
      </w:r>
      <w:r w:rsidR="007F7D0B" w:rsidRPr="00C20C76">
        <w:rPr>
          <w:lang w:val="de-DE"/>
        </w:rPr>
        <w:t xml:space="preserve"> </w:t>
      </w:r>
      <w:r w:rsidRPr="00C20C76">
        <w:rPr>
          <w:lang w:val="de-DE"/>
        </w:rPr>
        <w:t xml:space="preserve">prüfte das Dokument TWC/38/7 und hörte ein Referat über </w:t>
      </w:r>
      <w:r w:rsidR="002D60CB">
        <w:rPr>
          <w:lang w:val="de-DE"/>
        </w:rPr>
        <w:t>die</w:t>
      </w:r>
      <w:r w:rsidR="002D60CB" w:rsidRPr="00C20C76">
        <w:rPr>
          <w:lang w:val="de-DE"/>
        </w:rPr>
        <w:t xml:space="preserve"> </w:t>
      </w:r>
      <w:r w:rsidR="002D60CB">
        <w:rPr>
          <w:lang w:val="de-DE"/>
        </w:rPr>
        <w:t>PATHOSTAT-Anwendung</w:t>
      </w:r>
      <w:r w:rsidRPr="00C20C76">
        <w:rPr>
          <w:lang w:val="de-DE"/>
        </w:rPr>
        <w:t xml:space="preserve"> von einem Sachverständigen aus Frankreich. Eine </w:t>
      </w:r>
      <w:r w:rsidR="007F7D0B" w:rsidRPr="00C20C76">
        <w:rPr>
          <w:lang w:val="de-DE"/>
        </w:rPr>
        <w:t>Abschrift des Referats</w:t>
      </w:r>
      <w:r w:rsidRPr="00C20C76">
        <w:rPr>
          <w:lang w:val="de-DE"/>
        </w:rPr>
        <w:t xml:space="preserve"> ist in Dokument TWC/38/7 zusammen mit einem Benutzerhandbuch für </w:t>
      </w:r>
      <w:r w:rsidR="002D60CB">
        <w:rPr>
          <w:lang w:val="de-DE"/>
        </w:rPr>
        <w:t>die Anwendung</w:t>
      </w:r>
      <w:r w:rsidRPr="00C20C76">
        <w:rPr>
          <w:lang w:val="de-DE"/>
        </w:rPr>
        <w:t xml:space="preserve"> enthalten (vergleiche Dokument TWC/38/11 </w:t>
      </w:r>
      <w:r w:rsidR="00245163" w:rsidRPr="00C20C76">
        <w:rPr>
          <w:rFonts w:cs="Arial"/>
          <w:lang w:val="de-DE"/>
        </w:rPr>
        <w:t xml:space="preserve">„Report“, </w:t>
      </w:r>
      <w:r w:rsidRPr="00C20C76">
        <w:rPr>
          <w:lang w:val="de-DE"/>
        </w:rPr>
        <w:t>Absätze 51 bis 58).</w:t>
      </w:r>
    </w:p>
    <w:p w14:paraId="19513938" w14:textId="77777777" w:rsidR="0028739C" w:rsidRPr="00C20C76" w:rsidRDefault="0028739C" w:rsidP="00167246">
      <w:pPr>
        <w:rPr>
          <w:lang w:val="de-DE"/>
        </w:rPr>
      </w:pPr>
    </w:p>
    <w:p w14:paraId="5C0CD07D" w14:textId="777ECF36" w:rsidR="0028739C" w:rsidRPr="00C20C76" w:rsidRDefault="0028739C"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TWC nahm zur Kenntnis, da</w:t>
      </w:r>
      <w:r w:rsidR="007F7D0B" w:rsidRPr="00C20C76">
        <w:rPr>
          <w:lang w:val="de-DE"/>
        </w:rPr>
        <w:t>ss</w:t>
      </w:r>
      <w:r w:rsidRPr="00C20C76">
        <w:rPr>
          <w:lang w:val="de-DE"/>
        </w:rPr>
        <w:t xml:space="preserve"> </w:t>
      </w:r>
      <w:r w:rsidR="002D60CB">
        <w:rPr>
          <w:lang w:val="de-DE"/>
        </w:rPr>
        <w:t>die Anwendung</w:t>
      </w:r>
      <w:r w:rsidRPr="00C20C76">
        <w:rPr>
          <w:lang w:val="de-DE"/>
        </w:rPr>
        <w:t xml:space="preserve"> zum Herunterladen zur Verfügung stehe</w:t>
      </w:r>
      <w:r w:rsidR="00C144F8">
        <w:rPr>
          <w:lang w:val="de-DE"/>
        </w:rPr>
        <w:t>,</w:t>
      </w:r>
      <w:r w:rsidR="00C20C76" w:rsidRPr="00C20C76">
        <w:rPr>
          <w:lang w:val="de-DE"/>
        </w:rPr>
        <w:t xml:space="preserve"> </w:t>
      </w:r>
      <w:r w:rsidRPr="00C20C76">
        <w:rPr>
          <w:lang w:val="de-DE"/>
        </w:rPr>
        <w:t>und vereinbarte</w:t>
      </w:r>
      <w:r w:rsidR="002D60CB">
        <w:rPr>
          <w:lang w:val="de-DE"/>
        </w:rPr>
        <w:t>,</w:t>
      </w:r>
      <w:r w:rsidRPr="00C20C76">
        <w:rPr>
          <w:lang w:val="de-DE"/>
        </w:rPr>
        <w:t xml:space="preserve"> die Teilnehmer </w:t>
      </w:r>
      <w:r w:rsidR="000F48DC" w:rsidRPr="00C20C76">
        <w:rPr>
          <w:lang w:val="de-DE"/>
        </w:rPr>
        <w:t>zu ersuchen</w:t>
      </w:r>
      <w:r w:rsidRPr="00C20C76">
        <w:rPr>
          <w:lang w:val="de-DE"/>
        </w:rPr>
        <w:t>, sich mit dem Sachverständigen aus Frankreich zwecks Zusammenarbeit und Verwendung</w:t>
      </w:r>
      <w:r w:rsidR="002D60CB">
        <w:rPr>
          <w:lang w:val="de-DE"/>
        </w:rPr>
        <w:t xml:space="preserve"> der Anwendung</w:t>
      </w:r>
      <w:r w:rsidRPr="00C20C76">
        <w:rPr>
          <w:lang w:val="de-DE"/>
        </w:rPr>
        <w:t xml:space="preserve"> in Verbindung zu setzen.</w:t>
      </w:r>
    </w:p>
    <w:p w14:paraId="72A73F9F" w14:textId="77777777" w:rsidR="0028739C" w:rsidRPr="00C20C76" w:rsidRDefault="0028739C" w:rsidP="00167246">
      <w:pPr>
        <w:rPr>
          <w:lang w:val="de-DE"/>
        </w:rPr>
      </w:pPr>
    </w:p>
    <w:p w14:paraId="1540AC67" w14:textId="7CE8A373" w:rsidR="0028739C" w:rsidRPr="00C20C76" w:rsidRDefault="0028739C" w:rsidP="00167246">
      <w:pPr>
        <w:pStyle w:val="Heading3"/>
        <w:rPr>
          <w:lang w:val="de-DE"/>
        </w:rPr>
      </w:pPr>
      <w:r w:rsidRPr="00C20C76">
        <w:rPr>
          <w:lang w:val="de-DE"/>
        </w:rPr>
        <w:t xml:space="preserve">Vergleich der Ergebnisse, die für COYD- und COYU-Verfahren </w:t>
      </w:r>
      <w:r w:rsidR="00402E8F">
        <w:rPr>
          <w:lang w:val="de-DE"/>
        </w:rPr>
        <w:t>unter Verwendung</w:t>
      </w:r>
      <w:r w:rsidRPr="00C20C76">
        <w:rPr>
          <w:lang w:val="de-DE"/>
        </w:rPr>
        <w:t xml:space="preserve"> unterschiedlicher Software erzielt wurden</w:t>
      </w:r>
    </w:p>
    <w:p w14:paraId="6D22A5C9" w14:textId="77777777" w:rsidR="0028739C" w:rsidRPr="00C20C76" w:rsidRDefault="0028739C" w:rsidP="00167246">
      <w:pPr>
        <w:rPr>
          <w:lang w:val="de-DE"/>
        </w:rPr>
      </w:pPr>
    </w:p>
    <w:p w14:paraId="653EFCF7" w14:textId="77777777" w:rsidR="0028739C" w:rsidRPr="00C20C76" w:rsidRDefault="0028739C"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TWC prüfte das Dokument TWC/38/8 Rev.</w:t>
      </w:r>
    </w:p>
    <w:p w14:paraId="3C7B6DC4" w14:textId="77777777" w:rsidR="0028739C" w:rsidRPr="00C20C76" w:rsidRDefault="0028739C" w:rsidP="00167246">
      <w:pPr>
        <w:rPr>
          <w:lang w:val="de-DE"/>
        </w:rPr>
      </w:pPr>
    </w:p>
    <w:p w14:paraId="662ED077" w14:textId="77777777" w:rsidR="0028739C" w:rsidRPr="00C20C76" w:rsidRDefault="0028739C" w:rsidP="008779F9">
      <w:pPr>
        <w:pStyle w:val="Heading4"/>
        <w:ind w:left="0"/>
        <w:rPr>
          <w:lang w:val="de-DE"/>
        </w:rPr>
      </w:pPr>
      <w:r w:rsidRPr="00C20C76">
        <w:rPr>
          <w:lang w:val="de-DE"/>
        </w:rPr>
        <w:t>Ein gemeinsamer Datensatz für den Vergleich von Software für COYD und COYU</w:t>
      </w:r>
    </w:p>
    <w:p w14:paraId="2D006463" w14:textId="77777777" w:rsidR="0028739C" w:rsidRPr="00C20C76" w:rsidRDefault="0028739C" w:rsidP="00167246">
      <w:pPr>
        <w:rPr>
          <w:lang w:val="de-DE"/>
        </w:rPr>
      </w:pPr>
    </w:p>
    <w:p w14:paraId="0317E6D0" w14:textId="3F5E0F6D" w:rsidR="0028739C" w:rsidRPr="00C20C76" w:rsidRDefault="0028739C"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TWC prüfte das Dokument </w:t>
      </w:r>
      <w:r w:rsidR="00C20C76" w:rsidRPr="00C20C76">
        <w:rPr>
          <w:lang w:val="de-DE"/>
        </w:rPr>
        <w:t>„</w:t>
      </w:r>
      <w:r w:rsidRPr="00C20C76">
        <w:rPr>
          <w:lang w:val="de-DE"/>
        </w:rPr>
        <w:t xml:space="preserve">Ein gemeinsamer Datensatz für den Vergleich </w:t>
      </w:r>
      <w:r w:rsidR="009243C0">
        <w:rPr>
          <w:lang w:val="de-DE"/>
        </w:rPr>
        <w:t>von</w:t>
      </w:r>
      <w:r w:rsidRPr="00C20C76">
        <w:rPr>
          <w:lang w:val="de-DE"/>
        </w:rPr>
        <w:t xml:space="preserve"> Software für COYD und COYU</w:t>
      </w:r>
      <w:r w:rsidR="00C20C76" w:rsidRPr="00C20C76">
        <w:rPr>
          <w:lang w:val="de-DE"/>
        </w:rPr>
        <w:t>“</w:t>
      </w:r>
      <w:r w:rsidRPr="00C20C76">
        <w:rPr>
          <w:lang w:val="de-DE"/>
        </w:rPr>
        <w:t xml:space="preserve">, von dem eine </w:t>
      </w:r>
      <w:r w:rsidR="000963EC" w:rsidRPr="00C20C76">
        <w:rPr>
          <w:lang w:val="de-DE"/>
        </w:rPr>
        <w:t xml:space="preserve">Abschrift </w:t>
      </w:r>
      <w:r w:rsidRPr="00C20C76">
        <w:rPr>
          <w:lang w:val="de-DE"/>
        </w:rPr>
        <w:t>in Dokument TWC/38/8 Rev., Anlagen I und III, enthalten ist.</w:t>
      </w:r>
    </w:p>
    <w:p w14:paraId="46FE598F" w14:textId="77777777" w:rsidR="0028739C" w:rsidRPr="00C20C76" w:rsidRDefault="0028739C" w:rsidP="00167246">
      <w:pPr>
        <w:rPr>
          <w:lang w:val="de-DE"/>
        </w:rPr>
      </w:pPr>
    </w:p>
    <w:p w14:paraId="26BE8BEF" w14:textId="557FEA3A" w:rsidR="0028739C" w:rsidRPr="00C20C76" w:rsidRDefault="0028739C" w:rsidP="00167246">
      <w:pPr>
        <w:rPr>
          <w:rFonts w:eastAsia="Calibri"/>
          <w:lang w:val="de-DE"/>
        </w:rPr>
      </w:pPr>
      <w:r w:rsidRPr="00C20C76">
        <w:rPr>
          <w:rFonts w:eastAsia="Calibri"/>
          <w:lang w:val="de-DE"/>
        </w:rPr>
        <w:fldChar w:fldCharType="begin"/>
      </w:r>
      <w:r w:rsidRPr="00C20C76">
        <w:rPr>
          <w:rFonts w:eastAsia="Calibri"/>
          <w:lang w:val="de-DE"/>
        </w:rPr>
        <w:instrText xml:space="preserve"> AUTONUM  </w:instrText>
      </w:r>
      <w:r w:rsidRPr="00C20C76">
        <w:rPr>
          <w:rFonts w:eastAsia="Calibri"/>
          <w:lang w:val="de-DE"/>
        </w:rPr>
        <w:fldChar w:fldCharType="end"/>
      </w:r>
      <w:r w:rsidRPr="00C20C76">
        <w:rPr>
          <w:rFonts w:eastAsia="Calibri"/>
          <w:lang w:val="de-DE"/>
        </w:rPr>
        <w:tab/>
        <w:t xml:space="preserve">Die TWC dankte den Sachverständigen aus dem Vereinigten Königreich für die Bereitstellung eines gemeinsamen Datensatzes, der Vergleiche der Software für COYD </w:t>
      </w:r>
      <w:r w:rsidR="00402E8F">
        <w:rPr>
          <w:rFonts w:eastAsia="Calibri"/>
          <w:lang w:val="de-DE"/>
        </w:rPr>
        <w:t>und</w:t>
      </w:r>
      <w:r w:rsidRPr="00C20C76">
        <w:rPr>
          <w:rFonts w:eastAsia="Calibri"/>
          <w:lang w:val="de-DE"/>
        </w:rPr>
        <w:t xml:space="preserve"> auch für COYU ermöglicht, wie in einer Excel-Datei auf der </w:t>
      </w:r>
      <w:r w:rsidR="00402E8F">
        <w:rPr>
          <w:rFonts w:eastAsia="Calibri"/>
          <w:lang w:val="de-DE"/>
        </w:rPr>
        <w:t>Webseite</w:t>
      </w:r>
      <w:r w:rsidRPr="00C20C76">
        <w:rPr>
          <w:rFonts w:eastAsia="Calibri"/>
          <w:lang w:val="de-DE"/>
        </w:rPr>
        <w:t xml:space="preserve"> </w:t>
      </w:r>
      <w:r w:rsidR="007B7013" w:rsidRPr="00C20C76">
        <w:rPr>
          <w:rFonts w:eastAsia="Calibri"/>
          <w:lang w:val="de-DE"/>
        </w:rPr>
        <w:t>TWC/38</w:t>
      </w:r>
      <w:r w:rsidR="007B7013">
        <w:rPr>
          <w:rFonts w:eastAsia="Calibri"/>
          <w:lang w:val="de-DE"/>
        </w:rPr>
        <w:t xml:space="preserve"> </w:t>
      </w:r>
      <w:r w:rsidR="00E154AB">
        <w:rPr>
          <w:rFonts w:eastAsia="Calibri"/>
          <w:lang w:val="de-DE"/>
        </w:rPr>
        <w:t>dargelegt</w:t>
      </w:r>
      <w:r w:rsidRPr="00C20C76">
        <w:rPr>
          <w:rFonts w:eastAsia="Calibri"/>
          <w:lang w:val="de-DE"/>
        </w:rPr>
        <w:t>.</w:t>
      </w:r>
    </w:p>
    <w:p w14:paraId="770B1727" w14:textId="77777777" w:rsidR="0028739C" w:rsidRPr="00C20C76" w:rsidRDefault="0028739C" w:rsidP="00167246">
      <w:pPr>
        <w:rPr>
          <w:rFonts w:eastAsia="Calibri"/>
          <w:lang w:val="de-DE"/>
        </w:rPr>
      </w:pPr>
    </w:p>
    <w:p w14:paraId="7F84305F" w14:textId="368DCFBE" w:rsidR="0028739C" w:rsidRPr="00C20C76" w:rsidRDefault="0028739C" w:rsidP="00167246">
      <w:pPr>
        <w:rPr>
          <w:rFonts w:eastAsia="Calibri"/>
          <w:lang w:val="de-DE"/>
        </w:rPr>
      </w:pPr>
      <w:r w:rsidRPr="00C20C76">
        <w:rPr>
          <w:rFonts w:eastAsia="Calibri"/>
          <w:lang w:val="de-DE"/>
        </w:rPr>
        <w:fldChar w:fldCharType="begin"/>
      </w:r>
      <w:r w:rsidRPr="00C20C76">
        <w:rPr>
          <w:rFonts w:eastAsia="Calibri"/>
          <w:lang w:val="de-DE"/>
        </w:rPr>
        <w:instrText xml:space="preserve"> AUTONUM  </w:instrText>
      </w:r>
      <w:r w:rsidRPr="00C20C76">
        <w:rPr>
          <w:rFonts w:eastAsia="Calibri"/>
          <w:lang w:val="de-DE"/>
        </w:rPr>
        <w:fldChar w:fldCharType="end"/>
      </w:r>
      <w:r w:rsidRPr="00C20C76">
        <w:rPr>
          <w:rFonts w:eastAsia="Calibri"/>
          <w:lang w:val="de-DE"/>
        </w:rPr>
        <w:tab/>
        <w:t xml:space="preserve">Die TWC </w:t>
      </w:r>
      <w:r w:rsidR="002D60CB">
        <w:rPr>
          <w:rFonts w:eastAsia="Calibri"/>
          <w:lang w:val="de-DE"/>
        </w:rPr>
        <w:t xml:space="preserve">vereinbarte, </w:t>
      </w:r>
      <w:r w:rsidRPr="00C20C76">
        <w:rPr>
          <w:rFonts w:eastAsia="Calibri"/>
          <w:lang w:val="de-DE"/>
        </w:rPr>
        <w:t xml:space="preserve">die Teilnehmer </w:t>
      </w:r>
      <w:r w:rsidR="000F48DC" w:rsidRPr="00C20C76">
        <w:rPr>
          <w:rFonts w:eastAsia="Calibri"/>
          <w:lang w:val="de-DE"/>
        </w:rPr>
        <w:t>zu ersuchen</w:t>
      </w:r>
      <w:r w:rsidRPr="00C20C76">
        <w:rPr>
          <w:rFonts w:eastAsia="Calibri"/>
          <w:lang w:val="de-DE"/>
        </w:rPr>
        <w:t xml:space="preserve">, COYD- und COYU-Prüfungen unter Verwendung der vom Vereinigten Königreich vorgelegten Dreijahresdaten mit Wahrscheinlichkeitsniveaus von 0,01 für COYD und 0,001 für COYU (oder 0,003 </w:t>
      </w:r>
      <w:r w:rsidR="002D60CB">
        <w:rPr>
          <w:rFonts w:eastAsia="Calibri"/>
          <w:lang w:val="de-DE"/>
        </w:rPr>
        <w:t>für die</w:t>
      </w:r>
      <w:r w:rsidRPr="00C20C76">
        <w:rPr>
          <w:rFonts w:eastAsia="Calibri"/>
          <w:lang w:val="de-DE"/>
        </w:rPr>
        <w:t xml:space="preserve"> neue Version von COYU) durchzuführen.</w:t>
      </w:r>
    </w:p>
    <w:p w14:paraId="0D409A6F" w14:textId="77777777" w:rsidR="0028739C" w:rsidRPr="00C20C76" w:rsidRDefault="0028739C" w:rsidP="00167246">
      <w:pPr>
        <w:rPr>
          <w:rFonts w:eastAsia="Calibri"/>
          <w:lang w:val="de-DE"/>
        </w:rPr>
      </w:pPr>
    </w:p>
    <w:p w14:paraId="027159C9" w14:textId="01490DA8" w:rsidR="0028739C" w:rsidRPr="00C20C76" w:rsidRDefault="0028739C" w:rsidP="00167246">
      <w:pPr>
        <w:rPr>
          <w:rFonts w:eastAsia="Calibri"/>
          <w:lang w:val="de-DE"/>
        </w:rPr>
      </w:pPr>
      <w:r w:rsidRPr="00C20C76">
        <w:rPr>
          <w:rFonts w:eastAsia="Calibri"/>
          <w:lang w:val="de-DE"/>
        </w:rPr>
        <w:fldChar w:fldCharType="begin"/>
      </w:r>
      <w:r w:rsidRPr="00C20C76">
        <w:rPr>
          <w:rFonts w:eastAsia="Calibri"/>
          <w:lang w:val="de-DE"/>
        </w:rPr>
        <w:instrText xml:space="preserve"> AUTONUM  </w:instrText>
      </w:r>
      <w:r w:rsidRPr="00C20C76">
        <w:rPr>
          <w:rFonts w:eastAsia="Calibri"/>
          <w:lang w:val="de-DE"/>
        </w:rPr>
        <w:fldChar w:fldCharType="end"/>
      </w:r>
      <w:r w:rsidRPr="00C20C76">
        <w:rPr>
          <w:rFonts w:eastAsia="Calibri"/>
          <w:lang w:val="de-DE"/>
        </w:rPr>
        <w:tab/>
        <w:t xml:space="preserve">Die TWC nahm die Interessenbekundungen der Sachverständigen aus China, Frankreich, Kenia und dem Vereinigten Königreich zur Kenntnis, am Vergleich von Software </w:t>
      </w:r>
      <w:r w:rsidR="002D60CB">
        <w:rPr>
          <w:rFonts w:eastAsia="Calibri"/>
          <w:lang w:val="de-DE"/>
        </w:rPr>
        <w:t>mitzuwirken</w:t>
      </w:r>
      <w:r w:rsidRPr="00C20C76">
        <w:rPr>
          <w:rFonts w:eastAsia="Calibri"/>
          <w:lang w:val="de-DE"/>
        </w:rPr>
        <w:t xml:space="preserve">. Die TWC </w:t>
      </w:r>
      <w:r w:rsidR="002D60CB">
        <w:rPr>
          <w:rFonts w:eastAsia="Calibri"/>
          <w:lang w:val="de-DE"/>
        </w:rPr>
        <w:t xml:space="preserve">vereinbarte, </w:t>
      </w:r>
      <w:r w:rsidRPr="00C20C76">
        <w:rPr>
          <w:rFonts w:eastAsia="Calibri"/>
          <w:lang w:val="de-DE"/>
        </w:rPr>
        <w:t xml:space="preserve">den Sachverständigen aus Frankreich </w:t>
      </w:r>
      <w:r w:rsidR="000F48DC" w:rsidRPr="00C20C76">
        <w:rPr>
          <w:rFonts w:eastAsia="Calibri"/>
          <w:lang w:val="de-DE"/>
        </w:rPr>
        <w:t>zu ersuchen</w:t>
      </w:r>
      <w:r w:rsidRPr="00C20C76">
        <w:rPr>
          <w:rFonts w:eastAsia="Calibri"/>
          <w:lang w:val="de-DE"/>
        </w:rPr>
        <w:t xml:space="preserve">, den Vergleich von Software zu koordinieren und der TWC auf ihrer neununddreißigsten Tagung </w:t>
      </w:r>
      <w:r w:rsidR="007B7013">
        <w:rPr>
          <w:rFonts w:eastAsia="Calibri"/>
          <w:lang w:val="de-DE"/>
        </w:rPr>
        <w:t>Bericht zu erstatten</w:t>
      </w:r>
      <w:r w:rsidRPr="00C20C76">
        <w:rPr>
          <w:rFonts w:eastAsia="Calibri"/>
          <w:lang w:val="de-DE"/>
        </w:rPr>
        <w:t>.</w:t>
      </w:r>
    </w:p>
    <w:p w14:paraId="518E361B" w14:textId="77777777" w:rsidR="0028739C" w:rsidRPr="00C20C76" w:rsidRDefault="0028739C" w:rsidP="00167246">
      <w:pPr>
        <w:rPr>
          <w:lang w:val="de-DE"/>
        </w:rPr>
      </w:pPr>
    </w:p>
    <w:p w14:paraId="57BE8B97" w14:textId="32AE1115" w:rsidR="0028739C" w:rsidRPr="00C20C76" w:rsidRDefault="00E154AB" w:rsidP="008779F9">
      <w:pPr>
        <w:pStyle w:val="Heading4"/>
        <w:ind w:left="0"/>
        <w:rPr>
          <w:lang w:val="de-DE"/>
        </w:rPr>
      </w:pPr>
      <w:r w:rsidRPr="00C20C76">
        <w:rPr>
          <w:lang w:val="de-DE"/>
        </w:rPr>
        <w:t>Ergebnis von COYD und COYU</w:t>
      </w:r>
      <w:r w:rsidR="001124F0">
        <w:rPr>
          <w:lang w:val="de-DE"/>
        </w:rPr>
        <w:t>,</w:t>
      </w:r>
      <w:r>
        <w:rPr>
          <w:lang w:val="de-DE"/>
        </w:rPr>
        <w:t xml:space="preserve"> berechnet </w:t>
      </w:r>
      <w:r w:rsidR="001124F0">
        <w:rPr>
          <w:lang w:val="de-DE"/>
        </w:rPr>
        <w:t>mit</w:t>
      </w:r>
      <w:r w:rsidRPr="00C20C76">
        <w:rPr>
          <w:lang w:val="de-DE"/>
        </w:rPr>
        <w:t xml:space="preserve"> der Software DUSCEL 2.0</w:t>
      </w:r>
    </w:p>
    <w:p w14:paraId="43FE1245" w14:textId="77777777" w:rsidR="0028739C" w:rsidRPr="00C20C76" w:rsidRDefault="0028739C" w:rsidP="00167246">
      <w:pPr>
        <w:rPr>
          <w:lang w:val="de-DE"/>
        </w:rPr>
      </w:pPr>
    </w:p>
    <w:p w14:paraId="050FC8EC" w14:textId="79D5E942" w:rsidR="0028739C" w:rsidRPr="00C20C76" w:rsidRDefault="0028739C"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TWC hörte ein Referat </w:t>
      </w:r>
      <w:r w:rsidR="00E154AB">
        <w:rPr>
          <w:lang w:val="de-DE"/>
        </w:rPr>
        <w:t>von einem</w:t>
      </w:r>
      <w:r w:rsidR="00E154AB" w:rsidRPr="00C20C76">
        <w:rPr>
          <w:lang w:val="de-DE"/>
        </w:rPr>
        <w:t xml:space="preserve"> Sachverständigen aus China </w:t>
      </w:r>
      <w:r w:rsidRPr="00C20C76">
        <w:rPr>
          <w:lang w:val="de-DE"/>
        </w:rPr>
        <w:t>über die Ergebnisse von COYU und COYD</w:t>
      </w:r>
      <w:r w:rsidR="001124F0">
        <w:rPr>
          <w:lang w:val="de-DE"/>
        </w:rPr>
        <w:t>, berechnet mit</w:t>
      </w:r>
      <w:r w:rsidR="001124F0" w:rsidRPr="00C20C76">
        <w:rPr>
          <w:lang w:val="de-DE"/>
        </w:rPr>
        <w:t xml:space="preserve"> der Software DUSCEL 2.0</w:t>
      </w:r>
      <w:r w:rsidR="001124F0">
        <w:rPr>
          <w:lang w:val="de-DE"/>
        </w:rPr>
        <w:t xml:space="preserve"> </w:t>
      </w:r>
      <w:r w:rsidR="001124F0" w:rsidRPr="00C20C76">
        <w:rPr>
          <w:lang w:val="de-DE"/>
        </w:rPr>
        <w:t>unter Verwendung des von den Sachverständigen aus dem Vereinigten Königreich bereitgestellten gemeinsamen Datensatz</w:t>
      </w:r>
      <w:r w:rsidR="001124F0">
        <w:rPr>
          <w:lang w:val="de-DE"/>
        </w:rPr>
        <w:t>es</w:t>
      </w:r>
      <w:r w:rsidRPr="00C20C76">
        <w:rPr>
          <w:lang w:val="de-DE"/>
        </w:rPr>
        <w:t xml:space="preserve">. Eine </w:t>
      </w:r>
      <w:r w:rsidR="000963EC" w:rsidRPr="00C20C76">
        <w:rPr>
          <w:lang w:val="de-DE"/>
        </w:rPr>
        <w:t xml:space="preserve">Abschrift </w:t>
      </w:r>
      <w:r w:rsidRPr="00C20C76">
        <w:rPr>
          <w:lang w:val="de-DE"/>
        </w:rPr>
        <w:t>des Referats ist in Dokument TWC/38/8 Rev., Anlagen II und IV, enthalten.</w:t>
      </w:r>
    </w:p>
    <w:p w14:paraId="499BAFC5" w14:textId="77777777" w:rsidR="0028739C" w:rsidRPr="00C20C76" w:rsidRDefault="0028739C" w:rsidP="00167246">
      <w:pPr>
        <w:rPr>
          <w:lang w:val="de-DE"/>
        </w:rPr>
      </w:pPr>
    </w:p>
    <w:p w14:paraId="74B2EE95" w14:textId="77777777" w:rsidR="0028739C" w:rsidRPr="00C20C76" w:rsidRDefault="0028739C" w:rsidP="00167246">
      <w:pPr>
        <w:rPr>
          <w:lang w:val="de-DE"/>
        </w:rPr>
      </w:pPr>
    </w:p>
    <w:p w14:paraId="0F77B80D" w14:textId="6A32ADCE" w:rsidR="0028739C" w:rsidRPr="00C20C76" w:rsidRDefault="008B44FC" w:rsidP="00167246">
      <w:pPr>
        <w:pStyle w:val="Heading2"/>
        <w:rPr>
          <w:lang w:val="de-DE"/>
        </w:rPr>
      </w:pPr>
      <w:bookmarkStart w:id="22" w:name="_Toc54170634"/>
      <w:r w:rsidRPr="00C20C76">
        <w:rPr>
          <w:lang w:val="de-DE"/>
        </w:rPr>
        <w:t>Phänotypenbestimmung</w:t>
      </w:r>
      <w:r w:rsidR="0028739C" w:rsidRPr="00C20C76">
        <w:rPr>
          <w:lang w:val="de-DE"/>
        </w:rPr>
        <w:t xml:space="preserve"> und Bildanalyse</w:t>
      </w:r>
      <w:bookmarkEnd w:id="22"/>
      <w:r w:rsidR="0028739C" w:rsidRPr="00C20C76">
        <w:rPr>
          <w:lang w:val="de-DE"/>
        </w:rPr>
        <w:t xml:space="preserve"> </w:t>
      </w:r>
    </w:p>
    <w:p w14:paraId="7EDC902D" w14:textId="77777777" w:rsidR="0028739C" w:rsidRPr="00C20C76" w:rsidRDefault="0028739C" w:rsidP="00167246">
      <w:pPr>
        <w:rPr>
          <w:lang w:val="de-DE"/>
        </w:rPr>
      </w:pPr>
    </w:p>
    <w:p w14:paraId="6E941D29" w14:textId="58BD4831" w:rsidR="0028739C" w:rsidRPr="00C20C76" w:rsidRDefault="00C144F8" w:rsidP="00167246">
      <w:pPr>
        <w:pStyle w:val="Heading3"/>
        <w:rPr>
          <w:lang w:val="de-DE"/>
        </w:rPr>
      </w:pPr>
      <w:r>
        <w:rPr>
          <w:lang w:val="de-DE"/>
        </w:rPr>
        <w:t>Auf dem Weg</w:t>
      </w:r>
      <w:r w:rsidR="0028739C" w:rsidRPr="00C20C76">
        <w:rPr>
          <w:lang w:val="de-DE"/>
        </w:rPr>
        <w:t xml:space="preserve"> zu numerischen </w:t>
      </w:r>
      <w:r w:rsidR="00402E8F">
        <w:rPr>
          <w:lang w:val="de-DE"/>
        </w:rPr>
        <w:t>Praktiken</w:t>
      </w:r>
      <w:r w:rsidR="0028739C" w:rsidRPr="00C20C76">
        <w:rPr>
          <w:lang w:val="de-DE"/>
        </w:rPr>
        <w:t xml:space="preserve"> bei der Sortenprüfung: </w:t>
      </w:r>
      <w:r w:rsidR="00402E8F">
        <w:rPr>
          <w:lang w:val="de-DE"/>
        </w:rPr>
        <w:t>Ein Prinzip zur</w:t>
      </w:r>
      <w:r w:rsidR="0028739C" w:rsidRPr="00C20C76">
        <w:rPr>
          <w:lang w:val="de-DE"/>
        </w:rPr>
        <w:t xml:space="preserve"> Auswahl der vielversprechendsten Merkmale</w:t>
      </w:r>
    </w:p>
    <w:p w14:paraId="432F8FD3" w14:textId="77777777" w:rsidR="0028739C" w:rsidRPr="00C20C76" w:rsidRDefault="0028739C" w:rsidP="00167246">
      <w:pPr>
        <w:rPr>
          <w:lang w:val="de-DE"/>
        </w:rPr>
      </w:pPr>
    </w:p>
    <w:p w14:paraId="12AD7B14" w14:textId="1A2BB87D" w:rsidR="0028739C" w:rsidRPr="00C20C76" w:rsidRDefault="0028739C" w:rsidP="00167246">
      <w:pPr>
        <w:keepNext/>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Die TWC</w:t>
      </w:r>
      <w:r w:rsidRPr="00C20C76">
        <w:rPr>
          <w:rStyle w:val="FootnoteReference"/>
          <w:snapToGrid w:val="0"/>
          <w:lang w:val="de-DE"/>
        </w:rPr>
        <w:footnoteReference w:id="28"/>
      </w:r>
      <w:r w:rsidR="009432D0">
        <w:rPr>
          <w:lang w:val="de-DE"/>
        </w:rPr>
        <w:t xml:space="preserve"> </w:t>
      </w:r>
      <w:r w:rsidRPr="00C20C76">
        <w:rPr>
          <w:lang w:val="de-DE"/>
        </w:rPr>
        <w:t xml:space="preserve">prüfte das Dokument TWC/38/10 und hörte ein </w:t>
      </w:r>
      <w:r w:rsidRPr="00E154AB">
        <w:rPr>
          <w:lang w:val="de-DE"/>
        </w:rPr>
        <w:t xml:space="preserve">Referat </w:t>
      </w:r>
      <w:r w:rsidR="009432D0" w:rsidRPr="00E154AB">
        <w:rPr>
          <w:lang w:val="de-DE"/>
        </w:rPr>
        <w:t>zum Thema</w:t>
      </w:r>
      <w:r w:rsidRPr="00C20C76">
        <w:rPr>
          <w:lang w:val="de-DE"/>
        </w:rPr>
        <w:t xml:space="preserve"> </w:t>
      </w:r>
      <w:r w:rsidR="009432D0">
        <w:rPr>
          <w:lang w:val="de-DE"/>
        </w:rPr>
        <w:t>„</w:t>
      </w:r>
      <w:r w:rsidR="00C144F8">
        <w:rPr>
          <w:lang w:val="de-DE"/>
        </w:rPr>
        <w:t>Auf dem Weg</w:t>
      </w:r>
      <w:r w:rsidRPr="00C20C76">
        <w:rPr>
          <w:lang w:val="de-DE"/>
        </w:rPr>
        <w:t xml:space="preserve"> zu numerischen </w:t>
      </w:r>
      <w:r w:rsidR="00402E8F">
        <w:rPr>
          <w:lang w:val="de-DE"/>
        </w:rPr>
        <w:t>Praktiken</w:t>
      </w:r>
      <w:r w:rsidRPr="00C20C76">
        <w:rPr>
          <w:lang w:val="de-DE"/>
        </w:rPr>
        <w:t xml:space="preserve"> bei der Sortenprüfung</w:t>
      </w:r>
      <w:r w:rsidR="009432D0">
        <w:rPr>
          <w:lang w:val="de-DE"/>
        </w:rPr>
        <w:t>“</w:t>
      </w:r>
      <w:r w:rsidRPr="00C20C76">
        <w:rPr>
          <w:lang w:val="de-DE"/>
        </w:rPr>
        <w:t xml:space="preserve">: </w:t>
      </w:r>
      <w:r w:rsidR="00402E8F">
        <w:rPr>
          <w:lang w:val="de-DE"/>
        </w:rPr>
        <w:t>Ein Prinzip zur</w:t>
      </w:r>
      <w:r w:rsidRPr="00C20C76">
        <w:rPr>
          <w:lang w:val="de-DE"/>
        </w:rPr>
        <w:t xml:space="preserve"> Auswahl der vielversprechendsten Merkmale</w:t>
      </w:r>
      <w:r w:rsidR="009432D0">
        <w:rPr>
          <w:lang w:val="de-DE"/>
        </w:rPr>
        <w:t>“</w:t>
      </w:r>
      <w:r w:rsidRPr="00C20C76">
        <w:rPr>
          <w:lang w:val="de-DE"/>
        </w:rPr>
        <w:t xml:space="preserve"> von einem Sachverständigen aus Frankreich (vergleiche Dokument TWC/38/11 </w:t>
      </w:r>
      <w:r w:rsidR="00245163" w:rsidRPr="00C20C76">
        <w:rPr>
          <w:rFonts w:cs="Arial"/>
          <w:lang w:val="de-DE"/>
        </w:rPr>
        <w:t xml:space="preserve">„Report“, </w:t>
      </w:r>
      <w:r w:rsidRPr="00C20C76">
        <w:rPr>
          <w:lang w:val="de-DE"/>
        </w:rPr>
        <w:t xml:space="preserve">Absätze 59 und 60). </w:t>
      </w:r>
    </w:p>
    <w:p w14:paraId="2457778C" w14:textId="77777777" w:rsidR="0028739C" w:rsidRPr="00C20C76" w:rsidRDefault="0028739C" w:rsidP="00167246">
      <w:pPr>
        <w:keepNext/>
        <w:rPr>
          <w:lang w:val="de-DE"/>
        </w:rPr>
      </w:pPr>
    </w:p>
    <w:p w14:paraId="4A920210" w14:textId="29243C6E" w:rsidR="007A5CA0" w:rsidRPr="00C20C76" w:rsidRDefault="0028739C" w:rsidP="00167246">
      <w:pPr>
        <w:rPr>
          <w:lang w:val="de-DE"/>
        </w:rPr>
      </w:pPr>
      <w:r w:rsidRPr="00C20C76">
        <w:rPr>
          <w:lang w:val="de-DE"/>
        </w:rPr>
        <w:fldChar w:fldCharType="begin"/>
      </w:r>
      <w:r w:rsidRPr="00C20C76">
        <w:rPr>
          <w:lang w:val="de-DE"/>
        </w:rPr>
        <w:instrText xml:space="preserve"> AUTONUM  </w:instrText>
      </w:r>
      <w:r w:rsidRPr="00C20C76">
        <w:rPr>
          <w:lang w:val="de-DE"/>
        </w:rPr>
        <w:fldChar w:fldCharType="end"/>
      </w:r>
      <w:r w:rsidRPr="00C20C76">
        <w:rPr>
          <w:lang w:val="de-DE"/>
        </w:rPr>
        <w:tab/>
        <w:t xml:space="preserve">Die TWC </w:t>
      </w:r>
      <w:r w:rsidR="002D60CB">
        <w:rPr>
          <w:lang w:val="de-DE"/>
        </w:rPr>
        <w:t xml:space="preserve">vereinbarte, </w:t>
      </w:r>
      <w:r w:rsidRPr="00C20C76">
        <w:rPr>
          <w:lang w:val="de-DE"/>
        </w:rPr>
        <w:t xml:space="preserve">die Sachverständigen aus Frankreich </w:t>
      </w:r>
      <w:r w:rsidR="000F48DC" w:rsidRPr="00C20C76">
        <w:rPr>
          <w:lang w:val="de-DE"/>
        </w:rPr>
        <w:t>zu ersuchen</w:t>
      </w:r>
      <w:r w:rsidRPr="00C20C76">
        <w:rPr>
          <w:lang w:val="de-DE"/>
        </w:rPr>
        <w:t xml:space="preserve">, einen </w:t>
      </w:r>
      <w:r w:rsidR="009432D0">
        <w:rPr>
          <w:lang w:val="de-DE"/>
        </w:rPr>
        <w:t xml:space="preserve">aktuellen </w:t>
      </w:r>
      <w:r w:rsidR="007F7D0B" w:rsidRPr="00C20C76">
        <w:rPr>
          <w:lang w:val="de-DE"/>
        </w:rPr>
        <w:t>Bericht</w:t>
      </w:r>
      <w:r w:rsidRPr="00C20C76">
        <w:rPr>
          <w:lang w:val="de-DE"/>
        </w:rPr>
        <w:t xml:space="preserve"> über die auf der neununddreißigsten Tagung der TWC </w:t>
      </w:r>
      <w:r w:rsidR="007F7D0B" w:rsidRPr="00C20C76">
        <w:rPr>
          <w:lang w:val="de-DE"/>
        </w:rPr>
        <w:t>berichteten</w:t>
      </w:r>
      <w:r w:rsidRPr="00C20C76">
        <w:rPr>
          <w:lang w:val="de-DE"/>
        </w:rPr>
        <w:t xml:space="preserve"> Entwicklungen </w:t>
      </w:r>
      <w:r w:rsidR="00E154AB">
        <w:rPr>
          <w:lang w:val="de-DE"/>
        </w:rPr>
        <w:t>bei</w:t>
      </w:r>
      <w:r w:rsidR="009432D0">
        <w:rPr>
          <w:lang w:val="de-DE"/>
        </w:rPr>
        <w:t xml:space="preserve"> de</w:t>
      </w:r>
      <w:r w:rsidRPr="00C20C76">
        <w:rPr>
          <w:lang w:val="de-DE"/>
        </w:rPr>
        <w:t xml:space="preserve">m Projekt </w:t>
      </w:r>
      <w:r w:rsidR="009432D0">
        <w:rPr>
          <w:lang w:val="de-DE"/>
        </w:rPr>
        <w:t>vorzulegen</w:t>
      </w:r>
      <w:r w:rsidRPr="00C20C76">
        <w:rPr>
          <w:lang w:val="de-DE"/>
        </w:rPr>
        <w:t>.</w:t>
      </w:r>
    </w:p>
    <w:p w14:paraId="5E65EF3C" w14:textId="77777777" w:rsidR="007A5CA0" w:rsidRPr="00C20C76" w:rsidRDefault="007A5CA0" w:rsidP="00167246">
      <w:pPr>
        <w:rPr>
          <w:lang w:val="de-DE"/>
        </w:rPr>
      </w:pPr>
    </w:p>
    <w:p w14:paraId="63935D31" w14:textId="77777777" w:rsidR="007A5CA0" w:rsidRPr="00C20C76" w:rsidRDefault="007A5CA0" w:rsidP="00167246">
      <w:pPr>
        <w:rPr>
          <w:lang w:val="de-DE"/>
        </w:rPr>
      </w:pPr>
    </w:p>
    <w:p w14:paraId="501260BF" w14:textId="2AC21A8E" w:rsidR="00050E16" w:rsidRPr="00C20C76" w:rsidRDefault="00050E16" w:rsidP="00CF519C">
      <w:pPr>
        <w:jc w:val="right"/>
        <w:rPr>
          <w:lang w:val="de-DE"/>
        </w:rPr>
      </w:pPr>
      <w:r w:rsidRPr="00C20C76">
        <w:rPr>
          <w:lang w:val="de-DE"/>
        </w:rPr>
        <w:t xml:space="preserve"> [Ende des Dokuments]</w:t>
      </w:r>
      <w:bookmarkStart w:id="23" w:name="_GoBack"/>
      <w:bookmarkEnd w:id="23"/>
    </w:p>
    <w:sectPr w:rsidR="00050E16" w:rsidRPr="00C20C76"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6D365" w14:textId="77777777" w:rsidR="00C8269C" w:rsidRDefault="00C8269C" w:rsidP="006655D3">
      <w:r>
        <w:separator/>
      </w:r>
    </w:p>
    <w:p w14:paraId="31F8A09C" w14:textId="77777777" w:rsidR="00C8269C" w:rsidRDefault="00C8269C" w:rsidP="006655D3"/>
    <w:p w14:paraId="2A364F20" w14:textId="77777777" w:rsidR="00C8269C" w:rsidRDefault="00C8269C" w:rsidP="006655D3"/>
  </w:endnote>
  <w:endnote w:type="continuationSeparator" w:id="0">
    <w:p w14:paraId="38427559" w14:textId="77777777" w:rsidR="00C8269C" w:rsidRDefault="00C8269C" w:rsidP="006655D3">
      <w:r>
        <w:separator/>
      </w:r>
    </w:p>
    <w:p w14:paraId="689CB956" w14:textId="77777777" w:rsidR="00C8269C" w:rsidRPr="00AA50A2" w:rsidRDefault="00C8269C">
      <w:pPr>
        <w:pStyle w:val="Footer"/>
        <w:spacing w:after="60"/>
        <w:rPr>
          <w:sz w:val="18"/>
          <w:lang w:val="de-DE"/>
        </w:rPr>
      </w:pPr>
      <w:r w:rsidRPr="00AA50A2">
        <w:rPr>
          <w:sz w:val="18"/>
          <w:lang w:val="de-DE"/>
        </w:rPr>
        <w:t>[Fortsetzung der Anmerkung auf der vorherigen Seite]</w:t>
      </w:r>
    </w:p>
    <w:p w14:paraId="5F7F1406" w14:textId="77777777" w:rsidR="00C8269C" w:rsidRPr="00AA50A2" w:rsidRDefault="00C8269C" w:rsidP="006655D3">
      <w:pPr>
        <w:rPr>
          <w:lang w:val="de-DE"/>
        </w:rPr>
      </w:pPr>
    </w:p>
    <w:p w14:paraId="293006B8" w14:textId="77777777" w:rsidR="00C8269C" w:rsidRPr="00AA50A2" w:rsidRDefault="00C8269C" w:rsidP="006655D3">
      <w:pPr>
        <w:rPr>
          <w:lang w:val="de-DE"/>
        </w:rPr>
      </w:pPr>
    </w:p>
  </w:endnote>
  <w:endnote w:type="continuationNotice" w:id="1">
    <w:p w14:paraId="3A2149DD" w14:textId="77777777" w:rsidR="00C8269C" w:rsidRPr="00AA50A2" w:rsidRDefault="00C8269C" w:rsidP="006655D3">
      <w:pPr>
        <w:rPr>
          <w:lang w:val="de-DE"/>
        </w:rPr>
      </w:pPr>
      <w:r w:rsidRPr="00AA50A2">
        <w:rPr>
          <w:lang w:val="de-DE"/>
        </w:rPr>
        <w:t>[Fortsetzung von Anmerkung auf der nächsten Seite]</w:t>
      </w:r>
    </w:p>
    <w:p w14:paraId="2A1B7F00" w14:textId="77777777" w:rsidR="00C8269C" w:rsidRPr="00AA50A2" w:rsidRDefault="00C8269C" w:rsidP="006655D3">
      <w:pPr>
        <w:rPr>
          <w:lang w:val="de-DE"/>
        </w:rPr>
      </w:pPr>
    </w:p>
    <w:p w14:paraId="7BE3E30F" w14:textId="77777777" w:rsidR="00C8269C" w:rsidRPr="00AA50A2" w:rsidRDefault="00C8269C" w:rsidP="006655D3">
      <w:pPr>
        <w:rPr>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C6724" w14:textId="77777777" w:rsidR="00C8269C" w:rsidRDefault="00C8269C" w:rsidP="006655D3">
      <w:r>
        <w:separator/>
      </w:r>
    </w:p>
  </w:footnote>
  <w:footnote w:type="continuationSeparator" w:id="0">
    <w:p w14:paraId="6B83C85A" w14:textId="77777777" w:rsidR="00C8269C" w:rsidRDefault="00C8269C" w:rsidP="006655D3">
      <w:r>
        <w:separator/>
      </w:r>
    </w:p>
  </w:footnote>
  <w:footnote w:type="continuationNotice" w:id="1">
    <w:p w14:paraId="4E340A70" w14:textId="77777777" w:rsidR="00C8269C" w:rsidRPr="00AB530F" w:rsidRDefault="00C8269C" w:rsidP="00AB530F">
      <w:pPr>
        <w:pStyle w:val="Footer"/>
      </w:pPr>
    </w:p>
  </w:footnote>
  <w:footnote w:id="2">
    <w:p w14:paraId="4FE87209" w14:textId="2F9ABA6E" w:rsidR="002D60CB" w:rsidRPr="00243C74" w:rsidRDefault="002D60CB" w:rsidP="000912AD">
      <w:pPr>
        <w:pStyle w:val="FootnoteText"/>
        <w:rPr>
          <w:lang w:val="de-DE"/>
        </w:rPr>
      </w:pPr>
      <w:r>
        <w:rPr>
          <w:rStyle w:val="FootnoteReference"/>
        </w:rPr>
        <w:footnoteRef/>
      </w:r>
      <w:r w:rsidRPr="00D052FF">
        <w:rPr>
          <w:lang w:val="de-DE"/>
        </w:rPr>
        <w:t xml:space="preserve"> </w:t>
      </w:r>
      <w:r w:rsidRPr="00243C74">
        <w:rPr>
          <w:lang w:val="de-DE"/>
        </w:rPr>
        <w:t>auf ihrer vierundfünfzigsten Tagung vom 11. bis 15. Mai</w:t>
      </w:r>
      <w:r>
        <w:rPr>
          <w:lang w:val="de-DE"/>
        </w:rPr>
        <w:t xml:space="preserve"> 2020</w:t>
      </w:r>
      <w:r w:rsidRPr="00243C74">
        <w:rPr>
          <w:lang w:val="de-DE"/>
        </w:rPr>
        <w:t>, von Brasilien ausgerichtet und auf elektronischem Wege organisiert.</w:t>
      </w:r>
    </w:p>
  </w:footnote>
  <w:footnote w:id="3">
    <w:p w14:paraId="236B9E76" w14:textId="125E7041" w:rsidR="002D60CB" w:rsidRPr="00243C74" w:rsidRDefault="002D60CB" w:rsidP="000912AD">
      <w:pPr>
        <w:pStyle w:val="FootnoteText"/>
        <w:rPr>
          <w:lang w:val="de-DE"/>
        </w:rPr>
      </w:pPr>
      <w:r w:rsidRPr="00243C74">
        <w:rPr>
          <w:rStyle w:val="FootnoteReference"/>
          <w:lang w:val="de-DE"/>
        </w:rPr>
        <w:footnoteRef/>
      </w:r>
      <w:r w:rsidRPr="00243C74">
        <w:rPr>
          <w:lang w:val="de-DE"/>
        </w:rPr>
        <w:t xml:space="preserve"> auf </w:t>
      </w:r>
      <w:r>
        <w:rPr>
          <w:lang w:val="de-DE"/>
        </w:rPr>
        <w:t>ihrer</w:t>
      </w:r>
      <w:r w:rsidRPr="00243C74">
        <w:rPr>
          <w:lang w:val="de-DE"/>
        </w:rPr>
        <w:t xml:space="preserve"> zweiundfünfzigsten Tagung vom 8. bis 12. Juni 2020, von den Niederlanden ausgerichtet und auf elektronischem Wege organisiert.</w:t>
      </w:r>
    </w:p>
  </w:footnote>
  <w:footnote w:id="4">
    <w:p w14:paraId="72AACA83" w14:textId="606D4098" w:rsidR="002D60CB" w:rsidRPr="00243C74" w:rsidRDefault="002D60CB">
      <w:pPr>
        <w:pStyle w:val="FootnoteText"/>
        <w:rPr>
          <w:lang w:val="de-DE"/>
        </w:rPr>
      </w:pPr>
      <w:r w:rsidRPr="00243C74">
        <w:rPr>
          <w:rStyle w:val="FootnoteReference"/>
          <w:lang w:val="de-DE"/>
        </w:rPr>
        <w:footnoteRef/>
      </w:r>
      <w:r w:rsidRPr="00243C74">
        <w:rPr>
          <w:lang w:val="de-DE"/>
        </w:rPr>
        <w:t xml:space="preserve"> auf ihrer neunundvierzigsten Tagung vom 22. bis 26. Juni 2020, von Kanada ausgerichtet und auf elektronischem Wege organisiert.</w:t>
      </w:r>
    </w:p>
  </w:footnote>
  <w:footnote w:id="5">
    <w:p w14:paraId="1D2805E5" w14:textId="3386D1C4" w:rsidR="002D60CB" w:rsidRPr="00243C74" w:rsidRDefault="002D60CB">
      <w:pPr>
        <w:pStyle w:val="FootnoteText"/>
        <w:rPr>
          <w:lang w:val="de-DE"/>
        </w:rPr>
      </w:pPr>
      <w:r w:rsidRPr="00243C74">
        <w:rPr>
          <w:rStyle w:val="FootnoteReference"/>
          <w:lang w:val="de-DE"/>
        </w:rPr>
        <w:footnoteRef/>
      </w:r>
      <w:r w:rsidRPr="00243C74">
        <w:rPr>
          <w:lang w:val="de-DE"/>
        </w:rPr>
        <w:t xml:space="preserve"> auf </w:t>
      </w:r>
      <w:r>
        <w:rPr>
          <w:lang w:val="de-DE"/>
        </w:rPr>
        <w:t>ihrer</w:t>
      </w:r>
      <w:r w:rsidRPr="00243C74">
        <w:rPr>
          <w:lang w:val="de-DE"/>
        </w:rPr>
        <w:t xml:space="preserve"> </w:t>
      </w:r>
      <w:r w:rsidR="00402E8F">
        <w:rPr>
          <w:lang w:val="de-DE"/>
        </w:rPr>
        <w:t>einundfünfzigsten Tagung</w:t>
      </w:r>
      <w:r w:rsidRPr="00243C74">
        <w:rPr>
          <w:lang w:val="de-DE"/>
        </w:rPr>
        <w:t xml:space="preserve"> vom 6. bis 10. Juli 2020, von Frankreich ausgerichtet und auf elektronischem Wege organisiert.</w:t>
      </w:r>
    </w:p>
  </w:footnote>
  <w:footnote w:id="6">
    <w:p w14:paraId="2376D0E0" w14:textId="7B9E7217" w:rsidR="002D60CB" w:rsidRPr="00243C74" w:rsidRDefault="002D60CB">
      <w:pPr>
        <w:pStyle w:val="FootnoteText"/>
        <w:rPr>
          <w:lang w:val="de-DE"/>
        </w:rPr>
      </w:pPr>
      <w:r w:rsidRPr="00243C74">
        <w:rPr>
          <w:rStyle w:val="FootnoteReference"/>
          <w:lang w:val="de-DE"/>
        </w:rPr>
        <w:footnoteRef/>
      </w:r>
      <w:r w:rsidRPr="00243C74">
        <w:rPr>
          <w:lang w:val="de-DE"/>
        </w:rPr>
        <w:t xml:space="preserve"> auf ihrer achtunddreißigsten Tagung vom 21. bis 23. September 2020, von den Vereinigten Staaten von Amerika ausgerichtet und auf elektronischem Wege organisiert.</w:t>
      </w:r>
    </w:p>
  </w:footnote>
  <w:footnote w:id="7">
    <w:p w14:paraId="0C0ECDE0" w14:textId="75B0AD1D" w:rsidR="002D60CB" w:rsidRPr="00243C74" w:rsidRDefault="002D60CB" w:rsidP="00B80B6E">
      <w:pPr>
        <w:pStyle w:val="FootnoteText"/>
        <w:rPr>
          <w:lang w:val="de-DE"/>
        </w:rPr>
      </w:pPr>
      <w:r w:rsidRPr="00243C74">
        <w:rPr>
          <w:rStyle w:val="FootnoteReference"/>
          <w:lang w:val="de-DE"/>
        </w:rPr>
        <w:footnoteRef/>
      </w:r>
      <w:r w:rsidRPr="00243C74">
        <w:rPr>
          <w:lang w:val="de-DE"/>
        </w:rPr>
        <w:t xml:space="preserve"> auf ihrer achtunddreißigsten Tagung vom 23. bis 25. September 2020, von den Vereinigten Staaten von Amerika ausgerichtet und auf elektronischem Wege organisiert.</w:t>
      </w:r>
    </w:p>
  </w:footnote>
  <w:footnote w:id="8">
    <w:p w14:paraId="19DC1623" w14:textId="6982D928" w:rsidR="002D60CB" w:rsidRPr="00D052FF" w:rsidRDefault="002D60CB" w:rsidP="00AD5A29">
      <w:pPr>
        <w:pStyle w:val="FootnoteText"/>
        <w:rPr>
          <w:lang w:val="de-DE"/>
        </w:rPr>
      </w:pPr>
      <w:r>
        <w:rPr>
          <w:rStyle w:val="FootnoteReference"/>
        </w:rPr>
        <w:footnoteRef/>
      </w:r>
      <w:r w:rsidRPr="00D052FF">
        <w:rPr>
          <w:lang w:val="de-DE"/>
        </w:rPr>
        <w:t xml:space="preserve"> </w:t>
      </w:r>
      <w:r w:rsidRPr="00243C74">
        <w:rPr>
          <w:lang w:val="de-DE"/>
        </w:rPr>
        <w:t>auf ihrer vierundfünfzigsten Tagung vom 11. bis 15. Mai</w:t>
      </w:r>
      <w:r>
        <w:rPr>
          <w:lang w:val="de-DE"/>
        </w:rPr>
        <w:t xml:space="preserve"> 2020</w:t>
      </w:r>
      <w:r w:rsidRPr="00243C74">
        <w:rPr>
          <w:lang w:val="de-DE"/>
        </w:rPr>
        <w:t>, von Brasilien ausgerichtet und auf elektronischem Wege organisiert</w:t>
      </w:r>
      <w:r w:rsidRPr="00D052FF">
        <w:rPr>
          <w:lang w:val="de-DE"/>
        </w:rPr>
        <w:t>.</w:t>
      </w:r>
    </w:p>
  </w:footnote>
  <w:footnote w:id="9">
    <w:p w14:paraId="2B49F2F7" w14:textId="4AF9311B" w:rsidR="002D60CB" w:rsidRPr="00D052FF" w:rsidRDefault="002D60CB" w:rsidP="00AD5A29">
      <w:pPr>
        <w:pStyle w:val="FootnoteText"/>
        <w:rPr>
          <w:lang w:val="de-DE"/>
        </w:rPr>
      </w:pPr>
      <w:r>
        <w:rPr>
          <w:rStyle w:val="FootnoteReference"/>
        </w:rPr>
        <w:footnoteRef/>
      </w:r>
      <w:r w:rsidRPr="00D052FF">
        <w:rPr>
          <w:lang w:val="de-DE"/>
        </w:rPr>
        <w:t xml:space="preserve"> </w:t>
      </w:r>
      <w:r w:rsidRPr="00243C74">
        <w:rPr>
          <w:lang w:val="de-DE"/>
        </w:rPr>
        <w:t xml:space="preserve">auf </w:t>
      </w:r>
      <w:r>
        <w:rPr>
          <w:lang w:val="de-DE"/>
        </w:rPr>
        <w:t>ihrer</w:t>
      </w:r>
      <w:r w:rsidRPr="00243C74">
        <w:rPr>
          <w:lang w:val="de-DE"/>
        </w:rPr>
        <w:t xml:space="preserve"> zweiundfünfzigsten Tagung vom 8. bis 12. Juni 2020, von den Niederlanden ausgerichtet und auf elektronischem Wege organisiert</w:t>
      </w:r>
      <w:r w:rsidRPr="00D052FF">
        <w:rPr>
          <w:lang w:val="de-DE"/>
        </w:rPr>
        <w:t>.</w:t>
      </w:r>
    </w:p>
  </w:footnote>
  <w:footnote w:id="10">
    <w:p w14:paraId="4EFAB4B0" w14:textId="678B892C" w:rsidR="002D60CB" w:rsidRPr="00584268" w:rsidRDefault="002D60CB" w:rsidP="00AD5A29">
      <w:pPr>
        <w:pStyle w:val="FootnoteText"/>
        <w:rPr>
          <w:lang w:val="de-DE"/>
        </w:rPr>
      </w:pPr>
      <w:r w:rsidRPr="00584268">
        <w:rPr>
          <w:rStyle w:val="FootnoteReference"/>
          <w:lang w:val="de-DE"/>
        </w:rPr>
        <w:footnoteRef/>
      </w:r>
      <w:r w:rsidRPr="00584268">
        <w:rPr>
          <w:lang w:val="de-DE"/>
        </w:rPr>
        <w:t xml:space="preserve"> </w:t>
      </w:r>
      <w:r w:rsidR="00402E8F">
        <w:rPr>
          <w:lang w:val="de-DE"/>
        </w:rPr>
        <w:t xml:space="preserve"> </w:t>
      </w:r>
      <w:r w:rsidRPr="00136C87">
        <w:rPr>
          <w:lang w:val="de-DE"/>
        </w:rPr>
        <w:t>auf ihrer vierundfünfzigsten Tagung vom 11. bis 15. Mai 2020, von Brasilien ausgerichtet und auf elektronischem Wege organisiert</w:t>
      </w:r>
      <w:r w:rsidRPr="00584268">
        <w:rPr>
          <w:lang w:val="de-DE"/>
        </w:rPr>
        <w:t>.</w:t>
      </w:r>
    </w:p>
  </w:footnote>
  <w:footnote w:id="11">
    <w:p w14:paraId="02F29E4E" w14:textId="5C850503" w:rsidR="002D60CB" w:rsidRPr="00D052FF" w:rsidRDefault="002D60CB" w:rsidP="002A3829">
      <w:pPr>
        <w:pStyle w:val="FootnoteText"/>
        <w:rPr>
          <w:lang w:val="de-DE"/>
        </w:rPr>
      </w:pPr>
      <w:r w:rsidRPr="00584268">
        <w:rPr>
          <w:rStyle w:val="FootnoteReference"/>
          <w:lang w:val="de-DE"/>
        </w:rPr>
        <w:footnoteRef/>
      </w:r>
      <w:r w:rsidR="00402E8F">
        <w:rPr>
          <w:lang w:val="de-DE"/>
        </w:rPr>
        <w:t xml:space="preserve"> </w:t>
      </w:r>
      <w:r w:rsidRPr="00136C87">
        <w:rPr>
          <w:lang w:val="de-DE"/>
        </w:rPr>
        <w:t>auf ihrer zweiundfünfzigsten Tagung vom 8. bis 12. Juni 2020, von den Niederlanden ausgerichtet und auf elektronischem Wege organisiert</w:t>
      </w:r>
      <w:r w:rsidRPr="00584268">
        <w:rPr>
          <w:lang w:val="de-DE"/>
        </w:rPr>
        <w:t>.</w:t>
      </w:r>
    </w:p>
  </w:footnote>
  <w:footnote w:id="12">
    <w:p w14:paraId="30AFCC10" w14:textId="1EFF6294" w:rsidR="002D60CB" w:rsidRPr="00582D08" w:rsidRDefault="002D60CB" w:rsidP="002A3829">
      <w:pPr>
        <w:pStyle w:val="FootnoteText"/>
        <w:rPr>
          <w:lang w:val="de-DE"/>
        </w:rPr>
      </w:pPr>
      <w:r w:rsidRPr="00582D08">
        <w:rPr>
          <w:rStyle w:val="FootnoteReference"/>
          <w:lang w:val="de-DE"/>
        </w:rPr>
        <w:footnoteRef/>
      </w:r>
      <w:r w:rsidRPr="00582D08">
        <w:rPr>
          <w:lang w:val="de-DE"/>
        </w:rPr>
        <w:t xml:space="preserve"> auf ihrer neunundvierzigsten Tagung vom 22. bis 26. Juni 2020, von Kanada ausgerichtet und auf elektronischem Wege </w:t>
      </w:r>
      <w:r w:rsidRPr="00136C87">
        <w:rPr>
          <w:lang w:val="de-DE"/>
        </w:rPr>
        <w:t>organisiert</w:t>
      </w:r>
      <w:r w:rsidRPr="00582D08">
        <w:rPr>
          <w:lang w:val="de-DE"/>
        </w:rPr>
        <w:t>.</w:t>
      </w:r>
    </w:p>
  </w:footnote>
  <w:footnote w:id="13">
    <w:p w14:paraId="63343E5B" w14:textId="29334EFB" w:rsidR="002D60CB" w:rsidRPr="00582D08" w:rsidRDefault="002D60CB" w:rsidP="002A3829">
      <w:pPr>
        <w:pStyle w:val="FootnoteText"/>
        <w:rPr>
          <w:lang w:val="de-DE"/>
        </w:rPr>
      </w:pPr>
      <w:r w:rsidRPr="00582D08">
        <w:rPr>
          <w:rStyle w:val="FootnoteReference"/>
          <w:lang w:val="de-DE"/>
        </w:rPr>
        <w:footnoteRef/>
      </w:r>
      <w:r w:rsidRPr="00582D08">
        <w:rPr>
          <w:lang w:val="de-DE"/>
        </w:rPr>
        <w:t xml:space="preserve"> auf ihrer </w:t>
      </w:r>
      <w:r w:rsidR="00402E8F">
        <w:rPr>
          <w:lang w:val="de-DE"/>
        </w:rPr>
        <w:t>einundfünfzigsten Tagung</w:t>
      </w:r>
      <w:r w:rsidRPr="00582D08">
        <w:rPr>
          <w:lang w:val="de-DE"/>
        </w:rPr>
        <w:t xml:space="preserve"> vom 6. bis 10. Juli 2020, von Frankreich ausgerichtet und auf elektronischem Wege </w:t>
      </w:r>
      <w:r w:rsidRPr="00136C87">
        <w:rPr>
          <w:lang w:val="de-DE"/>
        </w:rPr>
        <w:t>organisiert</w:t>
      </w:r>
      <w:r w:rsidRPr="00582D08">
        <w:rPr>
          <w:lang w:val="de-DE"/>
        </w:rPr>
        <w:t>.</w:t>
      </w:r>
    </w:p>
  </w:footnote>
  <w:footnote w:id="14">
    <w:p w14:paraId="664910E8" w14:textId="52A8C432"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auf ihrer zweiundfünfzigsten Tagung vom 8. bis 12. Juni 2020, von den Niederlanden ausgerichtet und auf elektronischem Wege </w:t>
      </w:r>
      <w:r w:rsidRPr="00136C87">
        <w:rPr>
          <w:lang w:val="de-DE"/>
        </w:rPr>
        <w:t>organisiert</w:t>
      </w:r>
      <w:r w:rsidRPr="00582D08">
        <w:rPr>
          <w:lang w:val="de-DE"/>
        </w:rPr>
        <w:t>.</w:t>
      </w:r>
    </w:p>
  </w:footnote>
  <w:footnote w:id="15">
    <w:p w14:paraId="1C1A8B0C" w14:textId="64530337"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auf ihrer </w:t>
      </w:r>
      <w:r w:rsidR="00402E8F">
        <w:rPr>
          <w:lang w:val="de-DE"/>
        </w:rPr>
        <w:t>einundfünfzigsten Tagung</w:t>
      </w:r>
      <w:r w:rsidRPr="00582D08">
        <w:rPr>
          <w:lang w:val="de-DE"/>
        </w:rPr>
        <w:t xml:space="preserve"> vom 6. bis 10. Juli 2020, von Frankreich ausgerichtet und auf elektronischem Wege organisiert.</w:t>
      </w:r>
    </w:p>
  </w:footnote>
  <w:footnote w:id="16">
    <w:p w14:paraId="4154FB04" w14:textId="60086FEC"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auf ihrer </w:t>
      </w:r>
      <w:r w:rsidR="00402E8F">
        <w:rPr>
          <w:lang w:val="de-DE"/>
        </w:rPr>
        <w:t>einundfünfzigsten Tagung</w:t>
      </w:r>
      <w:r w:rsidRPr="00582D08">
        <w:rPr>
          <w:lang w:val="de-DE"/>
        </w:rPr>
        <w:t xml:space="preserve"> vom 6. bis 10. Juli 2020, von Frankreich ausgerichtet und auf elektronischem Wege organisiert.</w:t>
      </w:r>
    </w:p>
  </w:footnote>
  <w:footnote w:id="17">
    <w:p w14:paraId="742E9002" w14:textId="193A0ED9"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auf ihrer </w:t>
      </w:r>
      <w:r w:rsidR="00402E8F">
        <w:rPr>
          <w:lang w:val="de-DE"/>
        </w:rPr>
        <w:t>einundfünfzigsten Tagung</w:t>
      </w:r>
      <w:r w:rsidRPr="00582D08">
        <w:rPr>
          <w:lang w:val="de-DE"/>
        </w:rPr>
        <w:t xml:space="preserve"> vom 6. bis 10. Juli 2020, von Frankreich ausgerichtet und auf elektronischem Wege organisiert.</w:t>
      </w:r>
    </w:p>
  </w:footnote>
  <w:footnote w:id="18">
    <w:p w14:paraId="39578879" w14:textId="78481067" w:rsidR="002D60CB" w:rsidRPr="00582D08" w:rsidRDefault="002D60CB" w:rsidP="00D534B2">
      <w:pPr>
        <w:pStyle w:val="FootnoteText"/>
        <w:rPr>
          <w:lang w:val="de-DE"/>
        </w:rPr>
      </w:pPr>
      <w:r w:rsidRPr="00582D08">
        <w:rPr>
          <w:rStyle w:val="FootnoteReference"/>
          <w:lang w:val="de-DE"/>
        </w:rPr>
        <w:footnoteRef/>
      </w:r>
      <w:r w:rsidRPr="00582D08">
        <w:rPr>
          <w:lang w:val="de-DE"/>
        </w:rPr>
        <w:t xml:space="preserve"> </w:t>
      </w:r>
      <w:r w:rsidRPr="00136C87">
        <w:rPr>
          <w:lang w:val="de-DE"/>
        </w:rPr>
        <w:t>auf ihrer vierundfünfzigsten Tagung vom 11. bis 15. Mai 2020, von Brasilien ausgerichtet und auf elektronischem Wege organisiert</w:t>
      </w:r>
      <w:r w:rsidRPr="00582D08">
        <w:rPr>
          <w:lang w:val="de-DE"/>
        </w:rPr>
        <w:t>.</w:t>
      </w:r>
    </w:p>
  </w:footnote>
  <w:footnote w:id="19">
    <w:p w14:paraId="6E1B6B96" w14:textId="021B178C" w:rsidR="002D60CB" w:rsidRPr="00582D08" w:rsidRDefault="002D60CB" w:rsidP="00D534B2">
      <w:pPr>
        <w:pStyle w:val="FootnoteText"/>
        <w:rPr>
          <w:lang w:val="de-DE"/>
        </w:rPr>
      </w:pPr>
      <w:r w:rsidRPr="00582D08">
        <w:rPr>
          <w:rStyle w:val="FootnoteReference"/>
          <w:lang w:val="de-DE"/>
        </w:rPr>
        <w:footnoteRef/>
      </w:r>
      <w:r w:rsidRPr="00582D08">
        <w:rPr>
          <w:lang w:val="de-DE"/>
        </w:rPr>
        <w:t xml:space="preserve"> </w:t>
      </w:r>
      <w:r w:rsidRPr="00136C87">
        <w:rPr>
          <w:lang w:val="de-DE"/>
        </w:rPr>
        <w:t>auf ihrer zweiundfünfzigsten Tagung vom 8. bis 12. Juni 2020, von den Niederlanden ausgerichtet und auf elektronischem Wege organisiert</w:t>
      </w:r>
      <w:r w:rsidRPr="00582D08">
        <w:rPr>
          <w:lang w:val="de-DE"/>
        </w:rPr>
        <w:t>.</w:t>
      </w:r>
    </w:p>
  </w:footnote>
  <w:footnote w:id="20">
    <w:p w14:paraId="2CFB4D55" w14:textId="4858D7A8" w:rsidR="002D60CB" w:rsidRPr="00582D08" w:rsidRDefault="002D60CB" w:rsidP="00D534B2">
      <w:pPr>
        <w:pStyle w:val="FootnoteText"/>
        <w:rPr>
          <w:lang w:val="de-DE"/>
        </w:rPr>
      </w:pPr>
      <w:r w:rsidRPr="00582D08">
        <w:rPr>
          <w:rStyle w:val="FootnoteReference"/>
          <w:lang w:val="de-DE"/>
        </w:rPr>
        <w:footnoteRef/>
      </w:r>
      <w:r w:rsidRPr="00582D08">
        <w:rPr>
          <w:lang w:val="de-DE"/>
        </w:rPr>
        <w:t xml:space="preserve"> </w:t>
      </w:r>
      <w:r w:rsidRPr="00136C87">
        <w:rPr>
          <w:lang w:val="de-DE"/>
        </w:rPr>
        <w:t>auf ihrer neunundvierzigsten Tagung vom 22. bis 26. Juni 2020, von Kanada ausgerichtet und auf elektronischem Wege organisiert</w:t>
      </w:r>
      <w:r w:rsidRPr="00582D08">
        <w:rPr>
          <w:lang w:val="de-DE"/>
        </w:rPr>
        <w:t>.</w:t>
      </w:r>
    </w:p>
  </w:footnote>
  <w:footnote w:id="21">
    <w:p w14:paraId="3FD288D3" w14:textId="4F30EDD1" w:rsidR="002D60CB" w:rsidRPr="00582D08" w:rsidRDefault="002D60CB" w:rsidP="00D534B2">
      <w:pPr>
        <w:pStyle w:val="FootnoteText"/>
        <w:rPr>
          <w:lang w:val="de-DE"/>
        </w:rPr>
      </w:pPr>
      <w:r w:rsidRPr="00582D08">
        <w:rPr>
          <w:rStyle w:val="FootnoteReference"/>
          <w:lang w:val="de-DE"/>
        </w:rPr>
        <w:footnoteRef/>
      </w:r>
      <w:r w:rsidRPr="00582D08">
        <w:rPr>
          <w:lang w:val="de-DE"/>
        </w:rPr>
        <w:t xml:space="preserve"> </w:t>
      </w:r>
      <w:r w:rsidRPr="00136C87">
        <w:rPr>
          <w:lang w:val="de-DE"/>
        </w:rPr>
        <w:t xml:space="preserve">auf ihrer </w:t>
      </w:r>
      <w:r w:rsidR="00402E8F">
        <w:rPr>
          <w:lang w:val="de-DE"/>
        </w:rPr>
        <w:t>einundfünfzigsten Tagung</w:t>
      </w:r>
      <w:r w:rsidRPr="00136C87">
        <w:rPr>
          <w:lang w:val="de-DE"/>
        </w:rPr>
        <w:t xml:space="preserve"> vom 6. bis 10. Juli 2020, von Frankreich ausgerichtet und auf elektronischem Wege organisiert</w:t>
      </w:r>
      <w:r w:rsidRPr="00582D08">
        <w:rPr>
          <w:lang w:val="de-DE"/>
        </w:rPr>
        <w:t>.</w:t>
      </w:r>
    </w:p>
  </w:footnote>
  <w:footnote w:id="22">
    <w:p w14:paraId="0AD7E36B" w14:textId="27DFD59C"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w:t>
      </w:r>
      <w:r w:rsidRPr="00136C87">
        <w:rPr>
          <w:lang w:val="de-DE"/>
        </w:rPr>
        <w:t>auf ihrer vierundfünfzigsten Tagung vom 11. bis 15. Mai 2020, von Brasilien ausgerichtet und auf elektronischem Wege organisiert</w:t>
      </w:r>
      <w:r w:rsidRPr="00582D08">
        <w:rPr>
          <w:lang w:val="de-DE"/>
        </w:rPr>
        <w:t>.</w:t>
      </w:r>
    </w:p>
  </w:footnote>
  <w:footnote w:id="23">
    <w:p w14:paraId="173C2E68" w14:textId="31C09E9D"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w:t>
      </w:r>
      <w:r w:rsidRPr="00136C87">
        <w:rPr>
          <w:lang w:val="de-DE"/>
        </w:rPr>
        <w:t>auf ihrer zweiundfünfzigsten Tagung vom 8. bis 12. Juni 2020, von den Niederlanden ausgerichtet und auf elektronischem Wege organisiert</w:t>
      </w:r>
      <w:r w:rsidRPr="00582D08">
        <w:rPr>
          <w:lang w:val="de-DE"/>
        </w:rPr>
        <w:t>.</w:t>
      </w:r>
    </w:p>
  </w:footnote>
  <w:footnote w:id="24">
    <w:p w14:paraId="7ACCF789" w14:textId="1D4AED05"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w:t>
      </w:r>
      <w:r w:rsidRPr="00136C87">
        <w:rPr>
          <w:lang w:val="de-DE"/>
        </w:rPr>
        <w:t>auf ihrer neunundvierzigsten Tagung vom 22. bis 26. Juni 2020, von Kanada ausgerichtet und auf elektronischem Wege organisiert</w:t>
      </w:r>
      <w:r w:rsidRPr="00582D08">
        <w:rPr>
          <w:lang w:val="de-DE"/>
        </w:rPr>
        <w:t>.</w:t>
      </w:r>
    </w:p>
  </w:footnote>
  <w:footnote w:id="25">
    <w:p w14:paraId="244145F9" w14:textId="29599519" w:rsidR="002D60CB" w:rsidRPr="00582D08" w:rsidRDefault="002D60CB" w:rsidP="00AD5A29">
      <w:pPr>
        <w:pStyle w:val="FootnoteText"/>
        <w:rPr>
          <w:lang w:val="de-DE"/>
        </w:rPr>
      </w:pPr>
      <w:r w:rsidRPr="00582D08">
        <w:rPr>
          <w:rStyle w:val="FootnoteReference"/>
          <w:lang w:val="de-DE"/>
        </w:rPr>
        <w:footnoteRef/>
      </w:r>
      <w:r w:rsidRPr="00582D08">
        <w:rPr>
          <w:lang w:val="de-DE"/>
        </w:rPr>
        <w:t xml:space="preserve"> </w:t>
      </w:r>
      <w:r w:rsidRPr="00136C87">
        <w:rPr>
          <w:lang w:val="de-DE"/>
        </w:rPr>
        <w:t xml:space="preserve">auf ihrer </w:t>
      </w:r>
      <w:r w:rsidR="00402E8F">
        <w:rPr>
          <w:lang w:val="de-DE"/>
        </w:rPr>
        <w:t>einundfünfzigsten Tagung</w:t>
      </w:r>
      <w:r w:rsidRPr="00136C87">
        <w:rPr>
          <w:lang w:val="de-DE"/>
        </w:rPr>
        <w:t xml:space="preserve"> vom 6. bis 10. Juli 2020, von Frankreich ausgerichtet und auf elektronischem Wege organisiert</w:t>
      </w:r>
      <w:r w:rsidRPr="00582D08">
        <w:rPr>
          <w:lang w:val="de-DE"/>
        </w:rPr>
        <w:t>.</w:t>
      </w:r>
    </w:p>
  </w:footnote>
  <w:footnote w:id="26">
    <w:p w14:paraId="77261707" w14:textId="5BE5A542" w:rsidR="002D60CB" w:rsidRPr="00582D08" w:rsidRDefault="002D60CB" w:rsidP="0028739C">
      <w:pPr>
        <w:pStyle w:val="FootnoteText"/>
        <w:rPr>
          <w:lang w:val="de-DE"/>
        </w:rPr>
      </w:pPr>
      <w:r w:rsidRPr="00582D08">
        <w:rPr>
          <w:rStyle w:val="FootnoteReference"/>
          <w:lang w:val="de-DE"/>
        </w:rPr>
        <w:footnoteRef/>
      </w:r>
      <w:r w:rsidRPr="00582D08">
        <w:rPr>
          <w:lang w:val="de-DE"/>
        </w:rPr>
        <w:t xml:space="preserve"> </w:t>
      </w:r>
      <w:r w:rsidRPr="00136C87">
        <w:rPr>
          <w:lang w:val="de-DE"/>
        </w:rPr>
        <w:t>auf ihrer achtunddreißigsten Tagung vom 21. bis 23. September 2020, von den Vereinigten Staaten von Amerika ausgerichtet und auf elektronischem Wege organisiert</w:t>
      </w:r>
      <w:r w:rsidRPr="00582D08">
        <w:rPr>
          <w:lang w:val="de-DE"/>
        </w:rPr>
        <w:t>.</w:t>
      </w:r>
    </w:p>
  </w:footnote>
  <w:footnote w:id="27">
    <w:p w14:paraId="0B4E62E1" w14:textId="771C8AFB" w:rsidR="002D60CB" w:rsidRPr="00FB0F03" w:rsidRDefault="002D60CB" w:rsidP="0028739C">
      <w:pPr>
        <w:pStyle w:val="FootnoteText"/>
        <w:rPr>
          <w:lang w:val="de-DE"/>
        </w:rPr>
      </w:pPr>
      <w:r w:rsidRPr="00FB0F03">
        <w:rPr>
          <w:rStyle w:val="FootnoteReference"/>
          <w:lang w:val="de-DE"/>
        </w:rPr>
        <w:footnoteRef/>
      </w:r>
      <w:r w:rsidRPr="00FB0F03">
        <w:rPr>
          <w:lang w:val="de-DE"/>
        </w:rPr>
        <w:t xml:space="preserve"> auf ihrer achtunddreißigsten Tagung vom 21. bis 23. September 2020, von den Vereinigten Staaten von Amerika ausgerichtet und auf elektronischem Wege organisiert.</w:t>
      </w:r>
    </w:p>
  </w:footnote>
  <w:footnote w:id="28">
    <w:p w14:paraId="5934049D" w14:textId="0D47E871" w:rsidR="002D60CB" w:rsidRPr="00D052FF" w:rsidRDefault="002D60CB" w:rsidP="0028739C">
      <w:pPr>
        <w:pStyle w:val="FootnoteText"/>
        <w:rPr>
          <w:lang w:val="de-DE"/>
        </w:rPr>
      </w:pPr>
      <w:r w:rsidRPr="00FB0F03">
        <w:rPr>
          <w:rStyle w:val="FootnoteReference"/>
          <w:lang w:val="de-DE"/>
        </w:rPr>
        <w:footnoteRef/>
      </w:r>
      <w:r w:rsidRPr="00FB0F03">
        <w:rPr>
          <w:lang w:val="de-DE"/>
        </w:rPr>
        <w:t xml:space="preserve"> auf ihrer achtunddreißigsten Tagung vom 21. bis 23. September 2020, von den Vereinigten Staaten von Amerika ausgerichtet und auf elektronischem Wege organisiert.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48DDD" w14:textId="77777777" w:rsidR="002D60CB" w:rsidRPr="00C5280D" w:rsidRDefault="002D60CB" w:rsidP="00EB048E">
    <w:pPr>
      <w:pStyle w:val="Header"/>
      <w:rPr>
        <w:rStyle w:val="PageNumber"/>
        <w:lang w:val="en-US"/>
      </w:rPr>
    </w:pPr>
    <w:r>
      <w:rPr>
        <w:rStyle w:val="PageNumber"/>
        <w:lang w:val="en-US"/>
      </w:rPr>
      <w:t>TC/56/3</w:t>
    </w:r>
  </w:p>
  <w:p w14:paraId="5A03279B" w14:textId="000A4B4D" w:rsidR="002D60CB" w:rsidRPr="00C5280D" w:rsidRDefault="002D60CB" w:rsidP="00EB048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519C">
      <w:rPr>
        <w:rStyle w:val="PageNumber"/>
        <w:noProof/>
        <w:lang w:val="en-US"/>
      </w:rPr>
      <w:t>7</w:t>
    </w:r>
    <w:r w:rsidRPr="00C5280D">
      <w:rPr>
        <w:rStyle w:val="PageNumber"/>
        <w:lang w:val="en-US"/>
      </w:rPr>
      <w:fldChar w:fldCharType="end"/>
    </w:r>
  </w:p>
  <w:p w14:paraId="46135AB9" w14:textId="77777777" w:rsidR="002D60CB" w:rsidRPr="00C5280D" w:rsidRDefault="002D60C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597D"/>
    <w:multiLevelType w:val="hybridMultilevel"/>
    <w:tmpl w:val="CCC0623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3D0A90"/>
    <w:multiLevelType w:val="hybridMultilevel"/>
    <w:tmpl w:val="B39ACEA2"/>
    <w:lvl w:ilvl="0" w:tplc="0409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7C9243B8"/>
    <w:multiLevelType w:val="hybridMultilevel"/>
    <w:tmpl w:val="5FD86CA0"/>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40A9"/>
    <w:rsid w:val="00010CF3"/>
    <w:rsid w:val="00011E27"/>
    <w:rsid w:val="000148BC"/>
    <w:rsid w:val="00021BC0"/>
    <w:rsid w:val="00024AB8"/>
    <w:rsid w:val="00030854"/>
    <w:rsid w:val="00036028"/>
    <w:rsid w:val="00044642"/>
    <w:rsid w:val="000446B9"/>
    <w:rsid w:val="00047E21"/>
    <w:rsid w:val="00050E16"/>
    <w:rsid w:val="00070774"/>
    <w:rsid w:val="00070F17"/>
    <w:rsid w:val="00085505"/>
    <w:rsid w:val="000912AD"/>
    <w:rsid w:val="00095ABB"/>
    <w:rsid w:val="000963EC"/>
    <w:rsid w:val="000A69C5"/>
    <w:rsid w:val="000B3A52"/>
    <w:rsid w:val="000C4E25"/>
    <w:rsid w:val="000C7021"/>
    <w:rsid w:val="000D6BBC"/>
    <w:rsid w:val="000D7780"/>
    <w:rsid w:val="000E636A"/>
    <w:rsid w:val="000F2F11"/>
    <w:rsid w:val="000F48DC"/>
    <w:rsid w:val="00105929"/>
    <w:rsid w:val="00110C36"/>
    <w:rsid w:val="001124F0"/>
    <w:rsid w:val="001131D5"/>
    <w:rsid w:val="00117AFA"/>
    <w:rsid w:val="00141DB8"/>
    <w:rsid w:val="00167246"/>
    <w:rsid w:val="00172084"/>
    <w:rsid w:val="0017474A"/>
    <w:rsid w:val="001758C6"/>
    <w:rsid w:val="00182B99"/>
    <w:rsid w:val="001D1213"/>
    <w:rsid w:val="001E02EC"/>
    <w:rsid w:val="001F16B6"/>
    <w:rsid w:val="0021332C"/>
    <w:rsid w:val="00213982"/>
    <w:rsid w:val="00214DAE"/>
    <w:rsid w:val="002272D2"/>
    <w:rsid w:val="00243C74"/>
    <w:rsid w:val="00244119"/>
    <w:rsid w:val="0024416D"/>
    <w:rsid w:val="00245163"/>
    <w:rsid w:val="00252944"/>
    <w:rsid w:val="002535C9"/>
    <w:rsid w:val="002551C6"/>
    <w:rsid w:val="00271911"/>
    <w:rsid w:val="002800A0"/>
    <w:rsid w:val="002801B3"/>
    <w:rsid w:val="00281060"/>
    <w:rsid w:val="0028739C"/>
    <w:rsid w:val="002940E8"/>
    <w:rsid w:val="00294751"/>
    <w:rsid w:val="002A3829"/>
    <w:rsid w:val="002A6E50"/>
    <w:rsid w:val="002B4298"/>
    <w:rsid w:val="002B7C69"/>
    <w:rsid w:val="002C256A"/>
    <w:rsid w:val="002D55DC"/>
    <w:rsid w:val="002D60CB"/>
    <w:rsid w:val="002E1E1C"/>
    <w:rsid w:val="002E53F4"/>
    <w:rsid w:val="002F3EA4"/>
    <w:rsid w:val="002F73A3"/>
    <w:rsid w:val="00304827"/>
    <w:rsid w:val="00305A7F"/>
    <w:rsid w:val="003152FE"/>
    <w:rsid w:val="00327436"/>
    <w:rsid w:val="00344BD6"/>
    <w:rsid w:val="0035528D"/>
    <w:rsid w:val="00361821"/>
    <w:rsid w:val="00361E9E"/>
    <w:rsid w:val="00364426"/>
    <w:rsid w:val="003C7FBE"/>
    <w:rsid w:val="003D227C"/>
    <w:rsid w:val="003D2B4D"/>
    <w:rsid w:val="003D347D"/>
    <w:rsid w:val="00402E8F"/>
    <w:rsid w:val="00421566"/>
    <w:rsid w:val="0042402F"/>
    <w:rsid w:val="00444A88"/>
    <w:rsid w:val="00474DA4"/>
    <w:rsid w:val="00476B4D"/>
    <w:rsid w:val="00477F48"/>
    <w:rsid w:val="004805FA"/>
    <w:rsid w:val="004935D2"/>
    <w:rsid w:val="00494F3B"/>
    <w:rsid w:val="004A5891"/>
    <w:rsid w:val="004B1215"/>
    <w:rsid w:val="004C142C"/>
    <w:rsid w:val="004D047D"/>
    <w:rsid w:val="004D20D1"/>
    <w:rsid w:val="004F1E9E"/>
    <w:rsid w:val="004F305A"/>
    <w:rsid w:val="0050378C"/>
    <w:rsid w:val="00512164"/>
    <w:rsid w:val="00515F7C"/>
    <w:rsid w:val="00520297"/>
    <w:rsid w:val="005278A8"/>
    <w:rsid w:val="005338F9"/>
    <w:rsid w:val="0054281C"/>
    <w:rsid w:val="00544581"/>
    <w:rsid w:val="0055268D"/>
    <w:rsid w:val="0055751E"/>
    <w:rsid w:val="0056188E"/>
    <w:rsid w:val="00571D53"/>
    <w:rsid w:val="00574701"/>
    <w:rsid w:val="00574E68"/>
    <w:rsid w:val="00576BE4"/>
    <w:rsid w:val="00582D08"/>
    <w:rsid w:val="00584268"/>
    <w:rsid w:val="005A400A"/>
    <w:rsid w:val="005D1380"/>
    <w:rsid w:val="005F7B92"/>
    <w:rsid w:val="00606102"/>
    <w:rsid w:val="00612379"/>
    <w:rsid w:val="006153B6"/>
    <w:rsid w:val="0061555F"/>
    <w:rsid w:val="00636CA6"/>
    <w:rsid w:val="00641200"/>
    <w:rsid w:val="006448BA"/>
    <w:rsid w:val="00645CA8"/>
    <w:rsid w:val="00653670"/>
    <w:rsid w:val="00663C67"/>
    <w:rsid w:val="006655D3"/>
    <w:rsid w:val="00667404"/>
    <w:rsid w:val="00687EB4"/>
    <w:rsid w:val="00694897"/>
    <w:rsid w:val="00695C56"/>
    <w:rsid w:val="006A161A"/>
    <w:rsid w:val="006A5CDE"/>
    <w:rsid w:val="006A644A"/>
    <w:rsid w:val="006B17D2"/>
    <w:rsid w:val="006B2C91"/>
    <w:rsid w:val="006B4686"/>
    <w:rsid w:val="006C224E"/>
    <w:rsid w:val="006D1444"/>
    <w:rsid w:val="006D7435"/>
    <w:rsid w:val="006D780A"/>
    <w:rsid w:val="007039BF"/>
    <w:rsid w:val="0071271E"/>
    <w:rsid w:val="00732DEC"/>
    <w:rsid w:val="00735BD5"/>
    <w:rsid w:val="00751613"/>
    <w:rsid w:val="007556F6"/>
    <w:rsid w:val="00760EEF"/>
    <w:rsid w:val="00777EE5"/>
    <w:rsid w:val="00784836"/>
    <w:rsid w:val="0079023E"/>
    <w:rsid w:val="007A2854"/>
    <w:rsid w:val="007A5CA0"/>
    <w:rsid w:val="007B7013"/>
    <w:rsid w:val="007C1D92"/>
    <w:rsid w:val="007C4CB9"/>
    <w:rsid w:val="007D0B9D"/>
    <w:rsid w:val="007D19B0"/>
    <w:rsid w:val="007E6BBE"/>
    <w:rsid w:val="007F498F"/>
    <w:rsid w:val="007F7D0B"/>
    <w:rsid w:val="0080679D"/>
    <w:rsid w:val="008108B0"/>
    <w:rsid w:val="00811B20"/>
    <w:rsid w:val="008211B5"/>
    <w:rsid w:val="0082296E"/>
    <w:rsid w:val="00824099"/>
    <w:rsid w:val="008250C8"/>
    <w:rsid w:val="0084455A"/>
    <w:rsid w:val="00846D7C"/>
    <w:rsid w:val="00867AC1"/>
    <w:rsid w:val="008779F9"/>
    <w:rsid w:val="00890DF8"/>
    <w:rsid w:val="008A743F"/>
    <w:rsid w:val="008B44FC"/>
    <w:rsid w:val="008B6E60"/>
    <w:rsid w:val="008C0970"/>
    <w:rsid w:val="008D0BC5"/>
    <w:rsid w:val="008D2CF7"/>
    <w:rsid w:val="008D3E41"/>
    <w:rsid w:val="008D7E86"/>
    <w:rsid w:val="00900C26"/>
    <w:rsid w:val="0090197F"/>
    <w:rsid w:val="00906DDC"/>
    <w:rsid w:val="0091714B"/>
    <w:rsid w:val="00917AAB"/>
    <w:rsid w:val="009243C0"/>
    <w:rsid w:val="00934E09"/>
    <w:rsid w:val="00935115"/>
    <w:rsid w:val="00936253"/>
    <w:rsid w:val="00940D46"/>
    <w:rsid w:val="009432D0"/>
    <w:rsid w:val="00952DD4"/>
    <w:rsid w:val="00965AE7"/>
    <w:rsid w:val="00970FED"/>
    <w:rsid w:val="009768FA"/>
    <w:rsid w:val="00985E66"/>
    <w:rsid w:val="00992D82"/>
    <w:rsid w:val="009939B2"/>
    <w:rsid w:val="00997029"/>
    <w:rsid w:val="009A7339"/>
    <w:rsid w:val="009B440E"/>
    <w:rsid w:val="009C4F3D"/>
    <w:rsid w:val="009D3262"/>
    <w:rsid w:val="009D690D"/>
    <w:rsid w:val="009E65B6"/>
    <w:rsid w:val="009F73E6"/>
    <w:rsid w:val="00A11F1C"/>
    <w:rsid w:val="00A24C10"/>
    <w:rsid w:val="00A35451"/>
    <w:rsid w:val="00A37C2B"/>
    <w:rsid w:val="00A42AC3"/>
    <w:rsid w:val="00A430CF"/>
    <w:rsid w:val="00A54309"/>
    <w:rsid w:val="00A63229"/>
    <w:rsid w:val="00A64A58"/>
    <w:rsid w:val="00AA18B2"/>
    <w:rsid w:val="00AA50A2"/>
    <w:rsid w:val="00AB2B93"/>
    <w:rsid w:val="00AB530F"/>
    <w:rsid w:val="00AB7E5B"/>
    <w:rsid w:val="00AC2883"/>
    <w:rsid w:val="00AC5A1C"/>
    <w:rsid w:val="00AD5A29"/>
    <w:rsid w:val="00AE0EF1"/>
    <w:rsid w:val="00AE2937"/>
    <w:rsid w:val="00B07301"/>
    <w:rsid w:val="00B104FC"/>
    <w:rsid w:val="00B11F3E"/>
    <w:rsid w:val="00B224DE"/>
    <w:rsid w:val="00B324D4"/>
    <w:rsid w:val="00B418BC"/>
    <w:rsid w:val="00B46575"/>
    <w:rsid w:val="00B608F4"/>
    <w:rsid w:val="00B61777"/>
    <w:rsid w:val="00B80B6E"/>
    <w:rsid w:val="00B84BBD"/>
    <w:rsid w:val="00B96168"/>
    <w:rsid w:val="00BA43FB"/>
    <w:rsid w:val="00BB224D"/>
    <w:rsid w:val="00BC127D"/>
    <w:rsid w:val="00BC1FE6"/>
    <w:rsid w:val="00BC5F55"/>
    <w:rsid w:val="00C061B6"/>
    <w:rsid w:val="00C10350"/>
    <w:rsid w:val="00C144F8"/>
    <w:rsid w:val="00C20C76"/>
    <w:rsid w:val="00C2446C"/>
    <w:rsid w:val="00C36AE5"/>
    <w:rsid w:val="00C41F17"/>
    <w:rsid w:val="00C47643"/>
    <w:rsid w:val="00C527FA"/>
    <w:rsid w:val="00C5280D"/>
    <w:rsid w:val="00C53EB3"/>
    <w:rsid w:val="00C5791C"/>
    <w:rsid w:val="00C66290"/>
    <w:rsid w:val="00C72B7A"/>
    <w:rsid w:val="00C72CA6"/>
    <w:rsid w:val="00C76E15"/>
    <w:rsid w:val="00C8269C"/>
    <w:rsid w:val="00C94E84"/>
    <w:rsid w:val="00C973F2"/>
    <w:rsid w:val="00CA304C"/>
    <w:rsid w:val="00CA774A"/>
    <w:rsid w:val="00CC11B0"/>
    <w:rsid w:val="00CC2841"/>
    <w:rsid w:val="00CF010B"/>
    <w:rsid w:val="00CF1330"/>
    <w:rsid w:val="00CF519C"/>
    <w:rsid w:val="00CF6022"/>
    <w:rsid w:val="00CF7E36"/>
    <w:rsid w:val="00D035F3"/>
    <w:rsid w:val="00D052FF"/>
    <w:rsid w:val="00D21DB7"/>
    <w:rsid w:val="00D3708D"/>
    <w:rsid w:val="00D40426"/>
    <w:rsid w:val="00D534B2"/>
    <w:rsid w:val="00D57C96"/>
    <w:rsid w:val="00D57D18"/>
    <w:rsid w:val="00D707CB"/>
    <w:rsid w:val="00D91203"/>
    <w:rsid w:val="00D95174"/>
    <w:rsid w:val="00DA4973"/>
    <w:rsid w:val="00DA6F36"/>
    <w:rsid w:val="00DB596E"/>
    <w:rsid w:val="00DB7773"/>
    <w:rsid w:val="00DC00EA"/>
    <w:rsid w:val="00DC3802"/>
    <w:rsid w:val="00DD7591"/>
    <w:rsid w:val="00E07D87"/>
    <w:rsid w:val="00E154AB"/>
    <w:rsid w:val="00E21459"/>
    <w:rsid w:val="00E32F7E"/>
    <w:rsid w:val="00E477E9"/>
    <w:rsid w:val="00E5267B"/>
    <w:rsid w:val="00E57528"/>
    <w:rsid w:val="00E629F1"/>
    <w:rsid w:val="00E63C0E"/>
    <w:rsid w:val="00E72D49"/>
    <w:rsid w:val="00E75233"/>
    <w:rsid w:val="00E7593C"/>
    <w:rsid w:val="00E7678A"/>
    <w:rsid w:val="00E915EA"/>
    <w:rsid w:val="00E9222D"/>
    <w:rsid w:val="00E935F1"/>
    <w:rsid w:val="00E94A81"/>
    <w:rsid w:val="00EA1FFB"/>
    <w:rsid w:val="00EA28DF"/>
    <w:rsid w:val="00EA4930"/>
    <w:rsid w:val="00EB048E"/>
    <w:rsid w:val="00EB4E9C"/>
    <w:rsid w:val="00EB579E"/>
    <w:rsid w:val="00EE34DF"/>
    <w:rsid w:val="00EF1331"/>
    <w:rsid w:val="00EF2F89"/>
    <w:rsid w:val="00EF7346"/>
    <w:rsid w:val="00F01EEF"/>
    <w:rsid w:val="00F03CAE"/>
    <w:rsid w:val="00F03E98"/>
    <w:rsid w:val="00F101A0"/>
    <w:rsid w:val="00F1237A"/>
    <w:rsid w:val="00F12507"/>
    <w:rsid w:val="00F21ACE"/>
    <w:rsid w:val="00F22CBD"/>
    <w:rsid w:val="00F272F1"/>
    <w:rsid w:val="00F345F0"/>
    <w:rsid w:val="00F35083"/>
    <w:rsid w:val="00F45372"/>
    <w:rsid w:val="00F560F7"/>
    <w:rsid w:val="00F6334D"/>
    <w:rsid w:val="00F70DFE"/>
    <w:rsid w:val="00FA3671"/>
    <w:rsid w:val="00FA49AB"/>
    <w:rsid w:val="00FB0F03"/>
    <w:rsid w:val="00FB5F5B"/>
    <w:rsid w:val="00FD0EA9"/>
    <w:rsid w:val="00FE09DD"/>
    <w:rsid w:val="00FE39C7"/>
    <w:rsid w:val="00FE3E6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36CC0C"/>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4A5891"/>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4A5891"/>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4C142C"/>
    <w:rPr>
      <w:rFonts w:ascii="Arial" w:hAnsi="Arial"/>
      <w:u w:val="single"/>
    </w:rPr>
  </w:style>
  <w:style w:type="character" w:customStyle="1" w:styleId="Heading3Char">
    <w:name w:val="Heading 3 Char"/>
    <w:basedOn w:val="DefaultParagraphFont"/>
    <w:link w:val="Heading3"/>
    <w:rsid w:val="002F3EA4"/>
    <w:rPr>
      <w:rFonts w:ascii="Arial" w:hAnsi="Arial"/>
      <w:i/>
    </w:rPr>
  </w:style>
  <w:style w:type="character" w:customStyle="1" w:styleId="Heading4Char">
    <w:name w:val="Heading 4 Char"/>
    <w:basedOn w:val="DefaultParagraphFont"/>
    <w:link w:val="Heading4"/>
    <w:rsid w:val="002A3829"/>
    <w:rPr>
      <w:rFonts w:ascii="Arial" w:hAnsi="Arial"/>
      <w:u w:val="single"/>
      <w:lang w:val="fr-FR"/>
    </w:rPr>
  </w:style>
  <w:style w:type="character" w:styleId="CommentReference">
    <w:name w:val="annotation reference"/>
    <w:basedOn w:val="DefaultParagraphFont"/>
    <w:semiHidden/>
    <w:unhideWhenUsed/>
    <w:rsid w:val="006B4686"/>
    <w:rPr>
      <w:sz w:val="16"/>
      <w:szCs w:val="16"/>
    </w:rPr>
  </w:style>
  <w:style w:type="paragraph" w:styleId="CommentText">
    <w:name w:val="annotation text"/>
    <w:basedOn w:val="Normal"/>
    <w:link w:val="CommentTextChar"/>
    <w:unhideWhenUsed/>
    <w:rsid w:val="006B4686"/>
  </w:style>
  <w:style w:type="character" w:customStyle="1" w:styleId="CommentTextChar">
    <w:name w:val="Comment Text Char"/>
    <w:basedOn w:val="DefaultParagraphFont"/>
    <w:link w:val="CommentText"/>
    <w:rsid w:val="006B4686"/>
    <w:rPr>
      <w:rFonts w:ascii="Arial" w:hAnsi="Arial"/>
    </w:rPr>
  </w:style>
  <w:style w:type="paragraph" w:styleId="CommentSubject">
    <w:name w:val="annotation subject"/>
    <w:basedOn w:val="CommentText"/>
    <w:next w:val="CommentText"/>
    <w:link w:val="CommentSubjectChar"/>
    <w:semiHidden/>
    <w:unhideWhenUsed/>
    <w:rsid w:val="006B4686"/>
    <w:rPr>
      <w:b/>
      <w:bCs/>
    </w:rPr>
  </w:style>
  <w:style w:type="character" w:customStyle="1" w:styleId="CommentSubjectChar">
    <w:name w:val="Comment Subject Char"/>
    <w:basedOn w:val="CommentTextChar"/>
    <w:link w:val="CommentSubject"/>
    <w:semiHidden/>
    <w:rsid w:val="006B4686"/>
    <w:rPr>
      <w:rFonts w:ascii="Arial" w:hAnsi="Arial"/>
      <w:b/>
      <w:bCs/>
    </w:rPr>
  </w:style>
  <w:style w:type="paragraph" w:styleId="ListParagraph">
    <w:name w:val="List Paragraph"/>
    <w:basedOn w:val="Normal"/>
    <w:uiPriority w:val="34"/>
    <w:qFormat/>
    <w:rsid w:val="00424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7CF4-D579-47AF-B26B-516AEAF2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2885</Words>
  <Characters>20201</Characters>
  <Application>Microsoft Office Word</Application>
  <DocSecurity>0</DocSecurity>
  <Lines>168</Lines>
  <Paragraphs>46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TC/56/3</vt:lpstr>
      <vt:lpstr>TC/56/3</vt:lpstr>
    </vt:vector>
  </TitlesOfParts>
  <Company>UPOV</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TC/56/3</dc:title>
  <dc:creator>MAY Jessica</dc:creator>
  <cp:lastModifiedBy>MAY Jessica</cp:lastModifiedBy>
  <cp:revision>4</cp:revision>
  <cp:lastPrinted>2020-10-16T09:39:00Z</cp:lastPrinted>
  <dcterms:created xsi:type="dcterms:W3CDTF">2020-10-21T13:42:00Z</dcterms:created>
  <dcterms:modified xsi:type="dcterms:W3CDTF">2020-11-19T13:25:00Z</dcterms:modified>
</cp:coreProperties>
</file>