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32052" w:rsidTr="00EB4E9C">
        <w:tc>
          <w:tcPr>
            <w:tcW w:w="6522" w:type="dxa"/>
          </w:tcPr>
          <w:p w:rsidR="00DC3802" w:rsidRPr="00832052" w:rsidRDefault="00DC3802" w:rsidP="00AC2883">
            <w:r>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832052" w:rsidRDefault="00DC3802" w:rsidP="00AC2883">
            <w:pPr>
              <w:pStyle w:val="Lettrine"/>
            </w:pPr>
            <w:r>
              <w:t>G</w:t>
            </w:r>
          </w:p>
        </w:tc>
      </w:tr>
      <w:tr w:rsidR="00DC3802" w:rsidRPr="00832052" w:rsidTr="00645CA8">
        <w:trPr>
          <w:trHeight w:val="219"/>
        </w:trPr>
        <w:tc>
          <w:tcPr>
            <w:tcW w:w="6522" w:type="dxa"/>
          </w:tcPr>
          <w:p w:rsidR="00DC3802" w:rsidRPr="00832052" w:rsidRDefault="00DC3802" w:rsidP="00AC2883">
            <w:pPr>
              <w:pStyle w:val="upove"/>
            </w:pPr>
            <w:r>
              <w:t>Internationaler Verband zum Schutz von Pflanzenzüchtungen</w:t>
            </w:r>
          </w:p>
        </w:tc>
        <w:tc>
          <w:tcPr>
            <w:tcW w:w="3117" w:type="dxa"/>
          </w:tcPr>
          <w:p w:rsidR="00DC3802" w:rsidRPr="00832052" w:rsidRDefault="00DC3802" w:rsidP="00DA4973"/>
        </w:tc>
      </w:tr>
    </w:tbl>
    <w:p w:rsidR="00DC3802" w:rsidRPr="00832052" w:rsidRDefault="00DC3802" w:rsidP="00DC3802"/>
    <w:p w:rsidR="00DA4973" w:rsidRPr="00832052"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832052" w:rsidTr="00EB4E9C">
        <w:tc>
          <w:tcPr>
            <w:tcW w:w="6512" w:type="dxa"/>
          </w:tcPr>
          <w:p w:rsidR="00EB4E9C" w:rsidRPr="00832052" w:rsidRDefault="00EB4E9C" w:rsidP="00AC2883">
            <w:pPr>
              <w:pStyle w:val="Sessiontc"/>
              <w:spacing w:line="240" w:lineRule="auto"/>
            </w:pPr>
            <w:r>
              <w:t>Technischer Ausschuss</w:t>
            </w:r>
          </w:p>
          <w:p w:rsidR="00EB4E9C" w:rsidRPr="00832052" w:rsidRDefault="00EB4E9C" w:rsidP="00E75233">
            <w:pPr>
              <w:pStyle w:val="Sessiontcplacedate"/>
              <w:rPr>
                <w:sz w:val="22"/>
              </w:rPr>
            </w:pPr>
            <w:r>
              <w:t>Sechsundfünfzigste Tagung</w:t>
            </w:r>
            <w:r>
              <w:br/>
              <w:t>Genf, 26. und 27. Oktober 2020</w:t>
            </w:r>
          </w:p>
        </w:tc>
        <w:tc>
          <w:tcPr>
            <w:tcW w:w="3127" w:type="dxa"/>
          </w:tcPr>
          <w:p w:rsidR="00EB4E9C" w:rsidRPr="00832052" w:rsidRDefault="007645F2" w:rsidP="003C7FBE">
            <w:pPr>
              <w:pStyle w:val="Doccode"/>
            </w:pPr>
            <w:r>
              <w:t>TC/56/13</w:t>
            </w:r>
          </w:p>
          <w:p w:rsidR="00EB4E9C" w:rsidRPr="00832052" w:rsidRDefault="00EB4E9C" w:rsidP="003C7FBE">
            <w:pPr>
              <w:pStyle w:val="Docoriginal"/>
            </w:pPr>
            <w:r>
              <w:t>Original:</w:t>
            </w:r>
            <w:r>
              <w:rPr>
                <w:b w:val="0"/>
              </w:rPr>
              <w:t xml:space="preserve">  englisch</w:t>
            </w:r>
          </w:p>
          <w:p w:rsidR="00EB4E9C" w:rsidRPr="00832052" w:rsidRDefault="00EB4E9C" w:rsidP="00806AB4">
            <w:pPr>
              <w:pStyle w:val="Docoriginal"/>
            </w:pPr>
            <w:r>
              <w:t>Datum:</w:t>
            </w:r>
            <w:r>
              <w:rPr>
                <w:b w:val="0"/>
              </w:rPr>
              <w:t xml:space="preserve">  9. Oktober 2020</w:t>
            </w:r>
          </w:p>
        </w:tc>
      </w:tr>
    </w:tbl>
    <w:p w:rsidR="000D7780" w:rsidRPr="00832052" w:rsidRDefault="00E55141" w:rsidP="006A644A">
      <w:pPr>
        <w:pStyle w:val="Titleofdoc0"/>
      </w:pPr>
      <w:bookmarkStart w:id="0" w:name="TitleOfDoc"/>
      <w:bookmarkEnd w:id="0"/>
      <w:r>
        <w:t>ÜberARBEIT</w:t>
      </w:r>
      <w:r w:rsidR="007645F2">
        <w:t>ung von Dokument UPOV/INF/17 „Richtlinien für die DNS-Profilierung: Auswahl molekularer Marker und Aufbau von Datenbanken (‘BMT-Richtlinien’)”</w:t>
      </w:r>
    </w:p>
    <w:p w:rsidR="006A644A" w:rsidRPr="00832052" w:rsidRDefault="00AE0EF1" w:rsidP="006A644A">
      <w:pPr>
        <w:pStyle w:val="preparedby1"/>
        <w:jc w:val="left"/>
      </w:pPr>
      <w:bookmarkStart w:id="1" w:name="Prepared"/>
      <w:bookmarkEnd w:id="1"/>
      <w:r>
        <w:t>vom Verbandsbüro erstelltes Dokument</w:t>
      </w:r>
    </w:p>
    <w:p w:rsidR="00050E16" w:rsidRPr="00832052" w:rsidRDefault="00050E16" w:rsidP="006A644A">
      <w:pPr>
        <w:pStyle w:val="Disclaimer"/>
      </w:pPr>
      <w:r>
        <w:t>Haftungsausschluss:  dieses Dokument gibt nicht die Grundsätze oder eine Anleitung der UPOV wieder</w:t>
      </w:r>
    </w:p>
    <w:p w:rsidR="00050E16" w:rsidRPr="00832052" w:rsidRDefault="00403992" w:rsidP="00403992">
      <w:pPr>
        <w:pStyle w:val="Heading1"/>
      </w:pPr>
      <w:bookmarkStart w:id="2" w:name="_Toc54183030"/>
      <w:bookmarkStart w:id="3" w:name="_Toc54183291"/>
      <w:bookmarkStart w:id="4" w:name="_Toc54183550"/>
      <w:bookmarkStart w:id="5" w:name="_Toc54183604"/>
      <w:bookmarkStart w:id="6" w:name="_Toc54183617"/>
      <w:r>
        <w:t>Zusammenfassung</w:t>
      </w:r>
      <w:bookmarkEnd w:id="2"/>
      <w:bookmarkEnd w:id="3"/>
      <w:bookmarkEnd w:id="4"/>
      <w:bookmarkEnd w:id="5"/>
      <w:bookmarkEnd w:id="6"/>
    </w:p>
    <w:p w:rsidR="00403992" w:rsidRPr="00832052" w:rsidRDefault="00403992" w:rsidP="004B1215"/>
    <w:p w:rsidR="00403992" w:rsidRPr="00832052" w:rsidRDefault="00403992" w:rsidP="004B1215">
      <w:r w:rsidRPr="00832052">
        <w:fldChar w:fldCharType="begin"/>
      </w:r>
      <w:r w:rsidRPr="00832052">
        <w:instrText xml:space="preserve"> AUTONUM  </w:instrText>
      </w:r>
      <w:r w:rsidRPr="00832052">
        <w:fldChar w:fldCharType="end"/>
      </w:r>
      <w:r>
        <w:tab/>
        <w:t>Zweck dieses Dokuments ist es, einen Vorschlag für die Überarbeitung von Dokument UPOV/INF/17 „Richtlinien für die DNS</w:t>
      </w:r>
      <w:r>
        <w:noBreakHyphen/>
        <w:t xml:space="preserve">Profilierung: Auswahl molekularer Marker und Aufbau von Datenbanken (‘BMT-Richtlinien’), wie in Dokument UPOV/INF/17/2 </w:t>
      </w:r>
      <w:proofErr w:type="spellStart"/>
      <w:r>
        <w:t>Draft</w:t>
      </w:r>
      <w:proofErr w:type="spellEnd"/>
      <w:r>
        <w:t xml:space="preserve"> 4 und in der Anlage dieses Dokuments dargelegt</w:t>
      </w:r>
      <w:r w:rsidR="00E55141">
        <w:t>, zu unterbreiten</w:t>
      </w:r>
      <w:r>
        <w:t>.</w:t>
      </w:r>
    </w:p>
    <w:p w:rsidR="003A27EF" w:rsidRDefault="003A27EF" w:rsidP="003A27EF"/>
    <w:p w:rsidR="003A10BA" w:rsidRDefault="003A10BA" w:rsidP="003A10BA">
      <w:r>
        <w:fldChar w:fldCharType="begin"/>
      </w:r>
      <w:r>
        <w:instrText xml:space="preserve"> AUTONUM  </w:instrText>
      </w:r>
      <w:r>
        <w:fldChar w:fldCharType="end"/>
      </w:r>
      <w:r>
        <w:tab/>
        <w:t xml:space="preserve">Der TC wird ersucht: </w:t>
      </w:r>
    </w:p>
    <w:p w:rsidR="003A10BA" w:rsidRDefault="003A10BA" w:rsidP="003A10BA"/>
    <w:p w:rsidR="003A10BA" w:rsidRDefault="003A10BA" w:rsidP="003A10BA">
      <w:r>
        <w:tab/>
        <w:t>a)</w:t>
      </w:r>
      <w:r>
        <w:tab/>
        <w:t xml:space="preserve">die vorgeschlagene Überarbeitung von Dokument UPOV/INF/17 auf der Grundlage von Dokument UPOV/INF17/2 </w:t>
      </w:r>
      <w:proofErr w:type="spellStart"/>
      <w:r>
        <w:t>Draft</w:t>
      </w:r>
      <w:proofErr w:type="spellEnd"/>
      <w:r>
        <w:t xml:space="preserve"> 4 zu prüfen; </w:t>
      </w:r>
    </w:p>
    <w:p w:rsidR="003A10BA" w:rsidRDefault="003A10BA" w:rsidP="003A10BA"/>
    <w:p w:rsidR="003A10BA" w:rsidRDefault="003A10BA" w:rsidP="003A10BA">
      <w:r>
        <w:tab/>
        <w:t xml:space="preserve">b) </w:t>
      </w:r>
      <w:r>
        <w:tab/>
        <w:t xml:space="preserve">die TWP zu ersuchen, auf ihren Tagungen im Jahr 2021 den Entwurf einer Überarbeitung von Dokument UPOV/INF/17/1 (Dokument UPOV/INF/17/2 </w:t>
      </w:r>
      <w:proofErr w:type="spellStart"/>
      <w:r>
        <w:t>Draft</w:t>
      </w:r>
      <w:proofErr w:type="spellEnd"/>
      <w:r>
        <w:t xml:space="preserve"> 5) zu prüfen; und</w:t>
      </w:r>
    </w:p>
    <w:p w:rsidR="003A10BA" w:rsidRDefault="003A10BA" w:rsidP="003A10BA"/>
    <w:p w:rsidR="003A27EF" w:rsidRDefault="003A10BA" w:rsidP="003A10BA">
      <w:r>
        <w:tab/>
      </w:r>
      <w:r w:rsidR="00B04166">
        <w:t xml:space="preserve">c) </w:t>
      </w:r>
      <w:r w:rsidR="00B04166">
        <w:tab/>
        <w:t xml:space="preserve">zur Kenntnis zu nehmen, dass dem Rat auf seiner fünfundfünfzigsten Tagung vom 29. Oktober 2021, vorbehaltlich der Zustimmung des TC auf seiner siebenundfünfzigsten Tagung und des CAJ auf seiner achtundsiebzigsten Tagung im Jahr 2021, ein Entwurf einer Überarbeitung von Dokument UPOV/INF/17 (UPOV/INF/17/2 </w:t>
      </w:r>
      <w:proofErr w:type="spellStart"/>
      <w:r w:rsidR="00B04166">
        <w:t>Draft</w:t>
      </w:r>
      <w:proofErr w:type="spellEnd"/>
      <w:r w:rsidR="00B04166">
        <w:t xml:space="preserve"> 6) zur Annahme vorgeschlagen werde.</w:t>
      </w:r>
    </w:p>
    <w:p w:rsidR="003A10BA" w:rsidRPr="00832052" w:rsidRDefault="003A10BA" w:rsidP="003A10BA"/>
    <w:p w:rsidR="006438FF" w:rsidRPr="00832052" w:rsidRDefault="007B4D86" w:rsidP="006438FF">
      <w:pPr>
        <w:keepNext/>
        <w:spacing w:after="120"/>
        <w:rPr>
          <w:rFonts w:cs="Arial"/>
        </w:rPr>
      </w:pPr>
      <w:r w:rsidRPr="00832052">
        <w:rPr>
          <w:rFonts w:cs="Arial"/>
        </w:rPr>
        <w:fldChar w:fldCharType="begin"/>
      </w:r>
      <w:r w:rsidRPr="00832052">
        <w:rPr>
          <w:rFonts w:cs="Arial"/>
        </w:rPr>
        <w:instrText xml:space="preserve"> AUTONUM  </w:instrText>
      </w:r>
      <w:r w:rsidRPr="00832052">
        <w:rPr>
          <w:rFonts w:cs="Arial"/>
        </w:rPr>
        <w:fldChar w:fldCharType="end"/>
      </w:r>
      <w:r>
        <w:tab/>
      </w:r>
      <w:r w:rsidR="006438FF">
        <w:t>Der Aufbau dieses Dokuments ist wie folgt:</w:t>
      </w:r>
    </w:p>
    <w:p w:rsidR="006438FF" w:rsidRDefault="006438FF" w:rsidP="00F27F3F">
      <w:pPr>
        <w:pStyle w:val="TOC1"/>
        <w:rPr>
          <w:rFonts w:asciiTheme="minorHAnsi" w:eastAsiaTheme="minorEastAsia" w:hAnsiTheme="minorHAnsi" w:cstheme="minorBidi"/>
          <w:noProof/>
          <w:sz w:val="22"/>
          <w:szCs w:val="22"/>
          <w:lang w:eastAsia="de-DE"/>
        </w:rPr>
      </w:pPr>
      <w:r>
        <w:rPr>
          <w:rFonts w:cs="Arial"/>
          <w:sz w:val="14"/>
        </w:rPr>
        <w:fldChar w:fldCharType="begin"/>
      </w:r>
      <w:r>
        <w:rPr>
          <w:rFonts w:cs="Arial"/>
          <w:sz w:val="14"/>
        </w:rPr>
        <w:instrText xml:space="preserve"> TOC \o "1-1" \h \z \u </w:instrText>
      </w:r>
      <w:r>
        <w:rPr>
          <w:rFonts w:cs="Arial"/>
          <w:sz w:val="14"/>
        </w:rPr>
        <w:fldChar w:fldCharType="separate"/>
      </w:r>
      <w:hyperlink w:anchor="_Toc54184768" w:history="1">
        <w:r w:rsidRPr="00D53CC8">
          <w:rPr>
            <w:rStyle w:val="Hyperlink"/>
            <w:noProof/>
          </w:rPr>
          <w:t>Zusammenfassung</w:t>
        </w:r>
        <w:r>
          <w:rPr>
            <w:noProof/>
            <w:webHidden/>
          </w:rPr>
          <w:tab/>
        </w:r>
        <w:r>
          <w:rPr>
            <w:noProof/>
            <w:webHidden/>
          </w:rPr>
          <w:fldChar w:fldCharType="begin"/>
        </w:r>
        <w:r>
          <w:rPr>
            <w:noProof/>
            <w:webHidden/>
          </w:rPr>
          <w:instrText xml:space="preserve"> PAGEREF _Toc54184768 \h </w:instrText>
        </w:r>
        <w:r>
          <w:rPr>
            <w:noProof/>
            <w:webHidden/>
          </w:rPr>
        </w:r>
        <w:r>
          <w:rPr>
            <w:noProof/>
            <w:webHidden/>
          </w:rPr>
          <w:fldChar w:fldCharType="separate"/>
        </w:r>
        <w:r>
          <w:rPr>
            <w:noProof/>
            <w:webHidden/>
          </w:rPr>
          <w:t>1</w:t>
        </w:r>
        <w:r>
          <w:rPr>
            <w:noProof/>
            <w:webHidden/>
          </w:rPr>
          <w:fldChar w:fldCharType="end"/>
        </w:r>
      </w:hyperlink>
    </w:p>
    <w:p w:rsidR="006438FF" w:rsidRDefault="00F27F3F" w:rsidP="00F27F3F">
      <w:pPr>
        <w:pStyle w:val="TOC1"/>
        <w:rPr>
          <w:rFonts w:asciiTheme="minorHAnsi" w:eastAsiaTheme="minorEastAsia" w:hAnsiTheme="minorHAnsi" w:cstheme="minorBidi"/>
          <w:noProof/>
          <w:sz w:val="22"/>
          <w:szCs w:val="22"/>
          <w:lang w:eastAsia="de-DE"/>
        </w:rPr>
      </w:pPr>
      <w:hyperlink w:anchor="_Toc54184769" w:history="1">
        <w:r w:rsidR="006438FF" w:rsidRPr="00D53CC8">
          <w:rPr>
            <w:rStyle w:val="Hyperlink"/>
            <w:noProof/>
          </w:rPr>
          <w:t>HINTERGRUND</w:t>
        </w:r>
        <w:r w:rsidR="006438FF">
          <w:rPr>
            <w:noProof/>
            <w:webHidden/>
          </w:rPr>
          <w:tab/>
        </w:r>
        <w:r w:rsidR="006438FF">
          <w:rPr>
            <w:noProof/>
            <w:webHidden/>
          </w:rPr>
          <w:fldChar w:fldCharType="begin"/>
        </w:r>
        <w:r w:rsidR="006438FF">
          <w:rPr>
            <w:noProof/>
            <w:webHidden/>
          </w:rPr>
          <w:instrText xml:space="preserve"> PAGEREF _Toc54184769 \h </w:instrText>
        </w:r>
        <w:r w:rsidR="006438FF">
          <w:rPr>
            <w:noProof/>
            <w:webHidden/>
          </w:rPr>
        </w:r>
        <w:r w:rsidR="006438FF">
          <w:rPr>
            <w:noProof/>
            <w:webHidden/>
          </w:rPr>
          <w:fldChar w:fldCharType="separate"/>
        </w:r>
        <w:r w:rsidR="006438FF">
          <w:rPr>
            <w:noProof/>
            <w:webHidden/>
          </w:rPr>
          <w:t>2</w:t>
        </w:r>
        <w:r w:rsidR="006438FF">
          <w:rPr>
            <w:noProof/>
            <w:webHidden/>
          </w:rPr>
          <w:fldChar w:fldCharType="end"/>
        </w:r>
      </w:hyperlink>
    </w:p>
    <w:p w:rsidR="006438FF" w:rsidRDefault="00F27F3F" w:rsidP="00F27F3F">
      <w:pPr>
        <w:pStyle w:val="TOC1"/>
        <w:rPr>
          <w:rFonts w:asciiTheme="minorHAnsi" w:eastAsiaTheme="minorEastAsia" w:hAnsiTheme="minorHAnsi" w:cstheme="minorBidi"/>
          <w:noProof/>
          <w:sz w:val="22"/>
          <w:szCs w:val="22"/>
          <w:lang w:eastAsia="de-DE"/>
        </w:rPr>
      </w:pPr>
      <w:hyperlink w:anchor="_Toc54184770" w:history="1">
        <w:r w:rsidR="006438FF" w:rsidRPr="00D53CC8">
          <w:rPr>
            <w:rStyle w:val="Hyperlink"/>
            <w:noProof/>
          </w:rPr>
          <w:t>Entwicklungen auf der neunzehnten Tagung der BMT</w:t>
        </w:r>
        <w:r w:rsidR="006438FF">
          <w:rPr>
            <w:noProof/>
            <w:webHidden/>
          </w:rPr>
          <w:tab/>
        </w:r>
        <w:r w:rsidR="006438FF">
          <w:rPr>
            <w:noProof/>
            <w:webHidden/>
          </w:rPr>
          <w:fldChar w:fldCharType="begin"/>
        </w:r>
        <w:r w:rsidR="006438FF">
          <w:rPr>
            <w:noProof/>
            <w:webHidden/>
          </w:rPr>
          <w:instrText xml:space="preserve"> PAGEREF _Toc54184770 \h </w:instrText>
        </w:r>
        <w:r w:rsidR="006438FF">
          <w:rPr>
            <w:noProof/>
            <w:webHidden/>
          </w:rPr>
        </w:r>
        <w:r w:rsidR="006438FF">
          <w:rPr>
            <w:noProof/>
            <w:webHidden/>
          </w:rPr>
          <w:fldChar w:fldCharType="separate"/>
        </w:r>
        <w:r w:rsidR="006438FF">
          <w:rPr>
            <w:noProof/>
            <w:webHidden/>
          </w:rPr>
          <w:t>2</w:t>
        </w:r>
        <w:r w:rsidR="006438FF">
          <w:rPr>
            <w:noProof/>
            <w:webHidden/>
          </w:rPr>
          <w:fldChar w:fldCharType="end"/>
        </w:r>
      </w:hyperlink>
    </w:p>
    <w:p w:rsidR="006438FF" w:rsidRDefault="00F27F3F" w:rsidP="00F27F3F">
      <w:pPr>
        <w:pStyle w:val="TOC1"/>
        <w:rPr>
          <w:rFonts w:asciiTheme="minorHAnsi" w:eastAsiaTheme="minorEastAsia" w:hAnsiTheme="minorHAnsi" w:cstheme="minorBidi"/>
          <w:noProof/>
          <w:sz w:val="22"/>
          <w:szCs w:val="22"/>
          <w:lang w:eastAsia="de-DE"/>
        </w:rPr>
      </w:pPr>
      <w:hyperlink w:anchor="_Toc54184771" w:history="1">
        <w:r w:rsidR="006438FF" w:rsidRPr="00D53CC8">
          <w:rPr>
            <w:rStyle w:val="Hyperlink"/>
            <w:noProof/>
          </w:rPr>
          <w:t>NÄCHSTE SCHRITTE</w:t>
        </w:r>
        <w:r w:rsidR="006438FF">
          <w:rPr>
            <w:noProof/>
            <w:webHidden/>
          </w:rPr>
          <w:tab/>
        </w:r>
        <w:r w:rsidR="006438FF">
          <w:rPr>
            <w:noProof/>
            <w:webHidden/>
          </w:rPr>
          <w:fldChar w:fldCharType="begin"/>
        </w:r>
        <w:r w:rsidR="006438FF">
          <w:rPr>
            <w:noProof/>
            <w:webHidden/>
          </w:rPr>
          <w:instrText xml:space="preserve"> PAGEREF _Toc54184771 \h </w:instrText>
        </w:r>
        <w:r w:rsidR="006438FF">
          <w:rPr>
            <w:noProof/>
            <w:webHidden/>
          </w:rPr>
        </w:r>
        <w:r w:rsidR="006438FF">
          <w:rPr>
            <w:noProof/>
            <w:webHidden/>
          </w:rPr>
          <w:fldChar w:fldCharType="separate"/>
        </w:r>
        <w:r w:rsidR="006438FF">
          <w:rPr>
            <w:noProof/>
            <w:webHidden/>
          </w:rPr>
          <w:t>2</w:t>
        </w:r>
        <w:r w:rsidR="006438FF">
          <w:rPr>
            <w:noProof/>
            <w:webHidden/>
          </w:rPr>
          <w:fldChar w:fldCharType="end"/>
        </w:r>
      </w:hyperlink>
    </w:p>
    <w:p w:rsidR="006438FF" w:rsidRDefault="006438FF" w:rsidP="00F27F3F">
      <w:pPr>
        <w:pStyle w:val="TOC1"/>
        <w:rPr>
          <w:snapToGrid w:val="0"/>
          <w:sz w:val="16"/>
        </w:rPr>
      </w:pPr>
      <w:r>
        <w:fldChar w:fldCharType="end"/>
      </w:r>
    </w:p>
    <w:p w:rsidR="006438FF" w:rsidRPr="003265BF" w:rsidRDefault="006438FF" w:rsidP="00F27F3F">
      <w:pPr>
        <w:pStyle w:val="TOC1"/>
        <w:rPr>
          <w:noProof/>
          <w:snapToGrid w:val="0"/>
        </w:rPr>
      </w:pPr>
      <w:r>
        <w:rPr>
          <w:snapToGrid w:val="0"/>
        </w:rPr>
        <w:t>Anlage:</w:t>
      </w:r>
      <w:r>
        <w:rPr>
          <w:snapToGrid w:val="0"/>
        </w:rPr>
        <w:tab/>
        <w:t>Vorschlag der BMT für eine Überarbeitung von Dokument UPOV/INF/17</w:t>
      </w:r>
    </w:p>
    <w:p w:rsidR="00686841" w:rsidRPr="00832052" w:rsidRDefault="00686841" w:rsidP="00686841">
      <w:pPr>
        <w:keepNext/>
        <w:spacing w:before="60"/>
        <w:rPr>
          <w:sz w:val="18"/>
        </w:rPr>
      </w:pPr>
    </w:p>
    <w:p w:rsidR="007B4D86" w:rsidRPr="00832052" w:rsidRDefault="007B4D86" w:rsidP="007B4D86">
      <w:pPr>
        <w:keepNext/>
        <w:rPr>
          <w:rFonts w:cs="Arial"/>
        </w:rPr>
      </w:pPr>
      <w:r w:rsidRPr="00832052">
        <w:rPr>
          <w:rFonts w:cs="Arial"/>
        </w:rPr>
        <w:fldChar w:fldCharType="begin"/>
      </w:r>
      <w:r w:rsidRPr="00832052">
        <w:rPr>
          <w:rFonts w:cs="Arial"/>
        </w:rPr>
        <w:instrText xml:space="preserve"> AUTONUM  </w:instrText>
      </w:r>
      <w:r w:rsidRPr="00832052">
        <w:rPr>
          <w:rFonts w:cs="Arial"/>
        </w:rPr>
        <w:fldChar w:fldCharType="end"/>
      </w:r>
      <w:r>
        <w:tab/>
        <w:t>In diesem Dokument werden folgende Abkürzungen verwendet:</w:t>
      </w:r>
    </w:p>
    <w:p w:rsidR="007B4D86" w:rsidRPr="00832052" w:rsidRDefault="007B4D86" w:rsidP="007B4D86">
      <w:pPr>
        <w:jc w:val="left"/>
        <w:rPr>
          <w:rFonts w:cs="Arial"/>
          <w:color w:val="000000"/>
        </w:rPr>
      </w:pPr>
      <w:bookmarkStart w:id="7" w:name="_Toc352678045"/>
      <w:bookmarkStart w:id="8" w:name="_Toc353797725"/>
      <w:bookmarkStart w:id="9" w:name="_Toc386185970"/>
      <w:bookmarkStart w:id="10" w:name="_Toc419124858"/>
    </w:p>
    <w:p w:rsidR="007B4D86" w:rsidRPr="00832052" w:rsidRDefault="007B4D86" w:rsidP="007B4D86">
      <w:pPr>
        <w:tabs>
          <w:tab w:val="left" w:pos="567"/>
          <w:tab w:val="left" w:pos="1701"/>
        </w:tabs>
        <w:rPr>
          <w:rFonts w:eastAsiaTheme="minorEastAsia"/>
        </w:rPr>
      </w:pPr>
      <w:r>
        <w:tab/>
        <w:t>BMT:</w:t>
      </w:r>
      <w:r>
        <w:tab/>
        <w:t xml:space="preserve">Arbeitsgruppe für biochemische und molekulare Verfahren und insbesondere für DNS-Profilierungsverfahren </w:t>
      </w:r>
    </w:p>
    <w:p w:rsidR="007B4D86" w:rsidRPr="00832052" w:rsidRDefault="00006812" w:rsidP="007B4D86">
      <w:pPr>
        <w:keepNext/>
        <w:tabs>
          <w:tab w:val="left" w:pos="567"/>
          <w:tab w:val="left" w:pos="1701"/>
        </w:tabs>
        <w:ind w:left="567"/>
        <w:rPr>
          <w:rFonts w:eastAsiaTheme="minorEastAsia"/>
        </w:rPr>
      </w:pPr>
      <w:r>
        <w:t xml:space="preserve">CAJ:  </w:t>
      </w:r>
      <w:r>
        <w:tab/>
      </w:r>
      <w:r w:rsidR="007B4D86">
        <w:t xml:space="preserve">Verwaltungs- und Rechtsausschuss </w:t>
      </w:r>
    </w:p>
    <w:p w:rsidR="007B4D86" w:rsidRPr="00832052" w:rsidRDefault="00006812" w:rsidP="007B4D86">
      <w:pPr>
        <w:keepNext/>
        <w:tabs>
          <w:tab w:val="left" w:pos="567"/>
          <w:tab w:val="left" w:pos="1701"/>
        </w:tabs>
        <w:rPr>
          <w:rFonts w:eastAsia="PMingLiU"/>
          <w:szCs w:val="24"/>
        </w:rPr>
      </w:pPr>
      <w:r>
        <w:tab/>
        <w:t xml:space="preserve">TC:  </w:t>
      </w:r>
      <w:r>
        <w:tab/>
      </w:r>
      <w:r w:rsidR="007B4D86">
        <w:t xml:space="preserve">Technischer Ausschuss </w:t>
      </w:r>
    </w:p>
    <w:p w:rsidR="007B4D86" w:rsidRPr="00832052" w:rsidRDefault="007B4D86" w:rsidP="007B4D86">
      <w:pPr>
        <w:keepNext/>
        <w:tabs>
          <w:tab w:val="left" w:pos="567"/>
          <w:tab w:val="left" w:pos="1701"/>
        </w:tabs>
        <w:rPr>
          <w:rFonts w:eastAsia="PMingLiU"/>
          <w:szCs w:val="24"/>
        </w:rPr>
      </w:pPr>
      <w:r>
        <w:tab/>
        <w:t>TWA:</w:t>
      </w:r>
      <w:r>
        <w:tab/>
        <w:t>Technische Arbeitsgruppe für landwirtschaftliche Arten</w:t>
      </w:r>
    </w:p>
    <w:p w:rsidR="007B4D86" w:rsidRPr="00832052" w:rsidRDefault="007B4D86" w:rsidP="007B4D86">
      <w:pPr>
        <w:keepNext/>
        <w:tabs>
          <w:tab w:val="left" w:pos="567"/>
          <w:tab w:val="left" w:pos="1701"/>
        </w:tabs>
        <w:rPr>
          <w:rFonts w:eastAsia="PMingLiU"/>
          <w:szCs w:val="24"/>
        </w:rPr>
      </w:pPr>
      <w:r>
        <w:tab/>
        <w:t>TWC:</w:t>
      </w:r>
      <w:r>
        <w:tab/>
        <w:t>Technische Arbeitsgruppe für Automatisierung und Computerprogramme</w:t>
      </w:r>
    </w:p>
    <w:p w:rsidR="007B4D86" w:rsidRPr="00832052" w:rsidRDefault="007B4D86" w:rsidP="007B4D86">
      <w:pPr>
        <w:keepNext/>
        <w:tabs>
          <w:tab w:val="left" w:pos="567"/>
          <w:tab w:val="left" w:pos="1701"/>
        </w:tabs>
        <w:rPr>
          <w:rFonts w:eastAsia="PMingLiU"/>
          <w:szCs w:val="24"/>
        </w:rPr>
      </w:pPr>
      <w:r>
        <w:tab/>
        <w:t xml:space="preserve">TWF: </w:t>
      </w:r>
      <w:r>
        <w:tab/>
        <w:t>Technische Arbeitsgruppe für Obstarten</w:t>
      </w:r>
    </w:p>
    <w:p w:rsidR="007B4D86" w:rsidRPr="00832052" w:rsidRDefault="007B4D86" w:rsidP="007B4D86">
      <w:pPr>
        <w:keepNext/>
        <w:tabs>
          <w:tab w:val="left" w:pos="567"/>
          <w:tab w:val="left" w:pos="1701"/>
        </w:tabs>
        <w:rPr>
          <w:rFonts w:eastAsia="PMingLiU"/>
          <w:szCs w:val="24"/>
        </w:rPr>
      </w:pPr>
      <w:r>
        <w:tab/>
        <w:t>TWO:</w:t>
      </w:r>
      <w:r>
        <w:tab/>
        <w:t>Technische Arbeitsgruppe für Zierpflanzen und forstliche Baumarten</w:t>
      </w:r>
    </w:p>
    <w:p w:rsidR="007B4D86" w:rsidRPr="00832052" w:rsidRDefault="007B4D86" w:rsidP="007B4D86">
      <w:pPr>
        <w:keepNext/>
        <w:tabs>
          <w:tab w:val="left" w:pos="567"/>
          <w:tab w:val="left" w:pos="1701"/>
        </w:tabs>
        <w:rPr>
          <w:rFonts w:eastAsia="PMingLiU"/>
          <w:szCs w:val="24"/>
        </w:rPr>
      </w:pPr>
      <w:r>
        <w:tab/>
        <w:t>TWP:</w:t>
      </w:r>
      <w:r>
        <w:tab/>
        <w:t>Technische Arbeitsgruppe(n)</w:t>
      </w:r>
    </w:p>
    <w:p w:rsidR="007B4D86" w:rsidRPr="00832052" w:rsidRDefault="007B4D86" w:rsidP="007B4D86">
      <w:pPr>
        <w:tabs>
          <w:tab w:val="left" w:pos="567"/>
          <w:tab w:val="left" w:pos="1701"/>
        </w:tabs>
        <w:rPr>
          <w:rFonts w:eastAsiaTheme="minorEastAsia"/>
        </w:rPr>
      </w:pPr>
      <w:r>
        <w:tab/>
        <w:t>TWV:</w:t>
      </w:r>
      <w:r>
        <w:tab/>
        <w:t>Technische Arbeitsgruppe für Gemüsearten</w:t>
      </w:r>
    </w:p>
    <w:p w:rsidR="007B4D86" w:rsidRPr="00832052" w:rsidRDefault="007B4D86" w:rsidP="007B4D86">
      <w:pPr>
        <w:jc w:val="left"/>
        <w:rPr>
          <w:rFonts w:cs="Arial"/>
          <w:color w:val="000000"/>
        </w:rPr>
      </w:pPr>
    </w:p>
    <w:p w:rsidR="007B4D86" w:rsidRPr="00832052" w:rsidRDefault="007B4D86" w:rsidP="00EE59CE">
      <w:pPr>
        <w:keepNext/>
        <w:keepLines/>
        <w:outlineLvl w:val="0"/>
        <w:rPr>
          <w:caps/>
        </w:rPr>
      </w:pPr>
      <w:bookmarkStart w:id="11" w:name="_Toc54183292"/>
      <w:bookmarkStart w:id="12" w:name="_Toc54183551"/>
      <w:bookmarkStart w:id="13" w:name="_Toc54183605"/>
      <w:bookmarkStart w:id="14" w:name="_Toc54183618"/>
      <w:r>
        <w:rPr>
          <w:caps/>
        </w:rPr>
        <w:lastRenderedPageBreak/>
        <w:t>HINTERGRUND</w:t>
      </w:r>
      <w:bookmarkEnd w:id="7"/>
      <w:bookmarkEnd w:id="8"/>
      <w:bookmarkEnd w:id="9"/>
      <w:bookmarkEnd w:id="10"/>
      <w:bookmarkEnd w:id="11"/>
      <w:bookmarkEnd w:id="12"/>
      <w:bookmarkEnd w:id="13"/>
      <w:bookmarkEnd w:id="14"/>
    </w:p>
    <w:p w:rsidR="006D3FF6" w:rsidRPr="00832052" w:rsidRDefault="006D3FF6" w:rsidP="00EE59CE">
      <w:pPr>
        <w:keepNext/>
      </w:pPr>
    </w:p>
    <w:p w:rsidR="00974047" w:rsidRPr="00832052" w:rsidRDefault="00974047" w:rsidP="00EE59CE">
      <w:pPr>
        <w:keepNext/>
      </w:pPr>
      <w:r w:rsidRPr="00832052">
        <w:fldChar w:fldCharType="begin"/>
      </w:r>
      <w:r w:rsidRPr="00832052">
        <w:instrText xml:space="preserve"> AUTONUM  </w:instrText>
      </w:r>
      <w:r w:rsidRPr="00832052">
        <w:fldChar w:fldCharType="end"/>
      </w:r>
      <w:r>
        <w:tab/>
        <w:t>Der Hintergrund zu dieser Angelegenheit ist in Dokument TC/55/7 „Molekulare Verfahren“ dargelegt.</w:t>
      </w:r>
    </w:p>
    <w:p w:rsidR="00B82D78" w:rsidRPr="00832052" w:rsidRDefault="00B82D78" w:rsidP="00EE59CE">
      <w:pPr>
        <w:keepNext/>
      </w:pPr>
    </w:p>
    <w:p w:rsidR="00B82D78" w:rsidRPr="00832052" w:rsidRDefault="00B82D78" w:rsidP="00EE59CE">
      <w:pPr>
        <w:keepNext/>
      </w:pPr>
      <w:r w:rsidRPr="00832052">
        <w:fldChar w:fldCharType="begin"/>
      </w:r>
      <w:r w:rsidRPr="00832052">
        <w:instrText xml:space="preserve"> AUTONUM  </w:instrText>
      </w:r>
      <w:r w:rsidRPr="00832052">
        <w:fldChar w:fldCharType="end"/>
      </w:r>
      <w:r>
        <w:tab/>
        <w:t>Der TC stimmte auf seiner fünfundfünfzigsten Tagung</w:t>
      </w:r>
      <w:r w:rsidR="00974047" w:rsidRPr="00832052">
        <w:rPr>
          <w:rStyle w:val="FootnoteReference"/>
        </w:rPr>
        <w:footnoteReference w:id="2"/>
      </w:r>
      <w:r>
        <w:t xml:space="preserve"> dem Vorschlag der BMT auf ihrer achtzehnten Tagung</w:t>
      </w:r>
      <w:r w:rsidR="00974047" w:rsidRPr="00832052">
        <w:rPr>
          <w:rStyle w:val="FootnoteReference"/>
        </w:rPr>
        <w:footnoteReference w:id="3"/>
      </w:r>
      <w:r>
        <w:t xml:space="preserve"> zu, dass die Europäische Union, Frankreich und die Niederlande einen neuen Entwurf des Dokuments UPOV/INF/17 (Dokument UPOV/INF/17/2 </w:t>
      </w:r>
      <w:proofErr w:type="spellStart"/>
      <w:r>
        <w:t>Draft</w:t>
      </w:r>
      <w:proofErr w:type="spellEnd"/>
      <w:r>
        <w:t xml:space="preserve"> 3) zur Prüfung auf der neunzehnten Tagung der BMT erstellen sollten (vergleiche Dokument TC/55/25 Corr. „Bericht“, Absatz 181).</w:t>
      </w:r>
    </w:p>
    <w:p w:rsidR="00E47493" w:rsidRPr="00832052" w:rsidRDefault="00E47493" w:rsidP="00B82D78"/>
    <w:p w:rsidR="00912F53" w:rsidRDefault="00686841" w:rsidP="00B82D78">
      <w:r w:rsidRPr="0018589F">
        <w:fldChar w:fldCharType="begin"/>
      </w:r>
      <w:r w:rsidRPr="0018589F">
        <w:instrText xml:space="preserve"> AUTONUM  </w:instrText>
      </w:r>
      <w:r w:rsidRPr="0018589F">
        <w:fldChar w:fldCharType="end"/>
      </w:r>
      <w:r>
        <w:tab/>
        <w:t>Die TWP prüften auf ihren Tagungen im Jahr 2020 das Dokument TWP/4/7 „</w:t>
      </w:r>
      <w:proofErr w:type="spellStart"/>
      <w:r>
        <w:rPr>
          <w:i/>
          <w:iCs/>
        </w:rPr>
        <w:t>Molecular</w:t>
      </w:r>
      <w:proofErr w:type="spellEnd"/>
      <w:r>
        <w:rPr>
          <w:i/>
          <w:iCs/>
        </w:rPr>
        <w:t xml:space="preserve"> </w:t>
      </w:r>
      <w:proofErr w:type="spellStart"/>
      <w:r>
        <w:rPr>
          <w:i/>
          <w:iCs/>
        </w:rPr>
        <w:t>Techniques</w:t>
      </w:r>
      <w:proofErr w:type="spellEnd"/>
      <w:r>
        <w:t>“. Die TWP nahmen die von der BMT vereinbarten Änderungen an Dokument UPOV/INF/17, wie in Dokument TWP/4/7, Anlage II, wiedergegeben, zur Kenntnis</w:t>
      </w:r>
      <w:r w:rsidR="00B04166">
        <w:t xml:space="preserve">. </w:t>
      </w:r>
      <w:r>
        <w:t>Die TWP nahmen zur Kenntnis, dass der TC vereinbart habe, die Europäische Union, Frankreich und die Niederlande zu ersuchen, einen neuen Entwurf des Dokuments UPOV/INF/17 zur Prüfung durch die BMT auf ihrer neunzehnten Tagung zu erstellen (vergleiche Dokumente TWV/54/12 „</w:t>
      </w:r>
      <w:r>
        <w:rPr>
          <w:i/>
          <w:iCs/>
        </w:rPr>
        <w:t>Report</w:t>
      </w:r>
      <w:r>
        <w:t>“, Absätze 13 und 14; TWO/52/11 „</w:t>
      </w:r>
      <w:r>
        <w:rPr>
          <w:i/>
          <w:iCs/>
        </w:rPr>
        <w:t>Report</w:t>
      </w:r>
      <w:r>
        <w:t>“, Absätze 84 und 85; TWA/49/7 „</w:t>
      </w:r>
      <w:r>
        <w:rPr>
          <w:i/>
          <w:iCs/>
        </w:rPr>
        <w:t>Report</w:t>
      </w:r>
      <w:r>
        <w:t>“, Absätze 58 und 59; TWF/51/10 „</w:t>
      </w:r>
      <w:r>
        <w:rPr>
          <w:i/>
          <w:iCs/>
        </w:rPr>
        <w:t>Report</w:t>
      </w:r>
      <w:r>
        <w:t>“, Absätze 13 und 14; und TWC/38/11 „</w:t>
      </w:r>
      <w:r>
        <w:rPr>
          <w:i/>
          <w:iCs/>
        </w:rPr>
        <w:t>Report</w:t>
      </w:r>
      <w:r>
        <w:t>“, Absätze 66 und 67).</w:t>
      </w:r>
    </w:p>
    <w:p w:rsidR="00912F53" w:rsidRPr="00832052" w:rsidRDefault="00912F53" w:rsidP="00B82D78"/>
    <w:p w:rsidR="00686841" w:rsidRPr="00832052" w:rsidRDefault="00686841" w:rsidP="00B82D78">
      <w:r w:rsidRPr="00832052">
        <w:fldChar w:fldCharType="begin"/>
      </w:r>
      <w:r w:rsidRPr="00832052">
        <w:instrText xml:space="preserve"> AUTONUM  </w:instrText>
      </w:r>
      <w:r w:rsidRPr="00832052">
        <w:fldChar w:fldCharType="end"/>
      </w:r>
      <w:r>
        <w:tab/>
        <w:t>Das Programm für die Ausarbeitung von Anleitung und einschlägigem Informationsmaterial sieht die Vorlage eines neuen Entwurfs des Dokuments UPOV/INF/17 zur etwaigen Annahme durch den Rat auf seiner fünfundfünfzigsten Tagung im Jahr 2021 vor, wie in Dokument TC/56/14 „Erstellung von Anleitung und Informationsmaterial“ dargelegt.</w:t>
      </w:r>
    </w:p>
    <w:p w:rsidR="00F24EE7" w:rsidRDefault="00F24EE7" w:rsidP="00B82D78">
      <w:pPr>
        <w:rPr>
          <w:rFonts w:eastAsia="MS Mincho"/>
        </w:rPr>
      </w:pPr>
    </w:p>
    <w:p w:rsidR="00806AB4" w:rsidRPr="00832052" w:rsidRDefault="00806AB4" w:rsidP="00B82D78">
      <w:pPr>
        <w:rPr>
          <w:rFonts w:eastAsia="MS Mincho"/>
        </w:rPr>
      </w:pPr>
    </w:p>
    <w:p w:rsidR="00974047" w:rsidRPr="00EE59CE" w:rsidRDefault="00974047" w:rsidP="00EE59CE">
      <w:pPr>
        <w:pStyle w:val="Heading1"/>
      </w:pPr>
      <w:bookmarkStart w:id="15" w:name="_Toc54183031"/>
      <w:bookmarkStart w:id="16" w:name="_Toc54183293"/>
      <w:bookmarkStart w:id="17" w:name="_Toc54183552"/>
      <w:bookmarkStart w:id="18" w:name="_Toc54183606"/>
      <w:bookmarkStart w:id="19" w:name="_Toc54183619"/>
      <w:r>
        <w:t>Entwicklungen auf der neunzehnten Tagung der BMT</w:t>
      </w:r>
      <w:bookmarkEnd w:id="15"/>
      <w:bookmarkEnd w:id="16"/>
      <w:bookmarkEnd w:id="17"/>
      <w:bookmarkEnd w:id="18"/>
      <w:bookmarkEnd w:id="19"/>
    </w:p>
    <w:p w:rsidR="00974047" w:rsidRPr="00832052" w:rsidRDefault="00974047" w:rsidP="00B82D78">
      <w:pPr>
        <w:rPr>
          <w:rFonts w:eastAsia="MS Mincho"/>
        </w:rPr>
      </w:pPr>
    </w:p>
    <w:p w:rsidR="00705CF5" w:rsidRPr="00832052" w:rsidRDefault="00705CF5" w:rsidP="00705CF5">
      <w:r w:rsidRPr="00832052">
        <w:fldChar w:fldCharType="begin"/>
      </w:r>
      <w:r w:rsidRPr="00832052">
        <w:instrText xml:space="preserve"> AUTONUM  </w:instrText>
      </w:r>
      <w:r w:rsidRPr="00832052">
        <w:fldChar w:fldCharType="end"/>
      </w:r>
      <w:r>
        <w:tab/>
        <w:t>Die BMT prüfte auf ihrer neunzehnten Tagung</w:t>
      </w:r>
      <w:r w:rsidRPr="00832052">
        <w:rPr>
          <w:rStyle w:val="FootnoteReference"/>
        </w:rPr>
        <w:footnoteReference w:id="4"/>
      </w:r>
      <w:r>
        <w:t xml:space="preserve"> die Dokumente BMT/19/3 </w:t>
      </w:r>
      <w:proofErr w:type="spellStart"/>
      <w:r>
        <w:t>Rev</w:t>
      </w:r>
      <w:proofErr w:type="spellEnd"/>
      <w:r>
        <w:t>. „</w:t>
      </w:r>
      <w:r w:rsidR="00E55141" w:rsidRPr="00F27F3F">
        <w:rPr>
          <w:i/>
        </w:rPr>
        <w:t xml:space="preserve">Revision of </w:t>
      </w:r>
      <w:proofErr w:type="spellStart"/>
      <w:r w:rsidR="00E55141" w:rsidRPr="00F27F3F">
        <w:rPr>
          <w:i/>
        </w:rPr>
        <w:t>document</w:t>
      </w:r>
      <w:proofErr w:type="spellEnd"/>
      <w:r w:rsidR="00E55141" w:rsidRPr="00E55141">
        <w:rPr>
          <w:i/>
        </w:rPr>
        <w:t> INF/17</w:t>
      </w:r>
      <w:r>
        <w:t xml:space="preserve">“ und UPOV/INF/17/2 </w:t>
      </w:r>
      <w:proofErr w:type="spellStart"/>
      <w:r>
        <w:t>Draft</w:t>
      </w:r>
      <w:proofErr w:type="spellEnd"/>
      <w:r>
        <w:t xml:space="preserve"> 3 (vergleiche Dokument BMT/19/15 „</w:t>
      </w:r>
      <w:r>
        <w:rPr>
          <w:i/>
          <w:iCs/>
        </w:rPr>
        <w:t>Report</w:t>
      </w:r>
      <w:r w:rsidR="00B04166">
        <w:t>“,</w:t>
      </w:r>
      <w:r>
        <w:t xml:space="preserve"> Absätze 11 und 12</w:t>
      </w:r>
      <w:r w:rsidR="00B04166">
        <w:t xml:space="preserve">). </w:t>
      </w:r>
    </w:p>
    <w:p w:rsidR="00705CF5" w:rsidRPr="00832052" w:rsidRDefault="00705CF5" w:rsidP="00705CF5"/>
    <w:p w:rsidR="00705CF5" w:rsidRPr="00832052" w:rsidRDefault="00705CF5" w:rsidP="00705CF5">
      <w:r w:rsidRPr="00832052">
        <w:fldChar w:fldCharType="begin"/>
      </w:r>
      <w:r w:rsidRPr="00832052">
        <w:instrText xml:space="preserve"> AUTONUM  </w:instrText>
      </w:r>
      <w:r w:rsidRPr="00832052">
        <w:fldChar w:fldCharType="end"/>
      </w:r>
      <w:r>
        <w:tab/>
        <w:t xml:space="preserve">Die BMT vereinbarte, dass der in der Anlage dieses Dokuments wiedergegebene Entwurf einer Anleitung dem Technischen Ausschuss als Grundlage für eine künftige Überarbeitung von Dokument UPOV/INF/17 vorgeschlagen werden sollte. </w:t>
      </w:r>
    </w:p>
    <w:p w:rsidR="00705CF5" w:rsidRDefault="00705CF5" w:rsidP="00705CF5"/>
    <w:p w:rsidR="00806AB4" w:rsidRPr="00832052" w:rsidRDefault="00806AB4" w:rsidP="00705CF5"/>
    <w:p w:rsidR="00974047" w:rsidRPr="00832052" w:rsidRDefault="00974047" w:rsidP="00974047">
      <w:pPr>
        <w:pStyle w:val="Heading1"/>
      </w:pPr>
      <w:bookmarkStart w:id="20" w:name="_Toc54183032"/>
      <w:bookmarkStart w:id="21" w:name="_Toc54183294"/>
      <w:bookmarkStart w:id="22" w:name="_Toc54183553"/>
      <w:bookmarkStart w:id="23" w:name="_Toc54183607"/>
      <w:bookmarkStart w:id="24" w:name="_Toc54183620"/>
      <w:r>
        <w:t>NÄCHSTE SCHRITTE</w:t>
      </w:r>
      <w:bookmarkEnd w:id="20"/>
      <w:bookmarkEnd w:id="21"/>
      <w:bookmarkEnd w:id="22"/>
      <w:bookmarkEnd w:id="23"/>
      <w:bookmarkEnd w:id="24"/>
    </w:p>
    <w:p w:rsidR="00974047" w:rsidRPr="00832052" w:rsidRDefault="00974047" w:rsidP="00705CF5"/>
    <w:p w:rsidR="00CB6220" w:rsidRPr="00832052" w:rsidRDefault="00974047" w:rsidP="00974047">
      <w:r w:rsidRPr="00832052">
        <w:fldChar w:fldCharType="begin"/>
      </w:r>
      <w:r w:rsidRPr="00832052">
        <w:instrText xml:space="preserve"> AUTONUM  </w:instrText>
      </w:r>
      <w:r w:rsidRPr="00832052">
        <w:fldChar w:fldCharType="end"/>
      </w:r>
      <w:r>
        <w:tab/>
        <w:t xml:space="preserve">Der von der BMT vereinbarte Entwurf einer Anleitung, wie in der Anlage dieses Dokuments wiedergegeben, ist in Dokument UPOV/INF/17/2 </w:t>
      </w:r>
      <w:proofErr w:type="spellStart"/>
      <w:r>
        <w:t>Draft</w:t>
      </w:r>
      <w:proofErr w:type="spellEnd"/>
      <w:r>
        <w:t xml:space="preserve"> 4 unter Angabe der Änderungen gegenüber dem Wortlaut des Dokuments UPOV/INF/1</w:t>
      </w:r>
      <w:r w:rsidR="0028715B">
        <w:t>7/1 wiedergegeben. Der TC wird</w:t>
      </w:r>
      <w:r>
        <w:t xml:space="preserve"> d</w:t>
      </w:r>
      <w:r w:rsidR="0028715B">
        <w:t xml:space="preserve">as Dokument UPOV/INF/17/2 </w:t>
      </w:r>
      <w:proofErr w:type="spellStart"/>
      <w:r w:rsidR="0028715B">
        <w:t>Draft</w:t>
      </w:r>
      <w:proofErr w:type="spellEnd"/>
      <w:r w:rsidR="0028715B">
        <w:t> </w:t>
      </w:r>
      <w:r>
        <w:t>4 möglicherweise als Grundlage für eine Überarbeitung des Dokuments UPOV/INF/17 prüfen</w:t>
      </w:r>
      <w:r w:rsidR="0028715B">
        <w:t xml:space="preserve"> wollen</w:t>
      </w:r>
      <w:r w:rsidR="00B04166">
        <w:t xml:space="preserve">. </w:t>
      </w:r>
    </w:p>
    <w:p w:rsidR="00CB6220" w:rsidRDefault="00CB6220" w:rsidP="00974047"/>
    <w:p w:rsidR="00AD7632" w:rsidRDefault="00AD7632" w:rsidP="00974047">
      <w:r>
        <w:fldChar w:fldCharType="begin"/>
      </w:r>
      <w:r>
        <w:instrText xml:space="preserve"> AUTONUM  </w:instrText>
      </w:r>
      <w:r>
        <w:fldChar w:fldCharType="end"/>
      </w:r>
      <w:r>
        <w:tab/>
        <w:t xml:space="preserve">Der TC wird die TWP möglicherweise ersuchen wollen, auf ihren Tagungen im Jahr 2021 einen Entwurf einer Überarbeitung von Dokument UPOV/INF/17/1 (Dokument UPOV/INF/17/2 </w:t>
      </w:r>
      <w:proofErr w:type="spellStart"/>
      <w:r>
        <w:t>Draft</w:t>
      </w:r>
      <w:proofErr w:type="spellEnd"/>
      <w:r>
        <w:t xml:space="preserve"> 5) aufgrund der vom TC auf seiner sechsundfünfzigsten Tagung vereinbarten Änderungen von UPOV/INF/17/2 </w:t>
      </w:r>
      <w:proofErr w:type="spellStart"/>
      <w:r>
        <w:t>Draft</w:t>
      </w:r>
      <w:proofErr w:type="spellEnd"/>
      <w:r>
        <w:t xml:space="preserve"> 4 zu prüfen. </w:t>
      </w:r>
    </w:p>
    <w:p w:rsidR="00AD7632" w:rsidRPr="00832052" w:rsidRDefault="00AD7632" w:rsidP="00974047"/>
    <w:p w:rsidR="00974047" w:rsidRPr="00832052" w:rsidRDefault="00CB6220" w:rsidP="00974047">
      <w:r w:rsidRPr="00832052">
        <w:fldChar w:fldCharType="begin"/>
      </w:r>
      <w:r w:rsidRPr="00832052">
        <w:instrText xml:space="preserve"> AUTONUM  </w:instrText>
      </w:r>
      <w:r w:rsidRPr="00832052">
        <w:fldChar w:fldCharType="end"/>
      </w:r>
      <w:r>
        <w:tab/>
      </w:r>
      <w:r w:rsidR="00B04166">
        <w:t xml:space="preserve">Auf der Grundlage der Schlussfolgerungen des TC auf seiner sechsundfünfzigsten Tagung und der TWP auf ihren Tagungen im Jahr 2021 würde dem Rat auf seiner fünfundfünfzigsten Tagung vom 29. Oktober 2021, vorbehaltlich der Zustimmung des TC auf seiner siebenundfünfzigsten Tagung und des CAJ auf seiner achtundsiebzigsten Tagung im Jahre 2021, ein Entwurf einer Überarbeitung von Dokument UPOV/INF/17 (UPOV/INF/17/2 </w:t>
      </w:r>
      <w:proofErr w:type="spellStart"/>
      <w:r w:rsidR="00B04166">
        <w:t>Draft</w:t>
      </w:r>
      <w:proofErr w:type="spellEnd"/>
      <w:r w:rsidR="00B04166">
        <w:t xml:space="preserve"> 6) zur Annahme vorgeschlagen.</w:t>
      </w:r>
    </w:p>
    <w:p w:rsidR="00AE7FDE" w:rsidRPr="00832052" w:rsidRDefault="00AE7FDE" w:rsidP="00705CF5"/>
    <w:p w:rsidR="00021B34" w:rsidRDefault="00705CF5" w:rsidP="00705CF5">
      <w:pPr>
        <w:tabs>
          <w:tab w:val="left" w:pos="5387"/>
        </w:tabs>
        <w:ind w:left="4820"/>
        <w:rPr>
          <w:i/>
        </w:rPr>
      </w:pPr>
      <w:r w:rsidRPr="00832052">
        <w:rPr>
          <w:i/>
        </w:rPr>
        <w:fldChar w:fldCharType="begin"/>
      </w:r>
      <w:r w:rsidRPr="00832052">
        <w:rPr>
          <w:i/>
        </w:rPr>
        <w:instrText xml:space="preserve"> AUTONUM  </w:instrText>
      </w:r>
      <w:r w:rsidRPr="00832052">
        <w:rPr>
          <w:i/>
        </w:rPr>
        <w:fldChar w:fldCharType="end"/>
      </w:r>
      <w:r>
        <w:tab/>
        <w:t>Der TC wird ersucht,</w:t>
      </w:r>
      <w:r>
        <w:rPr>
          <w:i/>
        </w:rPr>
        <w:t xml:space="preserve"> </w:t>
      </w:r>
    </w:p>
    <w:p w:rsidR="00021B34" w:rsidRDefault="00021B34" w:rsidP="00705CF5">
      <w:pPr>
        <w:tabs>
          <w:tab w:val="left" w:pos="5387"/>
        </w:tabs>
        <w:ind w:left="4820"/>
        <w:rPr>
          <w:i/>
        </w:rPr>
      </w:pPr>
    </w:p>
    <w:p w:rsidR="00021B34" w:rsidRPr="00021B34" w:rsidRDefault="00021B34" w:rsidP="00021B34">
      <w:pPr>
        <w:tabs>
          <w:tab w:val="left" w:pos="5387"/>
          <w:tab w:val="left" w:pos="5954"/>
        </w:tabs>
        <w:ind w:left="4820"/>
        <w:rPr>
          <w:i/>
        </w:rPr>
      </w:pPr>
      <w:r>
        <w:rPr>
          <w:i/>
        </w:rPr>
        <w:tab/>
        <w:t>a)</w:t>
      </w:r>
      <w:r>
        <w:rPr>
          <w:i/>
        </w:rPr>
        <w:tab/>
        <w:t>die Überarbeitung von Dokum</w:t>
      </w:r>
      <w:r w:rsidR="00F27F3F">
        <w:rPr>
          <w:i/>
        </w:rPr>
        <w:t xml:space="preserve">ent </w:t>
      </w:r>
      <w:r>
        <w:rPr>
          <w:i/>
        </w:rPr>
        <w:t xml:space="preserve">TGP/INF/17 auf der Grundlage von Dokument UPOV/INF/17/2 </w:t>
      </w:r>
      <w:proofErr w:type="spellStart"/>
      <w:r>
        <w:rPr>
          <w:i/>
        </w:rPr>
        <w:t>Draft</w:t>
      </w:r>
      <w:proofErr w:type="spellEnd"/>
      <w:r>
        <w:rPr>
          <w:i/>
        </w:rPr>
        <w:t xml:space="preserve"> 4 zu </w:t>
      </w:r>
      <w:proofErr w:type="gramStart"/>
      <w:r>
        <w:rPr>
          <w:i/>
        </w:rPr>
        <w:t>prüfen;.</w:t>
      </w:r>
      <w:proofErr w:type="gramEnd"/>
      <w:r>
        <w:rPr>
          <w:i/>
        </w:rPr>
        <w:t xml:space="preserve"> </w:t>
      </w:r>
    </w:p>
    <w:p w:rsidR="00021B34" w:rsidRPr="00021B34" w:rsidRDefault="00021B34" w:rsidP="00021B34">
      <w:pPr>
        <w:tabs>
          <w:tab w:val="left" w:pos="5387"/>
          <w:tab w:val="left" w:pos="5954"/>
        </w:tabs>
        <w:ind w:left="4820"/>
        <w:rPr>
          <w:i/>
        </w:rPr>
      </w:pPr>
    </w:p>
    <w:p w:rsidR="00021B34" w:rsidRPr="00021B34" w:rsidRDefault="00021B34" w:rsidP="00021B34">
      <w:pPr>
        <w:tabs>
          <w:tab w:val="left" w:pos="5387"/>
          <w:tab w:val="left" w:pos="5954"/>
        </w:tabs>
        <w:ind w:left="4820"/>
        <w:rPr>
          <w:i/>
        </w:rPr>
      </w:pPr>
      <w:r>
        <w:rPr>
          <w:i/>
        </w:rPr>
        <w:lastRenderedPageBreak/>
        <w:tab/>
        <w:t xml:space="preserve">b) </w:t>
      </w:r>
      <w:r>
        <w:rPr>
          <w:i/>
        </w:rPr>
        <w:tab/>
        <w:t xml:space="preserve">die TWP zu ersuchen, auf ihren Tagungen im Jahr 2021 den Entwurf einer Überarbeitung von Dokument UPOV/INF/17/1 (Dokument UPOV/INF/17/2 </w:t>
      </w:r>
      <w:proofErr w:type="spellStart"/>
      <w:r>
        <w:rPr>
          <w:i/>
        </w:rPr>
        <w:t>Draft</w:t>
      </w:r>
      <w:proofErr w:type="spellEnd"/>
      <w:r>
        <w:rPr>
          <w:i/>
        </w:rPr>
        <w:t xml:space="preserve"> 5) zu prüfen; und</w:t>
      </w:r>
    </w:p>
    <w:p w:rsidR="00021B34" w:rsidRPr="00021B34" w:rsidRDefault="00021B34" w:rsidP="00021B34">
      <w:pPr>
        <w:tabs>
          <w:tab w:val="left" w:pos="5387"/>
          <w:tab w:val="left" w:pos="5954"/>
        </w:tabs>
        <w:ind w:left="4820"/>
        <w:rPr>
          <w:i/>
        </w:rPr>
      </w:pPr>
    </w:p>
    <w:p w:rsidR="00021B34" w:rsidRPr="00021B34" w:rsidRDefault="00021B34" w:rsidP="00021B34">
      <w:pPr>
        <w:tabs>
          <w:tab w:val="left" w:pos="5387"/>
          <w:tab w:val="left" w:pos="5954"/>
        </w:tabs>
        <w:ind w:left="4820"/>
        <w:rPr>
          <w:i/>
        </w:rPr>
      </w:pPr>
      <w:r>
        <w:rPr>
          <w:i/>
        </w:rPr>
        <w:tab/>
      </w:r>
      <w:r w:rsidR="00B04166">
        <w:rPr>
          <w:i/>
        </w:rPr>
        <w:t xml:space="preserve">c) </w:t>
      </w:r>
      <w:r w:rsidR="00B04166">
        <w:rPr>
          <w:i/>
        </w:rPr>
        <w:tab/>
        <w:t xml:space="preserve">zur Kenntnis zu nehmen, dass dem Rat auf seiner fünfundfünfzigsten Tagung vom 29. Oktober 2021, vorbehaltlich der Zustimmung des TC auf seiner siebenundfünfzigsten Tagung und des CAJ auf seiner achtundsiebzigsten Tagung im Jahr 2021, ein Entwurf einer Überarbeitung von Dokument UPOV/INF/17 (UPOV/INF/17/2 </w:t>
      </w:r>
      <w:proofErr w:type="spellStart"/>
      <w:r w:rsidR="00B04166">
        <w:rPr>
          <w:i/>
        </w:rPr>
        <w:t>Draft</w:t>
      </w:r>
      <w:proofErr w:type="spellEnd"/>
      <w:r w:rsidR="00B04166">
        <w:rPr>
          <w:i/>
        </w:rPr>
        <w:t xml:space="preserve"> 6) zur Annahme vorgeschlagen werde.</w:t>
      </w:r>
    </w:p>
    <w:p w:rsidR="00050E16" w:rsidRDefault="00050E16" w:rsidP="00050E16"/>
    <w:p w:rsidR="003A10BA" w:rsidRDefault="003A10BA" w:rsidP="00050E16"/>
    <w:p w:rsidR="003A10BA" w:rsidRPr="00832052" w:rsidRDefault="003A10BA" w:rsidP="00050E16"/>
    <w:p w:rsidR="00DF1F17" w:rsidRPr="00832052" w:rsidRDefault="00050E16" w:rsidP="00050E16">
      <w:pPr>
        <w:jc w:val="right"/>
      </w:pPr>
      <w:r>
        <w:t xml:space="preserve"> [Anlage folgt]</w:t>
      </w:r>
    </w:p>
    <w:p w:rsidR="00DF1F17" w:rsidRPr="00832052" w:rsidRDefault="00DF1F17" w:rsidP="00050E16">
      <w:pPr>
        <w:jc w:val="right"/>
        <w:sectPr w:rsidR="00DF1F17" w:rsidRPr="00832052" w:rsidSect="00906DDC">
          <w:headerReference w:type="default" r:id="rId9"/>
          <w:pgSz w:w="11907" w:h="16840" w:code="9"/>
          <w:pgMar w:top="510" w:right="1134" w:bottom="1134" w:left="1134" w:header="510" w:footer="680" w:gutter="0"/>
          <w:cols w:space="720"/>
          <w:titlePg/>
        </w:sectPr>
      </w:pPr>
    </w:p>
    <w:p w:rsidR="00DF1F17" w:rsidRPr="00832052" w:rsidRDefault="00DF1F17" w:rsidP="00DF1F17">
      <w:pPr>
        <w:jc w:val="right"/>
      </w:pPr>
    </w:p>
    <w:p w:rsidR="00B6307F" w:rsidRDefault="003265BF" w:rsidP="00B6307F">
      <w:pPr>
        <w:jc w:val="center"/>
      </w:pPr>
      <w:r>
        <w:rPr>
          <w:caps/>
          <w:snapToGrid w:val="0"/>
        </w:rPr>
        <w:t>Vorschlag der BMT für eine Überarbeitung von Dokument UPOV/INF/17</w:t>
      </w:r>
    </w:p>
    <w:sdt>
      <w:sdtPr>
        <w:rPr>
          <w:rFonts w:ascii="Arial" w:eastAsia="Times New Roman" w:hAnsi="Arial" w:cs="Times New Roman"/>
          <w:b w:val="0"/>
          <w:bCs w:val="0"/>
          <w:color w:val="auto"/>
          <w:sz w:val="20"/>
          <w:szCs w:val="20"/>
          <w:lang w:eastAsia="en-US"/>
        </w:rPr>
        <w:id w:val="-467974984"/>
        <w:docPartObj>
          <w:docPartGallery w:val="Table of Contents"/>
          <w:docPartUnique/>
        </w:docPartObj>
      </w:sdtPr>
      <w:sdtEndPr/>
      <w:sdtContent>
        <w:p w:rsidR="00B6307F" w:rsidRPr="0028715B" w:rsidRDefault="0028715B">
          <w:pPr>
            <w:pStyle w:val="TOCHeading"/>
            <w:rPr>
              <w:rFonts w:ascii="Arial" w:hAnsi="Arial" w:cs="Arial"/>
              <w:b w:val="0"/>
              <w:color w:val="auto"/>
              <w:sz w:val="24"/>
              <w:szCs w:val="24"/>
            </w:rPr>
          </w:pPr>
          <w:r>
            <w:rPr>
              <w:rFonts w:ascii="Arial" w:hAnsi="Arial" w:cs="Arial"/>
              <w:b w:val="0"/>
              <w:color w:val="auto"/>
              <w:sz w:val="24"/>
              <w:szCs w:val="24"/>
            </w:rPr>
            <w:t>Inhalt</w:t>
          </w:r>
        </w:p>
        <w:p w:rsidR="00B6307F" w:rsidRDefault="00B6307F" w:rsidP="00F27F3F">
          <w:pPr>
            <w:pStyle w:val="TOC1"/>
            <w:rPr>
              <w:rFonts w:asciiTheme="minorHAnsi" w:eastAsiaTheme="minorEastAsia" w:hAnsiTheme="minorHAnsi" w:cstheme="minorBidi"/>
              <w:noProof/>
              <w:sz w:val="22"/>
              <w:szCs w:val="22"/>
              <w:lang w:eastAsia="de-DE"/>
            </w:rPr>
          </w:pPr>
          <w:r>
            <w:fldChar w:fldCharType="begin"/>
          </w:r>
          <w:r>
            <w:instrText xml:space="preserve"> TOC \o "1-3" \h \z \u </w:instrText>
          </w:r>
          <w:r>
            <w:fldChar w:fldCharType="separate"/>
          </w:r>
        </w:p>
        <w:p w:rsidR="00B6307F" w:rsidRDefault="00B6307F" w:rsidP="00F27F3F">
          <w:pPr>
            <w:pStyle w:val="TOC1"/>
            <w:rPr>
              <w:rFonts w:eastAsiaTheme="minorEastAsia"/>
              <w:noProof/>
              <w:lang w:eastAsia="de-DE"/>
            </w:rPr>
          </w:pPr>
        </w:p>
        <w:p w:rsidR="00B6307F" w:rsidRDefault="00F27F3F" w:rsidP="00F27F3F">
          <w:pPr>
            <w:pStyle w:val="TOC1"/>
            <w:rPr>
              <w:rFonts w:asciiTheme="minorHAnsi" w:eastAsiaTheme="minorEastAsia" w:hAnsiTheme="minorHAnsi" w:cstheme="minorBidi"/>
              <w:noProof/>
              <w:sz w:val="22"/>
              <w:szCs w:val="22"/>
              <w:lang w:eastAsia="de-DE"/>
            </w:rPr>
          </w:pPr>
          <w:hyperlink w:anchor="_Toc54183621" w:history="1">
            <w:r w:rsidR="00B6307F" w:rsidRPr="002E03B2">
              <w:rPr>
                <w:rStyle w:val="Hyperlink"/>
                <w:noProof/>
              </w:rPr>
              <w:t>I.</w:t>
            </w:r>
            <w:r w:rsidR="00B6307F">
              <w:rPr>
                <w:rFonts w:asciiTheme="minorHAnsi" w:eastAsiaTheme="minorEastAsia" w:hAnsiTheme="minorHAnsi" w:cstheme="minorBidi"/>
                <w:noProof/>
                <w:sz w:val="22"/>
                <w:szCs w:val="22"/>
                <w:lang w:eastAsia="de-DE"/>
              </w:rPr>
              <w:tab/>
            </w:r>
            <w:r w:rsidR="00B6307F" w:rsidRPr="002E03B2">
              <w:rPr>
                <w:rStyle w:val="Hyperlink"/>
                <w:noProof/>
              </w:rPr>
              <w:t>EINFÜHRUNG</w:t>
            </w:r>
            <w:r w:rsidR="00B6307F">
              <w:rPr>
                <w:noProof/>
                <w:webHidden/>
              </w:rPr>
              <w:tab/>
            </w:r>
            <w:r w:rsidR="00B6307F">
              <w:rPr>
                <w:noProof/>
                <w:webHidden/>
              </w:rPr>
              <w:fldChar w:fldCharType="begin"/>
            </w:r>
            <w:r w:rsidR="00B6307F">
              <w:rPr>
                <w:noProof/>
                <w:webHidden/>
              </w:rPr>
              <w:instrText xml:space="preserve"> PAGEREF _Toc54183621 \h </w:instrText>
            </w:r>
            <w:r w:rsidR="00B6307F">
              <w:rPr>
                <w:noProof/>
                <w:webHidden/>
              </w:rPr>
            </w:r>
            <w:r w:rsidR="00B6307F">
              <w:rPr>
                <w:noProof/>
                <w:webHidden/>
              </w:rPr>
              <w:fldChar w:fldCharType="separate"/>
            </w:r>
            <w:r w:rsidR="00B6307F">
              <w:rPr>
                <w:noProof/>
                <w:webHidden/>
              </w:rPr>
              <w:t>1</w:t>
            </w:r>
            <w:r w:rsidR="00B6307F">
              <w:rPr>
                <w:noProof/>
                <w:webHidden/>
              </w:rPr>
              <w:fldChar w:fldCharType="end"/>
            </w:r>
          </w:hyperlink>
        </w:p>
        <w:p w:rsidR="00B6307F" w:rsidRDefault="00F27F3F" w:rsidP="00F27F3F">
          <w:pPr>
            <w:pStyle w:val="TOC1"/>
            <w:rPr>
              <w:rFonts w:asciiTheme="minorHAnsi" w:eastAsiaTheme="minorEastAsia" w:hAnsiTheme="minorHAnsi" w:cstheme="minorBidi"/>
              <w:noProof/>
              <w:sz w:val="22"/>
              <w:szCs w:val="22"/>
              <w:lang w:eastAsia="de-DE"/>
            </w:rPr>
          </w:pPr>
          <w:hyperlink w:anchor="_Toc54183622" w:history="1">
            <w:r w:rsidR="00B6307F" w:rsidRPr="002E03B2">
              <w:rPr>
                <w:rStyle w:val="Hyperlink"/>
                <w:noProof/>
              </w:rPr>
              <w:t xml:space="preserve">B. </w:t>
            </w:r>
            <w:r w:rsidR="00B6307F">
              <w:rPr>
                <w:rFonts w:asciiTheme="minorHAnsi" w:eastAsiaTheme="minorEastAsia" w:hAnsiTheme="minorHAnsi" w:cstheme="minorBidi"/>
                <w:noProof/>
                <w:sz w:val="22"/>
                <w:szCs w:val="22"/>
                <w:lang w:eastAsia="de-DE"/>
              </w:rPr>
              <w:tab/>
            </w:r>
            <w:r w:rsidR="00B6307F" w:rsidRPr="002E03B2">
              <w:rPr>
                <w:rStyle w:val="Hyperlink"/>
                <w:noProof/>
              </w:rPr>
              <w:t>ALLGEMEINE GRUNDSÄTZE</w:t>
            </w:r>
            <w:r w:rsidR="00B6307F">
              <w:rPr>
                <w:noProof/>
                <w:webHidden/>
              </w:rPr>
              <w:tab/>
            </w:r>
            <w:r w:rsidR="00B6307F">
              <w:rPr>
                <w:noProof/>
                <w:webHidden/>
              </w:rPr>
              <w:fldChar w:fldCharType="begin"/>
            </w:r>
            <w:r w:rsidR="00B6307F">
              <w:rPr>
                <w:noProof/>
                <w:webHidden/>
              </w:rPr>
              <w:instrText xml:space="preserve"> PAGEREF _Toc54183622 \h </w:instrText>
            </w:r>
            <w:r w:rsidR="00B6307F">
              <w:rPr>
                <w:noProof/>
                <w:webHidden/>
              </w:rPr>
            </w:r>
            <w:r w:rsidR="00B6307F">
              <w:rPr>
                <w:noProof/>
                <w:webHidden/>
              </w:rPr>
              <w:fldChar w:fldCharType="separate"/>
            </w:r>
            <w:r w:rsidR="00B6307F">
              <w:rPr>
                <w:noProof/>
                <w:webHidden/>
              </w:rPr>
              <w:t>1</w:t>
            </w:r>
            <w:r w:rsidR="00B6307F">
              <w:rPr>
                <w:noProof/>
                <w:webHidden/>
              </w:rPr>
              <w:fldChar w:fldCharType="end"/>
            </w:r>
          </w:hyperlink>
        </w:p>
        <w:p w:rsidR="00B6307F" w:rsidRDefault="00F27F3F" w:rsidP="00F27F3F">
          <w:pPr>
            <w:pStyle w:val="TOC2"/>
            <w:rPr>
              <w:rFonts w:asciiTheme="minorHAnsi" w:eastAsiaTheme="minorEastAsia" w:hAnsiTheme="minorHAnsi" w:cstheme="minorBidi"/>
              <w:noProof/>
              <w:sz w:val="22"/>
              <w:szCs w:val="22"/>
              <w:lang w:eastAsia="de-DE"/>
            </w:rPr>
          </w:pPr>
          <w:hyperlink w:anchor="_Toc54183623" w:history="1">
            <w:r w:rsidR="00B6307F" w:rsidRPr="002E03B2">
              <w:rPr>
                <w:rStyle w:val="Hyperlink"/>
                <w:noProof/>
              </w:rPr>
              <w:t>1.</w:t>
            </w:r>
            <w:r w:rsidR="00B6307F">
              <w:rPr>
                <w:rFonts w:asciiTheme="minorHAnsi" w:eastAsiaTheme="minorEastAsia" w:hAnsiTheme="minorHAnsi" w:cstheme="minorBidi"/>
                <w:noProof/>
                <w:sz w:val="22"/>
                <w:szCs w:val="22"/>
                <w:lang w:eastAsia="de-DE"/>
              </w:rPr>
              <w:tab/>
            </w:r>
            <w:r w:rsidR="00B6307F" w:rsidRPr="002E03B2">
              <w:rPr>
                <w:rStyle w:val="Hyperlink"/>
                <w:noProof/>
              </w:rPr>
              <w:t>Auswahl molekularer Marker</w:t>
            </w:r>
            <w:r w:rsidR="00B6307F">
              <w:rPr>
                <w:noProof/>
                <w:webHidden/>
              </w:rPr>
              <w:tab/>
            </w:r>
            <w:r w:rsidR="00B6307F">
              <w:rPr>
                <w:noProof/>
                <w:webHidden/>
              </w:rPr>
              <w:fldChar w:fldCharType="begin"/>
            </w:r>
            <w:r w:rsidR="00B6307F">
              <w:rPr>
                <w:noProof/>
                <w:webHidden/>
              </w:rPr>
              <w:instrText xml:space="preserve"> PAGEREF _Toc54183623 \h </w:instrText>
            </w:r>
            <w:r w:rsidR="00B6307F">
              <w:rPr>
                <w:noProof/>
                <w:webHidden/>
              </w:rPr>
            </w:r>
            <w:r w:rsidR="00B6307F">
              <w:rPr>
                <w:noProof/>
                <w:webHidden/>
              </w:rPr>
              <w:fldChar w:fldCharType="separate"/>
            </w:r>
            <w:r w:rsidR="00B6307F">
              <w:rPr>
                <w:noProof/>
                <w:webHidden/>
              </w:rPr>
              <w:t>2</w:t>
            </w:r>
            <w:r w:rsidR="00B6307F">
              <w:rPr>
                <w:noProof/>
                <w:webHidden/>
              </w:rPr>
              <w:fldChar w:fldCharType="end"/>
            </w:r>
          </w:hyperlink>
        </w:p>
        <w:p w:rsidR="00B6307F" w:rsidRDefault="00F27F3F">
          <w:pPr>
            <w:pStyle w:val="TOC3"/>
            <w:tabs>
              <w:tab w:val="left" w:pos="1200"/>
            </w:tabs>
            <w:rPr>
              <w:rFonts w:asciiTheme="minorHAnsi" w:eastAsiaTheme="minorEastAsia" w:hAnsiTheme="minorHAnsi" w:cstheme="minorBidi"/>
              <w:noProof/>
              <w:sz w:val="22"/>
              <w:szCs w:val="22"/>
              <w:lang w:eastAsia="de-DE"/>
            </w:rPr>
          </w:pPr>
          <w:hyperlink w:anchor="_Toc54183624" w:history="1">
            <w:r w:rsidR="00B6307F" w:rsidRPr="002E03B2">
              <w:rPr>
                <w:rStyle w:val="Hyperlink"/>
                <w:i/>
                <w:noProof/>
                <w:snapToGrid w:val="0"/>
              </w:rPr>
              <w:t xml:space="preserve">1.1 </w:t>
            </w:r>
            <w:r w:rsidR="00B6307F">
              <w:rPr>
                <w:rFonts w:asciiTheme="minorHAnsi" w:eastAsiaTheme="minorEastAsia" w:hAnsiTheme="minorHAnsi" w:cstheme="minorBidi"/>
                <w:noProof/>
                <w:sz w:val="22"/>
                <w:szCs w:val="22"/>
                <w:lang w:eastAsia="de-DE"/>
              </w:rPr>
              <w:tab/>
            </w:r>
            <w:r w:rsidR="00B6307F" w:rsidRPr="002E03B2">
              <w:rPr>
                <w:rStyle w:val="Hyperlink"/>
                <w:i/>
                <w:noProof/>
                <w:snapToGrid w:val="0"/>
              </w:rPr>
              <w:t>Sortenserien für das Auswahlverfahren</w:t>
            </w:r>
            <w:r w:rsidR="00B6307F">
              <w:rPr>
                <w:noProof/>
                <w:webHidden/>
              </w:rPr>
              <w:tab/>
            </w:r>
            <w:r w:rsidR="00B6307F">
              <w:rPr>
                <w:noProof/>
                <w:webHidden/>
              </w:rPr>
              <w:fldChar w:fldCharType="begin"/>
            </w:r>
            <w:r w:rsidR="00B6307F">
              <w:rPr>
                <w:noProof/>
                <w:webHidden/>
              </w:rPr>
              <w:instrText xml:space="preserve"> PAGEREF _Toc54183624 \h </w:instrText>
            </w:r>
            <w:r w:rsidR="00B6307F">
              <w:rPr>
                <w:noProof/>
                <w:webHidden/>
              </w:rPr>
            </w:r>
            <w:r w:rsidR="00B6307F">
              <w:rPr>
                <w:noProof/>
                <w:webHidden/>
              </w:rPr>
              <w:fldChar w:fldCharType="separate"/>
            </w:r>
            <w:r w:rsidR="00B6307F">
              <w:rPr>
                <w:noProof/>
                <w:webHidden/>
              </w:rPr>
              <w:t>2</w:t>
            </w:r>
            <w:r w:rsidR="00B6307F">
              <w:rPr>
                <w:noProof/>
                <w:webHidden/>
              </w:rPr>
              <w:fldChar w:fldCharType="end"/>
            </w:r>
          </w:hyperlink>
        </w:p>
        <w:p w:rsidR="00B6307F" w:rsidRDefault="00F27F3F">
          <w:pPr>
            <w:pStyle w:val="TOC3"/>
            <w:tabs>
              <w:tab w:val="left" w:pos="1200"/>
            </w:tabs>
            <w:rPr>
              <w:rFonts w:asciiTheme="minorHAnsi" w:eastAsiaTheme="minorEastAsia" w:hAnsiTheme="minorHAnsi" w:cstheme="minorBidi"/>
              <w:noProof/>
              <w:sz w:val="22"/>
              <w:szCs w:val="22"/>
              <w:lang w:eastAsia="de-DE"/>
            </w:rPr>
          </w:pPr>
          <w:hyperlink w:anchor="_Toc54183625" w:history="1">
            <w:r w:rsidR="00B6307F" w:rsidRPr="002E03B2">
              <w:rPr>
                <w:rStyle w:val="Hyperlink"/>
                <w:i/>
                <w:noProof/>
                <w:snapToGrid w:val="0"/>
              </w:rPr>
              <w:t xml:space="preserve">1.2 </w:t>
            </w:r>
            <w:r w:rsidR="00B6307F">
              <w:rPr>
                <w:rFonts w:asciiTheme="minorHAnsi" w:eastAsiaTheme="minorEastAsia" w:hAnsiTheme="minorHAnsi" w:cstheme="minorBidi"/>
                <w:noProof/>
                <w:sz w:val="22"/>
                <w:szCs w:val="22"/>
                <w:lang w:eastAsia="de-DE"/>
              </w:rPr>
              <w:tab/>
            </w:r>
            <w:r w:rsidR="00B6307F" w:rsidRPr="002E03B2">
              <w:rPr>
                <w:rStyle w:val="Hyperlink"/>
                <w:i/>
                <w:noProof/>
                <w:snapToGrid w:val="0"/>
              </w:rPr>
              <w:t>Molekulare Marker - Leistungskriterien</w:t>
            </w:r>
            <w:r w:rsidR="00B6307F">
              <w:rPr>
                <w:noProof/>
                <w:webHidden/>
              </w:rPr>
              <w:tab/>
            </w:r>
            <w:r w:rsidR="00B6307F">
              <w:rPr>
                <w:noProof/>
                <w:webHidden/>
              </w:rPr>
              <w:fldChar w:fldCharType="begin"/>
            </w:r>
            <w:r w:rsidR="00B6307F">
              <w:rPr>
                <w:noProof/>
                <w:webHidden/>
              </w:rPr>
              <w:instrText xml:space="preserve"> PAGEREF _Toc54183625 \h </w:instrText>
            </w:r>
            <w:r w:rsidR="00B6307F">
              <w:rPr>
                <w:noProof/>
                <w:webHidden/>
              </w:rPr>
            </w:r>
            <w:r w:rsidR="00B6307F">
              <w:rPr>
                <w:noProof/>
                <w:webHidden/>
              </w:rPr>
              <w:fldChar w:fldCharType="separate"/>
            </w:r>
            <w:r w:rsidR="00B6307F">
              <w:rPr>
                <w:noProof/>
                <w:webHidden/>
              </w:rPr>
              <w:t>2</w:t>
            </w:r>
            <w:r w:rsidR="00B6307F">
              <w:rPr>
                <w:noProof/>
                <w:webHidden/>
              </w:rPr>
              <w:fldChar w:fldCharType="end"/>
            </w:r>
          </w:hyperlink>
        </w:p>
        <w:p w:rsidR="00B6307F" w:rsidRDefault="00F27F3F" w:rsidP="00F27F3F">
          <w:pPr>
            <w:pStyle w:val="TOC2"/>
            <w:rPr>
              <w:rFonts w:asciiTheme="minorHAnsi" w:eastAsiaTheme="minorEastAsia" w:hAnsiTheme="minorHAnsi" w:cstheme="minorBidi"/>
              <w:noProof/>
              <w:sz w:val="22"/>
              <w:szCs w:val="22"/>
              <w:lang w:eastAsia="de-DE"/>
            </w:rPr>
          </w:pPr>
          <w:hyperlink w:anchor="_Toc54183626" w:history="1">
            <w:r w:rsidR="00B6307F" w:rsidRPr="002E03B2">
              <w:rPr>
                <w:rStyle w:val="Hyperlink"/>
                <w:noProof/>
              </w:rPr>
              <w:t>2.</w:t>
            </w:r>
            <w:r w:rsidR="00B6307F">
              <w:rPr>
                <w:rFonts w:asciiTheme="minorHAnsi" w:eastAsiaTheme="minorEastAsia" w:hAnsiTheme="minorHAnsi" w:cstheme="minorBidi"/>
                <w:noProof/>
                <w:sz w:val="22"/>
                <w:szCs w:val="22"/>
                <w:lang w:eastAsia="de-DE"/>
              </w:rPr>
              <w:tab/>
            </w:r>
            <w:r w:rsidR="00B6307F" w:rsidRPr="002E03B2">
              <w:rPr>
                <w:rStyle w:val="Hyperlink"/>
                <w:noProof/>
              </w:rPr>
              <w:t>Auswahl der Detektionsmethode</w:t>
            </w:r>
            <w:r w:rsidR="00B6307F">
              <w:rPr>
                <w:noProof/>
                <w:webHidden/>
              </w:rPr>
              <w:tab/>
            </w:r>
            <w:r w:rsidR="00B6307F">
              <w:rPr>
                <w:noProof/>
                <w:webHidden/>
              </w:rPr>
              <w:fldChar w:fldCharType="begin"/>
            </w:r>
            <w:r w:rsidR="00B6307F">
              <w:rPr>
                <w:noProof/>
                <w:webHidden/>
              </w:rPr>
              <w:instrText xml:space="preserve"> PAGEREF _Toc54183626 \h </w:instrText>
            </w:r>
            <w:r w:rsidR="00B6307F">
              <w:rPr>
                <w:noProof/>
                <w:webHidden/>
              </w:rPr>
            </w:r>
            <w:r w:rsidR="00B6307F">
              <w:rPr>
                <w:noProof/>
                <w:webHidden/>
              </w:rPr>
              <w:fldChar w:fldCharType="separate"/>
            </w:r>
            <w:r w:rsidR="00B6307F">
              <w:rPr>
                <w:noProof/>
                <w:webHidden/>
              </w:rPr>
              <w:t>3</w:t>
            </w:r>
            <w:r w:rsidR="00B6307F">
              <w:rPr>
                <w:noProof/>
                <w:webHidden/>
              </w:rPr>
              <w:fldChar w:fldCharType="end"/>
            </w:r>
          </w:hyperlink>
        </w:p>
        <w:p w:rsidR="00B6307F" w:rsidRDefault="00F27F3F">
          <w:pPr>
            <w:pStyle w:val="TOC3"/>
            <w:tabs>
              <w:tab w:val="left" w:pos="1200"/>
            </w:tabs>
            <w:rPr>
              <w:rFonts w:asciiTheme="minorHAnsi" w:eastAsiaTheme="minorEastAsia" w:hAnsiTheme="minorHAnsi" w:cstheme="minorBidi"/>
              <w:noProof/>
              <w:sz w:val="22"/>
              <w:szCs w:val="22"/>
              <w:lang w:eastAsia="de-DE"/>
            </w:rPr>
          </w:pPr>
          <w:hyperlink w:anchor="_Toc54183627" w:history="1">
            <w:r w:rsidR="00B6307F" w:rsidRPr="002E03B2">
              <w:rPr>
                <w:rStyle w:val="Hyperlink"/>
                <w:i/>
                <w:noProof/>
                <w:snapToGrid w:val="0"/>
              </w:rPr>
              <w:t xml:space="preserve">2.1 </w:t>
            </w:r>
            <w:r w:rsidR="00B6307F">
              <w:rPr>
                <w:rFonts w:asciiTheme="minorHAnsi" w:eastAsiaTheme="minorEastAsia" w:hAnsiTheme="minorHAnsi" w:cstheme="minorBidi"/>
                <w:noProof/>
                <w:sz w:val="22"/>
                <w:szCs w:val="22"/>
                <w:lang w:eastAsia="de-DE"/>
              </w:rPr>
              <w:tab/>
            </w:r>
            <w:r w:rsidR="00B6307F" w:rsidRPr="002E03B2">
              <w:rPr>
                <w:rStyle w:val="Hyperlink"/>
                <w:i/>
                <w:noProof/>
                <w:snapToGrid w:val="0"/>
              </w:rPr>
              <w:t>DNS-Profilierungsverfahren – allgemeine Überlegungen</w:t>
            </w:r>
            <w:r w:rsidR="00B6307F">
              <w:rPr>
                <w:noProof/>
                <w:webHidden/>
              </w:rPr>
              <w:tab/>
            </w:r>
            <w:r w:rsidR="00B6307F">
              <w:rPr>
                <w:noProof/>
                <w:webHidden/>
              </w:rPr>
              <w:fldChar w:fldCharType="begin"/>
            </w:r>
            <w:r w:rsidR="00B6307F">
              <w:rPr>
                <w:noProof/>
                <w:webHidden/>
              </w:rPr>
              <w:instrText xml:space="preserve"> PAGEREF _Toc54183627 \h </w:instrText>
            </w:r>
            <w:r w:rsidR="00B6307F">
              <w:rPr>
                <w:noProof/>
                <w:webHidden/>
              </w:rPr>
            </w:r>
            <w:r w:rsidR="00B6307F">
              <w:rPr>
                <w:noProof/>
                <w:webHidden/>
              </w:rPr>
              <w:fldChar w:fldCharType="separate"/>
            </w:r>
            <w:r w:rsidR="00B6307F">
              <w:rPr>
                <w:noProof/>
                <w:webHidden/>
              </w:rPr>
              <w:t>3</w:t>
            </w:r>
            <w:r w:rsidR="00B6307F">
              <w:rPr>
                <w:noProof/>
                <w:webHidden/>
              </w:rPr>
              <w:fldChar w:fldCharType="end"/>
            </w:r>
          </w:hyperlink>
        </w:p>
        <w:p w:rsidR="00B6307F" w:rsidRDefault="00F27F3F">
          <w:pPr>
            <w:pStyle w:val="TOC3"/>
            <w:tabs>
              <w:tab w:val="left" w:pos="1200"/>
            </w:tabs>
            <w:rPr>
              <w:rFonts w:asciiTheme="minorHAnsi" w:eastAsiaTheme="minorEastAsia" w:hAnsiTheme="minorHAnsi" w:cstheme="minorBidi"/>
              <w:noProof/>
              <w:sz w:val="22"/>
              <w:szCs w:val="22"/>
              <w:lang w:eastAsia="de-DE"/>
            </w:rPr>
          </w:pPr>
          <w:hyperlink w:anchor="_Toc54183628" w:history="1">
            <w:r w:rsidR="00B6307F" w:rsidRPr="002E03B2">
              <w:rPr>
                <w:rStyle w:val="Hyperlink"/>
                <w:i/>
                <w:noProof/>
                <w:snapToGrid w:val="0"/>
              </w:rPr>
              <w:t>2.2.</w:t>
            </w:r>
            <w:r w:rsidR="00B6307F">
              <w:rPr>
                <w:rFonts w:asciiTheme="minorHAnsi" w:eastAsiaTheme="minorEastAsia" w:hAnsiTheme="minorHAnsi" w:cstheme="minorBidi"/>
                <w:noProof/>
                <w:sz w:val="22"/>
                <w:szCs w:val="22"/>
                <w:lang w:eastAsia="de-DE"/>
              </w:rPr>
              <w:tab/>
            </w:r>
            <w:r w:rsidR="00B6307F" w:rsidRPr="002E03B2">
              <w:rPr>
                <w:rStyle w:val="Hyperlink"/>
                <w:i/>
                <w:noProof/>
                <w:snapToGrid w:val="0"/>
              </w:rPr>
              <w:t>Zugang zur Technik</w:t>
            </w:r>
            <w:r w:rsidR="00B6307F">
              <w:rPr>
                <w:noProof/>
                <w:webHidden/>
              </w:rPr>
              <w:tab/>
            </w:r>
            <w:r w:rsidR="00B6307F">
              <w:rPr>
                <w:noProof/>
                <w:webHidden/>
              </w:rPr>
              <w:fldChar w:fldCharType="begin"/>
            </w:r>
            <w:r w:rsidR="00B6307F">
              <w:rPr>
                <w:noProof/>
                <w:webHidden/>
              </w:rPr>
              <w:instrText xml:space="preserve"> PAGEREF _Toc54183628 \h </w:instrText>
            </w:r>
            <w:r w:rsidR="00B6307F">
              <w:rPr>
                <w:noProof/>
                <w:webHidden/>
              </w:rPr>
            </w:r>
            <w:r w:rsidR="00B6307F">
              <w:rPr>
                <w:noProof/>
                <w:webHidden/>
              </w:rPr>
              <w:fldChar w:fldCharType="separate"/>
            </w:r>
            <w:r w:rsidR="00B6307F">
              <w:rPr>
                <w:noProof/>
                <w:webHidden/>
              </w:rPr>
              <w:t>3</w:t>
            </w:r>
            <w:r w:rsidR="00B6307F">
              <w:rPr>
                <w:noProof/>
                <w:webHidden/>
              </w:rPr>
              <w:fldChar w:fldCharType="end"/>
            </w:r>
          </w:hyperlink>
        </w:p>
        <w:p w:rsidR="00B6307F" w:rsidRDefault="00F27F3F" w:rsidP="00F27F3F">
          <w:pPr>
            <w:pStyle w:val="TOC2"/>
            <w:rPr>
              <w:rFonts w:asciiTheme="minorHAnsi" w:eastAsiaTheme="minorEastAsia" w:hAnsiTheme="minorHAnsi" w:cstheme="minorBidi"/>
              <w:noProof/>
              <w:sz w:val="22"/>
              <w:szCs w:val="22"/>
              <w:lang w:eastAsia="de-DE"/>
            </w:rPr>
          </w:pPr>
          <w:hyperlink w:anchor="_Toc54183629" w:history="1">
            <w:r w:rsidR="00B6307F" w:rsidRPr="002E03B2">
              <w:rPr>
                <w:rStyle w:val="Hyperlink"/>
                <w:noProof/>
              </w:rPr>
              <w:t>3.</w:t>
            </w:r>
            <w:r w:rsidR="00B6307F">
              <w:rPr>
                <w:rFonts w:asciiTheme="minorHAnsi" w:eastAsiaTheme="minorEastAsia" w:hAnsiTheme="minorHAnsi" w:cstheme="minorBidi"/>
                <w:noProof/>
                <w:sz w:val="22"/>
                <w:szCs w:val="22"/>
                <w:lang w:eastAsia="de-DE"/>
              </w:rPr>
              <w:tab/>
            </w:r>
            <w:r w:rsidR="00B6307F" w:rsidRPr="002E03B2">
              <w:rPr>
                <w:rStyle w:val="Hyperlink"/>
                <w:noProof/>
              </w:rPr>
              <w:t>Validierung und Harmonisierung von Markersatz und Detektionsmethode</w:t>
            </w:r>
            <w:r w:rsidR="00B6307F">
              <w:rPr>
                <w:noProof/>
                <w:webHidden/>
              </w:rPr>
              <w:tab/>
            </w:r>
            <w:r w:rsidR="00B6307F">
              <w:rPr>
                <w:noProof/>
                <w:webHidden/>
              </w:rPr>
              <w:fldChar w:fldCharType="begin"/>
            </w:r>
            <w:r w:rsidR="00B6307F">
              <w:rPr>
                <w:noProof/>
                <w:webHidden/>
              </w:rPr>
              <w:instrText xml:space="preserve"> PAGEREF _Toc54183629 \h </w:instrText>
            </w:r>
            <w:r w:rsidR="00B6307F">
              <w:rPr>
                <w:noProof/>
                <w:webHidden/>
              </w:rPr>
            </w:r>
            <w:r w:rsidR="00B6307F">
              <w:rPr>
                <w:noProof/>
                <w:webHidden/>
              </w:rPr>
              <w:fldChar w:fldCharType="separate"/>
            </w:r>
            <w:r w:rsidR="00B6307F">
              <w:rPr>
                <w:noProof/>
                <w:webHidden/>
              </w:rPr>
              <w:t>3</w:t>
            </w:r>
            <w:r w:rsidR="00B6307F">
              <w:rPr>
                <w:noProof/>
                <w:webHidden/>
              </w:rPr>
              <w:fldChar w:fldCharType="end"/>
            </w:r>
          </w:hyperlink>
        </w:p>
        <w:p w:rsidR="00B6307F" w:rsidRDefault="00F27F3F">
          <w:pPr>
            <w:pStyle w:val="TOC3"/>
            <w:tabs>
              <w:tab w:val="left" w:pos="1200"/>
            </w:tabs>
            <w:rPr>
              <w:rFonts w:asciiTheme="minorHAnsi" w:eastAsiaTheme="minorEastAsia" w:hAnsiTheme="minorHAnsi" w:cstheme="minorBidi"/>
              <w:noProof/>
              <w:sz w:val="22"/>
              <w:szCs w:val="22"/>
              <w:lang w:eastAsia="de-DE"/>
            </w:rPr>
          </w:pPr>
          <w:hyperlink w:anchor="_Toc54183630" w:history="1">
            <w:r w:rsidR="00B6307F" w:rsidRPr="002E03B2">
              <w:rPr>
                <w:rStyle w:val="Hyperlink"/>
                <w:i/>
                <w:noProof/>
                <w:snapToGrid w:val="0"/>
              </w:rPr>
              <w:t xml:space="preserve">3.1 </w:t>
            </w:r>
            <w:r w:rsidR="00B6307F">
              <w:rPr>
                <w:rFonts w:asciiTheme="minorHAnsi" w:eastAsiaTheme="minorEastAsia" w:hAnsiTheme="minorHAnsi" w:cstheme="minorBidi"/>
                <w:noProof/>
                <w:sz w:val="22"/>
                <w:szCs w:val="22"/>
                <w:lang w:eastAsia="de-DE"/>
              </w:rPr>
              <w:tab/>
            </w:r>
            <w:r w:rsidR="00B6307F" w:rsidRPr="002E03B2">
              <w:rPr>
                <w:rStyle w:val="Hyperlink"/>
                <w:i/>
                <w:noProof/>
                <w:snapToGrid w:val="0"/>
              </w:rPr>
              <w:t>Validierung und Harmonisierung - allgemeine Überlegungen</w:t>
            </w:r>
            <w:r w:rsidR="00B6307F">
              <w:rPr>
                <w:noProof/>
                <w:webHidden/>
              </w:rPr>
              <w:tab/>
            </w:r>
            <w:r w:rsidR="00B6307F">
              <w:rPr>
                <w:noProof/>
                <w:webHidden/>
              </w:rPr>
              <w:fldChar w:fldCharType="begin"/>
            </w:r>
            <w:r w:rsidR="00B6307F">
              <w:rPr>
                <w:noProof/>
                <w:webHidden/>
              </w:rPr>
              <w:instrText xml:space="preserve"> PAGEREF _Toc54183630 \h </w:instrText>
            </w:r>
            <w:r w:rsidR="00B6307F">
              <w:rPr>
                <w:noProof/>
                <w:webHidden/>
              </w:rPr>
            </w:r>
            <w:r w:rsidR="00B6307F">
              <w:rPr>
                <w:noProof/>
                <w:webHidden/>
              </w:rPr>
              <w:fldChar w:fldCharType="separate"/>
            </w:r>
            <w:r w:rsidR="00B6307F">
              <w:rPr>
                <w:noProof/>
                <w:webHidden/>
              </w:rPr>
              <w:t>3</w:t>
            </w:r>
            <w:r w:rsidR="00B6307F">
              <w:rPr>
                <w:noProof/>
                <w:webHidden/>
              </w:rPr>
              <w:fldChar w:fldCharType="end"/>
            </w:r>
          </w:hyperlink>
        </w:p>
        <w:p w:rsidR="00B6307F" w:rsidRDefault="00F27F3F">
          <w:pPr>
            <w:pStyle w:val="TOC3"/>
            <w:tabs>
              <w:tab w:val="left" w:pos="1200"/>
            </w:tabs>
            <w:rPr>
              <w:rFonts w:asciiTheme="minorHAnsi" w:eastAsiaTheme="minorEastAsia" w:hAnsiTheme="minorHAnsi" w:cstheme="minorBidi"/>
              <w:noProof/>
              <w:sz w:val="22"/>
              <w:szCs w:val="22"/>
              <w:lang w:eastAsia="de-DE"/>
            </w:rPr>
          </w:pPr>
          <w:hyperlink w:anchor="_Toc54183631" w:history="1">
            <w:r w:rsidR="00B6307F" w:rsidRPr="002E03B2">
              <w:rPr>
                <w:rStyle w:val="Hyperlink"/>
                <w:i/>
                <w:noProof/>
                <w:snapToGrid w:val="0"/>
              </w:rPr>
              <w:t xml:space="preserve">3.2 </w:t>
            </w:r>
            <w:r w:rsidR="00B6307F">
              <w:rPr>
                <w:rFonts w:asciiTheme="minorHAnsi" w:eastAsiaTheme="minorEastAsia" w:hAnsiTheme="minorHAnsi" w:cstheme="minorBidi"/>
                <w:noProof/>
                <w:sz w:val="22"/>
                <w:szCs w:val="22"/>
                <w:lang w:eastAsia="de-DE"/>
              </w:rPr>
              <w:tab/>
            </w:r>
            <w:r w:rsidR="00B6307F" w:rsidRPr="002E03B2">
              <w:rPr>
                <w:rStyle w:val="Hyperlink"/>
                <w:i/>
                <w:noProof/>
                <w:snapToGrid w:val="0"/>
              </w:rPr>
              <w:t>Leistungsaspekte – Validierung von Markern und Verfahren</w:t>
            </w:r>
            <w:r w:rsidR="00B6307F">
              <w:rPr>
                <w:noProof/>
                <w:webHidden/>
              </w:rPr>
              <w:tab/>
            </w:r>
            <w:r w:rsidR="00B6307F">
              <w:rPr>
                <w:noProof/>
                <w:webHidden/>
              </w:rPr>
              <w:fldChar w:fldCharType="begin"/>
            </w:r>
            <w:r w:rsidR="00B6307F">
              <w:rPr>
                <w:noProof/>
                <w:webHidden/>
              </w:rPr>
              <w:instrText xml:space="preserve"> PAGEREF _Toc54183631 \h </w:instrText>
            </w:r>
            <w:r w:rsidR="00B6307F">
              <w:rPr>
                <w:noProof/>
                <w:webHidden/>
              </w:rPr>
            </w:r>
            <w:r w:rsidR="00B6307F">
              <w:rPr>
                <w:noProof/>
                <w:webHidden/>
              </w:rPr>
              <w:fldChar w:fldCharType="separate"/>
            </w:r>
            <w:r w:rsidR="00B6307F">
              <w:rPr>
                <w:noProof/>
                <w:webHidden/>
              </w:rPr>
              <w:t>3</w:t>
            </w:r>
            <w:r w:rsidR="00B6307F">
              <w:rPr>
                <w:noProof/>
                <w:webHidden/>
              </w:rPr>
              <w:fldChar w:fldCharType="end"/>
            </w:r>
          </w:hyperlink>
        </w:p>
        <w:p w:rsidR="00B6307F" w:rsidRDefault="00F27F3F">
          <w:pPr>
            <w:pStyle w:val="TOC3"/>
            <w:tabs>
              <w:tab w:val="left" w:pos="1200"/>
            </w:tabs>
            <w:rPr>
              <w:rFonts w:asciiTheme="minorHAnsi" w:eastAsiaTheme="minorEastAsia" w:hAnsiTheme="minorHAnsi" w:cstheme="minorBidi"/>
              <w:noProof/>
              <w:sz w:val="22"/>
              <w:szCs w:val="22"/>
              <w:lang w:eastAsia="de-DE"/>
            </w:rPr>
          </w:pPr>
          <w:hyperlink w:anchor="_Toc54183632" w:history="1">
            <w:r w:rsidR="00B6307F" w:rsidRPr="002E03B2">
              <w:rPr>
                <w:rStyle w:val="Hyperlink"/>
                <w:i/>
                <w:noProof/>
                <w:snapToGrid w:val="0"/>
              </w:rPr>
              <w:t xml:space="preserve">3.3 </w:t>
            </w:r>
            <w:r w:rsidR="00B6307F">
              <w:rPr>
                <w:rFonts w:asciiTheme="minorHAnsi" w:eastAsiaTheme="minorEastAsia" w:hAnsiTheme="minorHAnsi" w:cstheme="minorBidi"/>
                <w:noProof/>
                <w:sz w:val="22"/>
                <w:szCs w:val="22"/>
                <w:lang w:eastAsia="de-DE"/>
              </w:rPr>
              <w:tab/>
            </w:r>
            <w:r w:rsidR="00B6307F" w:rsidRPr="002E03B2">
              <w:rPr>
                <w:rStyle w:val="Hyperlink"/>
                <w:i/>
                <w:noProof/>
                <w:snapToGrid w:val="0"/>
              </w:rPr>
              <w:t>Konsistenzaspekte</w:t>
            </w:r>
            <w:r w:rsidR="00B6307F">
              <w:rPr>
                <w:noProof/>
                <w:webHidden/>
              </w:rPr>
              <w:tab/>
            </w:r>
            <w:r w:rsidR="00B6307F">
              <w:rPr>
                <w:noProof/>
                <w:webHidden/>
              </w:rPr>
              <w:fldChar w:fldCharType="begin"/>
            </w:r>
            <w:r w:rsidR="00B6307F">
              <w:rPr>
                <w:noProof/>
                <w:webHidden/>
              </w:rPr>
              <w:instrText xml:space="preserve"> PAGEREF _Toc54183632 \h </w:instrText>
            </w:r>
            <w:r w:rsidR="00B6307F">
              <w:rPr>
                <w:noProof/>
                <w:webHidden/>
              </w:rPr>
            </w:r>
            <w:r w:rsidR="00B6307F">
              <w:rPr>
                <w:noProof/>
                <w:webHidden/>
              </w:rPr>
              <w:fldChar w:fldCharType="separate"/>
            </w:r>
            <w:r w:rsidR="00B6307F">
              <w:rPr>
                <w:noProof/>
                <w:webHidden/>
              </w:rPr>
              <w:t>4</w:t>
            </w:r>
            <w:r w:rsidR="00B6307F">
              <w:rPr>
                <w:noProof/>
                <w:webHidden/>
              </w:rPr>
              <w:fldChar w:fldCharType="end"/>
            </w:r>
          </w:hyperlink>
        </w:p>
        <w:p w:rsidR="00B6307F" w:rsidRDefault="00F27F3F" w:rsidP="00F27F3F">
          <w:pPr>
            <w:pStyle w:val="TOC2"/>
            <w:rPr>
              <w:rFonts w:asciiTheme="minorHAnsi" w:eastAsiaTheme="minorEastAsia" w:hAnsiTheme="minorHAnsi" w:cstheme="minorBidi"/>
              <w:noProof/>
              <w:sz w:val="22"/>
              <w:szCs w:val="22"/>
              <w:lang w:eastAsia="de-DE"/>
            </w:rPr>
          </w:pPr>
          <w:hyperlink w:anchor="_Toc54183633" w:history="1">
            <w:r w:rsidR="00B6307F" w:rsidRPr="002E03B2">
              <w:rPr>
                <w:rStyle w:val="Hyperlink"/>
                <w:noProof/>
              </w:rPr>
              <w:t>4.</w:t>
            </w:r>
            <w:r w:rsidR="00B6307F">
              <w:rPr>
                <w:rFonts w:asciiTheme="minorHAnsi" w:eastAsiaTheme="minorEastAsia" w:hAnsiTheme="minorHAnsi" w:cstheme="minorBidi"/>
                <w:noProof/>
                <w:sz w:val="22"/>
                <w:szCs w:val="22"/>
                <w:lang w:eastAsia="de-DE"/>
              </w:rPr>
              <w:tab/>
            </w:r>
            <w:r w:rsidR="00B6307F" w:rsidRPr="002E03B2">
              <w:rPr>
                <w:rStyle w:val="Hyperlink"/>
                <w:noProof/>
              </w:rPr>
              <w:t>Aufbau einer artspezifischen Datenbank</w:t>
            </w:r>
            <w:r w:rsidR="00B6307F">
              <w:rPr>
                <w:noProof/>
                <w:webHidden/>
              </w:rPr>
              <w:tab/>
            </w:r>
            <w:r w:rsidR="00B6307F">
              <w:rPr>
                <w:noProof/>
                <w:webHidden/>
              </w:rPr>
              <w:fldChar w:fldCharType="begin"/>
            </w:r>
            <w:r w:rsidR="00B6307F">
              <w:rPr>
                <w:noProof/>
                <w:webHidden/>
              </w:rPr>
              <w:instrText xml:space="preserve"> PAGEREF _Toc54183633 \h </w:instrText>
            </w:r>
            <w:r w:rsidR="00B6307F">
              <w:rPr>
                <w:noProof/>
                <w:webHidden/>
              </w:rPr>
            </w:r>
            <w:r w:rsidR="00B6307F">
              <w:rPr>
                <w:noProof/>
                <w:webHidden/>
              </w:rPr>
              <w:fldChar w:fldCharType="separate"/>
            </w:r>
            <w:r w:rsidR="00B6307F">
              <w:rPr>
                <w:noProof/>
                <w:webHidden/>
              </w:rPr>
              <w:t>4</w:t>
            </w:r>
            <w:r w:rsidR="00B6307F">
              <w:rPr>
                <w:noProof/>
                <w:webHidden/>
              </w:rPr>
              <w:fldChar w:fldCharType="end"/>
            </w:r>
          </w:hyperlink>
        </w:p>
        <w:p w:rsidR="00B6307F" w:rsidRDefault="00F27F3F">
          <w:pPr>
            <w:pStyle w:val="TOC3"/>
            <w:tabs>
              <w:tab w:val="left" w:pos="1200"/>
            </w:tabs>
            <w:rPr>
              <w:rFonts w:asciiTheme="minorHAnsi" w:eastAsiaTheme="minorEastAsia" w:hAnsiTheme="minorHAnsi" w:cstheme="minorBidi"/>
              <w:noProof/>
              <w:sz w:val="22"/>
              <w:szCs w:val="22"/>
              <w:lang w:eastAsia="de-DE"/>
            </w:rPr>
          </w:pPr>
          <w:hyperlink w:anchor="_Toc54183634" w:history="1">
            <w:r w:rsidR="00B6307F" w:rsidRPr="002E03B2">
              <w:rPr>
                <w:rStyle w:val="Hyperlink"/>
                <w:i/>
                <w:noProof/>
                <w:snapToGrid w:val="0"/>
              </w:rPr>
              <w:t xml:space="preserve">4.1 </w:t>
            </w:r>
            <w:r w:rsidR="00B6307F">
              <w:rPr>
                <w:rFonts w:asciiTheme="minorHAnsi" w:eastAsiaTheme="minorEastAsia" w:hAnsiTheme="minorHAnsi" w:cstheme="minorBidi"/>
                <w:noProof/>
                <w:sz w:val="22"/>
                <w:szCs w:val="22"/>
                <w:lang w:eastAsia="de-DE"/>
              </w:rPr>
              <w:tab/>
            </w:r>
            <w:r w:rsidR="00B6307F" w:rsidRPr="002E03B2">
              <w:rPr>
                <w:rStyle w:val="Hyperlink"/>
                <w:i/>
                <w:noProof/>
                <w:snapToGrid w:val="0"/>
              </w:rPr>
              <w:t>Empfehlungen für die Gestaltung der Datenbank</w:t>
            </w:r>
            <w:r w:rsidR="00B6307F">
              <w:rPr>
                <w:noProof/>
                <w:webHidden/>
              </w:rPr>
              <w:tab/>
            </w:r>
            <w:r w:rsidR="00B6307F">
              <w:rPr>
                <w:noProof/>
                <w:webHidden/>
              </w:rPr>
              <w:fldChar w:fldCharType="begin"/>
            </w:r>
            <w:r w:rsidR="00B6307F">
              <w:rPr>
                <w:noProof/>
                <w:webHidden/>
              </w:rPr>
              <w:instrText xml:space="preserve"> PAGEREF _Toc54183634 \h </w:instrText>
            </w:r>
            <w:r w:rsidR="00B6307F">
              <w:rPr>
                <w:noProof/>
                <w:webHidden/>
              </w:rPr>
            </w:r>
            <w:r w:rsidR="00B6307F">
              <w:rPr>
                <w:noProof/>
                <w:webHidden/>
              </w:rPr>
              <w:fldChar w:fldCharType="separate"/>
            </w:r>
            <w:r w:rsidR="00B6307F">
              <w:rPr>
                <w:noProof/>
                <w:webHidden/>
              </w:rPr>
              <w:t>4</w:t>
            </w:r>
            <w:r w:rsidR="00B6307F">
              <w:rPr>
                <w:noProof/>
                <w:webHidden/>
              </w:rPr>
              <w:fldChar w:fldCharType="end"/>
            </w:r>
          </w:hyperlink>
        </w:p>
        <w:p w:rsidR="00B6307F" w:rsidRDefault="00F27F3F">
          <w:pPr>
            <w:pStyle w:val="TOC3"/>
            <w:tabs>
              <w:tab w:val="left" w:pos="1200"/>
            </w:tabs>
            <w:rPr>
              <w:rFonts w:asciiTheme="minorHAnsi" w:eastAsiaTheme="minorEastAsia" w:hAnsiTheme="minorHAnsi" w:cstheme="minorBidi"/>
              <w:noProof/>
              <w:sz w:val="22"/>
              <w:szCs w:val="22"/>
              <w:lang w:eastAsia="de-DE"/>
            </w:rPr>
          </w:pPr>
          <w:hyperlink w:anchor="_Toc54183635" w:history="1">
            <w:r w:rsidR="00B6307F" w:rsidRPr="002E03B2">
              <w:rPr>
                <w:rStyle w:val="Hyperlink"/>
                <w:i/>
                <w:noProof/>
                <w:snapToGrid w:val="0"/>
              </w:rPr>
              <w:t xml:space="preserve">4.2 </w:t>
            </w:r>
            <w:r w:rsidR="00B6307F">
              <w:rPr>
                <w:rFonts w:asciiTheme="minorHAnsi" w:eastAsiaTheme="minorEastAsia" w:hAnsiTheme="minorHAnsi" w:cstheme="minorBidi"/>
                <w:noProof/>
                <w:sz w:val="22"/>
                <w:szCs w:val="22"/>
                <w:lang w:eastAsia="de-DE"/>
              </w:rPr>
              <w:tab/>
            </w:r>
            <w:r w:rsidR="00B6307F" w:rsidRPr="002E03B2">
              <w:rPr>
                <w:rStyle w:val="Hyperlink"/>
                <w:i/>
                <w:noProof/>
                <w:snapToGrid w:val="0"/>
              </w:rPr>
              <w:t>Anforderungen an das Pflanzenmaterial</w:t>
            </w:r>
            <w:r w:rsidR="00B6307F">
              <w:rPr>
                <w:noProof/>
                <w:webHidden/>
              </w:rPr>
              <w:tab/>
            </w:r>
            <w:r w:rsidR="00B6307F">
              <w:rPr>
                <w:noProof/>
                <w:webHidden/>
              </w:rPr>
              <w:fldChar w:fldCharType="begin"/>
            </w:r>
            <w:r w:rsidR="00B6307F">
              <w:rPr>
                <w:noProof/>
                <w:webHidden/>
              </w:rPr>
              <w:instrText xml:space="preserve"> PAGEREF _Toc54183635 \h </w:instrText>
            </w:r>
            <w:r w:rsidR="00B6307F">
              <w:rPr>
                <w:noProof/>
                <w:webHidden/>
              </w:rPr>
            </w:r>
            <w:r w:rsidR="00B6307F">
              <w:rPr>
                <w:noProof/>
                <w:webHidden/>
              </w:rPr>
              <w:fldChar w:fldCharType="separate"/>
            </w:r>
            <w:r w:rsidR="00B6307F">
              <w:rPr>
                <w:noProof/>
                <w:webHidden/>
              </w:rPr>
              <w:t>5</w:t>
            </w:r>
            <w:r w:rsidR="00B6307F">
              <w:rPr>
                <w:noProof/>
                <w:webHidden/>
              </w:rPr>
              <w:fldChar w:fldCharType="end"/>
            </w:r>
          </w:hyperlink>
        </w:p>
        <w:p w:rsidR="00B6307F" w:rsidRDefault="00F27F3F">
          <w:pPr>
            <w:pStyle w:val="TOC3"/>
            <w:tabs>
              <w:tab w:val="left" w:pos="1200"/>
            </w:tabs>
            <w:rPr>
              <w:rFonts w:asciiTheme="minorHAnsi" w:eastAsiaTheme="minorEastAsia" w:hAnsiTheme="minorHAnsi" w:cstheme="minorBidi"/>
              <w:noProof/>
              <w:sz w:val="22"/>
              <w:szCs w:val="22"/>
              <w:lang w:eastAsia="de-DE"/>
            </w:rPr>
          </w:pPr>
          <w:hyperlink w:anchor="_Toc54183636" w:history="1">
            <w:r w:rsidR="00B6307F" w:rsidRPr="002E03B2">
              <w:rPr>
                <w:rStyle w:val="Hyperlink"/>
                <w:i/>
                <w:noProof/>
                <w:snapToGrid w:val="0"/>
              </w:rPr>
              <w:t xml:space="preserve">4.3 </w:t>
            </w:r>
            <w:r w:rsidR="00B6307F">
              <w:rPr>
                <w:rFonts w:asciiTheme="minorHAnsi" w:eastAsiaTheme="minorEastAsia" w:hAnsiTheme="minorHAnsi" w:cstheme="minorBidi"/>
                <w:noProof/>
                <w:sz w:val="22"/>
                <w:szCs w:val="22"/>
                <w:lang w:eastAsia="de-DE"/>
              </w:rPr>
              <w:tab/>
            </w:r>
            <w:r w:rsidR="00B6307F" w:rsidRPr="002E03B2">
              <w:rPr>
                <w:rStyle w:val="Hyperlink"/>
                <w:i/>
                <w:noProof/>
                <w:snapToGrid w:val="0"/>
              </w:rPr>
              <w:t>Verarbeitung der Sequenzdaten</w:t>
            </w:r>
            <w:r w:rsidR="00B6307F">
              <w:rPr>
                <w:noProof/>
                <w:webHidden/>
              </w:rPr>
              <w:tab/>
            </w:r>
            <w:r w:rsidR="00B6307F">
              <w:rPr>
                <w:noProof/>
                <w:webHidden/>
              </w:rPr>
              <w:fldChar w:fldCharType="begin"/>
            </w:r>
            <w:r w:rsidR="00B6307F">
              <w:rPr>
                <w:noProof/>
                <w:webHidden/>
              </w:rPr>
              <w:instrText xml:space="preserve"> PAGEREF _Toc54183636 \h </w:instrText>
            </w:r>
            <w:r w:rsidR="00B6307F">
              <w:rPr>
                <w:noProof/>
                <w:webHidden/>
              </w:rPr>
            </w:r>
            <w:r w:rsidR="00B6307F">
              <w:rPr>
                <w:noProof/>
                <w:webHidden/>
              </w:rPr>
              <w:fldChar w:fldCharType="separate"/>
            </w:r>
            <w:r w:rsidR="00B6307F">
              <w:rPr>
                <w:noProof/>
                <w:webHidden/>
              </w:rPr>
              <w:t>5</w:t>
            </w:r>
            <w:r w:rsidR="00B6307F">
              <w:rPr>
                <w:noProof/>
                <w:webHidden/>
              </w:rPr>
              <w:fldChar w:fldCharType="end"/>
            </w:r>
          </w:hyperlink>
        </w:p>
        <w:p w:rsidR="00B6307F" w:rsidRDefault="00F27F3F">
          <w:pPr>
            <w:pStyle w:val="TOC3"/>
            <w:tabs>
              <w:tab w:val="left" w:pos="1200"/>
            </w:tabs>
            <w:rPr>
              <w:rFonts w:asciiTheme="minorHAnsi" w:eastAsiaTheme="minorEastAsia" w:hAnsiTheme="minorHAnsi" w:cstheme="minorBidi"/>
              <w:noProof/>
              <w:sz w:val="22"/>
              <w:szCs w:val="22"/>
              <w:lang w:eastAsia="de-DE"/>
            </w:rPr>
          </w:pPr>
          <w:hyperlink w:anchor="_Toc54183637" w:history="1">
            <w:r w:rsidR="00B6307F" w:rsidRPr="002E03B2">
              <w:rPr>
                <w:rStyle w:val="Hyperlink"/>
                <w:i/>
                <w:noProof/>
                <w:snapToGrid w:val="0"/>
              </w:rPr>
              <w:t>4.4</w:t>
            </w:r>
            <w:r w:rsidR="00B6307F">
              <w:rPr>
                <w:rFonts w:asciiTheme="minorHAnsi" w:eastAsiaTheme="minorEastAsia" w:hAnsiTheme="minorHAnsi" w:cstheme="minorBidi"/>
                <w:noProof/>
                <w:sz w:val="22"/>
                <w:szCs w:val="22"/>
                <w:lang w:eastAsia="de-DE"/>
              </w:rPr>
              <w:tab/>
            </w:r>
            <w:r w:rsidR="00B6307F" w:rsidRPr="002E03B2">
              <w:rPr>
                <w:rStyle w:val="Hyperlink"/>
                <w:i/>
                <w:noProof/>
                <w:snapToGrid w:val="0"/>
              </w:rPr>
              <w:t xml:space="preserve"> </w:t>
            </w:r>
            <w:r w:rsidR="00B6307F">
              <w:rPr>
                <w:rStyle w:val="Hyperlink"/>
                <w:i/>
                <w:noProof/>
                <w:snapToGrid w:val="0"/>
              </w:rPr>
              <w:tab/>
            </w:r>
            <w:r w:rsidR="00B6307F" w:rsidRPr="002E03B2">
              <w:rPr>
                <w:rStyle w:val="Hyperlink"/>
                <w:i/>
                <w:noProof/>
                <w:snapToGrid w:val="0"/>
              </w:rPr>
              <w:t>Ausprägungstypen</w:t>
            </w:r>
            <w:r w:rsidR="00B6307F">
              <w:rPr>
                <w:noProof/>
                <w:webHidden/>
              </w:rPr>
              <w:tab/>
            </w:r>
            <w:r w:rsidR="00B6307F">
              <w:rPr>
                <w:noProof/>
                <w:webHidden/>
              </w:rPr>
              <w:fldChar w:fldCharType="begin"/>
            </w:r>
            <w:r w:rsidR="00B6307F">
              <w:rPr>
                <w:noProof/>
                <w:webHidden/>
              </w:rPr>
              <w:instrText xml:space="preserve"> PAGEREF _Toc54183637 \h </w:instrText>
            </w:r>
            <w:r w:rsidR="00B6307F">
              <w:rPr>
                <w:noProof/>
                <w:webHidden/>
              </w:rPr>
            </w:r>
            <w:r w:rsidR="00B6307F">
              <w:rPr>
                <w:noProof/>
                <w:webHidden/>
              </w:rPr>
              <w:fldChar w:fldCharType="separate"/>
            </w:r>
            <w:r w:rsidR="00B6307F">
              <w:rPr>
                <w:noProof/>
                <w:webHidden/>
              </w:rPr>
              <w:t>6</w:t>
            </w:r>
            <w:r w:rsidR="00B6307F">
              <w:rPr>
                <w:noProof/>
                <w:webHidden/>
              </w:rPr>
              <w:fldChar w:fldCharType="end"/>
            </w:r>
          </w:hyperlink>
        </w:p>
        <w:p w:rsidR="00B6307F" w:rsidRDefault="00F27F3F">
          <w:pPr>
            <w:pStyle w:val="TOC3"/>
            <w:tabs>
              <w:tab w:val="left" w:pos="1200"/>
            </w:tabs>
            <w:rPr>
              <w:rFonts w:asciiTheme="minorHAnsi" w:eastAsiaTheme="minorEastAsia" w:hAnsiTheme="minorHAnsi" w:cstheme="minorBidi"/>
              <w:noProof/>
              <w:sz w:val="22"/>
              <w:szCs w:val="22"/>
              <w:lang w:eastAsia="de-DE"/>
            </w:rPr>
          </w:pPr>
          <w:hyperlink w:anchor="_Toc54183638" w:history="1">
            <w:r w:rsidR="00B6307F" w:rsidRPr="002E03B2">
              <w:rPr>
                <w:rStyle w:val="Hyperlink"/>
                <w:i/>
                <w:noProof/>
                <w:snapToGrid w:val="0"/>
              </w:rPr>
              <w:t xml:space="preserve">4.5 </w:t>
            </w:r>
            <w:r w:rsidR="00B6307F">
              <w:rPr>
                <w:rFonts w:asciiTheme="minorHAnsi" w:eastAsiaTheme="minorEastAsia" w:hAnsiTheme="minorHAnsi" w:cstheme="minorBidi"/>
                <w:noProof/>
                <w:sz w:val="22"/>
                <w:szCs w:val="22"/>
                <w:lang w:eastAsia="de-DE"/>
              </w:rPr>
              <w:tab/>
            </w:r>
            <w:r w:rsidR="00B6307F" w:rsidRPr="002E03B2">
              <w:rPr>
                <w:rStyle w:val="Hyperlink"/>
                <w:i/>
                <w:noProof/>
                <w:snapToGrid w:val="0"/>
              </w:rPr>
              <w:t xml:space="preserve"> Datenbankmodell</w:t>
            </w:r>
            <w:r w:rsidR="00B6307F">
              <w:rPr>
                <w:noProof/>
                <w:webHidden/>
              </w:rPr>
              <w:tab/>
            </w:r>
            <w:r w:rsidR="00B6307F">
              <w:rPr>
                <w:noProof/>
                <w:webHidden/>
              </w:rPr>
              <w:fldChar w:fldCharType="begin"/>
            </w:r>
            <w:r w:rsidR="00B6307F">
              <w:rPr>
                <w:noProof/>
                <w:webHidden/>
              </w:rPr>
              <w:instrText xml:space="preserve"> PAGEREF _Toc54183638 \h </w:instrText>
            </w:r>
            <w:r w:rsidR="00B6307F">
              <w:rPr>
                <w:noProof/>
                <w:webHidden/>
              </w:rPr>
            </w:r>
            <w:r w:rsidR="00B6307F">
              <w:rPr>
                <w:noProof/>
                <w:webHidden/>
              </w:rPr>
              <w:fldChar w:fldCharType="separate"/>
            </w:r>
            <w:r w:rsidR="00B6307F">
              <w:rPr>
                <w:noProof/>
                <w:webHidden/>
              </w:rPr>
              <w:t>6</w:t>
            </w:r>
            <w:r w:rsidR="00B6307F">
              <w:rPr>
                <w:noProof/>
                <w:webHidden/>
              </w:rPr>
              <w:fldChar w:fldCharType="end"/>
            </w:r>
          </w:hyperlink>
        </w:p>
        <w:p w:rsidR="00B6307F" w:rsidRDefault="00F27F3F">
          <w:pPr>
            <w:pStyle w:val="TOC3"/>
            <w:tabs>
              <w:tab w:val="left" w:pos="1200"/>
            </w:tabs>
            <w:rPr>
              <w:rFonts w:asciiTheme="minorHAnsi" w:eastAsiaTheme="minorEastAsia" w:hAnsiTheme="minorHAnsi" w:cstheme="minorBidi"/>
              <w:noProof/>
              <w:sz w:val="22"/>
              <w:szCs w:val="22"/>
              <w:lang w:eastAsia="de-DE"/>
            </w:rPr>
          </w:pPr>
          <w:hyperlink w:anchor="_Toc54183639" w:history="1">
            <w:r w:rsidR="00B6307F" w:rsidRPr="002E03B2">
              <w:rPr>
                <w:rStyle w:val="Hyperlink"/>
                <w:i/>
                <w:noProof/>
                <w:snapToGrid w:val="0"/>
              </w:rPr>
              <w:t>4.6</w:t>
            </w:r>
            <w:r w:rsidR="00B6307F">
              <w:rPr>
                <w:rFonts w:asciiTheme="minorHAnsi" w:eastAsiaTheme="minorEastAsia" w:hAnsiTheme="minorHAnsi" w:cstheme="minorBidi"/>
                <w:noProof/>
                <w:sz w:val="22"/>
                <w:szCs w:val="22"/>
                <w:lang w:eastAsia="de-DE"/>
              </w:rPr>
              <w:tab/>
            </w:r>
            <w:r w:rsidR="00B6307F" w:rsidRPr="002E03B2">
              <w:rPr>
                <w:rStyle w:val="Hyperlink"/>
                <w:i/>
                <w:noProof/>
                <w:snapToGrid w:val="0"/>
              </w:rPr>
              <w:t xml:space="preserve"> </w:t>
            </w:r>
            <w:r w:rsidR="00B6307F">
              <w:rPr>
                <w:rStyle w:val="Hyperlink"/>
                <w:i/>
                <w:noProof/>
                <w:snapToGrid w:val="0"/>
              </w:rPr>
              <w:tab/>
            </w:r>
            <w:r w:rsidR="00B6307F" w:rsidRPr="002E03B2">
              <w:rPr>
                <w:rStyle w:val="Hyperlink"/>
                <w:i/>
                <w:noProof/>
                <w:snapToGrid w:val="0"/>
              </w:rPr>
              <w:t>Liste der Datenbankfelder</w:t>
            </w:r>
            <w:r w:rsidR="00B6307F">
              <w:rPr>
                <w:noProof/>
                <w:webHidden/>
              </w:rPr>
              <w:tab/>
            </w:r>
            <w:r w:rsidR="00B6307F">
              <w:rPr>
                <w:noProof/>
                <w:webHidden/>
              </w:rPr>
              <w:fldChar w:fldCharType="begin"/>
            </w:r>
            <w:r w:rsidR="00B6307F">
              <w:rPr>
                <w:noProof/>
                <w:webHidden/>
              </w:rPr>
              <w:instrText xml:space="preserve"> PAGEREF _Toc54183639 \h </w:instrText>
            </w:r>
            <w:r w:rsidR="00B6307F">
              <w:rPr>
                <w:noProof/>
                <w:webHidden/>
              </w:rPr>
            </w:r>
            <w:r w:rsidR="00B6307F">
              <w:rPr>
                <w:noProof/>
                <w:webHidden/>
              </w:rPr>
              <w:fldChar w:fldCharType="separate"/>
            </w:r>
            <w:r w:rsidR="00B6307F">
              <w:rPr>
                <w:noProof/>
                <w:webHidden/>
              </w:rPr>
              <w:t>7</w:t>
            </w:r>
            <w:r w:rsidR="00B6307F">
              <w:rPr>
                <w:noProof/>
                <w:webHidden/>
              </w:rPr>
              <w:fldChar w:fldCharType="end"/>
            </w:r>
          </w:hyperlink>
        </w:p>
        <w:p w:rsidR="00B6307F" w:rsidRDefault="00F27F3F">
          <w:pPr>
            <w:pStyle w:val="TOC3"/>
            <w:tabs>
              <w:tab w:val="left" w:pos="1200"/>
            </w:tabs>
            <w:rPr>
              <w:rFonts w:asciiTheme="minorHAnsi" w:eastAsiaTheme="minorEastAsia" w:hAnsiTheme="minorHAnsi" w:cstheme="minorBidi"/>
              <w:noProof/>
              <w:sz w:val="22"/>
              <w:szCs w:val="22"/>
              <w:lang w:eastAsia="de-DE"/>
            </w:rPr>
          </w:pPr>
          <w:hyperlink w:anchor="_Toc54183640" w:history="1">
            <w:r w:rsidR="00B6307F" w:rsidRPr="002E03B2">
              <w:rPr>
                <w:rStyle w:val="Hyperlink"/>
                <w:i/>
                <w:noProof/>
                <w:snapToGrid w:val="0"/>
              </w:rPr>
              <w:t xml:space="preserve">4.7 </w:t>
            </w:r>
            <w:r w:rsidR="00B6307F">
              <w:rPr>
                <w:rFonts w:asciiTheme="minorHAnsi" w:eastAsiaTheme="minorEastAsia" w:hAnsiTheme="minorHAnsi" w:cstheme="minorBidi"/>
                <w:noProof/>
                <w:sz w:val="22"/>
                <w:szCs w:val="22"/>
                <w:lang w:eastAsia="de-DE"/>
              </w:rPr>
              <w:tab/>
            </w:r>
            <w:r w:rsidR="00B6307F" w:rsidRPr="002E03B2">
              <w:rPr>
                <w:rStyle w:val="Hyperlink"/>
                <w:i/>
                <w:noProof/>
                <w:snapToGrid w:val="0"/>
              </w:rPr>
              <w:t>Datenzugriff / -eigentum</w:t>
            </w:r>
            <w:r w:rsidR="00B6307F">
              <w:rPr>
                <w:noProof/>
                <w:webHidden/>
              </w:rPr>
              <w:tab/>
            </w:r>
            <w:r w:rsidR="00B6307F">
              <w:rPr>
                <w:noProof/>
                <w:webHidden/>
              </w:rPr>
              <w:fldChar w:fldCharType="begin"/>
            </w:r>
            <w:r w:rsidR="00B6307F">
              <w:rPr>
                <w:noProof/>
                <w:webHidden/>
              </w:rPr>
              <w:instrText xml:space="preserve"> PAGEREF _Toc54183640 \h </w:instrText>
            </w:r>
            <w:r w:rsidR="00B6307F">
              <w:rPr>
                <w:noProof/>
                <w:webHidden/>
              </w:rPr>
            </w:r>
            <w:r w:rsidR="00B6307F">
              <w:rPr>
                <w:noProof/>
                <w:webHidden/>
              </w:rPr>
              <w:fldChar w:fldCharType="separate"/>
            </w:r>
            <w:r w:rsidR="00B6307F">
              <w:rPr>
                <w:noProof/>
                <w:webHidden/>
              </w:rPr>
              <w:t>7</w:t>
            </w:r>
            <w:r w:rsidR="00B6307F">
              <w:rPr>
                <w:noProof/>
                <w:webHidden/>
              </w:rPr>
              <w:fldChar w:fldCharType="end"/>
            </w:r>
          </w:hyperlink>
        </w:p>
        <w:p w:rsidR="00B6307F" w:rsidRDefault="00F27F3F" w:rsidP="00F27F3F">
          <w:pPr>
            <w:pStyle w:val="TOC2"/>
            <w:rPr>
              <w:rFonts w:asciiTheme="minorHAnsi" w:eastAsiaTheme="minorEastAsia" w:hAnsiTheme="minorHAnsi" w:cstheme="minorBidi"/>
              <w:noProof/>
              <w:sz w:val="22"/>
              <w:szCs w:val="22"/>
              <w:lang w:eastAsia="de-DE"/>
            </w:rPr>
          </w:pPr>
          <w:hyperlink w:anchor="_Toc54183641" w:history="1">
            <w:r w:rsidR="00B6307F" w:rsidRPr="002E03B2">
              <w:rPr>
                <w:rStyle w:val="Hyperlink"/>
                <w:noProof/>
              </w:rPr>
              <w:t>5.</w:t>
            </w:r>
            <w:r w:rsidR="00B6307F">
              <w:rPr>
                <w:rFonts w:asciiTheme="minorHAnsi" w:eastAsiaTheme="minorEastAsia" w:hAnsiTheme="minorHAnsi" w:cstheme="minorBidi"/>
                <w:noProof/>
                <w:sz w:val="22"/>
                <w:szCs w:val="22"/>
                <w:lang w:eastAsia="de-DE"/>
              </w:rPr>
              <w:tab/>
            </w:r>
            <w:r w:rsidR="00B6307F" w:rsidRPr="002E03B2">
              <w:rPr>
                <w:rStyle w:val="Hyperlink"/>
                <w:noProof/>
              </w:rPr>
              <w:t>Datenaustausch</w:t>
            </w:r>
            <w:r w:rsidR="00B6307F">
              <w:rPr>
                <w:noProof/>
                <w:webHidden/>
              </w:rPr>
              <w:tab/>
            </w:r>
            <w:r w:rsidR="00B6307F">
              <w:rPr>
                <w:noProof/>
                <w:webHidden/>
              </w:rPr>
              <w:fldChar w:fldCharType="begin"/>
            </w:r>
            <w:r w:rsidR="00B6307F">
              <w:rPr>
                <w:noProof/>
                <w:webHidden/>
              </w:rPr>
              <w:instrText xml:space="preserve"> PAGEREF _Toc54183641 \h </w:instrText>
            </w:r>
            <w:r w:rsidR="00B6307F">
              <w:rPr>
                <w:noProof/>
                <w:webHidden/>
              </w:rPr>
            </w:r>
            <w:r w:rsidR="00B6307F">
              <w:rPr>
                <w:noProof/>
                <w:webHidden/>
              </w:rPr>
              <w:fldChar w:fldCharType="separate"/>
            </w:r>
            <w:r w:rsidR="00B6307F">
              <w:rPr>
                <w:noProof/>
                <w:webHidden/>
              </w:rPr>
              <w:t>7</w:t>
            </w:r>
            <w:r w:rsidR="00B6307F">
              <w:rPr>
                <w:noProof/>
                <w:webHidden/>
              </w:rPr>
              <w:fldChar w:fldCharType="end"/>
            </w:r>
          </w:hyperlink>
        </w:p>
        <w:p w:rsidR="00B6307F" w:rsidRDefault="00F27F3F">
          <w:pPr>
            <w:pStyle w:val="TOC3"/>
            <w:tabs>
              <w:tab w:val="left" w:pos="1200"/>
            </w:tabs>
            <w:rPr>
              <w:rFonts w:asciiTheme="minorHAnsi" w:eastAsiaTheme="minorEastAsia" w:hAnsiTheme="minorHAnsi" w:cstheme="minorBidi"/>
              <w:noProof/>
              <w:sz w:val="22"/>
              <w:szCs w:val="22"/>
              <w:lang w:eastAsia="de-DE"/>
            </w:rPr>
          </w:pPr>
          <w:hyperlink w:anchor="_Toc54183642" w:history="1">
            <w:r w:rsidR="00B6307F" w:rsidRPr="002E03B2">
              <w:rPr>
                <w:rStyle w:val="Hyperlink"/>
                <w:i/>
                <w:noProof/>
                <w:snapToGrid w:val="0"/>
              </w:rPr>
              <w:t xml:space="preserve">5.1 </w:t>
            </w:r>
            <w:r w:rsidR="00B6307F">
              <w:rPr>
                <w:rFonts w:asciiTheme="minorHAnsi" w:eastAsiaTheme="minorEastAsia" w:hAnsiTheme="minorHAnsi" w:cstheme="minorBidi"/>
                <w:noProof/>
                <w:sz w:val="22"/>
                <w:szCs w:val="22"/>
                <w:lang w:eastAsia="de-DE"/>
              </w:rPr>
              <w:tab/>
            </w:r>
            <w:r w:rsidR="00B6307F" w:rsidRPr="002E03B2">
              <w:rPr>
                <w:rStyle w:val="Hyperlink"/>
                <w:i/>
                <w:noProof/>
                <w:snapToGrid w:val="0"/>
              </w:rPr>
              <w:t>Datenaustausch-Szenarien</w:t>
            </w:r>
            <w:r w:rsidR="00B6307F">
              <w:rPr>
                <w:noProof/>
                <w:webHidden/>
              </w:rPr>
              <w:tab/>
            </w:r>
            <w:r w:rsidR="00B6307F">
              <w:rPr>
                <w:noProof/>
                <w:webHidden/>
              </w:rPr>
              <w:fldChar w:fldCharType="begin"/>
            </w:r>
            <w:r w:rsidR="00B6307F">
              <w:rPr>
                <w:noProof/>
                <w:webHidden/>
              </w:rPr>
              <w:instrText xml:space="preserve"> PAGEREF _Toc54183642 \h </w:instrText>
            </w:r>
            <w:r w:rsidR="00B6307F">
              <w:rPr>
                <w:noProof/>
                <w:webHidden/>
              </w:rPr>
            </w:r>
            <w:r w:rsidR="00B6307F">
              <w:rPr>
                <w:noProof/>
                <w:webHidden/>
              </w:rPr>
              <w:fldChar w:fldCharType="separate"/>
            </w:r>
            <w:r w:rsidR="00B6307F">
              <w:rPr>
                <w:noProof/>
                <w:webHidden/>
              </w:rPr>
              <w:t>7</w:t>
            </w:r>
            <w:r w:rsidR="00B6307F">
              <w:rPr>
                <w:noProof/>
                <w:webHidden/>
              </w:rPr>
              <w:fldChar w:fldCharType="end"/>
            </w:r>
          </w:hyperlink>
        </w:p>
        <w:p w:rsidR="00B6307F" w:rsidRDefault="00F27F3F">
          <w:pPr>
            <w:pStyle w:val="TOC3"/>
            <w:tabs>
              <w:tab w:val="left" w:pos="1200"/>
            </w:tabs>
            <w:rPr>
              <w:rFonts w:asciiTheme="minorHAnsi" w:eastAsiaTheme="minorEastAsia" w:hAnsiTheme="minorHAnsi" w:cstheme="minorBidi"/>
              <w:noProof/>
              <w:sz w:val="22"/>
              <w:szCs w:val="22"/>
              <w:lang w:eastAsia="de-DE"/>
            </w:rPr>
          </w:pPr>
          <w:hyperlink w:anchor="_Toc54183643" w:history="1">
            <w:r w:rsidR="00B6307F" w:rsidRPr="002E03B2">
              <w:rPr>
                <w:rStyle w:val="Hyperlink"/>
                <w:i/>
                <w:noProof/>
                <w:snapToGrid w:val="0"/>
              </w:rPr>
              <w:t xml:space="preserve">5.2 </w:t>
            </w:r>
            <w:r w:rsidR="00B6307F">
              <w:rPr>
                <w:rFonts w:asciiTheme="minorHAnsi" w:eastAsiaTheme="minorEastAsia" w:hAnsiTheme="minorHAnsi" w:cstheme="minorBidi"/>
                <w:noProof/>
                <w:sz w:val="22"/>
                <w:szCs w:val="22"/>
                <w:lang w:eastAsia="de-DE"/>
              </w:rPr>
              <w:tab/>
            </w:r>
            <w:r w:rsidR="00B6307F" w:rsidRPr="002E03B2">
              <w:rPr>
                <w:rStyle w:val="Hyperlink"/>
                <w:i/>
                <w:noProof/>
                <w:snapToGrid w:val="0"/>
              </w:rPr>
              <w:t>Verfahren für den Datenaustausch</w:t>
            </w:r>
            <w:r w:rsidR="00B6307F">
              <w:rPr>
                <w:noProof/>
                <w:webHidden/>
              </w:rPr>
              <w:tab/>
            </w:r>
            <w:r w:rsidR="00B6307F">
              <w:rPr>
                <w:noProof/>
                <w:webHidden/>
              </w:rPr>
              <w:fldChar w:fldCharType="begin"/>
            </w:r>
            <w:r w:rsidR="00B6307F">
              <w:rPr>
                <w:noProof/>
                <w:webHidden/>
              </w:rPr>
              <w:instrText xml:space="preserve"> PAGEREF _Toc54183643 \h </w:instrText>
            </w:r>
            <w:r w:rsidR="00B6307F">
              <w:rPr>
                <w:noProof/>
                <w:webHidden/>
              </w:rPr>
            </w:r>
            <w:r w:rsidR="00B6307F">
              <w:rPr>
                <w:noProof/>
                <w:webHidden/>
              </w:rPr>
              <w:fldChar w:fldCharType="separate"/>
            </w:r>
            <w:r w:rsidR="00B6307F">
              <w:rPr>
                <w:noProof/>
                <w:webHidden/>
              </w:rPr>
              <w:t>7</w:t>
            </w:r>
            <w:r w:rsidR="00B6307F">
              <w:rPr>
                <w:noProof/>
                <w:webHidden/>
              </w:rPr>
              <w:fldChar w:fldCharType="end"/>
            </w:r>
          </w:hyperlink>
        </w:p>
        <w:p w:rsidR="00B6307F" w:rsidRDefault="00F27F3F" w:rsidP="00F27F3F">
          <w:pPr>
            <w:pStyle w:val="TOC2"/>
            <w:rPr>
              <w:rFonts w:asciiTheme="minorHAnsi" w:eastAsiaTheme="minorEastAsia" w:hAnsiTheme="minorHAnsi" w:cstheme="minorBidi"/>
              <w:noProof/>
              <w:sz w:val="22"/>
              <w:szCs w:val="22"/>
              <w:lang w:eastAsia="de-DE"/>
            </w:rPr>
          </w:pPr>
          <w:hyperlink w:anchor="_Toc54183644" w:history="1">
            <w:r w:rsidR="00B6307F" w:rsidRPr="002E03B2">
              <w:rPr>
                <w:rStyle w:val="Hyperlink"/>
                <w:noProof/>
              </w:rPr>
              <w:t xml:space="preserve">6. </w:t>
            </w:r>
            <w:r w:rsidR="00B6307F">
              <w:rPr>
                <w:rFonts w:asciiTheme="minorHAnsi" w:eastAsiaTheme="minorEastAsia" w:hAnsiTheme="minorHAnsi" w:cstheme="minorBidi"/>
                <w:noProof/>
                <w:sz w:val="22"/>
                <w:szCs w:val="22"/>
                <w:lang w:eastAsia="de-DE"/>
              </w:rPr>
              <w:tab/>
            </w:r>
            <w:r w:rsidR="00B6307F" w:rsidRPr="002E03B2">
              <w:rPr>
                <w:rStyle w:val="Hyperlink"/>
                <w:noProof/>
              </w:rPr>
              <w:t>Zusammenfassung</w:t>
            </w:r>
            <w:r w:rsidR="00B6307F">
              <w:rPr>
                <w:noProof/>
                <w:webHidden/>
              </w:rPr>
              <w:tab/>
            </w:r>
            <w:r w:rsidR="00B6307F">
              <w:rPr>
                <w:noProof/>
                <w:webHidden/>
              </w:rPr>
              <w:fldChar w:fldCharType="begin"/>
            </w:r>
            <w:r w:rsidR="00B6307F">
              <w:rPr>
                <w:noProof/>
                <w:webHidden/>
              </w:rPr>
              <w:instrText xml:space="preserve"> PAGEREF _Toc54183644 \h </w:instrText>
            </w:r>
            <w:r w:rsidR="00B6307F">
              <w:rPr>
                <w:noProof/>
                <w:webHidden/>
              </w:rPr>
            </w:r>
            <w:r w:rsidR="00B6307F">
              <w:rPr>
                <w:noProof/>
                <w:webHidden/>
              </w:rPr>
              <w:fldChar w:fldCharType="separate"/>
            </w:r>
            <w:r w:rsidR="00B6307F">
              <w:rPr>
                <w:noProof/>
                <w:webHidden/>
              </w:rPr>
              <w:t>8</w:t>
            </w:r>
            <w:r w:rsidR="00B6307F">
              <w:rPr>
                <w:noProof/>
                <w:webHidden/>
              </w:rPr>
              <w:fldChar w:fldCharType="end"/>
            </w:r>
          </w:hyperlink>
        </w:p>
        <w:p w:rsidR="00B6307F" w:rsidRDefault="00F27F3F" w:rsidP="00F27F3F">
          <w:pPr>
            <w:pStyle w:val="TOC1"/>
            <w:rPr>
              <w:rFonts w:asciiTheme="minorHAnsi" w:eastAsiaTheme="minorEastAsia" w:hAnsiTheme="minorHAnsi" w:cstheme="minorBidi"/>
              <w:noProof/>
              <w:sz w:val="22"/>
              <w:szCs w:val="22"/>
              <w:lang w:eastAsia="de-DE"/>
            </w:rPr>
          </w:pPr>
          <w:hyperlink w:anchor="_Toc54183645" w:history="1">
            <w:r w:rsidR="00B6307F" w:rsidRPr="002E03B2">
              <w:rPr>
                <w:rStyle w:val="Hyperlink"/>
                <w:noProof/>
                <w:lang w:val="en-US"/>
              </w:rPr>
              <w:t>C.</w:t>
            </w:r>
            <w:r w:rsidR="00B6307F">
              <w:rPr>
                <w:rFonts w:asciiTheme="minorHAnsi" w:eastAsiaTheme="minorEastAsia" w:hAnsiTheme="minorHAnsi" w:cstheme="minorBidi"/>
                <w:noProof/>
                <w:sz w:val="22"/>
                <w:szCs w:val="22"/>
                <w:lang w:eastAsia="de-DE"/>
              </w:rPr>
              <w:tab/>
            </w:r>
            <w:r w:rsidR="00B6307F" w:rsidRPr="002E03B2">
              <w:rPr>
                <w:rStyle w:val="Hyperlink"/>
                <w:noProof/>
                <w:lang w:val="en-US"/>
              </w:rPr>
              <w:t>LISTE DER AKRONYME</w:t>
            </w:r>
            <w:r w:rsidR="00B6307F">
              <w:rPr>
                <w:noProof/>
                <w:webHidden/>
              </w:rPr>
              <w:tab/>
            </w:r>
            <w:r w:rsidR="00B6307F">
              <w:rPr>
                <w:noProof/>
                <w:webHidden/>
              </w:rPr>
              <w:fldChar w:fldCharType="begin"/>
            </w:r>
            <w:r w:rsidR="00B6307F">
              <w:rPr>
                <w:noProof/>
                <w:webHidden/>
              </w:rPr>
              <w:instrText xml:space="preserve"> PAGEREF _Toc54183645 \h </w:instrText>
            </w:r>
            <w:r w:rsidR="00B6307F">
              <w:rPr>
                <w:noProof/>
                <w:webHidden/>
              </w:rPr>
            </w:r>
            <w:r w:rsidR="00B6307F">
              <w:rPr>
                <w:noProof/>
                <w:webHidden/>
              </w:rPr>
              <w:fldChar w:fldCharType="separate"/>
            </w:r>
            <w:r w:rsidR="00B6307F">
              <w:rPr>
                <w:noProof/>
                <w:webHidden/>
              </w:rPr>
              <w:t>8</w:t>
            </w:r>
            <w:r w:rsidR="00B6307F">
              <w:rPr>
                <w:noProof/>
                <w:webHidden/>
              </w:rPr>
              <w:fldChar w:fldCharType="end"/>
            </w:r>
          </w:hyperlink>
        </w:p>
        <w:p w:rsidR="00B6307F" w:rsidRDefault="00B6307F">
          <w:r>
            <w:rPr>
              <w:b/>
              <w:bCs/>
            </w:rPr>
            <w:fldChar w:fldCharType="end"/>
          </w:r>
        </w:p>
      </w:sdtContent>
    </w:sdt>
    <w:p w:rsidR="00B6307F" w:rsidRDefault="00B6307F" w:rsidP="00B6307F">
      <w:pPr>
        <w:jc w:val="center"/>
      </w:pPr>
    </w:p>
    <w:p w:rsidR="00B6307F" w:rsidRDefault="00B6307F"/>
    <w:p w:rsidR="00673520" w:rsidRPr="00B6307F" w:rsidRDefault="00673520" w:rsidP="00DF1F17">
      <w:pPr>
        <w:keepNext/>
        <w:outlineLvl w:val="0"/>
        <w:rPr>
          <w:caps/>
          <w:shd w:val="pct15" w:color="auto" w:fill="FFFFFF"/>
          <w:lang w:val="en-US"/>
        </w:rPr>
      </w:pPr>
    </w:p>
    <w:p w:rsidR="00DF1F17" w:rsidRPr="00832052" w:rsidRDefault="00DF1F17" w:rsidP="0090233F">
      <w:pPr>
        <w:pStyle w:val="Heading1"/>
        <w:rPr>
          <w:caps w:val="0"/>
        </w:rPr>
      </w:pPr>
      <w:bookmarkStart w:id="25" w:name="_Toc54183033"/>
      <w:bookmarkStart w:id="26" w:name="_Toc54183295"/>
      <w:bookmarkStart w:id="27" w:name="_Toc54183554"/>
      <w:bookmarkStart w:id="28" w:name="_Toc54183608"/>
      <w:bookmarkStart w:id="29" w:name="_Toc54183621"/>
      <w:r>
        <w:t>I.</w:t>
      </w:r>
      <w:r>
        <w:tab/>
        <w:t>EINFÜHRUNG</w:t>
      </w:r>
      <w:bookmarkEnd w:id="25"/>
      <w:bookmarkEnd w:id="26"/>
      <w:bookmarkEnd w:id="27"/>
      <w:bookmarkEnd w:id="28"/>
      <w:bookmarkEnd w:id="29"/>
    </w:p>
    <w:p w:rsidR="00DF1F17" w:rsidRPr="00832052" w:rsidRDefault="00DF1F17" w:rsidP="00DF1F17"/>
    <w:p w:rsidR="00DF1F17" w:rsidRPr="00832052" w:rsidRDefault="00DF1F17" w:rsidP="00DF1F17">
      <w:r>
        <w:t>Zweck dieses Dokuments (BMT-Richtlinien) ist es, Anleitung zu harmonisierten Grundsätzen für die Verwendung molekularer Marker zu geben, um qualitativ hochwertige molekulare Daten für eine Reihe von Anwendungen zu erzeugen</w:t>
      </w:r>
      <w:r w:rsidR="00B04166">
        <w:t xml:space="preserve">. </w:t>
      </w:r>
      <w:r>
        <w:t>In diesem Dokument werden nur molekulare DNS-Marker berücksichtigt.</w:t>
      </w:r>
    </w:p>
    <w:p w:rsidR="00DF1F17" w:rsidRPr="00832052" w:rsidRDefault="00DF1F17" w:rsidP="00DF1F17"/>
    <w:p w:rsidR="00DF1F17" w:rsidRPr="00832052" w:rsidRDefault="00DF1F17" w:rsidP="00DF1F17">
      <w:r>
        <w:t>Die BMT-Richtlinien sollen ferner den Aufbau von Datenbanken mit molekularen Profilen von Pflanzensorten behandeln, die möglicherweise mit verschiedenen Techniken in verschiedenen Labors erzeugt werden</w:t>
      </w:r>
      <w:r w:rsidR="00B04166">
        <w:t xml:space="preserve">. </w:t>
      </w:r>
      <w:r>
        <w:t>Ziel ist es zudem, hohe Anforderungen zu stellen an die Qualität der Marker und an das Bestreben, reproduzierbare Daten anhand dieser Marker zu erzeugen, wenn sich Ausrüstungen und/oder Reaktionschemikalien ändern</w:t>
      </w:r>
      <w:r w:rsidR="00B04166">
        <w:t xml:space="preserve">. </w:t>
      </w:r>
      <w:r>
        <w:t>Spezifische Vorsichtsmaßnahmen sind zu treffen, um qualitativ hochwertige Eingaben in eine Datenbank sicherzustellen.</w:t>
      </w:r>
    </w:p>
    <w:p w:rsidR="00DF1F17" w:rsidRDefault="00DF1F17" w:rsidP="00DF1F17"/>
    <w:p w:rsidR="00545708" w:rsidRPr="00832052" w:rsidRDefault="00545708" w:rsidP="00DF1F17"/>
    <w:p w:rsidR="00DF1F17" w:rsidRPr="00832052" w:rsidRDefault="00DF1F17" w:rsidP="0090233F">
      <w:pPr>
        <w:pStyle w:val="Heading1"/>
        <w:rPr>
          <w:caps w:val="0"/>
        </w:rPr>
      </w:pPr>
      <w:bookmarkStart w:id="30" w:name="_Toc54183034"/>
      <w:bookmarkStart w:id="31" w:name="_Toc54183296"/>
      <w:bookmarkStart w:id="32" w:name="_Toc54183555"/>
      <w:bookmarkStart w:id="33" w:name="_Toc54183609"/>
      <w:bookmarkStart w:id="34" w:name="_Toc54183622"/>
      <w:r>
        <w:t xml:space="preserve">B. </w:t>
      </w:r>
      <w:r>
        <w:tab/>
        <w:t>ALLGEMEINE GRUNDSÄTZE</w:t>
      </w:r>
      <w:bookmarkEnd w:id="30"/>
      <w:bookmarkEnd w:id="31"/>
      <w:bookmarkEnd w:id="32"/>
      <w:bookmarkEnd w:id="33"/>
      <w:bookmarkEnd w:id="34"/>
    </w:p>
    <w:p w:rsidR="00DF1F17" w:rsidRPr="00832052" w:rsidRDefault="00DF1F17" w:rsidP="00DF1F17"/>
    <w:p w:rsidR="00DF1F17" w:rsidRPr="00832052" w:rsidRDefault="00DF1F17" w:rsidP="00DF1F17">
      <w:r>
        <w:t xml:space="preserve">Die DNS-Profilierung einer Pflanzensorte erfordert einen Satz molekularer Marker und eine Methode, diese festzustellen. Zwei verschiedene molekulare </w:t>
      </w:r>
      <w:proofErr w:type="spellStart"/>
      <w:r>
        <w:t>Markersätze</w:t>
      </w:r>
      <w:proofErr w:type="spellEnd"/>
      <w:r>
        <w:t>, die mit derselben Methode festgestellt wurden, führen bei einer bestimmten Sorte zu zwei unterschiedlichen DNS-Profilen. Dagegen wird die Feststellung der spezifischen Allele eines gegebenen molekularen Markersatzes mit zwei verschiedenen Methoden voraussichtlich zu identischen DNS-Profilen führen</w:t>
      </w:r>
      <w:r w:rsidR="00B04166">
        <w:t xml:space="preserve">. </w:t>
      </w:r>
      <w:r>
        <w:t>Eine Standardisierung der Detektionsmethode und -technologie ist nicht erforderlich, solange die Qualitätskriterien erfüllt werden und die gewonnenen DNS-Profile konsistent sind</w:t>
      </w:r>
      <w:r w:rsidR="00B04166">
        <w:t xml:space="preserve">. </w:t>
      </w:r>
      <w:r>
        <w:t xml:space="preserve">Die Technologie, die zur Feststellung gegebener </w:t>
      </w:r>
      <w:proofErr w:type="spellStart"/>
      <w:r>
        <w:t>Markersätze</w:t>
      </w:r>
      <w:proofErr w:type="spellEnd"/>
      <w:r>
        <w:t xml:space="preserve"> eingesetzt wird, sollte den Genotyp einer bestimmten Sorte nicht beeinflussen.</w:t>
      </w:r>
    </w:p>
    <w:p w:rsidR="00DF1F17" w:rsidRPr="00832052" w:rsidRDefault="00DF1F17" w:rsidP="00DF1F17"/>
    <w:p w:rsidR="00DF1F17" w:rsidRPr="00832052" w:rsidRDefault="00DF1F17" w:rsidP="00DF1F17">
      <w:r>
        <w:t xml:space="preserve">Bei den molekularen </w:t>
      </w:r>
      <w:proofErr w:type="spellStart"/>
      <w:r>
        <w:t>Markersätzen</w:t>
      </w:r>
      <w:proofErr w:type="spellEnd"/>
      <w:r>
        <w:t xml:space="preserve">, den Methoden zur </w:t>
      </w:r>
      <w:proofErr w:type="spellStart"/>
      <w:r>
        <w:t>Markerfeststellung</w:t>
      </w:r>
      <w:proofErr w:type="spellEnd"/>
      <w:r>
        <w:t xml:space="preserve"> und dem anschließenden Aufbau der Datenbank lassen sich 5 verschiedene Phasen unterscheiden:</w:t>
      </w:r>
    </w:p>
    <w:p w:rsidR="00DF1F17" w:rsidRPr="00832052" w:rsidRDefault="00DF1F17" w:rsidP="00DF1F17"/>
    <w:p w:rsidR="00DF1F17" w:rsidRPr="00832052" w:rsidRDefault="00DF1F17" w:rsidP="00DF1F17">
      <w:pPr>
        <w:ind w:firstLine="567"/>
        <w:rPr>
          <w:shd w:val="pct15" w:color="auto" w:fill="FFFFFF"/>
        </w:rPr>
      </w:pPr>
      <w:r>
        <w:t>1.</w:t>
      </w:r>
      <w:r>
        <w:tab/>
        <w:t>Auswahl molekularer Marker</w:t>
      </w:r>
    </w:p>
    <w:p w:rsidR="00DF1F17" w:rsidRPr="00832052" w:rsidRDefault="00DF1F17" w:rsidP="00DF1F17">
      <w:pPr>
        <w:ind w:firstLine="567"/>
        <w:rPr>
          <w:shd w:val="pct15" w:color="auto" w:fill="FFFFFF"/>
        </w:rPr>
      </w:pPr>
      <w:r>
        <w:t>2.</w:t>
      </w:r>
      <w:r>
        <w:tab/>
        <w:t>Auswahl der Detektionsmethode</w:t>
      </w:r>
    </w:p>
    <w:p w:rsidR="00DF1F17" w:rsidRPr="00832052" w:rsidRDefault="00DF1F17" w:rsidP="00DF1F17">
      <w:pPr>
        <w:ind w:firstLine="567"/>
        <w:rPr>
          <w:shd w:val="pct15" w:color="auto" w:fill="FFFFFF"/>
        </w:rPr>
      </w:pPr>
      <w:r>
        <w:t>3.</w:t>
      </w:r>
      <w:r>
        <w:tab/>
        <w:t>Validierung und Harmonisierung der Detektionsmethode</w:t>
      </w:r>
    </w:p>
    <w:p w:rsidR="00DF1F17" w:rsidRPr="00832052" w:rsidRDefault="00DF1F17" w:rsidP="00DF1F17">
      <w:pPr>
        <w:ind w:firstLine="567"/>
        <w:rPr>
          <w:shd w:val="pct15" w:color="auto" w:fill="FFFFFF"/>
        </w:rPr>
      </w:pPr>
      <w:r>
        <w:t xml:space="preserve">4. </w:t>
      </w:r>
      <w:r>
        <w:tab/>
        <w:t>Aufbau der Datenbank</w:t>
      </w:r>
    </w:p>
    <w:p w:rsidR="00DF1F17" w:rsidRPr="00832052" w:rsidRDefault="00DF1F17" w:rsidP="00DF1F17">
      <w:pPr>
        <w:ind w:firstLine="567"/>
        <w:rPr>
          <w:shd w:val="pct15" w:color="auto" w:fill="FFFFFF"/>
        </w:rPr>
      </w:pPr>
      <w:r>
        <w:t xml:space="preserve">5. </w:t>
      </w:r>
      <w:r>
        <w:tab/>
        <w:t>Datenaustausch</w:t>
      </w:r>
    </w:p>
    <w:p w:rsidR="00DF1F17" w:rsidRPr="00832052" w:rsidRDefault="00DF1F17" w:rsidP="00DF1F17">
      <w:pPr>
        <w:rPr>
          <w:u w:val="single"/>
          <w:shd w:val="pct15" w:color="auto" w:fill="FFFFFF"/>
        </w:rPr>
      </w:pPr>
    </w:p>
    <w:p w:rsidR="00DF1F17" w:rsidRPr="00832052" w:rsidRDefault="00DF1F17" w:rsidP="00DF1F17">
      <w:pPr>
        <w:rPr>
          <w:shd w:val="pct15" w:color="auto" w:fill="FFFFFF"/>
        </w:rPr>
      </w:pPr>
      <w:r>
        <w:t xml:space="preserve">Diese verschiedenen Phasen werden in diesem Dokument eingehender beschrieben. </w:t>
      </w:r>
      <w:r w:rsidR="00B04166">
        <w:t xml:space="preserve">Es wird davon ausgegangen, dass diese Phasen unabhängig sind vom Entwicklungsstand der </w:t>
      </w:r>
      <w:proofErr w:type="spellStart"/>
      <w:r w:rsidR="00B04166">
        <w:t>Genotypisierungstechnologien</w:t>
      </w:r>
      <w:proofErr w:type="spellEnd"/>
      <w:r w:rsidR="00B04166">
        <w:t xml:space="preserve"> und von künftigen Verbesserungen der Hochdurchsatz-Sequenzierung. </w:t>
      </w:r>
    </w:p>
    <w:p w:rsidR="00DF1F17" w:rsidRPr="00832052" w:rsidRDefault="00DF1F17" w:rsidP="00DF1F17"/>
    <w:p w:rsidR="00DF1F17" w:rsidRPr="00832052" w:rsidRDefault="00DF1F17" w:rsidP="00DF1F17">
      <w:pPr>
        <w:keepNext/>
        <w:outlineLvl w:val="1"/>
      </w:pPr>
      <w:bookmarkStart w:id="35" w:name="_Toc54183297"/>
      <w:bookmarkStart w:id="36" w:name="_Toc54183556"/>
      <w:bookmarkStart w:id="37" w:name="_Toc54183623"/>
      <w:r>
        <w:t>1.</w:t>
      </w:r>
      <w:r>
        <w:tab/>
        <w:t>Auswahl molekularer Marker</w:t>
      </w:r>
      <w:bookmarkEnd w:id="35"/>
      <w:bookmarkEnd w:id="36"/>
      <w:bookmarkEnd w:id="37"/>
    </w:p>
    <w:p w:rsidR="00DF1F17" w:rsidRPr="00832052" w:rsidRDefault="00DF1F17" w:rsidP="00DF1F17"/>
    <w:p w:rsidR="00DF1F17" w:rsidRPr="00832052" w:rsidRDefault="00DF1F17" w:rsidP="00DF1F17">
      <w:pPr>
        <w:keepNext/>
        <w:ind w:left="567" w:hanging="567"/>
        <w:outlineLvl w:val="2"/>
        <w:rPr>
          <w:i/>
          <w:snapToGrid w:val="0"/>
        </w:rPr>
      </w:pPr>
      <w:bookmarkStart w:id="38" w:name="_Toc54183298"/>
      <w:bookmarkStart w:id="39" w:name="_Toc54183557"/>
      <w:bookmarkStart w:id="40" w:name="_Toc54183624"/>
      <w:r>
        <w:rPr>
          <w:i/>
          <w:snapToGrid w:val="0"/>
        </w:rPr>
        <w:t xml:space="preserve">1.1 </w:t>
      </w:r>
      <w:r w:rsidR="00B6307F">
        <w:rPr>
          <w:i/>
          <w:snapToGrid w:val="0"/>
        </w:rPr>
        <w:tab/>
      </w:r>
      <w:r>
        <w:rPr>
          <w:i/>
          <w:snapToGrid w:val="0"/>
        </w:rPr>
        <w:t>Sortenserien für das Auswahlverfahren</w:t>
      </w:r>
      <w:bookmarkEnd w:id="38"/>
      <w:bookmarkEnd w:id="39"/>
      <w:bookmarkEnd w:id="40"/>
    </w:p>
    <w:p w:rsidR="00DF1F17" w:rsidRPr="00832052" w:rsidRDefault="00DF1F17" w:rsidP="00DF1F17"/>
    <w:p w:rsidR="00DF1F17" w:rsidRPr="00832052" w:rsidRDefault="00DF1F17" w:rsidP="00DF1F17">
      <w:pPr>
        <w:rPr>
          <w:u w:val="double"/>
        </w:rPr>
      </w:pPr>
      <w:r>
        <w:t xml:space="preserve">Bei der DNS-Profilierung von Pflanzensorten und dem Aufbau von Datenbanken sollten die molekularen Marker zielorientiert ausgewählt werden. Für die Einleitung des </w:t>
      </w:r>
      <w:proofErr w:type="spellStart"/>
      <w:r>
        <w:t>Markerauswahlverfahrens</w:t>
      </w:r>
      <w:proofErr w:type="spellEnd"/>
      <w:r>
        <w:t xml:space="preserve"> wird eine geeignete Anzahl von Sorten benötigt (Entwicklungsserie), um die Vielfalt widerzuspiegeln, die innerhalb der Gruppe/Pflanze/</w:t>
      </w:r>
      <w:r w:rsidR="00B04166">
        <w:t>Art/bzw.</w:t>
      </w:r>
      <w:r>
        <w:t xml:space="preserve"> des Typs beobachtet wird, für die bzw. den die Marker unterscheidend sein sollen. Eine weitere Auswahl erfolgt mittels Profilierung zusätzlicher Sorten (Validierungsserie), um die Leistung der Marker zu messen. Als Kriterien für die Auswahl der Validierungsserie kommen </w:t>
      </w:r>
      <w:r w:rsidR="00B04166">
        <w:t>infrage</w:t>
      </w:r>
      <w:r>
        <w:t>:</w:t>
      </w:r>
    </w:p>
    <w:p w:rsidR="00DF1F17" w:rsidRPr="00832052" w:rsidRDefault="00DF1F17" w:rsidP="00DF1F17"/>
    <w:p w:rsidR="00DF1F17" w:rsidRPr="00832052" w:rsidRDefault="00DF1F17" w:rsidP="00DF1F17">
      <w:pPr>
        <w:ind w:left="567"/>
      </w:pPr>
      <w:r>
        <w:t xml:space="preserve">a) </w:t>
      </w:r>
      <w:r>
        <w:tab/>
        <w:t xml:space="preserve">genetisch sehr ähnliche Sorten oder Linien, NILs, RILs </w:t>
      </w:r>
    </w:p>
    <w:p w:rsidR="00DF1F17" w:rsidRPr="00832052" w:rsidRDefault="00DF1F17" w:rsidP="00DF1F17">
      <w:pPr>
        <w:ind w:left="567"/>
      </w:pPr>
      <w:r>
        <w:t xml:space="preserve">b) </w:t>
      </w:r>
      <w:r>
        <w:tab/>
        <w:t>Elternlinien und Nachkommen</w:t>
      </w:r>
    </w:p>
    <w:p w:rsidR="00DF1F17" w:rsidRPr="00832052" w:rsidRDefault="00DF1F17" w:rsidP="00DF1F17">
      <w:pPr>
        <w:ind w:left="567"/>
      </w:pPr>
      <w:r>
        <w:t xml:space="preserve">c) </w:t>
      </w:r>
      <w:r>
        <w:tab/>
        <w:t xml:space="preserve">genetisch nah </w:t>
      </w:r>
      <w:proofErr w:type="spellStart"/>
      <w:r>
        <w:t>verwandte</w:t>
      </w:r>
      <w:proofErr w:type="spellEnd"/>
      <w:r>
        <w:t>, jedoch morphologisch unterschiedliche Arten (z. B. Mutanten)</w:t>
      </w:r>
    </w:p>
    <w:p w:rsidR="00DF1F17" w:rsidRPr="00832052" w:rsidRDefault="00DF1F17" w:rsidP="00DF1F17">
      <w:pPr>
        <w:ind w:left="567"/>
      </w:pPr>
      <w:r>
        <w:t xml:space="preserve">d) </w:t>
      </w:r>
      <w:r>
        <w:tab/>
        <w:t>einige morphologisch ähnliche Sorten mit unterschiedlicher Zuchtformel</w:t>
      </w:r>
    </w:p>
    <w:p w:rsidR="00DF1F17" w:rsidRPr="00832052" w:rsidRDefault="00DF1F17" w:rsidP="00DF1F17">
      <w:pPr>
        <w:ind w:left="567"/>
      </w:pPr>
      <w:r>
        <w:t xml:space="preserve">e) </w:t>
      </w:r>
      <w:r>
        <w:tab/>
        <w:t>verschiedene Partien derselben Sorte</w:t>
      </w:r>
    </w:p>
    <w:p w:rsidR="00DF1F17" w:rsidRPr="00832052" w:rsidRDefault="00DF1F17" w:rsidP="00DF1F17">
      <w:pPr>
        <w:ind w:left="567"/>
        <w:rPr>
          <w:u w:val="double"/>
        </w:rPr>
      </w:pPr>
      <w:r>
        <w:t xml:space="preserve">f) </w:t>
      </w:r>
      <w:r>
        <w:tab/>
        <w:t>unterschiedliche Herkunft innerhalb derselben Sorte</w:t>
      </w:r>
    </w:p>
    <w:p w:rsidR="00DF1F17" w:rsidRPr="00832052" w:rsidRDefault="00DF1F17" w:rsidP="00DF1F17"/>
    <w:p w:rsidR="00DF1F17" w:rsidRPr="00832052" w:rsidRDefault="00DF1F17" w:rsidP="00DF1F17">
      <w:pPr>
        <w:keepNext/>
        <w:ind w:left="567" w:hanging="567"/>
        <w:outlineLvl w:val="2"/>
        <w:rPr>
          <w:i/>
          <w:snapToGrid w:val="0"/>
        </w:rPr>
      </w:pPr>
      <w:bookmarkStart w:id="41" w:name="_Toc54183299"/>
      <w:bookmarkStart w:id="42" w:name="_Toc54183558"/>
      <w:bookmarkStart w:id="43" w:name="_Toc54183625"/>
      <w:r>
        <w:rPr>
          <w:i/>
          <w:snapToGrid w:val="0"/>
        </w:rPr>
        <w:t xml:space="preserve">1.2 </w:t>
      </w:r>
      <w:r>
        <w:rPr>
          <w:i/>
          <w:snapToGrid w:val="0"/>
        </w:rPr>
        <w:tab/>
        <w:t>Molekulare Marker - Leistungskriterien</w:t>
      </w:r>
      <w:bookmarkEnd w:id="41"/>
      <w:bookmarkEnd w:id="42"/>
      <w:bookmarkEnd w:id="43"/>
    </w:p>
    <w:p w:rsidR="00DF1F17" w:rsidRPr="00832052" w:rsidRDefault="00DF1F17" w:rsidP="00DF1F17"/>
    <w:p w:rsidR="00DF1F17" w:rsidRPr="003265BF" w:rsidRDefault="00DF1F17" w:rsidP="00DF1F17">
      <w:r>
        <w:t xml:space="preserve">Die folgenden allgemeinen Kriterien für die Auswahl eines bestimmten Markers oder einer Serie von Markern sollen für molekulare Marker ungeachtet der Verwendung der Marker geeignet sein: </w:t>
      </w:r>
    </w:p>
    <w:p w:rsidR="00DF1F17" w:rsidRPr="003265BF" w:rsidRDefault="00DF1F17" w:rsidP="00DF1F17"/>
    <w:p w:rsidR="00DF1F17" w:rsidRPr="003265BF" w:rsidRDefault="00DF1F17" w:rsidP="00DF1F17">
      <w:pPr>
        <w:ind w:firstLine="567"/>
      </w:pPr>
      <w:r>
        <w:t xml:space="preserve">a) </w:t>
      </w:r>
      <w:r>
        <w:tab/>
        <w:t>Laborintern Wiederholbarkeit und Solidität und laborübergreifend Reproduzierbarkeit bei der Auswertung der Daten;</w:t>
      </w:r>
    </w:p>
    <w:p w:rsidR="00DF1F17" w:rsidRPr="003265BF" w:rsidRDefault="00DF1F17" w:rsidP="00DF1F17">
      <w:pPr>
        <w:ind w:firstLine="567"/>
      </w:pPr>
    </w:p>
    <w:p w:rsidR="00DF1F17" w:rsidRPr="003265BF" w:rsidRDefault="00DF1F17" w:rsidP="00DF1F17">
      <w:pPr>
        <w:ind w:left="1134" w:hanging="567"/>
        <w:rPr>
          <w:u w:val="double"/>
          <w:shd w:val="pct15" w:color="auto" w:fill="FFFFFF"/>
        </w:rPr>
      </w:pPr>
      <w:r>
        <w:t xml:space="preserve">b) </w:t>
      </w:r>
      <w:r>
        <w:tab/>
        <w:t>Mögliche Quellen für molekulare Marker</w:t>
      </w:r>
    </w:p>
    <w:p w:rsidR="00DF1F17" w:rsidRPr="00832052" w:rsidRDefault="00DF1F17" w:rsidP="00DF1F17">
      <w:pPr>
        <w:ind w:left="1134"/>
        <w:rPr>
          <w:shd w:val="pct15" w:color="auto" w:fill="FFFFFF"/>
        </w:rPr>
      </w:pPr>
      <w:r>
        <w:t xml:space="preserve">- </w:t>
      </w:r>
      <w:r>
        <w:tab/>
        <w:t>Molekulare Marker, die aus öffentlichen Quellen stammen</w:t>
      </w:r>
      <w:r>
        <w:rPr>
          <w:shd w:val="pct15" w:color="auto" w:fill="FFFFFF"/>
        </w:rPr>
        <w:t xml:space="preserve"> </w:t>
      </w:r>
    </w:p>
    <w:p w:rsidR="00DF1F17" w:rsidRPr="00832052" w:rsidRDefault="00DF1F17" w:rsidP="00DF1F17">
      <w:pPr>
        <w:ind w:left="1134"/>
        <w:rPr>
          <w:shd w:val="pct15" w:color="auto" w:fill="FFFFFF"/>
        </w:rPr>
      </w:pPr>
      <w:r>
        <w:t xml:space="preserve">- </w:t>
      </w:r>
      <w:r>
        <w:tab/>
        <w:t xml:space="preserve">Molekulare Marker, die aus </w:t>
      </w:r>
      <w:proofErr w:type="gramStart"/>
      <w:r>
        <w:t>nicht-öffentlichen</w:t>
      </w:r>
      <w:proofErr w:type="gramEnd"/>
      <w:r>
        <w:t xml:space="preserve"> Quellen stammen oder durch Aussortieren und Auswählen von handelsüblichen artspezifischen Chips und Arrays gewonnen wurden.</w:t>
      </w:r>
      <w:r>
        <w:rPr>
          <w:shd w:val="pct15" w:color="auto" w:fill="FFFFFF"/>
        </w:rPr>
        <w:t xml:space="preserve"> </w:t>
      </w:r>
    </w:p>
    <w:p w:rsidR="00DF1F17" w:rsidRPr="00832052" w:rsidRDefault="00DF1F17" w:rsidP="00DF1F17">
      <w:pPr>
        <w:ind w:left="1134"/>
      </w:pPr>
      <w:r>
        <w:t xml:space="preserve">- </w:t>
      </w:r>
      <w:r>
        <w:tab/>
        <w:t>Molekulare Marker, die aus neu generierten Sequenzdaten ausgewählt wurden;</w:t>
      </w:r>
    </w:p>
    <w:p w:rsidR="00DF1F17" w:rsidRPr="00832052" w:rsidRDefault="00DF1F17" w:rsidP="00DF1F17">
      <w:pPr>
        <w:ind w:left="1134" w:hanging="567"/>
      </w:pPr>
    </w:p>
    <w:p w:rsidR="00DF1F17" w:rsidRPr="003265BF" w:rsidRDefault="00DF1F17" w:rsidP="00DF1F17">
      <w:pPr>
        <w:ind w:firstLine="567"/>
      </w:pPr>
      <w:r>
        <w:t xml:space="preserve">c) </w:t>
      </w:r>
      <w:r>
        <w:tab/>
        <w:t xml:space="preserve">nach Möglichkeit Vermeiden von Markern mit „Nullallelen" (d. h. ein Allel, das das Fehlen eines PCR-Produkts auf molekularer Ebene bewirkt), was ebenfalls nicht wesentlich, jedoch ratsam ist; </w:t>
      </w:r>
    </w:p>
    <w:p w:rsidR="00DF1F17" w:rsidRPr="003265BF" w:rsidRDefault="00DF1F17" w:rsidP="00DF1F17">
      <w:pPr>
        <w:ind w:left="1134" w:hanging="567"/>
        <w:rPr>
          <w:shd w:val="pct15" w:color="auto" w:fill="FFFFFF"/>
        </w:rPr>
      </w:pPr>
    </w:p>
    <w:p w:rsidR="00DF1F17" w:rsidRPr="003265BF" w:rsidRDefault="00DF1F17" w:rsidP="00DF1F17">
      <w:pPr>
        <w:ind w:firstLine="567"/>
        <w:rPr>
          <w:u w:val="single"/>
          <w:shd w:val="pct15" w:color="auto" w:fill="FFFFFF"/>
        </w:rPr>
      </w:pPr>
      <w:r>
        <w:t xml:space="preserve">d) </w:t>
      </w:r>
      <w:r>
        <w:tab/>
        <w:t xml:space="preserve">Zulassen einer Auswertung von </w:t>
      </w:r>
      <w:proofErr w:type="spellStart"/>
      <w:r>
        <w:t>Markerprofilen</w:t>
      </w:r>
      <w:proofErr w:type="spellEnd"/>
      <w:r>
        <w:t xml:space="preserve">, die problemlos, objektiv und eindeutig ist. Diese leistungsstarken Marker werden gegenüber komplexen </w:t>
      </w:r>
      <w:proofErr w:type="spellStart"/>
      <w:r>
        <w:t>Markerprofilen</w:t>
      </w:r>
      <w:proofErr w:type="spellEnd"/>
      <w:r>
        <w:t>, die zur Mehrdeutigkeit neigen, bevorzugt. Klare Schwarz-Weiß-Antworten erleichtern zudem die Harmonisierung; </w:t>
      </w:r>
    </w:p>
    <w:p w:rsidR="00DF1F17" w:rsidRPr="003265BF" w:rsidRDefault="00DF1F17" w:rsidP="00DF1F17">
      <w:pPr>
        <w:ind w:left="1134" w:hanging="567"/>
        <w:rPr>
          <w:u w:val="single"/>
          <w:shd w:val="pct15" w:color="auto" w:fill="FFFFFF"/>
        </w:rPr>
      </w:pPr>
    </w:p>
    <w:p w:rsidR="00DF1F17" w:rsidRPr="003265BF" w:rsidRDefault="00DF1F17" w:rsidP="00DF1F17">
      <w:pPr>
        <w:ind w:firstLine="567"/>
        <w:rPr>
          <w:shd w:val="pct15" w:color="auto" w:fill="FFFFFF"/>
        </w:rPr>
      </w:pPr>
      <w:r>
        <w:t xml:space="preserve">e) </w:t>
      </w:r>
      <w:r>
        <w:tab/>
      </w:r>
      <w:proofErr w:type="spellStart"/>
      <w:r>
        <w:t>Kodominante</w:t>
      </w:r>
      <w:proofErr w:type="spellEnd"/>
      <w:r>
        <w:t xml:space="preserve"> Marker werden dominanten Markern gegenüber grundsätzlich bevorzugt, weil sie ein besseres Unterscheidungsvermögen besitzen;</w:t>
      </w:r>
      <w:r>
        <w:rPr>
          <w:shd w:val="pct15" w:color="auto" w:fill="FFFFFF"/>
        </w:rPr>
        <w:t xml:space="preserve"> </w:t>
      </w:r>
    </w:p>
    <w:p w:rsidR="00DF1F17" w:rsidRPr="003265BF" w:rsidRDefault="00DF1F17" w:rsidP="00DF1F17">
      <w:pPr>
        <w:ind w:left="1134" w:hanging="567"/>
        <w:rPr>
          <w:u w:val="single"/>
          <w:shd w:val="pct15" w:color="auto" w:fill="FFFFFF"/>
        </w:rPr>
      </w:pPr>
    </w:p>
    <w:p w:rsidR="00DF1F17" w:rsidRPr="003265BF" w:rsidRDefault="00DF1F17" w:rsidP="00DF1F17">
      <w:pPr>
        <w:ind w:left="1134" w:hanging="567"/>
        <w:rPr>
          <w:shd w:val="pct15" w:color="auto" w:fill="FFFFFF"/>
        </w:rPr>
      </w:pPr>
      <w:r>
        <w:t xml:space="preserve">f) </w:t>
      </w:r>
      <w:r>
        <w:tab/>
        <w:t>Marker können in kodierenden und/oder nichtkodierenden Regionen lokalisiert sein; und</w:t>
      </w:r>
    </w:p>
    <w:p w:rsidR="00DF1F17" w:rsidRPr="003265BF" w:rsidRDefault="00DF1F17" w:rsidP="00DF1F17">
      <w:pPr>
        <w:ind w:left="1134" w:hanging="567"/>
        <w:rPr>
          <w:u w:val="single"/>
          <w:shd w:val="pct15" w:color="auto" w:fill="FFFFFF"/>
        </w:rPr>
      </w:pPr>
    </w:p>
    <w:p w:rsidR="00DF1F17" w:rsidRPr="003265BF" w:rsidRDefault="00DF1F17" w:rsidP="00DF1F17">
      <w:pPr>
        <w:ind w:firstLine="567"/>
        <w:rPr>
          <w:shd w:val="pct15" w:color="auto" w:fill="FFFFFF"/>
        </w:rPr>
      </w:pPr>
      <w:r>
        <w:t xml:space="preserve">g) </w:t>
      </w:r>
      <w:r>
        <w:tab/>
        <w:t>Die Verwendung molekularer Marker ist artspezifisch und sollte die Besonderheiten der Vermehrung der Art berücksichtigen.</w:t>
      </w:r>
    </w:p>
    <w:p w:rsidR="003265BF" w:rsidRDefault="003265BF" w:rsidP="00DF1F17">
      <w:pPr>
        <w:ind w:firstLine="567"/>
      </w:pPr>
    </w:p>
    <w:p w:rsidR="00DF1F17" w:rsidRPr="003265BF" w:rsidRDefault="00DF1F17" w:rsidP="003265BF">
      <w:r>
        <w:t>Es wird eingeräumt, dass spezifische Anwendungen bestimmte zusätzliche Überlegungen erfordern könnten (aber nicht darauf beschränkt sind):</w:t>
      </w:r>
    </w:p>
    <w:p w:rsidR="00DF1F17" w:rsidRPr="003265BF" w:rsidRDefault="00DF1F17" w:rsidP="00DF1F17">
      <w:pPr>
        <w:ind w:firstLine="567"/>
      </w:pPr>
    </w:p>
    <w:p w:rsidR="003265BF" w:rsidRDefault="003265BF" w:rsidP="003265BF">
      <w:pPr>
        <w:ind w:left="567"/>
      </w:pPr>
      <w:r>
        <w:t xml:space="preserve">a) </w:t>
      </w:r>
      <w:r>
        <w:tab/>
        <w:t xml:space="preserve">Die Anzahl der Marker sollte im Verhältnis stehen zur jeweils geforderten Genauigkeit des Genotyps. Die Anzahl der zum Erreichen der erforderlichen Auflösung oder Unterscheidungskraft einzusetzenden Marker ist abhängig vom </w:t>
      </w:r>
      <w:proofErr w:type="spellStart"/>
      <w:r>
        <w:t>Markertyp</w:t>
      </w:r>
      <w:proofErr w:type="spellEnd"/>
      <w:r>
        <w:t xml:space="preserve"> (dominant/</w:t>
      </w:r>
      <w:proofErr w:type="spellStart"/>
      <w:r>
        <w:t>kodominant</w:t>
      </w:r>
      <w:proofErr w:type="spellEnd"/>
      <w:r>
        <w:t>, bi-/</w:t>
      </w:r>
      <w:proofErr w:type="spellStart"/>
      <w:r>
        <w:t>multiallelisch</w:t>
      </w:r>
      <w:proofErr w:type="spellEnd"/>
      <w:r>
        <w:t xml:space="preserve">), der Art und der Qualität der </w:t>
      </w:r>
      <w:proofErr w:type="spellStart"/>
      <w:r>
        <w:t>Markerleistung</w:t>
      </w:r>
      <w:proofErr w:type="spellEnd"/>
      <w:r>
        <w:t xml:space="preserve">; </w:t>
      </w:r>
    </w:p>
    <w:p w:rsidR="003265BF" w:rsidRDefault="003265BF" w:rsidP="003265BF">
      <w:pPr>
        <w:ind w:left="567"/>
      </w:pPr>
    </w:p>
    <w:p w:rsidR="00DF1F17" w:rsidRDefault="003265BF" w:rsidP="003265BF">
      <w:pPr>
        <w:ind w:left="567"/>
      </w:pPr>
      <w:r>
        <w:t xml:space="preserve">b) </w:t>
      </w:r>
      <w:r>
        <w:tab/>
        <w:t>Die Abdeckung des Genoms und des Verknüpfungsungleichgewichts sollte die Ziele widerspiegeln. Die Kenntnis der physischen und/oder genetischen Position der ausgewählten Marker auf dem Genom ist nicht unbedingt erforderlich, ermöglicht aber eine gute Auswahl der Marker.</w:t>
      </w:r>
    </w:p>
    <w:p w:rsidR="003265BF" w:rsidRPr="00832052" w:rsidRDefault="003265BF" w:rsidP="003265BF">
      <w:pPr>
        <w:ind w:left="567"/>
      </w:pPr>
    </w:p>
    <w:p w:rsidR="00DF1F17" w:rsidRPr="00832052" w:rsidRDefault="00DF1F17" w:rsidP="00DF1F17">
      <w:pPr>
        <w:keepNext/>
        <w:outlineLvl w:val="1"/>
      </w:pPr>
      <w:bookmarkStart w:id="44" w:name="_Toc54183300"/>
      <w:bookmarkStart w:id="45" w:name="_Toc54183559"/>
      <w:bookmarkStart w:id="46" w:name="_Toc54183626"/>
      <w:r>
        <w:t>2.</w:t>
      </w:r>
      <w:r>
        <w:tab/>
        <w:t>Auswahl der Detektionsmethode</w:t>
      </w:r>
      <w:bookmarkEnd w:id="44"/>
      <w:bookmarkEnd w:id="45"/>
      <w:bookmarkEnd w:id="46"/>
    </w:p>
    <w:p w:rsidR="00DF1F17" w:rsidRPr="00832052" w:rsidRDefault="00DF1F17" w:rsidP="00DF1F17"/>
    <w:p w:rsidR="00DF1F17" w:rsidRPr="00832052" w:rsidRDefault="00DF1F17" w:rsidP="00DF1F17">
      <w:pPr>
        <w:keepNext/>
        <w:ind w:left="567" w:hanging="567"/>
        <w:outlineLvl w:val="2"/>
        <w:rPr>
          <w:i/>
          <w:snapToGrid w:val="0"/>
        </w:rPr>
      </w:pPr>
      <w:bookmarkStart w:id="47" w:name="_Toc54183301"/>
      <w:bookmarkStart w:id="48" w:name="_Toc54183560"/>
      <w:bookmarkStart w:id="49" w:name="_Toc54183627"/>
      <w:r>
        <w:rPr>
          <w:i/>
          <w:snapToGrid w:val="0"/>
        </w:rPr>
        <w:t xml:space="preserve">2.1 </w:t>
      </w:r>
      <w:r>
        <w:rPr>
          <w:i/>
          <w:snapToGrid w:val="0"/>
        </w:rPr>
        <w:tab/>
        <w:t>DNS-Profilierungsverfahren – allgemeine Überlegungen</w:t>
      </w:r>
      <w:bookmarkEnd w:id="47"/>
      <w:bookmarkEnd w:id="48"/>
      <w:bookmarkEnd w:id="49"/>
      <w:r>
        <w:rPr>
          <w:i/>
          <w:snapToGrid w:val="0"/>
        </w:rPr>
        <w:t> </w:t>
      </w:r>
    </w:p>
    <w:p w:rsidR="00DF1F17" w:rsidRPr="00832052" w:rsidRDefault="00DF1F17" w:rsidP="00DF1F17"/>
    <w:p w:rsidR="00DF1F17" w:rsidRPr="00832052" w:rsidRDefault="00DF1F17" w:rsidP="00DF1F17">
      <w:pPr>
        <w:ind w:firstLine="567"/>
      </w:pPr>
      <w:r>
        <w:t xml:space="preserve">2.1.1 </w:t>
      </w:r>
      <w:r>
        <w:tab/>
        <w:t xml:space="preserve">Wichtige Überlegungen zur Wahl eines DNS-Profilierungsverfahrens zur Gewinnung hochwertiger molekularer Daten sind: </w:t>
      </w:r>
    </w:p>
    <w:p w:rsidR="00DF1F17" w:rsidRPr="00832052" w:rsidRDefault="00DF1F17" w:rsidP="00DF1F17"/>
    <w:p w:rsidR="00DF1F17" w:rsidRPr="00832052" w:rsidRDefault="00DF1F17" w:rsidP="00DF1F17">
      <w:pPr>
        <w:ind w:left="1134" w:hanging="567"/>
      </w:pPr>
      <w:r>
        <w:t xml:space="preserve">a) </w:t>
      </w:r>
      <w:r>
        <w:tab/>
        <w:t xml:space="preserve">Reproduzierbarkeit der Datengenerierung in den Laboren und Detektionsplattformen sowie zwischen diesen (unterschiedliche Arten von Ausrüstung); </w:t>
      </w:r>
    </w:p>
    <w:p w:rsidR="00DF1F17" w:rsidRPr="00832052" w:rsidRDefault="00DF1F17" w:rsidP="00DF1F17">
      <w:pPr>
        <w:ind w:left="1134" w:hanging="567"/>
      </w:pPr>
      <w:r>
        <w:t xml:space="preserve">b) </w:t>
      </w:r>
      <w:r>
        <w:tab/>
        <w:t xml:space="preserve">Wiederholbarkeit im Zeitablauf; </w:t>
      </w:r>
    </w:p>
    <w:p w:rsidR="00DF1F17" w:rsidRPr="003265BF" w:rsidRDefault="00DF1F17" w:rsidP="00DF1F17">
      <w:pPr>
        <w:ind w:left="1134" w:hanging="567"/>
      </w:pPr>
      <w:r>
        <w:t xml:space="preserve">c) </w:t>
      </w:r>
      <w:r>
        <w:tab/>
        <w:t xml:space="preserve">Unterscheidungskraft des Verfahrens; </w:t>
      </w:r>
    </w:p>
    <w:p w:rsidR="00DF1F17" w:rsidRPr="003265BF" w:rsidRDefault="00DF1F17" w:rsidP="00DF1F17">
      <w:pPr>
        <w:ind w:left="1134" w:hanging="567"/>
      </w:pPr>
      <w:r>
        <w:t xml:space="preserve">d) </w:t>
      </w:r>
      <w:r>
        <w:tab/>
        <w:t>Zeit- und Arbeitsintensität des Verfahrens;</w:t>
      </w:r>
    </w:p>
    <w:p w:rsidR="00DF1F17" w:rsidRPr="00832052" w:rsidRDefault="00DF1F17" w:rsidP="00DF1F17">
      <w:pPr>
        <w:ind w:left="1134" w:hanging="567"/>
      </w:pPr>
      <w:r>
        <w:t xml:space="preserve">e) </w:t>
      </w:r>
      <w:r>
        <w:tab/>
        <w:t>Belastbarkeit hinsichtlich der zeitlichen Gegebenheiten und der Bedingungen (Empfindlichkeit gegenüber subtilen Änderungen von Ablauf oder Bedingungen);</w:t>
      </w:r>
    </w:p>
    <w:p w:rsidR="00DF1F17" w:rsidRPr="00832052" w:rsidRDefault="00DF1F17" w:rsidP="00DF1F17">
      <w:pPr>
        <w:ind w:left="1134" w:hanging="567"/>
      </w:pPr>
      <w:r>
        <w:t xml:space="preserve">f) </w:t>
      </w:r>
      <w:r>
        <w:tab/>
        <w:t>Flexibilität des Verfahrens; Möglichkeit, die Anzahl der Proben und/oder der Marker zu variieren;</w:t>
      </w:r>
    </w:p>
    <w:p w:rsidR="00DF1F17" w:rsidRPr="00832052" w:rsidRDefault="00DF1F17" w:rsidP="00DF1F17">
      <w:pPr>
        <w:ind w:left="1134" w:hanging="567"/>
      </w:pPr>
      <w:r>
        <w:t xml:space="preserve">g) </w:t>
      </w:r>
      <w:r>
        <w:tab/>
        <w:t>Auswertung der Daten ist von der Ausrüstung unabhängig;</w:t>
      </w:r>
    </w:p>
    <w:p w:rsidR="00DF1F17" w:rsidRPr="00832052" w:rsidRDefault="00DF1F17" w:rsidP="00DF1F17">
      <w:pPr>
        <w:ind w:left="1134" w:hanging="567"/>
      </w:pPr>
      <w:r>
        <w:t xml:space="preserve">h) </w:t>
      </w:r>
      <w:r>
        <w:tab/>
        <w:t xml:space="preserve">Nachhaltigkeit der Datenbanken; </w:t>
      </w:r>
    </w:p>
    <w:p w:rsidR="00DF1F17" w:rsidRPr="00832052" w:rsidRDefault="00DF1F17" w:rsidP="00DF1F17">
      <w:pPr>
        <w:ind w:left="1134" w:hanging="567"/>
      </w:pPr>
      <w:r>
        <w:t xml:space="preserve">i) </w:t>
      </w:r>
      <w:r>
        <w:tab/>
        <w:t xml:space="preserve">Zugänglichkeit der Methodik; </w:t>
      </w:r>
    </w:p>
    <w:p w:rsidR="00DF1F17" w:rsidRPr="00832052" w:rsidRDefault="00DF1F17" w:rsidP="00DF1F17">
      <w:pPr>
        <w:ind w:left="1134" w:hanging="567"/>
      </w:pPr>
      <w:r>
        <w:t xml:space="preserve">j) </w:t>
      </w:r>
      <w:r>
        <w:tab/>
        <w:t xml:space="preserve">Unabhängigkeit von besonderen Maschinen, Chemikalien, Zulieferern, Partnern oder Produkten; </w:t>
      </w:r>
    </w:p>
    <w:p w:rsidR="00DF1F17" w:rsidRPr="00832052" w:rsidRDefault="00DF1F17" w:rsidP="00DF1F17">
      <w:pPr>
        <w:ind w:left="1134" w:hanging="567"/>
      </w:pPr>
      <w:r>
        <w:t xml:space="preserve">k) </w:t>
      </w:r>
      <w:r>
        <w:tab/>
        <w:t>zur Automatisierung geeignet;</w:t>
      </w:r>
    </w:p>
    <w:p w:rsidR="00DF1F17" w:rsidRPr="00832052" w:rsidRDefault="00DF1F17" w:rsidP="00DF1F17">
      <w:pPr>
        <w:ind w:left="1134" w:hanging="567"/>
      </w:pPr>
      <w:r>
        <w:t xml:space="preserve">l) </w:t>
      </w:r>
      <w:r>
        <w:tab/>
        <w:t xml:space="preserve">für Multiplexing geeignet; und </w:t>
      </w:r>
    </w:p>
    <w:p w:rsidR="00DF1F17" w:rsidRPr="00832052" w:rsidRDefault="00DF1F17" w:rsidP="00DF1F17">
      <w:pPr>
        <w:ind w:left="1134" w:hanging="567"/>
      </w:pPr>
      <w:r>
        <w:t xml:space="preserve">m) </w:t>
      </w:r>
      <w:r>
        <w:tab/>
        <w:t xml:space="preserve">kostengünstig; Kosten, Zahl der Proben und Zahl der Marker stehen zueinander im Verhältnis. </w:t>
      </w:r>
    </w:p>
    <w:p w:rsidR="00DF1F17" w:rsidRPr="00832052" w:rsidRDefault="00DF1F17" w:rsidP="00DF1F17"/>
    <w:p w:rsidR="00DF1F17" w:rsidRPr="00832052" w:rsidRDefault="00DF1F17" w:rsidP="00DF1F17">
      <w:pPr>
        <w:keepNext/>
        <w:keepLines/>
        <w:ind w:left="567" w:hanging="567"/>
        <w:outlineLvl w:val="2"/>
        <w:rPr>
          <w:i/>
          <w:snapToGrid w:val="0"/>
        </w:rPr>
      </w:pPr>
      <w:bookmarkStart w:id="50" w:name="_Toc54183302"/>
      <w:bookmarkStart w:id="51" w:name="_Toc54183561"/>
      <w:bookmarkStart w:id="52" w:name="_Toc54183628"/>
      <w:r>
        <w:rPr>
          <w:i/>
          <w:snapToGrid w:val="0"/>
        </w:rPr>
        <w:t>2.2.</w:t>
      </w:r>
      <w:r>
        <w:rPr>
          <w:i/>
          <w:snapToGrid w:val="0"/>
        </w:rPr>
        <w:tab/>
        <w:t>Zugang zur Technik</w:t>
      </w:r>
      <w:bookmarkEnd w:id="50"/>
      <w:bookmarkEnd w:id="51"/>
      <w:bookmarkEnd w:id="52"/>
    </w:p>
    <w:p w:rsidR="00DF1F17" w:rsidRPr="00832052" w:rsidRDefault="00DF1F17" w:rsidP="00DF1F17">
      <w:pPr>
        <w:keepNext/>
        <w:keepLines/>
      </w:pPr>
    </w:p>
    <w:p w:rsidR="00DF1F17" w:rsidRPr="003265BF" w:rsidRDefault="00DF1F17" w:rsidP="00DF1F17">
      <w:pPr>
        <w:keepNext/>
        <w:keepLines/>
      </w:pPr>
      <w:r>
        <w:t xml:space="preserve">Einzelne molekulare Marker und Materialien sind öffentlich verfügbar. Es dürften jedoch hohe Investitionen erforderlich sein, um hochqualitative Marker zu erzielen. Infolgedessen können Marker und andere Verfahren und sonstiges Material durch Rechte des geistigen Eigentums geschützt sein. Die UPOV erarbeitete eine Anleitung zur Nutzung der Produkte oder </w:t>
      </w:r>
      <w:proofErr w:type="spellStart"/>
      <w:r>
        <w:t>Methodiken</w:t>
      </w:r>
      <w:proofErr w:type="spellEnd"/>
      <w:r>
        <w:t>, die Gegenstand von Rechten des geistigen Eigentums sind</w:t>
      </w:r>
      <w:r w:rsidR="00B04166">
        <w:t xml:space="preserve">. </w:t>
      </w:r>
      <w:r>
        <w:t>Es ist zu empfehlen, dass Angelegenheiten bezüglich der Rechte des geistigen Eigentums zu Beginn jeder Entwicklungsarbeit behandelt werden.</w:t>
      </w:r>
    </w:p>
    <w:p w:rsidR="00DF1F17" w:rsidRPr="003265BF" w:rsidRDefault="00DF1F17" w:rsidP="00DF1F17">
      <w:pPr>
        <w:keepNext/>
        <w:keepLines/>
      </w:pPr>
    </w:p>
    <w:p w:rsidR="00DF1F17" w:rsidRPr="003265BF" w:rsidRDefault="00DF1F17" w:rsidP="00DF1F17">
      <w:pPr>
        <w:keepNext/>
        <w:outlineLvl w:val="1"/>
      </w:pPr>
      <w:bookmarkStart w:id="53" w:name="_Toc54183303"/>
      <w:bookmarkStart w:id="54" w:name="_Toc54183562"/>
      <w:bookmarkStart w:id="55" w:name="_Toc54183629"/>
      <w:r>
        <w:t>3.</w:t>
      </w:r>
      <w:r>
        <w:tab/>
        <w:t>Validierung und Harmonisierung von Markersatz und Detektionsmethode</w:t>
      </w:r>
      <w:bookmarkEnd w:id="53"/>
      <w:bookmarkEnd w:id="54"/>
      <w:bookmarkEnd w:id="55"/>
    </w:p>
    <w:p w:rsidR="00DF1F17" w:rsidRPr="003265BF" w:rsidRDefault="00DF1F17" w:rsidP="00DF1F17"/>
    <w:p w:rsidR="00DF1F17" w:rsidRPr="003265BF" w:rsidRDefault="00DF1F17" w:rsidP="00DF1F17">
      <w:pPr>
        <w:keepNext/>
        <w:ind w:left="567" w:hanging="567"/>
        <w:outlineLvl w:val="2"/>
        <w:rPr>
          <w:i/>
          <w:snapToGrid w:val="0"/>
        </w:rPr>
      </w:pPr>
      <w:bookmarkStart w:id="56" w:name="_Toc54183304"/>
      <w:bookmarkStart w:id="57" w:name="_Toc54183563"/>
      <w:bookmarkStart w:id="58" w:name="_Toc54183630"/>
      <w:r>
        <w:rPr>
          <w:i/>
          <w:snapToGrid w:val="0"/>
        </w:rPr>
        <w:t xml:space="preserve">3.1 </w:t>
      </w:r>
      <w:r>
        <w:rPr>
          <w:i/>
          <w:snapToGrid w:val="0"/>
        </w:rPr>
        <w:tab/>
        <w:t>Validierung und Harmonisierung - allgemeine Überlegungen</w:t>
      </w:r>
      <w:bookmarkEnd w:id="56"/>
      <w:bookmarkEnd w:id="57"/>
      <w:bookmarkEnd w:id="58"/>
    </w:p>
    <w:p w:rsidR="00DF1F17" w:rsidRPr="003265BF" w:rsidRDefault="00DF1F17" w:rsidP="00DF1F17">
      <w:pPr>
        <w:rPr>
          <w:u w:val="single"/>
          <w:shd w:val="pct15" w:color="auto" w:fill="FFFFFF"/>
        </w:rPr>
      </w:pPr>
    </w:p>
    <w:p w:rsidR="00DF1F17" w:rsidRPr="003265BF" w:rsidRDefault="00DF1F17" w:rsidP="00DF1F17">
      <w:r>
        <w:t xml:space="preserve">Molekulare Marker und Detektionsverfahren müssen solide sein und zu konsistenten DNS-Profilen führen. Die Leistung der molekularen Marker und der Verfahren zur </w:t>
      </w:r>
      <w:proofErr w:type="spellStart"/>
      <w:r>
        <w:t>Genotypisierung</w:t>
      </w:r>
      <w:proofErr w:type="spellEnd"/>
      <w:r>
        <w:t xml:space="preserve"> wird im Rahmen des Validierungsprozesses evaluiert. Bei gemeinsamen Datenbanken wird die Übereinstimmung der DNS-Profile im Rahmen des Harmonisierungsprozesses in verschiedenen Laboren evaluiert, wobei unterschiedliche Ausrüstungen und Chemikalien verwendet werden. Die Verwendung validierter Marker und Verfahren wird zu harmonisierten Ergebnissen führen.</w:t>
      </w:r>
    </w:p>
    <w:p w:rsidR="00DF1F17" w:rsidRPr="003265BF" w:rsidRDefault="00DF1F17" w:rsidP="00DF1F17"/>
    <w:p w:rsidR="00DF1F17" w:rsidRPr="003265BF" w:rsidRDefault="00DF1F17" w:rsidP="00DF1F17">
      <w:pPr>
        <w:keepNext/>
        <w:ind w:left="567" w:hanging="567"/>
        <w:outlineLvl w:val="2"/>
        <w:rPr>
          <w:i/>
          <w:snapToGrid w:val="0"/>
        </w:rPr>
      </w:pPr>
      <w:bookmarkStart w:id="59" w:name="_Toc54183305"/>
      <w:bookmarkStart w:id="60" w:name="_Toc54183564"/>
      <w:bookmarkStart w:id="61" w:name="_Toc54183631"/>
      <w:r>
        <w:rPr>
          <w:i/>
          <w:snapToGrid w:val="0"/>
        </w:rPr>
        <w:t xml:space="preserve">3.2 </w:t>
      </w:r>
      <w:r>
        <w:rPr>
          <w:i/>
          <w:snapToGrid w:val="0"/>
        </w:rPr>
        <w:tab/>
        <w:t>Leistungsaspekte – Validierung von Markern und Verfahren</w:t>
      </w:r>
      <w:bookmarkEnd w:id="59"/>
      <w:bookmarkEnd w:id="60"/>
      <w:bookmarkEnd w:id="61"/>
      <w:r>
        <w:rPr>
          <w:i/>
          <w:snapToGrid w:val="0"/>
          <w:shd w:val="pct15" w:color="auto" w:fill="FFFFFF"/>
        </w:rPr>
        <w:t xml:space="preserve"> </w:t>
      </w:r>
    </w:p>
    <w:p w:rsidR="00DF1F17" w:rsidRPr="003265BF" w:rsidRDefault="00DF1F17" w:rsidP="00DF1F17">
      <w:pPr>
        <w:rPr>
          <w:u w:val="single"/>
          <w:shd w:val="pct15" w:color="auto" w:fill="FFFFFF"/>
        </w:rPr>
      </w:pPr>
    </w:p>
    <w:p w:rsidR="00DF1F17" w:rsidRPr="003265BF" w:rsidRDefault="00DF1F17" w:rsidP="00DF1F17">
      <w:pPr>
        <w:rPr>
          <w:shd w:val="pct15" w:color="auto" w:fill="FFFFFF"/>
        </w:rPr>
      </w:pPr>
      <w:r>
        <w:t>Der ausgewählte Markersatz muss geeignet sein (Zweckmäßigkeit). Die Genauigkeit muss gemessen werden. Um die Eignung eines Verfahrens oder DNS-Markersatzes festzustellen, sind diverse Punkte zu berücksichtigen:</w:t>
      </w:r>
    </w:p>
    <w:p w:rsidR="00DF1F17" w:rsidRPr="003265BF" w:rsidRDefault="00DF1F17" w:rsidP="00DF1F17">
      <w:pPr>
        <w:rPr>
          <w:u w:val="single"/>
          <w:shd w:val="pct15" w:color="auto" w:fill="FFFFFF"/>
        </w:rPr>
      </w:pPr>
    </w:p>
    <w:p w:rsidR="00DF1F17" w:rsidRPr="00823D34" w:rsidRDefault="00DF1F17" w:rsidP="00DF1F17">
      <w:pPr>
        <w:ind w:firstLine="567"/>
      </w:pPr>
      <w:r>
        <w:t xml:space="preserve">a) </w:t>
      </w:r>
      <w:r>
        <w:tab/>
        <w:t>Unterscheidungsvermögen/</w:t>
      </w:r>
      <w:proofErr w:type="spellStart"/>
      <w:r>
        <w:t>Informativität</w:t>
      </w:r>
      <w:proofErr w:type="spellEnd"/>
      <w:r>
        <w:t>;</w:t>
      </w:r>
    </w:p>
    <w:p w:rsidR="00DF1F17" w:rsidRPr="00823D34" w:rsidRDefault="00DF1F17" w:rsidP="00823D34">
      <w:pPr>
        <w:ind w:firstLine="567"/>
      </w:pPr>
      <w:r>
        <w:t xml:space="preserve">b) </w:t>
      </w:r>
      <w:r w:rsidR="00D15553">
        <w:tab/>
      </w:r>
      <w:r>
        <w:t>Wiederholbarkeit; wenn identische Prüfungsergebnisse anhand desselben Verfahrens, an identischen Testgegenständen, im gleichen Labor, durch denselben Prüfer, unter Verwendung der gleichen Ausrüstung innerhalb kurzer Zeitintervalle erzielt werden.</w:t>
      </w:r>
    </w:p>
    <w:p w:rsidR="00DF1F17" w:rsidRPr="00823D34" w:rsidRDefault="00DF1F17" w:rsidP="00823D34">
      <w:pPr>
        <w:ind w:firstLine="567"/>
      </w:pPr>
      <w:r>
        <w:t xml:space="preserve">c) </w:t>
      </w:r>
      <w:r>
        <w:tab/>
        <w:t>Reproduzierbarkeit; wenn Testergebnisse anhand desselben Verfahrens, an identischen Testgegenständen, im gleichen Labor oder zwischen verschiedenen Laboren, durch verschiedene Prüfer, unter Verwendung unterschiedlicher Ausrüstungen erzielt werden.</w:t>
      </w:r>
    </w:p>
    <w:p w:rsidR="00DF1F17" w:rsidRPr="00823D34" w:rsidRDefault="00DF1F17" w:rsidP="00823D34">
      <w:pPr>
        <w:ind w:firstLine="567"/>
      </w:pPr>
      <w:r>
        <w:t xml:space="preserve">d) </w:t>
      </w:r>
      <w:r>
        <w:tab/>
        <w:t xml:space="preserve">Belastbarkeit; ein Maß für seine Fähigkeit, von kleinen, aber absichtlichen Abweichungen von den in den Verfahrensparametern beschriebenen Versuchsbedingungen unbeeinflusst zu bleiben, und </w:t>
      </w:r>
      <w:proofErr w:type="gramStart"/>
      <w:r>
        <w:t>das</w:t>
      </w:r>
      <w:proofErr w:type="gramEnd"/>
      <w:r>
        <w:t xml:space="preserve"> auch einen Hinweis auf seine Zuverlässigkeit bei normaler Verwendung liefert; und </w:t>
      </w:r>
    </w:p>
    <w:p w:rsidR="00DF1F17" w:rsidRPr="00823D34" w:rsidRDefault="00DF1F17" w:rsidP="00DF1F17">
      <w:pPr>
        <w:ind w:firstLine="567"/>
      </w:pPr>
      <w:r>
        <w:t xml:space="preserve">e) </w:t>
      </w:r>
      <w:r w:rsidR="00D15553">
        <w:tab/>
      </w:r>
      <w:r>
        <w:t>Fehlerrate. </w:t>
      </w:r>
    </w:p>
    <w:p w:rsidR="00DF1F17" w:rsidRPr="003265BF" w:rsidRDefault="00DF1F17" w:rsidP="00DF1F17">
      <w:pPr>
        <w:jc w:val="left"/>
      </w:pPr>
    </w:p>
    <w:p w:rsidR="00DF1F17" w:rsidRPr="003265BF" w:rsidRDefault="00DF1F17" w:rsidP="00DF1F17">
      <w:pPr>
        <w:rPr>
          <w:rFonts w:cs="Arial"/>
        </w:rPr>
      </w:pPr>
      <w:r>
        <w:t>Definitionen von Leistungsmerkmalen basieren auf: ISO 16 577:2016</w:t>
      </w:r>
    </w:p>
    <w:p w:rsidR="00DF1F17" w:rsidRPr="003265BF" w:rsidRDefault="00DF1F17" w:rsidP="00DF1F17"/>
    <w:p w:rsidR="00DF1F17" w:rsidRPr="003265BF" w:rsidRDefault="00DF1F17" w:rsidP="00DF1F17">
      <w:pPr>
        <w:keepNext/>
        <w:ind w:left="567" w:hanging="567"/>
        <w:outlineLvl w:val="2"/>
        <w:rPr>
          <w:i/>
          <w:snapToGrid w:val="0"/>
        </w:rPr>
      </w:pPr>
      <w:bookmarkStart w:id="62" w:name="_Toc54183306"/>
      <w:bookmarkStart w:id="63" w:name="_Toc54183565"/>
      <w:bookmarkStart w:id="64" w:name="_Toc54183632"/>
      <w:r>
        <w:rPr>
          <w:i/>
          <w:snapToGrid w:val="0"/>
        </w:rPr>
        <w:t xml:space="preserve">3.3 </w:t>
      </w:r>
      <w:r>
        <w:rPr>
          <w:i/>
          <w:snapToGrid w:val="0"/>
        </w:rPr>
        <w:tab/>
        <w:t>Konsistenzaspekte</w:t>
      </w:r>
      <w:bookmarkEnd w:id="62"/>
      <w:bookmarkEnd w:id="63"/>
      <w:bookmarkEnd w:id="64"/>
    </w:p>
    <w:p w:rsidR="00DF1F17" w:rsidRPr="003265BF" w:rsidRDefault="00DF1F17" w:rsidP="00DF1F17">
      <w:pPr>
        <w:keepNext/>
        <w:ind w:left="567" w:hanging="567"/>
        <w:outlineLvl w:val="2"/>
        <w:rPr>
          <w:i/>
          <w:snapToGrid w:val="0"/>
        </w:rPr>
      </w:pPr>
    </w:p>
    <w:p w:rsidR="00DF1F17" w:rsidRPr="003265BF" w:rsidRDefault="00DF1F17" w:rsidP="00DF1F17">
      <w:pPr>
        <w:rPr>
          <w:snapToGrid w:val="0"/>
        </w:rPr>
      </w:pPr>
      <w:r>
        <w:rPr>
          <w:snapToGrid w:val="0"/>
        </w:rPr>
        <w:t>Zur Erzielung einer Konsistenz von Ergebnissen, ist der Prozess der Harmonisierung von Markern und Verfahren zwischen verschiedenen Laboren bei gemeinsamer Datenbank (</w:t>
      </w:r>
      <w:proofErr w:type="spellStart"/>
      <w:r w:rsidR="00B04166">
        <w:rPr>
          <w:snapToGrid w:val="0"/>
        </w:rPr>
        <w:t>Ringtest</w:t>
      </w:r>
      <w:proofErr w:type="spellEnd"/>
      <w:r w:rsidR="00B04166">
        <w:rPr>
          <w:snapToGrid w:val="0"/>
        </w:rPr>
        <w:t>)</w:t>
      </w:r>
      <w:r>
        <w:rPr>
          <w:snapToGrid w:val="0"/>
        </w:rPr>
        <w:t xml:space="preserve"> in Betracht zu ziehen: </w:t>
      </w:r>
    </w:p>
    <w:p w:rsidR="00DF1F17" w:rsidRPr="003265BF" w:rsidRDefault="00DF1F17" w:rsidP="00DF1F17">
      <w:pPr>
        <w:rPr>
          <w:u w:val="single"/>
          <w:shd w:val="pct15" w:color="auto" w:fill="FFFFFF"/>
        </w:rPr>
      </w:pPr>
    </w:p>
    <w:p w:rsidR="00DF1F17" w:rsidRPr="003265BF" w:rsidRDefault="00DF1F17" w:rsidP="00DF1F17">
      <w:pPr>
        <w:ind w:left="1134" w:hanging="567"/>
        <w:rPr>
          <w:shd w:val="pct15" w:color="auto" w:fill="FFFFFF"/>
        </w:rPr>
      </w:pPr>
      <w:r>
        <w:t xml:space="preserve">a) </w:t>
      </w:r>
      <w:r>
        <w:tab/>
        <w:t>Zur Prüfung der laborübergreifenden Konsistenz sollen in allen Laboren vorgegebene Referenz-Sortensammlungen, die ein breites Spektrum von Allelen abdecken, verwendet werden </w:t>
      </w:r>
    </w:p>
    <w:p w:rsidR="00DF1F17" w:rsidRPr="003265BF" w:rsidRDefault="00DF1F17" w:rsidP="00DF1F17">
      <w:pPr>
        <w:ind w:left="1134" w:hanging="567"/>
        <w:rPr>
          <w:shd w:val="pct15" w:color="auto" w:fill="FFFFFF"/>
        </w:rPr>
      </w:pPr>
      <w:r>
        <w:rPr>
          <w:shd w:val="pct15" w:color="auto" w:fill="FFFFFF"/>
        </w:rPr>
        <w:t xml:space="preserve"> </w:t>
      </w:r>
    </w:p>
    <w:p w:rsidR="00DF1F17" w:rsidRPr="003265BF" w:rsidRDefault="00DF1F17" w:rsidP="00DF1F17">
      <w:pPr>
        <w:ind w:left="1134" w:hanging="567"/>
        <w:rPr>
          <w:shd w:val="pct15" w:color="auto" w:fill="FFFFFF"/>
        </w:rPr>
      </w:pPr>
      <w:r>
        <w:t xml:space="preserve">b) </w:t>
      </w:r>
      <w:r>
        <w:tab/>
        <w:t>Aufnahme von Duplikaten, Unterproben und individuellen Exemplaren einer Art zur Prüfung der Konsistenz der DNS-Profile und zur Einschätzung der Fehlerquote zwischen den Laboren </w:t>
      </w:r>
    </w:p>
    <w:p w:rsidR="00DF1F17" w:rsidRPr="003265BF" w:rsidRDefault="00DF1F17" w:rsidP="00DF1F17">
      <w:pPr>
        <w:ind w:left="1134" w:hanging="567"/>
        <w:rPr>
          <w:shd w:val="pct15" w:color="auto" w:fill="FFFFFF"/>
        </w:rPr>
      </w:pPr>
    </w:p>
    <w:p w:rsidR="00DF1F17" w:rsidRPr="003265BF" w:rsidRDefault="00DF1F17" w:rsidP="00DF1F17">
      <w:pPr>
        <w:ind w:left="1134" w:hanging="567"/>
      </w:pPr>
      <w:r>
        <w:t xml:space="preserve">c) </w:t>
      </w:r>
      <w:r>
        <w:tab/>
        <w:t xml:space="preserve">Vereinbarungen zur Auswertung molekularer Daten. </w:t>
      </w:r>
      <w:r w:rsidR="00B04166">
        <w:t xml:space="preserve">Die Notwendigkeit der Erstellung eines Protokolls für die Allel-/Bandenauswertung zwischen den Laboren ist abhängig vom verwendeten </w:t>
      </w:r>
      <w:proofErr w:type="spellStart"/>
      <w:r w:rsidR="00B04166">
        <w:t>Markertyp</w:t>
      </w:r>
      <w:proofErr w:type="spellEnd"/>
      <w:r w:rsidR="00B04166">
        <w:t xml:space="preserve"> (z. B. wesentlich bei SSR-Markern). Das Protokoll könnte sich mit der Auswertung folgender Daten befassen: </w:t>
      </w:r>
    </w:p>
    <w:p w:rsidR="00DF1F17" w:rsidRPr="003265BF" w:rsidRDefault="00DF1F17" w:rsidP="00DF1F17">
      <w:pPr>
        <w:ind w:firstLine="567"/>
        <w:rPr>
          <w:u w:val="single"/>
          <w:shd w:val="pct15" w:color="auto" w:fill="FFFFFF"/>
        </w:rPr>
      </w:pPr>
    </w:p>
    <w:p w:rsidR="00DF1F17" w:rsidRPr="00832052" w:rsidRDefault="00DF1F17" w:rsidP="00DF1F17">
      <w:pPr>
        <w:ind w:left="1701" w:hanging="567"/>
      </w:pPr>
      <w:r>
        <w:t xml:space="preserve">i. </w:t>
      </w:r>
      <w:r>
        <w:tab/>
        <w:t xml:space="preserve">seltene Allele (d. h. diejenigen an einem spezifischen </w:t>
      </w:r>
      <w:proofErr w:type="spellStart"/>
      <w:r>
        <w:t>Locus</w:t>
      </w:r>
      <w:proofErr w:type="spellEnd"/>
      <w:r>
        <w:t>, die mit einer Häufigkeit unter einem vereinbarten Schwellenwert (in der Regel 5-10 %) in einer Population) auftreten);</w:t>
      </w:r>
    </w:p>
    <w:p w:rsidR="00DF1F17" w:rsidRPr="00832052" w:rsidRDefault="00DF1F17" w:rsidP="00DF1F17">
      <w:pPr>
        <w:ind w:left="1701" w:hanging="567"/>
      </w:pPr>
    </w:p>
    <w:p w:rsidR="00DF1F17" w:rsidRPr="00832052" w:rsidRDefault="00DF1F17" w:rsidP="00DF1F17">
      <w:pPr>
        <w:ind w:left="1701" w:hanging="567"/>
      </w:pPr>
      <w:r>
        <w:t xml:space="preserve">ii. </w:t>
      </w:r>
      <w:r>
        <w:tab/>
        <w:t>Nullallele (ein Allel, das das Fehlen eines PCR-Produkts auf Molekularebene bewirkt);</w:t>
      </w:r>
    </w:p>
    <w:p w:rsidR="00DF1F17" w:rsidRPr="00832052" w:rsidRDefault="00DF1F17" w:rsidP="00DF1F17">
      <w:pPr>
        <w:ind w:left="1701" w:hanging="567"/>
      </w:pPr>
      <w:r>
        <w:t xml:space="preserve"> </w:t>
      </w:r>
    </w:p>
    <w:p w:rsidR="00DF1F17" w:rsidRPr="00832052" w:rsidRDefault="00DF1F17" w:rsidP="00DF1F17">
      <w:pPr>
        <w:ind w:left="1701" w:hanging="567"/>
      </w:pPr>
      <w:r>
        <w:t>iii.</w:t>
      </w:r>
      <w:r>
        <w:tab/>
        <w:t xml:space="preserve">„schwache" Banden (d. h. Banden, bei denen die Intensität unter einen vereinbarten Schwellenwert für die Erfassung fällt, der entweder empirisch oder automatisch festgelegt wird und dessen Auswertung anfechtbar sein kann); </w:t>
      </w:r>
    </w:p>
    <w:p w:rsidR="00DF1F17" w:rsidRPr="00832052" w:rsidRDefault="00DF1F17" w:rsidP="00DF1F17">
      <w:pPr>
        <w:ind w:left="1701" w:hanging="567"/>
      </w:pPr>
    </w:p>
    <w:p w:rsidR="00DF1F17" w:rsidRPr="00832052" w:rsidRDefault="00DF1F17" w:rsidP="00DF1F17">
      <w:pPr>
        <w:ind w:left="1701" w:hanging="567"/>
      </w:pPr>
      <w:r>
        <w:t xml:space="preserve">iv. </w:t>
      </w:r>
      <w:r>
        <w:tab/>
        <w:t xml:space="preserve">fehlende Daten (d. h. Loci, für die aus welchem Grund auch immer für eine oder mehrere Sorten keine Daten erfasst wurden); und </w:t>
      </w:r>
    </w:p>
    <w:p w:rsidR="00DF1F17" w:rsidRPr="00832052" w:rsidRDefault="00DF1F17" w:rsidP="00DF1F17">
      <w:pPr>
        <w:ind w:left="1701" w:hanging="567"/>
      </w:pPr>
    </w:p>
    <w:p w:rsidR="00DF1F17" w:rsidRPr="00832052" w:rsidRDefault="00DF1F17" w:rsidP="00DF1F17">
      <w:pPr>
        <w:ind w:left="1701" w:hanging="567"/>
        <w:rPr>
          <w:u w:val="single"/>
          <w:shd w:val="pct15" w:color="auto" w:fill="FFFFFF"/>
        </w:rPr>
      </w:pPr>
      <w:r>
        <w:t xml:space="preserve">v. </w:t>
      </w:r>
      <w:r>
        <w:tab/>
      </w:r>
      <w:proofErr w:type="spellStart"/>
      <w:r>
        <w:t>monomorphe</w:t>
      </w:r>
      <w:proofErr w:type="spellEnd"/>
      <w:r>
        <w:t xml:space="preserve"> Banden oder nicht-informative Allel-</w:t>
      </w:r>
      <w:proofErr w:type="spellStart"/>
      <w:r>
        <w:t>Scorewerte</w:t>
      </w:r>
      <w:proofErr w:type="spellEnd"/>
      <w:r>
        <w:t xml:space="preserve"> (diejenigen Allele/Banden, die bei jeder analysierten Sorte auftreten, d. h. in einer bestimmten Sortensammlung nicht polymorph sind).</w:t>
      </w:r>
    </w:p>
    <w:p w:rsidR="00DF1F17" w:rsidRPr="00832052" w:rsidRDefault="00DF1F17" w:rsidP="00DF1F17">
      <w:pPr>
        <w:ind w:left="567" w:firstLine="567"/>
      </w:pPr>
    </w:p>
    <w:p w:rsidR="00DF1F17" w:rsidRPr="003265BF" w:rsidRDefault="00DF1F17" w:rsidP="00DF1F17">
      <w:pPr>
        <w:keepNext/>
        <w:outlineLvl w:val="1"/>
      </w:pPr>
      <w:bookmarkStart w:id="65" w:name="_Toc54183307"/>
      <w:bookmarkStart w:id="66" w:name="_Toc54183566"/>
      <w:bookmarkStart w:id="67" w:name="_Toc54183633"/>
      <w:r>
        <w:t>4.</w:t>
      </w:r>
      <w:r>
        <w:tab/>
        <w:t>Aufbau einer artspezifischen Datenbank</w:t>
      </w:r>
      <w:bookmarkEnd w:id="65"/>
      <w:bookmarkEnd w:id="66"/>
      <w:bookmarkEnd w:id="67"/>
    </w:p>
    <w:p w:rsidR="00DF1F17" w:rsidRPr="003265BF" w:rsidRDefault="00DF1F17" w:rsidP="00DF1F17">
      <w:pPr>
        <w:rPr>
          <w:u w:val="single"/>
          <w:shd w:val="pct15" w:color="auto" w:fill="FFFFFF"/>
        </w:rPr>
      </w:pPr>
    </w:p>
    <w:p w:rsidR="00DF1F17" w:rsidRPr="00832052" w:rsidRDefault="00DF1F17" w:rsidP="00DF1F17">
      <w:pPr>
        <w:rPr>
          <w:shd w:val="pct15" w:color="auto" w:fill="FFFFFF"/>
        </w:rPr>
      </w:pPr>
      <w:r>
        <w:t>Die in einer Datenbank gespeicherten Daten sowie die Art und Weise der Speicherung sollten das datenproduzierende Verfahren widerspiegeln. Daher sollte der Aufbau einer Datenbank verschiedene Stufen der Datenproduktion berücksichtigen (d. h. Rohdaten, Sequenzdaten...). In der Datenbank sollten die Endergebnisse, d. h. das DNS-Profil ebenso wie die Art seiner Gewinnung im Sinne der Verfahrensbeschreibung des Labors und der Rechenschritte zur Gewinnung eines DNS-Profils gespeichert sein.</w:t>
      </w:r>
      <w:r>
        <w:rPr>
          <w:shd w:val="pct15" w:color="auto" w:fill="FFFFFF"/>
        </w:rPr>
        <w:t xml:space="preserve"> </w:t>
      </w:r>
    </w:p>
    <w:p w:rsidR="00DF1F17" w:rsidRPr="00832052" w:rsidRDefault="00DF1F17" w:rsidP="00DF1F17">
      <w:pPr>
        <w:keepNext/>
        <w:ind w:left="567" w:hanging="567"/>
        <w:outlineLvl w:val="2"/>
        <w:rPr>
          <w:i/>
          <w:snapToGrid w:val="0"/>
        </w:rPr>
      </w:pPr>
    </w:p>
    <w:p w:rsidR="00DF1F17" w:rsidRPr="00832052" w:rsidRDefault="00DF1F17" w:rsidP="00DF1F17">
      <w:pPr>
        <w:keepNext/>
        <w:ind w:left="567" w:hanging="567"/>
        <w:outlineLvl w:val="2"/>
        <w:rPr>
          <w:i/>
          <w:snapToGrid w:val="0"/>
          <w:shd w:val="pct15" w:color="auto" w:fill="FFFFFF"/>
        </w:rPr>
      </w:pPr>
      <w:bookmarkStart w:id="68" w:name="_Toc54183308"/>
      <w:bookmarkStart w:id="69" w:name="_Toc54183567"/>
      <w:bookmarkStart w:id="70" w:name="_Toc54183634"/>
      <w:r>
        <w:rPr>
          <w:i/>
          <w:snapToGrid w:val="0"/>
        </w:rPr>
        <w:t xml:space="preserve">4.1 </w:t>
      </w:r>
      <w:r>
        <w:rPr>
          <w:i/>
          <w:snapToGrid w:val="0"/>
        </w:rPr>
        <w:tab/>
        <w:t>Empfehlungen für die Gestaltung der Datenbank</w:t>
      </w:r>
      <w:bookmarkEnd w:id="68"/>
      <w:bookmarkEnd w:id="69"/>
      <w:bookmarkEnd w:id="70"/>
    </w:p>
    <w:p w:rsidR="00DF1F17" w:rsidRPr="00832052" w:rsidRDefault="00DF1F17" w:rsidP="00DF1F17"/>
    <w:p w:rsidR="00DF1F17" w:rsidRPr="00832052" w:rsidRDefault="00DF1F17" w:rsidP="00DF1F17">
      <w:r>
        <w:t>Bei der Gestaltung der Datenbank sollten folgende Aspekte berücksichtigt werden:</w:t>
      </w:r>
    </w:p>
    <w:p w:rsidR="00DF1F17" w:rsidRPr="00832052" w:rsidRDefault="00DF1F17" w:rsidP="00DF1F17"/>
    <w:p w:rsidR="00DF1F17" w:rsidRPr="00832052" w:rsidRDefault="00DF1F17" w:rsidP="00DF1F17">
      <w:pPr>
        <w:ind w:firstLine="567"/>
        <w:rPr>
          <w:shd w:val="pct15" w:color="auto" w:fill="FFFFFF"/>
        </w:rPr>
      </w:pPr>
      <w:r>
        <w:t xml:space="preserve">a) </w:t>
      </w:r>
      <w:r>
        <w:tab/>
        <w:t>Die Architektur der Datenbank sollte flexibel sein und z. B. sowohl flache Dateien als auch komprimierte Archivformate speichern können.</w:t>
      </w:r>
    </w:p>
    <w:p w:rsidR="00DF1F17" w:rsidRPr="00832052" w:rsidRDefault="00DF1F17" w:rsidP="00DF1F17">
      <w:pPr>
        <w:ind w:firstLine="567"/>
        <w:rPr>
          <w:shd w:val="pct15" w:color="auto" w:fill="FFFFFF"/>
        </w:rPr>
      </w:pPr>
    </w:p>
    <w:p w:rsidR="00DF1F17" w:rsidRPr="00832052" w:rsidRDefault="00DF1F17" w:rsidP="00DF1F17">
      <w:pPr>
        <w:ind w:firstLine="567"/>
        <w:rPr>
          <w:shd w:val="pct15" w:color="auto" w:fill="FFFFFF"/>
        </w:rPr>
      </w:pPr>
      <w:r>
        <w:t xml:space="preserve">b) </w:t>
      </w:r>
      <w:r>
        <w:tab/>
        <w:t>Für die experimentelle Laborarbeit, die Datenerzeugung und die Allel-</w:t>
      </w:r>
      <w:proofErr w:type="spellStart"/>
      <w:r>
        <w:t>Scorewerte</w:t>
      </w:r>
      <w:proofErr w:type="spellEnd"/>
      <w:r>
        <w:t xml:space="preserve"> sind jeweils eigenständige Tabellen und Einträge erforderlich.</w:t>
      </w:r>
    </w:p>
    <w:p w:rsidR="00DF1F17" w:rsidRPr="00832052" w:rsidRDefault="00DF1F17" w:rsidP="00DF1F17">
      <w:pPr>
        <w:ind w:firstLine="567"/>
        <w:rPr>
          <w:shd w:val="pct15" w:color="auto" w:fill="FFFFFF"/>
        </w:rPr>
      </w:pPr>
    </w:p>
    <w:p w:rsidR="00DF1F17" w:rsidRPr="00823D34" w:rsidRDefault="00DF1F17" w:rsidP="00DF1F17">
      <w:pPr>
        <w:ind w:firstLine="567"/>
      </w:pPr>
      <w:r>
        <w:t xml:space="preserve">c) </w:t>
      </w:r>
      <w:r>
        <w:tab/>
        <w:t>Speicherung von Daten auf verschiedenen Stufen, z. B. Allel-</w:t>
      </w:r>
      <w:proofErr w:type="spellStart"/>
      <w:r>
        <w:t>Scorewerte</w:t>
      </w:r>
      <w:proofErr w:type="spellEnd"/>
      <w:r>
        <w:t xml:space="preserve"> </w:t>
      </w:r>
      <w:r w:rsidR="00B04166">
        <w:t>und alle</w:t>
      </w:r>
      <w:r>
        <w:t xml:space="preserve"> Auswertungs-Regeln, die einer Entscheidung </w:t>
      </w:r>
      <w:r w:rsidR="00B04166">
        <w:t>zugrunde liegen</w:t>
      </w:r>
      <w:r>
        <w:t xml:space="preserve"> und Verknüpfungen zu den Rohdaten (</w:t>
      </w:r>
      <w:proofErr w:type="spellStart"/>
      <w:r>
        <w:t>tiff</w:t>
      </w:r>
      <w:proofErr w:type="spellEnd"/>
      <w:r>
        <w:t>-Dateien, bam-Dateien), die generiert wurden. </w:t>
      </w:r>
    </w:p>
    <w:p w:rsidR="00DF1F17" w:rsidRPr="003265BF" w:rsidRDefault="00DF1F17" w:rsidP="00DF1F17">
      <w:pPr>
        <w:rPr>
          <w:shd w:val="pct15" w:color="auto" w:fill="FFFFFF"/>
        </w:rPr>
      </w:pPr>
    </w:p>
    <w:p w:rsidR="00DF1F17" w:rsidRPr="003265BF" w:rsidRDefault="00DF1F17" w:rsidP="00DF1F17">
      <w:pPr>
        <w:ind w:firstLine="567"/>
        <w:rPr>
          <w:shd w:val="pct15" w:color="auto" w:fill="FFFFFF"/>
        </w:rPr>
      </w:pPr>
      <w:r>
        <w:t xml:space="preserve">d) </w:t>
      </w:r>
      <w:r>
        <w:tab/>
        <w:t xml:space="preserve">Dateien zum Variantenaufruf im VCF- oder BCF-Format (entsprechend der Standardversion 4.2 oder höher). Die Header-Einträge sollten Namen und Version der verschiedenen </w:t>
      </w:r>
      <w:proofErr w:type="spellStart"/>
      <w:r>
        <w:t>Scripte</w:t>
      </w:r>
      <w:proofErr w:type="spellEnd"/>
      <w:r>
        <w:t xml:space="preserve"> enthalten, die für Kartierung und Filterung der Sequenzabschnitte sowie für Aufruf und Filterung der Varianten verwendet werden, und zwar dergestalt, dass der Bioinformatiker die Analyse wiederholen kann.</w:t>
      </w:r>
    </w:p>
    <w:p w:rsidR="00DF1F17" w:rsidRPr="003265BF" w:rsidRDefault="00DF1F17" w:rsidP="00DF1F17">
      <w:pPr>
        <w:rPr>
          <w:shd w:val="pct15" w:color="auto" w:fill="FFFFFF"/>
        </w:rPr>
      </w:pPr>
    </w:p>
    <w:p w:rsidR="00DF1F17" w:rsidRPr="00832052" w:rsidRDefault="00DF1F17" w:rsidP="00DF1F17">
      <w:pPr>
        <w:ind w:firstLine="567"/>
        <w:rPr>
          <w:shd w:val="pct15" w:color="auto" w:fill="FFFFFF"/>
        </w:rPr>
      </w:pPr>
      <w:r>
        <w:t xml:space="preserve">e) </w:t>
      </w:r>
      <w:r>
        <w:tab/>
        <w:t>Bei Wiederholungsproben, bei denen das DNS-Profil nicht übereinstimmt, muss der Eintrag gekennzeichnet oder gegebenenfalls herausgefiltert werden. Die in solchen Fällen angewandten Regeln sind in einem öffentlich zugänglichen Code Repository zu dokumentieren, das Verweise auf die Variantenaufruf-Datei enthält. Die Häufigkeiten könnten auch für heterogene Sorten verwendet werden.</w:t>
      </w:r>
    </w:p>
    <w:p w:rsidR="00DF1F17" w:rsidRPr="00832052" w:rsidRDefault="00DF1F17" w:rsidP="00DF1F17">
      <w:pPr>
        <w:ind w:firstLine="567"/>
        <w:rPr>
          <w:shd w:val="pct15" w:color="auto" w:fill="FFFFFF"/>
        </w:rPr>
      </w:pPr>
    </w:p>
    <w:p w:rsidR="00DF1F17" w:rsidRPr="00832052" w:rsidRDefault="00DF1F17" w:rsidP="00DF1F17">
      <w:pPr>
        <w:ind w:firstLine="567"/>
        <w:rPr>
          <w:shd w:val="pct15" w:color="auto" w:fill="FFFFFF"/>
        </w:rPr>
      </w:pPr>
      <w:r>
        <w:t xml:space="preserve">f) </w:t>
      </w:r>
      <w:r>
        <w:tab/>
        <w:t>Validierung der VCF- und/oder BCF-Daten mittels einschlägiger Spezifikationen.</w:t>
      </w:r>
    </w:p>
    <w:p w:rsidR="00DF1F17" w:rsidRPr="00832052" w:rsidRDefault="00DF1F17" w:rsidP="00DF1F17">
      <w:pPr>
        <w:rPr>
          <w:shd w:val="pct15" w:color="auto" w:fill="FFFFFF"/>
        </w:rPr>
      </w:pPr>
    </w:p>
    <w:p w:rsidR="00DF1F17" w:rsidRPr="00832052" w:rsidRDefault="00DF1F17" w:rsidP="00DF1F17">
      <w:pPr>
        <w:ind w:firstLine="567"/>
        <w:rPr>
          <w:shd w:val="pct15" w:color="auto" w:fill="FFFFFF"/>
        </w:rPr>
      </w:pPr>
      <w:r>
        <w:t xml:space="preserve">g) </w:t>
      </w:r>
      <w:r>
        <w:tab/>
        <w:t>Leicht austauschbare Daten (z. B. API).</w:t>
      </w:r>
    </w:p>
    <w:p w:rsidR="00DF1F17" w:rsidRPr="00832052" w:rsidRDefault="00DF1F17" w:rsidP="00DF1F17"/>
    <w:p w:rsidR="00DF1F17" w:rsidRPr="00832052" w:rsidRDefault="00DF1F17" w:rsidP="00DF1F17">
      <w:pPr>
        <w:keepNext/>
        <w:ind w:left="567" w:hanging="567"/>
        <w:outlineLvl w:val="2"/>
        <w:rPr>
          <w:i/>
          <w:snapToGrid w:val="0"/>
        </w:rPr>
      </w:pPr>
      <w:bookmarkStart w:id="71" w:name="_Toc54183309"/>
      <w:bookmarkStart w:id="72" w:name="_Toc54183568"/>
      <w:bookmarkStart w:id="73" w:name="_Toc54183635"/>
      <w:r>
        <w:rPr>
          <w:i/>
          <w:snapToGrid w:val="0"/>
        </w:rPr>
        <w:t xml:space="preserve">4.2 </w:t>
      </w:r>
      <w:r>
        <w:rPr>
          <w:i/>
          <w:snapToGrid w:val="0"/>
        </w:rPr>
        <w:tab/>
        <w:t>Anforderungen an das Pflanzenmaterial</w:t>
      </w:r>
      <w:bookmarkEnd w:id="71"/>
      <w:bookmarkEnd w:id="72"/>
      <w:bookmarkEnd w:id="73"/>
    </w:p>
    <w:p w:rsidR="00DF1F17" w:rsidRPr="00832052" w:rsidRDefault="00DF1F17" w:rsidP="00DF1F17"/>
    <w:p w:rsidR="00DF1F17" w:rsidRPr="003265BF" w:rsidRDefault="00DF1F17" w:rsidP="00DF1F17">
      <w:pPr>
        <w:keepNext/>
      </w:pPr>
      <w:r>
        <w:t>Quelle und Art des Materials und die Anzahl der zu analysierenden Proben, die in der Datenbank gespeichert werden sollen, sollten berücksichtigt werden.</w:t>
      </w:r>
    </w:p>
    <w:p w:rsidR="00DF1F17" w:rsidRPr="003265BF" w:rsidRDefault="00DF1F17" w:rsidP="00DF1F17"/>
    <w:p w:rsidR="00DF1F17" w:rsidRPr="003265BF" w:rsidRDefault="00DF1F17" w:rsidP="00DF1F17">
      <w:pPr>
        <w:keepNext/>
        <w:ind w:left="1134" w:hanging="567"/>
        <w:outlineLvl w:val="3"/>
      </w:pPr>
      <w:r>
        <w:t xml:space="preserve">4.2.1 </w:t>
      </w:r>
      <w:r>
        <w:tab/>
        <w:t>Quelle des Pflanzenmaterials</w:t>
      </w:r>
    </w:p>
    <w:p w:rsidR="00DF1F17" w:rsidRPr="003265BF" w:rsidRDefault="00DF1F17" w:rsidP="00DF1F17"/>
    <w:p w:rsidR="00DF1F17" w:rsidRPr="00832052" w:rsidRDefault="00DF1F17" w:rsidP="00DF1F17">
      <w:r>
        <w:t>Das zu analysierende Pflanzenmaterial sollte eine authentische, repräsentative Probe der Sorte sein und, wenn möglich, aus dem Muster der für die Prüfung im Hinblick auf die Erteilung von Züchterrechten oder auf die amtliche Eintragung verwendeten Sorte stammen</w:t>
      </w:r>
      <w:r w:rsidR="00B04166">
        <w:t xml:space="preserve">. </w:t>
      </w:r>
      <w:r>
        <w:t>Die Verwendung von Mustern erfordert gegebenenfalls die Genehmigung der zuständigen Behörde, des Züchters und/oder des Erhaltungszüchters</w:t>
      </w:r>
      <w:r w:rsidR="00B04166">
        <w:t xml:space="preserve">. </w:t>
      </w:r>
      <w:r>
        <w:t xml:space="preserve">Das Pflanzenmaterial, dem die Proben entnommen werden, sollte </w:t>
      </w:r>
      <w:proofErr w:type="spellStart"/>
      <w:r>
        <w:t>rückverfolgbar</w:t>
      </w:r>
      <w:proofErr w:type="spellEnd"/>
      <w:r>
        <w:t xml:space="preserve"> sein, falls sich einige der Pflanzen im Nachhinein als nicht repräsentativ für die Sorte erweisen.</w:t>
      </w:r>
    </w:p>
    <w:p w:rsidR="00DF1F17" w:rsidRPr="00832052" w:rsidRDefault="00DF1F17" w:rsidP="00DF1F17"/>
    <w:p w:rsidR="00DF1F17" w:rsidRPr="00832052" w:rsidRDefault="00DF1F17" w:rsidP="00DF1F17">
      <w:pPr>
        <w:keepNext/>
        <w:keepLines/>
        <w:ind w:left="1134" w:hanging="567"/>
        <w:outlineLvl w:val="3"/>
      </w:pPr>
      <w:r>
        <w:t xml:space="preserve">4.2.2 </w:t>
      </w:r>
      <w:r>
        <w:tab/>
        <w:t>Art des Pflanzenmaterials</w:t>
      </w:r>
    </w:p>
    <w:p w:rsidR="00DF1F17" w:rsidRPr="00832052" w:rsidRDefault="00DF1F17" w:rsidP="00DF1F17">
      <w:pPr>
        <w:keepNext/>
        <w:keepLines/>
      </w:pPr>
    </w:p>
    <w:p w:rsidR="00DF1F17" w:rsidRPr="00832052" w:rsidRDefault="00B04166" w:rsidP="00DF1F17">
      <w:pPr>
        <w:keepNext/>
        <w:keepLines/>
      </w:pPr>
      <w:r>
        <w:t xml:space="preserve">Die Art des Pflanzenmaterials, dem Proben zu entnehmen sind, und das Verfahren für die Entnahme von Proben des Materials für die DNS-Extraktion werden weitgehend von der betreffenden Pflanze oder Art abhängen. </w:t>
      </w:r>
      <w:r w:rsidR="00DF1F17">
        <w:t>Bei samenvermehrten Sorten beispielsweise kann der Samen als Quelle der DNS verwendet werden, während die DNS bei vegetativ vermehrten Sorten aus dem Blattmaterial extrahiert werden kann</w:t>
      </w:r>
      <w:r>
        <w:t xml:space="preserve">. </w:t>
      </w:r>
      <w:r w:rsidR="00DF1F17">
        <w:t>Welches auch immer die Quelle des Materials ist, es sollte das Verfahren für die Probenentnahme und die DNS-Extraktion genormt und dokumentiert werden. Zudem sollte überprüft werden, dass die Verfahren für die Probeentnahme und die Extraktion bei der DNS-Analyse ü</w:t>
      </w:r>
      <w:r w:rsidR="00D15553">
        <w:t>bereinstimmende Ergebnisse zei</w:t>
      </w:r>
      <w:r w:rsidR="00DF1F17">
        <w:t>gen.</w:t>
      </w:r>
    </w:p>
    <w:p w:rsidR="00DF1F17" w:rsidRPr="00832052" w:rsidRDefault="00DF1F17" w:rsidP="00DF1F17"/>
    <w:p w:rsidR="00DF1F17" w:rsidRPr="00832052" w:rsidRDefault="00DF1F17" w:rsidP="00DF1F17">
      <w:pPr>
        <w:keepNext/>
        <w:ind w:left="1134" w:hanging="567"/>
        <w:outlineLvl w:val="3"/>
      </w:pPr>
      <w:r>
        <w:t xml:space="preserve">4.2.3 </w:t>
      </w:r>
      <w:r>
        <w:tab/>
        <w:t>Probengröße und -art (Massen- oder Einzelproben)</w:t>
      </w:r>
    </w:p>
    <w:p w:rsidR="00DF1F17" w:rsidRPr="00832052" w:rsidRDefault="00DF1F17" w:rsidP="00DF1F17">
      <w:pPr>
        <w:keepNext/>
      </w:pPr>
    </w:p>
    <w:p w:rsidR="00DF1F17" w:rsidRPr="003265BF" w:rsidRDefault="00DF1F17" w:rsidP="00DF1F17">
      <w:r>
        <w:t>Es ist wesentlich, dass die für die Analyse entnommenen Proben für die Sorte repräsentativ sind</w:t>
      </w:r>
      <w:r w:rsidR="00B04166">
        <w:t xml:space="preserve">. </w:t>
      </w:r>
      <w:r>
        <w:t>Die Besonderheiten der Vermehrung sollten beachtet werden (vergleiche Allgemeine Einführung)</w:t>
      </w:r>
      <w:r w:rsidR="00B04166">
        <w:t xml:space="preserve">. </w:t>
      </w:r>
    </w:p>
    <w:p w:rsidR="00DF1F17" w:rsidRPr="003265BF" w:rsidRDefault="00DF1F17" w:rsidP="00DF1F17"/>
    <w:p w:rsidR="00DF1F17" w:rsidRPr="003265BF" w:rsidRDefault="00DF1F17" w:rsidP="00DF1F17">
      <w:pPr>
        <w:keepNext/>
        <w:ind w:left="1134" w:hanging="567"/>
        <w:outlineLvl w:val="3"/>
      </w:pPr>
      <w:r>
        <w:t xml:space="preserve">4.2.4 </w:t>
      </w:r>
      <w:r>
        <w:tab/>
        <w:t>DNS-Referenzprobe</w:t>
      </w:r>
    </w:p>
    <w:p w:rsidR="00DF1F17" w:rsidRPr="003265BF" w:rsidRDefault="00DF1F17" w:rsidP="00DF1F17"/>
    <w:p w:rsidR="00DF1F17" w:rsidRPr="003265BF" w:rsidRDefault="00DF1F17" w:rsidP="00DF1F17">
      <w:r>
        <w:t>Eine DNS-Referenzprobensammlung kann aus dem Pflanzenmaterial angelegt werden, dem Proben entnommen werden. Das Verfahren zur Probeentnahme sollte der empfohlenen Vorgehensweise folgen und es sollten Qualitätskriterien für die DNS-Extraktion festgelegt werden. Beides muss dokumentiert werden.</w:t>
      </w:r>
    </w:p>
    <w:p w:rsidR="00DF1F17" w:rsidRPr="003265BF" w:rsidRDefault="00DF1F17" w:rsidP="00DF1F17"/>
    <w:p w:rsidR="00DF1F17" w:rsidRPr="00832052" w:rsidRDefault="00DF1F17" w:rsidP="00DF1F17">
      <w:pPr>
        <w:rPr>
          <w:spacing w:val="-2"/>
        </w:rPr>
      </w:pPr>
      <w:r>
        <w:t xml:space="preserve">Die DNS-Proben sollten so gelagert werden, dass ein Zerfall verhindert wird (z. B. durch Lagerung bei -80C). Der Transport von DNS-Referenzproben ist in Dokument TGP/5: Abschnitt </w:t>
      </w:r>
      <w:r w:rsidR="00B04166">
        <w:t>1. beschrieben</w:t>
      </w:r>
      <w:r>
        <w:t>.</w:t>
      </w:r>
    </w:p>
    <w:p w:rsidR="00DF1F17" w:rsidRPr="00832052" w:rsidRDefault="00DF1F17" w:rsidP="00DF1F17"/>
    <w:p w:rsidR="00DF1F17" w:rsidRPr="00832052" w:rsidRDefault="00DF1F17" w:rsidP="00DF1F17">
      <w:pPr>
        <w:keepNext/>
        <w:ind w:left="567" w:hanging="567"/>
        <w:outlineLvl w:val="2"/>
        <w:rPr>
          <w:i/>
          <w:snapToGrid w:val="0"/>
          <w:shd w:val="pct15" w:color="auto" w:fill="FFFFFF"/>
        </w:rPr>
      </w:pPr>
      <w:bookmarkStart w:id="74" w:name="_Toc54183310"/>
      <w:bookmarkStart w:id="75" w:name="_Toc54183569"/>
      <w:bookmarkStart w:id="76" w:name="_Toc54183636"/>
      <w:r>
        <w:rPr>
          <w:i/>
          <w:snapToGrid w:val="0"/>
        </w:rPr>
        <w:t xml:space="preserve">4.3 </w:t>
      </w:r>
      <w:r w:rsidR="00B6307F">
        <w:rPr>
          <w:i/>
          <w:snapToGrid w:val="0"/>
        </w:rPr>
        <w:tab/>
      </w:r>
      <w:r>
        <w:rPr>
          <w:i/>
          <w:snapToGrid w:val="0"/>
        </w:rPr>
        <w:t>Verarbeitung der Sequenzdaten</w:t>
      </w:r>
      <w:bookmarkEnd w:id="74"/>
      <w:bookmarkEnd w:id="75"/>
      <w:bookmarkEnd w:id="76"/>
    </w:p>
    <w:p w:rsidR="00DF1F17" w:rsidRPr="00832052" w:rsidRDefault="00DF1F17" w:rsidP="00DF1F17">
      <w:pPr>
        <w:keepNext/>
        <w:rPr>
          <w:u w:val="single"/>
          <w:shd w:val="pct15" w:color="auto" w:fill="FFFFFF"/>
        </w:rPr>
      </w:pPr>
    </w:p>
    <w:p w:rsidR="00DF1F17" w:rsidRPr="00832052" w:rsidRDefault="00DF1F17" w:rsidP="00DF1F17">
      <w:pPr>
        <w:rPr>
          <w:shd w:val="pct15" w:color="auto" w:fill="FFFFFF"/>
        </w:rPr>
      </w:pPr>
      <w:r>
        <w:t>Ein ausführliches Protokoll der Datenverarbeitungspipeline kann Folgendes beinhalten:</w:t>
      </w:r>
    </w:p>
    <w:p w:rsidR="00DF1F17" w:rsidRPr="00832052" w:rsidRDefault="00DF1F17" w:rsidP="00DF1F17">
      <w:pPr>
        <w:rPr>
          <w:u w:val="single"/>
          <w:shd w:val="pct15" w:color="auto" w:fill="FFFFFF"/>
        </w:rPr>
      </w:pPr>
    </w:p>
    <w:p w:rsidR="00DF1F17" w:rsidRPr="00832052" w:rsidRDefault="00DF1F17" w:rsidP="00DF1F17">
      <w:pPr>
        <w:ind w:left="1134" w:hanging="567"/>
        <w:rPr>
          <w:shd w:val="pct15" w:color="auto" w:fill="FFFFFF"/>
        </w:rPr>
      </w:pPr>
      <w:r>
        <w:t xml:space="preserve">a) </w:t>
      </w:r>
      <w:r>
        <w:tab/>
        <w:t>Art und Version der Tools;</w:t>
      </w:r>
    </w:p>
    <w:p w:rsidR="00DF1F17" w:rsidRPr="00832052" w:rsidRDefault="00DF1F17" w:rsidP="00DF1F17">
      <w:pPr>
        <w:ind w:left="1134" w:hanging="567"/>
        <w:rPr>
          <w:shd w:val="pct15" w:color="auto" w:fill="FFFFFF"/>
        </w:rPr>
      </w:pPr>
      <w:r>
        <w:t xml:space="preserve">b) </w:t>
      </w:r>
      <w:r>
        <w:tab/>
        <w:t>die für das Tool verwendete Befehlszeile einschließlich Schwellenwerten;</w:t>
      </w:r>
    </w:p>
    <w:p w:rsidR="00DF1F17" w:rsidRPr="00832052" w:rsidRDefault="00DF1F17" w:rsidP="00DF1F17">
      <w:pPr>
        <w:ind w:left="1134" w:hanging="567"/>
        <w:rPr>
          <w:shd w:val="pct15" w:color="auto" w:fill="FFFFFF"/>
        </w:rPr>
      </w:pPr>
      <w:r>
        <w:t xml:space="preserve">c) </w:t>
      </w:r>
      <w:r>
        <w:tab/>
        <w:t>Reproduzierbarkeitszählwerte;</w:t>
      </w:r>
    </w:p>
    <w:p w:rsidR="00DF1F17" w:rsidRPr="00832052" w:rsidRDefault="00DF1F17" w:rsidP="00DF1F17">
      <w:pPr>
        <w:ind w:left="1134" w:hanging="567"/>
        <w:rPr>
          <w:shd w:val="pct15" w:color="auto" w:fill="FFFFFF"/>
        </w:rPr>
      </w:pPr>
      <w:r>
        <w:t xml:space="preserve">d) </w:t>
      </w:r>
      <w:r>
        <w:tab/>
        <w:t>Möglichkeit, die Daten weiterzugeben und gemeinsam zu verarbeiten;</w:t>
      </w:r>
    </w:p>
    <w:p w:rsidR="00DF1F17" w:rsidRPr="00832052" w:rsidRDefault="00DF1F17" w:rsidP="00DF1F17">
      <w:pPr>
        <w:ind w:left="1134" w:hanging="567"/>
        <w:rPr>
          <w:shd w:val="pct15" w:color="auto" w:fill="FFFFFF"/>
        </w:rPr>
      </w:pPr>
      <w:r>
        <w:t xml:space="preserve">e) </w:t>
      </w:r>
      <w:r>
        <w:tab/>
        <w:t>Abgleich-Rohdaten (BAM oder CRAM-Dateien) sollten nach Möglichkeit gespeichert werden;</w:t>
      </w:r>
    </w:p>
    <w:p w:rsidR="00DF1F17" w:rsidRPr="00832052" w:rsidRDefault="00DF1F17" w:rsidP="00DF1F17">
      <w:pPr>
        <w:ind w:left="1134" w:hanging="567"/>
        <w:rPr>
          <w:shd w:val="pct15" w:color="auto" w:fill="FFFFFF"/>
        </w:rPr>
      </w:pPr>
      <w:r>
        <w:t xml:space="preserve">f) </w:t>
      </w:r>
      <w:r>
        <w:tab/>
        <w:t>mehrprobenbasierte VCF-Dateien sind nicht geeignet. Es muss eine VCF-Datei pro Sorte vorhanden sein;</w:t>
      </w:r>
    </w:p>
    <w:p w:rsidR="00DF1F17" w:rsidRPr="00832052" w:rsidRDefault="00DF1F17" w:rsidP="00DF1F17">
      <w:pPr>
        <w:ind w:left="1134" w:hanging="567"/>
        <w:rPr>
          <w:shd w:val="pct15" w:color="auto" w:fill="FFFFFF"/>
        </w:rPr>
      </w:pPr>
      <w:r>
        <w:t xml:space="preserve">g) </w:t>
      </w:r>
      <w:r>
        <w:tab/>
        <w:t>wenn VCF-Dateien gespeichert werden, sollten alle Positionen (</w:t>
      </w:r>
      <w:r w:rsidR="00F27F3F">
        <w:t>sowohl Varianten als auch Nicht</w:t>
      </w:r>
      <w:r w:rsidR="00F27F3F">
        <w:noBreakHyphen/>
      </w:r>
      <w:bookmarkStart w:id="77" w:name="_GoBack"/>
      <w:bookmarkEnd w:id="77"/>
      <w:r>
        <w:t>Varianten) sowie deren Tiefe gespeichert werden;</w:t>
      </w:r>
    </w:p>
    <w:p w:rsidR="00DF1F17" w:rsidRPr="00832052" w:rsidRDefault="00DF1F17" w:rsidP="00DF1F17">
      <w:pPr>
        <w:ind w:left="1134" w:hanging="567"/>
        <w:rPr>
          <w:shd w:val="pct15" w:color="auto" w:fill="FFFFFF"/>
        </w:rPr>
      </w:pPr>
      <w:r>
        <w:t xml:space="preserve">h) </w:t>
      </w:r>
      <w:r>
        <w:tab/>
        <w:t xml:space="preserve">sowohl der heuristische als auch der </w:t>
      </w:r>
      <w:proofErr w:type="spellStart"/>
      <w:r>
        <w:t>probabilistische</w:t>
      </w:r>
      <w:proofErr w:type="spellEnd"/>
      <w:r>
        <w:t xml:space="preserve"> Ansatz sollten erwogen und im Hinblick auf Detektionsmethoden verglichen werden;</w:t>
      </w:r>
    </w:p>
    <w:p w:rsidR="00DF1F17" w:rsidRPr="00832052" w:rsidRDefault="00DF1F17" w:rsidP="00DF1F17">
      <w:pPr>
        <w:ind w:left="1134" w:hanging="567"/>
        <w:rPr>
          <w:shd w:val="pct15" w:color="auto" w:fill="FFFFFF"/>
        </w:rPr>
      </w:pPr>
      <w:r>
        <w:t xml:space="preserve">i) </w:t>
      </w:r>
      <w:r>
        <w:tab/>
        <w:t>die Datenbanken sollten die Ein- und Ausgabe von Variantenaufrufdaten in standardisiertem Format (VCF oder BCF) unterstützen;</w:t>
      </w:r>
    </w:p>
    <w:p w:rsidR="00DF1F17" w:rsidRPr="00832052" w:rsidRDefault="00DF1F17" w:rsidP="00DF1F17">
      <w:pPr>
        <w:ind w:left="1134" w:hanging="567"/>
        <w:rPr>
          <w:shd w:val="pct15" w:color="auto" w:fill="FFFFFF"/>
        </w:rPr>
      </w:pPr>
      <w:r>
        <w:t xml:space="preserve">j) </w:t>
      </w:r>
      <w:r>
        <w:tab/>
        <w:t>die Datenverarbeitungspipeline sollte eine ausführliche Protokolldatei generieren, die zusammen mit den Variantenaufrufdaten zu speichern ist;</w:t>
      </w:r>
    </w:p>
    <w:p w:rsidR="00DF1F17" w:rsidRPr="00832052" w:rsidRDefault="00DF1F17" w:rsidP="00DF1F17">
      <w:pPr>
        <w:ind w:left="1134" w:hanging="567"/>
        <w:rPr>
          <w:shd w:val="pct15" w:color="auto" w:fill="FFFFFF"/>
        </w:rPr>
      </w:pPr>
      <w:r>
        <w:t xml:space="preserve">k) </w:t>
      </w:r>
      <w:r>
        <w:tab/>
        <w:t>nach Möglichkeit sollten Rohdaten gespeichert werden, so dass die Datenverarbeitung mit neuen oder aktualisierten Tools wiederholt werden kann; und</w:t>
      </w:r>
    </w:p>
    <w:p w:rsidR="00DF1F17" w:rsidRPr="00832052" w:rsidRDefault="00DF1F17" w:rsidP="00DF1F17">
      <w:pPr>
        <w:ind w:left="1134" w:hanging="567"/>
        <w:rPr>
          <w:shd w:val="pct15" w:color="auto" w:fill="FFFFFF"/>
        </w:rPr>
      </w:pPr>
      <w:r>
        <w:t xml:space="preserve">l) </w:t>
      </w:r>
      <w:r>
        <w:tab/>
        <w:t xml:space="preserve">es sollte in </w:t>
      </w:r>
      <w:r w:rsidR="00B04166">
        <w:t>Bezug</w:t>
      </w:r>
      <w:r>
        <w:t xml:space="preserve"> auf ein gegebenes Allel ein p-Wert oder ein Unsicherheitshinweis gespeichert werden.</w:t>
      </w:r>
    </w:p>
    <w:p w:rsidR="00DF1F17" w:rsidRPr="00832052" w:rsidRDefault="00DF1F17" w:rsidP="00DF1F17">
      <w:pPr>
        <w:rPr>
          <w:shd w:val="pct15" w:color="auto" w:fill="FFFFFF"/>
        </w:rPr>
      </w:pPr>
    </w:p>
    <w:p w:rsidR="00DF1F17" w:rsidRPr="00832052" w:rsidRDefault="00DF1F17" w:rsidP="00806AB4">
      <w:pPr>
        <w:keepNext/>
        <w:ind w:left="567" w:hanging="567"/>
        <w:outlineLvl w:val="2"/>
        <w:rPr>
          <w:i/>
          <w:snapToGrid w:val="0"/>
        </w:rPr>
      </w:pPr>
      <w:bookmarkStart w:id="78" w:name="_Toc54183311"/>
      <w:bookmarkStart w:id="79" w:name="_Toc54183570"/>
      <w:bookmarkStart w:id="80" w:name="_Toc54183637"/>
      <w:r>
        <w:rPr>
          <w:i/>
          <w:snapToGrid w:val="0"/>
        </w:rPr>
        <w:t>4.4</w:t>
      </w:r>
      <w:r>
        <w:rPr>
          <w:i/>
          <w:snapToGrid w:val="0"/>
        </w:rPr>
        <w:tab/>
      </w:r>
      <w:r w:rsidR="00B6307F">
        <w:rPr>
          <w:i/>
          <w:snapToGrid w:val="0"/>
        </w:rPr>
        <w:tab/>
      </w:r>
      <w:r>
        <w:rPr>
          <w:i/>
          <w:snapToGrid w:val="0"/>
        </w:rPr>
        <w:t>Ausprägungstypen</w:t>
      </w:r>
      <w:bookmarkEnd w:id="78"/>
      <w:bookmarkEnd w:id="79"/>
      <w:bookmarkEnd w:id="80"/>
    </w:p>
    <w:p w:rsidR="00DF1F17" w:rsidRPr="00832052" w:rsidRDefault="00DF1F17" w:rsidP="00806AB4">
      <w:pPr>
        <w:keepNext/>
      </w:pPr>
    </w:p>
    <w:p w:rsidR="00DF1F17" w:rsidRPr="00832052" w:rsidRDefault="00DF1F17" w:rsidP="00DF1F17">
      <w:pPr>
        <w:keepNext/>
      </w:pPr>
      <w:r>
        <w:t xml:space="preserve">Molekulare Daten können auf zahlreiche Arten gespeichert werden. Deshalb ist es wichtig, dass eine Datenbankstruktur entwickelt wird, die mit allen beabsichtigten Verwendungen der Daten kompatibel ist. </w:t>
      </w:r>
    </w:p>
    <w:p w:rsidR="00DF1F17" w:rsidRPr="00832052" w:rsidRDefault="00DF1F17" w:rsidP="00DF1F17">
      <w:bookmarkStart w:id="81" w:name="_Toc110052498"/>
    </w:p>
    <w:p w:rsidR="00DF1F17" w:rsidRPr="00832052" w:rsidRDefault="00DF1F17" w:rsidP="00DF1F17">
      <w:pPr>
        <w:keepNext/>
        <w:ind w:left="567" w:hanging="567"/>
        <w:outlineLvl w:val="2"/>
        <w:rPr>
          <w:i/>
          <w:snapToGrid w:val="0"/>
        </w:rPr>
      </w:pPr>
      <w:bookmarkStart w:id="82" w:name="_Toc54183312"/>
      <w:bookmarkStart w:id="83" w:name="_Toc54183571"/>
      <w:bookmarkStart w:id="84" w:name="_Toc54183638"/>
      <w:r>
        <w:rPr>
          <w:i/>
          <w:snapToGrid w:val="0"/>
        </w:rPr>
        <w:t xml:space="preserve">4.5 </w:t>
      </w:r>
      <w:r w:rsidR="00B6307F">
        <w:rPr>
          <w:i/>
          <w:snapToGrid w:val="0"/>
        </w:rPr>
        <w:tab/>
      </w:r>
      <w:r w:rsidR="00B6307F">
        <w:rPr>
          <w:i/>
          <w:snapToGrid w:val="0"/>
        </w:rPr>
        <w:tab/>
      </w:r>
      <w:r>
        <w:rPr>
          <w:i/>
          <w:snapToGrid w:val="0"/>
        </w:rPr>
        <w:t>Datenbank</w:t>
      </w:r>
      <w:bookmarkEnd w:id="81"/>
      <w:r>
        <w:rPr>
          <w:i/>
          <w:snapToGrid w:val="0"/>
        </w:rPr>
        <w:t>modell</w:t>
      </w:r>
      <w:bookmarkEnd w:id="82"/>
      <w:bookmarkEnd w:id="83"/>
      <w:bookmarkEnd w:id="84"/>
    </w:p>
    <w:p w:rsidR="00DF1F17" w:rsidRPr="00832052" w:rsidRDefault="00DF1F17" w:rsidP="00DF1F17">
      <w:pPr>
        <w:rPr>
          <w:i/>
        </w:rPr>
      </w:pPr>
    </w:p>
    <w:p w:rsidR="00DF1F17" w:rsidRPr="00832052" w:rsidRDefault="00DF1F17" w:rsidP="00DF1F17">
      <w:r>
        <w:t>Das Datenbankmodell sollte von IT-Datenbankexperten zusammen mit den Nutzern der Datenbank festgelegt werden. Das Datenbankmodell sollte mindestens sechs Kernobjekte enthalten</w:t>
      </w:r>
      <w:r w:rsidR="00B04166">
        <w:t xml:space="preserve">: </w:t>
      </w:r>
      <w:r>
        <w:t xml:space="preserve">Art, Sorte, Marker-Detektionsmethode, Marker, </w:t>
      </w:r>
      <w:proofErr w:type="spellStart"/>
      <w:r>
        <w:t>Locus</w:t>
      </w:r>
      <w:proofErr w:type="spellEnd"/>
      <w:r>
        <w:t xml:space="preserve"> und Allel. Bei mittels Sequenzierungsdaten gewonnenen Varianten können die VCF-Dateien in einer relationalen oder einer Nicht-SQL-Datenbank gespeichert werden. In diesem Fall gibt jeder Datenbanksatz in Bezug auf eine Variante eine definierte Genomversion sowie Chromosom, Position und Referenzallel an.</w:t>
      </w:r>
    </w:p>
    <w:p w:rsidR="00DF1F17" w:rsidRPr="00832052" w:rsidRDefault="00DF1F17" w:rsidP="00DF1F17"/>
    <w:tbl>
      <w:tblPr>
        <w:tblStyle w:val="TableGrid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DF1F17" w:rsidRPr="00832052" w:rsidTr="00203B8B">
        <w:tc>
          <w:tcPr>
            <w:tcW w:w="9639" w:type="dxa"/>
          </w:tcPr>
          <w:p w:rsidR="00DF1F17" w:rsidRPr="00832052" w:rsidRDefault="00DF1F17" w:rsidP="00DF1F17">
            <w:r>
              <w:rPr>
                <w:noProof/>
                <w:lang w:val="en-US"/>
              </w:rPr>
              <w:drawing>
                <wp:inline distT="0" distB="0" distL="0" distR="0" wp14:anchorId="53C1BDF8" wp14:editId="4AA1AFC8">
                  <wp:extent cx="5555411" cy="3905971"/>
                  <wp:effectExtent l="19050" t="19050" r="26670" b="184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0775" cy="3916773"/>
                          </a:xfrm>
                          <a:prstGeom prst="rect">
                            <a:avLst/>
                          </a:prstGeom>
                          <a:noFill/>
                          <a:ln>
                            <a:solidFill>
                              <a:sysClr val="window" lastClr="FFFFFF"/>
                            </a:solidFill>
                          </a:ln>
                        </pic:spPr>
                      </pic:pic>
                    </a:graphicData>
                  </a:graphic>
                </wp:inline>
              </w:drawing>
            </w:r>
          </w:p>
        </w:tc>
      </w:tr>
      <w:tr w:rsidR="00DF1F17" w:rsidRPr="00832052" w:rsidTr="00203B8B">
        <w:tc>
          <w:tcPr>
            <w:tcW w:w="9639" w:type="dxa"/>
          </w:tcPr>
          <w:p w:rsidR="00DF1F17" w:rsidRPr="00832052" w:rsidRDefault="00DF1F17" w:rsidP="00DF1F17">
            <w:pPr>
              <w:rPr>
                <w:noProof/>
                <w:lang w:eastAsia="es-ES_tradnl"/>
              </w:rPr>
            </w:pPr>
          </w:p>
        </w:tc>
      </w:tr>
    </w:tbl>
    <w:p w:rsidR="00DF1F17" w:rsidRPr="00832052" w:rsidRDefault="00DF1F17" w:rsidP="00DF1F17">
      <w:pPr>
        <w:keepNext/>
        <w:ind w:left="567" w:hanging="567"/>
        <w:outlineLvl w:val="2"/>
        <w:rPr>
          <w:i/>
          <w:snapToGrid w:val="0"/>
        </w:rPr>
      </w:pPr>
      <w:bookmarkStart w:id="85" w:name="_Toc54183313"/>
      <w:bookmarkStart w:id="86" w:name="_Toc54183572"/>
      <w:bookmarkStart w:id="87" w:name="_Toc54183639"/>
      <w:r>
        <w:rPr>
          <w:i/>
          <w:snapToGrid w:val="0"/>
        </w:rPr>
        <w:t>4.6</w:t>
      </w:r>
      <w:r>
        <w:rPr>
          <w:i/>
          <w:snapToGrid w:val="0"/>
        </w:rPr>
        <w:tab/>
      </w:r>
      <w:r w:rsidR="00B6307F">
        <w:rPr>
          <w:i/>
          <w:snapToGrid w:val="0"/>
        </w:rPr>
        <w:tab/>
      </w:r>
      <w:r>
        <w:rPr>
          <w:i/>
          <w:snapToGrid w:val="0"/>
        </w:rPr>
        <w:t>Liste der Datenbankfelder</w:t>
      </w:r>
      <w:bookmarkEnd w:id="85"/>
      <w:bookmarkEnd w:id="86"/>
      <w:bookmarkEnd w:id="87"/>
    </w:p>
    <w:p w:rsidR="00DF1F17" w:rsidRPr="00832052" w:rsidRDefault="00DF1F17" w:rsidP="00DF1F17">
      <w:pPr>
        <w:keepNext/>
      </w:pPr>
    </w:p>
    <w:p w:rsidR="00DF1F17" w:rsidRPr="00832052" w:rsidRDefault="00DF1F17" w:rsidP="00DF1F17">
      <w:pPr>
        <w:keepNext/>
      </w:pPr>
      <w:r>
        <w:t xml:space="preserve">4.6.1 </w:t>
      </w:r>
      <w:r>
        <w:tab/>
        <w:t xml:space="preserve">In einer Datenbank wird jedes der Objekte zu einer Tabelle, in der Felder festgelegt </w:t>
      </w:r>
      <w:proofErr w:type="gramStart"/>
      <w:r>
        <w:t>sind,  beispielsweise</w:t>
      </w:r>
      <w:proofErr w:type="gramEnd"/>
      <w:r>
        <w:t>:</w:t>
      </w:r>
    </w:p>
    <w:p w:rsidR="00DF1F17" w:rsidRPr="00832052" w:rsidRDefault="00DF1F17" w:rsidP="00DF1F17"/>
    <w:p w:rsidR="00DF1F17" w:rsidRPr="00832052" w:rsidRDefault="00DF1F17" w:rsidP="00DF1F17">
      <w:pPr>
        <w:ind w:firstLine="567"/>
      </w:pPr>
      <w:r>
        <w:t xml:space="preserve">a) </w:t>
      </w:r>
      <w:r>
        <w:tab/>
      </w:r>
      <w:proofErr w:type="spellStart"/>
      <w:r>
        <w:t>Markertyp</w:t>
      </w:r>
      <w:proofErr w:type="spellEnd"/>
      <w:r>
        <w:t>: Gibt den Code oder den Namen des Verfahrens oder den Typ des verwendeten Markers an, z. B. SSR, SNP usw.</w:t>
      </w:r>
    </w:p>
    <w:p w:rsidR="00DF1F17" w:rsidRPr="00832052" w:rsidRDefault="00DF1F17" w:rsidP="00DF1F17"/>
    <w:p w:rsidR="00DF1F17" w:rsidRPr="003265BF" w:rsidRDefault="00DF1F17" w:rsidP="00DF1F17">
      <w:pPr>
        <w:ind w:firstLine="567"/>
      </w:pPr>
      <w:r>
        <w:t xml:space="preserve">b) </w:t>
      </w:r>
      <w:r>
        <w:tab/>
        <w:t xml:space="preserve">Position im Referenzgenom oder </w:t>
      </w:r>
      <w:proofErr w:type="spellStart"/>
      <w:r>
        <w:t>Locuscode</w:t>
      </w:r>
      <w:proofErr w:type="spellEnd"/>
      <w:r>
        <w:t>: Sofern</w:t>
      </w:r>
      <w:r w:rsidR="00B04166">
        <w:t xml:space="preserve"> für die betreffende Art ein Ref</w:t>
      </w:r>
      <w:r>
        <w:t xml:space="preserve">erenzgenom verfügbar ist, sollten vorzugsweise eine Genomaufbauversion, ein Chromosom und eine Position angegeben werden, z. B. SL2.50ch05:63309763 für Tomate </w:t>
      </w:r>
      <w:r>
        <w:rPr>
          <w:i/>
          <w:iCs/>
        </w:rPr>
        <w:t xml:space="preserve">Solanum </w:t>
      </w:r>
      <w:proofErr w:type="spellStart"/>
      <w:r>
        <w:rPr>
          <w:i/>
          <w:iCs/>
        </w:rPr>
        <w:t>lycopersicum</w:t>
      </w:r>
      <w:proofErr w:type="spellEnd"/>
      <w:r>
        <w:t xml:space="preserve">, Aufbauversion 2.50 auf Chromosom 5, Position 63309763. Falls kein Referenzgenom verfügbar oder der Standort unbekannt ist, kann für die betreffende Art ein Name oder </w:t>
      </w:r>
      <w:proofErr w:type="spellStart"/>
      <w:r>
        <w:t>Locuscode</w:t>
      </w:r>
      <w:proofErr w:type="spellEnd"/>
      <w:r>
        <w:t xml:space="preserve"> angegeben werden, z. B. </w:t>
      </w:r>
      <w:proofErr w:type="spellStart"/>
      <w:r>
        <w:t>gwm</w:t>
      </w:r>
      <w:proofErr w:type="spellEnd"/>
      <w:r>
        <w:t xml:space="preserve"> 149, A2 usw.</w:t>
      </w:r>
    </w:p>
    <w:p w:rsidR="00DF1F17" w:rsidRPr="003265BF" w:rsidRDefault="00DF1F17" w:rsidP="00DF1F17"/>
    <w:p w:rsidR="00DF1F17" w:rsidRPr="003265BF" w:rsidRDefault="00DF1F17" w:rsidP="00DF1F17">
      <w:pPr>
        <w:ind w:firstLine="567"/>
      </w:pPr>
      <w:r>
        <w:t xml:space="preserve">c) </w:t>
      </w:r>
      <w:r w:rsidR="00D15553">
        <w:tab/>
      </w:r>
      <w:r>
        <w:t xml:space="preserve">Genotyp: Für SNP-Profile sollte die </w:t>
      </w:r>
      <w:proofErr w:type="spellStart"/>
      <w:r>
        <w:t>Allelzusammensetzung</w:t>
      </w:r>
      <w:proofErr w:type="spellEnd"/>
      <w:r>
        <w:t xml:space="preserve"> von SNP oder MNP angegeben werden, z. B. A/T oder A/A. Für andere Verfahren gibt der Genotyp den Namen oder den Code des Allels eines gegebenen </w:t>
      </w:r>
      <w:proofErr w:type="spellStart"/>
      <w:r>
        <w:t>Locus</w:t>
      </w:r>
      <w:proofErr w:type="spellEnd"/>
      <w:r>
        <w:t xml:space="preserve"> für die betreffende Art an, z. B. 1, 123 usw.</w:t>
      </w:r>
    </w:p>
    <w:p w:rsidR="00DF1F17" w:rsidRPr="003265BF" w:rsidRDefault="00DF1F17" w:rsidP="00DF1F17"/>
    <w:p w:rsidR="00DF1F17" w:rsidRPr="003265BF" w:rsidRDefault="00DF1F17" w:rsidP="00DF1F17">
      <w:pPr>
        <w:ind w:firstLine="567"/>
      </w:pPr>
      <w:r>
        <w:t xml:space="preserve">d) </w:t>
      </w:r>
      <w:r>
        <w:tab/>
      </w:r>
      <w:proofErr w:type="spellStart"/>
      <w:r>
        <w:t>Alleltiefen</w:t>
      </w:r>
      <w:proofErr w:type="spellEnd"/>
      <w:r>
        <w:t xml:space="preserve"> / Datenwert:  Für SNP, die aus den Sequenzierungsdaten der nächsten Generation gewonnen werden, sollte die Tiefe der Verteilung für Allele angeben werden, z. B. 10/20 für ein A/T-Allel, bei dem A durch 10 Lesunge</w:t>
      </w:r>
      <w:r w:rsidR="00D15553">
        <w:t>n und T durch 20 abgedeckt ist.</w:t>
      </w:r>
      <w:r>
        <w:t xml:space="preserve"> Andernfalls sollte ein Datenwert für eine gegebene Probe auf einem gegebenen </w:t>
      </w:r>
      <w:proofErr w:type="spellStart"/>
      <w:r>
        <w:t>Locus</w:t>
      </w:r>
      <w:proofErr w:type="spellEnd"/>
      <w:r>
        <w:t>-Allel angegeben werden, z. B. 0 (Fehlen), 1 (Vorhandensein), 0.25 (Häufigkeit) usw.</w:t>
      </w:r>
    </w:p>
    <w:p w:rsidR="00DF1F17" w:rsidRPr="003265BF" w:rsidRDefault="00DF1F17" w:rsidP="00DF1F17"/>
    <w:p w:rsidR="00DF1F17" w:rsidRPr="00832052" w:rsidRDefault="00DF1F17" w:rsidP="00DF1F17">
      <w:pPr>
        <w:ind w:firstLine="567"/>
        <w:rPr>
          <w:strike/>
        </w:rPr>
      </w:pPr>
      <w:r>
        <w:t>e)</w:t>
      </w:r>
      <w:r>
        <w:tab/>
        <w:t>Sorte: Sortenbezeichnung oder Angabe des Züchters: Die Sorte ist das Ziel, für das die Daten gewonnen wurden.</w:t>
      </w:r>
    </w:p>
    <w:p w:rsidR="00DF1F17" w:rsidRPr="00832052" w:rsidRDefault="00DF1F17" w:rsidP="00DF1F17">
      <w:pPr>
        <w:ind w:firstLine="567"/>
        <w:rPr>
          <w:strike/>
        </w:rPr>
      </w:pPr>
    </w:p>
    <w:p w:rsidR="00DF1F17" w:rsidRPr="003265BF" w:rsidRDefault="00DF1F17" w:rsidP="00DF1F17">
      <w:pPr>
        <w:ind w:firstLine="567"/>
      </w:pPr>
      <w:r>
        <w:t xml:space="preserve">f) </w:t>
      </w:r>
      <w:r>
        <w:tab/>
        <w:t>Art der Sorte: z. B. Inzuchtlinie oder Hybrid</w:t>
      </w:r>
    </w:p>
    <w:p w:rsidR="00DF1F17" w:rsidRPr="003265BF" w:rsidRDefault="00DF1F17" w:rsidP="00DF1F17"/>
    <w:p w:rsidR="00DF1F17" w:rsidRPr="003265BF" w:rsidRDefault="00DF1F17" w:rsidP="00DF1F17">
      <w:pPr>
        <w:ind w:firstLine="567"/>
      </w:pPr>
      <w:r>
        <w:t xml:space="preserve">g) </w:t>
      </w:r>
      <w:r>
        <w:tab/>
        <w:t xml:space="preserve">Art: </w:t>
      </w:r>
      <w:r w:rsidR="00B04166">
        <w:t>Die</w:t>
      </w:r>
      <w:r>
        <w:t xml:space="preserve"> Art wird durch den botanischen Namen oder den landesüblichen Namen angegeben, der sich mitunter auch auf den Sortentyp bezieht (z. B. Verwendung, Winter-/Sommertyp usw.)</w:t>
      </w:r>
      <w:r w:rsidR="00B04166">
        <w:t xml:space="preserve">. </w:t>
      </w:r>
      <w:r>
        <w:t>Um Probleme zu vermeiden, wird die Verwendung des UPOV-Codes empfohlen.</w:t>
      </w:r>
    </w:p>
    <w:p w:rsidR="00DF1F17" w:rsidRPr="003265BF" w:rsidRDefault="00DF1F17" w:rsidP="00DF1F17"/>
    <w:p w:rsidR="00DF1F17" w:rsidRPr="003265BF" w:rsidRDefault="00DF1F17" w:rsidP="00DF1F17">
      <w:r>
        <w:t xml:space="preserve">4.6.2 </w:t>
      </w:r>
      <w:r>
        <w:tab/>
        <w:t>In jeder Tabelle müssen die Zahl der Felder, ihr Name und ihre Definition, die möglichen Werte und die zu befolgenden Regeln in der „Liste der Datenbankfelder" festgelegt werden.</w:t>
      </w:r>
    </w:p>
    <w:p w:rsidR="00DF1F17" w:rsidRPr="003265BF" w:rsidRDefault="00DF1F17" w:rsidP="00DF1F17"/>
    <w:p w:rsidR="00DF1F17" w:rsidRPr="003265BF" w:rsidRDefault="00DF1F17" w:rsidP="00DF1F17">
      <w:pPr>
        <w:keepNext/>
        <w:ind w:left="567" w:hanging="567"/>
        <w:outlineLvl w:val="2"/>
        <w:rPr>
          <w:i/>
          <w:snapToGrid w:val="0"/>
        </w:rPr>
      </w:pPr>
      <w:bookmarkStart w:id="88" w:name="_Toc54183314"/>
      <w:bookmarkStart w:id="89" w:name="_Toc54183573"/>
      <w:bookmarkStart w:id="90" w:name="_Toc54183640"/>
      <w:r>
        <w:rPr>
          <w:i/>
          <w:snapToGrid w:val="0"/>
        </w:rPr>
        <w:t xml:space="preserve">4.7 </w:t>
      </w:r>
      <w:r>
        <w:rPr>
          <w:i/>
          <w:snapToGrid w:val="0"/>
        </w:rPr>
        <w:tab/>
        <w:t>Datenzugriff / -eigentum</w:t>
      </w:r>
      <w:bookmarkEnd w:id="88"/>
      <w:bookmarkEnd w:id="89"/>
      <w:bookmarkEnd w:id="90"/>
    </w:p>
    <w:p w:rsidR="00DF1F17" w:rsidRPr="003265BF" w:rsidRDefault="00DF1F17" w:rsidP="00DF1F17">
      <w:pPr>
        <w:keepNext/>
      </w:pPr>
    </w:p>
    <w:p w:rsidR="00DF1F17" w:rsidRPr="003265BF" w:rsidRDefault="00DF1F17" w:rsidP="00DF1F17">
      <w:pPr>
        <w:rPr>
          <w:u w:val="double"/>
        </w:rPr>
      </w:pPr>
      <w:r>
        <w:t>Es wird empfohlen, dass alle Angelegenheiten bezüglich des Eigentums der Daten und des Zugriffs zu den Daten in der Datenbank zu Beginn der Arbeit behandelt werden.</w:t>
      </w:r>
    </w:p>
    <w:p w:rsidR="00DF1F17" w:rsidRPr="003265BF" w:rsidRDefault="00DF1F17" w:rsidP="00DF1F17"/>
    <w:p w:rsidR="00DF1F17" w:rsidRPr="003265BF" w:rsidRDefault="00DF1F17" w:rsidP="00DF1F17">
      <w:pPr>
        <w:keepNext/>
        <w:outlineLvl w:val="1"/>
      </w:pPr>
      <w:bookmarkStart w:id="91" w:name="_Toc54183315"/>
      <w:bookmarkStart w:id="92" w:name="_Toc54183574"/>
      <w:bookmarkStart w:id="93" w:name="_Toc54183641"/>
      <w:r>
        <w:t>5.</w:t>
      </w:r>
      <w:r>
        <w:tab/>
        <w:t>Datenaustausch</w:t>
      </w:r>
      <w:bookmarkEnd w:id="91"/>
      <w:bookmarkEnd w:id="92"/>
      <w:bookmarkEnd w:id="93"/>
    </w:p>
    <w:p w:rsidR="00DF1F17" w:rsidRPr="003265BF" w:rsidRDefault="00DF1F17" w:rsidP="00DF1F17">
      <w:pPr>
        <w:rPr>
          <w:u w:val="single"/>
        </w:rPr>
      </w:pPr>
    </w:p>
    <w:p w:rsidR="00DF1F17" w:rsidRPr="003265BF" w:rsidRDefault="00DF1F17" w:rsidP="00DF1F17">
      <w:pPr>
        <w:keepNext/>
        <w:ind w:left="567" w:hanging="567"/>
        <w:outlineLvl w:val="2"/>
        <w:rPr>
          <w:i/>
          <w:snapToGrid w:val="0"/>
        </w:rPr>
      </w:pPr>
      <w:bookmarkStart w:id="94" w:name="_Toc54183316"/>
      <w:bookmarkStart w:id="95" w:name="_Toc54183575"/>
      <w:bookmarkStart w:id="96" w:name="_Toc54183642"/>
      <w:r>
        <w:rPr>
          <w:i/>
          <w:snapToGrid w:val="0"/>
        </w:rPr>
        <w:t xml:space="preserve">5.1 </w:t>
      </w:r>
      <w:r>
        <w:rPr>
          <w:i/>
          <w:snapToGrid w:val="0"/>
        </w:rPr>
        <w:tab/>
        <w:t>Datenaustausch-Szenarien</w:t>
      </w:r>
      <w:bookmarkEnd w:id="94"/>
      <w:bookmarkEnd w:id="95"/>
      <w:bookmarkEnd w:id="96"/>
    </w:p>
    <w:p w:rsidR="00DF1F17" w:rsidRPr="003265BF" w:rsidRDefault="00DF1F17" w:rsidP="00DF1F17">
      <w:pPr>
        <w:rPr>
          <w:u w:val="single"/>
        </w:rPr>
      </w:pPr>
    </w:p>
    <w:p w:rsidR="00DF1F17" w:rsidRPr="003265BF" w:rsidRDefault="00DF1F17" w:rsidP="00DF1F17">
      <w:pPr>
        <w:rPr>
          <w:u w:val="double"/>
        </w:rPr>
      </w:pPr>
      <w:r>
        <w:t xml:space="preserve">Zu Zwecken der Zusammenarbeit sollte das Datenmodell verschiedene Arten von Szenarien ermöglichen, einschließlich des Austauschs von Daten, die aus einem standardisierten Satz von Markern für eine bestimmte Pflanze erzeugt wurden (Szenario 1), und der Suche und Ansicht von Daten ausgewählter Sorten, die aus derselben standardisierten Serie von Markern erzeugt wurden (Szenario 2). Technische Einzelheiten zu beiden Szenarien sind in der Anlage beschrieben: </w:t>
      </w:r>
      <w:bookmarkStart w:id="97" w:name="_Hlk39832837"/>
      <w:r>
        <w:t>Datenaustauschszenarien und Datenübertragungsverfahren.</w:t>
      </w:r>
      <w:bookmarkEnd w:id="97"/>
    </w:p>
    <w:p w:rsidR="00DF1F17" w:rsidRPr="003265BF" w:rsidRDefault="00DF1F17" w:rsidP="00DF1F17"/>
    <w:p w:rsidR="00DF1F17" w:rsidRPr="003265BF" w:rsidRDefault="00DF1F17" w:rsidP="00DF1F17">
      <w:pPr>
        <w:keepNext/>
        <w:ind w:left="567" w:hanging="567"/>
        <w:outlineLvl w:val="2"/>
        <w:rPr>
          <w:rFonts w:eastAsia="Calibri"/>
          <w:i/>
          <w:snapToGrid w:val="0"/>
        </w:rPr>
      </w:pPr>
      <w:bookmarkStart w:id="98" w:name="_Toc54183317"/>
      <w:bookmarkStart w:id="99" w:name="_Toc54183576"/>
      <w:bookmarkStart w:id="100" w:name="_Toc54183643"/>
      <w:r>
        <w:rPr>
          <w:i/>
          <w:snapToGrid w:val="0"/>
        </w:rPr>
        <w:t xml:space="preserve">5.2 </w:t>
      </w:r>
      <w:r>
        <w:rPr>
          <w:i/>
          <w:snapToGrid w:val="0"/>
        </w:rPr>
        <w:tab/>
        <w:t>Verfahren für den Datenaustausch</w:t>
      </w:r>
      <w:bookmarkEnd w:id="98"/>
      <w:bookmarkEnd w:id="99"/>
      <w:bookmarkEnd w:id="100"/>
    </w:p>
    <w:p w:rsidR="00DF1F17" w:rsidRPr="003265BF" w:rsidRDefault="00DF1F17" w:rsidP="00DF1F17">
      <w:pPr>
        <w:rPr>
          <w:u w:val="double"/>
        </w:rPr>
      </w:pPr>
    </w:p>
    <w:p w:rsidR="00DF1F17" w:rsidRPr="003265BF" w:rsidRDefault="00DF1F17" w:rsidP="00DF1F17">
      <w:pPr>
        <w:rPr>
          <w:rFonts w:eastAsia="Calibri" w:cs="Arial"/>
          <w:color w:val="000000" w:themeColor="text1"/>
        </w:rPr>
      </w:pPr>
      <w:r>
        <w:rPr>
          <w:color w:val="000000" w:themeColor="text1"/>
        </w:rPr>
        <w:t>5.2.1 Die Übermittlung von Fingerabdruckdaten kann eine Reihe von Informationen enthalten, z. B. Loci, Proben, DNS, Fingerabdruckdaten und Fingerabdruckprofile</w:t>
      </w:r>
      <w:r w:rsidR="00B04166">
        <w:rPr>
          <w:color w:val="000000" w:themeColor="text1"/>
        </w:rPr>
        <w:t xml:space="preserve">. </w:t>
      </w:r>
      <w:proofErr w:type="gramStart"/>
      <w:r>
        <w:rPr>
          <w:color w:val="000000" w:themeColor="text1"/>
        </w:rPr>
        <w:t>Das</w:t>
      </w:r>
      <w:proofErr w:type="gramEnd"/>
      <w:r>
        <w:rPr>
          <w:color w:val="000000" w:themeColor="text1"/>
        </w:rPr>
        <w:t xml:space="preserve"> Verfahren der Datenübertragung muss je nach dem zu übertragenden Inhalt festgelegt werden, wobei Folgendes berücksichtigt werden sollte:</w:t>
      </w:r>
    </w:p>
    <w:p w:rsidR="00DF1F17" w:rsidRPr="003265BF" w:rsidRDefault="00DF1F17" w:rsidP="00DF1F17">
      <w:pPr>
        <w:ind w:firstLine="567"/>
        <w:rPr>
          <w:rFonts w:eastAsia="Calibri" w:cs="Arial"/>
          <w:color w:val="000000" w:themeColor="text1"/>
        </w:rPr>
      </w:pPr>
      <w:r>
        <w:rPr>
          <w:color w:val="000000" w:themeColor="text1"/>
        </w:rPr>
        <w:t>a) Datenmenge</w:t>
      </w:r>
    </w:p>
    <w:p w:rsidR="00DF1F17" w:rsidRPr="003265BF" w:rsidRDefault="00DF1F17" w:rsidP="00DF1F17">
      <w:pPr>
        <w:ind w:firstLine="567"/>
        <w:rPr>
          <w:rFonts w:eastAsia="Calibri" w:cs="Arial"/>
          <w:color w:val="000000" w:themeColor="text1"/>
        </w:rPr>
      </w:pPr>
      <w:r>
        <w:rPr>
          <w:color w:val="000000" w:themeColor="text1"/>
        </w:rPr>
        <w:t xml:space="preserve">b) Komplexität der Daten </w:t>
      </w:r>
    </w:p>
    <w:p w:rsidR="00DF1F17" w:rsidRPr="003265BF" w:rsidRDefault="00DF1F17" w:rsidP="00DF1F17">
      <w:pPr>
        <w:ind w:firstLine="567"/>
        <w:rPr>
          <w:rFonts w:eastAsia="Calibri" w:cs="Arial"/>
          <w:color w:val="000000" w:themeColor="text1"/>
        </w:rPr>
      </w:pPr>
      <w:r>
        <w:rPr>
          <w:color w:val="000000" w:themeColor="text1"/>
        </w:rPr>
        <w:t>c) Anforderungen an Abfrage- oder Suchfunktionen</w:t>
      </w:r>
    </w:p>
    <w:p w:rsidR="00DF1F17" w:rsidRPr="003265BF" w:rsidRDefault="00DF1F17" w:rsidP="00DF1F17">
      <w:pPr>
        <w:ind w:firstLine="567"/>
        <w:rPr>
          <w:rFonts w:eastAsia="Calibri" w:cs="Arial"/>
          <w:color w:val="000000" w:themeColor="text1"/>
        </w:rPr>
      </w:pPr>
    </w:p>
    <w:p w:rsidR="00DF1F17" w:rsidRPr="003265BF" w:rsidRDefault="00DF1F17" w:rsidP="00DF1F17">
      <w:pPr>
        <w:rPr>
          <w:rFonts w:eastAsia="Calibri" w:cs="Arial"/>
          <w:color w:val="000000" w:themeColor="text1"/>
          <w:u w:val="single"/>
        </w:rPr>
      </w:pPr>
      <w:r>
        <w:rPr>
          <w:color w:val="000000" w:themeColor="text1"/>
        </w:rPr>
        <w:t>Technische Einzelheiten zu den Datenübertragungsverfahren sind in der Anlage beschrieben: Datenaustauschszenarien und Datenübertragungsverfahren.</w:t>
      </w:r>
    </w:p>
    <w:p w:rsidR="00DF1F17" w:rsidRPr="003265BF" w:rsidRDefault="00DF1F17" w:rsidP="00DF1F17">
      <w:pPr>
        <w:rPr>
          <w:rFonts w:eastAsia="Calibri" w:cs="Arial"/>
          <w:color w:val="000000" w:themeColor="text1"/>
        </w:rPr>
      </w:pPr>
    </w:p>
    <w:p w:rsidR="00DF1F17" w:rsidRPr="003265BF" w:rsidRDefault="00DF1F17" w:rsidP="00DF1F17">
      <w:pPr>
        <w:rPr>
          <w:rFonts w:eastAsia="Calibri" w:cs="Arial"/>
          <w:color w:val="000000" w:themeColor="text1"/>
        </w:rPr>
      </w:pPr>
      <w:r>
        <w:rPr>
          <w:color w:val="000000" w:themeColor="text1"/>
        </w:rPr>
        <w:t xml:space="preserve">5.2.2 </w:t>
      </w:r>
      <w:r>
        <w:rPr>
          <w:color w:val="000000" w:themeColor="text1"/>
        </w:rPr>
        <w:tab/>
        <w:t>Zu den üblicherweise verwendeten Datenformaten g</w:t>
      </w:r>
      <w:r w:rsidR="00D15553">
        <w:rPr>
          <w:color w:val="000000" w:themeColor="text1"/>
        </w:rPr>
        <w:t xml:space="preserve">ehören: </w:t>
      </w:r>
      <w:proofErr w:type="spellStart"/>
      <w:r w:rsidR="00D15553">
        <w:rPr>
          <w:color w:val="000000" w:themeColor="text1"/>
        </w:rPr>
        <w:t>zip</w:t>
      </w:r>
      <w:proofErr w:type="spellEnd"/>
      <w:r w:rsidR="00D15553">
        <w:rPr>
          <w:color w:val="000000" w:themeColor="text1"/>
        </w:rPr>
        <w:t xml:space="preserve">, </w:t>
      </w:r>
      <w:proofErr w:type="spellStart"/>
      <w:r w:rsidR="00D15553">
        <w:rPr>
          <w:color w:val="000000" w:themeColor="text1"/>
        </w:rPr>
        <w:t>csv</w:t>
      </w:r>
      <w:proofErr w:type="spellEnd"/>
      <w:r w:rsidR="00D15553">
        <w:rPr>
          <w:color w:val="000000" w:themeColor="text1"/>
        </w:rPr>
        <w:t xml:space="preserve">, </w:t>
      </w:r>
      <w:proofErr w:type="spellStart"/>
      <w:r w:rsidR="00D15553">
        <w:rPr>
          <w:color w:val="000000" w:themeColor="text1"/>
        </w:rPr>
        <w:t>json</w:t>
      </w:r>
      <w:proofErr w:type="spellEnd"/>
      <w:r w:rsidR="00D15553">
        <w:rPr>
          <w:color w:val="000000" w:themeColor="text1"/>
        </w:rPr>
        <w:t xml:space="preserve"> und </w:t>
      </w:r>
      <w:proofErr w:type="spellStart"/>
      <w:r w:rsidR="00D15553">
        <w:rPr>
          <w:color w:val="000000" w:themeColor="text1"/>
        </w:rPr>
        <w:t>xml</w:t>
      </w:r>
      <w:proofErr w:type="spellEnd"/>
      <w:r w:rsidR="00D15553">
        <w:rPr>
          <w:color w:val="000000" w:themeColor="text1"/>
        </w:rPr>
        <w:t>.</w:t>
      </w:r>
      <w:r>
        <w:rPr>
          <w:color w:val="000000" w:themeColor="text1"/>
        </w:rPr>
        <w:t xml:space="preserve"> Ihre jeweiligen Merkmale sind wie folgt:</w:t>
      </w:r>
    </w:p>
    <w:p w:rsidR="00DF1F17" w:rsidRPr="003265BF" w:rsidRDefault="00DF1F17" w:rsidP="00DF1F17">
      <w:pPr>
        <w:rPr>
          <w:rFonts w:eastAsia="Calibri" w:cs="Arial"/>
          <w:color w:val="000000" w:themeColor="text1"/>
        </w:rPr>
      </w:pPr>
    </w:p>
    <w:p w:rsidR="00DF1F17" w:rsidRPr="003265BF" w:rsidRDefault="00DF1F17" w:rsidP="00DF1F17">
      <w:pPr>
        <w:ind w:firstLine="420"/>
        <w:rPr>
          <w:rFonts w:eastAsia="Calibri" w:cs="Arial"/>
          <w:color w:val="000000" w:themeColor="text1"/>
        </w:rPr>
      </w:pPr>
      <w:r>
        <w:rPr>
          <w:color w:val="000000" w:themeColor="text1"/>
        </w:rPr>
        <w:t>1) Das Zip-Format ermöglicht eine Vielzahl von Dateninformationsdateien im Originalformat und eignet sich aufgrund seines großen Datenkompressionsverhältnisses und der einfachen Übertragung für große und komplexe Daten.</w:t>
      </w:r>
    </w:p>
    <w:p w:rsidR="00DF1F17" w:rsidRPr="003265BF" w:rsidRDefault="00DF1F17" w:rsidP="00DF1F17">
      <w:pPr>
        <w:ind w:firstLine="420"/>
        <w:rPr>
          <w:rFonts w:eastAsia="Calibri" w:cs="Arial"/>
          <w:color w:val="000000" w:themeColor="text1"/>
        </w:rPr>
      </w:pPr>
    </w:p>
    <w:p w:rsidR="00DF1F17" w:rsidRPr="003265BF" w:rsidRDefault="00DF1F17" w:rsidP="00DF1F17">
      <w:pPr>
        <w:ind w:firstLine="420"/>
        <w:rPr>
          <w:rFonts w:eastAsia="Calibri" w:cs="Arial"/>
          <w:color w:val="000000" w:themeColor="text1"/>
        </w:rPr>
      </w:pPr>
      <w:r>
        <w:rPr>
          <w:color w:val="000000" w:themeColor="text1"/>
        </w:rPr>
        <w:t xml:space="preserve">2) Das </w:t>
      </w:r>
      <w:proofErr w:type="spellStart"/>
      <w:r>
        <w:rPr>
          <w:color w:val="000000" w:themeColor="text1"/>
        </w:rPr>
        <w:t>csv</w:t>
      </w:r>
      <w:proofErr w:type="spellEnd"/>
      <w:r>
        <w:rPr>
          <w:color w:val="000000" w:themeColor="text1"/>
        </w:rPr>
        <w:t>-Format eignet sich besser für Dateninformationen in einem einfachen Datenformat, das den Vorteil hat, dass es weniger ungültige Daten enthält und eine höhere Verarbeitungsgeschwindigkeit aufweist.</w:t>
      </w:r>
    </w:p>
    <w:p w:rsidR="00DF1F17" w:rsidRPr="003265BF" w:rsidRDefault="00DF1F17" w:rsidP="00DF1F17">
      <w:pPr>
        <w:ind w:firstLine="420"/>
        <w:rPr>
          <w:rFonts w:eastAsia="Calibri" w:cs="Arial"/>
          <w:color w:val="000000" w:themeColor="text1"/>
        </w:rPr>
      </w:pPr>
    </w:p>
    <w:p w:rsidR="00DF1F17" w:rsidRPr="00832052" w:rsidRDefault="00DF1F17" w:rsidP="00DF1F17">
      <w:pPr>
        <w:ind w:firstLine="420"/>
        <w:rPr>
          <w:rFonts w:eastAsia="Calibri" w:cs="Arial"/>
          <w:color w:val="000000" w:themeColor="text1"/>
        </w:rPr>
      </w:pPr>
      <w:r>
        <w:rPr>
          <w:color w:val="000000" w:themeColor="text1"/>
        </w:rPr>
        <w:t xml:space="preserve">3) Die Formate </w:t>
      </w:r>
      <w:proofErr w:type="spellStart"/>
      <w:r>
        <w:rPr>
          <w:color w:val="000000" w:themeColor="text1"/>
        </w:rPr>
        <w:t>json</w:t>
      </w:r>
      <w:proofErr w:type="spellEnd"/>
      <w:r>
        <w:rPr>
          <w:color w:val="000000" w:themeColor="text1"/>
        </w:rPr>
        <w:t xml:space="preserve"> und </w:t>
      </w:r>
      <w:proofErr w:type="spellStart"/>
      <w:r>
        <w:rPr>
          <w:color w:val="000000" w:themeColor="text1"/>
        </w:rPr>
        <w:t>xml</w:t>
      </w:r>
      <w:proofErr w:type="spellEnd"/>
      <w:r>
        <w:rPr>
          <w:color w:val="000000" w:themeColor="text1"/>
        </w:rPr>
        <w:t xml:space="preserve"> können Dateninformationen betreffend komplexere Zeichen und redundantere Informationen enthalten, aber beide bieten eine gute Lesbarkeit.</w:t>
      </w:r>
    </w:p>
    <w:p w:rsidR="00DF1F17" w:rsidRPr="00832052" w:rsidRDefault="00DF1F17" w:rsidP="00DF1F17"/>
    <w:p w:rsidR="00DF1F17" w:rsidRPr="00832052" w:rsidRDefault="00DF1F17" w:rsidP="00DF1F17">
      <w:pPr>
        <w:keepNext/>
        <w:outlineLvl w:val="1"/>
      </w:pPr>
      <w:bookmarkStart w:id="101" w:name="_Toc54183318"/>
      <w:bookmarkStart w:id="102" w:name="_Toc54183577"/>
      <w:bookmarkStart w:id="103" w:name="_Toc54183644"/>
      <w:r>
        <w:t xml:space="preserve">6. </w:t>
      </w:r>
      <w:r>
        <w:tab/>
        <w:t>Zusammenfassung</w:t>
      </w:r>
      <w:bookmarkEnd w:id="101"/>
      <w:bookmarkEnd w:id="102"/>
      <w:bookmarkEnd w:id="103"/>
      <w:r>
        <w:rPr>
          <w:vertAlign w:val="superscript"/>
        </w:rPr>
        <w:t xml:space="preserve"> </w:t>
      </w:r>
    </w:p>
    <w:p w:rsidR="00DF1F17" w:rsidRPr="00832052" w:rsidRDefault="00DF1F17" w:rsidP="00DF1F17"/>
    <w:p w:rsidR="00DF1F17" w:rsidRPr="00832052" w:rsidRDefault="00DF1F17" w:rsidP="00DF1F17">
      <w:r>
        <w:t xml:space="preserve">Nachstehend ist eine Zusammenfassung des Vorgehens wiedergegeben, das für hochwertige DNS-Profilierungsverfahren einschließlich der Auswahl und Verwendung molekularer Marker sowie zum Aufbau gemeinsamer und nachhaltiger molekularer Datenbanken für DNS-Profile von Sorten empfohlen wird (d. h. Datenbanken, die künftig aus einer Reihe von Quellen, unabhängig von der angewandten Technik, bestückt werden können). </w:t>
      </w:r>
    </w:p>
    <w:p w:rsidR="00DF1F17" w:rsidRPr="00832052" w:rsidRDefault="00DF1F17" w:rsidP="00DF1F17"/>
    <w:p w:rsidR="00DF1F17" w:rsidRPr="00832052" w:rsidRDefault="00D15553" w:rsidP="00DF1F17">
      <w:pPr>
        <w:ind w:firstLine="567"/>
      </w:pPr>
      <w:r>
        <w:t>a)</w:t>
      </w:r>
      <w:r>
        <w:tab/>
      </w:r>
      <w:r w:rsidR="00DF1F17">
        <w:t>Prüfung des Vorgehens nach Pflanzenart;</w:t>
      </w:r>
    </w:p>
    <w:p w:rsidR="00DF1F17" w:rsidRPr="00832052" w:rsidRDefault="00DF1F17" w:rsidP="00DF1F17">
      <w:pPr>
        <w:ind w:firstLine="567"/>
      </w:pPr>
      <w:r>
        <w:t xml:space="preserve">b) </w:t>
      </w:r>
      <w:r>
        <w:tab/>
        <w:t xml:space="preserve">Einigung auf einen akzeptierten </w:t>
      </w:r>
      <w:proofErr w:type="spellStart"/>
      <w:r>
        <w:t>Markertyp</w:t>
      </w:r>
      <w:proofErr w:type="spellEnd"/>
      <w:r>
        <w:t xml:space="preserve"> und die Quelle;</w:t>
      </w:r>
    </w:p>
    <w:p w:rsidR="00DF1F17" w:rsidRPr="00832052" w:rsidRDefault="00DF1F17" w:rsidP="00DF1F17">
      <w:pPr>
        <w:ind w:firstLine="567"/>
      </w:pPr>
      <w:r>
        <w:t xml:space="preserve">c) </w:t>
      </w:r>
      <w:r>
        <w:tab/>
        <w:t>Einigung auf zulässige Detektionsmethoden/-ausrüstungen;</w:t>
      </w:r>
    </w:p>
    <w:p w:rsidR="00DF1F17" w:rsidRPr="00832052" w:rsidRDefault="00DF1F17" w:rsidP="00DF1F17">
      <w:pPr>
        <w:ind w:firstLine="567"/>
      </w:pPr>
      <w:r>
        <w:t xml:space="preserve">d) </w:t>
      </w:r>
      <w:r>
        <w:tab/>
        <w:t>Einigung auf die an der Prüfung zu beteiligenden Labors;</w:t>
      </w:r>
    </w:p>
    <w:p w:rsidR="00DF1F17" w:rsidRPr="00832052" w:rsidRDefault="00DF1F17" w:rsidP="00DF1F17">
      <w:pPr>
        <w:ind w:firstLine="567"/>
      </w:pPr>
      <w:r>
        <w:t xml:space="preserve">e) </w:t>
      </w:r>
      <w:r>
        <w:tab/>
        <w:t>Einigung auf Qualitätsaspekte;</w:t>
      </w:r>
    </w:p>
    <w:p w:rsidR="00DF1F17" w:rsidRPr="00832052" w:rsidRDefault="00DF1F17" w:rsidP="00DF1F17">
      <w:pPr>
        <w:ind w:firstLine="567"/>
      </w:pPr>
      <w:r>
        <w:t xml:space="preserve">f) </w:t>
      </w:r>
      <w:r>
        <w:tab/>
        <w:t>Überprüfung der Quelle des verwendeten Pflanzenmaterials;</w:t>
      </w:r>
    </w:p>
    <w:p w:rsidR="00DF1F17" w:rsidRPr="00832052" w:rsidRDefault="00DF1F17" w:rsidP="00DF1F17">
      <w:pPr>
        <w:ind w:left="1134" w:hanging="567"/>
      </w:pPr>
      <w:r>
        <w:t xml:space="preserve">g) </w:t>
      </w:r>
      <w:r>
        <w:tab/>
        <w:t xml:space="preserve">Einigung auf die Marker, die in einer vorläufigen </w:t>
      </w:r>
      <w:proofErr w:type="spellStart"/>
      <w:r>
        <w:t>kollaborativen</w:t>
      </w:r>
      <w:proofErr w:type="spellEnd"/>
      <w:r>
        <w:t xml:space="preserve"> Evaluierungsphase verwendet werden sollen, in die mehr als ein Labor und verschiedene Detektionsmethoden einbezogen werden;</w:t>
      </w:r>
    </w:p>
    <w:p w:rsidR="00DF1F17" w:rsidRPr="003265BF" w:rsidRDefault="00DF1F17" w:rsidP="00DF1F17">
      <w:pPr>
        <w:ind w:firstLine="567"/>
      </w:pPr>
      <w:r>
        <w:t xml:space="preserve">h) </w:t>
      </w:r>
      <w:r>
        <w:tab/>
        <w:t>Durchführung einer Evaluierung;</w:t>
      </w:r>
    </w:p>
    <w:p w:rsidR="00DF1F17" w:rsidRPr="003265BF" w:rsidRDefault="00DF1F17" w:rsidP="00DF1F17">
      <w:pPr>
        <w:ind w:firstLine="567"/>
      </w:pPr>
      <w:r>
        <w:t xml:space="preserve">i) </w:t>
      </w:r>
      <w:r>
        <w:tab/>
        <w:t>Erstellung eines Protokolls für die Auswertung der molekularen Daten;</w:t>
      </w:r>
    </w:p>
    <w:p w:rsidR="00DF1F17" w:rsidRPr="003265BF" w:rsidRDefault="00DF1F17" w:rsidP="00DF1F17">
      <w:pPr>
        <w:ind w:firstLine="567"/>
      </w:pPr>
      <w:r>
        <w:t>j)</w:t>
      </w:r>
      <w:r>
        <w:tab/>
        <w:t>Einigung auf das Pflanzenmaterial/Referenzset, das zu analysieren ist, und auf die Quelle(n);</w:t>
      </w:r>
    </w:p>
    <w:p w:rsidR="00DF1F17" w:rsidRPr="003265BF" w:rsidRDefault="00DF1F17" w:rsidP="00DF1F17">
      <w:pPr>
        <w:ind w:left="1134" w:hanging="567"/>
      </w:pPr>
      <w:r>
        <w:t xml:space="preserve">k) </w:t>
      </w:r>
      <w:r>
        <w:tab/>
        <w:t>Analyse der vereinbarten Sortensammlung in verschiedenen Labors/verschiedenen Detektionsmethoden anhand von Doppelproben und Austausch von Proben/DNS-Extrakten, wenn Probleme auftreten;</w:t>
      </w:r>
    </w:p>
    <w:p w:rsidR="00DF1F17" w:rsidRPr="003265BF" w:rsidRDefault="00DF1F17" w:rsidP="00DF1F17">
      <w:pPr>
        <w:ind w:firstLine="567"/>
      </w:pPr>
      <w:r>
        <w:t xml:space="preserve">l) </w:t>
      </w:r>
      <w:r>
        <w:tab/>
        <w:t>Verwendung von Referenzen bei allen Analysen (Sorten, DNS-Proben und gegebenenfalls Allele);</w:t>
      </w:r>
    </w:p>
    <w:p w:rsidR="00DF1F17" w:rsidRPr="003265BF" w:rsidRDefault="00DF1F17" w:rsidP="00DF1F17">
      <w:pPr>
        <w:ind w:firstLine="567"/>
      </w:pPr>
      <w:r>
        <w:t xml:space="preserve">m) </w:t>
      </w:r>
      <w:r>
        <w:tab/>
        <w:t>Überprüfung aller Stadien (einschließlich der Dateneingabe) – möglichst weitreichende Automatisierung;</w:t>
      </w:r>
    </w:p>
    <w:p w:rsidR="00DF1F17" w:rsidRPr="003265BF" w:rsidRDefault="00DF1F17" w:rsidP="00DF1F17">
      <w:pPr>
        <w:ind w:firstLine="567"/>
      </w:pPr>
      <w:r>
        <w:t xml:space="preserve">n) </w:t>
      </w:r>
      <w:r>
        <w:tab/>
        <w:t>Durchführung eines ‚Blindtests‛ in verschiedenen Labors anhand der Datenbank;</w:t>
      </w:r>
    </w:p>
    <w:p w:rsidR="00DF1F17" w:rsidRPr="003265BF" w:rsidRDefault="00DF1F17" w:rsidP="00DF1F17">
      <w:pPr>
        <w:ind w:firstLine="567"/>
      </w:pPr>
      <w:r>
        <w:t xml:space="preserve">o) </w:t>
      </w:r>
      <w:r>
        <w:tab/>
        <w:t>Annahme der Verfahren zur Hinzufügung neuer Daten.</w:t>
      </w:r>
    </w:p>
    <w:p w:rsidR="00DF1F17" w:rsidRPr="003265BF" w:rsidRDefault="00DF1F17" w:rsidP="00DF1F17"/>
    <w:p w:rsidR="00DF1F17" w:rsidRPr="00B04166" w:rsidRDefault="00DF1F17" w:rsidP="0090233F">
      <w:pPr>
        <w:pStyle w:val="Heading1"/>
        <w:rPr>
          <w:caps w:val="0"/>
          <w:shd w:val="pct15" w:color="auto" w:fill="FFFFFF"/>
          <w:lang w:val="en-US"/>
        </w:rPr>
      </w:pPr>
      <w:bookmarkStart w:id="104" w:name="_Toc54183035"/>
      <w:bookmarkStart w:id="105" w:name="_Toc54183319"/>
      <w:bookmarkStart w:id="106" w:name="_Toc54183578"/>
      <w:bookmarkStart w:id="107" w:name="_Toc54183610"/>
      <w:bookmarkStart w:id="108" w:name="_Toc54183645"/>
      <w:r w:rsidRPr="00B04166">
        <w:rPr>
          <w:lang w:val="en-US"/>
        </w:rPr>
        <w:t>C.</w:t>
      </w:r>
      <w:r w:rsidRPr="00B04166">
        <w:rPr>
          <w:lang w:val="en-US"/>
        </w:rPr>
        <w:tab/>
        <w:t>LISTE DER AKRONYME</w:t>
      </w:r>
      <w:bookmarkEnd w:id="104"/>
      <w:bookmarkEnd w:id="105"/>
      <w:bookmarkEnd w:id="106"/>
      <w:bookmarkEnd w:id="107"/>
      <w:bookmarkEnd w:id="108"/>
      <w:r w:rsidRPr="00B04166">
        <w:rPr>
          <w:vertAlign w:val="superscript"/>
          <w:lang w:val="en-US"/>
        </w:rPr>
        <w:t> </w:t>
      </w:r>
    </w:p>
    <w:p w:rsidR="00DF1F17" w:rsidRPr="00B04166" w:rsidRDefault="00DF1F17" w:rsidP="00DF1F17">
      <w:pPr>
        <w:rPr>
          <w:lang w:val="en-US"/>
        </w:rPr>
      </w:pPr>
    </w:p>
    <w:p w:rsidR="00DF1F17" w:rsidRPr="00B04166" w:rsidRDefault="00DF1F17" w:rsidP="00DF1F17">
      <w:pPr>
        <w:rPr>
          <w:lang w:val="en-US"/>
        </w:rPr>
      </w:pPr>
      <w:r w:rsidRPr="00B04166">
        <w:rPr>
          <w:lang w:val="en-US"/>
        </w:rPr>
        <w:t>API</w:t>
      </w:r>
      <w:r w:rsidRPr="00B04166">
        <w:rPr>
          <w:lang w:val="en-US"/>
        </w:rPr>
        <w:tab/>
      </w:r>
      <w:r w:rsidRPr="00B04166">
        <w:rPr>
          <w:lang w:val="en-US"/>
        </w:rPr>
        <w:tab/>
        <w:t>Application Programming Interface</w:t>
      </w:r>
    </w:p>
    <w:p w:rsidR="00DF1F17" w:rsidRPr="00B04166" w:rsidRDefault="00DF1F17" w:rsidP="00DF1F17">
      <w:pPr>
        <w:rPr>
          <w:shd w:val="pct15" w:color="auto" w:fill="FFFFFF"/>
          <w:lang w:val="en-US"/>
        </w:rPr>
      </w:pPr>
      <w:r w:rsidRPr="00B04166">
        <w:rPr>
          <w:lang w:val="en-US"/>
        </w:rPr>
        <w:t>BAM</w:t>
      </w:r>
      <w:r w:rsidRPr="00B04166">
        <w:rPr>
          <w:lang w:val="en-US"/>
        </w:rPr>
        <w:tab/>
      </w:r>
      <w:r w:rsidRPr="00B04166">
        <w:rPr>
          <w:lang w:val="en-US"/>
        </w:rPr>
        <w:tab/>
        <w:t>Binary Alignment Map</w:t>
      </w:r>
    </w:p>
    <w:p w:rsidR="00DF1F17" w:rsidRPr="00B04166" w:rsidRDefault="00DF1F17" w:rsidP="00DF1F17">
      <w:pPr>
        <w:rPr>
          <w:shd w:val="pct15" w:color="auto" w:fill="FFFFFF"/>
          <w:lang w:val="en-US"/>
        </w:rPr>
      </w:pPr>
      <w:r w:rsidRPr="00B04166">
        <w:rPr>
          <w:lang w:val="en-US"/>
        </w:rPr>
        <w:t>BCF</w:t>
      </w:r>
      <w:r w:rsidRPr="00B04166">
        <w:rPr>
          <w:lang w:val="en-US"/>
        </w:rPr>
        <w:tab/>
      </w:r>
      <w:r w:rsidRPr="00B04166">
        <w:rPr>
          <w:lang w:val="en-US"/>
        </w:rPr>
        <w:tab/>
        <w:t>Binary Call Format</w:t>
      </w:r>
    </w:p>
    <w:p w:rsidR="00DF1F17" w:rsidRPr="00B04166" w:rsidRDefault="00DF1F17" w:rsidP="00DF1F17">
      <w:pPr>
        <w:rPr>
          <w:shd w:val="pct15" w:color="auto" w:fill="FFFFFF"/>
          <w:lang w:val="en-US"/>
        </w:rPr>
      </w:pPr>
      <w:r w:rsidRPr="00B04166">
        <w:rPr>
          <w:lang w:val="en-US"/>
        </w:rPr>
        <w:t>CRAM</w:t>
      </w:r>
      <w:r w:rsidRPr="00B04166">
        <w:rPr>
          <w:lang w:val="en-US"/>
        </w:rPr>
        <w:tab/>
        <w:t>Compressed Reference-oriented Alignment Map</w:t>
      </w:r>
    </w:p>
    <w:p w:rsidR="00DF1F17" w:rsidRPr="00B04166" w:rsidRDefault="00DF1F17" w:rsidP="00DF1F17">
      <w:pPr>
        <w:rPr>
          <w:lang w:val="en-US"/>
        </w:rPr>
      </w:pPr>
      <w:r w:rsidRPr="00B04166">
        <w:rPr>
          <w:lang w:val="en-US"/>
        </w:rPr>
        <w:t>MNP</w:t>
      </w:r>
      <w:r w:rsidRPr="00B04166">
        <w:rPr>
          <w:lang w:val="en-US"/>
        </w:rPr>
        <w:tab/>
      </w:r>
      <w:r w:rsidRPr="00B04166">
        <w:rPr>
          <w:lang w:val="en-US"/>
        </w:rPr>
        <w:tab/>
        <w:t>Multiple Nucleotide Polymorphism</w:t>
      </w:r>
    </w:p>
    <w:p w:rsidR="00DF1F17" w:rsidRPr="00B04166" w:rsidRDefault="00DF1F17" w:rsidP="00DF1F17">
      <w:pPr>
        <w:rPr>
          <w:shd w:val="pct15" w:color="auto" w:fill="FFFFFF"/>
          <w:lang w:val="en-US"/>
        </w:rPr>
      </w:pPr>
      <w:r w:rsidRPr="00B04166">
        <w:rPr>
          <w:lang w:val="en-US"/>
        </w:rPr>
        <w:t>NGS</w:t>
      </w:r>
      <w:r w:rsidRPr="00B04166">
        <w:rPr>
          <w:lang w:val="en-US"/>
        </w:rPr>
        <w:tab/>
      </w:r>
      <w:r w:rsidRPr="00B04166">
        <w:rPr>
          <w:lang w:val="en-US"/>
        </w:rPr>
        <w:tab/>
        <w:t>Next Generation Sequencing</w:t>
      </w:r>
    </w:p>
    <w:p w:rsidR="00DF1F17" w:rsidRPr="00B04166" w:rsidRDefault="00DF1F17" w:rsidP="00DF1F17">
      <w:pPr>
        <w:rPr>
          <w:shd w:val="pct15" w:color="auto" w:fill="FFFFFF"/>
          <w:lang w:val="en-US"/>
        </w:rPr>
      </w:pPr>
      <w:r w:rsidRPr="00B04166">
        <w:rPr>
          <w:lang w:val="en-US"/>
        </w:rPr>
        <w:t>NIL</w:t>
      </w:r>
      <w:r w:rsidRPr="00B04166">
        <w:rPr>
          <w:lang w:val="en-US"/>
        </w:rPr>
        <w:tab/>
      </w:r>
      <w:r w:rsidRPr="00B04166">
        <w:rPr>
          <w:lang w:val="en-US"/>
        </w:rPr>
        <w:tab/>
      </w:r>
      <w:proofErr w:type="gramStart"/>
      <w:r w:rsidRPr="00B04166">
        <w:rPr>
          <w:lang w:val="en-US"/>
        </w:rPr>
        <w:t>Near</w:t>
      </w:r>
      <w:proofErr w:type="gramEnd"/>
      <w:r w:rsidRPr="00B04166">
        <w:rPr>
          <w:lang w:val="en-US"/>
        </w:rPr>
        <w:t xml:space="preserve"> Isogenic Line</w:t>
      </w:r>
    </w:p>
    <w:p w:rsidR="00DF1F17" w:rsidRPr="00B04166" w:rsidRDefault="00DF1F17" w:rsidP="00DF1F17">
      <w:pPr>
        <w:rPr>
          <w:shd w:val="pct15" w:color="auto" w:fill="FFFFFF"/>
          <w:lang w:val="en-US"/>
        </w:rPr>
      </w:pPr>
      <w:r w:rsidRPr="00B04166">
        <w:rPr>
          <w:lang w:val="en-US"/>
        </w:rPr>
        <w:t>RIL</w:t>
      </w:r>
      <w:r w:rsidRPr="00B04166">
        <w:rPr>
          <w:lang w:val="en-US"/>
        </w:rPr>
        <w:tab/>
      </w:r>
      <w:r w:rsidRPr="00B04166">
        <w:rPr>
          <w:lang w:val="en-US"/>
        </w:rPr>
        <w:tab/>
        <w:t>Recombinant Inbred Line</w:t>
      </w:r>
    </w:p>
    <w:p w:rsidR="00DF1F17" w:rsidRPr="00B04166" w:rsidRDefault="00DF1F17" w:rsidP="00DF1F17">
      <w:pPr>
        <w:rPr>
          <w:shd w:val="pct15" w:color="auto" w:fill="FFFFFF"/>
          <w:lang w:val="en-US"/>
        </w:rPr>
      </w:pPr>
      <w:r w:rsidRPr="00B04166">
        <w:rPr>
          <w:lang w:val="en-US"/>
        </w:rPr>
        <w:t>SAM</w:t>
      </w:r>
      <w:r w:rsidRPr="00B04166">
        <w:rPr>
          <w:lang w:val="en-US"/>
        </w:rPr>
        <w:tab/>
      </w:r>
      <w:r w:rsidRPr="00B04166">
        <w:rPr>
          <w:lang w:val="en-US"/>
        </w:rPr>
        <w:tab/>
        <w:t>Sequence Alignment Map</w:t>
      </w:r>
    </w:p>
    <w:p w:rsidR="00DF1F17" w:rsidRPr="00B04166" w:rsidRDefault="00DF1F17" w:rsidP="00DF1F17">
      <w:pPr>
        <w:rPr>
          <w:shd w:val="pct15" w:color="auto" w:fill="FFFFFF"/>
          <w:lang w:val="en-US"/>
        </w:rPr>
      </w:pPr>
      <w:r w:rsidRPr="00B04166">
        <w:rPr>
          <w:lang w:val="en-US"/>
        </w:rPr>
        <w:t>SNP</w:t>
      </w:r>
      <w:r w:rsidRPr="00B04166">
        <w:rPr>
          <w:lang w:val="en-US"/>
        </w:rPr>
        <w:tab/>
      </w:r>
      <w:r w:rsidRPr="00B04166">
        <w:rPr>
          <w:lang w:val="en-US"/>
        </w:rPr>
        <w:tab/>
        <w:t>Single Nucleotide Polymorphism</w:t>
      </w:r>
    </w:p>
    <w:p w:rsidR="00DF1F17" w:rsidRPr="00B04166" w:rsidRDefault="00DF1F17" w:rsidP="00DF1F17">
      <w:pPr>
        <w:rPr>
          <w:shd w:val="pct15" w:color="auto" w:fill="FFFFFF"/>
          <w:lang w:val="en-US"/>
        </w:rPr>
      </w:pPr>
      <w:r w:rsidRPr="00B04166">
        <w:rPr>
          <w:lang w:val="en-US"/>
        </w:rPr>
        <w:t>SQL</w:t>
      </w:r>
      <w:r w:rsidRPr="00B04166">
        <w:rPr>
          <w:lang w:val="en-US"/>
        </w:rPr>
        <w:tab/>
      </w:r>
      <w:r w:rsidRPr="00B04166">
        <w:rPr>
          <w:lang w:val="en-US"/>
        </w:rPr>
        <w:tab/>
        <w:t>Structured Query Language</w:t>
      </w:r>
    </w:p>
    <w:p w:rsidR="00DF1F17" w:rsidRPr="00B04166" w:rsidRDefault="00DF1F17" w:rsidP="00DF1F17">
      <w:pPr>
        <w:rPr>
          <w:shd w:val="pct15" w:color="auto" w:fill="FFFFFF"/>
          <w:lang w:val="en-US"/>
        </w:rPr>
      </w:pPr>
      <w:r w:rsidRPr="00B04166">
        <w:rPr>
          <w:lang w:val="en-US"/>
        </w:rPr>
        <w:t>SSR</w:t>
      </w:r>
      <w:r w:rsidRPr="00B04166">
        <w:rPr>
          <w:lang w:val="en-US"/>
        </w:rPr>
        <w:tab/>
      </w:r>
      <w:r w:rsidRPr="00B04166">
        <w:rPr>
          <w:lang w:val="en-US"/>
        </w:rPr>
        <w:tab/>
        <w:t>Simple Sequence Repeats</w:t>
      </w:r>
    </w:p>
    <w:p w:rsidR="00DF1F17" w:rsidRPr="00B04166" w:rsidRDefault="00DF1F17" w:rsidP="00DF1F17">
      <w:pPr>
        <w:rPr>
          <w:shd w:val="pct15" w:color="auto" w:fill="FFFFFF"/>
          <w:lang w:val="en-US"/>
        </w:rPr>
      </w:pPr>
      <w:r w:rsidRPr="00B04166">
        <w:rPr>
          <w:lang w:val="en-US"/>
        </w:rPr>
        <w:t>TIFF</w:t>
      </w:r>
      <w:r w:rsidRPr="00B04166">
        <w:rPr>
          <w:lang w:val="en-US"/>
        </w:rPr>
        <w:tab/>
      </w:r>
      <w:r w:rsidRPr="00B04166">
        <w:rPr>
          <w:lang w:val="en-US"/>
        </w:rPr>
        <w:tab/>
        <w:t>Tagged Image File Format</w:t>
      </w:r>
    </w:p>
    <w:p w:rsidR="00DF1F17" w:rsidRPr="00B04166" w:rsidRDefault="00DF1F17" w:rsidP="00DF1F17">
      <w:pPr>
        <w:rPr>
          <w:shd w:val="pct15" w:color="auto" w:fill="FFFFFF"/>
          <w:lang w:val="en-US"/>
        </w:rPr>
      </w:pPr>
      <w:r w:rsidRPr="00B04166">
        <w:rPr>
          <w:lang w:val="en-US"/>
        </w:rPr>
        <w:t>VCF</w:t>
      </w:r>
      <w:r w:rsidRPr="00B04166">
        <w:rPr>
          <w:lang w:val="en-US"/>
        </w:rPr>
        <w:tab/>
      </w:r>
      <w:r w:rsidRPr="00B04166">
        <w:rPr>
          <w:lang w:val="en-US"/>
        </w:rPr>
        <w:tab/>
        <w:t>Variant Call Format</w:t>
      </w:r>
    </w:p>
    <w:p w:rsidR="00DF1F17" w:rsidRPr="00B04166" w:rsidRDefault="00DF1F17" w:rsidP="00DF1F17">
      <w:pPr>
        <w:jc w:val="left"/>
        <w:rPr>
          <w:lang w:val="en-US"/>
        </w:rPr>
      </w:pPr>
    </w:p>
    <w:p w:rsidR="00DF1F17" w:rsidRPr="00B04166" w:rsidRDefault="00DF1F17" w:rsidP="00DF1F17">
      <w:pPr>
        <w:jc w:val="left"/>
        <w:rPr>
          <w:lang w:val="en-US"/>
        </w:rPr>
      </w:pPr>
    </w:p>
    <w:p w:rsidR="00DF1F17" w:rsidRPr="00832052" w:rsidRDefault="00DF1F17" w:rsidP="007C49D8">
      <w:pPr>
        <w:jc w:val="right"/>
      </w:pPr>
      <w:r>
        <w:t>[Anhang zur Anlage folgt]</w:t>
      </w:r>
      <w:r w:rsidR="007C49D8" w:rsidRPr="00832052">
        <w:t xml:space="preserve"> </w:t>
      </w:r>
    </w:p>
    <w:p w:rsidR="00DF1F17" w:rsidRPr="00832052" w:rsidRDefault="00DF1F17" w:rsidP="00DF1F17">
      <w:pPr>
        <w:jc w:val="center"/>
        <w:rPr>
          <w:rFonts w:cs="Maiandra GD"/>
          <w:lang w:eastAsia="nl-NL"/>
        </w:rPr>
        <w:sectPr w:rsidR="00DF1F17" w:rsidRPr="00832052" w:rsidSect="00DF1F17">
          <w:headerReference w:type="even" r:id="rId11"/>
          <w:headerReference w:type="default" r:id="rId12"/>
          <w:footerReference w:type="even" r:id="rId13"/>
          <w:footerReference w:type="default" r:id="rId14"/>
          <w:headerReference w:type="first" r:id="rId15"/>
          <w:footerReference w:type="first" r:id="rId16"/>
          <w:pgSz w:w="11907" w:h="16840" w:code="9"/>
          <w:pgMar w:top="510" w:right="1134" w:bottom="992" w:left="1134" w:header="510" w:footer="680" w:gutter="0"/>
          <w:pgNumType w:start="1"/>
          <w:cols w:space="720"/>
          <w:titlePg/>
        </w:sectPr>
      </w:pPr>
    </w:p>
    <w:p w:rsidR="00DF1F17" w:rsidRPr="003265BF" w:rsidRDefault="00DF1F17" w:rsidP="00DF1F17">
      <w:pPr>
        <w:jc w:val="center"/>
        <w:rPr>
          <w:rFonts w:cs="Maiandra GD"/>
          <w:lang w:eastAsia="nl-NL"/>
        </w:rPr>
      </w:pPr>
    </w:p>
    <w:p w:rsidR="00DF1F17" w:rsidRPr="003265BF" w:rsidRDefault="00DF1F17" w:rsidP="00DF1F17">
      <w:pPr>
        <w:jc w:val="center"/>
        <w:rPr>
          <w:rFonts w:eastAsia="Calibri"/>
        </w:rPr>
      </w:pPr>
      <w:r>
        <w:t>DATENAUSTAUSCHSZENARIEN UND ÜBERTRAGUNGSVERFAHREN</w:t>
      </w:r>
    </w:p>
    <w:p w:rsidR="00DF1F17" w:rsidRPr="003265BF" w:rsidRDefault="00DF1F17" w:rsidP="00DF1F17">
      <w:pPr>
        <w:rPr>
          <w:rFonts w:cs="Maiandra GD"/>
          <w:szCs w:val="18"/>
          <w:lang w:eastAsia="nl-NL"/>
        </w:rPr>
      </w:pPr>
    </w:p>
    <w:p w:rsidR="00DF1F17" w:rsidRPr="003265BF" w:rsidRDefault="00DF1F17" w:rsidP="00DF1F17">
      <w:pPr>
        <w:rPr>
          <w:rFonts w:eastAsia="Calibri"/>
          <w:b/>
        </w:rPr>
      </w:pPr>
      <w:r>
        <w:rPr>
          <w:b/>
        </w:rPr>
        <w:t>A: Szenarien für den Datenaustausch</w:t>
      </w:r>
    </w:p>
    <w:p w:rsidR="00DF1F17" w:rsidRPr="003265BF" w:rsidRDefault="00DF1F17" w:rsidP="00DF1F17">
      <w:pPr>
        <w:rPr>
          <w:lang w:eastAsia="nl-NL"/>
        </w:rPr>
      </w:pPr>
    </w:p>
    <w:p w:rsidR="00DF1F17" w:rsidRPr="003265BF" w:rsidRDefault="00DF1F17" w:rsidP="00DF1F17">
      <w:pPr>
        <w:rPr>
          <w:rFonts w:eastAsia="Calibri"/>
          <w:i/>
        </w:rPr>
      </w:pPr>
      <w:r>
        <w:rPr>
          <w:i/>
        </w:rPr>
        <w:t>Szenario 1: Austausch von Daten, die aus einem standardisierten Markersatz für eine bestimmte Pflanze erzeugt wurden</w:t>
      </w:r>
    </w:p>
    <w:p w:rsidR="00DF1F17" w:rsidRPr="003265BF" w:rsidRDefault="00DF1F17" w:rsidP="00DF1F17">
      <w:pPr>
        <w:rPr>
          <w:rFonts w:eastAsia="Calibri"/>
        </w:rPr>
      </w:pPr>
    </w:p>
    <w:p w:rsidR="00DF1F17" w:rsidRPr="003265BF" w:rsidRDefault="00DF1F17" w:rsidP="00DF1F17">
      <w:pPr>
        <w:rPr>
          <w:rFonts w:eastAsia="Calibri"/>
        </w:rPr>
      </w:pPr>
      <w:r>
        <w:t>Zum Austausch von Daten über den Markersatz, der für eine bestimmte Pflanze verwendet wird, kann der folgende Webdienst genutzt werden</w:t>
      </w:r>
      <w:r w:rsidR="00B04166">
        <w:t xml:space="preserve">: </w:t>
      </w:r>
    </w:p>
    <w:p w:rsidR="00DF1F17" w:rsidRPr="00B04166" w:rsidRDefault="00DF1F17" w:rsidP="00DF1F17">
      <w:pPr>
        <w:rPr>
          <w:rFonts w:eastAsia="Calibri"/>
          <w:lang w:val="en-US"/>
        </w:rPr>
      </w:pPr>
      <w:r w:rsidRPr="00B04166">
        <w:rPr>
          <w:lang w:val="en-US"/>
        </w:rPr>
        <w:t>https://office.org/locus?upov_code={upovcode}&amp;type={marker type</w:t>
      </w:r>
      <w:proofErr w:type="gramStart"/>
      <w:r w:rsidRPr="00B04166">
        <w:rPr>
          <w:lang w:val="en-US"/>
        </w:rPr>
        <w:t>}&amp;</w:t>
      </w:r>
      <w:proofErr w:type="gramEnd"/>
      <w:r w:rsidRPr="00B04166">
        <w:rPr>
          <w:lang w:val="en-US"/>
        </w:rPr>
        <w:t xml:space="preserve">method={observation method} </w:t>
      </w:r>
    </w:p>
    <w:p w:rsidR="00DF1F17" w:rsidRPr="00B04166" w:rsidRDefault="00DF1F17" w:rsidP="00DF1F17">
      <w:pPr>
        <w:rPr>
          <w:rFonts w:eastAsia="Calibri"/>
          <w:lang w:val="en-US"/>
        </w:rPr>
      </w:pPr>
    </w:p>
    <w:p w:rsidR="00DF1F17" w:rsidRPr="003265BF" w:rsidRDefault="00DF1F17" w:rsidP="00DF1F17">
      <w:pPr>
        <w:rPr>
          <w:rFonts w:eastAsia="Calibri"/>
        </w:rPr>
      </w:pPr>
      <w:r>
        <w:t xml:space="preserve">Um z. B. Informationen über </w:t>
      </w:r>
      <w:proofErr w:type="spellStart"/>
      <w:r>
        <w:t>Markerserien</w:t>
      </w:r>
      <w:proofErr w:type="spellEnd"/>
      <w:r>
        <w:t xml:space="preserve"> für Mais unter Verwendung des SSR- und CE-Verfahrens zu erhalten, sollte die folgende URL aufgerufen werden: </w:t>
      </w:r>
    </w:p>
    <w:p w:rsidR="00DF1F17" w:rsidRPr="003265BF" w:rsidRDefault="00DF1F17" w:rsidP="00DF1F17">
      <w:pPr>
        <w:rPr>
          <w:rFonts w:eastAsia="Calibri"/>
        </w:rPr>
      </w:pPr>
      <w:r>
        <w:t xml:space="preserve">https://office.org/locus?upov_code=ZEAAA_MAY&amp;type=SSR&amp;method=CE </w:t>
      </w:r>
    </w:p>
    <w:p w:rsidR="00DF1F17" w:rsidRPr="003265BF" w:rsidRDefault="00DF1F17" w:rsidP="00DF1F17">
      <w:pPr>
        <w:spacing w:line="240" w:lineRule="atLeast"/>
        <w:jc w:val="left"/>
        <w:rPr>
          <w:rFonts w:ascii="Calibri" w:eastAsia="Calibri" w:hAnsi="Calibri"/>
          <w:color w:val="000000"/>
          <w:sz w:val="23"/>
          <w:szCs w:val="23"/>
        </w:rPr>
      </w:pPr>
    </w:p>
    <w:p w:rsidR="00DF1F17" w:rsidRPr="003265BF" w:rsidRDefault="00DF1F17" w:rsidP="00DF1F17">
      <w:pPr>
        <w:rPr>
          <w:rFonts w:eastAsia="Calibri"/>
        </w:rPr>
      </w:pPr>
      <w:r>
        <w:t xml:space="preserve">Das Ergebnis wäre: </w:t>
      </w:r>
    </w:p>
    <w:p w:rsidR="00DF1F17" w:rsidRPr="003265BF" w:rsidRDefault="00DF1F17" w:rsidP="00DF1F17">
      <w:pPr>
        <w:spacing w:line="240" w:lineRule="atLeast"/>
        <w:jc w:val="left"/>
        <w:rPr>
          <w:rFonts w:eastAsia="Calibri" w:cs="Arial"/>
          <w:color w:val="000000"/>
        </w:rPr>
      </w:pPr>
    </w:p>
    <w:p w:rsidR="00DF1F17" w:rsidRPr="003265BF" w:rsidRDefault="00DF1F17" w:rsidP="00DF1F17">
      <w:pPr>
        <w:rPr>
          <w:rFonts w:eastAsia="Calibri" w:cs="Arial"/>
          <w:color w:val="000000"/>
        </w:rPr>
        <w:sectPr w:rsidR="00DF1F17" w:rsidRPr="003265BF" w:rsidSect="00203B8B">
          <w:headerReference w:type="first" r:id="rId17"/>
          <w:pgSz w:w="11907" w:h="16840" w:code="9"/>
          <w:pgMar w:top="510" w:right="1134" w:bottom="992" w:left="1134" w:header="510" w:footer="680" w:gutter="0"/>
          <w:pgNumType w:start="1"/>
          <w:cols w:space="720"/>
          <w:titlePg/>
        </w:sectPr>
      </w:pPr>
    </w:p>
    <w:p w:rsidR="00DF1F17" w:rsidRPr="003265BF" w:rsidRDefault="00DF1F17" w:rsidP="00DF1F17">
      <w:pPr>
        <w:rPr>
          <w:rFonts w:eastAsia="Calibri" w:cs="Arial"/>
          <w:color w:val="000000"/>
        </w:rPr>
      </w:pPr>
      <w:r>
        <w:rPr>
          <w:color w:val="000000"/>
        </w:rPr>
        <w:t>{"</w:t>
      </w:r>
      <w:proofErr w:type="spellStart"/>
      <w:r>
        <w:rPr>
          <w:color w:val="000000"/>
        </w:rPr>
        <w:t>techniqueid</w:t>
      </w:r>
      <w:proofErr w:type="spellEnd"/>
      <w:r>
        <w:rPr>
          <w:color w:val="000000"/>
        </w:rPr>
        <w:t>": "CN_SSR_ZEAA_MAY_CE_V_1",</w:t>
      </w:r>
    </w:p>
    <w:p w:rsidR="00DF1F17" w:rsidRPr="00B04166" w:rsidRDefault="00DF1F17" w:rsidP="00DF1F17">
      <w:pPr>
        <w:rPr>
          <w:rFonts w:eastAsia="Calibri" w:cs="Arial"/>
          <w:color w:val="000000"/>
          <w:lang w:val="en-US"/>
        </w:rPr>
      </w:pPr>
      <w:r w:rsidRPr="00B04166">
        <w:rPr>
          <w:color w:val="000000"/>
          <w:lang w:val="en-US"/>
        </w:rPr>
        <w:t>"</w:t>
      </w:r>
      <w:proofErr w:type="gramStart"/>
      <w:r w:rsidRPr="00B04166">
        <w:rPr>
          <w:color w:val="000000"/>
          <w:lang w:val="en-US"/>
        </w:rPr>
        <w:t>description</w:t>
      </w:r>
      <w:proofErr w:type="gramEnd"/>
      <w:r w:rsidRPr="00B04166">
        <w:rPr>
          <w:color w:val="000000"/>
          <w:lang w:val="en-US"/>
        </w:rPr>
        <w:t>": "Laboratory method description"</w:t>
      </w:r>
    </w:p>
    <w:p w:rsidR="00DF1F17" w:rsidRPr="00B04166" w:rsidRDefault="00DF1F17" w:rsidP="00DF1F17">
      <w:pPr>
        <w:rPr>
          <w:rFonts w:eastAsia="Calibri" w:cs="Arial"/>
          <w:color w:val="000000"/>
          <w:lang w:val="en-US"/>
        </w:rPr>
      </w:pPr>
      <w:r w:rsidRPr="00B04166">
        <w:rPr>
          <w:color w:val="000000"/>
          <w:lang w:val="en-US"/>
        </w:rPr>
        <w:t>["</w:t>
      </w:r>
      <w:proofErr w:type="spellStart"/>
      <w:r w:rsidRPr="00B04166">
        <w:rPr>
          <w:color w:val="000000"/>
          <w:lang w:val="en-US"/>
        </w:rPr>
        <w:t>locusid</w:t>
      </w:r>
      <w:proofErr w:type="spellEnd"/>
      <w:r w:rsidRPr="00B04166">
        <w:rPr>
          <w:color w:val="000000"/>
          <w:lang w:val="en-US"/>
        </w:rPr>
        <w:t>": "M01",</w:t>
      </w:r>
    </w:p>
    <w:p w:rsidR="00DF1F17" w:rsidRPr="00B04166" w:rsidRDefault="00DF1F17" w:rsidP="00DF1F17">
      <w:pPr>
        <w:rPr>
          <w:rFonts w:eastAsia="Calibri" w:cs="Arial"/>
          <w:color w:val="000000"/>
          <w:lang w:val="en-US"/>
        </w:rPr>
      </w:pPr>
      <w:r w:rsidRPr="00B04166">
        <w:rPr>
          <w:color w:val="000000"/>
          <w:lang w:val="en-US"/>
        </w:rPr>
        <w:t>"</w:t>
      </w:r>
      <w:proofErr w:type="gramStart"/>
      <w:r w:rsidRPr="00B04166">
        <w:rPr>
          <w:color w:val="000000"/>
          <w:lang w:val="en-US"/>
        </w:rPr>
        <w:t>alleles</w:t>
      </w:r>
      <w:proofErr w:type="gramEnd"/>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roofErr w:type="spellStart"/>
      <w:r w:rsidRPr="00B04166">
        <w:rPr>
          <w:color w:val="000000"/>
          <w:lang w:val="en-US"/>
        </w:rPr>
        <w:t>alleleid</w:t>
      </w:r>
      <w:proofErr w:type="spellEnd"/>
      <w:r w:rsidRPr="00B04166">
        <w:rPr>
          <w:color w:val="000000"/>
          <w:lang w:val="en-US"/>
        </w:rPr>
        <w:t>": "238/256",</w:t>
      </w:r>
    </w:p>
    <w:p w:rsidR="00DF1F17" w:rsidRPr="00B04166" w:rsidRDefault="00DF1F17" w:rsidP="00DF1F17">
      <w:pPr>
        <w:rPr>
          <w:rFonts w:eastAsia="Calibri" w:cs="Arial"/>
          <w:color w:val="000000"/>
          <w:lang w:val="en-US"/>
        </w:rPr>
      </w:pPr>
      <w:r w:rsidRPr="00B04166">
        <w:rPr>
          <w:color w:val="000000"/>
          <w:lang w:val="en-US"/>
        </w:rPr>
        <w:t>"</w:t>
      </w:r>
      <w:proofErr w:type="spellStart"/>
      <w:proofErr w:type="gramStart"/>
      <w:r w:rsidRPr="00B04166">
        <w:rPr>
          <w:color w:val="000000"/>
          <w:lang w:val="en-US"/>
        </w:rPr>
        <w:t>examplevariety</w:t>
      </w:r>
      <w:proofErr w:type="spellEnd"/>
      <w:proofErr w:type="gramEnd"/>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roofErr w:type="spellStart"/>
      <w:r w:rsidRPr="00B04166">
        <w:rPr>
          <w:color w:val="000000"/>
          <w:lang w:val="en-US"/>
        </w:rPr>
        <w:t>alleleid</w:t>
      </w:r>
      <w:proofErr w:type="spellEnd"/>
      <w:r w:rsidRPr="00B04166">
        <w:rPr>
          <w:color w:val="000000"/>
          <w:lang w:val="en-US"/>
        </w:rPr>
        <w:t>": "238/271",</w:t>
      </w:r>
    </w:p>
    <w:p w:rsidR="00DF1F17" w:rsidRPr="00B04166" w:rsidRDefault="00DF1F17" w:rsidP="00DF1F17">
      <w:pPr>
        <w:rPr>
          <w:rFonts w:eastAsia="Calibri" w:cs="Arial"/>
          <w:color w:val="000000"/>
          <w:lang w:val="en-US"/>
        </w:rPr>
      </w:pPr>
      <w:r w:rsidRPr="00B04166">
        <w:rPr>
          <w:color w:val="000000"/>
          <w:lang w:val="en-US"/>
        </w:rPr>
        <w:t>"</w:t>
      </w:r>
      <w:proofErr w:type="spellStart"/>
      <w:proofErr w:type="gramStart"/>
      <w:r w:rsidRPr="00B04166">
        <w:rPr>
          <w:color w:val="000000"/>
          <w:lang w:val="en-US"/>
        </w:rPr>
        <w:t>examplevariety</w:t>
      </w:r>
      <w:proofErr w:type="spellEnd"/>
      <w:proofErr w:type="gramEnd"/>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roofErr w:type="spellStart"/>
      <w:r w:rsidRPr="00B04166">
        <w:rPr>
          <w:color w:val="000000"/>
          <w:lang w:val="en-US"/>
        </w:rPr>
        <w:t>alleleid</w:t>
      </w:r>
      <w:proofErr w:type="spellEnd"/>
      <w:r w:rsidRPr="00B04166">
        <w:rPr>
          <w:color w:val="000000"/>
          <w:lang w:val="en-US"/>
        </w:rPr>
        <w:t>": "246/246",</w:t>
      </w:r>
    </w:p>
    <w:p w:rsidR="00DF1F17" w:rsidRPr="00B04166" w:rsidRDefault="00DF1F17" w:rsidP="00DF1F17">
      <w:pPr>
        <w:rPr>
          <w:rFonts w:eastAsia="Calibri" w:cs="Arial"/>
          <w:color w:val="000000"/>
          <w:lang w:val="en-US"/>
        </w:rPr>
      </w:pPr>
      <w:r w:rsidRPr="00B04166">
        <w:rPr>
          <w:color w:val="000000"/>
          <w:lang w:val="en-US"/>
        </w:rPr>
        <w:t>"</w:t>
      </w:r>
      <w:proofErr w:type="spellStart"/>
      <w:proofErr w:type="gramStart"/>
      <w:r w:rsidRPr="00B04166">
        <w:rPr>
          <w:color w:val="000000"/>
          <w:lang w:val="en-US"/>
        </w:rPr>
        <w:t>examplevariety</w:t>
      </w:r>
      <w:proofErr w:type="spellEnd"/>
      <w:proofErr w:type="gramEnd"/>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roofErr w:type="spellStart"/>
      <w:r w:rsidRPr="00B04166">
        <w:rPr>
          <w:color w:val="000000"/>
          <w:lang w:val="en-US"/>
        </w:rPr>
        <w:t>alleleid</w:t>
      </w:r>
      <w:proofErr w:type="spellEnd"/>
      <w:r w:rsidRPr="00B04166">
        <w:rPr>
          <w:color w:val="000000"/>
          <w:lang w:val="en-US"/>
        </w:rPr>
        <w:t>": "246/248",</w:t>
      </w:r>
    </w:p>
    <w:p w:rsidR="00DF1F17" w:rsidRPr="00B04166" w:rsidRDefault="00DF1F17" w:rsidP="00DF1F17">
      <w:pPr>
        <w:rPr>
          <w:rFonts w:eastAsia="Calibri" w:cs="Arial"/>
          <w:color w:val="000000"/>
          <w:lang w:val="en-US"/>
        </w:rPr>
      </w:pPr>
      <w:r w:rsidRPr="00B04166">
        <w:rPr>
          <w:color w:val="000000"/>
          <w:lang w:val="en-US"/>
        </w:rPr>
        <w:t>"</w:t>
      </w:r>
      <w:proofErr w:type="spellStart"/>
      <w:proofErr w:type="gramStart"/>
      <w:r w:rsidRPr="00B04166">
        <w:rPr>
          <w:color w:val="000000"/>
          <w:lang w:val="en-US"/>
        </w:rPr>
        <w:t>examplevariety</w:t>
      </w:r>
      <w:proofErr w:type="spellEnd"/>
      <w:proofErr w:type="gramEnd"/>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roofErr w:type="spellStart"/>
      <w:r w:rsidRPr="00B04166">
        <w:rPr>
          <w:color w:val="000000"/>
          <w:lang w:val="en-US"/>
        </w:rPr>
        <w:t>alleleid</w:t>
      </w:r>
      <w:proofErr w:type="spellEnd"/>
      <w:r w:rsidRPr="00B04166">
        <w:rPr>
          <w:color w:val="000000"/>
          <w:lang w:val="en-US"/>
        </w:rPr>
        <w:t>": "246/250",</w:t>
      </w:r>
    </w:p>
    <w:p w:rsidR="00DF1F17" w:rsidRPr="00B04166" w:rsidRDefault="00DF1F17" w:rsidP="00DF1F17">
      <w:pPr>
        <w:rPr>
          <w:rFonts w:eastAsia="Calibri" w:cs="Arial"/>
          <w:color w:val="000000"/>
          <w:lang w:val="en-US"/>
        </w:rPr>
      </w:pPr>
      <w:r w:rsidRPr="00B04166">
        <w:rPr>
          <w:color w:val="000000"/>
          <w:lang w:val="en-US"/>
        </w:rPr>
        <w:t>"</w:t>
      </w:r>
      <w:proofErr w:type="spellStart"/>
      <w:proofErr w:type="gramStart"/>
      <w:r w:rsidRPr="00B04166">
        <w:rPr>
          <w:color w:val="000000"/>
          <w:lang w:val="en-US"/>
        </w:rPr>
        <w:t>examplevariety</w:t>
      </w:r>
      <w:proofErr w:type="spellEnd"/>
      <w:proofErr w:type="gramEnd"/>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roofErr w:type="spellStart"/>
      <w:r w:rsidRPr="00B04166">
        <w:rPr>
          <w:color w:val="000000"/>
          <w:lang w:val="en-US"/>
        </w:rPr>
        <w:t>alleleid</w:t>
      </w:r>
      <w:proofErr w:type="spellEnd"/>
      <w:r w:rsidRPr="00B04166">
        <w:rPr>
          <w:color w:val="000000"/>
          <w:lang w:val="en-US"/>
        </w:rPr>
        <w:t>": "246/254",</w:t>
      </w:r>
    </w:p>
    <w:p w:rsidR="00DF1F17" w:rsidRPr="00B04166" w:rsidRDefault="00DF1F17" w:rsidP="00DF1F17">
      <w:pPr>
        <w:rPr>
          <w:rFonts w:eastAsia="Calibri" w:cs="Arial"/>
          <w:color w:val="000000"/>
          <w:lang w:val="en-US"/>
        </w:rPr>
      </w:pPr>
      <w:r w:rsidRPr="00B04166">
        <w:rPr>
          <w:color w:val="000000"/>
          <w:lang w:val="en-US"/>
        </w:rPr>
        <w:t>"</w:t>
      </w:r>
      <w:proofErr w:type="spellStart"/>
      <w:proofErr w:type="gramStart"/>
      <w:r w:rsidRPr="00B04166">
        <w:rPr>
          <w:color w:val="000000"/>
          <w:lang w:val="en-US"/>
        </w:rPr>
        <w:t>examplevariety</w:t>
      </w:r>
      <w:proofErr w:type="spellEnd"/>
      <w:proofErr w:type="gramEnd"/>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roofErr w:type="spellStart"/>
      <w:r w:rsidRPr="00B04166">
        <w:rPr>
          <w:color w:val="000000"/>
          <w:lang w:val="en-US"/>
        </w:rPr>
        <w:t>alleleid</w:t>
      </w:r>
      <w:proofErr w:type="spellEnd"/>
      <w:r w:rsidRPr="00B04166">
        <w:rPr>
          <w:color w:val="000000"/>
          <w:lang w:val="en-US"/>
        </w:rPr>
        <w:t>": "246/256",</w:t>
      </w:r>
    </w:p>
    <w:p w:rsidR="00DF1F17" w:rsidRPr="00B04166" w:rsidRDefault="00DF1F17" w:rsidP="00DF1F17">
      <w:pPr>
        <w:rPr>
          <w:rFonts w:eastAsia="Calibri" w:cs="Arial"/>
          <w:color w:val="000000"/>
          <w:lang w:val="en-US"/>
        </w:rPr>
      </w:pPr>
      <w:r w:rsidRPr="00B04166">
        <w:rPr>
          <w:color w:val="000000"/>
          <w:lang w:val="en-US"/>
        </w:rPr>
        <w:t>"</w:t>
      </w:r>
      <w:proofErr w:type="spellStart"/>
      <w:proofErr w:type="gramStart"/>
      <w:r w:rsidRPr="00B04166">
        <w:rPr>
          <w:color w:val="000000"/>
          <w:lang w:val="en-US"/>
        </w:rPr>
        <w:t>examplevariety</w:t>
      </w:r>
      <w:proofErr w:type="spellEnd"/>
      <w:proofErr w:type="gramEnd"/>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roofErr w:type="spellStart"/>
      <w:r w:rsidRPr="00B04166">
        <w:rPr>
          <w:color w:val="000000"/>
          <w:lang w:val="en-US"/>
        </w:rPr>
        <w:t>alleleid</w:t>
      </w:r>
      <w:proofErr w:type="spellEnd"/>
      <w:r w:rsidRPr="00B04166">
        <w:rPr>
          <w:color w:val="000000"/>
          <w:lang w:val="en-US"/>
        </w:rPr>
        <w:t>": "246/260",</w:t>
      </w:r>
    </w:p>
    <w:p w:rsidR="00DF1F17" w:rsidRPr="00B04166" w:rsidRDefault="00DF1F17" w:rsidP="00DF1F17">
      <w:pPr>
        <w:rPr>
          <w:rFonts w:eastAsia="Calibri" w:cs="Arial"/>
          <w:color w:val="000000"/>
          <w:lang w:val="en-US"/>
        </w:rPr>
      </w:pPr>
      <w:r w:rsidRPr="00B04166">
        <w:rPr>
          <w:color w:val="000000"/>
          <w:lang w:val="en-US"/>
        </w:rPr>
        <w:t>"</w:t>
      </w:r>
      <w:proofErr w:type="spellStart"/>
      <w:proofErr w:type="gramStart"/>
      <w:r w:rsidRPr="00B04166">
        <w:rPr>
          <w:color w:val="000000"/>
          <w:lang w:val="en-US"/>
        </w:rPr>
        <w:t>examplevariety</w:t>
      </w:r>
      <w:proofErr w:type="spellEnd"/>
      <w:proofErr w:type="gramEnd"/>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roofErr w:type="spellStart"/>
      <w:r w:rsidRPr="00B04166">
        <w:rPr>
          <w:color w:val="000000"/>
          <w:lang w:val="en-US"/>
        </w:rPr>
        <w:t>alleleid</w:t>
      </w:r>
      <w:proofErr w:type="spellEnd"/>
      <w:r w:rsidRPr="00B04166">
        <w:rPr>
          <w:color w:val="000000"/>
          <w:lang w:val="en-US"/>
        </w:rPr>
        <w:t>": "246/277",</w:t>
      </w:r>
    </w:p>
    <w:p w:rsidR="00DF1F17" w:rsidRPr="00B04166" w:rsidRDefault="00DF1F17" w:rsidP="00DF1F17">
      <w:pPr>
        <w:rPr>
          <w:rFonts w:eastAsia="Calibri" w:cs="Arial"/>
          <w:color w:val="000000"/>
          <w:lang w:val="en-US"/>
        </w:rPr>
      </w:pPr>
      <w:r w:rsidRPr="00B04166">
        <w:rPr>
          <w:color w:val="000000"/>
          <w:lang w:val="en-US"/>
        </w:rPr>
        <w:t>"</w:t>
      </w:r>
      <w:proofErr w:type="spellStart"/>
      <w:proofErr w:type="gramStart"/>
      <w:r w:rsidRPr="00B04166">
        <w:rPr>
          <w:color w:val="000000"/>
          <w:lang w:val="en-US"/>
        </w:rPr>
        <w:t>examplevariety</w:t>
      </w:r>
      <w:proofErr w:type="spellEnd"/>
      <w:proofErr w:type="gramEnd"/>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roofErr w:type="spellStart"/>
      <w:r w:rsidRPr="00B04166">
        <w:rPr>
          <w:color w:val="000000"/>
          <w:lang w:val="en-US"/>
        </w:rPr>
        <w:t>alleleid</w:t>
      </w:r>
      <w:proofErr w:type="spellEnd"/>
      <w:r w:rsidRPr="00B04166">
        <w:rPr>
          <w:color w:val="000000"/>
          <w:lang w:val="en-US"/>
        </w:rPr>
        <w:t>": "246/284",</w:t>
      </w:r>
    </w:p>
    <w:p w:rsidR="00DF1F17" w:rsidRPr="00B04166" w:rsidRDefault="00DF1F17" w:rsidP="00DF1F17">
      <w:pPr>
        <w:rPr>
          <w:rFonts w:eastAsia="Calibri" w:cs="Arial"/>
          <w:color w:val="000000"/>
          <w:lang w:val="en-US"/>
        </w:rPr>
      </w:pPr>
      <w:r w:rsidRPr="00B04166">
        <w:rPr>
          <w:color w:val="000000"/>
          <w:lang w:val="en-US"/>
        </w:rPr>
        <w:t>"</w:t>
      </w:r>
      <w:proofErr w:type="spellStart"/>
      <w:proofErr w:type="gramStart"/>
      <w:r w:rsidRPr="00B04166">
        <w:rPr>
          <w:color w:val="000000"/>
          <w:lang w:val="en-US"/>
        </w:rPr>
        <w:t>examplevariety</w:t>
      </w:r>
      <w:proofErr w:type="spellEnd"/>
      <w:proofErr w:type="gramEnd"/>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roofErr w:type="spellStart"/>
      <w:r w:rsidRPr="00B04166">
        <w:rPr>
          <w:color w:val="000000"/>
          <w:lang w:val="en-US"/>
        </w:rPr>
        <w:t>alleleid</w:t>
      </w:r>
      <w:proofErr w:type="spellEnd"/>
      <w:r w:rsidRPr="00B04166">
        <w:rPr>
          <w:color w:val="000000"/>
          <w:lang w:val="en-US"/>
        </w:rPr>
        <w:t>": "246/288",</w:t>
      </w:r>
    </w:p>
    <w:p w:rsidR="00DF1F17" w:rsidRPr="00B04166" w:rsidRDefault="00DF1F17" w:rsidP="00DF1F17">
      <w:pPr>
        <w:rPr>
          <w:rFonts w:eastAsia="Calibri" w:cs="Arial"/>
          <w:color w:val="000000"/>
          <w:lang w:val="en-US"/>
        </w:rPr>
      </w:pPr>
      <w:r w:rsidRPr="00B04166">
        <w:rPr>
          <w:color w:val="000000"/>
          <w:lang w:val="en-US"/>
        </w:rPr>
        <w:t>"</w:t>
      </w:r>
      <w:proofErr w:type="spellStart"/>
      <w:proofErr w:type="gramStart"/>
      <w:r w:rsidRPr="00B04166">
        <w:rPr>
          <w:color w:val="000000"/>
          <w:lang w:val="en-US"/>
        </w:rPr>
        <w:t>examplevariety</w:t>
      </w:r>
      <w:proofErr w:type="spellEnd"/>
      <w:proofErr w:type="gramEnd"/>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roofErr w:type="spellStart"/>
      <w:r w:rsidRPr="00B04166">
        <w:rPr>
          <w:color w:val="000000"/>
          <w:lang w:val="en-US"/>
        </w:rPr>
        <w:t>alleleid</w:t>
      </w:r>
      <w:proofErr w:type="spellEnd"/>
      <w:r w:rsidRPr="00B04166">
        <w:rPr>
          <w:color w:val="000000"/>
          <w:lang w:val="en-US"/>
        </w:rPr>
        <w:t>": "248/250",</w:t>
      </w:r>
    </w:p>
    <w:p w:rsidR="00DF1F17" w:rsidRPr="00B04166" w:rsidRDefault="00DF1F17" w:rsidP="00DF1F17">
      <w:pPr>
        <w:rPr>
          <w:rFonts w:eastAsia="Calibri" w:cs="Arial"/>
          <w:color w:val="000000"/>
          <w:lang w:val="en-US"/>
        </w:rPr>
      </w:pPr>
      <w:r w:rsidRPr="00B04166">
        <w:rPr>
          <w:color w:val="000000"/>
          <w:lang w:val="en-US"/>
        </w:rPr>
        <w:t>"</w:t>
      </w:r>
      <w:proofErr w:type="spellStart"/>
      <w:proofErr w:type="gramStart"/>
      <w:r w:rsidRPr="00B04166">
        <w:rPr>
          <w:color w:val="000000"/>
          <w:lang w:val="en-US"/>
        </w:rPr>
        <w:t>examplevariety</w:t>
      </w:r>
      <w:proofErr w:type="spellEnd"/>
      <w:proofErr w:type="gramEnd"/>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roofErr w:type="spellStart"/>
      <w:r w:rsidRPr="00B04166">
        <w:rPr>
          <w:color w:val="000000"/>
          <w:lang w:val="en-US"/>
        </w:rPr>
        <w:t>alleleid</w:t>
      </w:r>
      <w:proofErr w:type="spellEnd"/>
      <w:r w:rsidRPr="00B04166">
        <w:rPr>
          <w:color w:val="000000"/>
          <w:lang w:val="en-US"/>
        </w:rPr>
        <w:t>": "248/256",</w:t>
      </w:r>
    </w:p>
    <w:p w:rsidR="00DF1F17" w:rsidRPr="00B04166" w:rsidRDefault="00DF1F17" w:rsidP="00DF1F17">
      <w:pPr>
        <w:rPr>
          <w:rFonts w:eastAsia="Calibri" w:cs="Arial"/>
          <w:color w:val="000000"/>
          <w:lang w:val="en-US"/>
        </w:rPr>
      </w:pPr>
      <w:r w:rsidRPr="00B04166">
        <w:rPr>
          <w:color w:val="000000"/>
          <w:lang w:val="en-US"/>
        </w:rPr>
        <w:t>"</w:t>
      </w:r>
      <w:proofErr w:type="spellStart"/>
      <w:proofErr w:type="gramStart"/>
      <w:r w:rsidRPr="00B04166">
        <w:rPr>
          <w:color w:val="000000"/>
          <w:lang w:val="en-US"/>
        </w:rPr>
        <w:t>examplevariety</w:t>
      </w:r>
      <w:proofErr w:type="spellEnd"/>
      <w:proofErr w:type="gramEnd"/>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roofErr w:type="spellStart"/>
      <w:r w:rsidRPr="00B04166">
        <w:rPr>
          <w:color w:val="000000"/>
          <w:lang w:val="en-US"/>
        </w:rPr>
        <w:t>alleleid</w:t>
      </w:r>
      <w:proofErr w:type="spellEnd"/>
      <w:r w:rsidRPr="00B04166">
        <w:rPr>
          <w:color w:val="000000"/>
          <w:lang w:val="en-US"/>
        </w:rPr>
        <w:t>": "248/271",</w:t>
      </w:r>
    </w:p>
    <w:p w:rsidR="00DF1F17" w:rsidRPr="00B04166" w:rsidRDefault="00DF1F17" w:rsidP="00DF1F17">
      <w:pPr>
        <w:rPr>
          <w:rFonts w:eastAsia="Calibri" w:cs="Arial"/>
          <w:color w:val="000000"/>
          <w:lang w:val="en-US"/>
        </w:rPr>
      </w:pPr>
      <w:r w:rsidRPr="00B04166">
        <w:rPr>
          <w:color w:val="000000"/>
          <w:lang w:val="en-US"/>
        </w:rPr>
        <w:t>"</w:t>
      </w:r>
      <w:proofErr w:type="spellStart"/>
      <w:proofErr w:type="gramStart"/>
      <w:r w:rsidRPr="00B04166">
        <w:rPr>
          <w:color w:val="000000"/>
          <w:lang w:val="en-US"/>
        </w:rPr>
        <w:t>examplevariety</w:t>
      </w:r>
      <w:proofErr w:type="spellEnd"/>
      <w:proofErr w:type="gramEnd"/>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roofErr w:type="spellStart"/>
      <w:r w:rsidRPr="00B04166">
        <w:rPr>
          <w:color w:val="000000"/>
          <w:lang w:val="en-US"/>
        </w:rPr>
        <w:t>alleleid</w:t>
      </w:r>
      <w:proofErr w:type="spellEnd"/>
      <w:r w:rsidRPr="00B04166">
        <w:rPr>
          <w:color w:val="000000"/>
          <w:lang w:val="en-US"/>
        </w:rPr>
        <w:t>": "248/290",</w:t>
      </w:r>
    </w:p>
    <w:p w:rsidR="00DF1F17" w:rsidRPr="00B04166" w:rsidRDefault="00DF1F17" w:rsidP="00DF1F17">
      <w:pPr>
        <w:rPr>
          <w:rFonts w:eastAsia="Calibri" w:cs="Arial"/>
          <w:color w:val="000000"/>
          <w:lang w:val="en-US"/>
        </w:rPr>
      </w:pPr>
      <w:r w:rsidRPr="00B04166">
        <w:rPr>
          <w:color w:val="000000"/>
          <w:lang w:val="en-US"/>
        </w:rPr>
        <w:t>"</w:t>
      </w:r>
      <w:proofErr w:type="spellStart"/>
      <w:proofErr w:type="gramStart"/>
      <w:r w:rsidRPr="00B04166">
        <w:rPr>
          <w:color w:val="000000"/>
          <w:lang w:val="en-US"/>
        </w:rPr>
        <w:t>examplevariety</w:t>
      </w:r>
      <w:proofErr w:type="spellEnd"/>
      <w:proofErr w:type="gramEnd"/>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roofErr w:type="spellStart"/>
      <w:r w:rsidRPr="00B04166">
        <w:rPr>
          <w:color w:val="000000"/>
          <w:lang w:val="en-US"/>
        </w:rPr>
        <w:t>alleleid</w:t>
      </w:r>
      <w:proofErr w:type="spellEnd"/>
      <w:r w:rsidRPr="00B04166">
        <w:rPr>
          <w:color w:val="000000"/>
          <w:lang w:val="en-US"/>
        </w:rPr>
        <w:t>": "250/250",</w:t>
      </w:r>
    </w:p>
    <w:p w:rsidR="00DF1F17" w:rsidRPr="00B04166" w:rsidRDefault="00DF1F17" w:rsidP="00DF1F17">
      <w:pPr>
        <w:rPr>
          <w:rFonts w:eastAsia="Calibri" w:cs="Arial"/>
          <w:color w:val="000000"/>
          <w:lang w:val="en-US"/>
        </w:rPr>
      </w:pPr>
      <w:r w:rsidRPr="00B04166">
        <w:rPr>
          <w:color w:val="000000"/>
          <w:lang w:val="en-US"/>
        </w:rPr>
        <w:t>"</w:t>
      </w:r>
      <w:proofErr w:type="spellStart"/>
      <w:proofErr w:type="gramStart"/>
      <w:r w:rsidRPr="00B04166">
        <w:rPr>
          <w:color w:val="000000"/>
          <w:lang w:val="en-US"/>
        </w:rPr>
        <w:t>examplevariety</w:t>
      </w:r>
      <w:proofErr w:type="spellEnd"/>
      <w:proofErr w:type="gramEnd"/>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roofErr w:type="spellStart"/>
      <w:r w:rsidRPr="00B04166">
        <w:rPr>
          <w:color w:val="000000"/>
          <w:lang w:val="en-US"/>
        </w:rPr>
        <w:t>alleleid</w:t>
      </w:r>
      <w:proofErr w:type="spellEnd"/>
      <w:r w:rsidRPr="00B04166">
        <w:rPr>
          <w:color w:val="000000"/>
          <w:lang w:val="en-US"/>
        </w:rPr>
        <w:t>": "250/252",</w:t>
      </w:r>
    </w:p>
    <w:p w:rsidR="00DF1F17" w:rsidRPr="00B04166" w:rsidRDefault="00DF1F17" w:rsidP="00DF1F17">
      <w:pPr>
        <w:rPr>
          <w:rFonts w:eastAsia="Calibri" w:cs="Arial"/>
          <w:color w:val="000000"/>
          <w:lang w:val="en-US"/>
        </w:rPr>
      </w:pPr>
      <w:r w:rsidRPr="00B04166">
        <w:rPr>
          <w:color w:val="000000"/>
          <w:lang w:val="en-US"/>
        </w:rPr>
        <w:t>"</w:t>
      </w:r>
      <w:proofErr w:type="spellStart"/>
      <w:proofErr w:type="gramStart"/>
      <w:r w:rsidRPr="00B04166">
        <w:rPr>
          <w:color w:val="000000"/>
          <w:lang w:val="en-US"/>
        </w:rPr>
        <w:t>examplevariety</w:t>
      </w:r>
      <w:proofErr w:type="spellEnd"/>
      <w:proofErr w:type="gramEnd"/>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roofErr w:type="spellStart"/>
      <w:r w:rsidRPr="00B04166">
        <w:rPr>
          <w:color w:val="000000"/>
          <w:lang w:val="en-US"/>
        </w:rPr>
        <w:t>alleleid</w:t>
      </w:r>
      <w:proofErr w:type="spellEnd"/>
      <w:r w:rsidRPr="00B04166">
        <w:rPr>
          <w:color w:val="000000"/>
          <w:lang w:val="en-US"/>
        </w:rPr>
        <w:t>": "250/256",</w:t>
      </w:r>
    </w:p>
    <w:p w:rsidR="00DF1F17" w:rsidRPr="00B04166" w:rsidRDefault="00DF1F17" w:rsidP="00DF1F17">
      <w:pPr>
        <w:rPr>
          <w:rFonts w:eastAsia="Calibri" w:cs="Arial"/>
          <w:color w:val="000000"/>
          <w:lang w:val="en-US"/>
        </w:rPr>
      </w:pPr>
      <w:r w:rsidRPr="00B04166">
        <w:rPr>
          <w:color w:val="000000"/>
          <w:lang w:val="en-US"/>
        </w:rPr>
        <w:t>"</w:t>
      </w:r>
      <w:proofErr w:type="spellStart"/>
      <w:proofErr w:type="gramStart"/>
      <w:r w:rsidRPr="00B04166">
        <w:rPr>
          <w:color w:val="000000"/>
          <w:lang w:val="en-US"/>
        </w:rPr>
        <w:t>examplevariety</w:t>
      </w:r>
      <w:proofErr w:type="spellEnd"/>
      <w:proofErr w:type="gramEnd"/>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roofErr w:type="spellStart"/>
      <w:r w:rsidRPr="00B04166">
        <w:rPr>
          <w:color w:val="000000"/>
          <w:lang w:val="en-US"/>
        </w:rPr>
        <w:t>alleleid</w:t>
      </w:r>
      <w:proofErr w:type="spellEnd"/>
      <w:r w:rsidRPr="00B04166">
        <w:rPr>
          <w:color w:val="000000"/>
          <w:lang w:val="en-US"/>
        </w:rPr>
        <w:t>": "250/275",</w:t>
      </w:r>
    </w:p>
    <w:p w:rsidR="00DF1F17" w:rsidRPr="00B04166" w:rsidRDefault="00DF1F17" w:rsidP="00DF1F17">
      <w:pPr>
        <w:rPr>
          <w:rFonts w:eastAsia="Calibri" w:cs="Arial"/>
          <w:color w:val="000000"/>
          <w:lang w:val="en-US"/>
        </w:rPr>
      </w:pPr>
      <w:r w:rsidRPr="00B04166">
        <w:rPr>
          <w:color w:val="000000"/>
          <w:lang w:val="en-US"/>
        </w:rPr>
        <w:t>"</w:t>
      </w:r>
      <w:proofErr w:type="spellStart"/>
      <w:proofErr w:type="gramStart"/>
      <w:r w:rsidRPr="00B04166">
        <w:rPr>
          <w:color w:val="000000"/>
          <w:lang w:val="en-US"/>
        </w:rPr>
        <w:t>examplevariety</w:t>
      </w:r>
      <w:proofErr w:type="spellEnd"/>
      <w:proofErr w:type="gramEnd"/>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roofErr w:type="spellStart"/>
      <w:r w:rsidRPr="00B04166">
        <w:rPr>
          <w:color w:val="000000"/>
          <w:lang w:val="en-US"/>
        </w:rPr>
        <w:t>alleleid</w:t>
      </w:r>
      <w:proofErr w:type="spellEnd"/>
      <w:r w:rsidRPr="00B04166">
        <w:rPr>
          <w:color w:val="000000"/>
          <w:lang w:val="en-US"/>
        </w:rPr>
        <w:t>": "252/256",</w:t>
      </w:r>
    </w:p>
    <w:p w:rsidR="00DF1F17" w:rsidRPr="00B04166" w:rsidRDefault="00DF1F17" w:rsidP="00DF1F17">
      <w:pPr>
        <w:rPr>
          <w:rFonts w:eastAsia="Calibri" w:cs="Arial"/>
          <w:color w:val="000000"/>
          <w:lang w:val="en-US"/>
        </w:rPr>
      </w:pPr>
      <w:r w:rsidRPr="00B04166">
        <w:rPr>
          <w:color w:val="000000"/>
          <w:lang w:val="en-US"/>
        </w:rPr>
        <w:t>"</w:t>
      </w:r>
      <w:proofErr w:type="spellStart"/>
      <w:proofErr w:type="gramStart"/>
      <w:r w:rsidRPr="00B04166">
        <w:rPr>
          <w:color w:val="000000"/>
          <w:lang w:val="en-US"/>
        </w:rPr>
        <w:t>examplevariety</w:t>
      </w:r>
      <w:proofErr w:type="spellEnd"/>
      <w:proofErr w:type="gramEnd"/>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roofErr w:type="spellStart"/>
      <w:r w:rsidRPr="00B04166">
        <w:rPr>
          <w:color w:val="000000"/>
          <w:lang w:val="en-US"/>
        </w:rPr>
        <w:t>alleleid</w:t>
      </w:r>
      <w:proofErr w:type="spellEnd"/>
      <w:r w:rsidRPr="00B04166">
        <w:rPr>
          <w:color w:val="000000"/>
          <w:lang w:val="en-US"/>
        </w:rPr>
        <w:t>": "252/260",</w:t>
      </w:r>
    </w:p>
    <w:p w:rsidR="00DF1F17" w:rsidRPr="00B04166" w:rsidRDefault="00DF1F17" w:rsidP="00DF1F17">
      <w:pPr>
        <w:rPr>
          <w:rFonts w:eastAsia="Calibri" w:cs="Arial"/>
          <w:color w:val="000000"/>
          <w:lang w:val="en-US"/>
        </w:rPr>
      </w:pPr>
      <w:r w:rsidRPr="00B04166">
        <w:rPr>
          <w:color w:val="000000"/>
          <w:lang w:val="en-US"/>
        </w:rPr>
        <w:t>"</w:t>
      </w:r>
      <w:proofErr w:type="spellStart"/>
      <w:proofErr w:type="gramStart"/>
      <w:r w:rsidRPr="00B04166">
        <w:rPr>
          <w:color w:val="000000"/>
          <w:lang w:val="en-US"/>
        </w:rPr>
        <w:t>examplevariety</w:t>
      </w:r>
      <w:proofErr w:type="spellEnd"/>
      <w:proofErr w:type="gramEnd"/>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roofErr w:type="spellStart"/>
      <w:r w:rsidRPr="00B04166">
        <w:rPr>
          <w:color w:val="000000"/>
          <w:lang w:val="en-US"/>
        </w:rPr>
        <w:t>alleleid</w:t>
      </w:r>
      <w:proofErr w:type="spellEnd"/>
      <w:r w:rsidRPr="00B04166">
        <w:rPr>
          <w:color w:val="000000"/>
          <w:lang w:val="en-US"/>
        </w:rPr>
        <w:t>": "252/271",</w:t>
      </w:r>
    </w:p>
    <w:p w:rsidR="00DF1F17" w:rsidRPr="00B04166" w:rsidRDefault="00DF1F17" w:rsidP="00DF1F17">
      <w:pPr>
        <w:rPr>
          <w:rFonts w:eastAsia="Calibri" w:cs="Arial"/>
          <w:color w:val="000000"/>
          <w:lang w:val="en-US"/>
        </w:rPr>
      </w:pPr>
      <w:r w:rsidRPr="00B04166">
        <w:rPr>
          <w:color w:val="000000"/>
          <w:lang w:val="en-US"/>
        </w:rPr>
        <w:t>"</w:t>
      </w:r>
      <w:proofErr w:type="spellStart"/>
      <w:proofErr w:type="gramStart"/>
      <w:r w:rsidRPr="00B04166">
        <w:rPr>
          <w:color w:val="000000"/>
          <w:lang w:val="en-US"/>
        </w:rPr>
        <w:t>examplevariety</w:t>
      </w:r>
      <w:proofErr w:type="spellEnd"/>
      <w:proofErr w:type="gramEnd"/>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roofErr w:type="spellStart"/>
      <w:r w:rsidRPr="00B04166">
        <w:rPr>
          <w:color w:val="000000"/>
          <w:lang w:val="en-US"/>
        </w:rPr>
        <w:t>alleleid</w:t>
      </w:r>
      <w:proofErr w:type="spellEnd"/>
      <w:r w:rsidRPr="00B04166">
        <w:rPr>
          <w:color w:val="000000"/>
          <w:lang w:val="en-US"/>
        </w:rPr>
        <w:t>": "252/273",</w:t>
      </w:r>
    </w:p>
    <w:p w:rsidR="00DF1F17" w:rsidRPr="00B04166" w:rsidRDefault="00DF1F17" w:rsidP="00DF1F17">
      <w:pPr>
        <w:rPr>
          <w:rFonts w:eastAsia="Calibri" w:cs="Arial"/>
          <w:color w:val="000000"/>
          <w:lang w:val="en-US"/>
        </w:rPr>
      </w:pPr>
      <w:r w:rsidRPr="00B04166">
        <w:rPr>
          <w:color w:val="000000"/>
          <w:lang w:val="en-US"/>
        </w:rPr>
        <w:t>"</w:t>
      </w:r>
      <w:proofErr w:type="spellStart"/>
      <w:proofErr w:type="gramStart"/>
      <w:r w:rsidRPr="00B04166">
        <w:rPr>
          <w:color w:val="000000"/>
          <w:lang w:val="en-US"/>
        </w:rPr>
        <w:t>examplevariety</w:t>
      </w:r>
      <w:proofErr w:type="spellEnd"/>
      <w:proofErr w:type="gramEnd"/>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roofErr w:type="spellStart"/>
      <w:r w:rsidRPr="00B04166">
        <w:rPr>
          <w:color w:val="000000"/>
          <w:lang w:val="en-US"/>
        </w:rPr>
        <w:t>alleleid</w:t>
      </w:r>
      <w:proofErr w:type="spellEnd"/>
      <w:r w:rsidRPr="00B04166">
        <w:rPr>
          <w:color w:val="000000"/>
          <w:lang w:val="en-US"/>
        </w:rPr>
        <w:t>": "252/282",</w:t>
      </w:r>
    </w:p>
    <w:p w:rsidR="00DF1F17" w:rsidRPr="00B04166" w:rsidRDefault="00DF1F17" w:rsidP="00DF1F17">
      <w:pPr>
        <w:rPr>
          <w:rFonts w:eastAsia="Calibri" w:cs="Arial"/>
          <w:color w:val="000000"/>
          <w:lang w:val="en-US"/>
        </w:rPr>
      </w:pPr>
      <w:r w:rsidRPr="00B04166">
        <w:rPr>
          <w:color w:val="000000"/>
          <w:lang w:val="en-US"/>
        </w:rPr>
        <w:t>"</w:t>
      </w:r>
      <w:proofErr w:type="spellStart"/>
      <w:proofErr w:type="gramStart"/>
      <w:r w:rsidRPr="00B04166">
        <w:rPr>
          <w:color w:val="000000"/>
          <w:lang w:val="en-US"/>
        </w:rPr>
        <w:t>examplevariety</w:t>
      </w:r>
      <w:proofErr w:type="spellEnd"/>
      <w:proofErr w:type="gramEnd"/>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roofErr w:type="spellStart"/>
      <w:r w:rsidRPr="00B04166">
        <w:rPr>
          <w:color w:val="000000"/>
          <w:lang w:val="en-US"/>
        </w:rPr>
        <w:t>alleleid</w:t>
      </w:r>
      <w:proofErr w:type="spellEnd"/>
      <w:r w:rsidRPr="00B04166">
        <w:rPr>
          <w:color w:val="000000"/>
          <w:lang w:val="en-US"/>
        </w:rPr>
        <w:t>": "254/254",</w:t>
      </w:r>
    </w:p>
    <w:p w:rsidR="00DF1F17" w:rsidRPr="00B04166" w:rsidRDefault="00DF1F17" w:rsidP="00DF1F17">
      <w:pPr>
        <w:rPr>
          <w:rFonts w:eastAsia="Calibri" w:cs="Arial"/>
          <w:color w:val="000000"/>
          <w:lang w:val="en-US"/>
        </w:rPr>
      </w:pPr>
      <w:r w:rsidRPr="00B04166">
        <w:rPr>
          <w:color w:val="000000"/>
          <w:lang w:val="en-US"/>
        </w:rPr>
        <w:t>"</w:t>
      </w:r>
      <w:proofErr w:type="spellStart"/>
      <w:proofErr w:type="gramStart"/>
      <w:r w:rsidRPr="00B04166">
        <w:rPr>
          <w:color w:val="000000"/>
          <w:lang w:val="en-US"/>
        </w:rPr>
        <w:t>examplevariety</w:t>
      </w:r>
      <w:proofErr w:type="spellEnd"/>
      <w:proofErr w:type="gramEnd"/>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roofErr w:type="spellStart"/>
      <w:r w:rsidRPr="00B04166">
        <w:rPr>
          <w:color w:val="000000"/>
          <w:lang w:val="en-US"/>
        </w:rPr>
        <w:t>alleleid</w:t>
      </w:r>
      <w:proofErr w:type="spellEnd"/>
      <w:r w:rsidRPr="00B04166">
        <w:rPr>
          <w:color w:val="000000"/>
          <w:lang w:val="en-US"/>
        </w:rPr>
        <w:t>": "254/271",</w:t>
      </w:r>
    </w:p>
    <w:p w:rsidR="00DF1F17" w:rsidRPr="00B04166" w:rsidRDefault="00DF1F17" w:rsidP="00DF1F17">
      <w:pPr>
        <w:rPr>
          <w:rFonts w:eastAsia="Calibri" w:cs="Arial"/>
          <w:color w:val="000000"/>
          <w:lang w:val="en-US"/>
        </w:rPr>
      </w:pPr>
      <w:r w:rsidRPr="00B04166">
        <w:rPr>
          <w:color w:val="000000"/>
          <w:lang w:val="en-US"/>
        </w:rPr>
        <w:t>"</w:t>
      </w:r>
      <w:proofErr w:type="spellStart"/>
      <w:proofErr w:type="gramStart"/>
      <w:r w:rsidRPr="00B04166">
        <w:rPr>
          <w:color w:val="000000"/>
          <w:lang w:val="en-US"/>
        </w:rPr>
        <w:t>examplevariety</w:t>
      </w:r>
      <w:proofErr w:type="spellEnd"/>
      <w:proofErr w:type="gramEnd"/>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roofErr w:type="spellStart"/>
      <w:r w:rsidRPr="00B04166">
        <w:rPr>
          <w:color w:val="000000"/>
          <w:lang w:val="en-US"/>
        </w:rPr>
        <w:t>alleleid</w:t>
      </w:r>
      <w:proofErr w:type="spellEnd"/>
      <w:r w:rsidRPr="00B04166">
        <w:rPr>
          <w:color w:val="000000"/>
          <w:lang w:val="en-US"/>
        </w:rPr>
        <w:t>": "254/284",</w:t>
      </w:r>
    </w:p>
    <w:p w:rsidR="00DF1F17" w:rsidRPr="00B04166" w:rsidRDefault="00DF1F17" w:rsidP="00DF1F17">
      <w:pPr>
        <w:rPr>
          <w:rFonts w:eastAsia="Calibri" w:cs="Arial"/>
          <w:color w:val="000000"/>
          <w:lang w:val="en-US"/>
        </w:rPr>
      </w:pPr>
      <w:r w:rsidRPr="00B04166">
        <w:rPr>
          <w:color w:val="000000"/>
          <w:lang w:val="en-US"/>
        </w:rPr>
        <w:t>"</w:t>
      </w:r>
      <w:proofErr w:type="spellStart"/>
      <w:proofErr w:type="gramStart"/>
      <w:r w:rsidRPr="00B04166">
        <w:rPr>
          <w:color w:val="000000"/>
          <w:lang w:val="en-US"/>
        </w:rPr>
        <w:t>examplevariety</w:t>
      </w:r>
      <w:proofErr w:type="spellEnd"/>
      <w:proofErr w:type="gramEnd"/>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roofErr w:type="spellStart"/>
      <w:r w:rsidRPr="00B04166">
        <w:rPr>
          <w:color w:val="000000"/>
          <w:lang w:val="en-US"/>
        </w:rPr>
        <w:t>alleleid</w:t>
      </w:r>
      <w:proofErr w:type="spellEnd"/>
      <w:r w:rsidRPr="00B04166">
        <w:rPr>
          <w:color w:val="000000"/>
          <w:lang w:val="en-US"/>
        </w:rPr>
        <w:t>": "254/286",</w:t>
      </w:r>
    </w:p>
    <w:p w:rsidR="00DF1F17" w:rsidRPr="00B04166" w:rsidRDefault="00DF1F17" w:rsidP="00DF1F17">
      <w:pPr>
        <w:rPr>
          <w:rFonts w:eastAsia="Calibri" w:cs="Arial"/>
          <w:color w:val="000000"/>
          <w:lang w:val="en-US"/>
        </w:rPr>
      </w:pPr>
      <w:r w:rsidRPr="00B04166">
        <w:rPr>
          <w:color w:val="000000"/>
          <w:lang w:val="en-US"/>
        </w:rPr>
        <w:t>"</w:t>
      </w:r>
      <w:proofErr w:type="spellStart"/>
      <w:proofErr w:type="gramStart"/>
      <w:r w:rsidRPr="00B04166">
        <w:rPr>
          <w:color w:val="000000"/>
          <w:lang w:val="en-US"/>
        </w:rPr>
        <w:t>examplevariety</w:t>
      </w:r>
      <w:proofErr w:type="spellEnd"/>
      <w:proofErr w:type="gramEnd"/>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roofErr w:type="spellStart"/>
      <w:r w:rsidRPr="00B04166">
        <w:rPr>
          <w:color w:val="000000"/>
          <w:lang w:val="en-US"/>
        </w:rPr>
        <w:t>alleleid</w:t>
      </w:r>
      <w:proofErr w:type="spellEnd"/>
      <w:r w:rsidRPr="00B04166">
        <w:rPr>
          <w:color w:val="000000"/>
          <w:lang w:val="en-US"/>
        </w:rPr>
        <w:t>": "256/256",</w:t>
      </w:r>
    </w:p>
    <w:p w:rsidR="00DF1F17" w:rsidRPr="00B04166" w:rsidRDefault="00DF1F17" w:rsidP="00DF1F17">
      <w:pPr>
        <w:rPr>
          <w:rFonts w:eastAsia="Calibri" w:cs="Arial"/>
          <w:color w:val="000000"/>
          <w:lang w:val="en-US"/>
        </w:rPr>
      </w:pPr>
      <w:r w:rsidRPr="00B04166">
        <w:rPr>
          <w:color w:val="000000"/>
          <w:lang w:val="en-US"/>
        </w:rPr>
        <w:t>"</w:t>
      </w:r>
      <w:proofErr w:type="spellStart"/>
      <w:proofErr w:type="gramStart"/>
      <w:r w:rsidRPr="00B04166">
        <w:rPr>
          <w:color w:val="000000"/>
          <w:lang w:val="en-US"/>
        </w:rPr>
        <w:t>examplevariety</w:t>
      </w:r>
      <w:proofErr w:type="spellEnd"/>
      <w:proofErr w:type="gramEnd"/>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roofErr w:type="spellStart"/>
      <w:r w:rsidRPr="00B04166">
        <w:rPr>
          <w:color w:val="000000"/>
          <w:lang w:val="en-US"/>
        </w:rPr>
        <w:t>alleleid</w:t>
      </w:r>
      <w:proofErr w:type="spellEnd"/>
      <w:r w:rsidRPr="00B04166">
        <w:rPr>
          <w:color w:val="000000"/>
          <w:lang w:val="en-US"/>
        </w:rPr>
        <w:t>": "256/264",</w:t>
      </w:r>
    </w:p>
    <w:p w:rsidR="00DF1F17" w:rsidRPr="00B04166" w:rsidRDefault="00DF1F17" w:rsidP="00DF1F17">
      <w:pPr>
        <w:rPr>
          <w:rFonts w:eastAsia="Calibri" w:cs="Arial"/>
          <w:color w:val="000000"/>
          <w:lang w:val="en-US"/>
        </w:rPr>
      </w:pPr>
      <w:r w:rsidRPr="00B04166">
        <w:rPr>
          <w:color w:val="000000"/>
          <w:lang w:val="en-US"/>
        </w:rPr>
        <w:t>"</w:t>
      </w:r>
      <w:proofErr w:type="spellStart"/>
      <w:proofErr w:type="gramStart"/>
      <w:r w:rsidRPr="00B04166">
        <w:rPr>
          <w:color w:val="000000"/>
          <w:lang w:val="en-US"/>
        </w:rPr>
        <w:t>examplevariety</w:t>
      </w:r>
      <w:proofErr w:type="spellEnd"/>
      <w:proofErr w:type="gramEnd"/>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roofErr w:type="spellStart"/>
      <w:r w:rsidRPr="00B04166">
        <w:rPr>
          <w:color w:val="000000"/>
          <w:lang w:val="en-US"/>
        </w:rPr>
        <w:t>alleleid</w:t>
      </w:r>
      <w:proofErr w:type="spellEnd"/>
      <w:r w:rsidRPr="00B04166">
        <w:rPr>
          <w:color w:val="000000"/>
          <w:lang w:val="en-US"/>
        </w:rPr>
        <w:t>": "256/266",</w:t>
      </w:r>
    </w:p>
    <w:p w:rsidR="00DF1F17" w:rsidRPr="00B04166" w:rsidRDefault="00DF1F17" w:rsidP="00DF1F17">
      <w:pPr>
        <w:rPr>
          <w:rFonts w:eastAsia="Calibri" w:cs="Arial"/>
          <w:color w:val="000000"/>
          <w:lang w:val="en-US"/>
        </w:rPr>
      </w:pPr>
      <w:r w:rsidRPr="00B04166">
        <w:rPr>
          <w:color w:val="000000"/>
          <w:lang w:val="en-US"/>
        </w:rPr>
        <w:t>"</w:t>
      </w:r>
      <w:proofErr w:type="spellStart"/>
      <w:proofErr w:type="gramStart"/>
      <w:r w:rsidRPr="00B04166">
        <w:rPr>
          <w:color w:val="000000"/>
          <w:lang w:val="en-US"/>
        </w:rPr>
        <w:t>examplevariety</w:t>
      </w:r>
      <w:proofErr w:type="spellEnd"/>
      <w:proofErr w:type="gramEnd"/>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roofErr w:type="spellStart"/>
      <w:r w:rsidRPr="00B04166">
        <w:rPr>
          <w:color w:val="000000"/>
          <w:lang w:val="en-US"/>
        </w:rPr>
        <w:t>alleleid</w:t>
      </w:r>
      <w:proofErr w:type="spellEnd"/>
      <w:r w:rsidRPr="00B04166">
        <w:rPr>
          <w:color w:val="000000"/>
          <w:lang w:val="en-US"/>
        </w:rPr>
        <w:t>": "256/271",</w:t>
      </w:r>
    </w:p>
    <w:p w:rsidR="00DF1F17" w:rsidRPr="00B04166" w:rsidRDefault="00DF1F17" w:rsidP="00DF1F17">
      <w:pPr>
        <w:rPr>
          <w:rFonts w:eastAsia="Calibri" w:cs="Arial"/>
          <w:color w:val="000000"/>
          <w:lang w:val="en-US"/>
        </w:rPr>
      </w:pPr>
      <w:r w:rsidRPr="00B04166">
        <w:rPr>
          <w:color w:val="000000"/>
          <w:lang w:val="en-US"/>
        </w:rPr>
        <w:t>"</w:t>
      </w:r>
      <w:proofErr w:type="spellStart"/>
      <w:proofErr w:type="gramStart"/>
      <w:r w:rsidRPr="00B04166">
        <w:rPr>
          <w:color w:val="000000"/>
          <w:lang w:val="en-US"/>
        </w:rPr>
        <w:t>examplevariety</w:t>
      </w:r>
      <w:proofErr w:type="spellEnd"/>
      <w:proofErr w:type="gramEnd"/>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roofErr w:type="spellStart"/>
      <w:r w:rsidRPr="00B04166">
        <w:rPr>
          <w:color w:val="000000"/>
          <w:lang w:val="en-US"/>
        </w:rPr>
        <w:t>alleleid</w:t>
      </w:r>
      <w:proofErr w:type="spellEnd"/>
      <w:r w:rsidRPr="00B04166">
        <w:rPr>
          <w:color w:val="000000"/>
          <w:lang w:val="en-US"/>
        </w:rPr>
        <w:t>": "256/284",</w:t>
      </w:r>
    </w:p>
    <w:p w:rsidR="00DF1F17" w:rsidRPr="00B04166" w:rsidRDefault="00DF1F17" w:rsidP="00DF1F17">
      <w:pPr>
        <w:rPr>
          <w:rFonts w:eastAsia="Calibri" w:cs="Arial"/>
          <w:color w:val="000000"/>
          <w:lang w:val="en-US"/>
        </w:rPr>
      </w:pPr>
      <w:r w:rsidRPr="00B04166">
        <w:rPr>
          <w:color w:val="000000"/>
          <w:lang w:val="en-US"/>
        </w:rPr>
        <w:t>"</w:t>
      </w:r>
      <w:proofErr w:type="spellStart"/>
      <w:proofErr w:type="gramStart"/>
      <w:r w:rsidRPr="00B04166">
        <w:rPr>
          <w:color w:val="000000"/>
          <w:lang w:val="en-US"/>
        </w:rPr>
        <w:t>examplevariety</w:t>
      </w:r>
      <w:proofErr w:type="spellEnd"/>
      <w:proofErr w:type="gramEnd"/>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roofErr w:type="spellStart"/>
      <w:r w:rsidRPr="00B04166">
        <w:rPr>
          <w:color w:val="000000"/>
          <w:lang w:val="en-US"/>
        </w:rPr>
        <w:t>alleleid</w:t>
      </w:r>
      <w:proofErr w:type="spellEnd"/>
      <w:r w:rsidRPr="00B04166">
        <w:rPr>
          <w:color w:val="000000"/>
          <w:lang w:val="en-US"/>
        </w:rPr>
        <w:t>": "256/286",</w:t>
      </w:r>
    </w:p>
    <w:p w:rsidR="00DF1F17" w:rsidRPr="00B04166" w:rsidRDefault="00DF1F17" w:rsidP="00DF1F17">
      <w:pPr>
        <w:rPr>
          <w:rFonts w:eastAsia="Calibri" w:cs="Arial"/>
          <w:color w:val="000000"/>
          <w:lang w:val="en-US"/>
        </w:rPr>
      </w:pPr>
      <w:r w:rsidRPr="00B04166">
        <w:rPr>
          <w:color w:val="000000"/>
          <w:lang w:val="en-US"/>
        </w:rPr>
        <w:t>"</w:t>
      </w:r>
      <w:proofErr w:type="spellStart"/>
      <w:proofErr w:type="gramStart"/>
      <w:r w:rsidRPr="00B04166">
        <w:rPr>
          <w:color w:val="000000"/>
          <w:lang w:val="en-US"/>
        </w:rPr>
        <w:t>examplevariety</w:t>
      </w:r>
      <w:proofErr w:type="spellEnd"/>
      <w:proofErr w:type="gramEnd"/>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roofErr w:type="spellStart"/>
      <w:r w:rsidRPr="00B04166">
        <w:rPr>
          <w:color w:val="000000"/>
          <w:lang w:val="en-US"/>
        </w:rPr>
        <w:t>alleleid</w:t>
      </w:r>
      <w:proofErr w:type="spellEnd"/>
      <w:r w:rsidRPr="00B04166">
        <w:rPr>
          <w:color w:val="000000"/>
          <w:lang w:val="en-US"/>
        </w:rPr>
        <w:t>": "258/258",</w:t>
      </w:r>
    </w:p>
    <w:p w:rsidR="00DF1F17" w:rsidRPr="00B04166" w:rsidRDefault="00DF1F17" w:rsidP="00DF1F17">
      <w:pPr>
        <w:rPr>
          <w:rFonts w:eastAsia="Calibri" w:cs="Arial"/>
          <w:color w:val="000000"/>
          <w:lang w:val="en-US"/>
        </w:rPr>
      </w:pPr>
      <w:r w:rsidRPr="00B04166">
        <w:rPr>
          <w:color w:val="000000"/>
          <w:lang w:val="en-US"/>
        </w:rPr>
        <w:t>"</w:t>
      </w:r>
      <w:proofErr w:type="spellStart"/>
      <w:proofErr w:type="gramStart"/>
      <w:r w:rsidRPr="00B04166">
        <w:rPr>
          <w:color w:val="000000"/>
          <w:lang w:val="en-US"/>
        </w:rPr>
        <w:t>examplevariety</w:t>
      </w:r>
      <w:proofErr w:type="spellEnd"/>
      <w:proofErr w:type="gramEnd"/>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roofErr w:type="spellStart"/>
      <w:r w:rsidRPr="00B04166">
        <w:rPr>
          <w:color w:val="000000"/>
          <w:lang w:val="en-US"/>
        </w:rPr>
        <w:t>alleleid</w:t>
      </w:r>
      <w:proofErr w:type="spellEnd"/>
      <w:r w:rsidRPr="00B04166">
        <w:rPr>
          <w:color w:val="000000"/>
          <w:lang w:val="en-US"/>
        </w:rPr>
        <w:t>": "264/284",</w:t>
      </w:r>
    </w:p>
    <w:p w:rsidR="00DF1F17" w:rsidRPr="00B04166" w:rsidRDefault="00DF1F17" w:rsidP="00DF1F17">
      <w:pPr>
        <w:rPr>
          <w:rFonts w:eastAsia="Calibri" w:cs="Arial"/>
          <w:color w:val="000000"/>
          <w:lang w:val="en-US"/>
        </w:rPr>
      </w:pPr>
      <w:r w:rsidRPr="00B04166">
        <w:rPr>
          <w:color w:val="000000"/>
          <w:lang w:val="en-US"/>
        </w:rPr>
        <w:t>"</w:t>
      </w:r>
      <w:proofErr w:type="spellStart"/>
      <w:proofErr w:type="gramStart"/>
      <w:r w:rsidRPr="00B04166">
        <w:rPr>
          <w:color w:val="000000"/>
          <w:lang w:val="en-US"/>
        </w:rPr>
        <w:t>examplevariety</w:t>
      </w:r>
      <w:proofErr w:type="spellEnd"/>
      <w:proofErr w:type="gramEnd"/>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
    <w:p w:rsidR="00DF1F17" w:rsidRPr="00B04166" w:rsidRDefault="00DF1F17" w:rsidP="00DF1F17">
      <w:pPr>
        <w:rPr>
          <w:rFonts w:eastAsia="Calibri" w:cs="Arial"/>
          <w:color w:val="000000"/>
          <w:lang w:val="en-US"/>
        </w:rPr>
      </w:pPr>
      <w:r w:rsidRPr="00B04166">
        <w:rPr>
          <w:color w:val="000000"/>
          <w:lang w:val="en-US"/>
        </w:rPr>
        <w:t>["</w:t>
      </w:r>
      <w:proofErr w:type="spellStart"/>
      <w:r w:rsidRPr="00B04166">
        <w:rPr>
          <w:color w:val="000000"/>
          <w:lang w:val="en-US"/>
        </w:rPr>
        <w:t>alleleid</w:t>
      </w:r>
      <w:proofErr w:type="spellEnd"/>
      <w:r w:rsidRPr="00B04166">
        <w:rPr>
          <w:color w:val="000000"/>
          <w:lang w:val="en-US"/>
        </w:rPr>
        <w:t>": "271/292",</w:t>
      </w:r>
    </w:p>
    <w:p w:rsidR="00DF1F17" w:rsidRPr="00B04166" w:rsidRDefault="00DF1F17" w:rsidP="00DF1F17">
      <w:pPr>
        <w:rPr>
          <w:rFonts w:eastAsia="Calibri" w:cs="Arial"/>
          <w:color w:val="000000"/>
          <w:lang w:val="en-US"/>
        </w:rPr>
      </w:pPr>
      <w:r w:rsidRPr="00B04166">
        <w:rPr>
          <w:color w:val="000000"/>
          <w:lang w:val="en-US"/>
        </w:rPr>
        <w:t>"</w:t>
      </w:r>
      <w:proofErr w:type="spellStart"/>
      <w:proofErr w:type="gramStart"/>
      <w:r w:rsidRPr="00B04166">
        <w:rPr>
          <w:color w:val="000000"/>
          <w:lang w:val="en-US"/>
        </w:rPr>
        <w:t>examplevariety</w:t>
      </w:r>
      <w:proofErr w:type="spellEnd"/>
      <w:proofErr w:type="gramEnd"/>
      <w:r w:rsidRPr="00B04166">
        <w:rPr>
          <w:color w:val="000000"/>
          <w:lang w:val="en-US"/>
        </w:rPr>
        <w:t>":</w:t>
      </w:r>
    </w:p>
    <w:p w:rsidR="00DF1F17" w:rsidRPr="00832052" w:rsidRDefault="00DF1F17" w:rsidP="00DF1F17">
      <w:pPr>
        <w:rPr>
          <w:rFonts w:eastAsia="Calibri" w:cs="Arial"/>
          <w:color w:val="000000"/>
        </w:rPr>
      </w:pPr>
      <w:r>
        <w:rPr>
          <w:color w:val="000000"/>
        </w:rPr>
        <w:t>]</w:t>
      </w:r>
    </w:p>
    <w:p w:rsidR="00DF1F17" w:rsidRPr="00832052" w:rsidRDefault="00DF1F17" w:rsidP="00DF1F17">
      <w:pPr>
        <w:rPr>
          <w:rFonts w:eastAsia="Calibri" w:cs="Arial"/>
          <w:color w:val="000000"/>
        </w:rPr>
      </w:pPr>
      <w:r>
        <w:rPr>
          <w:color w:val="000000"/>
        </w:rPr>
        <w:t>],</w:t>
      </w:r>
    </w:p>
    <w:p w:rsidR="00DF1F17" w:rsidRPr="00832052" w:rsidRDefault="00DF1F17" w:rsidP="00DF1F17">
      <w:pPr>
        <w:rPr>
          <w:rFonts w:eastAsia="Calibri" w:cs="Arial"/>
          <w:color w:val="000000"/>
        </w:rPr>
      </w:pPr>
    </w:p>
    <w:p w:rsidR="00DF1F17" w:rsidRPr="00832052" w:rsidRDefault="00DF1F17" w:rsidP="00DF1F17">
      <w:pPr>
        <w:rPr>
          <w:rFonts w:eastAsia="Calibri" w:cs="Arial"/>
          <w:color w:val="000000"/>
        </w:rPr>
      </w:pPr>
      <w:r>
        <w:rPr>
          <w:color w:val="000000"/>
        </w:rPr>
        <w:t>["</w:t>
      </w:r>
      <w:proofErr w:type="spellStart"/>
      <w:r>
        <w:rPr>
          <w:color w:val="000000"/>
        </w:rPr>
        <w:t>locusid</w:t>
      </w:r>
      <w:proofErr w:type="spellEnd"/>
      <w:r>
        <w:rPr>
          <w:color w:val="000000"/>
        </w:rPr>
        <w:t>"="M02”.</w:t>
      </w:r>
    </w:p>
    <w:p w:rsidR="00DF1F17" w:rsidRPr="00832052" w:rsidRDefault="00DF1F17" w:rsidP="00DF1F17">
      <w:pPr>
        <w:rPr>
          <w:rFonts w:eastAsia="Calibri" w:cs="Arial"/>
          <w:color w:val="000000"/>
        </w:rPr>
      </w:pPr>
      <w:r>
        <w:rPr>
          <w:color w:val="000000"/>
        </w:rPr>
        <w:t>"alleles": […]</w:t>
      </w:r>
    </w:p>
    <w:p w:rsidR="00DF1F17" w:rsidRPr="00832052" w:rsidRDefault="00DF1F17" w:rsidP="00DF1F17">
      <w:pPr>
        <w:rPr>
          <w:rFonts w:eastAsia="Calibri" w:cs="Arial"/>
          <w:color w:val="000000"/>
        </w:rPr>
      </w:pPr>
      <w:r>
        <w:rPr>
          <w:color w:val="000000"/>
        </w:rPr>
        <w:t>]} vi</w:t>
      </w:r>
    </w:p>
    <w:p w:rsidR="00DF1F17" w:rsidRPr="00832052" w:rsidRDefault="00DF1F17" w:rsidP="00DF1F17">
      <w:pPr>
        <w:spacing w:line="240" w:lineRule="atLeast"/>
        <w:jc w:val="left"/>
        <w:rPr>
          <w:rFonts w:ascii="Calibri" w:eastAsia="Calibri" w:hAnsi="Calibri"/>
          <w:color w:val="000000"/>
          <w:szCs w:val="23"/>
        </w:rPr>
        <w:sectPr w:rsidR="00DF1F17" w:rsidRPr="00832052" w:rsidSect="00203B8B">
          <w:headerReference w:type="default" r:id="rId18"/>
          <w:type w:val="continuous"/>
          <w:pgSz w:w="11907" w:h="16840" w:code="9"/>
          <w:pgMar w:top="510" w:right="1134" w:bottom="992" w:left="1134" w:header="510" w:footer="680" w:gutter="0"/>
          <w:pgNumType w:start="1"/>
          <w:cols w:num="3" w:space="720"/>
          <w:titlePg/>
        </w:sectPr>
      </w:pPr>
    </w:p>
    <w:p w:rsidR="00DF1F17" w:rsidRPr="00832052" w:rsidRDefault="00DF1F17" w:rsidP="00DF1F17">
      <w:pPr>
        <w:rPr>
          <w:rFonts w:eastAsia="Calibri"/>
          <w:i/>
        </w:rPr>
      </w:pPr>
    </w:p>
    <w:p w:rsidR="00DF1F17" w:rsidRPr="00832052" w:rsidRDefault="00DF1F17" w:rsidP="00DF1F17">
      <w:pPr>
        <w:keepNext/>
        <w:rPr>
          <w:rFonts w:eastAsia="Calibri"/>
          <w:i/>
        </w:rPr>
      </w:pPr>
      <w:r>
        <w:rPr>
          <w:i/>
        </w:rPr>
        <w:t>Szenario 2: Suche und Ansicht von Daten ausgewählter Sorten, die aus demselben standardisierten Markersatz erzeugt wurden</w:t>
      </w:r>
    </w:p>
    <w:p w:rsidR="00DF1F17" w:rsidRPr="00832052" w:rsidRDefault="00DF1F17" w:rsidP="00DF1F17">
      <w:pPr>
        <w:keepNext/>
        <w:rPr>
          <w:rFonts w:eastAsia="Calibri"/>
        </w:rPr>
      </w:pPr>
    </w:p>
    <w:p w:rsidR="00DF1F17" w:rsidRPr="00832052" w:rsidRDefault="00DF1F17" w:rsidP="00DF1F17">
      <w:pPr>
        <w:rPr>
          <w:rFonts w:eastAsia="Calibri"/>
        </w:rPr>
      </w:pPr>
      <w:r>
        <w:t>Um molekulare Daten einer Sorte zu suchen und anzuzeigen, kann folgender Webdienst genutzt werden:</w:t>
      </w:r>
    </w:p>
    <w:p w:rsidR="00DF1F17" w:rsidRPr="00B04166" w:rsidRDefault="00DF1F17" w:rsidP="00DF1F17">
      <w:pPr>
        <w:rPr>
          <w:rFonts w:eastAsia="Calibri"/>
          <w:lang w:val="it-IT"/>
        </w:rPr>
      </w:pPr>
      <w:r w:rsidRPr="00B04166">
        <w:rPr>
          <w:lang w:val="it-IT"/>
        </w:rPr>
        <w:t>https://office.org/variety?id={irn}&amp;techniqueid={technique_code} vi</w:t>
      </w:r>
    </w:p>
    <w:p w:rsidR="00DF1F17" w:rsidRPr="00B04166" w:rsidRDefault="00DF1F17" w:rsidP="00DF1F17">
      <w:pPr>
        <w:rPr>
          <w:rFonts w:eastAsia="Calibri"/>
          <w:lang w:val="it-IT"/>
        </w:rPr>
      </w:pPr>
    </w:p>
    <w:p w:rsidR="00DF1F17" w:rsidRPr="00832052" w:rsidRDefault="00DF1F17" w:rsidP="00DF1F17">
      <w:pPr>
        <w:rPr>
          <w:rFonts w:eastAsia="Calibri"/>
        </w:rPr>
      </w:pPr>
      <w:r>
        <w:t xml:space="preserve">Zum Beispiel: </w:t>
      </w:r>
    </w:p>
    <w:p w:rsidR="00DF1F17" w:rsidRPr="00806AB4" w:rsidRDefault="00DF1F17" w:rsidP="00DF1F17">
      <w:pPr>
        <w:rPr>
          <w:rFonts w:eastAsia="Calibri"/>
        </w:rPr>
      </w:pPr>
      <w:r>
        <w:t>https://office.org/variety?id=XU_30201800000140 &amp;</w:t>
      </w:r>
      <w:proofErr w:type="spellStart"/>
      <w:r>
        <w:t>techniqueid</w:t>
      </w:r>
      <w:proofErr w:type="spellEnd"/>
      <w:r>
        <w:t>= CN_SSR_ZEAA_MAY_CE_V_1 vi</w:t>
      </w:r>
    </w:p>
    <w:p w:rsidR="00DF1F17" w:rsidRPr="00806AB4" w:rsidRDefault="00DF1F17" w:rsidP="00DF1F17">
      <w:pPr>
        <w:rPr>
          <w:rFonts w:eastAsia="Calibri"/>
        </w:rPr>
      </w:pPr>
    </w:p>
    <w:p w:rsidR="00DF1F17" w:rsidRPr="00832052" w:rsidRDefault="00DF1F17" w:rsidP="00DF1F17">
      <w:pPr>
        <w:rPr>
          <w:rFonts w:eastAsia="Calibri"/>
        </w:rPr>
      </w:pPr>
      <w:r>
        <w:t>Das Ergebnis wäre:</w:t>
      </w:r>
    </w:p>
    <w:p w:rsidR="00DF1F17" w:rsidRPr="00832052" w:rsidRDefault="00DF1F17" w:rsidP="00DF1F17">
      <w:pPr>
        <w:rPr>
          <w:rFonts w:eastAsia="Calibri" w:cs="Arial"/>
        </w:rPr>
      </w:pPr>
    </w:p>
    <w:p w:rsidR="00DF1F17" w:rsidRPr="00832052" w:rsidRDefault="00DF1F17" w:rsidP="00DF1F17">
      <w:pPr>
        <w:spacing w:line="240" w:lineRule="atLeast"/>
        <w:ind w:left="567"/>
        <w:jc w:val="left"/>
        <w:rPr>
          <w:rFonts w:eastAsia="Calibri" w:cs="Arial"/>
          <w:color w:val="000000"/>
        </w:rPr>
      </w:pPr>
      <w:r>
        <w:rPr>
          <w:color w:val="000000"/>
        </w:rPr>
        <w:t>{"</w:t>
      </w:r>
      <w:proofErr w:type="spellStart"/>
      <w:r>
        <w:rPr>
          <w:color w:val="000000"/>
        </w:rPr>
        <w:t>techniqueid</w:t>
      </w:r>
      <w:proofErr w:type="spellEnd"/>
      <w:r>
        <w:rPr>
          <w:color w:val="000000"/>
        </w:rPr>
        <w:t>": "CN_SSR_ZEAA_MAY_PAGE ",</w:t>
      </w:r>
    </w:p>
    <w:p w:rsidR="00DF1F17" w:rsidRPr="00832052" w:rsidRDefault="00DF1F17" w:rsidP="00DF1F17">
      <w:pPr>
        <w:spacing w:line="240" w:lineRule="atLeast"/>
        <w:ind w:left="567"/>
        <w:jc w:val="left"/>
        <w:rPr>
          <w:rFonts w:eastAsia="Calibri" w:cs="Arial"/>
          <w:color w:val="000000"/>
        </w:rPr>
      </w:pPr>
      <w:r>
        <w:rPr>
          <w:color w:val="000000"/>
        </w:rPr>
        <w:t>"</w:t>
      </w:r>
      <w:proofErr w:type="spellStart"/>
      <w:r>
        <w:rPr>
          <w:color w:val="000000"/>
        </w:rPr>
        <w:t>varietyid</w:t>
      </w:r>
      <w:proofErr w:type="spellEnd"/>
      <w:r>
        <w:rPr>
          <w:color w:val="000000"/>
        </w:rPr>
        <w:t>": " XU_30201800000140 ",</w:t>
      </w:r>
    </w:p>
    <w:p w:rsidR="00DF1F17" w:rsidRPr="00832052" w:rsidRDefault="00DF1F17" w:rsidP="00DF1F17">
      <w:pPr>
        <w:spacing w:line="240" w:lineRule="atLeast"/>
        <w:ind w:left="567"/>
        <w:jc w:val="left"/>
        <w:rPr>
          <w:rFonts w:eastAsia="Calibri" w:cs="Arial"/>
          <w:color w:val="000000"/>
        </w:rPr>
      </w:pPr>
      <w:r>
        <w:rPr>
          <w:color w:val="000000"/>
        </w:rPr>
        <w:t>"</w:t>
      </w:r>
      <w:proofErr w:type="spellStart"/>
      <w:r>
        <w:rPr>
          <w:color w:val="000000"/>
        </w:rPr>
        <w:t>computationalsteps</w:t>
      </w:r>
      <w:proofErr w:type="spellEnd"/>
      <w:r>
        <w:rPr>
          <w:color w:val="000000"/>
        </w:rPr>
        <w:t>": "</w:t>
      </w:r>
      <w:proofErr w:type="spellStart"/>
      <w:r>
        <w:rPr>
          <w:color w:val="000000"/>
        </w:rPr>
        <w:t>xxxxxxxxxxxx</w:t>
      </w:r>
      <w:proofErr w:type="spellEnd"/>
      <w:r>
        <w:rPr>
          <w:color w:val="000000"/>
        </w:rPr>
        <w:t>"</w:t>
      </w:r>
    </w:p>
    <w:p w:rsidR="00DF1F17" w:rsidRPr="00832052" w:rsidRDefault="00DF1F17" w:rsidP="00DF1F17">
      <w:pPr>
        <w:spacing w:line="240" w:lineRule="atLeast"/>
        <w:ind w:left="567"/>
        <w:jc w:val="left"/>
        <w:rPr>
          <w:rFonts w:eastAsia="Calibri" w:cs="Arial"/>
          <w:color w:val="000000"/>
        </w:rPr>
      </w:pPr>
      <w:r>
        <w:rPr>
          <w:color w:val="000000"/>
        </w:rPr>
        <w:t>"</w:t>
      </w:r>
      <w:proofErr w:type="spellStart"/>
      <w:r>
        <w:rPr>
          <w:color w:val="000000"/>
        </w:rPr>
        <w:t>data</w:t>
      </w:r>
      <w:proofErr w:type="spellEnd"/>
      <w:r>
        <w:rPr>
          <w:color w:val="000000"/>
        </w:rPr>
        <w:t>":</w:t>
      </w:r>
    </w:p>
    <w:p w:rsidR="00DF1F17" w:rsidRPr="00B04166" w:rsidRDefault="00DF1F17" w:rsidP="00DF1F17">
      <w:pPr>
        <w:spacing w:line="240" w:lineRule="atLeast"/>
        <w:ind w:left="567"/>
        <w:jc w:val="left"/>
        <w:rPr>
          <w:rFonts w:eastAsia="Calibri" w:cs="Arial"/>
          <w:color w:val="000000"/>
          <w:lang w:val="en-US"/>
        </w:rPr>
      </w:pPr>
      <w:r w:rsidRPr="00B04166">
        <w:rPr>
          <w:color w:val="000000"/>
          <w:lang w:val="en-US"/>
        </w:rPr>
        <w:t>[</w:t>
      </w:r>
    </w:p>
    <w:p w:rsidR="00DF1F17" w:rsidRPr="00B04166" w:rsidRDefault="00DF1F17" w:rsidP="00DF1F17">
      <w:pPr>
        <w:spacing w:line="240" w:lineRule="atLeast"/>
        <w:ind w:left="567"/>
        <w:jc w:val="left"/>
        <w:rPr>
          <w:rFonts w:eastAsia="Calibri" w:cs="Arial"/>
          <w:color w:val="000000"/>
          <w:lang w:val="en-US"/>
        </w:rPr>
      </w:pPr>
      <w:r w:rsidRPr="00B04166">
        <w:rPr>
          <w:color w:val="000000"/>
          <w:lang w:val="en-US"/>
        </w:rPr>
        <w:t>"</w:t>
      </w:r>
      <w:proofErr w:type="gramStart"/>
      <w:r w:rsidRPr="00B04166">
        <w:rPr>
          <w:color w:val="000000"/>
          <w:lang w:val="en-US"/>
        </w:rPr>
        <w:t>id</w:t>
      </w:r>
      <w:proofErr w:type="gramEnd"/>
      <w:r w:rsidRPr="00B04166">
        <w:rPr>
          <w:color w:val="000000"/>
          <w:lang w:val="en-US"/>
        </w:rPr>
        <w:t>": "M01",</w:t>
      </w:r>
    </w:p>
    <w:p w:rsidR="00DF1F17" w:rsidRPr="00B04166" w:rsidRDefault="00DF1F17" w:rsidP="00DF1F17">
      <w:pPr>
        <w:spacing w:line="240" w:lineRule="atLeast"/>
        <w:ind w:left="567"/>
        <w:jc w:val="left"/>
        <w:rPr>
          <w:rFonts w:eastAsia="Calibri" w:cs="Arial"/>
          <w:color w:val="000000"/>
          <w:lang w:val="en-US"/>
        </w:rPr>
      </w:pPr>
      <w:r w:rsidRPr="00B04166">
        <w:rPr>
          <w:color w:val="000000"/>
          <w:lang w:val="en-US"/>
        </w:rPr>
        <w:t>"</w:t>
      </w:r>
      <w:proofErr w:type="gramStart"/>
      <w:r w:rsidRPr="00B04166">
        <w:rPr>
          <w:color w:val="000000"/>
          <w:lang w:val="en-US"/>
        </w:rPr>
        <w:t>value</w:t>
      </w:r>
      <w:proofErr w:type="gramEnd"/>
      <w:r w:rsidRPr="00B04166">
        <w:rPr>
          <w:color w:val="000000"/>
          <w:lang w:val="en-US"/>
        </w:rPr>
        <w:t>" : "254/254"</w:t>
      </w:r>
    </w:p>
    <w:p w:rsidR="00DF1F17" w:rsidRPr="00B04166" w:rsidRDefault="00DF1F17" w:rsidP="00DF1F17">
      <w:pPr>
        <w:spacing w:line="240" w:lineRule="atLeast"/>
        <w:ind w:left="567"/>
        <w:jc w:val="left"/>
        <w:rPr>
          <w:rFonts w:eastAsia="Calibri" w:cs="Arial"/>
          <w:color w:val="000000"/>
          <w:lang w:val="en-US"/>
        </w:rPr>
      </w:pPr>
      <w:r w:rsidRPr="00B04166">
        <w:rPr>
          <w:color w:val="000000"/>
          <w:lang w:val="en-US"/>
        </w:rPr>
        <w:t>],</w:t>
      </w:r>
    </w:p>
    <w:p w:rsidR="00DF1F17" w:rsidRPr="00B04166" w:rsidRDefault="00DF1F17" w:rsidP="00DF1F17">
      <w:pPr>
        <w:spacing w:line="240" w:lineRule="atLeast"/>
        <w:ind w:left="567"/>
        <w:jc w:val="left"/>
        <w:rPr>
          <w:rFonts w:eastAsia="Calibri" w:cs="Arial"/>
          <w:color w:val="000000"/>
          <w:lang w:val="en-US"/>
        </w:rPr>
      </w:pPr>
      <w:r w:rsidRPr="00B04166">
        <w:rPr>
          <w:color w:val="000000"/>
          <w:lang w:val="en-US"/>
        </w:rPr>
        <w:t>[</w:t>
      </w:r>
    </w:p>
    <w:p w:rsidR="00DF1F17" w:rsidRPr="00B04166" w:rsidRDefault="00DF1F17" w:rsidP="00DF1F17">
      <w:pPr>
        <w:spacing w:line="240" w:lineRule="atLeast"/>
        <w:ind w:left="567"/>
        <w:jc w:val="left"/>
        <w:rPr>
          <w:rFonts w:eastAsia="Calibri" w:cs="Arial"/>
          <w:color w:val="000000"/>
          <w:lang w:val="en-US"/>
        </w:rPr>
      </w:pPr>
      <w:r w:rsidRPr="00B04166">
        <w:rPr>
          <w:color w:val="000000"/>
          <w:lang w:val="en-US"/>
        </w:rPr>
        <w:t>"</w:t>
      </w:r>
      <w:proofErr w:type="gramStart"/>
      <w:r w:rsidRPr="00B04166">
        <w:rPr>
          <w:color w:val="000000"/>
          <w:lang w:val="en-US"/>
        </w:rPr>
        <w:t>id</w:t>
      </w:r>
      <w:proofErr w:type="gramEnd"/>
      <w:r w:rsidRPr="00B04166">
        <w:rPr>
          <w:color w:val="000000"/>
          <w:lang w:val="en-US"/>
        </w:rPr>
        <w:t>": "M02",</w:t>
      </w:r>
    </w:p>
    <w:p w:rsidR="00DF1F17" w:rsidRPr="00B04166" w:rsidRDefault="00DF1F17" w:rsidP="00DF1F17">
      <w:pPr>
        <w:spacing w:line="240" w:lineRule="atLeast"/>
        <w:ind w:left="567"/>
        <w:jc w:val="left"/>
        <w:rPr>
          <w:rFonts w:eastAsia="Calibri" w:cs="Arial"/>
          <w:color w:val="000000"/>
          <w:lang w:val="en-US"/>
        </w:rPr>
      </w:pPr>
      <w:r w:rsidRPr="00B04166">
        <w:rPr>
          <w:color w:val="000000"/>
          <w:lang w:val="en-US"/>
        </w:rPr>
        <w:t>"</w:t>
      </w:r>
      <w:proofErr w:type="gramStart"/>
      <w:r w:rsidRPr="00B04166">
        <w:rPr>
          <w:color w:val="000000"/>
          <w:lang w:val="en-US"/>
        </w:rPr>
        <w:t>value</w:t>
      </w:r>
      <w:proofErr w:type="gramEnd"/>
      <w:r w:rsidRPr="00B04166">
        <w:rPr>
          <w:color w:val="000000"/>
          <w:lang w:val="en-US"/>
        </w:rPr>
        <w:t>" : "347/347"</w:t>
      </w:r>
    </w:p>
    <w:p w:rsidR="00DF1F17" w:rsidRPr="00B04166" w:rsidRDefault="00DF1F17" w:rsidP="00DF1F17">
      <w:pPr>
        <w:spacing w:line="240" w:lineRule="atLeast"/>
        <w:ind w:left="567"/>
        <w:jc w:val="left"/>
        <w:rPr>
          <w:rFonts w:eastAsia="Calibri" w:cs="Arial"/>
          <w:color w:val="000000"/>
          <w:lang w:val="en-US"/>
        </w:rPr>
      </w:pPr>
      <w:r w:rsidRPr="00B04166">
        <w:rPr>
          <w:color w:val="000000"/>
          <w:lang w:val="en-US"/>
        </w:rPr>
        <w:t>],</w:t>
      </w:r>
    </w:p>
    <w:p w:rsidR="00DF1F17" w:rsidRPr="00B04166" w:rsidRDefault="00DF1F17" w:rsidP="00DF1F17">
      <w:pPr>
        <w:spacing w:line="240" w:lineRule="atLeast"/>
        <w:ind w:left="567"/>
        <w:jc w:val="left"/>
        <w:rPr>
          <w:rFonts w:eastAsia="Calibri" w:cs="Arial"/>
          <w:color w:val="000000"/>
          <w:lang w:val="en-US"/>
        </w:rPr>
      </w:pPr>
      <w:r w:rsidRPr="00B04166">
        <w:rPr>
          <w:color w:val="000000"/>
          <w:lang w:val="en-US"/>
        </w:rPr>
        <w:t>[</w:t>
      </w:r>
    </w:p>
    <w:p w:rsidR="00DF1F17" w:rsidRPr="00B04166" w:rsidRDefault="00DF1F17" w:rsidP="00DF1F17">
      <w:pPr>
        <w:spacing w:line="240" w:lineRule="atLeast"/>
        <w:ind w:left="567"/>
        <w:jc w:val="left"/>
        <w:rPr>
          <w:rFonts w:eastAsia="Calibri" w:cs="Arial"/>
          <w:color w:val="000000"/>
          <w:lang w:val="en-US"/>
        </w:rPr>
      </w:pPr>
      <w:r w:rsidRPr="00B04166">
        <w:rPr>
          <w:color w:val="000000"/>
          <w:lang w:val="en-US"/>
        </w:rPr>
        <w:t>"</w:t>
      </w:r>
      <w:proofErr w:type="gramStart"/>
      <w:r w:rsidRPr="00B04166">
        <w:rPr>
          <w:color w:val="000000"/>
          <w:lang w:val="en-US"/>
        </w:rPr>
        <w:t>id</w:t>
      </w:r>
      <w:proofErr w:type="gramEnd"/>
      <w:r w:rsidRPr="00B04166">
        <w:rPr>
          <w:color w:val="000000"/>
          <w:lang w:val="en-US"/>
        </w:rPr>
        <w:t>": "M03",</w:t>
      </w:r>
    </w:p>
    <w:p w:rsidR="00DF1F17" w:rsidRPr="00B04166" w:rsidRDefault="00DF1F17" w:rsidP="00DF1F17">
      <w:pPr>
        <w:spacing w:line="240" w:lineRule="atLeast"/>
        <w:ind w:left="567"/>
        <w:jc w:val="left"/>
        <w:rPr>
          <w:rFonts w:eastAsia="Calibri" w:cs="Arial"/>
          <w:color w:val="000000"/>
          <w:lang w:val="en-US"/>
        </w:rPr>
      </w:pPr>
      <w:r w:rsidRPr="00B04166">
        <w:rPr>
          <w:color w:val="000000"/>
          <w:lang w:val="en-US"/>
        </w:rPr>
        <w:t>"</w:t>
      </w:r>
      <w:proofErr w:type="gramStart"/>
      <w:r w:rsidRPr="00B04166">
        <w:rPr>
          <w:color w:val="000000"/>
          <w:lang w:val="en-US"/>
        </w:rPr>
        <w:t>value</w:t>
      </w:r>
      <w:proofErr w:type="gramEnd"/>
      <w:r w:rsidRPr="00B04166">
        <w:rPr>
          <w:color w:val="000000"/>
          <w:lang w:val="en-US"/>
        </w:rPr>
        <w:t>" : "292/292"</w:t>
      </w:r>
    </w:p>
    <w:p w:rsidR="00DF1F17" w:rsidRPr="00B04166" w:rsidRDefault="00DF1F17" w:rsidP="00DF1F17">
      <w:pPr>
        <w:spacing w:line="240" w:lineRule="atLeast"/>
        <w:ind w:left="567"/>
        <w:jc w:val="left"/>
        <w:rPr>
          <w:rFonts w:eastAsia="Calibri" w:cs="Arial"/>
          <w:color w:val="000000"/>
          <w:lang w:val="en-US"/>
        </w:rPr>
      </w:pPr>
      <w:r w:rsidRPr="00B04166">
        <w:rPr>
          <w:color w:val="000000"/>
          <w:lang w:val="en-US"/>
        </w:rPr>
        <w:t>],</w:t>
      </w:r>
    </w:p>
    <w:p w:rsidR="00DF1F17" w:rsidRPr="00B04166" w:rsidRDefault="00DF1F17" w:rsidP="00DF1F17">
      <w:pPr>
        <w:spacing w:line="240" w:lineRule="atLeast"/>
        <w:ind w:left="567"/>
        <w:jc w:val="left"/>
        <w:rPr>
          <w:rFonts w:eastAsia="Calibri" w:cs="Arial"/>
          <w:color w:val="000000"/>
          <w:lang w:val="en-US"/>
        </w:rPr>
      </w:pPr>
      <w:r w:rsidRPr="00B04166">
        <w:rPr>
          <w:color w:val="000000"/>
          <w:lang w:val="en-US"/>
        </w:rPr>
        <w:t>[</w:t>
      </w:r>
    </w:p>
    <w:p w:rsidR="00DF1F17" w:rsidRPr="00B04166" w:rsidRDefault="00DF1F17" w:rsidP="00DF1F17">
      <w:pPr>
        <w:spacing w:line="240" w:lineRule="atLeast"/>
        <w:ind w:left="567"/>
        <w:jc w:val="left"/>
        <w:rPr>
          <w:rFonts w:eastAsia="Calibri" w:cs="Arial"/>
          <w:color w:val="000000"/>
          <w:lang w:val="en-US"/>
        </w:rPr>
      </w:pPr>
      <w:r w:rsidRPr="00B04166">
        <w:rPr>
          <w:color w:val="000000"/>
          <w:lang w:val="en-US"/>
        </w:rPr>
        <w:t>"</w:t>
      </w:r>
      <w:proofErr w:type="gramStart"/>
      <w:r w:rsidRPr="00B04166">
        <w:rPr>
          <w:color w:val="000000"/>
          <w:lang w:val="en-US"/>
        </w:rPr>
        <w:t>id</w:t>
      </w:r>
      <w:proofErr w:type="gramEnd"/>
      <w:r w:rsidRPr="00B04166">
        <w:rPr>
          <w:color w:val="000000"/>
          <w:lang w:val="en-US"/>
        </w:rPr>
        <w:t>": "M04",</w:t>
      </w:r>
    </w:p>
    <w:p w:rsidR="00DF1F17" w:rsidRPr="00832052" w:rsidRDefault="00DF1F17" w:rsidP="00DF1F17">
      <w:pPr>
        <w:spacing w:line="240" w:lineRule="atLeast"/>
        <w:ind w:left="567"/>
        <w:jc w:val="left"/>
        <w:rPr>
          <w:rFonts w:eastAsia="Calibri" w:cs="Arial"/>
          <w:color w:val="000000"/>
        </w:rPr>
      </w:pPr>
      <w:r>
        <w:rPr>
          <w:color w:val="000000"/>
        </w:rPr>
        <w:t>"</w:t>
      </w:r>
      <w:proofErr w:type="spellStart"/>
      <w:r>
        <w:rPr>
          <w:color w:val="000000"/>
        </w:rPr>
        <w:t>value</w:t>
      </w:r>
      <w:proofErr w:type="spellEnd"/>
      <w:proofErr w:type="gramStart"/>
      <w:r>
        <w:rPr>
          <w:color w:val="000000"/>
        </w:rPr>
        <w:t>" :</w:t>
      </w:r>
      <w:proofErr w:type="gramEnd"/>
      <w:r>
        <w:rPr>
          <w:color w:val="000000"/>
        </w:rPr>
        <w:t xml:space="preserve"> "361/361"</w:t>
      </w:r>
    </w:p>
    <w:p w:rsidR="00DF1F17" w:rsidRPr="00832052" w:rsidRDefault="00DF1F17" w:rsidP="00DF1F17">
      <w:pPr>
        <w:spacing w:line="240" w:lineRule="atLeast"/>
        <w:ind w:left="567"/>
        <w:jc w:val="left"/>
        <w:rPr>
          <w:rFonts w:eastAsia="Calibri" w:cs="Arial"/>
          <w:color w:val="000000"/>
        </w:rPr>
      </w:pPr>
      <w:r>
        <w:rPr>
          <w:color w:val="000000"/>
        </w:rPr>
        <w:t>],</w:t>
      </w:r>
    </w:p>
    <w:p w:rsidR="00DF1F17" w:rsidRPr="00832052" w:rsidRDefault="00DF1F17" w:rsidP="00DF1F17">
      <w:pPr>
        <w:spacing w:line="240" w:lineRule="atLeast"/>
        <w:ind w:left="567"/>
        <w:jc w:val="left"/>
        <w:rPr>
          <w:rFonts w:eastAsia="Calibri" w:cs="Arial"/>
          <w:color w:val="000000"/>
        </w:rPr>
      </w:pPr>
      <w:r>
        <w:rPr>
          <w:color w:val="000000"/>
        </w:rPr>
        <w:t>…</w:t>
      </w:r>
    </w:p>
    <w:p w:rsidR="00DF1F17" w:rsidRPr="00832052" w:rsidRDefault="00DF1F17" w:rsidP="00DF1F17">
      <w:pPr>
        <w:spacing w:line="240" w:lineRule="atLeast"/>
        <w:ind w:left="567"/>
        <w:jc w:val="left"/>
        <w:rPr>
          <w:rFonts w:eastAsia="Calibri" w:cs="Arial"/>
          <w:color w:val="000000"/>
        </w:rPr>
      </w:pPr>
      <w:r>
        <w:rPr>
          <w:color w:val="000000"/>
        </w:rPr>
        <w:t>} vi</w:t>
      </w:r>
    </w:p>
    <w:p w:rsidR="00DF1F17" w:rsidRPr="00832052" w:rsidRDefault="00DF1F17" w:rsidP="00DF1F17">
      <w:pPr>
        <w:rPr>
          <w:lang w:eastAsia="nl-NL"/>
        </w:rPr>
      </w:pPr>
    </w:p>
    <w:p w:rsidR="00DF1F17" w:rsidRPr="00832052" w:rsidRDefault="00DF1F17" w:rsidP="00DF1F17">
      <w:pPr>
        <w:rPr>
          <w:rFonts w:eastAsia="Calibri"/>
          <w:b/>
        </w:rPr>
      </w:pPr>
      <w:r>
        <w:rPr>
          <w:b/>
        </w:rPr>
        <w:t>B: Verfahren zur Datenübertragung</w:t>
      </w:r>
    </w:p>
    <w:p w:rsidR="00DF1F17" w:rsidRPr="00832052" w:rsidRDefault="00DF1F17" w:rsidP="00DF1F17">
      <w:pPr>
        <w:rPr>
          <w:rFonts w:eastAsia="Calibri"/>
        </w:rPr>
      </w:pPr>
    </w:p>
    <w:p w:rsidR="00DF1F17" w:rsidRPr="00832052" w:rsidRDefault="00DF1F17" w:rsidP="00DF1F17">
      <w:pPr>
        <w:rPr>
          <w:color w:val="000000" w:themeColor="text1"/>
        </w:rPr>
      </w:pPr>
      <w:r>
        <w:rPr>
          <w:color w:val="000000" w:themeColor="text1"/>
        </w:rPr>
        <w:t xml:space="preserve">Im Folgenden wird ein Beispiel für die Erstellung eines Fingerabdruckpakets im Zip-Format für die Datenübertragung gegeben. Bei diesem Verfahren müssen zunächst unabhängige IDs zur Identifizierung von Proben, DNS, Fingerabdruckdaten und </w:t>
      </w:r>
      <w:r w:rsidR="007C49D8">
        <w:rPr>
          <w:color w:val="000000" w:themeColor="text1"/>
        </w:rPr>
        <w:t xml:space="preserve">die </w:t>
      </w:r>
      <w:r w:rsidR="00397ABD">
        <w:rPr>
          <w:color w:val="000000" w:themeColor="text1"/>
        </w:rPr>
        <w:t>Liste der Datenbankfelder des Fingerabdrucks</w:t>
      </w:r>
      <w:r>
        <w:rPr>
          <w:color w:val="000000" w:themeColor="text1"/>
        </w:rPr>
        <w:t xml:space="preserve"> verwendet werden. Danach enthält die Datendatei im </w:t>
      </w:r>
      <w:proofErr w:type="spellStart"/>
      <w:r>
        <w:rPr>
          <w:color w:val="000000" w:themeColor="text1"/>
        </w:rPr>
        <w:t>json</w:t>
      </w:r>
      <w:proofErr w:type="spellEnd"/>
      <w:r>
        <w:rPr>
          <w:color w:val="000000" w:themeColor="text1"/>
        </w:rPr>
        <w:t xml:space="preserve">-Format alle Loci-, Proben- und DNS-Informationen. Alle Fingerabdruck-Daten werden unabhängig voneinander in einer eigenen Datei im </w:t>
      </w:r>
      <w:proofErr w:type="spellStart"/>
      <w:r>
        <w:rPr>
          <w:color w:val="000000" w:themeColor="text1"/>
        </w:rPr>
        <w:t>json</w:t>
      </w:r>
      <w:proofErr w:type="spellEnd"/>
      <w:r>
        <w:rPr>
          <w:color w:val="000000" w:themeColor="text1"/>
        </w:rPr>
        <w:t xml:space="preserve">-Format gespeichert. Die Fingerabdruck-ID wird an den entsprechenden </w:t>
      </w:r>
      <w:proofErr w:type="spellStart"/>
      <w:r>
        <w:rPr>
          <w:color w:val="000000" w:themeColor="text1"/>
        </w:rPr>
        <w:t>Locus</w:t>
      </w:r>
      <w:proofErr w:type="spellEnd"/>
      <w:r>
        <w:rPr>
          <w:color w:val="000000" w:themeColor="text1"/>
        </w:rPr>
        <w:t xml:space="preserve"> der Fingerabdruckdaten gebunden sein, und alle Fingerabdruckdatendateien und </w:t>
      </w:r>
      <w:proofErr w:type="spellStart"/>
      <w:r>
        <w:rPr>
          <w:color w:val="000000" w:themeColor="text1"/>
        </w:rPr>
        <w:t>Fingerabdruckspektrumsdateien</w:t>
      </w:r>
      <w:proofErr w:type="spellEnd"/>
      <w:r>
        <w:rPr>
          <w:color w:val="000000" w:themeColor="text1"/>
        </w:rPr>
        <w:t xml:space="preserve"> werden unabhängig voneinander im entsprechenden Verzeichnis gespeichert. Die Formatstruktur des Fingerabdruckdatenpakets sieht also wie folgt aus:</w:t>
      </w:r>
    </w:p>
    <w:p w:rsidR="00DF1F17" w:rsidRPr="00832052" w:rsidRDefault="00DF1F17" w:rsidP="00DF1F17">
      <w:pPr>
        <w:rPr>
          <w:color w:val="000000" w:themeColor="text1"/>
        </w:rPr>
      </w:pPr>
    </w:p>
    <w:p w:rsidR="00DF1F17" w:rsidRPr="00832052" w:rsidRDefault="00DF1F17" w:rsidP="00DF1F17">
      <w:pPr>
        <w:ind w:firstLine="420"/>
        <w:rPr>
          <w:color w:val="000000" w:themeColor="text1"/>
        </w:rPr>
      </w:pPr>
      <w:proofErr w:type="spellStart"/>
      <w:r>
        <w:rPr>
          <w:color w:val="000000" w:themeColor="text1"/>
        </w:rPr>
        <w:t>zip</w:t>
      </w:r>
      <w:proofErr w:type="spellEnd"/>
      <w:r>
        <w:rPr>
          <w:color w:val="000000" w:themeColor="text1"/>
        </w:rPr>
        <w:t>/</w:t>
      </w:r>
      <w:proofErr w:type="spellStart"/>
      <w:r>
        <w:rPr>
          <w:color w:val="000000" w:themeColor="text1"/>
        </w:rPr>
        <w:t>markers.json</w:t>
      </w:r>
      <w:proofErr w:type="spellEnd"/>
    </w:p>
    <w:p w:rsidR="00DF1F17" w:rsidRPr="00832052" w:rsidRDefault="00DF1F17" w:rsidP="00DF1F17">
      <w:pPr>
        <w:ind w:firstLine="420"/>
        <w:rPr>
          <w:color w:val="000000" w:themeColor="text1"/>
        </w:rPr>
      </w:pPr>
      <w:proofErr w:type="spellStart"/>
      <w:r>
        <w:rPr>
          <w:color w:val="000000" w:themeColor="text1"/>
        </w:rPr>
        <w:t>zip</w:t>
      </w:r>
      <w:proofErr w:type="spellEnd"/>
      <w:r>
        <w:rPr>
          <w:color w:val="000000" w:themeColor="text1"/>
        </w:rPr>
        <w:t>/</w:t>
      </w:r>
      <w:proofErr w:type="spellStart"/>
      <w:r>
        <w:rPr>
          <w:color w:val="000000" w:themeColor="text1"/>
        </w:rPr>
        <w:t>samples.json</w:t>
      </w:r>
      <w:proofErr w:type="spellEnd"/>
    </w:p>
    <w:p w:rsidR="00DF1F17" w:rsidRPr="007037B5" w:rsidRDefault="00DF1F17" w:rsidP="00DF1F17">
      <w:pPr>
        <w:ind w:firstLine="420"/>
        <w:rPr>
          <w:color w:val="000000" w:themeColor="text1"/>
        </w:rPr>
      </w:pPr>
      <w:proofErr w:type="spellStart"/>
      <w:r>
        <w:rPr>
          <w:color w:val="000000" w:themeColor="text1"/>
        </w:rPr>
        <w:t>zip</w:t>
      </w:r>
      <w:proofErr w:type="spellEnd"/>
      <w:r>
        <w:rPr>
          <w:color w:val="000000" w:themeColor="text1"/>
        </w:rPr>
        <w:t>/</w:t>
      </w:r>
      <w:proofErr w:type="spellStart"/>
      <w:r>
        <w:rPr>
          <w:color w:val="000000" w:themeColor="text1"/>
        </w:rPr>
        <w:t>dnas.json</w:t>
      </w:r>
      <w:proofErr w:type="spellEnd"/>
    </w:p>
    <w:p w:rsidR="00DF1F17" w:rsidRPr="007037B5" w:rsidRDefault="00DF1F17" w:rsidP="00DF1F17">
      <w:pPr>
        <w:ind w:firstLine="420"/>
        <w:rPr>
          <w:color w:val="000000" w:themeColor="text1"/>
        </w:rPr>
      </w:pPr>
      <w:proofErr w:type="spellStart"/>
      <w:r>
        <w:rPr>
          <w:color w:val="000000" w:themeColor="text1"/>
        </w:rPr>
        <w:t>zip</w:t>
      </w:r>
      <w:proofErr w:type="spellEnd"/>
      <w:r>
        <w:rPr>
          <w:color w:val="000000" w:themeColor="text1"/>
        </w:rPr>
        <w:t>/genes/gene_id_1.json</w:t>
      </w:r>
    </w:p>
    <w:p w:rsidR="00DF1F17" w:rsidRPr="007037B5" w:rsidRDefault="00DF1F17" w:rsidP="00DF1F17">
      <w:pPr>
        <w:ind w:firstLine="420"/>
        <w:rPr>
          <w:color w:val="000000" w:themeColor="text1"/>
        </w:rPr>
      </w:pPr>
      <w:proofErr w:type="spellStart"/>
      <w:r>
        <w:rPr>
          <w:color w:val="000000" w:themeColor="text1"/>
        </w:rPr>
        <w:t>zip</w:t>
      </w:r>
      <w:proofErr w:type="spellEnd"/>
      <w:r>
        <w:rPr>
          <w:color w:val="000000" w:themeColor="text1"/>
        </w:rPr>
        <w:t>/genes/gene_id_2.json</w:t>
      </w:r>
    </w:p>
    <w:p w:rsidR="00DF1F17" w:rsidRPr="007037B5" w:rsidRDefault="00DF1F17" w:rsidP="00DF1F17">
      <w:pPr>
        <w:ind w:firstLine="420"/>
        <w:rPr>
          <w:color w:val="000000" w:themeColor="text1"/>
        </w:rPr>
      </w:pPr>
      <w:r>
        <w:rPr>
          <w:color w:val="000000" w:themeColor="text1"/>
        </w:rPr>
        <w:t>......</w:t>
      </w:r>
    </w:p>
    <w:p w:rsidR="00DF1F17" w:rsidRPr="007037B5" w:rsidRDefault="00DF1F17" w:rsidP="00DF1F17">
      <w:pPr>
        <w:ind w:firstLine="420"/>
        <w:rPr>
          <w:color w:val="000000" w:themeColor="text1"/>
        </w:rPr>
      </w:pPr>
      <w:proofErr w:type="spellStart"/>
      <w:r>
        <w:rPr>
          <w:color w:val="000000" w:themeColor="text1"/>
        </w:rPr>
        <w:t>zip</w:t>
      </w:r>
      <w:proofErr w:type="spellEnd"/>
      <w:r>
        <w:rPr>
          <w:color w:val="000000" w:themeColor="text1"/>
        </w:rPr>
        <w:t>/genes/</w:t>
      </w:r>
      <w:proofErr w:type="spellStart"/>
      <w:r>
        <w:rPr>
          <w:color w:val="000000" w:themeColor="text1"/>
        </w:rPr>
        <w:t>gene_id_n.json</w:t>
      </w:r>
      <w:proofErr w:type="spellEnd"/>
    </w:p>
    <w:p w:rsidR="00DF1F17" w:rsidRPr="007037B5" w:rsidRDefault="00DF1F17" w:rsidP="00DF1F17">
      <w:pPr>
        <w:ind w:firstLine="420"/>
        <w:rPr>
          <w:color w:val="000000" w:themeColor="text1"/>
        </w:rPr>
      </w:pPr>
      <w:proofErr w:type="spellStart"/>
      <w:r>
        <w:rPr>
          <w:color w:val="000000" w:themeColor="text1"/>
        </w:rPr>
        <w:t>zip</w:t>
      </w:r>
      <w:proofErr w:type="spellEnd"/>
      <w:r>
        <w:rPr>
          <w:color w:val="000000" w:themeColor="text1"/>
        </w:rPr>
        <w:t>/</w:t>
      </w:r>
      <w:proofErr w:type="spellStart"/>
      <w:r>
        <w:rPr>
          <w:color w:val="000000" w:themeColor="text1"/>
        </w:rPr>
        <w:t>maps</w:t>
      </w:r>
      <w:proofErr w:type="spellEnd"/>
      <w:r>
        <w:rPr>
          <w:color w:val="000000" w:themeColor="text1"/>
        </w:rPr>
        <w:t>/map_id_1.png</w:t>
      </w:r>
    </w:p>
    <w:p w:rsidR="00DF1F17" w:rsidRPr="007037B5" w:rsidRDefault="00DF1F17" w:rsidP="00DF1F17">
      <w:pPr>
        <w:ind w:firstLine="420"/>
        <w:rPr>
          <w:color w:val="000000" w:themeColor="text1"/>
        </w:rPr>
      </w:pPr>
      <w:proofErr w:type="spellStart"/>
      <w:r>
        <w:rPr>
          <w:color w:val="000000" w:themeColor="text1"/>
        </w:rPr>
        <w:t>zip</w:t>
      </w:r>
      <w:proofErr w:type="spellEnd"/>
      <w:r>
        <w:rPr>
          <w:color w:val="000000" w:themeColor="text1"/>
        </w:rPr>
        <w:t>/</w:t>
      </w:r>
      <w:proofErr w:type="spellStart"/>
      <w:r>
        <w:rPr>
          <w:color w:val="000000" w:themeColor="text1"/>
        </w:rPr>
        <w:t>maps</w:t>
      </w:r>
      <w:proofErr w:type="spellEnd"/>
      <w:r>
        <w:rPr>
          <w:color w:val="000000" w:themeColor="text1"/>
        </w:rPr>
        <w:t>/map_id_2.png</w:t>
      </w:r>
    </w:p>
    <w:p w:rsidR="00DF1F17" w:rsidRPr="00B04166" w:rsidRDefault="00DF1F17" w:rsidP="00DF1F17">
      <w:pPr>
        <w:ind w:firstLine="420"/>
        <w:rPr>
          <w:color w:val="000000" w:themeColor="text1"/>
          <w:lang w:val="en-US"/>
        </w:rPr>
      </w:pPr>
      <w:r w:rsidRPr="00B04166">
        <w:rPr>
          <w:color w:val="000000" w:themeColor="text1"/>
          <w:lang w:val="en-US"/>
        </w:rPr>
        <w:t>......</w:t>
      </w:r>
    </w:p>
    <w:p w:rsidR="00DF1F17" w:rsidRPr="00B04166" w:rsidRDefault="00DF1F17" w:rsidP="00DF1F17">
      <w:pPr>
        <w:ind w:firstLine="420"/>
        <w:rPr>
          <w:color w:val="000000" w:themeColor="text1"/>
          <w:lang w:val="en-US"/>
        </w:rPr>
      </w:pPr>
      <w:r w:rsidRPr="00B04166">
        <w:rPr>
          <w:color w:val="000000" w:themeColor="text1"/>
          <w:lang w:val="en-US"/>
        </w:rPr>
        <w:t>zip/maps/map_id_m.png</w:t>
      </w:r>
    </w:p>
    <w:p w:rsidR="00DF1F17" w:rsidRPr="00B04166" w:rsidRDefault="00DF1F17" w:rsidP="00DF1F17">
      <w:pPr>
        <w:ind w:firstLine="420"/>
        <w:rPr>
          <w:color w:val="000000" w:themeColor="text1"/>
          <w:lang w:val="en-US"/>
        </w:rPr>
      </w:pPr>
    </w:p>
    <w:p w:rsidR="00DF1F17" w:rsidRPr="00832052" w:rsidRDefault="00DF1F17" w:rsidP="00DF1F17">
      <w:pPr>
        <w:rPr>
          <w:color w:val="000000" w:themeColor="text1"/>
        </w:rPr>
      </w:pPr>
      <w:r>
        <w:rPr>
          <w:color w:val="000000" w:themeColor="text1"/>
        </w:rPr>
        <w:t xml:space="preserve">Das Fingerabdruckpaket im Zip-Format kann um weitere Informationen erweitert werden. Herzstück des Pakets </w:t>
      </w:r>
      <w:r w:rsidR="00E55141">
        <w:rPr>
          <w:color w:val="000000" w:themeColor="text1"/>
        </w:rPr>
        <w:t>ist die Datei mit den Fingerabdruckdaten</w:t>
      </w:r>
      <w:r>
        <w:rPr>
          <w:color w:val="000000" w:themeColor="text1"/>
        </w:rPr>
        <w:t>, die den Kern der Korrelation bildet, so dass die Korrelation zwischen Teilen korrekt geparst werden kann, was die Datenübertragung über verschiedene Systeme hinweg ermöglicht.</w:t>
      </w:r>
    </w:p>
    <w:p w:rsidR="00DF1F17" w:rsidRDefault="00DF1F17" w:rsidP="00DF1F17"/>
    <w:p w:rsidR="00806AB4" w:rsidRPr="00832052" w:rsidRDefault="00806AB4" w:rsidP="00DF1F17"/>
    <w:p w:rsidR="00DF1F17" w:rsidRPr="00832052" w:rsidRDefault="00DF1F17" w:rsidP="00050E16">
      <w:pPr>
        <w:jc w:val="right"/>
      </w:pPr>
    </w:p>
    <w:p w:rsidR="00485380" w:rsidRPr="00832052" w:rsidRDefault="003265BF" w:rsidP="00050E16">
      <w:pPr>
        <w:jc w:val="right"/>
      </w:pPr>
      <w:r>
        <w:t>[Ende des Anhangs der Anlage und des Dokuments]</w:t>
      </w:r>
    </w:p>
    <w:sectPr w:rsidR="00485380" w:rsidRPr="00832052" w:rsidSect="00906DDC">
      <w:headerReference w:type="default" r:id="rId19"/>
      <w:headerReference w:type="first" r:id="rId2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477D" w:rsidRDefault="0037477D" w:rsidP="006655D3">
      <w:r>
        <w:separator/>
      </w:r>
    </w:p>
    <w:p w:rsidR="0037477D" w:rsidRDefault="0037477D" w:rsidP="006655D3"/>
    <w:p w:rsidR="0037477D" w:rsidRDefault="0037477D" w:rsidP="006655D3"/>
  </w:endnote>
  <w:endnote w:type="continuationSeparator" w:id="0">
    <w:p w:rsidR="0037477D" w:rsidRDefault="0037477D" w:rsidP="006655D3">
      <w:r>
        <w:separator/>
      </w:r>
    </w:p>
    <w:p w:rsidR="0037477D" w:rsidRPr="00294751" w:rsidRDefault="0037477D">
      <w:pPr>
        <w:pStyle w:val="Footer"/>
        <w:spacing w:after="60"/>
        <w:rPr>
          <w:sz w:val="18"/>
          <w:lang w:val="fr-FR"/>
        </w:rPr>
      </w:pPr>
      <w:r w:rsidRPr="00294751">
        <w:rPr>
          <w:sz w:val="18"/>
          <w:lang w:val="fr-FR"/>
        </w:rPr>
        <w:t>[Suite de la note de la page précédente]</w:t>
      </w:r>
    </w:p>
    <w:p w:rsidR="0037477D" w:rsidRPr="00294751" w:rsidRDefault="0037477D" w:rsidP="006655D3">
      <w:pPr>
        <w:rPr>
          <w:lang w:val="fr-FR"/>
        </w:rPr>
      </w:pPr>
    </w:p>
    <w:p w:rsidR="0037477D" w:rsidRPr="00294751" w:rsidRDefault="0037477D" w:rsidP="006655D3">
      <w:pPr>
        <w:rPr>
          <w:lang w:val="fr-FR"/>
        </w:rPr>
      </w:pPr>
    </w:p>
  </w:endnote>
  <w:endnote w:type="continuationNotice" w:id="1">
    <w:p w:rsidR="0037477D" w:rsidRPr="00294751" w:rsidRDefault="0037477D" w:rsidP="006655D3">
      <w:pPr>
        <w:rPr>
          <w:lang w:val="fr-FR"/>
        </w:rPr>
      </w:pPr>
      <w:r w:rsidRPr="00294751">
        <w:rPr>
          <w:lang w:val="fr-FR"/>
        </w:rPr>
        <w:t>[Suite de la note page suivante]</w:t>
      </w:r>
    </w:p>
    <w:p w:rsidR="0037477D" w:rsidRPr="00294751" w:rsidRDefault="0037477D" w:rsidP="006655D3">
      <w:pPr>
        <w:rPr>
          <w:lang w:val="fr-FR"/>
        </w:rPr>
      </w:pPr>
    </w:p>
    <w:p w:rsidR="0037477D" w:rsidRPr="00294751" w:rsidRDefault="0037477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15B" w:rsidRDefault="002871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15B" w:rsidRDefault="002871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15B" w:rsidRDefault="002871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477D" w:rsidRDefault="0037477D" w:rsidP="006655D3">
      <w:r>
        <w:separator/>
      </w:r>
    </w:p>
  </w:footnote>
  <w:footnote w:type="continuationSeparator" w:id="0">
    <w:p w:rsidR="0037477D" w:rsidRDefault="0037477D" w:rsidP="006655D3">
      <w:r>
        <w:separator/>
      </w:r>
    </w:p>
  </w:footnote>
  <w:footnote w:type="continuationNotice" w:id="1">
    <w:p w:rsidR="0037477D" w:rsidRPr="00AB530F" w:rsidRDefault="0037477D" w:rsidP="00AB530F">
      <w:pPr>
        <w:pStyle w:val="Footer"/>
      </w:pPr>
    </w:p>
  </w:footnote>
  <w:footnote w:id="2">
    <w:p w:rsidR="0028715B" w:rsidRDefault="0028715B">
      <w:pPr>
        <w:pStyle w:val="FootnoteText"/>
      </w:pPr>
      <w:r>
        <w:rPr>
          <w:rStyle w:val="FootnoteReference"/>
        </w:rPr>
        <w:footnoteRef/>
      </w:r>
      <w:r>
        <w:t xml:space="preserve"> abgehalten am 28. und 29. Oktober 2019 in Genf.</w:t>
      </w:r>
    </w:p>
  </w:footnote>
  <w:footnote w:id="3">
    <w:p w:rsidR="0028715B" w:rsidRDefault="0028715B">
      <w:pPr>
        <w:pStyle w:val="FootnoteText"/>
      </w:pPr>
      <w:r>
        <w:rPr>
          <w:rStyle w:val="FootnoteReference"/>
        </w:rPr>
        <w:footnoteRef/>
      </w:r>
      <w:r>
        <w:t xml:space="preserve"> Abgehalten in Hangzhou, China, vom 16. bis 18. Oktober 2019.</w:t>
      </w:r>
    </w:p>
  </w:footnote>
  <w:footnote w:id="4">
    <w:p w:rsidR="0028715B" w:rsidRPr="00705CF5" w:rsidRDefault="0028715B">
      <w:pPr>
        <w:pStyle w:val="FootnoteText"/>
      </w:pPr>
      <w:r>
        <w:rPr>
          <w:rStyle w:val="FootnoteReference"/>
        </w:rPr>
        <w:footnoteRef/>
      </w:r>
      <w:r>
        <w:t xml:space="preserve"> Veranstaltet von den Vereinigten Staaten von Amerika und auf elektronischem Wege vom 23. bis 25. September 2020 abgehalten.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15B" w:rsidRPr="00C5280D" w:rsidRDefault="0028715B" w:rsidP="00485380">
    <w:pPr>
      <w:pStyle w:val="Header"/>
      <w:rPr>
        <w:rStyle w:val="PageNumber"/>
      </w:rPr>
    </w:pPr>
    <w:r>
      <w:rPr>
        <w:rStyle w:val="PageNumber"/>
      </w:rPr>
      <w:t>TC/56/13</w:t>
    </w:r>
  </w:p>
  <w:p w:rsidR="0028715B" w:rsidRPr="00C5280D" w:rsidRDefault="0028715B" w:rsidP="00485380">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F27F3F">
      <w:rPr>
        <w:rStyle w:val="PageNumber"/>
        <w:noProof/>
      </w:rPr>
      <w:t>3</w:t>
    </w:r>
    <w:r w:rsidRPr="00C5280D">
      <w:rPr>
        <w:rStyle w:val="PageNumber"/>
      </w:rPr>
      <w:fldChar w:fldCharType="end"/>
    </w:r>
  </w:p>
  <w:p w:rsidR="0028715B" w:rsidRDefault="002871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15B" w:rsidRDefault="002871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15B" w:rsidRPr="00C5280D" w:rsidRDefault="0028715B" w:rsidP="00B443BB">
    <w:pPr>
      <w:pStyle w:val="Header"/>
      <w:rPr>
        <w:rStyle w:val="PageNumber"/>
      </w:rPr>
    </w:pPr>
    <w:r>
      <w:rPr>
        <w:rStyle w:val="PageNumber"/>
      </w:rPr>
      <w:t>TC/56/13</w:t>
    </w:r>
  </w:p>
  <w:p w:rsidR="0028715B" w:rsidRPr="00C5280D" w:rsidRDefault="0028715B" w:rsidP="00B443BB">
    <w:pPr>
      <w:pStyle w:val="Header"/>
    </w:pPr>
    <w:r>
      <w:t xml:space="preserve">Anlage, 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F27F3F">
      <w:rPr>
        <w:rStyle w:val="PageNumber"/>
        <w:noProof/>
      </w:rPr>
      <w:t>8</w:t>
    </w:r>
    <w:r w:rsidRPr="00C5280D">
      <w:rPr>
        <w:rStyle w:val="PageNumber"/>
      </w:rPr>
      <w:fldChar w:fldCharType="end"/>
    </w:r>
  </w:p>
  <w:p w:rsidR="0028715B" w:rsidRPr="00837733" w:rsidRDefault="0028715B" w:rsidP="00B443BB">
    <w:pPr>
      <w:jc w:val="cente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15B" w:rsidRPr="00C5280D" w:rsidRDefault="0028715B" w:rsidP="00B443BB">
    <w:pPr>
      <w:pStyle w:val="Header"/>
      <w:rPr>
        <w:rStyle w:val="PageNumber"/>
      </w:rPr>
    </w:pPr>
    <w:r>
      <w:rPr>
        <w:rStyle w:val="PageNumber"/>
      </w:rPr>
      <w:t>TC/56/13</w:t>
    </w:r>
  </w:p>
  <w:p w:rsidR="0028715B" w:rsidRDefault="0028715B" w:rsidP="00203B8B">
    <w:pPr>
      <w:pStyle w:val="Header"/>
      <w:rPr>
        <w:lang w:val="en-US"/>
      </w:rPr>
    </w:pPr>
  </w:p>
  <w:p w:rsidR="0028715B" w:rsidRPr="00801DE9" w:rsidRDefault="0028715B" w:rsidP="00203B8B">
    <w:pPr>
      <w:pStyle w:val="Header"/>
    </w:pPr>
    <w:r>
      <w:t>ANLAGE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15B" w:rsidRPr="00C5280D" w:rsidRDefault="0028715B" w:rsidP="00B443BB">
    <w:pPr>
      <w:pStyle w:val="Header"/>
      <w:rPr>
        <w:rStyle w:val="PageNumber"/>
      </w:rPr>
    </w:pPr>
    <w:r>
      <w:rPr>
        <w:rStyle w:val="PageNumber"/>
      </w:rPr>
      <w:t>TC/56/13</w:t>
    </w:r>
  </w:p>
  <w:p w:rsidR="0028715B" w:rsidRDefault="0028715B">
    <w:pPr>
      <w:pStyle w:val="Header"/>
      <w:rPr>
        <w:lang w:val="en-US"/>
      </w:rPr>
    </w:pPr>
  </w:p>
  <w:p w:rsidR="0028715B" w:rsidRPr="00C20A57" w:rsidRDefault="0028715B">
    <w:pPr>
      <w:pStyle w:val="Header"/>
    </w:pPr>
    <w:r>
      <w:t>ANHANG DER ANLAGE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15B" w:rsidRPr="00801DE9" w:rsidRDefault="0028715B" w:rsidP="00203B8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15B" w:rsidRPr="00C5280D" w:rsidRDefault="0028715B" w:rsidP="00B443BB">
    <w:pPr>
      <w:pStyle w:val="Header"/>
      <w:rPr>
        <w:rStyle w:val="PageNumber"/>
      </w:rPr>
    </w:pPr>
    <w:r>
      <w:rPr>
        <w:rStyle w:val="PageNumber"/>
      </w:rPr>
      <w:t>TC/56/13</w:t>
    </w:r>
  </w:p>
  <w:p w:rsidR="0028715B" w:rsidRPr="00C5280D" w:rsidRDefault="0028715B" w:rsidP="00B443BB">
    <w:pPr>
      <w:pStyle w:val="Header"/>
    </w:pPr>
    <w:r>
      <w:t xml:space="preserve">Anhang der Anlage, 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F27F3F">
      <w:rPr>
        <w:rStyle w:val="PageNumber"/>
        <w:noProof/>
      </w:rPr>
      <w:t>3</w:t>
    </w:r>
    <w:r w:rsidRPr="00C5280D">
      <w:rPr>
        <w:rStyle w:val="PageNumber"/>
      </w:rPr>
      <w:fldChar w:fldCharType="end"/>
    </w:r>
  </w:p>
  <w:p w:rsidR="0028715B" w:rsidRPr="00801DE9" w:rsidRDefault="0028715B" w:rsidP="00203B8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715B" w:rsidRPr="00C5280D" w:rsidRDefault="0028715B" w:rsidP="00B443BB">
    <w:pPr>
      <w:pStyle w:val="Header"/>
      <w:rPr>
        <w:rStyle w:val="PageNumber"/>
      </w:rPr>
    </w:pPr>
    <w:r>
      <w:rPr>
        <w:rStyle w:val="PageNumber"/>
      </w:rPr>
      <w:t>TC/56/13</w:t>
    </w:r>
  </w:p>
  <w:p w:rsidR="0028715B" w:rsidRPr="00C5280D" w:rsidRDefault="0028715B" w:rsidP="00B443BB">
    <w:pPr>
      <w:pStyle w:val="Header"/>
    </w:pPr>
    <w:r>
      <w:t xml:space="preserve">Anhang der Anlage, 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F27F3F">
      <w:rPr>
        <w:rStyle w:val="PageNumber"/>
        <w:noProof/>
      </w:rPr>
      <w:t>2</w:t>
    </w:r>
    <w:r w:rsidRPr="00C5280D">
      <w:rPr>
        <w:rStyle w:val="PageNumber"/>
      </w:rPr>
      <w:fldChar w:fldCharType="end"/>
    </w:r>
  </w:p>
  <w:p w:rsidR="0028715B" w:rsidRPr="00B04166" w:rsidRDefault="002871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1B0B"/>
    <w:multiLevelType w:val="hybridMultilevel"/>
    <w:tmpl w:val="64129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77078"/>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62C6DA1"/>
    <w:multiLevelType w:val="hybridMultilevel"/>
    <w:tmpl w:val="0138329A"/>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C3241"/>
    <w:multiLevelType w:val="multilevel"/>
    <w:tmpl w:val="6FB8689C"/>
    <w:lvl w:ilvl="0">
      <w:start w:val="1"/>
      <w:numFmt w:val="lowerLetter"/>
      <w:lvlText w:val="(%1)"/>
      <w:lvlJc w:val="left"/>
      <w:pPr>
        <w:ind w:left="644" w:hanging="360"/>
      </w:pPr>
      <w:rPr>
        <w:rFonts w:hint="default"/>
      </w:rPr>
    </w:lvl>
    <w:lvl w:ilvl="1">
      <w:start w:val="1"/>
      <w:numFmt w:val="lowerRoman"/>
      <w:lvlText w:val="(%2)"/>
      <w:lvlJc w:val="righ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 w15:restartNumberingAfterBreak="0">
    <w:nsid w:val="0D994B21"/>
    <w:multiLevelType w:val="hybridMultilevel"/>
    <w:tmpl w:val="5C04998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0E6F6905"/>
    <w:multiLevelType w:val="hybridMultilevel"/>
    <w:tmpl w:val="82A8D11C"/>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E303A8"/>
    <w:multiLevelType w:val="hybridMultilevel"/>
    <w:tmpl w:val="F33A8940"/>
    <w:lvl w:ilvl="0" w:tplc="BD9A55EC">
      <w:start w:val="1"/>
      <w:numFmt w:val="lowerRoman"/>
      <w:lvlText w:val="(%1)"/>
      <w:lvlJc w:val="right"/>
      <w:pPr>
        <w:ind w:left="1695"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7" w15:restartNumberingAfterBreak="0">
    <w:nsid w:val="152146C2"/>
    <w:multiLevelType w:val="hybridMultilevel"/>
    <w:tmpl w:val="57BA1378"/>
    <w:lvl w:ilvl="0" w:tplc="E9A88AB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17C356E5"/>
    <w:multiLevelType w:val="hybridMultilevel"/>
    <w:tmpl w:val="A41EB4A8"/>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E36AC"/>
    <w:multiLevelType w:val="hybridMultilevel"/>
    <w:tmpl w:val="7988F85C"/>
    <w:lvl w:ilvl="0" w:tplc="9F6A0B92">
      <w:start w:val="1"/>
      <w:numFmt w:val="lowerLetter"/>
      <w:lvlText w:val="(%1)"/>
      <w:lvlJc w:val="left"/>
      <w:pPr>
        <w:ind w:left="1284" w:hanging="360"/>
      </w:pPr>
      <w:rPr>
        <w:rFonts w:hint="default"/>
      </w:rPr>
    </w:lvl>
    <w:lvl w:ilvl="1" w:tplc="9F6A0B92">
      <w:start w:val="1"/>
      <w:numFmt w:val="lowerLetter"/>
      <w:lvlText w:val="(%2)"/>
      <w:lvlJc w:val="left"/>
      <w:pPr>
        <w:ind w:left="2004" w:hanging="360"/>
      </w:pPr>
      <w:rPr>
        <w:rFonts w:hint="default"/>
      </w:rPr>
    </w:lvl>
    <w:lvl w:ilvl="2" w:tplc="0409001B" w:tentative="1">
      <w:start w:val="1"/>
      <w:numFmt w:val="lowerRoman"/>
      <w:lvlText w:val="%3."/>
      <w:lvlJc w:val="right"/>
      <w:pPr>
        <w:ind w:left="2724" w:hanging="180"/>
      </w:pPr>
    </w:lvl>
    <w:lvl w:ilvl="3" w:tplc="0409000F" w:tentative="1">
      <w:start w:val="1"/>
      <w:numFmt w:val="decimal"/>
      <w:lvlText w:val="%4."/>
      <w:lvlJc w:val="left"/>
      <w:pPr>
        <w:ind w:left="3444" w:hanging="360"/>
      </w:pPr>
    </w:lvl>
    <w:lvl w:ilvl="4" w:tplc="04090019" w:tentative="1">
      <w:start w:val="1"/>
      <w:numFmt w:val="lowerLetter"/>
      <w:lvlText w:val="%5."/>
      <w:lvlJc w:val="left"/>
      <w:pPr>
        <w:ind w:left="4164" w:hanging="360"/>
      </w:pPr>
    </w:lvl>
    <w:lvl w:ilvl="5" w:tplc="0409001B" w:tentative="1">
      <w:start w:val="1"/>
      <w:numFmt w:val="lowerRoman"/>
      <w:lvlText w:val="%6."/>
      <w:lvlJc w:val="right"/>
      <w:pPr>
        <w:ind w:left="4884" w:hanging="180"/>
      </w:pPr>
    </w:lvl>
    <w:lvl w:ilvl="6" w:tplc="0409000F" w:tentative="1">
      <w:start w:val="1"/>
      <w:numFmt w:val="decimal"/>
      <w:lvlText w:val="%7."/>
      <w:lvlJc w:val="left"/>
      <w:pPr>
        <w:ind w:left="5604" w:hanging="360"/>
      </w:pPr>
    </w:lvl>
    <w:lvl w:ilvl="7" w:tplc="04090019" w:tentative="1">
      <w:start w:val="1"/>
      <w:numFmt w:val="lowerLetter"/>
      <w:lvlText w:val="%8."/>
      <w:lvlJc w:val="left"/>
      <w:pPr>
        <w:ind w:left="6324" w:hanging="360"/>
      </w:pPr>
    </w:lvl>
    <w:lvl w:ilvl="8" w:tplc="0409001B" w:tentative="1">
      <w:start w:val="1"/>
      <w:numFmt w:val="lowerRoman"/>
      <w:lvlText w:val="%9."/>
      <w:lvlJc w:val="right"/>
      <w:pPr>
        <w:ind w:left="7044" w:hanging="180"/>
      </w:pPr>
    </w:lvl>
  </w:abstractNum>
  <w:abstractNum w:abstractNumId="10" w15:restartNumberingAfterBreak="0">
    <w:nsid w:val="26B52B0D"/>
    <w:multiLevelType w:val="hybridMultilevel"/>
    <w:tmpl w:val="88882FD6"/>
    <w:lvl w:ilvl="0" w:tplc="BD9A55EC">
      <w:start w:val="1"/>
      <w:numFmt w:val="lowerRoman"/>
      <w:lvlText w:val="(%1)"/>
      <w:lvlJc w:val="right"/>
      <w:pPr>
        <w:ind w:left="1287" w:hanging="360"/>
      </w:pPr>
      <w:rPr>
        <w:rFonts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31802DB3"/>
    <w:multiLevelType w:val="hybridMultilevel"/>
    <w:tmpl w:val="3B4C29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7E51E4C"/>
    <w:multiLevelType w:val="hybridMultilevel"/>
    <w:tmpl w:val="3DDEEA28"/>
    <w:lvl w:ilvl="0" w:tplc="9F6A0B92">
      <w:start w:val="1"/>
      <w:numFmt w:val="lowerLetter"/>
      <w:lvlText w:val="(%1)"/>
      <w:lvlJc w:val="left"/>
      <w:pPr>
        <w:ind w:left="720" w:hanging="360"/>
      </w:pPr>
      <w:rPr>
        <w:rFonts w:hint="default"/>
      </w:rPr>
    </w:lvl>
    <w:lvl w:ilvl="1" w:tplc="9F6A0B9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7F103F"/>
    <w:multiLevelType w:val="hybridMultilevel"/>
    <w:tmpl w:val="D646EB5E"/>
    <w:lvl w:ilvl="0" w:tplc="E9FAC498">
      <w:start w:val="4"/>
      <w:numFmt w:val="bullet"/>
      <w:lvlText w:val="-"/>
      <w:lvlJc w:val="left"/>
      <w:pPr>
        <w:ind w:left="720" w:hanging="360"/>
      </w:pPr>
      <w:rPr>
        <w:rFonts w:ascii="Calibri" w:eastAsia="Times New Roman"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417EB"/>
    <w:multiLevelType w:val="hybridMultilevel"/>
    <w:tmpl w:val="742ADB12"/>
    <w:lvl w:ilvl="0" w:tplc="E9FAC498">
      <w:start w:val="4"/>
      <w:numFmt w:val="bullet"/>
      <w:lvlText w:val="-"/>
      <w:lvlJc w:val="left"/>
      <w:pPr>
        <w:ind w:left="1080" w:hanging="360"/>
      </w:pPr>
      <w:rPr>
        <w:rFonts w:ascii="Calibri" w:eastAsia="Times New Roman" w:hAnsi="Calibri"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503D0887"/>
    <w:multiLevelType w:val="hybridMultilevel"/>
    <w:tmpl w:val="AD0AED70"/>
    <w:lvl w:ilvl="0" w:tplc="BD9A55E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416243"/>
    <w:multiLevelType w:val="hybridMultilevel"/>
    <w:tmpl w:val="BEA0B5F2"/>
    <w:lvl w:ilvl="0" w:tplc="9F6A0B92">
      <w:start w:val="1"/>
      <w:numFmt w:val="lowerLetter"/>
      <w:lvlText w:val="(%1)"/>
      <w:lvlJc w:val="left"/>
      <w:pPr>
        <w:ind w:left="720" w:hanging="360"/>
      </w:pPr>
      <w:rPr>
        <w:rFonts w:hint="default"/>
      </w:rPr>
    </w:lvl>
    <w:lvl w:ilvl="1" w:tplc="9F6A0B92">
      <w:start w:val="1"/>
      <w:numFmt w:val="lowerLetter"/>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581741"/>
    <w:multiLevelType w:val="hybridMultilevel"/>
    <w:tmpl w:val="12AEE7C6"/>
    <w:lvl w:ilvl="0" w:tplc="FB7415E4">
      <w:start w:val="1"/>
      <w:numFmt w:val="lowerRoman"/>
      <w:lvlText w:val="(%1)"/>
      <w:lvlJc w:val="left"/>
      <w:pPr>
        <w:ind w:left="1695"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8" w15:restartNumberingAfterBreak="0">
    <w:nsid w:val="581E481C"/>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9CB0745"/>
    <w:multiLevelType w:val="hybridMultilevel"/>
    <w:tmpl w:val="40542DEC"/>
    <w:lvl w:ilvl="0" w:tplc="37A88172">
      <w:start w:val="1"/>
      <w:numFmt w:val="lowerRoman"/>
      <w:lvlText w:val="(%1)"/>
      <w:lvlJc w:val="right"/>
      <w:pPr>
        <w:ind w:left="1287" w:hanging="360"/>
      </w:pPr>
      <w:rPr>
        <w:rFonts w:cs="Times New Roman"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0" w15:restartNumberingAfterBreak="0">
    <w:nsid w:val="5DC047CA"/>
    <w:multiLevelType w:val="hybridMultilevel"/>
    <w:tmpl w:val="99828B30"/>
    <w:lvl w:ilvl="0" w:tplc="9F6A0B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5344B5"/>
    <w:multiLevelType w:val="hybridMultilevel"/>
    <w:tmpl w:val="34364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5E6B79"/>
    <w:multiLevelType w:val="hybridMultilevel"/>
    <w:tmpl w:val="46800CFE"/>
    <w:lvl w:ilvl="0" w:tplc="9F6A0B92">
      <w:start w:val="1"/>
      <w:numFmt w:val="lowerLetter"/>
      <w:lvlText w:val="(%1)"/>
      <w:lvlJc w:val="left"/>
      <w:pPr>
        <w:ind w:left="720" w:hanging="360"/>
      </w:pPr>
      <w:rPr>
        <w:rFonts w:hint="default"/>
      </w:rPr>
    </w:lvl>
    <w:lvl w:ilvl="1" w:tplc="ACE2C7D0">
      <w:start w:val="1"/>
      <w:numFmt w:val="lowerLetter"/>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3530A4"/>
    <w:multiLevelType w:val="hybridMultilevel"/>
    <w:tmpl w:val="A162D29C"/>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647161"/>
    <w:multiLevelType w:val="hybridMultilevel"/>
    <w:tmpl w:val="9AFC2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9A6C73"/>
    <w:multiLevelType w:val="hybridMultilevel"/>
    <w:tmpl w:val="930CDD5E"/>
    <w:lvl w:ilvl="0" w:tplc="BD9A55EC">
      <w:start w:val="1"/>
      <w:numFmt w:val="lowerRoman"/>
      <w:lvlText w:val="(%1)"/>
      <w:lvlJc w:val="right"/>
      <w:pPr>
        <w:ind w:left="1287" w:hanging="360"/>
      </w:pPr>
      <w:rPr>
        <w:rFonts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6B712D7E"/>
    <w:multiLevelType w:val="hybridMultilevel"/>
    <w:tmpl w:val="9CB2FD90"/>
    <w:lvl w:ilvl="0" w:tplc="38A802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EE1458"/>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A83413D"/>
    <w:multiLevelType w:val="hybridMultilevel"/>
    <w:tmpl w:val="15049DA0"/>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995F7F"/>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ED03910"/>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0"/>
  </w:num>
  <w:num w:numId="2">
    <w:abstractNumId w:val="22"/>
  </w:num>
  <w:num w:numId="3">
    <w:abstractNumId w:val="16"/>
  </w:num>
  <w:num w:numId="4">
    <w:abstractNumId w:val="12"/>
  </w:num>
  <w:num w:numId="5">
    <w:abstractNumId w:val="9"/>
  </w:num>
  <w:num w:numId="6">
    <w:abstractNumId w:val="30"/>
  </w:num>
  <w:num w:numId="7">
    <w:abstractNumId w:val="26"/>
  </w:num>
  <w:num w:numId="8">
    <w:abstractNumId w:val="19"/>
  </w:num>
  <w:num w:numId="9">
    <w:abstractNumId w:val="15"/>
  </w:num>
  <w:num w:numId="10">
    <w:abstractNumId w:val="0"/>
  </w:num>
  <w:num w:numId="11">
    <w:abstractNumId w:val="17"/>
  </w:num>
  <w:num w:numId="12">
    <w:abstractNumId w:val="6"/>
  </w:num>
  <w:num w:numId="13">
    <w:abstractNumId w:val="10"/>
  </w:num>
  <w:num w:numId="14">
    <w:abstractNumId w:val="25"/>
  </w:num>
  <w:num w:numId="15">
    <w:abstractNumId w:val="29"/>
  </w:num>
  <w:num w:numId="16">
    <w:abstractNumId w:val="18"/>
  </w:num>
  <w:num w:numId="17">
    <w:abstractNumId w:val="3"/>
  </w:num>
  <w:num w:numId="18">
    <w:abstractNumId w:val="1"/>
  </w:num>
  <w:num w:numId="19">
    <w:abstractNumId w:val="27"/>
  </w:num>
  <w:num w:numId="20">
    <w:abstractNumId w:val="14"/>
  </w:num>
  <w:num w:numId="21">
    <w:abstractNumId w:val="4"/>
  </w:num>
  <w:num w:numId="22">
    <w:abstractNumId w:val="11"/>
  </w:num>
  <w:num w:numId="23">
    <w:abstractNumId w:val="7"/>
  </w:num>
  <w:num w:numId="24">
    <w:abstractNumId w:val="24"/>
  </w:num>
  <w:num w:numId="25">
    <w:abstractNumId w:val="21"/>
  </w:num>
  <w:num w:numId="26">
    <w:abstractNumId w:val="23"/>
  </w:num>
  <w:num w:numId="27">
    <w:abstractNumId w:val="8"/>
  </w:num>
  <w:num w:numId="28">
    <w:abstractNumId w:val="28"/>
  </w:num>
  <w:num w:numId="29">
    <w:abstractNumId w:val="13"/>
  </w:num>
  <w:num w:numId="30">
    <w:abstractNumId w:val="5"/>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1A0"/>
    <w:rsid w:val="00001F41"/>
    <w:rsid w:val="00004ED1"/>
    <w:rsid w:val="00006812"/>
    <w:rsid w:val="00010CF3"/>
    <w:rsid w:val="00011E27"/>
    <w:rsid w:val="000148BC"/>
    <w:rsid w:val="00021B34"/>
    <w:rsid w:val="00024AB8"/>
    <w:rsid w:val="00030854"/>
    <w:rsid w:val="00036028"/>
    <w:rsid w:val="00036D11"/>
    <w:rsid w:val="00044642"/>
    <w:rsid w:val="000446B9"/>
    <w:rsid w:val="00047E21"/>
    <w:rsid w:val="00050E16"/>
    <w:rsid w:val="00055373"/>
    <w:rsid w:val="000741A2"/>
    <w:rsid w:val="00074AE7"/>
    <w:rsid w:val="00085505"/>
    <w:rsid w:val="000B29B6"/>
    <w:rsid w:val="000C4E25"/>
    <w:rsid w:val="000C7021"/>
    <w:rsid w:val="000D6BBC"/>
    <w:rsid w:val="000D7780"/>
    <w:rsid w:val="000E636A"/>
    <w:rsid w:val="000F2F11"/>
    <w:rsid w:val="00105929"/>
    <w:rsid w:val="00110C36"/>
    <w:rsid w:val="001131D5"/>
    <w:rsid w:val="00116403"/>
    <w:rsid w:val="0013222A"/>
    <w:rsid w:val="00141DB8"/>
    <w:rsid w:val="00172084"/>
    <w:rsid w:val="0017474A"/>
    <w:rsid w:val="001758C6"/>
    <w:rsid w:val="00182B99"/>
    <w:rsid w:val="001833F7"/>
    <w:rsid w:val="0018589F"/>
    <w:rsid w:val="001D1213"/>
    <w:rsid w:val="001F1497"/>
    <w:rsid w:val="0020054C"/>
    <w:rsid w:val="00203B8B"/>
    <w:rsid w:val="00204ACA"/>
    <w:rsid w:val="0021332C"/>
    <w:rsid w:val="00213982"/>
    <w:rsid w:val="00225BAA"/>
    <w:rsid w:val="0024416D"/>
    <w:rsid w:val="00252944"/>
    <w:rsid w:val="002640B8"/>
    <w:rsid w:val="00271911"/>
    <w:rsid w:val="002800A0"/>
    <w:rsid w:val="002801B3"/>
    <w:rsid w:val="00281060"/>
    <w:rsid w:val="0028715B"/>
    <w:rsid w:val="002940E8"/>
    <w:rsid w:val="00294751"/>
    <w:rsid w:val="002A6E50"/>
    <w:rsid w:val="002B2810"/>
    <w:rsid w:val="002B4298"/>
    <w:rsid w:val="002C256A"/>
    <w:rsid w:val="002D3426"/>
    <w:rsid w:val="0030317F"/>
    <w:rsid w:val="00304827"/>
    <w:rsid w:val="00305A7F"/>
    <w:rsid w:val="003152FE"/>
    <w:rsid w:val="003265BF"/>
    <w:rsid w:val="00327436"/>
    <w:rsid w:val="00340D10"/>
    <w:rsid w:val="00344BD6"/>
    <w:rsid w:val="0035528D"/>
    <w:rsid w:val="00357E26"/>
    <w:rsid w:val="00360D66"/>
    <w:rsid w:val="00361821"/>
    <w:rsid w:val="00361E9E"/>
    <w:rsid w:val="0037477D"/>
    <w:rsid w:val="00397ABD"/>
    <w:rsid w:val="003A10BA"/>
    <w:rsid w:val="003A27EF"/>
    <w:rsid w:val="003C7FBE"/>
    <w:rsid w:val="003D227C"/>
    <w:rsid w:val="003D2B4D"/>
    <w:rsid w:val="00403992"/>
    <w:rsid w:val="00444A88"/>
    <w:rsid w:val="00474DA4"/>
    <w:rsid w:val="00476B4D"/>
    <w:rsid w:val="004805FA"/>
    <w:rsid w:val="00485380"/>
    <w:rsid w:val="004935D2"/>
    <w:rsid w:val="0049585B"/>
    <w:rsid w:val="00496DBB"/>
    <w:rsid w:val="004B1215"/>
    <w:rsid w:val="004D047D"/>
    <w:rsid w:val="004F1E9E"/>
    <w:rsid w:val="004F305A"/>
    <w:rsid w:val="00512164"/>
    <w:rsid w:val="00513711"/>
    <w:rsid w:val="00515F7C"/>
    <w:rsid w:val="00520297"/>
    <w:rsid w:val="00525544"/>
    <w:rsid w:val="005338F9"/>
    <w:rsid w:val="0054281C"/>
    <w:rsid w:val="00544581"/>
    <w:rsid w:val="00545708"/>
    <w:rsid w:val="005467D6"/>
    <w:rsid w:val="0055268D"/>
    <w:rsid w:val="005544DA"/>
    <w:rsid w:val="0056678B"/>
    <w:rsid w:val="00576BE4"/>
    <w:rsid w:val="005817D9"/>
    <w:rsid w:val="005A400A"/>
    <w:rsid w:val="005A5553"/>
    <w:rsid w:val="005D1380"/>
    <w:rsid w:val="005F7B92"/>
    <w:rsid w:val="00612379"/>
    <w:rsid w:val="006153B6"/>
    <w:rsid w:val="0061555F"/>
    <w:rsid w:val="00636CA6"/>
    <w:rsid w:val="00641200"/>
    <w:rsid w:val="006438FF"/>
    <w:rsid w:val="00645CA8"/>
    <w:rsid w:val="006655D3"/>
    <w:rsid w:val="00667404"/>
    <w:rsid w:val="00673520"/>
    <w:rsid w:val="00674772"/>
    <w:rsid w:val="00682D2D"/>
    <w:rsid w:val="0068485D"/>
    <w:rsid w:val="00686841"/>
    <w:rsid w:val="00687EB4"/>
    <w:rsid w:val="00695C56"/>
    <w:rsid w:val="006A5CDE"/>
    <w:rsid w:val="006A644A"/>
    <w:rsid w:val="006B17D2"/>
    <w:rsid w:val="006C224E"/>
    <w:rsid w:val="006D1444"/>
    <w:rsid w:val="006D3FF6"/>
    <w:rsid w:val="006D7435"/>
    <w:rsid w:val="006D780A"/>
    <w:rsid w:val="006F3E80"/>
    <w:rsid w:val="00700599"/>
    <w:rsid w:val="007037B5"/>
    <w:rsid w:val="00705CF5"/>
    <w:rsid w:val="0071271E"/>
    <w:rsid w:val="00732DEC"/>
    <w:rsid w:val="00735BD5"/>
    <w:rsid w:val="00751613"/>
    <w:rsid w:val="007556F6"/>
    <w:rsid w:val="00760EEF"/>
    <w:rsid w:val="007645F2"/>
    <w:rsid w:val="00777EE5"/>
    <w:rsid w:val="00784836"/>
    <w:rsid w:val="0079023E"/>
    <w:rsid w:val="007A1CCA"/>
    <w:rsid w:val="007A2854"/>
    <w:rsid w:val="007B4D86"/>
    <w:rsid w:val="007C1D92"/>
    <w:rsid w:val="007C49D4"/>
    <w:rsid w:val="007C49D8"/>
    <w:rsid w:val="007C4CB9"/>
    <w:rsid w:val="007D0B9D"/>
    <w:rsid w:val="007D19B0"/>
    <w:rsid w:val="007F498F"/>
    <w:rsid w:val="0080679D"/>
    <w:rsid w:val="00806AB4"/>
    <w:rsid w:val="008108B0"/>
    <w:rsid w:val="00811B20"/>
    <w:rsid w:val="008211B5"/>
    <w:rsid w:val="00822657"/>
    <w:rsid w:val="0082296E"/>
    <w:rsid w:val="00823D34"/>
    <w:rsid w:val="00824099"/>
    <w:rsid w:val="00832052"/>
    <w:rsid w:val="008326A0"/>
    <w:rsid w:val="00846D7C"/>
    <w:rsid w:val="008619BE"/>
    <w:rsid w:val="00867AC1"/>
    <w:rsid w:val="00882C6F"/>
    <w:rsid w:val="00890DF8"/>
    <w:rsid w:val="008A743F"/>
    <w:rsid w:val="008B6E60"/>
    <w:rsid w:val="008C0970"/>
    <w:rsid w:val="008D0BC5"/>
    <w:rsid w:val="008D2A77"/>
    <w:rsid w:val="008D2CF7"/>
    <w:rsid w:val="008D7E86"/>
    <w:rsid w:val="00900C26"/>
    <w:rsid w:val="0090197F"/>
    <w:rsid w:val="0090233F"/>
    <w:rsid w:val="00906DDC"/>
    <w:rsid w:val="00912F53"/>
    <w:rsid w:val="0091714B"/>
    <w:rsid w:val="00934E09"/>
    <w:rsid w:val="00935115"/>
    <w:rsid w:val="00936253"/>
    <w:rsid w:val="009369B8"/>
    <w:rsid w:val="00940D46"/>
    <w:rsid w:val="00942748"/>
    <w:rsid w:val="00952DD4"/>
    <w:rsid w:val="00960A2C"/>
    <w:rsid w:val="00965AE7"/>
    <w:rsid w:val="00970FED"/>
    <w:rsid w:val="00974047"/>
    <w:rsid w:val="00992D82"/>
    <w:rsid w:val="00997029"/>
    <w:rsid w:val="009A50B8"/>
    <w:rsid w:val="009A7339"/>
    <w:rsid w:val="009B1FBE"/>
    <w:rsid w:val="009B440E"/>
    <w:rsid w:val="009D690D"/>
    <w:rsid w:val="009E65B6"/>
    <w:rsid w:val="00A24C10"/>
    <w:rsid w:val="00A308C3"/>
    <w:rsid w:val="00A37C2B"/>
    <w:rsid w:val="00A42AC3"/>
    <w:rsid w:val="00A430CF"/>
    <w:rsid w:val="00A54309"/>
    <w:rsid w:val="00A57E83"/>
    <w:rsid w:val="00AA18B2"/>
    <w:rsid w:val="00AB2B93"/>
    <w:rsid w:val="00AB530F"/>
    <w:rsid w:val="00AB676A"/>
    <w:rsid w:val="00AB7E5B"/>
    <w:rsid w:val="00AC2883"/>
    <w:rsid w:val="00AD7632"/>
    <w:rsid w:val="00AE0EF1"/>
    <w:rsid w:val="00AE2937"/>
    <w:rsid w:val="00AE7FDE"/>
    <w:rsid w:val="00B04166"/>
    <w:rsid w:val="00B07301"/>
    <w:rsid w:val="00B104FC"/>
    <w:rsid w:val="00B11F3E"/>
    <w:rsid w:val="00B224DE"/>
    <w:rsid w:val="00B31E8A"/>
    <w:rsid w:val="00B324D4"/>
    <w:rsid w:val="00B443BB"/>
    <w:rsid w:val="00B46575"/>
    <w:rsid w:val="00B61777"/>
    <w:rsid w:val="00B6307F"/>
    <w:rsid w:val="00B80A6D"/>
    <w:rsid w:val="00B82D78"/>
    <w:rsid w:val="00B84BBD"/>
    <w:rsid w:val="00B97F2C"/>
    <w:rsid w:val="00BA43FB"/>
    <w:rsid w:val="00BC127D"/>
    <w:rsid w:val="00BC1FE6"/>
    <w:rsid w:val="00BE6608"/>
    <w:rsid w:val="00C061B6"/>
    <w:rsid w:val="00C13FE6"/>
    <w:rsid w:val="00C239B5"/>
    <w:rsid w:val="00C2446C"/>
    <w:rsid w:val="00C36AE5"/>
    <w:rsid w:val="00C41F17"/>
    <w:rsid w:val="00C527FA"/>
    <w:rsid w:val="00C5280D"/>
    <w:rsid w:val="00C53EB3"/>
    <w:rsid w:val="00C5791C"/>
    <w:rsid w:val="00C66290"/>
    <w:rsid w:val="00C72B7A"/>
    <w:rsid w:val="00C973F2"/>
    <w:rsid w:val="00CA304C"/>
    <w:rsid w:val="00CA55DF"/>
    <w:rsid w:val="00CA774A"/>
    <w:rsid w:val="00CB6220"/>
    <w:rsid w:val="00CC11B0"/>
    <w:rsid w:val="00CC2841"/>
    <w:rsid w:val="00CF1330"/>
    <w:rsid w:val="00CF7E36"/>
    <w:rsid w:val="00D15553"/>
    <w:rsid w:val="00D24C2E"/>
    <w:rsid w:val="00D3708D"/>
    <w:rsid w:val="00D40426"/>
    <w:rsid w:val="00D57C96"/>
    <w:rsid w:val="00D57D18"/>
    <w:rsid w:val="00D91203"/>
    <w:rsid w:val="00D95174"/>
    <w:rsid w:val="00DA4973"/>
    <w:rsid w:val="00DA6F36"/>
    <w:rsid w:val="00DB596E"/>
    <w:rsid w:val="00DB7773"/>
    <w:rsid w:val="00DC00EA"/>
    <w:rsid w:val="00DC3802"/>
    <w:rsid w:val="00DD7591"/>
    <w:rsid w:val="00DF1F17"/>
    <w:rsid w:val="00E07D87"/>
    <w:rsid w:val="00E167AF"/>
    <w:rsid w:val="00E32F7E"/>
    <w:rsid w:val="00E47493"/>
    <w:rsid w:val="00E5267B"/>
    <w:rsid w:val="00E55141"/>
    <w:rsid w:val="00E63C0E"/>
    <w:rsid w:val="00E72D49"/>
    <w:rsid w:val="00E75233"/>
    <w:rsid w:val="00E7593C"/>
    <w:rsid w:val="00E7678A"/>
    <w:rsid w:val="00E92AA7"/>
    <w:rsid w:val="00E935F1"/>
    <w:rsid w:val="00E94A81"/>
    <w:rsid w:val="00EA1FFB"/>
    <w:rsid w:val="00EB048E"/>
    <w:rsid w:val="00EB4E9C"/>
    <w:rsid w:val="00EC4A49"/>
    <w:rsid w:val="00EE34DF"/>
    <w:rsid w:val="00EE59CE"/>
    <w:rsid w:val="00EF2F89"/>
    <w:rsid w:val="00F03E98"/>
    <w:rsid w:val="00F101A0"/>
    <w:rsid w:val="00F1237A"/>
    <w:rsid w:val="00F12DE3"/>
    <w:rsid w:val="00F22CBD"/>
    <w:rsid w:val="00F24EE7"/>
    <w:rsid w:val="00F272F1"/>
    <w:rsid w:val="00F27F3F"/>
    <w:rsid w:val="00F30951"/>
    <w:rsid w:val="00F345F0"/>
    <w:rsid w:val="00F362DD"/>
    <w:rsid w:val="00F45372"/>
    <w:rsid w:val="00F560F7"/>
    <w:rsid w:val="00F6334D"/>
    <w:rsid w:val="00F913DA"/>
    <w:rsid w:val="00F94ED8"/>
    <w:rsid w:val="00FA49AB"/>
    <w:rsid w:val="00FD3E42"/>
    <w:rsid w:val="00FE39C7"/>
    <w:rsid w:val="00FE70CF"/>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9BA669D"/>
  <w15:docId w15:val="{431791D3-CAF7-4E78-A498-3DA052173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basedOn w:val="Normal"/>
    <w:next w:val="Normal"/>
    <w:link w:val="Heading1Char"/>
    <w:autoRedefine/>
    <w:qFormat/>
    <w:rsid w:val="00F27F3F"/>
    <w:pPr>
      <w:keepNext/>
      <w:spacing w:before="60"/>
      <w:ind w:right="1418"/>
      <w:jc w:val="left"/>
      <w:outlineLvl w:val="0"/>
    </w:pPr>
    <w:rPr>
      <w:rFonts w:eastAsia="MS Mincho"/>
      <w:caps/>
      <w:sz w:val="18"/>
    </w:rPr>
  </w:style>
  <w:style w:type="paragraph" w:styleId="Heading2">
    <w:name w:val="heading 2"/>
    <w:next w:val="Normal"/>
    <w:autoRedefine/>
    <w:qFormat/>
    <w:rsid w:val="00F27F3F"/>
    <w:pPr>
      <w:keepNext/>
      <w:jc w:val="both"/>
      <w:outlineLvl w:val="1"/>
    </w:pPr>
    <w:rPr>
      <w:rFonts w:ascii="Arial" w:hAnsi="Arial"/>
      <w:sz w:val="18"/>
      <w:u w:val="single"/>
    </w:rPr>
  </w:style>
  <w:style w:type="paragraph" w:styleId="Heading3">
    <w:name w:val="heading 3"/>
    <w:next w:val="Normal"/>
    <w:link w:val="Heading3Char"/>
    <w:autoRedefine/>
    <w:qFormat/>
    <w:rsid w:val="00F27F3F"/>
    <w:pPr>
      <w:keepNext/>
      <w:jc w:val="both"/>
      <w:outlineLvl w:val="2"/>
    </w:pPr>
    <w:rPr>
      <w:rFonts w:ascii="Arial" w:hAnsi="Arial"/>
      <w:i/>
      <w:sz w:val="18"/>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F12DE3"/>
    <w:pPr>
      <w:outlineLvl w:val="5"/>
    </w:pPr>
  </w:style>
  <w:style w:type="paragraph" w:styleId="Heading7">
    <w:name w:val="heading 7"/>
    <w:basedOn w:val="Normal"/>
    <w:next w:val="Normal"/>
    <w:link w:val="Heading7Char"/>
    <w:qFormat/>
    <w:rsid w:val="00F12DE3"/>
    <w:pPr>
      <w:spacing w:before="240" w:after="60"/>
      <w:outlineLvl w:val="6"/>
    </w:pPr>
    <w:rPr>
      <w:szCs w:val="24"/>
    </w:rPr>
  </w:style>
  <w:style w:type="paragraph" w:styleId="Heading8">
    <w:name w:val="heading 8"/>
    <w:basedOn w:val="Normal"/>
    <w:next w:val="Normal"/>
    <w:link w:val="Heading8Char"/>
    <w:qFormat/>
    <w:rsid w:val="00F12DE3"/>
    <w:pPr>
      <w:keepNext/>
      <w:jc w:val="center"/>
      <w:outlineLvl w:val="7"/>
    </w:pPr>
    <w:rPr>
      <w:u w:val="single"/>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next w:val="Normal"/>
    <w:autoRedefine/>
    <w:uiPriority w:val="39"/>
    <w:qFormat/>
    <w:rsid w:val="00F27F3F"/>
    <w:pPr>
      <w:tabs>
        <w:tab w:val="left" w:pos="568"/>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900C26"/>
    <w:pPr>
      <w:tabs>
        <w:tab w:val="right" w:leader="dot" w:pos="9639"/>
      </w:tabs>
      <w:spacing w:before="120"/>
      <w:ind w:left="738" w:right="851" w:hanging="284"/>
    </w:pPr>
    <w:rPr>
      <w:rFonts w:ascii="Arial" w:hAnsi="Arial"/>
      <w:i/>
      <w:sz w:val="18"/>
    </w:rPr>
  </w:style>
  <w:style w:type="paragraph" w:styleId="TOC1">
    <w:name w:val="toc 1"/>
    <w:basedOn w:val="Normal"/>
    <w:next w:val="Normal"/>
    <w:autoRedefine/>
    <w:uiPriority w:val="39"/>
    <w:qFormat/>
    <w:rsid w:val="00F27F3F"/>
    <w:pPr>
      <w:tabs>
        <w:tab w:val="left" w:pos="454"/>
        <w:tab w:val="right" w:leader="dot" w:pos="9639"/>
      </w:tabs>
      <w:spacing w:before="60"/>
      <w:ind w:right="1418"/>
      <w:contextualSpacing/>
      <w:jc w:val="left"/>
    </w:pPr>
    <w:rPr>
      <w:caps/>
      <w:sz w:val="18"/>
    </w:rPr>
  </w:style>
  <w:style w:type="paragraph" w:styleId="TOC5">
    <w:name w:val="toc 5"/>
    <w:next w:val="Normal"/>
    <w:autoRedefine/>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F12DE3"/>
    <w:rPr>
      <w:rFonts w:ascii="Arial" w:hAnsi="Arial"/>
      <w:lang w:val="de-DE"/>
    </w:rPr>
  </w:style>
  <w:style w:type="character" w:customStyle="1" w:styleId="Heading7Char">
    <w:name w:val="Heading 7 Char"/>
    <w:basedOn w:val="DefaultParagraphFont"/>
    <w:link w:val="Heading7"/>
    <w:rsid w:val="00F12DE3"/>
    <w:rPr>
      <w:rFonts w:ascii="Arial" w:hAnsi="Arial"/>
      <w:szCs w:val="24"/>
    </w:rPr>
  </w:style>
  <w:style w:type="character" w:customStyle="1" w:styleId="Heading8Char">
    <w:name w:val="Heading 8 Char"/>
    <w:basedOn w:val="DefaultParagraphFont"/>
    <w:link w:val="Heading8"/>
    <w:rsid w:val="00F12DE3"/>
    <w:rPr>
      <w:rFonts w:ascii="Arial" w:hAnsi="Arial"/>
      <w:u w:val="single"/>
    </w:rPr>
  </w:style>
  <w:style w:type="character" w:customStyle="1" w:styleId="FootnoteTextChar">
    <w:name w:val="Footnote Text Char"/>
    <w:basedOn w:val="DefaultParagraphFont"/>
    <w:link w:val="FootnoteText"/>
    <w:rsid w:val="00F12DE3"/>
    <w:rPr>
      <w:rFonts w:ascii="Arial" w:hAnsi="Arial"/>
      <w:sz w:val="16"/>
    </w:rPr>
  </w:style>
  <w:style w:type="paragraph" w:styleId="ListParagraph">
    <w:name w:val="List Paragraph"/>
    <w:basedOn w:val="Normal"/>
    <w:uiPriority w:val="34"/>
    <w:qFormat/>
    <w:rsid w:val="00F12DE3"/>
    <w:pPr>
      <w:ind w:left="720"/>
      <w:contextualSpacing/>
    </w:pPr>
  </w:style>
  <w:style w:type="paragraph" w:styleId="BodyTextIndent">
    <w:name w:val="Body Text Indent"/>
    <w:basedOn w:val="Normal"/>
    <w:link w:val="BodyTextIndentChar"/>
    <w:rsid w:val="00F12DE3"/>
    <w:pPr>
      <w:spacing w:after="120"/>
      <w:ind w:left="360"/>
    </w:pPr>
    <w:rPr>
      <w:rFonts w:eastAsiaTheme="minorEastAsia"/>
    </w:rPr>
  </w:style>
  <w:style w:type="character" w:customStyle="1" w:styleId="BodyTextIndentChar">
    <w:name w:val="Body Text Indent Char"/>
    <w:basedOn w:val="DefaultParagraphFont"/>
    <w:link w:val="BodyTextIndent"/>
    <w:rsid w:val="00F12DE3"/>
    <w:rPr>
      <w:rFonts w:ascii="Arial" w:eastAsiaTheme="minorEastAsia" w:hAnsi="Arial"/>
    </w:rPr>
  </w:style>
  <w:style w:type="character" w:customStyle="1" w:styleId="Heading3Char">
    <w:name w:val="Heading 3 Char"/>
    <w:basedOn w:val="DefaultParagraphFont"/>
    <w:link w:val="Heading3"/>
    <w:rsid w:val="00F27F3F"/>
    <w:rPr>
      <w:rFonts w:ascii="Arial" w:hAnsi="Arial"/>
      <w:i/>
      <w:sz w:val="18"/>
    </w:rPr>
  </w:style>
  <w:style w:type="character" w:customStyle="1" w:styleId="plcountryChar">
    <w:name w:val="plcountry Char"/>
    <w:basedOn w:val="DefaultParagraphFont"/>
    <w:link w:val="plcountry"/>
    <w:rsid w:val="00F12DE3"/>
    <w:rPr>
      <w:rFonts w:ascii="Arial" w:hAnsi="Arial"/>
      <w:caps/>
      <w:noProof/>
      <w:snapToGrid w:val="0"/>
      <w:u w:val="single"/>
    </w:rPr>
  </w:style>
  <w:style w:type="character" w:customStyle="1" w:styleId="pldetailsChar">
    <w:name w:val="pldetails Char"/>
    <w:link w:val="pldetails"/>
    <w:locked/>
    <w:rsid w:val="00F12DE3"/>
    <w:rPr>
      <w:rFonts w:ascii="Arial" w:hAnsi="Arial"/>
      <w:noProof/>
      <w:snapToGrid w:val="0"/>
    </w:rPr>
  </w:style>
  <w:style w:type="character" w:customStyle="1" w:styleId="Heading1Char">
    <w:name w:val="Heading 1 Char"/>
    <w:basedOn w:val="DefaultParagraphFont"/>
    <w:link w:val="Heading1"/>
    <w:rsid w:val="00F27F3F"/>
    <w:rPr>
      <w:rFonts w:ascii="Arial" w:eastAsia="MS Mincho" w:hAnsi="Arial"/>
      <w:caps/>
      <w:sz w:val="18"/>
    </w:rPr>
  </w:style>
  <w:style w:type="numbering" w:customStyle="1" w:styleId="NoList1">
    <w:name w:val="No List1"/>
    <w:next w:val="NoList"/>
    <w:uiPriority w:val="99"/>
    <w:semiHidden/>
    <w:unhideWhenUsed/>
    <w:rsid w:val="00F12DE3"/>
  </w:style>
  <w:style w:type="paragraph" w:styleId="NormalWeb">
    <w:name w:val="Normal (Web)"/>
    <w:basedOn w:val="Normal"/>
    <w:rsid w:val="00F12DE3"/>
    <w:pPr>
      <w:spacing w:before="100" w:beforeAutospacing="1" w:after="100" w:afterAutospacing="1"/>
      <w:jc w:val="left"/>
    </w:pPr>
    <w:rPr>
      <w:szCs w:val="24"/>
    </w:rPr>
  </w:style>
  <w:style w:type="paragraph" w:customStyle="1" w:styleId="pdflink">
    <w:name w:val="pdflink"/>
    <w:basedOn w:val="Normal"/>
    <w:next w:val="Normal"/>
    <w:rsid w:val="00F12DE3"/>
    <w:rPr>
      <w:color w:val="800000"/>
      <w:u w:val="words"/>
    </w:rPr>
  </w:style>
  <w:style w:type="paragraph" w:customStyle="1" w:styleId="Draft">
    <w:name w:val="Draft"/>
    <w:basedOn w:val="Normal"/>
    <w:next w:val="preparedby"/>
    <w:rsid w:val="00F12DE3"/>
    <w:pPr>
      <w:spacing w:before="720" w:after="480"/>
      <w:jc w:val="center"/>
    </w:pPr>
    <w:rPr>
      <w:caps/>
      <w:sz w:val="28"/>
    </w:rPr>
  </w:style>
  <w:style w:type="paragraph" w:customStyle="1" w:styleId="quote1">
    <w:name w:val="quote1"/>
    <w:basedOn w:val="Normal"/>
    <w:semiHidden/>
    <w:rsid w:val="00F12DE3"/>
    <w:pPr>
      <w:ind w:left="567" w:right="565" w:firstLine="567"/>
    </w:pPr>
    <w:rPr>
      <w:snapToGrid w:val="0"/>
      <w:sz w:val="22"/>
      <w:szCs w:val="22"/>
    </w:rPr>
  </w:style>
  <w:style w:type="paragraph" w:customStyle="1" w:styleId="tqparabox">
    <w:name w:val="tqparabox"/>
    <w:basedOn w:val="Normal"/>
    <w:rsid w:val="00F12DE3"/>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F12DE3"/>
    <w:pPr>
      <w:ind w:left="1200"/>
    </w:pPr>
  </w:style>
  <w:style w:type="character" w:customStyle="1" w:styleId="EndnoteTextChar">
    <w:name w:val="Endnote Text Char"/>
    <w:basedOn w:val="DefaultParagraphFont"/>
    <w:link w:val="EndnoteText"/>
    <w:rsid w:val="00F12DE3"/>
    <w:rPr>
      <w:rFonts w:ascii="Arial" w:hAnsi="Arial"/>
    </w:rPr>
  </w:style>
  <w:style w:type="paragraph" w:customStyle="1" w:styleId="twpcheck">
    <w:name w:val="twpcheck"/>
    <w:basedOn w:val="Normal"/>
    <w:rsid w:val="00F12DE3"/>
    <w:pPr>
      <w:spacing w:before="80" w:after="80"/>
      <w:jc w:val="left"/>
    </w:pPr>
    <w:rPr>
      <w:snapToGrid w:val="0"/>
      <w:sz w:val="16"/>
      <w:szCs w:val="16"/>
    </w:rPr>
  </w:style>
  <w:style w:type="paragraph" w:customStyle="1" w:styleId="DecisionInvitingPara">
    <w:name w:val="Decision Inviting Para."/>
    <w:basedOn w:val="Normal"/>
    <w:rsid w:val="00F12DE3"/>
    <w:pPr>
      <w:ind w:left="4536"/>
    </w:pPr>
    <w:rPr>
      <w:i/>
    </w:rPr>
  </w:style>
  <w:style w:type="paragraph" w:customStyle="1" w:styleId="Enttepair">
    <w:name w:val="Entête_pair"/>
    <w:basedOn w:val="Normal"/>
    <w:next w:val="Normal"/>
    <w:rsid w:val="00F12DE3"/>
    <w:pPr>
      <w:pBdr>
        <w:bottom w:val="single" w:sz="4" w:space="1" w:color="auto"/>
      </w:pBdr>
      <w:jc w:val="left"/>
    </w:pPr>
    <w:rPr>
      <w:szCs w:val="24"/>
    </w:rPr>
  </w:style>
  <w:style w:type="paragraph" w:customStyle="1" w:styleId="Entteimpair">
    <w:name w:val="Entête_impair"/>
    <w:basedOn w:val="Normal"/>
    <w:next w:val="Normal"/>
    <w:rsid w:val="00F12DE3"/>
    <w:pPr>
      <w:pBdr>
        <w:bottom w:val="single" w:sz="4" w:space="1" w:color="auto"/>
      </w:pBdr>
      <w:jc w:val="right"/>
    </w:pPr>
  </w:style>
  <w:style w:type="table" w:styleId="TableGrid">
    <w:name w:val="Table Grid"/>
    <w:basedOn w:val="TableNormal"/>
    <w:rsid w:val="00F12DE3"/>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F12DE3"/>
    <w:rPr>
      <w:rFonts w:ascii="Arial" w:hAnsi="Arial"/>
    </w:rPr>
  </w:style>
  <w:style w:type="paragraph" w:styleId="E-mailSignature">
    <w:name w:val="E-mail Signature"/>
    <w:basedOn w:val="Normal"/>
    <w:link w:val="E-mailSignatureChar"/>
    <w:rsid w:val="00F12DE3"/>
  </w:style>
  <w:style w:type="character" w:customStyle="1" w:styleId="E-mailSignatureChar">
    <w:name w:val="E-mail Signature Char"/>
    <w:basedOn w:val="DefaultParagraphFont"/>
    <w:link w:val="E-mailSignature"/>
    <w:rsid w:val="00F12DE3"/>
    <w:rPr>
      <w:rFonts w:ascii="Arial" w:hAnsi="Arial"/>
    </w:rPr>
  </w:style>
  <w:style w:type="character" w:styleId="Emphasis">
    <w:name w:val="Emphasis"/>
    <w:basedOn w:val="DefaultParagraphFont"/>
    <w:qFormat/>
    <w:rsid w:val="00F12DE3"/>
    <w:rPr>
      <w:i/>
      <w:iCs/>
    </w:rPr>
  </w:style>
  <w:style w:type="paragraph" w:styleId="EnvelopeAddress">
    <w:name w:val="envelope address"/>
    <w:basedOn w:val="Normal"/>
    <w:rsid w:val="00F12DE3"/>
    <w:pPr>
      <w:framePr w:w="7920" w:h="1980" w:hRule="exact" w:hSpace="180" w:wrap="auto" w:hAnchor="page" w:xAlign="center" w:yAlign="bottom"/>
      <w:ind w:left="2880"/>
    </w:pPr>
    <w:rPr>
      <w:szCs w:val="24"/>
    </w:rPr>
  </w:style>
  <w:style w:type="paragraph" w:styleId="EnvelopeReturn">
    <w:name w:val="envelope return"/>
    <w:basedOn w:val="Normal"/>
    <w:rsid w:val="00F12DE3"/>
  </w:style>
  <w:style w:type="character" w:styleId="HTMLAcronym">
    <w:name w:val="HTML Acronym"/>
    <w:basedOn w:val="DefaultParagraphFont"/>
    <w:rsid w:val="00F12DE3"/>
  </w:style>
  <w:style w:type="paragraph" w:styleId="HTMLAddress">
    <w:name w:val="HTML Address"/>
    <w:basedOn w:val="Normal"/>
    <w:link w:val="HTMLAddressChar"/>
    <w:rsid w:val="00F12DE3"/>
    <w:rPr>
      <w:i/>
      <w:iCs/>
    </w:rPr>
  </w:style>
  <w:style w:type="character" w:customStyle="1" w:styleId="HTMLAddressChar">
    <w:name w:val="HTML Address Char"/>
    <w:basedOn w:val="DefaultParagraphFont"/>
    <w:link w:val="HTMLAddress"/>
    <w:rsid w:val="00F12DE3"/>
    <w:rPr>
      <w:rFonts w:ascii="Arial" w:hAnsi="Arial"/>
      <w:i/>
      <w:iCs/>
    </w:rPr>
  </w:style>
  <w:style w:type="character" w:styleId="HTMLCite">
    <w:name w:val="HTML Cite"/>
    <w:basedOn w:val="DefaultParagraphFont"/>
    <w:rsid w:val="00F12DE3"/>
    <w:rPr>
      <w:i/>
      <w:iCs/>
    </w:rPr>
  </w:style>
  <w:style w:type="character" w:styleId="HTMLCode">
    <w:name w:val="HTML Code"/>
    <w:basedOn w:val="DefaultParagraphFont"/>
    <w:rsid w:val="00F12DE3"/>
    <w:rPr>
      <w:rFonts w:ascii="Courier New" w:hAnsi="Courier New" w:cs="Courier New"/>
      <w:sz w:val="20"/>
      <w:szCs w:val="20"/>
    </w:rPr>
  </w:style>
  <w:style w:type="character" w:styleId="HTMLDefinition">
    <w:name w:val="HTML Definition"/>
    <w:basedOn w:val="DefaultParagraphFont"/>
    <w:rsid w:val="00F12DE3"/>
    <w:rPr>
      <w:i/>
      <w:iCs/>
    </w:rPr>
  </w:style>
  <w:style w:type="character" w:styleId="HTMLKeyboard">
    <w:name w:val="HTML Keyboard"/>
    <w:basedOn w:val="DefaultParagraphFont"/>
    <w:rsid w:val="00F12DE3"/>
    <w:rPr>
      <w:rFonts w:ascii="Courier New" w:hAnsi="Courier New" w:cs="Courier New"/>
      <w:sz w:val="20"/>
      <w:szCs w:val="20"/>
    </w:rPr>
  </w:style>
  <w:style w:type="paragraph" w:styleId="HTMLPreformatted">
    <w:name w:val="HTML Preformatted"/>
    <w:basedOn w:val="Normal"/>
    <w:link w:val="HTMLPreformattedChar"/>
    <w:rsid w:val="00F12DE3"/>
    <w:rPr>
      <w:rFonts w:ascii="Courier New" w:hAnsi="Courier New" w:cs="Courier New"/>
    </w:rPr>
  </w:style>
  <w:style w:type="character" w:customStyle="1" w:styleId="HTMLPreformattedChar">
    <w:name w:val="HTML Preformatted Char"/>
    <w:basedOn w:val="DefaultParagraphFont"/>
    <w:link w:val="HTMLPreformatted"/>
    <w:rsid w:val="00F12DE3"/>
    <w:rPr>
      <w:rFonts w:ascii="Courier New" w:hAnsi="Courier New" w:cs="Courier New"/>
    </w:rPr>
  </w:style>
  <w:style w:type="character" w:styleId="HTMLSample">
    <w:name w:val="HTML Sample"/>
    <w:basedOn w:val="DefaultParagraphFont"/>
    <w:rsid w:val="00F12DE3"/>
    <w:rPr>
      <w:rFonts w:ascii="Courier New" w:hAnsi="Courier New" w:cs="Courier New"/>
    </w:rPr>
  </w:style>
  <w:style w:type="character" w:styleId="HTMLTypewriter">
    <w:name w:val="HTML Typewriter"/>
    <w:basedOn w:val="DefaultParagraphFont"/>
    <w:rsid w:val="00F12DE3"/>
    <w:rPr>
      <w:rFonts w:ascii="Courier New" w:hAnsi="Courier New" w:cs="Courier New"/>
      <w:sz w:val="20"/>
      <w:szCs w:val="20"/>
    </w:rPr>
  </w:style>
  <w:style w:type="character" w:styleId="HTMLVariable">
    <w:name w:val="HTML Variable"/>
    <w:basedOn w:val="DefaultParagraphFont"/>
    <w:rsid w:val="00F12DE3"/>
    <w:rPr>
      <w:i/>
      <w:iCs/>
    </w:rPr>
  </w:style>
  <w:style w:type="character" w:styleId="LineNumber">
    <w:name w:val="line number"/>
    <w:basedOn w:val="DefaultParagraphFont"/>
    <w:rsid w:val="00F12DE3"/>
  </w:style>
  <w:style w:type="paragraph" w:styleId="List">
    <w:name w:val="List"/>
    <w:basedOn w:val="Normal"/>
    <w:rsid w:val="00F12DE3"/>
    <w:pPr>
      <w:ind w:left="360" w:hanging="360"/>
    </w:pPr>
  </w:style>
  <w:style w:type="paragraph" w:styleId="List2">
    <w:name w:val="List 2"/>
    <w:basedOn w:val="Normal"/>
    <w:rsid w:val="00F12DE3"/>
    <w:pPr>
      <w:ind w:left="720" w:hanging="360"/>
    </w:pPr>
  </w:style>
  <w:style w:type="paragraph" w:styleId="List3">
    <w:name w:val="List 3"/>
    <w:basedOn w:val="Normal"/>
    <w:rsid w:val="00F12DE3"/>
    <w:pPr>
      <w:ind w:left="1080" w:hanging="360"/>
    </w:pPr>
  </w:style>
  <w:style w:type="paragraph" w:styleId="List4">
    <w:name w:val="List 4"/>
    <w:basedOn w:val="Normal"/>
    <w:rsid w:val="00F12DE3"/>
    <w:pPr>
      <w:ind w:left="1440" w:hanging="360"/>
    </w:pPr>
  </w:style>
  <w:style w:type="paragraph" w:styleId="List5">
    <w:name w:val="List 5"/>
    <w:basedOn w:val="Normal"/>
    <w:rsid w:val="00F12DE3"/>
    <w:pPr>
      <w:ind w:left="1800" w:hanging="360"/>
    </w:pPr>
  </w:style>
  <w:style w:type="paragraph" w:styleId="ListBullet">
    <w:name w:val="List Bullet"/>
    <w:basedOn w:val="Normal"/>
    <w:autoRedefine/>
    <w:rsid w:val="00F12DE3"/>
    <w:pPr>
      <w:tabs>
        <w:tab w:val="num" w:pos="360"/>
      </w:tabs>
      <w:ind w:left="360" w:hanging="360"/>
    </w:pPr>
    <w:rPr>
      <w:bCs/>
      <w:szCs w:val="24"/>
      <w:lang w:eastAsia="zh-CN"/>
    </w:rPr>
  </w:style>
  <w:style w:type="paragraph" w:styleId="ListBullet2">
    <w:name w:val="List Bullet 2"/>
    <w:basedOn w:val="Normal"/>
    <w:rsid w:val="00F12DE3"/>
    <w:pPr>
      <w:tabs>
        <w:tab w:val="num" w:pos="720"/>
      </w:tabs>
      <w:ind w:left="720" w:hanging="360"/>
    </w:pPr>
  </w:style>
  <w:style w:type="paragraph" w:styleId="ListBullet3">
    <w:name w:val="List Bullet 3"/>
    <w:basedOn w:val="Normal"/>
    <w:rsid w:val="00F12DE3"/>
    <w:pPr>
      <w:tabs>
        <w:tab w:val="num" w:pos="1080"/>
      </w:tabs>
      <w:ind w:left="1080" w:hanging="360"/>
    </w:pPr>
  </w:style>
  <w:style w:type="paragraph" w:styleId="ListBullet4">
    <w:name w:val="List Bullet 4"/>
    <w:basedOn w:val="Normal"/>
    <w:rsid w:val="00F12DE3"/>
    <w:pPr>
      <w:tabs>
        <w:tab w:val="num" w:pos="1440"/>
      </w:tabs>
      <w:ind w:left="1440" w:hanging="360"/>
    </w:pPr>
  </w:style>
  <w:style w:type="paragraph" w:styleId="ListBullet5">
    <w:name w:val="List Bullet 5"/>
    <w:basedOn w:val="Normal"/>
    <w:rsid w:val="00F12DE3"/>
    <w:pPr>
      <w:tabs>
        <w:tab w:val="num" w:pos="1800"/>
      </w:tabs>
      <w:ind w:left="1800" w:hanging="360"/>
    </w:pPr>
  </w:style>
  <w:style w:type="paragraph" w:styleId="ListContinue">
    <w:name w:val="List Continue"/>
    <w:basedOn w:val="Normal"/>
    <w:rsid w:val="00F12DE3"/>
    <w:pPr>
      <w:spacing w:after="120"/>
      <w:ind w:left="360"/>
    </w:pPr>
  </w:style>
  <w:style w:type="paragraph" w:styleId="ListContinue2">
    <w:name w:val="List Continue 2"/>
    <w:basedOn w:val="Normal"/>
    <w:rsid w:val="00F12DE3"/>
    <w:pPr>
      <w:spacing w:after="120"/>
      <w:ind w:left="720"/>
    </w:pPr>
  </w:style>
  <w:style w:type="paragraph" w:styleId="ListContinue3">
    <w:name w:val="List Continue 3"/>
    <w:basedOn w:val="Normal"/>
    <w:rsid w:val="00F12DE3"/>
    <w:pPr>
      <w:spacing w:after="120"/>
      <w:ind w:left="1080"/>
    </w:pPr>
  </w:style>
  <w:style w:type="paragraph" w:styleId="ListContinue4">
    <w:name w:val="List Continue 4"/>
    <w:basedOn w:val="Normal"/>
    <w:rsid w:val="00F12DE3"/>
    <w:pPr>
      <w:spacing w:after="120"/>
      <w:ind w:left="1440"/>
    </w:pPr>
  </w:style>
  <w:style w:type="paragraph" w:styleId="ListContinue5">
    <w:name w:val="List Continue 5"/>
    <w:basedOn w:val="Normal"/>
    <w:rsid w:val="00F12DE3"/>
    <w:pPr>
      <w:spacing w:after="120"/>
      <w:ind w:left="1800"/>
    </w:pPr>
  </w:style>
  <w:style w:type="paragraph" w:styleId="ListNumber">
    <w:name w:val="List Number"/>
    <w:basedOn w:val="Normal"/>
    <w:rsid w:val="00F12DE3"/>
    <w:pPr>
      <w:tabs>
        <w:tab w:val="num" w:pos="360"/>
      </w:tabs>
      <w:ind w:left="360" w:hanging="360"/>
    </w:pPr>
  </w:style>
  <w:style w:type="paragraph" w:styleId="ListNumber2">
    <w:name w:val="List Number 2"/>
    <w:basedOn w:val="Normal"/>
    <w:rsid w:val="00F12DE3"/>
    <w:pPr>
      <w:tabs>
        <w:tab w:val="num" w:pos="720"/>
      </w:tabs>
      <w:ind w:left="720" w:hanging="360"/>
    </w:pPr>
  </w:style>
  <w:style w:type="paragraph" w:styleId="ListNumber3">
    <w:name w:val="List Number 3"/>
    <w:basedOn w:val="Normal"/>
    <w:rsid w:val="00F12DE3"/>
    <w:pPr>
      <w:tabs>
        <w:tab w:val="num" w:pos="1080"/>
      </w:tabs>
      <w:ind w:left="1080" w:hanging="360"/>
    </w:pPr>
  </w:style>
  <w:style w:type="paragraph" w:styleId="ListNumber4">
    <w:name w:val="List Number 4"/>
    <w:basedOn w:val="Normal"/>
    <w:rsid w:val="00F12DE3"/>
    <w:pPr>
      <w:tabs>
        <w:tab w:val="num" w:pos="1440"/>
      </w:tabs>
      <w:ind w:left="1440" w:hanging="360"/>
    </w:pPr>
  </w:style>
  <w:style w:type="paragraph" w:styleId="ListNumber5">
    <w:name w:val="List Number 5"/>
    <w:basedOn w:val="Normal"/>
    <w:rsid w:val="00F12DE3"/>
    <w:pPr>
      <w:tabs>
        <w:tab w:val="num" w:pos="1800"/>
      </w:tabs>
      <w:ind w:left="1800" w:hanging="360"/>
    </w:pPr>
  </w:style>
  <w:style w:type="paragraph" w:styleId="MessageHeader">
    <w:name w:val="Message Header"/>
    <w:basedOn w:val="Normal"/>
    <w:link w:val="MessageHeaderChar"/>
    <w:rsid w:val="00F12DE3"/>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rsid w:val="00F12DE3"/>
    <w:rPr>
      <w:rFonts w:ascii="Arial" w:hAnsi="Arial"/>
      <w:szCs w:val="24"/>
      <w:shd w:val="pct20" w:color="auto" w:fill="auto"/>
    </w:rPr>
  </w:style>
  <w:style w:type="paragraph" w:styleId="NoteHeading">
    <w:name w:val="Note Heading"/>
    <w:basedOn w:val="Normal"/>
    <w:next w:val="Normal"/>
    <w:link w:val="NoteHeadingChar"/>
    <w:rsid w:val="00F12DE3"/>
  </w:style>
  <w:style w:type="character" w:customStyle="1" w:styleId="NoteHeadingChar">
    <w:name w:val="Note Heading Char"/>
    <w:basedOn w:val="DefaultParagraphFont"/>
    <w:link w:val="NoteHeading"/>
    <w:rsid w:val="00F12DE3"/>
    <w:rPr>
      <w:rFonts w:ascii="Arial" w:hAnsi="Arial"/>
    </w:rPr>
  </w:style>
  <w:style w:type="paragraph" w:styleId="Salutation">
    <w:name w:val="Salutation"/>
    <w:basedOn w:val="Normal"/>
    <w:next w:val="Normal"/>
    <w:link w:val="SalutationChar"/>
    <w:rsid w:val="00F12DE3"/>
  </w:style>
  <w:style w:type="character" w:customStyle="1" w:styleId="SalutationChar">
    <w:name w:val="Salutation Char"/>
    <w:basedOn w:val="DefaultParagraphFont"/>
    <w:link w:val="Salutation"/>
    <w:rsid w:val="00F12DE3"/>
    <w:rPr>
      <w:rFonts w:ascii="Arial" w:hAnsi="Arial"/>
    </w:rPr>
  </w:style>
  <w:style w:type="character" w:styleId="Strong">
    <w:name w:val="Strong"/>
    <w:basedOn w:val="DefaultParagraphFont"/>
    <w:qFormat/>
    <w:rsid w:val="00F12DE3"/>
    <w:rPr>
      <w:b/>
      <w:bCs/>
    </w:rPr>
  </w:style>
  <w:style w:type="paragraph" w:styleId="Subtitle">
    <w:name w:val="Subtitle"/>
    <w:basedOn w:val="Normal"/>
    <w:link w:val="SubtitleChar"/>
    <w:qFormat/>
    <w:rsid w:val="00F12DE3"/>
    <w:pPr>
      <w:spacing w:after="60"/>
      <w:jc w:val="center"/>
      <w:outlineLvl w:val="1"/>
    </w:pPr>
    <w:rPr>
      <w:szCs w:val="24"/>
    </w:rPr>
  </w:style>
  <w:style w:type="character" w:customStyle="1" w:styleId="SubtitleChar">
    <w:name w:val="Subtitle Char"/>
    <w:basedOn w:val="DefaultParagraphFont"/>
    <w:link w:val="Subtitle"/>
    <w:rsid w:val="00F12DE3"/>
    <w:rPr>
      <w:rFonts w:ascii="Arial" w:hAnsi="Arial"/>
      <w:szCs w:val="24"/>
    </w:rPr>
  </w:style>
  <w:style w:type="table" w:styleId="Table3Deffects1">
    <w:name w:val="Table 3D effects 1"/>
    <w:basedOn w:val="TableNormal"/>
    <w:rsid w:val="00F12DE3"/>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12DE3"/>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12DE3"/>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12DE3"/>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12DE3"/>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12DE3"/>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12DE3"/>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12DE3"/>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12DE3"/>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12DE3"/>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12DE3"/>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12DE3"/>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12DE3"/>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12DE3"/>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12DE3"/>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12DE3"/>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12DE3"/>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F12DE3"/>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12DE3"/>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12DE3"/>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12DE3"/>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12DE3"/>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12DE3"/>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12DE3"/>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12DE3"/>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12DE3"/>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12DE3"/>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12DE3"/>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12DE3"/>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12DE3"/>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12DE3"/>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12DE3"/>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12DE3"/>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12DE3"/>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12DE3"/>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12DE3"/>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12DE3"/>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12DE3"/>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12DE3"/>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12DE3"/>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12DE3"/>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12DE3"/>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12DE3"/>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F12DE3"/>
    <w:pPr>
      <w:ind w:left="1440"/>
    </w:pPr>
  </w:style>
  <w:style w:type="paragraph" w:styleId="TOC8">
    <w:name w:val="toc 8"/>
    <w:basedOn w:val="Normal"/>
    <w:next w:val="Normal"/>
    <w:autoRedefine/>
    <w:rsid w:val="00F12DE3"/>
    <w:pPr>
      <w:ind w:left="1680"/>
    </w:pPr>
  </w:style>
  <w:style w:type="paragraph" w:styleId="TOC9">
    <w:name w:val="toc 9"/>
    <w:basedOn w:val="Normal"/>
    <w:next w:val="Normal"/>
    <w:autoRedefine/>
    <w:rsid w:val="00F12DE3"/>
    <w:pPr>
      <w:ind w:left="1920"/>
    </w:pPr>
  </w:style>
  <w:style w:type="character" w:styleId="FollowedHyperlink">
    <w:name w:val="FollowedHyperlink"/>
    <w:basedOn w:val="DefaultParagraphFont"/>
    <w:rsid w:val="00F12DE3"/>
    <w:rPr>
      <w:color w:val="606420"/>
      <w:u w:val="single"/>
    </w:rPr>
  </w:style>
  <w:style w:type="paragraph" w:styleId="BlockText">
    <w:name w:val="Block Text"/>
    <w:basedOn w:val="Normal"/>
    <w:rsid w:val="00F12DE3"/>
    <w:pPr>
      <w:ind w:left="567" w:right="566"/>
    </w:pPr>
    <w:rPr>
      <w:sz w:val="22"/>
    </w:rPr>
  </w:style>
  <w:style w:type="paragraph" w:styleId="Caption">
    <w:name w:val="caption"/>
    <w:basedOn w:val="Normal"/>
    <w:next w:val="Normal"/>
    <w:qFormat/>
    <w:rsid w:val="00F12DE3"/>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F12DE3"/>
    <w:rPr>
      <w:sz w:val="22"/>
    </w:rPr>
  </w:style>
  <w:style w:type="character" w:customStyle="1" w:styleId="CommentTextChar">
    <w:name w:val="Comment Text Char"/>
    <w:basedOn w:val="DefaultParagraphFont"/>
    <w:link w:val="CommentText"/>
    <w:rsid w:val="00F12DE3"/>
    <w:rPr>
      <w:rFonts w:ascii="Arial" w:hAnsi="Arial"/>
      <w:sz w:val="22"/>
      <w:lang w:val="de-DE"/>
    </w:rPr>
  </w:style>
  <w:style w:type="paragraph" w:customStyle="1" w:styleId="Committee">
    <w:name w:val="Committee"/>
    <w:basedOn w:val="Title"/>
    <w:rsid w:val="00F12DE3"/>
    <w:rPr>
      <w:caps w:val="0"/>
    </w:rPr>
  </w:style>
  <w:style w:type="paragraph" w:customStyle="1" w:styleId="n">
    <w:name w:val="n"/>
    <w:basedOn w:val="Header"/>
    <w:rsid w:val="00F12DE3"/>
  </w:style>
  <w:style w:type="paragraph" w:customStyle="1" w:styleId="TitleofSection">
    <w:name w:val="Title of Section"/>
    <w:basedOn w:val="TitleofDoc"/>
    <w:rsid w:val="00F12DE3"/>
    <w:pPr>
      <w:spacing w:before="120" w:after="120"/>
    </w:pPr>
    <w:rPr>
      <w:b/>
      <w:caps w:val="0"/>
      <w:lang w:eastAsia="de-DE"/>
    </w:rPr>
  </w:style>
  <w:style w:type="paragraph" w:customStyle="1" w:styleId="TOCAnnex">
    <w:name w:val="TOC Annex"/>
    <w:basedOn w:val="Normal"/>
    <w:rsid w:val="00F12DE3"/>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F12DE3"/>
    <w:pPr>
      <w:jc w:val="center"/>
    </w:pPr>
    <w:rPr>
      <w:b/>
      <w:caps/>
      <w:szCs w:val="24"/>
    </w:rPr>
  </w:style>
  <w:style w:type="paragraph" w:customStyle="1" w:styleId="Notetoarticle">
    <w:name w:val="Note to article"/>
    <w:basedOn w:val="Normal"/>
    <w:semiHidden/>
    <w:rsid w:val="00F12DE3"/>
  </w:style>
  <w:style w:type="paragraph" w:styleId="PlainText">
    <w:name w:val="Plain Text"/>
    <w:basedOn w:val="Normal"/>
    <w:link w:val="PlainTextChar"/>
    <w:rsid w:val="00F12DE3"/>
    <w:rPr>
      <w:rFonts w:ascii="Courier New" w:hAnsi="Courier New" w:cs="Courier New"/>
      <w:lang w:eastAsia="fr-FR"/>
    </w:rPr>
  </w:style>
  <w:style w:type="character" w:customStyle="1" w:styleId="PlainTextChar">
    <w:name w:val="Plain Text Char"/>
    <w:basedOn w:val="DefaultParagraphFont"/>
    <w:link w:val="PlainText"/>
    <w:rsid w:val="00F12DE3"/>
    <w:rPr>
      <w:rFonts w:ascii="Courier New" w:hAnsi="Courier New" w:cs="Courier New"/>
      <w:lang w:eastAsia="fr-FR"/>
    </w:rPr>
  </w:style>
  <w:style w:type="paragraph" w:customStyle="1" w:styleId="Inf6Titre4">
    <w:name w:val="Inf6_Titre4"/>
    <w:basedOn w:val="Normal"/>
    <w:next w:val="Normal"/>
    <w:rsid w:val="00F12DE3"/>
    <w:pPr>
      <w:spacing w:after="360"/>
      <w:jc w:val="center"/>
    </w:pPr>
    <w:rPr>
      <w:rFonts w:cs="Arial"/>
      <w:caps/>
    </w:rPr>
  </w:style>
  <w:style w:type="paragraph" w:customStyle="1" w:styleId="Inf6Titre1">
    <w:name w:val="Inf6_Titre1"/>
    <w:basedOn w:val="Heading1"/>
    <w:next w:val="Normal"/>
    <w:rsid w:val="00F12DE3"/>
    <w:pPr>
      <w:ind w:firstLine="284"/>
    </w:pPr>
    <w:rPr>
      <w:b/>
    </w:rPr>
  </w:style>
  <w:style w:type="paragraph" w:customStyle="1" w:styleId="Inf6Titre2">
    <w:name w:val="Inf6_Titre2"/>
    <w:basedOn w:val="Inf6Titre1"/>
    <w:next w:val="Normal"/>
    <w:rsid w:val="00F12DE3"/>
    <w:pPr>
      <w:spacing w:after="360" w:line="360" w:lineRule="auto"/>
      <w:ind w:firstLine="0"/>
    </w:pPr>
    <w:rPr>
      <w:rFonts w:cs="Arial"/>
      <w:b w:val="0"/>
    </w:rPr>
  </w:style>
  <w:style w:type="paragraph" w:customStyle="1" w:styleId="Inf6Titre3">
    <w:name w:val="Inf6_Titre3"/>
    <w:basedOn w:val="Inf6Titre2"/>
    <w:next w:val="Normal"/>
    <w:rsid w:val="00F12DE3"/>
    <w:pPr>
      <w:keepNext w:val="0"/>
      <w:spacing w:after="240" w:line="240" w:lineRule="auto"/>
    </w:pPr>
    <w:rPr>
      <w:b/>
      <w:caps w:val="0"/>
    </w:rPr>
  </w:style>
  <w:style w:type="paragraph" w:customStyle="1" w:styleId="Style1">
    <w:name w:val="Style1"/>
    <w:basedOn w:val="Normal"/>
    <w:rsid w:val="00F12DE3"/>
    <w:pPr>
      <w:tabs>
        <w:tab w:val="decimal" w:pos="907"/>
        <w:tab w:val="left" w:pos="1077"/>
      </w:tabs>
    </w:pPr>
    <w:rPr>
      <w:rFonts w:eastAsia="MS Mincho"/>
      <w:szCs w:val="24"/>
      <w:lang w:eastAsia="ja-JP"/>
    </w:rPr>
  </w:style>
  <w:style w:type="paragraph" w:styleId="BodyTextIndent3">
    <w:name w:val="Body Text Indent 3"/>
    <w:basedOn w:val="Normal"/>
    <w:link w:val="BodyTextIndent3Char"/>
    <w:rsid w:val="00F12DE3"/>
    <w:pPr>
      <w:spacing w:after="120"/>
      <w:ind w:left="283"/>
    </w:pPr>
    <w:rPr>
      <w:sz w:val="16"/>
      <w:szCs w:val="16"/>
    </w:rPr>
  </w:style>
  <w:style w:type="character" w:customStyle="1" w:styleId="BodyTextIndent3Char">
    <w:name w:val="Body Text Indent 3 Char"/>
    <w:basedOn w:val="DefaultParagraphFont"/>
    <w:link w:val="BodyTextIndent3"/>
    <w:rsid w:val="00F12DE3"/>
    <w:rPr>
      <w:rFonts w:ascii="Arial" w:hAnsi="Arial"/>
      <w:sz w:val="16"/>
      <w:szCs w:val="16"/>
    </w:rPr>
  </w:style>
  <w:style w:type="paragraph" w:customStyle="1" w:styleId="BasistekstNaktuinbouw">
    <w:name w:val="Basistekst Naktuinbouw"/>
    <w:basedOn w:val="Normal"/>
    <w:qFormat/>
    <w:rsid w:val="00F12DE3"/>
    <w:pPr>
      <w:spacing w:line="240" w:lineRule="atLeast"/>
      <w:jc w:val="left"/>
    </w:pPr>
    <w:rPr>
      <w:rFonts w:cs="Maiandra GD"/>
      <w:color w:val="000000" w:themeColor="text1"/>
      <w:szCs w:val="18"/>
      <w:lang w:eastAsia="nl-NL"/>
    </w:rPr>
  </w:style>
  <w:style w:type="character" w:styleId="CommentReference">
    <w:name w:val="annotation reference"/>
    <w:basedOn w:val="DefaultParagraphFont"/>
    <w:semiHidden/>
    <w:unhideWhenUsed/>
    <w:rsid w:val="00F12DE3"/>
    <w:rPr>
      <w:sz w:val="16"/>
      <w:szCs w:val="16"/>
    </w:rPr>
  </w:style>
  <w:style w:type="paragraph" w:styleId="Revision">
    <w:name w:val="Revision"/>
    <w:hidden/>
    <w:uiPriority w:val="99"/>
    <w:semiHidden/>
    <w:rsid w:val="00F12DE3"/>
    <w:rPr>
      <w:rFonts w:ascii="Arial" w:hAnsi="Arial"/>
    </w:rPr>
  </w:style>
  <w:style w:type="table" w:customStyle="1" w:styleId="TableGrid10">
    <w:name w:val="Table Grid1"/>
    <w:basedOn w:val="TableNormal"/>
    <w:next w:val="TableGrid"/>
    <w:rsid w:val="00DF1F17"/>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6307F"/>
    <w:pPr>
      <w:keepLines/>
      <w:spacing w:before="480" w:line="276" w:lineRule="auto"/>
      <w:outlineLvl w:val="9"/>
    </w:pPr>
    <w:rPr>
      <w:rFonts w:asciiTheme="majorHAnsi" w:eastAsiaTheme="majorEastAsia" w:hAnsiTheme="majorHAnsi" w:cstheme="majorBidi"/>
      <w:b/>
      <w:bCs/>
      <w:caps w:val="0"/>
      <w:color w:val="365F91" w:themeColor="accent1" w:themeShade="BF"/>
      <w:sz w:val="28"/>
      <w:szCs w:val="2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6\templates\TC_5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1ABF2-0A0F-428D-8D5F-E2115E3E6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TC_56_EN</Template>
  <TotalTime>0</TotalTime>
  <Pages>14</Pages>
  <Words>4430</Words>
  <Characters>33069</Characters>
  <Application>Microsoft Office Word</Application>
  <DocSecurity>0</DocSecurity>
  <Lines>275</Lines>
  <Paragraphs>74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TC/56/13</vt:lpstr>
      <vt:lpstr>TC/56/13</vt:lpstr>
    </vt:vector>
  </TitlesOfParts>
  <Company>UPOV</Company>
  <LinksUpToDate>false</LinksUpToDate>
  <CharactersWithSpaces>37425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TC/56/13</dc:title>
  <dc:creator>MAY Jessica</dc:creator>
  <cp:lastModifiedBy>MAY Jessica</cp:lastModifiedBy>
  <cp:revision>3</cp:revision>
  <cp:lastPrinted>2020-10-09T07:44:00Z</cp:lastPrinted>
  <dcterms:created xsi:type="dcterms:W3CDTF">2020-10-22T07:20:00Z</dcterms:created>
  <dcterms:modified xsi:type="dcterms:W3CDTF">2020-10-22T09:11:00Z</dcterms:modified>
</cp:coreProperties>
</file>