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6D7435">
            <w:pPr>
              <w:pStyle w:val="Sessiontcplacedate"/>
              <w:rPr>
                <w:sz w:val="22"/>
              </w:rPr>
            </w:pPr>
            <w:r>
              <w:t>Fünfundfünfzigste Tagung</w:t>
            </w:r>
            <w:r>
              <w:br/>
              <w:t>Genf, 28. und 29. Oktober 2019</w:t>
            </w:r>
          </w:p>
        </w:tc>
        <w:tc>
          <w:tcPr>
            <w:tcW w:w="3127" w:type="dxa"/>
          </w:tcPr>
          <w:p w:rsidR="00EB4E9C" w:rsidRPr="003C7FBE" w:rsidRDefault="006D7435" w:rsidP="003C7FBE">
            <w:pPr>
              <w:pStyle w:val="Doccode"/>
            </w:pPr>
            <w:r>
              <w:t>TC/55/INF/9</w:t>
            </w:r>
          </w:p>
          <w:p w:rsidR="00EB4E9C" w:rsidRPr="00A1711B" w:rsidRDefault="00EB4E9C" w:rsidP="003C7FBE">
            <w:pPr>
              <w:pStyle w:val="Docoriginal"/>
            </w:pPr>
            <w:r>
              <w:t>Original:</w:t>
            </w:r>
            <w:r>
              <w:rPr>
                <w:b w:val="0"/>
              </w:rPr>
              <w:t xml:space="preserve">  englisch</w:t>
            </w:r>
          </w:p>
          <w:p w:rsidR="00EB4E9C" w:rsidRPr="007C1D92" w:rsidRDefault="00EB4E9C" w:rsidP="0080437E">
            <w:pPr>
              <w:pStyle w:val="Docoriginal"/>
            </w:pPr>
            <w:r>
              <w:t>Datum:</w:t>
            </w:r>
            <w:r>
              <w:rPr>
                <w:b w:val="0"/>
              </w:rPr>
              <w:t xml:space="preserve">  11. Oktober 2019</w:t>
            </w:r>
          </w:p>
        </w:tc>
      </w:tr>
    </w:tbl>
    <w:p w:rsidR="000D7780" w:rsidRPr="006A644A" w:rsidRDefault="00FB2223" w:rsidP="006A644A">
      <w:pPr>
        <w:pStyle w:val="Titleofdoc0"/>
      </w:pPr>
      <w:bookmarkStart w:id="0" w:name="TitleOfDoc"/>
      <w:bookmarkEnd w:id="0"/>
      <w:r>
        <w:t>Unterschiede bei den Noten für die Prüfung der Unterscheidbarkeit</w:t>
      </w:r>
    </w:p>
    <w:p w:rsidR="006A644A" w:rsidRPr="006A644A" w:rsidRDefault="00AE0EF1" w:rsidP="006A644A">
      <w:pPr>
        <w:pStyle w:val="preparedby1"/>
        <w:jc w:val="left"/>
      </w:pPr>
      <w:bookmarkStart w:id="1" w:name="Prepared"/>
      <w:bookmarkEnd w:id="1"/>
      <w:r>
        <w:t>vom Verbandsbüro erstelltes Dokument</w:t>
      </w:r>
    </w:p>
    <w:p w:rsidR="00757845" w:rsidRPr="00757845" w:rsidRDefault="00757845" w:rsidP="00757845">
      <w:pPr>
        <w:spacing w:after="600"/>
        <w:jc w:val="left"/>
        <w:rPr>
          <w:i/>
          <w:iCs/>
          <w:color w:val="A6A6A6" w:themeColor="background1" w:themeShade="A6"/>
        </w:rPr>
      </w:pPr>
      <w:r>
        <w:rPr>
          <w:i/>
          <w:iCs/>
          <w:color w:val="A6A6A6" w:themeColor="background1" w:themeShade="A6"/>
        </w:rPr>
        <w:t>Haftungsausschluss:  dieses Dokument gibt nicht die Grundsätze oder eine Anleitung der UPOV wieder</w:t>
      </w:r>
    </w:p>
    <w:p w:rsidR="00757845" w:rsidRPr="00757845" w:rsidRDefault="00757845" w:rsidP="00757845">
      <w:pPr>
        <w:keepNext/>
        <w:outlineLvl w:val="0"/>
        <w:rPr>
          <w:caps/>
          <w:snapToGrid w:val="0"/>
        </w:rPr>
      </w:pPr>
      <w:bookmarkStart w:id="2" w:name="_Toc481744310"/>
      <w:bookmarkStart w:id="3" w:name="_Toc504565379"/>
      <w:bookmarkStart w:id="4" w:name="_Toc22464564"/>
      <w:r>
        <w:rPr>
          <w:caps/>
          <w:snapToGrid w:val="0"/>
        </w:rPr>
        <w:t>ZUSAMMENFASSUNG</w:t>
      </w:r>
      <w:bookmarkEnd w:id="2"/>
      <w:bookmarkEnd w:id="3"/>
      <w:bookmarkEnd w:id="4"/>
    </w:p>
    <w:p w:rsidR="00757845" w:rsidRPr="00757845" w:rsidRDefault="00757845" w:rsidP="00757845">
      <w:pPr>
        <w:rPr>
          <w:snapToGrid w:val="0"/>
        </w:rPr>
      </w:pPr>
    </w:p>
    <w:p w:rsidR="00757845" w:rsidRPr="00757845" w:rsidRDefault="00757845" w:rsidP="00757845">
      <w:r w:rsidRPr="00757845">
        <w:rPr>
          <w:snapToGrid w:val="0"/>
        </w:rPr>
        <w:fldChar w:fldCharType="begin"/>
      </w:r>
      <w:r w:rsidRPr="00757845">
        <w:rPr>
          <w:snapToGrid w:val="0"/>
        </w:rPr>
        <w:instrText xml:space="preserve"> AUTONUM  </w:instrText>
      </w:r>
      <w:r w:rsidRPr="00757845">
        <w:rPr>
          <w:snapToGrid w:val="0"/>
        </w:rPr>
        <w:fldChar w:fldCharType="end"/>
      </w:r>
      <w:r>
        <w:rPr>
          <w:snapToGrid w:val="0"/>
        </w:rPr>
        <w:tab/>
      </w:r>
      <w:r>
        <w:t>Ziel dieses Dokuments ist es, Anleitung aus TGP-Dokumenten dazu, wie Unterschiede bei den Noten für die Prüfung der Unterscheidbarkei</w:t>
      </w:r>
      <w:r w:rsidR="0011634F">
        <w:t>t für PQ- und QN-Merkmale verwende</w:t>
      </w:r>
      <w:r>
        <w:t>t werden können, darzulegen.</w:t>
      </w:r>
    </w:p>
    <w:p w:rsidR="00757845" w:rsidRPr="00757845" w:rsidRDefault="00757845" w:rsidP="00757845"/>
    <w:bookmarkStart w:id="5" w:name="_Toc386185971"/>
    <w:bookmarkStart w:id="6" w:name="_Toc419124859"/>
    <w:p w:rsidR="00757845" w:rsidRPr="00757845" w:rsidRDefault="00757845" w:rsidP="00757845">
      <w:r w:rsidRPr="00757845">
        <w:fldChar w:fldCharType="begin"/>
      </w:r>
      <w:r w:rsidRPr="00757845">
        <w:instrText xml:space="preserve"> AUTONUM  </w:instrText>
      </w:r>
      <w:r w:rsidRPr="00757845">
        <w:fldChar w:fldCharType="end"/>
      </w:r>
      <w:r>
        <w:tab/>
        <w:t>In diesem Dokument werden folgende Abkürzungen verwendet:</w:t>
      </w:r>
    </w:p>
    <w:p w:rsidR="00757845" w:rsidRPr="00757845" w:rsidRDefault="00757845" w:rsidP="00757845"/>
    <w:p w:rsidR="00944FCB" w:rsidRPr="00FA628E" w:rsidRDefault="00944FCB" w:rsidP="00944FCB">
      <w:pPr>
        <w:tabs>
          <w:tab w:val="left" w:pos="1134"/>
        </w:tabs>
        <w:jc w:val="left"/>
        <w:rPr>
          <w:rFonts w:cs="Arial"/>
          <w:color w:val="000000"/>
        </w:rPr>
      </w:pPr>
      <w:r>
        <w:rPr>
          <w:color w:val="000000"/>
        </w:rPr>
        <w:t xml:space="preserve">TC:  </w:t>
      </w:r>
      <w:r>
        <w:rPr>
          <w:color w:val="000000"/>
        </w:rPr>
        <w:tab/>
        <w:t xml:space="preserve">Technischer </w:t>
      </w:r>
      <w:r w:rsidR="00FA6C57">
        <w:rPr>
          <w:color w:val="000000"/>
        </w:rPr>
        <w:t>Ausschuss</w:t>
      </w:r>
    </w:p>
    <w:p w:rsidR="00944FCB" w:rsidRPr="00FA628E" w:rsidRDefault="00944FCB" w:rsidP="00944FCB">
      <w:pPr>
        <w:jc w:val="left"/>
        <w:rPr>
          <w:rFonts w:cs="Arial"/>
          <w:color w:val="000000"/>
        </w:rPr>
      </w:pPr>
      <w:r>
        <w:rPr>
          <w:color w:val="000000"/>
        </w:rPr>
        <w:t xml:space="preserve">TC-EDC:  </w:t>
      </w:r>
      <w:r>
        <w:rPr>
          <w:color w:val="000000"/>
        </w:rPr>
        <w:tab/>
        <w:t>Erweiterter Redaktionsausschu</w:t>
      </w:r>
      <w:r w:rsidR="00FA6C57">
        <w:rPr>
          <w:color w:val="000000"/>
        </w:rPr>
        <w:t>ss</w:t>
      </w:r>
    </w:p>
    <w:p w:rsidR="00944FCB" w:rsidRPr="00FA628E" w:rsidRDefault="00944FCB" w:rsidP="00944FCB">
      <w:pPr>
        <w:jc w:val="left"/>
        <w:rPr>
          <w:rFonts w:cs="Arial"/>
          <w:color w:val="000000"/>
        </w:rPr>
      </w:pPr>
      <w:r>
        <w:rPr>
          <w:color w:val="000000"/>
        </w:rPr>
        <w:t xml:space="preserve">TWA:  </w:t>
      </w:r>
      <w:r>
        <w:rPr>
          <w:color w:val="000000"/>
        </w:rPr>
        <w:tab/>
        <w:t>Technische Arbeitsgruppe für landwirtschaftliche Arten</w:t>
      </w:r>
    </w:p>
    <w:p w:rsidR="00944FCB" w:rsidRPr="00FA628E" w:rsidRDefault="00944FCB" w:rsidP="00944FCB">
      <w:pPr>
        <w:jc w:val="left"/>
        <w:rPr>
          <w:rFonts w:cs="Arial"/>
          <w:color w:val="000000"/>
        </w:rPr>
      </w:pPr>
      <w:r>
        <w:rPr>
          <w:color w:val="000000"/>
        </w:rPr>
        <w:t xml:space="preserve">TWC:  </w:t>
      </w:r>
      <w:r>
        <w:rPr>
          <w:color w:val="000000"/>
        </w:rPr>
        <w:tab/>
        <w:t>Technische Arbeitsgruppe für Automatisierung und Computerprogramme</w:t>
      </w:r>
    </w:p>
    <w:p w:rsidR="00944FCB" w:rsidRPr="00FA628E" w:rsidRDefault="00944FCB" w:rsidP="00944FCB">
      <w:pPr>
        <w:jc w:val="left"/>
        <w:rPr>
          <w:rFonts w:cs="Arial"/>
          <w:color w:val="000000"/>
        </w:rPr>
      </w:pPr>
      <w:r>
        <w:rPr>
          <w:color w:val="000000"/>
        </w:rPr>
        <w:t xml:space="preserve">TWF:  </w:t>
      </w:r>
      <w:r>
        <w:rPr>
          <w:color w:val="000000"/>
        </w:rPr>
        <w:tab/>
        <w:t xml:space="preserve">Technische Arbeitsgruppe für Obstarten </w:t>
      </w:r>
    </w:p>
    <w:p w:rsidR="00944FCB" w:rsidRPr="00FA628E" w:rsidRDefault="00944FCB" w:rsidP="00944FCB">
      <w:pPr>
        <w:jc w:val="left"/>
        <w:rPr>
          <w:rFonts w:cs="Arial"/>
          <w:color w:val="000000"/>
        </w:rPr>
      </w:pPr>
      <w:r>
        <w:rPr>
          <w:color w:val="000000"/>
        </w:rPr>
        <w:t xml:space="preserve">TWO:  </w:t>
      </w:r>
      <w:r>
        <w:rPr>
          <w:color w:val="000000"/>
        </w:rPr>
        <w:tab/>
        <w:t xml:space="preserve">Technische Arbeitsgruppe für Zierpflanzen und forstliche Baumarten </w:t>
      </w:r>
    </w:p>
    <w:p w:rsidR="00944FCB" w:rsidRPr="00FA628E" w:rsidRDefault="00944FCB" w:rsidP="00944FCB">
      <w:pPr>
        <w:jc w:val="left"/>
        <w:rPr>
          <w:rFonts w:cs="Arial"/>
          <w:color w:val="000000"/>
        </w:rPr>
      </w:pPr>
      <w:r>
        <w:rPr>
          <w:color w:val="000000"/>
        </w:rPr>
        <w:t xml:space="preserve">TWV:  </w:t>
      </w:r>
      <w:r>
        <w:rPr>
          <w:color w:val="000000"/>
        </w:rPr>
        <w:tab/>
        <w:t>Technische Arbeitsgruppe für Gemüsearten</w:t>
      </w:r>
    </w:p>
    <w:p w:rsidR="00944FCB" w:rsidRPr="00FA628E" w:rsidRDefault="00944FCB" w:rsidP="00944FCB">
      <w:pPr>
        <w:jc w:val="left"/>
        <w:rPr>
          <w:rFonts w:cs="Arial"/>
          <w:color w:val="000000"/>
        </w:rPr>
      </w:pPr>
      <w:r>
        <w:rPr>
          <w:color w:val="000000"/>
        </w:rPr>
        <w:t>TWPs:</w:t>
      </w:r>
      <w:r>
        <w:rPr>
          <w:color w:val="000000"/>
        </w:rPr>
        <w:tab/>
        <w:t>Technische Arbeitsgruppen</w:t>
      </w:r>
    </w:p>
    <w:p w:rsidR="00757845" w:rsidRPr="00757845" w:rsidRDefault="00757845" w:rsidP="00757845"/>
    <w:bookmarkStart w:id="7" w:name="_Toc352678045"/>
    <w:bookmarkStart w:id="8" w:name="_Toc353797725"/>
    <w:bookmarkStart w:id="9" w:name="_Toc386185970"/>
    <w:bookmarkStart w:id="10" w:name="_Toc419124858"/>
    <w:bookmarkStart w:id="11" w:name="_Toc504565380"/>
    <w:p w:rsidR="00757845" w:rsidRDefault="00757845" w:rsidP="00757845">
      <w:pPr>
        <w:rPr>
          <w:rFonts w:cs="Arial"/>
        </w:rPr>
      </w:pPr>
      <w:r w:rsidRPr="00757845">
        <w:rPr>
          <w:rFonts w:cs="Arial"/>
        </w:rPr>
        <w:fldChar w:fldCharType="begin"/>
      </w:r>
      <w:r w:rsidRPr="00757845">
        <w:rPr>
          <w:rFonts w:cs="Arial"/>
        </w:rPr>
        <w:instrText xml:space="preserve"> AUTONUM  </w:instrText>
      </w:r>
      <w:r w:rsidRPr="00757845">
        <w:rPr>
          <w:rFonts w:cs="Arial"/>
        </w:rPr>
        <w:fldChar w:fldCharType="end"/>
      </w:r>
      <w:r>
        <w:tab/>
        <w:t>Der Aufbau dieses Dokumentes ist wie folgt:</w:t>
      </w:r>
    </w:p>
    <w:p w:rsidR="00944FCB" w:rsidRPr="00757845" w:rsidRDefault="00944FCB" w:rsidP="00757845">
      <w:pPr>
        <w:rPr>
          <w:rFonts w:cs="Arial"/>
        </w:rPr>
      </w:pPr>
    </w:p>
    <w:p w:rsidR="00D164AC" w:rsidRDefault="00757845">
      <w:pPr>
        <w:pStyle w:val="TOC1"/>
        <w:rPr>
          <w:rFonts w:asciiTheme="minorHAnsi" w:eastAsiaTheme="minorEastAsia" w:hAnsiTheme="minorHAnsi" w:cstheme="minorBidi"/>
          <w:caps w:val="0"/>
          <w:noProof/>
          <w:sz w:val="22"/>
          <w:szCs w:val="22"/>
          <w:lang w:eastAsia="de-DE"/>
        </w:rPr>
      </w:pPr>
      <w:r w:rsidRPr="00757845">
        <w:rPr>
          <w:rFonts w:cs="Arial"/>
          <w:bCs/>
          <w:highlight w:val="yellow"/>
        </w:rPr>
        <w:fldChar w:fldCharType="begin"/>
      </w:r>
      <w:r w:rsidRPr="00757845">
        <w:rPr>
          <w:rFonts w:cs="Arial"/>
          <w:bCs/>
          <w:highlight w:val="yellow"/>
        </w:rPr>
        <w:instrText xml:space="preserve"> TOC \o "1-3" \h \z \u </w:instrText>
      </w:r>
      <w:r w:rsidRPr="00757845">
        <w:rPr>
          <w:rFonts w:cs="Arial"/>
          <w:bCs/>
          <w:highlight w:val="yellow"/>
        </w:rPr>
        <w:fldChar w:fldCharType="separate"/>
      </w:r>
      <w:hyperlink w:anchor="_Toc22464564" w:history="1">
        <w:r w:rsidR="00D164AC" w:rsidRPr="00EB7AB6">
          <w:rPr>
            <w:rStyle w:val="Hyperlink"/>
            <w:noProof/>
            <w:snapToGrid w:val="0"/>
          </w:rPr>
          <w:t>ZUSAMMENFASSUNG</w:t>
        </w:r>
        <w:r w:rsidR="00D164AC">
          <w:rPr>
            <w:noProof/>
            <w:webHidden/>
          </w:rPr>
          <w:tab/>
        </w:r>
        <w:r w:rsidR="00D164AC">
          <w:rPr>
            <w:noProof/>
            <w:webHidden/>
          </w:rPr>
          <w:fldChar w:fldCharType="begin"/>
        </w:r>
        <w:r w:rsidR="00D164AC">
          <w:rPr>
            <w:noProof/>
            <w:webHidden/>
          </w:rPr>
          <w:instrText xml:space="preserve"> PAGEREF _Toc22464564 \h </w:instrText>
        </w:r>
        <w:r w:rsidR="00D164AC">
          <w:rPr>
            <w:noProof/>
            <w:webHidden/>
          </w:rPr>
        </w:r>
        <w:r w:rsidR="00D164AC">
          <w:rPr>
            <w:noProof/>
            <w:webHidden/>
          </w:rPr>
          <w:fldChar w:fldCharType="separate"/>
        </w:r>
        <w:r w:rsidR="00571F57">
          <w:rPr>
            <w:noProof/>
            <w:webHidden/>
          </w:rPr>
          <w:t>1</w:t>
        </w:r>
        <w:r w:rsidR="00D164AC">
          <w:rPr>
            <w:noProof/>
            <w:webHidden/>
          </w:rPr>
          <w:fldChar w:fldCharType="end"/>
        </w:r>
      </w:hyperlink>
    </w:p>
    <w:p w:rsidR="00D164AC" w:rsidRDefault="00A35E77">
      <w:pPr>
        <w:pStyle w:val="TOC1"/>
        <w:rPr>
          <w:rFonts w:asciiTheme="minorHAnsi" w:eastAsiaTheme="minorEastAsia" w:hAnsiTheme="minorHAnsi" w:cstheme="minorBidi"/>
          <w:caps w:val="0"/>
          <w:noProof/>
          <w:sz w:val="22"/>
          <w:szCs w:val="22"/>
          <w:lang w:eastAsia="de-DE"/>
        </w:rPr>
      </w:pPr>
      <w:hyperlink w:anchor="_Toc22464565" w:history="1">
        <w:r w:rsidR="00D164AC" w:rsidRPr="00EB7AB6">
          <w:rPr>
            <w:rStyle w:val="Hyperlink"/>
            <w:noProof/>
          </w:rPr>
          <w:t>HINTERGRUND</w:t>
        </w:r>
        <w:r w:rsidR="00D164AC">
          <w:rPr>
            <w:noProof/>
            <w:webHidden/>
          </w:rPr>
          <w:tab/>
        </w:r>
        <w:r w:rsidR="00D164AC">
          <w:rPr>
            <w:noProof/>
            <w:webHidden/>
          </w:rPr>
          <w:fldChar w:fldCharType="begin"/>
        </w:r>
        <w:r w:rsidR="00D164AC">
          <w:rPr>
            <w:noProof/>
            <w:webHidden/>
          </w:rPr>
          <w:instrText xml:space="preserve"> PAGEREF _Toc22464565 \h </w:instrText>
        </w:r>
        <w:r w:rsidR="00D164AC">
          <w:rPr>
            <w:noProof/>
            <w:webHidden/>
          </w:rPr>
        </w:r>
        <w:r w:rsidR="00D164AC">
          <w:rPr>
            <w:noProof/>
            <w:webHidden/>
          </w:rPr>
          <w:fldChar w:fldCharType="separate"/>
        </w:r>
        <w:r w:rsidR="00571F57">
          <w:rPr>
            <w:noProof/>
            <w:webHidden/>
          </w:rPr>
          <w:t>1</w:t>
        </w:r>
        <w:r w:rsidR="00D164AC">
          <w:rPr>
            <w:noProof/>
            <w:webHidden/>
          </w:rPr>
          <w:fldChar w:fldCharType="end"/>
        </w:r>
      </w:hyperlink>
    </w:p>
    <w:p w:rsidR="00D164AC" w:rsidRDefault="00A35E77">
      <w:pPr>
        <w:pStyle w:val="TOC1"/>
        <w:rPr>
          <w:rFonts w:asciiTheme="minorHAnsi" w:eastAsiaTheme="minorEastAsia" w:hAnsiTheme="minorHAnsi" w:cstheme="minorBidi"/>
          <w:caps w:val="0"/>
          <w:noProof/>
          <w:sz w:val="22"/>
          <w:szCs w:val="22"/>
          <w:lang w:eastAsia="de-DE"/>
        </w:rPr>
      </w:pPr>
      <w:hyperlink w:anchor="_Toc22464566" w:history="1">
        <w:r w:rsidR="00D164AC" w:rsidRPr="00EB7AB6">
          <w:rPr>
            <w:rStyle w:val="Hyperlink"/>
            <w:noProof/>
          </w:rPr>
          <w:t>Bestehende Anleitung zu Unterschieden bei den Noten für die Prüfung der Unterscheidbarkeit</w:t>
        </w:r>
        <w:r w:rsidR="00D164AC">
          <w:rPr>
            <w:noProof/>
            <w:webHidden/>
          </w:rPr>
          <w:tab/>
        </w:r>
        <w:r w:rsidR="00D164AC">
          <w:rPr>
            <w:noProof/>
            <w:webHidden/>
          </w:rPr>
          <w:fldChar w:fldCharType="begin"/>
        </w:r>
        <w:r w:rsidR="00D164AC">
          <w:rPr>
            <w:noProof/>
            <w:webHidden/>
          </w:rPr>
          <w:instrText xml:space="preserve"> PAGEREF _Toc22464566 \h </w:instrText>
        </w:r>
        <w:r w:rsidR="00D164AC">
          <w:rPr>
            <w:noProof/>
            <w:webHidden/>
          </w:rPr>
        </w:r>
        <w:r w:rsidR="00D164AC">
          <w:rPr>
            <w:noProof/>
            <w:webHidden/>
          </w:rPr>
          <w:fldChar w:fldCharType="separate"/>
        </w:r>
        <w:r w:rsidR="00571F57">
          <w:rPr>
            <w:noProof/>
            <w:webHidden/>
          </w:rPr>
          <w:t>2</w:t>
        </w:r>
        <w:r w:rsidR="00D164AC">
          <w:rPr>
            <w:noProof/>
            <w:webHidden/>
          </w:rPr>
          <w:fldChar w:fldCharType="end"/>
        </w:r>
      </w:hyperlink>
    </w:p>
    <w:p w:rsidR="00D164AC" w:rsidRDefault="00A35E77">
      <w:pPr>
        <w:pStyle w:val="TOC1"/>
        <w:rPr>
          <w:rFonts w:asciiTheme="minorHAnsi" w:eastAsiaTheme="minorEastAsia" w:hAnsiTheme="minorHAnsi" w:cstheme="minorBidi"/>
          <w:caps w:val="0"/>
          <w:noProof/>
          <w:sz w:val="22"/>
          <w:szCs w:val="22"/>
          <w:lang w:eastAsia="de-DE"/>
        </w:rPr>
      </w:pPr>
      <w:hyperlink w:anchor="_Toc22464567" w:history="1">
        <w:r w:rsidR="00D164AC" w:rsidRPr="00EB7AB6">
          <w:rPr>
            <w:rStyle w:val="Hyperlink"/>
            <w:noProof/>
          </w:rPr>
          <w:t>Prüfung durch die Technischen Arbeitsgruppen</w:t>
        </w:r>
        <w:r w:rsidR="00D164AC">
          <w:rPr>
            <w:noProof/>
            <w:webHidden/>
          </w:rPr>
          <w:tab/>
        </w:r>
        <w:r w:rsidR="00D164AC">
          <w:rPr>
            <w:noProof/>
            <w:webHidden/>
          </w:rPr>
          <w:fldChar w:fldCharType="begin"/>
        </w:r>
        <w:r w:rsidR="00D164AC">
          <w:rPr>
            <w:noProof/>
            <w:webHidden/>
          </w:rPr>
          <w:instrText xml:space="preserve"> PAGEREF _Toc22464567 \h </w:instrText>
        </w:r>
        <w:r w:rsidR="00D164AC">
          <w:rPr>
            <w:noProof/>
            <w:webHidden/>
          </w:rPr>
        </w:r>
        <w:r w:rsidR="00D164AC">
          <w:rPr>
            <w:noProof/>
            <w:webHidden/>
          </w:rPr>
          <w:fldChar w:fldCharType="separate"/>
        </w:r>
        <w:r w:rsidR="00571F57">
          <w:rPr>
            <w:noProof/>
            <w:webHidden/>
          </w:rPr>
          <w:t>5</w:t>
        </w:r>
        <w:r w:rsidR="00D164AC">
          <w:rPr>
            <w:noProof/>
            <w:webHidden/>
          </w:rPr>
          <w:fldChar w:fldCharType="end"/>
        </w:r>
      </w:hyperlink>
    </w:p>
    <w:p w:rsidR="00757845" w:rsidRPr="00E540C6" w:rsidRDefault="00757845" w:rsidP="00757845">
      <w:pPr>
        <w:ind w:left="1134" w:hanging="1134"/>
        <w:rPr>
          <w:sz w:val="18"/>
        </w:rPr>
      </w:pPr>
      <w:r w:rsidRPr="00757845">
        <w:rPr>
          <w:rFonts w:cs="Arial"/>
          <w:highlight w:val="yellow"/>
        </w:rPr>
        <w:fldChar w:fldCharType="end"/>
      </w:r>
      <w:r>
        <w:rPr>
          <w:snapToGrid w:val="0"/>
          <w:sz w:val="18"/>
        </w:rPr>
        <w:t>ANLAGE I</w:t>
      </w:r>
      <w:r>
        <w:rPr>
          <w:snapToGrid w:val="0"/>
          <w:sz w:val="18"/>
        </w:rPr>
        <w:tab/>
        <w:t>Auszüge aus Dokument TG/1</w:t>
      </w:r>
      <w:r>
        <w:rPr>
          <w:sz w:val="18"/>
        </w:rPr>
        <w:t xml:space="preserve"> „Allgemeine Einführung zur Prüfung auf Unterscheidbarkeit, Homogenität und Beständigkeit und zur Erarbeitung harmonisierter Beschreibungen von neuen Pflanzensorten“</w:t>
      </w:r>
    </w:p>
    <w:p w:rsidR="00757845" w:rsidRPr="00E540C6" w:rsidRDefault="00757845" w:rsidP="00757845">
      <w:pPr>
        <w:ind w:left="1134" w:hanging="1134"/>
        <w:rPr>
          <w:sz w:val="18"/>
        </w:rPr>
      </w:pPr>
      <w:r>
        <w:rPr>
          <w:snapToGrid w:val="0"/>
          <w:sz w:val="18"/>
        </w:rPr>
        <w:t>ANLAGE II</w:t>
      </w:r>
      <w:r>
        <w:rPr>
          <w:snapToGrid w:val="0"/>
          <w:sz w:val="18"/>
        </w:rPr>
        <w:tab/>
        <w:t xml:space="preserve">Auszüge aus Dokument TGP/8 </w:t>
      </w:r>
      <w:r>
        <w:rPr>
          <w:sz w:val="18"/>
        </w:rPr>
        <w:t>„Prüfungsanlage und Verfahren für die Prüfung der Unterscheidbarkeit, der Homogenität und der Beständigkeit.“</w:t>
      </w:r>
    </w:p>
    <w:p w:rsidR="00757845" w:rsidRPr="00E540C6" w:rsidRDefault="00757845" w:rsidP="00757845">
      <w:pPr>
        <w:ind w:left="1134" w:hanging="1134"/>
        <w:rPr>
          <w:sz w:val="18"/>
        </w:rPr>
      </w:pPr>
      <w:r>
        <w:rPr>
          <w:snapToGrid w:val="0"/>
          <w:sz w:val="18"/>
        </w:rPr>
        <w:t>ANLAGE III</w:t>
      </w:r>
      <w:r>
        <w:rPr>
          <w:snapToGrid w:val="0"/>
          <w:sz w:val="18"/>
        </w:rPr>
        <w:tab/>
        <w:t xml:space="preserve">Auszüge aus Dokument TGP/9 </w:t>
      </w:r>
      <w:r>
        <w:rPr>
          <w:sz w:val="18"/>
        </w:rPr>
        <w:t xml:space="preserve">„Prüfung der Unterscheidbarkeit” </w:t>
      </w:r>
    </w:p>
    <w:p w:rsidR="00757845" w:rsidRPr="00E540C6" w:rsidRDefault="00757845" w:rsidP="00757845">
      <w:pPr>
        <w:ind w:left="1134" w:hanging="1134"/>
        <w:rPr>
          <w:sz w:val="18"/>
        </w:rPr>
      </w:pPr>
      <w:r>
        <w:rPr>
          <w:sz w:val="18"/>
        </w:rPr>
        <w:t>ANLAGE IV</w:t>
      </w:r>
      <w:r>
        <w:rPr>
          <w:sz w:val="18"/>
        </w:rPr>
        <w:tab/>
        <w:t>Auszüge aus Dokument TGP/14 „Glossar der in den UPOV-Dokumenten verwendeten Begriffe“</w:t>
      </w:r>
    </w:p>
    <w:p w:rsidR="00757845" w:rsidRDefault="00757845" w:rsidP="00757845"/>
    <w:p w:rsidR="00A1711B" w:rsidRDefault="00A1711B" w:rsidP="00757845"/>
    <w:p w:rsidR="00757845" w:rsidRPr="00757845" w:rsidRDefault="00757845" w:rsidP="00757845"/>
    <w:p w:rsidR="00757845" w:rsidRPr="00757845" w:rsidRDefault="00757845" w:rsidP="00757845">
      <w:pPr>
        <w:keepNext/>
        <w:outlineLvl w:val="0"/>
        <w:rPr>
          <w:caps/>
        </w:rPr>
      </w:pPr>
      <w:bookmarkStart w:id="12" w:name="_Toc22464565"/>
      <w:r>
        <w:rPr>
          <w:caps/>
        </w:rPr>
        <w:t>HINTERGRUND</w:t>
      </w:r>
      <w:bookmarkEnd w:id="7"/>
      <w:bookmarkEnd w:id="8"/>
      <w:bookmarkEnd w:id="9"/>
      <w:bookmarkEnd w:id="10"/>
      <w:bookmarkEnd w:id="11"/>
      <w:bookmarkEnd w:id="12"/>
    </w:p>
    <w:bookmarkEnd w:id="5"/>
    <w:bookmarkEnd w:id="6"/>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 xml:space="preserve">Der TC prüfte auf seiner vierundfünfzigsten Tagung am 29. und 30. Oktober 2018 in Genf, das Dokument TC/54/21 „Darstellung für Merkmale der Form und des Verhältnisses“ (vergleiche Dokument TC/54/31 „Bericht“, Absätze 235 bis 239). </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 xml:space="preserve">Der TC nahm zur Kenntnis, </w:t>
      </w:r>
      <w:proofErr w:type="spellStart"/>
      <w:r>
        <w:t>daß</w:t>
      </w:r>
      <w:proofErr w:type="spellEnd"/>
      <w:r>
        <w:t xml:space="preserve"> Raster verwendet werden könnten, um die Ausprägungsstufen und die Unterschiede zwischen Ausprägungsstufen klarzustellen und die Ausprägungsbreite für Formmerkmale zu beschreiben.</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 xml:space="preserve">Der TC nahm die Erörterungen darüber zur Kenntnis, ob Situationen ermittelt werden sollten, wann Raster zur Erläuterung von Ausprägungsstufen in Formmerkmalen verwendet werden sollten und wann nicht, und vereinbarte, </w:t>
      </w:r>
      <w:proofErr w:type="spellStart"/>
      <w:r>
        <w:t>daß</w:t>
      </w:r>
      <w:proofErr w:type="spellEnd"/>
      <w:r>
        <w:t xml:space="preserve"> die TWP für jede Prüfungsrichtlinie gemäß den Richtlinien in TGP/14 „Glossar der in den UPOV-Dokumenten verwendeten Begriffe“ von Fall zu Fall entscheiden sollten</w:t>
      </w:r>
      <w:r w:rsidR="00D164AC">
        <w:t xml:space="preserve">. </w:t>
      </w:r>
      <w:r>
        <w:t xml:space="preserve">Der TC erinnerte daran, </w:t>
      </w:r>
      <w:proofErr w:type="spellStart"/>
      <w:r>
        <w:t>daß</w:t>
      </w:r>
      <w:proofErr w:type="spellEnd"/>
      <w:r>
        <w:t xml:space="preserve"> </w:t>
      </w:r>
      <w:r>
        <w:lastRenderedPageBreak/>
        <w:t xml:space="preserve">es, wenn keine Raster verwendet würden, notwendig sei, </w:t>
      </w:r>
      <w:proofErr w:type="spellStart"/>
      <w:r>
        <w:t>daß</w:t>
      </w:r>
      <w:proofErr w:type="spellEnd"/>
      <w:r>
        <w:t xml:space="preserve"> die Prüfungsrichtlinien die Unterschiede zwischen den Formen auf eine andere deutliche und objektive Weise erklären</w:t>
      </w:r>
      <w:r w:rsidR="00D164AC">
        <w:t xml:space="preserve">. </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Der TC nahm die Erörterungen zur Kenntnis, ob eine Anleitung dazu bereitgestellt werden sollte, wie Raster klarstellen können, wie Unterschiede in Noten für die Prüfung der Unterscheidbarkeit verwendet werden können, gemäß der Anleitung in der Allgemeinen Einführung und in Dokument TGP/9.</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 xml:space="preserve">Der TC nahm zur Kenntnis, </w:t>
      </w:r>
      <w:proofErr w:type="spellStart"/>
      <w:r>
        <w:t>daß</w:t>
      </w:r>
      <w:proofErr w:type="spellEnd"/>
      <w:r>
        <w:t xml:space="preserve"> die GAIA</w:t>
      </w:r>
      <w:r w:rsidR="0011634F">
        <w:t>-Software ein Beispiel dafür ist</w:t>
      </w:r>
      <w:r>
        <w:t>, wie Unterschiede in den Noten für die Prüfung der Unterscheidbarkeit genutzt werden können</w:t>
      </w:r>
      <w:r w:rsidR="00D164AC">
        <w:t xml:space="preserve">. </w:t>
      </w:r>
      <w:r>
        <w:t xml:space="preserve">Der TC vereinbarte, das UPOV-Büro zu ersuchen, ein Dokument zur Erörterung bei den TWP zu erstellen, </w:t>
      </w:r>
      <w:proofErr w:type="gramStart"/>
      <w:r>
        <w:t>das</w:t>
      </w:r>
      <w:proofErr w:type="gramEnd"/>
      <w:r>
        <w:t xml:space="preserve"> Erläuterungen zu QN- und PQ-Merkmalen aus dem Dokument TG/1/3 „Allgemeine Einführung zur Prüfung auf Unterscheidbarkeit, Homogenität und Beständigkeit und zur Erstellung harmonisierter Beschreibungen von neuen Pflanzensorten“ bereitstellen würde</w:t>
      </w:r>
      <w:r w:rsidR="00D164AC">
        <w:t xml:space="preserve">. </w:t>
      </w:r>
      <w:r>
        <w:t xml:space="preserve">Der TC vereinbarte, </w:t>
      </w:r>
      <w:proofErr w:type="spellStart"/>
      <w:r>
        <w:t>daß</w:t>
      </w:r>
      <w:proofErr w:type="spellEnd"/>
      <w:r>
        <w:t xml:space="preserve"> solche Erörterungen von den Erörterungen über die Verwendung von Rastern zur Veranschaulichung von Form- und Verhältnismerkmalen getrennt werden sollten. </w:t>
      </w:r>
    </w:p>
    <w:p w:rsidR="00757845" w:rsidRDefault="00757845" w:rsidP="00757845"/>
    <w:p w:rsidR="00A1711B" w:rsidRDefault="00A1711B" w:rsidP="00757845"/>
    <w:p w:rsidR="00A1711B" w:rsidRPr="00757845" w:rsidRDefault="00A1711B" w:rsidP="00757845"/>
    <w:p w:rsidR="00757845" w:rsidRPr="00757845" w:rsidRDefault="00757845" w:rsidP="00757845">
      <w:pPr>
        <w:keepNext/>
        <w:outlineLvl w:val="0"/>
        <w:rPr>
          <w:caps/>
        </w:rPr>
      </w:pPr>
      <w:bookmarkStart w:id="13" w:name="_Toc22464566"/>
      <w:r>
        <w:rPr>
          <w:caps/>
        </w:rPr>
        <w:t>Bestehende Anleitung zu Unterschieden bei den Noten für die Prüfung der Unterscheidbarkeit</w:t>
      </w:r>
      <w:bookmarkEnd w:id="13"/>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Dokument TGP/8 „Prüfungsanlage und Verfahren für die Prüfung der Unterscheidbarkeit, der Homogenität und der Beständigkeit“, beschreibt die GAIA-Methodik</w:t>
      </w:r>
      <w:r w:rsidR="00D164AC">
        <w:t xml:space="preserve">. </w:t>
      </w:r>
      <w:r>
        <w:t xml:space="preserve">Der Grundsatz besteht darin, einen phänotypischen Abstand zwischen jedem Sortenpaar zu berechnen, wobei dieser Abstand die Summe der Abstände an jedem </w:t>
      </w:r>
      <w:proofErr w:type="spellStart"/>
      <w:r>
        <w:t>erfaßten</w:t>
      </w:r>
      <w:proofErr w:type="spellEnd"/>
      <w:r>
        <w:t xml:space="preserve"> Merkmal ist</w:t>
      </w:r>
      <w:r w:rsidR="00D164AC">
        <w:t xml:space="preserve">. </w:t>
      </w:r>
      <w:r>
        <w:t>Folgendes Beispiel ist in Abschnitt 1.3.5.2.5 dargelegt:</w:t>
      </w:r>
    </w:p>
    <w:p w:rsidR="00757845" w:rsidRPr="00757845" w:rsidRDefault="00757845" w:rsidP="00757845">
      <w:pPr>
        <w:rPr>
          <w:rFonts w:cs="Arial"/>
          <w:sz w:val="18"/>
          <w:szCs w:val="18"/>
        </w:rPr>
      </w:pPr>
    </w:p>
    <w:p w:rsidR="00757845" w:rsidRPr="00757845" w:rsidRDefault="00757845" w:rsidP="00757845">
      <w:pPr>
        <w:keepNext/>
        <w:keepLines/>
        <w:tabs>
          <w:tab w:val="left" w:pos="1134"/>
        </w:tabs>
        <w:ind w:left="567" w:right="567"/>
        <w:rPr>
          <w:rFonts w:cs="Arial"/>
          <w:color w:val="000000"/>
          <w:sz w:val="18"/>
          <w:szCs w:val="18"/>
        </w:rPr>
      </w:pPr>
      <w:r>
        <w:rPr>
          <w:snapToGrid w:val="0"/>
          <w:sz w:val="18"/>
          <w:szCs w:val="18"/>
        </w:rPr>
        <w:t>„1</w:t>
      </w:r>
      <w:r>
        <w:rPr>
          <w:sz w:val="18"/>
          <w:szCs w:val="18"/>
        </w:rPr>
        <w:t>.3.5.2.5</w:t>
      </w:r>
      <w:r>
        <w:rPr>
          <w:sz w:val="18"/>
          <w:szCs w:val="18"/>
        </w:rPr>
        <w:tab/>
      </w:r>
      <w:r>
        <w:rPr>
          <w:color w:val="000000"/>
          <w:sz w:val="18"/>
          <w:szCs w:val="18"/>
        </w:rPr>
        <w:t xml:space="preserve"> „Länge der Lieschen”, auf einer Skala von 1 bis 9 </w:t>
      </w:r>
      <w:proofErr w:type="spellStart"/>
      <w:r>
        <w:rPr>
          <w:color w:val="000000"/>
          <w:sz w:val="18"/>
          <w:szCs w:val="18"/>
        </w:rPr>
        <w:t>erfaßt</w:t>
      </w:r>
      <w:proofErr w:type="spellEnd"/>
      <w:r>
        <w:rPr>
          <w:color w:val="000000"/>
          <w:sz w:val="18"/>
          <w:szCs w:val="18"/>
        </w:rPr>
        <w:t>, der Pflanzensachverständige legte folgende Gewichtungsmatrix fest:</w:t>
      </w: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757845" w:rsidRPr="00757845" w:rsidTr="00757845">
        <w:trPr>
          <w:trHeight w:val="261"/>
        </w:trPr>
        <w:tc>
          <w:tcPr>
            <w:tcW w:w="420" w:type="dxa"/>
          </w:tcPr>
          <w:p w:rsidR="00757845" w:rsidRPr="00757845" w:rsidRDefault="00757845" w:rsidP="00757845">
            <w:pPr>
              <w:framePr w:hSpace="141" w:wrap="auto" w:vAnchor="text" w:hAnchor="page" w:x="4974" w:y="82"/>
              <w:rPr>
                <w:rFonts w:cs="Arial"/>
                <w:sz w:val="18"/>
                <w:szCs w:val="18"/>
              </w:rPr>
            </w:pPr>
          </w:p>
        </w:tc>
        <w:tc>
          <w:tcPr>
            <w:tcW w:w="323" w:type="dxa"/>
            <w:tcBorders>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jc w:val="center"/>
              <w:rPr>
                <w:rFonts w:cs="Arial"/>
                <w:sz w:val="18"/>
                <w:szCs w:val="18"/>
              </w:rPr>
            </w:pPr>
            <w:r>
              <w:rPr>
                <w:sz w:val="18"/>
                <w:szCs w:val="18"/>
              </w:rPr>
              <w:t>Sorte ‚i‘</w:t>
            </w:r>
          </w:p>
        </w:tc>
      </w:tr>
      <w:tr w:rsidR="00757845" w:rsidRPr="00757845" w:rsidTr="00757845">
        <w:trPr>
          <w:trHeight w:val="261"/>
        </w:trPr>
        <w:tc>
          <w:tcPr>
            <w:tcW w:w="420" w:type="dxa"/>
            <w:tcBorders>
              <w:bottom w:val="single" w:sz="4" w:space="0" w:color="auto"/>
            </w:tcBorders>
          </w:tcPr>
          <w:p w:rsidR="00757845" w:rsidRPr="00757845" w:rsidRDefault="00757845" w:rsidP="00757845">
            <w:pPr>
              <w:framePr w:hSpace="141" w:wrap="auto" w:vAnchor="text" w:hAnchor="page" w:x="4974" w:y="82"/>
              <w:rPr>
                <w:rFonts w:cs="Arial"/>
                <w:sz w:val="18"/>
                <w:szCs w:val="18"/>
              </w:rPr>
            </w:pPr>
          </w:p>
        </w:tc>
        <w:tc>
          <w:tcPr>
            <w:tcW w:w="323" w:type="dxa"/>
            <w:tcBorders>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sz w:val="18"/>
                <w:szCs w:val="18"/>
              </w:rPr>
            </w:pPr>
            <w:r>
              <w:rPr>
                <w:sz w:val="18"/>
                <w:szCs w:val="18"/>
              </w:rPr>
              <w:t>9</w:t>
            </w:r>
          </w:p>
        </w:tc>
      </w:tr>
      <w:tr w:rsidR="00757845" w:rsidRPr="00757845" w:rsidTr="00757845">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757845" w:rsidRPr="00757845" w:rsidRDefault="00757845" w:rsidP="00757845">
            <w:pPr>
              <w:framePr w:hSpace="141" w:wrap="auto" w:vAnchor="text" w:hAnchor="page" w:x="4974" w:y="82"/>
              <w:ind w:left="113" w:right="113"/>
              <w:jc w:val="center"/>
              <w:rPr>
                <w:rFonts w:cs="Arial"/>
                <w:color w:val="000000"/>
                <w:sz w:val="18"/>
                <w:szCs w:val="18"/>
              </w:rPr>
            </w:pPr>
            <w:r>
              <w:rPr>
                <w:color w:val="000000"/>
                <w:sz w:val="18"/>
                <w:szCs w:val="18"/>
              </w:rPr>
              <w:t xml:space="preserve">Sorte </w:t>
            </w:r>
            <w:r>
              <w:rPr>
                <w:sz w:val="18"/>
                <w:szCs w:val="18"/>
              </w:rPr>
              <w:t>‚j‘</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rFonts w:cs="Arial"/>
                <w:color w:val="000000"/>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9</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rFonts w:cs="Arial"/>
                <w:color w:val="000000"/>
                <w:sz w:val="18"/>
                <w:szCs w:val="18"/>
              </w:rPr>
            </w:pPr>
            <w:r>
              <w:rPr>
                <w:color w:val="000000"/>
                <w:sz w:val="18"/>
                <w:szCs w:val="18"/>
              </w:rPr>
              <w:t>0</w:t>
            </w:r>
          </w:p>
        </w:tc>
      </w:tr>
    </w:tbl>
    <w:p w:rsidR="00757845" w:rsidRPr="00757845" w:rsidRDefault="00757845" w:rsidP="00757845">
      <w:pPr>
        <w:rPr>
          <w:rFonts w:cs="Arial"/>
          <w:color w:val="000000"/>
          <w:sz w:val="18"/>
          <w:szCs w:val="18"/>
        </w:rPr>
      </w:pPr>
    </w:p>
    <w:p w:rsidR="00757845" w:rsidRPr="00757845" w:rsidRDefault="00757845" w:rsidP="00757845">
      <w:pPr>
        <w:ind w:left="1134"/>
        <w:rPr>
          <w:rFonts w:cs="Arial"/>
          <w:color w:val="000000"/>
          <w:sz w:val="18"/>
          <w:szCs w:val="18"/>
        </w:rPr>
      </w:pPr>
      <w:r>
        <w:rPr>
          <w:color w:val="000000"/>
          <w:sz w:val="18"/>
          <w:szCs w:val="18"/>
        </w:rPr>
        <w:t>1 = sehr kurz</w:t>
      </w:r>
    </w:p>
    <w:p w:rsidR="00757845" w:rsidRPr="00757845" w:rsidRDefault="00757845" w:rsidP="00757845">
      <w:pPr>
        <w:ind w:left="1134"/>
        <w:rPr>
          <w:rFonts w:cs="Arial"/>
          <w:color w:val="000000"/>
          <w:sz w:val="18"/>
          <w:szCs w:val="18"/>
        </w:rPr>
      </w:pPr>
      <w:r>
        <w:rPr>
          <w:color w:val="000000"/>
          <w:sz w:val="18"/>
          <w:szCs w:val="18"/>
        </w:rPr>
        <w:t>2 = sehr kurz bis kurz</w:t>
      </w:r>
    </w:p>
    <w:p w:rsidR="00757845" w:rsidRPr="00757845" w:rsidRDefault="00757845" w:rsidP="00757845">
      <w:pPr>
        <w:ind w:left="1134"/>
        <w:rPr>
          <w:rFonts w:cs="Arial"/>
          <w:color w:val="000000"/>
          <w:sz w:val="18"/>
          <w:szCs w:val="18"/>
        </w:rPr>
      </w:pPr>
      <w:r>
        <w:rPr>
          <w:color w:val="000000"/>
          <w:sz w:val="18"/>
          <w:szCs w:val="18"/>
        </w:rPr>
        <w:t>3 = kurz</w:t>
      </w:r>
    </w:p>
    <w:p w:rsidR="00757845" w:rsidRPr="00757845" w:rsidRDefault="00757845" w:rsidP="00757845">
      <w:pPr>
        <w:ind w:left="1134"/>
        <w:rPr>
          <w:rFonts w:cs="Arial"/>
          <w:color w:val="000000"/>
          <w:sz w:val="18"/>
          <w:szCs w:val="18"/>
        </w:rPr>
      </w:pPr>
      <w:r>
        <w:rPr>
          <w:color w:val="000000"/>
          <w:sz w:val="18"/>
          <w:szCs w:val="18"/>
        </w:rPr>
        <w:t>4 = kurz bis mittel</w:t>
      </w:r>
    </w:p>
    <w:p w:rsidR="00757845" w:rsidRPr="00757845" w:rsidRDefault="00757845" w:rsidP="00757845">
      <w:pPr>
        <w:ind w:left="1134"/>
        <w:rPr>
          <w:rFonts w:cs="Arial"/>
          <w:color w:val="000000"/>
          <w:sz w:val="18"/>
          <w:szCs w:val="18"/>
        </w:rPr>
      </w:pPr>
      <w:r>
        <w:rPr>
          <w:color w:val="000000"/>
          <w:sz w:val="18"/>
          <w:szCs w:val="18"/>
        </w:rPr>
        <w:t>5 = mittel</w:t>
      </w:r>
    </w:p>
    <w:p w:rsidR="00757845" w:rsidRPr="00757845" w:rsidRDefault="00757845" w:rsidP="00757845">
      <w:pPr>
        <w:ind w:left="1134"/>
        <w:rPr>
          <w:rFonts w:cs="Arial"/>
          <w:color w:val="000000"/>
          <w:sz w:val="18"/>
          <w:szCs w:val="18"/>
        </w:rPr>
      </w:pPr>
      <w:r>
        <w:rPr>
          <w:color w:val="000000"/>
          <w:sz w:val="18"/>
          <w:szCs w:val="18"/>
        </w:rPr>
        <w:t>6 = mittel bis lang</w:t>
      </w:r>
    </w:p>
    <w:p w:rsidR="00757845" w:rsidRPr="00757845" w:rsidRDefault="00757845" w:rsidP="00757845">
      <w:pPr>
        <w:ind w:left="1134"/>
        <w:rPr>
          <w:rFonts w:cs="Arial"/>
          <w:color w:val="000000"/>
          <w:sz w:val="18"/>
          <w:szCs w:val="18"/>
        </w:rPr>
      </w:pPr>
      <w:r>
        <w:rPr>
          <w:color w:val="000000"/>
          <w:sz w:val="18"/>
          <w:szCs w:val="18"/>
        </w:rPr>
        <w:t>7 = lang</w:t>
      </w:r>
    </w:p>
    <w:p w:rsidR="00757845" w:rsidRPr="00757845" w:rsidRDefault="00757845" w:rsidP="00757845">
      <w:pPr>
        <w:ind w:left="1134"/>
        <w:rPr>
          <w:rFonts w:cs="Arial"/>
          <w:color w:val="000000"/>
          <w:sz w:val="18"/>
          <w:szCs w:val="18"/>
        </w:rPr>
      </w:pPr>
      <w:r>
        <w:rPr>
          <w:color w:val="000000"/>
          <w:sz w:val="18"/>
          <w:szCs w:val="18"/>
        </w:rPr>
        <w:t>8 = lang bis sehr lang</w:t>
      </w:r>
    </w:p>
    <w:p w:rsidR="00757845" w:rsidRPr="00757845" w:rsidRDefault="00757845" w:rsidP="00757845">
      <w:pPr>
        <w:ind w:left="1134"/>
        <w:rPr>
          <w:rFonts w:cs="Arial"/>
          <w:color w:val="000000"/>
          <w:sz w:val="18"/>
          <w:szCs w:val="18"/>
        </w:rPr>
      </w:pPr>
      <w:r>
        <w:rPr>
          <w:color w:val="000000"/>
          <w:sz w:val="18"/>
          <w:szCs w:val="18"/>
        </w:rPr>
        <w:t>9 = sehr lang</w:t>
      </w:r>
    </w:p>
    <w:p w:rsidR="00757845" w:rsidRPr="00757845" w:rsidRDefault="00757845" w:rsidP="00757845">
      <w:pPr>
        <w:rPr>
          <w:rFonts w:cs="Arial"/>
          <w:color w:val="000000"/>
          <w:sz w:val="18"/>
          <w:szCs w:val="18"/>
        </w:rPr>
      </w:pPr>
    </w:p>
    <w:p w:rsidR="00757845" w:rsidRPr="00757845" w:rsidRDefault="00757845" w:rsidP="00757845">
      <w:pPr>
        <w:rPr>
          <w:rFonts w:cs="Arial"/>
          <w:sz w:val="18"/>
          <w:szCs w:val="18"/>
        </w:rPr>
      </w:pPr>
    </w:p>
    <w:p w:rsidR="00757845" w:rsidRPr="00757845" w:rsidRDefault="00757845" w:rsidP="00757845">
      <w:pPr>
        <w:rPr>
          <w:rFonts w:cs="Arial"/>
          <w:sz w:val="18"/>
          <w:szCs w:val="18"/>
        </w:rPr>
      </w:pPr>
    </w:p>
    <w:p w:rsidR="00757845" w:rsidRPr="00757845" w:rsidRDefault="00757845" w:rsidP="00757845">
      <w:pPr>
        <w:rPr>
          <w:rFonts w:cs="Arial"/>
          <w:snapToGrid w:val="0"/>
          <w:sz w:val="18"/>
          <w:szCs w:val="18"/>
        </w:rPr>
      </w:pPr>
    </w:p>
    <w:p w:rsidR="00757845" w:rsidRPr="00757845" w:rsidRDefault="00757845" w:rsidP="00757845">
      <w:pPr>
        <w:rPr>
          <w:rFonts w:cs="Arial"/>
          <w:snapToGrid w:val="0"/>
          <w:sz w:val="18"/>
          <w:szCs w:val="18"/>
        </w:rPr>
      </w:pPr>
    </w:p>
    <w:p w:rsidR="00757845" w:rsidRPr="00757845" w:rsidRDefault="00757845" w:rsidP="00757845">
      <w:pPr>
        <w:tabs>
          <w:tab w:val="left" w:pos="1134"/>
        </w:tabs>
        <w:rPr>
          <w:rFonts w:cs="Arial"/>
          <w:snapToGrid w:val="0"/>
          <w:sz w:val="18"/>
          <w:szCs w:val="18"/>
        </w:rPr>
      </w:pPr>
    </w:p>
    <w:p w:rsidR="00757845" w:rsidRPr="00757845" w:rsidRDefault="00757845" w:rsidP="00757845">
      <w:pPr>
        <w:tabs>
          <w:tab w:val="left" w:pos="1134"/>
        </w:tabs>
        <w:ind w:left="567" w:right="567"/>
        <w:rPr>
          <w:rFonts w:cs="Arial"/>
          <w:color w:val="000000"/>
          <w:sz w:val="18"/>
          <w:szCs w:val="18"/>
        </w:rPr>
      </w:pPr>
      <w:r>
        <w:rPr>
          <w:snapToGrid w:val="0"/>
          <w:sz w:val="18"/>
          <w:szCs w:val="18"/>
        </w:rPr>
        <w:t>1</w:t>
      </w:r>
      <w:r>
        <w:rPr>
          <w:sz w:val="18"/>
          <w:szCs w:val="18"/>
        </w:rPr>
        <w:t>.3.5.2.6</w:t>
      </w:r>
      <w:r>
        <w:rPr>
          <w:sz w:val="18"/>
          <w:szCs w:val="18"/>
        </w:rPr>
        <w:tab/>
        <w:t>Die Gewichtung zwischen einer Sorte ‚i‘ mit sehr kurzen Lieschen (Note 1) und einer Sorte ‚j‘ mit kurzen Lieschen (Note 3) ist 0</w:t>
      </w:r>
      <w:r w:rsidR="00D164AC">
        <w:rPr>
          <w:sz w:val="18"/>
          <w:szCs w:val="18"/>
        </w:rPr>
        <w:t xml:space="preserve">. Der Sachverständige betrachtet einen Unterschied von drei Noten als Mindestunterschied für die Erkennung eines Nicht-null-Abstands zwischen zwei Sorten. </w:t>
      </w:r>
      <w:r>
        <w:rPr>
          <w:sz w:val="18"/>
          <w:szCs w:val="18"/>
        </w:rPr>
        <w:t>Selbst wenn der Unterschied bei den Noten größer als 3 ist, behält der Sachverständige die Abstandsgewichtung bei 2, während bei sehr zuverlässigen Merkmalen einem Unterschied von 1 eine Gewichtung von 6 zugeordnet wird.“</w:t>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Dokument TG/1/3 „Allgemeine Einführung zur Prüfung auf Unterscheidbarkeit, Homogenität und Beständigkeit und zur Erarbeitung harmonisierter Beschreibungen von neuen Pflanzensorten“ enthält folgende Erläuterung zum allgemeinen Ansatz für die Prüfung der Unterscheidbarkeit anhand quantitativer Merkmale:</w:t>
      </w:r>
    </w:p>
    <w:p w:rsidR="00757845" w:rsidRPr="00757845" w:rsidRDefault="00757845" w:rsidP="00757845"/>
    <w:p w:rsidR="00757845" w:rsidRDefault="00757845" w:rsidP="00757845">
      <w:pPr>
        <w:ind w:left="567" w:right="567"/>
        <w:rPr>
          <w:sz w:val="18"/>
        </w:rPr>
      </w:pPr>
      <w:r>
        <w:rPr>
          <w:sz w:val="18"/>
        </w:rPr>
        <w:t>„5.4.3</w:t>
      </w:r>
      <w:r>
        <w:rPr>
          <w:sz w:val="18"/>
        </w:rPr>
        <w:tab/>
      </w:r>
      <w:r>
        <w:rPr>
          <w:sz w:val="18"/>
        </w:rPr>
        <w:tab/>
        <w:t>Für quantitative Merkmale stellt ein Unterschied von zwei Noten häufig einen deutlichen Unterschied dar, doch ist dies für die Prüfung der Unterscheidbarkeit keine absolute Norm. In Abhängigkeit von Faktoren wie Prüfungsort, Jahr, Umweltvariation oder Variationsbreite der Merkmalsausprägungen im Sortiment kann ein deutlicher Unterschied mehr oder weniger als zwei Noten betragen. Anleitung wird in Dokument TGP/9, „Prüfung der Unterscheidbarkeit“, gegeben.</w:t>
      </w:r>
      <w:r w:rsidR="00D164AC">
        <w:rPr>
          <w:sz w:val="18"/>
        </w:rPr>
        <w:t>“</w:t>
      </w:r>
    </w:p>
    <w:p w:rsidR="00944FCB" w:rsidRPr="00757845" w:rsidRDefault="00944FCB" w:rsidP="00757845">
      <w:pPr>
        <w:ind w:left="567" w:right="567"/>
        <w:rPr>
          <w:sz w:val="18"/>
        </w:rPr>
      </w:pPr>
    </w:p>
    <w:p w:rsidR="00944FCB" w:rsidRDefault="00757845" w:rsidP="00757845">
      <w:r w:rsidRPr="00757845">
        <w:fldChar w:fldCharType="begin"/>
      </w:r>
      <w:r w:rsidRPr="00757845">
        <w:instrText xml:space="preserve"> AUTONUM  </w:instrText>
      </w:r>
      <w:r w:rsidRPr="00757845">
        <w:fldChar w:fldCharType="end"/>
      </w:r>
      <w:r>
        <w:tab/>
        <w:t>Die folgenden Beispiele aus Dokument TGP/14 „Glossar der in UPOV-Dokumenten verwendeten Begriffe“ sollen veranschaulichen, wie der Ansatz für QN-Merkmale auf PQ-Merkmale anwendbar sein kann oder nicht:</w:t>
      </w:r>
      <w:r w:rsidR="006356AE">
        <w:t xml:space="preserve"> </w:t>
      </w:r>
    </w:p>
    <w:p w:rsidR="00944FCB" w:rsidRDefault="00944FCB" w:rsidP="00757845"/>
    <w:p w:rsidR="00944FCB" w:rsidRDefault="00944FCB" w:rsidP="00757845"/>
    <w:p w:rsidR="00944FCB" w:rsidRDefault="00944FCB" w:rsidP="00757845"/>
    <w:p w:rsidR="00757845" w:rsidRPr="00757845" w:rsidRDefault="00757845" w:rsidP="006356AE">
      <w:pPr>
        <w:jc w:val="left"/>
      </w:pPr>
      <w:r>
        <w:lastRenderedPageBreak/>
        <w:t>Beispiel 1: Die Regeln für QN-Merkmal</w:t>
      </w:r>
      <w:r w:rsidR="0011634F">
        <w:t>e gelten für die Formen, die entlang der gestrichelten Pfeile</w:t>
      </w:r>
      <w:r>
        <w:t xml:space="preserve"> aufgezeigt sind</w:t>
      </w:r>
    </w:p>
    <w:p w:rsidR="00757845" w:rsidRPr="00757845" w:rsidRDefault="00757845" w:rsidP="00757845"/>
    <w:p w:rsidR="00757845" w:rsidRPr="00757845" w:rsidRDefault="009A3ED7" w:rsidP="00757845">
      <w:pPr>
        <w:ind w:left="1843"/>
        <w:jc w:val="left"/>
        <w:rPr>
          <w:i/>
        </w:rPr>
      </w:pPr>
      <w:r>
        <w:rPr>
          <w:noProof/>
          <w:lang w:val="en-US"/>
        </w:rPr>
        <w:drawing>
          <wp:inline distT="0" distB="0" distL="0" distR="0" wp14:anchorId="75B8E7D6" wp14:editId="743C082E">
            <wp:extent cx="3954780" cy="387096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54780" cy="3870960"/>
                    </a:xfrm>
                    <a:prstGeom prst="rect">
                      <a:avLst/>
                    </a:prstGeom>
                  </pic:spPr>
                </pic:pic>
              </a:graphicData>
            </a:graphic>
          </wp:inline>
        </w:drawing>
      </w:r>
    </w:p>
    <w:p w:rsidR="00757845" w:rsidRPr="00757845" w:rsidRDefault="00757845" w:rsidP="00757845">
      <w:pPr>
        <w:ind w:left="1985"/>
        <w:jc w:val="left"/>
        <w:rPr>
          <w:i/>
        </w:rPr>
      </w:pPr>
    </w:p>
    <w:p w:rsidR="00E540C6" w:rsidRDefault="00E540C6" w:rsidP="00757845">
      <w:pPr>
        <w:ind w:left="1134" w:hanging="1134"/>
      </w:pPr>
    </w:p>
    <w:p w:rsidR="00757845" w:rsidRPr="00757845" w:rsidRDefault="00757845" w:rsidP="00757845">
      <w:pPr>
        <w:ind w:left="1134" w:hanging="1134"/>
      </w:pPr>
      <w:r>
        <w:t>Beispiel 2: Die Regeln für QN-Merkmale</w:t>
      </w:r>
      <w:r w:rsidR="0011634F">
        <w:t xml:space="preserve"> gelten für die Formen, die</w:t>
      </w:r>
      <w:r>
        <w:t xml:space="preserve"> </w:t>
      </w:r>
      <w:r w:rsidR="0011634F">
        <w:t>entlang der gestrichelten Pfeile</w:t>
      </w:r>
      <w:r>
        <w:t xml:space="preserve"> aufgezeigt sind </w:t>
      </w:r>
    </w:p>
    <w:p w:rsidR="00757845" w:rsidRPr="00757845" w:rsidRDefault="00757845" w:rsidP="00757845"/>
    <w:p w:rsidR="00757845" w:rsidRPr="00757845" w:rsidRDefault="009A3ED7" w:rsidP="00757845">
      <w:pPr>
        <w:ind w:left="2268"/>
      </w:pPr>
      <w:r>
        <w:rPr>
          <w:noProof/>
          <w:lang w:val="en-US"/>
        </w:rPr>
        <w:drawing>
          <wp:inline distT="0" distB="0" distL="0" distR="0" wp14:anchorId="2E9840EF" wp14:editId="6D0C04C7">
            <wp:extent cx="2613660" cy="39776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13660" cy="3977640"/>
                    </a:xfrm>
                    <a:prstGeom prst="rect">
                      <a:avLst/>
                    </a:prstGeom>
                  </pic:spPr>
                </pic:pic>
              </a:graphicData>
            </a:graphic>
          </wp:inline>
        </w:drawing>
      </w:r>
    </w:p>
    <w:p w:rsidR="00757845" w:rsidRDefault="00757845" w:rsidP="00757845"/>
    <w:p w:rsidR="00757845" w:rsidRPr="00757845" w:rsidRDefault="00757845" w:rsidP="00757845">
      <w:pPr>
        <w:ind w:left="1134" w:hanging="1134"/>
      </w:pPr>
      <w:r>
        <w:lastRenderedPageBreak/>
        <w:t xml:space="preserve">Beispiel 3: Die Regeln für QN-Merkmale gelten für die Formen, die </w:t>
      </w:r>
      <w:r w:rsidR="002B39F1">
        <w:t>entlang dem gestrichelten Pfeil</w:t>
      </w:r>
      <w:r>
        <w:t xml:space="preserve"> aufgezeigt sind, und </w:t>
      </w:r>
      <w:r>
        <w:rPr>
          <w:u w:val="single"/>
        </w:rPr>
        <w:t>gelten nicht</w:t>
      </w:r>
      <w:r>
        <w:t xml:space="preserve"> für die Formen, die</w:t>
      </w:r>
      <w:r w:rsidR="002B39F1">
        <w:t xml:space="preserve"> entlang</w:t>
      </w:r>
      <w:r>
        <w:t xml:space="preserve"> </w:t>
      </w:r>
      <w:r w:rsidR="002B39F1">
        <w:t>der durchgezogenen Linie</w:t>
      </w:r>
      <w:r>
        <w:t xml:space="preserve"> aufgezeigt sind</w:t>
      </w:r>
    </w:p>
    <w:p w:rsidR="00757845" w:rsidRPr="00757845" w:rsidRDefault="00757845" w:rsidP="00757845">
      <w:pPr>
        <w:ind w:left="1134" w:hanging="1134"/>
      </w:pPr>
    </w:p>
    <w:p w:rsidR="00757845" w:rsidRPr="00757845" w:rsidRDefault="009A3ED7" w:rsidP="00757845">
      <w:pPr>
        <w:ind w:left="1560"/>
      </w:pPr>
      <w:r>
        <w:rPr>
          <w:noProof/>
          <w:lang w:val="en-US"/>
        </w:rPr>
        <w:drawing>
          <wp:inline distT="0" distB="0" distL="0" distR="0" wp14:anchorId="323E1B40" wp14:editId="346E150B">
            <wp:extent cx="3535680" cy="3733800"/>
            <wp:effectExtent l="0" t="0" r="762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535680" cy="3733800"/>
                    </a:xfrm>
                    <a:prstGeom prst="rect">
                      <a:avLst/>
                    </a:prstGeom>
                  </pic:spPr>
                </pic:pic>
              </a:graphicData>
            </a:graphic>
          </wp:inline>
        </w:drawing>
      </w:r>
    </w:p>
    <w:p w:rsidR="00757845" w:rsidRPr="00757845" w:rsidRDefault="00757845" w:rsidP="00757845"/>
    <w:p w:rsidR="00757845" w:rsidRPr="00757845" w:rsidRDefault="00757845" w:rsidP="00757845">
      <w:r w:rsidRPr="00757845">
        <w:fldChar w:fldCharType="begin"/>
      </w:r>
      <w:r w:rsidRPr="00757845">
        <w:instrText xml:space="preserve"> AUTONUM  </w:instrText>
      </w:r>
      <w:r w:rsidRPr="00757845">
        <w:fldChar w:fldCharType="end"/>
      </w:r>
      <w:r>
        <w:tab/>
        <w:t>Die Anlage dieses Dokuments enthält einschlägige Auszüge aus den Dokumenten TG/1/3 „Allgemeine Einführung zur Prüfung auf Unterscheidbarkeit, Homogenität und Beständigkeit und zur Erarbeitung harmonisierter Beschreibungen von neuen Pflanzensorten“, TGP/9 „Prüfung der Unterscheidbarkeit“ und TGP/8 „Prüfungsanlage und Verfahren für die Prüfung von Unterscheidbarkeit, Homogenität und Beständigkeit“.</w:t>
      </w:r>
    </w:p>
    <w:p w:rsidR="00757845" w:rsidRDefault="00757845" w:rsidP="00757845"/>
    <w:p w:rsidR="00757845" w:rsidRDefault="00757845" w:rsidP="00757845">
      <w:pPr>
        <w:pStyle w:val="Heading1"/>
      </w:pPr>
      <w:bookmarkStart w:id="14" w:name="_Toc22464567"/>
      <w:r>
        <w:t>Prüfung durch die Technischen Arbeitsgruppen</w:t>
      </w:r>
      <w:bookmarkEnd w:id="14"/>
    </w:p>
    <w:p w:rsidR="00757845" w:rsidRDefault="00757845" w:rsidP="00757845"/>
    <w:p w:rsidR="00757845" w:rsidRDefault="00757845" w:rsidP="00757845">
      <w:r>
        <w:fldChar w:fldCharType="begin"/>
      </w:r>
      <w:r>
        <w:instrText xml:space="preserve"> AUTONUM  </w:instrText>
      </w:r>
      <w:r>
        <w:fldChar w:fldCharType="end"/>
      </w:r>
      <w:r>
        <w:tab/>
        <w:t>Die TWO, TWV, TWF und TWA prüften auf ihren Tagungen im Jahr 2019 Dokument TWP/3/13 „</w:t>
      </w:r>
      <w:proofErr w:type="spellStart"/>
      <w:r>
        <w:rPr>
          <w:i/>
          <w:iCs/>
        </w:rPr>
        <w:t>Differences</w:t>
      </w:r>
      <w:proofErr w:type="spellEnd"/>
      <w:r>
        <w:rPr>
          <w:i/>
          <w:iCs/>
        </w:rPr>
        <w:t xml:space="preserve"> in </w:t>
      </w:r>
      <w:proofErr w:type="spellStart"/>
      <w:r>
        <w:rPr>
          <w:i/>
          <w:iCs/>
        </w:rPr>
        <w:t>notes</w:t>
      </w:r>
      <w:proofErr w:type="spellEnd"/>
      <w:r>
        <w:rPr>
          <w:i/>
          <w:iCs/>
        </w:rPr>
        <w:t xml:space="preserve"> </w:t>
      </w:r>
      <w:proofErr w:type="spellStart"/>
      <w:r>
        <w:rPr>
          <w:i/>
          <w:iCs/>
        </w:rPr>
        <w:t>for</w:t>
      </w:r>
      <w:proofErr w:type="spellEnd"/>
      <w:r>
        <w:rPr>
          <w:i/>
          <w:iCs/>
        </w:rPr>
        <w:t xml:space="preserve"> the </w:t>
      </w:r>
      <w:proofErr w:type="spellStart"/>
      <w:r>
        <w:rPr>
          <w:i/>
          <w:iCs/>
        </w:rPr>
        <w:t>assessment</w:t>
      </w:r>
      <w:proofErr w:type="spellEnd"/>
      <w:r>
        <w:rPr>
          <w:i/>
          <w:iCs/>
        </w:rPr>
        <w:t xml:space="preserve"> </w:t>
      </w:r>
      <w:proofErr w:type="spellStart"/>
      <w:r>
        <w:rPr>
          <w:i/>
          <w:iCs/>
        </w:rPr>
        <w:t>of</w:t>
      </w:r>
      <w:proofErr w:type="spellEnd"/>
      <w:r>
        <w:rPr>
          <w:i/>
          <w:iCs/>
        </w:rPr>
        <w:t xml:space="preserve"> </w:t>
      </w:r>
      <w:proofErr w:type="spellStart"/>
      <w:r>
        <w:rPr>
          <w:i/>
          <w:iCs/>
        </w:rPr>
        <w:t>distinctness</w:t>
      </w:r>
      <w:proofErr w:type="spellEnd"/>
      <w:r>
        <w:t>” (vergleiche Dokumente TWO/51/12 „</w:t>
      </w:r>
      <w:r>
        <w:rPr>
          <w:i/>
          <w:iCs/>
        </w:rPr>
        <w:t>Report</w:t>
      </w:r>
      <w:r>
        <w:t>“, Absätze 80 bis 82, TWF/50/13 „</w:t>
      </w:r>
      <w:r>
        <w:rPr>
          <w:i/>
          <w:iCs/>
        </w:rPr>
        <w:t>Report</w:t>
      </w:r>
      <w:r>
        <w:t>”, Absätze 127 bis 129, TWV/53/14 „</w:t>
      </w:r>
      <w:r>
        <w:rPr>
          <w:i/>
          <w:iCs/>
        </w:rPr>
        <w:t>Report</w:t>
      </w:r>
      <w:r>
        <w:t>”, Absätze 79 bis 82 und TWA/48/9 „</w:t>
      </w:r>
      <w:r>
        <w:rPr>
          <w:i/>
          <w:iCs/>
        </w:rPr>
        <w:t>Report</w:t>
      </w:r>
      <w:r>
        <w:t>”, Absätze 83 bis 86).</w:t>
      </w:r>
    </w:p>
    <w:p w:rsidR="00757845" w:rsidRDefault="00757845" w:rsidP="00757845"/>
    <w:p w:rsidR="00EB3B57" w:rsidRDefault="00EB3B57" w:rsidP="00757845">
      <w:r>
        <w:fldChar w:fldCharType="begin"/>
      </w:r>
      <w:r>
        <w:instrText xml:space="preserve"> AUTONUM  </w:instrText>
      </w:r>
      <w:r>
        <w:fldChar w:fldCharType="end"/>
      </w:r>
      <w:r>
        <w:tab/>
        <w:t xml:space="preserve">Die TWP nahmen die bestehende Anleitung in der Allgemeinen Einführung und in den Dokumenten TGP/8, TGP/9 und TGP/14 über Unterschiede bei den Noten für die Prüfung der Unterscheidbarkeit zur Kenntnis. </w:t>
      </w:r>
    </w:p>
    <w:p w:rsidR="00EB3B57" w:rsidRDefault="00EB3B57" w:rsidP="00757845"/>
    <w:p w:rsidR="00EB3B57" w:rsidRDefault="00EB3B57" w:rsidP="00757845">
      <w:r>
        <w:fldChar w:fldCharType="begin"/>
      </w:r>
      <w:r>
        <w:instrText xml:space="preserve"> AUTONUM  </w:instrText>
      </w:r>
      <w:r>
        <w:fldChar w:fldCharType="end"/>
      </w:r>
      <w:r w:rsidR="00FA5EFC">
        <w:tab/>
        <w:t>Die</w:t>
      </w:r>
      <w:r>
        <w:t xml:space="preserve"> TWO und die TWV nahmen die in Dokument TWP/3/13 enthaltene Klarstellung dazu, wie der Ansatz für QN-Merkmale auf bestimmte Ausprägungsstufen bei einigen PQ-Merkmalen anwendbar sein könnte, zur Kenntnis.</w:t>
      </w:r>
    </w:p>
    <w:p w:rsidR="00EB3B57" w:rsidRDefault="00EB3B57" w:rsidP="00757845"/>
    <w:p w:rsidR="00757845" w:rsidRDefault="00EB3B57" w:rsidP="00757845">
      <w:r>
        <w:fldChar w:fldCharType="begin"/>
      </w:r>
      <w:r>
        <w:instrText xml:space="preserve"> AUTONUM  </w:instrText>
      </w:r>
      <w:r>
        <w:fldChar w:fldCharType="end"/>
      </w:r>
      <w:r>
        <w:tab/>
        <w:t>Die TWF stimmte der Klarstellung in Dokument TWP/</w:t>
      </w:r>
      <w:r w:rsidR="00FA5EFC">
        <w:t>3/13, Absätze 10 bis 13, wie</w:t>
      </w:r>
      <w:r>
        <w:t xml:space="preserve"> in den Absätzen 9 bis 12 dieses Dokuments wiedergegeben, zu.</w:t>
      </w:r>
    </w:p>
    <w:p w:rsidR="00EB3B57" w:rsidRDefault="00EB3B57" w:rsidP="00757845"/>
    <w:p w:rsidR="00E540C6" w:rsidRDefault="00EB3B57" w:rsidP="00A6174F">
      <w:r>
        <w:fldChar w:fldCharType="begin"/>
      </w:r>
      <w:r>
        <w:instrText xml:space="preserve"> AUTONUM  </w:instrText>
      </w:r>
      <w:r>
        <w:fldChar w:fldCharType="end"/>
      </w:r>
      <w:r w:rsidR="007D06DC">
        <w:tab/>
        <w:t>Die TWA merkte an</w:t>
      </w:r>
      <w:r>
        <w:t xml:space="preserve">, </w:t>
      </w:r>
      <w:proofErr w:type="spellStart"/>
      <w:r>
        <w:t>daß</w:t>
      </w:r>
      <w:proofErr w:type="spellEnd"/>
      <w:r>
        <w:t xml:space="preserve"> die GAIA-Methode ein Instrument für die Vorauswahl sei und nicht zum Vergleich von Daten in der Anbauprüfung verwendet werde, und vereinbarte, </w:t>
      </w:r>
      <w:proofErr w:type="spellStart"/>
      <w:r>
        <w:t>daß</w:t>
      </w:r>
      <w:proofErr w:type="spellEnd"/>
      <w:r>
        <w:t xml:space="preserve"> Erklärungen für bestimmte Form- und Farbmerkmale in Form einer Matrix dargelegt werden können, die angibt, welche Ausprägungsstufe als unterschiedlich voneinander angesehen werden kann.</w:t>
      </w:r>
    </w:p>
    <w:p w:rsidR="00FA6C57" w:rsidRDefault="00FA6C57" w:rsidP="00A6174F"/>
    <w:p w:rsidR="00FA6C57" w:rsidRDefault="00FA6C57" w:rsidP="00A6174F"/>
    <w:p w:rsidR="00FA6C57" w:rsidRPr="00757845" w:rsidRDefault="00FA6C57" w:rsidP="00A6174F"/>
    <w:p w:rsidR="00757845" w:rsidRPr="00757845" w:rsidRDefault="00757845" w:rsidP="00757845">
      <w:pPr>
        <w:jc w:val="right"/>
      </w:pPr>
      <w:r>
        <w:t xml:space="preserve"> [Anlagen folgen] </w:t>
      </w:r>
    </w:p>
    <w:p w:rsidR="00757845" w:rsidRPr="00757845" w:rsidRDefault="00757845" w:rsidP="00757845">
      <w:pPr>
        <w:jc w:val="left"/>
        <w:sectPr w:rsidR="00757845" w:rsidRPr="00757845" w:rsidSect="00906DDC">
          <w:headerReference w:type="default" r:id="rId11"/>
          <w:pgSz w:w="11907" w:h="16840" w:code="9"/>
          <w:pgMar w:top="510" w:right="1134" w:bottom="1134" w:left="1134" w:header="510" w:footer="680" w:gutter="0"/>
          <w:cols w:space="720"/>
          <w:titlePg/>
        </w:sectPr>
      </w:pPr>
    </w:p>
    <w:p w:rsidR="00757845" w:rsidRPr="00757845" w:rsidRDefault="00757845" w:rsidP="00757845">
      <w:pPr>
        <w:jc w:val="center"/>
      </w:pPr>
      <w:r>
        <w:lastRenderedPageBreak/>
        <w:t>AUSZUG AUS DOKUMENT TG/1/3 „ALLGEMEINE EINFÜHRUNG ZUR PRÜFUNG AUF UNTERSCHEIDBARKEIT, HOMOGENITÄT UND BESTÄNDIGKEIT UND ZUR ERARBEITUNG HARMONISIERTER BESCHREIBUNGEN VON NEUEN PFLANZENSORTEN“</w:t>
      </w:r>
    </w:p>
    <w:p w:rsidR="00757845" w:rsidRPr="00757845" w:rsidRDefault="00757845" w:rsidP="00757845">
      <w:pPr>
        <w:jc w:val="left"/>
      </w:pPr>
    </w:p>
    <w:p w:rsidR="00757845" w:rsidRPr="00757845" w:rsidRDefault="00757845" w:rsidP="00757845">
      <w:bookmarkStart w:id="15" w:name="_Toc498319766"/>
      <w:bookmarkStart w:id="16" w:name="_Toc498511316"/>
      <w:bookmarkStart w:id="17" w:name="_Toc7923349"/>
      <w:bookmarkStart w:id="18" w:name="_Toc7923353"/>
      <w:r>
        <w:t xml:space="preserve">KAPITEL </w:t>
      </w:r>
      <w:proofErr w:type="gramStart"/>
      <w:r>
        <w:t>4  –</w:t>
      </w:r>
      <w:proofErr w:type="gramEnd"/>
      <w:r>
        <w:t xml:space="preserve"> BEI DER DUS-PRÜFUNG</w:t>
      </w:r>
      <w:r>
        <w:cr/>
      </w:r>
      <w:r>
        <w:br/>
        <w:t>VERWENDETE MERKMALE</w:t>
      </w:r>
      <w:bookmarkEnd w:id="15"/>
      <w:bookmarkEnd w:id="16"/>
      <w:bookmarkEnd w:id="17"/>
    </w:p>
    <w:p w:rsidR="00757845" w:rsidRPr="00757845" w:rsidRDefault="00757845" w:rsidP="00757845"/>
    <w:p w:rsidR="00757845" w:rsidRPr="00757845" w:rsidRDefault="00757845" w:rsidP="00757845">
      <w:r>
        <w:t>4.4</w:t>
      </w:r>
      <w:r>
        <w:tab/>
        <w:t>Ausprägungstypen von Merkmalen</w:t>
      </w:r>
      <w:bookmarkEnd w:id="18"/>
    </w:p>
    <w:p w:rsidR="00757845" w:rsidRPr="00757845" w:rsidRDefault="00757845" w:rsidP="00757845"/>
    <w:p w:rsidR="00757845" w:rsidRPr="00757845" w:rsidRDefault="00757845" w:rsidP="00757845">
      <w:bookmarkStart w:id="19" w:name="_Toc498319770"/>
      <w:bookmarkStart w:id="20" w:name="_Toc7923354"/>
      <w:r>
        <w:t>4.4.1</w:t>
      </w:r>
      <w:r>
        <w:tab/>
        <w:t>Qualitative Merkmale</w:t>
      </w:r>
      <w:bookmarkEnd w:id="19"/>
      <w:bookmarkEnd w:id="20"/>
    </w:p>
    <w:p w:rsidR="00757845" w:rsidRPr="00757845" w:rsidRDefault="00757845" w:rsidP="00757845"/>
    <w:p w:rsidR="00757845" w:rsidRPr="00757845" w:rsidRDefault="00757845" w:rsidP="00757845">
      <w:r>
        <w:tab/>
        <w:t>„Qualitative Merkmale“ sind Merkmale, die sich in diskontinuierlichen Stufen ausprägen (z. B. Pflanze: Geschlecht:  zweihäusig weiblich (1), zweihäusig männlich (2), einhäusig eingeschlechtlich (3), einhäusig zwittrig (4))</w:t>
      </w:r>
      <w:r w:rsidR="00D164AC">
        <w:t xml:space="preserve">. </w:t>
      </w:r>
      <w:r>
        <w:t>Diese Stufen erklären sich selbst und sind unabhängig voneinander aussagekräftig</w:t>
      </w:r>
      <w:r w:rsidR="00D164AC">
        <w:t xml:space="preserve">. </w:t>
      </w:r>
      <w:r>
        <w:t>Alle Stufen sind für die Beschreibung der vollständigen Variationsbreite des Merkmals notwendig, und jede Ausprägung kann durch eine einzige Stufe beschrieben werden</w:t>
      </w:r>
      <w:r w:rsidR="00D164AC">
        <w:t xml:space="preserve">. </w:t>
      </w:r>
      <w:r>
        <w:t>Die Reihenfolge der Stufen ist unbedeutend</w:t>
      </w:r>
      <w:r w:rsidR="00D164AC">
        <w:t xml:space="preserve">. </w:t>
      </w:r>
      <w:r>
        <w:t xml:space="preserve">In der Regel werden die Merkmale nicht durch die Umwelt </w:t>
      </w:r>
      <w:proofErr w:type="spellStart"/>
      <w:r>
        <w:t>beeinflußt</w:t>
      </w:r>
      <w:proofErr w:type="spellEnd"/>
      <w:r>
        <w:t>.</w:t>
      </w:r>
    </w:p>
    <w:p w:rsidR="00757845" w:rsidRPr="00757845" w:rsidRDefault="00757845" w:rsidP="00757845"/>
    <w:p w:rsidR="00757845" w:rsidRPr="00757845" w:rsidRDefault="00757845" w:rsidP="00757845">
      <w:bookmarkStart w:id="21" w:name="_Toc498319771"/>
      <w:bookmarkStart w:id="22" w:name="_Toc7923355"/>
      <w:r>
        <w:t>4.4.2</w:t>
      </w:r>
      <w:r>
        <w:tab/>
        <w:t>Quantitative Merkmale</w:t>
      </w:r>
      <w:bookmarkEnd w:id="21"/>
      <w:bookmarkEnd w:id="22"/>
    </w:p>
    <w:p w:rsidR="00757845" w:rsidRPr="00757845" w:rsidRDefault="00757845" w:rsidP="00757845"/>
    <w:p w:rsidR="00757845" w:rsidRPr="00757845" w:rsidRDefault="00757845" w:rsidP="00757845">
      <w:r>
        <w:tab/>
        <w:t>„Quantitative Merkmale“ sind Merkmale, deren Ausprägungen die gesamte Variationsbreite von einem Extrem zum anderen zeigen</w:t>
      </w:r>
      <w:r w:rsidR="00D164AC">
        <w:t xml:space="preserve">. Ihre Ausprägungen können auf einer eindimensionalen, kontinuierlichen oder diskreten, linearen Skala gemessen werden. </w:t>
      </w:r>
      <w:r>
        <w:t>Die Variationsbreite der Ausprägung wird zum Zwecke der Beschreibung in eine Anzahl Ausprägungsstufen eingeteilt (z. B. Länge des Stiels: sehr kurz (1), kurz (3), mittel (5), lang (7), sehr lang (9))</w:t>
      </w:r>
      <w:r w:rsidR="00D164AC">
        <w:t xml:space="preserve">. </w:t>
      </w:r>
      <w:r>
        <w:t>Die Aufteilung erfolgt, soweit möglich, gleichmäßig über die Variationsbreite</w:t>
      </w:r>
      <w:r w:rsidR="00D164AC">
        <w:t xml:space="preserve">. </w:t>
      </w:r>
      <w:r>
        <w:t>Die Prüfungsrichtlinien geben den für die Unterscheidbarkeit erforderlichen Unterschied nicht an</w:t>
      </w:r>
      <w:r w:rsidR="00D164AC">
        <w:t xml:space="preserve">. </w:t>
      </w:r>
      <w:r>
        <w:t>Die Ausprägungsstufen sollten jedoch für die DUS-Prüfung sinnvoll sein.</w:t>
      </w:r>
    </w:p>
    <w:p w:rsidR="00757845" w:rsidRPr="00757845" w:rsidRDefault="00757845" w:rsidP="00757845"/>
    <w:p w:rsidR="00757845" w:rsidRPr="00757845" w:rsidRDefault="00FA5EFC" w:rsidP="00757845">
      <w:bookmarkStart w:id="23" w:name="_Toc498319772"/>
      <w:bookmarkStart w:id="24" w:name="_Toc7923356"/>
      <w:r>
        <w:t>4.4.3</w:t>
      </w:r>
      <w:r>
        <w:tab/>
      </w:r>
      <w:r w:rsidR="00757845">
        <w:t>Pseudoqualitative Merkmale</w:t>
      </w:r>
      <w:bookmarkEnd w:id="23"/>
      <w:bookmarkEnd w:id="24"/>
    </w:p>
    <w:p w:rsidR="00757845" w:rsidRPr="00757845" w:rsidRDefault="00757845" w:rsidP="00757845"/>
    <w:p w:rsidR="00757845" w:rsidRPr="00757845" w:rsidRDefault="00757845" w:rsidP="00757845">
      <w:r>
        <w:tab/>
      </w:r>
      <w:r w:rsidR="00D164AC">
        <w:t xml:space="preserve">Bei „pseudoqualitativen Merkmalen“ variiert die Ausprägung mindestens teilweise kontinuierlich, sie variiert jedoch in mehr als einer Dimension (z. B. Form:  eiförmig (1), elliptisch (2), rund (3), verkehrt eiförmig (4)) und kann durch die bloße Festlegung zweier Enden eines linearen Bereiches nicht angemessen beschrieben werden. </w:t>
      </w:r>
      <w:r>
        <w:t xml:space="preserve">Ähnlich wie bei qualitativen (diskontinuierlichen) Merkmalen – deshalb der Begriff „pseudoqualitative Merkmale“ – </w:t>
      </w:r>
      <w:proofErr w:type="spellStart"/>
      <w:r>
        <w:t>muß</w:t>
      </w:r>
      <w:proofErr w:type="spellEnd"/>
      <w:r>
        <w:t xml:space="preserve"> jede einzelne Ausprägungsstufe ausgewiesen werden, um die Variation des Merkmals angemessen zu beschreiben. </w:t>
      </w:r>
    </w:p>
    <w:p w:rsidR="00757845" w:rsidRPr="00757845" w:rsidRDefault="00757845" w:rsidP="00757845">
      <w:pPr>
        <w:jc w:val="left"/>
        <w:rPr>
          <w:rFonts w:cs="Arial"/>
        </w:rPr>
      </w:pPr>
    </w:p>
    <w:p w:rsidR="00757845" w:rsidRPr="00757845" w:rsidRDefault="00757845" w:rsidP="00757845">
      <w:pPr>
        <w:rPr>
          <w:rFonts w:cs="Arial"/>
        </w:rPr>
      </w:pPr>
      <w:bookmarkStart w:id="25" w:name="_Toc498319782"/>
      <w:bookmarkStart w:id="26" w:name="_Toc498511334"/>
      <w:bookmarkStart w:id="27" w:name="_Toc7923366"/>
      <w:r>
        <w:t>KAPITEL 5 – PRÜFUNG DER UNTERSCHEIDBARKEIT</w:t>
      </w:r>
      <w:bookmarkEnd w:id="25"/>
      <w:bookmarkEnd w:id="26"/>
      <w:bookmarkEnd w:id="27"/>
    </w:p>
    <w:p w:rsidR="00757845" w:rsidRPr="00757845" w:rsidRDefault="00757845" w:rsidP="00757845">
      <w:pPr>
        <w:jc w:val="left"/>
        <w:rPr>
          <w:rFonts w:cs="Arial"/>
        </w:rPr>
      </w:pPr>
    </w:p>
    <w:p w:rsidR="00757845" w:rsidRPr="00757845" w:rsidRDefault="00757845" w:rsidP="00757845">
      <w:pPr>
        <w:rPr>
          <w:rFonts w:cs="Arial"/>
        </w:rPr>
      </w:pPr>
      <w:bookmarkStart w:id="28" w:name="_Toc498511337"/>
      <w:bookmarkStart w:id="29" w:name="_Toc7923371"/>
      <w:r>
        <w:t>5.3</w:t>
      </w:r>
      <w:r>
        <w:tab/>
        <w:t>Deutliche Unterscheidung einer neuen Sorte</w:t>
      </w:r>
      <w:bookmarkEnd w:id="28"/>
      <w:bookmarkEnd w:id="29"/>
    </w:p>
    <w:p w:rsidR="00757845" w:rsidRPr="00757845" w:rsidRDefault="00757845" w:rsidP="00757845">
      <w:pPr>
        <w:rPr>
          <w:rFonts w:cs="Arial"/>
        </w:rPr>
      </w:pPr>
    </w:p>
    <w:p w:rsidR="00757845" w:rsidRPr="00757845" w:rsidRDefault="00757845" w:rsidP="00757845">
      <w:pPr>
        <w:rPr>
          <w:rFonts w:cs="Arial"/>
        </w:rPr>
      </w:pPr>
      <w:bookmarkStart w:id="30" w:name="_Toc498319788"/>
      <w:bookmarkStart w:id="31" w:name="_Toc498511340"/>
      <w:bookmarkStart w:id="32" w:name="_Toc7923374"/>
      <w:r>
        <w:t>5.3.3</w:t>
      </w:r>
      <w:r>
        <w:tab/>
      </w:r>
      <w:bookmarkEnd w:id="30"/>
      <w:r>
        <w:t>Die Kriterien für die Unterscheidbarkeit unter Verwendung von Merkmalen</w:t>
      </w:r>
      <w:bookmarkEnd w:id="31"/>
      <w:bookmarkEnd w:id="32"/>
    </w:p>
    <w:p w:rsidR="00757845" w:rsidRPr="00757845" w:rsidRDefault="00757845" w:rsidP="00757845">
      <w:pPr>
        <w:rPr>
          <w:rFonts w:cs="Arial"/>
        </w:rPr>
      </w:pPr>
      <w:bookmarkStart w:id="33" w:name="_Toc7923376"/>
    </w:p>
    <w:p w:rsidR="00757845" w:rsidRPr="00757845" w:rsidRDefault="00757845" w:rsidP="00757845">
      <w:pPr>
        <w:rPr>
          <w:rFonts w:cs="Arial"/>
        </w:rPr>
      </w:pPr>
      <w:r>
        <w:t>5.3.3.2</w:t>
      </w:r>
      <w:r>
        <w:tab/>
        <w:t>Deutliche Unterschiede</w:t>
      </w:r>
      <w:bookmarkEnd w:id="33"/>
    </w:p>
    <w:p w:rsidR="00757845" w:rsidRPr="00757845" w:rsidRDefault="00757845" w:rsidP="00757845">
      <w:pPr>
        <w:rPr>
          <w:rFonts w:cs="Arial"/>
        </w:rPr>
      </w:pPr>
      <w:r>
        <w:t>[…]</w:t>
      </w:r>
    </w:p>
    <w:p w:rsidR="00757845" w:rsidRPr="00757845" w:rsidRDefault="00757845" w:rsidP="00757845">
      <w:pPr>
        <w:rPr>
          <w:rFonts w:cs="Arial"/>
        </w:rPr>
      </w:pPr>
      <w:bookmarkStart w:id="34" w:name="_Toc498319790"/>
      <w:bookmarkStart w:id="35" w:name="_Toc7923378"/>
      <w:r>
        <w:t>5.3.3.2.2</w:t>
      </w:r>
      <w:r>
        <w:tab/>
        <w:t>Quantitative Merkmal</w:t>
      </w:r>
      <w:bookmarkEnd w:id="34"/>
      <w:r>
        <w:t>e</w:t>
      </w:r>
      <w:bookmarkEnd w:id="35"/>
    </w:p>
    <w:p w:rsidR="00757845" w:rsidRPr="00757845" w:rsidRDefault="00757845" w:rsidP="00757845">
      <w:pPr>
        <w:rPr>
          <w:rFonts w:cs="Arial"/>
        </w:rPr>
      </w:pPr>
    </w:p>
    <w:p w:rsidR="00757845" w:rsidRPr="00757845" w:rsidRDefault="00757845" w:rsidP="00757845">
      <w:pPr>
        <w:tabs>
          <w:tab w:val="left" w:pos="567"/>
          <w:tab w:val="left" w:pos="1843"/>
        </w:tabs>
        <w:rPr>
          <w:rFonts w:cs="Arial"/>
        </w:rPr>
      </w:pPr>
      <w:r>
        <w:tab/>
        <w:t>Quantitative Merkmale werden für die Unterscheidbarkeit entsprechend den Erfassungsmethoden und den Besonderheiten der Vermehrung der betreffenden Sorte betrachtet</w:t>
      </w:r>
      <w:r w:rsidR="00D164AC">
        <w:t xml:space="preserve">. </w:t>
      </w:r>
      <w:r>
        <w:t>Auf die verschiedenen Vorgehensweisen wird später in diesem Kapitel eingegangen.</w:t>
      </w:r>
    </w:p>
    <w:p w:rsidR="00757845" w:rsidRPr="00757845" w:rsidRDefault="00757845" w:rsidP="00757845">
      <w:pPr>
        <w:rPr>
          <w:rFonts w:cs="Arial"/>
        </w:rPr>
      </w:pPr>
    </w:p>
    <w:p w:rsidR="00757845" w:rsidRPr="00757845" w:rsidRDefault="00D164AC" w:rsidP="00757845">
      <w:pPr>
        <w:rPr>
          <w:rFonts w:cs="Arial"/>
        </w:rPr>
      </w:pPr>
      <w:bookmarkStart w:id="36" w:name="_Toc498319791"/>
      <w:bookmarkStart w:id="37" w:name="_Toc7923379"/>
      <w:r>
        <w:t>5.3.3.2.3</w:t>
      </w:r>
      <w:r>
        <w:tab/>
        <w:t>Pseudoqualitative Merkmale</w:t>
      </w:r>
      <w:bookmarkEnd w:id="36"/>
      <w:bookmarkEnd w:id="37"/>
    </w:p>
    <w:p w:rsidR="00757845" w:rsidRPr="00757845" w:rsidRDefault="00757845" w:rsidP="00757845">
      <w:pPr>
        <w:rPr>
          <w:rFonts w:cs="Arial"/>
        </w:rPr>
      </w:pPr>
    </w:p>
    <w:p w:rsidR="00757845" w:rsidRPr="00757845" w:rsidRDefault="00757845" w:rsidP="00757845">
      <w:pPr>
        <w:tabs>
          <w:tab w:val="left" w:pos="567"/>
          <w:tab w:val="left" w:pos="1843"/>
        </w:tabs>
        <w:rPr>
          <w:rFonts w:cs="Arial"/>
        </w:rPr>
      </w:pPr>
      <w:r>
        <w:tab/>
        <w:t>Verschiedene Ausprägungsstufen in den Prüfungsrichtlinien reichen möglicherweise nicht aus, um die Unterscheidbarkeit zu begründen (siehe auch Abschnitt 5.5.2.3)</w:t>
      </w:r>
      <w:r w:rsidR="00D164AC">
        <w:t xml:space="preserve">. </w:t>
      </w:r>
      <w:r>
        <w:t>Unter bestimmten Umständen können Sorten, die durch dieselbe Ausprägungsstufe beschrieben werden, jedoch deutlich unterscheidbar sein.</w:t>
      </w:r>
    </w:p>
    <w:p w:rsidR="00757845" w:rsidRPr="00757845" w:rsidRDefault="00757845" w:rsidP="00757845">
      <w:pPr>
        <w:tabs>
          <w:tab w:val="left" w:pos="993"/>
          <w:tab w:val="left" w:pos="1843"/>
        </w:tabs>
        <w:rPr>
          <w:rFonts w:cs="Arial"/>
        </w:rPr>
      </w:pPr>
      <w:r>
        <w:t>[…]</w:t>
      </w:r>
    </w:p>
    <w:p w:rsidR="00757845" w:rsidRPr="00757845" w:rsidRDefault="00757845" w:rsidP="00757845">
      <w:bookmarkStart w:id="38" w:name="_Toc498319793"/>
      <w:bookmarkStart w:id="39" w:name="_Toc498511341"/>
      <w:bookmarkStart w:id="40" w:name="_Toc7923382"/>
      <w:r>
        <w:t>5.4</w:t>
      </w:r>
      <w:r>
        <w:tab/>
        <w:t>Auswertung der Erfassungen für die Prüfung der Unterscheidbarkeit ohne Anwendung statistischer Methoden</w:t>
      </w:r>
      <w:bookmarkEnd w:id="38"/>
      <w:bookmarkEnd w:id="39"/>
      <w:bookmarkEnd w:id="40"/>
    </w:p>
    <w:p w:rsidR="00757845" w:rsidRPr="00757845" w:rsidRDefault="00757845" w:rsidP="00757845">
      <w:r>
        <w:t>[…]</w:t>
      </w:r>
    </w:p>
    <w:p w:rsidR="00757845" w:rsidRPr="00757845" w:rsidRDefault="00757845" w:rsidP="00757845">
      <w:r>
        <w:lastRenderedPageBreak/>
        <w:t>5.4.3</w:t>
      </w:r>
      <w:r>
        <w:tab/>
      </w:r>
      <w:r>
        <w:tab/>
        <w:t>Für quantitative Merkmale stellt ein Unterschied von zwei Noten häufig einen deutlichen Unterschied dar, doch ist dies für die Prüfung der Unterscheidbarkeit keine absolute Norm</w:t>
      </w:r>
      <w:r w:rsidR="00D164AC">
        <w:t xml:space="preserve">. </w:t>
      </w:r>
      <w:r>
        <w:t>In Abhängigkeit von Faktoren wie Prüfungsort, Jahr, Umweltvariation oder Variationsbreite der Merkmalsausprägungen im Sortiment kann ein deutlicher Unterschied mehr oder weniger als zwei Noten betragen</w:t>
      </w:r>
      <w:r w:rsidR="00D164AC">
        <w:t xml:space="preserve">. </w:t>
      </w:r>
      <w:r>
        <w:t>Anleitung wird in Dokument TGP/9, „Prüfung der Unterscheidbarkeit“, gegeben.</w:t>
      </w:r>
    </w:p>
    <w:p w:rsidR="00E540C6" w:rsidRPr="00757845" w:rsidRDefault="00E540C6" w:rsidP="00757845"/>
    <w:p w:rsidR="00757845" w:rsidRPr="00757845" w:rsidRDefault="00757845" w:rsidP="00757845">
      <w:pPr>
        <w:jc w:val="right"/>
        <w:sectPr w:rsidR="00757845" w:rsidRPr="00757845" w:rsidSect="00757845">
          <w:headerReference w:type="default" r:id="rId12"/>
          <w:headerReference w:type="first" r:id="rId13"/>
          <w:pgSz w:w="11907" w:h="16840" w:code="9"/>
          <w:pgMar w:top="510" w:right="1134" w:bottom="1134" w:left="1134" w:header="510" w:footer="680" w:gutter="0"/>
          <w:pgNumType w:start="1"/>
          <w:cols w:space="720"/>
          <w:titlePg/>
        </w:sectPr>
      </w:pPr>
      <w:r>
        <w:t>[Anlage II folgt]</w:t>
      </w:r>
    </w:p>
    <w:p w:rsidR="00757845" w:rsidRPr="00757845" w:rsidRDefault="00757845" w:rsidP="00757845">
      <w:pPr>
        <w:jc w:val="center"/>
        <w:rPr>
          <w:rFonts w:cs="Arial"/>
        </w:rPr>
      </w:pPr>
      <w:r>
        <w:lastRenderedPageBreak/>
        <w:t>AUSZUG AUS DOKUMENT TGP/8/3 „PRÜFUNGSANLAGE UND VERFAHREN FÜR DIE PRÜFUNG DER UNTERSCHEIDBARKEIT, DER HOMOGENITÄT UND DER BESTÄNDIGKEIT“</w:t>
      </w:r>
    </w:p>
    <w:p w:rsidR="00757845" w:rsidRPr="00757845" w:rsidRDefault="00757845" w:rsidP="00757845">
      <w:pPr>
        <w:rPr>
          <w:rFonts w:cs="Arial"/>
        </w:rPr>
      </w:pPr>
    </w:p>
    <w:p w:rsidR="00757845" w:rsidRPr="00757845" w:rsidRDefault="00757845" w:rsidP="00757845">
      <w:pPr>
        <w:rPr>
          <w:caps/>
        </w:rPr>
      </w:pPr>
      <w:bookmarkStart w:id="41" w:name="_Toc463359561"/>
      <w:bookmarkStart w:id="42" w:name="_Toc129786405"/>
      <w:bookmarkStart w:id="43" w:name="_Toc154368894"/>
      <w:bookmarkStart w:id="44" w:name="_Toc219640759"/>
      <w:r>
        <w:rPr>
          <w:caps/>
        </w:rPr>
        <w:t>TEIL II:  AUSGEWÄHLTE VERFAHREN FÜR DIE DUS-PRÜFUNG</w:t>
      </w:r>
      <w:bookmarkEnd w:id="41"/>
    </w:p>
    <w:p w:rsidR="00757845" w:rsidRPr="00757845" w:rsidRDefault="00757845" w:rsidP="00757845">
      <w:pPr>
        <w:rPr>
          <w:caps/>
        </w:rPr>
      </w:pPr>
    </w:p>
    <w:p w:rsidR="00757845" w:rsidRPr="00757845" w:rsidRDefault="00757845" w:rsidP="00757845">
      <w:bookmarkStart w:id="45" w:name="_Toc463359562"/>
      <w:r>
        <w:t>1.</w:t>
      </w:r>
      <w:r>
        <w:tab/>
        <w:t>DIE GAIA-METHODIK</w:t>
      </w:r>
      <w:bookmarkEnd w:id="42"/>
      <w:bookmarkEnd w:id="43"/>
      <w:bookmarkEnd w:id="44"/>
      <w:bookmarkEnd w:id="45"/>
    </w:p>
    <w:p w:rsidR="00757845" w:rsidRPr="00757845" w:rsidRDefault="00757845" w:rsidP="00757845"/>
    <w:p w:rsidR="00757845" w:rsidRPr="00757845" w:rsidRDefault="00757845" w:rsidP="00757845">
      <w:pPr>
        <w:rPr>
          <w:snapToGrid w:val="0"/>
        </w:rPr>
      </w:pPr>
      <w:r>
        <w:t xml:space="preserve">Die GAIA-Methodik wurde entwickelt, </w:t>
      </w:r>
      <w:r>
        <w:rPr>
          <w:snapToGrid w:val="0"/>
        </w:rPr>
        <w:t>um die Anbauversuche zu optimieren, indem der Anbau von einigen Sorten aus der Sortensammlung vermieden wird</w:t>
      </w:r>
      <w:r w:rsidR="00D164AC">
        <w:rPr>
          <w:snapToGrid w:val="0"/>
        </w:rPr>
        <w:t xml:space="preserve">. </w:t>
      </w:r>
      <w:r>
        <w:rPr>
          <w:snapToGrid w:val="0"/>
        </w:rPr>
        <w:t xml:space="preserve">Der Grundsatz besteht darin, einen phänotypischen Abstand zwischen jedem Sortenpaar zu berechnen, wobei dieser Abstand die Summe der Abstände an jedem </w:t>
      </w:r>
      <w:proofErr w:type="spellStart"/>
      <w:r>
        <w:rPr>
          <w:snapToGrid w:val="0"/>
        </w:rPr>
        <w:t>erfaßten</w:t>
      </w:r>
      <w:proofErr w:type="spellEnd"/>
      <w:r>
        <w:rPr>
          <w:snapToGrid w:val="0"/>
        </w:rPr>
        <w:t xml:space="preserve"> Merkmal ist</w:t>
      </w:r>
      <w:r w:rsidR="00D164AC">
        <w:rPr>
          <w:snapToGrid w:val="0"/>
        </w:rPr>
        <w:t xml:space="preserve">. </w:t>
      </w:r>
      <w:r>
        <w:rPr>
          <w:snapToGrid w:val="0"/>
        </w:rPr>
        <w:t xml:space="preserve">Der Hintergrund dieses Verfahrens stützt sich auf die Möglichkeit, die dem Pflanzensachverständigen geboten wird, seine Erfahrung bezüglich der Zuverlässigkeit der </w:t>
      </w:r>
      <w:proofErr w:type="spellStart"/>
      <w:r>
        <w:rPr>
          <w:snapToGrid w:val="0"/>
        </w:rPr>
        <w:t>erfaßten</w:t>
      </w:r>
      <w:proofErr w:type="spellEnd"/>
      <w:r>
        <w:rPr>
          <w:snapToGrid w:val="0"/>
        </w:rPr>
        <w:t xml:space="preserve"> Unterschiede einzubringen, indem der Unterschied für jedes </w:t>
      </w:r>
      <w:proofErr w:type="spellStart"/>
      <w:r>
        <w:rPr>
          <w:snapToGrid w:val="0"/>
        </w:rPr>
        <w:t>erfaßte</w:t>
      </w:r>
      <w:proofErr w:type="spellEnd"/>
      <w:r>
        <w:rPr>
          <w:snapToGrid w:val="0"/>
        </w:rPr>
        <w:t xml:space="preserve"> Merkmal gewichtet wird.</w:t>
      </w:r>
    </w:p>
    <w:p w:rsidR="00757845" w:rsidRPr="00757845" w:rsidRDefault="00757845" w:rsidP="00757845">
      <w:pPr>
        <w:rPr>
          <w:snapToGrid w:val="0"/>
        </w:rPr>
      </w:pPr>
      <w:r>
        <w:rPr>
          <w:snapToGrid w:val="0"/>
        </w:rPr>
        <w:t>[…]</w:t>
      </w:r>
    </w:p>
    <w:p w:rsidR="00757845" w:rsidRPr="00757845" w:rsidRDefault="00757845" w:rsidP="00757845"/>
    <w:p w:rsidR="00757845" w:rsidRPr="00757845" w:rsidRDefault="00757845" w:rsidP="00757845">
      <w:bookmarkStart w:id="46" w:name="_Toc154368897"/>
      <w:bookmarkStart w:id="47" w:name="_Toc219640762"/>
      <w:bookmarkStart w:id="48" w:name="_Toc463359565"/>
      <w:r>
        <w:rPr>
          <w:snapToGrid w:val="0"/>
        </w:rPr>
        <w:t>1</w:t>
      </w:r>
      <w:r>
        <w:t>.3</w:t>
      </w:r>
      <w:r>
        <w:tab/>
        <w:t>Detaillierte Informationen über die GAIA-Methodik</w:t>
      </w:r>
      <w:bookmarkEnd w:id="46"/>
      <w:bookmarkEnd w:id="47"/>
      <w:bookmarkEnd w:id="48"/>
    </w:p>
    <w:p w:rsidR="00757845" w:rsidRPr="00757845" w:rsidRDefault="00757845" w:rsidP="00757845"/>
    <w:p w:rsidR="00757845" w:rsidRPr="00757845" w:rsidRDefault="00757845" w:rsidP="00757845">
      <w:bookmarkStart w:id="49" w:name="_Toc154368898"/>
      <w:bookmarkStart w:id="50" w:name="_Toc219640763"/>
      <w:bookmarkStart w:id="51" w:name="_Toc463359566"/>
      <w:r>
        <w:rPr>
          <w:snapToGrid w:val="0"/>
        </w:rPr>
        <w:t>1</w:t>
      </w:r>
      <w:r>
        <w:t>.3.1</w:t>
      </w:r>
      <w:r>
        <w:tab/>
        <w:t>Gewichtung der Merkmale</w:t>
      </w:r>
      <w:bookmarkEnd w:id="49"/>
      <w:bookmarkEnd w:id="50"/>
      <w:bookmarkEnd w:id="51"/>
    </w:p>
    <w:p w:rsidR="00757845" w:rsidRPr="00757845" w:rsidRDefault="00757845" w:rsidP="00757845">
      <w:r>
        <w:t>[…]</w:t>
      </w:r>
    </w:p>
    <w:p w:rsidR="00757845" w:rsidRPr="00757845" w:rsidRDefault="00757845" w:rsidP="00757845">
      <w:r>
        <w:rPr>
          <w:snapToGrid w:val="0"/>
        </w:rPr>
        <w:t>1</w:t>
      </w:r>
      <w:r>
        <w:t>.3.1.2</w:t>
      </w:r>
      <w:r>
        <w:tab/>
        <w:t>Die Gewichtung wird bei einem gegebenen Merkmal als der Beitrag zum Gesamtabstand zwischen einem Sortenpaar definiert</w:t>
      </w:r>
      <w:r w:rsidR="00D164AC">
        <w:t xml:space="preserve">. </w:t>
      </w:r>
      <w:r>
        <w:rPr>
          <w:snapToGrid w:val="0"/>
        </w:rPr>
        <w:t xml:space="preserve">Dieses System </w:t>
      </w:r>
      <w:proofErr w:type="spellStart"/>
      <w:r>
        <w:rPr>
          <w:snapToGrid w:val="0"/>
        </w:rPr>
        <w:t>muß</w:t>
      </w:r>
      <w:proofErr w:type="spellEnd"/>
      <w:r>
        <w:rPr>
          <w:snapToGrid w:val="0"/>
        </w:rPr>
        <w:t xml:space="preserve"> für jede Art kalibriert werden, um das Gewicht zu bestimmen, das jedem Unterschied gegeben werden kann, und um die Zuverlässigkeit jedes Merkmals in einer gegebenen Umgebung und für die betreffende genetische Variabilität zu beurteilen</w:t>
      </w:r>
      <w:r w:rsidR="00D164AC">
        <w:rPr>
          <w:snapToGrid w:val="0"/>
        </w:rPr>
        <w:t xml:space="preserve">. </w:t>
      </w:r>
      <w:r>
        <w:rPr>
          <w:snapToGrid w:val="0"/>
        </w:rPr>
        <w:t xml:space="preserve">Aus diesem Grund ist die Rolle des Pflanzensachverständigen von wesentlicher Bedeutung. </w:t>
      </w:r>
    </w:p>
    <w:p w:rsidR="00757845" w:rsidRPr="00757845" w:rsidRDefault="00757845" w:rsidP="00757845"/>
    <w:p w:rsidR="00757845" w:rsidRPr="00757845" w:rsidRDefault="00757845" w:rsidP="00757845">
      <w:pPr>
        <w:rPr>
          <w:i/>
          <w:u w:val="single"/>
        </w:rPr>
      </w:pPr>
      <w:r>
        <w:rPr>
          <w:snapToGrid w:val="0"/>
        </w:rPr>
        <w:t>1</w:t>
      </w:r>
      <w:r>
        <w:t>.3.1.3</w:t>
      </w:r>
      <w:r>
        <w:tab/>
        <w:t>Die Gewichtung hängt von der Größe des Unterschieds und vom einzelnen Merkmal ab. Die Gewichtungen werden von den Pflanzensachverständigen aufgrund ihrer Fachkenntnisse über die Pflanzenart und eines „Versuch-und-Kontrolle“-Lernprozesses („</w:t>
      </w:r>
      <w:proofErr w:type="spellStart"/>
      <w:r>
        <w:t>try</w:t>
      </w:r>
      <w:proofErr w:type="spellEnd"/>
      <w:r>
        <w:t xml:space="preserve"> </w:t>
      </w:r>
      <w:proofErr w:type="spellStart"/>
      <w:r>
        <w:t>and</w:t>
      </w:r>
      <w:proofErr w:type="spellEnd"/>
      <w:r>
        <w:t xml:space="preserve"> check“) festgelegt (vergleiche Diagramm 3 am </w:t>
      </w:r>
      <w:proofErr w:type="spellStart"/>
      <w:r>
        <w:t>Schluß</w:t>
      </w:r>
      <w:proofErr w:type="spellEnd"/>
      <w:r>
        <w:t xml:space="preserve"> dieser Anlage)</w:t>
      </w:r>
      <w:r w:rsidR="00D164AC">
        <w:t xml:space="preserve">. </w:t>
      </w:r>
      <w:r>
        <w:t xml:space="preserve">Der Sachverständige kann geringen Unterschieden eine Gewichtung von null zuordnen; somit könnte der Gesamtabstand null betragen, selbst wenn zwei Sorten bei zahlreichen Merkmalen verschiedene </w:t>
      </w:r>
      <w:proofErr w:type="spellStart"/>
      <w:r>
        <w:t>erfaßte</w:t>
      </w:r>
      <w:proofErr w:type="spellEnd"/>
      <w:r>
        <w:t xml:space="preserve"> Werte aufweisen</w:t>
      </w:r>
      <w:r w:rsidR="00D164AC">
        <w:t xml:space="preserve">. </w:t>
      </w:r>
      <w:r>
        <w:t>Für einen gegebenen Unterschied wird jedem Sortenpaar für ein gegebenes Merkmal die gleiche Gewichtung gegeben</w:t>
      </w:r>
      <w:r w:rsidR="00D164AC">
        <w:t xml:space="preserve">. </w:t>
      </w:r>
    </w:p>
    <w:p w:rsidR="00757845" w:rsidRPr="00757845" w:rsidRDefault="00757845" w:rsidP="00757845"/>
    <w:p w:rsidR="00757845" w:rsidRPr="00757845" w:rsidRDefault="00757845" w:rsidP="00757845">
      <w:pPr>
        <w:keepNext/>
      </w:pPr>
      <w:r>
        <w:rPr>
          <w:snapToGrid w:val="0"/>
        </w:rPr>
        <w:t>1</w:t>
      </w:r>
      <w:r>
        <w:t>.3.1.4</w:t>
      </w:r>
      <w:r>
        <w:tab/>
        <w:t>Die Gewichtung sollte einfach und konsistent sein</w:t>
      </w:r>
      <w:r w:rsidR="00D164AC">
        <w:t xml:space="preserve">. </w:t>
      </w:r>
      <w:r>
        <w:t>Der Pflanzensachverständige kann die Gewichtungen für ein Merkmal beispielsweise nur mit ganzzahligen Werten angeben, d. h. 0, 1, 2, 3 (oder mehr).</w:t>
      </w:r>
    </w:p>
    <w:p w:rsidR="00757845" w:rsidRPr="00757845" w:rsidRDefault="00757845" w:rsidP="00757845">
      <w:pPr>
        <w:keepNext/>
      </w:pPr>
    </w:p>
    <w:p w:rsidR="00757845" w:rsidRPr="00757845" w:rsidRDefault="00757845" w:rsidP="00757845">
      <w:pPr>
        <w:keepNext/>
      </w:pPr>
      <w:r>
        <w:t>Wenn dies der Fall ist,</w:t>
      </w:r>
    </w:p>
    <w:p w:rsidR="00757845" w:rsidRPr="00757845" w:rsidRDefault="00757845" w:rsidP="00757845">
      <w:pPr>
        <w:keepNext/>
      </w:pPr>
    </w:p>
    <w:p w:rsidR="00757845" w:rsidRPr="00757845" w:rsidRDefault="00757845" w:rsidP="00757845">
      <w:pPr>
        <w:keepNext/>
        <w:ind w:left="567"/>
      </w:pPr>
      <w:r>
        <w:t xml:space="preserve">- wird den </w:t>
      </w:r>
      <w:proofErr w:type="spellStart"/>
      <w:r>
        <w:t>erfaßten</w:t>
      </w:r>
      <w:proofErr w:type="spellEnd"/>
      <w:r>
        <w:t xml:space="preserve"> Unterschieden, die für dieses Merkmal vom Pflanzensachverständigen als möglicherweise durch Umwelteffekte oder mangelnde Genauigkeit bei der Messung verursacht angesehen werden, eine Gewichtung von 0 gegeben</w:t>
      </w:r>
    </w:p>
    <w:p w:rsidR="00757845" w:rsidRPr="00757845" w:rsidRDefault="00757845" w:rsidP="00757845">
      <w:pPr>
        <w:keepNext/>
        <w:ind w:left="567"/>
      </w:pPr>
      <w:r>
        <w:t xml:space="preserve">- eine Gewichtung von 1 ist die Mindestgewichtung, die als Nicht-null-Abstand beitragen kann </w:t>
      </w:r>
    </w:p>
    <w:p w:rsidR="00757845" w:rsidRPr="00757845" w:rsidRDefault="00757845" w:rsidP="00757845">
      <w:pPr>
        <w:keepNext/>
        <w:ind w:left="567"/>
      </w:pPr>
      <w:r>
        <w:t xml:space="preserve">- eine Gewichtung von 3 wird als etwa 3 Mal höher in </w:t>
      </w:r>
      <w:proofErr w:type="spellStart"/>
      <w:r>
        <w:t>bezug</w:t>
      </w:r>
      <w:proofErr w:type="spellEnd"/>
      <w:r>
        <w:t xml:space="preserve"> auf die Konfidenz oder den Abstand als eine Gewichtung von 1 angesehen.</w:t>
      </w:r>
    </w:p>
    <w:p w:rsidR="00757845" w:rsidRPr="00757845" w:rsidRDefault="00757845" w:rsidP="00757845">
      <w:pPr>
        <w:keepNext/>
      </w:pPr>
    </w:p>
    <w:p w:rsidR="00757845" w:rsidRPr="00757845" w:rsidRDefault="00757845" w:rsidP="00757845">
      <w:pPr>
        <w:keepNext/>
      </w:pPr>
      <w:r>
        <w:rPr>
          <w:snapToGrid w:val="0"/>
        </w:rPr>
        <w:t>1</w:t>
      </w:r>
      <w:r>
        <w:t>.3.1.5</w:t>
      </w:r>
      <w:r>
        <w:tab/>
        <w:t>Der Schwellenwert der „Unterscheidbarkeit plus“ wird als Wert definiert, für den die Summe der Unterschiede mit Nicht-null-Gewichtung groß genug ist, um eine zuverlässige, deutliche Unterscheidung sicherzustellen.</w:t>
      </w:r>
    </w:p>
    <w:p w:rsidR="00757845" w:rsidRPr="00757845" w:rsidRDefault="00757845" w:rsidP="00757845">
      <w:r>
        <w:t>[…]</w:t>
      </w:r>
    </w:p>
    <w:p w:rsidR="00757845" w:rsidRPr="00757845" w:rsidRDefault="00757845" w:rsidP="00757845">
      <w:pPr>
        <w:keepNext/>
      </w:pPr>
      <w:r>
        <w:rPr>
          <w:snapToGrid w:val="0"/>
        </w:rPr>
        <w:t>1</w:t>
      </w:r>
      <w:r>
        <w:t>.3.1.7</w:t>
      </w:r>
      <w:r>
        <w:tab/>
        <w:t xml:space="preserve">Folgendes einfache Beispiel bei </w:t>
      </w:r>
      <w:r>
        <w:rPr>
          <w:i/>
          <w:iCs/>
        </w:rPr>
        <w:t xml:space="preserve">Zea </w:t>
      </w:r>
      <w:proofErr w:type="spellStart"/>
      <w:r>
        <w:rPr>
          <w:i/>
          <w:iCs/>
        </w:rPr>
        <w:t>mays</w:t>
      </w:r>
      <w:proofErr w:type="spellEnd"/>
      <w:r>
        <w:t xml:space="preserve"> zeigt die Berechnung des Abstandes zwischen zwei Sorten:</w:t>
      </w:r>
    </w:p>
    <w:p w:rsidR="00757845" w:rsidRPr="00757845" w:rsidRDefault="00757845" w:rsidP="00757845">
      <w:pPr>
        <w:keepNext/>
      </w:pPr>
    </w:p>
    <w:p w:rsidR="00757845" w:rsidRPr="00757845" w:rsidRDefault="00757845" w:rsidP="00757845">
      <w:pPr>
        <w:ind w:left="567"/>
      </w:pPr>
      <w:r>
        <w:rPr>
          <w:u w:val="single"/>
        </w:rPr>
        <w:t>Beispiel:</w:t>
      </w:r>
      <w:r>
        <w:t xml:space="preserve">  Bei dem Merkmal „Gewichtungsmatrix Form des Kolbens“, </w:t>
      </w:r>
      <w:proofErr w:type="gramStart"/>
      <w:r>
        <w:t>das</w:t>
      </w:r>
      <w:proofErr w:type="gramEnd"/>
      <w:r>
        <w:t xml:space="preserve"> auf einer Skala 1 bis 3 </w:t>
      </w:r>
      <w:proofErr w:type="spellStart"/>
      <w:r>
        <w:t>erfaßt</w:t>
      </w:r>
      <w:proofErr w:type="spellEnd"/>
      <w:r>
        <w:t xml:space="preserve"> wird, teilte der Pflanzensachverständige denjenigen Unterschieden eine Gewichtung zu, die er für signifikant hält:</w:t>
      </w:r>
    </w:p>
    <w:p w:rsidR="00757845" w:rsidRPr="00757845" w:rsidRDefault="00757845" w:rsidP="00757845"/>
    <w:p w:rsidR="00757845" w:rsidRPr="00757845" w:rsidRDefault="00757845" w:rsidP="00757845">
      <w:pPr>
        <w:ind w:left="567"/>
      </w:pPr>
      <w:r>
        <w:t>Form des Kolbens:</w:t>
      </w:r>
    </w:p>
    <w:p w:rsidR="00757845" w:rsidRPr="00757845" w:rsidRDefault="00757845" w:rsidP="00757845">
      <w:pPr>
        <w:ind w:left="1134"/>
      </w:pPr>
      <w:r>
        <w:t>1 = konisch</w:t>
      </w:r>
    </w:p>
    <w:p w:rsidR="00757845" w:rsidRPr="00757845" w:rsidRDefault="00757845" w:rsidP="00757845">
      <w:pPr>
        <w:ind w:left="1134"/>
      </w:pPr>
      <w:r>
        <w:t>2 = konisch-zylindrisch</w:t>
      </w:r>
    </w:p>
    <w:p w:rsidR="00757845" w:rsidRPr="00757845" w:rsidRDefault="00757845" w:rsidP="00757845">
      <w:pPr>
        <w:ind w:left="1134"/>
      </w:pPr>
      <w:r>
        <w:t>3 = zylindrisch</w:t>
      </w:r>
    </w:p>
    <w:p w:rsidR="00757845" w:rsidRPr="00757845" w:rsidRDefault="00757845" w:rsidP="00757845"/>
    <w:tbl>
      <w:tblPr>
        <w:tblW w:w="0" w:type="auto"/>
        <w:jc w:val="center"/>
        <w:tblLayout w:type="fixed"/>
        <w:tblLook w:val="0000" w:firstRow="0" w:lastRow="0" w:firstColumn="0" w:lastColumn="0" w:noHBand="0" w:noVBand="0"/>
      </w:tblPr>
      <w:tblGrid>
        <w:gridCol w:w="5543"/>
        <w:gridCol w:w="1430"/>
        <w:gridCol w:w="1611"/>
      </w:tblGrid>
      <w:tr w:rsidR="00757845" w:rsidRPr="00757845" w:rsidTr="00FA5EFC">
        <w:trPr>
          <w:cantSplit/>
          <w:trHeight w:val="522"/>
          <w:jc w:val="center"/>
        </w:trPr>
        <w:tc>
          <w:tcPr>
            <w:tcW w:w="8584" w:type="dxa"/>
            <w:gridSpan w:val="3"/>
            <w:tcBorders>
              <w:top w:val="single" w:sz="4" w:space="0" w:color="auto"/>
              <w:left w:val="single" w:sz="4" w:space="0" w:color="auto"/>
              <w:right w:val="single" w:sz="4" w:space="0" w:color="auto"/>
            </w:tcBorders>
            <w:vAlign w:val="center"/>
          </w:tcPr>
          <w:p w:rsidR="00757845" w:rsidRPr="00757845" w:rsidRDefault="00757845" w:rsidP="00757845">
            <w:pPr>
              <w:keepNext/>
              <w:jc w:val="center"/>
            </w:pPr>
            <w:r>
              <w:lastRenderedPageBreak/>
              <w:t>Vergleiche zwischen Unterschieden bei Noten und Gewichtung</w:t>
            </w:r>
          </w:p>
        </w:tc>
      </w:tr>
      <w:tr w:rsidR="00757845" w:rsidRPr="00757845" w:rsidTr="00BE64A4">
        <w:trPr>
          <w:cantSplit/>
          <w:trHeight w:val="712"/>
          <w:jc w:val="center"/>
        </w:trPr>
        <w:tc>
          <w:tcPr>
            <w:tcW w:w="5543" w:type="dxa"/>
            <w:tcBorders>
              <w:left w:val="single" w:sz="4" w:space="0" w:color="auto"/>
              <w:bottom w:val="single" w:sz="4" w:space="0" w:color="auto"/>
              <w:right w:val="single" w:sz="4" w:space="0" w:color="auto"/>
            </w:tcBorders>
          </w:tcPr>
          <w:p w:rsidR="00757845" w:rsidRPr="00757845" w:rsidRDefault="00757845" w:rsidP="00757845">
            <w:pPr>
              <w:keepNext/>
              <w:ind w:left="-108"/>
            </w:pPr>
          </w:p>
        </w:tc>
        <w:tc>
          <w:tcPr>
            <w:tcW w:w="1430" w:type="dxa"/>
            <w:tcBorders>
              <w:top w:val="single" w:sz="4" w:space="0" w:color="auto"/>
              <w:bottom w:val="single" w:sz="4" w:space="0" w:color="auto"/>
              <w:right w:val="single" w:sz="4" w:space="0" w:color="auto"/>
            </w:tcBorders>
          </w:tcPr>
          <w:p w:rsidR="00757845" w:rsidRPr="00757845" w:rsidRDefault="00D164AC" w:rsidP="00757845">
            <w:pPr>
              <w:keepNext/>
              <w:jc w:val="center"/>
            </w:pPr>
            <w:r>
              <w:t>U</w:t>
            </w:r>
            <w:r w:rsidR="00757845">
              <w:t>nter</w:t>
            </w:r>
            <w:r>
              <w:t>-</w:t>
            </w:r>
            <w:r w:rsidR="00757845">
              <w:t>schiedlich bei Noten</w:t>
            </w:r>
          </w:p>
        </w:tc>
        <w:tc>
          <w:tcPr>
            <w:tcW w:w="1611" w:type="dxa"/>
            <w:tcBorders>
              <w:top w:val="single" w:sz="4" w:space="0" w:color="auto"/>
              <w:bottom w:val="single" w:sz="4" w:space="0" w:color="auto"/>
              <w:right w:val="single" w:sz="4" w:space="0" w:color="auto"/>
            </w:tcBorders>
          </w:tcPr>
          <w:p w:rsidR="00757845" w:rsidRPr="00757845" w:rsidRDefault="00757845" w:rsidP="00757845">
            <w:pPr>
              <w:keepNext/>
              <w:jc w:val="center"/>
            </w:pPr>
            <w:r>
              <w:t>Gewichtung</w:t>
            </w:r>
          </w:p>
        </w:tc>
      </w:tr>
      <w:tr w:rsidR="00757845" w:rsidRPr="00757845" w:rsidTr="00BE64A4">
        <w:trPr>
          <w:cantSplit/>
          <w:trHeight w:val="410"/>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t xml:space="preserve"> kegelförmig (1) kontra kegelförmig (1)</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0</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0</w:t>
            </w:r>
          </w:p>
        </w:tc>
      </w:tr>
      <w:tr w:rsidR="00757845" w:rsidRPr="00757845" w:rsidTr="00BE64A4">
        <w:trPr>
          <w:cantSplit/>
          <w:trHeight w:val="410"/>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t xml:space="preserve"> kegelförmig (1) kontra kegelförmig-zylindrisch (2)</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1</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2</w:t>
            </w:r>
          </w:p>
        </w:tc>
      </w:tr>
      <w:tr w:rsidR="00757845" w:rsidRPr="00757845" w:rsidTr="00BE64A4">
        <w:trPr>
          <w:cantSplit/>
          <w:trHeight w:val="411"/>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t xml:space="preserve"> kegelförmig (1) kontra zylindrisch (3)</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2</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6</w:t>
            </w:r>
          </w:p>
        </w:tc>
      </w:tr>
      <w:tr w:rsidR="00757845" w:rsidRPr="00757845" w:rsidTr="00BE64A4">
        <w:trPr>
          <w:cantSplit/>
          <w:trHeight w:val="410"/>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t xml:space="preserve"> kegelförmig-zylindrisch (2) kontra kegelförmig-zylindrisch (2)</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0</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0</w:t>
            </w:r>
          </w:p>
        </w:tc>
      </w:tr>
      <w:tr w:rsidR="00757845" w:rsidRPr="00757845" w:rsidTr="00BE64A4">
        <w:trPr>
          <w:cantSplit/>
          <w:trHeight w:val="410"/>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ind w:left="-108"/>
            </w:pPr>
            <w:r>
              <w:t xml:space="preserve"> kegelförmig-zylindrisch (2) kontra zylindrisch (3)</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1</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keepNext/>
              <w:jc w:val="center"/>
            </w:pPr>
            <w:r>
              <w:t>2</w:t>
            </w:r>
          </w:p>
        </w:tc>
      </w:tr>
      <w:tr w:rsidR="00757845" w:rsidRPr="00757845" w:rsidTr="00BE64A4">
        <w:trPr>
          <w:cantSplit/>
          <w:trHeight w:val="411"/>
          <w:jc w:val="center"/>
        </w:trPr>
        <w:tc>
          <w:tcPr>
            <w:tcW w:w="554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ind w:left="-108"/>
            </w:pPr>
            <w:r>
              <w:t xml:space="preserve"> zylindrisch (3) kontra zylindrisch (3)</w:t>
            </w:r>
          </w:p>
        </w:tc>
        <w:tc>
          <w:tcPr>
            <w:tcW w:w="1430" w:type="dxa"/>
            <w:tcBorders>
              <w:top w:val="single" w:sz="4" w:space="0" w:color="auto"/>
              <w:bottom w:val="single" w:sz="4" w:space="0" w:color="auto"/>
              <w:right w:val="single" w:sz="4" w:space="0" w:color="auto"/>
            </w:tcBorders>
            <w:vAlign w:val="center"/>
          </w:tcPr>
          <w:p w:rsidR="00757845" w:rsidRPr="00757845" w:rsidRDefault="00757845" w:rsidP="00757845">
            <w:pPr>
              <w:jc w:val="center"/>
            </w:pPr>
            <w:r>
              <w:t>0</w:t>
            </w:r>
          </w:p>
        </w:tc>
        <w:tc>
          <w:tcPr>
            <w:tcW w:w="1611" w:type="dxa"/>
            <w:tcBorders>
              <w:top w:val="single" w:sz="4" w:space="0" w:color="auto"/>
              <w:bottom w:val="single" w:sz="4" w:space="0" w:color="auto"/>
              <w:right w:val="single" w:sz="4" w:space="0" w:color="auto"/>
            </w:tcBorders>
            <w:vAlign w:val="center"/>
          </w:tcPr>
          <w:p w:rsidR="00757845" w:rsidRPr="00757845" w:rsidRDefault="00757845" w:rsidP="00757845">
            <w:pPr>
              <w:jc w:val="center"/>
            </w:pPr>
            <w:r>
              <w:t>0</w:t>
            </w:r>
          </w:p>
        </w:tc>
      </w:tr>
    </w:tbl>
    <w:p w:rsidR="00757845" w:rsidRPr="00757845" w:rsidRDefault="00757845" w:rsidP="00757845">
      <w:pPr>
        <w:ind w:left="567"/>
      </w:pPr>
    </w:p>
    <w:p w:rsidR="00757845" w:rsidRPr="00757845" w:rsidRDefault="00757845" w:rsidP="00757845">
      <w:pPr>
        <w:ind w:left="567"/>
      </w:pPr>
      <w:r>
        <w:t xml:space="preserve">Wenn der Pflanzensachverständige eine Sorte ‚i‘ mit kegelförmigem Kolben (Note 1) mit einer Sorte ‚j‘ mit zylindrischem Kolben (Note 3) vergleicht, teilt er eine Gewichtung von 6 zu usw. Die Gewichtungen werden in Form einer Gewichtungsmatrix </w:t>
      </w:r>
      <w:proofErr w:type="spellStart"/>
      <w:r>
        <w:t>zusammengefaßt</w:t>
      </w:r>
      <w:proofErr w:type="spellEnd"/>
      <w:r>
        <w:t>:</w:t>
      </w:r>
    </w:p>
    <w:p w:rsidR="00757845" w:rsidRPr="00757845" w:rsidRDefault="00757845" w:rsidP="00757845"/>
    <w:tbl>
      <w:tblPr>
        <w:tblW w:w="0" w:type="auto"/>
        <w:tblInd w:w="3227" w:type="dxa"/>
        <w:tblLayout w:type="fixed"/>
        <w:tblLook w:val="0000" w:firstRow="0" w:lastRow="0" w:firstColumn="0" w:lastColumn="0" w:noHBand="0" w:noVBand="0"/>
      </w:tblPr>
      <w:tblGrid>
        <w:gridCol w:w="992"/>
        <w:gridCol w:w="426"/>
        <w:gridCol w:w="425"/>
        <w:gridCol w:w="425"/>
        <w:gridCol w:w="426"/>
      </w:tblGrid>
      <w:tr w:rsidR="00757845" w:rsidRPr="00757845" w:rsidTr="00757845">
        <w:trPr>
          <w:cantSplit/>
          <w:trHeight w:val="500"/>
        </w:trPr>
        <w:tc>
          <w:tcPr>
            <w:tcW w:w="2694" w:type="dxa"/>
            <w:gridSpan w:val="5"/>
            <w:tcBorders>
              <w:top w:val="single" w:sz="4" w:space="0" w:color="auto"/>
              <w:left w:val="single" w:sz="4" w:space="0" w:color="auto"/>
              <w:right w:val="single" w:sz="4" w:space="0" w:color="auto"/>
            </w:tcBorders>
            <w:vAlign w:val="center"/>
          </w:tcPr>
          <w:p w:rsidR="00757845" w:rsidRPr="00757845" w:rsidRDefault="00757845" w:rsidP="00757845">
            <w:pPr>
              <w:jc w:val="center"/>
            </w:pPr>
            <w:r>
              <w:t>Gewichtungsmatrix</w:t>
            </w:r>
            <w:r>
              <w:cr/>
            </w:r>
            <w:r>
              <w:br/>
            </w:r>
            <w:r>
              <w:rPr>
                <w:u w:val="single"/>
              </w:rPr>
              <w:t>‚i‘</w:t>
            </w:r>
          </w:p>
        </w:tc>
      </w:tr>
      <w:tr w:rsidR="00757845" w:rsidRPr="00757845" w:rsidTr="00757845">
        <w:trPr>
          <w:cantSplit/>
        </w:trPr>
        <w:tc>
          <w:tcPr>
            <w:tcW w:w="992" w:type="dxa"/>
            <w:tcBorders>
              <w:left w:val="single" w:sz="4" w:space="0" w:color="auto"/>
            </w:tcBorders>
          </w:tcPr>
          <w:p w:rsidR="00757845" w:rsidRPr="00757845" w:rsidRDefault="00757845" w:rsidP="00757845"/>
        </w:tc>
        <w:tc>
          <w:tcPr>
            <w:tcW w:w="426" w:type="dxa"/>
            <w:tcBorders>
              <w:bottom w:val="single" w:sz="4" w:space="0" w:color="auto"/>
            </w:tcBorders>
          </w:tcPr>
          <w:p w:rsidR="00757845" w:rsidRPr="00757845" w:rsidRDefault="00757845" w:rsidP="00757845"/>
        </w:tc>
        <w:tc>
          <w:tcPr>
            <w:tcW w:w="425" w:type="dxa"/>
            <w:tcBorders>
              <w:bottom w:val="single" w:sz="4" w:space="0" w:color="auto"/>
            </w:tcBorders>
          </w:tcPr>
          <w:p w:rsidR="00757845" w:rsidRPr="00757845" w:rsidRDefault="00757845" w:rsidP="00757845"/>
        </w:tc>
        <w:tc>
          <w:tcPr>
            <w:tcW w:w="425" w:type="dxa"/>
            <w:tcBorders>
              <w:bottom w:val="single" w:sz="4" w:space="0" w:color="auto"/>
            </w:tcBorders>
          </w:tcPr>
          <w:p w:rsidR="00757845" w:rsidRPr="00757845" w:rsidRDefault="00757845" w:rsidP="00757845"/>
        </w:tc>
        <w:tc>
          <w:tcPr>
            <w:tcW w:w="426" w:type="dxa"/>
            <w:tcBorders>
              <w:bottom w:val="single" w:sz="4" w:space="0" w:color="auto"/>
              <w:right w:val="single" w:sz="4" w:space="0" w:color="auto"/>
            </w:tcBorders>
          </w:tcPr>
          <w:p w:rsidR="00757845" w:rsidRPr="00757845" w:rsidRDefault="00757845" w:rsidP="00757845"/>
        </w:tc>
      </w:tr>
      <w:tr w:rsidR="00757845" w:rsidRPr="00757845" w:rsidTr="00757845">
        <w:trPr>
          <w:cantSplit/>
          <w:trHeight w:val="394"/>
        </w:trPr>
        <w:tc>
          <w:tcPr>
            <w:tcW w:w="992" w:type="dxa"/>
            <w:tcBorders>
              <w:left w:val="single" w:sz="4" w:space="0" w:color="auto"/>
              <w:bottom w:val="single" w:sz="4" w:space="0" w:color="auto"/>
              <w:right w:val="single" w:sz="4" w:space="0" w:color="auto"/>
            </w:tcBorders>
          </w:tcPr>
          <w:p w:rsidR="00757845" w:rsidRPr="00757845" w:rsidRDefault="00757845" w:rsidP="00757845"/>
        </w:tc>
        <w:tc>
          <w:tcPr>
            <w:tcW w:w="1702" w:type="dxa"/>
            <w:gridSpan w:val="4"/>
            <w:tcBorders>
              <w:top w:val="single" w:sz="4" w:space="0" w:color="auto"/>
              <w:right w:val="single" w:sz="4" w:space="0" w:color="auto"/>
            </w:tcBorders>
            <w:vAlign w:val="center"/>
          </w:tcPr>
          <w:p w:rsidR="00757845" w:rsidRPr="00757845" w:rsidRDefault="00757845" w:rsidP="00757845">
            <w:pPr>
              <w:jc w:val="center"/>
            </w:pPr>
            <w:r>
              <w:t>Sorte ‚i‘</w:t>
            </w:r>
          </w:p>
        </w:tc>
      </w:tr>
      <w:tr w:rsidR="00757845" w:rsidRPr="00757845" w:rsidTr="00757845">
        <w:trPr>
          <w:cantSplit/>
          <w:trHeight w:val="394"/>
        </w:trPr>
        <w:tc>
          <w:tcPr>
            <w:tcW w:w="992" w:type="dxa"/>
            <w:vMerge w:val="restart"/>
            <w:tcBorders>
              <w:top w:val="single" w:sz="4" w:space="0" w:color="auto"/>
              <w:left w:val="single" w:sz="4" w:space="0" w:color="auto"/>
            </w:tcBorders>
            <w:textDirection w:val="btLr"/>
            <w:vAlign w:val="center"/>
          </w:tcPr>
          <w:p w:rsidR="00757845" w:rsidRPr="00757845" w:rsidRDefault="00757845" w:rsidP="00757845">
            <w:pPr>
              <w:ind w:left="113" w:right="113"/>
              <w:jc w:val="center"/>
            </w:pPr>
            <w:r>
              <w:t>Sorte ‚j‘</w:t>
            </w:r>
          </w:p>
        </w:tc>
        <w:tc>
          <w:tcPr>
            <w:tcW w:w="426"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Pr>
                <w:b/>
              </w:rPr>
              <w:t>1</w:t>
            </w:r>
          </w:p>
        </w:tc>
        <w:tc>
          <w:tcPr>
            <w:tcW w:w="425" w:type="dxa"/>
            <w:tcBorders>
              <w:top w:val="single" w:sz="4" w:space="0" w:color="auto"/>
              <w:left w:val="single" w:sz="4" w:space="0" w:color="auto"/>
              <w:bottom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Pr>
                <w:b/>
              </w:rPr>
              <w:t>2</w:t>
            </w: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rPr>
            </w:pPr>
            <w:r>
              <w:rPr>
                <w:b/>
              </w:rPr>
              <w:t>3</w:t>
            </w:r>
          </w:p>
        </w:tc>
      </w:tr>
      <w:tr w:rsidR="00757845" w:rsidRPr="00757845" w:rsidTr="00757845">
        <w:trPr>
          <w:cantSplit/>
          <w:trHeight w:val="395"/>
        </w:trPr>
        <w:tc>
          <w:tcPr>
            <w:tcW w:w="992" w:type="dxa"/>
            <w:vMerge/>
            <w:tcBorders>
              <w:left w:val="single" w:sz="4" w:space="0" w:color="auto"/>
            </w:tcBorders>
            <w:textDirection w:val="btLr"/>
            <w:vAlign w:val="center"/>
          </w:tcPr>
          <w:p w:rsidR="00757845" w:rsidRPr="00757845" w:rsidRDefault="00757845" w:rsidP="00757845">
            <w:pPr>
              <w:ind w:left="113" w:right="113"/>
              <w:rPr>
                <w:sz w:val="22"/>
              </w:rPr>
            </w:pPr>
          </w:p>
        </w:tc>
        <w:tc>
          <w:tcPr>
            <w:tcW w:w="426"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Pr>
                <w:b/>
              </w:rPr>
              <w:t>1</w:t>
            </w:r>
          </w:p>
        </w:tc>
        <w:tc>
          <w:tcPr>
            <w:tcW w:w="425"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t>0</w:t>
            </w:r>
          </w:p>
        </w:tc>
        <w:tc>
          <w:tcPr>
            <w:tcW w:w="425"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t>2</w:t>
            </w:r>
          </w:p>
        </w:tc>
        <w:tc>
          <w:tcPr>
            <w:tcW w:w="426" w:type="dxa"/>
            <w:tcBorders>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t>6</w:t>
            </w:r>
          </w:p>
        </w:tc>
      </w:tr>
      <w:tr w:rsidR="00757845" w:rsidRPr="00757845" w:rsidTr="00757845">
        <w:trPr>
          <w:cantSplit/>
          <w:trHeight w:val="394"/>
        </w:trPr>
        <w:tc>
          <w:tcPr>
            <w:tcW w:w="992" w:type="dxa"/>
            <w:vMerge/>
            <w:tcBorders>
              <w:left w:val="single" w:sz="4" w:space="0" w:color="auto"/>
            </w:tcBorders>
          </w:tcPr>
          <w:p w:rsidR="00757845" w:rsidRPr="00757845" w:rsidRDefault="00757845" w:rsidP="00757845"/>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Pr>
                <w:b/>
              </w:rPr>
              <w:t>2</w:t>
            </w: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r>
              <w:t>0</w:t>
            </w: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t>2</w:t>
            </w:r>
          </w:p>
        </w:tc>
      </w:tr>
      <w:tr w:rsidR="00757845" w:rsidRPr="00757845" w:rsidTr="00757845">
        <w:trPr>
          <w:cantSplit/>
          <w:trHeight w:val="394"/>
        </w:trPr>
        <w:tc>
          <w:tcPr>
            <w:tcW w:w="992" w:type="dxa"/>
            <w:vMerge/>
            <w:tcBorders>
              <w:left w:val="single" w:sz="4" w:space="0" w:color="auto"/>
              <w:bottom w:val="single" w:sz="4" w:space="0" w:color="auto"/>
            </w:tcBorders>
          </w:tcPr>
          <w:p w:rsidR="00757845" w:rsidRPr="00757845" w:rsidRDefault="00757845" w:rsidP="00757845"/>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b/>
                <w:sz w:val="22"/>
              </w:rPr>
            </w:pPr>
            <w:r>
              <w:rPr>
                <w:b/>
              </w:rPr>
              <w:t>3</w:t>
            </w: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5"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rPr>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keepNext/>
              <w:keepLines/>
              <w:framePr w:hSpace="141" w:wrap="auto" w:vAnchor="text" w:hAnchor="page" w:x="5264" w:y="317"/>
              <w:jc w:val="center"/>
            </w:pPr>
            <w:r>
              <w:t>0</w:t>
            </w:r>
          </w:p>
        </w:tc>
      </w:tr>
    </w:tbl>
    <w:p w:rsidR="00757845" w:rsidRPr="00757845" w:rsidRDefault="00757845" w:rsidP="00757845">
      <w:pPr>
        <w:ind w:left="567"/>
      </w:pPr>
    </w:p>
    <w:p w:rsidR="00757845" w:rsidRPr="00757845" w:rsidRDefault="00757845" w:rsidP="00757845">
      <w:pPr>
        <w:ind w:left="567"/>
      </w:pPr>
      <w:r>
        <w:t>Wenn der Pflanzensachverständige eine Sorte i mit kegelförmigem Kolben (Note 1) mit einer Sorte j mit zylindrischem Kolben (Note 3) vergleicht, teilt er eine Gewichtung von 6 zu.</w:t>
      </w:r>
    </w:p>
    <w:p w:rsidR="00757845" w:rsidRPr="00757845" w:rsidRDefault="00757845" w:rsidP="00757845">
      <w:r>
        <w:t>[…]</w:t>
      </w:r>
    </w:p>
    <w:p w:rsidR="00757845" w:rsidRPr="00757845" w:rsidRDefault="00757845" w:rsidP="00757845">
      <w:pPr>
        <w:keepNext/>
        <w:keepLines/>
        <w:tabs>
          <w:tab w:val="left" w:pos="1134"/>
        </w:tabs>
        <w:rPr>
          <w:color w:val="000000"/>
        </w:rPr>
      </w:pPr>
      <w:r>
        <w:rPr>
          <w:snapToGrid w:val="0"/>
        </w:rPr>
        <w:t>1</w:t>
      </w:r>
      <w:r>
        <w:t>.3.5.2.5</w:t>
      </w:r>
      <w:r>
        <w:tab/>
      </w:r>
      <w:r>
        <w:rPr>
          <w:color w:val="000000"/>
        </w:rPr>
        <w:t xml:space="preserve"> „Länge der Lieschen“, auf einer Skala von 1 bis 9 </w:t>
      </w:r>
      <w:proofErr w:type="spellStart"/>
      <w:r>
        <w:rPr>
          <w:color w:val="000000"/>
        </w:rPr>
        <w:t>erfaßt</w:t>
      </w:r>
      <w:proofErr w:type="spellEnd"/>
      <w:r>
        <w:rPr>
          <w:color w:val="000000"/>
        </w:rPr>
        <w:t>; der Pflanzensachverständige legte folgende Gewichtungsmatrix fest:</w:t>
      </w:r>
    </w:p>
    <w:p w:rsidR="00757845" w:rsidRPr="00757845" w:rsidRDefault="00757845" w:rsidP="00757845">
      <w:pPr>
        <w:keepNext/>
        <w:keepLines/>
        <w:rPr>
          <w:color w:val="000000"/>
        </w:rPr>
      </w:pPr>
    </w:p>
    <w:tbl>
      <w:tblPr>
        <w:tblW w:w="0" w:type="auto"/>
        <w:tblLayout w:type="fixed"/>
        <w:tblCellMar>
          <w:left w:w="70" w:type="dxa"/>
          <w:right w:w="70" w:type="dxa"/>
        </w:tblCellMar>
        <w:tblLook w:val="0000" w:firstRow="0" w:lastRow="0" w:firstColumn="0" w:lastColumn="0" w:noHBand="0" w:noVBand="0"/>
      </w:tblPr>
      <w:tblGrid>
        <w:gridCol w:w="420"/>
        <w:gridCol w:w="323"/>
        <w:gridCol w:w="323"/>
        <w:gridCol w:w="323"/>
        <w:gridCol w:w="323"/>
        <w:gridCol w:w="323"/>
        <w:gridCol w:w="323"/>
        <w:gridCol w:w="323"/>
        <w:gridCol w:w="323"/>
        <w:gridCol w:w="323"/>
        <w:gridCol w:w="323"/>
      </w:tblGrid>
      <w:tr w:rsidR="00757845" w:rsidRPr="00757845" w:rsidTr="00757845">
        <w:trPr>
          <w:trHeight w:val="261"/>
        </w:trPr>
        <w:tc>
          <w:tcPr>
            <w:tcW w:w="420" w:type="dxa"/>
          </w:tcPr>
          <w:p w:rsidR="00757845" w:rsidRPr="00757845" w:rsidRDefault="00757845" w:rsidP="00757845">
            <w:pPr>
              <w:framePr w:hSpace="141" w:wrap="auto" w:vAnchor="text" w:hAnchor="page" w:x="4974" w:y="82"/>
            </w:pPr>
          </w:p>
        </w:tc>
        <w:tc>
          <w:tcPr>
            <w:tcW w:w="323" w:type="dxa"/>
            <w:tcBorders>
              <w:right w:val="single" w:sz="4" w:space="0" w:color="auto"/>
            </w:tcBorders>
            <w:vAlign w:val="center"/>
          </w:tcPr>
          <w:p w:rsidR="00757845" w:rsidRPr="00757845" w:rsidRDefault="00757845" w:rsidP="00757845">
            <w:pPr>
              <w:framePr w:hSpace="141" w:wrap="auto" w:vAnchor="text" w:hAnchor="page" w:x="4974" w:y="82"/>
            </w:pPr>
          </w:p>
        </w:tc>
        <w:tc>
          <w:tcPr>
            <w:tcW w:w="2907" w:type="dxa"/>
            <w:gridSpan w:val="9"/>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jc w:val="center"/>
            </w:pPr>
            <w:r>
              <w:t>Sorte ‚i‘</w:t>
            </w:r>
          </w:p>
        </w:tc>
      </w:tr>
      <w:tr w:rsidR="00757845" w:rsidRPr="00757845" w:rsidTr="00757845">
        <w:trPr>
          <w:trHeight w:val="261"/>
        </w:trPr>
        <w:tc>
          <w:tcPr>
            <w:tcW w:w="420" w:type="dxa"/>
            <w:tcBorders>
              <w:bottom w:val="single" w:sz="4" w:space="0" w:color="auto"/>
            </w:tcBorders>
          </w:tcPr>
          <w:p w:rsidR="00757845" w:rsidRPr="00757845" w:rsidRDefault="00757845" w:rsidP="00757845">
            <w:pPr>
              <w:framePr w:hSpace="141" w:wrap="auto" w:vAnchor="text" w:hAnchor="page" w:x="4974" w:y="82"/>
            </w:pPr>
          </w:p>
        </w:tc>
        <w:tc>
          <w:tcPr>
            <w:tcW w:w="323" w:type="dxa"/>
            <w:tcBorders>
              <w:bottom w:val="single" w:sz="4" w:space="0" w:color="auto"/>
              <w:right w:val="single" w:sz="4" w:space="0" w:color="auto"/>
            </w:tcBorders>
            <w:vAlign w:val="center"/>
          </w:tcPr>
          <w:p w:rsidR="00757845" w:rsidRPr="00757845" w:rsidRDefault="00757845" w:rsidP="00757845">
            <w:pPr>
              <w:framePr w:hSpace="141" w:wrap="auto" w:vAnchor="text" w:hAnchor="page" w:x="4974" w:y="82"/>
            </w:pPr>
            <w: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pPr>
            <w:r>
              <w:t>9</w:t>
            </w:r>
          </w:p>
        </w:tc>
      </w:tr>
      <w:tr w:rsidR="00757845" w:rsidRPr="00757845" w:rsidTr="00757845">
        <w:trPr>
          <w:cantSplit/>
          <w:trHeight w:val="261"/>
        </w:trPr>
        <w:tc>
          <w:tcPr>
            <w:tcW w:w="420" w:type="dxa"/>
            <w:vMerge w:val="restart"/>
            <w:tcBorders>
              <w:top w:val="single" w:sz="4" w:space="0" w:color="auto"/>
              <w:left w:val="single" w:sz="4" w:space="0" w:color="auto"/>
              <w:bottom w:val="single" w:sz="4" w:space="0" w:color="auto"/>
              <w:right w:val="single" w:sz="4" w:space="0" w:color="auto"/>
            </w:tcBorders>
            <w:textDirection w:val="btLr"/>
          </w:tcPr>
          <w:p w:rsidR="00757845" w:rsidRPr="00757845" w:rsidRDefault="00757845" w:rsidP="00757845">
            <w:pPr>
              <w:framePr w:hSpace="141" w:wrap="auto" w:vAnchor="text" w:hAnchor="page" w:x="4974" w:y="82"/>
              <w:ind w:left="113" w:right="113"/>
              <w:jc w:val="center"/>
              <w:rPr>
                <w:color w:val="000000"/>
              </w:rPr>
            </w:pPr>
            <w:r>
              <w:rPr>
                <w:color w:val="000000"/>
              </w:rPr>
              <w:t xml:space="preserve">Sorte </w:t>
            </w:r>
            <w:r>
              <w:t>‚j‘</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1</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3</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4</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5</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6</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2</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7</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8</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r>
      <w:tr w:rsidR="00757845" w:rsidRPr="00757845" w:rsidTr="00757845">
        <w:trPr>
          <w:cantSplit/>
          <w:trHeight w:val="261"/>
        </w:trPr>
        <w:tc>
          <w:tcPr>
            <w:tcW w:w="420" w:type="dxa"/>
            <w:vMerge/>
            <w:tcBorders>
              <w:top w:val="single" w:sz="4" w:space="0" w:color="auto"/>
              <w:left w:val="single" w:sz="4" w:space="0" w:color="auto"/>
              <w:bottom w:val="single" w:sz="4" w:space="0" w:color="auto"/>
              <w:right w:val="single" w:sz="4" w:space="0" w:color="auto"/>
            </w:tcBorders>
          </w:tcPr>
          <w:p w:rsidR="00757845" w:rsidRPr="00757845" w:rsidRDefault="00757845" w:rsidP="00757845">
            <w:pPr>
              <w:framePr w:hSpace="141" w:wrap="auto" w:vAnchor="text" w:hAnchor="page" w:x="4974" w:y="82"/>
              <w:rPr>
                <w:color w:val="000000"/>
              </w:rPr>
            </w:pP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9</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 </w:t>
            </w:r>
          </w:p>
        </w:tc>
        <w:tc>
          <w:tcPr>
            <w:tcW w:w="323" w:type="dxa"/>
            <w:tcBorders>
              <w:top w:val="single" w:sz="4" w:space="0" w:color="auto"/>
              <w:left w:val="single" w:sz="4" w:space="0" w:color="auto"/>
              <w:bottom w:val="single" w:sz="4" w:space="0" w:color="auto"/>
              <w:right w:val="single" w:sz="4" w:space="0" w:color="auto"/>
            </w:tcBorders>
            <w:vAlign w:val="center"/>
          </w:tcPr>
          <w:p w:rsidR="00757845" w:rsidRPr="00757845" w:rsidRDefault="00757845" w:rsidP="00757845">
            <w:pPr>
              <w:framePr w:hSpace="141" w:wrap="auto" w:vAnchor="text" w:hAnchor="page" w:x="4974" w:y="82"/>
              <w:rPr>
                <w:color w:val="000000"/>
              </w:rPr>
            </w:pPr>
            <w:r>
              <w:rPr>
                <w:color w:val="000000"/>
              </w:rPr>
              <w:t>0</w:t>
            </w:r>
          </w:p>
        </w:tc>
      </w:tr>
    </w:tbl>
    <w:p w:rsidR="00757845" w:rsidRPr="00757845" w:rsidRDefault="00757845" w:rsidP="00757845">
      <w:pPr>
        <w:rPr>
          <w:color w:val="000000"/>
        </w:rPr>
      </w:pPr>
    </w:p>
    <w:p w:rsidR="00757845" w:rsidRPr="00757845" w:rsidRDefault="00757845" w:rsidP="00757845">
      <w:pPr>
        <w:ind w:left="1134"/>
        <w:rPr>
          <w:color w:val="000000"/>
        </w:rPr>
      </w:pPr>
      <w:r>
        <w:rPr>
          <w:color w:val="000000"/>
        </w:rPr>
        <w:t>1 = sehr kurz</w:t>
      </w:r>
    </w:p>
    <w:p w:rsidR="00757845" w:rsidRPr="00757845" w:rsidRDefault="00757845" w:rsidP="00757845">
      <w:pPr>
        <w:ind w:left="1134"/>
        <w:rPr>
          <w:color w:val="000000"/>
        </w:rPr>
      </w:pPr>
      <w:r>
        <w:rPr>
          <w:color w:val="000000"/>
        </w:rPr>
        <w:t>2 = sehr kurz bis kurz</w:t>
      </w:r>
    </w:p>
    <w:p w:rsidR="00757845" w:rsidRPr="00757845" w:rsidRDefault="00757845" w:rsidP="00757845">
      <w:pPr>
        <w:ind w:left="1134"/>
        <w:rPr>
          <w:color w:val="000000"/>
        </w:rPr>
      </w:pPr>
      <w:r>
        <w:rPr>
          <w:color w:val="000000"/>
        </w:rPr>
        <w:t>3 = kurz</w:t>
      </w:r>
    </w:p>
    <w:p w:rsidR="00757845" w:rsidRPr="00757845" w:rsidRDefault="00757845" w:rsidP="00757845">
      <w:pPr>
        <w:ind w:left="1134"/>
        <w:rPr>
          <w:color w:val="000000"/>
        </w:rPr>
      </w:pPr>
      <w:r>
        <w:rPr>
          <w:color w:val="000000"/>
        </w:rPr>
        <w:t>4 = kurz bis mittel</w:t>
      </w:r>
    </w:p>
    <w:p w:rsidR="00757845" w:rsidRPr="00757845" w:rsidRDefault="00757845" w:rsidP="00757845">
      <w:pPr>
        <w:ind w:left="1134"/>
        <w:rPr>
          <w:color w:val="000000"/>
        </w:rPr>
      </w:pPr>
      <w:r>
        <w:rPr>
          <w:color w:val="000000"/>
        </w:rPr>
        <w:t>5 = mittel</w:t>
      </w:r>
    </w:p>
    <w:p w:rsidR="00757845" w:rsidRPr="00757845" w:rsidRDefault="00757845" w:rsidP="00757845">
      <w:pPr>
        <w:ind w:left="1134"/>
        <w:rPr>
          <w:color w:val="000000"/>
        </w:rPr>
      </w:pPr>
      <w:r>
        <w:rPr>
          <w:color w:val="000000"/>
        </w:rPr>
        <w:t>6 = mittel bis lang</w:t>
      </w:r>
    </w:p>
    <w:p w:rsidR="00757845" w:rsidRPr="00757845" w:rsidRDefault="00757845" w:rsidP="00757845">
      <w:pPr>
        <w:ind w:left="1134"/>
        <w:rPr>
          <w:color w:val="000000"/>
        </w:rPr>
      </w:pPr>
      <w:r>
        <w:rPr>
          <w:color w:val="000000"/>
        </w:rPr>
        <w:t>7 = lang</w:t>
      </w:r>
    </w:p>
    <w:p w:rsidR="00757845" w:rsidRPr="00757845" w:rsidRDefault="00757845" w:rsidP="00757845">
      <w:pPr>
        <w:ind w:left="1134"/>
        <w:rPr>
          <w:color w:val="000000"/>
        </w:rPr>
      </w:pPr>
      <w:r>
        <w:rPr>
          <w:color w:val="000000"/>
        </w:rPr>
        <w:t>8 = lang bis sehr lang</w:t>
      </w:r>
    </w:p>
    <w:p w:rsidR="00757845" w:rsidRPr="00757845" w:rsidRDefault="00757845" w:rsidP="00757845">
      <w:pPr>
        <w:ind w:left="1134"/>
        <w:rPr>
          <w:color w:val="000000"/>
        </w:rPr>
      </w:pPr>
      <w:r>
        <w:rPr>
          <w:color w:val="000000"/>
        </w:rPr>
        <w:t>9 = sehr lang</w:t>
      </w:r>
    </w:p>
    <w:p w:rsidR="00757845" w:rsidRPr="00757845" w:rsidRDefault="00757845" w:rsidP="00757845">
      <w:pPr>
        <w:rPr>
          <w:color w:val="000000"/>
        </w:rPr>
      </w:pPr>
    </w:p>
    <w:p w:rsidR="00757845" w:rsidRPr="00757845" w:rsidRDefault="00757845" w:rsidP="00757845"/>
    <w:p w:rsidR="00757845" w:rsidRPr="00757845" w:rsidRDefault="00757845" w:rsidP="00757845"/>
    <w:p w:rsidR="00757845" w:rsidRPr="00757845" w:rsidRDefault="00757845" w:rsidP="00757845">
      <w:pPr>
        <w:rPr>
          <w:snapToGrid w:val="0"/>
        </w:rPr>
      </w:pPr>
    </w:p>
    <w:p w:rsidR="00757845" w:rsidRPr="00757845" w:rsidRDefault="00757845" w:rsidP="00757845">
      <w:pPr>
        <w:rPr>
          <w:snapToGrid w:val="0"/>
        </w:rPr>
      </w:pPr>
    </w:p>
    <w:p w:rsidR="00757845" w:rsidRPr="00757845" w:rsidRDefault="00757845" w:rsidP="00757845">
      <w:pPr>
        <w:tabs>
          <w:tab w:val="left" w:pos="1134"/>
        </w:tabs>
        <w:rPr>
          <w:color w:val="000000"/>
        </w:rPr>
      </w:pPr>
      <w:r>
        <w:rPr>
          <w:snapToGrid w:val="0"/>
        </w:rPr>
        <w:t>1</w:t>
      </w:r>
      <w:r>
        <w:t>.3.5.2.6</w:t>
      </w:r>
      <w:r>
        <w:tab/>
        <w:t>Die Gewichtung zwischen einer Sorte ‚i‘ mit sehr kurzen Lieschen (Note 1) und einer Sorte ‚j‘ mit kurzen Lieschen (Note 3) ist 0</w:t>
      </w:r>
      <w:r w:rsidR="00D164AC">
        <w:t xml:space="preserve">. </w:t>
      </w:r>
      <w:r>
        <w:t>Der Sachverständige betrachtet einen Unterschied von drei Noten als Mindestunterschied für die Erkennung eines Nicht null Abstands zwischen zwei Sorten</w:t>
      </w:r>
      <w:r w:rsidR="00D164AC">
        <w:t xml:space="preserve">. </w:t>
      </w:r>
      <w:r>
        <w:t>Selbst wenn der Unterschied bei den Noten größer als 3 ist, behält der Sachverständige die Abstandsgewichtung bei 2, während bei sehr zuverlässigen Merkmalen einem Unterschied von 1 eine Gewichtung von 6 zugeordnet wird.</w:t>
      </w:r>
    </w:p>
    <w:p w:rsidR="00757845" w:rsidRPr="00757845" w:rsidRDefault="00757845" w:rsidP="00757845">
      <w:pPr>
        <w:rPr>
          <w:rFonts w:cs="Arial"/>
        </w:rPr>
      </w:pPr>
    </w:p>
    <w:p w:rsidR="00757845" w:rsidRPr="00757845" w:rsidRDefault="00757845" w:rsidP="00757845">
      <w:pPr>
        <w:jc w:val="right"/>
        <w:rPr>
          <w:rFonts w:cs="Arial"/>
        </w:rPr>
      </w:pPr>
      <w:r>
        <w:t>[Anlage III folgt]</w:t>
      </w:r>
    </w:p>
    <w:p w:rsidR="00757845" w:rsidRPr="00757845" w:rsidRDefault="00757845" w:rsidP="00757845">
      <w:pPr>
        <w:rPr>
          <w:rFonts w:cs="Arial"/>
        </w:rPr>
        <w:sectPr w:rsidR="00757845" w:rsidRPr="00757845" w:rsidSect="00757845">
          <w:headerReference w:type="default" r:id="rId14"/>
          <w:headerReference w:type="first" r:id="rId15"/>
          <w:pgSz w:w="11907" w:h="16840" w:code="9"/>
          <w:pgMar w:top="510" w:right="1134" w:bottom="1134" w:left="1134" w:header="510" w:footer="680" w:gutter="0"/>
          <w:pgNumType w:start="1"/>
          <w:cols w:space="720"/>
          <w:titlePg/>
        </w:sectPr>
      </w:pPr>
    </w:p>
    <w:p w:rsidR="00757845" w:rsidRPr="00757845" w:rsidRDefault="00757845" w:rsidP="00757845">
      <w:pPr>
        <w:jc w:val="center"/>
        <w:rPr>
          <w:rFonts w:cs="Arial"/>
        </w:rPr>
      </w:pPr>
    </w:p>
    <w:p w:rsidR="00757845" w:rsidRPr="00757845" w:rsidRDefault="00757845" w:rsidP="00757845">
      <w:pPr>
        <w:jc w:val="center"/>
        <w:rPr>
          <w:rFonts w:cs="Arial"/>
        </w:rPr>
      </w:pPr>
      <w:r>
        <w:t>AUSZUG AUS DOKUMENT TGP/9/2 „PRÜFUNG DER UNTERSCHEIDBARKEIT“</w:t>
      </w:r>
    </w:p>
    <w:p w:rsidR="00757845" w:rsidRPr="00757845" w:rsidRDefault="00757845" w:rsidP="00757845">
      <w:pPr>
        <w:ind w:left="567" w:hanging="567"/>
      </w:pPr>
    </w:p>
    <w:p w:rsidR="00757845" w:rsidRPr="00757845" w:rsidRDefault="00757845" w:rsidP="00757845">
      <w:bookmarkStart w:id="52" w:name="_Toc156741069"/>
      <w:bookmarkStart w:id="53" w:name="_Toc434828681"/>
      <w:r>
        <w:t>ABSCHNITT 5:  PRÜFUNG DER UNTERSCHEIDBARKEIT AUFGRUND DER ANBAUPRÜFUNG</w:t>
      </w:r>
      <w:bookmarkEnd w:id="52"/>
      <w:bookmarkEnd w:id="53"/>
      <w:r>
        <w:t xml:space="preserve"> </w:t>
      </w:r>
    </w:p>
    <w:p w:rsidR="00757845" w:rsidRPr="00757845" w:rsidRDefault="00757845" w:rsidP="00757845">
      <w:pPr>
        <w:tabs>
          <w:tab w:val="left" w:pos="993"/>
          <w:tab w:val="left" w:pos="1843"/>
        </w:tabs>
        <w:rPr>
          <w:rFonts w:cs="Arial"/>
        </w:rPr>
      </w:pPr>
    </w:p>
    <w:p w:rsidR="00757845" w:rsidRPr="00757845" w:rsidRDefault="00757845" w:rsidP="00757845">
      <w:bookmarkStart w:id="54" w:name="_Toc156741071"/>
      <w:bookmarkStart w:id="55" w:name="_Toc434828683"/>
      <w:r>
        <w:rPr>
          <w:caps/>
        </w:rPr>
        <w:t>5.2</w:t>
      </w:r>
      <w:r>
        <w:rPr>
          <w:caps/>
        </w:rPr>
        <w:tab/>
        <w:t>Verfahren zur Prüfung der Unterscheidbarkeit</w:t>
      </w:r>
      <w:bookmarkEnd w:id="54"/>
      <w:bookmarkEnd w:id="55"/>
    </w:p>
    <w:p w:rsidR="00757845" w:rsidRPr="00757845" w:rsidRDefault="00757845" w:rsidP="00757845">
      <w:pPr>
        <w:rPr>
          <w:rFonts w:cs="Arial"/>
        </w:rPr>
      </w:pPr>
    </w:p>
    <w:p w:rsidR="00757845" w:rsidRPr="00757845" w:rsidRDefault="00757845" w:rsidP="00757845">
      <w:bookmarkStart w:id="56" w:name="_Toc156741077"/>
      <w:bookmarkStart w:id="57" w:name="_Toc434828689"/>
      <w:r>
        <w:t>5.2.3</w:t>
      </w:r>
      <w:r>
        <w:tab/>
        <w:t>Prüfung mittels Noten / einmaliger Erfassung von Sorten („Noten“)</w:t>
      </w:r>
      <w:bookmarkEnd w:id="56"/>
      <w:bookmarkEnd w:id="57"/>
      <w:r>
        <w:t xml:space="preserve"> </w:t>
      </w:r>
    </w:p>
    <w:p w:rsidR="00757845" w:rsidRPr="00757845" w:rsidRDefault="00757845" w:rsidP="00757845">
      <w:pPr>
        <w:rPr>
          <w:rFonts w:cs="Arial"/>
        </w:rPr>
      </w:pPr>
    </w:p>
    <w:p w:rsidR="00757845" w:rsidRPr="00757845" w:rsidRDefault="00757845" w:rsidP="00757845">
      <w:bookmarkStart w:id="58" w:name="_Toc156741079"/>
      <w:bookmarkStart w:id="59" w:name="_Toc434828691"/>
      <w:r>
        <w:t>5.2.3.2</w:t>
      </w:r>
      <w:r>
        <w:tab/>
        <w:t>Prüfung mittels Noten</w:t>
      </w:r>
      <w:bookmarkEnd w:id="58"/>
      <w:bookmarkEnd w:id="59"/>
    </w:p>
    <w:p w:rsidR="00757845" w:rsidRPr="00757845" w:rsidRDefault="00757845" w:rsidP="00757845">
      <w:pPr>
        <w:rPr>
          <w:rFonts w:cs="Arial"/>
        </w:rPr>
      </w:pPr>
      <w:r>
        <w:t>[…]</w:t>
      </w:r>
    </w:p>
    <w:p w:rsidR="00757845" w:rsidRPr="00757845" w:rsidRDefault="00757845" w:rsidP="00757845">
      <w:bookmarkStart w:id="60" w:name="_Toc434828693"/>
      <w:r>
        <w:t>5.2.3.2.2</w:t>
      </w:r>
      <w:r>
        <w:tab/>
        <w:t>Pseudoqualitative (PQ) Merkmale</w:t>
      </w:r>
      <w:bookmarkEnd w:id="60"/>
    </w:p>
    <w:p w:rsidR="00757845" w:rsidRPr="00757845" w:rsidRDefault="00757845" w:rsidP="00757845"/>
    <w:p w:rsidR="00757845" w:rsidRPr="00757845" w:rsidRDefault="00D164AC" w:rsidP="00757845">
      <w:pPr>
        <w:tabs>
          <w:tab w:val="left" w:pos="1134"/>
        </w:tabs>
        <w:rPr>
          <w:rFonts w:cs="Arial"/>
        </w:rPr>
      </w:pPr>
      <w:r>
        <w:t>5.2.3.2.2.1</w:t>
      </w:r>
      <w:r>
        <w:tab/>
      </w:r>
      <w:r w:rsidR="00757845">
        <w:t>Der Unterschied zwischen Noten, der die Unterscheidbarkeit für ein pseudoqualitatives Merkmal begründen kann, wird durch Faktoren wie Prüfungsort, Jahr und Umweltvariation innerhalb des Anbauversuchs bestimmt</w:t>
      </w:r>
      <w:r>
        <w:t xml:space="preserve">. </w:t>
      </w:r>
      <w:r w:rsidR="00757845">
        <w:t>Wie bei quantitativen Merkmalen ist die Skalenbreite (Anzahl Noten) ebenfalls unterschiedlich</w:t>
      </w:r>
      <w:r>
        <w:t xml:space="preserve">. Ein wichtiger zusätzlicher Faktor bei pseudoqualitativen Merkmalen ist hingegen, dass zwar ein Teil der </w:t>
      </w:r>
      <w:proofErr w:type="spellStart"/>
      <w:r>
        <w:t>Skalabreite</w:t>
      </w:r>
      <w:proofErr w:type="spellEnd"/>
      <w:r>
        <w:t xml:space="preserve"> kontinuierlich ist, jedoch keine gleichmäßige Verteilung über die Skala hinweg vorhanden ist, und dass das Merkmal in mehr als einer Dimension variiert (z. B. Form: eiförmig (1), elliptisch (2), rund (3), verkehrt eiförmig (4):  Es tritt Variation auf im Verhältnis Länge/Breite und in der Position der breitesten Stelle). </w:t>
      </w:r>
      <w:r w:rsidR="00757845">
        <w:t>Das bedeutet, dass es schwierig ist, eine allgemeine Regel für den Unterschied bei Noten zur Begründung der Unterscheidbarkeit innerhalb eines Merkmals festzulegen.</w:t>
      </w:r>
    </w:p>
    <w:p w:rsidR="00757845" w:rsidRPr="00757845" w:rsidRDefault="00757845" w:rsidP="00757845">
      <w:pPr>
        <w:tabs>
          <w:tab w:val="left" w:pos="1134"/>
        </w:tabs>
        <w:rPr>
          <w:rFonts w:cs="Arial"/>
        </w:rPr>
      </w:pPr>
      <w:r>
        <w:t>[…]</w:t>
      </w:r>
    </w:p>
    <w:p w:rsidR="00757845" w:rsidRPr="00757845" w:rsidRDefault="00757845" w:rsidP="00757845">
      <w:pPr>
        <w:tabs>
          <w:tab w:val="left" w:pos="1134"/>
        </w:tabs>
        <w:rPr>
          <w:rFonts w:cs="Arial"/>
        </w:rPr>
      </w:pPr>
      <w:r>
        <w:t>5.2.3.2.2.3</w:t>
      </w:r>
      <w:r>
        <w:tab/>
        <w:t>Die nachstehenden Beispiele verdeutlichen, weshalb die Entscheidung über den Unterschied in der Anzahl Noten, der für die Begründung der Unterscheidbarkeit zwischen Sorten erforderlich ist, besondere Beachtung benötigt:</w:t>
      </w:r>
    </w:p>
    <w:p w:rsidR="00757845" w:rsidRPr="00757845" w:rsidRDefault="00757845" w:rsidP="00757845">
      <w:pPr>
        <w:rPr>
          <w:rFonts w:cs="Arial"/>
        </w:rPr>
      </w:pPr>
    </w:p>
    <w:p w:rsidR="00757845" w:rsidRPr="00757845" w:rsidRDefault="00757845" w:rsidP="00757845">
      <w:pPr>
        <w:keepNext/>
        <w:ind w:left="851"/>
        <w:rPr>
          <w:rFonts w:cs="Arial"/>
          <w:i/>
        </w:rPr>
      </w:pPr>
      <w:r>
        <w:rPr>
          <w:i/>
        </w:rPr>
        <w:t xml:space="preserve">Beispiel 1: </w:t>
      </w:r>
    </w:p>
    <w:p w:rsidR="00757845" w:rsidRPr="00757845" w:rsidRDefault="00757845" w:rsidP="00757845">
      <w:pPr>
        <w:keepNext/>
        <w:ind w:left="851"/>
        <w:rPr>
          <w:rFonts w:cs="Arial"/>
        </w:rPr>
      </w:pPr>
    </w:p>
    <w:p w:rsidR="00757845" w:rsidRPr="00757845" w:rsidRDefault="00757845" w:rsidP="00757845">
      <w:pPr>
        <w:ind w:left="851"/>
        <w:rPr>
          <w:rFonts w:cs="Arial"/>
        </w:rPr>
      </w:pPr>
      <w:r>
        <w:t>Typ der Marmorierung:  nur diffus (1); diffus und in Flecken (2); diffus, in Flecken und in linearen Bändern (3); diffus und in linearen Bändern (4).</w:t>
      </w:r>
    </w:p>
    <w:p w:rsidR="00757845" w:rsidRPr="00757845" w:rsidRDefault="00757845" w:rsidP="00757845">
      <w:pPr>
        <w:ind w:left="851"/>
        <w:rPr>
          <w:rFonts w:cs="Arial"/>
        </w:rPr>
      </w:pPr>
    </w:p>
    <w:p w:rsidR="00757845" w:rsidRPr="00757845" w:rsidRDefault="00757845" w:rsidP="00757845">
      <w:pPr>
        <w:keepNext/>
        <w:ind w:left="851"/>
        <w:rPr>
          <w:rFonts w:cs="Arial"/>
          <w:i/>
        </w:rPr>
      </w:pPr>
      <w:r>
        <w:rPr>
          <w:i/>
        </w:rPr>
        <w:t>Beispiel 2:</w:t>
      </w:r>
    </w:p>
    <w:p w:rsidR="00757845" w:rsidRPr="00757845" w:rsidRDefault="00757845" w:rsidP="00757845">
      <w:pPr>
        <w:keepNext/>
        <w:ind w:left="851"/>
        <w:rPr>
          <w:rFonts w:cs="Arial"/>
          <w:i/>
        </w:rPr>
      </w:pPr>
    </w:p>
    <w:p w:rsidR="00757845" w:rsidRPr="00757845" w:rsidRDefault="00757845" w:rsidP="00757845">
      <w:pPr>
        <w:ind w:left="851"/>
      </w:pPr>
      <w:r>
        <w:t>Form:  breit elliptisch (1), mittel elliptisch (2), schmal elliptisch (3), eiförmig (4)</w:t>
      </w:r>
    </w:p>
    <w:p w:rsidR="00757845" w:rsidRPr="00757845" w:rsidRDefault="00757845" w:rsidP="00757845">
      <w:pPr>
        <w:ind w:left="851"/>
        <w:rPr>
          <w:rFonts w:cs="Arial"/>
        </w:rPr>
      </w:pPr>
    </w:p>
    <w:p w:rsidR="00757845" w:rsidRPr="00757845" w:rsidRDefault="00757845" w:rsidP="00757845">
      <w:pPr>
        <w:keepNext/>
        <w:ind w:left="851"/>
        <w:rPr>
          <w:rFonts w:cs="Arial"/>
          <w:i/>
        </w:rPr>
      </w:pPr>
      <w:r>
        <w:rPr>
          <w:i/>
        </w:rPr>
        <w:t>Beispiel 3:</w:t>
      </w:r>
    </w:p>
    <w:p w:rsidR="00757845" w:rsidRPr="00757845" w:rsidRDefault="00757845" w:rsidP="00757845">
      <w:pPr>
        <w:keepNext/>
        <w:ind w:left="851"/>
        <w:rPr>
          <w:rFonts w:cs="Arial"/>
        </w:rPr>
      </w:pPr>
    </w:p>
    <w:p w:rsidR="00757845" w:rsidRPr="00757845" w:rsidRDefault="00757845" w:rsidP="00757845">
      <w:pPr>
        <w:ind w:left="851"/>
      </w:pPr>
      <w:r>
        <w:t>Farbe:  grün (1), gelbgrün (2), grüngelb (3), gelb (4), orange (5), rot (6)</w:t>
      </w:r>
    </w:p>
    <w:p w:rsidR="00757845" w:rsidRPr="00757845" w:rsidRDefault="00757845" w:rsidP="00757845">
      <w:pPr>
        <w:ind w:left="851"/>
        <w:rPr>
          <w:rFonts w:cs="Arial"/>
        </w:rPr>
      </w:pPr>
    </w:p>
    <w:p w:rsidR="00757845" w:rsidRPr="00757845" w:rsidRDefault="00757845" w:rsidP="00757845">
      <w:pPr>
        <w:rPr>
          <w:rFonts w:cs="Arial"/>
        </w:rPr>
      </w:pPr>
      <w:r>
        <w:t>Bei den Beispielen 1 und 2 ist es nicht angebracht zu sagen, dass der „Unterschied“ zwischen Sorten mit den Stufen 1 und 2 geringer ist als zwischen Sorten mit den Stufen 1 und 4, obwohl sie eine bzw. drei Noten „verschieden“ sind</w:t>
      </w:r>
      <w:r w:rsidR="00D164AC">
        <w:t xml:space="preserve">. </w:t>
      </w:r>
      <w:r>
        <w:t>In einzelnen Fällen kann der Unterschied zwischen den Noten 2 und 3 beispielsweise größer sein als zwischen den Noten 1 und 4</w:t>
      </w:r>
      <w:r w:rsidR="00D164AC">
        <w:t xml:space="preserve">. </w:t>
      </w:r>
      <w:r>
        <w:t xml:space="preserve">Das Beispiel 3 zeigt jedoch, dass es in einzelnen Skalenbereichen einiger pseudoqualitativer Merkmale möglich sein könnte, ein ähnliches Vorgehen wie für quantitative Merkmale zu befolgen; z. B. zeigen Sorten mit den Stufen 2 und 3 (1 Note Unterschied) weniger Unterschied als diejenigen mit den Stufen 1 und 4 (3 Noten Unterschied). </w:t>
      </w:r>
    </w:p>
    <w:p w:rsidR="00757845" w:rsidRPr="00757845" w:rsidRDefault="00757845" w:rsidP="00757845">
      <w:pPr>
        <w:jc w:val="center"/>
        <w:rPr>
          <w:rFonts w:cs="Arial"/>
        </w:rPr>
      </w:pPr>
    </w:p>
    <w:p w:rsidR="00757845" w:rsidRPr="00757845" w:rsidRDefault="00757845" w:rsidP="00757845">
      <w:pPr>
        <w:rPr>
          <w:rFonts w:cs="Arial"/>
        </w:rPr>
      </w:pPr>
    </w:p>
    <w:p w:rsidR="00757845" w:rsidRPr="00757845" w:rsidRDefault="00757845" w:rsidP="00757845">
      <w:pPr>
        <w:rPr>
          <w:rFonts w:cs="Arial"/>
        </w:rPr>
      </w:pPr>
    </w:p>
    <w:p w:rsidR="00757845" w:rsidRPr="00757845" w:rsidRDefault="00757845" w:rsidP="00757845">
      <w:pPr>
        <w:jc w:val="right"/>
        <w:sectPr w:rsidR="00757845" w:rsidRPr="00757845" w:rsidSect="00757845">
          <w:headerReference w:type="first" r:id="rId16"/>
          <w:pgSz w:w="11907" w:h="16840" w:code="9"/>
          <w:pgMar w:top="510" w:right="1134" w:bottom="1134" w:left="1134" w:header="510" w:footer="680" w:gutter="0"/>
          <w:pgNumType w:start="1"/>
          <w:cols w:space="720"/>
          <w:titlePg/>
        </w:sectPr>
      </w:pPr>
      <w:r>
        <w:t>[Anlage IV folgt]</w:t>
      </w:r>
    </w:p>
    <w:p w:rsidR="00757845" w:rsidRPr="00757845" w:rsidRDefault="00757845" w:rsidP="00757845">
      <w:pPr>
        <w:jc w:val="center"/>
      </w:pPr>
      <w:r>
        <w:lastRenderedPageBreak/>
        <w:t>AUSZUG DOKUMENT TGP/14 „GLOSSAR DER IN DEN UPOV-DOKUMENTEN VERWENDETEN BEGRIFFE”</w:t>
      </w:r>
    </w:p>
    <w:p w:rsidR="00757845" w:rsidRPr="00757845" w:rsidRDefault="00757845" w:rsidP="00757845">
      <w:pPr>
        <w:jc w:val="center"/>
      </w:pPr>
    </w:p>
    <w:p w:rsidR="00757845" w:rsidRPr="00757845" w:rsidRDefault="00757845" w:rsidP="00757845">
      <w:pPr>
        <w:rPr>
          <w:caps/>
        </w:rPr>
      </w:pPr>
      <w:r>
        <w:rPr>
          <w:caps/>
        </w:rPr>
        <w:t>Unterabschnitt 2. Formen und Strukturen</w:t>
      </w:r>
    </w:p>
    <w:p w:rsidR="00757845" w:rsidRPr="00757845" w:rsidRDefault="00757845" w:rsidP="00757845"/>
    <w:p w:rsidR="00757845" w:rsidRPr="00757845" w:rsidRDefault="00757845" w:rsidP="00757845">
      <w:pPr>
        <w:numPr>
          <w:ilvl w:val="0"/>
          <w:numId w:val="1"/>
        </w:numPr>
        <w:ind w:left="567" w:hanging="567"/>
        <w:contextualSpacing/>
        <w:rPr>
          <w:u w:val="single"/>
        </w:rPr>
      </w:pPr>
      <w:r>
        <w:rPr>
          <w:u w:val="single"/>
        </w:rPr>
        <w:t>Form</w:t>
      </w:r>
    </w:p>
    <w:p w:rsidR="00757845" w:rsidRPr="00757845" w:rsidRDefault="00757845" w:rsidP="00757845">
      <w:pPr>
        <w:rPr>
          <w:u w:val="single"/>
        </w:rPr>
      </w:pPr>
      <w:r>
        <w:rPr>
          <w:u w:val="single"/>
        </w:rPr>
        <w:t>[…]</w:t>
      </w:r>
    </w:p>
    <w:p w:rsidR="00757845" w:rsidRPr="00757845" w:rsidRDefault="00757845" w:rsidP="00757845">
      <w:pPr>
        <w:rPr>
          <w:i/>
        </w:rPr>
      </w:pPr>
      <w:r>
        <w:rPr>
          <w:i/>
        </w:rPr>
        <w:t>2.</w:t>
      </w:r>
      <w:r>
        <w:rPr>
          <w:i/>
        </w:rPr>
        <w:tab/>
        <w:t>Entwicklung formbezogener Merkmale</w:t>
      </w:r>
    </w:p>
    <w:p w:rsidR="00757845" w:rsidRPr="00757845" w:rsidRDefault="00757845" w:rsidP="00757845">
      <w:r>
        <w:t>[…]</w:t>
      </w:r>
    </w:p>
    <w:p w:rsidR="00757845" w:rsidRPr="00757845" w:rsidRDefault="00757845" w:rsidP="00757845">
      <w:pPr>
        <w:ind w:left="567"/>
        <w:rPr>
          <w:u w:val="single"/>
        </w:rPr>
      </w:pPr>
      <w:r>
        <w:rPr>
          <w:u w:val="single"/>
        </w:rPr>
        <w:t>2.2</w:t>
      </w:r>
      <w:r>
        <w:rPr>
          <w:u w:val="single"/>
        </w:rPr>
        <w:tab/>
        <w:t>Rein zweidimensionale Formmerkmale</w:t>
      </w:r>
    </w:p>
    <w:p w:rsidR="00757845" w:rsidRPr="00757845" w:rsidRDefault="00757845" w:rsidP="00757845">
      <w:pPr>
        <w:ind w:left="567"/>
      </w:pPr>
      <w:r>
        <w:t>[…]</w:t>
      </w:r>
    </w:p>
    <w:p w:rsidR="00757845" w:rsidRPr="00757845" w:rsidRDefault="00757845" w:rsidP="00757845">
      <w:pPr>
        <w:ind w:left="567"/>
      </w:pPr>
    </w:p>
    <w:p w:rsidR="00757845" w:rsidRPr="00757845" w:rsidRDefault="00757845" w:rsidP="00757845">
      <w:pPr>
        <w:rPr>
          <w:i/>
        </w:rPr>
      </w:pPr>
      <w:r>
        <w:rPr>
          <w:i/>
        </w:rPr>
        <w:t>Beispiel 1: Zwischen den Sorten variiert nur das Verhältnis Länge/Breite</w:t>
      </w:r>
    </w:p>
    <w:p w:rsidR="00757845" w:rsidRPr="00757845" w:rsidRDefault="00757845" w:rsidP="00757845"/>
    <w:p w:rsidR="00757845" w:rsidRPr="00757845" w:rsidRDefault="00757845" w:rsidP="00757845">
      <w:pPr>
        <w:shd w:val="clear" w:color="auto" w:fill="FFFFFF"/>
        <w:ind w:left="360"/>
      </w:pPr>
      <w:r>
        <w:t>Alternative 1</w:t>
      </w:r>
    </w:p>
    <w:p w:rsidR="00757845" w:rsidRPr="00757845" w:rsidRDefault="00757845" w:rsidP="00757845">
      <w:pPr>
        <w:shd w:val="clear" w:color="auto" w:fill="FFFFFF"/>
        <w:ind w:left="567"/>
        <w:rPr>
          <w:rFonts w:cs="Angsana New"/>
          <w:szCs w:val="24"/>
        </w:rPr>
      </w:pPr>
      <w:r>
        <w:t>Pflanze [Pflanzenteil]:  Verhältnis Länge/Breite (klein bis groß) (QN)</w:t>
      </w:r>
    </w:p>
    <w:p w:rsidR="00757845" w:rsidRPr="00757845" w:rsidRDefault="00757845" w:rsidP="00757845">
      <w:pPr>
        <w:shd w:val="clear" w:color="auto" w:fill="FFFFFF"/>
        <w:ind w:left="360"/>
        <w:rPr>
          <w:rFonts w:cs="Angsana New"/>
          <w:szCs w:val="24"/>
          <w:lang w:bidi="th-TH"/>
        </w:rPr>
      </w:pPr>
    </w:p>
    <w:p w:rsidR="00757845" w:rsidRPr="00757845" w:rsidRDefault="00757845" w:rsidP="00757845">
      <w:pPr>
        <w:shd w:val="clear" w:color="auto" w:fill="FFFFFF"/>
        <w:ind w:left="360"/>
      </w:pPr>
      <w:r>
        <w:t>Alternative 2</w:t>
      </w:r>
    </w:p>
    <w:p w:rsidR="00757845" w:rsidRPr="00757845" w:rsidRDefault="00757845" w:rsidP="00757845">
      <w:pPr>
        <w:shd w:val="clear" w:color="auto" w:fill="FFFFFF"/>
        <w:ind w:left="562"/>
        <w:rPr>
          <w:rFonts w:cs="Angsana New"/>
          <w:szCs w:val="24"/>
        </w:rPr>
      </w:pPr>
      <w:r>
        <w:t>Pflanze [Pflanzenteil]:  Form (breit verkehrt eiförmig (1); mittel verkehrt eiförmig (2); schmal verkehrt eiförmig (3)) (QN)</w:t>
      </w:r>
    </w:p>
    <w:p w:rsidR="00757845" w:rsidRPr="00757845" w:rsidRDefault="00757845" w:rsidP="00757845">
      <w:pPr>
        <w:shd w:val="clear" w:color="auto" w:fill="FFFFFF"/>
        <w:ind w:left="562"/>
        <w:rPr>
          <w:rFonts w:cs="Angsana New"/>
          <w:i/>
          <w:szCs w:val="24"/>
          <w:lang w:bidi="th-TH"/>
        </w:rPr>
      </w:pPr>
    </w:p>
    <w:p w:rsidR="00757845" w:rsidRPr="00757845" w:rsidRDefault="00757845" w:rsidP="00757845">
      <w:pPr>
        <w:shd w:val="clear" w:color="auto" w:fill="FFFFFF"/>
        <w:ind w:left="562"/>
        <w:rPr>
          <w:rFonts w:cs="Angsana New"/>
          <w:szCs w:val="24"/>
        </w:rPr>
      </w:pPr>
      <w:r>
        <w:t>mit folgender Abbildung:</w:t>
      </w:r>
    </w:p>
    <w:p w:rsidR="00757845" w:rsidRPr="00757845" w:rsidRDefault="00757845" w:rsidP="00757845"/>
    <w:p w:rsidR="00757845" w:rsidRPr="00757845" w:rsidRDefault="00EE3E63" w:rsidP="00757845">
      <w:pPr>
        <w:jc w:val="center"/>
      </w:pPr>
      <w:r>
        <w:rPr>
          <w:noProof/>
          <w:lang w:val="en-US"/>
        </w:rPr>
        <w:drawing>
          <wp:inline distT="0" distB="0" distL="0" distR="0" wp14:anchorId="75AD6198" wp14:editId="078D6137">
            <wp:extent cx="3375660" cy="1076674"/>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375660" cy="1076674"/>
                    </a:xfrm>
                    <a:prstGeom prst="rect">
                      <a:avLst/>
                    </a:prstGeom>
                  </pic:spPr>
                </pic:pic>
              </a:graphicData>
            </a:graphic>
          </wp:inline>
        </w:drawing>
      </w:r>
    </w:p>
    <w:p w:rsidR="00757845" w:rsidRPr="00757845" w:rsidRDefault="00757845" w:rsidP="00757845"/>
    <w:p w:rsidR="00757845" w:rsidRPr="00757845" w:rsidRDefault="00757845" w:rsidP="00757845">
      <w:r>
        <w:t>[…]</w:t>
      </w:r>
    </w:p>
    <w:p w:rsidR="00757845" w:rsidRPr="00757845" w:rsidRDefault="00757845" w:rsidP="00757845"/>
    <w:p w:rsidR="00757845" w:rsidRPr="00757845" w:rsidRDefault="00757845" w:rsidP="00757845">
      <w:pPr>
        <w:rPr>
          <w:i/>
        </w:rPr>
      </w:pPr>
      <w:r>
        <w:rPr>
          <w:i/>
        </w:rPr>
        <w:t>Beispiel 2: Zwischen den Sorten variiert nur die Position des breitesten Teils</w:t>
      </w:r>
      <w:r w:rsidR="00D164AC">
        <w:rPr>
          <w:i/>
        </w:rPr>
        <w:t xml:space="preserve">. </w:t>
      </w:r>
    </w:p>
    <w:p w:rsidR="00757845" w:rsidRPr="00757845" w:rsidRDefault="00757845" w:rsidP="00757845"/>
    <w:p w:rsidR="00757845" w:rsidRPr="00757845" w:rsidRDefault="00757845" w:rsidP="00757845">
      <w:pPr>
        <w:ind w:left="360"/>
      </w:pPr>
      <w:r>
        <w:t>Alternative 1</w:t>
      </w:r>
    </w:p>
    <w:p w:rsidR="00757845" w:rsidRPr="00757845" w:rsidRDefault="00757845" w:rsidP="00757845">
      <w:pPr>
        <w:ind w:left="567"/>
        <w:rPr>
          <w:rFonts w:cs="Angsana New"/>
          <w:szCs w:val="24"/>
        </w:rPr>
      </w:pPr>
      <w:r>
        <w:t xml:space="preserve">Pflanze [Pflanzenteil]:  Position des breitesten Teils (zur Basis hin bis zum Apex hin) (QN) </w:t>
      </w:r>
    </w:p>
    <w:p w:rsidR="00757845" w:rsidRPr="00757845" w:rsidRDefault="00757845" w:rsidP="00757845"/>
    <w:p w:rsidR="00757845" w:rsidRPr="00757845" w:rsidRDefault="00757845" w:rsidP="00757845">
      <w:pPr>
        <w:shd w:val="clear" w:color="auto" w:fill="FFFFFF"/>
        <w:ind w:left="360"/>
      </w:pPr>
      <w:r>
        <w:t>Alternative 2</w:t>
      </w:r>
    </w:p>
    <w:p w:rsidR="00757845" w:rsidRPr="00757845" w:rsidRDefault="00757845" w:rsidP="00757845">
      <w:pPr>
        <w:shd w:val="clear" w:color="auto" w:fill="FFFFFF"/>
        <w:ind w:left="567"/>
        <w:rPr>
          <w:rFonts w:cs="Angsana New"/>
          <w:szCs w:val="24"/>
        </w:rPr>
      </w:pPr>
      <w:r>
        <w:t>Pflanze [Pflanzenteil]:  Form (eiförmig (1); elliptisch (2); verkehrt eiförmig (3)) (QN)</w:t>
      </w:r>
    </w:p>
    <w:p w:rsidR="00757845" w:rsidRPr="00757845" w:rsidRDefault="00757845" w:rsidP="00757845">
      <w:pPr>
        <w:shd w:val="clear" w:color="auto" w:fill="FFFFFF"/>
        <w:ind w:left="567"/>
        <w:rPr>
          <w:rFonts w:cs="Angsana New"/>
          <w:szCs w:val="24"/>
          <w:lang w:bidi="th-TH"/>
        </w:rPr>
      </w:pPr>
    </w:p>
    <w:p w:rsidR="00757845" w:rsidRPr="00757845" w:rsidRDefault="00757845" w:rsidP="00757845">
      <w:pPr>
        <w:shd w:val="clear" w:color="auto" w:fill="FFFFFF"/>
        <w:ind w:left="562"/>
        <w:rPr>
          <w:rFonts w:cs="Angsana New"/>
          <w:szCs w:val="24"/>
        </w:rPr>
      </w:pPr>
      <w:r>
        <w:t>mit folgender Abbildung:</w:t>
      </w:r>
    </w:p>
    <w:p w:rsidR="00757845" w:rsidRPr="00757845" w:rsidRDefault="00EE3E63" w:rsidP="00757845">
      <w:pPr>
        <w:jc w:val="center"/>
      </w:pPr>
      <w:r>
        <w:rPr>
          <w:noProof/>
          <w:lang w:val="en-US"/>
        </w:rPr>
        <w:drawing>
          <wp:inline distT="0" distB="0" distL="0" distR="0" wp14:anchorId="28ED7225" wp14:editId="3840CE15">
            <wp:extent cx="2948940" cy="916365"/>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48940" cy="916365"/>
                    </a:xfrm>
                    <a:prstGeom prst="rect">
                      <a:avLst/>
                    </a:prstGeom>
                  </pic:spPr>
                </pic:pic>
              </a:graphicData>
            </a:graphic>
          </wp:inline>
        </w:drawing>
      </w:r>
    </w:p>
    <w:p w:rsidR="00757845" w:rsidRPr="00757845" w:rsidRDefault="00757845" w:rsidP="00757845">
      <w:pPr>
        <w:rPr>
          <w:i/>
        </w:rPr>
      </w:pPr>
    </w:p>
    <w:p w:rsidR="00757845" w:rsidRPr="00757845" w:rsidRDefault="00757845" w:rsidP="00757845">
      <w:r>
        <w:t>[…]</w:t>
      </w:r>
    </w:p>
    <w:p w:rsidR="00757845" w:rsidRPr="00757845" w:rsidRDefault="00757845" w:rsidP="00757845">
      <w:pPr>
        <w:rPr>
          <w:i/>
        </w:rPr>
      </w:pPr>
    </w:p>
    <w:p w:rsidR="00757845" w:rsidRPr="00757845" w:rsidRDefault="00757845" w:rsidP="00757845">
      <w:pPr>
        <w:rPr>
          <w:i/>
        </w:rPr>
      </w:pPr>
      <w:r>
        <w:rPr>
          <w:i/>
        </w:rPr>
        <w:t xml:space="preserve">Beispiel 3: Zwischen den Sorten variieren das Verhältnis Länge/Breite, die Form der Basis und der seitliche </w:t>
      </w:r>
      <w:proofErr w:type="spellStart"/>
      <w:r>
        <w:rPr>
          <w:i/>
        </w:rPr>
        <w:t>Umriß</w:t>
      </w:r>
      <w:proofErr w:type="spellEnd"/>
      <w:r w:rsidR="00D164AC">
        <w:rPr>
          <w:i/>
        </w:rPr>
        <w:t xml:space="preserve">. </w:t>
      </w:r>
    </w:p>
    <w:p w:rsidR="00757845" w:rsidRPr="00757845" w:rsidRDefault="00757845" w:rsidP="00757845">
      <w:pPr>
        <w:ind w:left="992"/>
      </w:pPr>
    </w:p>
    <w:p w:rsidR="00757845" w:rsidRPr="00757845" w:rsidRDefault="00757845" w:rsidP="00757845">
      <w:pPr>
        <w:ind w:left="360"/>
      </w:pPr>
      <w:r>
        <w:t>Alternative 1</w:t>
      </w:r>
    </w:p>
    <w:p w:rsidR="00757845" w:rsidRPr="00757845" w:rsidRDefault="00757845" w:rsidP="00757845">
      <w:pPr>
        <w:ind w:left="567"/>
        <w:rPr>
          <w:rFonts w:cs="Angsana New"/>
          <w:szCs w:val="24"/>
        </w:rPr>
      </w:pPr>
      <w:r>
        <w:t xml:space="preserve">Pflanze [Pflanzenteil]:  Verhältnis Länge/Breite (klein bis groß) (QN) </w:t>
      </w:r>
    </w:p>
    <w:p w:rsidR="00757845" w:rsidRPr="00757845" w:rsidRDefault="00757845" w:rsidP="00757845">
      <w:pPr>
        <w:ind w:left="567"/>
        <w:rPr>
          <w:rFonts w:cs="Angsana New"/>
          <w:szCs w:val="24"/>
        </w:rPr>
      </w:pPr>
      <w:r>
        <w:t>Pflanze [Pflanzenteil]: Form der Basis (spitz, stumpf, abgerundet) (PQ)</w:t>
      </w:r>
    </w:p>
    <w:p w:rsidR="00757845" w:rsidRPr="00757845" w:rsidRDefault="00757845" w:rsidP="00757845">
      <w:pPr>
        <w:ind w:left="567"/>
        <w:rPr>
          <w:rFonts w:cs="Angsana New"/>
          <w:szCs w:val="24"/>
        </w:rPr>
      </w:pPr>
      <w:r>
        <w:t xml:space="preserve">Pflanze [Pflanzenteil]: seitlicher </w:t>
      </w:r>
      <w:proofErr w:type="spellStart"/>
      <w:r>
        <w:t>Umriß</w:t>
      </w:r>
      <w:proofErr w:type="spellEnd"/>
      <w:r>
        <w:t xml:space="preserve"> (deutlich abgerundet bis deutlich dreieckig) (QN)</w:t>
      </w:r>
    </w:p>
    <w:p w:rsidR="00757845" w:rsidRPr="00757845" w:rsidRDefault="00757845" w:rsidP="00757845">
      <w:pPr>
        <w:ind w:left="360"/>
      </w:pPr>
    </w:p>
    <w:p w:rsidR="00757845" w:rsidRPr="00757845" w:rsidRDefault="00757845" w:rsidP="00757845">
      <w:pPr>
        <w:ind w:left="360"/>
      </w:pPr>
    </w:p>
    <w:p w:rsidR="00757845" w:rsidRPr="00757845" w:rsidRDefault="00757845" w:rsidP="00A35E77">
      <w:pPr>
        <w:keepNext/>
        <w:shd w:val="clear" w:color="auto" w:fill="FFFFFF"/>
        <w:ind w:left="360"/>
      </w:pPr>
      <w:bookmarkStart w:id="61" w:name="_GoBack"/>
      <w:r>
        <w:lastRenderedPageBreak/>
        <w:t>Alternative 2</w:t>
      </w:r>
    </w:p>
    <w:p w:rsidR="00757845" w:rsidRPr="00757845" w:rsidRDefault="00757845" w:rsidP="00A35E77">
      <w:pPr>
        <w:keepNext/>
        <w:ind w:left="1701" w:hanging="1134"/>
        <w:jc w:val="left"/>
      </w:pPr>
      <w:r>
        <w:t>Pflanze [Pflanzenteil]:  Form (breit eiförmig (1); mittel eiförmig (2); mittel rautenförmig (3);</w:t>
      </w:r>
      <w:r>
        <w:cr/>
      </w:r>
      <w:r>
        <w:br/>
      </w:r>
      <w:bookmarkEnd w:id="61"/>
      <w:r>
        <w:t>schmal eiförmig (4); schmal rautenförmig (5)) (PQ)</w:t>
      </w:r>
    </w:p>
    <w:p w:rsidR="00757845" w:rsidRPr="00757845" w:rsidRDefault="00757845" w:rsidP="00757845">
      <w:pPr>
        <w:shd w:val="clear" w:color="auto" w:fill="FFFFFF"/>
        <w:ind w:left="360"/>
      </w:pPr>
    </w:p>
    <w:p w:rsidR="00757845" w:rsidRPr="00757845" w:rsidRDefault="00757845" w:rsidP="00757845">
      <w:pPr>
        <w:shd w:val="clear" w:color="auto" w:fill="FFFFFF"/>
        <w:ind w:left="562"/>
        <w:rPr>
          <w:rFonts w:cs="Angsana New"/>
          <w:szCs w:val="24"/>
        </w:rPr>
      </w:pPr>
      <w:r>
        <w:t>mit folgender Abbildung:</w:t>
      </w:r>
    </w:p>
    <w:p w:rsidR="00757845" w:rsidRPr="00757845" w:rsidRDefault="00EE3E63" w:rsidP="00757845">
      <w:pPr>
        <w:jc w:val="center"/>
        <w:rPr>
          <w:i/>
        </w:rPr>
      </w:pPr>
      <w:r>
        <w:rPr>
          <w:noProof/>
          <w:lang w:val="en-US"/>
        </w:rPr>
        <w:drawing>
          <wp:inline distT="0" distB="0" distL="0" distR="0" wp14:anchorId="723D978A" wp14:editId="4931834D">
            <wp:extent cx="3933646" cy="2606040"/>
            <wp:effectExtent l="0" t="0" r="0" b="381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933646" cy="2606040"/>
                    </a:xfrm>
                    <a:prstGeom prst="rect">
                      <a:avLst/>
                    </a:prstGeom>
                  </pic:spPr>
                </pic:pic>
              </a:graphicData>
            </a:graphic>
          </wp:inline>
        </w:drawing>
      </w:r>
    </w:p>
    <w:p w:rsidR="00757845" w:rsidRPr="00757845" w:rsidRDefault="00757845" w:rsidP="00757845">
      <w:pPr>
        <w:rPr>
          <w:i/>
        </w:rPr>
      </w:pPr>
    </w:p>
    <w:p w:rsidR="00757845" w:rsidRPr="00757845" w:rsidRDefault="00757845" w:rsidP="00757845">
      <w:pPr>
        <w:jc w:val="right"/>
        <w:rPr>
          <w:noProof/>
        </w:rPr>
      </w:pPr>
    </w:p>
    <w:p w:rsidR="00757845" w:rsidRPr="00757845" w:rsidRDefault="00757845" w:rsidP="00757845">
      <w:pPr>
        <w:jc w:val="right"/>
        <w:rPr>
          <w:noProof/>
        </w:rPr>
      </w:pPr>
    </w:p>
    <w:p w:rsidR="00757845" w:rsidRPr="00757845" w:rsidRDefault="00757845" w:rsidP="00757845">
      <w:pPr>
        <w:jc w:val="right"/>
        <w:rPr>
          <w:noProof/>
        </w:rPr>
      </w:pPr>
    </w:p>
    <w:p w:rsidR="00757845" w:rsidRPr="00757845" w:rsidRDefault="00757845" w:rsidP="00757845">
      <w:pPr>
        <w:jc w:val="right"/>
        <w:rPr>
          <w:noProof/>
        </w:rPr>
      </w:pPr>
      <w:r>
        <w:t>[Ende der Anlage IV und des Dokuments]</w:t>
      </w:r>
    </w:p>
    <w:p w:rsidR="00050E16" w:rsidRPr="00C5280D" w:rsidRDefault="00050E16" w:rsidP="00757845"/>
    <w:sectPr w:rsidR="00050E16" w:rsidRPr="00C5280D" w:rsidSect="00906DDC">
      <w:headerReference w:type="default" r:id="rId20"/>
      <w:headerReference w:type="firs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A2B" w:rsidRDefault="00731A2B" w:rsidP="006655D3">
      <w:r>
        <w:separator/>
      </w:r>
    </w:p>
    <w:p w:rsidR="00731A2B" w:rsidRDefault="00731A2B" w:rsidP="006655D3"/>
    <w:p w:rsidR="00731A2B" w:rsidRDefault="00731A2B" w:rsidP="006655D3"/>
  </w:endnote>
  <w:endnote w:type="continuationSeparator" w:id="0">
    <w:p w:rsidR="00731A2B" w:rsidRDefault="00731A2B" w:rsidP="006655D3">
      <w:r>
        <w:separator/>
      </w:r>
    </w:p>
    <w:p w:rsidR="00731A2B" w:rsidRPr="00294751" w:rsidRDefault="00731A2B">
      <w:pPr>
        <w:pStyle w:val="Footer"/>
        <w:spacing w:after="60"/>
        <w:rPr>
          <w:sz w:val="18"/>
          <w:lang w:val="fr-FR"/>
        </w:rPr>
      </w:pPr>
      <w:r w:rsidRPr="00294751">
        <w:rPr>
          <w:sz w:val="18"/>
          <w:lang w:val="fr-FR"/>
        </w:rPr>
        <w:t>[Suite de la note de la page précédente]</w:t>
      </w:r>
    </w:p>
    <w:p w:rsidR="00731A2B" w:rsidRPr="00294751" w:rsidRDefault="00731A2B" w:rsidP="006655D3">
      <w:pPr>
        <w:rPr>
          <w:lang w:val="fr-FR"/>
        </w:rPr>
      </w:pPr>
    </w:p>
    <w:p w:rsidR="00731A2B" w:rsidRPr="00294751" w:rsidRDefault="00731A2B" w:rsidP="006655D3">
      <w:pPr>
        <w:rPr>
          <w:lang w:val="fr-FR"/>
        </w:rPr>
      </w:pPr>
    </w:p>
  </w:endnote>
  <w:endnote w:type="continuationNotice" w:id="1">
    <w:p w:rsidR="00731A2B" w:rsidRPr="00294751" w:rsidRDefault="00731A2B" w:rsidP="006655D3">
      <w:pPr>
        <w:rPr>
          <w:lang w:val="fr-FR"/>
        </w:rPr>
      </w:pPr>
      <w:r w:rsidRPr="00294751">
        <w:rPr>
          <w:lang w:val="fr-FR"/>
        </w:rPr>
        <w:t>[Suite de la note page suivante]</w:t>
      </w:r>
    </w:p>
    <w:p w:rsidR="00731A2B" w:rsidRPr="00294751" w:rsidRDefault="00731A2B" w:rsidP="006655D3">
      <w:pPr>
        <w:rPr>
          <w:lang w:val="fr-FR"/>
        </w:rPr>
      </w:pPr>
    </w:p>
    <w:p w:rsidR="00731A2B" w:rsidRPr="00294751" w:rsidRDefault="00731A2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A2B" w:rsidRDefault="00731A2B" w:rsidP="006655D3">
      <w:r>
        <w:separator/>
      </w:r>
    </w:p>
  </w:footnote>
  <w:footnote w:type="continuationSeparator" w:id="0">
    <w:p w:rsidR="00731A2B" w:rsidRDefault="00731A2B" w:rsidP="006655D3">
      <w:r>
        <w:separator/>
      </w:r>
    </w:p>
  </w:footnote>
  <w:footnote w:type="continuationNotice" w:id="1">
    <w:p w:rsidR="00731A2B" w:rsidRPr="00AB530F" w:rsidRDefault="00731A2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C5280D" w:rsidRDefault="002B39F1" w:rsidP="00EB048E">
    <w:pPr>
      <w:pStyle w:val="Header"/>
      <w:rPr>
        <w:rStyle w:val="PageNumber"/>
      </w:rPr>
    </w:pPr>
    <w:r>
      <w:t>TC/55/INF/9</w:t>
    </w:r>
  </w:p>
  <w:p w:rsidR="002B39F1" w:rsidRPr="00C5280D" w:rsidRDefault="002B39F1"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35E77">
      <w:rPr>
        <w:rStyle w:val="PageNumber"/>
        <w:noProof/>
      </w:rPr>
      <w:t>4</w:t>
    </w:r>
    <w:r w:rsidRPr="00C5280D">
      <w:rPr>
        <w:rStyle w:val="PageNumber"/>
      </w:rPr>
      <w:fldChar w:fldCharType="end"/>
    </w:r>
  </w:p>
  <w:p w:rsidR="002B39F1" w:rsidRPr="00C5280D" w:rsidRDefault="002B39F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C5280D" w:rsidRDefault="00BE64A4" w:rsidP="00EB048E">
    <w:pPr>
      <w:pStyle w:val="Header"/>
      <w:rPr>
        <w:rStyle w:val="PageNumber"/>
      </w:rPr>
    </w:pPr>
    <w:r>
      <w:t>TC/55/INF/9</w:t>
    </w:r>
  </w:p>
  <w:p w:rsidR="002B39F1" w:rsidRPr="00C5280D" w:rsidRDefault="002B39F1" w:rsidP="00EB048E">
    <w:pPr>
      <w:pStyle w:val="Header"/>
    </w:pPr>
    <w:r>
      <w:t>Anlage</w:t>
    </w:r>
    <w:r w:rsidR="00BE64A4">
      <w:t xml:space="preserve"> I</w:t>
    </w:r>
    <w:r>
      <w:t xml:space="preserv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E64A4">
      <w:rPr>
        <w:rStyle w:val="PageNumber"/>
        <w:noProof/>
      </w:rPr>
      <w:t>2</w:t>
    </w:r>
    <w:r w:rsidRPr="00C5280D">
      <w:rPr>
        <w:rStyle w:val="PageNumber"/>
      </w:rPr>
      <w:fldChar w:fldCharType="end"/>
    </w:r>
  </w:p>
  <w:p w:rsidR="002B39F1" w:rsidRPr="00C5280D" w:rsidRDefault="002B39F1" w:rsidP="006655D3"/>
  <w:p w:rsidR="002B39F1" w:rsidRDefault="002B39F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C5280D" w:rsidRDefault="002B39F1" w:rsidP="00757845">
    <w:pPr>
      <w:pStyle w:val="Header"/>
      <w:rPr>
        <w:rStyle w:val="PageNumber"/>
      </w:rPr>
    </w:pPr>
    <w:r>
      <w:t>TC/55/INF/9</w:t>
    </w:r>
  </w:p>
  <w:p w:rsidR="002B39F1" w:rsidRDefault="002B39F1" w:rsidP="00757845">
    <w:pPr>
      <w:pStyle w:val="Header"/>
      <w:rPr>
        <w:lang w:val="en-US"/>
      </w:rPr>
    </w:pPr>
  </w:p>
  <w:p w:rsidR="002B39F1" w:rsidRPr="00C5280D" w:rsidRDefault="002B39F1" w:rsidP="00757845">
    <w:pPr>
      <w:pStyle w:val="Header"/>
    </w:pPr>
    <w:r>
      <w:t>ANLAGE I</w:t>
    </w:r>
  </w:p>
  <w:p w:rsidR="002B39F1" w:rsidRDefault="002B39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80437E" w:rsidRDefault="002B39F1" w:rsidP="00EB048E">
    <w:pPr>
      <w:pStyle w:val="Header"/>
      <w:rPr>
        <w:rStyle w:val="PageNumber"/>
      </w:rPr>
    </w:pPr>
    <w:r>
      <w:t>TC/55/INF/9</w:t>
    </w:r>
  </w:p>
  <w:p w:rsidR="002B39F1" w:rsidRPr="0080437E" w:rsidRDefault="002B39F1" w:rsidP="00EB048E">
    <w:pPr>
      <w:pStyle w:val="Header"/>
    </w:pPr>
    <w:r>
      <w:t xml:space="preserve">Anlage II, Seite </w:t>
    </w:r>
    <w:r w:rsidRPr="00C5280D">
      <w:rPr>
        <w:rStyle w:val="PageNumber"/>
      </w:rPr>
      <w:fldChar w:fldCharType="begin"/>
    </w:r>
    <w:r w:rsidRPr="0080437E">
      <w:rPr>
        <w:rStyle w:val="PageNumber"/>
      </w:rPr>
      <w:instrText xml:space="preserve"> PAGE </w:instrText>
    </w:r>
    <w:r w:rsidRPr="00C5280D">
      <w:rPr>
        <w:rStyle w:val="PageNumber"/>
      </w:rPr>
      <w:fldChar w:fldCharType="separate"/>
    </w:r>
    <w:r w:rsidR="00BE64A4">
      <w:rPr>
        <w:rStyle w:val="PageNumber"/>
        <w:noProof/>
      </w:rPr>
      <w:t>2</w:t>
    </w:r>
    <w:r w:rsidRPr="00C5280D">
      <w:rPr>
        <w:rStyle w:val="PageNumber"/>
      </w:rPr>
      <w:fldChar w:fldCharType="end"/>
    </w:r>
  </w:p>
  <w:p w:rsidR="002B39F1" w:rsidRPr="00D164AC" w:rsidRDefault="002B39F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C5280D" w:rsidRDefault="002B39F1" w:rsidP="00757845">
    <w:pPr>
      <w:pStyle w:val="Header"/>
      <w:rPr>
        <w:rStyle w:val="PageNumber"/>
      </w:rPr>
    </w:pPr>
    <w:r>
      <w:t>TC/55/INF/9</w:t>
    </w:r>
  </w:p>
  <w:p w:rsidR="002B39F1" w:rsidRDefault="002B39F1" w:rsidP="00757845">
    <w:pPr>
      <w:pStyle w:val="Header"/>
      <w:rPr>
        <w:lang w:val="en-US"/>
      </w:rPr>
    </w:pPr>
  </w:p>
  <w:p w:rsidR="002B39F1" w:rsidRPr="00C5280D" w:rsidRDefault="002B39F1" w:rsidP="00757845">
    <w:pPr>
      <w:pStyle w:val="Header"/>
    </w:pPr>
    <w:r>
      <w:t>ANLAGE II</w:t>
    </w:r>
  </w:p>
  <w:p w:rsidR="002B39F1" w:rsidRDefault="002B39F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Default="002B39F1" w:rsidP="00757845">
    <w:pPr>
      <w:pStyle w:val="Header"/>
    </w:pPr>
    <w:r>
      <w:t>TC/55/INF/9</w:t>
    </w:r>
  </w:p>
  <w:p w:rsidR="002B39F1" w:rsidRDefault="002B39F1" w:rsidP="00757845">
    <w:pPr>
      <w:pStyle w:val="Header"/>
      <w:rPr>
        <w:lang w:val="en-US"/>
      </w:rPr>
    </w:pPr>
  </w:p>
  <w:p w:rsidR="002B39F1" w:rsidRPr="00C5280D" w:rsidRDefault="002B39F1" w:rsidP="00757845">
    <w:pPr>
      <w:pStyle w:val="Header"/>
    </w:pPr>
    <w:r>
      <w:t>ANLAGE III</w:t>
    </w:r>
  </w:p>
  <w:p w:rsidR="002B39F1" w:rsidRDefault="002B39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Pr="00253418" w:rsidRDefault="002B39F1" w:rsidP="00EB048E">
    <w:pPr>
      <w:pStyle w:val="Header"/>
      <w:rPr>
        <w:rStyle w:val="PageNumber"/>
      </w:rPr>
    </w:pPr>
    <w:r>
      <w:rPr>
        <w:rStyle w:val="PageNumber"/>
      </w:rPr>
      <w:t>TC/55/INF/9</w:t>
    </w:r>
  </w:p>
  <w:p w:rsidR="002B39F1" w:rsidRPr="00253418" w:rsidRDefault="002B39F1" w:rsidP="00EB048E">
    <w:pPr>
      <w:pStyle w:val="Header"/>
    </w:pPr>
    <w:r>
      <w:t xml:space="preserve">Anlage IV, Seite </w:t>
    </w:r>
    <w:r w:rsidRPr="00C5280D">
      <w:rPr>
        <w:rStyle w:val="PageNumber"/>
      </w:rPr>
      <w:fldChar w:fldCharType="begin"/>
    </w:r>
    <w:r w:rsidRPr="00253418">
      <w:rPr>
        <w:rStyle w:val="PageNumber"/>
      </w:rPr>
      <w:instrText xml:space="preserve"> PAGE </w:instrText>
    </w:r>
    <w:r w:rsidRPr="00C5280D">
      <w:rPr>
        <w:rStyle w:val="PageNumber"/>
      </w:rPr>
      <w:fldChar w:fldCharType="separate"/>
    </w:r>
    <w:r w:rsidR="00A35E77">
      <w:rPr>
        <w:rStyle w:val="PageNumber"/>
        <w:noProof/>
      </w:rPr>
      <w:t>3</w:t>
    </w:r>
    <w:r w:rsidRPr="00C5280D">
      <w:rPr>
        <w:rStyle w:val="PageNumber"/>
      </w:rPr>
      <w:fldChar w:fldCharType="end"/>
    </w:r>
  </w:p>
  <w:p w:rsidR="002B39F1" w:rsidRPr="00D164AC" w:rsidRDefault="002B39F1" w:rsidP="006655D3"/>
  <w:p w:rsidR="002B39F1" w:rsidRPr="00D164AC" w:rsidRDefault="002B39F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F1" w:rsidRDefault="002B39F1" w:rsidP="00757845">
    <w:pPr>
      <w:pStyle w:val="Header"/>
    </w:pPr>
    <w:r>
      <w:t>TC/55/INF/9</w:t>
    </w:r>
  </w:p>
  <w:p w:rsidR="002B39F1" w:rsidRDefault="002B39F1" w:rsidP="00757845">
    <w:pPr>
      <w:pStyle w:val="Header"/>
      <w:rPr>
        <w:lang w:val="en-US"/>
      </w:rPr>
    </w:pPr>
  </w:p>
  <w:p w:rsidR="002B39F1" w:rsidRPr="00C5280D" w:rsidRDefault="002B39F1" w:rsidP="00757845">
    <w:pPr>
      <w:pStyle w:val="Header"/>
    </w:pPr>
    <w:r>
      <w:t>ANLAGE IV</w:t>
    </w:r>
  </w:p>
  <w:p w:rsidR="002B39F1" w:rsidRDefault="002B3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793F"/>
    <w:multiLevelType w:val="hybridMultilevel"/>
    <w:tmpl w:val="CB4A5EEE"/>
    <w:lvl w:ilvl="0" w:tplc="4CC44B2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15:restartNumberingAfterBreak="0">
    <w:nsid w:val="6B875AE7"/>
    <w:multiLevelType w:val="hybridMultilevel"/>
    <w:tmpl w:val="3894D25C"/>
    <w:lvl w:ilvl="0" w:tplc="86FCE2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61C3"/>
    <w:rsid w:val="0011634F"/>
    <w:rsid w:val="00141DB8"/>
    <w:rsid w:val="001548C8"/>
    <w:rsid w:val="00172084"/>
    <w:rsid w:val="0017474A"/>
    <w:rsid w:val="001758C6"/>
    <w:rsid w:val="00182B99"/>
    <w:rsid w:val="00183D24"/>
    <w:rsid w:val="001A473A"/>
    <w:rsid w:val="001D36AC"/>
    <w:rsid w:val="001F113B"/>
    <w:rsid w:val="0021332C"/>
    <w:rsid w:val="00213982"/>
    <w:rsid w:val="0022459F"/>
    <w:rsid w:val="0024416D"/>
    <w:rsid w:val="00253418"/>
    <w:rsid w:val="00271911"/>
    <w:rsid w:val="00271BE8"/>
    <w:rsid w:val="002800A0"/>
    <w:rsid w:val="002801B3"/>
    <w:rsid w:val="00281060"/>
    <w:rsid w:val="002940E8"/>
    <w:rsid w:val="00294751"/>
    <w:rsid w:val="002A6E50"/>
    <w:rsid w:val="002B39F1"/>
    <w:rsid w:val="002B4298"/>
    <w:rsid w:val="002C256A"/>
    <w:rsid w:val="00304827"/>
    <w:rsid w:val="00305A7F"/>
    <w:rsid w:val="003072C2"/>
    <w:rsid w:val="003152FE"/>
    <w:rsid w:val="00315710"/>
    <w:rsid w:val="00321EDE"/>
    <w:rsid w:val="00327436"/>
    <w:rsid w:val="003418E6"/>
    <w:rsid w:val="00344BD6"/>
    <w:rsid w:val="00352B9A"/>
    <w:rsid w:val="0035528D"/>
    <w:rsid w:val="00361821"/>
    <w:rsid w:val="00361E9E"/>
    <w:rsid w:val="00382007"/>
    <w:rsid w:val="003C7FBE"/>
    <w:rsid w:val="003D227C"/>
    <w:rsid w:val="003D2B4D"/>
    <w:rsid w:val="003D41CD"/>
    <w:rsid w:val="003E146C"/>
    <w:rsid w:val="003E646B"/>
    <w:rsid w:val="00444A88"/>
    <w:rsid w:val="00454A4B"/>
    <w:rsid w:val="00474DA4"/>
    <w:rsid w:val="00476B4D"/>
    <w:rsid w:val="004805FA"/>
    <w:rsid w:val="004900A0"/>
    <w:rsid w:val="004935D2"/>
    <w:rsid w:val="004A6CF8"/>
    <w:rsid w:val="004B1215"/>
    <w:rsid w:val="004D047D"/>
    <w:rsid w:val="004F1E9E"/>
    <w:rsid w:val="004F305A"/>
    <w:rsid w:val="00512164"/>
    <w:rsid w:val="00520297"/>
    <w:rsid w:val="005338F9"/>
    <w:rsid w:val="00536FFD"/>
    <w:rsid w:val="0054281C"/>
    <w:rsid w:val="00544581"/>
    <w:rsid w:val="0055268D"/>
    <w:rsid w:val="0056782B"/>
    <w:rsid w:val="00571F57"/>
    <w:rsid w:val="00576BE4"/>
    <w:rsid w:val="005A400A"/>
    <w:rsid w:val="005B46E9"/>
    <w:rsid w:val="005D30B3"/>
    <w:rsid w:val="005F7B92"/>
    <w:rsid w:val="0060215A"/>
    <w:rsid w:val="00612379"/>
    <w:rsid w:val="006153B6"/>
    <w:rsid w:val="0061555F"/>
    <w:rsid w:val="006356AE"/>
    <w:rsid w:val="00636CA6"/>
    <w:rsid w:val="00641200"/>
    <w:rsid w:val="00645CA8"/>
    <w:rsid w:val="006655D3"/>
    <w:rsid w:val="00667404"/>
    <w:rsid w:val="00687EB4"/>
    <w:rsid w:val="00695C56"/>
    <w:rsid w:val="006A57EE"/>
    <w:rsid w:val="006A5CDE"/>
    <w:rsid w:val="006A644A"/>
    <w:rsid w:val="006B17D2"/>
    <w:rsid w:val="006C224E"/>
    <w:rsid w:val="006D7435"/>
    <w:rsid w:val="006D780A"/>
    <w:rsid w:val="0071271E"/>
    <w:rsid w:val="00731A2B"/>
    <w:rsid w:val="00732DEC"/>
    <w:rsid w:val="00735BD5"/>
    <w:rsid w:val="00751613"/>
    <w:rsid w:val="007556F6"/>
    <w:rsid w:val="00757845"/>
    <w:rsid w:val="00760EEF"/>
    <w:rsid w:val="00777EE5"/>
    <w:rsid w:val="00784836"/>
    <w:rsid w:val="0079023E"/>
    <w:rsid w:val="007A2854"/>
    <w:rsid w:val="007C1D92"/>
    <w:rsid w:val="007C4CB9"/>
    <w:rsid w:val="007D06DC"/>
    <w:rsid w:val="007D0B9D"/>
    <w:rsid w:val="007D19B0"/>
    <w:rsid w:val="007F161F"/>
    <w:rsid w:val="007F498F"/>
    <w:rsid w:val="0080437E"/>
    <w:rsid w:val="0080679D"/>
    <w:rsid w:val="008108B0"/>
    <w:rsid w:val="00811B20"/>
    <w:rsid w:val="008211B5"/>
    <w:rsid w:val="0082296E"/>
    <w:rsid w:val="00824099"/>
    <w:rsid w:val="00846D7C"/>
    <w:rsid w:val="00867AC1"/>
    <w:rsid w:val="00890DF8"/>
    <w:rsid w:val="008A31C9"/>
    <w:rsid w:val="008A743F"/>
    <w:rsid w:val="008B6E60"/>
    <w:rsid w:val="008C0970"/>
    <w:rsid w:val="008D0BC5"/>
    <w:rsid w:val="008D2CF7"/>
    <w:rsid w:val="008D7E86"/>
    <w:rsid w:val="00900C26"/>
    <w:rsid w:val="00900C6F"/>
    <w:rsid w:val="0090197F"/>
    <w:rsid w:val="00906DDC"/>
    <w:rsid w:val="00934E09"/>
    <w:rsid w:val="00936253"/>
    <w:rsid w:val="00940D46"/>
    <w:rsid w:val="00944FCB"/>
    <w:rsid w:val="00952DD4"/>
    <w:rsid w:val="00965AE7"/>
    <w:rsid w:val="00970FED"/>
    <w:rsid w:val="00983ED6"/>
    <w:rsid w:val="00992D82"/>
    <w:rsid w:val="00997029"/>
    <w:rsid w:val="009A3ED7"/>
    <w:rsid w:val="009A7339"/>
    <w:rsid w:val="009B440E"/>
    <w:rsid w:val="009D083B"/>
    <w:rsid w:val="009D690D"/>
    <w:rsid w:val="009E65B6"/>
    <w:rsid w:val="00A0132D"/>
    <w:rsid w:val="00A03148"/>
    <w:rsid w:val="00A04A26"/>
    <w:rsid w:val="00A1711B"/>
    <w:rsid w:val="00A24C10"/>
    <w:rsid w:val="00A35E77"/>
    <w:rsid w:val="00A37C2B"/>
    <w:rsid w:val="00A42AC3"/>
    <w:rsid w:val="00A430CF"/>
    <w:rsid w:val="00A54309"/>
    <w:rsid w:val="00A6174F"/>
    <w:rsid w:val="00A82C03"/>
    <w:rsid w:val="00AB2B93"/>
    <w:rsid w:val="00AB530F"/>
    <w:rsid w:val="00AB7E5B"/>
    <w:rsid w:val="00AC2491"/>
    <w:rsid w:val="00AC2883"/>
    <w:rsid w:val="00AC6B05"/>
    <w:rsid w:val="00AE0EF1"/>
    <w:rsid w:val="00AE2937"/>
    <w:rsid w:val="00B07301"/>
    <w:rsid w:val="00B105E1"/>
    <w:rsid w:val="00B11F3E"/>
    <w:rsid w:val="00B224DE"/>
    <w:rsid w:val="00B324D4"/>
    <w:rsid w:val="00B3343F"/>
    <w:rsid w:val="00B46575"/>
    <w:rsid w:val="00B61777"/>
    <w:rsid w:val="00B65691"/>
    <w:rsid w:val="00B74056"/>
    <w:rsid w:val="00B84BBD"/>
    <w:rsid w:val="00B91C9D"/>
    <w:rsid w:val="00BA43FB"/>
    <w:rsid w:val="00BC127D"/>
    <w:rsid w:val="00BC1FE6"/>
    <w:rsid w:val="00BE64A4"/>
    <w:rsid w:val="00BF11ED"/>
    <w:rsid w:val="00C061B6"/>
    <w:rsid w:val="00C2446C"/>
    <w:rsid w:val="00C36AE5"/>
    <w:rsid w:val="00C40530"/>
    <w:rsid w:val="00C41F17"/>
    <w:rsid w:val="00C527FA"/>
    <w:rsid w:val="00C5280D"/>
    <w:rsid w:val="00C53EB3"/>
    <w:rsid w:val="00C5791C"/>
    <w:rsid w:val="00C66290"/>
    <w:rsid w:val="00C72B7A"/>
    <w:rsid w:val="00C973F2"/>
    <w:rsid w:val="00CA304C"/>
    <w:rsid w:val="00CA774A"/>
    <w:rsid w:val="00CC11B0"/>
    <w:rsid w:val="00CC2841"/>
    <w:rsid w:val="00CE2674"/>
    <w:rsid w:val="00CF1330"/>
    <w:rsid w:val="00CF7E36"/>
    <w:rsid w:val="00D164AC"/>
    <w:rsid w:val="00D24005"/>
    <w:rsid w:val="00D326F9"/>
    <w:rsid w:val="00D33DA9"/>
    <w:rsid w:val="00D3708D"/>
    <w:rsid w:val="00D40426"/>
    <w:rsid w:val="00D57C96"/>
    <w:rsid w:val="00D57D18"/>
    <w:rsid w:val="00D63C53"/>
    <w:rsid w:val="00D91203"/>
    <w:rsid w:val="00D95174"/>
    <w:rsid w:val="00DA4973"/>
    <w:rsid w:val="00DA6F36"/>
    <w:rsid w:val="00DB596E"/>
    <w:rsid w:val="00DB7773"/>
    <w:rsid w:val="00DC00EA"/>
    <w:rsid w:val="00DC3802"/>
    <w:rsid w:val="00DF67C6"/>
    <w:rsid w:val="00E07D87"/>
    <w:rsid w:val="00E2109F"/>
    <w:rsid w:val="00E32F7E"/>
    <w:rsid w:val="00E5267B"/>
    <w:rsid w:val="00E540C6"/>
    <w:rsid w:val="00E63C0E"/>
    <w:rsid w:val="00E72D49"/>
    <w:rsid w:val="00E7593C"/>
    <w:rsid w:val="00E7678A"/>
    <w:rsid w:val="00E935F1"/>
    <w:rsid w:val="00E94A81"/>
    <w:rsid w:val="00EA1FFB"/>
    <w:rsid w:val="00EB048E"/>
    <w:rsid w:val="00EB3B57"/>
    <w:rsid w:val="00EB4E9C"/>
    <w:rsid w:val="00EE34DF"/>
    <w:rsid w:val="00EE3E63"/>
    <w:rsid w:val="00EF2F89"/>
    <w:rsid w:val="00F03E98"/>
    <w:rsid w:val="00F1237A"/>
    <w:rsid w:val="00F22CBD"/>
    <w:rsid w:val="00F272F1"/>
    <w:rsid w:val="00F45372"/>
    <w:rsid w:val="00F524E3"/>
    <w:rsid w:val="00F560F7"/>
    <w:rsid w:val="00F6334D"/>
    <w:rsid w:val="00FA49AB"/>
    <w:rsid w:val="00FA5EFC"/>
    <w:rsid w:val="00FA6C57"/>
    <w:rsid w:val="00FB2223"/>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123E8E"/>
  <w15:docId w15:val="{BBD2FDD8-784A-43AA-93B3-57B2A19CA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E540C6"/>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757845"/>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11</Pages>
  <Words>2980</Words>
  <Characters>19048</Characters>
  <Application>Microsoft Office Word</Application>
  <DocSecurity>0</DocSecurity>
  <Lines>158</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TC/55/INF/9</vt:lpstr>
      <vt:lpstr>TC/55/INF/9</vt:lpstr>
    </vt:vector>
  </TitlesOfParts>
  <Company>UPOV</Company>
  <LinksUpToDate>false</LinksUpToDate>
  <CharactersWithSpaces>21985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TC/55/INF/9</dc:title>
  <dc:creator>SANCHEZ VIZCAINO GOMEZ Rosa Maria</dc:creator>
  <cp:lastModifiedBy>MAY Jessica</cp:lastModifiedBy>
  <cp:revision>5</cp:revision>
  <cp:lastPrinted>2019-10-21T10:23:00Z</cp:lastPrinted>
  <dcterms:created xsi:type="dcterms:W3CDTF">2019-11-01T08:41:00Z</dcterms:created>
  <dcterms:modified xsi:type="dcterms:W3CDTF">2019-11-01T12:31:00Z</dcterms:modified>
</cp:coreProperties>
</file>