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7A7C26" w14:paraId="5B627D2D" w14:textId="77777777" w:rsidTr="00EB4E9C">
        <w:tc>
          <w:tcPr>
            <w:tcW w:w="6522" w:type="dxa"/>
          </w:tcPr>
          <w:p w14:paraId="14B592BF" w14:textId="77777777" w:rsidR="00DC3802" w:rsidRPr="007A7C26" w:rsidRDefault="00DC3802" w:rsidP="00AC2883">
            <w:pPr>
              <w:rPr>
                <w:noProof/>
                <w:lang w:val="de-DE"/>
              </w:rPr>
            </w:pPr>
            <w:r w:rsidRPr="007A7C26">
              <w:rPr>
                <w:noProof/>
              </w:rPr>
              <w:drawing>
                <wp:inline distT="0" distB="0" distL="0" distR="0" wp14:anchorId="6564E6D6" wp14:editId="6AF8881D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4CB6EB3" w14:textId="77777777" w:rsidR="00DC3802" w:rsidRPr="007A7C26" w:rsidRDefault="003A53D8" w:rsidP="00AC2883">
            <w:pPr>
              <w:pStyle w:val="Lettrine"/>
              <w:rPr>
                <w:noProof/>
                <w:lang w:val="de-DE"/>
              </w:rPr>
            </w:pPr>
            <w:r w:rsidRPr="007A7C26">
              <w:rPr>
                <w:noProof/>
                <w:lang w:val="de-DE"/>
              </w:rPr>
              <w:t>G</w:t>
            </w:r>
          </w:p>
        </w:tc>
      </w:tr>
      <w:tr w:rsidR="00DC3802" w:rsidRPr="00784177" w14:paraId="58604418" w14:textId="77777777" w:rsidTr="00645CA8">
        <w:trPr>
          <w:trHeight w:val="219"/>
        </w:trPr>
        <w:tc>
          <w:tcPr>
            <w:tcW w:w="6522" w:type="dxa"/>
          </w:tcPr>
          <w:p w14:paraId="6C69115E" w14:textId="77777777" w:rsidR="00DC3802" w:rsidRPr="007A7C26" w:rsidRDefault="00FF6574" w:rsidP="00AC2883">
            <w:pPr>
              <w:pStyle w:val="upove"/>
              <w:rPr>
                <w:noProof/>
                <w:lang w:val="de-DE"/>
              </w:rPr>
            </w:pPr>
            <w:r w:rsidRPr="007A7C26">
              <w:rPr>
                <w:noProof/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14:paraId="15CC442E" w14:textId="77777777" w:rsidR="00DC3802" w:rsidRPr="007A7C26" w:rsidRDefault="00DC3802" w:rsidP="00DA4973">
            <w:pPr>
              <w:rPr>
                <w:noProof/>
                <w:lang w:val="de-DE"/>
              </w:rPr>
            </w:pPr>
          </w:p>
        </w:tc>
      </w:tr>
    </w:tbl>
    <w:p w14:paraId="00212D15" w14:textId="77777777" w:rsidR="00DC3802" w:rsidRPr="007A7C26" w:rsidRDefault="00DC3802" w:rsidP="00DC3802">
      <w:pPr>
        <w:rPr>
          <w:noProof/>
          <w:lang w:val="de-DE"/>
        </w:rPr>
      </w:pPr>
    </w:p>
    <w:p w14:paraId="13CB225F" w14:textId="77777777" w:rsidR="00DA4973" w:rsidRPr="007A7C26" w:rsidRDefault="00DA4973" w:rsidP="00DC3802">
      <w:pPr>
        <w:rPr>
          <w:noProof/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7A7C26" w14:paraId="202EA181" w14:textId="77777777" w:rsidTr="00EB4E9C">
        <w:tc>
          <w:tcPr>
            <w:tcW w:w="6512" w:type="dxa"/>
          </w:tcPr>
          <w:p w14:paraId="72F262A3" w14:textId="77777777" w:rsidR="00EB4E9C" w:rsidRPr="007A7C26" w:rsidRDefault="00FF6574" w:rsidP="00AC2883">
            <w:pPr>
              <w:pStyle w:val="Sessiontc"/>
              <w:spacing w:line="240" w:lineRule="auto"/>
              <w:rPr>
                <w:noProof/>
                <w:lang w:val="de-DE"/>
              </w:rPr>
            </w:pPr>
            <w:r w:rsidRPr="007A7C26">
              <w:rPr>
                <w:noProof/>
                <w:lang w:val="de-DE"/>
              </w:rPr>
              <w:t>Technischer Ausschuß</w:t>
            </w:r>
          </w:p>
          <w:p w14:paraId="57BF0466" w14:textId="03CD90FE" w:rsidR="00EB4E9C" w:rsidRPr="007A7C26" w:rsidRDefault="00FF6574" w:rsidP="00FD3D7F">
            <w:pPr>
              <w:pStyle w:val="Sessiontcplacedate"/>
              <w:rPr>
                <w:noProof/>
                <w:sz w:val="22"/>
                <w:lang w:val="de-DE"/>
              </w:rPr>
            </w:pPr>
            <w:r w:rsidRPr="007A7C26">
              <w:rPr>
                <w:noProof/>
                <w:lang w:val="de-DE"/>
              </w:rPr>
              <w:t>Fünfundfünfzigste Tagung</w:t>
            </w:r>
            <w:r w:rsidR="00EB4E9C" w:rsidRPr="007A7C26">
              <w:rPr>
                <w:noProof/>
                <w:lang w:val="de-DE"/>
              </w:rPr>
              <w:br/>
            </w:r>
            <w:r w:rsidR="00FD3D7F">
              <w:rPr>
                <w:noProof/>
                <w:lang w:val="de-DE"/>
              </w:rPr>
              <w:t xml:space="preserve">Genf, </w:t>
            </w:r>
            <w:r w:rsidR="00B70703">
              <w:rPr>
                <w:noProof/>
                <w:lang w:val="de-DE"/>
              </w:rPr>
              <w:t>2</w:t>
            </w:r>
            <w:r w:rsidR="00FD3D7F">
              <w:rPr>
                <w:noProof/>
                <w:lang w:val="de-DE"/>
              </w:rPr>
              <w:t>8. und 29. Oktober 2019</w:t>
            </w:r>
          </w:p>
        </w:tc>
        <w:tc>
          <w:tcPr>
            <w:tcW w:w="3127" w:type="dxa"/>
          </w:tcPr>
          <w:p w14:paraId="5618B2C4" w14:textId="77777777" w:rsidR="00EB4E9C" w:rsidRPr="007A7C26" w:rsidRDefault="006D7435" w:rsidP="003C7FBE">
            <w:pPr>
              <w:pStyle w:val="Doccode"/>
              <w:rPr>
                <w:noProof/>
                <w:lang w:val="de-DE"/>
              </w:rPr>
            </w:pPr>
            <w:r w:rsidRPr="007A7C26">
              <w:rPr>
                <w:noProof/>
                <w:lang w:val="de-DE"/>
              </w:rPr>
              <w:t>TC/</w:t>
            </w:r>
            <w:r w:rsidR="008C68C0" w:rsidRPr="007A7C26">
              <w:rPr>
                <w:noProof/>
                <w:lang w:val="de-DE"/>
              </w:rPr>
              <w:t>55/INF/7</w:t>
            </w:r>
          </w:p>
          <w:p w14:paraId="0C8EF0C2" w14:textId="77777777" w:rsidR="00EB4E9C" w:rsidRPr="007A7C26" w:rsidRDefault="00EB4E9C" w:rsidP="003C7FBE">
            <w:pPr>
              <w:pStyle w:val="Docoriginal"/>
              <w:rPr>
                <w:noProof/>
                <w:lang w:val="de-DE"/>
              </w:rPr>
            </w:pPr>
            <w:r w:rsidRPr="007A7C26">
              <w:rPr>
                <w:noProof/>
                <w:lang w:val="de-DE"/>
              </w:rPr>
              <w:t>Original:</w:t>
            </w:r>
            <w:r w:rsidRPr="007A7C26">
              <w:rPr>
                <w:b w:val="0"/>
                <w:noProof/>
                <w:spacing w:val="0"/>
                <w:lang w:val="de-DE"/>
              </w:rPr>
              <w:t xml:space="preserve">  </w:t>
            </w:r>
            <w:r w:rsidR="00FF6574" w:rsidRPr="007A7C26">
              <w:rPr>
                <w:b w:val="0"/>
                <w:noProof/>
                <w:spacing w:val="0"/>
                <w:lang w:val="de-DE"/>
              </w:rPr>
              <w:t>e</w:t>
            </w:r>
            <w:r w:rsidRPr="007A7C26">
              <w:rPr>
                <w:b w:val="0"/>
                <w:noProof/>
                <w:spacing w:val="0"/>
                <w:lang w:val="de-DE"/>
              </w:rPr>
              <w:t>nglis</w:t>
            </w:r>
            <w:r w:rsidR="00FF6574" w:rsidRPr="007A7C26">
              <w:rPr>
                <w:b w:val="0"/>
                <w:noProof/>
                <w:spacing w:val="0"/>
                <w:lang w:val="de-DE"/>
              </w:rPr>
              <w:t>c</w:t>
            </w:r>
            <w:r w:rsidRPr="007A7C26">
              <w:rPr>
                <w:b w:val="0"/>
                <w:noProof/>
                <w:spacing w:val="0"/>
                <w:lang w:val="de-DE"/>
              </w:rPr>
              <w:t>h</w:t>
            </w:r>
          </w:p>
          <w:p w14:paraId="62B6F700" w14:textId="77777777" w:rsidR="00EB4E9C" w:rsidRPr="007A7C26" w:rsidRDefault="00FF6574" w:rsidP="00164B5E">
            <w:pPr>
              <w:pStyle w:val="Docoriginal"/>
              <w:rPr>
                <w:noProof/>
                <w:lang w:val="de-DE"/>
              </w:rPr>
            </w:pPr>
            <w:r w:rsidRPr="007A7C26">
              <w:rPr>
                <w:noProof/>
                <w:lang w:val="de-DE"/>
              </w:rPr>
              <w:t>Datum</w:t>
            </w:r>
            <w:r w:rsidR="00EB4E9C" w:rsidRPr="007A7C26">
              <w:rPr>
                <w:noProof/>
                <w:lang w:val="de-DE"/>
              </w:rPr>
              <w:t>:</w:t>
            </w:r>
            <w:r w:rsidR="008B6E60" w:rsidRPr="007A7C26">
              <w:rPr>
                <w:b w:val="0"/>
                <w:noProof/>
                <w:spacing w:val="0"/>
                <w:lang w:val="de-DE"/>
              </w:rPr>
              <w:t xml:space="preserve">  </w:t>
            </w:r>
            <w:r w:rsidR="00E50CFC" w:rsidRPr="00B70703">
              <w:rPr>
                <w:b w:val="0"/>
                <w:noProof/>
                <w:spacing w:val="0"/>
                <w:lang w:val="de-DE"/>
              </w:rPr>
              <w:t>12. August</w:t>
            </w:r>
            <w:r w:rsidR="008B6E60" w:rsidRPr="00B70703">
              <w:rPr>
                <w:b w:val="0"/>
                <w:noProof/>
                <w:spacing w:val="0"/>
                <w:lang w:val="de-DE"/>
              </w:rPr>
              <w:t xml:space="preserve"> 201</w:t>
            </w:r>
            <w:r w:rsidR="006D7435" w:rsidRPr="00B70703">
              <w:rPr>
                <w:b w:val="0"/>
                <w:noProof/>
                <w:spacing w:val="0"/>
                <w:lang w:val="de-DE"/>
              </w:rPr>
              <w:t>9</w:t>
            </w:r>
          </w:p>
        </w:tc>
      </w:tr>
    </w:tbl>
    <w:p w14:paraId="37F697EC" w14:textId="61510426" w:rsidR="000D7780" w:rsidRPr="007A7C26" w:rsidRDefault="00FF6574" w:rsidP="006A644A">
      <w:pPr>
        <w:pStyle w:val="Titleofdoc0"/>
        <w:rPr>
          <w:noProof/>
          <w:lang w:val="de-DE"/>
        </w:rPr>
      </w:pPr>
      <w:bookmarkStart w:id="0" w:name="TitleOfDoc"/>
      <w:bookmarkEnd w:id="0"/>
      <w:r w:rsidRPr="007A7C26">
        <w:rPr>
          <w:noProof/>
          <w:lang w:val="de-DE"/>
        </w:rPr>
        <w:t>Sortenbezeichnungen</w:t>
      </w:r>
      <w:r w:rsidR="008A4562" w:rsidRPr="007A7C26">
        <w:rPr>
          <w:noProof/>
          <w:lang w:val="de-DE"/>
        </w:rPr>
        <w:t xml:space="preserve"> </w:t>
      </w:r>
      <w:r w:rsidR="00784177">
        <w:rPr>
          <w:szCs w:val="24"/>
          <w:lang w:val="de-CH"/>
        </w:rPr>
        <w:t>– ANGELEGENHEITEN zur Information</w:t>
      </w:r>
      <w:bookmarkStart w:id="1" w:name="_GoBack"/>
      <w:bookmarkEnd w:id="1"/>
    </w:p>
    <w:p w14:paraId="0A2F0C35" w14:textId="77777777" w:rsidR="006A644A" w:rsidRPr="007A7C26" w:rsidRDefault="00FF6574" w:rsidP="006A644A">
      <w:pPr>
        <w:pStyle w:val="preparedby1"/>
        <w:jc w:val="left"/>
        <w:rPr>
          <w:noProof/>
          <w:lang w:val="de-DE"/>
        </w:rPr>
      </w:pPr>
      <w:bookmarkStart w:id="2" w:name="Prepared"/>
      <w:bookmarkEnd w:id="2"/>
      <w:r w:rsidRPr="007A7C26">
        <w:rPr>
          <w:noProof/>
          <w:lang w:val="de-DE"/>
        </w:rPr>
        <w:t>Vom Verbandsbüro erstelltes Dokument</w:t>
      </w:r>
    </w:p>
    <w:p w14:paraId="49F40E11" w14:textId="77777777" w:rsidR="00050E16" w:rsidRPr="007A7C26" w:rsidRDefault="00FF6574" w:rsidP="006A644A">
      <w:pPr>
        <w:pStyle w:val="Disclaimer"/>
        <w:rPr>
          <w:noProof/>
          <w:lang w:val="de-DE"/>
        </w:rPr>
      </w:pPr>
      <w:r w:rsidRPr="007A7C26">
        <w:rPr>
          <w:noProof/>
          <w:lang w:val="de-DE"/>
        </w:rPr>
        <w:t>Haftungsausschluss: dieses Dokument gibt nicht die Grundsätze oder eine Anleitung der UPOV wieder</w:t>
      </w:r>
    </w:p>
    <w:p w14:paraId="32CC8096" w14:textId="77777777" w:rsidR="0006356C" w:rsidRPr="007A7C26" w:rsidRDefault="00FF6574" w:rsidP="00D46E83">
      <w:pPr>
        <w:pStyle w:val="Heading1"/>
      </w:pPr>
      <w:bookmarkStart w:id="3" w:name="_Toc17458295"/>
      <w:r w:rsidRPr="007A7C26">
        <w:t>Zusammenfassung</w:t>
      </w:r>
      <w:bookmarkEnd w:id="3"/>
    </w:p>
    <w:p w14:paraId="6A6DCF3C" w14:textId="77777777" w:rsidR="0006356C" w:rsidRPr="007A7C26" w:rsidRDefault="0006356C" w:rsidP="0006356C">
      <w:pPr>
        <w:rPr>
          <w:rFonts w:eastAsia="MS Mincho"/>
          <w:noProof/>
          <w:sz w:val="18"/>
          <w:lang w:val="de-DE" w:eastAsia="ja-JP"/>
        </w:rPr>
      </w:pPr>
    </w:p>
    <w:p w14:paraId="11B41B59" w14:textId="77777777" w:rsidR="00351715" w:rsidRPr="007A7C26" w:rsidRDefault="0006356C" w:rsidP="0006356C">
      <w:pPr>
        <w:rPr>
          <w:rFonts w:eastAsiaTheme="minorEastAsia" w:cs="Arial"/>
          <w:noProof/>
          <w:snapToGrid w:val="0"/>
          <w:lang w:val="de-DE"/>
        </w:rPr>
      </w:pPr>
      <w:r w:rsidRPr="007A7C26">
        <w:rPr>
          <w:rFonts w:eastAsiaTheme="minorEastAsia" w:cs="Arial"/>
          <w:noProof/>
          <w:snapToGrid w:val="0"/>
          <w:lang w:val="de-DE"/>
        </w:rPr>
        <w:fldChar w:fldCharType="begin"/>
      </w:r>
      <w:r w:rsidRPr="007A7C26">
        <w:rPr>
          <w:rFonts w:eastAsiaTheme="minorEastAsia" w:cs="Arial"/>
          <w:noProof/>
          <w:snapToGrid w:val="0"/>
          <w:lang w:val="de-DE"/>
        </w:rPr>
        <w:instrText xml:space="preserve"> AUTONUM  </w:instrText>
      </w:r>
      <w:r w:rsidRPr="007A7C26">
        <w:rPr>
          <w:rFonts w:eastAsiaTheme="minorEastAsia" w:cs="Arial"/>
          <w:noProof/>
          <w:snapToGrid w:val="0"/>
          <w:lang w:val="de-DE"/>
        </w:rPr>
        <w:fldChar w:fldCharType="end"/>
      </w:r>
      <w:r w:rsidRPr="007A7C26">
        <w:rPr>
          <w:rFonts w:eastAsiaTheme="minorEastAsia" w:cs="Arial"/>
          <w:noProof/>
          <w:snapToGrid w:val="0"/>
          <w:lang w:val="de-DE"/>
        </w:rPr>
        <w:tab/>
      </w:r>
      <w:r w:rsidR="00351715" w:rsidRPr="00D46E83">
        <w:rPr>
          <w:rFonts w:eastAsiaTheme="minorEastAsia" w:cs="Arial"/>
          <w:noProof/>
          <w:snapToGrid w:val="0"/>
          <w:lang w:val="de-DE"/>
        </w:rPr>
        <w:t>Zweck dieses Dokuments ist es, über die etwaige Entwicklung eines UPOV-Suchinstruments für Ähnlichkeiten zum Zweck der Sortenbezeichnung</w:t>
      </w:r>
      <w:r w:rsidR="00C40521" w:rsidRPr="00D46E83">
        <w:rPr>
          <w:rFonts w:eastAsiaTheme="minorEastAsia" w:cs="Arial"/>
          <w:noProof/>
          <w:snapToGrid w:val="0"/>
          <w:lang w:val="de-DE"/>
        </w:rPr>
        <w:t>, die Erweiterung des Inhalts der PLUTO-Datenbank</w:t>
      </w:r>
      <w:r w:rsidR="007A7C26" w:rsidRPr="00D46E83">
        <w:rPr>
          <w:rFonts w:eastAsiaTheme="minorEastAsia" w:cs="Arial"/>
          <w:noProof/>
          <w:snapToGrid w:val="0"/>
          <w:lang w:val="de-DE"/>
        </w:rPr>
        <w:t>,</w:t>
      </w:r>
      <w:r w:rsidR="007A7C26" w:rsidRPr="00D46E83">
        <w:rPr>
          <w:rFonts w:eastAsiaTheme="minorEastAsia" w:cs="Arial"/>
          <w:noProof/>
          <w:snapToGrid w:val="0"/>
          <w:lang w:val="de-DE" w:eastAsia="ja-JP"/>
        </w:rPr>
        <w:t xml:space="preserve"> </w:t>
      </w:r>
      <w:r w:rsidR="00D242DC" w:rsidRPr="00D46E83">
        <w:rPr>
          <w:rFonts w:eastAsiaTheme="minorEastAsia" w:cs="Arial"/>
          <w:noProof/>
          <w:snapToGrid w:val="0"/>
          <w:lang w:val="de-DE" w:eastAsia="ja-JP"/>
        </w:rPr>
        <w:t xml:space="preserve">nicht akzeptable Begriffe, Daten </w:t>
      </w:r>
      <w:r w:rsidR="007A7C26" w:rsidRPr="00D46E83">
        <w:rPr>
          <w:rFonts w:eastAsiaTheme="minorEastAsia" w:cs="Arial"/>
          <w:noProof/>
          <w:snapToGrid w:val="0"/>
          <w:lang w:val="de-DE" w:eastAsia="ja-JP"/>
        </w:rPr>
        <w:t xml:space="preserve">und Programm der nächsten </w:t>
      </w:r>
      <w:r w:rsidR="00D46E83">
        <w:rPr>
          <w:rFonts w:eastAsiaTheme="minorEastAsia" w:cs="Arial"/>
          <w:noProof/>
          <w:snapToGrid w:val="0"/>
          <w:lang w:val="de-DE" w:eastAsia="ja-JP"/>
        </w:rPr>
        <w:t>Sitzung</w:t>
      </w:r>
      <w:r w:rsidR="00E50CFC">
        <w:rPr>
          <w:rFonts w:eastAsiaTheme="minorEastAsia" w:cs="Arial"/>
          <w:noProof/>
          <w:snapToGrid w:val="0"/>
          <w:lang w:val="de-DE" w:eastAsia="ja-JP"/>
        </w:rPr>
        <w:t xml:space="preserve"> </w:t>
      </w:r>
      <w:r w:rsidR="007A7C26" w:rsidRPr="00D46E83">
        <w:rPr>
          <w:rFonts w:eastAsiaTheme="minorEastAsia" w:cs="Arial"/>
          <w:noProof/>
          <w:snapToGrid w:val="0"/>
          <w:lang w:val="de-DE" w:eastAsia="ja-JP"/>
        </w:rPr>
        <w:t>der Arbeitsgruppe für Sortenbezeichnungen (WG</w:t>
      </w:r>
      <w:r w:rsidR="007A7C26" w:rsidRPr="00D46E83">
        <w:rPr>
          <w:rFonts w:eastAsiaTheme="minorEastAsia" w:cs="Arial"/>
          <w:noProof/>
          <w:snapToGrid w:val="0"/>
          <w:lang w:val="de-DE" w:eastAsia="ja-JP"/>
        </w:rPr>
        <w:noBreakHyphen/>
        <w:t xml:space="preserve">DEN) und </w:t>
      </w:r>
      <w:r w:rsidR="00D46E83">
        <w:rPr>
          <w:rFonts w:eastAsiaTheme="minorEastAsia" w:cs="Arial"/>
          <w:noProof/>
          <w:snapToGrid w:val="0"/>
          <w:lang w:val="de-DE" w:eastAsia="ja-JP"/>
        </w:rPr>
        <w:t>die</w:t>
      </w:r>
      <w:r w:rsidR="007A7C26" w:rsidRPr="00D46E83">
        <w:rPr>
          <w:rFonts w:eastAsiaTheme="minorEastAsia" w:cs="Arial"/>
          <w:noProof/>
          <w:snapToGrid w:val="0"/>
          <w:lang w:val="de-DE" w:eastAsia="ja-JP"/>
        </w:rPr>
        <w:t xml:space="preserve"> </w:t>
      </w:r>
      <w:r w:rsidR="00D242DC" w:rsidRPr="00D46E83">
        <w:rPr>
          <w:rFonts w:eastAsiaTheme="minorEastAsia" w:cs="Arial"/>
          <w:noProof/>
          <w:snapToGrid w:val="0"/>
          <w:lang w:val="de-DE" w:eastAsia="ja-JP"/>
        </w:rPr>
        <w:t xml:space="preserve">Überarbeitung </w:t>
      </w:r>
      <w:r w:rsidR="007A7C26" w:rsidRPr="00D46E83">
        <w:rPr>
          <w:rFonts w:eastAsiaTheme="minorEastAsia" w:cs="Arial"/>
          <w:noProof/>
          <w:snapToGrid w:val="0"/>
          <w:lang w:val="de-DE" w:eastAsia="ja-JP"/>
        </w:rPr>
        <w:t xml:space="preserve">der </w:t>
      </w:r>
      <w:r w:rsidR="00C40521" w:rsidRPr="00D46E83">
        <w:rPr>
          <w:rFonts w:eastAsiaTheme="minorEastAsia" w:cs="Arial"/>
          <w:noProof/>
          <w:snapToGrid w:val="0"/>
          <w:lang w:val="de-DE" w:eastAsia="ja-JP"/>
        </w:rPr>
        <w:t>neunten Ausgabe des Internationalen Kodex für die</w:t>
      </w:r>
      <w:r w:rsidR="00E50CFC">
        <w:rPr>
          <w:rFonts w:eastAsiaTheme="minorEastAsia" w:cs="Arial"/>
          <w:noProof/>
          <w:snapToGrid w:val="0"/>
          <w:lang w:val="de-DE" w:eastAsia="ja-JP"/>
        </w:rPr>
        <w:t xml:space="preserve"> </w:t>
      </w:r>
      <w:r w:rsidR="00C40521" w:rsidRPr="00D46E83">
        <w:rPr>
          <w:rFonts w:eastAsiaTheme="minorEastAsia" w:cs="Arial"/>
          <w:noProof/>
          <w:snapToGrid w:val="0"/>
          <w:lang w:val="de-DE" w:eastAsia="ja-JP"/>
        </w:rPr>
        <w:t>Nomenklatur der Kulturpflanzen (ICNCP)</w:t>
      </w:r>
      <w:r w:rsidR="007A7C26" w:rsidRPr="00D46E83">
        <w:rPr>
          <w:rFonts w:eastAsiaTheme="minorEastAsia" w:cs="Arial"/>
          <w:noProof/>
          <w:snapToGrid w:val="0"/>
          <w:lang w:val="de-DE" w:eastAsia="ja-JP"/>
        </w:rPr>
        <w:t xml:space="preserve"> </w:t>
      </w:r>
      <w:r w:rsidR="007A7C26" w:rsidRPr="00D46E83">
        <w:rPr>
          <w:rFonts w:eastAsiaTheme="minorEastAsia" w:cs="Arial"/>
          <w:noProof/>
          <w:snapToGrid w:val="0"/>
          <w:lang w:val="de-DE"/>
        </w:rPr>
        <w:t>zu berichten.</w:t>
      </w:r>
    </w:p>
    <w:p w14:paraId="4589E40C" w14:textId="77777777" w:rsidR="008A4562" w:rsidRPr="007A7C26" w:rsidRDefault="008A4562" w:rsidP="008A4562">
      <w:pPr>
        <w:rPr>
          <w:noProof/>
          <w:lang w:val="de-DE" w:eastAsia="ja-JP"/>
        </w:rPr>
      </w:pPr>
    </w:p>
    <w:p w14:paraId="55FE7B79" w14:textId="0D384E4C" w:rsidR="00D242DC" w:rsidRDefault="008A4562" w:rsidP="008A4562">
      <w:pPr>
        <w:rPr>
          <w:noProof/>
          <w:lang w:val="de-DE"/>
        </w:rPr>
      </w:pPr>
      <w:r w:rsidRPr="007A7C26">
        <w:rPr>
          <w:noProof/>
          <w:lang w:val="de-DE"/>
        </w:rPr>
        <w:fldChar w:fldCharType="begin"/>
      </w:r>
      <w:r w:rsidRPr="007A7C26">
        <w:rPr>
          <w:noProof/>
          <w:lang w:val="de-DE"/>
        </w:rPr>
        <w:instrText xml:space="preserve"> AUTONUM  </w:instrText>
      </w:r>
      <w:r w:rsidRPr="007A7C26">
        <w:rPr>
          <w:noProof/>
          <w:lang w:val="de-DE"/>
        </w:rPr>
        <w:fldChar w:fldCharType="end"/>
      </w:r>
      <w:r w:rsidRPr="007A7C26">
        <w:rPr>
          <w:noProof/>
          <w:lang w:val="de-DE"/>
        </w:rPr>
        <w:tab/>
      </w:r>
      <w:r w:rsidR="00EA1F65" w:rsidRPr="00E50CFC">
        <w:rPr>
          <w:noProof/>
          <w:lang w:val="de-DE"/>
        </w:rPr>
        <w:t>Angelegenheiten</w:t>
      </w:r>
      <w:r w:rsidR="00B53B9A" w:rsidRPr="00E50CFC">
        <w:rPr>
          <w:noProof/>
          <w:lang w:val="de-DE"/>
        </w:rPr>
        <w:t xml:space="preserve"> zur Prüfung durch den</w:t>
      </w:r>
      <w:r w:rsidR="00EA1F65" w:rsidRPr="00E50CFC">
        <w:rPr>
          <w:noProof/>
          <w:lang w:val="de-DE"/>
        </w:rPr>
        <w:t xml:space="preserve"> Technischen Ausschuß (TC) </w:t>
      </w:r>
      <w:bookmarkStart w:id="4" w:name="_Hlk17398540"/>
      <w:r w:rsidR="00B53B9A" w:rsidRPr="00E50CFC">
        <w:rPr>
          <w:noProof/>
          <w:lang w:val="de-DE"/>
        </w:rPr>
        <w:t>z</w:t>
      </w:r>
      <w:r w:rsidR="00B53B9A" w:rsidRPr="00B53B9A">
        <w:rPr>
          <w:noProof/>
          <w:lang w:val="de-DE"/>
        </w:rPr>
        <w:t xml:space="preserve">u </w:t>
      </w:r>
      <w:r w:rsidR="00E50CFC">
        <w:rPr>
          <w:noProof/>
          <w:lang w:val="de-DE"/>
        </w:rPr>
        <w:t>Vorschlägen zur Überarbeitung der Klassenliste</w:t>
      </w:r>
      <w:bookmarkEnd w:id="4"/>
      <w:r w:rsidR="00EA1F65" w:rsidRPr="00E639C5">
        <w:rPr>
          <w:noProof/>
          <w:lang w:val="de-DE"/>
        </w:rPr>
        <w:t xml:space="preserve"> </w:t>
      </w:r>
      <w:r w:rsidR="00EA1F65" w:rsidRPr="00D46E83">
        <w:rPr>
          <w:noProof/>
          <w:lang w:val="de-DE"/>
        </w:rPr>
        <w:t xml:space="preserve">in </w:t>
      </w:r>
      <w:r w:rsidR="00D242DC" w:rsidRPr="00D46E83">
        <w:rPr>
          <w:noProof/>
          <w:lang w:val="de-DE"/>
        </w:rPr>
        <w:t>Dokument</w:t>
      </w:r>
      <w:r w:rsidR="00EA1F65" w:rsidRPr="00D46E83">
        <w:rPr>
          <w:noProof/>
          <w:lang w:val="de-DE"/>
        </w:rPr>
        <w:t xml:space="preserve"> </w:t>
      </w:r>
      <w:r w:rsidR="00D242DC" w:rsidRPr="00D46E83">
        <w:rPr>
          <w:noProof/>
          <w:lang w:val="de-DE"/>
        </w:rPr>
        <w:t>UPOV/INF/12/5 „Erläuterungen zu So</w:t>
      </w:r>
      <w:r w:rsidR="00885AB3">
        <w:rPr>
          <w:noProof/>
          <w:lang w:val="de-DE"/>
        </w:rPr>
        <w:t>rtenbezeichnungen nach dem UPOV</w:t>
      </w:r>
      <w:r w:rsidR="00885AB3">
        <w:rPr>
          <w:noProof/>
          <w:lang w:val="de-DE"/>
        </w:rPr>
        <w:noBreakHyphen/>
      </w:r>
      <w:r w:rsidR="00D242DC" w:rsidRPr="00D46E83">
        <w:rPr>
          <w:noProof/>
          <w:lang w:val="de-DE"/>
        </w:rPr>
        <w:t>Übereinkommen“</w:t>
      </w:r>
      <w:r w:rsidR="00EA1F65" w:rsidRPr="00D46E83">
        <w:rPr>
          <w:noProof/>
          <w:lang w:val="de-DE"/>
        </w:rPr>
        <w:t xml:space="preserve"> sind in Dokument TC/55/8 „Sortenbezeichnungen</w:t>
      </w:r>
      <w:r w:rsidR="00E948A7" w:rsidRPr="00D46E83">
        <w:rPr>
          <w:noProof/>
          <w:lang w:val="de-DE"/>
        </w:rPr>
        <w:t>“</w:t>
      </w:r>
      <w:r w:rsidR="00EA1F65" w:rsidRPr="00D46E83">
        <w:rPr>
          <w:noProof/>
          <w:lang w:val="de-DE"/>
        </w:rPr>
        <w:t xml:space="preserve"> dargelegt.</w:t>
      </w:r>
    </w:p>
    <w:p w14:paraId="1ED3A601" w14:textId="77777777" w:rsidR="0006356C" w:rsidRPr="007A7C26" w:rsidRDefault="0006356C" w:rsidP="0006356C">
      <w:pPr>
        <w:rPr>
          <w:rFonts w:eastAsiaTheme="minorEastAsia" w:cs="Arial"/>
          <w:noProof/>
          <w:snapToGrid w:val="0"/>
          <w:lang w:val="de-DE" w:eastAsia="ja-JP"/>
        </w:rPr>
      </w:pPr>
    </w:p>
    <w:p w14:paraId="38942E0F" w14:textId="77777777" w:rsidR="0006356C" w:rsidRPr="007A7C26" w:rsidRDefault="0006356C" w:rsidP="0006356C">
      <w:pPr>
        <w:keepNext/>
        <w:rPr>
          <w:rFonts w:eastAsiaTheme="minorEastAsia" w:cs="Arial"/>
          <w:noProof/>
          <w:snapToGrid w:val="0"/>
          <w:lang w:val="de-DE"/>
        </w:rPr>
      </w:pPr>
      <w:r w:rsidRPr="007A7C26">
        <w:rPr>
          <w:rFonts w:eastAsiaTheme="minorEastAsia" w:cs="Arial"/>
          <w:noProof/>
          <w:snapToGrid w:val="0"/>
          <w:lang w:val="de-DE"/>
        </w:rPr>
        <w:fldChar w:fldCharType="begin"/>
      </w:r>
      <w:r w:rsidRPr="007A7C26">
        <w:rPr>
          <w:rFonts w:eastAsiaTheme="minorEastAsia" w:cs="Arial"/>
          <w:noProof/>
          <w:snapToGrid w:val="0"/>
          <w:lang w:val="de-DE"/>
        </w:rPr>
        <w:instrText xml:space="preserve"> AUTONUM  </w:instrText>
      </w:r>
      <w:r w:rsidRPr="007A7C26">
        <w:rPr>
          <w:rFonts w:eastAsiaTheme="minorEastAsia" w:cs="Arial"/>
          <w:noProof/>
          <w:snapToGrid w:val="0"/>
          <w:lang w:val="de-DE"/>
        </w:rPr>
        <w:fldChar w:fldCharType="end"/>
      </w:r>
      <w:r w:rsidRPr="007A7C26">
        <w:rPr>
          <w:rFonts w:eastAsiaTheme="minorEastAsia" w:cs="Arial"/>
          <w:noProof/>
          <w:snapToGrid w:val="0"/>
          <w:lang w:val="de-DE"/>
        </w:rPr>
        <w:tab/>
      </w:r>
      <w:r w:rsidR="00FF6574" w:rsidRPr="007A7C26">
        <w:rPr>
          <w:rFonts w:eastAsiaTheme="minorEastAsia" w:cs="Arial"/>
          <w:noProof/>
          <w:snapToGrid w:val="0"/>
          <w:lang w:val="de-DE"/>
        </w:rPr>
        <w:t>In diesem Dokument werden folgende Abkürzungen verwendet:</w:t>
      </w:r>
    </w:p>
    <w:p w14:paraId="27B7CA0C" w14:textId="77777777" w:rsidR="0006356C" w:rsidRPr="007A7C26" w:rsidRDefault="0006356C" w:rsidP="0006356C">
      <w:pPr>
        <w:keepNext/>
        <w:rPr>
          <w:rFonts w:eastAsiaTheme="minorEastAsia" w:cs="Arial"/>
          <w:noProof/>
          <w:snapToGrid w:val="0"/>
          <w:lang w:val="de-DE"/>
        </w:rPr>
      </w:pPr>
    </w:p>
    <w:p w14:paraId="50CEE49B" w14:textId="77777777" w:rsidR="0006356C" w:rsidRPr="007A7C26" w:rsidRDefault="0006356C" w:rsidP="005A19FB">
      <w:pPr>
        <w:keepNext/>
        <w:tabs>
          <w:tab w:val="left" w:pos="2410"/>
        </w:tabs>
        <w:ind w:left="567"/>
        <w:rPr>
          <w:rFonts w:eastAsiaTheme="minorEastAsia"/>
          <w:noProof/>
          <w:snapToGrid w:val="0"/>
          <w:lang w:val="de-DE" w:eastAsia="ja-JP"/>
        </w:rPr>
      </w:pPr>
      <w:r w:rsidRPr="007A7C26">
        <w:rPr>
          <w:rFonts w:eastAsiaTheme="minorEastAsia"/>
          <w:noProof/>
          <w:snapToGrid w:val="0"/>
          <w:lang w:val="de-DE" w:eastAsia="ja-JP"/>
        </w:rPr>
        <w:t xml:space="preserve">CAJ:  </w:t>
      </w:r>
      <w:r w:rsidRPr="007A7C26">
        <w:rPr>
          <w:rFonts w:eastAsiaTheme="minorEastAsia"/>
          <w:noProof/>
          <w:snapToGrid w:val="0"/>
          <w:lang w:val="de-DE" w:eastAsia="ja-JP"/>
        </w:rPr>
        <w:tab/>
      </w:r>
      <w:r w:rsidR="00FF6574" w:rsidRPr="007A7C26">
        <w:rPr>
          <w:rFonts w:eastAsiaTheme="minorEastAsia"/>
          <w:noProof/>
          <w:snapToGrid w:val="0"/>
          <w:lang w:val="de-DE" w:eastAsia="ja-JP"/>
        </w:rPr>
        <w:t>Verwaltungs- und Rechtsausschuß</w:t>
      </w:r>
      <w:r w:rsidRPr="007A7C26">
        <w:rPr>
          <w:rFonts w:eastAsiaTheme="minorEastAsia"/>
          <w:noProof/>
          <w:snapToGrid w:val="0"/>
          <w:lang w:val="de-DE" w:eastAsia="ja-JP"/>
        </w:rPr>
        <w:t xml:space="preserve"> </w:t>
      </w:r>
    </w:p>
    <w:p w14:paraId="2C24FBA1" w14:textId="77777777" w:rsidR="00F60347" w:rsidRPr="007A7C26" w:rsidRDefault="00F60347" w:rsidP="005A19FB">
      <w:pPr>
        <w:keepNext/>
        <w:tabs>
          <w:tab w:val="left" w:pos="2410"/>
          <w:tab w:val="right" w:pos="9639"/>
        </w:tabs>
        <w:ind w:left="2410" w:hanging="1843"/>
        <w:jc w:val="left"/>
        <w:rPr>
          <w:rFonts w:eastAsiaTheme="minorEastAsia"/>
          <w:noProof/>
          <w:snapToGrid w:val="0"/>
          <w:lang w:val="de-DE" w:eastAsia="ja-JP"/>
        </w:rPr>
      </w:pPr>
      <w:r w:rsidRPr="007A7C26">
        <w:rPr>
          <w:noProof/>
          <w:lang w:val="de-DE" w:eastAsia="ja-JP"/>
        </w:rPr>
        <w:t>IUBS</w:t>
      </w:r>
      <w:r w:rsidR="00F04FF3">
        <w:rPr>
          <w:noProof/>
          <w:lang w:val="de-DE" w:eastAsia="ja-JP"/>
        </w:rPr>
        <w:t>-</w:t>
      </w:r>
      <w:r w:rsidR="00EA1F65">
        <w:rPr>
          <w:noProof/>
          <w:lang w:val="de-DE" w:eastAsia="ja-JP"/>
        </w:rPr>
        <w:t>K</w:t>
      </w:r>
      <w:r w:rsidRPr="007A7C26">
        <w:rPr>
          <w:noProof/>
          <w:lang w:val="de-DE" w:eastAsia="ja-JP"/>
        </w:rPr>
        <w:t>ommission</w:t>
      </w:r>
      <w:r w:rsidRPr="007A7C26">
        <w:rPr>
          <w:rFonts w:eastAsiaTheme="minorEastAsia"/>
          <w:noProof/>
          <w:snapToGrid w:val="0"/>
          <w:lang w:val="de-DE" w:eastAsia="ja-JP"/>
        </w:rPr>
        <w:t>:</w:t>
      </w:r>
      <w:r w:rsidRPr="007A7C26">
        <w:rPr>
          <w:rFonts w:eastAsiaTheme="minorEastAsia"/>
          <w:noProof/>
          <w:snapToGrid w:val="0"/>
          <w:lang w:val="de-DE" w:eastAsia="ja-JP"/>
        </w:rPr>
        <w:tab/>
      </w:r>
      <w:r w:rsidR="00EA1F65" w:rsidRPr="00EA1F65">
        <w:rPr>
          <w:rFonts w:eastAsiaTheme="minorEastAsia"/>
          <w:noProof/>
          <w:snapToGrid w:val="0"/>
          <w:lang w:val="de-DE" w:eastAsia="ja-JP"/>
        </w:rPr>
        <w:t>Internationale Kommission für die Nomenklatur der Kulturpflanzen der Internationalen Vereinigung der biologischen Wissenschaften</w:t>
      </w:r>
      <w:r w:rsidRPr="007A7C26">
        <w:rPr>
          <w:rFonts w:eastAsiaTheme="minorEastAsia"/>
          <w:noProof/>
          <w:snapToGrid w:val="0"/>
          <w:lang w:val="de-DE" w:eastAsia="ja-JP"/>
        </w:rPr>
        <w:t xml:space="preserve"> </w:t>
      </w:r>
    </w:p>
    <w:p w14:paraId="21D629DB" w14:textId="77777777" w:rsidR="0006356C" w:rsidRPr="007A7C26" w:rsidRDefault="0006356C" w:rsidP="005A19FB">
      <w:pPr>
        <w:keepNext/>
        <w:tabs>
          <w:tab w:val="left" w:pos="2410"/>
        </w:tabs>
        <w:ind w:left="567"/>
        <w:rPr>
          <w:rFonts w:eastAsiaTheme="minorEastAsia"/>
          <w:noProof/>
          <w:snapToGrid w:val="0"/>
          <w:lang w:val="de-DE" w:eastAsia="ja-JP"/>
        </w:rPr>
      </w:pPr>
      <w:r w:rsidRPr="007A7C26">
        <w:rPr>
          <w:rFonts w:eastAsiaTheme="minorEastAsia"/>
          <w:noProof/>
          <w:snapToGrid w:val="0"/>
          <w:lang w:val="de-DE" w:eastAsia="ja-JP"/>
        </w:rPr>
        <w:t>ICNCP:</w:t>
      </w:r>
      <w:r w:rsidRPr="007A7C26">
        <w:rPr>
          <w:rFonts w:eastAsiaTheme="minorEastAsia"/>
          <w:noProof/>
          <w:snapToGrid w:val="0"/>
          <w:lang w:val="de-DE" w:eastAsia="ja-JP"/>
        </w:rPr>
        <w:tab/>
      </w:r>
      <w:r w:rsidR="00E50CFC">
        <w:rPr>
          <w:rFonts w:eastAsiaTheme="minorEastAsia"/>
          <w:noProof/>
          <w:snapToGrid w:val="0"/>
          <w:lang w:val="de-DE" w:eastAsia="ja-JP"/>
        </w:rPr>
        <w:t>Internationaler Kodex</w:t>
      </w:r>
      <w:r w:rsidR="00EA1F65" w:rsidRPr="00EA1F65">
        <w:rPr>
          <w:rFonts w:eastAsiaTheme="minorEastAsia"/>
          <w:noProof/>
          <w:snapToGrid w:val="0"/>
          <w:lang w:val="de-DE" w:eastAsia="ja-JP"/>
        </w:rPr>
        <w:t xml:space="preserve"> für die Nomenklatur </w:t>
      </w:r>
      <w:r w:rsidR="00F04FF3">
        <w:rPr>
          <w:rFonts w:eastAsiaTheme="minorEastAsia"/>
          <w:noProof/>
          <w:snapToGrid w:val="0"/>
          <w:lang w:val="de-DE" w:eastAsia="ja-JP"/>
        </w:rPr>
        <w:t>der</w:t>
      </w:r>
      <w:r w:rsidR="00EA1F65" w:rsidRPr="00EA1F65">
        <w:rPr>
          <w:rFonts w:eastAsiaTheme="minorEastAsia"/>
          <w:noProof/>
          <w:snapToGrid w:val="0"/>
          <w:lang w:val="de-DE" w:eastAsia="ja-JP"/>
        </w:rPr>
        <w:t xml:space="preserve"> Kulturpflanzen</w:t>
      </w:r>
      <w:r w:rsidRPr="007A7C26">
        <w:rPr>
          <w:rFonts w:eastAsiaTheme="minorEastAsia"/>
          <w:noProof/>
          <w:snapToGrid w:val="0"/>
          <w:lang w:val="de-DE" w:eastAsia="ja-JP"/>
        </w:rPr>
        <w:t xml:space="preserve"> </w:t>
      </w:r>
    </w:p>
    <w:p w14:paraId="30106C49" w14:textId="77777777" w:rsidR="0006356C" w:rsidRPr="007A7C26" w:rsidRDefault="0006356C" w:rsidP="005A19FB">
      <w:pPr>
        <w:keepNext/>
        <w:tabs>
          <w:tab w:val="left" w:pos="2410"/>
        </w:tabs>
        <w:ind w:left="567"/>
        <w:rPr>
          <w:rFonts w:eastAsiaTheme="minorEastAsia"/>
          <w:noProof/>
          <w:snapToGrid w:val="0"/>
          <w:lang w:val="de-DE" w:eastAsia="ja-JP"/>
        </w:rPr>
      </w:pPr>
      <w:r w:rsidRPr="007A7C26">
        <w:rPr>
          <w:rFonts w:eastAsiaTheme="minorEastAsia"/>
          <w:noProof/>
          <w:snapToGrid w:val="0"/>
          <w:lang w:val="de-DE" w:eastAsia="ja-JP"/>
        </w:rPr>
        <w:t xml:space="preserve">TC:  </w:t>
      </w:r>
      <w:r w:rsidRPr="007A7C26">
        <w:rPr>
          <w:rFonts w:eastAsiaTheme="minorEastAsia"/>
          <w:noProof/>
          <w:snapToGrid w:val="0"/>
          <w:lang w:val="de-DE" w:eastAsia="ja-JP"/>
        </w:rPr>
        <w:tab/>
      </w:r>
      <w:r w:rsidR="00FF6574" w:rsidRPr="007A7C26">
        <w:rPr>
          <w:rFonts w:eastAsiaTheme="minorEastAsia"/>
          <w:noProof/>
          <w:snapToGrid w:val="0"/>
          <w:lang w:val="de-DE" w:eastAsia="ja-JP"/>
        </w:rPr>
        <w:t>Technischer Ausschuß</w:t>
      </w:r>
      <w:r w:rsidRPr="007A7C26">
        <w:rPr>
          <w:rFonts w:eastAsiaTheme="minorEastAsia"/>
          <w:noProof/>
          <w:snapToGrid w:val="0"/>
          <w:lang w:val="de-DE" w:eastAsia="ja-JP"/>
        </w:rPr>
        <w:t xml:space="preserve"> </w:t>
      </w:r>
    </w:p>
    <w:p w14:paraId="0116E911" w14:textId="77777777" w:rsidR="0006356C" w:rsidRPr="007A7C26" w:rsidRDefault="0006356C" w:rsidP="005A19FB">
      <w:pPr>
        <w:keepNext/>
        <w:tabs>
          <w:tab w:val="left" w:pos="567"/>
          <w:tab w:val="left" w:pos="1701"/>
          <w:tab w:val="left" w:pos="2410"/>
        </w:tabs>
        <w:rPr>
          <w:rFonts w:eastAsiaTheme="minorEastAsia"/>
          <w:noProof/>
          <w:snapToGrid w:val="0"/>
          <w:lang w:val="de-DE" w:eastAsia="ja-JP"/>
        </w:rPr>
      </w:pPr>
      <w:r w:rsidRPr="007A7C26">
        <w:rPr>
          <w:rFonts w:eastAsia="PMingLiU"/>
          <w:noProof/>
          <w:szCs w:val="24"/>
          <w:lang w:val="de-DE"/>
        </w:rPr>
        <w:tab/>
      </w:r>
      <w:r w:rsidRPr="007A7C26">
        <w:rPr>
          <w:rFonts w:eastAsiaTheme="minorEastAsia"/>
          <w:noProof/>
          <w:snapToGrid w:val="0"/>
          <w:lang w:val="de-DE" w:eastAsia="ja-JP"/>
        </w:rPr>
        <w:t>WG-DEN:</w:t>
      </w:r>
      <w:r w:rsidRPr="007A7C26">
        <w:rPr>
          <w:rFonts w:eastAsiaTheme="minorEastAsia"/>
          <w:noProof/>
          <w:snapToGrid w:val="0"/>
          <w:lang w:val="de-DE" w:eastAsia="ja-JP"/>
        </w:rPr>
        <w:tab/>
      </w:r>
      <w:r w:rsidR="005A19FB" w:rsidRPr="007A7C26">
        <w:rPr>
          <w:rFonts w:eastAsiaTheme="minorEastAsia"/>
          <w:noProof/>
          <w:snapToGrid w:val="0"/>
          <w:lang w:val="de-DE" w:eastAsia="ja-JP"/>
        </w:rPr>
        <w:tab/>
      </w:r>
      <w:r w:rsidR="00FF6574" w:rsidRPr="007A7C26">
        <w:rPr>
          <w:rFonts w:eastAsiaTheme="minorEastAsia"/>
          <w:noProof/>
          <w:lang w:val="de-DE" w:eastAsia="ja-JP"/>
        </w:rPr>
        <w:t>Arbeitsgruppe für Sortenbezeichnungen</w:t>
      </w:r>
    </w:p>
    <w:p w14:paraId="66F7DBA8" w14:textId="77777777" w:rsidR="0006356C" w:rsidRPr="007A7C26" w:rsidRDefault="0006356C" w:rsidP="0006356C">
      <w:pPr>
        <w:jc w:val="left"/>
        <w:rPr>
          <w:rFonts w:eastAsiaTheme="minorEastAsia" w:cs="Arial"/>
          <w:noProof/>
          <w:snapToGrid w:val="0"/>
          <w:lang w:val="de-DE"/>
        </w:rPr>
      </w:pPr>
    </w:p>
    <w:p w14:paraId="4DB2BBDC" w14:textId="77777777" w:rsidR="0006356C" w:rsidRPr="007A7C26" w:rsidRDefault="0006356C" w:rsidP="0006356C">
      <w:pPr>
        <w:keepNext/>
        <w:rPr>
          <w:noProof/>
          <w:lang w:val="de-DE"/>
        </w:rPr>
      </w:pPr>
      <w:r w:rsidRPr="007A7C26">
        <w:rPr>
          <w:noProof/>
          <w:lang w:val="de-DE"/>
        </w:rPr>
        <w:fldChar w:fldCharType="begin"/>
      </w:r>
      <w:r w:rsidRPr="007A7C26">
        <w:rPr>
          <w:noProof/>
          <w:lang w:val="de-DE"/>
        </w:rPr>
        <w:instrText xml:space="preserve"> AUTONUM  </w:instrText>
      </w:r>
      <w:r w:rsidRPr="007A7C26">
        <w:rPr>
          <w:noProof/>
          <w:lang w:val="de-DE"/>
        </w:rPr>
        <w:fldChar w:fldCharType="end"/>
      </w:r>
      <w:r w:rsidRPr="007A7C26">
        <w:rPr>
          <w:noProof/>
          <w:lang w:val="de-DE"/>
        </w:rPr>
        <w:tab/>
      </w:r>
      <w:r w:rsidR="00323352" w:rsidRPr="00323352">
        <w:rPr>
          <w:noProof/>
          <w:lang w:val="de-DE"/>
        </w:rPr>
        <w:t>Der Aufbau des Dokuments ist nachstehend zusammengefaßt:</w:t>
      </w:r>
    </w:p>
    <w:sdt>
      <w:sdtPr>
        <w:rPr>
          <w:smallCaps/>
          <w:noProof/>
          <w:lang w:val="de-DE"/>
        </w:rPr>
        <w:id w:val="-18009112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CDDC794" w14:textId="77777777" w:rsidR="0006356C" w:rsidRPr="007A7C26" w:rsidRDefault="0006356C" w:rsidP="0006356C">
          <w:pPr>
            <w:keepNext/>
            <w:rPr>
              <w:rFonts w:cs="Arial"/>
              <w:b/>
              <w:noProof/>
              <w:lang w:val="de-DE"/>
            </w:rPr>
          </w:pPr>
        </w:p>
        <w:p w14:paraId="433E5EBE" w14:textId="77777777" w:rsidR="00170557" w:rsidRDefault="0006356C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de-DE" w:eastAsia="de-DE"/>
            </w:rPr>
          </w:pPr>
          <w:r w:rsidRPr="007A7C26">
            <w:rPr>
              <w:rFonts w:cs="Arial"/>
              <w:bCs/>
              <w:noProof/>
              <w:lang w:val="de-DE"/>
            </w:rPr>
            <w:fldChar w:fldCharType="begin"/>
          </w:r>
          <w:r w:rsidRPr="007A7C26">
            <w:rPr>
              <w:rFonts w:cs="Arial"/>
              <w:bCs/>
              <w:noProof/>
              <w:lang w:val="de-DE"/>
            </w:rPr>
            <w:instrText xml:space="preserve"> TOC \o "1-3" \h \z \u </w:instrText>
          </w:r>
          <w:r w:rsidRPr="007A7C26">
            <w:rPr>
              <w:rFonts w:cs="Arial"/>
              <w:bCs/>
              <w:noProof/>
              <w:lang w:val="de-DE"/>
            </w:rPr>
            <w:fldChar w:fldCharType="separate"/>
          </w:r>
          <w:hyperlink w:anchor="_Toc17458295" w:history="1">
            <w:r w:rsidR="00170557" w:rsidRPr="002B1CF6">
              <w:rPr>
                <w:rStyle w:val="Hyperlink"/>
                <w:noProof/>
              </w:rPr>
              <w:t>Zusammenfassung</w:t>
            </w:r>
            <w:r w:rsidR="00170557">
              <w:rPr>
                <w:noProof/>
                <w:webHidden/>
              </w:rPr>
              <w:tab/>
            </w:r>
            <w:r w:rsidR="00170557">
              <w:rPr>
                <w:noProof/>
                <w:webHidden/>
              </w:rPr>
              <w:fldChar w:fldCharType="begin"/>
            </w:r>
            <w:r w:rsidR="00170557">
              <w:rPr>
                <w:noProof/>
                <w:webHidden/>
              </w:rPr>
              <w:instrText xml:space="preserve"> PAGEREF _Toc17458295 \h </w:instrText>
            </w:r>
            <w:r w:rsidR="00170557">
              <w:rPr>
                <w:noProof/>
                <w:webHidden/>
              </w:rPr>
            </w:r>
            <w:r w:rsidR="00170557">
              <w:rPr>
                <w:noProof/>
                <w:webHidden/>
              </w:rPr>
              <w:fldChar w:fldCharType="separate"/>
            </w:r>
            <w:r w:rsidR="00170557">
              <w:rPr>
                <w:noProof/>
                <w:webHidden/>
              </w:rPr>
              <w:t>1</w:t>
            </w:r>
            <w:r w:rsidR="00170557">
              <w:rPr>
                <w:noProof/>
                <w:webHidden/>
              </w:rPr>
              <w:fldChar w:fldCharType="end"/>
            </w:r>
          </w:hyperlink>
        </w:p>
        <w:p w14:paraId="4AC58108" w14:textId="77777777" w:rsidR="00170557" w:rsidRDefault="00784177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de-DE" w:eastAsia="de-DE"/>
            </w:rPr>
          </w:pPr>
          <w:hyperlink w:anchor="_Toc17458296" w:history="1">
            <w:r w:rsidR="00170557" w:rsidRPr="002B1CF6">
              <w:rPr>
                <w:rStyle w:val="Hyperlink"/>
                <w:noProof/>
              </w:rPr>
              <w:t>Überarbeitung der neunten Ausgabe des Icncp</w:t>
            </w:r>
            <w:r w:rsidR="00170557">
              <w:rPr>
                <w:noProof/>
                <w:webHidden/>
              </w:rPr>
              <w:tab/>
            </w:r>
            <w:r w:rsidR="00170557">
              <w:rPr>
                <w:noProof/>
                <w:webHidden/>
              </w:rPr>
              <w:fldChar w:fldCharType="begin"/>
            </w:r>
            <w:r w:rsidR="00170557">
              <w:rPr>
                <w:noProof/>
                <w:webHidden/>
              </w:rPr>
              <w:instrText xml:space="preserve"> PAGEREF _Toc17458296 \h </w:instrText>
            </w:r>
            <w:r w:rsidR="00170557">
              <w:rPr>
                <w:noProof/>
                <w:webHidden/>
              </w:rPr>
            </w:r>
            <w:r w:rsidR="00170557">
              <w:rPr>
                <w:noProof/>
                <w:webHidden/>
              </w:rPr>
              <w:fldChar w:fldCharType="separate"/>
            </w:r>
            <w:r w:rsidR="00170557">
              <w:rPr>
                <w:noProof/>
                <w:webHidden/>
              </w:rPr>
              <w:t>1</w:t>
            </w:r>
            <w:r w:rsidR="00170557">
              <w:rPr>
                <w:noProof/>
                <w:webHidden/>
              </w:rPr>
              <w:fldChar w:fldCharType="end"/>
            </w:r>
          </w:hyperlink>
        </w:p>
        <w:p w14:paraId="15F3D9DD" w14:textId="77777777" w:rsidR="00170557" w:rsidRDefault="00784177" w:rsidP="00885AB3">
          <w:pPr>
            <w:pStyle w:val="TOC1"/>
            <w:jc w:val="both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de-DE" w:eastAsia="de-DE"/>
            </w:rPr>
          </w:pPr>
          <w:hyperlink w:anchor="_Toc17458297" w:history="1">
            <w:r w:rsidR="00170557" w:rsidRPr="002B1CF6">
              <w:rPr>
                <w:rStyle w:val="Hyperlink"/>
                <w:noProof/>
              </w:rPr>
              <w:t>ETWAIGE ENTWICKLUNG EINES UPOV-SUCHINSTRUMENTS FÜR ÄHNLICHKEITEN ZUM ZWECK DER Sortenbezeichnung</w:t>
            </w:r>
            <w:r w:rsidR="00170557">
              <w:rPr>
                <w:noProof/>
                <w:webHidden/>
              </w:rPr>
              <w:tab/>
            </w:r>
            <w:r w:rsidR="00170557">
              <w:rPr>
                <w:noProof/>
                <w:webHidden/>
              </w:rPr>
              <w:fldChar w:fldCharType="begin"/>
            </w:r>
            <w:r w:rsidR="00170557">
              <w:rPr>
                <w:noProof/>
                <w:webHidden/>
              </w:rPr>
              <w:instrText xml:space="preserve"> PAGEREF _Toc17458297 \h </w:instrText>
            </w:r>
            <w:r w:rsidR="00170557">
              <w:rPr>
                <w:noProof/>
                <w:webHidden/>
              </w:rPr>
            </w:r>
            <w:r w:rsidR="00170557">
              <w:rPr>
                <w:noProof/>
                <w:webHidden/>
              </w:rPr>
              <w:fldChar w:fldCharType="separate"/>
            </w:r>
            <w:r w:rsidR="00170557">
              <w:rPr>
                <w:noProof/>
                <w:webHidden/>
              </w:rPr>
              <w:t>2</w:t>
            </w:r>
            <w:r w:rsidR="00170557">
              <w:rPr>
                <w:noProof/>
                <w:webHidden/>
              </w:rPr>
              <w:fldChar w:fldCharType="end"/>
            </w:r>
          </w:hyperlink>
        </w:p>
        <w:p w14:paraId="46F9B17A" w14:textId="77777777" w:rsidR="00170557" w:rsidRDefault="00784177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de-DE" w:eastAsia="de-DE"/>
            </w:rPr>
          </w:pPr>
          <w:hyperlink w:anchor="_Toc17458298" w:history="1">
            <w:r w:rsidR="00170557" w:rsidRPr="002B1CF6">
              <w:rPr>
                <w:rStyle w:val="Hyperlink"/>
                <w:noProof/>
                <w:snapToGrid w:val="0"/>
              </w:rPr>
              <w:t>Erweiterung des Inhalts der PLUTO-Datenbank</w:t>
            </w:r>
            <w:r w:rsidR="00170557">
              <w:rPr>
                <w:noProof/>
                <w:webHidden/>
              </w:rPr>
              <w:tab/>
            </w:r>
            <w:r w:rsidR="00170557">
              <w:rPr>
                <w:noProof/>
                <w:webHidden/>
              </w:rPr>
              <w:fldChar w:fldCharType="begin"/>
            </w:r>
            <w:r w:rsidR="00170557">
              <w:rPr>
                <w:noProof/>
                <w:webHidden/>
              </w:rPr>
              <w:instrText xml:space="preserve"> PAGEREF _Toc17458298 \h </w:instrText>
            </w:r>
            <w:r w:rsidR="00170557">
              <w:rPr>
                <w:noProof/>
                <w:webHidden/>
              </w:rPr>
            </w:r>
            <w:r w:rsidR="00170557">
              <w:rPr>
                <w:noProof/>
                <w:webHidden/>
              </w:rPr>
              <w:fldChar w:fldCharType="separate"/>
            </w:r>
            <w:r w:rsidR="00170557">
              <w:rPr>
                <w:noProof/>
                <w:webHidden/>
              </w:rPr>
              <w:t>2</w:t>
            </w:r>
            <w:r w:rsidR="00170557">
              <w:rPr>
                <w:noProof/>
                <w:webHidden/>
              </w:rPr>
              <w:fldChar w:fldCharType="end"/>
            </w:r>
          </w:hyperlink>
        </w:p>
        <w:p w14:paraId="741A6604" w14:textId="77777777" w:rsidR="00170557" w:rsidRDefault="00784177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 w:eastAsia="de-DE"/>
            </w:rPr>
          </w:pPr>
          <w:hyperlink w:anchor="_Toc17458299" w:history="1">
            <w:r w:rsidR="00170557" w:rsidRPr="002B1CF6">
              <w:rPr>
                <w:rStyle w:val="Hyperlink"/>
                <w:noProof/>
                <w:lang w:val="de-DE"/>
              </w:rPr>
              <w:t>Akzente und Sonderzeichen in Sortenbezeichnungen in der PLUTO-Datenbank</w:t>
            </w:r>
            <w:r w:rsidR="00170557">
              <w:rPr>
                <w:noProof/>
                <w:webHidden/>
              </w:rPr>
              <w:tab/>
            </w:r>
            <w:r w:rsidR="00170557">
              <w:rPr>
                <w:noProof/>
                <w:webHidden/>
              </w:rPr>
              <w:fldChar w:fldCharType="begin"/>
            </w:r>
            <w:r w:rsidR="00170557">
              <w:rPr>
                <w:noProof/>
                <w:webHidden/>
              </w:rPr>
              <w:instrText xml:space="preserve"> PAGEREF _Toc17458299 \h </w:instrText>
            </w:r>
            <w:r w:rsidR="00170557">
              <w:rPr>
                <w:noProof/>
                <w:webHidden/>
              </w:rPr>
            </w:r>
            <w:r w:rsidR="00170557">
              <w:rPr>
                <w:noProof/>
                <w:webHidden/>
              </w:rPr>
              <w:fldChar w:fldCharType="separate"/>
            </w:r>
            <w:r w:rsidR="00170557">
              <w:rPr>
                <w:noProof/>
                <w:webHidden/>
              </w:rPr>
              <w:t>3</w:t>
            </w:r>
            <w:r w:rsidR="00170557">
              <w:rPr>
                <w:noProof/>
                <w:webHidden/>
              </w:rPr>
              <w:fldChar w:fldCharType="end"/>
            </w:r>
          </w:hyperlink>
        </w:p>
        <w:p w14:paraId="33C89958" w14:textId="77777777" w:rsidR="00170557" w:rsidRDefault="00784177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 w:eastAsia="de-DE"/>
            </w:rPr>
          </w:pPr>
          <w:hyperlink w:anchor="_Toc17458300" w:history="1">
            <w:r w:rsidR="00170557" w:rsidRPr="002B1CF6">
              <w:rPr>
                <w:rStyle w:val="Hyperlink"/>
                <w:noProof/>
                <w:lang w:val="de-DE" w:eastAsia="ja-JP"/>
              </w:rPr>
              <w:t>Sortendaten, die nicht mehr in der PLUTO-Datenbank enthalten sind (Daten aus der Vergangenheit)</w:t>
            </w:r>
            <w:r w:rsidR="00170557">
              <w:rPr>
                <w:noProof/>
                <w:webHidden/>
              </w:rPr>
              <w:tab/>
            </w:r>
            <w:r w:rsidR="00170557">
              <w:rPr>
                <w:noProof/>
                <w:webHidden/>
              </w:rPr>
              <w:fldChar w:fldCharType="begin"/>
            </w:r>
            <w:r w:rsidR="00170557">
              <w:rPr>
                <w:noProof/>
                <w:webHidden/>
              </w:rPr>
              <w:instrText xml:space="preserve"> PAGEREF _Toc17458300 \h </w:instrText>
            </w:r>
            <w:r w:rsidR="00170557">
              <w:rPr>
                <w:noProof/>
                <w:webHidden/>
              </w:rPr>
            </w:r>
            <w:r w:rsidR="00170557">
              <w:rPr>
                <w:noProof/>
                <w:webHidden/>
              </w:rPr>
              <w:fldChar w:fldCharType="separate"/>
            </w:r>
            <w:r w:rsidR="00170557">
              <w:rPr>
                <w:noProof/>
                <w:webHidden/>
              </w:rPr>
              <w:t>3</w:t>
            </w:r>
            <w:r w:rsidR="00170557">
              <w:rPr>
                <w:noProof/>
                <w:webHidden/>
              </w:rPr>
              <w:fldChar w:fldCharType="end"/>
            </w:r>
          </w:hyperlink>
        </w:p>
        <w:p w14:paraId="31AFA268" w14:textId="77777777" w:rsidR="00170557" w:rsidRDefault="00784177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DE" w:eastAsia="de-DE"/>
            </w:rPr>
          </w:pPr>
          <w:hyperlink w:anchor="_Toc17458301" w:history="1">
            <w:r w:rsidR="00170557" w:rsidRPr="002B1CF6">
              <w:rPr>
                <w:rStyle w:val="Hyperlink"/>
                <w:noProof/>
                <w:lang w:val="de-DE" w:eastAsia="ja-JP"/>
              </w:rPr>
              <w:t>Andere Sorten (neue Daten)</w:t>
            </w:r>
            <w:r w:rsidR="00170557">
              <w:rPr>
                <w:noProof/>
                <w:webHidden/>
              </w:rPr>
              <w:tab/>
            </w:r>
            <w:r w:rsidR="00170557">
              <w:rPr>
                <w:noProof/>
                <w:webHidden/>
              </w:rPr>
              <w:fldChar w:fldCharType="begin"/>
            </w:r>
            <w:r w:rsidR="00170557">
              <w:rPr>
                <w:noProof/>
                <w:webHidden/>
              </w:rPr>
              <w:instrText xml:space="preserve"> PAGEREF _Toc17458301 \h </w:instrText>
            </w:r>
            <w:r w:rsidR="00170557">
              <w:rPr>
                <w:noProof/>
                <w:webHidden/>
              </w:rPr>
            </w:r>
            <w:r w:rsidR="00170557">
              <w:rPr>
                <w:noProof/>
                <w:webHidden/>
              </w:rPr>
              <w:fldChar w:fldCharType="separate"/>
            </w:r>
            <w:r w:rsidR="00170557">
              <w:rPr>
                <w:noProof/>
                <w:webHidden/>
              </w:rPr>
              <w:t>3</w:t>
            </w:r>
            <w:r w:rsidR="00170557">
              <w:rPr>
                <w:noProof/>
                <w:webHidden/>
              </w:rPr>
              <w:fldChar w:fldCharType="end"/>
            </w:r>
          </w:hyperlink>
        </w:p>
        <w:p w14:paraId="39F636AA" w14:textId="77777777" w:rsidR="00170557" w:rsidRDefault="00784177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de-DE" w:eastAsia="de-DE"/>
            </w:rPr>
          </w:pPr>
          <w:hyperlink w:anchor="_Toc17458302" w:history="1">
            <w:r w:rsidR="00170557" w:rsidRPr="002B1CF6">
              <w:rPr>
                <w:rStyle w:val="Hyperlink"/>
                <w:noProof/>
              </w:rPr>
              <w:t>Nicht Akzeptable Begriffe</w:t>
            </w:r>
            <w:r w:rsidR="00170557">
              <w:rPr>
                <w:noProof/>
                <w:webHidden/>
              </w:rPr>
              <w:tab/>
            </w:r>
            <w:r w:rsidR="00170557">
              <w:rPr>
                <w:noProof/>
                <w:webHidden/>
              </w:rPr>
              <w:fldChar w:fldCharType="begin"/>
            </w:r>
            <w:r w:rsidR="00170557">
              <w:rPr>
                <w:noProof/>
                <w:webHidden/>
              </w:rPr>
              <w:instrText xml:space="preserve"> PAGEREF _Toc17458302 \h </w:instrText>
            </w:r>
            <w:r w:rsidR="00170557">
              <w:rPr>
                <w:noProof/>
                <w:webHidden/>
              </w:rPr>
            </w:r>
            <w:r w:rsidR="00170557">
              <w:rPr>
                <w:noProof/>
                <w:webHidden/>
              </w:rPr>
              <w:fldChar w:fldCharType="separate"/>
            </w:r>
            <w:r w:rsidR="00170557">
              <w:rPr>
                <w:noProof/>
                <w:webHidden/>
              </w:rPr>
              <w:t>3</w:t>
            </w:r>
            <w:r w:rsidR="00170557">
              <w:rPr>
                <w:noProof/>
                <w:webHidden/>
              </w:rPr>
              <w:fldChar w:fldCharType="end"/>
            </w:r>
          </w:hyperlink>
        </w:p>
        <w:p w14:paraId="359BEB27" w14:textId="77777777" w:rsidR="00170557" w:rsidRDefault="00784177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de-DE" w:eastAsia="de-DE"/>
            </w:rPr>
          </w:pPr>
          <w:hyperlink w:anchor="_Toc17458303" w:history="1">
            <w:r w:rsidR="00170557" w:rsidRPr="002B1CF6">
              <w:rPr>
                <w:rStyle w:val="Hyperlink"/>
                <w:noProof/>
              </w:rPr>
              <w:t>Daten und Programm der nächsten Sitzung</w:t>
            </w:r>
            <w:r w:rsidR="00170557">
              <w:rPr>
                <w:noProof/>
                <w:webHidden/>
              </w:rPr>
              <w:tab/>
            </w:r>
            <w:r w:rsidR="00170557">
              <w:rPr>
                <w:noProof/>
                <w:webHidden/>
              </w:rPr>
              <w:fldChar w:fldCharType="begin"/>
            </w:r>
            <w:r w:rsidR="00170557">
              <w:rPr>
                <w:noProof/>
                <w:webHidden/>
              </w:rPr>
              <w:instrText xml:space="preserve"> PAGEREF _Toc17458303 \h </w:instrText>
            </w:r>
            <w:r w:rsidR="00170557">
              <w:rPr>
                <w:noProof/>
                <w:webHidden/>
              </w:rPr>
            </w:r>
            <w:r w:rsidR="00170557">
              <w:rPr>
                <w:noProof/>
                <w:webHidden/>
              </w:rPr>
              <w:fldChar w:fldCharType="separate"/>
            </w:r>
            <w:r w:rsidR="00170557">
              <w:rPr>
                <w:noProof/>
                <w:webHidden/>
              </w:rPr>
              <w:t>3</w:t>
            </w:r>
            <w:r w:rsidR="00170557">
              <w:rPr>
                <w:noProof/>
                <w:webHidden/>
              </w:rPr>
              <w:fldChar w:fldCharType="end"/>
            </w:r>
          </w:hyperlink>
        </w:p>
        <w:p w14:paraId="39991760" w14:textId="77777777" w:rsidR="0006356C" w:rsidRPr="007A7C26" w:rsidRDefault="0006356C" w:rsidP="0006356C">
          <w:pPr>
            <w:tabs>
              <w:tab w:val="right" w:leader="dot" w:pos="9639"/>
            </w:tabs>
            <w:spacing w:after="60"/>
            <w:ind w:left="454" w:right="851" w:hanging="284"/>
            <w:contextualSpacing/>
            <w:jc w:val="left"/>
            <w:rPr>
              <w:b/>
              <w:bCs/>
              <w:smallCaps/>
              <w:noProof/>
              <w:sz w:val="18"/>
              <w:lang w:val="de-DE"/>
            </w:rPr>
          </w:pPr>
          <w:r w:rsidRPr="007A7C26">
            <w:rPr>
              <w:b/>
              <w:bCs/>
              <w:smallCaps/>
              <w:noProof/>
              <w:sz w:val="18"/>
              <w:lang w:val="de-DE"/>
            </w:rPr>
            <w:fldChar w:fldCharType="end"/>
          </w:r>
        </w:p>
      </w:sdtContent>
    </w:sdt>
    <w:p w14:paraId="4122A068" w14:textId="77777777" w:rsidR="0006356C" w:rsidRPr="007A7C26" w:rsidRDefault="0006356C" w:rsidP="0006356C">
      <w:pPr>
        <w:rPr>
          <w:noProof/>
          <w:lang w:val="de-DE" w:eastAsia="ja-JP"/>
        </w:rPr>
      </w:pPr>
    </w:p>
    <w:p w14:paraId="68708A26" w14:textId="77777777" w:rsidR="00C740CE" w:rsidRPr="007A7C26" w:rsidRDefault="00C740CE" w:rsidP="0006356C">
      <w:pPr>
        <w:rPr>
          <w:noProof/>
          <w:lang w:val="de-DE" w:eastAsia="ja-JP"/>
        </w:rPr>
      </w:pPr>
    </w:p>
    <w:p w14:paraId="4070C1E0" w14:textId="77777777" w:rsidR="0006356C" w:rsidRPr="007A7C26" w:rsidRDefault="00E948A7" w:rsidP="00D46E83">
      <w:pPr>
        <w:pStyle w:val="Heading1"/>
      </w:pPr>
      <w:bookmarkStart w:id="5" w:name="_Toc17458296"/>
      <w:r>
        <w:t>Überarbeitung der neunten Ausgabe des</w:t>
      </w:r>
      <w:r w:rsidR="0006356C" w:rsidRPr="007A7C26">
        <w:t xml:space="preserve"> Icncp</w:t>
      </w:r>
      <w:bookmarkEnd w:id="5"/>
    </w:p>
    <w:p w14:paraId="40CA81B2" w14:textId="77777777" w:rsidR="0006356C" w:rsidRPr="007A7C26" w:rsidRDefault="0006356C" w:rsidP="0006356C">
      <w:pPr>
        <w:keepNext/>
        <w:rPr>
          <w:noProof/>
          <w:kern w:val="28"/>
          <w:lang w:val="de-DE"/>
        </w:rPr>
      </w:pPr>
    </w:p>
    <w:p w14:paraId="33DE62E8" w14:textId="0CC15633" w:rsidR="004D541A" w:rsidRPr="00D46E83" w:rsidRDefault="0006356C" w:rsidP="004D541A">
      <w:pPr>
        <w:keepNext/>
        <w:rPr>
          <w:rFonts w:eastAsiaTheme="minorEastAsia" w:cs="Arial"/>
          <w:noProof/>
          <w:snapToGrid w:val="0"/>
          <w:lang w:val="de-DE" w:eastAsia="ja-JP"/>
        </w:rPr>
      </w:pPr>
      <w:r w:rsidRPr="00D46E83">
        <w:rPr>
          <w:noProof/>
          <w:kern w:val="28"/>
          <w:lang w:val="de-DE"/>
        </w:rPr>
        <w:fldChar w:fldCharType="begin"/>
      </w:r>
      <w:r w:rsidRPr="00D46E83">
        <w:rPr>
          <w:noProof/>
          <w:kern w:val="28"/>
          <w:lang w:val="de-DE"/>
        </w:rPr>
        <w:instrText xml:space="preserve"> AUTONUM  </w:instrText>
      </w:r>
      <w:r w:rsidRPr="00D46E83">
        <w:rPr>
          <w:noProof/>
          <w:kern w:val="28"/>
          <w:lang w:val="de-DE"/>
        </w:rPr>
        <w:fldChar w:fldCharType="end"/>
      </w:r>
      <w:r w:rsidRPr="00D46E83">
        <w:rPr>
          <w:noProof/>
          <w:kern w:val="28"/>
          <w:lang w:val="de-DE"/>
        </w:rPr>
        <w:tab/>
      </w:r>
      <w:r w:rsidR="007B1454" w:rsidRPr="00D46E83">
        <w:rPr>
          <w:noProof/>
          <w:kern w:val="28"/>
          <w:lang w:val="de-DE"/>
        </w:rPr>
        <w:t xml:space="preserve">Am 5. August 2018 wurde das Verbandsbüro von Herrn John C. David, dem Vorsitzenden der </w:t>
      </w:r>
      <w:r w:rsidR="004D541A" w:rsidRPr="00D46E83">
        <w:rPr>
          <w:rFonts w:eastAsiaTheme="minorEastAsia"/>
          <w:noProof/>
          <w:snapToGrid w:val="0"/>
          <w:lang w:val="de-DE" w:eastAsia="ja-JP"/>
        </w:rPr>
        <w:t xml:space="preserve">Internationalen Kommission für die Nomenklatur der Kulturpflanzen der Internationalen Vereinigung der biologischen Wissenschaften </w:t>
      </w:r>
      <w:r w:rsidR="004D541A" w:rsidRPr="00D46E83">
        <w:rPr>
          <w:rFonts w:eastAsiaTheme="minorEastAsia" w:cs="Arial"/>
          <w:noProof/>
          <w:snapToGrid w:val="0"/>
          <w:lang w:val="de-DE" w:eastAsia="ja-JP"/>
        </w:rPr>
        <w:t xml:space="preserve"> (</w:t>
      </w:r>
      <w:r w:rsidR="004D541A" w:rsidRPr="00D46E83">
        <w:rPr>
          <w:noProof/>
          <w:lang w:val="de-DE" w:eastAsia="ja-JP"/>
        </w:rPr>
        <w:t>IUBS</w:t>
      </w:r>
      <w:r w:rsidR="0095734A">
        <w:rPr>
          <w:noProof/>
          <w:lang w:val="de-DE" w:eastAsia="ja-JP"/>
        </w:rPr>
        <w:t>-</w:t>
      </w:r>
      <w:r w:rsidR="004D541A" w:rsidRPr="00D46E83">
        <w:rPr>
          <w:noProof/>
          <w:lang w:val="de-DE" w:eastAsia="ja-JP"/>
        </w:rPr>
        <w:t>Kommission</w:t>
      </w:r>
      <w:r w:rsidR="004D541A" w:rsidRPr="00D46E83">
        <w:rPr>
          <w:rFonts w:eastAsiaTheme="minorEastAsia" w:cs="Arial"/>
          <w:noProof/>
          <w:snapToGrid w:val="0"/>
          <w:lang w:val="de-DE" w:eastAsia="ja-JP"/>
        </w:rPr>
        <w:t xml:space="preserve">) </w:t>
      </w:r>
      <w:r w:rsidR="001720AA" w:rsidRPr="00D46E83">
        <w:rPr>
          <w:noProof/>
          <w:kern w:val="28"/>
          <w:lang w:val="de-DE"/>
        </w:rPr>
        <w:t>über eine „Ausschreibung für Vorschläge zur Überarbeitung des Kodex für Kulturpflanzen“</w:t>
      </w:r>
      <w:r w:rsidR="0095734A">
        <w:rPr>
          <w:noProof/>
          <w:kern w:val="28"/>
          <w:lang w:val="de-DE"/>
        </w:rPr>
        <w:t xml:space="preserve"> </w:t>
      </w:r>
      <w:r w:rsidR="004D541A" w:rsidRPr="00D46E83">
        <w:rPr>
          <w:rFonts w:eastAsiaTheme="minorEastAsia" w:cs="Arial"/>
          <w:noProof/>
          <w:snapToGrid w:val="0"/>
          <w:lang w:val="de-DE" w:eastAsia="ja-JP"/>
        </w:rPr>
        <w:t xml:space="preserve">unterrichtet. Die Vorschläge zur </w:t>
      </w:r>
      <w:r w:rsidR="00E50CFC">
        <w:rPr>
          <w:rFonts w:eastAsiaTheme="minorEastAsia" w:cs="Arial"/>
          <w:noProof/>
          <w:snapToGrid w:val="0"/>
          <w:lang w:val="de-DE" w:eastAsia="ja-JP"/>
        </w:rPr>
        <w:t>Änderung</w:t>
      </w:r>
      <w:r w:rsidR="004D541A" w:rsidRPr="00D46E83">
        <w:rPr>
          <w:rFonts w:eastAsiaTheme="minorEastAsia" w:cs="Arial"/>
          <w:noProof/>
          <w:snapToGrid w:val="0"/>
          <w:lang w:val="de-DE" w:eastAsia="ja-JP"/>
        </w:rPr>
        <w:t xml:space="preserve"> des </w:t>
      </w:r>
      <w:r w:rsidR="00E50CFC">
        <w:rPr>
          <w:rFonts w:eastAsiaTheme="minorEastAsia"/>
          <w:noProof/>
          <w:snapToGrid w:val="0"/>
          <w:lang w:val="de-DE" w:eastAsia="ja-JP"/>
        </w:rPr>
        <w:t>Internationale</w:t>
      </w:r>
      <w:r w:rsidR="001720AA">
        <w:rPr>
          <w:rFonts w:eastAsiaTheme="minorEastAsia"/>
          <w:noProof/>
          <w:snapToGrid w:val="0"/>
          <w:lang w:val="de-DE" w:eastAsia="ja-JP"/>
        </w:rPr>
        <w:t>n</w:t>
      </w:r>
      <w:r w:rsidR="00E50CFC">
        <w:rPr>
          <w:rFonts w:eastAsiaTheme="minorEastAsia"/>
          <w:noProof/>
          <w:snapToGrid w:val="0"/>
          <w:lang w:val="de-DE" w:eastAsia="ja-JP"/>
        </w:rPr>
        <w:t xml:space="preserve"> Kodex</w:t>
      </w:r>
      <w:r w:rsidR="004D541A" w:rsidRPr="00D46E83">
        <w:rPr>
          <w:rFonts w:eastAsiaTheme="minorEastAsia"/>
          <w:noProof/>
          <w:snapToGrid w:val="0"/>
          <w:lang w:val="de-DE" w:eastAsia="ja-JP"/>
        </w:rPr>
        <w:t xml:space="preserve"> für die Nomenklatur </w:t>
      </w:r>
      <w:r w:rsidR="001720AA">
        <w:rPr>
          <w:rFonts w:eastAsiaTheme="minorEastAsia"/>
          <w:noProof/>
          <w:snapToGrid w:val="0"/>
          <w:lang w:val="de-DE" w:eastAsia="ja-JP"/>
        </w:rPr>
        <w:t>der</w:t>
      </w:r>
      <w:r w:rsidR="004D541A" w:rsidRPr="00D46E83">
        <w:rPr>
          <w:rFonts w:eastAsiaTheme="minorEastAsia"/>
          <w:noProof/>
          <w:snapToGrid w:val="0"/>
          <w:lang w:val="de-DE" w:eastAsia="ja-JP"/>
        </w:rPr>
        <w:t xml:space="preserve"> Kulturpflanzen</w:t>
      </w:r>
      <w:r w:rsidR="004D541A" w:rsidRPr="00D46E83">
        <w:rPr>
          <w:rFonts w:eastAsiaTheme="minorEastAsia" w:cs="Arial"/>
          <w:noProof/>
          <w:snapToGrid w:val="0"/>
          <w:lang w:val="de-DE" w:eastAsia="ja-JP"/>
        </w:rPr>
        <w:t xml:space="preserve"> (ICNCP) soll</w:t>
      </w:r>
      <w:r w:rsidR="00E50CFC">
        <w:rPr>
          <w:rFonts w:eastAsiaTheme="minorEastAsia" w:cs="Arial"/>
          <w:noProof/>
          <w:snapToGrid w:val="0"/>
          <w:lang w:val="de-DE" w:eastAsia="ja-JP"/>
        </w:rPr>
        <w:t>t</w:t>
      </w:r>
      <w:r w:rsidR="004D541A" w:rsidRPr="00D46E83">
        <w:rPr>
          <w:rFonts w:eastAsiaTheme="minorEastAsia" w:cs="Arial"/>
          <w:noProof/>
          <w:snapToGrid w:val="0"/>
          <w:lang w:val="de-DE" w:eastAsia="ja-JP"/>
        </w:rPr>
        <w:t xml:space="preserve">en bis zum 1. Januar 2019 </w:t>
      </w:r>
      <w:r w:rsidR="00E50CFC">
        <w:rPr>
          <w:rFonts w:eastAsiaTheme="minorEastAsia" w:cs="Arial"/>
          <w:noProof/>
          <w:snapToGrid w:val="0"/>
          <w:lang w:val="de-DE" w:eastAsia="ja-JP"/>
        </w:rPr>
        <w:t>beim</w:t>
      </w:r>
      <w:r w:rsidR="004D541A" w:rsidRPr="00D46E83">
        <w:rPr>
          <w:rFonts w:eastAsiaTheme="minorEastAsia" w:cs="Arial"/>
          <w:noProof/>
          <w:snapToGrid w:val="0"/>
          <w:lang w:val="de-DE" w:eastAsia="ja-JP"/>
        </w:rPr>
        <w:t xml:space="preserve"> Vorsitzenden der </w:t>
      </w:r>
      <w:r w:rsidR="004D541A" w:rsidRPr="00D46E83">
        <w:rPr>
          <w:rFonts w:eastAsiaTheme="minorEastAsia" w:cs="Arial"/>
          <w:noProof/>
          <w:snapToGrid w:val="0"/>
          <w:lang w:val="de-DE" w:eastAsia="ja-JP"/>
        </w:rPr>
        <w:lastRenderedPageBreak/>
        <w:t xml:space="preserve">IUBS-Kommission eingereicht werden </w:t>
      </w:r>
      <w:r w:rsidR="004D541A" w:rsidRPr="00D46E83">
        <w:rPr>
          <w:noProof/>
          <w:lang w:val="de-DE" w:eastAsia="ja-JP"/>
        </w:rPr>
        <w:t>(vergleiche Dokument</w:t>
      </w:r>
      <w:r w:rsidR="009A63D8">
        <w:rPr>
          <w:noProof/>
          <w:lang w:val="de-DE" w:eastAsia="ja-JP"/>
        </w:rPr>
        <w:t xml:space="preserve"> </w:t>
      </w:r>
      <w:r w:rsidR="004D541A" w:rsidRPr="00D46E83">
        <w:rPr>
          <w:noProof/>
          <w:lang w:val="de-DE" w:eastAsia="ja-JP"/>
        </w:rPr>
        <w:t>CAJ/75/7 Add. „</w:t>
      </w:r>
      <w:r w:rsidR="00617292">
        <w:rPr>
          <w:noProof/>
          <w:lang w:val="de-DE" w:eastAsia="ja-JP"/>
        </w:rPr>
        <w:t>Ergänzung zu</w:t>
      </w:r>
      <w:r w:rsidR="004D541A" w:rsidRPr="00D46E83">
        <w:rPr>
          <w:noProof/>
          <w:lang w:val="de-DE" w:eastAsia="ja-JP"/>
        </w:rPr>
        <w:t xml:space="preserve"> Sortenbezeichnungen</w:t>
      </w:r>
      <w:r w:rsidR="00E948A7" w:rsidRPr="00D46E83">
        <w:rPr>
          <w:noProof/>
          <w:lang w:val="de-DE" w:eastAsia="ja-JP"/>
        </w:rPr>
        <w:t>“</w:t>
      </w:r>
      <w:r w:rsidR="004D541A" w:rsidRPr="00D46E83">
        <w:rPr>
          <w:noProof/>
          <w:lang w:val="de-DE" w:eastAsia="ja-JP"/>
        </w:rPr>
        <w:t xml:space="preserve">, Absätze 3 </w:t>
      </w:r>
      <w:r w:rsidR="00617292">
        <w:rPr>
          <w:noProof/>
          <w:lang w:val="de-DE" w:eastAsia="ja-JP"/>
        </w:rPr>
        <w:t>u</w:t>
      </w:r>
      <w:r w:rsidR="004D541A" w:rsidRPr="00D46E83">
        <w:rPr>
          <w:noProof/>
          <w:lang w:val="de-DE" w:eastAsia="ja-JP"/>
        </w:rPr>
        <w:t>nd 4)</w:t>
      </w:r>
      <w:r w:rsidR="004D541A" w:rsidRPr="00D46E83">
        <w:rPr>
          <w:noProof/>
          <w:kern w:val="28"/>
          <w:lang w:val="de-DE"/>
        </w:rPr>
        <w:t>.</w:t>
      </w:r>
    </w:p>
    <w:p w14:paraId="75851E91" w14:textId="77777777" w:rsidR="004D541A" w:rsidRPr="00D46E83" w:rsidRDefault="004D541A" w:rsidP="004D541A">
      <w:pPr>
        <w:keepNext/>
        <w:rPr>
          <w:rFonts w:eastAsiaTheme="minorEastAsia" w:cs="Arial"/>
          <w:noProof/>
          <w:snapToGrid w:val="0"/>
          <w:lang w:val="de-DE" w:eastAsia="ja-JP"/>
        </w:rPr>
      </w:pPr>
    </w:p>
    <w:p w14:paraId="0EF29B09" w14:textId="0756673A" w:rsidR="004E1312" w:rsidRDefault="0006356C" w:rsidP="0006356C">
      <w:pPr>
        <w:keepNext/>
        <w:rPr>
          <w:noProof/>
          <w:lang w:val="de-DE" w:eastAsia="ja-JP"/>
        </w:rPr>
      </w:pPr>
      <w:r w:rsidRPr="00D46E83">
        <w:rPr>
          <w:noProof/>
          <w:kern w:val="28"/>
          <w:lang w:val="de-DE"/>
        </w:rPr>
        <w:fldChar w:fldCharType="begin"/>
      </w:r>
      <w:r w:rsidRPr="00D46E83">
        <w:rPr>
          <w:noProof/>
          <w:kern w:val="28"/>
          <w:lang w:val="de-DE"/>
        </w:rPr>
        <w:instrText xml:space="preserve"> AUTONUM  </w:instrText>
      </w:r>
      <w:r w:rsidRPr="00D46E83">
        <w:rPr>
          <w:noProof/>
          <w:kern w:val="28"/>
          <w:lang w:val="de-DE"/>
        </w:rPr>
        <w:fldChar w:fldCharType="end"/>
      </w:r>
      <w:r w:rsidRPr="00D46E83">
        <w:rPr>
          <w:noProof/>
          <w:kern w:val="28"/>
          <w:lang w:val="de-DE"/>
        </w:rPr>
        <w:tab/>
      </w:r>
      <w:r w:rsidR="00753C19" w:rsidRPr="00D46E83">
        <w:rPr>
          <w:noProof/>
          <w:kern w:val="28"/>
          <w:lang w:val="de-DE"/>
        </w:rPr>
        <w:t xml:space="preserve">Der </w:t>
      </w:r>
      <w:r w:rsidR="00753C19" w:rsidRPr="00D46E83">
        <w:rPr>
          <w:rFonts w:eastAsiaTheme="minorEastAsia"/>
          <w:noProof/>
          <w:snapToGrid w:val="0"/>
          <w:lang w:val="de-DE" w:eastAsia="ja-JP"/>
        </w:rPr>
        <w:t xml:space="preserve">Verwaltungs- und Rechtsausschuß </w:t>
      </w:r>
      <w:r w:rsidR="003B68B1">
        <w:rPr>
          <w:rFonts w:eastAsiaTheme="minorEastAsia"/>
          <w:noProof/>
          <w:snapToGrid w:val="0"/>
          <w:lang w:val="de-DE" w:eastAsia="ja-JP"/>
        </w:rPr>
        <w:t xml:space="preserve">(CAJ) </w:t>
      </w:r>
      <w:r w:rsidR="00753C19" w:rsidRPr="00D46E83">
        <w:rPr>
          <w:rFonts w:eastAsiaTheme="minorEastAsia"/>
          <w:noProof/>
          <w:snapToGrid w:val="0"/>
          <w:lang w:val="de-DE" w:eastAsia="ja-JP"/>
        </w:rPr>
        <w:t>vereinbarte auf seiner fünfundsiebzigsten Tagung vom 31. Oktober 2018</w:t>
      </w:r>
      <w:r w:rsidR="003B68B1">
        <w:rPr>
          <w:rFonts w:eastAsiaTheme="minorEastAsia"/>
          <w:noProof/>
          <w:snapToGrid w:val="0"/>
          <w:lang w:val="de-DE" w:eastAsia="ja-JP"/>
        </w:rPr>
        <w:t xml:space="preserve"> in Genf</w:t>
      </w:r>
      <w:r w:rsidR="00753C19" w:rsidRPr="00D46E83">
        <w:rPr>
          <w:rFonts w:eastAsiaTheme="minorEastAsia"/>
          <w:noProof/>
          <w:snapToGrid w:val="0"/>
          <w:lang w:val="de-DE" w:eastAsia="ja-JP"/>
        </w:rPr>
        <w:t>, daß das Verbandsbüro zur Überarbeitung der neunten Ausgabe des ICNCP auf der Grundlage des Dokuments UPOV/INF/12/5, „Erläuterungen zu Sortenbezeichnungen nach dem UPOV</w:t>
      </w:r>
      <w:r w:rsidR="00BC3299">
        <w:rPr>
          <w:rFonts w:eastAsiaTheme="minorEastAsia"/>
          <w:noProof/>
          <w:snapToGrid w:val="0"/>
          <w:lang w:val="de-DE" w:eastAsia="ja-JP"/>
        </w:rPr>
        <w:noBreakHyphen/>
      </w:r>
      <w:r w:rsidR="00753C19" w:rsidRPr="00D46E83">
        <w:rPr>
          <w:rFonts w:eastAsiaTheme="minorEastAsia"/>
          <w:noProof/>
          <w:snapToGrid w:val="0"/>
          <w:lang w:val="de-DE" w:eastAsia="ja-JP"/>
        </w:rPr>
        <w:t xml:space="preserve">Übereinkommen“ </w:t>
      </w:r>
      <w:r w:rsidR="001720AA">
        <w:rPr>
          <w:rFonts w:eastAsiaTheme="minorEastAsia"/>
          <w:noProof/>
          <w:snapToGrid w:val="0"/>
          <w:lang w:val="de-DE" w:eastAsia="ja-JP"/>
        </w:rPr>
        <w:t>sowie zu</w:t>
      </w:r>
      <w:r w:rsidR="00753C19" w:rsidRPr="00D46E83">
        <w:rPr>
          <w:rFonts w:eastAsiaTheme="minorEastAsia"/>
          <w:noProof/>
          <w:snapToGrid w:val="0"/>
          <w:lang w:val="de-DE" w:eastAsia="ja-JP"/>
        </w:rPr>
        <w:t xml:space="preserve"> der Arbeit der WG-DEN beitragen sollte </w:t>
      </w:r>
      <w:r w:rsidR="00753C19" w:rsidRPr="00D46E83">
        <w:rPr>
          <w:noProof/>
          <w:lang w:val="de-DE" w:eastAsia="ja-JP"/>
        </w:rPr>
        <w:t>(</w:t>
      </w:r>
      <w:r w:rsidR="00E948A7" w:rsidRPr="00D46E83">
        <w:rPr>
          <w:noProof/>
          <w:lang w:val="de-DE" w:eastAsia="ja-JP"/>
        </w:rPr>
        <w:t>vergleiche</w:t>
      </w:r>
      <w:r w:rsidR="00753C19" w:rsidRPr="00D46E83">
        <w:rPr>
          <w:noProof/>
          <w:lang w:val="de-DE" w:eastAsia="ja-JP"/>
        </w:rPr>
        <w:t xml:space="preserve"> </w:t>
      </w:r>
      <w:r w:rsidR="00E948A7" w:rsidRPr="00D46E83">
        <w:rPr>
          <w:noProof/>
          <w:lang w:val="de-DE" w:eastAsia="ja-JP"/>
        </w:rPr>
        <w:t>Dokument</w:t>
      </w:r>
      <w:r w:rsidR="00753C19" w:rsidRPr="00D46E83">
        <w:rPr>
          <w:noProof/>
          <w:lang w:val="de-DE" w:eastAsia="ja-JP"/>
        </w:rPr>
        <w:t xml:space="preserve"> CAJ/75/14</w:t>
      </w:r>
      <w:r w:rsidR="00E948A7" w:rsidRPr="00D46E83">
        <w:rPr>
          <w:noProof/>
          <w:lang w:val="de-DE" w:eastAsia="ja-JP"/>
        </w:rPr>
        <w:t xml:space="preserve"> „Bericht“</w:t>
      </w:r>
      <w:r w:rsidR="00753C19" w:rsidRPr="00D46E83">
        <w:rPr>
          <w:noProof/>
          <w:lang w:val="de-DE" w:eastAsia="ja-JP"/>
        </w:rPr>
        <w:t xml:space="preserve">, </w:t>
      </w:r>
      <w:r w:rsidR="00E948A7" w:rsidRPr="00D46E83">
        <w:rPr>
          <w:noProof/>
          <w:lang w:val="de-DE" w:eastAsia="ja-JP"/>
        </w:rPr>
        <w:t>Absatz</w:t>
      </w:r>
      <w:r w:rsidR="00753C19" w:rsidRPr="00D46E83">
        <w:rPr>
          <w:noProof/>
          <w:lang w:val="de-DE" w:eastAsia="ja-JP"/>
        </w:rPr>
        <w:t xml:space="preserve"> 45).</w:t>
      </w:r>
    </w:p>
    <w:p w14:paraId="0C327393" w14:textId="77777777" w:rsidR="00753C19" w:rsidRDefault="00753C19" w:rsidP="0006356C">
      <w:pPr>
        <w:keepNext/>
        <w:rPr>
          <w:noProof/>
          <w:kern w:val="28"/>
          <w:lang w:val="de-DE"/>
        </w:rPr>
      </w:pPr>
    </w:p>
    <w:p w14:paraId="068896F0" w14:textId="1ACCD6AA" w:rsidR="00753C19" w:rsidRPr="003B68B1" w:rsidRDefault="0006356C" w:rsidP="0006356C">
      <w:pPr>
        <w:keepNext/>
        <w:rPr>
          <w:noProof/>
          <w:kern w:val="28"/>
          <w:lang w:val="de-DE"/>
        </w:rPr>
      </w:pPr>
      <w:r w:rsidRPr="003B68B1">
        <w:rPr>
          <w:noProof/>
          <w:kern w:val="28"/>
          <w:lang w:val="de-DE"/>
        </w:rPr>
        <w:fldChar w:fldCharType="begin"/>
      </w:r>
      <w:r w:rsidRPr="003B68B1">
        <w:rPr>
          <w:noProof/>
          <w:kern w:val="28"/>
          <w:lang w:val="de-DE"/>
        </w:rPr>
        <w:instrText xml:space="preserve"> AUTONUM  </w:instrText>
      </w:r>
      <w:r w:rsidRPr="003B68B1">
        <w:rPr>
          <w:noProof/>
          <w:kern w:val="28"/>
          <w:lang w:val="de-DE"/>
        </w:rPr>
        <w:fldChar w:fldCharType="end"/>
      </w:r>
      <w:r w:rsidRPr="003B68B1">
        <w:rPr>
          <w:noProof/>
          <w:kern w:val="28"/>
          <w:lang w:val="de-DE"/>
        </w:rPr>
        <w:tab/>
      </w:r>
      <w:r w:rsidR="00753C19" w:rsidRPr="003B68B1">
        <w:rPr>
          <w:noProof/>
          <w:kern w:val="28"/>
          <w:lang w:val="de-DE"/>
        </w:rPr>
        <w:t xml:space="preserve">Am 17. Dezember 2018 wurde das </w:t>
      </w:r>
      <w:r w:rsidR="00A0642E" w:rsidRPr="003B68B1">
        <w:rPr>
          <w:noProof/>
          <w:kern w:val="28"/>
          <w:lang w:val="de-DE"/>
        </w:rPr>
        <w:t>Verbandsbüro</w:t>
      </w:r>
      <w:r w:rsidR="00753C19" w:rsidRPr="003B68B1">
        <w:rPr>
          <w:noProof/>
          <w:kern w:val="28"/>
          <w:lang w:val="de-DE"/>
        </w:rPr>
        <w:t xml:space="preserve"> von Herrn David da</w:t>
      </w:r>
      <w:r w:rsidR="00785618">
        <w:rPr>
          <w:noProof/>
          <w:kern w:val="28"/>
          <w:lang w:val="de-DE"/>
        </w:rPr>
        <w:t>von</w:t>
      </w:r>
      <w:r w:rsidR="00753C19" w:rsidRPr="003B68B1">
        <w:rPr>
          <w:noProof/>
          <w:kern w:val="28"/>
          <w:lang w:val="de-DE"/>
        </w:rPr>
        <w:t xml:space="preserve"> </w:t>
      </w:r>
      <w:r w:rsidR="00A0642E" w:rsidRPr="003B68B1">
        <w:rPr>
          <w:noProof/>
          <w:kern w:val="28"/>
          <w:lang w:val="de-DE"/>
        </w:rPr>
        <w:t>in Kenntnis gesetzt</w:t>
      </w:r>
      <w:r w:rsidR="00753C19" w:rsidRPr="003B68B1">
        <w:rPr>
          <w:noProof/>
          <w:kern w:val="28"/>
          <w:lang w:val="de-DE"/>
        </w:rPr>
        <w:t xml:space="preserve">, </w:t>
      </w:r>
      <w:r w:rsidR="00100E65" w:rsidRPr="003B68B1">
        <w:rPr>
          <w:noProof/>
          <w:kern w:val="28"/>
          <w:lang w:val="de-DE"/>
        </w:rPr>
        <w:t>daß</w:t>
      </w:r>
      <w:r w:rsidR="00753C19" w:rsidRPr="003B68B1">
        <w:rPr>
          <w:noProof/>
          <w:kern w:val="28"/>
          <w:lang w:val="de-DE"/>
        </w:rPr>
        <w:t xml:space="preserve"> sich die nächste Sitzung der IUBS-Kommission auf Ende 2019 oder An</w:t>
      </w:r>
      <w:r w:rsidR="00F30E30">
        <w:rPr>
          <w:noProof/>
          <w:kern w:val="28"/>
          <w:lang w:val="de-DE"/>
        </w:rPr>
        <w:t>fang 2020 verschieben würde. Am </w:t>
      </w:r>
      <w:r w:rsidR="00753C19" w:rsidRPr="003B68B1">
        <w:rPr>
          <w:noProof/>
          <w:kern w:val="28"/>
          <w:lang w:val="de-DE"/>
        </w:rPr>
        <w:t>8.</w:t>
      </w:r>
      <w:r w:rsidR="00F30E30">
        <w:rPr>
          <w:noProof/>
          <w:kern w:val="28"/>
          <w:lang w:val="de-DE"/>
        </w:rPr>
        <w:t> </w:t>
      </w:r>
      <w:r w:rsidR="00753C19" w:rsidRPr="003B68B1">
        <w:rPr>
          <w:noProof/>
          <w:kern w:val="28"/>
          <w:lang w:val="de-DE"/>
        </w:rPr>
        <w:t>Juli</w:t>
      </w:r>
      <w:r w:rsidR="00F30E30">
        <w:rPr>
          <w:noProof/>
          <w:kern w:val="28"/>
          <w:lang w:val="de-DE"/>
        </w:rPr>
        <w:t> </w:t>
      </w:r>
      <w:r w:rsidR="00753C19" w:rsidRPr="003B68B1">
        <w:rPr>
          <w:noProof/>
          <w:kern w:val="28"/>
          <w:lang w:val="de-DE"/>
        </w:rPr>
        <w:t xml:space="preserve">2019 wurde das </w:t>
      </w:r>
      <w:r w:rsidR="00A0642E" w:rsidRPr="003B68B1">
        <w:rPr>
          <w:noProof/>
          <w:kern w:val="28"/>
          <w:lang w:val="de-DE"/>
        </w:rPr>
        <w:t>Verbandsbüro</w:t>
      </w:r>
      <w:r w:rsidR="00753C19" w:rsidRPr="003B68B1">
        <w:rPr>
          <w:noProof/>
          <w:kern w:val="28"/>
          <w:lang w:val="de-DE"/>
        </w:rPr>
        <w:t xml:space="preserve"> von Herrn David </w:t>
      </w:r>
      <w:r w:rsidR="003B68B1">
        <w:rPr>
          <w:noProof/>
          <w:kern w:val="28"/>
          <w:lang w:val="de-DE"/>
        </w:rPr>
        <w:t>davon</w:t>
      </w:r>
      <w:r w:rsidR="00753C19" w:rsidRPr="003B68B1">
        <w:rPr>
          <w:noProof/>
          <w:kern w:val="28"/>
          <w:lang w:val="de-DE"/>
        </w:rPr>
        <w:t xml:space="preserve"> </w:t>
      </w:r>
      <w:r w:rsidR="00A0642E" w:rsidRPr="003B68B1">
        <w:rPr>
          <w:noProof/>
          <w:kern w:val="28"/>
          <w:lang w:val="de-DE"/>
        </w:rPr>
        <w:t>in Kenntnis gesetzt</w:t>
      </w:r>
      <w:r w:rsidR="00753C19" w:rsidRPr="003B68B1">
        <w:rPr>
          <w:noProof/>
          <w:kern w:val="28"/>
          <w:lang w:val="de-DE"/>
        </w:rPr>
        <w:t xml:space="preserve">, </w:t>
      </w:r>
      <w:r w:rsidR="00100E65" w:rsidRPr="003B68B1">
        <w:rPr>
          <w:noProof/>
          <w:kern w:val="28"/>
          <w:lang w:val="de-DE"/>
        </w:rPr>
        <w:t>daß</w:t>
      </w:r>
      <w:r w:rsidR="00753C19" w:rsidRPr="003B68B1">
        <w:rPr>
          <w:noProof/>
          <w:kern w:val="28"/>
          <w:lang w:val="de-DE"/>
        </w:rPr>
        <w:t xml:space="preserve"> die nächste Sitzung der IUBS-Kommission, die für die Änderung des ICNCP-Kodex zuständig ist, </w:t>
      </w:r>
      <w:r w:rsidR="00785618">
        <w:rPr>
          <w:noProof/>
          <w:kern w:val="28"/>
          <w:lang w:val="de-DE"/>
        </w:rPr>
        <w:t xml:space="preserve">für </w:t>
      </w:r>
      <w:r w:rsidR="00753C19" w:rsidRPr="003B68B1">
        <w:rPr>
          <w:noProof/>
          <w:kern w:val="28"/>
          <w:lang w:val="de-DE"/>
        </w:rPr>
        <w:t xml:space="preserve">Anfang 2020 in Angers, Frankreich, </w:t>
      </w:r>
      <w:r w:rsidR="00785618">
        <w:rPr>
          <w:noProof/>
          <w:kern w:val="28"/>
          <w:lang w:val="de-DE"/>
        </w:rPr>
        <w:t>geplant ist</w:t>
      </w:r>
      <w:r w:rsidR="00753C19" w:rsidRPr="003B68B1">
        <w:rPr>
          <w:noProof/>
          <w:kern w:val="28"/>
          <w:lang w:val="de-DE"/>
        </w:rPr>
        <w:t xml:space="preserve">. </w:t>
      </w:r>
      <w:r w:rsidR="00A0642E" w:rsidRPr="003B68B1">
        <w:rPr>
          <w:noProof/>
          <w:kern w:val="28"/>
          <w:lang w:val="de-DE"/>
        </w:rPr>
        <w:t xml:space="preserve">Die Vorschläge zur </w:t>
      </w:r>
      <w:r w:rsidR="00785618">
        <w:rPr>
          <w:noProof/>
          <w:kern w:val="28"/>
          <w:lang w:val="de-DE"/>
        </w:rPr>
        <w:t>Änderung</w:t>
      </w:r>
      <w:r w:rsidR="00A0642E" w:rsidRPr="003B68B1">
        <w:rPr>
          <w:noProof/>
          <w:kern w:val="28"/>
          <w:lang w:val="de-DE"/>
        </w:rPr>
        <w:t xml:space="preserve"> des ICNCP soll</w:t>
      </w:r>
      <w:r w:rsidR="00785618">
        <w:rPr>
          <w:noProof/>
          <w:kern w:val="28"/>
          <w:lang w:val="de-DE"/>
        </w:rPr>
        <w:t>t</w:t>
      </w:r>
      <w:r w:rsidR="00A0642E" w:rsidRPr="003B68B1">
        <w:rPr>
          <w:noProof/>
          <w:kern w:val="28"/>
          <w:lang w:val="de-DE"/>
        </w:rPr>
        <w:t xml:space="preserve">en bis Ende November 2019 </w:t>
      </w:r>
      <w:r w:rsidR="00785618">
        <w:rPr>
          <w:noProof/>
          <w:kern w:val="28"/>
          <w:lang w:val="de-DE"/>
        </w:rPr>
        <w:t>beim</w:t>
      </w:r>
      <w:r w:rsidR="00A0642E" w:rsidRPr="003B68B1">
        <w:rPr>
          <w:noProof/>
          <w:kern w:val="28"/>
          <w:lang w:val="de-DE"/>
        </w:rPr>
        <w:t xml:space="preserve"> Vorsitzenden der IUBS-Kommission eingereicht werden. </w:t>
      </w:r>
      <w:r w:rsidR="00753C19" w:rsidRPr="003B68B1">
        <w:rPr>
          <w:noProof/>
          <w:kern w:val="28"/>
          <w:lang w:val="de-DE"/>
        </w:rPr>
        <w:t xml:space="preserve">Das </w:t>
      </w:r>
      <w:r w:rsidR="00A0642E" w:rsidRPr="003B68B1">
        <w:rPr>
          <w:noProof/>
          <w:kern w:val="28"/>
          <w:lang w:val="de-DE"/>
        </w:rPr>
        <w:t>Verbandsbüro</w:t>
      </w:r>
      <w:r w:rsidR="00753C19" w:rsidRPr="003B68B1">
        <w:rPr>
          <w:noProof/>
          <w:kern w:val="28"/>
          <w:lang w:val="de-DE"/>
        </w:rPr>
        <w:t xml:space="preserve"> wird </w:t>
      </w:r>
      <w:r w:rsidR="00785618">
        <w:rPr>
          <w:noProof/>
          <w:kern w:val="28"/>
          <w:lang w:val="de-DE"/>
        </w:rPr>
        <w:t>den</w:t>
      </w:r>
      <w:r w:rsidR="00753C19" w:rsidRPr="003B68B1">
        <w:rPr>
          <w:noProof/>
          <w:kern w:val="28"/>
          <w:lang w:val="de-DE"/>
        </w:rPr>
        <w:t xml:space="preserve"> CAJ auf seiner sechsundsiebzigsten Tagung am 30. Oktober 2019 in Genf zu Vorschlägen für die ICNCP </w:t>
      </w:r>
      <w:r w:rsidR="00753C19" w:rsidRPr="003C7788">
        <w:rPr>
          <w:noProof/>
          <w:kern w:val="28"/>
          <w:lang w:val="de-DE"/>
        </w:rPr>
        <w:t>konsultieren</w:t>
      </w:r>
      <w:r w:rsidR="00753C19" w:rsidRPr="003B68B1">
        <w:rPr>
          <w:noProof/>
          <w:kern w:val="28"/>
          <w:lang w:val="de-DE"/>
        </w:rPr>
        <w:t>.</w:t>
      </w:r>
    </w:p>
    <w:p w14:paraId="41132212" w14:textId="77777777" w:rsidR="0006356C" w:rsidRPr="007A7C26" w:rsidRDefault="0006356C" w:rsidP="00C740CE">
      <w:pPr>
        <w:rPr>
          <w:rFonts w:eastAsiaTheme="minorEastAsia"/>
          <w:noProof/>
          <w:snapToGrid w:val="0"/>
          <w:lang w:val="de-DE" w:eastAsia="ja-JP"/>
        </w:rPr>
      </w:pPr>
    </w:p>
    <w:p w14:paraId="160EDED0" w14:textId="77777777" w:rsidR="0006356C" w:rsidRPr="007A7C26" w:rsidRDefault="0006356C" w:rsidP="0006356C">
      <w:pPr>
        <w:rPr>
          <w:rFonts w:eastAsiaTheme="minorEastAsia"/>
          <w:noProof/>
          <w:lang w:val="de-DE" w:eastAsia="ja-JP"/>
        </w:rPr>
      </w:pPr>
    </w:p>
    <w:p w14:paraId="538695F9" w14:textId="77777777" w:rsidR="0006356C" w:rsidRPr="00D46E83" w:rsidRDefault="00E948A7" w:rsidP="00D46E83">
      <w:pPr>
        <w:pStyle w:val="Heading1"/>
      </w:pPr>
      <w:bookmarkStart w:id="6" w:name="_Toc382388623"/>
      <w:bookmarkStart w:id="7" w:name="_Toc477358706"/>
      <w:bookmarkStart w:id="8" w:name="_Toc17458297"/>
      <w:r w:rsidRPr="00D46E83">
        <w:t>ETWAIGE ENTWICKLUNG EINES UPOV-SUCHINSTRUMENTS FÜR ÄHNLICHKEITEN Z</w:t>
      </w:r>
      <w:r w:rsidRPr="00785618">
        <w:t>UM ZWECK D</w:t>
      </w:r>
      <w:r w:rsidRPr="00D46E83">
        <w:t>ER Sortenbezeichnung</w:t>
      </w:r>
      <w:bookmarkEnd w:id="6"/>
      <w:bookmarkEnd w:id="7"/>
      <w:bookmarkEnd w:id="8"/>
    </w:p>
    <w:p w14:paraId="6D344513" w14:textId="77777777" w:rsidR="0006356C" w:rsidRPr="007A7C26" w:rsidRDefault="0006356C" w:rsidP="0006356C">
      <w:pPr>
        <w:rPr>
          <w:rFonts w:eastAsiaTheme="minorEastAsia"/>
          <w:noProof/>
          <w:lang w:val="de-DE" w:eastAsia="ja-JP"/>
        </w:rPr>
      </w:pPr>
    </w:p>
    <w:p w14:paraId="094ADF05" w14:textId="0C640BEF" w:rsidR="0006356C" w:rsidRPr="007A7C26" w:rsidRDefault="0006356C" w:rsidP="0006356C">
      <w:pPr>
        <w:rPr>
          <w:rFonts w:eastAsiaTheme="minorEastAsia"/>
          <w:noProof/>
          <w:lang w:val="de-DE" w:eastAsia="ja-JP"/>
        </w:rPr>
      </w:pPr>
      <w:r w:rsidRPr="00403639">
        <w:rPr>
          <w:rFonts w:eastAsiaTheme="minorEastAsia"/>
          <w:noProof/>
          <w:lang w:val="de-DE"/>
        </w:rPr>
        <w:fldChar w:fldCharType="begin"/>
      </w:r>
      <w:r w:rsidRPr="00403639">
        <w:rPr>
          <w:rFonts w:eastAsiaTheme="minorEastAsia"/>
          <w:noProof/>
          <w:lang w:val="de-DE"/>
        </w:rPr>
        <w:instrText xml:space="preserve"> AUTONUM  </w:instrText>
      </w:r>
      <w:r w:rsidRPr="00403639">
        <w:rPr>
          <w:rFonts w:eastAsiaTheme="minorEastAsia"/>
          <w:noProof/>
          <w:lang w:val="de-DE"/>
        </w:rPr>
        <w:fldChar w:fldCharType="end"/>
      </w:r>
      <w:r w:rsidRPr="00403639">
        <w:rPr>
          <w:rFonts w:eastAsiaTheme="minorEastAsia"/>
          <w:noProof/>
          <w:lang w:val="de-DE"/>
        </w:rPr>
        <w:tab/>
      </w:r>
      <w:r w:rsidR="00E948A7" w:rsidRPr="00403639">
        <w:rPr>
          <w:rFonts w:eastAsiaTheme="minorEastAsia"/>
          <w:noProof/>
          <w:lang w:val="de-DE" w:eastAsia="ja-JP"/>
        </w:rPr>
        <w:t>Der Hintergrund dieser Angelegenheit ist in Dokument</w:t>
      </w:r>
      <w:r w:rsidRPr="00403639">
        <w:rPr>
          <w:rFonts w:eastAsiaTheme="minorEastAsia"/>
          <w:noProof/>
          <w:lang w:val="de-DE" w:eastAsia="ja-JP"/>
        </w:rPr>
        <w:t xml:space="preserve"> TC/54/12 </w:t>
      </w:r>
      <w:r w:rsidR="00E948A7" w:rsidRPr="00403639">
        <w:rPr>
          <w:rFonts w:eastAsiaTheme="minorEastAsia"/>
          <w:noProof/>
          <w:lang w:val="de-DE" w:eastAsia="ja-JP"/>
        </w:rPr>
        <w:t>„S</w:t>
      </w:r>
      <w:r w:rsidR="00FF6574" w:rsidRPr="00403639">
        <w:rPr>
          <w:rFonts w:eastAsiaTheme="minorEastAsia"/>
          <w:noProof/>
          <w:lang w:val="de-DE" w:eastAsia="ja-JP"/>
        </w:rPr>
        <w:t>ortenbezeichnungen</w:t>
      </w:r>
      <w:r w:rsidR="00E948A7" w:rsidRPr="00403639">
        <w:rPr>
          <w:rFonts w:eastAsiaTheme="minorEastAsia"/>
          <w:noProof/>
          <w:lang w:val="de-DE" w:eastAsia="ja-JP"/>
        </w:rPr>
        <w:t>“</w:t>
      </w:r>
      <w:r w:rsidRPr="00403639">
        <w:rPr>
          <w:rFonts w:eastAsiaTheme="minorEastAsia"/>
          <w:noProof/>
          <w:lang w:val="de-DE" w:eastAsia="ja-JP"/>
        </w:rPr>
        <w:t xml:space="preserve">, </w:t>
      </w:r>
      <w:r w:rsidR="00E948A7" w:rsidRPr="00403639">
        <w:rPr>
          <w:rFonts w:eastAsiaTheme="minorEastAsia"/>
          <w:noProof/>
          <w:lang w:val="de-DE" w:eastAsia="ja-JP"/>
        </w:rPr>
        <w:t>Absatz</w:t>
      </w:r>
      <w:r w:rsidRPr="00403639">
        <w:rPr>
          <w:rFonts w:eastAsiaTheme="minorEastAsia"/>
          <w:noProof/>
          <w:lang w:val="de-DE" w:eastAsia="ja-JP"/>
        </w:rPr>
        <w:t> 12</w:t>
      </w:r>
      <w:r w:rsidR="0095734A">
        <w:rPr>
          <w:rFonts w:eastAsiaTheme="minorEastAsia"/>
          <w:noProof/>
          <w:lang w:val="de-DE" w:eastAsia="ja-JP"/>
        </w:rPr>
        <w:t>,</w:t>
      </w:r>
      <w:r w:rsidR="00E948A7" w:rsidRPr="00403639">
        <w:rPr>
          <w:rFonts w:eastAsiaTheme="minorEastAsia"/>
          <w:noProof/>
          <w:lang w:val="de-DE" w:eastAsia="ja-JP"/>
        </w:rPr>
        <w:t xml:space="preserve"> dargelegt</w:t>
      </w:r>
      <w:r w:rsidRPr="00403639">
        <w:rPr>
          <w:rFonts w:eastAsiaTheme="minorEastAsia"/>
          <w:noProof/>
          <w:lang w:val="de-DE" w:eastAsia="ja-JP"/>
        </w:rPr>
        <w:t>.</w:t>
      </w:r>
    </w:p>
    <w:p w14:paraId="185A72B3" w14:textId="77777777" w:rsidR="0006356C" w:rsidRPr="007A7C26" w:rsidRDefault="0006356C" w:rsidP="0006356C">
      <w:pPr>
        <w:rPr>
          <w:noProof/>
          <w:lang w:val="de-DE" w:eastAsia="ja-JP"/>
        </w:rPr>
      </w:pPr>
    </w:p>
    <w:p w14:paraId="60EEF320" w14:textId="77777777" w:rsidR="00234555" w:rsidRPr="003C7788" w:rsidRDefault="0006356C" w:rsidP="0006356C">
      <w:pPr>
        <w:rPr>
          <w:noProof/>
          <w:lang w:val="de-DE" w:eastAsia="ja-JP"/>
        </w:rPr>
      </w:pPr>
      <w:r w:rsidRPr="007A7C26">
        <w:rPr>
          <w:noProof/>
          <w:lang w:val="de-DE" w:eastAsia="ja-JP"/>
        </w:rPr>
        <w:fldChar w:fldCharType="begin"/>
      </w:r>
      <w:r w:rsidRPr="007A7C26">
        <w:rPr>
          <w:noProof/>
          <w:lang w:val="de-DE" w:eastAsia="ja-JP"/>
        </w:rPr>
        <w:instrText xml:space="preserve"> AUTONUM  </w:instrText>
      </w:r>
      <w:r w:rsidRPr="007A7C26">
        <w:rPr>
          <w:noProof/>
          <w:lang w:val="de-DE" w:eastAsia="ja-JP"/>
        </w:rPr>
        <w:fldChar w:fldCharType="end"/>
      </w:r>
      <w:r w:rsidRPr="007A7C26">
        <w:rPr>
          <w:noProof/>
          <w:lang w:val="de-DE" w:eastAsia="ja-JP"/>
        </w:rPr>
        <w:tab/>
      </w:r>
      <w:r w:rsidR="00234555" w:rsidRPr="003C7788">
        <w:rPr>
          <w:noProof/>
          <w:lang w:val="de-DE" w:eastAsia="ja-JP"/>
        </w:rPr>
        <w:t xml:space="preserve">Die WG-DEN vereinbarte auf ihrer fünften Sitzung am 30. Oktober 2018 in Genf, daß das Verbandsbüro seine Arbeit </w:t>
      </w:r>
      <w:r w:rsidR="001A712E" w:rsidRPr="003C7788">
        <w:rPr>
          <w:noProof/>
          <w:lang w:val="de-DE" w:eastAsia="ja-JP"/>
        </w:rPr>
        <w:t>er</w:t>
      </w:r>
      <w:r w:rsidR="00234555" w:rsidRPr="003C7788">
        <w:rPr>
          <w:noProof/>
          <w:lang w:val="de-DE" w:eastAsia="ja-JP"/>
        </w:rPr>
        <w:t>neu</w:t>
      </w:r>
      <w:r w:rsidR="001A712E" w:rsidRPr="003C7788">
        <w:rPr>
          <w:noProof/>
          <w:lang w:val="de-DE" w:eastAsia="ja-JP"/>
        </w:rPr>
        <w:t>t</w:t>
      </w:r>
      <w:r w:rsidR="00234555" w:rsidRPr="003C7788">
        <w:rPr>
          <w:noProof/>
          <w:lang w:val="de-DE" w:eastAsia="ja-JP"/>
        </w:rPr>
        <w:t xml:space="preserve"> aufnehmen sollte, Möglichkeiten zur Verbesserung des UPOV-Suchinstruments für </w:t>
      </w:r>
      <w:r w:rsidR="003C7788">
        <w:rPr>
          <w:noProof/>
          <w:lang w:val="de-DE" w:eastAsia="ja-JP"/>
        </w:rPr>
        <w:t>Ähnlichkeiten zum Zweck der Sortenbezeichnung</w:t>
      </w:r>
      <w:r w:rsidR="00234555" w:rsidRPr="003C7788">
        <w:rPr>
          <w:noProof/>
          <w:lang w:val="de-DE" w:eastAsia="ja-JP"/>
        </w:rPr>
        <w:t xml:space="preserve"> </w:t>
      </w:r>
      <w:r w:rsidR="00234555" w:rsidRPr="003C7788">
        <w:rPr>
          <w:rFonts w:cs="Arial"/>
          <w:noProof/>
          <w:lang w:val="de-DE" w:eastAsia="ja-JP"/>
        </w:rPr>
        <w:t>zusammen</w:t>
      </w:r>
      <w:r w:rsidR="001A712E" w:rsidRPr="003C7788">
        <w:rPr>
          <w:rFonts w:cs="Arial"/>
          <w:noProof/>
          <w:lang w:val="de-DE" w:eastAsia="ja-JP"/>
        </w:rPr>
        <w:t xml:space="preserve"> </w:t>
      </w:r>
      <w:r w:rsidR="00234555" w:rsidRPr="003C7788">
        <w:rPr>
          <w:rFonts w:cs="Arial"/>
          <w:noProof/>
          <w:lang w:val="de-DE" w:eastAsia="ja-JP"/>
        </w:rPr>
        <w:t xml:space="preserve">mit dem Gemeinschaftlichen Sortenamt der Europäischen Union (CPVO) </w:t>
      </w:r>
      <w:r w:rsidR="00234555" w:rsidRPr="003C7788">
        <w:rPr>
          <w:noProof/>
          <w:lang w:val="de-DE"/>
        </w:rPr>
        <w:t xml:space="preserve">(vergleiche Dokument UPOV/WG-DEN/5/3 </w:t>
      </w:r>
      <w:r w:rsidR="00234555" w:rsidRPr="00F30E30">
        <w:rPr>
          <w:i/>
          <w:noProof/>
          <w:lang w:val="de-DE"/>
        </w:rPr>
        <w:t>„</w:t>
      </w:r>
      <w:r w:rsidR="003C7788" w:rsidRPr="00F30E30">
        <w:rPr>
          <w:i/>
          <w:noProof/>
          <w:lang w:val="de-DE"/>
        </w:rPr>
        <w:t>Report</w:t>
      </w:r>
      <w:r w:rsidR="00234555" w:rsidRPr="00F30E30">
        <w:rPr>
          <w:i/>
          <w:noProof/>
          <w:lang w:val="de-DE"/>
        </w:rPr>
        <w:t>“</w:t>
      </w:r>
      <w:r w:rsidR="00234555" w:rsidRPr="003C7788">
        <w:rPr>
          <w:noProof/>
          <w:lang w:val="de-DE"/>
        </w:rPr>
        <w:t>, Absatz 28)</w:t>
      </w:r>
      <w:r w:rsidR="001A712E" w:rsidRPr="003C7788">
        <w:rPr>
          <w:noProof/>
          <w:lang w:val="de-DE"/>
        </w:rPr>
        <w:t xml:space="preserve"> zu </w:t>
      </w:r>
      <w:r w:rsidR="003C7788" w:rsidRPr="003C7788">
        <w:rPr>
          <w:noProof/>
          <w:lang w:val="de-DE"/>
        </w:rPr>
        <w:t>sondieren</w:t>
      </w:r>
      <w:r w:rsidR="001A712E" w:rsidRPr="003C7788">
        <w:rPr>
          <w:rFonts w:cs="Arial"/>
          <w:noProof/>
          <w:lang w:val="de-DE" w:eastAsia="ja-JP"/>
        </w:rPr>
        <w:t>.</w:t>
      </w:r>
    </w:p>
    <w:p w14:paraId="49F1F202" w14:textId="77777777" w:rsidR="00ED6BB2" w:rsidRPr="003C7788" w:rsidRDefault="00ED6BB2" w:rsidP="00ED6BB2">
      <w:pPr>
        <w:rPr>
          <w:rFonts w:eastAsiaTheme="minorEastAsia" w:cs="Arial"/>
          <w:noProof/>
          <w:lang w:val="de-DE"/>
        </w:rPr>
      </w:pPr>
    </w:p>
    <w:p w14:paraId="61DE1955" w14:textId="77777777" w:rsidR="00E948A7" w:rsidRPr="003C7788" w:rsidRDefault="00ED6BB2" w:rsidP="00ED6BB2">
      <w:pPr>
        <w:rPr>
          <w:noProof/>
          <w:lang w:val="de-DE"/>
        </w:rPr>
      </w:pPr>
      <w:r w:rsidRPr="003C7788">
        <w:rPr>
          <w:noProof/>
          <w:lang w:val="de-DE"/>
        </w:rPr>
        <w:fldChar w:fldCharType="begin"/>
      </w:r>
      <w:r w:rsidRPr="003C7788">
        <w:rPr>
          <w:noProof/>
          <w:lang w:val="de-DE"/>
        </w:rPr>
        <w:instrText xml:space="preserve"> AUTONUM  </w:instrText>
      </w:r>
      <w:r w:rsidRPr="003C7788">
        <w:rPr>
          <w:noProof/>
          <w:lang w:val="de-DE"/>
        </w:rPr>
        <w:fldChar w:fldCharType="end"/>
      </w:r>
      <w:r w:rsidRPr="003C7788">
        <w:rPr>
          <w:noProof/>
          <w:lang w:val="de-DE"/>
        </w:rPr>
        <w:tab/>
      </w:r>
      <w:r w:rsidR="00E948A7" w:rsidRPr="003C7788">
        <w:rPr>
          <w:noProof/>
          <w:lang w:val="de-DE"/>
        </w:rPr>
        <w:t xml:space="preserve">Das Verbandsbüro wird der WG-DEN auf ihrer sechsten Sitzung am 29. Oktober 2019 in Genf und dem CAJ auf seiner sechsundsiebzigsten </w:t>
      </w:r>
      <w:r w:rsidR="00234555" w:rsidRPr="003C7788">
        <w:rPr>
          <w:noProof/>
          <w:lang w:val="de-DE"/>
        </w:rPr>
        <w:t>Tagung</w:t>
      </w:r>
      <w:r w:rsidR="00E948A7" w:rsidRPr="003C7788">
        <w:rPr>
          <w:noProof/>
          <w:lang w:val="de-DE"/>
        </w:rPr>
        <w:t xml:space="preserve"> über die neuesten Entwicklungen </w:t>
      </w:r>
      <w:r w:rsidR="00234555" w:rsidRPr="003C7788">
        <w:rPr>
          <w:noProof/>
          <w:lang w:val="de-DE"/>
        </w:rPr>
        <w:t>betreffend diese</w:t>
      </w:r>
      <w:r w:rsidR="00E948A7" w:rsidRPr="003C7788">
        <w:rPr>
          <w:noProof/>
          <w:lang w:val="de-DE"/>
        </w:rPr>
        <w:t xml:space="preserve"> Angelegenheit berichten.</w:t>
      </w:r>
    </w:p>
    <w:p w14:paraId="207EAD38" w14:textId="77777777" w:rsidR="0006356C" w:rsidRPr="003C7788" w:rsidRDefault="0006356C" w:rsidP="0006356C">
      <w:pPr>
        <w:rPr>
          <w:rFonts w:eastAsiaTheme="minorEastAsia"/>
          <w:noProof/>
          <w:lang w:val="de-DE" w:eastAsia="ja-JP"/>
        </w:rPr>
      </w:pPr>
    </w:p>
    <w:p w14:paraId="36C800EE" w14:textId="77777777" w:rsidR="0006356C" w:rsidRPr="003C7788" w:rsidRDefault="0006356C" w:rsidP="0006356C">
      <w:pPr>
        <w:rPr>
          <w:rFonts w:eastAsiaTheme="minorEastAsia"/>
          <w:noProof/>
          <w:lang w:val="de-DE" w:eastAsia="ja-JP"/>
        </w:rPr>
      </w:pPr>
    </w:p>
    <w:p w14:paraId="31D87E28" w14:textId="77777777" w:rsidR="0006356C" w:rsidRPr="007A7C26" w:rsidRDefault="001A712E" w:rsidP="00D46E83">
      <w:pPr>
        <w:pStyle w:val="Heading1"/>
      </w:pPr>
      <w:bookmarkStart w:id="9" w:name="_Toc477358709"/>
      <w:bookmarkStart w:id="10" w:name="_Toc17458298"/>
      <w:r w:rsidRPr="007A7C26">
        <w:rPr>
          <w:snapToGrid w:val="0"/>
        </w:rPr>
        <w:t>Erweiterung des Inhalts der PLUTO-Datenbank</w:t>
      </w:r>
      <w:bookmarkEnd w:id="9"/>
      <w:bookmarkEnd w:id="10"/>
    </w:p>
    <w:p w14:paraId="596C9A3F" w14:textId="77777777" w:rsidR="0006356C" w:rsidRPr="007A7C26" w:rsidRDefault="0006356C" w:rsidP="0006356C">
      <w:pPr>
        <w:keepNext/>
        <w:keepLines/>
        <w:rPr>
          <w:rFonts w:eastAsiaTheme="minorEastAsia"/>
          <w:noProof/>
          <w:lang w:val="de-DE" w:eastAsia="ja-JP"/>
        </w:rPr>
      </w:pPr>
    </w:p>
    <w:p w14:paraId="36665B4C" w14:textId="77777777" w:rsidR="0006356C" w:rsidRPr="00D46E83" w:rsidRDefault="0006356C" w:rsidP="0006356C">
      <w:pPr>
        <w:rPr>
          <w:rFonts w:eastAsiaTheme="minorEastAsia"/>
          <w:noProof/>
          <w:lang w:val="de-DE" w:eastAsia="ja-JP"/>
        </w:rPr>
      </w:pPr>
      <w:r w:rsidRPr="007A7C26">
        <w:rPr>
          <w:rFonts w:eastAsiaTheme="minorEastAsia"/>
          <w:noProof/>
          <w:lang w:val="de-DE"/>
        </w:rPr>
        <w:fldChar w:fldCharType="begin"/>
      </w:r>
      <w:r w:rsidRPr="007A7C26">
        <w:rPr>
          <w:rFonts w:eastAsiaTheme="minorEastAsia"/>
          <w:noProof/>
          <w:lang w:val="de-DE"/>
        </w:rPr>
        <w:instrText xml:space="preserve"> AUTONUM  </w:instrText>
      </w:r>
      <w:r w:rsidRPr="007A7C26">
        <w:rPr>
          <w:rFonts w:eastAsiaTheme="minorEastAsia"/>
          <w:noProof/>
          <w:lang w:val="de-DE"/>
        </w:rPr>
        <w:fldChar w:fldCharType="end"/>
      </w:r>
      <w:r w:rsidRPr="007A7C26">
        <w:rPr>
          <w:rFonts w:eastAsiaTheme="minorEastAsia"/>
          <w:noProof/>
          <w:lang w:val="de-DE"/>
        </w:rPr>
        <w:tab/>
      </w:r>
      <w:r w:rsidR="001A712E" w:rsidRPr="00D46E83">
        <w:rPr>
          <w:rFonts w:eastAsiaTheme="minorEastAsia"/>
          <w:noProof/>
          <w:lang w:val="de-DE" w:eastAsia="ja-JP"/>
        </w:rPr>
        <w:t>Der Hintergrund dieser Angelegenheit ist in Dokument TC/54/12 „Sortenbezeichnungen“, Absatz 14</w:t>
      </w:r>
      <w:r w:rsidR="001720AA">
        <w:rPr>
          <w:rFonts w:eastAsiaTheme="minorEastAsia"/>
          <w:noProof/>
          <w:lang w:val="de-DE" w:eastAsia="ja-JP"/>
        </w:rPr>
        <w:t>,</w:t>
      </w:r>
      <w:r w:rsidR="001A712E" w:rsidRPr="00D46E83">
        <w:rPr>
          <w:rFonts w:eastAsiaTheme="minorEastAsia"/>
          <w:noProof/>
          <w:lang w:val="de-DE" w:eastAsia="ja-JP"/>
        </w:rPr>
        <w:t xml:space="preserve"> dargelegt.</w:t>
      </w:r>
    </w:p>
    <w:p w14:paraId="0FC9487B" w14:textId="77777777" w:rsidR="0006356C" w:rsidRPr="00D46E83" w:rsidRDefault="0006356C" w:rsidP="0006356C">
      <w:pPr>
        <w:rPr>
          <w:noProof/>
          <w:lang w:val="de-DE" w:eastAsia="ja-JP"/>
        </w:rPr>
      </w:pPr>
    </w:p>
    <w:p w14:paraId="37EE504E" w14:textId="75C5B61A" w:rsidR="0006356C" w:rsidRPr="003C7788" w:rsidRDefault="0006356C" w:rsidP="0006356C">
      <w:pPr>
        <w:rPr>
          <w:noProof/>
          <w:lang w:val="de-DE" w:eastAsia="ja-JP"/>
        </w:rPr>
      </w:pPr>
      <w:r w:rsidRPr="003C7788">
        <w:rPr>
          <w:noProof/>
          <w:lang w:val="de-DE" w:eastAsia="ja-JP"/>
        </w:rPr>
        <w:fldChar w:fldCharType="begin"/>
      </w:r>
      <w:r w:rsidRPr="003C7788">
        <w:rPr>
          <w:noProof/>
          <w:lang w:val="de-DE" w:eastAsia="ja-JP"/>
        </w:rPr>
        <w:instrText xml:space="preserve"> AUTONUM  </w:instrText>
      </w:r>
      <w:r w:rsidRPr="003C7788">
        <w:rPr>
          <w:noProof/>
          <w:lang w:val="de-DE" w:eastAsia="ja-JP"/>
        </w:rPr>
        <w:fldChar w:fldCharType="end"/>
      </w:r>
      <w:r w:rsidRPr="003C7788">
        <w:rPr>
          <w:noProof/>
          <w:lang w:val="de-DE" w:eastAsia="ja-JP"/>
        </w:rPr>
        <w:tab/>
      </w:r>
      <w:r w:rsidR="001A712E" w:rsidRPr="003C7788">
        <w:rPr>
          <w:rFonts w:cs="Arial"/>
          <w:noProof/>
          <w:lang w:val="de-DE" w:eastAsia="ja-JP"/>
        </w:rPr>
        <w:t>Die</w:t>
      </w:r>
      <w:r w:rsidRPr="003C7788">
        <w:rPr>
          <w:rFonts w:cs="Arial"/>
          <w:noProof/>
          <w:lang w:val="de-DE" w:eastAsia="ja-JP"/>
        </w:rPr>
        <w:t xml:space="preserve"> WG-DEN</w:t>
      </w:r>
      <w:r w:rsidR="001A712E" w:rsidRPr="003C7788">
        <w:rPr>
          <w:noProof/>
          <w:lang w:val="de-DE" w:eastAsia="ja-JP"/>
        </w:rPr>
        <w:t xml:space="preserve"> vereinbarte auf ihrer </w:t>
      </w:r>
      <w:r w:rsidR="00100E65" w:rsidRPr="003C7788">
        <w:rPr>
          <w:noProof/>
          <w:lang w:val="de-DE" w:eastAsia="ja-JP"/>
        </w:rPr>
        <w:t>fünften Sitzung</w:t>
      </w:r>
      <w:r w:rsidR="001A712E" w:rsidRPr="003C7788">
        <w:rPr>
          <w:noProof/>
          <w:lang w:val="de-DE" w:eastAsia="ja-JP"/>
        </w:rPr>
        <w:t xml:space="preserve"> </w:t>
      </w:r>
      <w:r w:rsidRPr="003C7788">
        <w:rPr>
          <w:noProof/>
          <w:lang w:val="de-DE" w:eastAsia="ja-JP"/>
        </w:rPr>
        <w:t>(</w:t>
      </w:r>
      <w:r w:rsidR="00E948A7" w:rsidRPr="003C7788">
        <w:rPr>
          <w:noProof/>
          <w:lang w:val="de-DE" w:eastAsia="ja-JP"/>
        </w:rPr>
        <w:t>vergleiche</w:t>
      </w:r>
      <w:r w:rsidRPr="003C7788">
        <w:rPr>
          <w:noProof/>
          <w:lang w:val="de-DE" w:eastAsia="ja-JP"/>
        </w:rPr>
        <w:t xml:space="preserve"> </w:t>
      </w:r>
      <w:r w:rsidR="00E948A7" w:rsidRPr="003C7788">
        <w:rPr>
          <w:noProof/>
          <w:lang w:val="de-DE" w:eastAsia="ja-JP"/>
        </w:rPr>
        <w:t>Dokument</w:t>
      </w:r>
      <w:r w:rsidR="0014256C" w:rsidRPr="003C7788">
        <w:rPr>
          <w:noProof/>
          <w:lang w:val="de-DE" w:eastAsia="ja-JP"/>
        </w:rPr>
        <w:t> UPOV/WG-DEN/5/3</w:t>
      </w:r>
      <w:r w:rsidR="00E948A7" w:rsidRPr="003C7788">
        <w:rPr>
          <w:noProof/>
          <w:lang w:val="de-DE" w:eastAsia="ja-JP"/>
        </w:rPr>
        <w:t xml:space="preserve"> „Bericht“</w:t>
      </w:r>
      <w:r w:rsidR="0014256C" w:rsidRPr="003C7788">
        <w:rPr>
          <w:noProof/>
          <w:lang w:val="de-DE" w:eastAsia="ja-JP"/>
        </w:rPr>
        <w:t xml:space="preserve">, </w:t>
      </w:r>
      <w:r w:rsidR="00E948A7" w:rsidRPr="003C7788">
        <w:rPr>
          <w:noProof/>
          <w:lang w:val="de-DE" w:eastAsia="ja-JP"/>
        </w:rPr>
        <w:t>Absatz</w:t>
      </w:r>
      <w:r w:rsidR="0014256C" w:rsidRPr="003C7788">
        <w:rPr>
          <w:noProof/>
          <w:lang w:val="de-DE" w:eastAsia="ja-JP"/>
        </w:rPr>
        <w:t xml:space="preserve"> 30</w:t>
      </w:r>
      <w:r w:rsidRPr="003C7788">
        <w:rPr>
          <w:noProof/>
          <w:lang w:val="de-DE" w:eastAsia="ja-JP"/>
        </w:rPr>
        <w:t>)</w:t>
      </w:r>
      <w:r w:rsidR="0095734A">
        <w:rPr>
          <w:noProof/>
          <w:lang w:val="de-DE" w:eastAsia="ja-JP"/>
        </w:rPr>
        <w:t>, F</w:t>
      </w:r>
      <w:r w:rsidR="001A712E" w:rsidRPr="003C7788">
        <w:rPr>
          <w:noProof/>
          <w:lang w:val="de-DE" w:eastAsia="ja-JP"/>
        </w:rPr>
        <w:t>olgendes vorzuschlagen</w:t>
      </w:r>
      <w:r w:rsidRPr="003C7788">
        <w:rPr>
          <w:noProof/>
          <w:lang w:val="de-DE" w:eastAsia="ja-JP"/>
        </w:rPr>
        <w:t>:</w:t>
      </w:r>
    </w:p>
    <w:p w14:paraId="4C8B8DF6" w14:textId="77777777" w:rsidR="0006356C" w:rsidRPr="00D46E83" w:rsidRDefault="0006356C" w:rsidP="0006356C">
      <w:pPr>
        <w:rPr>
          <w:noProof/>
          <w:lang w:val="de-DE"/>
        </w:rPr>
      </w:pPr>
      <w:r w:rsidRPr="00D46E83">
        <w:rPr>
          <w:rFonts w:eastAsiaTheme="minorEastAsia"/>
          <w:noProof/>
          <w:lang w:val="de-DE"/>
        </w:rPr>
        <w:t xml:space="preserve"> </w:t>
      </w:r>
    </w:p>
    <w:p w14:paraId="20D1F71A" w14:textId="77777777" w:rsidR="0006356C" w:rsidRPr="00D46E83" w:rsidRDefault="0006356C" w:rsidP="0006356C">
      <w:pPr>
        <w:ind w:firstLine="567"/>
        <w:rPr>
          <w:noProof/>
          <w:lang w:val="de-DE"/>
        </w:rPr>
      </w:pPr>
      <w:r w:rsidRPr="00D46E83">
        <w:rPr>
          <w:noProof/>
          <w:lang w:val="de-DE"/>
        </w:rPr>
        <w:t>a)</w:t>
      </w:r>
      <w:r w:rsidRPr="00D46E83">
        <w:rPr>
          <w:noProof/>
          <w:lang w:val="de-DE"/>
        </w:rPr>
        <w:tab/>
      </w:r>
      <w:r w:rsidR="00100344" w:rsidRPr="00D46E83">
        <w:rPr>
          <w:noProof/>
          <w:lang w:val="de-DE"/>
        </w:rPr>
        <w:t xml:space="preserve">Akzente und Sonderzeichen in Sortenbezeichnungen in der PLUTO-Datenbank zu akzeptieren und zugleich darauf hinzuweisen, daß das Suchinstrument für Sortenbezeichnungen in der PLUTO Datenbank </w:t>
      </w:r>
      <w:r w:rsidR="003C7788">
        <w:rPr>
          <w:noProof/>
          <w:lang w:val="de-DE"/>
        </w:rPr>
        <w:t>lediglich</w:t>
      </w:r>
      <w:r w:rsidR="00100344" w:rsidRPr="00D46E83">
        <w:rPr>
          <w:noProof/>
          <w:lang w:val="de-DE"/>
        </w:rPr>
        <w:t xml:space="preserve"> die ASCII-Zeichensatzdarstellung, wie in der ISO-Norm 646 definiert, verwenden w</w:t>
      </w:r>
      <w:r w:rsidR="003C7788">
        <w:rPr>
          <w:noProof/>
          <w:lang w:val="de-DE"/>
        </w:rPr>
        <w:t>ü</w:t>
      </w:r>
      <w:r w:rsidR="00100344" w:rsidRPr="00D46E83">
        <w:rPr>
          <w:noProof/>
          <w:lang w:val="de-DE"/>
        </w:rPr>
        <w:t>rde;</w:t>
      </w:r>
    </w:p>
    <w:p w14:paraId="32016707" w14:textId="77777777" w:rsidR="0006356C" w:rsidRPr="00D46E83" w:rsidRDefault="0006356C" w:rsidP="0006356C">
      <w:pPr>
        <w:ind w:firstLine="567"/>
        <w:rPr>
          <w:noProof/>
          <w:lang w:val="de-DE"/>
        </w:rPr>
      </w:pPr>
    </w:p>
    <w:p w14:paraId="7ADA556D" w14:textId="77777777" w:rsidR="0006356C" w:rsidRPr="00D46E83" w:rsidRDefault="0006356C" w:rsidP="0006356C">
      <w:pPr>
        <w:spacing w:after="240"/>
        <w:ind w:firstLine="567"/>
        <w:rPr>
          <w:noProof/>
          <w:lang w:val="de-DE"/>
        </w:rPr>
      </w:pPr>
      <w:r w:rsidRPr="00D46E83">
        <w:rPr>
          <w:noProof/>
          <w:lang w:val="de-DE"/>
        </w:rPr>
        <w:t>b)</w:t>
      </w:r>
      <w:r w:rsidR="00100344" w:rsidRPr="00D46E83">
        <w:rPr>
          <w:noProof/>
          <w:lang w:val="de-DE"/>
        </w:rPr>
        <w:tab/>
        <w:t>das „Programm zur Verbesserung der Datenbank für Pflanzensorten“, Abschnitt 3.1.3, zu überarbeiten, um den akzeptablen Zeichensatz in die ISO/IEC-Norm 8859 1: 1998 zu ändern;</w:t>
      </w:r>
    </w:p>
    <w:p w14:paraId="250C274B" w14:textId="77777777" w:rsidR="0006356C" w:rsidRPr="00D46E83" w:rsidRDefault="0006356C" w:rsidP="0006356C">
      <w:pPr>
        <w:ind w:firstLine="567"/>
        <w:rPr>
          <w:noProof/>
          <w:lang w:val="de-DE"/>
        </w:rPr>
      </w:pPr>
      <w:r w:rsidRPr="00D46E83">
        <w:rPr>
          <w:noProof/>
          <w:lang w:val="de-DE"/>
        </w:rPr>
        <w:t>c)</w:t>
      </w:r>
      <w:r w:rsidRPr="00D46E83">
        <w:rPr>
          <w:noProof/>
          <w:lang w:val="de-DE"/>
        </w:rPr>
        <w:tab/>
      </w:r>
      <w:r w:rsidR="00100344" w:rsidRPr="00D46E83">
        <w:rPr>
          <w:noProof/>
          <w:lang w:val="de-DE"/>
        </w:rPr>
        <w:t>die Verbandsmitglieder zu ersuchen, nachzuprüfen, ob sie über einschlägige Sortendaten verfügen, die nicht mehr in der PLUTO-Datenbank vorhanden sind, jedoch zuvor in die PLUTO Datenbank eingegeben worden waren;</w:t>
      </w:r>
    </w:p>
    <w:p w14:paraId="5E4C22EA" w14:textId="77777777" w:rsidR="0006356C" w:rsidRPr="00D46E83" w:rsidRDefault="0006356C" w:rsidP="0006356C">
      <w:pPr>
        <w:ind w:firstLine="567"/>
        <w:rPr>
          <w:noProof/>
          <w:lang w:val="de-DE"/>
        </w:rPr>
      </w:pPr>
    </w:p>
    <w:p w14:paraId="29E44D77" w14:textId="77777777" w:rsidR="0006356C" w:rsidRPr="00D46E83" w:rsidRDefault="0006356C" w:rsidP="0006356C">
      <w:pPr>
        <w:ind w:firstLine="567"/>
        <w:rPr>
          <w:noProof/>
          <w:lang w:val="de-DE"/>
        </w:rPr>
      </w:pPr>
      <w:r w:rsidRPr="00D46E83">
        <w:rPr>
          <w:noProof/>
          <w:lang w:val="de-DE"/>
        </w:rPr>
        <w:t>d)</w:t>
      </w:r>
      <w:r w:rsidRPr="00D46E83">
        <w:rPr>
          <w:noProof/>
          <w:lang w:val="de-DE"/>
        </w:rPr>
        <w:tab/>
      </w:r>
      <w:r w:rsidR="003C7788">
        <w:rPr>
          <w:noProof/>
          <w:lang w:val="de-DE"/>
        </w:rPr>
        <w:t xml:space="preserve">das </w:t>
      </w:r>
      <w:r w:rsidR="00100344" w:rsidRPr="00D46E83">
        <w:rPr>
          <w:noProof/>
          <w:lang w:val="de-DE"/>
        </w:rPr>
        <w:t>Verbandsbüro soll</w:t>
      </w:r>
      <w:r w:rsidR="003C7788">
        <w:rPr>
          <w:noProof/>
          <w:lang w:val="de-DE"/>
        </w:rPr>
        <w:t>te</w:t>
      </w:r>
      <w:r w:rsidR="00100344" w:rsidRPr="00D46E83">
        <w:rPr>
          <w:noProof/>
          <w:lang w:val="de-DE"/>
        </w:rPr>
        <w:t xml:space="preserve"> die Möglichkeiten erforschen, eine einzig</w:t>
      </w:r>
      <w:r w:rsidR="003C7788">
        <w:rPr>
          <w:noProof/>
          <w:lang w:val="de-DE"/>
        </w:rPr>
        <w:t>artige</w:t>
      </w:r>
      <w:r w:rsidR="00100344" w:rsidRPr="00D46E83">
        <w:rPr>
          <w:noProof/>
          <w:lang w:val="de-DE"/>
        </w:rPr>
        <w:t xml:space="preserve"> Kennung für </w:t>
      </w:r>
      <w:r w:rsidR="00100344" w:rsidRPr="00D75F42">
        <w:rPr>
          <w:noProof/>
          <w:lang w:val="de-DE"/>
        </w:rPr>
        <w:t>Erfassungen</w:t>
      </w:r>
      <w:r w:rsidR="002B2679">
        <w:rPr>
          <w:noProof/>
          <w:lang w:val="de-DE"/>
        </w:rPr>
        <w:t xml:space="preserve"> </w:t>
      </w:r>
      <w:r w:rsidR="00100344" w:rsidRPr="00D46E83">
        <w:rPr>
          <w:noProof/>
          <w:lang w:val="de-DE"/>
        </w:rPr>
        <w:t>von Sorten in die PLUTO-Datenbank aufzunehmen, damit neu eingereichte Daten zu den bestehenden Daten hinzukämen, anstatt sie zu ersetzen;</w:t>
      </w:r>
    </w:p>
    <w:p w14:paraId="367C9BA2" w14:textId="77777777" w:rsidR="0006356C" w:rsidRPr="00D46E83" w:rsidRDefault="0006356C" w:rsidP="0006356C">
      <w:pPr>
        <w:ind w:firstLine="567"/>
        <w:rPr>
          <w:noProof/>
          <w:lang w:val="de-DE"/>
        </w:rPr>
      </w:pPr>
    </w:p>
    <w:p w14:paraId="656B61AD" w14:textId="77777777" w:rsidR="0006356C" w:rsidRPr="00D46E83" w:rsidRDefault="0006356C" w:rsidP="0006356C">
      <w:pPr>
        <w:ind w:firstLine="567"/>
        <w:rPr>
          <w:noProof/>
          <w:lang w:val="de-DE"/>
        </w:rPr>
      </w:pPr>
      <w:r w:rsidRPr="00D46E83">
        <w:rPr>
          <w:noProof/>
          <w:lang w:val="de-DE"/>
        </w:rPr>
        <w:t>e)</w:t>
      </w:r>
      <w:r w:rsidRPr="00D46E83">
        <w:rPr>
          <w:noProof/>
          <w:lang w:val="de-DE"/>
        </w:rPr>
        <w:tab/>
      </w:r>
      <w:r w:rsidR="00100344" w:rsidRPr="00D46E83">
        <w:rPr>
          <w:noProof/>
          <w:lang w:val="de-DE"/>
        </w:rPr>
        <w:t>zusätzliche Daten sollten nicht in die PLUTO-Datenbank aufgenommen werden, sondern über eine Suchplattform für unabhängige Datenbanken zugänglich sein</w:t>
      </w:r>
      <w:r w:rsidR="002B2679">
        <w:rPr>
          <w:noProof/>
          <w:lang w:val="de-DE"/>
        </w:rPr>
        <w:t>;</w:t>
      </w:r>
      <w:r w:rsidR="00100344" w:rsidRPr="00D46E83">
        <w:rPr>
          <w:noProof/>
          <w:lang w:val="de-DE"/>
        </w:rPr>
        <w:t xml:space="preserve"> und</w:t>
      </w:r>
    </w:p>
    <w:p w14:paraId="638F2328" w14:textId="77777777" w:rsidR="0006356C" w:rsidRPr="00D46E83" w:rsidRDefault="0006356C" w:rsidP="0006356C">
      <w:pPr>
        <w:ind w:firstLine="567"/>
        <w:rPr>
          <w:noProof/>
          <w:lang w:val="de-DE"/>
        </w:rPr>
      </w:pPr>
    </w:p>
    <w:p w14:paraId="0544924C" w14:textId="77777777" w:rsidR="0006356C" w:rsidRPr="007A7C26" w:rsidRDefault="0006356C" w:rsidP="0006356C">
      <w:pPr>
        <w:ind w:firstLine="567"/>
        <w:rPr>
          <w:noProof/>
          <w:lang w:val="de-DE" w:eastAsia="ja-JP"/>
        </w:rPr>
      </w:pPr>
      <w:r w:rsidRPr="00D46E83">
        <w:rPr>
          <w:noProof/>
          <w:lang w:val="de-DE"/>
        </w:rPr>
        <w:t>f)</w:t>
      </w:r>
      <w:r w:rsidRPr="00D46E83">
        <w:rPr>
          <w:noProof/>
          <w:lang w:val="de-DE"/>
        </w:rPr>
        <w:tab/>
      </w:r>
      <w:r w:rsidR="00100344" w:rsidRPr="00D46E83">
        <w:rPr>
          <w:noProof/>
          <w:lang w:val="de-DE"/>
        </w:rPr>
        <w:t>das Verbandsbüro soll</w:t>
      </w:r>
      <w:r w:rsidR="002B2679">
        <w:rPr>
          <w:noProof/>
          <w:lang w:val="de-DE"/>
        </w:rPr>
        <w:t>te</w:t>
      </w:r>
      <w:r w:rsidR="00100344" w:rsidRPr="00D46E83">
        <w:rPr>
          <w:noProof/>
          <w:lang w:val="de-DE"/>
        </w:rPr>
        <w:t xml:space="preserve"> ein Rundschreiben herausgeben, um die Verbandsmitglieder zu ersuchen, Daten vorzuschlagen, die sie in die PLUTO-Datenbank aufgenommen sehen möchten oder die über eine Suchplattform für unabhängige Datenbanken zugänglich sein sollen.</w:t>
      </w:r>
    </w:p>
    <w:p w14:paraId="32AD1C24" w14:textId="77777777" w:rsidR="003E1AE0" w:rsidRPr="007A7C26" w:rsidRDefault="003E1AE0" w:rsidP="003E1AE0">
      <w:pPr>
        <w:autoSpaceDE w:val="0"/>
        <w:autoSpaceDN w:val="0"/>
        <w:adjustRightInd w:val="0"/>
        <w:rPr>
          <w:rFonts w:eastAsiaTheme="minorEastAsia"/>
          <w:noProof/>
          <w:lang w:val="de-DE" w:eastAsia="ja-JP"/>
        </w:rPr>
      </w:pPr>
    </w:p>
    <w:p w14:paraId="361D6333" w14:textId="77777777" w:rsidR="00C7505D" w:rsidRPr="002B2679" w:rsidRDefault="003E1AE0" w:rsidP="00C7505D">
      <w:pPr>
        <w:autoSpaceDE w:val="0"/>
        <w:autoSpaceDN w:val="0"/>
        <w:adjustRightInd w:val="0"/>
        <w:rPr>
          <w:rFonts w:eastAsiaTheme="minorEastAsia"/>
          <w:noProof/>
          <w:lang w:val="de-DE" w:eastAsia="ja-JP"/>
        </w:rPr>
      </w:pPr>
      <w:r w:rsidRPr="007A7C26">
        <w:rPr>
          <w:rFonts w:eastAsiaTheme="minorEastAsia"/>
          <w:noProof/>
          <w:lang w:val="de-DE" w:eastAsia="ja-JP"/>
        </w:rPr>
        <w:fldChar w:fldCharType="begin"/>
      </w:r>
      <w:r w:rsidRPr="007A7C26">
        <w:rPr>
          <w:rFonts w:eastAsiaTheme="minorEastAsia"/>
          <w:noProof/>
          <w:lang w:val="de-DE" w:eastAsia="ja-JP"/>
        </w:rPr>
        <w:instrText xml:space="preserve"> AUTONUM  </w:instrText>
      </w:r>
      <w:r w:rsidRPr="007A7C26">
        <w:rPr>
          <w:rFonts w:eastAsiaTheme="minorEastAsia"/>
          <w:noProof/>
          <w:lang w:val="de-DE" w:eastAsia="ja-JP"/>
        </w:rPr>
        <w:fldChar w:fldCharType="end"/>
      </w:r>
      <w:r w:rsidRPr="007A7C26">
        <w:rPr>
          <w:rFonts w:eastAsiaTheme="minorEastAsia"/>
          <w:noProof/>
          <w:lang w:val="de-DE" w:eastAsia="ja-JP"/>
        </w:rPr>
        <w:tab/>
      </w:r>
      <w:r w:rsidR="00C7505D" w:rsidRPr="002B2679">
        <w:rPr>
          <w:rFonts w:eastAsiaTheme="minorEastAsia"/>
          <w:noProof/>
          <w:lang w:val="de-DE" w:eastAsia="ja-JP"/>
        </w:rPr>
        <w:t xml:space="preserve">Der CAJ nahm auf </w:t>
      </w:r>
      <w:r w:rsidR="002B2679" w:rsidRPr="002B2679">
        <w:rPr>
          <w:rFonts w:eastAsiaTheme="minorEastAsia"/>
          <w:noProof/>
          <w:lang w:val="de-DE" w:eastAsia="ja-JP"/>
        </w:rPr>
        <w:t>seiner</w:t>
      </w:r>
      <w:r w:rsidR="00C7505D" w:rsidRPr="002B2679">
        <w:rPr>
          <w:rFonts w:eastAsiaTheme="minorEastAsia"/>
          <w:noProof/>
          <w:lang w:val="de-DE" w:eastAsia="ja-JP"/>
        </w:rPr>
        <w:t xml:space="preserve"> fünfundsiebzigsten Tagung </w:t>
      </w:r>
      <w:r w:rsidR="002B2679" w:rsidRPr="002B2679">
        <w:rPr>
          <w:rFonts w:eastAsiaTheme="minorEastAsia"/>
          <w:noProof/>
          <w:lang w:val="de-DE" w:eastAsia="ja-JP"/>
        </w:rPr>
        <w:t>am 31. Oktober 2018 den auf der fünfundsiebzigsten Tagung des CAJ</w:t>
      </w:r>
      <w:r w:rsidR="00C7505D" w:rsidRPr="002B2679">
        <w:rPr>
          <w:rFonts w:eastAsiaTheme="minorEastAsia"/>
          <w:noProof/>
          <w:lang w:val="de-DE" w:eastAsia="ja-JP"/>
        </w:rPr>
        <w:t xml:space="preserve"> vorgetragenen mündlichen Bericht über die Entwicklungen </w:t>
      </w:r>
      <w:r w:rsidR="003162EE" w:rsidRPr="002B2679">
        <w:rPr>
          <w:rFonts w:eastAsiaTheme="minorEastAsia"/>
          <w:noProof/>
          <w:lang w:val="de-DE" w:eastAsia="ja-JP"/>
        </w:rPr>
        <w:t xml:space="preserve">in dieser Angelegenheit </w:t>
      </w:r>
      <w:r w:rsidR="00C7505D" w:rsidRPr="002B2679">
        <w:rPr>
          <w:rFonts w:eastAsiaTheme="minorEastAsia"/>
          <w:noProof/>
          <w:lang w:val="de-DE" w:eastAsia="ja-JP"/>
        </w:rPr>
        <w:t xml:space="preserve">auf der fünften Sitzung der WG-DEN, wie in </w:t>
      </w:r>
      <w:r w:rsidR="00C7505D" w:rsidRPr="0007574A">
        <w:rPr>
          <w:rFonts w:eastAsiaTheme="minorEastAsia"/>
          <w:noProof/>
          <w:lang w:val="de-DE" w:eastAsia="ja-JP"/>
        </w:rPr>
        <w:t>Absatz 12 dieses</w:t>
      </w:r>
      <w:r w:rsidR="00C7505D" w:rsidRPr="002B2679">
        <w:rPr>
          <w:rFonts w:eastAsiaTheme="minorEastAsia"/>
          <w:noProof/>
          <w:lang w:val="de-DE" w:eastAsia="ja-JP"/>
        </w:rPr>
        <w:t xml:space="preserve"> Dokuments</w:t>
      </w:r>
      <w:r w:rsidR="002B2679" w:rsidRPr="002B2679">
        <w:rPr>
          <w:rFonts w:eastAsiaTheme="minorEastAsia"/>
          <w:noProof/>
          <w:lang w:val="de-DE" w:eastAsia="ja-JP"/>
        </w:rPr>
        <w:t xml:space="preserve"> dargelegt, zur Kenntnis</w:t>
      </w:r>
      <w:r w:rsidR="00C7505D" w:rsidRPr="002B2679">
        <w:rPr>
          <w:rFonts w:eastAsiaTheme="minorEastAsia"/>
          <w:noProof/>
          <w:lang w:val="de-DE" w:eastAsia="ja-JP"/>
        </w:rPr>
        <w:t xml:space="preserve"> </w:t>
      </w:r>
      <w:r w:rsidR="00C7505D" w:rsidRPr="002B2679">
        <w:rPr>
          <w:rFonts w:eastAsiaTheme="minorEastAsia"/>
          <w:bCs/>
          <w:noProof/>
          <w:lang w:val="de-DE" w:eastAsia="ja-JP"/>
        </w:rPr>
        <w:t>(vergleiche Dokument CAJ/75/14 „Bericht“, Absatz 41)</w:t>
      </w:r>
      <w:r w:rsidR="00C7505D" w:rsidRPr="002B2679">
        <w:rPr>
          <w:rFonts w:eastAsiaTheme="minorEastAsia"/>
          <w:noProof/>
          <w:lang w:val="de-DE" w:eastAsia="ja-JP"/>
        </w:rPr>
        <w:t>.</w:t>
      </w:r>
    </w:p>
    <w:p w14:paraId="2073785E" w14:textId="77777777" w:rsidR="00C7505D" w:rsidRPr="007A7C26" w:rsidRDefault="00772420" w:rsidP="00C7505D">
      <w:pPr>
        <w:autoSpaceDE w:val="0"/>
        <w:autoSpaceDN w:val="0"/>
        <w:adjustRightInd w:val="0"/>
        <w:rPr>
          <w:rFonts w:eastAsiaTheme="minorEastAsia"/>
          <w:noProof/>
          <w:lang w:val="de-DE" w:eastAsia="ja-JP"/>
        </w:rPr>
      </w:pPr>
      <w:r>
        <w:rPr>
          <w:rFonts w:eastAsiaTheme="minorEastAsia"/>
          <w:noProof/>
          <w:lang w:val="de-DE" w:eastAsia="ja-JP"/>
        </w:rPr>
        <w:t xml:space="preserve"> </w:t>
      </w:r>
    </w:p>
    <w:p w14:paraId="08DD63A7" w14:textId="77777777" w:rsidR="002B2679" w:rsidRPr="002B2679" w:rsidRDefault="00975DEB" w:rsidP="001720AA">
      <w:pPr>
        <w:pStyle w:val="Heading2"/>
        <w:rPr>
          <w:noProof/>
          <w:lang w:val="de-DE"/>
        </w:rPr>
      </w:pPr>
      <w:bookmarkStart w:id="11" w:name="_Toc13678265"/>
      <w:bookmarkStart w:id="12" w:name="_Toc17458299"/>
      <w:r w:rsidRPr="00EE49AD">
        <w:rPr>
          <w:noProof/>
          <w:lang w:val="de-DE"/>
        </w:rPr>
        <w:t xml:space="preserve">Akzente und Sonderzeichen in </w:t>
      </w:r>
      <w:r w:rsidR="003C7788">
        <w:rPr>
          <w:noProof/>
          <w:lang w:val="de-DE"/>
        </w:rPr>
        <w:t>Sortenb</w:t>
      </w:r>
      <w:r w:rsidRPr="00EE49AD">
        <w:rPr>
          <w:noProof/>
          <w:lang w:val="de-DE"/>
        </w:rPr>
        <w:t>ezeichnungen in der PLUTO-Datenbank</w:t>
      </w:r>
      <w:bookmarkEnd w:id="11"/>
      <w:bookmarkEnd w:id="12"/>
    </w:p>
    <w:p w14:paraId="3044A54E" w14:textId="77777777" w:rsidR="009463A9" w:rsidRPr="00EE49AD" w:rsidRDefault="009463A9" w:rsidP="009463A9">
      <w:pPr>
        <w:keepNext/>
        <w:ind w:left="567" w:hanging="567"/>
        <w:rPr>
          <w:noProof/>
          <w:lang w:val="de-DE"/>
        </w:rPr>
      </w:pPr>
    </w:p>
    <w:p w14:paraId="54867E8C" w14:textId="77777777" w:rsidR="00975DEB" w:rsidRDefault="009463A9" w:rsidP="009463A9">
      <w:pPr>
        <w:keepNext/>
        <w:rPr>
          <w:noProof/>
          <w:lang w:val="de-DE"/>
        </w:rPr>
      </w:pPr>
      <w:r w:rsidRPr="00EE49AD">
        <w:rPr>
          <w:noProof/>
          <w:lang w:val="de-DE"/>
        </w:rPr>
        <w:fldChar w:fldCharType="begin"/>
      </w:r>
      <w:r w:rsidRPr="00EE49AD">
        <w:rPr>
          <w:noProof/>
          <w:lang w:val="de-DE"/>
        </w:rPr>
        <w:instrText xml:space="preserve"> AUTONUM  </w:instrText>
      </w:r>
      <w:r w:rsidRPr="00EE49AD">
        <w:rPr>
          <w:noProof/>
          <w:lang w:val="de-DE"/>
        </w:rPr>
        <w:fldChar w:fldCharType="end"/>
      </w:r>
      <w:r w:rsidRPr="00EE49AD">
        <w:rPr>
          <w:noProof/>
          <w:lang w:val="de-DE"/>
        </w:rPr>
        <w:tab/>
      </w:r>
      <w:r w:rsidR="00975DEB" w:rsidRPr="009734F3">
        <w:rPr>
          <w:noProof/>
          <w:lang w:val="de-DE"/>
        </w:rPr>
        <w:t xml:space="preserve">Vorschläge betreffend Akzente </w:t>
      </w:r>
      <w:r w:rsidR="00975DEB" w:rsidRPr="00EE49AD">
        <w:rPr>
          <w:noProof/>
          <w:lang w:val="de-DE"/>
        </w:rPr>
        <w:t xml:space="preserve">und Sonderzeichen in </w:t>
      </w:r>
      <w:r w:rsidR="00170557">
        <w:rPr>
          <w:noProof/>
          <w:lang w:val="de-DE"/>
        </w:rPr>
        <w:t>Sorten</w:t>
      </w:r>
      <w:r w:rsidR="001720AA">
        <w:rPr>
          <w:noProof/>
          <w:lang w:val="de-DE"/>
        </w:rPr>
        <w:t>b</w:t>
      </w:r>
      <w:r w:rsidR="00975DEB" w:rsidRPr="00EE49AD">
        <w:rPr>
          <w:noProof/>
          <w:lang w:val="de-DE"/>
        </w:rPr>
        <w:t>ezeichnungen in der PLUTO-Datenbank wi</w:t>
      </w:r>
      <w:r w:rsidR="00975DEB">
        <w:rPr>
          <w:noProof/>
          <w:lang w:val="de-DE"/>
        </w:rPr>
        <w:t xml:space="preserve">e in </w:t>
      </w:r>
      <w:r w:rsidR="00975DEB" w:rsidRPr="0007574A">
        <w:rPr>
          <w:noProof/>
          <w:lang w:val="de-DE"/>
        </w:rPr>
        <w:t>Absatz 12 a)</w:t>
      </w:r>
      <w:r w:rsidR="00975DEB" w:rsidRPr="007A7C26">
        <w:rPr>
          <w:noProof/>
          <w:lang w:val="de-DE"/>
        </w:rPr>
        <w:t xml:space="preserve"> </w:t>
      </w:r>
      <w:r w:rsidR="00975DEB">
        <w:rPr>
          <w:noProof/>
          <w:lang w:val="de-DE"/>
        </w:rPr>
        <w:t>und</w:t>
      </w:r>
      <w:r w:rsidR="00975DEB" w:rsidRPr="007A7C26">
        <w:rPr>
          <w:noProof/>
          <w:lang w:val="de-DE"/>
        </w:rPr>
        <w:t xml:space="preserve"> b) </w:t>
      </w:r>
      <w:r w:rsidR="00975DEB">
        <w:rPr>
          <w:noProof/>
          <w:lang w:val="de-DE"/>
        </w:rPr>
        <w:t>oben dargelegt, sind</w:t>
      </w:r>
      <w:r w:rsidR="00975DEB" w:rsidRPr="007A7C26">
        <w:rPr>
          <w:noProof/>
          <w:lang w:val="de-DE"/>
        </w:rPr>
        <w:t xml:space="preserve"> in </w:t>
      </w:r>
      <w:r w:rsidR="00975DEB">
        <w:rPr>
          <w:noProof/>
          <w:lang w:val="de-DE"/>
        </w:rPr>
        <w:t>Dokument</w:t>
      </w:r>
      <w:r w:rsidR="00975DEB" w:rsidRPr="007A7C26">
        <w:rPr>
          <w:noProof/>
          <w:lang w:val="de-DE"/>
        </w:rPr>
        <w:t xml:space="preserve"> TC/5</w:t>
      </w:r>
      <w:r w:rsidR="00975DEB" w:rsidRPr="00F76BED">
        <w:rPr>
          <w:noProof/>
          <w:lang w:val="de-DE"/>
        </w:rPr>
        <w:t>5/5 „</w:t>
      </w:r>
      <w:r w:rsidR="00F76BED" w:rsidRPr="00F76BED">
        <w:rPr>
          <w:noProof/>
          <w:lang w:val="de-DE"/>
        </w:rPr>
        <w:t>UPOV-Informationsdatenbanken</w:t>
      </w:r>
      <w:r w:rsidR="00975DEB" w:rsidRPr="00F76BED">
        <w:rPr>
          <w:noProof/>
          <w:lang w:val="de-DE"/>
        </w:rPr>
        <w:t>“</w:t>
      </w:r>
      <w:r w:rsidR="001720AA">
        <w:rPr>
          <w:noProof/>
          <w:lang w:val="de-DE"/>
        </w:rPr>
        <w:t xml:space="preserve"> dargelegt</w:t>
      </w:r>
      <w:r w:rsidR="00975DEB" w:rsidRPr="00F76BED">
        <w:rPr>
          <w:noProof/>
          <w:lang w:val="de-DE"/>
        </w:rPr>
        <w:t>.</w:t>
      </w:r>
    </w:p>
    <w:p w14:paraId="46B19933" w14:textId="77777777" w:rsidR="00975DEB" w:rsidRDefault="00975DEB" w:rsidP="009463A9">
      <w:pPr>
        <w:keepNext/>
        <w:rPr>
          <w:noProof/>
          <w:lang w:val="de-DE"/>
        </w:rPr>
      </w:pPr>
    </w:p>
    <w:p w14:paraId="264F194A" w14:textId="77777777" w:rsidR="009463A9" w:rsidRPr="007A7C26" w:rsidRDefault="00975DEB" w:rsidP="009463A9">
      <w:pPr>
        <w:pStyle w:val="Heading2"/>
        <w:rPr>
          <w:rFonts w:eastAsiaTheme="minorEastAsia"/>
          <w:noProof/>
          <w:lang w:val="de-DE" w:eastAsia="ja-JP"/>
        </w:rPr>
      </w:pPr>
      <w:bookmarkStart w:id="13" w:name="_Toc13678267"/>
      <w:bookmarkStart w:id="14" w:name="_Toc17458300"/>
      <w:r w:rsidRPr="00EE49AD">
        <w:rPr>
          <w:rFonts w:eastAsiaTheme="minorEastAsia"/>
          <w:noProof/>
          <w:lang w:val="de-DE" w:eastAsia="ja-JP"/>
        </w:rPr>
        <w:t>Sortendaten, die nicht mehr in der PLUTO-Datenbank enthalten sind (Daten aus der Vergangenheit</w:t>
      </w:r>
      <w:r w:rsidR="009463A9" w:rsidRPr="00EE49AD">
        <w:rPr>
          <w:rFonts w:eastAsiaTheme="minorEastAsia"/>
          <w:noProof/>
          <w:lang w:val="de-DE" w:eastAsia="ja-JP"/>
        </w:rPr>
        <w:t>)</w:t>
      </w:r>
      <w:bookmarkEnd w:id="13"/>
      <w:bookmarkEnd w:id="14"/>
    </w:p>
    <w:p w14:paraId="4389E49B" w14:textId="77777777" w:rsidR="009463A9" w:rsidRPr="007A7C26" w:rsidRDefault="009463A9" w:rsidP="009463A9">
      <w:pPr>
        <w:ind w:left="567" w:hanging="567"/>
        <w:rPr>
          <w:noProof/>
          <w:lang w:val="de-DE"/>
        </w:rPr>
      </w:pPr>
    </w:p>
    <w:p w14:paraId="1C13D50B" w14:textId="00DB5D82" w:rsidR="00975DEB" w:rsidRPr="00170557" w:rsidRDefault="009463A9" w:rsidP="009463A9">
      <w:pPr>
        <w:rPr>
          <w:noProof/>
          <w:lang w:val="de-DE"/>
        </w:rPr>
      </w:pPr>
      <w:r w:rsidRPr="007A7C26">
        <w:rPr>
          <w:noProof/>
          <w:lang w:val="de-DE"/>
        </w:rPr>
        <w:fldChar w:fldCharType="begin"/>
      </w:r>
      <w:r w:rsidRPr="007A7C26">
        <w:rPr>
          <w:noProof/>
          <w:lang w:val="de-DE"/>
        </w:rPr>
        <w:instrText xml:space="preserve"> AUTONUM  </w:instrText>
      </w:r>
      <w:r w:rsidRPr="007A7C26">
        <w:rPr>
          <w:noProof/>
          <w:lang w:val="de-DE"/>
        </w:rPr>
        <w:fldChar w:fldCharType="end"/>
      </w:r>
      <w:r w:rsidRPr="007A7C26">
        <w:rPr>
          <w:noProof/>
          <w:lang w:val="de-DE"/>
        </w:rPr>
        <w:tab/>
      </w:r>
      <w:r w:rsidR="009734F3" w:rsidRPr="00170557">
        <w:rPr>
          <w:noProof/>
          <w:lang w:val="de-DE"/>
        </w:rPr>
        <w:t>Im Hinblick</w:t>
      </w:r>
      <w:r w:rsidR="00E273C7" w:rsidRPr="00170557">
        <w:rPr>
          <w:noProof/>
          <w:lang w:val="de-DE"/>
        </w:rPr>
        <w:t xml:space="preserve"> auf </w:t>
      </w:r>
      <w:r w:rsidR="00170557">
        <w:rPr>
          <w:noProof/>
          <w:lang w:val="de-DE"/>
        </w:rPr>
        <w:t>das Gesuch</w:t>
      </w:r>
      <w:r w:rsidR="009734F3" w:rsidRPr="00170557">
        <w:rPr>
          <w:noProof/>
          <w:lang w:val="de-DE"/>
        </w:rPr>
        <w:t xml:space="preserve"> </w:t>
      </w:r>
      <w:r w:rsidR="00E273C7" w:rsidRPr="00170557">
        <w:rPr>
          <w:noProof/>
          <w:lang w:val="de-DE"/>
        </w:rPr>
        <w:t xml:space="preserve">an die </w:t>
      </w:r>
      <w:r w:rsidR="009734F3" w:rsidRPr="00170557">
        <w:rPr>
          <w:noProof/>
          <w:lang w:val="de-DE"/>
        </w:rPr>
        <w:t>Verbandsmitglieder</w:t>
      </w:r>
      <w:r w:rsidR="00E273C7" w:rsidRPr="00170557">
        <w:rPr>
          <w:noProof/>
          <w:lang w:val="de-DE"/>
        </w:rPr>
        <w:t>,</w:t>
      </w:r>
      <w:r w:rsidR="009734F3" w:rsidRPr="00170557">
        <w:rPr>
          <w:noProof/>
          <w:lang w:val="de-DE"/>
        </w:rPr>
        <w:t xml:space="preserve"> </w:t>
      </w:r>
      <w:r w:rsidR="00E273C7" w:rsidRPr="00170557">
        <w:rPr>
          <w:noProof/>
          <w:lang w:val="de-DE"/>
        </w:rPr>
        <w:t>Sortendat</w:t>
      </w:r>
      <w:r w:rsidR="0007574A">
        <w:rPr>
          <w:noProof/>
          <w:lang w:val="de-DE"/>
        </w:rPr>
        <w:t>en, die nicht mehr in der PLUTO</w:t>
      </w:r>
      <w:r w:rsidR="0007574A">
        <w:rPr>
          <w:noProof/>
          <w:lang w:val="de-DE"/>
        </w:rPr>
        <w:noBreakHyphen/>
      </w:r>
      <w:r w:rsidR="00E273C7" w:rsidRPr="00170557">
        <w:rPr>
          <w:noProof/>
          <w:lang w:val="de-DE"/>
        </w:rPr>
        <w:t>Datenbank enthalten sind</w:t>
      </w:r>
      <w:r w:rsidR="00170557">
        <w:rPr>
          <w:noProof/>
          <w:lang w:val="de-DE"/>
        </w:rPr>
        <w:t>,</w:t>
      </w:r>
      <w:r w:rsidR="00E273C7" w:rsidRPr="00170557">
        <w:rPr>
          <w:noProof/>
          <w:lang w:val="de-DE"/>
        </w:rPr>
        <w:t xml:space="preserve"> wie </w:t>
      </w:r>
      <w:r w:rsidR="00E273C7" w:rsidRPr="0007574A">
        <w:rPr>
          <w:noProof/>
          <w:lang w:val="de-DE"/>
        </w:rPr>
        <w:t>in Absatz 12</w:t>
      </w:r>
      <w:r w:rsidR="00E273C7" w:rsidRPr="00170557">
        <w:rPr>
          <w:noProof/>
          <w:lang w:val="de-DE"/>
        </w:rPr>
        <w:t xml:space="preserve"> c) oben</w:t>
      </w:r>
      <w:r w:rsidR="009734F3" w:rsidRPr="00170557">
        <w:rPr>
          <w:noProof/>
          <w:lang w:val="de-DE"/>
        </w:rPr>
        <w:t xml:space="preserve"> dargelegt, zu </w:t>
      </w:r>
      <w:r w:rsidR="00170557">
        <w:rPr>
          <w:noProof/>
          <w:lang w:val="de-DE"/>
        </w:rPr>
        <w:t>ü</w:t>
      </w:r>
      <w:r w:rsidR="00170557" w:rsidRPr="00D75F42">
        <w:rPr>
          <w:noProof/>
          <w:lang w:val="de-DE"/>
        </w:rPr>
        <w:t>ber</w:t>
      </w:r>
      <w:r w:rsidR="009734F3" w:rsidRPr="00D75F42">
        <w:rPr>
          <w:noProof/>
          <w:lang w:val="de-DE"/>
        </w:rPr>
        <w:t>prüfen,</w:t>
      </w:r>
      <w:r w:rsidR="00E273C7" w:rsidRPr="00170557">
        <w:rPr>
          <w:noProof/>
          <w:lang w:val="de-DE"/>
        </w:rPr>
        <w:t xml:space="preserve"> wird das Verbandsbüro ein Rundschreiben herausgeben, in dem die </w:t>
      </w:r>
      <w:r w:rsidR="00170557">
        <w:rPr>
          <w:noProof/>
          <w:lang w:val="de-DE"/>
        </w:rPr>
        <w:t>Mitwirkenden an</w:t>
      </w:r>
      <w:r w:rsidR="00E273C7" w:rsidRPr="00170557">
        <w:rPr>
          <w:noProof/>
          <w:lang w:val="de-DE"/>
        </w:rPr>
        <w:t xml:space="preserve"> der PLUTO-Datenbank ersucht werden, das </w:t>
      </w:r>
      <w:r w:rsidR="009734F3" w:rsidRPr="00170557">
        <w:rPr>
          <w:noProof/>
          <w:lang w:val="de-DE"/>
        </w:rPr>
        <w:t>Verbandsbüro</w:t>
      </w:r>
      <w:r w:rsidR="00E273C7" w:rsidRPr="00170557">
        <w:rPr>
          <w:noProof/>
          <w:lang w:val="de-DE"/>
        </w:rPr>
        <w:t xml:space="preserve"> zu informieren, </w:t>
      </w:r>
      <w:r w:rsidR="00170557">
        <w:rPr>
          <w:noProof/>
          <w:lang w:val="de-DE"/>
        </w:rPr>
        <w:t>wenn</w:t>
      </w:r>
      <w:r w:rsidR="00E273C7" w:rsidRPr="00170557">
        <w:rPr>
          <w:noProof/>
          <w:lang w:val="de-DE"/>
        </w:rPr>
        <w:t xml:space="preserve"> sie maßgebliche Sortendaten haben, </w:t>
      </w:r>
      <w:r w:rsidR="0007574A">
        <w:rPr>
          <w:noProof/>
          <w:lang w:val="de-DE"/>
        </w:rPr>
        <w:t>die nicht mehr in der PLUTO</w:t>
      </w:r>
      <w:r w:rsidR="0007574A">
        <w:rPr>
          <w:noProof/>
          <w:lang w:val="de-DE"/>
        </w:rPr>
        <w:noBreakHyphen/>
      </w:r>
      <w:r w:rsidR="00E273C7" w:rsidRPr="00170557">
        <w:rPr>
          <w:noProof/>
          <w:lang w:val="de-DE"/>
        </w:rPr>
        <w:t xml:space="preserve">Datenbank enthalten sind, aber zuvor an die PLUTO-Datenbank übermittelt wurden. Informationen, die als </w:t>
      </w:r>
      <w:r w:rsidR="00170557">
        <w:rPr>
          <w:noProof/>
          <w:lang w:val="de-DE"/>
        </w:rPr>
        <w:t>Antwort</w:t>
      </w:r>
      <w:r w:rsidR="00E273C7" w:rsidRPr="00170557">
        <w:rPr>
          <w:noProof/>
          <w:lang w:val="de-DE"/>
        </w:rPr>
        <w:t xml:space="preserve"> auf dieses Rundschreiben eingehen, werden der WG-DEN </w:t>
      </w:r>
      <w:r w:rsidR="001720AA" w:rsidRPr="00170557">
        <w:rPr>
          <w:noProof/>
          <w:lang w:val="de-DE"/>
        </w:rPr>
        <w:t xml:space="preserve">gegebenenfalls </w:t>
      </w:r>
      <w:r w:rsidR="00E273C7" w:rsidRPr="00170557">
        <w:rPr>
          <w:noProof/>
          <w:lang w:val="de-DE"/>
        </w:rPr>
        <w:t>vorgelegt.</w:t>
      </w:r>
    </w:p>
    <w:p w14:paraId="3FE0CC74" w14:textId="77777777" w:rsidR="009463A9" w:rsidRPr="00170557" w:rsidRDefault="009463A9" w:rsidP="009463A9">
      <w:pPr>
        <w:ind w:left="567" w:hanging="567"/>
        <w:rPr>
          <w:noProof/>
          <w:lang w:val="de-DE"/>
        </w:rPr>
      </w:pPr>
    </w:p>
    <w:p w14:paraId="2E106698" w14:textId="0C36B216" w:rsidR="0042279C" w:rsidRPr="00170557" w:rsidRDefault="009463A9" w:rsidP="009463A9">
      <w:pPr>
        <w:rPr>
          <w:noProof/>
          <w:lang w:val="de-DE"/>
        </w:rPr>
      </w:pPr>
      <w:r w:rsidRPr="00170557">
        <w:rPr>
          <w:noProof/>
          <w:lang w:val="de-DE"/>
        </w:rPr>
        <w:fldChar w:fldCharType="begin"/>
      </w:r>
      <w:r w:rsidRPr="00170557">
        <w:rPr>
          <w:noProof/>
          <w:lang w:val="de-DE"/>
        </w:rPr>
        <w:instrText xml:space="preserve"> AUTONUM  </w:instrText>
      </w:r>
      <w:r w:rsidRPr="00170557">
        <w:rPr>
          <w:noProof/>
          <w:lang w:val="de-DE"/>
        </w:rPr>
        <w:fldChar w:fldCharType="end"/>
      </w:r>
      <w:r w:rsidRPr="00170557">
        <w:rPr>
          <w:noProof/>
          <w:lang w:val="de-DE"/>
        </w:rPr>
        <w:tab/>
      </w:r>
      <w:r w:rsidR="009734F3" w:rsidRPr="00170557">
        <w:rPr>
          <w:noProof/>
          <w:lang w:val="de-DE"/>
        </w:rPr>
        <w:t>Im Hinblick</w:t>
      </w:r>
      <w:r w:rsidR="0042279C" w:rsidRPr="00170557">
        <w:rPr>
          <w:noProof/>
          <w:lang w:val="de-DE"/>
        </w:rPr>
        <w:t xml:space="preserve"> auf die mögliche Einführung eine</w:t>
      </w:r>
      <w:r w:rsidR="00984C34" w:rsidRPr="00170557">
        <w:rPr>
          <w:noProof/>
          <w:lang w:val="de-DE"/>
        </w:rPr>
        <w:t>r</w:t>
      </w:r>
      <w:r w:rsidR="0042279C" w:rsidRPr="00170557">
        <w:rPr>
          <w:noProof/>
          <w:lang w:val="de-DE"/>
        </w:rPr>
        <w:t xml:space="preserve"> eindeutigen </w:t>
      </w:r>
      <w:r w:rsidR="00984C34" w:rsidRPr="00170557">
        <w:rPr>
          <w:noProof/>
          <w:lang w:val="de-DE"/>
        </w:rPr>
        <w:t xml:space="preserve">Kennung </w:t>
      </w:r>
      <w:r w:rsidR="0042279C" w:rsidRPr="00170557">
        <w:rPr>
          <w:noProof/>
          <w:lang w:val="de-DE"/>
        </w:rPr>
        <w:t>für</w:t>
      </w:r>
      <w:r w:rsidR="0007574A">
        <w:rPr>
          <w:noProof/>
          <w:lang w:val="de-DE"/>
        </w:rPr>
        <w:t xml:space="preserve"> den Sorteneintrag in die PLUTO</w:t>
      </w:r>
      <w:r w:rsidR="0007574A">
        <w:rPr>
          <w:noProof/>
          <w:lang w:val="de-DE"/>
        </w:rPr>
        <w:noBreakHyphen/>
      </w:r>
      <w:r w:rsidR="0042279C" w:rsidRPr="00170557">
        <w:rPr>
          <w:noProof/>
          <w:lang w:val="de-DE"/>
        </w:rPr>
        <w:t xml:space="preserve">Datenbank, wie in </w:t>
      </w:r>
      <w:r w:rsidR="0042279C" w:rsidRPr="0007574A">
        <w:rPr>
          <w:noProof/>
          <w:lang w:val="de-DE"/>
        </w:rPr>
        <w:t>Absatz 12 d)</w:t>
      </w:r>
      <w:r w:rsidR="0042279C" w:rsidRPr="00170557">
        <w:rPr>
          <w:noProof/>
          <w:lang w:val="de-DE"/>
        </w:rPr>
        <w:t xml:space="preserve"> oben dargelegt, wird das Verbandsbüro auf der </w:t>
      </w:r>
      <w:r w:rsidR="00100E65" w:rsidRPr="00170557">
        <w:rPr>
          <w:noProof/>
          <w:lang w:val="de-DE"/>
        </w:rPr>
        <w:t>sechsten Sitzung</w:t>
      </w:r>
      <w:r w:rsidR="0042279C" w:rsidRPr="00170557">
        <w:rPr>
          <w:noProof/>
          <w:lang w:val="de-DE"/>
        </w:rPr>
        <w:t xml:space="preserve"> der WG-DEN Vorschläge zu </w:t>
      </w:r>
      <w:r w:rsidR="00984C34" w:rsidRPr="00170557">
        <w:rPr>
          <w:noProof/>
          <w:lang w:val="de-DE"/>
        </w:rPr>
        <w:t xml:space="preserve">dieser Angelegeneheit </w:t>
      </w:r>
      <w:r w:rsidR="0042279C" w:rsidRPr="00170557">
        <w:rPr>
          <w:noProof/>
          <w:lang w:val="de-DE"/>
        </w:rPr>
        <w:t>vorlegen.</w:t>
      </w:r>
    </w:p>
    <w:p w14:paraId="463C90A3" w14:textId="77777777" w:rsidR="0042279C" w:rsidRPr="00170557" w:rsidRDefault="0042279C" w:rsidP="009463A9">
      <w:pPr>
        <w:pStyle w:val="Heading2"/>
        <w:rPr>
          <w:rFonts w:eastAsiaTheme="minorEastAsia"/>
          <w:noProof/>
          <w:lang w:val="de-DE" w:eastAsia="ja-JP"/>
        </w:rPr>
      </w:pPr>
      <w:bookmarkStart w:id="15" w:name="_Toc13678268"/>
    </w:p>
    <w:p w14:paraId="1C8598A1" w14:textId="77777777" w:rsidR="009463A9" w:rsidRPr="00170557" w:rsidRDefault="0042279C" w:rsidP="009463A9">
      <w:pPr>
        <w:pStyle w:val="Heading2"/>
        <w:rPr>
          <w:rFonts w:eastAsiaTheme="minorEastAsia"/>
          <w:noProof/>
          <w:lang w:val="de-DE" w:eastAsia="ja-JP"/>
        </w:rPr>
      </w:pPr>
      <w:bookmarkStart w:id="16" w:name="_Toc17458301"/>
      <w:r w:rsidRPr="00170557">
        <w:rPr>
          <w:rFonts w:eastAsiaTheme="minorEastAsia"/>
          <w:noProof/>
          <w:lang w:val="de-DE" w:eastAsia="ja-JP"/>
        </w:rPr>
        <w:t>Andere Sorten (neue Daten)</w:t>
      </w:r>
      <w:bookmarkEnd w:id="15"/>
      <w:bookmarkEnd w:id="16"/>
    </w:p>
    <w:p w14:paraId="4C3D230B" w14:textId="77777777" w:rsidR="009463A9" w:rsidRPr="00170557" w:rsidRDefault="009463A9" w:rsidP="009463A9">
      <w:pPr>
        <w:rPr>
          <w:noProof/>
          <w:lang w:val="de-DE"/>
        </w:rPr>
      </w:pPr>
    </w:p>
    <w:p w14:paraId="60762C91" w14:textId="1681C6D3" w:rsidR="0042279C" w:rsidRPr="00170557" w:rsidRDefault="009463A9" w:rsidP="009463A9">
      <w:pPr>
        <w:rPr>
          <w:noProof/>
          <w:lang w:val="de-DE"/>
        </w:rPr>
      </w:pPr>
      <w:r w:rsidRPr="00170557">
        <w:rPr>
          <w:noProof/>
          <w:lang w:val="de-DE"/>
        </w:rPr>
        <w:fldChar w:fldCharType="begin"/>
      </w:r>
      <w:r w:rsidRPr="00170557">
        <w:rPr>
          <w:noProof/>
          <w:lang w:val="de-DE"/>
        </w:rPr>
        <w:instrText xml:space="preserve"> AUTONUM  </w:instrText>
      </w:r>
      <w:r w:rsidRPr="00170557">
        <w:rPr>
          <w:noProof/>
          <w:lang w:val="de-DE"/>
        </w:rPr>
        <w:fldChar w:fldCharType="end"/>
      </w:r>
      <w:r w:rsidRPr="00170557">
        <w:rPr>
          <w:noProof/>
          <w:lang w:val="de-DE"/>
        </w:rPr>
        <w:tab/>
      </w:r>
      <w:r w:rsidR="0042279C" w:rsidRPr="00170557">
        <w:rPr>
          <w:noProof/>
          <w:lang w:val="de-DE"/>
        </w:rPr>
        <w:t>Hinsichtlich</w:t>
      </w:r>
      <w:r w:rsidR="009734F3" w:rsidRPr="00170557">
        <w:rPr>
          <w:noProof/>
          <w:lang w:val="de-DE"/>
        </w:rPr>
        <w:t xml:space="preserve"> </w:t>
      </w:r>
      <w:r w:rsidR="0042279C" w:rsidRPr="00170557">
        <w:rPr>
          <w:noProof/>
          <w:lang w:val="de-DE"/>
        </w:rPr>
        <w:t xml:space="preserve">der Aufnahme anderer Sorten (neuer Daten) in die PLUTO-Datenbank, wie in den Absätzen </w:t>
      </w:r>
      <w:r w:rsidR="00704996" w:rsidRPr="0007574A">
        <w:rPr>
          <w:noProof/>
          <w:lang w:val="de-DE"/>
        </w:rPr>
        <w:t>12</w:t>
      </w:r>
      <w:r w:rsidR="0042279C" w:rsidRPr="0007574A">
        <w:rPr>
          <w:noProof/>
          <w:lang w:val="de-DE"/>
        </w:rPr>
        <w:t xml:space="preserve"> e</w:t>
      </w:r>
      <w:r w:rsidR="0042279C" w:rsidRPr="00170557">
        <w:rPr>
          <w:noProof/>
          <w:lang w:val="de-DE"/>
        </w:rPr>
        <w:t xml:space="preserve">) und f) oben dargelegt, hat das </w:t>
      </w:r>
      <w:r w:rsidR="00704996" w:rsidRPr="00170557">
        <w:rPr>
          <w:noProof/>
          <w:lang w:val="de-DE"/>
        </w:rPr>
        <w:t>Verbandsbüro</w:t>
      </w:r>
      <w:r w:rsidR="0042279C" w:rsidRPr="00170557">
        <w:rPr>
          <w:noProof/>
          <w:lang w:val="de-DE"/>
        </w:rPr>
        <w:t xml:space="preserve"> am 28. Juni 2019 das Rundschreiben E-19/082 </w:t>
      </w:r>
      <w:r w:rsidR="00984C34" w:rsidRPr="00170557">
        <w:rPr>
          <w:noProof/>
          <w:lang w:val="de-DE"/>
        </w:rPr>
        <w:t xml:space="preserve">an die bezeichneten </w:t>
      </w:r>
      <w:r w:rsidR="003A49BC" w:rsidRPr="00170557">
        <w:rPr>
          <w:noProof/>
          <w:lang w:val="de-DE"/>
        </w:rPr>
        <w:t>Personen</w:t>
      </w:r>
      <w:r w:rsidR="00170557">
        <w:rPr>
          <w:noProof/>
          <w:lang w:val="de-DE"/>
        </w:rPr>
        <w:t xml:space="preserve"> der Verbandsmitglieder</w:t>
      </w:r>
      <w:r w:rsidR="003A49BC" w:rsidRPr="00170557">
        <w:rPr>
          <w:noProof/>
          <w:lang w:val="de-DE"/>
        </w:rPr>
        <w:t xml:space="preserve"> </w:t>
      </w:r>
      <w:r w:rsidR="0042279C" w:rsidRPr="00170557">
        <w:rPr>
          <w:noProof/>
          <w:lang w:val="de-DE"/>
        </w:rPr>
        <w:t>im Rat, im CAJ und in der WG-DEN</w:t>
      </w:r>
      <w:r w:rsidR="00984C34" w:rsidRPr="00170557">
        <w:rPr>
          <w:noProof/>
          <w:lang w:val="de-DE"/>
        </w:rPr>
        <w:t xml:space="preserve"> </w:t>
      </w:r>
      <w:r w:rsidR="0042279C" w:rsidRPr="00170557">
        <w:rPr>
          <w:noProof/>
          <w:lang w:val="de-DE"/>
        </w:rPr>
        <w:t xml:space="preserve">herausgegeben und sie </w:t>
      </w:r>
      <w:r w:rsidR="00704996" w:rsidRPr="00170557">
        <w:rPr>
          <w:noProof/>
          <w:lang w:val="de-DE"/>
        </w:rPr>
        <w:t>ersucht</w:t>
      </w:r>
      <w:r w:rsidR="0042279C" w:rsidRPr="00170557">
        <w:rPr>
          <w:noProof/>
          <w:lang w:val="de-DE"/>
        </w:rPr>
        <w:t xml:space="preserve">, bis zum 31. Juli 2019 zusätzliche </w:t>
      </w:r>
      <w:r w:rsidR="003A49BC" w:rsidRPr="00170557">
        <w:rPr>
          <w:noProof/>
          <w:lang w:val="de-DE"/>
        </w:rPr>
        <w:t xml:space="preserve">Arten </w:t>
      </w:r>
      <w:r w:rsidR="00170557">
        <w:rPr>
          <w:noProof/>
          <w:lang w:val="de-DE"/>
        </w:rPr>
        <w:t xml:space="preserve">von Erfassungen </w:t>
      </w:r>
      <w:r w:rsidR="0042279C" w:rsidRPr="00170557">
        <w:rPr>
          <w:noProof/>
          <w:lang w:val="de-DE"/>
        </w:rPr>
        <w:t>vorz</w:t>
      </w:r>
      <w:r w:rsidR="0007574A">
        <w:rPr>
          <w:noProof/>
          <w:lang w:val="de-DE"/>
        </w:rPr>
        <w:t>uschlagen, die sie in die PLUTO</w:t>
      </w:r>
      <w:r w:rsidR="0007574A">
        <w:rPr>
          <w:noProof/>
          <w:lang w:val="de-DE"/>
        </w:rPr>
        <w:noBreakHyphen/>
      </w:r>
      <w:r w:rsidR="0042279C" w:rsidRPr="00170557">
        <w:rPr>
          <w:noProof/>
          <w:lang w:val="de-DE"/>
        </w:rPr>
        <w:t xml:space="preserve">Datenbank </w:t>
      </w:r>
      <w:r w:rsidR="001720AA">
        <w:rPr>
          <w:noProof/>
          <w:lang w:val="de-DE"/>
        </w:rPr>
        <w:t>aufgenommen sehen möchten</w:t>
      </w:r>
      <w:r w:rsidR="00704996" w:rsidRPr="00170557">
        <w:rPr>
          <w:noProof/>
          <w:lang w:val="de-DE"/>
        </w:rPr>
        <w:t xml:space="preserve"> </w:t>
      </w:r>
      <w:r w:rsidR="0042279C" w:rsidRPr="00170557">
        <w:rPr>
          <w:noProof/>
          <w:lang w:val="de-DE"/>
        </w:rPr>
        <w:t xml:space="preserve">oder </w:t>
      </w:r>
      <w:r w:rsidR="001720AA">
        <w:rPr>
          <w:noProof/>
          <w:lang w:val="de-DE"/>
        </w:rPr>
        <w:t xml:space="preserve">die </w:t>
      </w:r>
      <w:r w:rsidR="00D51996" w:rsidRPr="00170557">
        <w:rPr>
          <w:noProof/>
          <w:lang w:val="de-DE"/>
        </w:rPr>
        <w:t>über eine Suchplattform für unabhängige Datenbanken zugänglich</w:t>
      </w:r>
      <w:r w:rsidR="0042279C" w:rsidRPr="00170557">
        <w:rPr>
          <w:noProof/>
          <w:lang w:val="de-DE"/>
        </w:rPr>
        <w:t xml:space="preserve"> </w:t>
      </w:r>
      <w:r w:rsidR="001720AA">
        <w:rPr>
          <w:noProof/>
          <w:lang w:val="de-DE"/>
        </w:rPr>
        <w:t>sein sollen</w:t>
      </w:r>
      <w:r w:rsidR="0042279C" w:rsidRPr="00170557">
        <w:rPr>
          <w:noProof/>
          <w:lang w:val="de-DE"/>
        </w:rPr>
        <w:t>.</w:t>
      </w:r>
      <w:r w:rsidR="003A49BC" w:rsidRPr="00170557">
        <w:rPr>
          <w:noProof/>
          <w:lang w:val="de-DE"/>
        </w:rPr>
        <w:t xml:space="preserve"> </w:t>
      </w:r>
      <w:r w:rsidR="0042279C" w:rsidRPr="00170557">
        <w:rPr>
          <w:noProof/>
          <w:lang w:val="de-DE"/>
        </w:rPr>
        <w:t xml:space="preserve">Informationen, die als </w:t>
      </w:r>
      <w:r w:rsidR="00170557">
        <w:rPr>
          <w:noProof/>
          <w:lang w:val="de-DE"/>
        </w:rPr>
        <w:t>Antwort</w:t>
      </w:r>
      <w:r w:rsidR="0042279C" w:rsidRPr="00170557">
        <w:rPr>
          <w:noProof/>
          <w:lang w:val="de-DE"/>
        </w:rPr>
        <w:t xml:space="preserve"> auf dieses Rundschreiben eingehen und daraus abgeleitete Vorschläge werden</w:t>
      </w:r>
      <w:r w:rsidR="00D51996" w:rsidRPr="00170557">
        <w:rPr>
          <w:noProof/>
          <w:lang w:val="de-DE"/>
        </w:rPr>
        <w:t xml:space="preserve"> </w:t>
      </w:r>
      <w:r w:rsidR="0042279C" w:rsidRPr="00170557">
        <w:rPr>
          <w:noProof/>
          <w:lang w:val="de-DE"/>
        </w:rPr>
        <w:t xml:space="preserve">der WG-DEN </w:t>
      </w:r>
      <w:r w:rsidR="001720AA" w:rsidRPr="00170557">
        <w:rPr>
          <w:noProof/>
          <w:lang w:val="de-DE"/>
        </w:rPr>
        <w:t xml:space="preserve">gegebenenfalls </w:t>
      </w:r>
      <w:r w:rsidR="0042279C" w:rsidRPr="00170557">
        <w:rPr>
          <w:noProof/>
          <w:lang w:val="de-DE"/>
        </w:rPr>
        <w:t>vorgelegt.</w:t>
      </w:r>
    </w:p>
    <w:p w14:paraId="3098B322" w14:textId="645C5D31" w:rsidR="003A49BC" w:rsidRDefault="003A49BC" w:rsidP="009463A9">
      <w:pPr>
        <w:rPr>
          <w:noProof/>
          <w:lang w:val="de-DE"/>
        </w:rPr>
      </w:pPr>
    </w:p>
    <w:p w14:paraId="467010D2" w14:textId="77777777" w:rsidR="0007574A" w:rsidRPr="00170557" w:rsidRDefault="0007574A" w:rsidP="009463A9">
      <w:pPr>
        <w:rPr>
          <w:noProof/>
          <w:lang w:val="de-DE"/>
        </w:rPr>
      </w:pPr>
    </w:p>
    <w:p w14:paraId="6D1CEDE0" w14:textId="77777777" w:rsidR="0006356C" w:rsidRPr="007A7C26" w:rsidRDefault="00704996" w:rsidP="00D46E83">
      <w:pPr>
        <w:pStyle w:val="Heading1"/>
      </w:pPr>
      <w:bookmarkStart w:id="17" w:name="_Toc477358710"/>
      <w:bookmarkStart w:id="18" w:name="_Toc17458302"/>
      <w:r>
        <w:t>Nicht Akzeptable Begriffe</w:t>
      </w:r>
      <w:bookmarkEnd w:id="17"/>
      <w:bookmarkEnd w:id="18"/>
    </w:p>
    <w:p w14:paraId="09DE9201" w14:textId="77777777" w:rsidR="0006356C" w:rsidRPr="007A7C26" w:rsidRDefault="0006356C" w:rsidP="0006356C">
      <w:pPr>
        <w:keepNext/>
        <w:keepLines/>
        <w:rPr>
          <w:rFonts w:eastAsiaTheme="minorEastAsia"/>
          <w:noProof/>
          <w:lang w:val="de-DE" w:eastAsia="ja-JP"/>
        </w:rPr>
      </w:pPr>
    </w:p>
    <w:p w14:paraId="3A93EBEF" w14:textId="3CE80B97" w:rsidR="00704996" w:rsidRPr="00170557" w:rsidRDefault="0006356C" w:rsidP="0006356C">
      <w:pPr>
        <w:rPr>
          <w:rFonts w:eastAsiaTheme="minorEastAsia"/>
          <w:noProof/>
          <w:lang w:val="de-DE"/>
        </w:rPr>
      </w:pPr>
      <w:r w:rsidRPr="00170557">
        <w:rPr>
          <w:rFonts w:eastAsiaTheme="minorEastAsia"/>
          <w:noProof/>
          <w:lang w:val="de-DE"/>
        </w:rPr>
        <w:fldChar w:fldCharType="begin"/>
      </w:r>
      <w:r w:rsidRPr="00170557">
        <w:rPr>
          <w:rFonts w:eastAsiaTheme="minorEastAsia"/>
          <w:noProof/>
          <w:lang w:val="de-DE"/>
        </w:rPr>
        <w:instrText xml:space="preserve"> AUTONUM  </w:instrText>
      </w:r>
      <w:r w:rsidRPr="00170557">
        <w:rPr>
          <w:rFonts w:eastAsiaTheme="minorEastAsia"/>
          <w:noProof/>
          <w:lang w:val="de-DE"/>
        </w:rPr>
        <w:fldChar w:fldCharType="end"/>
      </w:r>
      <w:r w:rsidRPr="00170557">
        <w:rPr>
          <w:rFonts w:eastAsiaTheme="minorEastAsia"/>
          <w:noProof/>
          <w:lang w:val="de-DE"/>
        </w:rPr>
        <w:tab/>
      </w:r>
      <w:r w:rsidR="00704996" w:rsidRPr="00170557">
        <w:rPr>
          <w:rFonts w:eastAsiaTheme="minorEastAsia"/>
          <w:noProof/>
          <w:lang w:val="de-DE" w:eastAsia="ja-JP"/>
        </w:rPr>
        <w:t>Der Hintergrund dieser Angelegenheit ist in Dokument TC/54/12 „Sortenbezeichnungen“, Absatz 16</w:t>
      </w:r>
      <w:r w:rsidR="0095734A">
        <w:rPr>
          <w:rFonts w:eastAsiaTheme="minorEastAsia"/>
          <w:noProof/>
          <w:lang w:val="de-DE" w:eastAsia="ja-JP"/>
        </w:rPr>
        <w:t>,</w:t>
      </w:r>
      <w:r w:rsidR="00704996" w:rsidRPr="00170557">
        <w:rPr>
          <w:rFonts w:eastAsiaTheme="minorEastAsia"/>
          <w:noProof/>
          <w:lang w:val="de-DE" w:eastAsia="ja-JP"/>
        </w:rPr>
        <w:t xml:space="preserve"> dargelegt.</w:t>
      </w:r>
    </w:p>
    <w:p w14:paraId="57CEF2CF" w14:textId="77777777" w:rsidR="00704996" w:rsidRPr="00170557" w:rsidRDefault="00704996" w:rsidP="0006356C">
      <w:pPr>
        <w:rPr>
          <w:rFonts w:eastAsiaTheme="minorEastAsia"/>
          <w:noProof/>
          <w:lang w:val="de-DE"/>
        </w:rPr>
      </w:pPr>
    </w:p>
    <w:p w14:paraId="3945D7E0" w14:textId="41D9ED19" w:rsidR="0006356C" w:rsidRPr="00170557" w:rsidRDefault="0006356C" w:rsidP="0006356C">
      <w:pPr>
        <w:rPr>
          <w:noProof/>
          <w:lang w:val="de-DE"/>
        </w:rPr>
      </w:pPr>
      <w:r w:rsidRPr="00170557">
        <w:rPr>
          <w:noProof/>
          <w:lang w:val="de-DE" w:eastAsia="ja-JP"/>
        </w:rPr>
        <w:fldChar w:fldCharType="begin"/>
      </w:r>
      <w:r w:rsidRPr="00170557">
        <w:rPr>
          <w:noProof/>
          <w:lang w:val="de-DE" w:eastAsia="ja-JP"/>
        </w:rPr>
        <w:instrText xml:space="preserve"> AUTONUM  </w:instrText>
      </w:r>
      <w:r w:rsidRPr="00170557">
        <w:rPr>
          <w:noProof/>
          <w:lang w:val="de-DE" w:eastAsia="ja-JP"/>
        </w:rPr>
        <w:fldChar w:fldCharType="end"/>
      </w:r>
      <w:r w:rsidRPr="00170557">
        <w:rPr>
          <w:noProof/>
          <w:lang w:val="de-DE" w:eastAsia="ja-JP"/>
        </w:rPr>
        <w:tab/>
      </w:r>
      <w:r w:rsidR="00704996" w:rsidRPr="00170557">
        <w:rPr>
          <w:rFonts w:cs="Arial"/>
          <w:noProof/>
          <w:lang w:val="de-DE" w:eastAsia="ja-JP"/>
        </w:rPr>
        <w:t>Die</w:t>
      </w:r>
      <w:r w:rsidRPr="00170557">
        <w:rPr>
          <w:rFonts w:cs="Arial"/>
          <w:noProof/>
          <w:lang w:val="de-DE" w:eastAsia="ja-JP"/>
        </w:rPr>
        <w:t xml:space="preserve"> WG-DEN</w:t>
      </w:r>
      <w:r w:rsidR="00704996" w:rsidRPr="00170557">
        <w:rPr>
          <w:rFonts w:cs="Arial"/>
          <w:noProof/>
          <w:lang w:val="de-DE" w:eastAsia="ja-JP"/>
        </w:rPr>
        <w:t xml:space="preserve"> vereinbarte auf ihrer</w:t>
      </w:r>
      <w:r w:rsidR="00704996" w:rsidRPr="00170557">
        <w:rPr>
          <w:noProof/>
          <w:lang w:val="de-DE" w:eastAsia="ja-JP"/>
        </w:rPr>
        <w:t xml:space="preserve"> fünften Sitzung</w:t>
      </w:r>
      <w:r w:rsidRPr="00170557">
        <w:rPr>
          <w:noProof/>
          <w:lang w:val="de-DE" w:eastAsia="ja-JP"/>
        </w:rPr>
        <w:t>,</w:t>
      </w:r>
      <w:r w:rsidRPr="00170557">
        <w:rPr>
          <w:noProof/>
          <w:lang w:val="de-DE"/>
        </w:rPr>
        <w:t xml:space="preserve"> </w:t>
      </w:r>
      <w:r w:rsidR="00704996" w:rsidRPr="00170557">
        <w:rPr>
          <w:noProof/>
          <w:lang w:val="de-DE" w:eastAsia="ja-JP"/>
        </w:rPr>
        <w:t xml:space="preserve">die Angelegenheit in Bezug auf diesen Punkt </w:t>
      </w:r>
      <w:r w:rsidR="00100E65" w:rsidRPr="00170557">
        <w:rPr>
          <w:noProof/>
          <w:lang w:val="de-DE" w:eastAsia="ja-JP"/>
        </w:rPr>
        <w:t>„</w:t>
      </w:r>
      <w:r w:rsidR="001720AA">
        <w:rPr>
          <w:noProof/>
          <w:lang w:val="de-DE" w:eastAsia="ja-JP"/>
        </w:rPr>
        <w:t>N</w:t>
      </w:r>
      <w:r w:rsidR="0007574A">
        <w:rPr>
          <w:noProof/>
          <w:lang w:val="de-DE" w:eastAsia="ja-JP"/>
        </w:rPr>
        <w:t>icht </w:t>
      </w:r>
      <w:r w:rsidR="00100E65" w:rsidRPr="00170557">
        <w:rPr>
          <w:noProof/>
          <w:lang w:val="de-DE" w:eastAsia="ja-JP"/>
        </w:rPr>
        <w:t>akzeptable Begriffe“</w:t>
      </w:r>
      <w:r w:rsidR="00704996" w:rsidRPr="00170557">
        <w:rPr>
          <w:noProof/>
          <w:lang w:val="de-DE" w:eastAsia="ja-JP"/>
        </w:rPr>
        <w:t xml:space="preserve"> nicht weiter zu verfolgen</w:t>
      </w:r>
      <w:r w:rsidR="0014256C" w:rsidRPr="00170557">
        <w:rPr>
          <w:noProof/>
          <w:lang w:val="de-DE" w:eastAsia="ja-JP"/>
        </w:rPr>
        <w:t xml:space="preserve"> (</w:t>
      </w:r>
      <w:r w:rsidR="00E948A7" w:rsidRPr="00170557">
        <w:rPr>
          <w:noProof/>
          <w:lang w:val="de-DE" w:eastAsia="ja-JP"/>
        </w:rPr>
        <w:t>vergleiche</w:t>
      </w:r>
      <w:r w:rsidR="0014256C" w:rsidRPr="00170557">
        <w:rPr>
          <w:noProof/>
          <w:lang w:val="de-DE" w:eastAsia="ja-JP"/>
        </w:rPr>
        <w:t xml:space="preserve"> </w:t>
      </w:r>
      <w:r w:rsidR="00E948A7" w:rsidRPr="00170557">
        <w:rPr>
          <w:noProof/>
          <w:lang w:val="de-DE" w:eastAsia="ja-JP"/>
        </w:rPr>
        <w:t>Dokument</w:t>
      </w:r>
      <w:r w:rsidR="0014256C" w:rsidRPr="00170557">
        <w:rPr>
          <w:noProof/>
          <w:lang w:val="de-DE" w:eastAsia="ja-JP"/>
        </w:rPr>
        <w:t> UPOV/WG-DEN/5/3</w:t>
      </w:r>
      <w:r w:rsidR="00E948A7" w:rsidRPr="00170557">
        <w:rPr>
          <w:noProof/>
          <w:lang w:val="de-DE" w:eastAsia="ja-JP"/>
        </w:rPr>
        <w:t xml:space="preserve"> </w:t>
      </w:r>
      <w:r w:rsidR="00E948A7" w:rsidRPr="0007574A">
        <w:rPr>
          <w:i/>
          <w:noProof/>
          <w:lang w:val="de-DE" w:eastAsia="ja-JP"/>
        </w:rPr>
        <w:t>„</w:t>
      </w:r>
      <w:r w:rsidR="00170557" w:rsidRPr="0007574A">
        <w:rPr>
          <w:i/>
          <w:noProof/>
          <w:lang w:val="de-DE" w:eastAsia="ja-JP"/>
        </w:rPr>
        <w:t>Report</w:t>
      </w:r>
      <w:r w:rsidR="00E948A7" w:rsidRPr="0007574A">
        <w:rPr>
          <w:i/>
          <w:noProof/>
          <w:lang w:val="de-DE" w:eastAsia="ja-JP"/>
        </w:rPr>
        <w:t>“</w:t>
      </w:r>
      <w:r w:rsidR="0014256C" w:rsidRPr="00170557">
        <w:rPr>
          <w:noProof/>
          <w:lang w:val="de-DE" w:eastAsia="ja-JP"/>
        </w:rPr>
        <w:t xml:space="preserve">, </w:t>
      </w:r>
      <w:r w:rsidR="00E948A7" w:rsidRPr="00170557">
        <w:rPr>
          <w:noProof/>
          <w:lang w:val="de-DE" w:eastAsia="ja-JP"/>
        </w:rPr>
        <w:t>Absatz</w:t>
      </w:r>
      <w:r w:rsidR="0014256C" w:rsidRPr="00170557">
        <w:rPr>
          <w:noProof/>
          <w:lang w:val="de-DE" w:eastAsia="ja-JP"/>
        </w:rPr>
        <w:t xml:space="preserve"> 32)</w:t>
      </w:r>
      <w:r w:rsidRPr="00170557">
        <w:rPr>
          <w:noProof/>
          <w:lang w:val="de-DE"/>
        </w:rPr>
        <w:t>.</w:t>
      </w:r>
    </w:p>
    <w:p w14:paraId="47777CB3" w14:textId="77777777" w:rsidR="0006356C" w:rsidRPr="00170557" w:rsidRDefault="0006356C" w:rsidP="0006356C">
      <w:pPr>
        <w:rPr>
          <w:noProof/>
          <w:lang w:val="de-DE"/>
        </w:rPr>
      </w:pPr>
    </w:p>
    <w:p w14:paraId="4DF7AE13" w14:textId="77777777" w:rsidR="0006356C" w:rsidRPr="00170557" w:rsidRDefault="0006356C" w:rsidP="0006356C">
      <w:pPr>
        <w:rPr>
          <w:noProof/>
          <w:lang w:val="de-DE"/>
        </w:rPr>
      </w:pPr>
    </w:p>
    <w:p w14:paraId="31DE00F2" w14:textId="77777777" w:rsidR="0006356C" w:rsidRPr="00170557" w:rsidRDefault="00100E65" w:rsidP="00D46E83">
      <w:pPr>
        <w:pStyle w:val="Heading1"/>
      </w:pPr>
      <w:bookmarkStart w:id="19" w:name="_Toc477358711"/>
      <w:bookmarkStart w:id="20" w:name="_Toc17458303"/>
      <w:r w:rsidRPr="00170557">
        <w:t>Daten und Programm der nächsten Sitzun</w:t>
      </w:r>
      <w:r w:rsidR="0006356C" w:rsidRPr="00170557">
        <w:t>g</w:t>
      </w:r>
      <w:bookmarkEnd w:id="19"/>
      <w:bookmarkEnd w:id="20"/>
    </w:p>
    <w:p w14:paraId="2CD708ED" w14:textId="77777777" w:rsidR="0006356C" w:rsidRPr="00EE49AD" w:rsidRDefault="0006356C" w:rsidP="0006356C">
      <w:pPr>
        <w:keepNext/>
        <w:rPr>
          <w:rFonts w:eastAsiaTheme="minorEastAsia"/>
          <w:i/>
          <w:noProof/>
          <w:color w:val="000000" w:themeColor="text1"/>
          <w:lang w:val="de-DE" w:eastAsia="ja-JP"/>
        </w:rPr>
      </w:pPr>
    </w:p>
    <w:p w14:paraId="507E2ABD" w14:textId="77777777" w:rsidR="00100E65" w:rsidRPr="00100E65" w:rsidRDefault="0006356C" w:rsidP="00100E65">
      <w:pPr>
        <w:rPr>
          <w:rFonts w:eastAsiaTheme="minorEastAsia"/>
          <w:noProof/>
          <w:color w:val="000000" w:themeColor="text1"/>
          <w:lang w:val="de-DE" w:eastAsia="ja-JP"/>
        </w:rPr>
      </w:pPr>
      <w:r w:rsidRPr="00EE49AD">
        <w:rPr>
          <w:rFonts w:eastAsiaTheme="minorEastAsia"/>
          <w:noProof/>
          <w:lang w:val="de-DE"/>
        </w:rPr>
        <w:fldChar w:fldCharType="begin"/>
      </w:r>
      <w:r w:rsidRPr="00EE49AD">
        <w:rPr>
          <w:rFonts w:eastAsiaTheme="minorEastAsia"/>
          <w:noProof/>
          <w:lang w:val="de-DE"/>
        </w:rPr>
        <w:instrText xml:space="preserve"> AUTONUM  </w:instrText>
      </w:r>
      <w:r w:rsidRPr="00EE49AD">
        <w:rPr>
          <w:rFonts w:eastAsiaTheme="minorEastAsia"/>
          <w:noProof/>
          <w:lang w:val="de-DE"/>
        </w:rPr>
        <w:fldChar w:fldCharType="end"/>
      </w:r>
      <w:r w:rsidRPr="00EE49AD">
        <w:rPr>
          <w:rFonts w:eastAsiaTheme="minorEastAsia"/>
          <w:noProof/>
          <w:lang w:val="de-DE"/>
        </w:rPr>
        <w:tab/>
      </w:r>
      <w:r w:rsidR="00100E65" w:rsidRPr="00EE49AD">
        <w:rPr>
          <w:rFonts w:eastAsiaTheme="minorEastAsia"/>
          <w:noProof/>
          <w:color w:val="000000" w:themeColor="text1"/>
          <w:lang w:val="de-DE" w:eastAsia="ja-JP"/>
        </w:rPr>
        <w:t>Die WG-DEN vereinbarte auf ihrer fünften Sitzung, daß die sechste Sitzung der WG-DEN am Abend des 29. Oktober 2019 in Genf stattfinden sollte</w:t>
      </w:r>
      <w:r w:rsidR="00100E65" w:rsidRPr="00EE49AD">
        <w:rPr>
          <w:rFonts w:eastAsiaTheme="minorEastAsia"/>
          <w:i/>
          <w:noProof/>
          <w:color w:val="000000" w:themeColor="text1"/>
          <w:lang w:val="de-DE" w:eastAsia="ja-JP"/>
        </w:rPr>
        <w:t>.</w:t>
      </w:r>
    </w:p>
    <w:p w14:paraId="133A68CF" w14:textId="77777777" w:rsidR="00100E65" w:rsidRPr="007A7C26" w:rsidRDefault="00100E65" w:rsidP="0006356C">
      <w:pPr>
        <w:rPr>
          <w:rFonts w:eastAsiaTheme="minorEastAsia"/>
          <w:noProof/>
          <w:color w:val="000000" w:themeColor="text1"/>
          <w:lang w:val="de-DE" w:eastAsia="ja-JP"/>
        </w:rPr>
      </w:pPr>
    </w:p>
    <w:p w14:paraId="42D38000" w14:textId="77777777" w:rsidR="0006356C" w:rsidRPr="00D75F42" w:rsidRDefault="0006356C" w:rsidP="0006356C">
      <w:pPr>
        <w:keepNext/>
        <w:rPr>
          <w:noProof/>
          <w:color w:val="000000" w:themeColor="text1"/>
          <w:lang w:val="de-DE" w:eastAsia="ja-JP"/>
        </w:rPr>
      </w:pPr>
      <w:r w:rsidRPr="007A7C26">
        <w:rPr>
          <w:noProof/>
          <w:lang w:val="de-DE" w:eastAsia="ja-JP"/>
        </w:rPr>
        <w:lastRenderedPageBreak/>
        <w:fldChar w:fldCharType="begin"/>
      </w:r>
      <w:r w:rsidRPr="007A7C26">
        <w:rPr>
          <w:noProof/>
          <w:lang w:val="de-DE" w:eastAsia="ja-JP"/>
        </w:rPr>
        <w:instrText xml:space="preserve"> AUTONUM  </w:instrText>
      </w:r>
      <w:r w:rsidRPr="007A7C26">
        <w:rPr>
          <w:noProof/>
          <w:lang w:val="de-DE" w:eastAsia="ja-JP"/>
        </w:rPr>
        <w:fldChar w:fldCharType="end"/>
      </w:r>
      <w:r w:rsidRPr="007A7C26">
        <w:rPr>
          <w:noProof/>
          <w:lang w:val="de-DE" w:eastAsia="ja-JP"/>
        </w:rPr>
        <w:tab/>
      </w:r>
      <w:r w:rsidR="00BA13CA" w:rsidRPr="00D75F42">
        <w:rPr>
          <w:noProof/>
          <w:lang w:val="de-DE" w:eastAsia="ja-JP"/>
        </w:rPr>
        <w:t>Das folgende Programm wurde für die sechste Sitzung der WG-DEN vereinbart:</w:t>
      </w:r>
    </w:p>
    <w:p w14:paraId="46E25FAF" w14:textId="77777777" w:rsidR="0006356C" w:rsidRPr="00D75F42" w:rsidRDefault="0006356C" w:rsidP="0006356C">
      <w:pPr>
        <w:keepNext/>
        <w:ind w:left="540"/>
        <w:rPr>
          <w:noProof/>
          <w:color w:val="000000" w:themeColor="text1"/>
          <w:lang w:val="de-DE" w:eastAsia="ja-JP"/>
        </w:rPr>
      </w:pPr>
    </w:p>
    <w:p w14:paraId="757D94B0" w14:textId="77777777" w:rsidR="0006356C" w:rsidRPr="00D75F42" w:rsidRDefault="00100E65" w:rsidP="0006356C">
      <w:pPr>
        <w:keepNext/>
        <w:numPr>
          <w:ilvl w:val="0"/>
          <w:numId w:val="1"/>
        </w:numPr>
        <w:autoSpaceDE w:val="0"/>
        <w:autoSpaceDN w:val="0"/>
        <w:adjustRightInd w:val="0"/>
        <w:ind w:left="1134" w:hanging="594"/>
        <w:jc w:val="left"/>
        <w:rPr>
          <w:rFonts w:eastAsiaTheme="minorEastAsia"/>
          <w:noProof/>
          <w:szCs w:val="24"/>
          <w:lang w:val="de-DE"/>
        </w:rPr>
      </w:pPr>
      <w:r w:rsidRPr="00D75F42">
        <w:rPr>
          <w:rFonts w:eastAsiaTheme="minorEastAsia"/>
          <w:noProof/>
          <w:szCs w:val="24"/>
          <w:lang w:val="de-DE"/>
        </w:rPr>
        <w:t>Eröffnung der Sitzun</w:t>
      </w:r>
      <w:r w:rsidR="0006356C" w:rsidRPr="00D75F42">
        <w:rPr>
          <w:rFonts w:eastAsiaTheme="minorEastAsia"/>
          <w:noProof/>
          <w:szCs w:val="24"/>
          <w:lang w:val="de-DE"/>
        </w:rPr>
        <w:t>g</w:t>
      </w:r>
    </w:p>
    <w:p w14:paraId="6DBE1527" w14:textId="77777777" w:rsidR="0006356C" w:rsidRPr="00D75F42" w:rsidRDefault="0006356C" w:rsidP="0006356C">
      <w:pPr>
        <w:keepNext/>
        <w:autoSpaceDE w:val="0"/>
        <w:autoSpaceDN w:val="0"/>
        <w:adjustRightInd w:val="0"/>
        <w:ind w:left="1134" w:hanging="594"/>
        <w:jc w:val="left"/>
        <w:rPr>
          <w:rFonts w:eastAsiaTheme="minorEastAsia"/>
          <w:noProof/>
          <w:szCs w:val="24"/>
          <w:lang w:val="de-DE"/>
        </w:rPr>
      </w:pPr>
    </w:p>
    <w:p w14:paraId="303E64B1" w14:textId="77777777" w:rsidR="0006356C" w:rsidRPr="007A7C26" w:rsidRDefault="00100E65" w:rsidP="0006356C">
      <w:pPr>
        <w:keepNext/>
        <w:numPr>
          <w:ilvl w:val="0"/>
          <w:numId w:val="1"/>
        </w:numPr>
        <w:autoSpaceDE w:val="0"/>
        <w:autoSpaceDN w:val="0"/>
        <w:adjustRightInd w:val="0"/>
        <w:ind w:left="1134" w:hanging="594"/>
        <w:jc w:val="left"/>
        <w:rPr>
          <w:rFonts w:eastAsiaTheme="minorEastAsia"/>
          <w:noProof/>
          <w:szCs w:val="24"/>
          <w:lang w:val="de-DE"/>
        </w:rPr>
      </w:pPr>
      <w:r w:rsidRPr="00100E65">
        <w:rPr>
          <w:rFonts w:eastAsiaTheme="minorEastAsia"/>
          <w:noProof/>
          <w:szCs w:val="24"/>
          <w:lang w:val="de-DE"/>
        </w:rPr>
        <w:t>Annahme der Tagesordnung</w:t>
      </w:r>
    </w:p>
    <w:p w14:paraId="64A9A6F3" w14:textId="77777777" w:rsidR="0006356C" w:rsidRPr="007A7C26" w:rsidRDefault="0006356C" w:rsidP="0006356C">
      <w:pPr>
        <w:keepNext/>
        <w:autoSpaceDE w:val="0"/>
        <w:autoSpaceDN w:val="0"/>
        <w:adjustRightInd w:val="0"/>
        <w:ind w:left="1134" w:hanging="594"/>
        <w:jc w:val="left"/>
        <w:rPr>
          <w:rFonts w:eastAsiaTheme="minorEastAsia"/>
          <w:noProof/>
          <w:szCs w:val="24"/>
          <w:lang w:val="de-DE"/>
        </w:rPr>
      </w:pPr>
    </w:p>
    <w:p w14:paraId="5B76B183" w14:textId="2D117B58" w:rsidR="0006356C" w:rsidRPr="007A7C26" w:rsidRDefault="00100E65" w:rsidP="0006356C">
      <w:pPr>
        <w:keepNext/>
        <w:numPr>
          <w:ilvl w:val="0"/>
          <w:numId w:val="1"/>
        </w:numPr>
        <w:autoSpaceDE w:val="0"/>
        <w:autoSpaceDN w:val="0"/>
        <w:adjustRightInd w:val="0"/>
        <w:ind w:left="1134" w:hanging="594"/>
        <w:rPr>
          <w:rFonts w:eastAsiaTheme="minorEastAsia"/>
          <w:noProof/>
          <w:szCs w:val="24"/>
          <w:lang w:val="de-DE" w:eastAsia="ja-JP"/>
        </w:rPr>
      </w:pPr>
      <w:r w:rsidRPr="00100E65">
        <w:rPr>
          <w:rFonts w:eastAsiaTheme="minorEastAsia"/>
          <w:noProof/>
          <w:szCs w:val="24"/>
          <w:lang w:val="de-DE" w:eastAsia="ja-JP"/>
        </w:rPr>
        <w:t>Überarbeitung des Dokuments UPOV/INF/12/5 „Erläuterungen zu Sortenbezeichnungen nach dem UPOV Übereinkommen“</w:t>
      </w:r>
    </w:p>
    <w:p w14:paraId="7384C461" w14:textId="77777777" w:rsidR="0014256C" w:rsidRPr="007A7C26" w:rsidRDefault="0014256C" w:rsidP="0014256C">
      <w:pPr>
        <w:keepNext/>
        <w:autoSpaceDE w:val="0"/>
        <w:autoSpaceDN w:val="0"/>
        <w:adjustRightInd w:val="0"/>
        <w:ind w:left="1134" w:hanging="594"/>
        <w:jc w:val="left"/>
        <w:rPr>
          <w:rFonts w:eastAsiaTheme="minorEastAsia"/>
          <w:noProof/>
          <w:szCs w:val="24"/>
          <w:lang w:val="de-DE" w:eastAsia="ja-JP"/>
        </w:rPr>
      </w:pPr>
    </w:p>
    <w:p w14:paraId="476EBC9E" w14:textId="77777777" w:rsidR="0014256C" w:rsidRPr="007A7C26" w:rsidRDefault="00BA13CA" w:rsidP="0014256C">
      <w:pPr>
        <w:keepNext/>
        <w:numPr>
          <w:ilvl w:val="0"/>
          <w:numId w:val="1"/>
        </w:numPr>
        <w:autoSpaceDE w:val="0"/>
        <w:autoSpaceDN w:val="0"/>
        <w:adjustRightInd w:val="0"/>
        <w:ind w:left="1170" w:hanging="630"/>
        <w:jc w:val="left"/>
        <w:rPr>
          <w:rFonts w:eastAsiaTheme="minorEastAsia"/>
          <w:noProof/>
          <w:szCs w:val="24"/>
          <w:lang w:val="de-DE"/>
        </w:rPr>
      </w:pPr>
      <w:r w:rsidRPr="00BA13CA">
        <w:rPr>
          <w:rFonts w:eastAsiaTheme="minorEastAsia"/>
          <w:noProof/>
          <w:szCs w:val="24"/>
          <w:lang w:val="de-DE" w:eastAsia="ja-JP"/>
        </w:rPr>
        <w:t>UPOV-Suchinstrument für Ähnlichkeiten</w:t>
      </w:r>
    </w:p>
    <w:p w14:paraId="7E46CB24" w14:textId="77777777" w:rsidR="0014256C" w:rsidRPr="007A7C26" w:rsidRDefault="0014256C" w:rsidP="0014256C">
      <w:pPr>
        <w:keepNext/>
        <w:autoSpaceDE w:val="0"/>
        <w:autoSpaceDN w:val="0"/>
        <w:adjustRightInd w:val="0"/>
        <w:jc w:val="left"/>
        <w:rPr>
          <w:noProof/>
          <w:szCs w:val="24"/>
          <w:lang w:val="de-DE" w:eastAsia="ja-JP"/>
        </w:rPr>
      </w:pPr>
    </w:p>
    <w:p w14:paraId="7CEC2ACC" w14:textId="77777777" w:rsidR="0014256C" w:rsidRPr="007A7C26" w:rsidRDefault="00BA13CA" w:rsidP="0014256C">
      <w:pPr>
        <w:keepNext/>
        <w:numPr>
          <w:ilvl w:val="0"/>
          <w:numId w:val="1"/>
        </w:numPr>
        <w:autoSpaceDE w:val="0"/>
        <w:autoSpaceDN w:val="0"/>
        <w:adjustRightInd w:val="0"/>
        <w:ind w:left="1170" w:hanging="630"/>
        <w:jc w:val="left"/>
        <w:rPr>
          <w:rFonts w:eastAsiaTheme="minorEastAsia"/>
          <w:noProof/>
          <w:szCs w:val="24"/>
          <w:lang w:val="de-DE"/>
        </w:rPr>
      </w:pPr>
      <w:r w:rsidRPr="00BA13CA">
        <w:rPr>
          <w:rFonts w:eastAsiaTheme="minorEastAsia"/>
          <w:noProof/>
          <w:szCs w:val="24"/>
          <w:lang w:val="de-DE"/>
        </w:rPr>
        <w:t>Erweiterung des Inhalts der PLUTO-Datenbank</w:t>
      </w:r>
    </w:p>
    <w:p w14:paraId="0B32C4BB" w14:textId="77777777" w:rsidR="0006356C" w:rsidRPr="007A7C26" w:rsidRDefault="0006356C" w:rsidP="0006356C">
      <w:pPr>
        <w:autoSpaceDE w:val="0"/>
        <w:autoSpaceDN w:val="0"/>
        <w:adjustRightInd w:val="0"/>
        <w:ind w:left="1134" w:hanging="594"/>
        <w:jc w:val="left"/>
        <w:rPr>
          <w:rFonts w:eastAsiaTheme="minorEastAsia"/>
          <w:noProof/>
          <w:szCs w:val="24"/>
          <w:lang w:val="de-DE" w:eastAsia="ja-JP"/>
        </w:rPr>
      </w:pPr>
    </w:p>
    <w:p w14:paraId="423F20E1" w14:textId="1738A07C" w:rsidR="0006356C" w:rsidRPr="0095734A" w:rsidRDefault="00BA13CA" w:rsidP="0006356C">
      <w:pPr>
        <w:numPr>
          <w:ilvl w:val="0"/>
          <w:numId w:val="1"/>
        </w:numPr>
        <w:autoSpaceDE w:val="0"/>
        <w:autoSpaceDN w:val="0"/>
        <w:adjustRightInd w:val="0"/>
        <w:ind w:left="1134" w:hanging="594"/>
        <w:jc w:val="left"/>
        <w:rPr>
          <w:noProof/>
          <w:lang w:val="de-DE"/>
        </w:rPr>
      </w:pPr>
      <w:r w:rsidRPr="0095734A">
        <w:rPr>
          <w:rFonts w:eastAsiaTheme="minorEastAsia"/>
          <w:noProof/>
          <w:lang w:val="de-DE"/>
        </w:rPr>
        <w:t>Datum, Ort und Programm der nächsten Sitzun</w:t>
      </w:r>
      <w:r w:rsidR="0006356C" w:rsidRPr="0095734A">
        <w:rPr>
          <w:rFonts w:eastAsiaTheme="minorEastAsia"/>
          <w:noProof/>
          <w:lang w:val="de-DE"/>
        </w:rPr>
        <w:t>g</w:t>
      </w:r>
    </w:p>
    <w:p w14:paraId="0ADD2777" w14:textId="7CBABC68" w:rsidR="0006356C" w:rsidRDefault="0006356C" w:rsidP="0006356C">
      <w:pPr>
        <w:rPr>
          <w:noProof/>
          <w:lang w:val="de-DE"/>
        </w:rPr>
      </w:pPr>
    </w:p>
    <w:p w14:paraId="22DAED73" w14:textId="44325EF6" w:rsidR="0007574A" w:rsidRDefault="0007574A" w:rsidP="0006356C">
      <w:pPr>
        <w:rPr>
          <w:noProof/>
          <w:lang w:val="de-DE"/>
        </w:rPr>
      </w:pPr>
    </w:p>
    <w:p w14:paraId="5B71EAD8" w14:textId="77777777" w:rsidR="0007574A" w:rsidRPr="007A7C26" w:rsidRDefault="0007574A" w:rsidP="0006356C">
      <w:pPr>
        <w:rPr>
          <w:noProof/>
          <w:lang w:val="de-DE"/>
        </w:rPr>
      </w:pPr>
    </w:p>
    <w:p w14:paraId="613FBDE5" w14:textId="77777777" w:rsidR="00050E16" w:rsidRPr="007A7C26" w:rsidRDefault="0006356C" w:rsidP="003C0FDD">
      <w:pPr>
        <w:jc w:val="right"/>
        <w:rPr>
          <w:noProof/>
          <w:lang w:val="de-DE"/>
        </w:rPr>
      </w:pPr>
      <w:r w:rsidRPr="007A7C26">
        <w:rPr>
          <w:noProof/>
          <w:lang w:val="de-DE"/>
        </w:rPr>
        <w:t xml:space="preserve"> [</w:t>
      </w:r>
      <w:r w:rsidR="00FF6574" w:rsidRPr="007A7C26">
        <w:rPr>
          <w:noProof/>
          <w:lang w:val="de-DE"/>
        </w:rPr>
        <w:t>Ende des Dokuments</w:t>
      </w:r>
      <w:r w:rsidRPr="007A7C26">
        <w:rPr>
          <w:noProof/>
          <w:lang w:val="de-DE"/>
        </w:rPr>
        <w:t>]</w:t>
      </w:r>
    </w:p>
    <w:sectPr w:rsidR="00050E16" w:rsidRPr="007A7C26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19B51" w14:textId="77777777" w:rsidR="003C6C7A" w:rsidRDefault="003C6C7A" w:rsidP="006655D3">
      <w:r>
        <w:separator/>
      </w:r>
    </w:p>
    <w:p w14:paraId="06B023F5" w14:textId="77777777" w:rsidR="003C6C7A" w:rsidRDefault="003C6C7A" w:rsidP="006655D3"/>
    <w:p w14:paraId="2E6023F4" w14:textId="77777777" w:rsidR="003C6C7A" w:rsidRDefault="003C6C7A" w:rsidP="006655D3"/>
  </w:endnote>
  <w:endnote w:type="continuationSeparator" w:id="0">
    <w:p w14:paraId="50DF4BD7" w14:textId="77777777" w:rsidR="003C6C7A" w:rsidRDefault="003C6C7A" w:rsidP="006655D3">
      <w:r>
        <w:separator/>
      </w:r>
    </w:p>
    <w:p w14:paraId="216D51B2" w14:textId="77777777" w:rsidR="003C6C7A" w:rsidRPr="00294751" w:rsidRDefault="003C6C7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79E3E44A" w14:textId="77777777" w:rsidR="003C6C7A" w:rsidRPr="00294751" w:rsidRDefault="003C6C7A" w:rsidP="006655D3">
      <w:pPr>
        <w:rPr>
          <w:lang w:val="fr-FR"/>
        </w:rPr>
      </w:pPr>
    </w:p>
    <w:p w14:paraId="36B9E7CA" w14:textId="77777777" w:rsidR="003C6C7A" w:rsidRPr="00294751" w:rsidRDefault="003C6C7A" w:rsidP="006655D3">
      <w:pPr>
        <w:rPr>
          <w:lang w:val="fr-FR"/>
        </w:rPr>
      </w:pPr>
    </w:p>
  </w:endnote>
  <w:endnote w:type="continuationNotice" w:id="1">
    <w:p w14:paraId="6FB00BD4" w14:textId="77777777" w:rsidR="003C6C7A" w:rsidRPr="00294751" w:rsidRDefault="003C6C7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4FC2A400" w14:textId="77777777" w:rsidR="003C6C7A" w:rsidRPr="00294751" w:rsidRDefault="003C6C7A" w:rsidP="006655D3">
      <w:pPr>
        <w:rPr>
          <w:lang w:val="fr-FR"/>
        </w:rPr>
      </w:pPr>
    </w:p>
    <w:p w14:paraId="791A61B3" w14:textId="77777777" w:rsidR="003C6C7A" w:rsidRPr="00294751" w:rsidRDefault="003C6C7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9300A" w14:textId="77777777" w:rsidR="003C6C7A" w:rsidRDefault="003C6C7A" w:rsidP="006655D3">
      <w:r>
        <w:separator/>
      </w:r>
    </w:p>
  </w:footnote>
  <w:footnote w:type="continuationSeparator" w:id="0">
    <w:p w14:paraId="3210DEC4" w14:textId="77777777" w:rsidR="003C6C7A" w:rsidRDefault="003C6C7A" w:rsidP="006655D3">
      <w:r>
        <w:separator/>
      </w:r>
    </w:p>
  </w:footnote>
  <w:footnote w:type="continuationNotice" w:id="1">
    <w:p w14:paraId="20255B85" w14:textId="77777777" w:rsidR="003C6C7A" w:rsidRPr="00AB530F" w:rsidRDefault="003C6C7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10210" w14:textId="77777777" w:rsidR="00182B99" w:rsidRPr="00C5280D" w:rsidRDefault="006D743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</w:t>
    </w:r>
    <w:r w:rsidR="008C68C0">
      <w:rPr>
        <w:rStyle w:val="PageNumber"/>
        <w:lang w:val="en-US"/>
      </w:rPr>
      <w:t>55/INF/7</w:t>
    </w:r>
  </w:p>
  <w:p w14:paraId="5678D396" w14:textId="72F9424B" w:rsidR="00182B99" w:rsidRPr="00C5280D" w:rsidRDefault="003B68B1" w:rsidP="00EB048E">
    <w:pPr>
      <w:pStyle w:val="Header"/>
      <w:rPr>
        <w:lang w:val="en-US"/>
      </w:rPr>
    </w:pPr>
    <w:proofErr w:type="spellStart"/>
    <w:r>
      <w:rPr>
        <w:lang w:val="en-US"/>
      </w:rPr>
      <w:t>Seite</w:t>
    </w:r>
    <w:proofErr w:type="spellEnd"/>
    <w:r w:rsidR="00182B99" w:rsidRPr="00C5280D">
      <w:rPr>
        <w:lang w:val="en-US"/>
      </w:rPr>
      <w:t xml:space="preserve"> </w:t>
    </w:r>
    <w:r w:rsidR="00182B99" w:rsidRPr="00C5280D">
      <w:rPr>
        <w:rStyle w:val="PageNumber"/>
        <w:lang w:val="en-US"/>
      </w:rPr>
      <w:fldChar w:fldCharType="begin"/>
    </w:r>
    <w:r w:rsidR="00182B99" w:rsidRPr="00C5280D">
      <w:rPr>
        <w:rStyle w:val="PageNumber"/>
        <w:lang w:val="en-US"/>
      </w:rPr>
      <w:instrText xml:space="preserve"> PAGE </w:instrText>
    </w:r>
    <w:r w:rsidR="00182B99" w:rsidRPr="00C5280D">
      <w:rPr>
        <w:rStyle w:val="PageNumber"/>
        <w:lang w:val="en-US"/>
      </w:rPr>
      <w:fldChar w:fldCharType="separate"/>
    </w:r>
    <w:r w:rsidR="00784177">
      <w:rPr>
        <w:rStyle w:val="PageNumber"/>
        <w:noProof/>
        <w:lang w:val="en-US"/>
      </w:rPr>
      <w:t>4</w:t>
    </w:r>
    <w:r w:rsidR="00182B99" w:rsidRPr="00C5280D">
      <w:rPr>
        <w:rStyle w:val="PageNumber"/>
        <w:lang w:val="en-US"/>
      </w:rPr>
      <w:fldChar w:fldCharType="end"/>
    </w:r>
  </w:p>
  <w:p w14:paraId="745A0F09" w14:textId="77777777"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C1293"/>
    <w:multiLevelType w:val="hybridMultilevel"/>
    <w:tmpl w:val="CB5639DE"/>
    <w:lvl w:ilvl="0" w:tplc="3A2C1B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2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C82"/>
    <w:rsid w:val="00050E16"/>
    <w:rsid w:val="0006356C"/>
    <w:rsid w:val="0007574A"/>
    <w:rsid w:val="00085505"/>
    <w:rsid w:val="000C4E25"/>
    <w:rsid w:val="000C7021"/>
    <w:rsid w:val="000D6BBC"/>
    <w:rsid w:val="000D7780"/>
    <w:rsid w:val="000E636A"/>
    <w:rsid w:val="000E7240"/>
    <w:rsid w:val="000F2F11"/>
    <w:rsid w:val="00100344"/>
    <w:rsid w:val="00100E65"/>
    <w:rsid w:val="00105929"/>
    <w:rsid w:val="00110C36"/>
    <w:rsid w:val="001131D5"/>
    <w:rsid w:val="00141DB8"/>
    <w:rsid w:val="0014256C"/>
    <w:rsid w:val="00164B5E"/>
    <w:rsid w:val="00170557"/>
    <w:rsid w:val="00172084"/>
    <w:rsid w:val="001720AA"/>
    <w:rsid w:val="0017474A"/>
    <w:rsid w:val="001758C6"/>
    <w:rsid w:val="00182B99"/>
    <w:rsid w:val="001A473A"/>
    <w:rsid w:val="001A712E"/>
    <w:rsid w:val="001D36AC"/>
    <w:rsid w:val="0021332C"/>
    <w:rsid w:val="00213982"/>
    <w:rsid w:val="00234555"/>
    <w:rsid w:val="002427F8"/>
    <w:rsid w:val="0024416D"/>
    <w:rsid w:val="00271911"/>
    <w:rsid w:val="002800A0"/>
    <w:rsid w:val="002801B3"/>
    <w:rsid w:val="00281060"/>
    <w:rsid w:val="002940E8"/>
    <w:rsid w:val="00294751"/>
    <w:rsid w:val="002A6E50"/>
    <w:rsid w:val="002B2679"/>
    <w:rsid w:val="002B4298"/>
    <w:rsid w:val="002C256A"/>
    <w:rsid w:val="00304827"/>
    <w:rsid w:val="00305A7F"/>
    <w:rsid w:val="003152FE"/>
    <w:rsid w:val="003162EE"/>
    <w:rsid w:val="00323352"/>
    <w:rsid w:val="00327436"/>
    <w:rsid w:val="00344BD6"/>
    <w:rsid w:val="00351715"/>
    <w:rsid w:val="0035528D"/>
    <w:rsid w:val="00361821"/>
    <w:rsid w:val="00361E9E"/>
    <w:rsid w:val="00382007"/>
    <w:rsid w:val="003874FF"/>
    <w:rsid w:val="003A1132"/>
    <w:rsid w:val="003A49BC"/>
    <w:rsid w:val="003A53D8"/>
    <w:rsid w:val="003B68B1"/>
    <w:rsid w:val="003C0FDD"/>
    <w:rsid w:val="003C6C7A"/>
    <w:rsid w:val="003C7788"/>
    <w:rsid w:val="003C7FBE"/>
    <w:rsid w:val="003D227C"/>
    <w:rsid w:val="003D2B4D"/>
    <w:rsid w:val="003E1AE0"/>
    <w:rsid w:val="003E646B"/>
    <w:rsid w:val="00403639"/>
    <w:rsid w:val="0042279C"/>
    <w:rsid w:val="00444A88"/>
    <w:rsid w:val="00465356"/>
    <w:rsid w:val="00474DA4"/>
    <w:rsid w:val="00476B4D"/>
    <w:rsid w:val="004805FA"/>
    <w:rsid w:val="004935D2"/>
    <w:rsid w:val="004B1215"/>
    <w:rsid w:val="004D047D"/>
    <w:rsid w:val="004D541A"/>
    <w:rsid w:val="004E1312"/>
    <w:rsid w:val="004F1E9E"/>
    <w:rsid w:val="004F305A"/>
    <w:rsid w:val="004F7F53"/>
    <w:rsid w:val="00512164"/>
    <w:rsid w:val="00520297"/>
    <w:rsid w:val="0053122E"/>
    <w:rsid w:val="005338F9"/>
    <w:rsid w:val="00536FFD"/>
    <w:rsid w:val="0054281C"/>
    <w:rsid w:val="00544581"/>
    <w:rsid w:val="0055268D"/>
    <w:rsid w:val="00576BE4"/>
    <w:rsid w:val="005A19FB"/>
    <w:rsid w:val="005A400A"/>
    <w:rsid w:val="005B46E9"/>
    <w:rsid w:val="005F333E"/>
    <w:rsid w:val="005F7B92"/>
    <w:rsid w:val="00612379"/>
    <w:rsid w:val="006153B6"/>
    <w:rsid w:val="0061555F"/>
    <w:rsid w:val="00617292"/>
    <w:rsid w:val="00636CA6"/>
    <w:rsid w:val="00641200"/>
    <w:rsid w:val="00645CA8"/>
    <w:rsid w:val="006514CA"/>
    <w:rsid w:val="006655D3"/>
    <w:rsid w:val="00667404"/>
    <w:rsid w:val="00687EB4"/>
    <w:rsid w:val="00695C56"/>
    <w:rsid w:val="006A5CDE"/>
    <w:rsid w:val="006A644A"/>
    <w:rsid w:val="006B17D2"/>
    <w:rsid w:val="006B74FD"/>
    <w:rsid w:val="006C224E"/>
    <w:rsid w:val="006D7435"/>
    <w:rsid w:val="006D780A"/>
    <w:rsid w:val="00704996"/>
    <w:rsid w:val="0071271E"/>
    <w:rsid w:val="00732DEC"/>
    <w:rsid w:val="00735BD5"/>
    <w:rsid w:val="00751613"/>
    <w:rsid w:val="00753C19"/>
    <w:rsid w:val="007556F6"/>
    <w:rsid w:val="00760EEF"/>
    <w:rsid w:val="00772420"/>
    <w:rsid w:val="00777EE5"/>
    <w:rsid w:val="00784177"/>
    <w:rsid w:val="00784836"/>
    <w:rsid w:val="00785618"/>
    <w:rsid w:val="0079023E"/>
    <w:rsid w:val="007A2854"/>
    <w:rsid w:val="007A65B3"/>
    <w:rsid w:val="007A7C26"/>
    <w:rsid w:val="007B14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71F4F"/>
    <w:rsid w:val="00885AB3"/>
    <w:rsid w:val="00886637"/>
    <w:rsid w:val="00890DF8"/>
    <w:rsid w:val="008A31C9"/>
    <w:rsid w:val="008A4562"/>
    <w:rsid w:val="008A743F"/>
    <w:rsid w:val="008B6E60"/>
    <w:rsid w:val="008C0970"/>
    <w:rsid w:val="008C68C0"/>
    <w:rsid w:val="008D0BC5"/>
    <w:rsid w:val="008D1A3E"/>
    <w:rsid w:val="008D2CF7"/>
    <w:rsid w:val="008D7E86"/>
    <w:rsid w:val="00900C26"/>
    <w:rsid w:val="00900C6F"/>
    <w:rsid w:val="0090197F"/>
    <w:rsid w:val="00906DDC"/>
    <w:rsid w:val="00934E09"/>
    <w:rsid w:val="00936253"/>
    <w:rsid w:val="00940364"/>
    <w:rsid w:val="00940D46"/>
    <w:rsid w:val="009463A9"/>
    <w:rsid w:val="00952DD4"/>
    <w:rsid w:val="0095734A"/>
    <w:rsid w:val="00965AE7"/>
    <w:rsid w:val="00970FED"/>
    <w:rsid w:val="00972CC5"/>
    <w:rsid w:val="009734F3"/>
    <w:rsid w:val="00975DEB"/>
    <w:rsid w:val="00983ED6"/>
    <w:rsid w:val="00984C34"/>
    <w:rsid w:val="00992D82"/>
    <w:rsid w:val="00997029"/>
    <w:rsid w:val="009A63D8"/>
    <w:rsid w:val="009A7339"/>
    <w:rsid w:val="009B440E"/>
    <w:rsid w:val="009D690D"/>
    <w:rsid w:val="009E65B6"/>
    <w:rsid w:val="00A04A26"/>
    <w:rsid w:val="00A0642E"/>
    <w:rsid w:val="00A06D44"/>
    <w:rsid w:val="00A24C10"/>
    <w:rsid w:val="00A37C2B"/>
    <w:rsid w:val="00A42AC3"/>
    <w:rsid w:val="00A430CF"/>
    <w:rsid w:val="00A43439"/>
    <w:rsid w:val="00A54309"/>
    <w:rsid w:val="00A85D1F"/>
    <w:rsid w:val="00AB2B93"/>
    <w:rsid w:val="00AB530F"/>
    <w:rsid w:val="00AB7E5B"/>
    <w:rsid w:val="00AC2883"/>
    <w:rsid w:val="00AE0EF1"/>
    <w:rsid w:val="00AE2937"/>
    <w:rsid w:val="00AF2E14"/>
    <w:rsid w:val="00B07301"/>
    <w:rsid w:val="00B11F3E"/>
    <w:rsid w:val="00B224DE"/>
    <w:rsid w:val="00B324D4"/>
    <w:rsid w:val="00B46575"/>
    <w:rsid w:val="00B53B9A"/>
    <w:rsid w:val="00B61777"/>
    <w:rsid w:val="00B70703"/>
    <w:rsid w:val="00B84BBD"/>
    <w:rsid w:val="00BA13CA"/>
    <w:rsid w:val="00BA43FB"/>
    <w:rsid w:val="00BC127D"/>
    <w:rsid w:val="00BC1FE6"/>
    <w:rsid w:val="00BC3299"/>
    <w:rsid w:val="00BD418A"/>
    <w:rsid w:val="00BE17F7"/>
    <w:rsid w:val="00C061B6"/>
    <w:rsid w:val="00C11CC3"/>
    <w:rsid w:val="00C2446C"/>
    <w:rsid w:val="00C34B6F"/>
    <w:rsid w:val="00C36AE5"/>
    <w:rsid w:val="00C40521"/>
    <w:rsid w:val="00C41F17"/>
    <w:rsid w:val="00C527FA"/>
    <w:rsid w:val="00C5280D"/>
    <w:rsid w:val="00C53EB3"/>
    <w:rsid w:val="00C5791C"/>
    <w:rsid w:val="00C61DC8"/>
    <w:rsid w:val="00C621D8"/>
    <w:rsid w:val="00C66290"/>
    <w:rsid w:val="00C72B7A"/>
    <w:rsid w:val="00C740CE"/>
    <w:rsid w:val="00C7505D"/>
    <w:rsid w:val="00C973F2"/>
    <w:rsid w:val="00CA304C"/>
    <w:rsid w:val="00CA774A"/>
    <w:rsid w:val="00CC11B0"/>
    <w:rsid w:val="00CC2841"/>
    <w:rsid w:val="00CF1330"/>
    <w:rsid w:val="00CF7E36"/>
    <w:rsid w:val="00D242DC"/>
    <w:rsid w:val="00D326F9"/>
    <w:rsid w:val="00D3708D"/>
    <w:rsid w:val="00D40426"/>
    <w:rsid w:val="00D46E83"/>
    <w:rsid w:val="00D51996"/>
    <w:rsid w:val="00D57C96"/>
    <w:rsid w:val="00D57D18"/>
    <w:rsid w:val="00D7193B"/>
    <w:rsid w:val="00D75F42"/>
    <w:rsid w:val="00D85306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109F"/>
    <w:rsid w:val="00E273C7"/>
    <w:rsid w:val="00E32F7E"/>
    <w:rsid w:val="00E341FC"/>
    <w:rsid w:val="00E50CFC"/>
    <w:rsid w:val="00E5267B"/>
    <w:rsid w:val="00E639C5"/>
    <w:rsid w:val="00E63C0E"/>
    <w:rsid w:val="00E72D49"/>
    <w:rsid w:val="00E7593C"/>
    <w:rsid w:val="00E7678A"/>
    <w:rsid w:val="00E935F1"/>
    <w:rsid w:val="00E948A7"/>
    <w:rsid w:val="00E94A81"/>
    <w:rsid w:val="00EA1F65"/>
    <w:rsid w:val="00EA1FFB"/>
    <w:rsid w:val="00EB048E"/>
    <w:rsid w:val="00EB4E9C"/>
    <w:rsid w:val="00ED6BB2"/>
    <w:rsid w:val="00EE34DF"/>
    <w:rsid w:val="00EE49AD"/>
    <w:rsid w:val="00EF2F89"/>
    <w:rsid w:val="00F03E98"/>
    <w:rsid w:val="00F04FF3"/>
    <w:rsid w:val="00F1237A"/>
    <w:rsid w:val="00F22CBD"/>
    <w:rsid w:val="00F272F1"/>
    <w:rsid w:val="00F30E30"/>
    <w:rsid w:val="00F45372"/>
    <w:rsid w:val="00F560F7"/>
    <w:rsid w:val="00F60347"/>
    <w:rsid w:val="00F6334D"/>
    <w:rsid w:val="00F76BED"/>
    <w:rsid w:val="00F80ED1"/>
    <w:rsid w:val="00FA49AB"/>
    <w:rsid w:val="00FB6BDA"/>
    <w:rsid w:val="00FD3D7F"/>
    <w:rsid w:val="00FE39C7"/>
    <w:rsid w:val="00FF31F4"/>
    <w:rsid w:val="00FF4D07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C8D5E08"/>
  <w15:docId w15:val="{B603EDB1-AA95-436E-A322-32C15F7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46E83"/>
    <w:pPr>
      <w:keepNext/>
      <w:jc w:val="both"/>
      <w:outlineLvl w:val="0"/>
    </w:pPr>
    <w:rPr>
      <w:rFonts w:ascii="Arial" w:eastAsiaTheme="minorEastAsia" w:hAnsi="Arial"/>
      <w:caps/>
      <w:noProof/>
      <w:lang w:val="de-DE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rsid w:val="00AF2E14"/>
    <w:pPr>
      <w:tabs>
        <w:tab w:val="right" w:leader="dot" w:pos="9639"/>
      </w:tabs>
      <w:ind w:left="568" w:right="851" w:hanging="284"/>
      <w:contextualSpacing/>
    </w:pPr>
    <w:rPr>
      <w:sz w:val="18"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AF2E14"/>
    <w:pPr>
      <w:tabs>
        <w:tab w:val="right" w:leader="dot" w:pos="9639"/>
      </w:tabs>
      <w:spacing w:before="60"/>
      <w:ind w:right="1418"/>
      <w:contextualSpacing/>
      <w:jc w:val="center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A0642E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  <w:lang w:eastAsia="de-D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64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7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5\templates\TC_5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TC_55_EN.dotx</Template>
  <TotalTime>0</TotalTime>
  <Pages>4</Pages>
  <Words>1235</Words>
  <Characters>9021</Characters>
  <Application>Microsoft Office Word</Application>
  <DocSecurity>0</DocSecurity>
  <Lines>75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TC/55/INF/7</vt:lpstr>
      <vt:lpstr>TC/55/INF/7</vt:lpstr>
    </vt:vector>
  </TitlesOfParts>
  <Company>UPOV</Company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TC/55/INF/7</dc:title>
  <dc:creator>SANCHEZ VIZCAINO GOMEZ Rosa Maria</dc:creator>
  <cp:lastModifiedBy>SANTOS Carla Marina</cp:lastModifiedBy>
  <cp:revision>10</cp:revision>
  <cp:lastPrinted>2016-11-22T15:41:00Z</cp:lastPrinted>
  <dcterms:created xsi:type="dcterms:W3CDTF">2019-09-03T10:22:00Z</dcterms:created>
  <dcterms:modified xsi:type="dcterms:W3CDTF">2019-09-06T17:48:00Z</dcterms:modified>
</cp:coreProperties>
</file>