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7B42A9" w:rsidP="00AC2883">
            <w:pPr>
              <w:pStyle w:val="Lettrine"/>
            </w:pPr>
            <w:r>
              <w:t>G</w:t>
            </w:r>
          </w:p>
        </w:tc>
      </w:tr>
      <w:tr w:rsidR="00DC3802" w:rsidRPr="00413A59" w:rsidTr="00645CA8">
        <w:trPr>
          <w:trHeight w:val="219"/>
        </w:trPr>
        <w:tc>
          <w:tcPr>
            <w:tcW w:w="6522" w:type="dxa"/>
          </w:tcPr>
          <w:p w:rsidR="00DC3802" w:rsidRPr="001845F6" w:rsidRDefault="00F229D4" w:rsidP="00AC2883">
            <w:pPr>
              <w:pStyle w:val="upove"/>
              <w:rPr>
                <w:lang w:val="de-DE"/>
              </w:rPr>
            </w:pPr>
            <w:r>
              <w:rPr>
                <w:lang w:val="de-DE"/>
              </w:rPr>
              <w:t>Internationaler Verband zum Schutz von Pflanzenzüchtungen</w:t>
            </w:r>
          </w:p>
        </w:tc>
        <w:tc>
          <w:tcPr>
            <w:tcW w:w="3117" w:type="dxa"/>
          </w:tcPr>
          <w:p w:rsidR="00DC3802" w:rsidRPr="001845F6" w:rsidRDefault="00DC3802" w:rsidP="00DA4973">
            <w:pPr>
              <w:rPr>
                <w:lang w:val="de-DE"/>
              </w:rPr>
            </w:pPr>
          </w:p>
        </w:tc>
      </w:tr>
    </w:tbl>
    <w:p w:rsidR="00DC3802" w:rsidRPr="001845F6" w:rsidRDefault="00DC3802" w:rsidP="00DC3802">
      <w:pPr>
        <w:rPr>
          <w:lang w:val="de-DE"/>
        </w:rPr>
      </w:pPr>
    </w:p>
    <w:p w:rsidR="00DA4973" w:rsidRPr="001845F6"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7B42A9" w:rsidRPr="001845F6" w:rsidRDefault="007B42A9" w:rsidP="007B42A9">
            <w:pPr>
              <w:pStyle w:val="Sessiontc"/>
              <w:rPr>
                <w:lang w:val="de-DE" w:bidi="de-DE"/>
              </w:rPr>
            </w:pPr>
            <w:r w:rsidRPr="001845F6">
              <w:rPr>
                <w:lang w:val="de-DE" w:bidi="de-DE"/>
              </w:rPr>
              <w:t>Technischer Ausschuss</w:t>
            </w:r>
          </w:p>
          <w:p w:rsidR="00EB4E9C" w:rsidRPr="00DC3802" w:rsidRDefault="00F229D4" w:rsidP="00F229D4">
            <w:pPr>
              <w:pStyle w:val="Sessiontcplacedate"/>
              <w:rPr>
                <w:sz w:val="22"/>
              </w:rPr>
            </w:pPr>
            <w:r w:rsidRPr="001845F6">
              <w:rPr>
                <w:lang w:val="de-DE"/>
              </w:rPr>
              <w:t>Fünfundfünfzigste Tagung</w:t>
            </w:r>
            <w:r w:rsidR="00EB4E9C" w:rsidRPr="001845F6">
              <w:rPr>
                <w:lang w:val="de-DE"/>
              </w:rPr>
              <w:br/>
              <w:t>Gen</w:t>
            </w:r>
            <w:r w:rsidRPr="001845F6">
              <w:rPr>
                <w:lang w:val="de-DE"/>
              </w:rPr>
              <w:t>f</w:t>
            </w:r>
            <w:r w:rsidR="00EB4E9C" w:rsidRPr="001845F6">
              <w:rPr>
                <w:lang w:val="de-DE"/>
              </w:rPr>
              <w:t xml:space="preserve">, </w:t>
            </w:r>
            <w:r w:rsidRPr="001845F6">
              <w:rPr>
                <w:lang w:val="de-DE"/>
              </w:rPr>
              <w:t xml:space="preserve">28. und 29. </w:t>
            </w:r>
            <w:r>
              <w:t>Ok</w:t>
            </w:r>
            <w:r w:rsidR="008B6E60">
              <w:t xml:space="preserve">tober </w:t>
            </w:r>
            <w:r w:rsidR="006D7435">
              <w:t>2019</w:t>
            </w:r>
          </w:p>
        </w:tc>
        <w:tc>
          <w:tcPr>
            <w:tcW w:w="3127" w:type="dxa"/>
          </w:tcPr>
          <w:p w:rsidR="00EB4E9C" w:rsidRPr="001845F6" w:rsidRDefault="006D7435" w:rsidP="003C7FBE">
            <w:pPr>
              <w:pStyle w:val="Doccode"/>
              <w:rPr>
                <w:lang w:val="de-DE"/>
              </w:rPr>
            </w:pPr>
            <w:r w:rsidRPr="001845F6">
              <w:rPr>
                <w:lang w:val="de-DE"/>
              </w:rPr>
              <w:t>TC/</w:t>
            </w:r>
            <w:r w:rsidR="00B105E1" w:rsidRPr="001845F6">
              <w:rPr>
                <w:lang w:val="de-DE"/>
              </w:rPr>
              <w:t>55/INF/3</w:t>
            </w:r>
          </w:p>
          <w:p w:rsidR="00EB4E9C" w:rsidRPr="001845F6" w:rsidRDefault="00EB4E9C" w:rsidP="003C7FBE">
            <w:pPr>
              <w:pStyle w:val="Docoriginal"/>
              <w:rPr>
                <w:lang w:val="de-DE"/>
              </w:rPr>
            </w:pPr>
            <w:r w:rsidRPr="001845F6">
              <w:rPr>
                <w:lang w:val="de-DE"/>
              </w:rPr>
              <w:t>Original:</w:t>
            </w:r>
            <w:r w:rsidR="008D0C89">
              <w:rPr>
                <w:b w:val="0"/>
                <w:spacing w:val="0"/>
                <w:lang w:val="de-DE"/>
              </w:rPr>
              <w:t xml:space="preserve">  e</w:t>
            </w:r>
            <w:r w:rsidRPr="001845F6">
              <w:rPr>
                <w:b w:val="0"/>
                <w:spacing w:val="0"/>
                <w:lang w:val="de-DE"/>
              </w:rPr>
              <w:t>nglis</w:t>
            </w:r>
            <w:r w:rsidR="007B42A9" w:rsidRPr="001845F6">
              <w:rPr>
                <w:b w:val="0"/>
                <w:spacing w:val="0"/>
                <w:lang w:val="de-DE"/>
              </w:rPr>
              <w:t>c</w:t>
            </w:r>
            <w:r w:rsidRPr="001845F6">
              <w:rPr>
                <w:b w:val="0"/>
                <w:spacing w:val="0"/>
                <w:lang w:val="de-DE"/>
              </w:rPr>
              <w:t>h</w:t>
            </w:r>
          </w:p>
          <w:p w:rsidR="00EB4E9C" w:rsidRPr="007C1D92" w:rsidRDefault="00EB4E9C" w:rsidP="007B42A9">
            <w:pPr>
              <w:pStyle w:val="Docoriginal"/>
            </w:pPr>
            <w:r w:rsidRPr="001845F6">
              <w:rPr>
                <w:lang w:val="de-DE"/>
              </w:rPr>
              <w:t>Dat</w:t>
            </w:r>
            <w:r w:rsidR="007B42A9" w:rsidRPr="001845F6">
              <w:rPr>
                <w:lang w:val="de-DE"/>
              </w:rPr>
              <w:t>um</w:t>
            </w:r>
            <w:r w:rsidRPr="008D0C89">
              <w:rPr>
                <w:lang w:val="de-DE"/>
              </w:rPr>
              <w:t>:</w:t>
            </w:r>
            <w:r w:rsidR="008B6E60" w:rsidRPr="008D0C89">
              <w:rPr>
                <w:b w:val="0"/>
                <w:spacing w:val="0"/>
                <w:lang w:val="de-DE"/>
              </w:rPr>
              <w:t xml:space="preserve">  </w:t>
            </w:r>
            <w:r w:rsidR="007B42A9" w:rsidRPr="008D0C89">
              <w:rPr>
                <w:b w:val="0"/>
                <w:spacing w:val="0"/>
                <w:lang w:val="de-DE"/>
              </w:rPr>
              <w:t>11</w:t>
            </w:r>
            <w:r w:rsidR="007B42A9" w:rsidRPr="006716C1">
              <w:rPr>
                <w:b w:val="0"/>
                <w:spacing w:val="0"/>
                <w:lang w:val="de-DE"/>
              </w:rPr>
              <w:t xml:space="preserve">. </w:t>
            </w:r>
            <w:r w:rsidR="00F85847" w:rsidRPr="006716C1">
              <w:rPr>
                <w:b w:val="0"/>
                <w:spacing w:val="0"/>
                <w:lang w:val="de-DE"/>
              </w:rPr>
              <w:t>O</w:t>
            </w:r>
            <w:r w:rsidR="007B42A9" w:rsidRPr="006716C1">
              <w:rPr>
                <w:b w:val="0"/>
                <w:spacing w:val="0"/>
                <w:lang w:val="de-DE"/>
              </w:rPr>
              <w:t>k</w:t>
            </w:r>
            <w:r w:rsidR="00F85847" w:rsidRPr="006716C1">
              <w:rPr>
                <w:b w:val="0"/>
                <w:spacing w:val="0"/>
                <w:lang w:val="de-DE"/>
              </w:rPr>
              <w:t xml:space="preserve">tober </w:t>
            </w:r>
            <w:r w:rsidR="008B6E60" w:rsidRPr="006716C1">
              <w:rPr>
                <w:b w:val="0"/>
                <w:spacing w:val="0"/>
                <w:lang w:val="de-DE"/>
              </w:rPr>
              <w:t>201</w:t>
            </w:r>
            <w:r w:rsidR="006D7435" w:rsidRPr="006716C1">
              <w:rPr>
                <w:b w:val="0"/>
                <w:spacing w:val="0"/>
                <w:lang w:val="de-DE"/>
              </w:rPr>
              <w:t>9</w:t>
            </w:r>
          </w:p>
        </w:tc>
      </w:tr>
    </w:tbl>
    <w:p w:rsidR="007B42A9" w:rsidRPr="008D0C89" w:rsidRDefault="007B42A9" w:rsidP="007B42A9">
      <w:pPr>
        <w:pStyle w:val="Titleofdoc0"/>
        <w:rPr>
          <w:lang w:val="de-DE"/>
        </w:rPr>
      </w:pPr>
      <w:bookmarkStart w:id="0" w:name="TitleOfDoc"/>
      <w:bookmarkStart w:id="1" w:name="Prepared"/>
      <w:bookmarkEnd w:id="0"/>
      <w:bookmarkEnd w:id="1"/>
      <w:r w:rsidRPr="008D0C89">
        <w:rPr>
          <w:lang w:val="de-DE"/>
        </w:rPr>
        <w:t>Datenbanken für Sortenbeschreibungen</w:t>
      </w:r>
    </w:p>
    <w:p w:rsidR="007B42A9" w:rsidRPr="008D0C89" w:rsidRDefault="007B42A9" w:rsidP="006716C1">
      <w:pPr>
        <w:pStyle w:val="preparedby1"/>
        <w:jc w:val="both"/>
        <w:rPr>
          <w:lang w:val="de-DE"/>
        </w:rPr>
      </w:pPr>
      <w:r w:rsidRPr="008D0C89">
        <w:rPr>
          <w:lang w:val="de-DE"/>
        </w:rPr>
        <w:t>vom Verbandsbüro erstelltes Dokument</w:t>
      </w:r>
    </w:p>
    <w:p w:rsidR="00F229D4" w:rsidRDefault="00F229D4" w:rsidP="00F229D4">
      <w:pPr>
        <w:pStyle w:val="Disclaimer"/>
        <w:rPr>
          <w:lang w:val="de-DE"/>
        </w:rPr>
      </w:pPr>
      <w:r>
        <w:rPr>
          <w:lang w:val="de-DE"/>
        </w:rPr>
        <w:t>Haftungsausschluss:  dieses Dokument gibt nicht die Grundsätze oder eine Anleitung der UPOV wieder</w:t>
      </w:r>
    </w:p>
    <w:p w:rsidR="007B42A9" w:rsidRPr="001845F6" w:rsidRDefault="007B42A9" w:rsidP="007B42A9">
      <w:pPr>
        <w:rPr>
          <w:rFonts w:cs="Arial"/>
          <w:lang w:val="de-DE"/>
        </w:rPr>
      </w:pPr>
      <w:r w:rsidRPr="001845F6">
        <w:rPr>
          <w:lang w:val="de-DE"/>
        </w:rPr>
        <w:t>ZUSAMMENFASSUNG</w:t>
      </w:r>
    </w:p>
    <w:p w:rsidR="00EF409F" w:rsidRPr="001845F6" w:rsidRDefault="00EF409F" w:rsidP="00EF409F">
      <w:pPr>
        <w:rPr>
          <w:snapToGrid w:val="0"/>
          <w:lang w:val="de-DE"/>
        </w:rPr>
      </w:pPr>
    </w:p>
    <w:p w:rsidR="007B42A9" w:rsidRPr="001845F6" w:rsidRDefault="00EF409F" w:rsidP="007B42A9">
      <w:pPr>
        <w:rPr>
          <w:snapToGrid w:val="0"/>
          <w:lang w:val="de-DE"/>
        </w:rPr>
      </w:pPr>
      <w:r w:rsidRPr="00107368">
        <w:rPr>
          <w:snapToGrid w:val="0"/>
        </w:rPr>
        <w:fldChar w:fldCharType="begin"/>
      </w:r>
      <w:r w:rsidRPr="001845F6">
        <w:rPr>
          <w:snapToGrid w:val="0"/>
          <w:lang w:val="de-DE"/>
        </w:rPr>
        <w:instrText xml:space="preserve"> AUTONUM  </w:instrText>
      </w:r>
      <w:r w:rsidRPr="00107368">
        <w:rPr>
          <w:snapToGrid w:val="0"/>
        </w:rPr>
        <w:fldChar w:fldCharType="end"/>
      </w:r>
      <w:r w:rsidRPr="001845F6">
        <w:rPr>
          <w:snapToGrid w:val="0"/>
          <w:lang w:val="de-DE"/>
        </w:rPr>
        <w:tab/>
      </w:r>
      <w:r w:rsidR="007B42A9" w:rsidRPr="001845F6">
        <w:rPr>
          <w:lang w:val="de-DE"/>
        </w:rPr>
        <w:t xml:space="preserve">Zweck des vorliegenden Dokuments ist es, über die Entwicklungen betreffend Datenbanken für Sortenbeschreibungen seit der Tagung des Technischen Ausschusses (TC) </w:t>
      </w:r>
      <w:r w:rsidR="008D0C89">
        <w:rPr>
          <w:lang w:val="de-DE"/>
        </w:rPr>
        <w:t xml:space="preserve">im Jahr </w:t>
      </w:r>
      <w:r w:rsidR="008D0C89" w:rsidRPr="001845F6">
        <w:rPr>
          <w:lang w:val="de-DE"/>
        </w:rPr>
        <w:t xml:space="preserve">2018 </w:t>
      </w:r>
      <w:r w:rsidR="007B42A9" w:rsidRPr="001845F6">
        <w:rPr>
          <w:lang w:val="de-DE"/>
        </w:rPr>
        <w:t>zu berichten.</w:t>
      </w:r>
    </w:p>
    <w:p w:rsidR="00EF409F" w:rsidRPr="001845F6" w:rsidRDefault="00EF409F" w:rsidP="00EF409F">
      <w:pPr>
        <w:rPr>
          <w:snapToGrid w:val="0"/>
          <w:lang w:val="de-DE"/>
        </w:rPr>
      </w:pPr>
    </w:p>
    <w:p w:rsidR="00EF409F" w:rsidRPr="001845F6" w:rsidRDefault="00EF409F" w:rsidP="00EF409F">
      <w:pPr>
        <w:rPr>
          <w:lang w:val="de-DE"/>
        </w:rPr>
      </w:pPr>
    </w:p>
    <w:p w:rsidR="007B42A9" w:rsidRPr="001845F6" w:rsidRDefault="00EF409F" w:rsidP="007B42A9">
      <w:pPr>
        <w:rPr>
          <w:rFonts w:cs="Arial"/>
          <w:color w:val="000000"/>
          <w:lang w:val="de-DE"/>
        </w:rPr>
      </w:pPr>
      <w:r w:rsidRPr="00107368">
        <w:fldChar w:fldCharType="begin"/>
      </w:r>
      <w:r w:rsidRPr="001845F6">
        <w:rPr>
          <w:lang w:val="de-DE"/>
        </w:rPr>
        <w:instrText xml:space="preserve"> AUTONUM  </w:instrText>
      </w:r>
      <w:r w:rsidRPr="00107368">
        <w:fldChar w:fldCharType="end"/>
      </w:r>
      <w:r w:rsidRPr="001845F6">
        <w:rPr>
          <w:lang w:val="de-DE"/>
        </w:rPr>
        <w:tab/>
      </w:r>
      <w:r w:rsidR="007B42A9" w:rsidRPr="001845F6">
        <w:rPr>
          <w:lang w:val="de-DE"/>
        </w:rPr>
        <w:t>In diesem Dokument werden folgende Abkürzungen verwendet:</w:t>
      </w:r>
    </w:p>
    <w:p w:rsidR="007B42A9" w:rsidRPr="001845F6" w:rsidRDefault="007B42A9" w:rsidP="007B42A9">
      <w:pPr>
        <w:rPr>
          <w:rFonts w:cs="Arial"/>
          <w:color w:val="000000"/>
          <w:lang w:val="de-DE"/>
        </w:rPr>
      </w:pPr>
    </w:p>
    <w:p w:rsidR="007B42A9" w:rsidRPr="00A36545" w:rsidRDefault="007B42A9" w:rsidP="007B42A9">
      <w:pPr>
        <w:rPr>
          <w:rFonts w:cs="Arial"/>
          <w:lang w:val="de-DE"/>
        </w:rPr>
      </w:pPr>
      <w:r w:rsidRPr="00A36545">
        <w:rPr>
          <w:lang w:val="de-DE"/>
        </w:rPr>
        <w:t xml:space="preserve">TC:  </w:t>
      </w:r>
      <w:r w:rsidRPr="00A36545">
        <w:rPr>
          <w:lang w:val="de-DE"/>
        </w:rPr>
        <w:tab/>
      </w:r>
      <w:r w:rsidRPr="00A36545">
        <w:rPr>
          <w:lang w:val="de-DE"/>
        </w:rPr>
        <w:tab/>
        <w:t>Technischer Ausschuß</w:t>
      </w:r>
    </w:p>
    <w:p w:rsidR="007B42A9" w:rsidRPr="001845F6" w:rsidRDefault="007B42A9" w:rsidP="007B42A9">
      <w:pPr>
        <w:rPr>
          <w:rFonts w:eastAsia="PMingLiU" w:cs="Arial"/>
          <w:lang w:val="de-DE"/>
        </w:rPr>
      </w:pPr>
      <w:r w:rsidRPr="001845F6">
        <w:rPr>
          <w:lang w:val="de-DE"/>
        </w:rPr>
        <w:t xml:space="preserve">TC-EDC:  </w:t>
      </w:r>
      <w:r w:rsidRPr="001845F6">
        <w:rPr>
          <w:lang w:val="de-DE"/>
        </w:rPr>
        <w:tab/>
        <w:t xml:space="preserve">Erweiterter </w:t>
      </w:r>
      <w:proofErr w:type="spellStart"/>
      <w:r w:rsidRPr="001845F6">
        <w:rPr>
          <w:lang w:val="de-DE"/>
        </w:rPr>
        <w:t>Redaktionsausschuß</w:t>
      </w:r>
      <w:proofErr w:type="spellEnd"/>
    </w:p>
    <w:p w:rsidR="007B42A9" w:rsidRPr="001845F6" w:rsidRDefault="007B42A9" w:rsidP="007B42A9">
      <w:pPr>
        <w:rPr>
          <w:rFonts w:eastAsia="PMingLiU" w:cs="Arial"/>
          <w:lang w:val="de-DE"/>
        </w:rPr>
      </w:pPr>
      <w:r w:rsidRPr="001845F6">
        <w:rPr>
          <w:lang w:val="de-DE"/>
        </w:rPr>
        <w:t xml:space="preserve">TWA:  </w:t>
      </w:r>
      <w:r w:rsidRPr="001845F6">
        <w:rPr>
          <w:lang w:val="de-DE"/>
        </w:rPr>
        <w:tab/>
        <w:t>Technische Arbeitsgruppe für landwirtschaftliche Arten</w:t>
      </w:r>
    </w:p>
    <w:p w:rsidR="007B42A9" w:rsidRPr="001845F6" w:rsidRDefault="007B42A9" w:rsidP="007B42A9">
      <w:pPr>
        <w:rPr>
          <w:rFonts w:eastAsia="PMingLiU" w:cs="Arial"/>
          <w:lang w:val="de-DE"/>
        </w:rPr>
      </w:pPr>
      <w:r w:rsidRPr="001845F6">
        <w:rPr>
          <w:lang w:val="de-DE"/>
        </w:rPr>
        <w:t xml:space="preserve">TWC:  </w:t>
      </w:r>
      <w:r w:rsidRPr="001845F6">
        <w:rPr>
          <w:lang w:val="de-DE"/>
        </w:rPr>
        <w:tab/>
        <w:t>Technische Arbeitsgruppe für Automatisierung und Computerprogramme</w:t>
      </w:r>
    </w:p>
    <w:p w:rsidR="007B42A9" w:rsidRPr="001845F6" w:rsidRDefault="007B42A9" w:rsidP="007B42A9">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de-DE"/>
        </w:rPr>
      </w:pPr>
      <w:r w:rsidRPr="001845F6">
        <w:rPr>
          <w:lang w:val="de-DE"/>
        </w:rPr>
        <w:t xml:space="preserve">TWF:  </w:t>
      </w:r>
      <w:r w:rsidRPr="001845F6">
        <w:rPr>
          <w:lang w:val="de-DE"/>
        </w:rPr>
        <w:tab/>
        <w:t>Technische Arbeitsgruppe für Obstarten</w:t>
      </w:r>
      <w:r w:rsidRPr="001845F6">
        <w:rPr>
          <w:lang w:val="de-DE"/>
        </w:rPr>
        <w:tab/>
      </w:r>
    </w:p>
    <w:p w:rsidR="007B42A9" w:rsidRPr="001845F6" w:rsidRDefault="007B42A9" w:rsidP="007B42A9">
      <w:pPr>
        <w:rPr>
          <w:rFonts w:eastAsia="PMingLiU" w:cs="Arial"/>
          <w:lang w:val="de-DE"/>
        </w:rPr>
      </w:pPr>
      <w:r w:rsidRPr="001845F6">
        <w:rPr>
          <w:lang w:val="de-DE"/>
        </w:rPr>
        <w:t xml:space="preserve">TWO:  </w:t>
      </w:r>
      <w:r w:rsidRPr="001845F6">
        <w:rPr>
          <w:lang w:val="de-DE"/>
        </w:rPr>
        <w:tab/>
        <w:t>Technische Arbeitsgruppe für Zierpflanzen und forstliche Baumarten</w:t>
      </w:r>
    </w:p>
    <w:p w:rsidR="007B42A9" w:rsidRPr="001845F6" w:rsidRDefault="007B42A9" w:rsidP="007B42A9">
      <w:pPr>
        <w:rPr>
          <w:rFonts w:eastAsia="PMingLiU" w:cs="Arial"/>
          <w:lang w:val="de-DE"/>
        </w:rPr>
      </w:pPr>
      <w:r w:rsidRPr="001845F6">
        <w:rPr>
          <w:lang w:val="de-DE"/>
        </w:rPr>
        <w:t>TWP:</w:t>
      </w:r>
      <w:r w:rsidRPr="001845F6">
        <w:rPr>
          <w:lang w:val="de-DE"/>
        </w:rPr>
        <w:tab/>
      </w:r>
      <w:r w:rsidRPr="001845F6">
        <w:rPr>
          <w:lang w:val="de-DE"/>
        </w:rPr>
        <w:tab/>
        <w:t>Technische Arbeitsgruppen</w:t>
      </w:r>
    </w:p>
    <w:p w:rsidR="007B42A9" w:rsidRPr="001845F6" w:rsidRDefault="007B42A9" w:rsidP="007B42A9">
      <w:pPr>
        <w:rPr>
          <w:lang w:val="de-DE"/>
        </w:rPr>
      </w:pPr>
      <w:r w:rsidRPr="001845F6">
        <w:rPr>
          <w:lang w:val="de-DE"/>
        </w:rPr>
        <w:t xml:space="preserve">TWV:  </w:t>
      </w:r>
      <w:r w:rsidRPr="001845F6">
        <w:rPr>
          <w:lang w:val="de-DE"/>
        </w:rPr>
        <w:tab/>
        <w:t>Technische Arbeitsgruppe für Gemüsearten</w:t>
      </w:r>
    </w:p>
    <w:p w:rsidR="00EF409F" w:rsidRPr="001845F6" w:rsidRDefault="00EF409F" w:rsidP="007B42A9">
      <w:pPr>
        <w:rPr>
          <w:snapToGrid w:val="0"/>
          <w:lang w:val="de-DE"/>
        </w:rPr>
      </w:pPr>
    </w:p>
    <w:p w:rsidR="00EF409F" w:rsidRPr="008D0C89" w:rsidRDefault="00EF409F" w:rsidP="00EF409F">
      <w:pPr>
        <w:rPr>
          <w:snapToGrid w:val="0"/>
          <w:lang w:val="de-DE"/>
        </w:rPr>
      </w:pPr>
      <w:r w:rsidRPr="008D0C89">
        <w:rPr>
          <w:snapToGrid w:val="0"/>
        </w:rPr>
        <w:fldChar w:fldCharType="begin"/>
      </w:r>
      <w:r w:rsidRPr="008D0C89">
        <w:rPr>
          <w:snapToGrid w:val="0"/>
          <w:lang w:val="de-DE"/>
        </w:rPr>
        <w:instrText xml:space="preserve"> AUTONUM  </w:instrText>
      </w:r>
      <w:r w:rsidRPr="008D0C89">
        <w:rPr>
          <w:snapToGrid w:val="0"/>
        </w:rPr>
        <w:fldChar w:fldCharType="end"/>
      </w:r>
      <w:r w:rsidR="004B6E25" w:rsidRPr="008D0C89">
        <w:rPr>
          <w:snapToGrid w:val="0"/>
          <w:lang w:val="de-DE"/>
        </w:rPr>
        <w:tab/>
        <w:t>Der Aufbau dieses Dokuments ist wie folgt</w:t>
      </w:r>
      <w:r w:rsidRPr="008D0C89">
        <w:rPr>
          <w:snapToGrid w:val="0"/>
          <w:lang w:val="de-DE"/>
        </w:rPr>
        <w:t>:</w:t>
      </w:r>
    </w:p>
    <w:p w:rsidR="00B2724D" w:rsidRPr="008D0C89" w:rsidRDefault="00B2724D" w:rsidP="00EF409F">
      <w:pPr>
        <w:rPr>
          <w:snapToGrid w:val="0"/>
          <w:lang w:val="de-DE"/>
        </w:rPr>
      </w:pPr>
    </w:p>
    <w:p w:rsidR="004B6E25" w:rsidRPr="008D0C89" w:rsidRDefault="00EF409F">
      <w:pPr>
        <w:pStyle w:val="TOC1"/>
        <w:rPr>
          <w:rFonts w:asciiTheme="minorHAnsi" w:eastAsiaTheme="minorEastAsia" w:hAnsiTheme="minorHAnsi" w:cstheme="minorBidi"/>
          <w:caps w:val="0"/>
          <w:noProof/>
          <w:sz w:val="22"/>
          <w:szCs w:val="22"/>
          <w:lang w:val="de-DE" w:eastAsia="de-DE"/>
        </w:rPr>
      </w:pPr>
      <w:r w:rsidRPr="008D0C89">
        <w:rPr>
          <w:bCs/>
          <w:noProof/>
        </w:rPr>
        <w:fldChar w:fldCharType="begin"/>
      </w:r>
      <w:r w:rsidRPr="008D0C89">
        <w:instrText xml:space="preserve"> TOC \o "1-3" \h \z \u </w:instrText>
      </w:r>
      <w:r w:rsidRPr="008D0C89">
        <w:rPr>
          <w:bCs/>
          <w:noProof/>
        </w:rPr>
        <w:fldChar w:fldCharType="separate"/>
      </w:r>
      <w:hyperlink w:anchor="_Toc22470528" w:history="1">
        <w:r w:rsidR="004B6E25" w:rsidRPr="008D0C89">
          <w:rPr>
            <w:rStyle w:val="Hyperlink"/>
            <w:noProof/>
            <w:lang w:val="de-DE"/>
          </w:rPr>
          <w:t>Hintergrund</w:t>
        </w:r>
        <w:r w:rsidR="004B6E25" w:rsidRPr="008D0C89">
          <w:rPr>
            <w:noProof/>
            <w:webHidden/>
          </w:rPr>
          <w:tab/>
        </w:r>
        <w:r w:rsidR="004B6E25" w:rsidRPr="008D0C89">
          <w:rPr>
            <w:noProof/>
            <w:webHidden/>
          </w:rPr>
          <w:fldChar w:fldCharType="begin"/>
        </w:r>
        <w:r w:rsidR="004B6E25" w:rsidRPr="008D0C89">
          <w:rPr>
            <w:noProof/>
            <w:webHidden/>
          </w:rPr>
          <w:instrText xml:space="preserve"> PAGEREF _Toc22470528 \h </w:instrText>
        </w:r>
        <w:r w:rsidR="004B6E25" w:rsidRPr="008D0C89">
          <w:rPr>
            <w:noProof/>
            <w:webHidden/>
          </w:rPr>
        </w:r>
        <w:r w:rsidR="004B6E25" w:rsidRPr="008D0C89">
          <w:rPr>
            <w:noProof/>
            <w:webHidden/>
          </w:rPr>
          <w:fldChar w:fldCharType="separate"/>
        </w:r>
        <w:r w:rsidR="004B6E25" w:rsidRPr="008D0C89">
          <w:rPr>
            <w:noProof/>
            <w:webHidden/>
          </w:rPr>
          <w:t>1</w:t>
        </w:r>
        <w:r w:rsidR="004B6E25" w:rsidRPr="008D0C89">
          <w:rPr>
            <w:noProof/>
            <w:webHidden/>
          </w:rPr>
          <w:fldChar w:fldCharType="end"/>
        </w:r>
      </w:hyperlink>
    </w:p>
    <w:p w:rsidR="004B6E25" w:rsidRPr="008D0C89" w:rsidRDefault="00751F2C">
      <w:pPr>
        <w:pStyle w:val="TOC1"/>
        <w:rPr>
          <w:rFonts w:asciiTheme="minorHAnsi" w:eastAsiaTheme="minorEastAsia" w:hAnsiTheme="minorHAnsi" w:cstheme="minorBidi"/>
          <w:caps w:val="0"/>
          <w:noProof/>
          <w:sz w:val="22"/>
          <w:szCs w:val="22"/>
          <w:lang w:val="de-DE" w:eastAsia="de-DE"/>
        </w:rPr>
      </w:pPr>
      <w:hyperlink w:anchor="_Toc22470529" w:history="1">
        <w:r w:rsidR="004B6E25" w:rsidRPr="008D0C89">
          <w:rPr>
            <w:rStyle w:val="Hyperlink"/>
            <w:noProof/>
            <w:lang w:val="de-DE"/>
          </w:rPr>
          <w:t>ENTWICKLUNGEN IM TECHNISCHEN AUSSCHUSS IM JAHR 2018</w:t>
        </w:r>
        <w:r w:rsidR="004B6E25" w:rsidRPr="008D0C89">
          <w:rPr>
            <w:noProof/>
            <w:webHidden/>
          </w:rPr>
          <w:tab/>
        </w:r>
        <w:r w:rsidR="004B6E25" w:rsidRPr="008D0C89">
          <w:rPr>
            <w:noProof/>
            <w:webHidden/>
          </w:rPr>
          <w:fldChar w:fldCharType="begin"/>
        </w:r>
        <w:r w:rsidR="004B6E25" w:rsidRPr="008D0C89">
          <w:rPr>
            <w:noProof/>
            <w:webHidden/>
          </w:rPr>
          <w:instrText xml:space="preserve"> PAGEREF _Toc22470529 \h </w:instrText>
        </w:r>
        <w:r w:rsidR="004B6E25" w:rsidRPr="008D0C89">
          <w:rPr>
            <w:noProof/>
            <w:webHidden/>
          </w:rPr>
        </w:r>
        <w:r w:rsidR="004B6E25" w:rsidRPr="008D0C89">
          <w:rPr>
            <w:noProof/>
            <w:webHidden/>
          </w:rPr>
          <w:fldChar w:fldCharType="separate"/>
        </w:r>
        <w:r w:rsidR="004B6E25" w:rsidRPr="008D0C89">
          <w:rPr>
            <w:noProof/>
            <w:webHidden/>
          </w:rPr>
          <w:t>2</w:t>
        </w:r>
        <w:r w:rsidR="004B6E25" w:rsidRPr="008D0C89">
          <w:rPr>
            <w:noProof/>
            <w:webHidden/>
          </w:rPr>
          <w:fldChar w:fldCharType="end"/>
        </w:r>
      </w:hyperlink>
    </w:p>
    <w:p w:rsidR="004B6E25" w:rsidRPr="008D0C89" w:rsidRDefault="00751F2C">
      <w:pPr>
        <w:pStyle w:val="TOC1"/>
        <w:rPr>
          <w:rFonts w:asciiTheme="minorHAnsi" w:eastAsiaTheme="minorEastAsia" w:hAnsiTheme="minorHAnsi" w:cstheme="minorBidi"/>
          <w:caps w:val="0"/>
          <w:noProof/>
          <w:sz w:val="22"/>
          <w:szCs w:val="22"/>
          <w:lang w:val="de-DE" w:eastAsia="de-DE"/>
        </w:rPr>
      </w:pPr>
      <w:hyperlink w:anchor="_Toc22470530" w:history="1">
        <w:r w:rsidR="004B6E25" w:rsidRPr="008D0C89">
          <w:rPr>
            <w:rStyle w:val="Hyperlink"/>
            <w:noProof/>
            <w:lang w:val="de-DE"/>
          </w:rPr>
          <w:t>ENTWICKLUNGEN SEIT DER TAGUNG DES TECHNISCHEN AUSSCHUSSES IM JAHR 2018</w:t>
        </w:r>
        <w:r w:rsidR="004B6E25" w:rsidRPr="008D0C89">
          <w:rPr>
            <w:noProof/>
            <w:webHidden/>
          </w:rPr>
          <w:tab/>
        </w:r>
        <w:r w:rsidR="004B6E25" w:rsidRPr="008D0C89">
          <w:rPr>
            <w:noProof/>
            <w:webHidden/>
          </w:rPr>
          <w:fldChar w:fldCharType="begin"/>
        </w:r>
        <w:r w:rsidR="004B6E25" w:rsidRPr="008D0C89">
          <w:rPr>
            <w:noProof/>
            <w:webHidden/>
          </w:rPr>
          <w:instrText xml:space="preserve"> PAGEREF _Toc22470530 \h </w:instrText>
        </w:r>
        <w:r w:rsidR="004B6E25" w:rsidRPr="008D0C89">
          <w:rPr>
            <w:noProof/>
            <w:webHidden/>
          </w:rPr>
        </w:r>
        <w:r w:rsidR="004B6E25" w:rsidRPr="008D0C89">
          <w:rPr>
            <w:noProof/>
            <w:webHidden/>
          </w:rPr>
          <w:fldChar w:fldCharType="separate"/>
        </w:r>
        <w:r w:rsidR="004B6E25" w:rsidRPr="008D0C89">
          <w:rPr>
            <w:noProof/>
            <w:webHidden/>
          </w:rPr>
          <w:t>2</w:t>
        </w:r>
        <w:r w:rsidR="004B6E25" w:rsidRPr="008D0C89">
          <w:rPr>
            <w:noProof/>
            <w:webHidden/>
          </w:rPr>
          <w:fldChar w:fldCharType="end"/>
        </w:r>
      </w:hyperlink>
    </w:p>
    <w:p w:rsidR="004B6E25" w:rsidRPr="008D0C89" w:rsidRDefault="00751F2C">
      <w:pPr>
        <w:pStyle w:val="TOC2"/>
        <w:rPr>
          <w:rFonts w:asciiTheme="minorHAnsi" w:eastAsiaTheme="minorEastAsia" w:hAnsiTheme="minorHAnsi" w:cstheme="minorBidi"/>
          <w:noProof/>
          <w:sz w:val="22"/>
          <w:szCs w:val="22"/>
          <w:lang w:val="de-DE" w:eastAsia="de-DE"/>
        </w:rPr>
      </w:pPr>
      <w:hyperlink w:anchor="_Toc22470531" w:history="1">
        <w:r w:rsidR="004B6E25" w:rsidRPr="008D0C89">
          <w:rPr>
            <w:rStyle w:val="Hyperlink"/>
            <w:noProof/>
            <w:lang w:val="de-DE"/>
          </w:rPr>
          <w:t>Technische Arbeits</w:t>
        </w:r>
        <w:r w:rsidR="00D26055">
          <w:rPr>
            <w:rStyle w:val="Hyperlink"/>
            <w:noProof/>
            <w:lang w:val="de-DE"/>
          </w:rPr>
          <w:t>g</w:t>
        </w:r>
        <w:r w:rsidR="004B6E25" w:rsidRPr="008D0C89">
          <w:rPr>
            <w:rStyle w:val="Hyperlink"/>
            <w:noProof/>
            <w:lang w:val="de-DE"/>
          </w:rPr>
          <w:t>ruppen</w:t>
        </w:r>
        <w:r w:rsidR="004B6E25" w:rsidRPr="008D0C89">
          <w:rPr>
            <w:noProof/>
            <w:webHidden/>
          </w:rPr>
          <w:tab/>
        </w:r>
        <w:r w:rsidR="004B6E25" w:rsidRPr="008D0C89">
          <w:rPr>
            <w:noProof/>
            <w:webHidden/>
          </w:rPr>
          <w:fldChar w:fldCharType="begin"/>
        </w:r>
        <w:r w:rsidR="004B6E25" w:rsidRPr="008D0C89">
          <w:rPr>
            <w:noProof/>
            <w:webHidden/>
          </w:rPr>
          <w:instrText xml:space="preserve"> PAGEREF _Toc22470531 \h </w:instrText>
        </w:r>
        <w:r w:rsidR="004B6E25" w:rsidRPr="008D0C89">
          <w:rPr>
            <w:noProof/>
            <w:webHidden/>
          </w:rPr>
        </w:r>
        <w:r w:rsidR="004B6E25" w:rsidRPr="008D0C89">
          <w:rPr>
            <w:noProof/>
            <w:webHidden/>
          </w:rPr>
          <w:fldChar w:fldCharType="separate"/>
        </w:r>
        <w:r w:rsidR="004B6E25" w:rsidRPr="008D0C89">
          <w:rPr>
            <w:noProof/>
            <w:webHidden/>
          </w:rPr>
          <w:t>2</w:t>
        </w:r>
        <w:r w:rsidR="004B6E25" w:rsidRPr="008D0C89">
          <w:rPr>
            <w:noProof/>
            <w:webHidden/>
          </w:rPr>
          <w:fldChar w:fldCharType="end"/>
        </w:r>
      </w:hyperlink>
    </w:p>
    <w:p w:rsidR="00EF409F" w:rsidRDefault="00EF409F" w:rsidP="00EF409F">
      <w:pPr>
        <w:rPr>
          <w:rFonts w:cs="Arial"/>
        </w:rPr>
      </w:pPr>
      <w:r w:rsidRPr="008D0C89">
        <w:rPr>
          <w:rFonts w:cs="Arial"/>
        </w:rPr>
        <w:fldChar w:fldCharType="end"/>
      </w:r>
    </w:p>
    <w:p w:rsidR="00EF409F" w:rsidRPr="00107368" w:rsidRDefault="00EF409F" w:rsidP="00EF409F"/>
    <w:p w:rsidR="007B42A9" w:rsidRPr="001845F6" w:rsidRDefault="007B42A9" w:rsidP="007B42A9">
      <w:pPr>
        <w:pStyle w:val="Heading1"/>
        <w:rPr>
          <w:lang w:val="de-DE"/>
        </w:rPr>
      </w:pPr>
      <w:bookmarkStart w:id="2" w:name="_Toc441582566"/>
      <w:bookmarkStart w:id="3" w:name="_Toc440548664"/>
      <w:bookmarkStart w:id="4" w:name="_Toc22470528"/>
      <w:r w:rsidRPr="001845F6">
        <w:rPr>
          <w:lang w:val="de-DE"/>
        </w:rPr>
        <w:t>Hintergrund</w:t>
      </w:r>
      <w:bookmarkEnd w:id="2"/>
      <w:bookmarkEnd w:id="3"/>
      <w:bookmarkEnd w:id="4"/>
    </w:p>
    <w:p w:rsidR="007B42A9" w:rsidRPr="001845F6" w:rsidRDefault="007B42A9" w:rsidP="007B42A9">
      <w:pPr>
        <w:rPr>
          <w:lang w:val="de-DE"/>
        </w:rPr>
      </w:pPr>
    </w:p>
    <w:p w:rsidR="007B42A9" w:rsidRPr="001845F6" w:rsidRDefault="007B42A9" w:rsidP="007B42A9">
      <w:pPr>
        <w:rPr>
          <w:lang w:val="de-DE"/>
        </w:rPr>
      </w:pPr>
      <w:r>
        <w:fldChar w:fldCharType="begin"/>
      </w:r>
      <w:r w:rsidRPr="001845F6">
        <w:rPr>
          <w:lang w:val="de-DE"/>
        </w:rPr>
        <w:instrText xml:space="preserve"> AUTONUM  </w:instrText>
      </w:r>
      <w:r>
        <w:fldChar w:fldCharType="end"/>
      </w:r>
      <w:r w:rsidRPr="001845F6">
        <w:rPr>
          <w:lang w:val="de-DE"/>
        </w:rPr>
        <w:tab/>
        <w:t xml:space="preserve">Auf seiner fünfundvierzigsten Tagung vom 30. März bis 1. April 2009 </w:t>
      </w:r>
      <w:r w:rsidR="006716C1">
        <w:rPr>
          <w:lang w:val="de-DE"/>
        </w:rPr>
        <w:t>in Genf nahm der Technische </w:t>
      </w:r>
      <w:proofErr w:type="spellStart"/>
      <w:r w:rsidRPr="001845F6">
        <w:rPr>
          <w:lang w:val="de-DE"/>
        </w:rPr>
        <w:t>Ausschuß</w:t>
      </w:r>
      <w:proofErr w:type="spellEnd"/>
      <w:r w:rsidRPr="001845F6">
        <w:rPr>
          <w:lang w:val="de-DE"/>
        </w:rPr>
        <w:t xml:space="preserve"> (TC) auf der Grundlage des Dokuments TC/45/9 „Veröffentlichung von Sortenbeschreibungen“ zur Kenntnis, daß Verbandsmitglieder Datenbanken entwickeln, die morphologische und/oder molekulare Daten enthalten, und daß sie, wo dies angezeigt erscheint, auch bei der Einrichtung von Datenbanken für die Verwaltung von Sortensammlungen zusammenarbeiten, und zwar insbesondere auf regionaler Ebene. Der TC vereinbarte, daß es von Nutzen sein könnte, den Verbandsmitgliedern die Möglichkeit zu bieten, dem TC, den TWP und der BMT in kohärenter Weise über diese Arbeit zu berichten. Auf dieser Grundlage vereinbarte der TC, den Tagesordnungspunkt „Veröffentlichung von Sortenbeschreibungen“ auf den Tagesordnungen der bevorstehenden Tagungen des TC, der TWP und der BMT durch einen Tagesordnungspunkt „Datenbanken für Sortenbeschreibungen“ zu ersetzen. Diesbezüglich erinnerte er an die Bedeutung der Liste der Kriterien für die Verwendung der aus verschiedenen Prüfungsorten und Quellen beschafften Beschreibungen, wie in der Anlage des Dokuments TC/45/9, Absatz 3, dargelegt. Der TC vereinbarte ferner, daß sich die vorgelegten Informationen nicht auf die Veröffentlichung von Beschreibungen beziehen müssten (vergleiche Dokument TC/45/16 „Bericht“, Absatz 173).</w:t>
      </w:r>
    </w:p>
    <w:p w:rsidR="007059F0" w:rsidRPr="001845F6" w:rsidRDefault="007059F0" w:rsidP="00EF409F">
      <w:pPr>
        <w:rPr>
          <w:lang w:val="de-DE"/>
        </w:rPr>
      </w:pPr>
    </w:p>
    <w:p w:rsidR="00FF5FE3" w:rsidRPr="00A36545" w:rsidRDefault="00EF409F" w:rsidP="00EF409F">
      <w:pPr>
        <w:rPr>
          <w:rFonts w:cs="Arial"/>
          <w:lang w:val="de-DE"/>
        </w:rPr>
      </w:pPr>
      <w:r w:rsidRPr="00107368">
        <w:rPr>
          <w:rFonts w:cs="Arial"/>
          <w:color w:val="000000"/>
        </w:rPr>
        <w:fldChar w:fldCharType="begin"/>
      </w:r>
      <w:r w:rsidRPr="001C134C">
        <w:rPr>
          <w:rFonts w:cs="Arial"/>
          <w:color w:val="000000"/>
          <w:lang w:val="de-DE"/>
        </w:rPr>
        <w:instrText xml:space="preserve"> AUTONUM  </w:instrText>
      </w:r>
      <w:r w:rsidRPr="00107368">
        <w:rPr>
          <w:rFonts w:cs="Arial"/>
          <w:color w:val="000000"/>
        </w:rPr>
        <w:fldChar w:fldCharType="end"/>
      </w:r>
      <w:r w:rsidRPr="001C134C">
        <w:rPr>
          <w:rFonts w:cs="Arial"/>
          <w:color w:val="000000"/>
          <w:lang w:val="de-DE"/>
        </w:rPr>
        <w:tab/>
      </w:r>
      <w:r w:rsidR="001C134C" w:rsidRPr="00A36545">
        <w:rPr>
          <w:rFonts w:cs="Arial"/>
          <w:color w:val="000000"/>
          <w:lang w:val="de-DE"/>
        </w:rPr>
        <w:t>Entwicklungen vor der Tagung des TC im Jahr 2018 sind in Dokument TC/54/9 „Datenbanken für Sortenbeschreibungen“ dargelegt.</w:t>
      </w:r>
    </w:p>
    <w:p w:rsidR="00FF5FE3" w:rsidRPr="00A36545" w:rsidRDefault="00FF5FE3">
      <w:pPr>
        <w:jc w:val="left"/>
        <w:rPr>
          <w:rFonts w:cs="Arial"/>
          <w:lang w:val="de-DE"/>
        </w:rPr>
      </w:pPr>
    </w:p>
    <w:p w:rsidR="00521E7F" w:rsidRPr="00A36545" w:rsidRDefault="001C134C" w:rsidP="004B6E25">
      <w:pPr>
        <w:pStyle w:val="Heading1"/>
        <w:rPr>
          <w:lang w:val="de-DE"/>
        </w:rPr>
      </w:pPr>
      <w:bookmarkStart w:id="5" w:name="_Toc22470529"/>
      <w:bookmarkStart w:id="6" w:name="_Toc512935370"/>
      <w:r w:rsidRPr="00A36545">
        <w:rPr>
          <w:lang w:val="de-DE"/>
        </w:rPr>
        <w:lastRenderedPageBreak/>
        <w:t>ENTWICKLUNGEN IM TECHNISCHEN AUSSCHUSS IM JAHR 2018</w:t>
      </w:r>
      <w:bookmarkEnd w:id="5"/>
    </w:p>
    <w:p w:rsidR="001C134C" w:rsidRPr="00A36545" w:rsidRDefault="001C134C" w:rsidP="007059F0">
      <w:pPr>
        <w:keepNext/>
        <w:keepLines/>
        <w:rPr>
          <w:lang w:val="de-DE"/>
        </w:rPr>
      </w:pPr>
    </w:p>
    <w:p w:rsidR="00521E7F" w:rsidRPr="001C134C" w:rsidRDefault="00521E7F" w:rsidP="007059F0">
      <w:pPr>
        <w:keepNext/>
        <w:keepLines/>
        <w:rPr>
          <w:lang w:val="de-DE"/>
        </w:rPr>
      </w:pPr>
      <w:r w:rsidRPr="00A36545">
        <w:fldChar w:fldCharType="begin"/>
      </w:r>
      <w:r w:rsidRPr="00A36545">
        <w:rPr>
          <w:lang w:val="de-DE"/>
        </w:rPr>
        <w:instrText xml:space="preserve"> AUTONUM  </w:instrText>
      </w:r>
      <w:r w:rsidRPr="00A36545">
        <w:fldChar w:fldCharType="end"/>
      </w:r>
      <w:r w:rsidRPr="00A36545">
        <w:rPr>
          <w:lang w:val="de-DE"/>
        </w:rPr>
        <w:tab/>
      </w:r>
      <w:r w:rsidR="001C134C" w:rsidRPr="00A36545">
        <w:rPr>
          <w:lang w:val="de-DE"/>
        </w:rPr>
        <w:t>Der TC prüfte das Dokument TC/54/9 „Datenbanken für Sortenbeschreibungen“ (vergleiche Dokument TC/54/31 „Bericht“, Absätze 317 bis 322)</w:t>
      </w:r>
      <w:r w:rsidRPr="00A36545">
        <w:rPr>
          <w:lang w:val="de-DE"/>
        </w:rPr>
        <w:t>.</w:t>
      </w:r>
    </w:p>
    <w:p w:rsidR="00521E7F" w:rsidRPr="001C134C" w:rsidRDefault="00521E7F" w:rsidP="007059F0">
      <w:pPr>
        <w:keepNext/>
        <w:keepLines/>
        <w:rPr>
          <w:lang w:val="de-DE"/>
        </w:rPr>
      </w:pPr>
    </w:p>
    <w:p w:rsidR="00521E7F" w:rsidRPr="001845F6" w:rsidRDefault="00521E7F" w:rsidP="00521E7F">
      <w:pPr>
        <w:rPr>
          <w:lang w:val="de-DE"/>
        </w:rPr>
      </w:pPr>
      <w:r>
        <w:fldChar w:fldCharType="begin"/>
      </w:r>
      <w:r w:rsidRPr="001845F6">
        <w:rPr>
          <w:lang w:val="de-DE"/>
        </w:rPr>
        <w:instrText xml:space="preserve"> AUTONUM  </w:instrText>
      </w:r>
      <w:r>
        <w:fldChar w:fldCharType="end"/>
      </w:r>
      <w:r w:rsidRPr="001845F6">
        <w:rPr>
          <w:lang w:val="de-DE"/>
        </w:rPr>
        <w:tab/>
      </w:r>
      <w:r w:rsidR="00C54C53">
        <w:rPr>
          <w:lang w:val="de-DE"/>
        </w:rPr>
        <w:t>Der TC nahm die Berichte von Österreich (Hartweizen), der Europäischen Union (Kartoffel), Frankreich (Pfirsich) und den Niederlanden (Rose) über das Vorhandensein von Datenbanken, die morphologische und/oder molekulare Daten enthalten, zur Kenntnis.</w:t>
      </w:r>
    </w:p>
    <w:p w:rsidR="00521E7F" w:rsidRPr="001845F6" w:rsidRDefault="00521E7F" w:rsidP="00521E7F">
      <w:pPr>
        <w:rPr>
          <w:lang w:val="de-DE"/>
        </w:rPr>
      </w:pPr>
    </w:p>
    <w:p w:rsidR="00521E7F" w:rsidRPr="001845F6" w:rsidRDefault="00521E7F" w:rsidP="00521E7F">
      <w:pPr>
        <w:rPr>
          <w:lang w:val="de-DE"/>
        </w:rPr>
      </w:pPr>
      <w:r>
        <w:fldChar w:fldCharType="begin"/>
      </w:r>
      <w:r w:rsidRPr="001845F6">
        <w:rPr>
          <w:lang w:val="de-DE"/>
        </w:rPr>
        <w:instrText xml:space="preserve"> AUTONUM  </w:instrText>
      </w:r>
      <w:r>
        <w:fldChar w:fldCharType="end"/>
      </w:r>
      <w:r w:rsidRPr="001845F6">
        <w:rPr>
          <w:lang w:val="de-DE"/>
        </w:rPr>
        <w:tab/>
      </w:r>
      <w:r w:rsidR="00C54C53">
        <w:rPr>
          <w:lang w:val="de-DE"/>
        </w:rPr>
        <w:t>Der TC prüfte die Art der Informationen, die von bestehenden Datenbanken, die morphologische und/oder molekulare Daten enthalten, zur Aufnahme in die GENIE-Datenbank erfaßt werden sollten, abhängig von den verfügbaren Ressourcen für die Modifizierung der GENIE-Datenbank.</w:t>
      </w:r>
    </w:p>
    <w:p w:rsidR="00521E7F" w:rsidRPr="001845F6" w:rsidRDefault="00521E7F" w:rsidP="00521E7F">
      <w:pPr>
        <w:rPr>
          <w:lang w:val="de-DE"/>
        </w:rPr>
      </w:pPr>
    </w:p>
    <w:p w:rsidR="00521E7F" w:rsidRPr="001845F6" w:rsidRDefault="00521E7F" w:rsidP="00521E7F">
      <w:pPr>
        <w:rPr>
          <w:lang w:val="de-DE"/>
        </w:rPr>
      </w:pPr>
      <w:r>
        <w:fldChar w:fldCharType="begin"/>
      </w:r>
      <w:r w:rsidRPr="001845F6">
        <w:rPr>
          <w:lang w:val="de-DE"/>
        </w:rPr>
        <w:instrText xml:space="preserve"> AUTONUM  </w:instrText>
      </w:r>
      <w:r>
        <w:fldChar w:fldCharType="end"/>
      </w:r>
      <w:r w:rsidRPr="001845F6">
        <w:rPr>
          <w:lang w:val="de-DE"/>
        </w:rPr>
        <w:tab/>
      </w:r>
      <w:r w:rsidR="00C54C53">
        <w:rPr>
          <w:lang w:val="de-DE"/>
        </w:rPr>
        <w:t>Der TC stimmte mit der TWF darin überein, daß der erste Schritt vor dem Aufbau einer Datenbank darin bestehen sollte, sich auf die zu teilenden Informationen, das Format für den Austausch und die Speicherung der Informationen zu einigen.</w:t>
      </w:r>
    </w:p>
    <w:p w:rsidR="00521E7F" w:rsidRPr="001845F6" w:rsidRDefault="00521E7F" w:rsidP="00521E7F">
      <w:pPr>
        <w:rPr>
          <w:lang w:val="de-DE"/>
        </w:rPr>
      </w:pPr>
    </w:p>
    <w:p w:rsidR="00521E7F" w:rsidRPr="001845F6" w:rsidRDefault="00521E7F" w:rsidP="00521E7F">
      <w:pPr>
        <w:rPr>
          <w:lang w:val="de-DE"/>
        </w:rPr>
      </w:pPr>
      <w:r>
        <w:fldChar w:fldCharType="begin"/>
      </w:r>
      <w:r w:rsidRPr="001845F6">
        <w:rPr>
          <w:lang w:val="de-DE"/>
        </w:rPr>
        <w:instrText xml:space="preserve"> AUTONUM  </w:instrText>
      </w:r>
      <w:r>
        <w:fldChar w:fldCharType="end"/>
      </w:r>
      <w:r w:rsidRPr="001845F6">
        <w:rPr>
          <w:lang w:val="de-DE"/>
        </w:rPr>
        <w:tab/>
      </w:r>
      <w:r w:rsidR="00C54C53">
        <w:rPr>
          <w:lang w:val="de-DE"/>
        </w:rPr>
        <w:t>Der TC stimmte dem Vorschlag der BMT zu, daß in einem ersten Schritt die Erörterungen über Eigentumsfragen, Vertraulichkeit, Zugang zu Daten und Material, Arbeitsbewilligungen und Verfügbarkeit von Ergebnissen und Informationen für Partner gesammelt werden sollten, wie in Dokument TC/54/</w:t>
      </w:r>
      <w:r w:rsidR="006716C1">
        <w:rPr>
          <w:lang w:val="de-DE"/>
        </w:rPr>
        <w:t xml:space="preserve">9, </w:t>
      </w:r>
      <w:r w:rsidR="006716C1" w:rsidRPr="00A36545">
        <w:rPr>
          <w:lang w:val="de-DE"/>
        </w:rPr>
        <w:t>Abs</w:t>
      </w:r>
      <w:r w:rsidR="006716C1">
        <w:rPr>
          <w:lang w:val="de-DE"/>
        </w:rPr>
        <w:t>a</w:t>
      </w:r>
      <w:r w:rsidR="006716C1" w:rsidRPr="00A36545">
        <w:rPr>
          <w:lang w:val="de-DE"/>
        </w:rPr>
        <w:t>tz</w:t>
      </w:r>
      <w:r w:rsidR="006716C1">
        <w:rPr>
          <w:lang w:val="de-DE"/>
        </w:rPr>
        <w:t xml:space="preserve"> 19</w:t>
      </w:r>
      <w:r w:rsidR="00C54C53">
        <w:rPr>
          <w:lang w:val="de-DE"/>
        </w:rPr>
        <w:t xml:space="preserve"> dargelegt.</w:t>
      </w:r>
    </w:p>
    <w:p w:rsidR="00521E7F" w:rsidRPr="001845F6" w:rsidRDefault="00521E7F" w:rsidP="00521E7F">
      <w:pPr>
        <w:rPr>
          <w:lang w:val="de-DE"/>
        </w:rPr>
      </w:pPr>
    </w:p>
    <w:p w:rsidR="00521E7F" w:rsidRPr="007B42A9" w:rsidRDefault="00521E7F" w:rsidP="00521E7F">
      <w:pPr>
        <w:rPr>
          <w:lang w:val="de-DE"/>
        </w:rPr>
      </w:pPr>
      <w:r>
        <w:fldChar w:fldCharType="begin"/>
      </w:r>
      <w:r w:rsidRPr="001845F6">
        <w:rPr>
          <w:lang w:val="de-DE"/>
        </w:rPr>
        <w:instrText xml:space="preserve"> AUTONUM  </w:instrText>
      </w:r>
      <w:r>
        <w:fldChar w:fldCharType="end"/>
      </w:r>
      <w:r w:rsidRPr="001845F6">
        <w:rPr>
          <w:lang w:val="de-DE"/>
        </w:rPr>
        <w:tab/>
      </w:r>
      <w:r w:rsidR="00C54C53">
        <w:rPr>
          <w:lang w:val="de-DE"/>
        </w:rPr>
        <w:t xml:space="preserve">Der TC erinnerte daran, daß das Verbandsbüro ersucht worden war, Informationen über die Art der Informationen, die von bestehenden Datenbanken, die morphologische und/oder molekulare Daten enthalten, zur Aufnahme in die GENIE-Datenbank erfaßt werden sollten, abhängig von den verfügbaren Ressourcen für die Modifizierung der GENIE-Datenbank zu sammeln. Der TC vereinbarte, daß dies erst nach weiterer Klärung der Situation betreffend </w:t>
      </w:r>
      <w:proofErr w:type="gramStart"/>
      <w:r w:rsidR="00C54C53">
        <w:rPr>
          <w:lang w:val="de-DE"/>
        </w:rPr>
        <w:t>der Vertraulichkeit</w:t>
      </w:r>
      <w:proofErr w:type="gramEnd"/>
      <w:r w:rsidR="00C54C53">
        <w:rPr>
          <w:lang w:val="de-DE"/>
        </w:rPr>
        <w:t xml:space="preserve"> und Zugänglichkeit von Informationen in solchen Datenbanken Vorrang haben werde.</w:t>
      </w:r>
    </w:p>
    <w:p w:rsidR="00521E7F" w:rsidRPr="007B42A9" w:rsidRDefault="00521E7F" w:rsidP="00521E7F">
      <w:pPr>
        <w:rPr>
          <w:lang w:val="de-DE"/>
        </w:rPr>
      </w:pPr>
    </w:p>
    <w:p w:rsidR="00F36B3E" w:rsidRPr="007B42A9" w:rsidRDefault="00F36B3E" w:rsidP="00521E7F">
      <w:pPr>
        <w:rPr>
          <w:lang w:val="de-DE"/>
        </w:rPr>
      </w:pPr>
    </w:p>
    <w:p w:rsidR="00EF409F" w:rsidRPr="004B6E25" w:rsidRDefault="001C134C" w:rsidP="00EF409F">
      <w:pPr>
        <w:pStyle w:val="Heading1"/>
        <w:rPr>
          <w:lang w:val="de-DE"/>
        </w:rPr>
      </w:pPr>
      <w:bookmarkStart w:id="7" w:name="_Toc22470530"/>
      <w:bookmarkEnd w:id="6"/>
      <w:r w:rsidRPr="008D0C89">
        <w:rPr>
          <w:lang w:val="de-DE"/>
        </w:rPr>
        <w:t xml:space="preserve">ENTWICKLUNGEN </w:t>
      </w:r>
      <w:r w:rsidRPr="004B6E25">
        <w:rPr>
          <w:lang w:val="de-DE"/>
        </w:rPr>
        <w:t>SEIT DER TAGUNG DES TECHNISCHEN AUSSCHUSSES IM JAHR 2018</w:t>
      </w:r>
      <w:bookmarkEnd w:id="7"/>
      <w:r w:rsidRPr="004B6E25">
        <w:rPr>
          <w:lang w:val="de-DE"/>
        </w:rPr>
        <w:t xml:space="preserve"> </w:t>
      </w:r>
    </w:p>
    <w:p w:rsidR="00EF409F" w:rsidRPr="004B6E25" w:rsidRDefault="00EF409F" w:rsidP="00EF409F">
      <w:pPr>
        <w:rPr>
          <w:lang w:val="de-DE"/>
        </w:rPr>
      </w:pPr>
    </w:p>
    <w:p w:rsidR="00EF409F" w:rsidRPr="004B6E25" w:rsidRDefault="00EF409F" w:rsidP="00EF409F">
      <w:pPr>
        <w:pStyle w:val="Heading2"/>
        <w:rPr>
          <w:lang w:val="de-DE"/>
        </w:rPr>
      </w:pPr>
      <w:bookmarkStart w:id="8" w:name="_Toc22470531"/>
      <w:r w:rsidRPr="004B6E25">
        <w:rPr>
          <w:lang w:val="de-DE"/>
        </w:rPr>
        <w:t>Techni</w:t>
      </w:r>
      <w:r w:rsidR="001C134C" w:rsidRPr="004B6E25">
        <w:rPr>
          <w:lang w:val="de-DE"/>
        </w:rPr>
        <w:t>sche Arbeits</w:t>
      </w:r>
      <w:r w:rsidR="008D0C89">
        <w:rPr>
          <w:lang w:val="de-DE"/>
        </w:rPr>
        <w:t>g</w:t>
      </w:r>
      <w:r w:rsidR="001C134C" w:rsidRPr="004B6E25">
        <w:rPr>
          <w:lang w:val="de-DE"/>
        </w:rPr>
        <w:t>ruppen</w:t>
      </w:r>
      <w:bookmarkEnd w:id="8"/>
    </w:p>
    <w:p w:rsidR="00EF409F" w:rsidRPr="004B6E25" w:rsidRDefault="00EF409F" w:rsidP="00EF409F">
      <w:pPr>
        <w:rPr>
          <w:lang w:val="de-DE"/>
        </w:rPr>
      </w:pPr>
    </w:p>
    <w:p w:rsidR="00E536DD" w:rsidRPr="004B6E25" w:rsidRDefault="00E536DD" w:rsidP="00EF409F">
      <w:pPr>
        <w:rPr>
          <w:lang w:val="de-DE"/>
        </w:rPr>
      </w:pPr>
      <w:r w:rsidRPr="004B6E25">
        <w:fldChar w:fldCharType="begin"/>
      </w:r>
      <w:r w:rsidRPr="004B6E25">
        <w:rPr>
          <w:lang w:val="de-DE"/>
        </w:rPr>
        <w:instrText xml:space="preserve"> AUTONUM  </w:instrText>
      </w:r>
      <w:r w:rsidRPr="004B6E25">
        <w:fldChar w:fldCharType="end"/>
      </w:r>
      <w:r w:rsidRPr="004B6E25">
        <w:rPr>
          <w:lang w:val="de-DE"/>
        </w:rPr>
        <w:tab/>
      </w:r>
      <w:r w:rsidR="001C134C" w:rsidRPr="004B6E25">
        <w:rPr>
          <w:lang w:val="de-DE"/>
        </w:rPr>
        <w:t>Im Jahr 2018 hielt die TWF ihre Tagung nach der Tagung des Technischen Ausschusses ab.</w:t>
      </w:r>
      <w:r w:rsidR="006D0578" w:rsidRPr="004B6E25">
        <w:rPr>
          <w:lang w:val="de-DE"/>
        </w:rPr>
        <w:t xml:space="preserve"> </w:t>
      </w:r>
      <w:r w:rsidR="001C134C" w:rsidRPr="004B6E25">
        <w:rPr>
          <w:lang w:val="de-DE"/>
        </w:rPr>
        <w:t>Die TWF prüfte Dokument TWP/2/2 „Datenbanken für Sortenbeschreibungen“ und nahm die in dem Dokument berichteten Entwicklungen zur Kenntnis (vergleiche Dokument TWF/49/12 „</w:t>
      </w:r>
      <w:r w:rsidR="001C134C" w:rsidRPr="004B6E25">
        <w:rPr>
          <w:i/>
          <w:lang w:val="de-DE"/>
        </w:rPr>
        <w:t>Repor</w:t>
      </w:r>
      <w:r w:rsidR="001C134C" w:rsidRPr="004B6E25">
        <w:rPr>
          <w:lang w:val="de-DE"/>
        </w:rPr>
        <w:t>t”, Absatz 94).</w:t>
      </w:r>
    </w:p>
    <w:p w:rsidR="00E536DD" w:rsidRPr="004B6E25" w:rsidRDefault="00E536DD" w:rsidP="00EF409F">
      <w:pPr>
        <w:rPr>
          <w:lang w:val="de-DE"/>
        </w:rPr>
      </w:pPr>
    </w:p>
    <w:p w:rsidR="00EF409F" w:rsidRPr="00A36545" w:rsidRDefault="00EF409F" w:rsidP="00EF409F">
      <w:pPr>
        <w:keepNext/>
        <w:rPr>
          <w:lang w:val="de-DE"/>
        </w:rPr>
      </w:pPr>
      <w:r w:rsidRPr="004B6E25">
        <w:fldChar w:fldCharType="begin"/>
      </w:r>
      <w:r w:rsidRPr="004B6E25">
        <w:rPr>
          <w:lang w:val="de-DE"/>
        </w:rPr>
        <w:instrText xml:space="preserve"> AUTONUM  </w:instrText>
      </w:r>
      <w:r w:rsidRPr="004B6E25">
        <w:fldChar w:fldCharType="end"/>
      </w:r>
      <w:r w:rsidRPr="004B6E25">
        <w:rPr>
          <w:lang w:val="de-DE"/>
        </w:rPr>
        <w:tab/>
      </w:r>
      <w:r w:rsidR="001C134C" w:rsidRPr="004B6E25">
        <w:rPr>
          <w:lang w:val="de-DE"/>
        </w:rPr>
        <w:t>Auf ihren Tagungen im Jahr 2019 prüften die TWO, die TWV, die TWF und die TWA das Dokument TWP/3/2 „Datenbanken für Sortenbeschreibungen“ (vergleiche Dokumente TWO/51</w:t>
      </w:r>
      <w:r w:rsidR="00A36545">
        <w:rPr>
          <w:lang w:val="de-DE"/>
        </w:rPr>
        <w:t>/12 „</w:t>
      </w:r>
      <w:r w:rsidR="00A36545" w:rsidRPr="00D26055">
        <w:rPr>
          <w:i/>
          <w:lang w:val="de-DE"/>
        </w:rPr>
        <w:t>Report</w:t>
      </w:r>
      <w:r w:rsidR="00A36545">
        <w:rPr>
          <w:lang w:val="de-DE"/>
        </w:rPr>
        <w:t>“, Absätze 90 bis 92,</w:t>
      </w:r>
      <w:r w:rsidR="001C134C" w:rsidRPr="004B6E25">
        <w:rPr>
          <w:lang w:val="de-DE"/>
        </w:rPr>
        <w:t xml:space="preserve"> TWV/53/14 Rev. </w:t>
      </w:r>
      <w:r w:rsidR="001C134C" w:rsidRPr="00A36545">
        <w:rPr>
          <w:lang w:val="de-DE"/>
        </w:rPr>
        <w:t>„</w:t>
      </w:r>
      <w:proofErr w:type="spellStart"/>
      <w:r w:rsidR="001C134C" w:rsidRPr="00A36545">
        <w:rPr>
          <w:i/>
          <w:lang w:val="de-DE"/>
        </w:rPr>
        <w:t>Revised</w:t>
      </w:r>
      <w:proofErr w:type="spellEnd"/>
      <w:r w:rsidR="001C134C" w:rsidRPr="00A36545">
        <w:rPr>
          <w:i/>
          <w:lang w:val="de-DE"/>
        </w:rPr>
        <w:t xml:space="preserve"> Report</w:t>
      </w:r>
      <w:r w:rsidR="00A36545">
        <w:rPr>
          <w:lang w:val="de-DE"/>
        </w:rPr>
        <w:t>“ Absätze 110 bis 112,</w:t>
      </w:r>
      <w:r w:rsidR="001C134C" w:rsidRPr="00A36545">
        <w:rPr>
          <w:lang w:val="de-DE"/>
        </w:rPr>
        <w:t xml:space="preserve"> TWF/50/13 „</w:t>
      </w:r>
      <w:r w:rsidR="001C134C" w:rsidRPr="00A36545">
        <w:rPr>
          <w:i/>
          <w:lang w:val="de-DE"/>
        </w:rPr>
        <w:t>Report</w:t>
      </w:r>
      <w:r w:rsidR="00A36545">
        <w:rPr>
          <w:lang w:val="de-DE"/>
        </w:rPr>
        <w:t>“, Absätze 116 bis 118</w:t>
      </w:r>
      <w:r w:rsidR="001C134C" w:rsidRPr="00A36545">
        <w:rPr>
          <w:lang w:val="de-DE"/>
        </w:rPr>
        <w:t xml:space="preserve"> und TWA/48/9 „</w:t>
      </w:r>
      <w:r w:rsidR="001C134C" w:rsidRPr="00D26055">
        <w:rPr>
          <w:i/>
          <w:lang w:val="de-DE"/>
        </w:rPr>
        <w:t>Report</w:t>
      </w:r>
      <w:r w:rsidR="001C134C" w:rsidRPr="00A36545">
        <w:rPr>
          <w:lang w:val="de-DE"/>
        </w:rPr>
        <w:t>“, Absätze 101 bis 103).</w:t>
      </w:r>
    </w:p>
    <w:p w:rsidR="00EF409F" w:rsidRPr="00A36545" w:rsidRDefault="00EF409F" w:rsidP="00EF409F">
      <w:pPr>
        <w:rPr>
          <w:lang w:val="de-DE"/>
        </w:rPr>
      </w:pPr>
    </w:p>
    <w:p w:rsidR="000E0DB3" w:rsidRPr="004B6E25" w:rsidRDefault="000E0DB3" w:rsidP="000E0DB3">
      <w:pPr>
        <w:rPr>
          <w:lang w:val="de-DE"/>
        </w:rPr>
      </w:pPr>
      <w:r w:rsidRPr="004B6E25">
        <w:fldChar w:fldCharType="begin"/>
      </w:r>
      <w:r w:rsidRPr="004B6E25">
        <w:rPr>
          <w:lang w:val="de-DE"/>
        </w:rPr>
        <w:instrText xml:space="preserve"> AUTONUM  </w:instrText>
      </w:r>
      <w:r w:rsidRPr="004B6E25">
        <w:fldChar w:fldCharType="end"/>
      </w:r>
      <w:r w:rsidRPr="004B6E25">
        <w:rPr>
          <w:lang w:val="de-DE"/>
        </w:rPr>
        <w:tab/>
      </w:r>
      <w:r w:rsidR="001C134C" w:rsidRPr="004B6E25">
        <w:rPr>
          <w:lang w:val="de-DE"/>
        </w:rPr>
        <w:t>Die TWO, TWV, TWF und TWA nahmen zur Kenntnis, daß der TC auf seiner v</w:t>
      </w:r>
      <w:r w:rsidR="00A36545">
        <w:rPr>
          <w:lang w:val="de-DE"/>
        </w:rPr>
        <w:t>ierundfünfzigsten Tagung mit der</w:t>
      </w:r>
      <w:r w:rsidR="001C134C" w:rsidRPr="004B6E25">
        <w:rPr>
          <w:lang w:val="de-DE"/>
        </w:rPr>
        <w:t xml:space="preserve"> TWF darin übereinge</w:t>
      </w:r>
      <w:r w:rsidR="00A36545">
        <w:rPr>
          <w:lang w:val="de-DE"/>
        </w:rPr>
        <w:t>stimmt hab</w:t>
      </w:r>
      <w:r w:rsidR="001C134C" w:rsidRPr="004B6E25">
        <w:rPr>
          <w:lang w:val="de-DE"/>
        </w:rPr>
        <w:t>e, daß der erste Schritt vor dem Aufbau einer Datenbank darin bestehen sollte, sich auf die zu teilenden Informationen, das Format für den Austausch und die Speicherung der Informationen zu einigen</w:t>
      </w:r>
      <w:r w:rsidRPr="004B6E25">
        <w:rPr>
          <w:lang w:val="de-DE"/>
        </w:rPr>
        <w:t>.</w:t>
      </w:r>
    </w:p>
    <w:p w:rsidR="000E0DB3" w:rsidRPr="004B6E25" w:rsidRDefault="000E0DB3" w:rsidP="000E0DB3">
      <w:pPr>
        <w:rPr>
          <w:lang w:val="de-DE"/>
        </w:rPr>
      </w:pPr>
    </w:p>
    <w:p w:rsidR="000E0DB3" w:rsidRPr="004B6E25" w:rsidRDefault="000E0DB3" w:rsidP="000E0DB3">
      <w:pPr>
        <w:rPr>
          <w:lang w:val="de-DE"/>
        </w:rPr>
      </w:pPr>
      <w:r w:rsidRPr="004B6E25">
        <w:fldChar w:fldCharType="begin"/>
      </w:r>
      <w:r w:rsidRPr="004B6E25">
        <w:rPr>
          <w:lang w:val="de-DE"/>
        </w:rPr>
        <w:instrText xml:space="preserve"> AUTONUM  </w:instrText>
      </w:r>
      <w:r w:rsidRPr="004B6E25">
        <w:fldChar w:fldCharType="end"/>
      </w:r>
      <w:r w:rsidRPr="004B6E25">
        <w:rPr>
          <w:lang w:val="de-DE"/>
        </w:rPr>
        <w:tab/>
      </w:r>
      <w:r w:rsidR="004B6E25" w:rsidRPr="004B6E25">
        <w:rPr>
          <w:lang w:val="de-DE"/>
        </w:rPr>
        <w:t xml:space="preserve">Die TWO, </w:t>
      </w:r>
      <w:proofErr w:type="gramStart"/>
      <w:r w:rsidR="004B6E25" w:rsidRPr="004B6E25">
        <w:rPr>
          <w:lang w:val="de-DE"/>
        </w:rPr>
        <w:t>TWV,TWF</w:t>
      </w:r>
      <w:proofErr w:type="gramEnd"/>
      <w:r w:rsidR="004B6E25" w:rsidRPr="004B6E25">
        <w:rPr>
          <w:lang w:val="de-DE"/>
        </w:rPr>
        <w:t xml:space="preserve"> und TWA nahmen zur Kenntnis, daß der TC auf seiner vierundfünfzigsten Tagung dem V</w:t>
      </w:r>
      <w:r w:rsidR="00A36545">
        <w:rPr>
          <w:lang w:val="de-DE"/>
        </w:rPr>
        <w:t>orschlag der BMT zugestimmt hab</w:t>
      </w:r>
      <w:r w:rsidR="004B6E25" w:rsidRPr="004B6E25">
        <w:rPr>
          <w:lang w:val="de-DE"/>
        </w:rPr>
        <w:t>e, daß in einem ersten Schritt die Erörterungen über Eigentumsfragen, Vertraulichkeit, Zugang zu Daten und Material, Arbeitsbewilligungen und Verfügbarkeit von Ergebnissen und Informationen für Partner gesammelt werden sollten.</w:t>
      </w:r>
    </w:p>
    <w:p w:rsidR="000E0DB3" w:rsidRPr="004B6E25" w:rsidRDefault="000E0DB3" w:rsidP="000E0DB3">
      <w:pPr>
        <w:rPr>
          <w:spacing w:val="2"/>
          <w:lang w:val="de-DE"/>
        </w:rPr>
      </w:pPr>
    </w:p>
    <w:p w:rsidR="00EF409F" w:rsidRPr="004B6E25" w:rsidRDefault="00EF409F" w:rsidP="00B2724D">
      <w:pPr>
        <w:rPr>
          <w:spacing w:val="2"/>
          <w:lang w:val="de-DE"/>
        </w:rPr>
      </w:pPr>
      <w:r w:rsidRPr="004B6E25">
        <w:rPr>
          <w:spacing w:val="2"/>
        </w:rPr>
        <w:fldChar w:fldCharType="begin"/>
      </w:r>
      <w:r w:rsidRPr="004B6E25">
        <w:rPr>
          <w:spacing w:val="2"/>
          <w:lang w:val="de-DE"/>
        </w:rPr>
        <w:instrText xml:space="preserve"> AUTONUM  </w:instrText>
      </w:r>
      <w:r w:rsidRPr="004B6E25">
        <w:rPr>
          <w:spacing w:val="2"/>
        </w:rPr>
        <w:fldChar w:fldCharType="end"/>
      </w:r>
      <w:r w:rsidRPr="004B6E25">
        <w:rPr>
          <w:spacing w:val="2"/>
          <w:lang w:val="de-DE"/>
        </w:rPr>
        <w:tab/>
      </w:r>
      <w:r w:rsidR="004B6E25" w:rsidRPr="004B6E25">
        <w:rPr>
          <w:spacing w:val="2"/>
          <w:lang w:val="de-DE"/>
        </w:rPr>
        <w:t>Über Entwicklungen auf der si</w:t>
      </w:r>
      <w:bookmarkStart w:id="9" w:name="_GoBack"/>
      <w:bookmarkEnd w:id="9"/>
      <w:r w:rsidR="004B6E25" w:rsidRPr="004B6E25">
        <w:rPr>
          <w:spacing w:val="2"/>
          <w:lang w:val="de-DE"/>
        </w:rPr>
        <w:t>ebenunddreißigsten Tagung der TWC vom 14. bis 16. Oktober 2019 in Hangzhou, China, und auf der achtzehnten Tagung der BMT vom 16. bis 18. Oktober 2019 in Hangzhou, China, wird in einer Ergänzung zu diesem Dokument berichtet werden</w:t>
      </w:r>
      <w:r w:rsidR="00AF055F" w:rsidRPr="008D0C89">
        <w:rPr>
          <w:spacing w:val="2"/>
          <w:lang w:val="de-DE"/>
        </w:rPr>
        <w:t>.</w:t>
      </w:r>
    </w:p>
    <w:p w:rsidR="00B2724D" w:rsidRPr="004B6E25" w:rsidRDefault="00B2724D" w:rsidP="00B2724D">
      <w:pPr>
        <w:rPr>
          <w:lang w:val="de-DE"/>
        </w:rPr>
      </w:pPr>
    </w:p>
    <w:p w:rsidR="00EF409F" w:rsidRPr="004B6E25" w:rsidRDefault="00EF409F" w:rsidP="00EF409F">
      <w:pPr>
        <w:rPr>
          <w:lang w:val="de-DE"/>
        </w:rPr>
      </w:pPr>
    </w:p>
    <w:p w:rsidR="00EF409F" w:rsidRPr="004B6E25" w:rsidRDefault="00EF409F" w:rsidP="00EF409F">
      <w:pPr>
        <w:rPr>
          <w:lang w:val="de-DE"/>
        </w:rPr>
      </w:pPr>
    </w:p>
    <w:p w:rsidR="00050E16" w:rsidRPr="008D0C89" w:rsidRDefault="007B42A9" w:rsidP="00F229D4">
      <w:pPr>
        <w:jc w:val="right"/>
        <w:rPr>
          <w:lang w:val="de-DE"/>
        </w:rPr>
      </w:pPr>
      <w:r w:rsidRPr="008D0C89">
        <w:rPr>
          <w:lang w:val="de-DE"/>
        </w:rPr>
        <w:t>[Ende des Dokuments]</w:t>
      </w:r>
    </w:p>
    <w:sectPr w:rsidR="00050E16" w:rsidRPr="008D0C89"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89" w:rsidRDefault="00586489" w:rsidP="006655D3">
      <w:r>
        <w:separator/>
      </w:r>
    </w:p>
    <w:p w:rsidR="00586489" w:rsidRDefault="00586489" w:rsidP="006655D3"/>
    <w:p w:rsidR="00586489" w:rsidRDefault="00586489" w:rsidP="006655D3"/>
  </w:endnote>
  <w:endnote w:type="continuationSeparator" w:id="0">
    <w:p w:rsidR="00586489" w:rsidRDefault="00586489" w:rsidP="006655D3">
      <w:r>
        <w:separator/>
      </w:r>
    </w:p>
    <w:p w:rsidR="00586489" w:rsidRPr="00294751" w:rsidRDefault="00586489">
      <w:pPr>
        <w:pStyle w:val="Footer"/>
        <w:spacing w:after="60"/>
        <w:rPr>
          <w:sz w:val="18"/>
          <w:lang w:val="fr-FR"/>
        </w:rPr>
      </w:pPr>
      <w:r w:rsidRPr="00294751">
        <w:rPr>
          <w:sz w:val="18"/>
          <w:lang w:val="fr-FR"/>
        </w:rPr>
        <w:t>[Suite de la note de la page précédente]</w:t>
      </w:r>
    </w:p>
    <w:p w:rsidR="00586489" w:rsidRPr="00294751" w:rsidRDefault="00586489" w:rsidP="006655D3">
      <w:pPr>
        <w:rPr>
          <w:lang w:val="fr-FR"/>
        </w:rPr>
      </w:pPr>
    </w:p>
    <w:p w:rsidR="00586489" w:rsidRPr="00294751" w:rsidRDefault="00586489" w:rsidP="006655D3">
      <w:pPr>
        <w:rPr>
          <w:lang w:val="fr-FR"/>
        </w:rPr>
      </w:pPr>
    </w:p>
  </w:endnote>
  <w:endnote w:type="continuationNotice" w:id="1">
    <w:p w:rsidR="00586489" w:rsidRPr="00294751" w:rsidRDefault="00586489" w:rsidP="006655D3">
      <w:pPr>
        <w:rPr>
          <w:lang w:val="fr-FR"/>
        </w:rPr>
      </w:pPr>
      <w:r w:rsidRPr="00294751">
        <w:rPr>
          <w:lang w:val="fr-FR"/>
        </w:rPr>
        <w:t>[Suite de la note page suivante]</w:t>
      </w:r>
    </w:p>
    <w:p w:rsidR="00586489" w:rsidRPr="00294751" w:rsidRDefault="00586489" w:rsidP="006655D3">
      <w:pPr>
        <w:rPr>
          <w:lang w:val="fr-FR"/>
        </w:rPr>
      </w:pPr>
    </w:p>
    <w:p w:rsidR="00586489" w:rsidRPr="00294751" w:rsidRDefault="005864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89" w:rsidRDefault="00586489" w:rsidP="006655D3">
      <w:r>
        <w:separator/>
      </w:r>
    </w:p>
  </w:footnote>
  <w:footnote w:type="continuationSeparator" w:id="0">
    <w:p w:rsidR="00586489" w:rsidRDefault="00586489" w:rsidP="006655D3">
      <w:r>
        <w:separator/>
      </w:r>
    </w:p>
  </w:footnote>
  <w:footnote w:type="continuationNotice" w:id="1">
    <w:p w:rsidR="00586489" w:rsidRPr="00AB530F" w:rsidRDefault="0058648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B105E1">
      <w:rPr>
        <w:rStyle w:val="PageNumber"/>
        <w:lang w:val="en-US"/>
      </w:rPr>
      <w:t>55/INF/3</w:t>
    </w:r>
  </w:p>
  <w:p w:rsidR="00182B99" w:rsidRPr="00C5280D" w:rsidRDefault="00F229D4" w:rsidP="00EB048E">
    <w:pPr>
      <w:pStyle w:val="Header"/>
      <w:rPr>
        <w:lang w:val="en-US"/>
      </w:rPr>
    </w:pPr>
    <w:r>
      <w:rPr>
        <w:lang w:val="en-US"/>
      </w:rPr>
      <w:t>Seite</w:t>
    </w:r>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751F2C">
      <w:rPr>
        <w:rStyle w:val="PageNumber"/>
        <w:noProof/>
        <w:lang w:val="en-US"/>
      </w:rPr>
      <w:t>2</w:t>
    </w:r>
    <w:r w:rsidR="00182B99"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77660"/>
    <w:rsid w:val="00085505"/>
    <w:rsid w:val="000C4E25"/>
    <w:rsid w:val="000C7021"/>
    <w:rsid w:val="000D6BBC"/>
    <w:rsid w:val="000D7780"/>
    <w:rsid w:val="000E0DB3"/>
    <w:rsid w:val="000E636A"/>
    <w:rsid w:val="000F2F11"/>
    <w:rsid w:val="00105929"/>
    <w:rsid w:val="00110C36"/>
    <w:rsid w:val="001131D5"/>
    <w:rsid w:val="00141DB8"/>
    <w:rsid w:val="001548C8"/>
    <w:rsid w:val="00172084"/>
    <w:rsid w:val="0017474A"/>
    <w:rsid w:val="001758C6"/>
    <w:rsid w:val="00182B99"/>
    <w:rsid w:val="00183D24"/>
    <w:rsid w:val="001845F6"/>
    <w:rsid w:val="001A473A"/>
    <w:rsid w:val="001C134C"/>
    <w:rsid w:val="001D36AC"/>
    <w:rsid w:val="001F0B7B"/>
    <w:rsid w:val="0021332C"/>
    <w:rsid w:val="00213982"/>
    <w:rsid w:val="0024416D"/>
    <w:rsid w:val="00271911"/>
    <w:rsid w:val="002800A0"/>
    <w:rsid w:val="002801B3"/>
    <w:rsid w:val="00281060"/>
    <w:rsid w:val="002940E8"/>
    <w:rsid w:val="00294751"/>
    <w:rsid w:val="002A6E50"/>
    <w:rsid w:val="002B4298"/>
    <w:rsid w:val="002C256A"/>
    <w:rsid w:val="00304827"/>
    <w:rsid w:val="00305A7F"/>
    <w:rsid w:val="003124CE"/>
    <w:rsid w:val="003152FE"/>
    <w:rsid w:val="00321EDE"/>
    <w:rsid w:val="00327436"/>
    <w:rsid w:val="003418E6"/>
    <w:rsid w:val="00344BD6"/>
    <w:rsid w:val="00352B9A"/>
    <w:rsid w:val="0035528D"/>
    <w:rsid w:val="00361821"/>
    <w:rsid w:val="00361E9E"/>
    <w:rsid w:val="00382007"/>
    <w:rsid w:val="003C7FBE"/>
    <w:rsid w:val="003D227C"/>
    <w:rsid w:val="003D2B4D"/>
    <w:rsid w:val="003D41CD"/>
    <w:rsid w:val="003E646B"/>
    <w:rsid w:val="00413A59"/>
    <w:rsid w:val="00444A88"/>
    <w:rsid w:val="00474DA4"/>
    <w:rsid w:val="00476B4D"/>
    <w:rsid w:val="004805FA"/>
    <w:rsid w:val="004935D2"/>
    <w:rsid w:val="004A6CF8"/>
    <w:rsid w:val="004B1215"/>
    <w:rsid w:val="004B6E25"/>
    <w:rsid w:val="004D047D"/>
    <w:rsid w:val="004F1E9E"/>
    <w:rsid w:val="004F305A"/>
    <w:rsid w:val="00512164"/>
    <w:rsid w:val="00520297"/>
    <w:rsid w:val="00521E7F"/>
    <w:rsid w:val="005265D8"/>
    <w:rsid w:val="005338F9"/>
    <w:rsid w:val="00536FFD"/>
    <w:rsid w:val="0054281C"/>
    <w:rsid w:val="00544581"/>
    <w:rsid w:val="0055268D"/>
    <w:rsid w:val="00576BE4"/>
    <w:rsid w:val="00586489"/>
    <w:rsid w:val="005A400A"/>
    <w:rsid w:val="005B46E9"/>
    <w:rsid w:val="005C3E92"/>
    <w:rsid w:val="005D30B3"/>
    <w:rsid w:val="005F7B92"/>
    <w:rsid w:val="00605115"/>
    <w:rsid w:val="00612379"/>
    <w:rsid w:val="006153B6"/>
    <w:rsid w:val="0061555F"/>
    <w:rsid w:val="00636CA6"/>
    <w:rsid w:val="00641200"/>
    <w:rsid w:val="00645CA8"/>
    <w:rsid w:val="006655D3"/>
    <w:rsid w:val="00667404"/>
    <w:rsid w:val="006716C1"/>
    <w:rsid w:val="00687EB4"/>
    <w:rsid w:val="00695C56"/>
    <w:rsid w:val="006A5CDE"/>
    <w:rsid w:val="006A644A"/>
    <w:rsid w:val="006B17D2"/>
    <w:rsid w:val="006C224E"/>
    <w:rsid w:val="006D0578"/>
    <w:rsid w:val="006D7435"/>
    <w:rsid w:val="006D780A"/>
    <w:rsid w:val="00700A9B"/>
    <w:rsid w:val="007059F0"/>
    <w:rsid w:val="0071271E"/>
    <w:rsid w:val="00732DEC"/>
    <w:rsid w:val="00735BD5"/>
    <w:rsid w:val="00751613"/>
    <w:rsid w:val="00751F2C"/>
    <w:rsid w:val="007556F6"/>
    <w:rsid w:val="00760EEF"/>
    <w:rsid w:val="00777EE5"/>
    <w:rsid w:val="00784836"/>
    <w:rsid w:val="0079023E"/>
    <w:rsid w:val="007A2854"/>
    <w:rsid w:val="007B42A9"/>
    <w:rsid w:val="007C1D92"/>
    <w:rsid w:val="007C4CB9"/>
    <w:rsid w:val="007D0B9D"/>
    <w:rsid w:val="007D19B0"/>
    <w:rsid w:val="007F498F"/>
    <w:rsid w:val="00800F81"/>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0C89"/>
    <w:rsid w:val="008D2CF7"/>
    <w:rsid w:val="008D7E86"/>
    <w:rsid w:val="00900C26"/>
    <w:rsid w:val="00900C6F"/>
    <w:rsid w:val="0090197F"/>
    <w:rsid w:val="00906DDC"/>
    <w:rsid w:val="00934E09"/>
    <w:rsid w:val="00936253"/>
    <w:rsid w:val="00940D46"/>
    <w:rsid w:val="00952DD4"/>
    <w:rsid w:val="00965AE7"/>
    <w:rsid w:val="00970FED"/>
    <w:rsid w:val="00983ED6"/>
    <w:rsid w:val="00992D82"/>
    <w:rsid w:val="00997029"/>
    <w:rsid w:val="009A7339"/>
    <w:rsid w:val="009B440E"/>
    <w:rsid w:val="009D083B"/>
    <w:rsid w:val="009D690D"/>
    <w:rsid w:val="009E65B6"/>
    <w:rsid w:val="00A0132D"/>
    <w:rsid w:val="00A04A26"/>
    <w:rsid w:val="00A24C10"/>
    <w:rsid w:val="00A36545"/>
    <w:rsid w:val="00A37C2B"/>
    <w:rsid w:val="00A42AC3"/>
    <w:rsid w:val="00A430CF"/>
    <w:rsid w:val="00A54309"/>
    <w:rsid w:val="00A86BDA"/>
    <w:rsid w:val="00AB2B93"/>
    <w:rsid w:val="00AB530F"/>
    <w:rsid w:val="00AB7E5B"/>
    <w:rsid w:val="00AC2491"/>
    <w:rsid w:val="00AC2883"/>
    <w:rsid w:val="00AC6B05"/>
    <w:rsid w:val="00AE0EF1"/>
    <w:rsid w:val="00AE2937"/>
    <w:rsid w:val="00AE6377"/>
    <w:rsid w:val="00AF055F"/>
    <w:rsid w:val="00B07301"/>
    <w:rsid w:val="00B105E1"/>
    <w:rsid w:val="00B10A82"/>
    <w:rsid w:val="00B11F3E"/>
    <w:rsid w:val="00B224DE"/>
    <w:rsid w:val="00B2724D"/>
    <w:rsid w:val="00B324D4"/>
    <w:rsid w:val="00B46575"/>
    <w:rsid w:val="00B61777"/>
    <w:rsid w:val="00B65691"/>
    <w:rsid w:val="00B74056"/>
    <w:rsid w:val="00B84BBD"/>
    <w:rsid w:val="00B91C9D"/>
    <w:rsid w:val="00BA43FB"/>
    <w:rsid w:val="00BC127D"/>
    <w:rsid w:val="00BC1FE6"/>
    <w:rsid w:val="00BF11ED"/>
    <w:rsid w:val="00C061B6"/>
    <w:rsid w:val="00C2446C"/>
    <w:rsid w:val="00C36AE5"/>
    <w:rsid w:val="00C41F17"/>
    <w:rsid w:val="00C527FA"/>
    <w:rsid w:val="00C5280D"/>
    <w:rsid w:val="00C53EB3"/>
    <w:rsid w:val="00C54C53"/>
    <w:rsid w:val="00C5791C"/>
    <w:rsid w:val="00C66290"/>
    <w:rsid w:val="00C72B7A"/>
    <w:rsid w:val="00C85370"/>
    <w:rsid w:val="00C973F2"/>
    <w:rsid w:val="00CA304C"/>
    <w:rsid w:val="00CA774A"/>
    <w:rsid w:val="00CC11B0"/>
    <w:rsid w:val="00CC2841"/>
    <w:rsid w:val="00CF1330"/>
    <w:rsid w:val="00CF7E36"/>
    <w:rsid w:val="00D26055"/>
    <w:rsid w:val="00D326F9"/>
    <w:rsid w:val="00D3708D"/>
    <w:rsid w:val="00D40426"/>
    <w:rsid w:val="00D428EA"/>
    <w:rsid w:val="00D57C96"/>
    <w:rsid w:val="00D57D18"/>
    <w:rsid w:val="00D63C53"/>
    <w:rsid w:val="00D91203"/>
    <w:rsid w:val="00D95174"/>
    <w:rsid w:val="00DA4973"/>
    <w:rsid w:val="00DA6F36"/>
    <w:rsid w:val="00DB596E"/>
    <w:rsid w:val="00DB7773"/>
    <w:rsid w:val="00DC00EA"/>
    <w:rsid w:val="00DC3802"/>
    <w:rsid w:val="00DF67C6"/>
    <w:rsid w:val="00E07D87"/>
    <w:rsid w:val="00E16E53"/>
    <w:rsid w:val="00E2109F"/>
    <w:rsid w:val="00E32F7E"/>
    <w:rsid w:val="00E5267B"/>
    <w:rsid w:val="00E536DD"/>
    <w:rsid w:val="00E63C0E"/>
    <w:rsid w:val="00E72D49"/>
    <w:rsid w:val="00E7593C"/>
    <w:rsid w:val="00E7678A"/>
    <w:rsid w:val="00E935F1"/>
    <w:rsid w:val="00E94A81"/>
    <w:rsid w:val="00EA1FFB"/>
    <w:rsid w:val="00EB048E"/>
    <w:rsid w:val="00EB3A9F"/>
    <w:rsid w:val="00EB4E9C"/>
    <w:rsid w:val="00EE34DF"/>
    <w:rsid w:val="00EF2F89"/>
    <w:rsid w:val="00EF409F"/>
    <w:rsid w:val="00F03E98"/>
    <w:rsid w:val="00F1237A"/>
    <w:rsid w:val="00F229D4"/>
    <w:rsid w:val="00F22CBD"/>
    <w:rsid w:val="00F272F1"/>
    <w:rsid w:val="00F36B3E"/>
    <w:rsid w:val="00F45372"/>
    <w:rsid w:val="00F524E3"/>
    <w:rsid w:val="00F560F7"/>
    <w:rsid w:val="00F6334D"/>
    <w:rsid w:val="00F85847"/>
    <w:rsid w:val="00FA49AB"/>
    <w:rsid w:val="00FB6BDA"/>
    <w:rsid w:val="00FE39C7"/>
    <w:rsid w:val="00FF4D07"/>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5CDF7"/>
  <w15:docId w15:val="{C1B27487-37FF-4042-8F2B-1D7F540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FF5FE3"/>
    <w:pPr>
      <w:tabs>
        <w:tab w:val="right" w:leader="dot" w:pos="9639"/>
      </w:tabs>
      <w:ind w:left="284" w:right="851"/>
      <w:contextualSpacing/>
    </w:pPr>
    <w:rPr>
      <w:rFonts w:ascii="Arial" w:hAnsi="Arial"/>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6716C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EF409F"/>
    <w:rPr>
      <w:rFonts w:ascii="Arial" w:hAnsi="Arial"/>
      <w:u w:val="single"/>
    </w:rPr>
  </w:style>
  <w:style w:type="character" w:customStyle="1" w:styleId="Heading1Char">
    <w:name w:val="Heading 1 Char"/>
    <w:basedOn w:val="DefaultParagraphFont"/>
    <w:link w:val="Heading1"/>
    <w:rsid w:val="007B42A9"/>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902">
      <w:bodyDiv w:val="1"/>
      <w:marLeft w:val="0"/>
      <w:marRight w:val="0"/>
      <w:marTop w:val="0"/>
      <w:marBottom w:val="0"/>
      <w:divBdr>
        <w:top w:val="none" w:sz="0" w:space="0" w:color="auto"/>
        <w:left w:val="none" w:sz="0" w:space="0" w:color="auto"/>
        <w:bottom w:val="none" w:sz="0" w:space="0" w:color="auto"/>
        <w:right w:val="none" w:sz="0" w:space="0" w:color="auto"/>
      </w:divBdr>
    </w:div>
    <w:div w:id="44499219">
      <w:bodyDiv w:val="1"/>
      <w:marLeft w:val="0"/>
      <w:marRight w:val="0"/>
      <w:marTop w:val="0"/>
      <w:marBottom w:val="0"/>
      <w:divBdr>
        <w:top w:val="none" w:sz="0" w:space="0" w:color="auto"/>
        <w:left w:val="none" w:sz="0" w:space="0" w:color="auto"/>
        <w:bottom w:val="none" w:sz="0" w:space="0" w:color="auto"/>
        <w:right w:val="none" w:sz="0" w:space="0" w:color="auto"/>
      </w:divBdr>
    </w:div>
    <w:div w:id="407653404">
      <w:bodyDiv w:val="1"/>
      <w:marLeft w:val="0"/>
      <w:marRight w:val="0"/>
      <w:marTop w:val="0"/>
      <w:marBottom w:val="0"/>
      <w:divBdr>
        <w:top w:val="none" w:sz="0" w:space="0" w:color="auto"/>
        <w:left w:val="none" w:sz="0" w:space="0" w:color="auto"/>
        <w:bottom w:val="none" w:sz="0" w:space="0" w:color="auto"/>
        <w:right w:val="none" w:sz="0" w:space="0" w:color="auto"/>
      </w:divBdr>
    </w:div>
    <w:div w:id="815489053">
      <w:bodyDiv w:val="1"/>
      <w:marLeft w:val="0"/>
      <w:marRight w:val="0"/>
      <w:marTop w:val="0"/>
      <w:marBottom w:val="0"/>
      <w:divBdr>
        <w:top w:val="none" w:sz="0" w:space="0" w:color="auto"/>
        <w:left w:val="none" w:sz="0" w:space="0" w:color="auto"/>
        <w:bottom w:val="none" w:sz="0" w:space="0" w:color="auto"/>
        <w:right w:val="none" w:sz="0" w:space="0" w:color="auto"/>
      </w:divBdr>
    </w:div>
    <w:div w:id="950555683">
      <w:bodyDiv w:val="1"/>
      <w:marLeft w:val="0"/>
      <w:marRight w:val="0"/>
      <w:marTop w:val="0"/>
      <w:marBottom w:val="0"/>
      <w:divBdr>
        <w:top w:val="none" w:sz="0" w:space="0" w:color="auto"/>
        <w:left w:val="none" w:sz="0" w:space="0" w:color="auto"/>
        <w:bottom w:val="none" w:sz="0" w:space="0" w:color="auto"/>
        <w:right w:val="none" w:sz="0" w:space="0" w:color="auto"/>
      </w:divBdr>
    </w:div>
    <w:div w:id="960113564">
      <w:bodyDiv w:val="1"/>
      <w:marLeft w:val="0"/>
      <w:marRight w:val="0"/>
      <w:marTop w:val="0"/>
      <w:marBottom w:val="0"/>
      <w:divBdr>
        <w:top w:val="none" w:sz="0" w:space="0" w:color="auto"/>
        <w:left w:val="none" w:sz="0" w:space="0" w:color="auto"/>
        <w:bottom w:val="none" w:sz="0" w:space="0" w:color="auto"/>
        <w:right w:val="none" w:sz="0" w:space="0" w:color="auto"/>
      </w:divBdr>
    </w:div>
    <w:div w:id="1011875902">
      <w:bodyDiv w:val="1"/>
      <w:marLeft w:val="0"/>
      <w:marRight w:val="0"/>
      <w:marTop w:val="0"/>
      <w:marBottom w:val="0"/>
      <w:divBdr>
        <w:top w:val="none" w:sz="0" w:space="0" w:color="auto"/>
        <w:left w:val="none" w:sz="0" w:space="0" w:color="auto"/>
        <w:bottom w:val="none" w:sz="0" w:space="0" w:color="auto"/>
        <w:right w:val="none" w:sz="0" w:space="0" w:color="auto"/>
      </w:divBdr>
    </w:div>
    <w:div w:id="1106927741">
      <w:bodyDiv w:val="1"/>
      <w:marLeft w:val="0"/>
      <w:marRight w:val="0"/>
      <w:marTop w:val="0"/>
      <w:marBottom w:val="0"/>
      <w:divBdr>
        <w:top w:val="none" w:sz="0" w:space="0" w:color="auto"/>
        <w:left w:val="none" w:sz="0" w:space="0" w:color="auto"/>
        <w:bottom w:val="none" w:sz="0" w:space="0" w:color="auto"/>
        <w:right w:val="none" w:sz="0" w:space="0" w:color="auto"/>
      </w:divBdr>
    </w:div>
    <w:div w:id="1527518294">
      <w:bodyDiv w:val="1"/>
      <w:marLeft w:val="0"/>
      <w:marRight w:val="0"/>
      <w:marTop w:val="0"/>
      <w:marBottom w:val="0"/>
      <w:divBdr>
        <w:top w:val="none" w:sz="0" w:space="0" w:color="auto"/>
        <w:left w:val="none" w:sz="0" w:space="0" w:color="auto"/>
        <w:bottom w:val="none" w:sz="0" w:space="0" w:color="auto"/>
        <w:right w:val="none" w:sz="0" w:space="0" w:color="auto"/>
      </w:divBdr>
    </w:div>
    <w:div w:id="17672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F04F-44AE-4444-A5E2-474BE2D4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TC/55/INF/3</vt:lpstr>
      <vt:lpstr>TC/55/INF/3</vt:lpstr>
    </vt:vector>
  </TitlesOfParts>
  <Company>UPOV</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TC/55/INF/3</dc:title>
  <dc:creator>SANCHEZ VIZCAINO GOMEZ Rosa Maria</dc:creator>
  <cp:lastModifiedBy>MAY Jessica</cp:lastModifiedBy>
  <cp:revision>4</cp:revision>
  <cp:lastPrinted>2019-10-11T09:34:00Z</cp:lastPrinted>
  <dcterms:created xsi:type="dcterms:W3CDTF">2019-10-22T13:45:00Z</dcterms:created>
  <dcterms:modified xsi:type="dcterms:W3CDTF">2019-10-22T13:51:00Z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0f5bc243-edae-4e5e-924e-6503c4d0d5b8</vt:lpwstr>
  </property>
</Properties>
</file>