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6522"/>
        <w:gridCol w:w="3117"/>
      </w:tblGrid>
      <w:tr w:rsidR="005F10CD" w14:paraId="3B7EE411" w14:textId="77777777">
        <w:trPr>
          <w:trHeight w:val="1"/>
        </w:trPr>
        <w:tc>
          <w:tcPr>
            <w:tcW w:w="6522" w:type="dxa"/>
            <w:tcBorders>
              <w:top w:val="nil"/>
              <w:left w:val="nil"/>
              <w:bottom w:val="nil"/>
              <w:right w:val="nil"/>
            </w:tcBorders>
            <w:shd w:val="clear" w:color="000000" w:fill="FFFFFF"/>
          </w:tcPr>
          <w:p w14:paraId="216C2A84" w14:textId="77777777" w:rsidR="005F10CD" w:rsidRDefault="005F10CD">
            <w:pPr>
              <w:autoSpaceDE w:val="0"/>
              <w:autoSpaceDN w:val="0"/>
              <w:adjustRightInd w:val="0"/>
              <w:rPr>
                <w:rFonts w:ascii="Calibri" w:hAnsi="Calibri" w:cs="Calibri"/>
              </w:rPr>
            </w:pPr>
            <w:r>
              <w:rPr>
                <w:rFonts w:ascii="Calibri" w:hAnsi="Calibri" w:cs="Calibri"/>
                <w:noProof/>
                <w:lang w:val="en-US"/>
              </w:rPr>
              <w:drawing>
                <wp:inline distT="0" distB="0" distL="0" distR="0" wp14:anchorId="0DE970B6" wp14:editId="4F95B415">
                  <wp:extent cx="914400" cy="23749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14400" cy="237490"/>
                          </a:xfrm>
                          <a:prstGeom prst="rect">
                            <a:avLst/>
                          </a:prstGeom>
                          <a:noFill/>
                          <a:ln w="9525">
                            <a:noFill/>
                            <a:miter lim="800000"/>
                            <a:headEnd/>
                            <a:tailEnd/>
                          </a:ln>
                        </pic:spPr>
                      </pic:pic>
                    </a:graphicData>
                  </a:graphic>
                </wp:inline>
              </w:drawing>
            </w:r>
          </w:p>
        </w:tc>
        <w:tc>
          <w:tcPr>
            <w:tcW w:w="3117" w:type="dxa"/>
            <w:tcBorders>
              <w:top w:val="nil"/>
              <w:left w:val="nil"/>
              <w:bottom w:val="nil"/>
              <w:right w:val="nil"/>
            </w:tcBorders>
            <w:shd w:val="clear" w:color="000000" w:fill="FFFFFF"/>
          </w:tcPr>
          <w:p w14:paraId="4DA7DABA" w14:textId="77777777" w:rsidR="005F10CD" w:rsidRDefault="005F10CD">
            <w:pPr>
              <w:autoSpaceDE w:val="0"/>
              <w:autoSpaceDN w:val="0"/>
              <w:adjustRightInd w:val="0"/>
              <w:spacing w:line="340" w:lineRule="atLeast"/>
              <w:jc w:val="right"/>
              <w:rPr>
                <w:rFonts w:ascii="Calibri" w:hAnsi="Calibri" w:cs="Calibri"/>
              </w:rPr>
            </w:pPr>
            <w:r>
              <w:rPr>
                <w:rFonts w:cs="Arial"/>
                <w:b/>
                <w:bCs/>
                <w:sz w:val="36"/>
                <w:szCs w:val="36"/>
              </w:rPr>
              <w:t>G</w:t>
            </w:r>
          </w:p>
        </w:tc>
      </w:tr>
      <w:tr w:rsidR="005F10CD" w14:paraId="57E628C7" w14:textId="77777777">
        <w:trPr>
          <w:trHeight w:val="219"/>
        </w:trPr>
        <w:tc>
          <w:tcPr>
            <w:tcW w:w="6522" w:type="dxa"/>
            <w:tcBorders>
              <w:top w:val="nil"/>
              <w:left w:val="nil"/>
              <w:bottom w:val="nil"/>
              <w:right w:val="nil"/>
            </w:tcBorders>
            <w:shd w:val="clear" w:color="000000" w:fill="FFFFFF"/>
          </w:tcPr>
          <w:p w14:paraId="0E00397E" w14:textId="77777777" w:rsidR="005F10CD" w:rsidRDefault="005F10CD">
            <w:pPr>
              <w:autoSpaceDE w:val="0"/>
              <w:autoSpaceDN w:val="0"/>
              <w:adjustRightInd w:val="0"/>
              <w:spacing w:before="120"/>
              <w:rPr>
                <w:rFonts w:ascii="Calibri" w:hAnsi="Calibri" w:cs="Calibri"/>
              </w:rPr>
            </w:pPr>
            <w:r>
              <w:rPr>
                <w:rFonts w:cs="Arial"/>
                <w:sz w:val="16"/>
                <w:szCs w:val="16"/>
              </w:rPr>
              <w:t>Internationaler Verband zum Schutz von Pflanzenzüchtungen</w:t>
            </w:r>
          </w:p>
        </w:tc>
        <w:tc>
          <w:tcPr>
            <w:tcW w:w="3117" w:type="dxa"/>
            <w:tcBorders>
              <w:top w:val="nil"/>
              <w:left w:val="nil"/>
              <w:bottom w:val="nil"/>
              <w:right w:val="nil"/>
            </w:tcBorders>
            <w:shd w:val="clear" w:color="000000" w:fill="FFFFFF"/>
          </w:tcPr>
          <w:p w14:paraId="39AA5E08" w14:textId="77777777" w:rsidR="005F10CD" w:rsidRDefault="005F10CD">
            <w:pPr>
              <w:autoSpaceDE w:val="0"/>
              <w:autoSpaceDN w:val="0"/>
              <w:adjustRightInd w:val="0"/>
              <w:rPr>
                <w:rFonts w:ascii="Calibri" w:hAnsi="Calibri" w:cs="Calibri"/>
              </w:rPr>
            </w:pPr>
          </w:p>
        </w:tc>
      </w:tr>
    </w:tbl>
    <w:p w14:paraId="33B74C43" w14:textId="68BF37FE" w:rsidR="005F10CD" w:rsidRDefault="005F10CD" w:rsidP="005F10CD">
      <w:pPr>
        <w:autoSpaceDE w:val="0"/>
        <w:autoSpaceDN w:val="0"/>
        <w:adjustRightInd w:val="0"/>
        <w:rPr>
          <w:rFonts w:cs="Arial"/>
        </w:rPr>
      </w:pPr>
    </w:p>
    <w:p w14:paraId="0AD3FCF1" w14:textId="77777777" w:rsidR="00942671" w:rsidRDefault="00942671" w:rsidP="005F10CD">
      <w:pPr>
        <w:autoSpaceDE w:val="0"/>
        <w:autoSpaceDN w:val="0"/>
        <w:adjustRightInd w:val="0"/>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353"/>
        <w:gridCol w:w="3051"/>
      </w:tblGrid>
      <w:tr w:rsidR="00942671" w:rsidRPr="00307F52" w14:paraId="6781D848" w14:textId="77777777" w:rsidTr="00C40832">
        <w:tc>
          <w:tcPr>
            <w:tcW w:w="6512" w:type="dxa"/>
          </w:tcPr>
          <w:p w14:paraId="1375E7A7" w14:textId="77777777" w:rsidR="00942671" w:rsidRPr="003C4979" w:rsidRDefault="00942671" w:rsidP="00C40832">
            <w:pPr>
              <w:pStyle w:val="Sessiontc"/>
              <w:spacing w:line="240" w:lineRule="auto"/>
              <w:rPr>
                <w:noProof/>
                <w:lang w:val="de-DE"/>
              </w:rPr>
            </w:pPr>
            <w:r w:rsidRPr="003C4979">
              <w:rPr>
                <w:noProof/>
                <w:lang w:val="de-DE"/>
              </w:rPr>
              <w:t>Technischer Ausschuss</w:t>
            </w:r>
          </w:p>
          <w:p w14:paraId="2D44A6A5" w14:textId="77777777" w:rsidR="00942671" w:rsidRPr="003C4979" w:rsidRDefault="00942671" w:rsidP="008E0CBE">
            <w:pPr>
              <w:pStyle w:val="Sessiontcplacedate"/>
              <w:jc w:val="left"/>
              <w:rPr>
                <w:noProof/>
                <w:sz w:val="22"/>
                <w:lang w:val="de-DE"/>
              </w:rPr>
            </w:pPr>
            <w:r w:rsidRPr="003C4979">
              <w:rPr>
                <w:noProof/>
                <w:lang w:val="de-DE"/>
              </w:rPr>
              <w:t>Fünfundfünfzigste Tagung</w:t>
            </w:r>
            <w:r w:rsidRPr="003C4979">
              <w:rPr>
                <w:noProof/>
                <w:lang w:val="de-DE"/>
              </w:rPr>
              <w:br/>
              <w:t>Genf, 28. und 29. Oktober 2019</w:t>
            </w:r>
          </w:p>
        </w:tc>
        <w:tc>
          <w:tcPr>
            <w:tcW w:w="3127" w:type="dxa"/>
          </w:tcPr>
          <w:p w14:paraId="3DB9CB87" w14:textId="43B1888F" w:rsidR="00942671" w:rsidRPr="003C4979" w:rsidRDefault="00942671" w:rsidP="00C40832">
            <w:pPr>
              <w:pStyle w:val="Doccode"/>
              <w:rPr>
                <w:noProof/>
                <w:lang w:val="de-DE"/>
              </w:rPr>
            </w:pPr>
            <w:r w:rsidRPr="003C4979">
              <w:rPr>
                <w:noProof/>
                <w:lang w:val="de-DE"/>
              </w:rPr>
              <w:t>TC/55/7 Add.</w:t>
            </w:r>
            <w:r>
              <w:rPr>
                <w:noProof/>
                <w:lang w:val="de-DE"/>
              </w:rPr>
              <w:t xml:space="preserve"> 2</w:t>
            </w:r>
          </w:p>
          <w:p w14:paraId="1BC1CDBE" w14:textId="77777777" w:rsidR="00942671" w:rsidRPr="003C4979" w:rsidRDefault="00942671" w:rsidP="00C40832">
            <w:pPr>
              <w:pStyle w:val="Docoriginal"/>
              <w:rPr>
                <w:noProof/>
                <w:lang w:val="de-DE"/>
              </w:rPr>
            </w:pPr>
            <w:r w:rsidRPr="003C4979">
              <w:rPr>
                <w:noProof/>
                <w:lang w:val="de-DE"/>
              </w:rPr>
              <w:t>Original:</w:t>
            </w:r>
            <w:r w:rsidRPr="003C4979">
              <w:rPr>
                <w:b w:val="0"/>
                <w:noProof/>
                <w:spacing w:val="0"/>
                <w:lang w:val="de-DE"/>
              </w:rPr>
              <w:t xml:space="preserve">  englisch</w:t>
            </w:r>
          </w:p>
          <w:p w14:paraId="74FEA160" w14:textId="0FE11481" w:rsidR="00942671" w:rsidRPr="003C4979" w:rsidRDefault="00942671" w:rsidP="00C40832">
            <w:pPr>
              <w:pStyle w:val="Docoriginal"/>
              <w:rPr>
                <w:noProof/>
                <w:lang w:val="de-DE"/>
              </w:rPr>
            </w:pPr>
            <w:r w:rsidRPr="003C4979">
              <w:rPr>
                <w:noProof/>
                <w:lang w:val="de-DE"/>
              </w:rPr>
              <w:t>Datum:</w:t>
            </w:r>
            <w:r w:rsidRPr="003C4979">
              <w:rPr>
                <w:b w:val="0"/>
                <w:noProof/>
                <w:spacing w:val="0"/>
                <w:lang w:val="de-DE"/>
              </w:rPr>
              <w:t xml:space="preserve">  </w:t>
            </w:r>
            <w:r>
              <w:rPr>
                <w:b w:val="0"/>
                <w:noProof/>
                <w:spacing w:val="0"/>
                <w:lang w:val="de-DE"/>
              </w:rPr>
              <w:t>21</w:t>
            </w:r>
            <w:r w:rsidRPr="00307F52">
              <w:rPr>
                <w:b w:val="0"/>
                <w:noProof/>
                <w:spacing w:val="0"/>
                <w:lang w:val="de-DE"/>
              </w:rPr>
              <w:t>. Oktober 2019</w:t>
            </w:r>
          </w:p>
        </w:tc>
      </w:tr>
    </w:tbl>
    <w:p w14:paraId="782BF771" w14:textId="77777777" w:rsidR="005F10CD" w:rsidRPr="00781C91" w:rsidRDefault="005F10CD" w:rsidP="00781C91">
      <w:pPr>
        <w:pStyle w:val="Titleofdoc"/>
        <w:rPr>
          <w:noProof/>
          <w:lang w:val="de-DE"/>
        </w:rPr>
      </w:pPr>
      <w:r w:rsidRPr="00781C91">
        <w:rPr>
          <w:noProof/>
          <w:lang w:val="de-DE"/>
        </w:rPr>
        <w:t>Zweite ERGÄNZUNG ZU molekularen Verfahren</w:t>
      </w:r>
    </w:p>
    <w:p w14:paraId="49C0B02C" w14:textId="77777777" w:rsidR="005F10CD" w:rsidRPr="00781C91" w:rsidRDefault="005F10CD" w:rsidP="00781C91">
      <w:pPr>
        <w:pStyle w:val="preparedby"/>
        <w:jc w:val="left"/>
        <w:rPr>
          <w:noProof/>
          <w:lang w:val="de-DE"/>
        </w:rPr>
      </w:pPr>
      <w:r w:rsidRPr="00781C91">
        <w:rPr>
          <w:noProof/>
          <w:lang w:val="de-DE"/>
        </w:rPr>
        <w:t>Vom Verbandsbüro erstelltes Dokument</w:t>
      </w:r>
    </w:p>
    <w:p w14:paraId="00336739" w14:textId="77777777" w:rsidR="005F10CD" w:rsidRPr="00781C91" w:rsidRDefault="005F10CD" w:rsidP="00781C91">
      <w:pPr>
        <w:pStyle w:val="Disclaimer"/>
        <w:rPr>
          <w:noProof/>
          <w:lang w:val="de-DE"/>
        </w:rPr>
      </w:pPr>
      <w:r w:rsidRPr="00781C91">
        <w:rPr>
          <w:noProof/>
          <w:lang w:val="de-DE"/>
        </w:rPr>
        <w:t>Haftungsausschluss:  dieses Dokument gibt nicht die Grundsätze oder eine Anleitung der UPOV wieder</w:t>
      </w:r>
    </w:p>
    <w:p w14:paraId="4F0BA403" w14:textId="465C477E" w:rsidR="005F10CD" w:rsidRPr="00F547CF" w:rsidRDefault="005F10CD" w:rsidP="00781C91">
      <w:pPr>
        <w:pStyle w:val="Heading1"/>
        <w:keepLines w:val="0"/>
        <w:spacing w:before="0"/>
        <w:rPr>
          <w:rFonts w:ascii="Arial" w:eastAsiaTheme="minorEastAsia" w:hAnsi="Arial" w:cs="Times New Roman"/>
          <w:b w:val="0"/>
          <w:bCs w:val="0"/>
          <w:caps/>
          <w:color w:val="auto"/>
          <w:spacing w:val="-4"/>
          <w:sz w:val="20"/>
          <w:szCs w:val="20"/>
          <w:lang w:eastAsia="ja-JP"/>
        </w:rPr>
      </w:pPr>
      <w:bookmarkStart w:id="0" w:name="_Toc23755139"/>
      <w:r w:rsidRPr="00F547CF">
        <w:rPr>
          <w:rFonts w:ascii="Arial" w:eastAsiaTheme="minorEastAsia" w:hAnsi="Arial" w:cs="Times New Roman"/>
          <w:b w:val="0"/>
          <w:bCs w:val="0"/>
          <w:caps/>
          <w:color w:val="auto"/>
          <w:spacing w:val="-4"/>
          <w:sz w:val="20"/>
          <w:szCs w:val="20"/>
          <w:lang w:eastAsia="ja-JP"/>
        </w:rPr>
        <w:t>Zusammenfassung</w:t>
      </w:r>
      <w:bookmarkEnd w:id="0"/>
    </w:p>
    <w:p w14:paraId="5D2F923A" w14:textId="77777777" w:rsidR="00781C91" w:rsidRPr="00F547CF" w:rsidRDefault="00781C91" w:rsidP="00781C91">
      <w:pPr>
        <w:rPr>
          <w:lang w:eastAsia="ja-JP"/>
        </w:rPr>
      </w:pPr>
    </w:p>
    <w:p w14:paraId="6DFA99B4" w14:textId="01D00A50" w:rsidR="005F10CD" w:rsidRPr="0072519B"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72519B">
        <w:rPr>
          <w:rFonts w:cs="Arial"/>
        </w:rPr>
        <w:t>Zweck dieser zweiten Ergänzung ist es, auf der siebenunddreißigsten Tagung der Technischen Arbeitsgruppe für Automatisierung und Computerprogramme (TWC) und der achtzehnten Tagung der Arbeitsgruppe für biochemische und molekulare Ver</w:t>
      </w:r>
      <w:r w:rsidR="00781C91">
        <w:rPr>
          <w:rFonts w:cs="Arial"/>
        </w:rPr>
        <w:t>fahren und insbesondere für DNS</w:t>
      </w:r>
      <w:r w:rsidR="00781C91">
        <w:rPr>
          <w:rFonts w:cs="Arial"/>
        </w:rPr>
        <w:noBreakHyphen/>
      </w:r>
      <w:r w:rsidR="005F10CD" w:rsidRPr="0072519B">
        <w:rPr>
          <w:rFonts w:cs="Arial"/>
        </w:rPr>
        <w:t>Profilierungsverfahren (BMT) über die Entwicklungen bezüglich der Anwendung biochemischer und molekularer Verfahren für die DUS-Prüfung zu berichten.</w:t>
      </w:r>
    </w:p>
    <w:p w14:paraId="41E78AB2" w14:textId="77777777" w:rsidR="005F10CD" w:rsidRPr="0072519B" w:rsidRDefault="005F10CD" w:rsidP="005F10CD">
      <w:pPr>
        <w:autoSpaceDE w:val="0"/>
        <w:autoSpaceDN w:val="0"/>
        <w:adjustRightInd w:val="0"/>
        <w:rPr>
          <w:rFonts w:cs="Arial"/>
        </w:rPr>
      </w:pPr>
    </w:p>
    <w:p w14:paraId="6AC0B5B0" w14:textId="34301784" w:rsidR="005F10CD" w:rsidRPr="0072519B" w:rsidRDefault="00541ED0" w:rsidP="005F10CD">
      <w:pPr>
        <w:keepNext/>
        <w:keepLine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72519B">
        <w:rPr>
          <w:rFonts w:cs="Arial"/>
        </w:rPr>
        <w:t>Dieses Dokument ist folgendermaßen gegliedert:</w:t>
      </w:r>
    </w:p>
    <w:p w14:paraId="7E0717C5" w14:textId="77777777" w:rsidR="005F10CD" w:rsidRPr="0072519B" w:rsidRDefault="005F10CD" w:rsidP="005F10CD">
      <w:pPr>
        <w:autoSpaceDE w:val="0"/>
        <w:autoSpaceDN w:val="0"/>
        <w:adjustRightInd w:val="0"/>
        <w:rPr>
          <w:rFonts w:cs="Arial"/>
        </w:rPr>
      </w:pPr>
    </w:p>
    <w:sdt>
      <w:sdtPr>
        <w:rPr>
          <w:rFonts w:ascii="Arial" w:eastAsiaTheme="minorHAnsi" w:hAnsi="Arial" w:cs="Arial"/>
          <w:b w:val="0"/>
          <w:bCs w:val="0"/>
          <w:caps/>
          <w:color w:val="auto"/>
          <w:sz w:val="20"/>
          <w:szCs w:val="20"/>
        </w:rPr>
        <w:id w:val="9562130"/>
        <w:docPartObj>
          <w:docPartGallery w:val="Table of Contents"/>
          <w:docPartUnique/>
        </w:docPartObj>
      </w:sdtPr>
      <w:sdtEndPr>
        <w:rPr>
          <w:rFonts w:cstheme="minorBidi"/>
          <w:caps w:val="0"/>
          <w:szCs w:val="22"/>
        </w:rPr>
      </w:sdtEndPr>
      <w:sdtContent>
        <w:p w14:paraId="7127E3EA" w14:textId="77777777" w:rsidR="009354F6" w:rsidRPr="00140E5F" w:rsidRDefault="009354F6" w:rsidP="00140E5F">
          <w:pPr>
            <w:pStyle w:val="Heading1"/>
            <w:spacing w:before="0"/>
            <w:rPr>
              <w:rFonts w:ascii="Arial" w:hAnsi="Arial" w:cs="Arial"/>
              <w:b w:val="0"/>
              <w:caps/>
              <w:color w:val="auto"/>
              <w:sz w:val="20"/>
              <w:szCs w:val="20"/>
            </w:rPr>
          </w:pPr>
        </w:p>
        <w:p w14:paraId="32693E80" w14:textId="5399A509" w:rsidR="00201A38" w:rsidRDefault="009354F6">
          <w:pPr>
            <w:pStyle w:val="TOC1"/>
            <w:tabs>
              <w:tab w:val="right" w:leader="dot" w:pos="9394"/>
            </w:tabs>
            <w:rPr>
              <w:rFonts w:asciiTheme="minorHAnsi" w:eastAsiaTheme="minorEastAsia" w:hAnsiTheme="minorHAnsi"/>
              <w:noProof/>
              <w:sz w:val="22"/>
              <w:lang w:val="en-US"/>
            </w:rPr>
          </w:pPr>
          <w:r w:rsidRPr="00140E5F">
            <w:rPr>
              <w:rFonts w:cs="Arial"/>
              <w:sz w:val="20"/>
              <w:szCs w:val="20"/>
            </w:rPr>
            <w:fldChar w:fldCharType="begin"/>
          </w:r>
          <w:r w:rsidRPr="00140E5F">
            <w:rPr>
              <w:rFonts w:cs="Arial"/>
              <w:sz w:val="20"/>
              <w:szCs w:val="20"/>
            </w:rPr>
            <w:instrText xml:space="preserve"> TOC \o "1-3" \h \z \u </w:instrText>
          </w:r>
          <w:r w:rsidRPr="00140E5F">
            <w:rPr>
              <w:rFonts w:cs="Arial"/>
              <w:sz w:val="20"/>
              <w:szCs w:val="20"/>
            </w:rPr>
            <w:fldChar w:fldCharType="separate"/>
          </w:r>
          <w:hyperlink w:anchor="_Toc23755139" w:history="1">
            <w:r w:rsidR="00201A38" w:rsidRPr="005B2D11">
              <w:rPr>
                <w:rStyle w:val="Hyperlink"/>
                <w:rFonts w:cs="Times New Roman"/>
                <w:caps/>
                <w:noProof/>
                <w:spacing w:val="-4"/>
                <w:lang w:val="en-US" w:eastAsia="ja-JP"/>
              </w:rPr>
              <w:t>Zusammenfassung</w:t>
            </w:r>
            <w:r w:rsidR="00201A38">
              <w:rPr>
                <w:noProof/>
                <w:webHidden/>
              </w:rPr>
              <w:tab/>
            </w:r>
            <w:r w:rsidR="00201A38">
              <w:rPr>
                <w:noProof/>
                <w:webHidden/>
              </w:rPr>
              <w:fldChar w:fldCharType="begin"/>
            </w:r>
            <w:r w:rsidR="00201A38">
              <w:rPr>
                <w:noProof/>
                <w:webHidden/>
              </w:rPr>
              <w:instrText xml:space="preserve"> PAGEREF _Toc23755139 \h </w:instrText>
            </w:r>
            <w:r w:rsidR="00201A38">
              <w:rPr>
                <w:noProof/>
                <w:webHidden/>
              </w:rPr>
            </w:r>
            <w:r w:rsidR="00201A38">
              <w:rPr>
                <w:noProof/>
                <w:webHidden/>
              </w:rPr>
              <w:fldChar w:fldCharType="separate"/>
            </w:r>
            <w:r w:rsidR="00201A38">
              <w:rPr>
                <w:noProof/>
                <w:webHidden/>
              </w:rPr>
              <w:t>1</w:t>
            </w:r>
            <w:r w:rsidR="00201A38">
              <w:rPr>
                <w:noProof/>
                <w:webHidden/>
              </w:rPr>
              <w:fldChar w:fldCharType="end"/>
            </w:r>
          </w:hyperlink>
        </w:p>
        <w:p w14:paraId="0A8F8A26" w14:textId="4A551A44" w:rsidR="00201A38" w:rsidRDefault="00F547CF">
          <w:pPr>
            <w:pStyle w:val="TOC1"/>
            <w:tabs>
              <w:tab w:val="right" w:leader="dot" w:pos="9394"/>
            </w:tabs>
            <w:rPr>
              <w:rFonts w:asciiTheme="minorHAnsi" w:eastAsiaTheme="minorEastAsia" w:hAnsiTheme="minorHAnsi"/>
              <w:noProof/>
              <w:sz w:val="22"/>
              <w:lang w:val="en-US"/>
            </w:rPr>
          </w:pPr>
          <w:hyperlink w:anchor="_Toc23755140" w:history="1">
            <w:r w:rsidR="00201A38" w:rsidRPr="005B2D11">
              <w:rPr>
                <w:rStyle w:val="Hyperlink"/>
                <w:rFonts w:cs="Arial"/>
                <w:caps/>
                <w:noProof/>
              </w:rPr>
              <w:t>Zusammenarbeit zwischen internationalen Organisationen</w:t>
            </w:r>
            <w:r w:rsidR="00201A38">
              <w:rPr>
                <w:noProof/>
                <w:webHidden/>
              </w:rPr>
              <w:tab/>
            </w:r>
            <w:r w:rsidR="00201A38">
              <w:rPr>
                <w:noProof/>
                <w:webHidden/>
              </w:rPr>
              <w:fldChar w:fldCharType="begin"/>
            </w:r>
            <w:r w:rsidR="00201A38">
              <w:rPr>
                <w:noProof/>
                <w:webHidden/>
              </w:rPr>
              <w:instrText xml:space="preserve"> PAGEREF _Toc23755140 \h </w:instrText>
            </w:r>
            <w:r w:rsidR="00201A38">
              <w:rPr>
                <w:noProof/>
                <w:webHidden/>
              </w:rPr>
            </w:r>
            <w:r w:rsidR="00201A38">
              <w:rPr>
                <w:noProof/>
                <w:webHidden/>
              </w:rPr>
              <w:fldChar w:fldCharType="separate"/>
            </w:r>
            <w:r w:rsidR="00201A38">
              <w:rPr>
                <w:noProof/>
                <w:webHidden/>
              </w:rPr>
              <w:t>1</w:t>
            </w:r>
            <w:r w:rsidR="00201A38">
              <w:rPr>
                <w:noProof/>
                <w:webHidden/>
              </w:rPr>
              <w:fldChar w:fldCharType="end"/>
            </w:r>
          </w:hyperlink>
        </w:p>
        <w:p w14:paraId="3FB37885" w14:textId="2C93051A" w:rsidR="00201A38" w:rsidRDefault="00F547CF">
          <w:pPr>
            <w:pStyle w:val="TOC2"/>
            <w:rPr>
              <w:rFonts w:asciiTheme="minorHAnsi" w:eastAsiaTheme="minorEastAsia" w:hAnsiTheme="minorHAnsi"/>
              <w:noProof/>
              <w:sz w:val="22"/>
              <w:lang w:val="en-US"/>
            </w:rPr>
          </w:pPr>
          <w:hyperlink w:anchor="_Toc23755141" w:history="1">
            <w:r w:rsidR="00201A38" w:rsidRPr="005B2D11">
              <w:rPr>
                <w:rStyle w:val="Hyperlink"/>
                <w:rFonts w:cs="Arial"/>
                <w:noProof/>
              </w:rPr>
              <w:t>Bestandsaufnahme zur Verwendung molekularer Markerverfahren nach Pflanze</w:t>
            </w:r>
            <w:r w:rsidR="00201A38">
              <w:rPr>
                <w:noProof/>
                <w:webHidden/>
              </w:rPr>
              <w:tab/>
            </w:r>
            <w:r w:rsidR="00201A38">
              <w:rPr>
                <w:noProof/>
                <w:webHidden/>
              </w:rPr>
              <w:fldChar w:fldCharType="begin"/>
            </w:r>
            <w:r w:rsidR="00201A38">
              <w:rPr>
                <w:noProof/>
                <w:webHidden/>
              </w:rPr>
              <w:instrText xml:space="preserve"> PAGEREF _Toc23755141 \h </w:instrText>
            </w:r>
            <w:r w:rsidR="00201A38">
              <w:rPr>
                <w:noProof/>
                <w:webHidden/>
              </w:rPr>
            </w:r>
            <w:r w:rsidR="00201A38">
              <w:rPr>
                <w:noProof/>
                <w:webHidden/>
              </w:rPr>
              <w:fldChar w:fldCharType="separate"/>
            </w:r>
            <w:r w:rsidR="00201A38">
              <w:rPr>
                <w:noProof/>
                <w:webHidden/>
              </w:rPr>
              <w:t>1</w:t>
            </w:r>
            <w:r w:rsidR="00201A38">
              <w:rPr>
                <w:noProof/>
                <w:webHidden/>
              </w:rPr>
              <w:fldChar w:fldCharType="end"/>
            </w:r>
          </w:hyperlink>
        </w:p>
        <w:p w14:paraId="6323604E" w14:textId="793E7150" w:rsidR="00201A38" w:rsidRDefault="00F547CF">
          <w:pPr>
            <w:pStyle w:val="TOC2"/>
            <w:rPr>
              <w:rFonts w:asciiTheme="minorHAnsi" w:eastAsiaTheme="minorEastAsia" w:hAnsiTheme="minorHAnsi"/>
              <w:noProof/>
              <w:sz w:val="22"/>
              <w:lang w:val="en-US"/>
            </w:rPr>
          </w:pPr>
          <w:hyperlink w:anchor="_Toc23755142" w:history="1">
            <w:r w:rsidR="00201A38" w:rsidRPr="005B2D11">
              <w:rPr>
                <w:rStyle w:val="Hyperlink"/>
                <w:rFonts w:cs="Arial"/>
                <w:noProof/>
              </w:rPr>
              <w:t>Listen möglicher gemeinsamer Initiativen mit OECD und ISTA hinsichtlich molekularer Verfahren</w:t>
            </w:r>
            <w:r w:rsidR="00201A38">
              <w:rPr>
                <w:noProof/>
                <w:webHidden/>
              </w:rPr>
              <w:tab/>
            </w:r>
            <w:r w:rsidR="00201A38">
              <w:rPr>
                <w:noProof/>
                <w:webHidden/>
              </w:rPr>
              <w:fldChar w:fldCharType="begin"/>
            </w:r>
            <w:r w:rsidR="00201A38">
              <w:rPr>
                <w:noProof/>
                <w:webHidden/>
              </w:rPr>
              <w:instrText xml:space="preserve"> PAGEREF _Toc23755142 \h </w:instrText>
            </w:r>
            <w:r w:rsidR="00201A38">
              <w:rPr>
                <w:noProof/>
                <w:webHidden/>
              </w:rPr>
            </w:r>
            <w:r w:rsidR="00201A38">
              <w:rPr>
                <w:noProof/>
                <w:webHidden/>
              </w:rPr>
              <w:fldChar w:fldCharType="separate"/>
            </w:r>
            <w:r w:rsidR="00201A38">
              <w:rPr>
                <w:noProof/>
                <w:webHidden/>
              </w:rPr>
              <w:t>2</w:t>
            </w:r>
            <w:r w:rsidR="00201A38">
              <w:rPr>
                <w:noProof/>
                <w:webHidden/>
              </w:rPr>
              <w:fldChar w:fldCharType="end"/>
            </w:r>
          </w:hyperlink>
        </w:p>
        <w:p w14:paraId="5F326FF1" w14:textId="55B4E447" w:rsidR="00201A38" w:rsidRDefault="00F547CF">
          <w:pPr>
            <w:pStyle w:val="TOC2"/>
            <w:rPr>
              <w:rFonts w:asciiTheme="minorHAnsi" w:eastAsiaTheme="minorEastAsia" w:hAnsiTheme="minorHAnsi"/>
              <w:noProof/>
              <w:sz w:val="22"/>
              <w:lang w:val="en-US"/>
            </w:rPr>
          </w:pPr>
          <w:hyperlink w:anchor="_Toc23755143" w:history="1">
            <w:r w:rsidR="00201A38" w:rsidRPr="005B2D11">
              <w:rPr>
                <w:rStyle w:val="Hyperlink"/>
                <w:rFonts w:cs="Arial"/>
                <w:noProof/>
              </w:rPr>
              <w:t>Gemeinsames Dokument zur Erläuterung der wesentlichen Besonderheiten der Systeme von OECD, UPOV und ISTA</w:t>
            </w:r>
            <w:r w:rsidR="00201A38">
              <w:rPr>
                <w:noProof/>
                <w:webHidden/>
              </w:rPr>
              <w:tab/>
            </w:r>
            <w:r w:rsidR="00201A38">
              <w:rPr>
                <w:noProof/>
                <w:webHidden/>
              </w:rPr>
              <w:fldChar w:fldCharType="begin"/>
            </w:r>
            <w:r w:rsidR="00201A38">
              <w:rPr>
                <w:noProof/>
                <w:webHidden/>
              </w:rPr>
              <w:instrText xml:space="preserve"> PAGEREF _Toc23755143 \h </w:instrText>
            </w:r>
            <w:r w:rsidR="00201A38">
              <w:rPr>
                <w:noProof/>
                <w:webHidden/>
              </w:rPr>
            </w:r>
            <w:r w:rsidR="00201A38">
              <w:rPr>
                <w:noProof/>
                <w:webHidden/>
              </w:rPr>
              <w:fldChar w:fldCharType="separate"/>
            </w:r>
            <w:r w:rsidR="00201A38">
              <w:rPr>
                <w:noProof/>
                <w:webHidden/>
              </w:rPr>
              <w:t>3</w:t>
            </w:r>
            <w:r w:rsidR="00201A38">
              <w:rPr>
                <w:noProof/>
                <w:webHidden/>
              </w:rPr>
              <w:fldChar w:fldCharType="end"/>
            </w:r>
          </w:hyperlink>
        </w:p>
        <w:p w14:paraId="2CFD6810" w14:textId="7F01D86C" w:rsidR="00201A38" w:rsidRDefault="00F547CF">
          <w:pPr>
            <w:pStyle w:val="TOC1"/>
            <w:tabs>
              <w:tab w:val="right" w:leader="dot" w:pos="9394"/>
            </w:tabs>
            <w:rPr>
              <w:rFonts w:asciiTheme="minorHAnsi" w:eastAsiaTheme="minorEastAsia" w:hAnsiTheme="minorHAnsi"/>
              <w:noProof/>
              <w:sz w:val="22"/>
              <w:lang w:val="en-US"/>
            </w:rPr>
          </w:pPr>
          <w:hyperlink w:anchor="_Toc23755144" w:history="1">
            <w:r w:rsidR="00201A38" w:rsidRPr="005B2D11">
              <w:rPr>
                <w:rStyle w:val="Hyperlink"/>
                <w:rFonts w:cs="Arial"/>
                <w:noProof/>
              </w:rPr>
              <w:t xml:space="preserve">SITZUNG ZUR ERLEICHTERUNG DER ZUSAMMENARBEIT IM ZUSAMMENHANG MIT DER </w:t>
            </w:r>
            <w:r w:rsidR="00201A38" w:rsidRPr="005B2D11">
              <w:rPr>
                <w:rStyle w:val="Hyperlink"/>
                <w:rFonts w:cs="Arial"/>
                <w:caps/>
                <w:noProof/>
              </w:rPr>
              <w:t>VERWENDUNG MOLEKULARER VERFAHREN</w:t>
            </w:r>
            <w:r w:rsidR="00201A38">
              <w:rPr>
                <w:noProof/>
                <w:webHidden/>
              </w:rPr>
              <w:tab/>
            </w:r>
            <w:r w:rsidR="00201A38">
              <w:rPr>
                <w:noProof/>
                <w:webHidden/>
              </w:rPr>
              <w:fldChar w:fldCharType="begin"/>
            </w:r>
            <w:r w:rsidR="00201A38">
              <w:rPr>
                <w:noProof/>
                <w:webHidden/>
              </w:rPr>
              <w:instrText xml:space="preserve"> PAGEREF _Toc23755144 \h </w:instrText>
            </w:r>
            <w:r w:rsidR="00201A38">
              <w:rPr>
                <w:noProof/>
                <w:webHidden/>
              </w:rPr>
            </w:r>
            <w:r w:rsidR="00201A38">
              <w:rPr>
                <w:noProof/>
                <w:webHidden/>
              </w:rPr>
              <w:fldChar w:fldCharType="separate"/>
            </w:r>
            <w:r w:rsidR="00201A38">
              <w:rPr>
                <w:noProof/>
                <w:webHidden/>
              </w:rPr>
              <w:t>7</w:t>
            </w:r>
            <w:r w:rsidR="00201A38">
              <w:rPr>
                <w:noProof/>
                <w:webHidden/>
              </w:rPr>
              <w:fldChar w:fldCharType="end"/>
            </w:r>
          </w:hyperlink>
        </w:p>
        <w:p w14:paraId="108DFCCA" w14:textId="6D8E9DE9" w:rsidR="00201A38" w:rsidRDefault="00F547CF">
          <w:pPr>
            <w:pStyle w:val="TOC1"/>
            <w:tabs>
              <w:tab w:val="right" w:leader="dot" w:pos="9394"/>
            </w:tabs>
            <w:rPr>
              <w:rFonts w:asciiTheme="minorHAnsi" w:eastAsiaTheme="minorEastAsia" w:hAnsiTheme="minorHAnsi"/>
              <w:noProof/>
              <w:sz w:val="22"/>
              <w:lang w:val="en-US"/>
            </w:rPr>
          </w:pPr>
          <w:hyperlink w:anchor="_Toc23755145" w:history="1">
            <w:r w:rsidR="00201A38" w:rsidRPr="005B2D11">
              <w:rPr>
                <w:rStyle w:val="Hyperlink"/>
                <w:rFonts w:cs="Arial"/>
                <w:caps/>
                <w:noProof/>
              </w:rPr>
              <w:t>Überprüfung von Dokument UPOV/INF/17 „Richtlinien für die DNS-Profilierung:  Auswahl molekularer Marker und Aufbau von Datenbanken (‚BMT</w:t>
            </w:r>
            <w:r w:rsidR="00201A38" w:rsidRPr="005B2D11">
              <w:rPr>
                <w:rStyle w:val="Hyperlink"/>
                <w:rFonts w:cs="Arial"/>
                <w:caps/>
                <w:noProof/>
              </w:rPr>
              <w:noBreakHyphen/>
              <w:t>Richtlinien‘)</w:t>
            </w:r>
            <w:r w:rsidR="00201A38">
              <w:rPr>
                <w:noProof/>
                <w:webHidden/>
              </w:rPr>
              <w:tab/>
            </w:r>
            <w:r w:rsidR="00201A38">
              <w:rPr>
                <w:noProof/>
                <w:webHidden/>
              </w:rPr>
              <w:fldChar w:fldCharType="begin"/>
            </w:r>
            <w:r w:rsidR="00201A38">
              <w:rPr>
                <w:noProof/>
                <w:webHidden/>
              </w:rPr>
              <w:instrText xml:space="preserve"> PAGEREF _Toc23755145 \h </w:instrText>
            </w:r>
            <w:r w:rsidR="00201A38">
              <w:rPr>
                <w:noProof/>
                <w:webHidden/>
              </w:rPr>
            </w:r>
            <w:r w:rsidR="00201A38">
              <w:rPr>
                <w:noProof/>
                <w:webHidden/>
              </w:rPr>
              <w:fldChar w:fldCharType="separate"/>
            </w:r>
            <w:r w:rsidR="00201A38">
              <w:rPr>
                <w:noProof/>
                <w:webHidden/>
              </w:rPr>
              <w:t>13</w:t>
            </w:r>
            <w:r w:rsidR="00201A38">
              <w:rPr>
                <w:noProof/>
                <w:webHidden/>
              </w:rPr>
              <w:fldChar w:fldCharType="end"/>
            </w:r>
          </w:hyperlink>
        </w:p>
        <w:p w14:paraId="02A478E9" w14:textId="298A1C37" w:rsidR="009354F6" w:rsidRDefault="009354F6" w:rsidP="00140E5F">
          <w:r w:rsidRPr="00140E5F">
            <w:rPr>
              <w:rFonts w:cs="Arial"/>
              <w:szCs w:val="20"/>
            </w:rPr>
            <w:fldChar w:fldCharType="end"/>
          </w:r>
        </w:p>
      </w:sdtContent>
    </w:sdt>
    <w:p w14:paraId="382652A0" w14:textId="77777777" w:rsidR="00E81622" w:rsidRDefault="00E81622" w:rsidP="00E81622">
      <w:pPr>
        <w:pStyle w:val="Heading1"/>
        <w:keepLines w:val="0"/>
        <w:spacing w:before="0"/>
        <w:rPr>
          <w:rFonts w:ascii="Arial" w:eastAsiaTheme="minorEastAsia" w:hAnsi="Arial" w:cs="Times New Roman"/>
          <w:b w:val="0"/>
          <w:bCs w:val="0"/>
          <w:caps/>
          <w:color w:val="auto"/>
          <w:spacing w:val="-4"/>
          <w:sz w:val="20"/>
          <w:szCs w:val="20"/>
          <w:lang w:val="en-US" w:eastAsia="ja-JP"/>
        </w:rPr>
      </w:pPr>
      <w:bookmarkStart w:id="1" w:name="_Toc23755140"/>
    </w:p>
    <w:p w14:paraId="4A030CFD" w14:textId="77777777" w:rsidR="00E81622" w:rsidRDefault="00E81622" w:rsidP="00E81622">
      <w:pPr>
        <w:pStyle w:val="Heading1"/>
        <w:keepLines w:val="0"/>
        <w:spacing w:before="0"/>
        <w:rPr>
          <w:rFonts w:ascii="Arial" w:eastAsiaTheme="minorEastAsia" w:hAnsi="Arial" w:cs="Times New Roman"/>
          <w:b w:val="0"/>
          <w:bCs w:val="0"/>
          <w:caps/>
          <w:color w:val="auto"/>
          <w:spacing w:val="-4"/>
          <w:sz w:val="20"/>
          <w:szCs w:val="20"/>
          <w:lang w:val="en-US" w:eastAsia="ja-JP"/>
        </w:rPr>
      </w:pPr>
    </w:p>
    <w:p w14:paraId="7ABF2BA1" w14:textId="62D0AC2E" w:rsidR="005F10CD" w:rsidRPr="00F547CF" w:rsidRDefault="005F10CD" w:rsidP="00E81622">
      <w:pPr>
        <w:pStyle w:val="Heading1"/>
        <w:keepLines w:val="0"/>
        <w:spacing w:before="0"/>
        <w:rPr>
          <w:rFonts w:ascii="Arial" w:eastAsiaTheme="minorEastAsia" w:hAnsi="Arial" w:cs="Times New Roman"/>
          <w:b w:val="0"/>
          <w:bCs w:val="0"/>
          <w:caps/>
          <w:color w:val="auto"/>
          <w:spacing w:val="-4"/>
          <w:sz w:val="20"/>
          <w:szCs w:val="20"/>
          <w:lang w:eastAsia="ja-JP"/>
        </w:rPr>
      </w:pPr>
      <w:r w:rsidRPr="00F547CF">
        <w:rPr>
          <w:rFonts w:ascii="Arial" w:eastAsiaTheme="minorEastAsia" w:hAnsi="Arial" w:cs="Times New Roman"/>
          <w:b w:val="0"/>
          <w:bCs w:val="0"/>
          <w:caps/>
          <w:color w:val="auto"/>
          <w:spacing w:val="-4"/>
          <w:sz w:val="20"/>
          <w:szCs w:val="20"/>
          <w:lang w:eastAsia="ja-JP"/>
        </w:rPr>
        <w:t>Zusammenarbeit zwischen internationalen Organisationen</w:t>
      </w:r>
      <w:bookmarkEnd w:id="1"/>
    </w:p>
    <w:p w14:paraId="7A6A5BE4" w14:textId="77777777" w:rsidR="00E81622" w:rsidRPr="00F547CF" w:rsidRDefault="00E81622" w:rsidP="00E81622">
      <w:pPr>
        <w:rPr>
          <w:lang w:eastAsia="ja-JP"/>
        </w:rPr>
      </w:pPr>
    </w:p>
    <w:p w14:paraId="12F9A70B" w14:textId="77777777" w:rsidR="005F10CD" w:rsidRPr="00F547CF" w:rsidRDefault="005F10CD" w:rsidP="00E81622">
      <w:pPr>
        <w:pStyle w:val="Heading2"/>
        <w:keepLines w:val="0"/>
        <w:spacing w:before="0"/>
        <w:rPr>
          <w:rFonts w:ascii="Arial" w:eastAsiaTheme="minorEastAsia" w:hAnsi="Arial" w:cs="Times New Roman"/>
          <w:b w:val="0"/>
          <w:bCs w:val="0"/>
          <w:color w:val="auto"/>
          <w:sz w:val="20"/>
          <w:szCs w:val="20"/>
          <w:u w:val="single"/>
        </w:rPr>
      </w:pPr>
      <w:bookmarkStart w:id="2" w:name="_Toc23755141"/>
      <w:r w:rsidRPr="00F547CF">
        <w:rPr>
          <w:rFonts w:ascii="Arial" w:eastAsiaTheme="minorEastAsia" w:hAnsi="Arial" w:cs="Times New Roman"/>
          <w:b w:val="0"/>
          <w:bCs w:val="0"/>
          <w:color w:val="auto"/>
          <w:sz w:val="20"/>
          <w:szCs w:val="20"/>
          <w:u w:val="single"/>
        </w:rPr>
        <w:t>Bestandsaufnahme zur Verwendung molekularer Markerverfahren</w:t>
      </w:r>
      <w:r w:rsidR="0059090F" w:rsidRPr="00F547CF">
        <w:rPr>
          <w:rFonts w:ascii="Arial" w:eastAsiaTheme="minorEastAsia" w:hAnsi="Arial" w:cs="Times New Roman"/>
          <w:b w:val="0"/>
          <w:bCs w:val="0"/>
          <w:color w:val="auto"/>
          <w:sz w:val="20"/>
          <w:szCs w:val="20"/>
          <w:u w:val="single"/>
        </w:rPr>
        <w:t xml:space="preserve"> </w:t>
      </w:r>
      <w:r w:rsidRPr="00F547CF">
        <w:rPr>
          <w:rFonts w:ascii="Arial" w:eastAsiaTheme="minorEastAsia" w:hAnsi="Arial" w:cs="Times New Roman"/>
          <w:b w:val="0"/>
          <w:bCs w:val="0"/>
          <w:color w:val="auto"/>
          <w:sz w:val="20"/>
          <w:szCs w:val="20"/>
          <w:u w:val="single"/>
        </w:rPr>
        <w:t>nach Pflanze</w:t>
      </w:r>
      <w:bookmarkEnd w:id="2"/>
    </w:p>
    <w:p w14:paraId="0E8A1C9A" w14:textId="77777777" w:rsidR="005F10CD" w:rsidRPr="0072519B" w:rsidRDefault="005F10CD" w:rsidP="00E81622"/>
    <w:p w14:paraId="6377FDFC" w14:textId="4B461F56" w:rsidR="005F10CD" w:rsidRPr="0072519B"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72519B">
        <w:rPr>
          <w:rFonts w:cs="Arial"/>
        </w:rPr>
        <w:t>Von der Technischen Arbeitsgruppe für Automatisierung und Computerprogramme (TWC) auf ihrer siebenunddreißigsten Tagung vom 14. bis 16. Oktober 2019 in Hangzhou, China, und der Arbeitsgruppe für biochemische und molekulare Verfahren und insbesondere für DNS-Profilierungsverfahren (BMT) auf ihrer achtzehnten Tagung wurden die folgenden Elemente bezüglich ihrer Verwendung für die Bestandsaufnahme zur Verwendung molekularer Markerverfahren nach Pflanze (die in Abstimmung mit der OECD entwickelt worden waren, wie in Dokument TWP/3/</w:t>
      </w:r>
      <w:r w:rsidR="00D4212E">
        <w:rPr>
          <w:rFonts w:cs="Arial"/>
        </w:rPr>
        <w:t>7</w:t>
      </w:r>
      <w:r w:rsidR="005F10CD" w:rsidRPr="0072519B">
        <w:rPr>
          <w:rFonts w:cs="Arial"/>
        </w:rPr>
        <w:t xml:space="preserve"> „Molekulare Verfahren“, Absatz 81 und in Dokument BMT/18/4, Absatz 25 dargelegt) geprüft:</w:t>
      </w:r>
    </w:p>
    <w:p w14:paraId="0D5795AD" w14:textId="77777777" w:rsidR="005F10CD" w:rsidRDefault="005F10CD" w:rsidP="00386BBC">
      <w:pPr>
        <w:autoSpaceDE w:val="0"/>
        <w:autoSpaceDN w:val="0"/>
        <w:adjustRightInd w:val="0"/>
        <w:rPr>
          <w:rFonts w:cs="Arial"/>
        </w:rPr>
      </w:pPr>
    </w:p>
    <w:tbl>
      <w:tblPr>
        <w:tblW w:w="0" w:type="auto"/>
        <w:tblInd w:w="108" w:type="dxa"/>
        <w:tblLayout w:type="fixed"/>
        <w:tblLook w:val="0000" w:firstRow="0" w:lastRow="0" w:firstColumn="0" w:lastColumn="0" w:noHBand="0" w:noVBand="0"/>
      </w:tblPr>
      <w:tblGrid>
        <w:gridCol w:w="9629"/>
      </w:tblGrid>
      <w:tr w:rsidR="005F10CD" w14:paraId="00BD894E"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7415BB40" w14:textId="77777777" w:rsidR="005F10CD" w:rsidRDefault="005F10CD" w:rsidP="001710FB">
            <w:pPr>
              <w:keepNext/>
              <w:autoSpaceDE w:val="0"/>
              <w:autoSpaceDN w:val="0"/>
              <w:adjustRightInd w:val="0"/>
              <w:rPr>
                <w:rFonts w:ascii="Calibri" w:hAnsi="Calibri" w:cs="Calibri"/>
              </w:rPr>
            </w:pPr>
            <w:r>
              <w:rPr>
                <w:rFonts w:cs="Arial"/>
                <w:sz w:val="18"/>
                <w:szCs w:val="18"/>
              </w:rPr>
              <w:lastRenderedPageBreak/>
              <w:t>Land oder zwischenstaatliche Organisation, das/die molekulare Markerverfahren verwendet</w:t>
            </w:r>
          </w:p>
        </w:tc>
      </w:tr>
      <w:tr w:rsidR="005F10CD" w14:paraId="49E959AB"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02491CFA" w14:textId="77777777" w:rsidR="005F10CD" w:rsidRDefault="005F10CD" w:rsidP="001710FB">
            <w:pPr>
              <w:keepNext/>
              <w:autoSpaceDE w:val="0"/>
              <w:autoSpaceDN w:val="0"/>
              <w:adjustRightInd w:val="0"/>
              <w:rPr>
                <w:rFonts w:ascii="Calibri" w:hAnsi="Calibri" w:cs="Calibri"/>
              </w:rPr>
            </w:pPr>
            <w:r>
              <w:rPr>
                <w:rFonts w:cs="Arial"/>
                <w:sz w:val="18"/>
                <w:szCs w:val="18"/>
              </w:rPr>
              <w:t>Herkunft [Name der Behörde] und Kontaktangaben [E-Mail-Adresse]</w:t>
            </w:r>
          </w:p>
        </w:tc>
      </w:tr>
      <w:tr w:rsidR="005F10CD" w14:paraId="658D2CCE"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1821D8F7" w14:textId="77777777" w:rsidR="005F10CD" w:rsidRDefault="005F10CD" w:rsidP="001710FB">
            <w:pPr>
              <w:keepNext/>
              <w:autoSpaceDE w:val="0"/>
              <w:autoSpaceDN w:val="0"/>
              <w:adjustRightInd w:val="0"/>
              <w:rPr>
                <w:rFonts w:ascii="Calibri" w:hAnsi="Calibri" w:cs="Calibri"/>
              </w:rPr>
            </w:pPr>
            <w:r>
              <w:rPr>
                <w:rFonts w:cs="Arial"/>
                <w:sz w:val="18"/>
                <w:szCs w:val="18"/>
              </w:rPr>
              <w:t>Art des molekularen Markerverfahrens</w:t>
            </w:r>
          </w:p>
        </w:tc>
      </w:tr>
      <w:tr w:rsidR="005F10CD" w14:paraId="19F58939"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73FCDA10" w14:textId="77777777" w:rsidR="005F10CD" w:rsidRDefault="005F10CD" w:rsidP="001710FB">
            <w:pPr>
              <w:keepNext/>
              <w:autoSpaceDE w:val="0"/>
              <w:autoSpaceDN w:val="0"/>
              <w:adjustRightInd w:val="0"/>
              <w:rPr>
                <w:rFonts w:cs="Arial"/>
                <w:sz w:val="18"/>
                <w:szCs w:val="18"/>
              </w:rPr>
            </w:pPr>
            <w:r>
              <w:rPr>
                <w:rFonts w:cs="Arial"/>
                <w:sz w:val="18"/>
                <w:szCs w:val="18"/>
              </w:rPr>
              <w:t>Pflanze(n), für die das molekulare Markerverfahren verwendet wird</w:t>
            </w:r>
          </w:p>
          <w:p w14:paraId="464681FC" w14:textId="77777777" w:rsidR="005F10CD" w:rsidRDefault="005F10CD" w:rsidP="001710FB">
            <w:pPr>
              <w:keepNext/>
              <w:autoSpaceDE w:val="0"/>
              <w:autoSpaceDN w:val="0"/>
              <w:adjustRightInd w:val="0"/>
              <w:rPr>
                <w:rFonts w:ascii="Calibri" w:hAnsi="Calibri" w:cs="Calibri"/>
              </w:rPr>
            </w:pPr>
            <w:r>
              <w:rPr>
                <w:rFonts w:cs="Arial"/>
                <w:sz w:val="18"/>
                <w:szCs w:val="18"/>
              </w:rPr>
              <w:t>[anzugebende(r) botanische(r) Name(n) und UPOV-Code(s)]</w:t>
            </w:r>
          </w:p>
        </w:tc>
      </w:tr>
      <w:tr w:rsidR="005F10CD" w14:paraId="7C3FA1F4"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7B9E2007" w14:textId="77777777" w:rsidR="005F10CD" w:rsidRDefault="005F10CD" w:rsidP="001710FB">
            <w:pPr>
              <w:keepNext/>
              <w:autoSpaceDE w:val="0"/>
              <w:autoSpaceDN w:val="0"/>
              <w:adjustRightInd w:val="0"/>
              <w:rPr>
                <w:rFonts w:ascii="Calibri" w:hAnsi="Calibri" w:cs="Calibri"/>
              </w:rPr>
            </w:pPr>
            <w:r>
              <w:rPr>
                <w:rFonts w:cs="Arial"/>
                <w:sz w:val="18"/>
                <w:szCs w:val="18"/>
              </w:rPr>
              <w:t>Zweck der Verwendung molekularer Verfahren [UPOV-Modell „Merkmalsspezifische molekulare Marker“, UPOV-Modell „Kombination phänotypischer und molekularer Abstände bei der Verwaltung von Sortensammlungen“, Reinheit, Identität, Überprüfung der Hybridität]</w:t>
            </w:r>
          </w:p>
        </w:tc>
      </w:tr>
      <w:tr w:rsidR="005F10CD" w14:paraId="7C448187"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3034FFC2" w14:textId="77777777" w:rsidR="005F10CD" w:rsidRDefault="005F10CD">
            <w:pPr>
              <w:autoSpaceDE w:val="0"/>
              <w:autoSpaceDN w:val="0"/>
              <w:adjustRightInd w:val="0"/>
              <w:rPr>
                <w:rFonts w:ascii="Calibri" w:hAnsi="Calibri" w:cs="Calibri"/>
              </w:rPr>
            </w:pPr>
            <w:r>
              <w:rPr>
                <w:rFonts w:cs="Arial"/>
                <w:sz w:val="18"/>
                <w:szCs w:val="18"/>
              </w:rPr>
              <w:t>Wurde das molekulare Markerverfahren innerhalb der letzten zwei Jahre im Rahmen der Saatgutzertifizierung verwendet? [nationale Zertifizierung, OECD-Zertifizierung] [maßgeblich für OECD-Saatgutschemata]</w:t>
            </w:r>
          </w:p>
        </w:tc>
      </w:tr>
      <w:tr w:rsidR="005F10CD" w14:paraId="454AC4BD"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6B29FFE4" w14:textId="77777777" w:rsidR="005F10CD" w:rsidRDefault="005F10CD">
            <w:pPr>
              <w:autoSpaceDE w:val="0"/>
              <w:autoSpaceDN w:val="0"/>
              <w:adjustRightInd w:val="0"/>
              <w:rPr>
                <w:rFonts w:ascii="Calibri" w:hAnsi="Calibri" w:cs="Calibri"/>
              </w:rPr>
            </w:pPr>
            <w:r>
              <w:rPr>
                <w:rFonts w:cs="Arial"/>
                <w:sz w:val="18"/>
                <w:szCs w:val="18"/>
              </w:rPr>
              <w:t>Wie oft hat die Behörde die molekularen Markerverfahren in den letzten zwei Jahren verwendet?</w:t>
            </w:r>
          </w:p>
        </w:tc>
      </w:tr>
      <w:tr w:rsidR="005F10CD" w14:paraId="6D8BCE95"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606A6AB0" w14:textId="77777777" w:rsidR="005F10CD" w:rsidRDefault="005F10CD">
            <w:pPr>
              <w:autoSpaceDE w:val="0"/>
              <w:autoSpaceDN w:val="0"/>
              <w:adjustRightInd w:val="0"/>
              <w:rPr>
                <w:rFonts w:ascii="Calibri" w:hAnsi="Calibri" w:cs="Calibri"/>
              </w:rPr>
            </w:pPr>
            <w:r>
              <w:rPr>
                <w:rFonts w:cs="Arial"/>
                <w:sz w:val="18"/>
                <w:szCs w:val="18"/>
              </w:rPr>
              <w:t>Das molekulare Markerverfahren ist enthalten in [der/den UPOV-Prüfungsrichtlinie(n), dem/den UPOV-TGP-Dokument(en), (einem) anderen Dokument(en) (bitte ausführen)]</w:t>
            </w:r>
          </w:p>
        </w:tc>
      </w:tr>
      <w:tr w:rsidR="005F10CD" w14:paraId="7975E140" w14:textId="77777777">
        <w:trPr>
          <w:trHeight w:val="1"/>
        </w:trPr>
        <w:tc>
          <w:tcPr>
            <w:tcW w:w="9629" w:type="dxa"/>
            <w:tcBorders>
              <w:top w:val="single" w:sz="3" w:space="0" w:color="000000"/>
              <w:left w:val="single" w:sz="3" w:space="0" w:color="000000"/>
              <w:bottom w:val="single" w:sz="3" w:space="0" w:color="000000"/>
              <w:right w:val="single" w:sz="3" w:space="0" w:color="000000"/>
            </w:tcBorders>
            <w:shd w:val="clear" w:color="000000" w:fill="FFFFFF"/>
          </w:tcPr>
          <w:p w14:paraId="27811281" w14:textId="77777777" w:rsidR="005F10CD" w:rsidRDefault="005F10CD">
            <w:pPr>
              <w:autoSpaceDE w:val="0"/>
              <w:autoSpaceDN w:val="0"/>
              <w:adjustRightInd w:val="0"/>
              <w:rPr>
                <w:rFonts w:cs="Arial"/>
                <w:sz w:val="18"/>
                <w:szCs w:val="18"/>
              </w:rPr>
            </w:pPr>
            <w:r>
              <w:rPr>
                <w:rFonts w:cs="Arial"/>
                <w:sz w:val="18"/>
                <w:szCs w:val="18"/>
              </w:rPr>
              <w:t xml:space="preserve">Ist das molekulare Verfahren validiert? [Wenn ja, bitte eine konkrete Organisation oder Behörde angeben] </w:t>
            </w:r>
          </w:p>
          <w:p w14:paraId="1DAFB9C1" w14:textId="77777777" w:rsidR="005F10CD" w:rsidRDefault="005F10CD">
            <w:pPr>
              <w:autoSpaceDE w:val="0"/>
              <w:autoSpaceDN w:val="0"/>
              <w:adjustRightInd w:val="0"/>
              <w:rPr>
                <w:rFonts w:ascii="Calibri" w:hAnsi="Calibri" w:cs="Calibri"/>
              </w:rPr>
            </w:pPr>
            <w:r>
              <w:rPr>
                <w:rFonts w:cs="Arial"/>
                <w:sz w:val="18"/>
                <w:szCs w:val="18"/>
              </w:rPr>
              <w:t>[maßgeblich für OECD-Saatgutschemata]</w:t>
            </w:r>
          </w:p>
        </w:tc>
      </w:tr>
    </w:tbl>
    <w:p w14:paraId="3A4F40AC" w14:textId="77777777" w:rsidR="005F10CD" w:rsidRDefault="005F10CD" w:rsidP="005F10CD">
      <w:pPr>
        <w:autoSpaceDE w:val="0"/>
        <w:autoSpaceDN w:val="0"/>
        <w:adjustRightInd w:val="0"/>
        <w:rPr>
          <w:rFonts w:cs="Arial"/>
        </w:rPr>
      </w:pPr>
    </w:p>
    <w:p w14:paraId="0D70DA08" w14:textId="30678C8D"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Die TWC billigte die Verwendung der oben genannten Elemente für die Bestandsaufname zur Verwendung molekularer Markerverfahren nach Pflanze (vergleiche Dokument TWC/37/12 „Bericht“, Absatz 80).</w:t>
      </w:r>
    </w:p>
    <w:p w14:paraId="3D692CB0" w14:textId="77777777" w:rsidR="005F10CD" w:rsidRPr="006C192E" w:rsidRDefault="005F10CD" w:rsidP="005F10CD">
      <w:pPr>
        <w:autoSpaceDE w:val="0"/>
        <w:autoSpaceDN w:val="0"/>
        <w:adjustRightInd w:val="0"/>
        <w:rPr>
          <w:rFonts w:cs="Arial"/>
        </w:rPr>
      </w:pPr>
    </w:p>
    <w:p w14:paraId="06E4363B" w14:textId="4A064747"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Die BMT stimmte zu, daß die Antworten in der Umfrage strukturiert sein sollten, um ein Vergleichen der Ergebnisse zu ermöglichen.  So solle die Frage nach der „Art des molekularen Markerverfahrens“ beispielsweise eine Liste möglicher Antworten vorgeben (vergleiche Dokument BMT/18/21 „Bericht“, Absätze 25 bis 31).</w:t>
      </w:r>
    </w:p>
    <w:p w14:paraId="7C01242F" w14:textId="77777777" w:rsidR="005F10CD" w:rsidRPr="006C192E" w:rsidRDefault="005F10CD" w:rsidP="005F10CD">
      <w:pPr>
        <w:autoSpaceDE w:val="0"/>
        <w:autoSpaceDN w:val="0"/>
        <w:adjustRightInd w:val="0"/>
        <w:rPr>
          <w:rFonts w:cs="Arial"/>
        </w:rPr>
      </w:pPr>
    </w:p>
    <w:p w14:paraId="52D62C77" w14:textId="2A22723C"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Die BMT stimmte dem Vorschlag zu, folgende Eingangsfrage hinzuzufügen:  „Werden in Ihrer Behörde molekulare Markerverfahren verwendet?“</w:t>
      </w:r>
    </w:p>
    <w:p w14:paraId="7D74A1C6" w14:textId="77777777" w:rsidR="005F10CD" w:rsidRPr="006C192E" w:rsidRDefault="005F10CD" w:rsidP="005F10CD">
      <w:pPr>
        <w:autoSpaceDE w:val="0"/>
        <w:autoSpaceDN w:val="0"/>
        <w:adjustRightInd w:val="0"/>
        <w:rPr>
          <w:rFonts w:cs="Arial"/>
        </w:rPr>
      </w:pPr>
    </w:p>
    <w:p w14:paraId="7E6F333E" w14:textId="083ACF97"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Die BMT stimmte mit der TWA darin überein, daß die Frage „Ist das molekulare Verfahren validiert?“ nicht in die Umfrage aufgenommen werden solle.</w:t>
      </w:r>
    </w:p>
    <w:p w14:paraId="0B0DDDB8" w14:textId="77777777" w:rsidR="005F10CD" w:rsidRPr="006C192E" w:rsidRDefault="005F10CD" w:rsidP="005F10CD">
      <w:pPr>
        <w:autoSpaceDE w:val="0"/>
        <w:autoSpaceDN w:val="0"/>
        <w:adjustRightInd w:val="0"/>
        <w:rPr>
          <w:rFonts w:cs="Arial"/>
        </w:rPr>
      </w:pPr>
    </w:p>
    <w:p w14:paraId="2DFF89A0" w14:textId="342481EF"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Die BMT stimmte zu, daß die Umfrage es ermöglichen solle,  mehr als ein molekulares Markerverfahren pro Pflanze (Zweigstruktur auf Pflanzenebene) anzugeben.</w:t>
      </w:r>
    </w:p>
    <w:p w14:paraId="3F4F984A" w14:textId="77777777" w:rsidR="005F10CD" w:rsidRPr="006C192E" w:rsidRDefault="005F10CD" w:rsidP="005F10CD">
      <w:pPr>
        <w:autoSpaceDE w:val="0"/>
        <w:autoSpaceDN w:val="0"/>
        <w:adjustRightInd w:val="0"/>
        <w:rPr>
          <w:rFonts w:cs="Arial"/>
        </w:rPr>
      </w:pPr>
    </w:p>
    <w:p w14:paraId="6B922E90" w14:textId="68D2BDDE"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Die BMT stimmte mit der TWA darin überein, daß die Frage  „Wie oft hat die Behörde die molekularen Markerverfahren in den letzten zwei Jahren verwendet?“ klarer zu formulieren sei, um deutlich zu machen, ob der angegebene Wert sich auf die routinemäßige oder au</w:t>
      </w:r>
      <w:r w:rsidR="0059090F">
        <w:rPr>
          <w:rFonts w:cs="Arial"/>
        </w:rPr>
        <w:t>s</w:t>
      </w:r>
      <w:r w:rsidR="005F10CD" w:rsidRPr="006C192E">
        <w:rPr>
          <w:rFonts w:cs="Arial"/>
        </w:rPr>
        <w:t>nahmsweise Anwendung des Verfahrens (z.B. Durchsuchen von Sortensammlungen) bezieht.  Die BMT stimmte zu, daß die Antworten auf diese Fragen durch einen Auswahlbereich von Werten strukturiert sein sollten (z.B. „1 bis 5“, „6 bis 20“, „21 bis 100“).</w:t>
      </w:r>
    </w:p>
    <w:p w14:paraId="621148CA" w14:textId="77777777" w:rsidR="005F10CD" w:rsidRPr="006C192E" w:rsidRDefault="005F10CD" w:rsidP="005F10CD">
      <w:pPr>
        <w:autoSpaceDE w:val="0"/>
        <w:autoSpaceDN w:val="0"/>
        <w:adjustRightInd w:val="0"/>
        <w:rPr>
          <w:rFonts w:cs="Arial"/>
        </w:rPr>
      </w:pPr>
    </w:p>
    <w:p w14:paraId="4C225E99" w14:textId="314D3A89"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 xml:space="preserve">Die BMT stimmte dem Vorschlag der TWA zu, die Frage hinzuzufügen, ob die Befragten die mittels der verwendeten molekularen Marker gewonnenen Daten zur Einrichtung von Datenbanken genutzt haben.  </w:t>
      </w:r>
    </w:p>
    <w:p w14:paraId="5D93FF07" w14:textId="77777777" w:rsidR="005F10CD" w:rsidRPr="006C192E" w:rsidRDefault="005F10CD" w:rsidP="005F10CD">
      <w:pPr>
        <w:autoSpaceDE w:val="0"/>
        <w:autoSpaceDN w:val="0"/>
        <w:adjustRightInd w:val="0"/>
        <w:rPr>
          <w:rFonts w:cs="Arial"/>
        </w:rPr>
      </w:pPr>
    </w:p>
    <w:p w14:paraId="11AB9B85" w14:textId="3B6FDC2B"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 xml:space="preserve">Die BMT stimmte zu, daß die Durchführung einer Testumfrage zu erwägen sei, bevor die Mitglieder aufgefordert werden, zu antworten.  </w:t>
      </w:r>
    </w:p>
    <w:p w14:paraId="7F79E6F9" w14:textId="77777777" w:rsidR="005F10CD" w:rsidRPr="006C192E" w:rsidRDefault="005F10CD" w:rsidP="005F10CD">
      <w:pPr>
        <w:autoSpaceDE w:val="0"/>
        <w:autoSpaceDN w:val="0"/>
        <w:adjustRightInd w:val="0"/>
        <w:rPr>
          <w:rFonts w:cs="Arial"/>
        </w:rPr>
      </w:pPr>
    </w:p>
    <w:p w14:paraId="029EDE5D" w14:textId="77777777" w:rsidR="005F10CD" w:rsidRPr="00F547CF" w:rsidRDefault="005F10CD" w:rsidP="00257E05">
      <w:pPr>
        <w:pStyle w:val="Heading2"/>
        <w:keepLines w:val="0"/>
        <w:spacing w:before="0"/>
        <w:rPr>
          <w:rFonts w:ascii="Arial" w:eastAsiaTheme="minorEastAsia" w:hAnsi="Arial" w:cs="Times New Roman"/>
          <w:b w:val="0"/>
          <w:bCs w:val="0"/>
          <w:color w:val="auto"/>
          <w:sz w:val="20"/>
          <w:szCs w:val="20"/>
          <w:u w:val="single"/>
        </w:rPr>
      </w:pPr>
      <w:bookmarkStart w:id="3" w:name="_Toc23755142"/>
      <w:r w:rsidRPr="00F547CF">
        <w:rPr>
          <w:rFonts w:ascii="Arial" w:eastAsiaTheme="minorEastAsia" w:hAnsi="Arial" w:cs="Times New Roman"/>
          <w:b w:val="0"/>
          <w:bCs w:val="0"/>
          <w:color w:val="auto"/>
          <w:sz w:val="20"/>
          <w:szCs w:val="20"/>
          <w:u w:val="single"/>
        </w:rPr>
        <w:t>Listen möglicher gemeinsamer Initiativen mit OECD und ISTA hinsichtlich molekularer Verfahren</w:t>
      </w:r>
      <w:bookmarkEnd w:id="3"/>
    </w:p>
    <w:p w14:paraId="23C54BA9" w14:textId="77777777" w:rsidR="005F10CD" w:rsidRPr="006C192E" w:rsidRDefault="005F10CD" w:rsidP="005F10CD">
      <w:pPr>
        <w:autoSpaceDE w:val="0"/>
        <w:autoSpaceDN w:val="0"/>
        <w:adjustRightInd w:val="0"/>
        <w:rPr>
          <w:rFonts w:cs="Arial"/>
        </w:rPr>
      </w:pPr>
    </w:p>
    <w:p w14:paraId="62F45CE0" w14:textId="7A06AF97" w:rsidR="005F10CD" w:rsidRPr="006C192E" w:rsidRDefault="00541ED0"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rPr>
        <w:t xml:space="preserve">Auf das Ersuchen hin, Listen möglicher gemeinsamer Initiativen mit der OECD und der ISTA hinsichtlich molekularer Verfahren zu erarbeiten, vereinbarte die BMT auf ihrer achtzehnten Tagung, die wiederholte künftige Durchführung gemeinsamer Arbeitstagungen mit der ISTA und der OECD vorzuschlagen. Die BMT vereinbarte den Vorschlag einer gemeinsamen Initiative, die vorsieht, daß jede Organisation die anderen Organisationen über die Verwendung molekularer Marker für die eigene Tätigkeit informiert (vergleiche Dokument BMT/18/21 „Bericht“, Absatz 34).  </w:t>
      </w:r>
    </w:p>
    <w:p w14:paraId="539BDCFC" w14:textId="77777777" w:rsidR="005F10CD" w:rsidRPr="006C192E" w:rsidRDefault="005F10CD" w:rsidP="00257E05"/>
    <w:p w14:paraId="1D7980B2" w14:textId="77777777" w:rsidR="005F10CD" w:rsidRPr="00140E5F" w:rsidRDefault="005F10CD" w:rsidP="009354F6">
      <w:pPr>
        <w:pStyle w:val="Heading2"/>
        <w:rPr>
          <w:rFonts w:ascii="Arial" w:hAnsi="Arial" w:cs="Arial"/>
          <w:b w:val="0"/>
          <w:color w:val="auto"/>
          <w:sz w:val="20"/>
          <w:szCs w:val="20"/>
          <w:u w:val="single"/>
        </w:rPr>
      </w:pPr>
      <w:bookmarkStart w:id="4" w:name="_Toc23755143"/>
      <w:r w:rsidRPr="00F547CF">
        <w:rPr>
          <w:rFonts w:ascii="Arial" w:eastAsiaTheme="minorEastAsia" w:hAnsi="Arial" w:cs="Times New Roman"/>
          <w:b w:val="0"/>
          <w:bCs w:val="0"/>
          <w:color w:val="auto"/>
          <w:sz w:val="20"/>
          <w:szCs w:val="20"/>
          <w:u w:val="single"/>
        </w:rPr>
        <w:lastRenderedPageBreak/>
        <w:t>Gemeinsames Dokument zur Erläuterung der wesentlichen Besonderheiten der Systeme von OECD,</w:t>
      </w:r>
      <w:r w:rsidRPr="00140E5F">
        <w:rPr>
          <w:rFonts w:ascii="Arial" w:hAnsi="Arial" w:cs="Arial"/>
          <w:b w:val="0"/>
          <w:color w:val="auto"/>
          <w:sz w:val="20"/>
          <w:szCs w:val="20"/>
          <w:u w:val="single"/>
        </w:rPr>
        <w:t xml:space="preserve"> UPOV und ISTA</w:t>
      </w:r>
      <w:bookmarkEnd w:id="4"/>
    </w:p>
    <w:p w14:paraId="594AFBA3" w14:textId="77777777" w:rsidR="005F10CD" w:rsidRPr="006C192E" w:rsidRDefault="005F10CD" w:rsidP="00257E05">
      <w:pPr>
        <w:autoSpaceDE w:val="0"/>
        <w:autoSpaceDN w:val="0"/>
        <w:adjustRightInd w:val="0"/>
        <w:rPr>
          <w:rFonts w:cs="Arial"/>
        </w:rPr>
      </w:pPr>
    </w:p>
    <w:p w14:paraId="2CA4874A" w14:textId="5D976C23" w:rsidR="005F10CD" w:rsidRPr="006C192E" w:rsidRDefault="00541ED0" w:rsidP="005F10CD">
      <w:pPr>
        <w:autoSpaceDE w:val="0"/>
        <w:autoSpaceDN w:val="0"/>
        <w:adjustRightInd w:val="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005F10CD" w:rsidRPr="006C192E">
        <w:rPr>
          <w:rFonts w:cs="Arial"/>
        </w:rPr>
        <w:t xml:space="preserve">Auf ihrer achtzehnten Tagung vom 16. bis 18. Oktober 2019 in Hangzhou, China, prüfte die BMT das Dokument BMT/18/4 „Zusammenarbeit zwischen internationalen Organisationen“ und einigte sich darauf, daß die einschlägigen Elemente der Weltsaatgutpartnerschaft und die nachstehend aufgeführten FAQ zur Verwendung molekularer Verfahren bei der DUS-Prüfung für das Verbandsbüro eine geeignete Grundlage wären, ein gemeinsames Entwurfspapier zu erarbeiten, das die wesentlichen Besonderheiten der Systeme von OECD, UPOV und ISTA erläutert (vergleiche Dokument BMT/18/21 „Bericht“, Absätze 22 und 23).  </w:t>
      </w:r>
    </w:p>
    <w:p w14:paraId="3EE6EB03" w14:textId="77777777" w:rsidR="005F10CD" w:rsidRPr="006C192E" w:rsidRDefault="005F10CD" w:rsidP="005F10CD">
      <w:pPr>
        <w:autoSpaceDE w:val="0"/>
        <w:autoSpaceDN w:val="0"/>
        <w:adjustRightInd w:val="0"/>
        <w:rPr>
          <w:rFonts w:cs="Arial"/>
        </w:rPr>
      </w:pPr>
    </w:p>
    <w:p w14:paraId="3BD2B6B8" w14:textId="77777777" w:rsidR="005F10CD" w:rsidRPr="00F547CF" w:rsidRDefault="005F10CD" w:rsidP="005C087A">
      <w:pPr>
        <w:pStyle w:val="Heading3"/>
        <w:rPr>
          <w:snapToGrid w:val="0"/>
          <w:lang w:val="de-DE" w:eastAsia="ja-JP"/>
        </w:rPr>
      </w:pPr>
      <w:r w:rsidRPr="00F547CF">
        <w:rPr>
          <w:snapToGrid w:val="0"/>
          <w:lang w:val="de-DE" w:eastAsia="ja-JP"/>
        </w:rPr>
        <w:t xml:space="preserve">Einschlägige Elemente der Weltsaatgutpartnerschaft </w:t>
      </w:r>
    </w:p>
    <w:p w14:paraId="1DB88883" w14:textId="77777777" w:rsidR="005F10CD" w:rsidRDefault="005F10CD" w:rsidP="005F10CD">
      <w:pPr>
        <w:autoSpaceDE w:val="0"/>
        <w:autoSpaceDN w:val="0"/>
        <w:adjustRightInd w:val="0"/>
        <w:rPr>
          <w:rFonts w:cs="Arial"/>
        </w:rPr>
      </w:pPr>
    </w:p>
    <w:p w14:paraId="4B59D0FF" w14:textId="77777777" w:rsidR="005F10CD" w:rsidRDefault="005F10CD" w:rsidP="005F10CD">
      <w:pPr>
        <w:autoSpaceDE w:val="0"/>
        <w:autoSpaceDN w:val="0"/>
        <w:adjustRightInd w:val="0"/>
        <w:ind w:left="567" w:right="567"/>
        <w:rPr>
          <w:rFonts w:cs="Arial"/>
          <w:sz w:val="18"/>
          <w:szCs w:val="18"/>
        </w:rPr>
      </w:pPr>
      <w:r>
        <w:rPr>
          <w:rFonts w:cs="Arial"/>
          <w:sz w:val="18"/>
          <w:szCs w:val="18"/>
        </w:rPr>
        <w:t>Was ist die Weltsaatgutpartnerschaft?</w:t>
      </w:r>
    </w:p>
    <w:p w14:paraId="4FB3A472" w14:textId="77777777" w:rsidR="005F10CD" w:rsidRDefault="005F10CD" w:rsidP="005F10CD">
      <w:pPr>
        <w:autoSpaceDE w:val="0"/>
        <w:autoSpaceDN w:val="0"/>
        <w:adjustRightInd w:val="0"/>
        <w:ind w:right="567"/>
        <w:rPr>
          <w:rFonts w:cs="Arial"/>
          <w:sz w:val="18"/>
          <w:szCs w:val="18"/>
        </w:rPr>
      </w:pPr>
    </w:p>
    <w:p w14:paraId="39B89323" w14:textId="77777777" w:rsidR="005F10CD" w:rsidRDefault="005F10CD" w:rsidP="005F10CD">
      <w:pPr>
        <w:autoSpaceDE w:val="0"/>
        <w:autoSpaceDN w:val="0"/>
        <w:adjustRightInd w:val="0"/>
        <w:ind w:left="567" w:right="567"/>
        <w:rPr>
          <w:rFonts w:cs="Arial"/>
          <w:sz w:val="18"/>
          <w:szCs w:val="18"/>
        </w:rPr>
      </w:pPr>
      <w:r>
        <w:rPr>
          <w:rFonts w:cs="Arial"/>
          <w:sz w:val="18"/>
          <w:szCs w:val="18"/>
        </w:rPr>
        <w:t>Die Weltsaatgutpartnerschaft vereint eine Gruppe von internationalen Organisationen, die bei der Entwicklung von Saatgutsystemen für eine nachhaltige Landwirtschaft eng miteinander zusammenarbeiten. Nachstehend findet sich zu den beteiligten Organisationen jeweils ein kurzer Überblick und ein vollständiges Profil.</w:t>
      </w:r>
    </w:p>
    <w:p w14:paraId="78F18ADD" w14:textId="77777777" w:rsidR="005F10CD" w:rsidRDefault="005F10CD" w:rsidP="005F10CD">
      <w:pPr>
        <w:autoSpaceDE w:val="0"/>
        <w:autoSpaceDN w:val="0"/>
        <w:adjustRightInd w:val="0"/>
        <w:ind w:right="567"/>
        <w:rPr>
          <w:rFonts w:cs="Arial"/>
          <w:sz w:val="18"/>
          <w:szCs w:val="18"/>
        </w:rPr>
      </w:pPr>
    </w:p>
    <w:p w14:paraId="656948BA" w14:textId="77777777" w:rsidR="005F10CD" w:rsidRDefault="005F10CD" w:rsidP="005F10CD">
      <w:pPr>
        <w:autoSpaceDE w:val="0"/>
        <w:autoSpaceDN w:val="0"/>
        <w:adjustRightInd w:val="0"/>
        <w:ind w:right="567"/>
        <w:rPr>
          <w:rFonts w:cs="Arial"/>
          <w:sz w:val="18"/>
          <w:szCs w:val="18"/>
        </w:rPr>
      </w:pPr>
    </w:p>
    <w:p w14:paraId="1317FEEF" w14:textId="77777777" w:rsidR="005F10CD" w:rsidRDefault="005F10CD" w:rsidP="005F10CD">
      <w:pPr>
        <w:autoSpaceDE w:val="0"/>
        <w:autoSpaceDN w:val="0"/>
        <w:adjustRightInd w:val="0"/>
        <w:ind w:left="567" w:right="567"/>
        <w:rPr>
          <w:rFonts w:cs="Arial"/>
          <w:sz w:val="18"/>
          <w:szCs w:val="18"/>
          <w:u w:val="single"/>
        </w:rPr>
      </w:pPr>
      <w:r>
        <w:rPr>
          <w:rFonts w:cs="Arial"/>
          <w:sz w:val="18"/>
          <w:szCs w:val="18"/>
          <w:u w:val="single"/>
        </w:rPr>
        <w:t>Organisation für wirtschaftliche Zusammenarbeit und Entwicklung (OECD)</w:t>
      </w:r>
    </w:p>
    <w:p w14:paraId="1A9BD7DD" w14:textId="77777777" w:rsidR="005F10CD" w:rsidRDefault="005F10CD" w:rsidP="005F10CD">
      <w:pPr>
        <w:autoSpaceDE w:val="0"/>
        <w:autoSpaceDN w:val="0"/>
        <w:adjustRightInd w:val="0"/>
        <w:ind w:right="567"/>
        <w:rPr>
          <w:rFonts w:cs="Arial"/>
          <w:sz w:val="18"/>
          <w:szCs w:val="18"/>
        </w:rPr>
      </w:pPr>
    </w:p>
    <w:p w14:paraId="67B5063C" w14:textId="77777777" w:rsidR="005F10CD" w:rsidRDefault="005F10CD" w:rsidP="005F10CD">
      <w:pPr>
        <w:autoSpaceDE w:val="0"/>
        <w:autoSpaceDN w:val="0"/>
        <w:adjustRightInd w:val="0"/>
        <w:ind w:left="567" w:right="567"/>
        <w:rPr>
          <w:rFonts w:cs="Arial"/>
          <w:sz w:val="18"/>
          <w:szCs w:val="18"/>
        </w:rPr>
      </w:pPr>
      <w:r>
        <w:rPr>
          <w:rFonts w:cs="Arial"/>
          <w:sz w:val="18"/>
          <w:szCs w:val="18"/>
        </w:rPr>
        <w:t>Art der Organisation</w:t>
      </w:r>
    </w:p>
    <w:p w14:paraId="26BD1A8B" w14:textId="77777777" w:rsidR="005F10CD" w:rsidRDefault="005F10CD" w:rsidP="005F10CD">
      <w:pPr>
        <w:autoSpaceDE w:val="0"/>
        <w:autoSpaceDN w:val="0"/>
        <w:adjustRightInd w:val="0"/>
        <w:ind w:left="567" w:right="567"/>
        <w:rPr>
          <w:rFonts w:cs="Arial"/>
          <w:sz w:val="18"/>
          <w:szCs w:val="18"/>
        </w:rPr>
      </w:pPr>
      <w:r>
        <w:rPr>
          <w:rFonts w:cs="Arial"/>
          <w:sz w:val="18"/>
          <w:szCs w:val="18"/>
        </w:rPr>
        <w:t>zwischenstaatlich</w:t>
      </w:r>
    </w:p>
    <w:p w14:paraId="3FB00BCE" w14:textId="77777777" w:rsidR="005F10CD" w:rsidRDefault="005F10CD" w:rsidP="005F10CD">
      <w:pPr>
        <w:autoSpaceDE w:val="0"/>
        <w:autoSpaceDN w:val="0"/>
        <w:adjustRightInd w:val="0"/>
        <w:ind w:left="567" w:right="567"/>
        <w:rPr>
          <w:rFonts w:cs="Arial"/>
          <w:sz w:val="18"/>
          <w:szCs w:val="18"/>
        </w:rPr>
      </w:pPr>
    </w:p>
    <w:p w14:paraId="5FC1B859" w14:textId="77777777" w:rsidR="005F10CD" w:rsidRDefault="005F10CD" w:rsidP="005F10CD">
      <w:pPr>
        <w:autoSpaceDE w:val="0"/>
        <w:autoSpaceDN w:val="0"/>
        <w:adjustRightInd w:val="0"/>
        <w:ind w:left="567" w:right="567"/>
        <w:rPr>
          <w:rFonts w:cs="Arial"/>
          <w:sz w:val="18"/>
          <w:szCs w:val="18"/>
        </w:rPr>
      </w:pPr>
      <w:r>
        <w:rPr>
          <w:rFonts w:cs="Arial"/>
          <w:sz w:val="18"/>
          <w:szCs w:val="18"/>
        </w:rPr>
        <w:t>Saatgutsysteme der OECD</w:t>
      </w:r>
    </w:p>
    <w:p w14:paraId="25CA185C" w14:textId="77777777" w:rsidR="005F10CD" w:rsidRDefault="005F10CD" w:rsidP="005F10CD">
      <w:pPr>
        <w:autoSpaceDE w:val="0"/>
        <w:autoSpaceDN w:val="0"/>
        <w:adjustRightInd w:val="0"/>
        <w:ind w:left="567" w:right="567"/>
        <w:rPr>
          <w:rFonts w:cs="Arial"/>
          <w:sz w:val="18"/>
          <w:szCs w:val="18"/>
        </w:rPr>
      </w:pPr>
      <w:r>
        <w:rPr>
          <w:rFonts w:cs="Arial"/>
          <w:sz w:val="18"/>
          <w:szCs w:val="18"/>
        </w:rPr>
        <w:t>Teilnehmerländer</w:t>
      </w:r>
    </w:p>
    <w:p w14:paraId="551535B9" w14:textId="77777777" w:rsidR="005F10CD" w:rsidRDefault="005F10CD" w:rsidP="005F10CD">
      <w:pPr>
        <w:autoSpaceDE w:val="0"/>
        <w:autoSpaceDN w:val="0"/>
        <w:adjustRightInd w:val="0"/>
        <w:ind w:left="567" w:right="567"/>
        <w:rPr>
          <w:rFonts w:cs="Arial"/>
          <w:sz w:val="18"/>
          <w:szCs w:val="18"/>
        </w:rPr>
      </w:pPr>
    </w:p>
    <w:p w14:paraId="29BACBCE" w14:textId="77777777" w:rsidR="005F10CD" w:rsidRDefault="005F10CD" w:rsidP="005F10CD">
      <w:pPr>
        <w:autoSpaceDE w:val="0"/>
        <w:autoSpaceDN w:val="0"/>
        <w:adjustRightInd w:val="0"/>
        <w:ind w:left="567" w:right="567"/>
        <w:rPr>
          <w:rFonts w:cs="Arial"/>
          <w:sz w:val="18"/>
          <w:szCs w:val="18"/>
        </w:rPr>
      </w:pPr>
      <w:r>
        <w:rPr>
          <w:rFonts w:cs="Arial"/>
          <w:sz w:val="18"/>
          <w:szCs w:val="18"/>
        </w:rPr>
        <w:t>Auftrag</w:t>
      </w:r>
    </w:p>
    <w:p w14:paraId="7E297041" w14:textId="77777777" w:rsidR="005F10CD" w:rsidRDefault="005F10CD" w:rsidP="005F10CD">
      <w:pPr>
        <w:autoSpaceDE w:val="0"/>
        <w:autoSpaceDN w:val="0"/>
        <w:adjustRightInd w:val="0"/>
        <w:ind w:left="567" w:right="567"/>
        <w:rPr>
          <w:rFonts w:cs="Arial"/>
          <w:sz w:val="18"/>
          <w:szCs w:val="18"/>
        </w:rPr>
      </w:pPr>
      <w:r>
        <w:rPr>
          <w:rFonts w:cs="Arial"/>
          <w:sz w:val="18"/>
          <w:szCs w:val="18"/>
        </w:rPr>
        <w:t>Die OECD-Saatgutsysteme schaffen einen internationalen Rahmen für die Zertifizierung von landwirtschaftlichem Sortensaatgut, das in den internationalen Verkehr gebracht wird. Die Saatgutsysteme wurden 1958 aufgrund einer Kombination von auslösenden Faktoren gegründet, zu denen ein schnell wachsender Saatguthandel, die europaweite Harmonisierung von Vorschriften, die Entwicklung der Nebensaison-Erzeugung, die Saatzucht und das Produktionspotential großer Exportstaaten in Amerika (Nord- und Südkontinent) und Europa und die Unterstützung durch die Privatwirtschaft gehörten. Die Mitgliedschaft in den Saatgutsystemen ist freiwillig, und die Beteiligung schwankt. Es gibt acht landwirtschaftliche Saatgutsysteme.</w:t>
      </w:r>
    </w:p>
    <w:p w14:paraId="16C46653" w14:textId="77777777" w:rsidR="005F10CD" w:rsidRDefault="005F10CD" w:rsidP="005F10CD">
      <w:pPr>
        <w:autoSpaceDE w:val="0"/>
        <w:autoSpaceDN w:val="0"/>
        <w:adjustRightInd w:val="0"/>
        <w:ind w:left="567" w:right="567"/>
        <w:rPr>
          <w:rFonts w:cs="Arial"/>
          <w:sz w:val="18"/>
          <w:szCs w:val="18"/>
        </w:rPr>
      </w:pPr>
    </w:p>
    <w:p w14:paraId="0796499C" w14:textId="77777777" w:rsidR="005F10CD" w:rsidRDefault="005F10CD" w:rsidP="005F10CD">
      <w:pPr>
        <w:autoSpaceDE w:val="0"/>
        <w:autoSpaceDN w:val="0"/>
        <w:adjustRightInd w:val="0"/>
        <w:ind w:left="567" w:right="567"/>
        <w:rPr>
          <w:rFonts w:cs="Arial"/>
          <w:sz w:val="18"/>
          <w:szCs w:val="18"/>
        </w:rPr>
      </w:pPr>
      <w:r>
        <w:rPr>
          <w:rFonts w:cs="Arial"/>
          <w:sz w:val="18"/>
          <w:szCs w:val="18"/>
        </w:rPr>
        <w:t>Ziele</w:t>
      </w:r>
    </w:p>
    <w:p w14:paraId="2B9295C7" w14:textId="77777777" w:rsidR="005F10CD" w:rsidRDefault="005F10CD" w:rsidP="005F10CD">
      <w:pPr>
        <w:numPr>
          <w:ilvl w:val="0"/>
          <w:numId w:val="1"/>
        </w:numPr>
        <w:tabs>
          <w:tab w:val="left" w:pos="720"/>
          <w:tab w:val="left" w:pos="1134"/>
          <w:tab w:val="left" w:pos="8789"/>
        </w:tabs>
        <w:autoSpaceDE w:val="0"/>
        <w:autoSpaceDN w:val="0"/>
        <w:adjustRightInd w:val="0"/>
        <w:ind w:left="1134" w:right="850" w:hanging="360"/>
        <w:rPr>
          <w:rFonts w:cs="Arial"/>
          <w:sz w:val="18"/>
          <w:szCs w:val="18"/>
        </w:rPr>
      </w:pPr>
      <w:r>
        <w:rPr>
          <w:rFonts w:cs="Arial"/>
          <w:sz w:val="18"/>
          <w:szCs w:val="18"/>
        </w:rPr>
        <w:t>Förderung der Produktion und Verwendung von Saatgut mit „Qualitätsgarantie“ in den Teilnehmerländern. Im Rahmen der vereinbarten Richtlinien zur Sicherung der Sortenidentität und Sortenreinheit  wird durch die Systeme die Nutzung von Kennzeichen und Zertifikaten für Saatgut genehmigt, das für den internationalen Handel  produziert und weiterverarbeitet wird.</w:t>
      </w:r>
    </w:p>
    <w:p w14:paraId="3188BE4C" w14:textId="77777777" w:rsidR="005F10CD" w:rsidRDefault="005F10CD" w:rsidP="005F10CD">
      <w:pPr>
        <w:numPr>
          <w:ilvl w:val="0"/>
          <w:numId w:val="1"/>
        </w:numPr>
        <w:tabs>
          <w:tab w:val="left" w:pos="720"/>
          <w:tab w:val="left" w:pos="1134"/>
          <w:tab w:val="left" w:pos="8789"/>
        </w:tabs>
        <w:autoSpaceDE w:val="0"/>
        <w:autoSpaceDN w:val="0"/>
        <w:adjustRightInd w:val="0"/>
        <w:ind w:left="1134" w:right="850" w:hanging="360"/>
        <w:rPr>
          <w:rFonts w:cs="Arial"/>
          <w:sz w:val="18"/>
          <w:szCs w:val="18"/>
        </w:rPr>
      </w:pPr>
      <w:r>
        <w:rPr>
          <w:rFonts w:cs="Arial"/>
          <w:sz w:val="18"/>
          <w:szCs w:val="18"/>
        </w:rPr>
        <w:t>Erleichterung der Ein- und Ausfuhr von Saatgut durch den Abbau technischer Handelshemmnisse, der im Wege einer Identitäts- und Herkunftsgarantie mittels international anerkannter Kennzeichen („Pässe“) herbeigeführt wird. Zudem sind darin Richtlinien für die Vermehrung von Saatgut im Ausland niedergelegt, ebenso wie für die Delegierung einiger Überwachungsaufgaben an die Privatwirtschaft („Genehmigung“). Die Menge des durch die OECD-Systeme zertifizierten Saatguts ist während der letzten Jahre rasant angestiegen und überschreitet mittlerweile die 1-Millionen-Tonnen-Marke.</w:t>
      </w:r>
    </w:p>
    <w:p w14:paraId="65F93CA1" w14:textId="77777777" w:rsidR="005F10CD" w:rsidRDefault="005F10CD" w:rsidP="005F10CD">
      <w:pPr>
        <w:autoSpaceDE w:val="0"/>
        <w:autoSpaceDN w:val="0"/>
        <w:adjustRightInd w:val="0"/>
        <w:ind w:right="567"/>
        <w:rPr>
          <w:rFonts w:cs="Arial"/>
          <w:sz w:val="18"/>
          <w:szCs w:val="18"/>
        </w:rPr>
      </w:pPr>
    </w:p>
    <w:p w14:paraId="2597D038" w14:textId="77777777" w:rsidR="005F10CD" w:rsidRDefault="005F10CD" w:rsidP="005F10CD">
      <w:pPr>
        <w:autoSpaceDE w:val="0"/>
        <w:autoSpaceDN w:val="0"/>
        <w:adjustRightInd w:val="0"/>
        <w:ind w:left="567" w:right="567"/>
        <w:rPr>
          <w:rFonts w:cs="Arial"/>
          <w:sz w:val="18"/>
          <w:szCs w:val="18"/>
        </w:rPr>
      </w:pPr>
      <w:r>
        <w:rPr>
          <w:rFonts w:cs="Arial"/>
          <w:sz w:val="18"/>
          <w:szCs w:val="18"/>
        </w:rPr>
        <w:t>Arbeitsweise der Saatgutsysteme</w:t>
      </w:r>
    </w:p>
    <w:p w14:paraId="4C1BC51E" w14:textId="77777777" w:rsidR="005F10CD" w:rsidRDefault="005F10CD" w:rsidP="005F10CD">
      <w:pPr>
        <w:autoSpaceDE w:val="0"/>
        <w:autoSpaceDN w:val="0"/>
        <w:adjustRightInd w:val="0"/>
        <w:ind w:left="567" w:right="567"/>
        <w:rPr>
          <w:rFonts w:cs="Arial"/>
          <w:sz w:val="18"/>
          <w:szCs w:val="18"/>
        </w:rPr>
      </w:pPr>
      <w:r>
        <w:rPr>
          <w:rFonts w:cs="Arial"/>
          <w:sz w:val="18"/>
          <w:szCs w:val="18"/>
        </w:rPr>
        <w:t>Der Erfolg der internationalen Zertifizierung ist abhängig von einer engen Zusammenarbeit zwischen Erhaltungszüchtern, Saatgutherstellern, Händlern und der bezeichneten (von der Regierung ernannten) Behörde in jedem einzelnen Teilnehmerland. Häufige Tagungen ermöglichen einen alle Interessengruppen einbeziehenden Dialog mit dem Ziel, Informationen auszutauschen, Fallstudien zu erörtern, Regelungen zu überarbeiten und die Systeme auf den neuesten Stand zu bringen. Ein breites Spektrum internationaler und nichtstaatlicher Organisationen sowie Netzwerke der Saatgutindustrie sind aktiv an den Systemen beteiligt.</w:t>
      </w:r>
    </w:p>
    <w:p w14:paraId="6065E265" w14:textId="77777777" w:rsidR="005F10CD" w:rsidRDefault="005F10CD" w:rsidP="005F10CD">
      <w:pPr>
        <w:autoSpaceDE w:val="0"/>
        <w:autoSpaceDN w:val="0"/>
        <w:adjustRightInd w:val="0"/>
        <w:ind w:left="567" w:right="567"/>
        <w:rPr>
          <w:rFonts w:cs="Arial"/>
          <w:sz w:val="18"/>
          <w:szCs w:val="18"/>
        </w:rPr>
      </w:pPr>
      <w:r>
        <w:rPr>
          <w:rFonts w:cs="Arial"/>
          <w:sz w:val="18"/>
          <w:szCs w:val="18"/>
        </w:rPr>
        <w:t> </w:t>
      </w:r>
    </w:p>
    <w:p w14:paraId="3FAB1602" w14:textId="77777777" w:rsidR="005F10CD" w:rsidRDefault="005F10CD" w:rsidP="008229B0">
      <w:pPr>
        <w:keepNext/>
        <w:autoSpaceDE w:val="0"/>
        <w:autoSpaceDN w:val="0"/>
        <w:adjustRightInd w:val="0"/>
        <w:ind w:left="567" w:right="567"/>
        <w:rPr>
          <w:rFonts w:cs="Arial"/>
          <w:sz w:val="18"/>
          <w:szCs w:val="18"/>
        </w:rPr>
      </w:pPr>
      <w:r>
        <w:rPr>
          <w:rFonts w:cs="Arial"/>
          <w:sz w:val="18"/>
          <w:szCs w:val="18"/>
        </w:rPr>
        <w:lastRenderedPageBreak/>
        <w:t>Vorteile der Saatgutsysteme</w:t>
      </w:r>
    </w:p>
    <w:p w14:paraId="217811FC" w14:textId="77777777" w:rsidR="005F10CD" w:rsidRDefault="005F10CD" w:rsidP="008229B0">
      <w:pPr>
        <w:keepNext/>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Erleichterung des internationalen Handels durch harmonisierte Zertifizierungsverfahren, Verfahren zur Pflanzenbegutachtung und Testsaatparzellen. Auch die Vereinbarung und Normierung der Anforderungen an die Sortenreinheit geeigneter Arten erfolgt durch alle Mitgliedstaaten.</w:t>
      </w:r>
    </w:p>
    <w:p w14:paraId="1656C06C"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Schaffung eines Rahmens für die Förde</w:t>
      </w:r>
      <w:r w:rsidR="0059090F">
        <w:rPr>
          <w:rFonts w:cs="Arial"/>
          <w:sz w:val="18"/>
          <w:szCs w:val="18"/>
        </w:rPr>
        <w:t>r</w:t>
      </w:r>
      <w:r>
        <w:rPr>
          <w:rFonts w:cs="Arial"/>
          <w:sz w:val="18"/>
          <w:szCs w:val="18"/>
        </w:rPr>
        <w:t>ung der Saatgutproduktion mit anderen Nationen oder Unternehmen.</w:t>
      </w:r>
    </w:p>
    <w:p w14:paraId="1920BAD7"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Mitarbeit an der Erstellung internationaler Regelungen für die Saatgutzertifizierung.</w:t>
      </w:r>
    </w:p>
    <w:p w14:paraId="17AC8826"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Ausbau der Zusammenarbeit von öffentlichem und privatem Sektor</w:t>
      </w:r>
    </w:p>
    <w:p w14:paraId="50EFDC91"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Nutzen ziehen aus dem regelmäßigen Informationsaustausch mit anderen staatlichen Zertifizierungsstellen und Beobachterorganisationen.</w:t>
      </w:r>
    </w:p>
    <w:p w14:paraId="1CED7A73" w14:textId="77777777" w:rsidR="005F10CD" w:rsidRDefault="005F10CD" w:rsidP="005F10CD">
      <w:pPr>
        <w:autoSpaceDE w:val="0"/>
        <w:autoSpaceDN w:val="0"/>
        <w:adjustRightInd w:val="0"/>
        <w:ind w:right="567"/>
        <w:rPr>
          <w:rFonts w:cs="Arial"/>
          <w:sz w:val="18"/>
          <w:szCs w:val="18"/>
        </w:rPr>
      </w:pPr>
    </w:p>
    <w:p w14:paraId="5D7F4419" w14:textId="77777777" w:rsidR="005F10CD" w:rsidRDefault="005F10CD" w:rsidP="005F10CD">
      <w:pPr>
        <w:autoSpaceDE w:val="0"/>
        <w:autoSpaceDN w:val="0"/>
        <w:adjustRightInd w:val="0"/>
        <w:ind w:left="567" w:right="567"/>
        <w:rPr>
          <w:rFonts w:cs="Arial"/>
          <w:sz w:val="18"/>
          <w:szCs w:val="18"/>
        </w:rPr>
      </w:pPr>
      <w:r>
        <w:rPr>
          <w:rFonts w:cs="Arial"/>
          <w:sz w:val="18"/>
          <w:szCs w:val="18"/>
        </w:rPr>
        <w:t>Auf der Jahresliste der für die OECD-Zertifizierung zulässigen Sorten sind Sorten genannt, die amtlich als unterscheidbar, homogen und beständig anerkannt sind und die in einem oder mehreren Teilnehmerländern einen hinreic</w:t>
      </w:r>
      <w:r w:rsidR="0059090F">
        <w:rPr>
          <w:rFonts w:cs="Arial"/>
          <w:sz w:val="18"/>
          <w:szCs w:val="18"/>
        </w:rPr>
        <w:t>henden Wert haben. Die Liste ent</w:t>
      </w:r>
      <w:r>
        <w:rPr>
          <w:rFonts w:cs="Arial"/>
          <w:sz w:val="18"/>
          <w:szCs w:val="18"/>
        </w:rPr>
        <w:t>hält diejenigen Saatgutsorten, die im Rahmen der OECD-Saatgutsysteme international gehandelt werden. Während der vergangenen dreißig Jahre ist die Zahl der gelisteten Arten stetig gewachsen.</w:t>
      </w:r>
    </w:p>
    <w:p w14:paraId="7664675E" w14:textId="77777777" w:rsidR="005F10CD" w:rsidRDefault="005F10CD" w:rsidP="005F10CD">
      <w:pPr>
        <w:autoSpaceDE w:val="0"/>
        <w:autoSpaceDN w:val="0"/>
        <w:adjustRightInd w:val="0"/>
        <w:ind w:left="567" w:right="567"/>
        <w:rPr>
          <w:rFonts w:cs="Arial"/>
          <w:sz w:val="18"/>
          <w:szCs w:val="18"/>
        </w:rPr>
      </w:pPr>
    </w:p>
    <w:p w14:paraId="04DE7DC2" w14:textId="77777777" w:rsidR="005F10CD" w:rsidRDefault="005F10CD" w:rsidP="005F10CD">
      <w:pPr>
        <w:autoSpaceDE w:val="0"/>
        <w:autoSpaceDN w:val="0"/>
        <w:adjustRightInd w:val="0"/>
        <w:ind w:left="567" w:right="567"/>
        <w:rPr>
          <w:rFonts w:cs="Arial"/>
          <w:sz w:val="18"/>
          <w:szCs w:val="18"/>
        </w:rPr>
      </w:pPr>
    </w:p>
    <w:p w14:paraId="668B31A6" w14:textId="77777777" w:rsidR="005F10CD" w:rsidRDefault="005F10CD" w:rsidP="005F10CD">
      <w:pPr>
        <w:autoSpaceDE w:val="0"/>
        <w:autoSpaceDN w:val="0"/>
        <w:adjustRightInd w:val="0"/>
        <w:ind w:left="567" w:right="567"/>
        <w:rPr>
          <w:rFonts w:cs="Arial"/>
          <w:sz w:val="18"/>
          <w:szCs w:val="18"/>
          <w:u w:val="single"/>
        </w:rPr>
      </w:pPr>
      <w:r>
        <w:rPr>
          <w:rFonts w:cs="Arial"/>
          <w:sz w:val="18"/>
          <w:szCs w:val="18"/>
          <w:u w:val="single"/>
        </w:rPr>
        <w:t>Internationaler Verband zum Schutz von Pflanzenzüchtungen (UPOV)</w:t>
      </w:r>
    </w:p>
    <w:p w14:paraId="04FC93A9" w14:textId="77777777" w:rsidR="005F10CD" w:rsidRDefault="005F10CD" w:rsidP="005F10CD">
      <w:pPr>
        <w:autoSpaceDE w:val="0"/>
        <w:autoSpaceDN w:val="0"/>
        <w:adjustRightInd w:val="0"/>
        <w:ind w:left="567" w:right="567"/>
        <w:rPr>
          <w:rFonts w:cs="Arial"/>
          <w:sz w:val="18"/>
          <w:szCs w:val="18"/>
        </w:rPr>
      </w:pPr>
    </w:p>
    <w:p w14:paraId="68B97283" w14:textId="77777777" w:rsidR="005F10CD" w:rsidRDefault="005F10CD" w:rsidP="005F10CD">
      <w:pPr>
        <w:autoSpaceDE w:val="0"/>
        <w:autoSpaceDN w:val="0"/>
        <w:adjustRightInd w:val="0"/>
        <w:ind w:left="567" w:right="567"/>
        <w:rPr>
          <w:rFonts w:cs="Arial"/>
          <w:sz w:val="18"/>
          <w:szCs w:val="18"/>
        </w:rPr>
      </w:pPr>
      <w:r>
        <w:rPr>
          <w:rFonts w:cs="Arial"/>
          <w:sz w:val="18"/>
          <w:szCs w:val="18"/>
        </w:rPr>
        <w:t>Art der Organisation</w:t>
      </w:r>
    </w:p>
    <w:p w14:paraId="2D6B0DAB" w14:textId="77777777" w:rsidR="005F10CD" w:rsidRDefault="005F10CD" w:rsidP="005F10CD">
      <w:pPr>
        <w:autoSpaceDE w:val="0"/>
        <w:autoSpaceDN w:val="0"/>
        <w:adjustRightInd w:val="0"/>
        <w:ind w:left="567" w:right="567"/>
        <w:rPr>
          <w:rFonts w:cs="Arial"/>
          <w:sz w:val="18"/>
          <w:szCs w:val="18"/>
        </w:rPr>
      </w:pPr>
      <w:r>
        <w:rPr>
          <w:rFonts w:cs="Arial"/>
          <w:sz w:val="18"/>
          <w:szCs w:val="18"/>
        </w:rPr>
        <w:t>Zwischenstaatlich</w:t>
      </w:r>
    </w:p>
    <w:p w14:paraId="7EF8192E" w14:textId="77777777" w:rsidR="005F10CD" w:rsidRDefault="005F10CD" w:rsidP="005F10CD">
      <w:pPr>
        <w:autoSpaceDE w:val="0"/>
        <w:autoSpaceDN w:val="0"/>
        <w:adjustRightInd w:val="0"/>
        <w:ind w:left="567" w:right="567"/>
        <w:rPr>
          <w:rFonts w:cs="Arial"/>
          <w:sz w:val="18"/>
          <w:szCs w:val="18"/>
        </w:rPr>
      </w:pPr>
      <w:r>
        <w:rPr>
          <w:rFonts w:cs="Arial"/>
          <w:sz w:val="18"/>
          <w:szCs w:val="18"/>
        </w:rPr>
        <w:t> </w:t>
      </w:r>
    </w:p>
    <w:p w14:paraId="0EEB0588" w14:textId="77777777" w:rsidR="005F10CD" w:rsidRDefault="005F10CD" w:rsidP="005F10CD">
      <w:pPr>
        <w:autoSpaceDE w:val="0"/>
        <w:autoSpaceDN w:val="0"/>
        <w:adjustRightInd w:val="0"/>
        <w:ind w:left="567" w:right="567"/>
        <w:rPr>
          <w:rFonts w:cs="Arial"/>
          <w:sz w:val="18"/>
          <w:szCs w:val="18"/>
        </w:rPr>
      </w:pPr>
      <w:r>
        <w:rPr>
          <w:rFonts w:cs="Arial"/>
          <w:sz w:val="18"/>
          <w:szCs w:val="18"/>
        </w:rPr>
        <w:t>Mitgliedschaft</w:t>
      </w:r>
    </w:p>
    <w:p w14:paraId="693FE3C8" w14:textId="77777777" w:rsidR="005F10CD" w:rsidRDefault="00F547CF" w:rsidP="005F10CD">
      <w:pPr>
        <w:autoSpaceDE w:val="0"/>
        <w:autoSpaceDN w:val="0"/>
        <w:adjustRightInd w:val="0"/>
        <w:ind w:left="567" w:right="567"/>
        <w:rPr>
          <w:rFonts w:cs="Arial"/>
          <w:sz w:val="18"/>
          <w:szCs w:val="18"/>
        </w:rPr>
      </w:pPr>
      <w:hyperlink r:id="rId9" w:history="1">
        <w:r w:rsidR="005F10CD">
          <w:rPr>
            <w:rFonts w:cs="Arial"/>
            <w:color w:val="0000FF"/>
            <w:sz w:val="18"/>
            <w:szCs w:val="18"/>
            <w:u w:val="single"/>
          </w:rPr>
          <w:t>Liste der UPOV-Mitglieder</w:t>
        </w:r>
      </w:hyperlink>
      <w:r w:rsidR="005F10CD">
        <w:rPr>
          <w:rFonts w:cs="Arial"/>
          <w:sz w:val="18"/>
          <w:szCs w:val="18"/>
        </w:rPr>
        <w:t xml:space="preserve">  / </w:t>
      </w:r>
      <w:hyperlink r:id="rId10" w:history="1">
        <w:r w:rsidR="005F10CD">
          <w:rPr>
            <w:rFonts w:cs="Arial"/>
            <w:color w:val="0000FF"/>
            <w:sz w:val="18"/>
            <w:szCs w:val="18"/>
            <w:u w:val="single"/>
          </w:rPr>
          <w:t>Lage in Bezug auf die UPOV</w:t>
        </w:r>
      </w:hyperlink>
    </w:p>
    <w:p w14:paraId="53126465" w14:textId="77777777" w:rsidR="005F10CD" w:rsidRDefault="005F10CD" w:rsidP="005F10CD">
      <w:pPr>
        <w:autoSpaceDE w:val="0"/>
        <w:autoSpaceDN w:val="0"/>
        <w:adjustRightInd w:val="0"/>
        <w:ind w:left="567" w:right="567"/>
        <w:rPr>
          <w:rFonts w:cs="Arial"/>
          <w:sz w:val="18"/>
          <w:szCs w:val="18"/>
        </w:rPr>
      </w:pPr>
      <w:r>
        <w:rPr>
          <w:rFonts w:cs="Arial"/>
          <w:sz w:val="18"/>
          <w:szCs w:val="18"/>
        </w:rPr>
        <w:t> </w:t>
      </w:r>
    </w:p>
    <w:p w14:paraId="03A25062" w14:textId="77777777" w:rsidR="005F10CD" w:rsidRDefault="005F10CD" w:rsidP="005F10CD">
      <w:pPr>
        <w:autoSpaceDE w:val="0"/>
        <w:autoSpaceDN w:val="0"/>
        <w:adjustRightInd w:val="0"/>
        <w:ind w:left="567" w:right="567"/>
        <w:rPr>
          <w:rFonts w:cs="Arial"/>
          <w:sz w:val="18"/>
          <w:szCs w:val="18"/>
        </w:rPr>
      </w:pPr>
      <w:r>
        <w:rPr>
          <w:rFonts w:cs="Arial"/>
          <w:sz w:val="18"/>
          <w:szCs w:val="18"/>
        </w:rPr>
        <w:t>Was ist die UPOV?</w:t>
      </w:r>
    </w:p>
    <w:p w14:paraId="04F28357" w14:textId="77777777" w:rsidR="005F10CD" w:rsidRDefault="005F10CD" w:rsidP="005F10CD">
      <w:pPr>
        <w:autoSpaceDE w:val="0"/>
        <w:autoSpaceDN w:val="0"/>
        <w:adjustRightInd w:val="0"/>
        <w:ind w:left="567" w:right="567"/>
        <w:rPr>
          <w:rFonts w:cs="Arial"/>
          <w:sz w:val="18"/>
          <w:szCs w:val="18"/>
        </w:rPr>
      </w:pPr>
      <w:r>
        <w:rPr>
          <w:rFonts w:cs="Arial"/>
          <w:sz w:val="18"/>
          <w:szCs w:val="18"/>
        </w:rPr>
        <w:t>Der Internationale Verband zum Schutz von Pflanzenzüchtungen (UPOV) ist eine zwischenstaatliche Organisation mit Sitz in Genf, Schweiz. Die UPOV wurde durch das 1961 unterzeichnete Internationale Übereinkommen zum Schutz von Pflanzenzüchtungen („UPOV-Übereinkommen") geschaffen.</w:t>
      </w:r>
    </w:p>
    <w:p w14:paraId="66A55BDF" w14:textId="77777777" w:rsidR="005F10CD" w:rsidRDefault="005F10CD" w:rsidP="005F10CD">
      <w:pPr>
        <w:autoSpaceDE w:val="0"/>
        <w:autoSpaceDN w:val="0"/>
        <w:adjustRightInd w:val="0"/>
        <w:ind w:left="567" w:right="567"/>
        <w:rPr>
          <w:rFonts w:cs="Arial"/>
          <w:sz w:val="18"/>
          <w:szCs w:val="18"/>
        </w:rPr>
      </w:pPr>
      <w:r>
        <w:rPr>
          <w:rFonts w:cs="Arial"/>
          <w:sz w:val="18"/>
          <w:szCs w:val="18"/>
        </w:rPr>
        <w:t>Das Ziel der UPOV ist die Bereitstellung und Förderung eines wirksamen Sortenschutzsystems mit dem Ziel, die Entwicklung neuer Pflanzensorten zum Nutzen der Gesellschaft zu begünstigen.</w:t>
      </w:r>
    </w:p>
    <w:p w14:paraId="70C26DD9" w14:textId="77777777" w:rsidR="005F10CD" w:rsidRDefault="005F10CD" w:rsidP="005F10CD">
      <w:pPr>
        <w:autoSpaceDE w:val="0"/>
        <w:autoSpaceDN w:val="0"/>
        <w:adjustRightInd w:val="0"/>
        <w:ind w:left="567" w:right="567"/>
        <w:rPr>
          <w:rFonts w:cs="Arial"/>
          <w:sz w:val="18"/>
          <w:szCs w:val="18"/>
        </w:rPr>
      </w:pPr>
      <w:r>
        <w:rPr>
          <w:rFonts w:cs="Arial"/>
          <w:sz w:val="18"/>
          <w:szCs w:val="18"/>
        </w:rPr>
        <w:t>Das UPOV-Übereinkommen bildet die Grundlage einer Förderung der Pflanzenzüchtung, indem Züchtern neuer Pflanzensorten ein Recht des geistigen Eigentums erteilt wird: das Züchterrecht.</w:t>
      </w:r>
    </w:p>
    <w:p w14:paraId="6DFD16FD" w14:textId="77777777" w:rsidR="005F10CD" w:rsidRDefault="005F10CD" w:rsidP="005F10CD">
      <w:pPr>
        <w:autoSpaceDE w:val="0"/>
        <w:autoSpaceDN w:val="0"/>
        <w:adjustRightInd w:val="0"/>
        <w:ind w:left="567" w:right="567"/>
        <w:rPr>
          <w:rFonts w:cs="Arial"/>
          <w:sz w:val="18"/>
          <w:szCs w:val="18"/>
        </w:rPr>
      </w:pPr>
      <w:r>
        <w:rPr>
          <w:rFonts w:cs="Arial"/>
          <w:sz w:val="18"/>
          <w:szCs w:val="18"/>
        </w:rPr>
        <w:t> </w:t>
      </w:r>
    </w:p>
    <w:p w14:paraId="2167DD2D" w14:textId="77777777" w:rsidR="005F10CD" w:rsidRDefault="005F10CD" w:rsidP="005F10CD">
      <w:pPr>
        <w:autoSpaceDE w:val="0"/>
        <w:autoSpaceDN w:val="0"/>
        <w:adjustRightInd w:val="0"/>
        <w:ind w:left="567" w:right="567"/>
        <w:rPr>
          <w:rFonts w:cs="Arial"/>
          <w:sz w:val="18"/>
          <w:szCs w:val="18"/>
        </w:rPr>
      </w:pPr>
      <w:r>
        <w:rPr>
          <w:rFonts w:cs="Arial"/>
          <w:sz w:val="18"/>
          <w:szCs w:val="18"/>
        </w:rPr>
        <w:t>Was macht die UPOV?</w:t>
      </w:r>
    </w:p>
    <w:p w14:paraId="289CC52A" w14:textId="77777777" w:rsidR="005F10CD" w:rsidRDefault="005F10CD" w:rsidP="005F10CD">
      <w:pPr>
        <w:autoSpaceDE w:val="0"/>
        <w:autoSpaceDN w:val="0"/>
        <w:adjustRightInd w:val="0"/>
        <w:ind w:left="567" w:right="567"/>
        <w:rPr>
          <w:rFonts w:cs="Arial"/>
          <w:sz w:val="18"/>
          <w:szCs w:val="18"/>
        </w:rPr>
      </w:pPr>
      <w:r>
        <w:rPr>
          <w:rFonts w:cs="Arial"/>
          <w:sz w:val="18"/>
          <w:szCs w:val="18"/>
        </w:rPr>
        <w:t>Das Ziel der UPOV ist die Bereitstellung und Förderung eines wirksamen Sortenschutzsystems mit dem Ziel, die Entwicklung neuer Pflanzensorten zum Nutzen der Gesellschaft zu begünstigen. Die hauptsächlichen Ziele der UPOV sind gemäß dem UPOV-Übereinkommen:</w:t>
      </w:r>
    </w:p>
    <w:p w14:paraId="2144B07B" w14:textId="77777777" w:rsidR="005F10CD" w:rsidRDefault="005F10CD" w:rsidP="005F10CD">
      <w:pPr>
        <w:numPr>
          <w:ilvl w:val="0"/>
          <w:numId w:val="1"/>
        </w:numPr>
        <w:tabs>
          <w:tab w:val="left" w:pos="720"/>
          <w:tab w:val="left" w:pos="1134"/>
          <w:tab w:val="left" w:pos="8789"/>
        </w:tabs>
        <w:autoSpaceDE w:val="0"/>
        <w:autoSpaceDN w:val="0"/>
        <w:adjustRightInd w:val="0"/>
        <w:ind w:left="1134" w:right="850" w:hanging="360"/>
        <w:rPr>
          <w:rFonts w:cs="Arial"/>
          <w:sz w:val="18"/>
          <w:szCs w:val="18"/>
        </w:rPr>
      </w:pPr>
      <w:r>
        <w:rPr>
          <w:rFonts w:cs="Arial"/>
          <w:sz w:val="18"/>
          <w:szCs w:val="18"/>
        </w:rPr>
        <w:t>Bereitstellung und Entwicklung der rechtlichen, administrativen und technischen Grundlage für die internationale Zusammenarbeit auf dem Gebiet des Sortenschutzes;</w:t>
      </w:r>
    </w:p>
    <w:p w14:paraId="63331874" w14:textId="77777777" w:rsidR="005F10CD" w:rsidRDefault="005F10CD" w:rsidP="005F10CD">
      <w:pPr>
        <w:numPr>
          <w:ilvl w:val="0"/>
          <w:numId w:val="1"/>
        </w:numPr>
        <w:tabs>
          <w:tab w:val="left" w:pos="720"/>
          <w:tab w:val="left" w:pos="1134"/>
          <w:tab w:val="left" w:pos="8789"/>
        </w:tabs>
        <w:autoSpaceDE w:val="0"/>
        <w:autoSpaceDN w:val="0"/>
        <w:adjustRightInd w:val="0"/>
        <w:ind w:left="1134" w:right="850" w:hanging="360"/>
        <w:rPr>
          <w:rFonts w:cs="Arial"/>
          <w:sz w:val="18"/>
          <w:szCs w:val="18"/>
        </w:rPr>
      </w:pPr>
      <w:r>
        <w:rPr>
          <w:rFonts w:cs="Arial"/>
          <w:sz w:val="18"/>
          <w:szCs w:val="18"/>
        </w:rPr>
        <w:t>Unterstützung von Staaten und Organisationen bei der Ausarbeitung von Rechtsvorschriften und der Umsetzung eines wirksamen Sortenschutzsystems; und</w:t>
      </w:r>
    </w:p>
    <w:p w14:paraId="3A3DF5B4" w14:textId="77777777" w:rsidR="005F10CD" w:rsidRDefault="005F10CD" w:rsidP="005F10CD">
      <w:pPr>
        <w:numPr>
          <w:ilvl w:val="0"/>
          <w:numId w:val="1"/>
        </w:numPr>
        <w:tabs>
          <w:tab w:val="left" w:pos="720"/>
          <w:tab w:val="left" w:pos="1134"/>
          <w:tab w:val="left" w:pos="8789"/>
        </w:tabs>
        <w:autoSpaceDE w:val="0"/>
        <w:autoSpaceDN w:val="0"/>
        <w:adjustRightInd w:val="0"/>
        <w:ind w:left="1134" w:right="850" w:hanging="360"/>
        <w:rPr>
          <w:rFonts w:cs="Arial"/>
          <w:sz w:val="18"/>
          <w:szCs w:val="18"/>
        </w:rPr>
      </w:pPr>
      <w:r>
        <w:rPr>
          <w:rFonts w:cs="Arial"/>
          <w:sz w:val="18"/>
          <w:szCs w:val="18"/>
        </w:rPr>
        <w:t>Sensibilisierung und Erhöhung des Verständnisses der Öffentlichkeit für das UPOV-Sortenschutzsystem.</w:t>
      </w:r>
    </w:p>
    <w:p w14:paraId="7607D2E1" w14:textId="77777777" w:rsidR="005F10CD" w:rsidRDefault="005F10CD" w:rsidP="005F10CD">
      <w:pPr>
        <w:tabs>
          <w:tab w:val="left" w:pos="1134"/>
        </w:tabs>
        <w:autoSpaceDE w:val="0"/>
        <w:autoSpaceDN w:val="0"/>
        <w:adjustRightInd w:val="0"/>
        <w:ind w:left="1134" w:right="567"/>
        <w:rPr>
          <w:rFonts w:cs="Arial"/>
          <w:sz w:val="18"/>
          <w:szCs w:val="18"/>
        </w:rPr>
      </w:pPr>
      <w:r>
        <w:rPr>
          <w:rFonts w:cs="Arial"/>
          <w:sz w:val="18"/>
          <w:szCs w:val="18"/>
        </w:rPr>
        <w:t> </w:t>
      </w:r>
    </w:p>
    <w:p w14:paraId="2531EF6F" w14:textId="77777777" w:rsidR="005F10CD" w:rsidRDefault="005F10CD" w:rsidP="005F10CD">
      <w:pPr>
        <w:autoSpaceDE w:val="0"/>
        <w:autoSpaceDN w:val="0"/>
        <w:adjustRightInd w:val="0"/>
        <w:ind w:left="567" w:right="567"/>
        <w:rPr>
          <w:rFonts w:cs="Arial"/>
          <w:sz w:val="18"/>
          <w:szCs w:val="18"/>
        </w:rPr>
      </w:pPr>
      <w:r>
        <w:rPr>
          <w:rFonts w:cs="Arial"/>
          <w:sz w:val="18"/>
          <w:szCs w:val="18"/>
        </w:rPr>
        <w:t>Was sind die Vorteile des Sortenschutzes und der UPOV-Mitgliedschaft?</w:t>
      </w:r>
    </w:p>
    <w:p w14:paraId="07BB4C2B" w14:textId="77777777" w:rsidR="005F10CD" w:rsidRDefault="005F10CD" w:rsidP="005F10CD">
      <w:pPr>
        <w:keepNext/>
        <w:keepLines/>
        <w:autoSpaceDE w:val="0"/>
        <w:autoSpaceDN w:val="0"/>
        <w:adjustRightInd w:val="0"/>
        <w:ind w:left="567" w:right="567"/>
        <w:rPr>
          <w:rFonts w:cs="Arial"/>
          <w:sz w:val="18"/>
          <w:szCs w:val="18"/>
        </w:rPr>
      </w:pPr>
      <w:r>
        <w:rPr>
          <w:rFonts w:cs="Arial"/>
          <w:sz w:val="18"/>
          <w:szCs w:val="18"/>
        </w:rPr>
        <w:t>Aus dem UPOV-Bericht über die Auswirkungen des Sortenschutzes ging hervor, daß sowohl die Umsetzung des UPOV-Übereinkommens als auch die Mitgliedschaft bei der UPOV wichtig sind, um in den Genuß sämtlicher Vorteile, die der Sortenschutz zu bieten hat, zu gelangen. Die Einführung des UPOV-Sortenschutzsystems und der UPOV-Mitgliedschaft werden in Verbindung gebracht mit:</w:t>
      </w:r>
      <w:r>
        <w:rPr>
          <w:rFonts w:cs="Arial"/>
          <w:sz w:val="18"/>
          <w:szCs w:val="18"/>
        </w:rPr>
        <w:br/>
        <w:t>a) vermehrter Züchtungstätigkeit,</w:t>
      </w:r>
    </w:p>
    <w:p w14:paraId="3765D51B" w14:textId="77777777" w:rsidR="005F10CD" w:rsidRDefault="005F10CD" w:rsidP="005F10CD">
      <w:pPr>
        <w:autoSpaceDE w:val="0"/>
        <w:autoSpaceDN w:val="0"/>
        <w:adjustRightInd w:val="0"/>
        <w:ind w:left="567" w:right="567"/>
        <w:rPr>
          <w:rFonts w:cs="Arial"/>
          <w:sz w:val="18"/>
          <w:szCs w:val="18"/>
        </w:rPr>
      </w:pPr>
      <w:r>
        <w:rPr>
          <w:rFonts w:cs="Arial"/>
          <w:sz w:val="18"/>
          <w:szCs w:val="18"/>
        </w:rPr>
        <w:t>b) höherer Verfügbarkeit verbesserter Sorten,</w:t>
      </w:r>
    </w:p>
    <w:p w14:paraId="58AD2B39" w14:textId="77777777" w:rsidR="005F10CD" w:rsidRDefault="005F10CD" w:rsidP="005F10CD">
      <w:pPr>
        <w:autoSpaceDE w:val="0"/>
        <w:autoSpaceDN w:val="0"/>
        <w:adjustRightInd w:val="0"/>
        <w:ind w:left="567" w:right="567"/>
        <w:rPr>
          <w:rFonts w:cs="Arial"/>
          <w:sz w:val="18"/>
          <w:szCs w:val="18"/>
        </w:rPr>
      </w:pPr>
      <w:r>
        <w:rPr>
          <w:rFonts w:cs="Arial"/>
          <w:sz w:val="18"/>
          <w:szCs w:val="18"/>
        </w:rPr>
        <w:t>c) höherer Anzahl neuer Sorten,</w:t>
      </w:r>
    </w:p>
    <w:p w14:paraId="06600F50" w14:textId="77777777" w:rsidR="005F10CD" w:rsidRDefault="005F10CD" w:rsidP="005F10CD">
      <w:pPr>
        <w:autoSpaceDE w:val="0"/>
        <w:autoSpaceDN w:val="0"/>
        <w:adjustRightInd w:val="0"/>
        <w:ind w:left="567" w:right="567"/>
        <w:rPr>
          <w:rFonts w:cs="Arial"/>
          <w:sz w:val="18"/>
          <w:szCs w:val="18"/>
        </w:rPr>
      </w:pPr>
      <w:r>
        <w:rPr>
          <w:rFonts w:cs="Arial"/>
          <w:sz w:val="18"/>
          <w:szCs w:val="18"/>
        </w:rPr>
        <w:t>d) Diversifikation der Arten von Züchtern (z.B. private Züchter, Forscher),</w:t>
      </w:r>
    </w:p>
    <w:p w14:paraId="2E382F3A" w14:textId="77777777" w:rsidR="005F10CD" w:rsidRDefault="005F10CD" w:rsidP="005F10CD">
      <w:pPr>
        <w:autoSpaceDE w:val="0"/>
        <w:autoSpaceDN w:val="0"/>
        <w:adjustRightInd w:val="0"/>
        <w:ind w:left="567" w:right="567"/>
        <w:rPr>
          <w:rFonts w:cs="Arial"/>
          <w:sz w:val="18"/>
          <w:szCs w:val="18"/>
        </w:rPr>
      </w:pPr>
      <w:r>
        <w:rPr>
          <w:rFonts w:cs="Arial"/>
          <w:sz w:val="18"/>
          <w:szCs w:val="18"/>
        </w:rPr>
        <w:t>e) größerer Zahl ausländischer neuer Sorten,</w:t>
      </w:r>
    </w:p>
    <w:p w14:paraId="3C78A2A1" w14:textId="77777777" w:rsidR="005F10CD" w:rsidRDefault="005F10CD" w:rsidP="005F10CD">
      <w:pPr>
        <w:autoSpaceDE w:val="0"/>
        <w:autoSpaceDN w:val="0"/>
        <w:adjustRightInd w:val="0"/>
        <w:ind w:left="567" w:right="567"/>
        <w:rPr>
          <w:rFonts w:cs="Arial"/>
          <w:sz w:val="18"/>
          <w:szCs w:val="18"/>
        </w:rPr>
      </w:pPr>
      <w:r>
        <w:rPr>
          <w:rFonts w:cs="Arial"/>
          <w:sz w:val="18"/>
          <w:szCs w:val="18"/>
        </w:rPr>
        <w:t>f) Förderung der Entwicklung einer neuen Wettbewerbsfähigkeit der Branche auf ausländischen Märkten, und</w:t>
      </w:r>
    </w:p>
    <w:p w14:paraId="7B03DD2A" w14:textId="77777777" w:rsidR="005F10CD" w:rsidRDefault="005F10CD" w:rsidP="005F10CD">
      <w:pPr>
        <w:autoSpaceDE w:val="0"/>
        <w:autoSpaceDN w:val="0"/>
        <w:adjustRightInd w:val="0"/>
        <w:ind w:left="567" w:right="567"/>
        <w:rPr>
          <w:rFonts w:cs="Arial"/>
          <w:sz w:val="18"/>
          <w:szCs w:val="18"/>
        </w:rPr>
      </w:pPr>
      <w:r>
        <w:rPr>
          <w:rFonts w:cs="Arial"/>
          <w:sz w:val="18"/>
          <w:szCs w:val="18"/>
        </w:rPr>
        <w:t>g) verbessertem Zugang zu ausländischen Pflanzensorten und verbesserten inländischen Züchterprogrammen.</w:t>
      </w:r>
    </w:p>
    <w:p w14:paraId="5E489CED" w14:textId="77777777" w:rsidR="005F10CD" w:rsidRDefault="005F10CD" w:rsidP="005F10CD">
      <w:pPr>
        <w:autoSpaceDE w:val="0"/>
        <w:autoSpaceDN w:val="0"/>
        <w:adjustRightInd w:val="0"/>
        <w:ind w:left="567" w:right="567"/>
        <w:rPr>
          <w:rFonts w:cs="Arial"/>
          <w:sz w:val="18"/>
          <w:szCs w:val="18"/>
        </w:rPr>
      </w:pPr>
      <w:r>
        <w:rPr>
          <w:rFonts w:cs="Arial"/>
          <w:sz w:val="18"/>
          <w:szCs w:val="18"/>
        </w:rPr>
        <w:t xml:space="preserve">Für den Beitritt zur UPOV ist die Stellungnahme des UPOV-Rates im Hinblick auf die Vereinbarkeit des Gesetzes eines künftigen Mitglieds mit den Bestimmungen des UPOV-Übereinkommens erforderlich. </w:t>
      </w:r>
      <w:r>
        <w:rPr>
          <w:rFonts w:cs="Arial"/>
          <w:sz w:val="18"/>
          <w:szCs w:val="18"/>
        </w:rPr>
        <w:lastRenderedPageBreak/>
        <w:t>Dieses Verfahren führt als solches zu einem hohen Grad an Übereinstimmung dieser Gesetze, was in der Folge die Zusammenarbeit unter den Mitgliedern bei der Umsetzung des Systems erleichtert.</w:t>
      </w:r>
    </w:p>
    <w:p w14:paraId="22B915ED" w14:textId="77777777" w:rsidR="005F10CD" w:rsidRDefault="005F10CD" w:rsidP="005F10CD">
      <w:pPr>
        <w:autoSpaceDE w:val="0"/>
        <w:autoSpaceDN w:val="0"/>
        <w:adjustRightInd w:val="0"/>
        <w:ind w:left="567" w:right="567"/>
        <w:rPr>
          <w:rFonts w:cs="Arial"/>
          <w:sz w:val="18"/>
          <w:szCs w:val="18"/>
        </w:rPr>
      </w:pPr>
    </w:p>
    <w:p w14:paraId="318AF92B" w14:textId="77777777" w:rsidR="005F10CD" w:rsidRDefault="005F10CD" w:rsidP="005F10CD">
      <w:pPr>
        <w:autoSpaceDE w:val="0"/>
        <w:autoSpaceDN w:val="0"/>
        <w:adjustRightInd w:val="0"/>
        <w:ind w:left="567" w:right="567"/>
        <w:rPr>
          <w:rFonts w:cs="Arial"/>
          <w:sz w:val="18"/>
          <w:szCs w:val="18"/>
        </w:rPr>
      </w:pPr>
    </w:p>
    <w:p w14:paraId="3B85B8D1" w14:textId="77777777" w:rsidR="005F10CD" w:rsidRDefault="005F10CD" w:rsidP="005F10CD">
      <w:pPr>
        <w:autoSpaceDE w:val="0"/>
        <w:autoSpaceDN w:val="0"/>
        <w:adjustRightInd w:val="0"/>
        <w:ind w:left="567" w:right="567"/>
        <w:rPr>
          <w:rFonts w:cs="Arial"/>
          <w:sz w:val="18"/>
          <w:szCs w:val="18"/>
          <w:u w:val="single"/>
        </w:rPr>
      </w:pPr>
      <w:r>
        <w:rPr>
          <w:rFonts w:cs="Arial"/>
          <w:sz w:val="18"/>
          <w:szCs w:val="18"/>
          <w:u w:val="single"/>
        </w:rPr>
        <w:t>Internationale Vereinigung für Saatgutprüfung (ISTA)</w:t>
      </w:r>
    </w:p>
    <w:p w14:paraId="14100DBC" w14:textId="77777777" w:rsidR="005F10CD" w:rsidRDefault="005F10CD" w:rsidP="005F10CD">
      <w:pPr>
        <w:autoSpaceDE w:val="0"/>
        <w:autoSpaceDN w:val="0"/>
        <w:adjustRightInd w:val="0"/>
        <w:ind w:left="567" w:right="567"/>
        <w:rPr>
          <w:rFonts w:cs="Arial"/>
          <w:sz w:val="18"/>
          <w:szCs w:val="18"/>
        </w:rPr>
      </w:pPr>
    </w:p>
    <w:p w14:paraId="46EB96AD" w14:textId="77777777" w:rsidR="005F10CD" w:rsidRDefault="005F10CD" w:rsidP="005F10CD">
      <w:pPr>
        <w:autoSpaceDE w:val="0"/>
        <w:autoSpaceDN w:val="0"/>
        <w:adjustRightInd w:val="0"/>
        <w:ind w:left="567" w:right="567"/>
        <w:rPr>
          <w:rFonts w:cs="Arial"/>
          <w:sz w:val="18"/>
          <w:szCs w:val="18"/>
        </w:rPr>
      </w:pPr>
      <w:r>
        <w:rPr>
          <w:rFonts w:cs="Arial"/>
          <w:sz w:val="18"/>
          <w:szCs w:val="18"/>
        </w:rPr>
        <w:t>Art der Organisation</w:t>
      </w:r>
    </w:p>
    <w:p w14:paraId="57003939" w14:textId="77777777" w:rsidR="005F10CD" w:rsidRDefault="005F10CD" w:rsidP="005F10CD">
      <w:pPr>
        <w:autoSpaceDE w:val="0"/>
        <w:autoSpaceDN w:val="0"/>
        <w:adjustRightInd w:val="0"/>
        <w:ind w:left="567" w:right="567"/>
        <w:rPr>
          <w:rFonts w:cs="Arial"/>
          <w:sz w:val="18"/>
          <w:szCs w:val="18"/>
        </w:rPr>
      </w:pPr>
      <w:r>
        <w:rPr>
          <w:rFonts w:cs="Arial"/>
          <w:sz w:val="18"/>
          <w:szCs w:val="18"/>
        </w:rPr>
        <w:t>Gemeinnütziger und unpolitischer Verband</w:t>
      </w:r>
    </w:p>
    <w:p w14:paraId="3EA01966" w14:textId="77777777" w:rsidR="005F10CD" w:rsidRDefault="005F10CD" w:rsidP="005F10CD">
      <w:pPr>
        <w:autoSpaceDE w:val="0"/>
        <w:autoSpaceDN w:val="0"/>
        <w:adjustRightInd w:val="0"/>
        <w:ind w:left="567" w:right="567"/>
        <w:rPr>
          <w:rFonts w:cs="Arial"/>
          <w:sz w:val="18"/>
          <w:szCs w:val="18"/>
        </w:rPr>
      </w:pPr>
      <w:r>
        <w:rPr>
          <w:rFonts w:cs="Arial"/>
          <w:sz w:val="18"/>
          <w:szCs w:val="18"/>
        </w:rPr>
        <w:t> </w:t>
      </w:r>
    </w:p>
    <w:p w14:paraId="1EFB21CB" w14:textId="77777777" w:rsidR="005F10CD" w:rsidRDefault="005F10CD" w:rsidP="005F10CD">
      <w:pPr>
        <w:autoSpaceDE w:val="0"/>
        <w:autoSpaceDN w:val="0"/>
        <w:adjustRightInd w:val="0"/>
        <w:ind w:left="567" w:right="567"/>
        <w:rPr>
          <w:rFonts w:cs="Arial"/>
          <w:sz w:val="18"/>
          <w:szCs w:val="18"/>
        </w:rPr>
      </w:pPr>
      <w:r>
        <w:rPr>
          <w:rFonts w:cs="Arial"/>
          <w:sz w:val="18"/>
          <w:szCs w:val="18"/>
        </w:rPr>
        <w:t>Profil der ISTA</w:t>
      </w:r>
    </w:p>
    <w:p w14:paraId="234C2404" w14:textId="77777777" w:rsidR="005F10CD" w:rsidRDefault="005F10CD" w:rsidP="005F10CD">
      <w:pPr>
        <w:autoSpaceDE w:val="0"/>
        <w:autoSpaceDN w:val="0"/>
        <w:adjustRightInd w:val="0"/>
        <w:ind w:left="567" w:right="567"/>
        <w:rPr>
          <w:rFonts w:cs="Arial"/>
          <w:sz w:val="18"/>
          <w:szCs w:val="18"/>
        </w:rPr>
      </w:pPr>
      <w:r>
        <w:rPr>
          <w:rFonts w:cs="Arial"/>
          <w:sz w:val="18"/>
          <w:szCs w:val="18"/>
        </w:rPr>
        <w:t>Die ISTA ist ein internationaler Verband, der weltweit die Organisationen und Labors für die Beprobung und Prüfung von Saatgut vertritt.</w:t>
      </w:r>
    </w:p>
    <w:p w14:paraId="3B0E7AEE" w14:textId="77777777" w:rsidR="005F10CD" w:rsidRDefault="005F10CD" w:rsidP="005F10CD">
      <w:pPr>
        <w:autoSpaceDE w:val="0"/>
        <w:autoSpaceDN w:val="0"/>
        <w:adjustRightInd w:val="0"/>
        <w:ind w:left="567" w:right="567"/>
        <w:rPr>
          <w:rFonts w:cs="Arial"/>
          <w:sz w:val="18"/>
          <w:szCs w:val="18"/>
        </w:rPr>
      </w:pPr>
      <w:r>
        <w:rPr>
          <w:rFonts w:cs="Arial"/>
          <w:sz w:val="18"/>
          <w:szCs w:val="18"/>
        </w:rPr>
        <w:t> </w:t>
      </w:r>
    </w:p>
    <w:p w14:paraId="358ECF42" w14:textId="77777777" w:rsidR="005F10CD" w:rsidRDefault="005F10CD" w:rsidP="005F10CD">
      <w:pPr>
        <w:autoSpaceDE w:val="0"/>
        <w:autoSpaceDN w:val="0"/>
        <w:adjustRightInd w:val="0"/>
        <w:ind w:left="567" w:right="567"/>
        <w:rPr>
          <w:rFonts w:cs="Arial"/>
          <w:sz w:val="18"/>
          <w:szCs w:val="18"/>
        </w:rPr>
      </w:pPr>
      <w:r>
        <w:rPr>
          <w:rFonts w:cs="Arial"/>
          <w:sz w:val="18"/>
          <w:szCs w:val="18"/>
        </w:rPr>
        <w:t>Mitglieder der ISTA</w:t>
      </w:r>
    </w:p>
    <w:p w14:paraId="42B1E5CD" w14:textId="77777777" w:rsidR="005F10CD" w:rsidRDefault="00F547CF" w:rsidP="005F10CD">
      <w:pPr>
        <w:autoSpaceDE w:val="0"/>
        <w:autoSpaceDN w:val="0"/>
        <w:adjustRightInd w:val="0"/>
        <w:ind w:left="567" w:right="567"/>
        <w:rPr>
          <w:rFonts w:cs="Arial"/>
          <w:sz w:val="18"/>
          <w:szCs w:val="18"/>
        </w:rPr>
      </w:pPr>
      <w:hyperlink r:id="rId11" w:history="1">
        <w:r w:rsidR="005F10CD">
          <w:rPr>
            <w:rFonts w:cs="Arial"/>
            <w:color w:val="0000FF"/>
            <w:sz w:val="18"/>
            <w:szCs w:val="18"/>
            <w:u w:val="single"/>
          </w:rPr>
          <w:t>Liste der ISTA -Mitglieder</w:t>
        </w:r>
      </w:hyperlink>
    </w:p>
    <w:p w14:paraId="3DC9C69C" w14:textId="77777777" w:rsidR="005F10CD" w:rsidRDefault="005F10CD" w:rsidP="005F10CD">
      <w:pPr>
        <w:autoSpaceDE w:val="0"/>
        <w:autoSpaceDN w:val="0"/>
        <w:adjustRightInd w:val="0"/>
        <w:ind w:left="567" w:right="567"/>
        <w:rPr>
          <w:rFonts w:cs="Arial"/>
          <w:sz w:val="18"/>
          <w:szCs w:val="18"/>
        </w:rPr>
      </w:pPr>
      <w:r>
        <w:rPr>
          <w:rFonts w:cs="Arial"/>
          <w:sz w:val="18"/>
          <w:szCs w:val="18"/>
        </w:rPr>
        <w:t> </w:t>
      </w:r>
    </w:p>
    <w:p w14:paraId="00D5200C" w14:textId="77777777" w:rsidR="005F10CD" w:rsidRDefault="005F10CD" w:rsidP="005F10CD">
      <w:pPr>
        <w:autoSpaceDE w:val="0"/>
        <w:autoSpaceDN w:val="0"/>
        <w:adjustRightInd w:val="0"/>
        <w:ind w:left="567" w:right="567"/>
        <w:rPr>
          <w:rFonts w:cs="Arial"/>
          <w:sz w:val="18"/>
          <w:szCs w:val="18"/>
        </w:rPr>
      </w:pPr>
      <w:r>
        <w:rPr>
          <w:rFonts w:cs="Arial"/>
          <w:sz w:val="18"/>
          <w:szCs w:val="18"/>
        </w:rPr>
        <w:t>Auftrag</w:t>
      </w:r>
    </w:p>
    <w:p w14:paraId="0B3B29E1" w14:textId="77777777" w:rsidR="005F10CD" w:rsidRDefault="005F10CD" w:rsidP="005F10CD">
      <w:pPr>
        <w:autoSpaceDE w:val="0"/>
        <w:autoSpaceDN w:val="0"/>
        <w:adjustRightInd w:val="0"/>
        <w:ind w:left="567" w:right="567"/>
        <w:rPr>
          <w:rFonts w:cs="Arial"/>
          <w:sz w:val="18"/>
          <w:szCs w:val="18"/>
        </w:rPr>
      </w:pPr>
      <w:r>
        <w:rPr>
          <w:rFonts w:cs="Arial"/>
          <w:sz w:val="18"/>
          <w:szCs w:val="18"/>
        </w:rPr>
        <w:t>Die ISTA wurde 1924 mit dem Ziel geschaffen, genormte Verfahren für die Saatgutprüfung zu entwickeln und in Umlauf zu bringen. Die ISTA-Mitglieder arbeiten gemeinsam daran, ihre Vision einer einheitlichen Beurteilung der Qualität von Saatgut weltweit  zu verwirklichen.</w:t>
      </w:r>
    </w:p>
    <w:p w14:paraId="77C25515" w14:textId="77777777" w:rsidR="005F10CD" w:rsidRDefault="005F10CD" w:rsidP="005F10CD">
      <w:pPr>
        <w:autoSpaceDE w:val="0"/>
        <w:autoSpaceDN w:val="0"/>
        <w:adjustRightInd w:val="0"/>
        <w:ind w:left="567" w:right="567"/>
        <w:rPr>
          <w:rFonts w:cs="Arial"/>
          <w:sz w:val="18"/>
          <w:szCs w:val="18"/>
        </w:rPr>
      </w:pPr>
    </w:p>
    <w:p w14:paraId="754702BF" w14:textId="77777777" w:rsidR="005F10CD" w:rsidRDefault="005F10CD" w:rsidP="005F10CD">
      <w:pPr>
        <w:autoSpaceDE w:val="0"/>
        <w:autoSpaceDN w:val="0"/>
        <w:adjustRightInd w:val="0"/>
        <w:ind w:left="567" w:right="567"/>
        <w:rPr>
          <w:rFonts w:cs="Arial"/>
          <w:sz w:val="18"/>
          <w:szCs w:val="18"/>
        </w:rPr>
      </w:pPr>
      <w:r>
        <w:rPr>
          <w:rFonts w:cs="Arial"/>
          <w:sz w:val="18"/>
          <w:szCs w:val="18"/>
        </w:rPr>
        <w:t>Zentrale Aufgaben</w:t>
      </w:r>
    </w:p>
    <w:p w14:paraId="40414236" w14:textId="77777777" w:rsidR="006C192E" w:rsidRDefault="006C192E" w:rsidP="006C192E">
      <w:pPr>
        <w:tabs>
          <w:tab w:val="left" w:pos="720"/>
        </w:tabs>
        <w:autoSpaceDE w:val="0"/>
        <w:autoSpaceDN w:val="0"/>
        <w:adjustRightInd w:val="0"/>
        <w:ind w:left="1134" w:right="850"/>
        <w:rPr>
          <w:rFonts w:cs="Arial"/>
          <w:sz w:val="18"/>
          <w:szCs w:val="18"/>
        </w:rPr>
      </w:pPr>
    </w:p>
    <w:p w14:paraId="2295EFF4" w14:textId="77777777" w:rsidR="005F10CD" w:rsidRDefault="006C192E" w:rsidP="006C192E">
      <w:pPr>
        <w:tabs>
          <w:tab w:val="left" w:pos="720"/>
        </w:tabs>
        <w:autoSpaceDE w:val="0"/>
        <w:autoSpaceDN w:val="0"/>
        <w:adjustRightInd w:val="0"/>
        <w:ind w:left="1134" w:right="850" w:hanging="283"/>
        <w:rPr>
          <w:rFonts w:cs="Arial"/>
          <w:sz w:val="18"/>
          <w:szCs w:val="18"/>
        </w:rPr>
      </w:pPr>
      <w:r>
        <w:rPr>
          <w:rFonts w:cs="Arial"/>
          <w:sz w:val="18"/>
          <w:szCs w:val="18"/>
        </w:rPr>
        <w:t>1.</w:t>
      </w:r>
      <w:r>
        <w:rPr>
          <w:rFonts w:cs="Arial"/>
          <w:sz w:val="18"/>
          <w:szCs w:val="18"/>
        </w:rPr>
        <w:tab/>
      </w:r>
      <w:r w:rsidR="005F10CD">
        <w:rPr>
          <w:rFonts w:cs="Arial"/>
          <w:sz w:val="18"/>
          <w:szCs w:val="18"/>
        </w:rPr>
        <w:t xml:space="preserve">Weiterentwicklung und Aufrechterhaltung der Internationalen Vorschriften für die Prüfung von Saatgut der ISTA </w:t>
      </w:r>
      <w:r w:rsidR="005F10CD">
        <w:rPr>
          <w:rFonts w:cs="Arial"/>
          <w:sz w:val="18"/>
          <w:szCs w:val="18"/>
        </w:rPr>
        <w:br/>
        <w:t>Die Internationalen Vorschriften für die Prüfung von Saatgut (ISTA-Vorschriften), die jährlich verabschiedet und aktualisiert werden, enthalten heute Verfahren zur Saatgutbeprobung und Qualitätsuntersuchung für über 900 verschiedene landwirtschaftliche und forstliche Arten sowie Gemüse- und Blumenarten. Die ISTA-Vorschriften werden alljährlich durch 18 technische Ausschüsse überarbeitet und aktualisiert. Den technischen Ausschüssen gehören Saatgutforscher und -techniker des privaten wie des öffentlichen Sektors aus aller Welt an.</w:t>
      </w:r>
    </w:p>
    <w:p w14:paraId="6D23316A" w14:textId="77777777" w:rsidR="006C192E" w:rsidRDefault="006C192E" w:rsidP="006C192E">
      <w:pPr>
        <w:tabs>
          <w:tab w:val="left" w:pos="720"/>
        </w:tabs>
        <w:autoSpaceDE w:val="0"/>
        <w:autoSpaceDN w:val="0"/>
        <w:adjustRightInd w:val="0"/>
        <w:ind w:left="1134" w:right="850" w:hanging="283"/>
        <w:rPr>
          <w:rFonts w:cs="Arial"/>
          <w:sz w:val="18"/>
          <w:szCs w:val="18"/>
        </w:rPr>
      </w:pPr>
      <w:r>
        <w:rPr>
          <w:rFonts w:cs="Arial"/>
          <w:sz w:val="18"/>
          <w:szCs w:val="18"/>
        </w:rPr>
        <w:t>2.</w:t>
      </w:r>
      <w:r>
        <w:rPr>
          <w:rFonts w:cs="Arial"/>
          <w:sz w:val="18"/>
          <w:szCs w:val="18"/>
        </w:rPr>
        <w:tab/>
      </w:r>
      <w:r w:rsidR="005F10CD">
        <w:rPr>
          <w:rFonts w:cs="Arial"/>
          <w:sz w:val="18"/>
          <w:szCs w:val="18"/>
        </w:rPr>
        <w:t>Weltweite Akkreditierung von Saatgut-Prüflaboren</w:t>
      </w:r>
      <w:r w:rsidR="005F10CD">
        <w:rPr>
          <w:rFonts w:cs="Arial"/>
          <w:sz w:val="18"/>
          <w:szCs w:val="18"/>
        </w:rPr>
        <w:br/>
        <w:t>Das ISTA-Akkreditierungsprogramm gewährleistet, daß die Saatgut-Prüflabore bei ihren täglichen Untersuchungen genaue und reproduzierbare Ergebnisse gewinnen. Grundlage des Akkreditierungsprogramms ist die ISTA-Akkreditierungsnorm. Alle drei Jahre wird ein akkreditiertes Labor von zwei Prüfern der ISTA auditiert. Die Überwachung der  Laborleistung durch das ISTA-Leistungstest-Programm stellt sicher, da</w:t>
      </w:r>
      <w:r w:rsidR="007F5336">
        <w:rPr>
          <w:rFonts w:cs="Arial"/>
          <w:sz w:val="18"/>
          <w:szCs w:val="18"/>
        </w:rPr>
        <w:t>ß</w:t>
      </w:r>
      <w:r w:rsidR="005F10CD">
        <w:rPr>
          <w:rFonts w:cs="Arial"/>
          <w:sz w:val="18"/>
          <w:szCs w:val="18"/>
        </w:rPr>
        <w:t xml:space="preserve"> die Qualität der ISTA-akkreditierten Labore sich zwischen den Audits auf einem gleichbleibend hohen Niveau bewegt. Jedes Jahr werden von den technischen Ausschüssen fünf bis zehn Workshops zur Aus- und Weiterbildung von Saatgutanalytikern veranstaltet.</w:t>
      </w:r>
    </w:p>
    <w:p w14:paraId="7A2B9E2C" w14:textId="77777777" w:rsidR="005F10CD" w:rsidRDefault="006C192E" w:rsidP="006C192E">
      <w:pPr>
        <w:tabs>
          <w:tab w:val="left" w:pos="720"/>
        </w:tabs>
        <w:autoSpaceDE w:val="0"/>
        <w:autoSpaceDN w:val="0"/>
        <w:adjustRightInd w:val="0"/>
        <w:ind w:left="1134" w:right="850" w:hanging="283"/>
        <w:rPr>
          <w:rFonts w:cs="Arial"/>
          <w:sz w:val="18"/>
          <w:szCs w:val="18"/>
        </w:rPr>
      </w:pPr>
      <w:r>
        <w:rPr>
          <w:rFonts w:cs="Arial"/>
          <w:sz w:val="18"/>
          <w:szCs w:val="18"/>
        </w:rPr>
        <w:t>3.</w:t>
      </w:r>
      <w:r>
        <w:rPr>
          <w:rFonts w:cs="Arial"/>
          <w:sz w:val="18"/>
          <w:szCs w:val="18"/>
        </w:rPr>
        <w:tab/>
      </w:r>
      <w:r w:rsidR="005F10CD">
        <w:rPr>
          <w:rFonts w:cs="Arial"/>
          <w:sz w:val="18"/>
          <w:szCs w:val="18"/>
        </w:rPr>
        <w:t>Verbreitung einheitlicher Saatgut-Prüfzertifikate zur Erleichterung des internationalen Saatguthandels</w:t>
      </w:r>
      <w:r w:rsidR="005F10CD">
        <w:rPr>
          <w:rFonts w:cs="Arial"/>
          <w:sz w:val="18"/>
          <w:szCs w:val="18"/>
        </w:rPr>
        <w:br/>
        <w:t>ISTA-Zertifikate für die Saatgutprüfung dürfen ausschließlich von ISTA-akkreditierten Laboren ausgestellt werden. Mit den ISTA-Zertifikaten wird dem Nutzer für sein Saatgut ein Analyseergebnis an die Hand gegeben, auf dessen Reproduzierbarkeit und Korrektheit er vertrauen kann und das  im Rahmen des Internationalen Orangen Saatgutpartie-Zertifikats für die Qualität der Saatgutpartie steht, der die geprüfte Probe entnommen wurde.</w:t>
      </w:r>
    </w:p>
    <w:p w14:paraId="76600920" w14:textId="77777777" w:rsidR="005F10CD" w:rsidRDefault="006C192E" w:rsidP="006C192E">
      <w:pPr>
        <w:tabs>
          <w:tab w:val="left" w:pos="720"/>
        </w:tabs>
        <w:autoSpaceDE w:val="0"/>
        <w:autoSpaceDN w:val="0"/>
        <w:adjustRightInd w:val="0"/>
        <w:ind w:left="1134" w:right="850" w:hanging="283"/>
        <w:rPr>
          <w:rFonts w:cs="Arial"/>
          <w:sz w:val="18"/>
          <w:szCs w:val="18"/>
        </w:rPr>
      </w:pPr>
      <w:r>
        <w:rPr>
          <w:rFonts w:cs="Arial"/>
          <w:sz w:val="18"/>
          <w:szCs w:val="18"/>
        </w:rPr>
        <w:t>4.</w:t>
      </w:r>
      <w:r>
        <w:rPr>
          <w:rFonts w:cs="Arial"/>
          <w:sz w:val="18"/>
          <w:szCs w:val="18"/>
        </w:rPr>
        <w:tab/>
      </w:r>
      <w:r w:rsidR="005F10CD">
        <w:rPr>
          <w:rFonts w:cs="Arial"/>
          <w:sz w:val="18"/>
          <w:szCs w:val="18"/>
        </w:rPr>
        <w:t>Austausch und Verbreitung von Forschungsergebnissen auf verschiedenen Fachkonferenzen, Seminaren und in wissenschaftlichen Fachzeitschriften</w:t>
      </w:r>
      <w:r w:rsidR="005F10CD">
        <w:rPr>
          <w:rFonts w:cs="Arial"/>
          <w:sz w:val="18"/>
          <w:szCs w:val="18"/>
        </w:rPr>
        <w:br/>
        <w:t xml:space="preserve">Die ISTA dient Saatgutforschern weltweit dazu, ihre Forschungsergebnisse zu vergleichen und wichtige Entwicklungen in der Saatgutwissenschaft und -technologie zu erörtern, sowohl im Rahmen regelmäßiger Fachkonferenzen als auch der ISTA-eigenen Fachzeitschrift </w:t>
      </w:r>
      <w:r w:rsidR="005F10CD">
        <w:rPr>
          <w:rFonts w:cs="Arial"/>
          <w:i/>
          <w:iCs/>
          <w:sz w:val="18"/>
          <w:szCs w:val="18"/>
        </w:rPr>
        <w:t>Seed Science and Technology</w:t>
      </w:r>
      <w:r w:rsidR="005F10CD">
        <w:rPr>
          <w:rFonts w:cs="Arial"/>
          <w:sz w:val="18"/>
          <w:szCs w:val="18"/>
        </w:rPr>
        <w:t xml:space="preserve"> .</w:t>
      </w:r>
    </w:p>
    <w:p w14:paraId="5D4AF64D" w14:textId="77777777" w:rsidR="005F10CD" w:rsidRDefault="005F10CD" w:rsidP="005F10CD">
      <w:pPr>
        <w:autoSpaceDE w:val="0"/>
        <w:autoSpaceDN w:val="0"/>
        <w:adjustRightInd w:val="0"/>
        <w:ind w:left="567" w:right="567"/>
        <w:rPr>
          <w:rFonts w:cs="Arial"/>
          <w:sz w:val="18"/>
          <w:szCs w:val="18"/>
        </w:rPr>
      </w:pPr>
    </w:p>
    <w:p w14:paraId="3601B9E7" w14:textId="77777777" w:rsidR="00F57068" w:rsidRDefault="00F57068" w:rsidP="005F10CD">
      <w:pPr>
        <w:autoSpaceDE w:val="0"/>
        <w:autoSpaceDN w:val="0"/>
        <w:adjustRightInd w:val="0"/>
        <w:ind w:left="567" w:right="567"/>
        <w:rPr>
          <w:rFonts w:cs="Arial"/>
          <w:sz w:val="18"/>
          <w:szCs w:val="18"/>
          <w:u w:val="single"/>
        </w:rPr>
      </w:pPr>
    </w:p>
    <w:p w14:paraId="7B45B1D9" w14:textId="77777777" w:rsidR="005F10CD" w:rsidRDefault="005F10CD" w:rsidP="005F10CD">
      <w:pPr>
        <w:autoSpaceDE w:val="0"/>
        <w:autoSpaceDN w:val="0"/>
        <w:adjustRightInd w:val="0"/>
        <w:ind w:left="567" w:right="567"/>
        <w:rPr>
          <w:rFonts w:cs="Arial"/>
          <w:sz w:val="18"/>
          <w:szCs w:val="18"/>
          <w:u w:val="single"/>
        </w:rPr>
      </w:pPr>
      <w:r>
        <w:rPr>
          <w:rFonts w:cs="Arial"/>
          <w:sz w:val="18"/>
          <w:szCs w:val="18"/>
          <w:u w:val="single"/>
        </w:rPr>
        <w:t>Internationaler Saatgutverband (ISF)</w:t>
      </w:r>
    </w:p>
    <w:p w14:paraId="3BC4D75B" w14:textId="77777777" w:rsidR="005F10CD" w:rsidRDefault="005F10CD" w:rsidP="005F10CD">
      <w:pPr>
        <w:autoSpaceDE w:val="0"/>
        <w:autoSpaceDN w:val="0"/>
        <w:adjustRightInd w:val="0"/>
        <w:ind w:left="567" w:right="567"/>
        <w:rPr>
          <w:rFonts w:cs="Arial"/>
          <w:sz w:val="18"/>
          <w:szCs w:val="18"/>
        </w:rPr>
      </w:pPr>
    </w:p>
    <w:p w14:paraId="09868BEA" w14:textId="77777777" w:rsidR="005F10CD" w:rsidRDefault="005F10CD" w:rsidP="005F10CD">
      <w:pPr>
        <w:autoSpaceDE w:val="0"/>
        <w:autoSpaceDN w:val="0"/>
        <w:adjustRightInd w:val="0"/>
        <w:ind w:left="567" w:right="567"/>
        <w:rPr>
          <w:rFonts w:cs="Arial"/>
          <w:sz w:val="18"/>
          <w:szCs w:val="18"/>
        </w:rPr>
      </w:pPr>
      <w:r>
        <w:rPr>
          <w:rFonts w:cs="Arial"/>
          <w:sz w:val="18"/>
          <w:szCs w:val="18"/>
        </w:rPr>
        <w:t>Was ist der ISF?</w:t>
      </w:r>
    </w:p>
    <w:p w14:paraId="09B238EC" w14:textId="77777777" w:rsidR="005F10CD" w:rsidRDefault="005F10CD" w:rsidP="005F10CD">
      <w:pPr>
        <w:autoSpaceDE w:val="0"/>
        <w:autoSpaceDN w:val="0"/>
        <w:adjustRightInd w:val="0"/>
        <w:ind w:left="567" w:right="567"/>
        <w:rPr>
          <w:rFonts w:cs="Arial"/>
          <w:sz w:val="18"/>
          <w:szCs w:val="18"/>
        </w:rPr>
      </w:pPr>
      <w:r>
        <w:rPr>
          <w:rFonts w:cs="Arial"/>
          <w:sz w:val="18"/>
          <w:szCs w:val="18"/>
        </w:rPr>
        <w:t>Der ISF ist eine nicht-staatliche, unpolitische Organisation, die weltweit die Interessen staatlicher Saatgutverbände und -unternehmen vertritt. Der 1924 gegründete Internationale Saatgutverband zählt heute mehr als 7.500 Mitglieder in 70 Ländern. Im Rahmen seiner partnerschaftlichen Zusammenarbeit mit Organisationen, die verantwortlich sind für internationale Verträge, Abkommen und Vereinbarungen oder die Grundsätze mitgestalten, von denen die Saatgutindustrie betroffen ist, sorgt der ISF dafür, da</w:t>
      </w:r>
      <w:r w:rsidR="007F5336">
        <w:rPr>
          <w:rFonts w:cs="Arial"/>
          <w:sz w:val="18"/>
          <w:szCs w:val="18"/>
        </w:rPr>
        <w:t>ß</w:t>
      </w:r>
      <w:r>
        <w:rPr>
          <w:rFonts w:cs="Arial"/>
          <w:sz w:val="18"/>
          <w:szCs w:val="18"/>
        </w:rPr>
        <w:t xml:space="preserve"> die Saatgutindustrie mit einer Stimme spricht. </w:t>
      </w:r>
    </w:p>
    <w:p w14:paraId="153E6FF5" w14:textId="77777777" w:rsidR="005F10CD" w:rsidRDefault="005F10CD" w:rsidP="005F10CD">
      <w:pPr>
        <w:autoSpaceDE w:val="0"/>
        <w:autoSpaceDN w:val="0"/>
        <w:adjustRightInd w:val="0"/>
        <w:ind w:left="567" w:right="567"/>
        <w:rPr>
          <w:rFonts w:cs="Arial"/>
          <w:sz w:val="18"/>
          <w:szCs w:val="18"/>
        </w:rPr>
      </w:pPr>
      <w:r>
        <w:rPr>
          <w:rFonts w:cs="Arial"/>
          <w:sz w:val="18"/>
          <w:szCs w:val="18"/>
        </w:rPr>
        <w:lastRenderedPageBreak/>
        <w:t> </w:t>
      </w:r>
    </w:p>
    <w:p w14:paraId="1759C2A7" w14:textId="77777777" w:rsidR="005F10CD" w:rsidRDefault="005F10CD" w:rsidP="005F10CD">
      <w:pPr>
        <w:keepNext/>
        <w:autoSpaceDE w:val="0"/>
        <w:autoSpaceDN w:val="0"/>
        <w:adjustRightInd w:val="0"/>
        <w:ind w:left="567" w:right="567"/>
        <w:rPr>
          <w:rFonts w:cs="Arial"/>
          <w:sz w:val="18"/>
          <w:szCs w:val="18"/>
        </w:rPr>
      </w:pPr>
      <w:r>
        <w:rPr>
          <w:rFonts w:cs="Arial"/>
          <w:sz w:val="18"/>
          <w:szCs w:val="18"/>
        </w:rPr>
        <w:t>Vision &amp; Auftrag</w:t>
      </w:r>
    </w:p>
    <w:p w14:paraId="698D406E" w14:textId="77777777" w:rsidR="005F10CD" w:rsidRDefault="005F10CD" w:rsidP="005F10CD">
      <w:pPr>
        <w:keepNext/>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Vision: „Eine Welt, die allen Zugang zu Saatgut bester Qualität bietet und die eine nachhaltige Landwirtschaft und sichere Ernährung fördert.“</w:t>
      </w:r>
    </w:p>
    <w:p w14:paraId="6AEDABE7"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 xml:space="preserve">Auftrag: „Schaffung des bestmöglichen Umfelds für den globalen Saatgutverkehr sowie Förderung von Pflanzenzüchtungen und innovativem Saatgut.“ </w:t>
      </w:r>
    </w:p>
    <w:p w14:paraId="3AE8A4FE" w14:textId="77777777" w:rsidR="005F10CD" w:rsidRDefault="005F10CD" w:rsidP="005F10CD">
      <w:pPr>
        <w:autoSpaceDE w:val="0"/>
        <w:autoSpaceDN w:val="0"/>
        <w:adjustRightInd w:val="0"/>
        <w:ind w:right="567"/>
        <w:rPr>
          <w:rFonts w:cs="Arial"/>
          <w:sz w:val="18"/>
          <w:szCs w:val="18"/>
        </w:rPr>
      </w:pPr>
      <w:r>
        <w:rPr>
          <w:rFonts w:cs="Arial"/>
          <w:sz w:val="18"/>
          <w:szCs w:val="18"/>
        </w:rPr>
        <w:t> </w:t>
      </w:r>
    </w:p>
    <w:p w14:paraId="0A0E89A8" w14:textId="77777777" w:rsidR="005F10CD" w:rsidRDefault="005F10CD" w:rsidP="005F10CD">
      <w:pPr>
        <w:autoSpaceDE w:val="0"/>
        <w:autoSpaceDN w:val="0"/>
        <w:adjustRightInd w:val="0"/>
        <w:ind w:left="567" w:right="567"/>
        <w:rPr>
          <w:rFonts w:cs="Arial"/>
          <w:sz w:val="18"/>
          <w:szCs w:val="18"/>
        </w:rPr>
      </w:pPr>
      <w:r>
        <w:rPr>
          <w:rFonts w:cs="Arial"/>
          <w:sz w:val="18"/>
          <w:szCs w:val="18"/>
        </w:rPr>
        <w:t>Ziele</w:t>
      </w:r>
    </w:p>
    <w:p w14:paraId="6AC39C4A" w14:textId="77777777" w:rsidR="005F10CD" w:rsidRDefault="005F10CD" w:rsidP="005F10CD">
      <w:pPr>
        <w:autoSpaceDE w:val="0"/>
        <w:autoSpaceDN w:val="0"/>
        <w:adjustRightInd w:val="0"/>
        <w:ind w:left="567" w:right="567"/>
        <w:rPr>
          <w:rFonts w:cs="Arial"/>
          <w:sz w:val="18"/>
          <w:szCs w:val="18"/>
        </w:rPr>
      </w:pPr>
      <w:r>
        <w:rPr>
          <w:rFonts w:cs="Arial"/>
          <w:sz w:val="18"/>
          <w:szCs w:val="18"/>
        </w:rPr>
        <w:t>Die strategischen Ziele des ISF sind im 5-Jahres-Strategieplan des Verbandes niedergelegt und betreffen die Kernbereiche seiner Arbeit.</w:t>
      </w:r>
    </w:p>
    <w:p w14:paraId="6D4FADCE" w14:textId="77777777" w:rsidR="005F10CD" w:rsidRDefault="005F10CD" w:rsidP="005F10CD">
      <w:pPr>
        <w:autoSpaceDE w:val="0"/>
        <w:autoSpaceDN w:val="0"/>
        <w:adjustRightInd w:val="0"/>
        <w:ind w:left="567" w:right="567"/>
        <w:rPr>
          <w:rFonts w:cs="Arial"/>
          <w:sz w:val="18"/>
          <w:szCs w:val="18"/>
        </w:rPr>
      </w:pPr>
      <w:r>
        <w:rPr>
          <w:rFonts w:cs="Arial"/>
          <w:sz w:val="18"/>
          <w:szCs w:val="18"/>
        </w:rPr>
        <w:t> </w:t>
      </w:r>
    </w:p>
    <w:p w14:paraId="24CB9965" w14:textId="77777777" w:rsidR="005F10CD" w:rsidRDefault="005F10CD" w:rsidP="005F10CD">
      <w:pPr>
        <w:autoSpaceDE w:val="0"/>
        <w:autoSpaceDN w:val="0"/>
        <w:adjustRightInd w:val="0"/>
        <w:ind w:left="567" w:right="567"/>
        <w:rPr>
          <w:rFonts w:cs="Arial"/>
          <w:sz w:val="18"/>
          <w:szCs w:val="18"/>
        </w:rPr>
      </w:pPr>
      <w:r>
        <w:rPr>
          <w:rFonts w:cs="Arial"/>
          <w:sz w:val="18"/>
          <w:szCs w:val="18"/>
        </w:rPr>
        <w:t>1. Innovation</w:t>
      </w:r>
    </w:p>
    <w:p w14:paraId="31C87E5A" w14:textId="77777777" w:rsidR="005F10CD" w:rsidRDefault="005F10CD" w:rsidP="005F10CD">
      <w:pPr>
        <w:autoSpaceDE w:val="0"/>
        <w:autoSpaceDN w:val="0"/>
        <w:adjustRightInd w:val="0"/>
        <w:ind w:left="567" w:right="567"/>
        <w:rPr>
          <w:rFonts w:cs="Arial"/>
          <w:sz w:val="18"/>
          <w:szCs w:val="18"/>
        </w:rPr>
      </w:pPr>
      <w:r>
        <w:rPr>
          <w:rFonts w:cs="Arial"/>
          <w:sz w:val="18"/>
          <w:szCs w:val="18"/>
        </w:rPr>
        <w:t>Umstellung auf konsequentere Strategien im Hinblick auf Erzeugnisse,</w:t>
      </w:r>
      <w:r w:rsidR="0059090F">
        <w:rPr>
          <w:rFonts w:cs="Arial"/>
          <w:sz w:val="18"/>
          <w:szCs w:val="18"/>
        </w:rPr>
        <w:t xml:space="preserve"> </w:t>
      </w:r>
      <w:r>
        <w:rPr>
          <w:rFonts w:cs="Arial"/>
          <w:sz w:val="18"/>
          <w:szCs w:val="18"/>
        </w:rPr>
        <w:t>die mit neuesten Züchtungsmethoden entwickelt wurden, um deren Nutzung zu ermöglichen und den kontinuierlichen Handel zu gewährleisten.</w:t>
      </w:r>
    </w:p>
    <w:p w14:paraId="73A4012F" w14:textId="77777777" w:rsidR="005F10CD" w:rsidRDefault="005F10CD" w:rsidP="005F10CD">
      <w:pPr>
        <w:autoSpaceDE w:val="0"/>
        <w:autoSpaceDN w:val="0"/>
        <w:adjustRightInd w:val="0"/>
        <w:ind w:left="567" w:right="567"/>
        <w:rPr>
          <w:rFonts w:cs="Arial"/>
          <w:sz w:val="18"/>
          <w:szCs w:val="18"/>
        </w:rPr>
      </w:pPr>
      <w:r>
        <w:rPr>
          <w:rFonts w:cs="Arial"/>
          <w:sz w:val="18"/>
          <w:szCs w:val="18"/>
        </w:rPr>
        <w:t>2. Verkehr von Saatgut &amp; Qualitätssaatgut</w:t>
      </w:r>
    </w:p>
    <w:p w14:paraId="75CE54A4"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Förderung der Harmonisierung technisch und wissenschaftlich begründeter Rahmenwerke für pflanzenschutzrechtliche Maßnahmen, ohne daß diese sich zu nicht-tarifären Handelshemmnissen entwickeln.</w:t>
      </w:r>
    </w:p>
    <w:p w14:paraId="07921F6D"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Förderung der Harmonisierung von Vorschriften zu Saatguttechnologien auf globaler und regionaler Ebene.</w:t>
      </w:r>
    </w:p>
    <w:p w14:paraId="0BCC5837"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Förderung der Nutzung von Systemen zur Saatgutzertifizierung und Saatgutqualitätssicherung.</w:t>
      </w:r>
    </w:p>
    <w:p w14:paraId="3960F1A0" w14:textId="77777777" w:rsidR="005F10CD" w:rsidRDefault="005F10CD" w:rsidP="005F10CD">
      <w:pPr>
        <w:autoSpaceDE w:val="0"/>
        <w:autoSpaceDN w:val="0"/>
        <w:adjustRightInd w:val="0"/>
        <w:ind w:left="567" w:right="567"/>
        <w:rPr>
          <w:rFonts w:cs="Arial"/>
          <w:sz w:val="18"/>
          <w:szCs w:val="18"/>
        </w:rPr>
      </w:pPr>
      <w:r>
        <w:rPr>
          <w:rFonts w:cs="Arial"/>
          <w:sz w:val="18"/>
          <w:szCs w:val="18"/>
        </w:rPr>
        <w:t>3. Rechte des geistigen Eigentums</w:t>
      </w:r>
    </w:p>
    <w:p w14:paraId="57225114"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Erleichterung der länderübergreifenden Zusammenarbeit mit dem Ziel, die Verfahren im Sortenschutz auf internationaler Ebene zu vereinfachen.</w:t>
      </w:r>
    </w:p>
    <w:p w14:paraId="5A8D50D1"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Unterstützung der Mitglieder dabei, Rechte des geistigen Eigentums in ihren Ländern auf effektive Weise umzusetzen.</w:t>
      </w:r>
    </w:p>
    <w:p w14:paraId="7A6258FC"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Förderung des Internationalen Vertrages als bevorzugtes Instrument zur Verwaltung pflanzengenetischer Ressourcen für Ernährung und Landwirtschaft (PGRFA), was das Verfahren wirtschaftsorientierter und nutzerfreundlicher macht.</w:t>
      </w:r>
    </w:p>
    <w:p w14:paraId="29FCAD71" w14:textId="77777777" w:rsidR="005F10CD" w:rsidRDefault="005F10CD" w:rsidP="005F10CD">
      <w:pPr>
        <w:autoSpaceDE w:val="0"/>
        <w:autoSpaceDN w:val="0"/>
        <w:adjustRightInd w:val="0"/>
        <w:ind w:right="567"/>
        <w:rPr>
          <w:rFonts w:cs="Arial"/>
          <w:sz w:val="18"/>
          <w:szCs w:val="18"/>
        </w:rPr>
      </w:pPr>
    </w:p>
    <w:p w14:paraId="5D967F1F" w14:textId="77777777" w:rsidR="005F10CD" w:rsidRDefault="005F10CD" w:rsidP="005F10CD">
      <w:pPr>
        <w:autoSpaceDE w:val="0"/>
        <w:autoSpaceDN w:val="0"/>
        <w:adjustRightInd w:val="0"/>
        <w:ind w:left="567" w:right="567"/>
        <w:rPr>
          <w:rFonts w:cs="Arial"/>
          <w:sz w:val="18"/>
          <w:szCs w:val="18"/>
        </w:rPr>
      </w:pPr>
      <w:r>
        <w:rPr>
          <w:rFonts w:cs="Arial"/>
          <w:sz w:val="18"/>
          <w:szCs w:val="18"/>
        </w:rPr>
        <w:t xml:space="preserve">4. Biologische Vielfalt  </w:t>
      </w:r>
    </w:p>
    <w:p w14:paraId="7197B581"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Förderung des Internationalen Vertrages als bevorzugtes Instrument zur Verwaltung pflanzengenetischer Ressourcen für Ernährung und Landwirtschaft (PGRFA), was das Verfahren wirtschaftsorientierter und nutzerfreundlicher macht.</w:t>
      </w:r>
    </w:p>
    <w:p w14:paraId="641B0F9F" w14:textId="77777777" w:rsidR="005F10CD" w:rsidRDefault="005F10CD" w:rsidP="005F10CD">
      <w:pPr>
        <w:autoSpaceDE w:val="0"/>
        <w:autoSpaceDN w:val="0"/>
        <w:adjustRightInd w:val="0"/>
        <w:ind w:left="567" w:right="567"/>
        <w:rPr>
          <w:rFonts w:cs="Arial"/>
          <w:sz w:val="18"/>
          <w:szCs w:val="18"/>
        </w:rPr>
      </w:pPr>
      <w:r>
        <w:rPr>
          <w:rFonts w:cs="Arial"/>
          <w:sz w:val="18"/>
          <w:szCs w:val="18"/>
        </w:rPr>
        <w:t xml:space="preserve">5. Engagement </w:t>
      </w:r>
    </w:p>
    <w:p w14:paraId="7D33270B"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Interaktion mit unseren Mitgliedern zur Stärkung der Zusammenarbeit, damit die Saatgutindustrie mit einer Stimme spricht.</w:t>
      </w:r>
    </w:p>
    <w:p w14:paraId="2E6DBA7F"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Interaktion mit allen Interessengruppen in der Wertschöpfungskette zur Förderung der Zusammenarbeit.</w:t>
      </w:r>
    </w:p>
    <w:p w14:paraId="42986A63"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Sensibilisierung und Aufbau von Verständnis für die Saatgutindustrie und den Nutzen, den diese  für die Globalgesellschaft hat. </w:t>
      </w:r>
    </w:p>
    <w:p w14:paraId="6C36200B" w14:textId="77777777" w:rsidR="005F10CD" w:rsidRDefault="005F10CD" w:rsidP="005F10CD">
      <w:pPr>
        <w:autoSpaceDE w:val="0"/>
        <w:autoSpaceDN w:val="0"/>
        <w:adjustRightInd w:val="0"/>
        <w:ind w:right="567"/>
        <w:rPr>
          <w:rFonts w:cs="Arial"/>
          <w:sz w:val="18"/>
          <w:szCs w:val="18"/>
        </w:rPr>
      </w:pPr>
      <w:r>
        <w:rPr>
          <w:rFonts w:cs="Arial"/>
          <w:sz w:val="18"/>
          <w:szCs w:val="18"/>
        </w:rPr>
        <w:t> </w:t>
      </w:r>
    </w:p>
    <w:p w14:paraId="73783C28" w14:textId="77777777" w:rsidR="005F10CD" w:rsidRDefault="005F10CD" w:rsidP="005F10CD">
      <w:pPr>
        <w:autoSpaceDE w:val="0"/>
        <w:autoSpaceDN w:val="0"/>
        <w:adjustRightInd w:val="0"/>
        <w:ind w:left="567" w:right="567"/>
        <w:rPr>
          <w:rFonts w:cs="Arial"/>
          <w:sz w:val="18"/>
          <w:szCs w:val="18"/>
        </w:rPr>
      </w:pPr>
      <w:r>
        <w:rPr>
          <w:rFonts w:cs="Arial"/>
          <w:sz w:val="18"/>
          <w:szCs w:val="18"/>
        </w:rPr>
        <w:t>Was macht der ISF?</w:t>
      </w:r>
    </w:p>
    <w:p w14:paraId="66A8B59A"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 xml:space="preserve">Der ISF erleichtert den freien Saatgutverkehr im Rahmen fairer und wissenschaftsbasierter Regelungen, während er gleichzeitig den Interessen von Landwirten, Züchtern, Industrie und Verbrauchern dient. </w:t>
      </w:r>
    </w:p>
    <w:p w14:paraId="714BC483"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Der ISF fördert den Aufbau und Schutz von Rechten des geistigen Eigentums in Bezug auf Saatgut, Pflanzensorten und entsprechende Technologien.</w:t>
      </w:r>
    </w:p>
    <w:p w14:paraId="02BEC131"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Der ISF gibt Regeln für den Saatguthandel und die Vergabe von Techniklizenzen heraus, um die Vertragsbeziehungen zwischen Käufern und Verkäufern auf internationaler Ebene transparenter und einheitlicher zu gestalten.</w:t>
      </w:r>
    </w:p>
    <w:p w14:paraId="6B0621FB"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Der ISF sorgt für Streitbeilegung durch Mediation, Schlichtung und/oder Schiedsverfahren.</w:t>
      </w:r>
    </w:p>
    <w:p w14:paraId="65528854"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Der ISF fördert die Zusammenarbeit und Kooperation durch seinen Veranstaltungskalender, der es den Interessengruppen der Saatgutindustrie ermöglicht, Probleme anzusprechen, strategische Ansätze anzuregen und schneller zu gemeinsamen Positionen zu kommen.</w:t>
      </w:r>
    </w:p>
    <w:p w14:paraId="2A44EFE2" w14:textId="77777777" w:rsidR="005F10CD" w:rsidRDefault="005F10CD" w:rsidP="005F10CD">
      <w:pPr>
        <w:numPr>
          <w:ilvl w:val="0"/>
          <w:numId w:val="1"/>
        </w:numPr>
        <w:tabs>
          <w:tab w:val="left" w:pos="720"/>
          <w:tab w:val="left" w:pos="1134"/>
        </w:tabs>
        <w:autoSpaceDE w:val="0"/>
        <w:autoSpaceDN w:val="0"/>
        <w:adjustRightInd w:val="0"/>
        <w:ind w:left="1134" w:right="850" w:hanging="360"/>
        <w:rPr>
          <w:rFonts w:cs="Arial"/>
          <w:sz w:val="18"/>
          <w:szCs w:val="18"/>
        </w:rPr>
      </w:pPr>
      <w:r>
        <w:rPr>
          <w:rFonts w:cs="Arial"/>
          <w:sz w:val="18"/>
          <w:szCs w:val="18"/>
        </w:rPr>
        <w:t>Der ISF arbeitet partnerschaftlich mit Organisationen zusammen, die verantwortlich sind für internationale Verträge, Abkommen und Vereinbarungen oder die Grundsätze mitgestalten, von denen die globale Saatgutindustrie betroffen ist.</w:t>
      </w:r>
    </w:p>
    <w:p w14:paraId="31B38420" w14:textId="77777777" w:rsidR="005F10CD" w:rsidRDefault="005F10CD" w:rsidP="005F10CD">
      <w:pPr>
        <w:autoSpaceDE w:val="0"/>
        <w:autoSpaceDN w:val="0"/>
        <w:adjustRightInd w:val="0"/>
        <w:ind w:right="567"/>
        <w:rPr>
          <w:rFonts w:cs="Arial"/>
          <w:sz w:val="18"/>
          <w:szCs w:val="18"/>
        </w:rPr>
      </w:pPr>
    </w:p>
    <w:p w14:paraId="4EE07CFE" w14:textId="77777777" w:rsidR="005F10CD" w:rsidRPr="00942671" w:rsidRDefault="005F10CD" w:rsidP="005F10CD">
      <w:pPr>
        <w:autoSpaceDE w:val="0"/>
        <w:autoSpaceDN w:val="0"/>
        <w:adjustRightInd w:val="0"/>
        <w:ind w:right="567"/>
        <w:rPr>
          <w:rFonts w:cs="Arial"/>
          <w:sz w:val="18"/>
          <w:szCs w:val="18"/>
          <w:lang w:val="fr-CH"/>
        </w:rPr>
      </w:pPr>
      <w:r w:rsidRPr="00942671">
        <w:rPr>
          <w:rFonts w:cs="Arial"/>
          <w:sz w:val="18"/>
          <w:szCs w:val="18"/>
          <w:lang w:val="fr-CH"/>
        </w:rPr>
        <w:t xml:space="preserve">Quelle: </w:t>
      </w:r>
      <w:hyperlink r:id="rId12" w:history="1">
        <w:r w:rsidRPr="00942671">
          <w:rPr>
            <w:rFonts w:cs="Arial"/>
            <w:color w:val="0000FF"/>
            <w:sz w:val="18"/>
            <w:szCs w:val="18"/>
            <w:u w:val="single"/>
            <w:lang w:val="fr-CH"/>
          </w:rPr>
          <w:t>http://www.worldseedpartnership.org/</w:t>
        </w:r>
      </w:hyperlink>
    </w:p>
    <w:p w14:paraId="1527ED0D" w14:textId="77777777" w:rsidR="005F10CD" w:rsidRPr="00942671" w:rsidRDefault="005F10CD" w:rsidP="005F10CD">
      <w:pPr>
        <w:autoSpaceDE w:val="0"/>
        <w:autoSpaceDN w:val="0"/>
        <w:adjustRightInd w:val="0"/>
        <w:ind w:right="567"/>
        <w:rPr>
          <w:rFonts w:cs="Arial"/>
          <w:sz w:val="18"/>
          <w:szCs w:val="18"/>
          <w:lang w:val="fr-CH"/>
        </w:rPr>
      </w:pPr>
    </w:p>
    <w:p w14:paraId="044325E1" w14:textId="77777777" w:rsidR="005F10CD" w:rsidRPr="006C192E" w:rsidRDefault="005F10CD" w:rsidP="005F10CD">
      <w:pPr>
        <w:keepNext/>
        <w:autoSpaceDE w:val="0"/>
        <w:autoSpaceDN w:val="0"/>
        <w:adjustRightInd w:val="0"/>
        <w:rPr>
          <w:rFonts w:cs="Arial"/>
          <w:i/>
          <w:iCs/>
        </w:rPr>
      </w:pPr>
      <w:r w:rsidRPr="006C192E">
        <w:rPr>
          <w:rFonts w:cs="Arial"/>
          <w:i/>
          <w:iCs/>
        </w:rPr>
        <w:lastRenderedPageBreak/>
        <w:t>FAQ zur Verwendung molekularer Verfahren bei der DUS-Prüfung</w:t>
      </w:r>
    </w:p>
    <w:p w14:paraId="1F10C9A2" w14:textId="77777777" w:rsidR="005F10CD" w:rsidRDefault="005F10CD" w:rsidP="005F10CD">
      <w:pPr>
        <w:autoSpaceDE w:val="0"/>
        <w:autoSpaceDN w:val="0"/>
        <w:adjustRightInd w:val="0"/>
        <w:rPr>
          <w:rFonts w:cs="Arial"/>
          <w:i/>
          <w:iCs/>
          <w:sz w:val="18"/>
          <w:szCs w:val="18"/>
        </w:rPr>
      </w:pPr>
    </w:p>
    <w:p w14:paraId="38787A2C" w14:textId="3D1C288C" w:rsidR="005F10CD" w:rsidRDefault="005F10CD" w:rsidP="005F10CD">
      <w:pPr>
        <w:autoSpaceDE w:val="0"/>
        <w:autoSpaceDN w:val="0"/>
        <w:adjustRightInd w:val="0"/>
        <w:ind w:left="567" w:right="567"/>
        <w:rPr>
          <w:rFonts w:cs="Arial"/>
          <w:sz w:val="18"/>
          <w:szCs w:val="18"/>
        </w:rPr>
      </w:pPr>
      <w:r>
        <w:rPr>
          <w:rFonts w:cs="Arial"/>
          <w:sz w:val="18"/>
          <w:szCs w:val="18"/>
        </w:rPr>
        <w:t>Erlaubt die UPOV die Verwendung molekularer Marker (DNS-Profile) bei der Prüfung von Unterscheidbarkeit, Homogenität und Beständigkeit („DUS-Prüfung“)?</w:t>
      </w:r>
    </w:p>
    <w:p w14:paraId="7C4C64F0" w14:textId="77777777" w:rsidR="00F766CB" w:rsidRDefault="00F766CB" w:rsidP="005F10CD">
      <w:pPr>
        <w:autoSpaceDE w:val="0"/>
        <w:autoSpaceDN w:val="0"/>
        <w:adjustRightInd w:val="0"/>
        <w:ind w:left="567" w:right="567"/>
        <w:rPr>
          <w:rFonts w:cs="Arial"/>
          <w:sz w:val="18"/>
          <w:szCs w:val="18"/>
        </w:rPr>
      </w:pPr>
    </w:p>
    <w:p w14:paraId="00F3CE64" w14:textId="77777777" w:rsidR="005F10CD" w:rsidRDefault="005F10CD" w:rsidP="005F10CD">
      <w:pPr>
        <w:autoSpaceDE w:val="0"/>
        <w:autoSpaceDN w:val="0"/>
        <w:adjustRightInd w:val="0"/>
        <w:ind w:left="567" w:right="567"/>
        <w:rPr>
          <w:rFonts w:cs="Arial"/>
          <w:sz w:val="18"/>
          <w:szCs w:val="18"/>
        </w:rPr>
      </w:pPr>
      <w:r>
        <w:rPr>
          <w:rFonts w:cs="Arial"/>
          <w:sz w:val="18"/>
          <w:szCs w:val="18"/>
        </w:rPr>
        <w:t>Es ist wichtig anzumerken, daß in einigen Fällen Sorten ein unterschiedliches DNS-Profil haben, jedoch phänotypisch identisch sein können, während in anderen Fällen Sorten, die einen großen phänotypischen Unterschied aufweisen, dasselbe DNS-Profil für eine bestimmte Serie von molekularen Markern haben können (z.B. einige Mutationen).</w:t>
      </w:r>
    </w:p>
    <w:p w14:paraId="24419517" w14:textId="77777777" w:rsidR="005F10CD" w:rsidRDefault="005F10CD" w:rsidP="005F10CD">
      <w:pPr>
        <w:autoSpaceDE w:val="0"/>
        <w:autoSpaceDN w:val="0"/>
        <w:adjustRightInd w:val="0"/>
        <w:ind w:left="567" w:right="567"/>
        <w:rPr>
          <w:rFonts w:cs="Arial"/>
          <w:sz w:val="18"/>
          <w:szCs w:val="18"/>
        </w:rPr>
      </w:pPr>
    </w:p>
    <w:p w14:paraId="03016721" w14:textId="77777777" w:rsidR="005F10CD" w:rsidRDefault="005F10CD" w:rsidP="005F10CD">
      <w:pPr>
        <w:autoSpaceDE w:val="0"/>
        <w:autoSpaceDN w:val="0"/>
        <w:adjustRightInd w:val="0"/>
        <w:ind w:left="567" w:right="567"/>
        <w:rPr>
          <w:rFonts w:cs="Arial"/>
          <w:sz w:val="18"/>
          <w:szCs w:val="18"/>
        </w:rPr>
      </w:pPr>
      <w:r>
        <w:rPr>
          <w:rFonts w:cs="Arial"/>
          <w:sz w:val="18"/>
          <w:szCs w:val="18"/>
        </w:rPr>
        <w:t xml:space="preserve">Was die Verwendung molekularer Marker betrifft, die nicht im Zusammenhang mit phänotypischen Unterschieden stehen, besteht die Sorge, daß womöglich eine unbegrenzte Anzahl von Markern verwendet werden könnte, um zwischen Sorten Unterschiede auf genetischer Ebene zu festzustellen, die bei phänotypischen Merkmalen nicht zu finden sind. </w:t>
      </w:r>
    </w:p>
    <w:p w14:paraId="67DE1ED0" w14:textId="77777777" w:rsidR="005F10CD" w:rsidRDefault="005F10CD" w:rsidP="005F10CD">
      <w:pPr>
        <w:autoSpaceDE w:val="0"/>
        <w:autoSpaceDN w:val="0"/>
        <w:adjustRightInd w:val="0"/>
        <w:ind w:left="567" w:right="567"/>
        <w:rPr>
          <w:rFonts w:cs="Arial"/>
          <w:sz w:val="18"/>
          <w:szCs w:val="18"/>
        </w:rPr>
      </w:pPr>
    </w:p>
    <w:p w14:paraId="4F50EE23" w14:textId="77777777" w:rsidR="005F10CD" w:rsidRDefault="005F10CD" w:rsidP="005F10CD">
      <w:pPr>
        <w:autoSpaceDE w:val="0"/>
        <w:autoSpaceDN w:val="0"/>
        <w:adjustRightInd w:val="0"/>
        <w:ind w:left="567" w:right="567"/>
        <w:rPr>
          <w:rFonts w:cs="Arial"/>
          <w:sz w:val="18"/>
          <w:szCs w:val="18"/>
        </w:rPr>
      </w:pPr>
      <w:r>
        <w:rPr>
          <w:rFonts w:cs="Arial"/>
          <w:sz w:val="18"/>
          <w:szCs w:val="18"/>
        </w:rPr>
        <w:t>Auf dieser Grundlage vereinbarte die UPOV die folgenden Verwendungen von molekularen Markern im Zusammenhang mit der DUS-Prüfung:</w:t>
      </w:r>
    </w:p>
    <w:p w14:paraId="6ECCA255" w14:textId="77777777" w:rsidR="005F10CD" w:rsidRDefault="005F10CD" w:rsidP="005F10CD">
      <w:pPr>
        <w:autoSpaceDE w:val="0"/>
        <w:autoSpaceDN w:val="0"/>
        <w:adjustRightInd w:val="0"/>
        <w:ind w:left="567" w:right="567"/>
        <w:rPr>
          <w:rFonts w:cs="Arial"/>
          <w:sz w:val="18"/>
          <w:szCs w:val="18"/>
        </w:rPr>
      </w:pPr>
    </w:p>
    <w:p w14:paraId="3B7C8D1E" w14:textId="77777777" w:rsidR="005F10CD" w:rsidRDefault="005F10CD" w:rsidP="005F10CD">
      <w:pPr>
        <w:autoSpaceDE w:val="0"/>
        <w:autoSpaceDN w:val="0"/>
        <w:adjustRightInd w:val="0"/>
        <w:ind w:left="1134" w:right="850" w:hanging="425"/>
        <w:rPr>
          <w:rFonts w:cs="Arial"/>
          <w:sz w:val="18"/>
          <w:szCs w:val="18"/>
        </w:rPr>
      </w:pPr>
      <w:r>
        <w:rPr>
          <w:rFonts w:cs="Arial"/>
          <w:sz w:val="18"/>
          <w:szCs w:val="18"/>
        </w:rPr>
        <w:t xml:space="preserve">a) </w:t>
      </w:r>
      <w:r w:rsidR="006C192E">
        <w:rPr>
          <w:rFonts w:cs="Arial"/>
          <w:sz w:val="18"/>
          <w:szCs w:val="18"/>
        </w:rPr>
        <w:tab/>
      </w:r>
      <w:r>
        <w:rPr>
          <w:rFonts w:cs="Arial"/>
          <w:sz w:val="18"/>
          <w:szCs w:val="18"/>
        </w:rPr>
        <w:t>Molekulare Marker können als eine Methode zur Prüfung von DUS-Merkmalen, die die Kriterien für die in der Allgemeinen Einführung dargelegten Merkmale erfüllen, verwendet werden, falls es eine zuverlässige Kopplung zwischen dem Marker und dem Merkmal gibt.</w:t>
      </w:r>
    </w:p>
    <w:p w14:paraId="343E83A7" w14:textId="77777777" w:rsidR="005F10CD" w:rsidRDefault="005F10CD" w:rsidP="005F10CD">
      <w:pPr>
        <w:autoSpaceDE w:val="0"/>
        <w:autoSpaceDN w:val="0"/>
        <w:adjustRightInd w:val="0"/>
        <w:ind w:left="567" w:right="567" w:hanging="425"/>
        <w:rPr>
          <w:rFonts w:cs="Arial"/>
          <w:sz w:val="18"/>
          <w:szCs w:val="18"/>
        </w:rPr>
      </w:pPr>
    </w:p>
    <w:p w14:paraId="5D4D69A5" w14:textId="77777777" w:rsidR="005F10CD" w:rsidRDefault="005F10CD" w:rsidP="005F10CD">
      <w:pPr>
        <w:autoSpaceDE w:val="0"/>
        <w:autoSpaceDN w:val="0"/>
        <w:adjustRightInd w:val="0"/>
        <w:ind w:left="1134" w:right="850" w:hanging="425"/>
        <w:rPr>
          <w:rFonts w:cs="Arial"/>
          <w:sz w:val="18"/>
          <w:szCs w:val="18"/>
        </w:rPr>
      </w:pPr>
      <w:r>
        <w:rPr>
          <w:rFonts w:cs="Arial"/>
          <w:sz w:val="18"/>
          <w:szCs w:val="18"/>
        </w:rPr>
        <w:t xml:space="preserve">b) </w:t>
      </w:r>
      <w:r w:rsidR="006C192E">
        <w:rPr>
          <w:rFonts w:cs="Arial"/>
          <w:sz w:val="18"/>
          <w:szCs w:val="18"/>
        </w:rPr>
        <w:tab/>
      </w:r>
      <w:r>
        <w:rPr>
          <w:rFonts w:cs="Arial"/>
          <w:sz w:val="18"/>
          <w:szCs w:val="18"/>
        </w:rPr>
        <w:t>Es kann eine Kombination aus phänotypischen Unterschieden und molekularen Abständen verwendet werden, um die Auswahl von in der Anbauprüfung zu vergleichenden Sorten zu verbessern, wenn die molekularen Abstände in ausreichendem Bezug zu phänotypischen Unterschieden stehen, so daß die Methode kein erhöhtes Risiko schafft, daß eine Sorte in der Sortensammlung, die im Feld mit den Kandidatensorten verglichen werden muß, nicht ausgewählt wird.</w:t>
      </w:r>
    </w:p>
    <w:p w14:paraId="7DDABFD2" w14:textId="77777777" w:rsidR="005F10CD" w:rsidRDefault="005F10CD" w:rsidP="005F10CD">
      <w:pPr>
        <w:autoSpaceDE w:val="0"/>
        <w:autoSpaceDN w:val="0"/>
        <w:adjustRightInd w:val="0"/>
        <w:ind w:left="567" w:right="567"/>
        <w:rPr>
          <w:rFonts w:cs="Arial"/>
          <w:sz w:val="18"/>
          <w:szCs w:val="18"/>
        </w:rPr>
      </w:pPr>
    </w:p>
    <w:p w14:paraId="78D42A6A" w14:textId="77777777" w:rsidR="005C12C4" w:rsidRDefault="005F10CD" w:rsidP="005F10CD">
      <w:pPr>
        <w:autoSpaceDE w:val="0"/>
        <w:autoSpaceDN w:val="0"/>
        <w:adjustRightInd w:val="0"/>
        <w:ind w:left="567" w:right="567"/>
        <w:rPr>
          <w:rFonts w:cs="Arial"/>
          <w:sz w:val="18"/>
          <w:szCs w:val="18"/>
        </w:rPr>
      </w:pPr>
      <w:r>
        <w:rPr>
          <w:rFonts w:cs="Arial"/>
          <w:sz w:val="18"/>
          <w:szCs w:val="18"/>
        </w:rPr>
        <w:t>Die Lage in der UPOV wird in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erläutert.</w:t>
      </w:r>
    </w:p>
    <w:p w14:paraId="640E2BA0" w14:textId="77777777" w:rsidR="005F10CD" w:rsidRDefault="005F10CD" w:rsidP="005F10CD">
      <w:pPr>
        <w:autoSpaceDE w:val="0"/>
        <w:autoSpaceDN w:val="0"/>
        <w:adjustRightInd w:val="0"/>
        <w:ind w:left="567" w:right="567"/>
        <w:rPr>
          <w:rFonts w:cs="Arial"/>
          <w:sz w:val="18"/>
          <w:szCs w:val="18"/>
        </w:rPr>
      </w:pPr>
    </w:p>
    <w:p w14:paraId="0EAC8A92" w14:textId="77777777" w:rsidR="005F10CD" w:rsidRDefault="00F547CF" w:rsidP="005F10CD">
      <w:pPr>
        <w:autoSpaceDE w:val="0"/>
        <w:autoSpaceDN w:val="0"/>
        <w:adjustRightInd w:val="0"/>
        <w:ind w:left="567" w:right="567"/>
        <w:rPr>
          <w:rFonts w:cs="Arial"/>
          <w:sz w:val="18"/>
          <w:szCs w:val="18"/>
        </w:rPr>
      </w:pPr>
      <w:hyperlink r:id="rId13" w:history="1">
        <w:r w:rsidR="005F10CD">
          <w:rPr>
            <w:rFonts w:cs="Arial"/>
            <w:color w:val="0000FF"/>
            <w:sz w:val="18"/>
            <w:szCs w:val="18"/>
            <w:u w:val="single"/>
          </w:rPr>
          <w:t>https://www.upov.int/about/de/faq.html#QB80</w:t>
        </w:r>
      </w:hyperlink>
    </w:p>
    <w:p w14:paraId="0C4CB6AB" w14:textId="77777777" w:rsidR="005F10CD" w:rsidRDefault="005F10CD" w:rsidP="005F10CD">
      <w:pPr>
        <w:autoSpaceDE w:val="0"/>
        <w:autoSpaceDN w:val="0"/>
        <w:adjustRightInd w:val="0"/>
        <w:rPr>
          <w:rFonts w:cs="Arial"/>
        </w:rPr>
      </w:pPr>
    </w:p>
    <w:p w14:paraId="7608775D" w14:textId="77777777" w:rsidR="005F10CD" w:rsidRDefault="005F10CD" w:rsidP="005F10CD">
      <w:pPr>
        <w:autoSpaceDE w:val="0"/>
        <w:autoSpaceDN w:val="0"/>
        <w:adjustRightInd w:val="0"/>
        <w:rPr>
          <w:rFonts w:cs="Arial"/>
        </w:rPr>
      </w:pPr>
    </w:p>
    <w:p w14:paraId="3DD8224C" w14:textId="77777777" w:rsidR="005F10CD" w:rsidRPr="00F547CF" w:rsidRDefault="005F10CD" w:rsidP="005C087A">
      <w:pPr>
        <w:keepNext/>
        <w:outlineLvl w:val="0"/>
        <w:rPr>
          <w:rFonts w:eastAsia="Times New Roman" w:cs="Times New Roman"/>
          <w:szCs w:val="20"/>
          <w:lang w:eastAsia="ja-JP"/>
        </w:rPr>
      </w:pPr>
      <w:bookmarkStart w:id="5" w:name="_Toc23755144"/>
      <w:r w:rsidRPr="00F547CF">
        <w:rPr>
          <w:rFonts w:eastAsia="Times New Roman" w:cs="Times New Roman"/>
          <w:szCs w:val="20"/>
          <w:lang w:eastAsia="ja-JP"/>
        </w:rPr>
        <w:t>SITZUNG ZUR ERLEICHTERUNG DER ZUSAMMENARBEIT IM ZUSAMMENHANG MIT DER VERWENDUNG MOLEKULARER VERFAHREN</w:t>
      </w:r>
      <w:bookmarkEnd w:id="5"/>
    </w:p>
    <w:p w14:paraId="27A88CA9" w14:textId="77777777" w:rsidR="005F10CD" w:rsidRPr="006C192E" w:rsidRDefault="005F10CD" w:rsidP="005F10CD">
      <w:pPr>
        <w:autoSpaceDE w:val="0"/>
        <w:autoSpaceDN w:val="0"/>
        <w:adjustRightInd w:val="0"/>
        <w:rPr>
          <w:rFonts w:cs="Arial"/>
        </w:rPr>
      </w:pPr>
    </w:p>
    <w:p w14:paraId="0828FB13" w14:textId="77777777" w:rsidR="005F10CD" w:rsidRPr="00F547CF" w:rsidRDefault="005F10CD" w:rsidP="005C087A">
      <w:pPr>
        <w:keepNext/>
        <w:outlineLvl w:val="1"/>
        <w:rPr>
          <w:rFonts w:eastAsia="Times New Roman" w:cs="Times New Roman"/>
          <w:snapToGrid w:val="0"/>
          <w:szCs w:val="20"/>
          <w:u w:val="single"/>
        </w:rPr>
      </w:pPr>
      <w:r w:rsidRPr="00F547CF">
        <w:rPr>
          <w:rFonts w:eastAsia="Times New Roman" w:cs="Times New Roman"/>
          <w:snapToGrid w:val="0"/>
          <w:szCs w:val="20"/>
          <w:u w:val="single"/>
        </w:rPr>
        <w:t xml:space="preserve">Entwicklungen auf der siebenunddreißigsten Tagung der Technischen Arbeitsgruppe für Automatisierung und Computerprogramme  </w:t>
      </w:r>
    </w:p>
    <w:p w14:paraId="2734CCEA" w14:textId="77777777" w:rsidR="005F10CD" w:rsidRPr="006C192E" w:rsidRDefault="005F10CD" w:rsidP="005F10CD">
      <w:pPr>
        <w:autoSpaceDE w:val="0"/>
        <w:autoSpaceDN w:val="0"/>
        <w:adjustRightInd w:val="0"/>
        <w:rPr>
          <w:rFonts w:cs="Arial"/>
        </w:rPr>
      </w:pPr>
    </w:p>
    <w:p w14:paraId="2FA5EBA6" w14:textId="55FF0BEB" w:rsidR="005F10CD" w:rsidRPr="006C192E" w:rsidRDefault="00541ED0" w:rsidP="005F10CD">
      <w:pPr>
        <w:autoSpaceDE w:val="0"/>
        <w:autoSpaceDN w:val="0"/>
        <w:adjustRightInd w:val="0"/>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sidR="005F10CD" w:rsidRPr="006C192E">
        <w:rPr>
          <w:rFonts w:cs="Arial"/>
          <w:color w:val="000000"/>
        </w:rPr>
        <w:t>Auf seiner</w:t>
      </w:r>
      <w:r w:rsidR="0059090F">
        <w:rPr>
          <w:rFonts w:cs="Arial"/>
          <w:color w:val="000000"/>
        </w:rPr>
        <w:t xml:space="preserve"> </w:t>
      </w:r>
      <w:r w:rsidR="005F10CD" w:rsidRPr="006C192E">
        <w:rPr>
          <w:rFonts w:cs="Arial"/>
        </w:rPr>
        <w:t>siebenunddreißigsten Tagung</w:t>
      </w:r>
      <w:r w:rsidR="0059090F">
        <w:rPr>
          <w:rFonts w:cs="Arial"/>
        </w:rPr>
        <w:t xml:space="preserve"> </w:t>
      </w:r>
      <w:r w:rsidR="005F10CD" w:rsidRPr="006C192E">
        <w:rPr>
          <w:rFonts w:cs="Arial"/>
          <w:color w:val="000000"/>
        </w:rPr>
        <w:t>prüfte der TWC das Dokument TWP/3/7 „Molekulare</w:t>
      </w:r>
      <w:r w:rsidR="00096B87">
        <w:rPr>
          <w:rFonts w:cs="Arial"/>
          <w:color w:val="000000"/>
        </w:rPr>
        <w:t> </w:t>
      </w:r>
      <w:r w:rsidR="005F10CD" w:rsidRPr="006C192E">
        <w:rPr>
          <w:rFonts w:cs="Arial"/>
          <w:color w:val="000000"/>
        </w:rPr>
        <w:t xml:space="preserve">Verfahren“ und bildete Diskussionsgruppen, damit die Teilnehmer sich über ihre Arbeit bezüglich biochemischer und molekularer Verfahren austauschen und Bereiche für eine Zusammenarbeit ausloten können. Die folgenden Informationen wurden von Teilnehmern des TWC übermittelt (vergleiche Dokument TWC/37/12 „Bericht“, Absätze 73 und 92). </w:t>
      </w:r>
    </w:p>
    <w:p w14:paraId="0B4E1374" w14:textId="77777777" w:rsidR="005F10CD" w:rsidRPr="006C192E" w:rsidRDefault="005F10CD" w:rsidP="005F10CD">
      <w:pPr>
        <w:autoSpaceDE w:val="0"/>
        <w:autoSpaceDN w:val="0"/>
        <w:adjustRightInd w:val="0"/>
        <w:rPr>
          <w:rFonts w:cs="Arial"/>
        </w:rPr>
      </w:pPr>
    </w:p>
    <w:p w14:paraId="4D4CFBF1" w14:textId="77777777" w:rsidR="005F10CD" w:rsidRPr="00F547CF" w:rsidRDefault="005F10CD" w:rsidP="005C087A">
      <w:pPr>
        <w:keepNext/>
        <w:ind w:left="567"/>
        <w:outlineLvl w:val="3"/>
        <w:rPr>
          <w:rFonts w:eastAsiaTheme="minorEastAsia" w:cs="Times New Roman"/>
          <w:i/>
          <w:szCs w:val="20"/>
        </w:rPr>
      </w:pPr>
      <w:r w:rsidRPr="00F547CF">
        <w:rPr>
          <w:rFonts w:eastAsiaTheme="minorEastAsia" w:cs="Times New Roman"/>
          <w:i/>
          <w:szCs w:val="20"/>
        </w:rPr>
        <w:lastRenderedPageBreak/>
        <w:t xml:space="preserve">Überblick über die Regierungen, die derzeit biochemische und molekulare Verfahren nutzen, und die betreffenden Pflanzen </w:t>
      </w:r>
    </w:p>
    <w:p w14:paraId="1D6A2C3D" w14:textId="77777777" w:rsidR="005F10CD" w:rsidRDefault="005F10CD" w:rsidP="005F10CD">
      <w:pPr>
        <w:keepNext/>
        <w:autoSpaceDE w:val="0"/>
        <w:autoSpaceDN w:val="0"/>
        <w:adjustRightInd w:val="0"/>
        <w:ind w:left="567"/>
        <w:rPr>
          <w:rFonts w:cs="Arial"/>
          <w:u w:val="single"/>
        </w:rPr>
      </w:pPr>
    </w:p>
    <w:tbl>
      <w:tblPr>
        <w:tblW w:w="0" w:type="auto"/>
        <w:tblInd w:w="670" w:type="dxa"/>
        <w:tblLayout w:type="fixed"/>
        <w:tblLook w:val="0000" w:firstRow="0" w:lastRow="0" w:firstColumn="0" w:lastColumn="0" w:noHBand="0" w:noVBand="0"/>
      </w:tblPr>
      <w:tblGrid>
        <w:gridCol w:w="2127"/>
        <w:gridCol w:w="6945"/>
      </w:tblGrid>
      <w:tr w:rsidR="005F10CD" w14:paraId="2CEA8B5F"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0D2FD1EA" w14:textId="77777777" w:rsidR="005F10CD" w:rsidRDefault="005F10CD">
            <w:pPr>
              <w:keepNext/>
              <w:autoSpaceDE w:val="0"/>
              <w:autoSpaceDN w:val="0"/>
              <w:adjustRightInd w:val="0"/>
              <w:spacing w:before="20" w:after="20"/>
              <w:rPr>
                <w:rFonts w:ascii="Calibri" w:hAnsi="Calibri" w:cs="Calibri"/>
              </w:rPr>
            </w:pPr>
            <w:r>
              <w:rPr>
                <w:rFonts w:cs="Arial"/>
                <w:sz w:val="18"/>
                <w:szCs w:val="18"/>
              </w:rPr>
              <w:t xml:space="preserve">Argentinien </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7E94C8DC" w14:textId="77777777" w:rsidR="005F10CD" w:rsidRDefault="005F10CD">
            <w:pPr>
              <w:keepNext/>
              <w:autoSpaceDE w:val="0"/>
              <w:autoSpaceDN w:val="0"/>
              <w:adjustRightInd w:val="0"/>
              <w:spacing w:before="20" w:after="20"/>
              <w:rPr>
                <w:rFonts w:ascii="Calibri" w:hAnsi="Calibri" w:cs="Calibri"/>
              </w:rPr>
            </w:pPr>
            <w:r>
              <w:rPr>
                <w:rFonts w:cs="Arial"/>
                <w:sz w:val="18"/>
                <w:szCs w:val="18"/>
              </w:rPr>
              <w:t>Sojabohne</w:t>
            </w:r>
          </w:p>
        </w:tc>
      </w:tr>
      <w:tr w:rsidR="005F10CD" w14:paraId="493567D7"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3CF18145" w14:textId="77777777" w:rsidR="005F10CD" w:rsidRDefault="005F10CD">
            <w:pPr>
              <w:keepNext/>
              <w:autoSpaceDE w:val="0"/>
              <w:autoSpaceDN w:val="0"/>
              <w:adjustRightInd w:val="0"/>
              <w:spacing w:before="20" w:after="20"/>
              <w:rPr>
                <w:rFonts w:ascii="Calibri" w:hAnsi="Calibri" w:cs="Calibri"/>
              </w:rPr>
            </w:pPr>
            <w:r>
              <w:rPr>
                <w:rFonts w:cs="Arial"/>
                <w:sz w:val="18"/>
                <w:szCs w:val="18"/>
              </w:rPr>
              <w:t>Brasilien</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17F91207" w14:textId="77777777" w:rsidR="005F10CD" w:rsidRDefault="005F10CD">
            <w:pPr>
              <w:keepNext/>
              <w:autoSpaceDE w:val="0"/>
              <w:autoSpaceDN w:val="0"/>
              <w:adjustRightInd w:val="0"/>
              <w:spacing w:before="20" w:after="20"/>
              <w:rPr>
                <w:rFonts w:ascii="Calibri" w:hAnsi="Calibri" w:cs="Calibri"/>
              </w:rPr>
            </w:pPr>
            <w:r>
              <w:rPr>
                <w:rFonts w:cs="Arial"/>
                <w:i/>
                <w:iCs/>
                <w:sz w:val="18"/>
                <w:szCs w:val="18"/>
              </w:rPr>
              <w:t>Eukalyptus</w:t>
            </w:r>
            <w:r>
              <w:rPr>
                <w:rFonts w:cs="Arial"/>
                <w:sz w:val="18"/>
                <w:szCs w:val="18"/>
              </w:rPr>
              <w:t xml:space="preserve">, Sojabohne </w:t>
            </w:r>
          </w:p>
        </w:tc>
      </w:tr>
      <w:tr w:rsidR="005F10CD" w14:paraId="44CF4666"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20DD8005" w14:textId="77777777" w:rsidR="005F10CD" w:rsidRDefault="005F10CD">
            <w:pPr>
              <w:keepNext/>
              <w:autoSpaceDE w:val="0"/>
              <w:autoSpaceDN w:val="0"/>
              <w:adjustRightInd w:val="0"/>
              <w:spacing w:before="20" w:after="20"/>
              <w:rPr>
                <w:rFonts w:ascii="Calibri" w:hAnsi="Calibri" w:cs="Calibri"/>
              </w:rPr>
            </w:pPr>
            <w:r>
              <w:rPr>
                <w:rFonts w:cs="Arial"/>
                <w:sz w:val="18"/>
                <w:szCs w:val="18"/>
              </w:rPr>
              <w:t>China</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6C84FC48" w14:textId="77777777" w:rsidR="005F10CD" w:rsidRDefault="005F10CD">
            <w:pPr>
              <w:keepNext/>
              <w:autoSpaceDE w:val="0"/>
              <w:autoSpaceDN w:val="0"/>
              <w:adjustRightInd w:val="0"/>
              <w:spacing w:before="20" w:after="20"/>
              <w:rPr>
                <w:rFonts w:ascii="Calibri" w:hAnsi="Calibri" w:cs="Calibri"/>
              </w:rPr>
            </w:pPr>
            <w:r>
              <w:rPr>
                <w:rFonts w:cs="Arial"/>
                <w:sz w:val="18"/>
                <w:szCs w:val="18"/>
              </w:rPr>
              <w:t>Broccoli, Blumenkohl, Chinakohl, Aubergine, Salat, Mais, Paprika, Reis, Rose, Mohrenhirse, Erdbeere, Walnuß, Weizen, Obstbäume, Ziersorten, Sojabohne, Baumwolle und 29 weitere Pflanzen</w:t>
            </w:r>
          </w:p>
        </w:tc>
      </w:tr>
      <w:tr w:rsidR="005F10CD" w14:paraId="4593E3FD"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5ECC94CA" w14:textId="77777777" w:rsidR="005F10CD" w:rsidRDefault="005F10CD">
            <w:pPr>
              <w:keepNext/>
              <w:autoSpaceDE w:val="0"/>
              <w:autoSpaceDN w:val="0"/>
              <w:adjustRightInd w:val="0"/>
              <w:spacing w:before="20" w:after="20"/>
              <w:rPr>
                <w:rFonts w:ascii="Calibri" w:hAnsi="Calibri" w:cs="Calibri"/>
              </w:rPr>
            </w:pPr>
            <w:r>
              <w:rPr>
                <w:rFonts w:cs="Arial"/>
                <w:sz w:val="18"/>
                <w:szCs w:val="18"/>
              </w:rPr>
              <w:t xml:space="preserve">Dänemark </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6974EC23" w14:textId="77777777" w:rsidR="005F10CD" w:rsidRDefault="005F10CD">
            <w:pPr>
              <w:keepNext/>
              <w:autoSpaceDE w:val="0"/>
              <w:autoSpaceDN w:val="0"/>
              <w:adjustRightInd w:val="0"/>
              <w:spacing w:before="20" w:after="20"/>
              <w:rPr>
                <w:rFonts w:ascii="Calibri" w:hAnsi="Calibri" w:cs="Calibri"/>
              </w:rPr>
            </w:pPr>
            <w:r>
              <w:rPr>
                <w:rFonts w:cs="Arial"/>
                <w:sz w:val="18"/>
                <w:szCs w:val="18"/>
              </w:rPr>
              <w:t>Gerste, Hafer, Roggen, Weizen, Futtergräser</w:t>
            </w:r>
          </w:p>
        </w:tc>
      </w:tr>
      <w:tr w:rsidR="005F10CD" w14:paraId="3091DC25"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559E429E" w14:textId="77777777" w:rsidR="005F10CD" w:rsidRDefault="005F10CD">
            <w:pPr>
              <w:keepNext/>
              <w:autoSpaceDE w:val="0"/>
              <w:autoSpaceDN w:val="0"/>
              <w:adjustRightInd w:val="0"/>
              <w:spacing w:before="20" w:after="20"/>
              <w:rPr>
                <w:rFonts w:ascii="Calibri" w:hAnsi="Calibri" w:cs="Calibri"/>
              </w:rPr>
            </w:pPr>
            <w:r>
              <w:rPr>
                <w:rFonts w:cs="Arial"/>
                <w:sz w:val="18"/>
                <w:szCs w:val="18"/>
              </w:rPr>
              <w:t>Europäische Union</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336E7BD8" w14:textId="77777777" w:rsidR="005F10CD" w:rsidRDefault="005F10CD">
            <w:pPr>
              <w:keepNext/>
              <w:autoSpaceDE w:val="0"/>
              <w:autoSpaceDN w:val="0"/>
              <w:adjustRightInd w:val="0"/>
              <w:spacing w:before="20" w:after="20"/>
              <w:rPr>
                <w:rFonts w:ascii="Calibri" w:hAnsi="Calibri" w:cs="Calibri"/>
              </w:rPr>
            </w:pPr>
            <w:r>
              <w:rPr>
                <w:rFonts w:cs="Arial"/>
                <w:sz w:val="18"/>
                <w:szCs w:val="18"/>
              </w:rPr>
              <w:t>Salat, Mais, Kartoffel, Weizen, Gemüse, Gerste, Sonnenblume</w:t>
            </w:r>
          </w:p>
        </w:tc>
      </w:tr>
      <w:tr w:rsidR="005F10CD" w14:paraId="346EC9EF"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66B746A3" w14:textId="77777777" w:rsidR="005F10CD" w:rsidRDefault="005F10CD">
            <w:pPr>
              <w:keepNext/>
              <w:autoSpaceDE w:val="0"/>
              <w:autoSpaceDN w:val="0"/>
              <w:adjustRightInd w:val="0"/>
              <w:spacing w:before="20" w:after="20"/>
              <w:rPr>
                <w:rFonts w:ascii="Calibri" w:hAnsi="Calibri" w:cs="Calibri"/>
              </w:rPr>
            </w:pPr>
            <w:r>
              <w:rPr>
                <w:rFonts w:cs="Arial"/>
                <w:sz w:val="18"/>
                <w:szCs w:val="18"/>
              </w:rPr>
              <w:t>Frankreich</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201DDB32" w14:textId="77777777" w:rsidR="005F10CD" w:rsidRDefault="005F10CD">
            <w:pPr>
              <w:keepNext/>
              <w:autoSpaceDE w:val="0"/>
              <w:autoSpaceDN w:val="0"/>
              <w:adjustRightInd w:val="0"/>
              <w:spacing w:before="20" w:after="20"/>
              <w:rPr>
                <w:rFonts w:ascii="Calibri" w:hAnsi="Calibri" w:cs="Calibri"/>
              </w:rPr>
            </w:pPr>
            <w:r>
              <w:rPr>
                <w:rFonts w:cs="Arial"/>
                <w:sz w:val="18"/>
                <w:szCs w:val="18"/>
              </w:rPr>
              <w:t>Mais, Raps</w:t>
            </w:r>
          </w:p>
        </w:tc>
      </w:tr>
      <w:tr w:rsidR="005F10CD" w14:paraId="72F9F7F2"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19459537" w14:textId="77777777" w:rsidR="005F10CD" w:rsidRDefault="005F10CD">
            <w:pPr>
              <w:keepNext/>
              <w:autoSpaceDE w:val="0"/>
              <w:autoSpaceDN w:val="0"/>
              <w:adjustRightInd w:val="0"/>
              <w:spacing w:before="20" w:after="20"/>
              <w:rPr>
                <w:rFonts w:ascii="Calibri" w:hAnsi="Calibri" w:cs="Calibri"/>
              </w:rPr>
            </w:pPr>
            <w:r>
              <w:rPr>
                <w:rFonts w:cs="Arial"/>
                <w:sz w:val="18"/>
                <w:szCs w:val="18"/>
              </w:rPr>
              <w:t>Italien</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1D7A2C16" w14:textId="77777777" w:rsidR="005F10CD" w:rsidRDefault="005F10CD">
            <w:pPr>
              <w:keepNext/>
              <w:autoSpaceDE w:val="0"/>
              <w:autoSpaceDN w:val="0"/>
              <w:adjustRightInd w:val="0"/>
              <w:spacing w:before="20" w:after="20"/>
              <w:rPr>
                <w:rFonts w:ascii="Calibri" w:hAnsi="Calibri" w:cs="Calibri"/>
              </w:rPr>
            </w:pPr>
            <w:r>
              <w:rPr>
                <w:rFonts w:cs="Arial"/>
                <w:sz w:val="18"/>
                <w:szCs w:val="18"/>
              </w:rPr>
              <w:t>Sojabohne, Reis</w:t>
            </w:r>
          </w:p>
        </w:tc>
      </w:tr>
      <w:tr w:rsidR="005F10CD" w14:paraId="2A6D0B5C"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7AA9E257" w14:textId="77777777" w:rsidR="005F10CD" w:rsidRDefault="005F10CD">
            <w:pPr>
              <w:autoSpaceDE w:val="0"/>
              <w:autoSpaceDN w:val="0"/>
              <w:adjustRightInd w:val="0"/>
              <w:spacing w:before="20" w:after="20"/>
              <w:rPr>
                <w:rFonts w:ascii="Calibri" w:hAnsi="Calibri" w:cs="Calibri"/>
              </w:rPr>
            </w:pPr>
            <w:r>
              <w:rPr>
                <w:rFonts w:cs="Arial"/>
                <w:sz w:val="18"/>
                <w:szCs w:val="18"/>
              </w:rPr>
              <w:t>Japan</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625D254E"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 xml:space="preserve">Reis, grüner Tee, Erdbeere, Nashi-Birne, Gartenbohne, Süßkirsche, Apfel, Salat </w:t>
            </w:r>
          </w:p>
        </w:tc>
      </w:tr>
      <w:tr w:rsidR="005F10CD" w14:paraId="3903F747"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3459A316" w14:textId="77777777" w:rsidR="005F10CD" w:rsidRDefault="005F10CD">
            <w:pPr>
              <w:autoSpaceDE w:val="0"/>
              <w:autoSpaceDN w:val="0"/>
              <w:adjustRightInd w:val="0"/>
              <w:spacing w:before="20" w:after="20"/>
              <w:rPr>
                <w:rFonts w:ascii="Calibri" w:hAnsi="Calibri" w:cs="Calibri"/>
              </w:rPr>
            </w:pPr>
            <w:r>
              <w:rPr>
                <w:rFonts w:cs="Arial"/>
                <w:sz w:val="18"/>
                <w:szCs w:val="18"/>
              </w:rPr>
              <w:t>Niederlande</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6DD25496"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 xml:space="preserve">Gartenbohne, </w:t>
            </w:r>
            <w:r>
              <w:rPr>
                <w:rFonts w:cs="Arial"/>
                <w:i/>
                <w:iCs/>
                <w:sz w:val="18"/>
                <w:szCs w:val="18"/>
              </w:rPr>
              <w:t>Phalaenopsis</w:t>
            </w:r>
            <w:r>
              <w:rPr>
                <w:rFonts w:cs="Arial"/>
                <w:sz w:val="18"/>
                <w:szCs w:val="18"/>
              </w:rPr>
              <w:t>, Kartoffel, Rose, Tomate</w:t>
            </w:r>
            <w:r>
              <w:rPr>
                <w:rFonts w:cs="Arial"/>
                <w:sz w:val="18"/>
                <w:szCs w:val="18"/>
                <w:highlight w:val="yellow"/>
              </w:rPr>
              <w:t xml:space="preserve"> </w:t>
            </w:r>
          </w:p>
        </w:tc>
      </w:tr>
      <w:tr w:rsidR="005F10CD" w14:paraId="106F4102"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68323123" w14:textId="77777777" w:rsidR="005F10CD" w:rsidRDefault="005F10CD">
            <w:pPr>
              <w:autoSpaceDE w:val="0"/>
              <w:autoSpaceDN w:val="0"/>
              <w:adjustRightInd w:val="0"/>
              <w:spacing w:before="20" w:after="20"/>
              <w:rPr>
                <w:rFonts w:ascii="Calibri" w:hAnsi="Calibri" w:cs="Calibri"/>
              </w:rPr>
            </w:pPr>
            <w:r>
              <w:rPr>
                <w:rFonts w:cs="Arial"/>
                <w:sz w:val="18"/>
                <w:szCs w:val="18"/>
              </w:rPr>
              <w:t>Republik Korea</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6893FD74"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Chinakohl, Gurke, Salat, Melone, Paprika, Gartenkürbis, Rübe, Reis, Tomate</w:t>
            </w:r>
          </w:p>
        </w:tc>
      </w:tr>
      <w:tr w:rsidR="005F10CD" w14:paraId="0D9B3857"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171D927E" w14:textId="77777777" w:rsidR="005F10CD" w:rsidRDefault="005F10CD">
            <w:pPr>
              <w:keepNext/>
              <w:autoSpaceDE w:val="0"/>
              <w:autoSpaceDN w:val="0"/>
              <w:adjustRightInd w:val="0"/>
              <w:spacing w:before="20" w:after="20"/>
              <w:rPr>
                <w:rFonts w:ascii="Calibri" w:hAnsi="Calibri" w:cs="Calibri"/>
              </w:rPr>
            </w:pPr>
            <w:r>
              <w:rPr>
                <w:rFonts w:cs="Arial"/>
                <w:sz w:val="18"/>
                <w:szCs w:val="18"/>
              </w:rPr>
              <w:t>Russische Föderation</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6489980E"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Mais, Kartoffel, Sojabohne, Sonnenblume, Weizen</w:t>
            </w:r>
          </w:p>
        </w:tc>
      </w:tr>
      <w:tr w:rsidR="005F10CD" w14:paraId="1F714E87"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16CD209F" w14:textId="77777777" w:rsidR="005F10CD" w:rsidRDefault="005F10CD">
            <w:pPr>
              <w:autoSpaceDE w:val="0"/>
              <w:autoSpaceDN w:val="0"/>
              <w:adjustRightInd w:val="0"/>
              <w:spacing w:before="20" w:after="20"/>
              <w:rPr>
                <w:rFonts w:ascii="Calibri" w:hAnsi="Calibri" w:cs="Calibri"/>
              </w:rPr>
            </w:pPr>
            <w:r>
              <w:rPr>
                <w:rFonts w:cs="Arial"/>
                <w:sz w:val="18"/>
                <w:szCs w:val="18"/>
              </w:rPr>
              <w:t>Vereinigtes Königreich</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56694462"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Gerste, Kartoffel, Raps</w:t>
            </w:r>
          </w:p>
        </w:tc>
      </w:tr>
    </w:tbl>
    <w:p w14:paraId="58DE4C3C" w14:textId="77777777" w:rsidR="005F10CD" w:rsidRDefault="005F10CD" w:rsidP="005F10CD">
      <w:pPr>
        <w:autoSpaceDE w:val="0"/>
        <w:autoSpaceDN w:val="0"/>
        <w:adjustRightInd w:val="0"/>
        <w:rPr>
          <w:rFonts w:cs="Arial"/>
        </w:rPr>
      </w:pPr>
    </w:p>
    <w:p w14:paraId="631F86AA" w14:textId="77777777" w:rsidR="005F10CD" w:rsidRPr="006C192E" w:rsidRDefault="005F10CD" w:rsidP="005F10CD">
      <w:pPr>
        <w:keepNext/>
        <w:autoSpaceDE w:val="0"/>
        <w:autoSpaceDN w:val="0"/>
        <w:adjustRightInd w:val="0"/>
        <w:ind w:left="567"/>
        <w:rPr>
          <w:rFonts w:cs="Arial"/>
          <w:i/>
          <w:iCs/>
        </w:rPr>
      </w:pPr>
      <w:r w:rsidRPr="006C192E">
        <w:rPr>
          <w:rFonts w:cs="Arial"/>
          <w:i/>
          <w:iCs/>
        </w:rPr>
        <w:t>Überblick über die derzeitige Verwendung chemischer und molekularer Verfahren</w:t>
      </w:r>
    </w:p>
    <w:p w14:paraId="4B7E250A" w14:textId="77777777" w:rsidR="005F10CD" w:rsidRDefault="005F10CD" w:rsidP="005F10CD">
      <w:pPr>
        <w:keepNext/>
        <w:autoSpaceDE w:val="0"/>
        <w:autoSpaceDN w:val="0"/>
        <w:adjustRightInd w:val="0"/>
        <w:rPr>
          <w:rFonts w:cs="Arial"/>
        </w:rPr>
      </w:pPr>
    </w:p>
    <w:tbl>
      <w:tblPr>
        <w:tblW w:w="0" w:type="auto"/>
        <w:tblInd w:w="670" w:type="dxa"/>
        <w:tblLayout w:type="fixed"/>
        <w:tblLook w:val="0000" w:firstRow="0" w:lastRow="0" w:firstColumn="0" w:lastColumn="0" w:noHBand="0" w:noVBand="0"/>
      </w:tblPr>
      <w:tblGrid>
        <w:gridCol w:w="9072"/>
      </w:tblGrid>
      <w:tr w:rsidR="005F10CD" w14:paraId="1132694A"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415FBF15"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u w:val="single"/>
              </w:rPr>
              <w:t>Verwendung</w:t>
            </w:r>
            <w:r>
              <w:rPr>
                <w:rFonts w:cs="Arial"/>
                <w:sz w:val="18"/>
                <w:szCs w:val="18"/>
              </w:rPr>
              <w:t>:</w:t>
            </w:r>
          </w:p>
        </w:tc>
      </w:tr>
      <w:tr w:rsidR="005F10CD" w14:paraId="0BA61925"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55FDFB7F"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Verwaltung von Sortensammlungen und Auswahl ähnlicher Sorten</w:t>
            </w:r>
          </w:p>
        </w:tc>
      </w:tr>
      <w:tr w:rsidR="005F10CD" w14:paraId="16418940"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E1F6A64"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Validierung männlicher Sterilität und Krankheitsresistenz</w:t>
            </w:r>
          </w:p>
        </w:tc>
      </w:tr>
      <w:tr w:rsidR="005F10CD" w14:paraId="527E33C3"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6B3B06BB"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Validierung von DUS- und VCU-Proben</w:t>
            </w:r>
            <w:r>
              <w:rPr>
                <w:rFonts w:cs="Arial"/>
                <w:sz w:val="18"/>
                <w:szCs w:val="18"/>
                <w:highlight w:val="yellow"/>
              </w:rPr>
              <w:t xml:space="preserve"> </w:t>
            </w:r>
          </w:p>
        </w:tc>
      </w:tr>
      <w:tr w:rsidR="005F10CD" w14:paraId="352C01A5"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4E94952F"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Sortenidentifikation</w:t>
            </w:r>
          </w:p>
        </w:tc>
      </w:tr>
      <w:tr w:rsidR="005F10CD" w14:paraId="03AB5FD6"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447DB0C"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Forschungszwecke</w:t>
            </w:r>
            <w:r>
              <w:rPr>
                <w:rFonts w:cs="Arial"/>
                <w:sz w:val="18"/>
                <w:szCs w:val="18"/>
                <w:highlight w:val="yellow"/>
              </w:rPr>
              <w:t xml:space="preserve"> </w:t>
            </w:r>
          </w:p>
        </w:tc>
      </w:tr>
      <w:tr w:rsidR="005F10CD" w14:paraId="681654B4"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60884D9C"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Züchtung</w:t>
            </w:r>
          </w:p>
        </w:tc>
      </w:tr>
      <w:tr w:rsidR="005F10CD" w14:paraId="44E0F34B"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3BBC60F9" w14:textId="77777777" w:rsidR="005F10CD" w:rsidRDefault="005F10CD">
            <w:pPr>
              <w:keepNext/>
              <w:autoSpaceDE w:val="0"/>
              <w:autoSpaceDN w:val="0"/>
              <w:adjustRightInd w:val="0"/>
              <w:spacing w:before="20" w:after="20"/>
              <w:ind w:left="38"/>
              <w:rPr>
                <w:rFonts w:ascii="Calibri" w:hAnsi="Calibri" w:cs="Calibri"/>
              </w:rPr>
            </w:pPr>
          </w:p>
        </w:tc>
      </w:tr>
      <w:tr w:rsidR="005F10CD" w14:paraId="7B62C21C"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04E25EFD"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u w:val="single"/>
              </w:rPr>
              <w:t>Verfahren</w:t>
            </w:r>
            <w:r>
              <w:rPr>
                <w:rFonts w:cs="Arial"/>
                <w:sz w:val="18"/>
                <w:szCs w:val="18"/>
              </w:rPr>
              <w:t>:</w:t>
            </w:r>
          </w:p>
        </w:tc>
      </w:tr>
      <w:tr w:rsidR="005F10CD" w14:paraId="03D0048B"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16BDA0D7"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AFLP (NL)</w:t>
            </w:r>
          </w:p>
        </w:tc>
      </w:tr>
      <w:tr w:rsidR="005F10CD" w14:paraId="7C0AC423"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5E4AF0F5"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 xml:space="preserve">CAPS (JP) </w:t>
            </w:r>
          </w:p>
        </w:tc>
      </w:tr>
      <w:tr w:rsidR="005F10CD" w14:paraId="37E7A1CF"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44136A73"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MNP (CN)</w:t>
            </w:r>
          </w:p>
        </w:tc>
      </w:tr>
      <w:tr w:rsidR="005F10CD" w14:paraId="7FE47F0E"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4C37487B"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OSR-SSR (FR)</w:t>
            </w:r>
          </w:p>
        </w:tc>
      </w:tr>
      <w:tr w:rsidR="005F10CD" w14:paraId="0A9A12E1"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BEB3D42"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PRG-SNP (NL)</w:t>
            </w:r>
          </w:p>
        </w:tc>
      </w:tr>
      <w:tr w:rsidR="005F10CD" w14:paraId="5CC02B8D"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53D2E5A1"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RAPID – STS (JP)</w:t>
            </w:r>
          </w:p>
        </w:tc>
      </w:tr>
      <w:tr w:rsidR="005F10CD" w14:paraId="4B32D380"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5353A6CC"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SSR (BR, CN, DK, GB, IT, JP, KR, NL, QZ)</w:t>
            </w:r>
          </w:p>
        </w:tc>
      </w:tr>
      <w:tr w:rsidR="005F10CD" w14:paraId="33090062"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7E8A4D9"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SNPs (AR, CN, FR, DK, GB, NL, QZ)</w:t>
            </w:r>
          </w:p>
        </w:tc>
      </w:tr>
    </w:tbl>
    <w:p w14:paraId="7B608AA3" w14:textId="77777777" w:rsidR="005F10CD" w:rsidRDefault="005F10CD" w:rsidP="005F10CD">
      <w:pPr>
        <w:autoSpaceDE w:val="0"/>
        <w:autoSpaceDN w:val="0"/>
        <w:adjustRightInd w:val="0"/>
        <w:rPr>
          <w:rFonts w:cs="Arial"/>
        </w:rPr>
      </w:pPr>
    </w:p>
    <w:p w14:paraId="41B383A7" w14:textId="77777777" w:rsidR="005F10CD" w:rsidRPr="006C192E" w:rsidRDefault="005F10CD" w:rsidP="005F10CD">
      <w:pPr>
        <w:keepNext/>
        <w:autoSpaceDE w:val="0"/>
        <w:autoSpaceDN w:val="0"/>
        <w:adjustRightInd w:val="0"/>
        <w:ind w:left="567"/>
        <w:rPr>
          <w:rFonts w:cs="Arial"/>
          <w:i/>
          <w:iCs/>
        </w:rPr>
      </w:pPr>
      <w:r w:rsidRPr="006C192E">
        <w:rPr>
          <w:rFonts w:cs="Arial"/>
          <w:i/>
          <w:iCs/>
        </w:rPr>
        <w:t>Überblick über Datenbanken, die Informationen zu molekularen Markern enthalten (nach Pflanzen)</w:t>
      </w:r>
    </w:p>
    <w:p w14:paraId="1ECE8200" w14:textId="77777777" w:rsidR="005F10CD" w:rsidRDefault="005F10CD" w:rsidP="005F10CD">
      <w:pPr>
        <w:keepNext/>
        <w:autoSpaceDE w:val="0"/>
        <w:autoSpaceDN w:val="0"/>
        <w:adjustRightInd w:val="0"/>
        <w:ind w:left="567"/>
        <w:rPr>
          <w:rFonts w:cs="Arial"/>
          <w:u w:val="single"/>
        </w:rPr>
      </w:pPr>
    </w:p>
    <w:tbl>
      <w:tblPr>
        <w:tblW w:w="0" w:type="auto"/>
        <w:tblInd w:w="670" w:type="dxa"/>
        <w:tblLayout w:type="fixed"/>
        <w:tblLook w:val="0000" w:firstRow="0" w:lastRow="0" w:firstColumn="0" w:lastColumn="0" w:noHBand="0" w:noVBand="0"/>
      </w:tblPr>
      <w:tblGrid>
        <w:gridCol w:w="2127"/>
        <w:gridCol w:w="6945"/>
      </w:tblGrid>
      <w:tr w:rsidR="005F10CD" w14:paraId="2374FD9A"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735DF5CA" w14:textId="77777777" w:rsidR="005F10CD" w:rsidRDefault="005F10CD">
            <w:pPr>
              <w:keepNext/>
              <w:autoSpaceDE w:val="0"/>
              <w:autoSpaceDN w:val="0"/>
              <w:adjustRightInd w:val="0"/>
              <w:spacing w:before="20" w:after="20"/>
              <w:rPr>
                <w:rFonts w:ascii="Calibri" w:hAnsi="Calibri" w:cs="Calibri"/>
              </w:rPr>
            </w:pPr>
            <w:r>
              <w:rPr>
                <w:rFonts w:cs="Arial"/>
                <w:sz w:val="18"/>
                <w:szCs w:val="18"/>
              </w:rPr>
              <w:t xml:space="preserve">Argentinien </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76AB44A2" w14:textId="77777777" w:rsidR="005F10CD" w:rsidRDefault="005F10CD">
            <w:pPr>
              <w:keepNext/>
              <w:autoSpaceDE w:val="0"/>
              <w:autoSpaceDN w:val="0"/>
              <w:adjustRightInd w:val="0"/>
              <w:spacing w:before="20" w:after="20"/>
              <w:rPr>
                <w:rFonts w:ascii="Calibri" w:hAnsi="Calibri" w:cs="Calibri"/>
              </w:rPr>
            </w:pPr>
            <w:r>
              <w:rPr>
                <w:rFonts w:cs="Arial"/>
                <w:sz w:val="18"/>
                <w:szCs w:val="18"/>
              </w:rPr>
              <w:t>Sojabohne (im Aufbau)</w:t>
            </w:r>
          </w:p>
        </w:tc>
      </w:tr>
      <w:tr w:rsidR="005F10CD" w14:paraId="5E8C23A8"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5A31D56F" w14:textId="77777777" w:rsidR="005F10CD" w:rsidRDefault="005F10CD">
            <w:pPr>
              <w:keepNext/>
              <w:autoSpaceDE w:val="0"/>
              <w:autoSpaceDN w:val="0"/>
              <w:adjustRightInd w:val="0"/>
              <w:spacing w:before="20" w:after="20"/>
              <w:rPr>
                <w:rFonts w:ascii="Calibri" w:hAnsi="Calibri" w:cs="Calibri"/>
              </w:rPr>
            </w:pPr>
            <w:r>
              <w:rPr>
                <w:rFonts w:cs="Arial"/>
                <w:sz w:val="18"/>
                <w:szCs w:val="18"/>
              </w:rPr>
              <w:t>China</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44D5F105" w14:textId="77777777" w:rsidR="005F10CD" w:rsidRDefault="005F10CD">
            <w:pPr>
              <w:keepNext/>
              <w:autoSpaceDE w:val="0"/>
              <w:autoSpaceDN w:val="0"/>
              <w:adjustRightInd w:val="0"/>
              <w:spacing w:before="20" w:after="20"/>
              <w:rPr>
                <w:rFonts w:ascii="Calibri" w:hAnsi="Calibri" w:cs="Calibri"/>
              </w:rPr>
            </w:pPr>
            <w:r>
              <w:rPr>
                <w:rFonts w:cs="Arial"/>
                <w:sz w:val="18"/>
                <w:szCs w:val="18"/>
              </w:rPr>
              <w:t>Apfel, Baumwolle, Mais (zu Forschungszwecken), Paprika, Reis, Rose, Mohrenhirse, Sojabohne, Walnüsse, Weizen, Obs</w:t>
            </w:r>
            <w:r w:rsidR="0059090F">
              <w:rPr>
                <w:rFonts w:cs="Arial"/>
                <w:sz w:val="18"/>
                <w:szCs w:val="18"/>
              </w:rPr>
              <w:t>t</w:t>
            </w:r>
            <w:r>
              <w:rPr>
                <w:rFonts w:cs="Arial"/>
                <w:sz w:val="18"/>
                <w:szCs w:val="18"/>
              </w:rPr>
              <w:t>bäume</w:t>
            </w:r>
          </w:p>
        </w:tc>
      </w:tr>
      <w:tr w:rsidR="005F10CD" w14:paraId="65A8B4C5"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4140D1E0" w14:textId="77777777" w:rsidR="005F10CD" w:rsidRDefault="005F10CD">
            <w:pPr>
              <w:autoSpaceDE w:val="0"/>
              <w:autoSpaceDN w:val="0"/>
              <w:adjustRightInd w:val="0"/>
              <w:rPr>
                <w:rFonts w:ascii="Calibri" w:hAnsi="Calibri" w:cs="Calibri"/>
              </w:rPr>
            </w:pPr>
            <w:r>
              <w:rPr>
                <w:rFonts w:cs="Arial"/>
                <w:sz w:val="18"/>
                <w:szCs w:val="18"/>
              </w:rPr>
              <w:t xml:space="preserve">Dänemark </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6EC06327" w14:textId="77777777" w:rsidR="005F10CD" w:rsidRDefault="005F10CD">
            <w:pPr>
              <w:autoSpaceDE w:val="0"/>
              <w:autoSpaceDN w:val="0"/>
              <w:adjustRightInd w:val="0"/>
              <w:rPr>
                <w:rFonts w:ascii="Calibri" w:hAnsi="Calibri" w:cs="Calibri"/>
              </w:rPr>
            </w:pPr>
            <w:r>
              <w:rPr>
                <w:rFonts w:cs="Arial"/>
                <w:sz w:val="18"/>
                <w:szCs w:val="18"/>
              </w:rPr>
              <w:t>Gerste, Weizen, Futtergräser</w:t>
            </w:r>
          </w:p>
        </w:tc>
      </w:tr>
      <w:tr w:rsidR="005F10CD" w14:paraId="00F5487A"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142BCF19" w14:textId="77777777" w:rsidR="005F10CD" w:rsidRDefault="005F10CD">
            <w:pPr>
              <w:autoSpaceDE w:val="0"/>
              <w:autoSpaceDN w:val="0"/>
              <w:adjustRightInd w:val="0"/>
              <w:rPr>
                <w:rFonts w:ascii="Calibri" w:hAnsi="Calibri" w:cs="Calibri"/>
              </w:rPr>
            </w:pPr>
            <w:r>
              <w:rPr>
                <w:rFonts w:cs="Arial"/>
                <w:sz w:val="18"/>
                <w:szCs w:val="18"/>
              </w:rPr>
              <w:t>Europäische Union</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6FB4AA47" w14:textId="77777777" w:rsidR="005F10CD" w:rsidRDefault="005F10CD">
            <w:pPr>
              <w:autoSpaceDE w:val="0"/>
              <w:autoSpaceDN w:val="0"/>
              <w:adjustRightInd w:val="0"/>
              <w:rPr>
                <w:rFonts w:ascii="Calibri" w:hAnsi="Calibri" w:cs="Calibri"/>
              </w:rPr>
            </w:pPr>
            <w:r>
              <w:rPr>
                <w:rFonts w:cs="Arial"/>
                <w:sz w:val="18"/>
                <w:szCs w:val="18"/>
              </w:rPr>
              <w:t>Kartoffel</w:t>
            </w:r>
          </w:p>
        </w:tc>
      </w:tr>
      <w:tr w:rsidR="005F10CD" w14:paraId="72A7770B"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5CEA2C56" w14:textId="77777777" w:rsidR="005F10CD" w:rsidRDefault="005F10CD">
            <w:pPr>
              <w:autoSpaceDE w:val="0"/>
              <w:autoSpaceDN w:val="0"/>
              <w:adjustRightInd w:val="0"/>
              <w:spacing w:before="20" w:after="20"/>
              <w:rPr>
                <w:rFonts w:ascii="Calibri" w:hAnsi="Calibri" w:cs="Calibri"/>
              </w:rPr>
            </w:pPr>
            <w:r>
              <w:rPr>
                <w:rFonts w:cs="Arial"/>
                <w:sz w:val="18"/>
                <w:szCs w:val="18"/>
              </w:rPr>
              <w:t>Frankreich</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1EB3CC0B" w14:textId="77777777" w:rsidR="005F10CD" w:rsidRDefault="005F10CD">
            <w:pPr>
              <w:autoSpaceDE w:val="0"/>
              <w:autoSpaceDN w:val="0"/>
              <w:adjustRightInd w:val="0"/>
              <w:rPr>
                <w:rFonts w:ascii="Calibri" w:hAnsi="Calibri" w:cs="Calibri"/>
              </w:rPr>
            </w:pPr>
            <w:r>
              <w:rPr>
                <w:rFonts w:cs="Arial"/>
                <w:sz w:val="18"/>
                <w:szCs w:val="18"/>
              </w:rPr>
              <w:t>Mais</w:t>
            </w:r>
          </w:p>
        </w:tc>
      </w:tr>
      <w:tr w:rsidR="005F10CD" w14:paraId="2B398318"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1D8ED1EA" w14:textId="77777777" w:rsidR="005F10CD" w:rsidRDefault="005F10CD">
            <w:pPr>
              <w:autoSpaceDE w:val="0"/>
              <w:autoSpaceDN w:val="0"/>
              <w:adjustRightInd w:val="0"/>
              <w:spacing w:before="20" w:after="20"/>
              <w:rPr>
                <w:rFonts w:ascii="Calibri" w:hAnsi="Calibri" w:cs="Calibri"/>
              </w:rPr>
            </w:pPr>
            <w:r>
              <w:rPr>
                <w:rFonts w:cs="Arial"/>
                <w:sz w:val="18"/>
                <w:szCs w:val="18"/>
              </w:rPr>
              <w:t>Italien</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0B17CDA9" w14:textId="77777777" w:rsidR="005F10CD" w:rsidRDefault="005F10CD">
            <w:pPr>
              <w:autoSpaceDE w:val="0"/>
              <w:autoSpaceDN w:val="0"/>
              <w:adjustRightInd w:val="0"/>
              <w:rPr>
                <w:rFonts w:ascii="Calibri" w:hAnsi="Calibri" w:cs="Calibri"/>
              </w:rPr>
            </w:pPr>
            <w:r>
              <w:rPr>
                <w:rFonts w:cs="Arial"/>
                <w:sz w:val="18"/>
                <w:szCs w:val="18"/>
              </w:rPr>
              <w:t>Sojabohne</w:t>
            </w:r>
          </w:p>
        </w:tc>
      </w:tr>
      <w:tr w:rsidR="005F10CD" w14:paraId="00D16BAE"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5866FA1F" w14:textId="77777777" w:rsidR="005F10CD" w:rsidRDefault="005F10CD">
            <w:pPr>
              <w:autoSpaceDE w:val="0"/>
              <w:autoSpaceDN w:val="0"/>
              <w:adjustRightInd w:val="0"/>
              <w:spacing w:before="20" w:after="20"/>
              <w:rPr>
                <w:rFonts w:ascii="Calibri" w:hAnsi="Calibri" w:cs="Calibri"/>
              </w:rPr>
            </w:pPr>
            <w:r>
              <w:rPr>
                <w:rFonts w:cs="Arial"/>
                <w:sz w:val="18"/>
                <w:szCs w:val="18"/>
              </w:rPr>
              <w:t>Niederlande</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01965F44" w14:textId="77777777" w:rsidR="005F10CD" w:rsidRDefault="005F10CD">
            <w:pPr>
              <w:autoSpaceDE w:val="0"/>
              <w:autoSpaceDN w:val="0"/>
              <w:adjustRightInd w:val="0"/>
              <w:rPr>
                <w:rFonts w:ascii="Calibri" w:hAnsi="Calibri" w:cs="Calibri"/>
              </w:rPr>
            </w:pPr>
            <w:r>
              <w:rPr>
                <w:rFonts w:cs="Arial"/>
                <w:sz w:val="18"/>
                <w:szCs w:val="18"/>
              </w:rPr>
              <w:t xml:space="preserve">Gartenbohne, </w:t>
            </w:r>
            <w:r>
              <w:rPr>
                <w:rFonts w:cs="Arial"/>
                <w:i/>
                <w:iCs/>
                <w:sz w:val="18"/>
                <w:szCs w:val="18"/>
              </w:rPr>
              <w:t>Phalaenopsis</w:t>
            </w:r>
            <w:r>
              <w:rPr>
                <w:rFonts w:cs="Arial"/>
                <w:sz w:val="18"/>
                <w:szCs w:val="18"/>
              </w:rPr>
              <w:t xml:space="preserve">, Kartoffel  </w:t>
            </w:r>
          </w:p>
        </w:tc>
      </w:tr>
      <w:tr w:rsidR="005F10CD" w14:paraId="6D6620D8" w14:textId="77777777">
        <w:trPr>
          <w:trHeight w:val="1"/>
        </w:trPr>
        <w:tc>
          <w:tcPr>
            <w:tcW w:w="2127" w:type="dxa"/>
            <w:tcBorders>
              <w:top w:val="single" w:sz="3" w:space="0" w:color="000000"/>
              <w:left w:val="single" w:sz="3" w:space="0" w:color="000000"/>
              <w:bottom w:val="single" w:sz="3" w:space="0" w:color="000000"/>
              <w:right w:val="single" w:sz="3" w:space="0" w:color="000000"/>
            </w:tcBorders>
            <w:shd w:val="clear" w:color="000000" w:fill="FFFFFF"/>
          </w:tcPr>
          <w:p w14:paraId="7D1C999F" w14:textId="77777777" w:rsidR="005F10CD" w:rsidRDefault="005F10CD">
            <w:pPr>
              <w:autoSpaceDE w:val="0"/>
              <w:autoSpaceDN w:val="0"/>
              <w:adjustRightInd w:val="0"/>
              <w:spacing w:before="20" w:after="20"/>
              <w:rPr>
                <w:rFonts w:ascii="Calibri" w:hAnsi="Calibri" w:cs="Calibri"/>
              </w:rPr>
            </w:pPr>
            <w:r>
              <w:rPr>
                <w:rFonts w:cs="Arial"/>
                <w:sz w:val="18"/>
                <w:szCs w:val="18"/>
              </w:rPr>
              <w:t>Vereinigtes Königreich</w:t>
            </w:r>
          </w:p>
        </w:tc>
        <w:tc>
          <w:tcPr>
            <w:tcW w:w="6945" w:type="dxa"/>
            <w:tcBorders>
              <w:top w:val="single" w:sz="3" w:space="0" w:color="000000"/>
              <w:left w:val="single" w:sz="3" w:space="0" w:color="000000"/>
              <w:bottom w:val="single" w:sz="3" w:space="0" w:color="000000"/>
              <w:right w:val="single" w:sz="3" w:space="0" w:color="000000"/>
            </w:tcBorders>
            <w:shd w:val="clear" w:color="000000" w:fill="FFFFFF"/>
          </w:tcPr>
          <w:p w14:paraId="4D3E62EE" w14:textId="77777777" w:rsidR="005F10CD" w:rsidRDefault="005F10CD">
            <w:pPr>
              <w:autoSpaceDE w:val="0"/>
              <w:autoSpaceDN w:val="0"/>
              <w:adjustRightInd w:val="0"/>
              <w:rPr>
                <w:rFonts w:ascii="Calibri" w:hAnsi="Calibri" w:cs="Calibri"/>
              </w:rPr>
            </w:pPr>
            <w:r>
              <w:rPr>
                <w:rFonts w:cs="Arial"/>
                <w:sz w:val="18"/>
                <w:szCs w:val="18"/>
              </w:rPr>
              <w:t xml:space="preserve">Zu Forschungszwecken </w:t>
            </w:r>
          </w:p>
        </w:tc>
      </w:tr>
    </w:tbl>
    <w:p w14:paraId="0206FD40" w14:textId="77777777" w:rsidR="005F10CD" w:rsidRDefault="005F10CD" w:rsidP="005F10CD">
      <w:pPr>
        <w:autoSpaceDE w:val="0"/>
        <w:autoSpaceDN w:val="0"/>
        <w:adjustRightInd w:val="0"/>
        <w:rPr>
          <w:rFonts w:cs="Arial"/>
        </w:rPr>
      </w:pPr>
    </w:p>
    <w:p w14:paraId="612E409D" w14:textId="77777777" w:rsidR="005F10CD" w:rsidRPr="00F547CF" w:rsidRDefault="005F10CD" w:rsidP="005C087A">
      <w:pPr>
        <w:keepNext/>
        <w:outlineLvl w:val="1"/>
        <w:rPr>
          <w:rFonts w:eastAsia="Times New Roman" w:cs="Times New Roman"/>
          <w:snapToGrid w:val="0"/>
          <w:szCs w:val="20"/>
          <w:u w:val="single"/>
        </w:rPr>
      </w:pPr>
      <w:r w:rsidRPr="00F547CF">
        <w:rPr>
          <w:rFonts w:eastAsia="Times New Roman" w:cs="Times New Roman"/>
          <w:snapToGrid w:val="0"/>
          <w:szCs w:val="20"/>
          <w:u w:val="single"/>
        </w:rPr>
        <w:lastRenderedPageBreak/>
        <w:t xml:space="preserve">Entwicklungen auf der achtzehnten Tagung der Arbeitsgruppe für biochemische und molekulare Verfahren und insbesondere für DNS-Profilierungsverfahren (BMT) </w:t>
      </w:r>
    </w:p>
    <w:p w14:paraId="4671A200" w14:textId="77777777" w:rsidR="005F10CD" w:rsidRPr="006C192E" w:rsidRDefault="005F10CD" w:rsidP="005C087A">
      <w:pPr>
        <w:keepNext/>
        <w:autoSpaceDE w:val="0"/>
        <w:autoSpaceDN w:val="0"/>
        <w:adjustRightInd w:val="0"/>
        <w:rPr>
          <w:rFonts w:cs="Arial"/>
        </w:rPr>
      </w:pPr>
    </w:p>
    <w:p w14:paraId="1060B81D" w14:textId="7CFF967B" w:rsidR="005F10CD" w:rsidRPr="006C192E" w:rsidRDefault="00541ED0" w:rsidP="005C087A">
      <w:pPr>
        <w:keepNext/>
        <w:autoSpaceDE w:val="0"/>
        <w:autoSpaceDN w:val="0"/>
        <w:adjustRightInd w:val="0"/>
        <w:rPr>
          <w:rFonts w:cs="Arial"/>
          <w:color w:val="000000"/>
        </w:rPr>
      </w:pPr>
      <w:r>
        <w:rPr>
          <w:rFonts w:cs="Arial"/>
        </w:rPr>
        <w:fldChar w:fldCharType="begin"/>
      </w:r>
      <w:r>
        <w:rPr>
          <w:rFonts w:cs="Arial"/>
        </w:rPr>
        <w:instrText xml:space="preserve"> AUTONUM  </w:instrText>
      </w:r>
      <w:r>
        <w:rPr>
          <w:rFonts w:cs="Arial"/>
        </w:rPr>
        <w:fldChar w:fldCharType="end"/>
      </w:r>
      <w:r w:rsidR="005F10CD" w:rsidRPr="006C192E">
        <w:rPr>
          <w:rFonts w:cs="Arial"/>
        </w:rPr>
        <w:tab/>
      </w:r>
      <w:r w:rsidR="005F10CD" w:rsidRPr="006C192E">
        <w:rPr>
          <w:rFonts w:cs="Arial"/>
          <w:color w:val="000000"/>
        </w:rPr>
        <w:t>Auf ihrer</w:t>
      </w:r>
      <w:r w:rsidR="0059090F">
        <w:rPr>
          <w:rFonts w:cs="Arial"/>
          <w:color w:val="000000"/>
        </w:rPr>
        <w:t xml:space="preserve"> </w:t>
      </w:r>
      <w:r w:rsidR="005F10CD" w:rsidRPr="006C192E">
        <w:rPr>
          <w:rFonts w:cs="Arial"/>
        </w:rPr>
        <w:t>achtzehnten Tagung</w:t>
      </w:r>
      <w:r w:rsidR="0059090F">
        <w:rPr>
          <w:rFonts w:cs="Arial"/>
        </w:rPr>
        <w:t xml:space="preserve"> </w:t>
      </w:r>
      <w:r w:rsidR="005F10CD" w:rsidRPr="006C192E">
        <w:rPr>
          <w:rFonts w:cs="Arial"/>
          <w:color w:val="000000"/>
        </w:rPr>
        <w:t xml:space="preserve">prüfte die BMT das Dokument BMT/18/5 „Sitzung zur Erleichterung der Zusammenarbeit“ und bildete Diskussionsgruppen, damit die Teilnehmer sich über ihre Arbeit bezüglich biochemischer und molekularer Verfahren austauschen und Bereiche für eine Zusammenarbeit ausloten können. Die folgenden Informationen wurden von den Teilnehmern übermittelt (vergleiche Dokument BMT/18/21 „Bericht“, Absätze 38 und 41). </w:t>
      </w:r>
    </w:p>
    <w:p w14:paraId="6983E967" w14:textId="77777777" w:rsidR="005F10CD" w:rsidRPr="006C192E" w:rsidRDefault="005F10CD" w:rsidP="005F10CD">
      <w:pPr>
        <w:autoSpaceDE w:val="0"/>
        <w:autoSpaceDN w:val="0"/>
        <w:adjustRightInd w:val="0"/>
        <w:rPr>
          <w:rFonts w:cs="Arial"/>
          <w:color w:val="000000"/>
        </w:rPr>
      </w:pPr>
    </w:p>
    <w:p w14:paraId="049E0F74" w14:textId="77777777" w:rsidR="005F10CD" w:rsidRPr="006C192E" w:rsidRDefault="005F10CD" w:rsidP="005F10CD">
      <w:pPr>
        <w:keepNext/>
        <w:autoSpaceDE w:val="0"/>
        <w:autoSpaceDN w:val="0"/>
        <w:adjustRightInd w:val="0"/>
        <w:spacing w:before="120" w:after="240"/>
        <w:rPr>
          <w:rFonts w:cs="Arial"/>
          <w:i/>
          <w:iCs/>
        </w:rPr>
      </w:pPr>
      <w:r w:rsidRPr="006C192E">
        <w:rPr>
          <w:rFonts w:cs="Arial"/>
          <w:i/>
          <w:iCs/>
        </w:rPr>
        <w:t>Mais und Sojabohne</w:t>
      </w:r>
    </w:p>
    <w:p w14:paraId="3EC3925C" w14:textId="77777777" w:rsidR="005F10CD" w:rsidRPr="006C192E" w:rsidRDefault="005F10CD" w:rsidP="005F10CD">
      <w:pPr>
        <w:keepNext/>
        <w:autoSpaceDE w:val="0"/>
        <w:autoSpaceDN w:val="0"/>
        <w:adjustRightInd w:val="0"/>
        <w:ind w:left="567"/>
        <w:rPr>
          <w:rFonts w:cs="Arial"/>
          <w:u w:val="single"/>
        </w:rPr>
      </w:pPr>
      <w:r w:rsidRPr="006C192E">
        <w:rPr>
          <w:rFonts w:cs="Arial"/>
          <w:u w:val="single"/>
        </w:rPr>
        <w:t>Überblick über das Interesse an den Pflanzen</w:t>
      </w:r>
    </w:p>
    <w:p w14:paraId="6FD29641" w14:textId="77777777" w:rsidR="005F10CD" w:rsidRDefault="005F10CD" w:rsidP="005F10CD">
      <w:pPr>
        <w:keepNext/>
        <w:autoSpaceDE w:val="0"/>
        <w:autoSpaceDN w:val="0"/>
        <w:adjustRightInd w:val="0"/>
        <w:rPr>
          <w:rFonts w:cs="Arial"/>
        </w:rPr>
      </w:pPr>
    </w:p>
    <w:tbl>
      <w:tblPr>
        <w:tblW w:w="0" w:type="auto"/>
        <w:tblInd w:w="562" w:type="dxa"/>
        <w:tblLayout w:type="fixed"/>
        <w:tblLook w:val="0000" w:firstRow="0" w:lastRow="0" w:firstColumn="0" w:lastColumn="0" w:noHBand="0" w:noVBand="0"/>
      </w:tblPr>
      <w:tblGrid>
        <w:gridCol w:w="1980"/>
        <w:gridCol w:w="5925"/>
      </w:tblGrid>
      <w:tr w:rsidR="005F10CD" w14:paraId="1A5EA79C" w14:textId="77777777">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7CDB3CB6" w14:textId="77777777" w:rsidR="005F10CD" w:rsidRDefault="005F10CD">
            <w:pPr>
              <w:keepNext/>
              <w:autoSpaceDE w:val="0"/>
              <w:autoSpaceDN w:val="0"/>
              <w:adjustRightInd w:val="0"/>
              <w:rPr>
                <w:rFonts w:ascii="Calibri" w:hAnsi="Calibri" w:cs="Calibri"/>
              </w:rPr>
            </w:pPr>
            <w:r>
              <w:rPr>
                <w:rFonts w:cs="Arial"/>
                <w:sz w:val="18"/>
                <w:szCs w:val="18"/>
              </w:rPr>
              <w:t>Mais</w:t>
            </w:r>
          </w:p>
        </w:tc>
        <w:tc>
          <w:tcPr>
            <w:tcW w:w="5925" w:type="dxa"/>
            <w:tcBorders>
              <w:top w:val="single" w:sz="3" w:space="0" w:color="000000"/>
              <w:left w:val="single" w:sz="3" w:space="0" w:color="000000"/>
              <w:bottom w:val="single" w:sz="3" w:space="0" w:color="000000"/>
              <w:right w:val="single" w:sz="3" w:space="0" w:color="000000"/>
            </w:tcBorders>
            <w:shd w:val="clear" w:color="000000" w:fill="FFFFFF"/>
          </w:tcPr>
          <w:p w14:paraId="01B51120" w14:textId="77777777" w:rsidR="005F10CD" w:rsidRDefault="005F10CD">
            <w:pPr>
              <w:keepNext/>
              <w:autoSpaceDE w:val="0"/>
              <w:autoSpaceDN w:val="0"/>
              <w:adjustRightInd w:val="0"/>
              <w:rPr>
                <w:rFonts w:ascii="Calibri" w:hAnsi="Calibri" w:cs="Calibri"/>
              </w:rPr>
            </w:pPr>
            <w:r>
              <w:rPr>
                <w:rFonts w:cs="Arial"/>
                <w:sz w:val="18"/>
                <w:szCs w:val="18"/>
              </w:rPr>
              <w:t xml:space="preserve">China, Deutschland, Kenia, Russische Föderation, ISTA, SAA </w:t>
            </w:r>
          </w:p>
        </w:tc>
      </w:tr>
      <w:tr w:rsidR="005F10CD" w14:paraId="1F78943E" w14:textId="77777777">
        <w:trPr>
          <w:trHeight w:val="1"/>
        </w:trPr>
        <w:tc>
          <w:tcPr>
            <w:tcW w:w="1980" w:type="dxa"/>
            <w:tcBorders>
              <w:top w:val="single" w:sz="3" w:space="0" w:color="000000"/>
              <w:left w:val="single" w:sz="3" w:space="0" w:color="000000"/>
              <w:bottom w:val="single" w:sz="3" w:space="0" w:color="000000"/>
              <w:right w:val="single" w:sz="3" w:space="0" w:color="000000"/>
            </w:tcBorders>
            <w:shd w:val="clear" w:color="000000" w:fill="FFFFFF"/>
          </w:tcPr>
          <w:p w14:paraId="3C50BAE1" w14:textId="77777777" w:rsidR="005F10CD" w:rsidRDefault="005F10CD">
            <w:pPr>
              <w:keepNext/>
              <w:autoSpaceDE w:val="0"/>
              <w:autoSpaceDN w:val="0"/>
              <w:adjustRightInd w:val="0"/>
              <w:rPr>
                <w:rFonts w:ascii="Calibri" w:hAnsi="Calibri" w:cs="Calibri"/>
              </w:rPr>
            </w:pPr>
            <w:r>
              <w:rPr>
                <w:rFonts w:cs="Arial"/>
                <w:sz w:val="18"/>
                <w:szCs w:val="18"/>
              </w:rPr>
              <w:t>Sojabohne</w:t>
            </w:r>
          </w:p>
        </w:tc>
        <w:tc>
          <w:tcPr>
            <w:tcW w:w="5925" w:type="dxa"/>
            <w:tcBorders>
              <w:top w:val="single" w:sz="3" w:space="0" w:color="000000"/>
              <w:left w:val="single" w:sz="3" w:space="0" w:color="000000"/>
              <w:bottom w:val="single" w:sz="3" w:space="0" w:color="000000"/>
              <w:right w:val="single" w:sz="3" w:space="0" w:color="000000"/>
            </w:tcBorders>
            <w:shd w:val="clear" w:color="000000" w:fill="FFFFFF"/>
          </w:tcPr>
          <w:p w14:paraId="001E24DB" w14:textId="77777777" w:rsidR="005F10CD" w:rsidRDefault="005F10CD">
            <w:pPr>
              <w:keepNext/>
              <w:autoSpaceDE w:val="0"/>
              <w:autoSpaceDN w:val="0"/>
              <w:adjustRightInd w:val="0"/>
              <w:rPr>
                <w:rFonts w:ascii="Calibri" w:hAnsi="Calibri" w:cs="Calibri"/>
              </w:rPr>
            </w:pPr>
            <w:r>
              <w:rPr>
                <w:rFonts w:cs="Arial"/>
                <w:sz w:val="18"/>
                <w:szCs w:val="18"/>
              </w:rPr>
              <w:t xml:space="preserve">Argentinien, Brasilien, China, ISTA </w:t>
            </w:r>
          </w:p>
        </w:tc>
      </w:tr>
    </w:tbl>
    <w:p w14:paraId="6FDBC838" w14:textId="77777777" w:rsidR="005F10CD" w:rsidRDefault="005F10CD" w:rsidP="005F10CD">
      <w:pPr>
        <w:autoSpaceDE w:val="0"/>
        <w:autoSpaceDN w:val="0"/>
        <w:adjustRightInd w:val="0"/>
        <w:rPr>
          <w:rFonts w:cs="Arial"/>
        </w:rPr>
      </w:pPr>
    </w:p>
    <w:p w14:paraId="5D9CEF53" w14:textId="77777777" w:rsidR="005F10CD" w:rsidRPr="006C192E" w:rsidRDefault="005F10CD" w:rsidP="005F10CD">
      <w:pPr>
        <w:keepNext/>
        <w:autoSpaceDE w:val="0"/>
        <w:autoSpaceDN w:val="0"/>
        <w:adjustRightInd w:val="0"/>
        <w:ind w:left="567"/>
        <w:rPr>
          <w:rFonts w:cs="Arial"/>
          <w:u w:val="single"/>
        </w:rPr>
      </w:pPr>
      <w:r w:rsidRPr="006C192E">
        <w:rPr>
          <w:rFonts w:cs="Arial"/>
          <w:u w:val="single"/>
        </w:rPr>
        <w:t>Vorhaben für eine Zusammenarbeit</w:t>
      </w:r>
    </w:p>
    <w:p w14:paraId="68961B0B" w14:textId="77777777" w:rsidR="005F10CD" w:rsidRPr="006C192E" w:rsidRDefault="005F10CD" w:rsidP="005F10CD">
      <w:pPr>
        <w:autoSpaceDE w:val="0"/>
        <w:autoSpaceDN w:val="0"/>
        <w:adjustRightInd w:val="0"/>
        <w:rPr>
          <w:rFonts w:cs="Arial"/>
        </w:rPr>
      </w:pPr>
    </w:p>
    <w:p w14:paraId="6198514E" w14:textId="77777777" w:rsidR="005F10CD" w:rsidRPr="00F547CF" w:rsidRDefault="005F10CD" w:rsidP="00541ED0">
      <w:pPr>
        <w:numPr>
          <w:ilvl w:val="0"/>
          <w:numId w:val="1"/>
        </w:numPr>
        <w:spacing w:after="160" w:line="259" w:lineRule="auto"/>
        <w:ind w:left="644" w:hanging="360"/>
        <w:contextualSpacing/>
        <w:rPr>
          <w:rFonts w:eastAsia="Calibri" w:cs="Arial"/>
          <w:szCs w:val="20"/>
        </w:rPr>
      </w:pPr>
      <w:r w:rsidRPr="00F547CF">
        <w:rPr>
          <w:rFonts w:eastAsia="Calibri" w:cs="Arial"/>
          <w:szCs w:val="20"/>
        </w:rPr>
        <w:t xml:space="preserve">Argentinien wird einen Satz von 4.004 SNP-Markern zur Verwaltung von Sojabohnen-Sortensammlungen veröffentlichen und wird Brasilien und die Vereinigten Staaten von Amerika über die Prüfung der Unterscheidungskraft dieses Satzes informieren.  </w:t>
      </w:r>
    </w:p>
    <w:p w14:paraId="2B741526" w14:textId="77777777" w:rsidR="005F10CD" w:rsidRPr="00F547CF" w:rsidRDefault="005F10CD" w:rsidP="00541ED0">
      <w:pPr>
        <w:numPr>
          <w:ilvl w:val="0"/>
          <w:numId w:val="1"/>
        </w:numPr>
        <w:spacing w:after="160" w:line="259" w:lineRule="auto"/>
        <w:ind w:left="644" w:hanging="360"/>
        <w:contextualSpacing/>
        <w:rPr>
          <w:rFonts w:eastAsia="Calibri" w:cs="Arial"/>
          <w:szCs w:val="20"/>
        </w:rPr>
      </w:pPr>
      <w:r w:rsidRPr="00F547CF">
        <w:rPr>
          <w:rFonts w:eastAsia="Calibri" w:cs="Arial"/>
          <w:szCs w:val="20"/>
        </w:rPr>
        <w:t xml:space="preserve">Brasilien soll mit dem brasilianischen Züchterverband den Vorschlag erörtern, molekulare Marker bei der DUS-Prüfung von Sojabohnen zu verwenden (z.B. ähnlich wie in der Studie, die in Argentinien durchgeführt wird).  </w:t>
      </w:r>
    </w:p>
    <w:p w14:paraId="1F5C174B" w14:textId="77777777" w:rsidR="005F10CD" w:rsidRPr="00F547CF" w:rsidRDefault="005F10CD" w:rsidP="00541ED0">
      <w:pPr>
        <w:numPr>
          <w:ilvl w:val="0"/>
          <w:numId w:val="1"/>
        </w:numPr>
        <w:spacing w:after="160" w:line="259" w:lineRule="auto"/>
        <w:ind w:left="644" w:hanging="360"/>
        <w:contextualSpacing/>
        <w:rPr>
          <w:rFonts w:eastAsia="Calibri" w:cs="Arial"/>
          <w:szCs w:val="20"/>
        </w:rPr>
      </w:pPr>
      <w:r w:rsidRPr="00F547CF">
        <w:rPr>
          <w:rFonts w:eastAsia="Calibri" w:cs="Arial"/>
          <w:szCs w:val="20"/>
        </w:rPr>
        <w:t>China soll den ne</w:t>
      </w:r>
      <w:r w:rsidR="0059090F" w:rsidRPr="00F547CF">
        <w:rPr>
          <w:rFonts w:eastAsia="Calibri" w:cs="Arial"/>
          <w:szCs w:val="20"/>
        </w:rPr>
        <w:t>uen 6H-60K-Mais-SNP-Chip zur Prü</w:t>
      </w:r>
      <w:r w:rsidRPr="00F547CF">
        <w:rPr>
          <w:rFonts w:eastAsia="Calibri" w:cs="Arial"/>
          <w:szCs w:val="20"/>
        </w:rPr>
        <w:t>fung bereitstellen.</w:t>
      </w:r>
    </w:p>
    <w:p w14:paraId="2AF64C79" w14:textId="77777777" w:rsidR="005F10CD" w:rsidRPr="006C192E" w:rsidRDefault="005F10CD" w:rsidP="005F10CD">
      <w:pPr>
        <w:autoSpaceDE w:val="0"/>
        <w:autoSpaceDN w:val="0"/>
        <w:adjustRightInd w:val="0"/>
        <w:spacing w:after="160" w:line="259" w:lineRule="atLeast"/>
        <w:ind w:left="720"/>
        <w:rPr>
          <w:rFonts w:cs="Arial"/>
        </w:rPr>
      </w:pPr>
    </w:p>
    <w:p w14:paraId="45E08896" w14:textId="77777777" w:rsidR="005F10CD" w:rsidRPr="006C192E" w:rsidRDefault="005F10CD" w:rsidP="005F10CD">
      <w:pPr>
        <w:keepNext/>
        <w:autoSpaceDE w:val="0"/>
        <w:autoSpaceDN w:val="0"/>
        <w:adjustRightInd w:val="0"/>
        <w:rPr>
          <w:rFonts w:cs="Arial"/>
        </w:rPr>
      </w:pPr>
    </w:p>
    <w:p w14:paraId="51E4B909" w14:textId="77777777" w:rsidR="005F10CD" w:rsidRPr="006C192E" w:rsidRDefault="005F10CD" w:rsidP="005F10CD">
      <w:pPr>
        <w:keepNext/>
        <w:autoSpaceDE w:val="0"/>
        <w:autoSpaceDN w:val="0"/>
        <w:adjustRightInd w:val="0"/>
        <w:ind w:left="567"/>
        <w:rPr>
          <w:rFonts w:cs="Arial"/>
          <w:u w:val="single"/>
        </w:rPr>
      </w:pPr>
      <w:r w:rsidRPr="006C192E">
        <w:rPr>
          <w:rFonts w:cs="Arial"/>
          <w:u w:val="single"/>
        </w:rPr>
        <w:t>Überblick über die derzeitige Verwendung chemischer und molekularer Verfahren</w:t>
      </w:r>
    </w:p>
    <w:p w14:paraId="4E9B603E" w14:textId="77777777" w:rsidR="005F10CD" w:rsidRDefault="005F10CD" w:rsidP="005F10CD">
      <w:pPr>
        <w:keepNext/>
        <w:autoSpaceDE w:val="0"/>
        <w:autoSpaceDN w:val="0"/>
        <w:adjustRightInd w:val="0"/>
        <w:rPr>
          <w:rFonts w:cs="Arial"/>
        </w:rPr>
      </w:pPr>
    </w:p>
    <w:tbl>
      <w:tblPr>
        <w:tblW w:w="0" w:type="auto"/>
        <w:tblInd w:w="670" w:type="dxa"/>
        <w:tblLayout w:type="fixed"/>
        <w:tblLook w:val="0000" w:firstRow="0" w:lastRow="0" w:firstColumn="0" w:lastColumn="0" w:noHBand="0" w:noVBand="0"/>
      </w:tblPr>
      <w:tblGrid>
        <w:gridCol w:w="9072"/>
      </w:tblGrid>
      <w:tr w:rsidR="005F10CD" w14:paraId="47B88857"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39C7F96C"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Deutschland: Isoenzyme zur Verwaltung von Sortensammlungen und zur DUS-Prüfung (Mais)</w:t>
            </w:r>
          </w:p>
        </w:tc>
      </w:tr>
      <w:tr w:rsidR="005F10CD" w14:paraId="4D9F3BD0"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0D533EDC"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China: 6H-60K-Mais-SNP-Chip zur Prüfung der wesentlichen Ableitung; Verfahrensvorschrift zur Sortenidentifikation bei Mais und Sojabohne; Einrichten einer Datenbank und Auswahl ähnlicher Sorten; allgemeine Verfahrensvorschrift für die SSR-gestützte Sortenidentifikation</w:t>
            </w:r>
          </w:p>
        </w:tc>
      </w:tr>
      <w:tr w:rsidR="005F10CD" w14:paraId="08A022C4"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0C675BF"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Argentinien: SNP zur Verwaltung von Sortensammlungen und  Sortenidentitäten</w:t>
            </w:r>
          </w:p>
        </w:tc>
      </w:tr>
      <w:tr w:rsidR="005F10CD" w14:paraId="15409D44"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02626EC8"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Brasilien: SSR in bezug auf Sortenidentität</w:t>
            </w:r>
          </w:p>
        </w:tc>
      </w:tr>
      <w:tr w:rsidR="005F10CD" w14:paraId="5EC427AD"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6ADDEC6E"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SAA:  Genetische Ähnlichkeit bei Sorten der Sojabohne</w:t>
            </w:r>
          </w:p>
        </w:tc>
      </w:tr>
      <w:tr w:rsidR="005F10CD" w14:paraId="103187C7"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26331175"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ISTA: Elektrophorese, Saatgutproteine, SSR (ISTA-Vorschriften, Kapitel 8)</w:t>
            </w:r>
          </w:p>
        </w:tc>
      </w:tr>
    </w:tbl>
    <w:p w14:paraId="5732A1B4" w14:textId="77777777" w:rsidR="005F10CD" w:rsidRDefault="005F10CD" w:rsidP="005F10CD">
      <w:pPr>
        <w:keepNext/>
        <w:autoSpaceDE w:val="0"/>
        <w:autoSpaceDN w:val="0"/>
        <w:adjustRightInd w:val="0"/>
        <w:rPr>
          <w:rFonts w:cs="Arial"/>
        </w:rPr>
      </w:pPr>
    </w:p>
    <w:p w14:paraId="4C724A03" w14:textId="77777777" w:rsidR="005F10CD" w:rsidRPr="006C192E" w:rsidRDefault="005F10CD" w:rsidP="005F10CD">
      <w:pPr>
        <w:keepNext/>
        <w:autoSpaceDE w:val="0"/>
        <w:autoSpaceDN w:val="0"/>
        <w:adjustRightInd w:val="0"/>
        <w:ind w:left="567"/>
        <w:rPr>
          <w:rFonts w:cs="Arial"/>
          <w:u w:val="single"/>
        </w:rPr>
      </w:pPr>
      <w:r w:rsidRPr="006C192E">
        <w:rPr>
          <w:rFonts w:cs="Arial"/>
          <w:u w:val="single"/>
        </w:rPr>
        <w:t>Vorschläge zu Geheimhaltung und Datenzugang</w:t>
      </w:r>
    </w:p>
    <w:p w14:paraId="578E23D7" w14:textId="77777777" w:rsidR="005F10CD" w:rsidRPr="006C192E" w:rsidRDefault="005F10CD" w:rsidP="005F10CD">
      <w:pPr>
        <w:autoSpaceDE w:val="0"/>
        <w:autoSpaceDN w:val="0"/>
        <w:adjustRightInd w:val="0"/>
        <w:rPr>
          <w:rFonts w:cs="Arial"/>
        </w:rPr>
      </w:pPr>
    </w:p>
    <w:p w14:paraId="0301C547" w14:textId="77777777" w:rsidR="005F10CD" w:rsidRPr="006C192E" w:rsidRDefault="005F10CD" w:rsidP="006C192E">
      <w:pPr>
        <w:numPr>
          <w:ilvl w:val="0"/>
          <w:numId w:val="2"/>
        </w:numPr>
        <w:autoSpaceDE w:val="0"/>
        <w:autoSpaceDN w:val="0"/>
        <w:adjustRightInd w:val="0"/>
        <w:rPr>
          <w:rFonts w:cs="Arial"/>
        </w:rPr>
      </w:pPr>
      <w:r w:rsidRPr="006C192E">
        <w:rPr>
          <w:rFonts w:cs="Arial"/>
        </w:rPr>
        <w:t xml:space="preserve">DNS-Fingerabdrücke sind vertraulich zu behandeln;  </w:t>
      </w:r>
    </w:p>
    <w:p w14:paraId="75F9E3EB" w14:textId="77777777" w:rsidR="005F10CD" w:rsidRPr="006C192E" w:rsidRDefault="005F10CD" w:rsidP="006C192E">
      <w:pPr>
        <w:numPr>
          <w:ilvl w:val="0"/>
          <w:numId w:val="2"/>
        </w:numPr>
        <w:autoSpaceDE w:val="0"/>
        <w:autoSpaceDN w:val="0"/>
        <w:adjustRightInd w:val="0"/>
        <w:rPr>
          <w:rFonts w:cs="Arial"/>
        </w:rPr>
      </w:pPr>
      <w:r w:rsidRPr="006C192E">
        <w:rPr>
          <w:rFonts w:cs="Arial"/>
        </w:rPr>
        <w:t>Sortenidentifikationsdaten, die auf einer geringen Anzahl von SNP-Markern beruhen, könnten öffentlich verfügbar gemacht werden</w:t>
      </w:r>
    </w:p>
    <w:p w14:paraId="0EA9B83F" w14:textId="77777777" w:rsidR="005F10CD" w:rsidRPr="006C192E" w:rsidRDefault="005F10CD" w:rsidP="006C192E">
      <w:pPr>
        <w:numPr>
          <w:ilvl w:val="0"/>
          <w:numId w:val="2"/>
        </w:numPr>
        <w:autoSpaceDE w:val="0"/>
        <w:autoSpaceDN w:val="0"/>
        <w:adjustRightInd w:val="0"/>
        <w:rPr>
          <w:rFonts w:cs="Arial"/>
        </w:rPr>
      </w:pPr>
      <w:r w:rsidRPr="006C192E">
        <w:rPr>
          <w:rFonts w:cs="Arial"/>
        </w:rPr>
        <w:t xml:space="preserve">Vor der Weitergabe DNS-basierter Informationen sollte die Zustimmung des Züchters eingeholt werden müssen; </w:t>
      </w:r>
    </w:p>
    <w:p w14:paraId="200DF579" w14:textId="77777777" w:rsidR="005F10CD" w:rsidRPr="006C192E" w:rsidRDefault="005F10CD" w:rsidP="006C192E">
      <w:pPr>
        <w:numPr>
          <w:ilvl w:val="0"/>
          <w:numId w:val="2"/>
        </w:numPr>
        <w:autoSpaceDE w:val="0"/>
        <w:autoSpaceDN w:val="0"/>
        <w:adjustRightInd w:val="0"/>
        <w:rPr>
          <w:rFonts w:cs="Arial"/>
        </w:rPr>
      </w:pPr>
      <w:r w:rsidRPr="006C192E">
        <w:rPr>
          <w:rFonts w:cs="Arial"/>
        </w:rPr>
        <w:t>Über die Veröffentlichung SNP-gestützter Sortenidentifikationsdaten sollten die Züchter informiert werden;</w:t>
      </w:r>
    </w:p>
    <w:p w14:paraId="528ED95B" w14:textId="77777777" w:rsidR="005F10CD" w:rsidRPr="006C192E" w:rsidRDefault="005F10CD" w:rsidP="006C192E">
      <w:pPr>
        <w:numPr>
          <w:ilvl w:val="0"/>
          <w:numId w:val="2"/>
        </w:numPr>
        <w:autoSpaceDE w:val="0"/>
        <w:autoSpaceDN w:val="0"/>
        <w:adjustRightInd w:val="0"/>
        <w:rPr>
          <w:rFonts w:cs="Arial"/>
        </w:rPr>
      </w:pPr>
      <w:r w:rsidRPr="006C192E">
        <w:rPr>
          <w:rFonts w:cs="Arial"/>
        </w:rPr>
        <w:t>Elternlinienbezogene Daten sollten vertraulich behandelt werden</w:t>
      </w:r>
    </w:p>
    <w:p w14:paraId="4D354CF4" w14:textId="77777777" w:rsidR="005F10CD" w:rsidRPr="006C192E" w:rsidRDefault="005F10CD" w:rsidP="0048095A">
      <w:pPr>
        <w:autoSpaceDE w:val="0"/>
        <w:autoSpaceDN w:val="0"/>
        <w:adjustRightInd w:val="0"/>
        <w:rPr>
          <w:rFonts w:cs="Arial"/>
        </w:rPr>
      </w:pPr>
    </w:p>
    <w:p w14:paraId="10D5FEC4" w14:textId="77777777" w:rsidR="005F10CD" w:rsidRPr="006C192E" w:rsidRDefault="005F10CD" w:rsidP="0048095A">
      <w:pPr>
        <w:keepNext/>
        <w:autoSpaceDE w:val="0"/>
        <w:autoSpaceDN w:val="0"/>
        <w:adjustRightInd w:val="0"/>
        <w:spacing w:before="120" w:after="240"/>
        <w:rPr>
          <w:rFonts w:cs="Arial"/>
          <w:i/>
          <w:iCs/>
        </w:rPr>
      </w:pPr>
      <w:r w:rsidRPr="006C192E">
        <w:rPr>
          <w:rFonts w:cs="Arial"/>
          <w:i/>
          <w:iCs/>
        </w:rPr>
        <w:lastRenderedPageBreak/>
        <w:t>Sonstige landwirtschaftliche Pflanzen</w:t>
      </w:r>
    </w:p>
    <w:p w14:paraId="7C9B5BAC" w14:textId="77777777" w:rsidR="005F10CD" w:rsidRPr="006C192E" w:rsidRDefault="005F10CD" w:rsidP="0048095A">
      <w:pPr>
        <w:keepNext/>
        <w:autoSpaceDE w:val="0"/>
        <w:autoSpaceDN w:val="0"/>
        <w:adjustRightInd w:val="0"/>
        <w:ind w:left="567"/>
        <w:rPr>
          <w:rFonts w:cs="Arial"/>
          <w:u w:val="single"/>
        </w:rPr>
      </w:pPr>
      <w:r w:rsidRPr="006C192E">
        <w:rPr>
          <w:rFonts w:cs="Arial"/>
          <w:u w:val="single"/>
        </w:rPr>
        <w:t>Überblick über das Interesse an den Pflanzen</w:t>
      </w:r>
    </w:p>
    <w:p w14:paraId="6F18D7B5" w14:textId="77777777" w:rsidR="005F10CD" w:rsidRDefault="005F10CD" w:rsidP="0048095A">
      <w:pPr>
        <w:keepNext/>
        <w:autoSpaceDE w:val="0"/>
        <w:autoSpaceDN w:val="0"/>
        <w:adjustRightInd w:val="0"/>
        <w:rPr>
          <w:rFonts w:cs="Arial"/>
        </w:rPr>
      </w:pPr>
    </w:p>
    <w:tbl>
      <w:tblPr>
        <w:tblW w:w="0" w:type="auto"/>
        <w:tblInd w:w="562" w:type="dxa"/>
        <w:tblLayout w:type="fixed"/>
        <w:tblLook w:val="0000" w:firstRow="0" w:lastRow="0" w:firstColumn="0" w:lastColumn="0" w:noHBand="0" w:noVBand="0"/>
      </w:tblPr>
      <w:tblGrid>
        <w:gridCol w:w="2122"/>
        <w:gridCol w:w="6804"/>
      </w:tblGrid>
      <w:tr w:rsidR="005F10CD" w14:paraId="7E471129"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27182F45" w14:textId="77777777" w:rsidR="005F10CD" w:rsidRDefault="005F10CD" w:rsidP="0048095A">
            <w:pPr>
              <w:keepNext/>
              <w:autoSpaceDE w:val="0"/>
              <w:autoSpaceDN w:val="0"/>
              <w:adjustRightInd w:val="0"/>
              <w:rPr>
                <w:rFonts w:ascii="Calibri" w:hAnsi="Calibri" w:cs="Calibri"/>
              </w:rPr>
            </w:pPr>
            <w:r>
              <w:rPr>
                <w:rFonts w:cs="Arial"/>
                <w:sz w:val="18"/>
                <w:szCs w:val="18"/>
              </w:rPr>
              <w:t>Gerste</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65DA2EEC" w14:textId="77777777" w:rsidR="005F10CD" w:rsidRDefault="005F10CD" w:rsidP="0048095A">
            <w:pPr>
              <w:keepNext/>
              <w:autoSpaceDE w:val="0"/>
              <w:autoSpaceDN w:val="0"/>
              <w:adjustRightInd w:val="0"/>
              <w:rPr>
                <w:rFonts w:ascii="Calibri" w:hAnsi="Calibri" w:cs="Calibri"/>
              </w:rPr>
            </w:pPr>
            <w:r>
              <w:rPr>
                <w:rFonts w:cs="Arial"/>
                <w:sz w:val="18"/>
                <w:szCs w:val="18"/>
              </w:rPr>
              <w:t xml:space="preserve">Argentinien, Estland, Deutschland, Italien, Vereinigtes Königreich, ISTA </w:t>
            </w:r>
          </w:p>
        </w:tc>
      </w:tr>
      <w:tr w:rsidR="005F10CD" w14:paraId="09EF67A9"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076A54A6" w14:textId="77777777" w:rsidR="005F10CD" w:rsidRDefault="005F10CD" w:rsidP="0048095A">
            <w:pPr>
              <w:keepNext/>
              <w:autoSpaceDE w:val="0"/>
              <w:autoSpaceDN w:val="0"/>
              <w:adjustRightInd w:val="0"/>
              <w:rPr>
                <w:rFonts w:ascii="Calibri" w:hAnsi="Calibri" w:cs="Calibri"/>
              </w:rPr>
            </w:pPr>
            <w:r>
              <w:rPr>
                <w:rFonts w:cs="Arial"/>
                <w:i/>
                <w:iCs/>
                <w:sz w:val="18"/>
                <w:szCs w:val="18"/>
              </w:rPr>
              <w:t>Cannabis sativa</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153E166F" w14:textId="77777777" w:rsidR="005F10CD" w:rsidRDefault="005F10CD" w:rsidP="0048095A">
            <w:pPr>
              <w:keepNext/>
              <w:autoSpaceDE w:val="0"/>
              <w:autoSpaceDN w:val="0"/>
              <w:adjustRightInd w:val="0"/>
              <w:rPr>
                <w:rFonts w:ascii="Calibri" w:hAnsi="Calibri" w:cs="Calibri"/>
              </w:rPr>
            </w:pPr>
            <w:r>
              <w:rPr>
                <w:rFonts w:cs="Arial"/>
                <w:sz w:val="18"/>
                <w:szCs w:val="18"/>
              </w:rPr>
              <w:t>Estland, Italien, Niederlande, Vereinigtes Königreich</w:t>
            </w:r>
          </w:p>
        </w:tc>
      </w:tr>
      <w:tr w:rsidR="005F10CD" w14:paraId="19480C57"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40686EE0" w14:textId="77777777" w:rsidR="005F10CD" w:rsidRDefault="005F10CD">
            <w:pPr>
              <w:autoSpaceDE w:val="0"/>
              <w:autoSpaceDN w:val="0"/>
              <w:adjustRightInd w:val="0"/>
              <w:rPr>
                <w:rFonts w:ascii="Calibri" w:hAnsi="Calibri" w:cs="Calibri"/>
              </w:rPr>
            </w:pPr>
            <w:r>
              <w:rPr>
                <w:rFonts w:cs="Arial"/>
                <w:sz w:val="18"/>
                <w:szCs w:val="18"/>
              </w:rPr>
              <w:t>Baumwolle</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01724EDC" w14:textId="77777777" w:rsidR="005F10CD" w:rsidRDefault="005F10CD">
            <w:pPr>
              <w:autoSpaceDE w:val="0"/>
              <w:autoSpaceDN w:val="0"/>
              <w:adjustRightInd w:val="0"/>
              <w:rPr>
                <w:rFonts w:ascii="Calibri" w:hAnsi="Calibri" w:cs="Calibri"/>
              </w:rPr>
            </w:pPr>
            <w:r>
              <w:rPr>
                <w:rFonts w:cs="Arial"/>
                <w:sz w:val="18"/>
                <w:szCs w:val="18"/>
              </w:rPr>
              <w:t>Argentinien, ISTA</w:t>
            </w:r>
          </w:p>
        </w:tc>
      </w:tr>
      <w:tr w:rsidR="005F10CD" w14:paraId="67FDEC74"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C0E24D8" w14:textId="77777777" w:rsidR="005F10CD" w:rsidRDefault="005F10CD">
            <w:pPr>
              <w:autoSpaceDE w:val="0"/>
              <w:autoSpaceDN w:val="0"/>
              <w:adjustRightInd w:val="0"/>
              <w:rPr>
                <w:rFonts w:ascii="Calibri" w:hAnsi="Calibri" w:cs="Calibri"/>
              </w:rPr>
            </w:pPr>
            <w:r>
              <w:rPr>
                <w:rFonts w:cs="Arial"/>
                <w:sz w:val="18"/>
                <w:szCs w:val="18"/>
              </w:rPr>
              <w:t>Deutsches Weidelgras</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45A86380" w14:textId="77777777" w:rsidR="005F10CD" w:rsidRDefault="005F10CD">
            <w:pPr>
              <w:autoSpaceDE w:val="0"/>
              <w:autoSpaceDN w:val="0"/>
              <w:adjustRightInd w:val="0"/>
              <w:rPr>
                <w:rFonts w:ascii="Calibri" w:hAnsi="Calibri" w:cs="Calibri"/>
              </w:rPr>
            </w:pPr>
            <w:r>
              <w:rPr>
                <w:rFonts w:cs="Arial"/>
                <w:sz w:val="18"/>
                <w:szCs w:val="18"/>
              </w:rPr>
              <w:t>Deutschland, Niederlande, Neuseeland, Vereinigtes Königreich</w:t>
            </w:r>
          </w:p>
        </w:tc>
      </w:tr>
      <w:tr w:rsidR="005F10CD" w14:paraId="17353D34"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13651EDF" w14:textId="77777777" w:rsidR="005F10CD" w:rsidRDefault="005F10CD">
            <w:pPr>
              <w:autoSpaceDE w:val="0"/>
              <w:autoSpaceDN w:val="0"/>
              <w:adjustRightInd w:val="0"/>
              <w:rPr>
                <w:rFonts w:ascii="Calibri" w:hAnsi="Calibri" w:cs="Calibri"/>
              </w:rPr>
            </w:pPr>
            <w:r>
              <w:rPr>
                <w:rFonts w:cs="Arial"/>
                <w:sz w:val="18"/>
                <w:szCs w:val="18"/>
              </w:rPr>
              <w:t>Kartoffel</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295E06BD" w14:textId="77777777" w:rsidR="005F10CD" w:rsidRDefault="005F10CD">
            <w:pPr>
              <w:autoSpaceDE w:val="0"/>
              <w:autoSpaceDN w:val="0"/>
              <w:adjustRightInd w:val="0"/>
              <w:rPr>
                <w:rFonts w:ascii="Calibri" w:hAnsi="Calibri" w:cs="Calibri"/>
              </w:rPr>
            </w:pPr>
            <w:r>
              <w:rPr>
                <w:rFonts w:cs="Arial"/>
                <w:sz w:val="18"/>
                <w:szCs w:val="18"/>
              </w:rPr>
              <w:t>Estland, Deutschland, Niederlande, Russische Föderation, Vereinigtes Königreich</w:t>
            </w:r>
          </w:p>
        </w:tc>
      </w:tr>
      <w:tr w:rsidR="005F10CD" w14:paraId="06DD80F9"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079C4BC" w14:textId="77777777" w:rsidR="005F10CD" w:rsidRDefault="005F10CD">
            <w:pPr>
              <w:autoSpaceDE w:val="0"/>
              <w:autoSpaceDN w:val="0"/>
              <w:adjustRightInd w:val="0"/>
              <w:rPr>
                <w:rFonts w:ascii="Calibri" w:hAnsi="Calibri" w:cs="Calibri"/>
              </w:rPr>
            </w:pPr>
            <w:r>
              <w:rPr>
                <w:rFonts w:cs="Arial"/>
                <w:sz w:val="18"/>
                <w:szCs w:val="18"/>
              </w:rPr>
              <w:t>Reis</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0A7D6021" w14:textId="77777777" w:rsidR="005F10CD" w:rsidRDefault="005F10CD">
            <w:pPr>
              <w:autoSpaceDE w:val="0"/>
              <w:autoSpaceDN w:val="0"/>
              <w:adjustRightInd w:val="0"/>
              <w:rPr>
                <w:rFonts w:ascii="Calibri" w:hAnsi="Calibri" w:cs="Calibri"/>
              </w:rPr>
            </w:pPr>
            <w:r>
              <w:rPr>
                <w:rFonts w:cs="Arial"/>
                <w:sz w:val="18"/>
                <w:szCs w:val="18"/>
              </w:rPr>
              <w:t>Argentinien, China, Italien, Japan, ISTA</w:t>
            </w:r>
          </w:p>
        </w:tc>
      </w:tr>
      <w:tr w:rsidR="005F10CD" w14:paraId="57F802D5"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AA97FA9" w14:textId="77777777" w:rsidR="005F10CD" w:rsidRDefault="005F10CD">
            <w:pPr>
              <w:autoSpaceDE w:val="0"/>
              <w:autoSpaceDN w:val="0"/>
              <w:adjustRightInd w:val="0"/>
              <w:rPr>
                <w:rFonts w:ascii="Calibri" w:hAnsi="Calibri" w:cs="Calibri"/>
              </w:rPr>
            </w:pPr>
            <w:r>
              <w:rPr>
                <w:rFonts w:cs="Arial"/>
                <w:sz w:val="18"/>
                <w:szCs w:val="18"/>
              </w:rPr>
              <w:t>Sonnenblume</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539360DE" w14:textId="77777777" w:rsidR="005F10CD" w:rsidRDefault="005F10CD">
            <w:pPr>
              <w:autoSpaceDE w:val="0"/>
              <w:autoSpaceDN w:val="0"/>
              <w:adjustRightInd w:val="0"/>
              <w:rPr>
                <w:rFonts w:ascii="Calibri" w:hAnsi="Calibri" w:cs="Calibri"/>
              </w:rPr>
            </w:pPr>
            <w:r>
              <w:rPr>
                <w:rFonts w:cs="Arial"/>
                <w:sz w:val="18"/>
                <w:szCs w:val="18"/>
              </w:rPr>
              <w:t>Russische Föderation</w:t>
            </w:r>
          </w:p>
        </w:tc>
      </w:tr>
      <w:tr w:rsidR="005F10CD" w14:paraId="292807CE"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60918B94" w14:textId="77777777" w:rsidR="005F10CD" w:rsidRDefault="005F10CD">
            <w:pPr>
              <w:autoSpaceDE w:val="0"/>
              <w:autoSpaceDN w:val="0"/>
              <w:adjustRightInd w:val="0"/>
              <w:rPr>
                <w:rFonts w:ascii="Calibri" w:hAnsi="Calibri" w:cs="Calibri"/>
              </w:rPr>
            </w:pPr>
            <w:r>
              <w:rPr>
                <w:rFonts w:cs="Arial"/>
                <w:sz w:val="18"/>
                <w:szCs w:val="18"/>
              </w:rPr>
              <w:t>Süßkartoffel</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4AA4A3AD" w14:textId="77777777" w:rsidR="005F10CD" w:rsidRDefault="005F10CD">
            <w:pPr>
              <w:autoSpaceDE w:val="0"/>
              <w:autoSpaceDN w:val="0"/>
              <w:adjustRightInd w:val="0"/>
              <w:rPr>
                <w:rFonts w:ascii="Calibri" w:hAnsi="Calibri" w:cs="Calibri"/>
              </w:rPr>
            </w:pPr>
            <w:r>
              <w:rPr>
                <w:rFonts w:cs="Arial"/>
                <w:sz w:val="18"/>
                <w:szCs w:val="18"/>
              </w:rPr>
              <w:t xml:space="preserve">Vereinigtes Königreich </w:t>
            </w:r>
          </w:p>
        </w:tc>
      </w:tr>
      <w:tr w:rsidR="005F10CD" w14:paraId="7774FB68"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FC02926" w14:textId="77777777" w:rsidR="005F10CD" w:rsidRDefault="005F10CD">
            <w:pPr>
              <w:autoSpaceDE w:val="0"/>
              <w:autoSpaceDN w:val="0"/>
              <w:adjustRightInd w:val="0"/>
              <w:rPr>
                <w:rFonts w:ascii="Calibri" w:hAnsi="Calibri" w:cs="Calibri"/>
              </w:rPr>
            </w:pPr>
            <w:r>
              <w:rPr>
                <w:rFonts w:cs="Arial"/>
                <w:sz w:val="18"/>
                <w:szCs w:val="18"/>
              </w:rPr>
              <w:t>Weizen</w:t>
            </w:r>
          </w:p>
        </w:tc>
        <w:tc>
          <w:tcPr>
            <w:tcW w:w="6804" w:type="dxa"/>
            <w:tcBorders>
              <w:top w:val="single" w:sz="3" w:space="0" w:color="000000"/>
              <w:left w:val="single" w:sz="3" w:space="0" w:color="000000"/>
              <w:bottom w:val="single" w:sz="3" w:space="0" w:color="000000"/>
              <w:right w:val="single" w:sz="3" w:space="0" w:color="000000"/>
            </w:tcBorders>
            <w:shd w:val="clear" w:color="000000" w:fill="FFFFFF"/>
          </w:tcPr>
          <w:p w14:paraId="09F7834E" w14:textId="77777777" w:rsidR="005F10CD" w:rsidRDefault="005F10CD">
            <w:pPr>
              <w:autoSpaceDE w:val="0"/>
              <w:autoSpaceDN w:val="0"/>
              <w:adjustRightInd w:val="0"/>
              <w:rPr>
                <w:rFonts w:ascii="Calibri" w:hAnsi="Calibri" w:cs="Calibri"/>
              </w:rPr>
            </w:pPr>
            <w:r>
              <w:rPr>
                <w:rFonts w:cs="Arial"/>
                <w:sz w:val="18"/>
                <w:szCs w:val="18"/>
              </w:rPr>
              <w:t>Argentinien, China, Estland, Deutschland, Italien, Vereinigtes Königreich, ISTA</w:t>
            </w:r>
          </w:p>
        </w:tc>
      </w:tr>
    </w:tbl>
    <w:p w14:paraId="5DDDCE33" w14:textId="77777777" w:rsidR="005F10CD" w:rsidRDefault="005F10CD" w:rsidP="005F10CD">
      <w:pPr>
        <w:autoSpaceDE w:val="0"/>
        <w:autoSpaceDN w:val="0"/>
        <w:adjustRightInd w:val="0"/>
        <w:rPr>
          <w:rFonts w:cs="Arial"/>
        </w:rPr>
      </w:pPr>
    </w:p>
    <w:p w14:paraId="213C5977" w14:textId="77777777" w:rsidR="005F10CD" w:rsidRPr="006C192E" w:rsidRDefault="005F10CD" w:rsidP="005F10CD">
      <w:pPr>
        <w:keepNext/>
        <w:autoSpaceDE w:val="0"/>
        <w:autoSpaceDN w:val="0"/>
        <w:adjustRightInd w:val="0"/>
        <w:ind w:left="567"/>
        <w:rPr>
          <w:rFonts w:cs="Arial"/>
          <w:u w:val="single"/>
        </w:rPr>
      </w:pPr>
      <w:r w:rsidRPr="006C192E">
        <w:rPr>
          <w:rFonts w:cs="Arial"/>
          <w:u w:val="single"/>
        </w:rPr>
        <w:t>Vorhaben für eine Zusammenarbeit</w:t>
      </w:r>
    </w:p>
    <w:p w14:paraId="2340E307" w14:textId="77777777" w:rsidR="005F10CD" w:rsidRPr="006C192E" w:rsidRDefault="005F10CD" w:rsidP="005F10CD">
      <w:pPr>
        <w:autoSpaceDE w:val="0"/>
        <w:autoSpaceDN w:val="0"/>
        <w:adjustRightInd w:val="0"/>
        <w:rPr>
          <w:rFonts w:cs="Arial"/>
        </w:rPr>
      </w:pPr>
    </w:p>
    <w:p w14:paraId="0B52513F" w14:textId="77777777" w:rsidR="005F10CD" w:rsidRPr="006C192E" w:rsidRDefault="005F10CD" w:rsidP="005F10CD">
      <w:pPr>
        <w:numPr>
          <w:ilvl w:val="0"/>
          <w:numId w:val="1"/>
        </w:numPr>
        <w:autoSpaceDE w:val="0"/>
        <w:autoSpaceDN w:val="0"/>
        <w:adjustRightInd w:val="0"/>
        <w:ind w:left="720" w:hanging="360"/>
        <w:rPr>
          <w:rFonts w:cs="Arial"/>
        </w:rPr>
      </w:pPr>
      <w:r w:rsidRPr="006C192E">
        <w:rPr>
          <w:rFonts w:cs="Arial"/>
        </w:rPr>
        <w:t>Weidelgras:  Belgien, Tschechische Republik und die Niederlande sollen sich über ihre Arbeit und Vorhaben austauschen;</w:t>
      </w:r>
      <w:r w:rsidRPr="006C192E">
        <w:rPr>
          <w:rFonts w:cs="Arial"/>
          <w:color w:val="000000"/>
        </w:rPr>
        <w:t xml:space="preserve">  </w:t>
      </w:r>
    </w:p>
    <w:p w14:paraId="70039F39" w14:textId="77777777" w:rsidR="005F10CD" w:rsidRPr="006C192E" w:rsidRDefault="005F10CD" w:rsidP="005F10CD">
      <w:pPr>
        <w:numPr>
          <w:ilvl w:val="0"/>
          <w:numId w:val="1"/>
        </w:numPr>
        <w:autoSpaceDE w:val="0"/>
        <w:autoSpaceDN w:val="0"/>
        <w:adjustRightInd w:val="0"/>
        <w:ind w:left="720" w:hanging="360"/>
        <w:rPr>
          <w:rFonts w:cs="Arial"/>
        </w:rPr>
      </w:pPr>
      <w:r w:rsidRPr="006C192E">
        <w:rPr>
          <w:rFonts w:cs="Arial"/>
          <w:color w:val="000000"/>
        </w:rPr>
        <w:t>Raps: Frankreich, Deutschland, das CPVO und das Vereinigte Königreich sollen einen Satz molekularer Marker für die Verwaltung von Sortensammlungen entwickeln;</w:t>
      </w:r>
    </w:p>
    <w:p w14:paraId="56003688" w14:textId="77777777" w:rsidR="005F10CD" w:rsidRPr="006C192E" w:rsidRDefault="005F10CD" w:rsidP="005F10CD">
      <w:pPr>
        <w:numPr>
          <w:ilvl w:val="0"/>
          <w:numId w:val="1"/>
        </w:numPr>
        <w:autoSpaceDE w:val="0"/>
        <w:autoSpaceDN w:val="0"/>
        <w:adjustRightInd w:val="0"/>
        <w:ind w:left="720" w:hanging="360"/>
        <w:rPr>
          <w:rFonts w:cs="Arial"/>
        </w:rPr>
      </w:pPr>
      <w:r w:rsidRPr="006C192E">
        <w:rPr>
          <w:rFonts w:cs="Arial"/>
          <w:color w:val="000000"/>
        </w:rPr>
        <w:t>Die an INVITE (</w:t>
      </w:r>
      <w:r w:rsidR="0059090F">
        <w:rPr>
          <w:rFonts w:cs="Arial"/>
          <w:i/>
          <w:iCs/>
          <w:color w:val="000000"/>
        </w:rPr>
        <w:t>In</w:t>
      </w:r>
      <w:r w:rsidRPr="006C192E">
        <w:rPr>
          <w:rFonts w:cs="Arial"/>
          <w:i/>
          <w:iCs/>
          <w:color w:val="000000"/>
        </w:rPr>
        <w:t>novations in plant Var</w:t>
      </w:r>
      <w:r w:rsidR="0059090F">
        <w:rPr>
          <w:rFonts w:cs="Arial"/>
          <w:i/>
          <w:iCs/>
          <w:color w:val="000000"/>
        </w:rPr>
        <w:t>i</w:t>
      </w:r>
      <w:r w:rsidRPr="006C192E">
        <w:rPr>
          <w:rFonts w:cs="Arial"/>
          <w:i/>
          <w:iCs/>
          <w:color w:val="000000"/>
        </w:rPr>
        <w:t>ety Testing in Europe</w:t>
      </w:r>
      <w:r w:rsidRPr="006C192E">
        <w:rPr>
          <w:rFonts w:cs="Arial"/>
          <w:color w:val="000000"/>
        </w:rPr>
        <w:t>) und INNOVAR (‚</w:t>
      </w:r>
      <w:r w:rsidRPr="006C192E">
        <w:rPr>
          <w:rFonts w:cs="Arial"/>
          <w:i/>
          <w:iCs/>
          <w:color w:val="000000"/>
        </w:rPr>
        <w:t>Next generation variety testing for improved cropping on European farmland</w:t>
      </w:r>
      <w:r w:rsidRPr="006C192E">
        <w:rPr>
          <w:rFonts w:cs="Arial"/>
          <w:color w:val="000000"/>
        </w:rPr>
        <w:t>‘) (Umfang: 10 Pflanzen) teilnehmenden Länder sollen einen Markersatz zur Sortenprüfung entwickeln;</w:t>
      </w:r>
    </w:p>
    <w:p w14:paraId="6138DDBD" w14:textId="77777777" w:rsidR="005F10CD" w:rsidRPr="006C192E" w:rsidRDefault="005F10CD" w:rsidP="005F10CD">
      <w:pPr>
        <w:numPr>
          <w:ilvl w:val="0"/>
          <w:numId w:val="1"/>
        </w:numPr>
        <w:autoSpaceDE w:val="0"/>
        <w:autoSpaceDN w:val="0"/>
        <w:adjustRightInd w:val="0"/>
        <w:ind w:left="720" w:hanging="360"/>
        <w:rPr>
          <w:rFonts w:cs="Arial"/>
        </w:rPr>
      </w:pPr>
      <w:r w:rsidRPr="006C192E">
        <w:rPr>
          <w:rFonts w:cs="Arial"/>
          <w:color w:val="000000"/>
        </w:rPr>
        <w:t>Argentinien soll die BMT-Teilnehmer hinsichtlich der Markersätze für Gerste, Baumwolle, Reis und Weizen ansprechen.</w:t>
      </w:r>
    </w:p>
    <w:p w14:paraId="5D9F8FCC" w14:textId="77777777" w:rsidR="005F10CD" w:rsidRPr="006C192E" w:rsidRDefault="005F10CD" w:rsidP="005F10CD">
      <w:pPr>
        <w:autoSpaceDE w:val="0"/>
        <w:autoSpaceDN w:val="0"/>
        <w:adjustRightInd w:val="0"/>
        <w:rPr>
          <w:rFonts w:cs="Arial"/>
        </w:rPr>
      </w:pPr>
    </w:p>
    <w:p w14:paraId="4D5C73C7" w14:textId="77777777" w:rsidR="005F10CD" w:rsidRDefault="005F10CD" w:rsidP="005F10CD">
      <w:pPr>
        <w:keepNext/>
        <w:autoSpaceDE w:val="0"/>
        <w:autoSpaceDN w:val="0"/>
        <w:adjustRightInd w:val="0"/>
        <w:ind w:left="567"/>
        <w:rPr>
          <w:rFonts w:cs="Arial"/>
          <w:u w:val="single"/>
        </w:rPr>
      </w:pPr>
      <w:r>
        <w:rPr>
          <w:rFonts w:cs="Arial"/>
          <w:u w:val="single"/>
        </w:rPr>
        <w:t>Überblick über die derzeitige Verwendung chemischer und molekularer Verfahren</w:t>
      </w:r>
    </w:p>
    <w:p w14:paraId="6ED27DFE" w14:textId="77777777" w:rsidR="005F10CD" w:rsidRDefault="005F10CD" w:rsidP="005F10CD">
      <w:pPr>
        <w:keepNext/>
        <w:autoSpaceDE w:val="0"/>
        <w:autoSpaceDN w:val="0"/>
        <w:adjustRightInd w:val="0"/>
        <w:rPr>
          <w:rFonts w:cs="Arial"/>
        </w:rPr>
      </w:pPr>
    </w:p>
    <w:tbl>
      <w:tblPr>
        <w:tblW w:w="0" w:type="auto"/>
        <w:tblInd w:w="670" w:type="dxa"/>
        <w:tblLayout w:type="fixed"/>
        <w:tblLook w:val="0000" w:firstRow="0" w:lastRow="0" w:firstColumn="0" w:lastColumn="0" w:noHBand="0" w:noVBand="0"/>
      </w:tblPr>
      <w:tblGrid>
        <w:gridCol w:w="9072"/>
      </w:tblGrid>
      <w:tr w:rsidR="005F10CD" w14:paraId="3E5106CA"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1C387E46"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Nieder</w:t>
            </w:r>
            <w:r w:rsidR="0059090F">
              <w:rPr>
                <w:rFonts w:cs="Arial"/>
                <w:sz w:val="18"/>
                <w:szCs w:val="18"/>
              </w:rPr>
              <w:t>l</w:t>
            </w:r>
            <w:r>
              <w:rPr>
                <w:rFonts w:cs="Arial"/>
                <w:sz w:val="18"/>
                <w:szCs w:val="18"/>
              </w:rPr>
              <w:t>ande und Vereinigtes Königreich SNP zur Verwaltung von Sortensammlungen</w:t>
            </w:r>
          </w:p>
        </w:tc>
      </w:tr>
      <w:tr w:rsidR="005F10CD" w14:paraId="1B1761DA"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457E5889"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China:  90K SNP-Chip für Weizen; Entwicklung eines SSR-Prüfstandards für Weizen; Einrichtung einer Datenbank für Sorten von Weizen; SSR-Marker zur Auswahl ähnlicher Sorten und zur Sortenreinheit</w:t>
            </w:r>
          </w:p>
        </w:tc>
      </w:tr>
      <w:tr w:rsidR="005F10CD" w14:paraId="21F79455"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6B11B91E"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Deutschland: Elektrophorese bei Gerste, Weizen und Hafer, Weidelgras und Kartoffel zur DUS-Prüfung</w:t>
            </w:r>
          </w:p>
        </w:tc>
      </w:tr>
      <w:tr w:rsidR="005F10CD" w14:paraId="1E11A585"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32025207"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Italien: Elektrophorese bei Mais, Sonnenblume, Weizen und Gerste zur DUS-Prüfung und Sortenidentifikation; SSR für Sortenhybridität bei Reis und zur Sortenidentifikation</w:t>
            </w:r>
          </w:p>
        </w:tc>
      </w:tr>
      <w:tr w:rsidR="005F10CD" w14:paraId="0E2C69AD"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2607A407"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Japan: RAPD-STS-Marker für Verletzungsstreitigkeiten bezüglich Gartenbohne und Reis</w:t>
            </w:r>
          </w:p>
        </w:tc>
      </w:tr>
      <w:tr w:rsidR="005F10CD" w14:paraId="76E2C033"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58DED01D" w14:textId="77777777" w:rsidR="005F10CD" w:rsidRDefault="006C192E">
            <w:pPr>
              <w:autoSpaceDE w:val="0"/>
              <w:autoSpaceDN w:val="0"/>
              <w:adjustRightInd w:val="0"/>
              <w:rPr>
                <w:rFonts w:ascii="Calibri" w:hAnsi="Calibri" w:cs="Calibri"/>
              </w:rPr>
            </w:pPr>
            <w:r>
              <w:rPr>
                <w:rFonts w:cs="Arial"/>
                <w:sz w:val="18"/>
                <w:szCs w:val="18"/>
              </w:rPr>
              <w:t xml:space="preserve"> </w:t>
            </w:r>
            <w:r w:rsidR="005F10CD">
              <w:rPr>
                <w:rFonts w:cs="Arial"/>
                <w:sz w:val="18"/>
                <w:szCs w:val="18"/>
              </w:rPr>
              <w:t xml:space="preserve">Russische Föderation: SSR zur Identifikation bei Sonnenblume und Kartoffel.  </w:t>
            </w:r>
          </w:p>
        </w:tc>
      </w:tr>
      <w:tr w:rsidR="005F10CD" w14:paraId="7F060B7E"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3F4524B"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Vereinigtes Königreich: Elektrophorese für Gerste, Weizen und Hafer sowie Weidelgras zur DUS-Prüfung; SSR und SNP zur Validierung von Proben und zur Sortenidentifikation</w:t>
            </w:r>
          </w:p>
        </w:tc>
      </w:tr>
      <w:tr w:rsidR="005F10CD" w14:paraId="15BA8336"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25F3D18B"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ISTA:  Mais, Weizen und Sojabohne: SSR und Elektrophorese; Gerste: SSR; sonstige Pflanzen: Elektrophorese</w:t>
            </w:r>
          </w:p>
        </w:tc>
      </w:tr>
    </w:tbl>
    <w:p w14:paraId="2F486D8F" w14:textId="77777777" w:rsidR="005F10CD" w:rsidRDefault="005F10CD" w:rsidP="005F10CD">
      <w:pPr>
        <w:keepNext/>
        <w:autoSpaceDE w:val="0"/>
        <w:autoSpaceDN w:val="0"/>
        <w:adjustRightInd w:val="0"/>
        <w:ind w:left="567"/>
        <w:rPr>
          <w:rFonts w:cs="Arial"/>
          <w:u w:val="single"/>
        </w:rPr>
      </w:pPr>
    </w:p>
    <w:p w14:paraId="089FD09C" w14:textId="77777777" w:rsidR="005F10CD" w:rsidRPr="006C192E" w:rsidRDefault="005F10CD" w:rsidP="005F10CD">
      <w:pPr>
        <w:keepNext/>
        <w:autoSpaceDE w:val="0"/>
        <w:autoSpaceDN w:val="0"/>
        <w:adjustRightInd w:val="0"/>
        <w:ind w:left="567"/>
        <w:rPr>
          <w:rFonts w:cs="Arial"/>
          <w:u w:val="single"/>
        </w:rPr>
      </w:pPr>
      <w:r w:rsidRPr="006C192E">
        <w:rPr>
          <w:rFonts w:cs="Arial"/>
          <w:u w:val="single"/>
        </w:rPr>
        <w:t>Vorschläge zu Geheimhaltung und Datenzugang</w:t>
      </w:r>
    </w:p>
    <w:p w14:paraId="761292FC" w14:textId="77777777" w:rsidR="005F10CD" w:rsidRPr="006C192E" w:rsidRDefault="005F10CD" w:rsidP="005F10CD">
      <w:pPr>
        <w:keepNext/>
        <w:autoSpaceDE w:val="0"/>
        <w:autoSpaceDN w:val="0"/>
        <w:adjustRightInd w:val="0"/>
        <w:rPr>
          <w:rFonts w:cs="Arial"/>
        </w:rPr>
      </w:pPr>
    </w:p>
    <w:p w14:paraId="419DD518" w14:textId="77777777" w:rsidR="005F10CD" w:rsidRPr="006C192E" w:rsidRDefault="005F10CD" w:rsidP="005F10CD">
      <w:pPr>
        <w:autoSpaceDE w:val="0"/>
        <w:autoSpaceDN w:val="0"/>
        <w:adjustRightInd w:val="0"/>
        <w:rPr>
          <w:rFonts w:cs="Arial"/>
        </w:rPr>
      </w:pPr>
      <w:r w:rsidRPr="006C192E">
        <w:rPr>
          <w:rFonts w:cs="Arial"/>
        </w:rPr>
        <w:t>Die Teilnehmer der Diskussionsgruppe zu sonstigen landwirtschaftlichen Pflanzen stimmten den Vorschlägen der Diskussionsgruppe zu Mais und Sojabohne zu.</w:t>
      </w:r>
    </w:p>
    <w:p w14:paraId="5F04C3D2" w14:textId="77777777" w:rsidR="005F10CD" w:rsidRPr="006C192E" w:rsidRDefault="005F10CD" w:rsidP="005F10CD">
      <w:pPr>
        <w:keepNext/>
        <w:autoSpaceDE w:val="0"/>
        <w:autoSpaceDN w:val="0"/>
        <w:adjustRightInd w:val="0"/>
        <w:spacing w:before="120" w:after="240"/>
        <w:rPr>
          <w:rFonts w:cs="Arial"/>
          <w:i/>
          <w:iCs/>
        </w:rPr>
      </w:pPr>
      <w:r w:rsidRPr="006C192E">
        <w:rPr>
          <w:rFonts w:cs="Arial"/>
          <w:i/>
          <w:iCs/>
        </w:rPr>
        <w:t>Gemüsearten</w:t>
      </w:r>
    </w:p>
    <w:p w14:paraId="54D941C7" w14:textId="77777777" w:rsidR="005F10CD" w:rsidRPr="006C192E" w:rsidRDefault="005F10CD" w:rsidP="005F10CD">
      <w:pPr>
        <w:keepNext/>
        <w:autoSpaceDE w:val="0"/>
        <w:autoSpaceDN w:val="0"/>
        <w:adjustRightInd w:val="0"/>
        <w:ind w:left="567"/>
        <w:rPr>
          <w:rFonts w:cs="Arial"/>
          <w:u w:val="single"/>
        </w:rPr>
      </w:pPr>
      <w:r w:rsidRPr="006C192E">
        <w:rPr>
          <w:rFonts w:cs="Arial"/>
          <w:u w:val="single"/>
        </w:rPr>
        <w:t>Überblick über das Interesse an den Pflanzen</w:t>
      </w:r>
    </w:p>
    <w:p w14:paraId="2DBD5E1D" w14:textId="77777777" w:rsidR="005F10CD" w:rsidRDefault="005F10CD" w:rsidP="005F10CD">
      <w:pPr>
        <w:autoSpaceDE w:val="0"/>
        <w:autoSpaceDN w:val="0"/>
        <w:adjustRightInd w:val="0"/>
        <w:rPr>
          <w:rFonts w:cs="Arial"/>
        </w:rPr>
      </w:pPr>
    </w:p>
    <w:tbl>
      <w:tblPr>
        <w:tblW w:w="0" w:type="auto"/>
        <w:tblInd w:w="562" w:type="dxa"/>
        <w:tblLayout w:type="fixed"/>
        <w:tblLook w:val="0000" w:firstRow="0" w:lastRow="0" w:firstColumn="0" w:lastColumn="0" w:noHBand="0" w:noVBand="0"/>
      </w:tblPr>
      <w:tblGrid>
        <w:gridCol w:w="2122"/>
        <w:gridCol w:w="7058"/>
      </w:tblGrid>
      <w:tr w:rsidR="005F10CD" w14:paraId="167FF20B"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54D04AD0" w14:textId="77777777" w:rsidR="005F10CD" w:rsidRDefault="005F10CD">
            <w:pPr>
              <w:autoSpaceDE w:val="0"/>
              <w:autoSpaceDN w:val="0"/>
              <w:adjustRightInd w:val="0"/>
              <w:rPr>
                <w:rFonts w:ascii="Calibri" w:hAnsi="Calibri" w:cs="Calibri"/>
              </w:rPr>
            </w:pPr>
            <w:r>
              <w:rPr>
                <w:rFonts w:cs="Arial"/>
                <w:sz w:val="18"/>
                <w:szCs w:val="18"/>
              </w:rPr>
              <w:t>Kohl</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55D2E3F4" w14:textId="77777777" w:rsidR="005F10CD" w:rsidRDefault="005F10CD">
            <w:pPr>
              <w:autoSpaceDE w:val="0"/>
              <w:autoSpaceDN w:val="0"/>
              <w:adjustRightInd w:val="0"/>
              <w:rPr>
                <w:rFonts w:ascii="Calibri" w:hAnsi="Calibri" w:cs="Calibri"/>
              </w:rPr>
            </w:pPr>
            <w:r>
              <w:rPr>
                <w:rFonts w:cs="Arial"/>
                <w:sz w:val="18"/>
                <w:szCs w:val="18"/>
              </w:rPr>
              <w:t>China, Republik Korea</w:t>
            </w:r>
          </w:p>
        </w:tc>
      </w:tr>
      <w:tr w:rsidR="005F10CD" w14:paraId="2416F7D1"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457540C6" w14:textId="77777777" w:rsidR="005F10CD" w:rsidRDefault="005F10CD">
            <w:pPr>
              <w:autoSpaceDE w:val="0"/>
              <w:autoSpaceDN w:val="0"/>
              <w:adjustRightInd w:val="0"/>
              <w:rPr>
                <w:rFonts w:ascii="Calibri" w:hAnsi="Calibri" w:cs="Calibri"/>
              </w:rPr>
            </w:pPr>
            <w:r>
              <w:rPr>
                <w:rFonts w:cs="Arial"/>
                <w:sz w:val="18"/>
                <w:szCs w:val="18"/>
              </w:rPr>
              <w:t>Chinakohl</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3E42CF49" w14:textId="77777777" w:rsidR="005F10CD" w:rsidRDefault="005F10CD">
            <w:pPr>
              <w:autoSpaceDE w:val="0"/>
              <w:autoSpaceDN w:val="0"/>
              <w:adjustRightInd w:val="0"/>
              <w:rPr>
                <w:rFonts w:ascii="Calibri" w:hAnsi="Calibri" w:cs="Calibri"/>
              </w:rPr>
            </w:pPr>
            <w:r>
              <w:rPr>
                <w:rFonts w:cs="Arial"/>
                <w:sz w:val="18"/>
                <w:szCs w:val="18"/>
              </w:rPr>
              <w:t>China, Republik Korea</w:t>
            </w:r>
          </w:p>
        </w:tc>
      </w:tr>
      <w:tr w:rsidR="005F10CD" w14:paraId="2F54DF65"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202DCDAB" w14:textId="77777777" w:rsidR="005F10CD" w:rsidRDefault="005F10CD">
            <w:pPr>
              <w:autoSpaceDE w:val="0"/>
              <w:autoSpaceDN w:val="0"/>
              <w:adjustRightInd w:val="0"/>
              <w:rPr>
                <w:rFonts w:ascii="Calibri" w:hAnsi="Calibri" w:cs="Calibri"/>
              </w:rPr>
            </w:pPr>
            <w:r>
              <w:rPr>
                <w:rFonts w:cs="Arial"/>
                <w:sz w:val="18"/>
                <w:szCs w:val="18"/>
              </w:rPr>
              <w:t>Gurke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1837CA34" w14:textId="77777777" w:rsidR="005F10CD" w:rsidRDefault="005F10CD">
            <w:pPr>
              <w:autoSpaceDE w:val="0"/>
              <w:autoSpaceDN w:val="0"/>
              <w:adjustRightInd w:val="0"/>
              <w:rPr>
                <w:rFonts w:ascii="Calibri" w:hAnsi="Calibri" w:cs="Calibri"/>
              </w:rPr>
            </w:pPr>
            <w:r>
              <w:rPr>
                <w:rFonts w:cs="Arial"/>
                <w:color w:val="000000"/>
                <w:sz w:val="18"/>
                <w:szCs w:val="18"/>
              </w:rPr>
              <w:t xml:space="preserve">China, Niederlande, </w:t>
            </w:r>
            <w:r>
              <w:rPr>
                <w:rFonts w:cs="Arial"/>
                <w:sz w:val="18"/>
                <w:szCs w:val="18"/>
              </w:rPr>
              <w:t>Republik Korea</w:t>
            </w:r>
          </w:p>
        </w:tc>
      </w:tr>
      <w:tr w:rsidR="005F10CD" w14:paraId="3CB8FACD"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660AE980" w14:textId="77777777" w:rsidR="005F10CD" w:rsidRDefault="005F10CD">
            <w:pPr>
              <w:autoSpaceDE w:val="0"/>
              <w:autoSpaceDN w:val="0"/>
              <w:adjustRightInd w:val="0"/>
              <w:rPr>
                <w:rFonts w:ascii="Calibri" w:hAnsi="Calibri" w:cs="Calibri"/>
              </w:rPr>
            </w:pPr>
            <w:r>
              <w:rPr>
                <w:rFonts w:cs="Arial"/>
                <w:sz w:val="18"/>
                <w:szCs w:val="18"/>
              </w:rPr>
              <w:t>Aubergine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4BACBC19" w14:textId="77777777" w:rsidR="005F10CD" w:rsidRDefault="005F10CD">
            <w:pPr>
              <w:autoSpaceDE w:val="0"/>
              <w:autoSpaceDN w:val="0"/>
              <w:adjustRightInd w:val="0"/>
              <w:rPr>
                <w:rFonts w:ascii="Calibri" w:hAnsi="Calibri" w:cs="Calibri"/>
              </w:rPr>
            </w:pPr>
            <w:r>
              <w:rPr>
                <w:rFonts w:cs="Arial"/>
                <w:color w:val="000000"/>
                <w:sz w:val="18"/>
                <w:szCs w:val="18"/>
              </w:rPr>
              <w:t>Italien</w:t>
            </w:r>
          </w:p>
        </w:tc>
      </w:tr>
      <w:tr w:rsidR="005F10CD" w14:paraId="7A318F6A"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1F7A5DA5" w14:textId="77777777" w:rsidR="005F10CD" w:rsidRDefault="005F10CD">
            <w:pPr>
              <w:autoSpaceDE w:val="0"/>
              <w:autoSpaceDN w:val="0"/>
              <w:adjustRightInd w:val="0"/>
              <w:rPr>
                <w:rFonts w:ascii="Calibri" w:hAnsi="Calibri" w:cs="Calibri"/>
              </w:rPr>
            </w:pPr>
            <w:r>
              <w:rPr>
                <w:rFonts w:cs="Arial"/>
                <w:sz w:val="18"/>
                <w:szCs w:val="18"/>
              </w:rPr>
              <w:t>Gartenbohne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34674E3F" w14:textId="77777777" w:rsidR="005F10CD" w:rsidRDefault="005F10CD">
            <w:pPr>
              <w:autoSpaceDE w:val="0"/>
              <w:autoSpaceDN w:val="0"/>
              <w:adjustRightInd w:val="0"/>
              <w:rPr>
                <w:rFonts w:ascii="Calibri" w:hAnsi="Calibri" w:cs="Calibri"/>
              </w:rPr>
            </w:pPr>
            <w:r>
              <w:rPr>
                <w:rFonts w:cs="Arial"/>
                <w:color w:val="000000"/>
                <w:sz w:val="18"/>
                <w:szCs w:val="18"/>
              </w:rPr>
              <w:t>Niederlande</w:t>
            </w:r>
          </w:p>
        </w:tc>
      </w:tr>
      <w:tr w:rsidR="005F10CD" w14:paraId="362B3044"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5A57CF1D" w14:textId="77777777" w:rsidR="005F10CD" w:rsidRDefault="005F10CD">
            <w:pPr>
              <w:autoSpaceDE w:val="0"/>
              <w:autoSpaceDN w:val="0"/>
              <w:adjustRightInd w:val="0"/>
              <w:rPr>
                <w:rFonts w:ascii="Calibri" w:hAnsi="Calibri" w:cs="Calibri"/>
              </w:rPr>
            </w:pPr>
            <w:r>
              <w:rPr>
                <w:rFonts w:cs="Arial"/>
                <w:sz w:val="18"/>
                <w:szCs w:val="18"/>
              </w:rPr>
              <w:t>Salat</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75B1843E" w14:textId="77777777" w:rsidR="005F10CD" w:rsidRDefault="005F10CD">
            <w:pPr>
              <w:autoSpaceDE w:val="0"/>
              <w:autoSpaceDN w:val="0"/>
              <w:adjustRightInd w:val="0"/>
              <w:rPr>
                <w:rFonts w:ascii="Calibri" w:hAnsi="Calibri" w:cs="Calibri"/>
              </w:rPr>
            </w:pPr>
            <w:r>
              <w:rPr>
                <w:rFonts w:cs="Arial"/>
                <w:sz w:val="18"/>
                <w:szCs w:val="18"/>
              </w:rPr>
              <w:t xml:space="preserve">Australien, Italien, </w:t>
            </w:r>
            <w:r>
              <w:rPr>
                <w:rFonts w:cs="Arial"/>
                <w:color w:val="000000"/>
                <w:sz w:val="18"/>
                <w:szCs w:val="18"/>
              </w:rPr>
              <w:t xml:space="preserve">Niederlande, </w:t>
            </w:r>
            <w:r>
              <w:rPr>
                <w:rFonts w:cs="Arial"/>
                <w:sz w:val="18"/>
                <w:szCs w:val="18"/>
              </w:rPr>
              <w:t xml:space="preserve">Republik Korea </w:t>
            </w:r>
          </w:p>
        </w:tc>
      </w:tr>
      <w:tr w:rsidR="005F10CD" w14:paraId="795921E1"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31E7705A" w14:textId="77777777" w:rsidR="005F10CD" w:rsidRDefault="005F10CD">
            <w:pPr>
              <w:autoSpaceDE w:val="0"/>
              <w:autoSpaceDN w:val="0"/>
              <w:adjustRightInd w:val="0"/>
              <w:rPr>
                <w:rFonts w:ascii="Calibri" w:hAnsi="Calibri" w:cs="Calibri"/>
              </w:rPr>
            </w:pPr>
            <w:r>
              <w:rPr>
                <w:rFonts w:cs="Arial"/>
                <w:sz w:val="18"/>
                <w:szCs w:val="18"/>
              </w:rPr>
              <w:t>Melone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16CE09C2" w14:textId="77777777" w:rsidR="005F10CD" w:rsidRDefault="005F10CD">
            <w:pPr>
              <w:autoSpaceDE w:val="0"/>
              <w:autoSpaceDN w:val="0"/>
              <w:adjustRightInd w:val="0"/>
              <w:rPr>
                <w:rFonts w:ascii="Calibri" w:hAnsi="Calibri" w:cs="Calibri"/>
              </w:rPr>
            </w:pPr>
            <w:r>
              <w:rPr>
                <w:rFonts w:cs="Arial"/>
                <w:color w:val="000000"/>
                <w:sz w:val="18"/>
                <w:szCs w:val="18"/>
              </w:rPr>
              <w:t xml:space="preserve">China, Niederlande, </w:t>
            </w:r>
            <w:r>
              <w:rPr>
                <w:rFonts w:cs="Arial"/>
                <w:sz w:val="18"/>
                <w:szCs w:val="18"/>
              </w:rPr>
              <w:t xml:space="preserve">Republik Korea </w:t>
            </w:r>
          </w:p>
        </w:tc>
      </w:tr>
      <w:tr w:rsidR="005F10CD" w14:paraId="2DCCF07D"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6B759CBD" w14:textId="77777777" w:rsidR="005F10CD" w:rsidRDefault="005F10CD">
            <w:pPr>
              <w:autoSpaceDE w:val="0"/>
              <w:autoSpaceDN w:val="0"/>
              <w:adjustRightInd w:val="0"/>
              <w:rPr>
                <w:rFonts w:ascii="Calibri" w:hAnsi="Calibri" w:cs="Calibri"/>
              </w:rPr>
            </w:pPr>
            <w:r>
              <w:rPr>
                <w:rFonts w:cs="Arial"/>
                <w:sz w:val="18"/>
                <w:szCs w:val="18"/>
              </w:rPr>
              <w:t>Zwiebel</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1A0ADCFF" w14:textId="77777777" w:rsidR="005F10CD" w:rsidRDefault="005F10CD">
            <w:pPr>
              <w:autoSpaceDE w:val="0"/>
              <w:autoSpaceDN w:val="0"/>
              <w:adjustRightInd w:val="0"/>
              <w:rPr>
                <w:rFonts w:ascii="Calibri" w:hAnsi="Calibri" w:cs="Calibri"/>
              </w:rPr>
            </w:pPr>
            <w:r>
              <w:rPr>
                <w:rFonts w:cs="Arial"/>
                <w:color w:val="000000"/>
                <w:sz w:val="18"/>
                <w:szCs w:val="18"/>
              </w:rPr>
              <w:t xml:space="preserve">Italien, Niederlande </w:t>
            </w:r>
          </w:p>
        </w:tc>
      </w:tr>
      <w:tr w:rsidR="005F10CD" w14:paraId="2149598B"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2A32BAB0" w14:textId="77777777" w:rsidR="005F10CD" w:rsidRDefault="005F10CD">
            <w:pPr>
              <w:autoSpaceDE w:val="0"/>
              <w:autoSpaceDN w:val="0"/>
              <w:adjustRightInd w:val="0"/>
              <w:rPr>
                <w:rFonts w:ascii="Calibri" w:hAnsi="Calibri" w:cs="Calibri"/>
              </w:rPr>
            </w:pPr>
            <w:r>
              <w:rPr>
                <w:rFonts w:cs="Arial"/>
                <w:sz w:val="18"/>
                <w:szCs w:val="18"/>
              </w:rPr>
              <w:t>Orientalische Melone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7730AC27" w14:textId="77777777" w:rsidR="005F10CD" w:rsidRDefault="005F10CD">
            <w:pPr>
              <w:autoSpaceDE w:val="0"/>
              <w:autoSpaceDN w:val="0"/>
              <w:adjustRightInd w:val="0"/>
              <w:rPr>
                <w:rFonts w:ascii="Calibri" w:hAnsi="Calibri" w:cs="Calibri"/>
              </w:rPr>
            </w:pPr>
            <w:r>
              <w:rPr>
                <w:rFonts w:cs="Arial"/>
                <w:sz w:val="18"/>
                <w:szCs w:val="18"/>
              </w:rPr>
              <w:t>Republik Korea</w:t>
            </w:r>
          </w:p>
        </w:tc>
      </w:tr>
      <w:tr w:rsidR="005F10CD" w14:paraId="2864B773"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15FCE943" w14:textId="77777777" w:rsidR="005F10CD" w:rsidRDefault="005F10CD">
            <w:pPr>
              <w:autoSpaceDE w:val="0"/>
              <w:autoSpaceDN w:val="0"/>
              <w:adjustRightInd w:val="0"/>
              <w:rPr>
                <w:rFonts w:ascii="Calibri" w:hAnsi="Calibri" w:cs="Calibri"/>
              </w:rPr>
            </w:pPr>
            <w:r>
              <w:rPr>
                <w:rFonts w:cs="Arial"/>
                <w:sz w:val="18"/>
                <w:szCs w:val="18"/>
              </w:rPr>
              <w:t>Erbse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228D78EC" w14:textId="77777777" w:rsidR="005F10CD" w:rsidRDefault="005F10CD">
            <w:pPr>
              <w:autoSpaceDE w:val="0"/>
              <w:autoSpaceDN w:val="0"/>
              <w:adjustRightInd w:val="0"/>
              <w:rPr>
                <w:rFonts w:ascii="Calibri" w:hAnsi="Calibri" w:cs="Calibri"/>
              </w:rPr>
            </w:pPr>
            <w:r>
              <w:rPr>
                <w:rFonts w:cs="Arial"/>
                <w:sz w:val="18"/>
                <w:szCs w:val="18"/>
              </w:rPr>
              <w:t xml:space="preserve">Niederlande, Vereinigtes Königreich </w:t>
            </w:r>
          </w:p>
        </w:tc>
      </w:tr>
      <w:tr w:rsidR="005F10CD" w14:paraId="367C402E"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3ADE75B8" w14:textId="77777777" w:rsidR="005F10CD" w:rsidRDefault="005F10CD">
            <w:pPr>
              <w:autoSpaceDE w:val="0"/>
              <w:autoSpaceDN w:val="0"/>
              <w:adjustRightInd w:val="0"/>
              <w:rPr>
                <w:rFonts w:ascii="Calibri" w:hAnsi="Calibri" w:cs="Calibri"/>
              </w:rPr>
            </w:pPr>
            <w:r>
              <w:rPr>
                <w:rFonts w:cs="Arial"/>
                <w:sz w:val="18"/>
                <w:szCs w:val="18"/>
              </w:rPr>
              <w:lastRenderedPageBreak/>
              <w:t>Paprika</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0356DD81" w14:textId="77777777" w:rsidR="005F10CD" w:rsidRDefault="005F10CD">
            <w:pPr>
              <w:autoSpaceDE w:val="0"/>
              <w:autoSpaceDN w:val="0"/>
              <w:adjustRightInd w:val="0"/>
              <w:rPr>
                <w:rFonts w:ascii="Calibri" w:hAnsi="Calibri" w:cs="Calibri"/>
              </w:rPr>
            </w:pPr>
            <w:r>
              <w:rPr>
                <w:rFonts w:cs="Arial"/>
                <w:sz w:val="18"/>
                <w:szCs w:val="18"/>
              </w:rPr>
              <w:t xml:space="preserve">China, Italien, </w:t>
            </w:r>
            <w:r>
              <w:rPr>
                <w:rFonts w:cs="Arial"/>
                <w:color w:val="000000"/>
                <w:sz w:val="18"/>
                <w:szCs w:val="18"/>
              </w:rPr>
              <w:t xml:space="preserve">Niederlande, </w:t>
            </w:r>
            <w:r>
              <w:rPr>
                <w:rFonts w:cs="Arial"/>
                <w:sz w:val="18"/>
                <w:szCs w:val="18"/>
              </w:rPr>
              <w:t>Republik Korea</w:t>
            </w:r>
          </w:p>
        </w:tc>
      </w:tr>
      <w:tr w:rsidR="005F10CD" w14:paraId="31980BDE"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57B705E4" w14:textId="77777777" w:rsidR="005F10CD" w:rsidRDefault="005F10CD">
            <w:pPr>
              <w:autoSpaceDE w:val="0"/>
              <w:autoSpaceDN w:val="0"/>
              <w:adjustRightInd w:val="0"/>
              <w:rPr>
                <w:rFonts w:ascii="Calibri" w:hAnsi="Calibri" w:cs="Calibri"/>
              </w:rPr>
            </w:pPr>
            <w:r>
              <w:rPr>
                <w:rFonts w:cs="Arial"/>
                <w:sz w:val="18"/>
                <w:szCs w:val="18"/>
              </w:rPr>
              <w:t>Gartenkürbis</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2369EC39" w14:textId="77777777" w:rsidR="005F10CD" w:rsidRDefault="005F10CD">
            <w:pPr>
              <w:autoSpaceDE w:val="0"/>
              <w:autoSpaceDN w:val="0"/>
              <w:adjustRightInd w:val="0"/>
              <w:rPr>
                <w:rFonts w:ascii="Calibri" w:hAnsi="Calibri" w:cs="Calibri"/>
              </w:rPr>
            </w:pPr>
            <w:r>
              <w:rPr>
                <w:rFonts w:cs="Arial"/>
                <w:sz w:val="18"/>
                <w:szCs w:val="18"/>
              </w:rPr>
              <w:t>Republik Korea</w:t>
            </w:r>
          </w:p>
        </w:tc>
      </w:tr>
      <w:tr w:rsidR="005F10CD" w14:paraId="7CB0C65E"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310C103A" w14:textId="77777777" w:rsidR="005F10CD" w:rsidRDefault="005F10CD">
            <w:pPr>
              <w:autoSpaceDE w:val="0"/>
              <w:autoSpaceDN w:val="0"/>
              <w:adjustRightInd w:val="0"/>
              <w:rPr>
                <w:rFonts w:ascii="Calibri" w:hAnsi="Calibri" w:cs="Calibri"/>
              </w:rPr>
            </w:pPr>
            <w:r>
              <w:rPr>
                <w:rFonts w:cs="Arial"/>
                <w:sz w:val="18"/>
                <w:szCs w:val="18"/>
              </w:rPr>
              <w:t>Rübe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36D74CF9" w14:textId="77777777" w:rsidR="005F10CD" w:rsidRDefault="005F10CD">
            <w:pPr>
              <w:autoSpaceDE w:val="0"/>
              <w:autoSpaceDN w:val="0"/>
              <w:adjustRightInd w:val="0"/>
              <w:rPr>
                <w:rFonts w:ascii="Calibri" w:hAnsi="Calibri" w:cs="Calibri"/>
              </w:rPr>
            </w:pPr>
            <w:r>
              <w:rPr>
                <w:rFonts w:cs="Arial"/>
                <w:sz w:val="18"/>
                <w:szCs w:val="18"/>
              </w:rPr>
              <w:t>Republik Korea</w:t>
            </w:r>
          </w:p>
        </w:tc>
      </w:tr>
      <w:tr w:rsidR="005F10CD" w14:paraId="647FAB28"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24B70327" w14:textId="77777777" w:rsidR="005F10CD" w:rsidRDefault="005F10CD">
            <w:pPr>
              <w:autoSpaceDE w:val="0"/>
              <w:autoSpaceDN w:val="0"/>
              <w:adjustRightInd w:val="0"/>
              <w:rPr>
                <w:rFonts w:ascii="Calibri" w:hAnsi="Calibri" w:cs="Calibri"/>
              </w:rPr>
            </w:pPr>
            <w:r>
              <w:rPr>
                <w:rFonts w:cs="Arial"/>
                <w:sz w:val="18"/>
                <w:szCs w:val="18"/>
              </w:rPr>
              <w:t>Schalotte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1C00C484" w14:textId="77777777" w:rsidR="005F10CD" w:rsidRDefault="005F10CD">
            <w:pPr>
              <w:autoSpaceDE w:val="0"/>
              <w:autoSpaceDN w:val="0"/>
              <w:adjustRightInd w:val="0"/>
              <w:rPr>
                <w:rFonts w:ascii="Calibri" w:hAnsi="Calibri" w:cs="Calibri"/>
              </w:rPr>
            </w:pPr>
            <w:r>
              <w:rPr>
                <w:rFonts w:cs="Arial"/>
                <w:color w:val="000000"/>
                <w:sz w:val="18"/>
                <w:szCs w:val="18"/>
              </w:rPr>
              <w:t>Niederlande</w:t>
            </w:r>
          </w:p>
        </w:tc>
      </w:tr>
      <w:tr w:rsidR="005F10CD" w14:paraId="1165BD32"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10D60802" w14:textId="77777777" w:rsidR="005F10CD" w:rsidRDefault="005F10CD">
            <w:pPr>
              <w:autoSpaceDE w:val="0"/>
              <w:autoSpaceDN w:val="0"/>
              <w:adjustRightInd w:val="0"/>
              <w:rPr>
                <w:rFonts w:ascii="Calibri" w:hAnsi="Calibri" w:cs="Calibri"/>
              </w:rPr>
            </w:pPr>
            <w:r>
              <w:rPr>
                <w:rFonts w:cs="Arial"/>
                <w:sz w:val="18"/>
                <w:szCs w:val="18"/>
              </w:rPr>
              <w:t>Kürbis</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7DFDEC78" w14:textId="77777777" w:rsidR="005F10CD" w:rsidRDefault="005F10CD">
            <w:pPr>
              <w:autoSpaceDE w:val="0"/>
              <w:autoSpaceDN w:val="0"/>
              <w:adjustRightInd w:val="0"/>
              <w:rPr>
                <w:rFonts w:ascii="Calibri" w:hAnsi="Calibri" w:cs="Calibri"/>
              </w:rPr>
            </w:pPr>
            <w:r>
              <w:rPr>
                <w:rFonts w:cs="Arial"/>
                <w:color w:val="000000"/>
                <w:sz w:val="18"/>
                <w:szCs w:val="18"/>
              </w:rPr>
              <w:t>Italien</w:t>
            </w:r>
          </w:p>
        </w:tc>
      </w:tr>
      <w:tr w:rsidR="005F10CD" w14:paraId="0DA22B14"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0717D58C" w14:textId="77777777" w:rsidR="005F10CD" w:rsidRDefault="005F10CD">
            <w:pPr>
              <w:autoSpaceDE w:val="0"/>
              <w:autoSpaceDN w:val="0"/>
              <w:adjustRightInd w:val="0"/>
              <w:rPr>
                <w:rFonts w:ascii="Calibri" w:hAnsi="Calibri" w:cs="Calibri"/>
              </w:rPr>
            </w:pPr>
            <w:r>
              <w:rPr>
                <w:rFonts w:cs="Arial"/>
                <w:sz w:val="18"/>
                <w:szCs w:val="18"/>
              </w:rPr>
              <w:t>Tomate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3868200B" w14:textId="77777777" w:rsidR="005F10CD" w:rsidRDefault="005F10CD">
            <w:pPr>
              <w:autoSpaceDE w:val="0"/>
              <w:autoSpaceDN w:val="0"/>
              <w:adjustRightInd w:val="0"/>
              <w:rPr>
                <w:rFonts w:ascii="Calibri" w:hAnsi="Calibri" w:cs="Calibri"/>
              </w:rPr>
            </w:pPr>
            <w:r>
              <w:rPr>
                <w:rFonts w:cs="Arial"/>
                <w:sz w:val="18"/>
                <w:szCs w:val="18"/>
              </w:rPr>
              <w:t xml:space="preserve">China, Frankreich, Italien, Japan, </w:t>
            </w:r>
            <w:r>
              <w:rPr>
                <w:rFonts w:cs="Arial"/>
                <w:color w:val="000000"/>
                <w:sz w:val="18"/>
                <w:szCs w:val="18"/>
              </w:rPr>
              <w:t xml:space="preserve">Niederlande, </w:t>
            </w:r>
            <w:r>
              <w:rPr>
                <w:rFonts w:cs="Arial"/>
                <w:sz w:val="18"/>
                <w:szCs w:val="18"/>
              </w:rPr>
              <w:t>Republik Korea</w:t>
            </w:r>
          </w:p>
        </w:tc>
      </w:tr>
      <w:tr w:rsidR="005F10CD" w14:paraId="77500931"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215B5304" w14:textId="77777777" w:rsidR="005F10CD" w:rsidRDefault="005F10CD">
            <w:pPr>
              <w:autoSpaceDE w:val="0"/>
              <w:autoSpaceDN w:val="0"/>
              <w:adjustRightInd w:val="0"/>
              <w:rPr>
                <w:rFonts w:ascii="Calibri" w:hAnsi="Calibri" w:cs="Calibri"/>
              </w:rPr>
            </w:pPr>
            <w:r>
              <w:rPr>
                <w:rFonts w:cs="Arial"/>
                <w:sz w:val="18"/>
                <w:szCs w:val="18"/>
              </w:rPr>
              <w:t>Wassermelone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478C957F" w14:textId="77777777" w:rsidR="005F10CD" w:rsidRDefault="005F10CD">
            <w:pPr>
              <w:autoSpaceDE w:val="0"/>
              <w:autoSpaceDN w:val="0"/>
              <w:adjustRightInd w:val="0"/>
              <w:rPr>
                <w:rFonts w:ascii="Calibri" w:hAnsi="Calibri" w:cs="Calibri"/>
              </w:rPr>
            </w:pPr>
            <w:r>
              <w:rPr>
                <w:rFonts w:cs="Arial"/>
                <w:sz w:val="18"/>
                <w:szCs w:val="18"/>
              </w:rPr>
              <w:t>China, Italien, Niederlande, Republik Korea</w:t>
            </w:r>
          </w:p>
        </w:tc>
      </w:tr>
    </w:tbl>
    <w:p w14:paraId="547D97C2" w14:textId="77777777" w:rsidR="005F10CD" w:rsidRDefault="005F10CD" w:rsidP="005F10CD">
      <w:pPr>
        <w:keepNext/>
        <w:autoSpaceDE w:val="0"/>
        <w:autoSpaceDN w:val="0"/>
        <w:adjustRightInd w:val="0"/>
        <w:rPr>
          <w:rFonts w:cs="Arial"/>
        </w:rPr>
      </w:pPr>
    </w:p>
    <w:p w14:paraId="7133CA29" w14:textId="77777777" w:rsidR="005F10CD" w:rsidRPr="00D42510" w:rsidRDefault="005F10CD" w:rsidP="005F10CD">
      <w:pPr>
        <w:keepNext/>
        <w:autoSpaceDE w:val="0"/>
        <w:autoSpaceDN w:val="0"/>
        <w:adjustRightInd w:val="0"/>
        <w:rPr>
          <w:rFonts w:cs="Arial"/>
          <w:i/>
          <w:iCs/>
        </w:rPr>
      </w:pPr>
      <w:r w:rsidRPr="00D42510">
        <w:rPr>
          <w:rFonts w:cs="Arial"/>
          <w:i/>
          <w:iCs/>
        </w:rPr>
        <w:t>Überblick über die derzeitige Verwendung chemischer und molekularer Verfahren</w:t>
      </w:r>
    </w:p>
    <w:p w14:paraId="6ADF7B2E" w14:textId="77777777" w:rsidR="005F10CD" w:rsidRDefault="005F10CD" w:rsidP="005F10CD">
      <w:pPr>
        <w:keepNext/>
        <w:autoSpaceDE w:val="0"/>
        <w:autoSpaceDN w:val="0"/>
        <w:adjustRightInd w:val="0"/>
        <w:rPr>
          <w:rFonts w:cs="Arial"/>
        </w:rPr>
      </w:pPr>
    </w:p>
    <w:tbl>
      <w:tblPr>
        <w:tblW w:w="0" w:type="auto"/>
        <w:tblInd w:w="670" w:type="dxa"/>
        <w:tblLayout w:type="fixed"/>
        <w:tblLook w:val="0000" w:firstRow="0" w:lastRow="0" w:firstColumn="0" w:lastColumn="0" w:noHBand="0" w:noVBand="0"/>
      </w:tblPr>
      <w:tblGrid>
        <w:gridCol w:w="9072"/>
      </w:tblGrid>
      <w:tr w:rsidR="005F10CD" w14:paraId="10FE4FF7"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1A859052"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u w:val="single"/>
              </w:rPr>
              <w:t>Verwendung</w:t>
            </w:r>
            <w:r>
              <w:rPr>
                <w:rFonts w:cs="Arial"/>
                <w:sz w:val="18"/>
                <w:szCs w:val="18"/>
              </w:rPr>
              <w:t>:</w:t>
            </w:r>
          </w:p>
        </w:tc>
      </w:tr>
      <w:tr w:rsidR="005F10CD" w14:paraId="682D4F54"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074E76B9"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 xml:space="preserve">Forschung (NL) </w:t>
            </w:r>
          </w:p>
        </w:tc>
      </w:tr>
      <w:tr w:rsidR="005F10CD" w:rsidRPr="00F547CF" w14:paraId="6A26087F"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2D49253B" w14:textId="77777777" w:rsidR="005F10CD" w:rsidRPr="00942671" w:rsidRDefault="005F10CD">
            <w:pPr>
              <w:autoSpaceDE w:val="0"/>
              <w:autoSpaceDN w:val="0"/>
              <w:adjustRightInd w:val="0"/>
              <w:spacing w:before="20" w:after="20"/>
              <w:ind w:left="38"/>
              <w:rPr>
                <w:rFonts w:ascii="Calibri" w:hAnsi="Calibri" w:cs="Calibri"/>
                <w:lang w:val="es-ES"/>
              </w:rPr>
            </w:pPr>
            <w:r w:rsidRPr="00942671">
              <w:rPr>
                <w:rFonts w:cs="Arial"/>
                <w:sz w:val="18"/>
                <w:szCs w:val="18"/>
                <w:lang w:val="es-ES"/>
              </w:rPr>
              <w:t>TGP/15 Model 1 (JP, NL, FR)</w:t>
            </w:r>
          </w:p>
        </w:tc>
      </w:tr>
      <w:tr w:rsidR="005F10CD" w14:paraId="16AED973"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5020D597"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Beispiel Gartenbohne (NL)</w:t>
            </w:r>
          </w:p>
        </w:tc>
      </w:tr>
      <w:tr w:rsidR="005F10CD" w14:paraId="34DF0CEA"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4CD8D137"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Sortenidentifikationen (CN, IT, NL)</w:t>
            </w:r>
          </w:p>
        </w:tc>
      </w:tr>
      <w:tr w:rsidR="005F10CD" w14:paraId="37E10BF3"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6BFF2FFE" w14:textId="77777777" w:rsidR="005F10CD" w:rsidRDefault="005F10CD">
            <w:pPr>
              <w:autoSpaceDE w:val="0"/>
              <w:autoSpaceDN w:val="0"/>
              <w:adjustRightInd w:val="0"/>
              <w:spacing w:before="20" w:after="20"/>
              <w:ind w:left="38"/>
              <w:rPr>
                <w:rFonts w:ascii="Calibri" w:hAnsi="Calibri" w:cs="Calibri"/>
              </w:rPr>
            </w:pPr>
          </w:p>
        </w:tc>
      </w:tr>
      <w:tr w:rsidR="005F10CD" w14:paraId="047577DF"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4F9439AD" w14:textId="77777777" w:rsidR="005F10CD" w:rsidRDefault="005F10CD">
            <w:pPr>
              <w:autoSpaceDE w:val="0"/>
              <w:autoSpaceDN w:val="0"/>
              <w:adjustRightInd w:val="0"/>
              <w:spacing w:before="20" w:after="20"/>
              <w:ind w:left="38"/>
              <w:rPr>
                <w:rFonts w:ascii="Calibri" w:hAnsi="Calibri" w:cs="Calibri"/>
              </w:rPr>
            </w:pPr>
            <w:r>
              <w:rPr>
                <w:rFonts w:cs="Arial"/>
                <w:sz w:val="18"/>
                <w:szCs w:val="18"/>
                <w:u w:val="single"/>
              </w:rPr>
              <w:t>Verfahren</w:t>
            </w:r>
            <w:r>
              <w:rPr>
                <w:rFonts w:cs="Arial"/>
                <w:sz w:val="18"/>
                <w:szCs w:val="18"/>
              </w:rPr>
              <w:t>:</w:t>
            </w:r>
          </w:p>
        </w:tc>
      </w:tr>
      <w:tr w:rsidR="005F10CD" w14:paraId="52AC81A3"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29844735"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AFLP (NL)</w:t>
            </w:r>
          </w:p>
        </w:tc>
      </w:tr>
      <w:tr w:rsidR="005F10CD" w14:paraId="04F73192"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3EF62BB2"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Fragmentanalyse durch Kapillarelektrophorese (IT)</w:t>
            </w:r>
          </w:p>
        </w:tc>
      </w:tr>
      <w:tr w:rsidR="005F10CD" w14:paraId="0D18D48F"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1A3562B7"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MNP (CN)</w:t>
            </w:r>
          </w:p>
        </w:tc>
      </w:tr>
      <w:tr w:rsidR="005F10CD" w14:paraId="51F8466C"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0C9F2FC5"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SNP (NL, CN, IT)</w:t>
            </w:r>
          </w:p>
        </w:tc>
      </w:tr>
      <w:tr w:rsidR="005F10CD" w14:paraId="26805AB6"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3CB27D5E"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 xml:space="preserve">SSR (CN, IT) </w:t>
            </w:r>
          </w:p>
        </w:tc>
      </w:tr>
      <w:tr w:rsidR="005F10CD" w14:paraId="1063B802"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2524D09C"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Taqman (NL)</w:t>
            </w:r>
          </w:p>
        </w:tc>
      </w:tr>
      <w:tr w:rsidR="005F10CD" w14:paraId="217E19BD"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5C96D534"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Gesamtgenom-Sequenzierung / GBS (CN, NL)</w:t>
            </w:r>
          </w:p>
        </w:tc>
      </w:tr>
    </w:tbl>
    <w:p w14:paraId="7DAE2612" w14:textId="77777777" w:rsidR="005F10CD" w:rsidRDefault="005F10CD" w:rsidP="005F10CD">
      <w:pPr>
        <w:keepNext/>
        <w:autoSpaceDE w:val="0"/>
        <w:autoSpaceDN w:val="0"/>
        <w:adjustRightInd w:val="0"/>
        <w:rPr>
          <w:rFonts w:cs="Arial"/>
        </w:rPr>
      </w:pPr>
    </w:p>
    <w:p w14:paraId="1CF78C82" w14:textId="77777777" w:rsidR="005F10CD" w:rsidRPr="00D42510" w:rsidRDefault="005F10CD" w:rsidP="005F10CD">
      <w:pPr>
        <w:keepNext/>
        <w:autoSpaceDE w:val="0"/>
        <w:autoSpaceDN w:val="0"/>
        <w:adjustRightInd w:val="0"/>
        <w:ind w:left="567"/>
        <w:rPr>
          <w:rFonts w:cs="Arial"/>
          <w:u w:val="single"/>
        </w:rPr>
      </w:pPr>
      <w:r w:rsidRPr="00D42510">
        <w:rPr>
          <w:rFonts w:cs="Arial"/>
          <w:u w:val="single"/>
        </w:rPr>
        <w:t>Vorschläge zu Geheimhaltung und Datenzugang</w:t>
      </w:r>
    </w:p>
    <w:p w14:paraId="5FD61664" w14:textId="77777777" w:rsidR="005F10CD" w:rsidRPr="00D42510" w:rsidRDefault="005F10CD" w:rsidP="005F10CD">
      <w:pPr>
        <w:autoSpaceDE w:val="0"/>
        <w:autoSpaceDN w:val="0"/>
        <w:adjustRightInd w:val="0"/>
        <w:ind w:right="420"/>
        <w:rPr>
          <w:rFonts w:cs="Arial"/>
        </w:rPr>
      </w:pPr>
    </w:p>
    <w:p w14:paraId="3325D8E4" w14:textId="77777777" w:rsidR="005F10CD" w:rsidRPr="00D42510" w:rsidRDefault="005F10CD" w:rsidP="005F10CD">
      <w:pPr>
        <w:autoSpaceDE w:val="0"/>
        <w:autoSpaceDN w:val="0"/>
        <w:adjustRightInd w:val="0"/>
        <w:ind w:right="420"/>
        <w:rPr>
          <w:rFonts w:cs="Arial"/>
        </w:rPr>
      </w:pPr>
      <w:r w:rsidRPr="00D42510">
        <w:rPr>
          <w:rFonts w:cs="Arial"/>
        </w:rPr>
        <w:t>Die Diskussionsgruppe zu Gemüsearten vereinbarte, vorzuschlagen, da</w:t>
      </w:r>
      <w:r w:rsidR="007F5336">
        <w:rPr>
          <w:rFonts w:cs="Arial"/>
        </w:rPr>
        <w:t>ß</w:t>
      </w:r>
      <w:r w:rsidRPr="00D42510">
        <w:rPr>
          <w:rFonts w:cs="Arial"/>
        </w:rPr>
        <w:t xml:space="preserve"> Züchter, Beobachterorganisationen und sonstige Teilnehmer aufgefordert werden, beim Tag der Züchter auf der neunzehnten Tagung der BMT Referate zu Eigentumsfragen zu halten.  </w:t>
      </w:r>
    </w:p>
    <w:p w14:paraId="4DFE5F25" w14:textId="77777777" w:rsidR="005F10CD" w:rsidRPr="00D42510" w:rsidRDefault="005F10CD" w:rsidP="005F10CD">
      <w:pPr>
        <w:autoSpaceDE w:val="0"/>
        <w:autoSpaceDN w:val="0"/>
        <w:adjustRightInd w:val="0"/>
        <w:rPr>
          <w:rFonts w:cs="Arial"/>
        </w:rPr>
      </w:pPr>
    </w:p>
    <w:p w14:paraId="3294F0C0"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Zierpflanzen</w:t>
      </w:r>
    </w:p>
    <w:p w14:paraId="16E4B538" w14:textId="77777777" w:rsidR="005F10CD" w:rsidRPr="00D42510" w:rsidRDefault="005F10CD" w:rsidP="005F10CD">
      <w:pPr>
        <w:keepNext/>
        <w:autoSpaceDE w:val="0"/>
        <w:autoSpaceDN w:val="0"/>
        <w:adjustRightInd w:val="0"/>
        <w:ind w:left="567"/>
        <w:rPr>
          <w:rFonts w:cs="Arial"/>
          <w:u w:val="single"/>
        </w:rPr>
      </w:pPr>
      <w:r w:rsidRPr="00D42510">
        <w:rPr>
          <w:rFonts w:cs="Arial"/>
          <w:u w:val="single"/>
        </w:rPr>
        <w:t>Überblick über das Interesse an den Pflanzen</w:t>
      </w:r>
    </w:p>
    <w:p w14:paraId="5F08D30C" w14:textId="77777777" w:rsidR="005F10CD" w:rsidRDefault="005F10CD" w:rsidP="005F10CD">
      <w:pPr>
        <w:keepNext/>
        <w:autoSpaceDE w:val="0"/>
        <w:autoSpaceDN w:val="0"/>
        <w:adjustRightInd w:val="0"/>
        <w:rPr>
          <w:rFonts w:cs="Arial"/>
        </w:rPr>
      </w:pPr>
    </w:p>
    <w:tbl>
      <w:tblPr>
        <w:tblW w:w="0" w:type="auto"/>
        <w:tblInd w:w="562" w:type="dxa"/>
        <w:tblLayout w:type="fixed"/>
        <w:tblLook w:val="0000" w:firstRow="0" w:lastRow="0" w:firstColumn="0" w:lastColumn="0" w:noHBand="0" w:noVBand="0"/>
      </w:tblPr>
      <w:tblGrid>
        <w:gridCol w:w="2122"/>
        <w:gridCol w:w="7058"/>
      </w:tblGrid>
      <w:tr w:rsidR="005F10CD" w14:paraId="29DF6817"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0956BEB" w14:textId="77777777" w:rsidR="005F10CD" w:rsidRDefault="005F10CD">
            <w:pPr>
              <w:keepNext/>
              <w:autoSpaceDE w:val="0"/>
              <w:autoSpaceDN w:val="0"/>
              <w:adjustRightInd w:val="0"/>
              <w:rPr>
                <w:rFonts w:ascii="Calibri" w:hAnsi="Calibri" w:cs="Calibri"/>
              </w:rPr>
            </w:pPr>
            <w:r>
              <w:rPr>
                <w:rFonts w:cs="Arial"/>
                <w:i/>
                <w:iCs/>
                <w:sz w:val="18"/>
                <w:szCs w:val="18"/>
              </w:rPr>
              <w:t>Bougainvillea</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2F59FA2D" w14:textId="77777777" w:rsidR="005F10CD" w:rsidRDefault="005F10CD">
            <w:pPr>
              <w:keepNext/>
              <w:autoSpaceDE w:val="0"/>
              <w:autoSpaceDN w:val="0"/>
              <w:adjustRightInd w:val="0"/>
              <w:rPr>
                <w:rFonts w:ascii="Calibri" w:hAnsi="Calibri" w:cs="Calibri"/>
              </w:rPr>
            </w:pPr>
            <w:r>
              <w:rPr>
                <w:rFonts w:cs="Arial"/>
                <w:color w:val="000000"/>
                <w:sz w:val="18"/>
                <w:szCs w:val="18"/>
              </w:rPr>
              <w:t>China</w:t>
            </w:r>
          </w:p>
        </w:tc>
      </w:tr>
      <w:tr w:rsidR="005F10CD" w14:paraId="1BB708F0"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AA908BA" w14:textId="77777777" w:rsidR="005F10CD" w:rsidRDefault="005F10CD">
            <w:pPr>
              <w:keepNext/>
              <w:autoSpaceDE w:val="0"/>
              <w:autoSpaceDN w:val="0"/>
              <w:adjustRightInd w:val="0"/>
              <w:rPr>
                <w:rFonts w:ascii="Calibri" w:hAnsi="Calibri" w:cs="Calibri"/>
              </w:rPr>
            </w:pPr>
            <w:r>
              <w:rPr>
                <w:rFonts w:cs="Arial"/>
                <w:i/>
                <w:iCs/>
                <w:sz w:val="18"/>
                <w:szCs w:val="18"/>
              </w:rPr>
              <w:t>Kamelie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41C0C79F" w14:textId="77777777" w:rsidR="005F10CD" w:rsidRDefault="005F10CD">
            <w:pPr>
              <w:keepNext/>
              <w:autoSpaceDE w:val="0"/>
              <w:autoSpaceDN w:val="0"/>
              <w:adjustRightInd w:val="0"/>
              <w:rPr>
                <w:rFonts w:ascii="Calibri" w:hAnsi="Calibri" w:cs="Calibri"/>
              </w:rPr>
            </w:pPr>
            <w:r>
              <w:rPr>
                <w:rFonts w:cs="Arial"/>
                <w:sz w:val="18"/>
                <w:szCs w:val="18"/>
              </w:rPr>
              <w:t>China</w:t>
            </w:r>
          </w:p>
        </w:tc>
      </w:tr>
      <w:tr w:rsidR="005F10CD" w14:paraId="40E2B2D0"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57DEA16C" w14:textId="77777777" w:rsidR="005F10CD" w:rsidRDefault="005F10CD">
            <w:pPr>
              <w:keepNext/>
              <w:autoSpaceDE w:val="0"/>
              <w:autoSpaceDN w:val="0"/>
              <w:adjustRightInd w:val="0"/>
              <w:rPr>
                <w:rFonts w:ascii="Calibri" w:hAnsi="Calibri" w:cs="Calibri"/>
              </w:rPr>
            </w:pPr>
            <w:r>
              <w:rPr>
                <w:rFonts w:cs="Arial"/>
                <w:i/>
                <w:iCs/>
                <w:sz w:val="18"/>
                <w:szCs w:val="18"/>
              </w:rPr>
              <w:t>Chrysantheme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12E39BF5" w14:textId="77777777" w:rsidR="005F10CD" w:rsidRDefault="005F10CD">
            <w:pPr>
              <w:keepNext/>
              <w:autoSpaceDE w:val="0"/>
              <w:autoSpaceDN w:val="0"/>
              <w:adjustRightInd w:val="0"/>
              <w:rPr>
                <w:rFonts w:ascii="Calibri" w:hAnsi="Calibri" w:cs="Calibri"/>
              </w:rPr>
            </w:pPr>
            <w:r>
              <w:rPr>
                <w:rFonts w:cs="Arial"/>
                <w:color w:val="000000"/>
                <w:sz w:val="18"/>
                <w:szCs w:val="18"/>
              </w:rPr>
              <w:t>China, Niederlande</w:t>
            </w:r>
          </w:p>
        </w:tc>
      </w:tr>
      <w:tr w:rsidR="005F10CD" w14:paraId="3A5C10F5"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53F2A0DD" w14:textId="77777777" w:rsidR="005F10CD" w:rsidRDefault="005F10CD">
            <w:pPr>
              <w:autoSpaceDE w:val="0"/>
              <w:autoSpaceDN w:val="0"/>
              <w:adjustRightInd w:val="0"/>
              <w:rPr>
                <w:rFonts w:ascii="Calibri" w:hAnsi="Calibri" w:cs="Calibri"/>
              </w:rPr>
            </w:pPr>
            <w:r>
              <w:rPr>
                <w:rFonts w:cs="Arial"/>
                <w:i/>
                <w:iCs/>
                <w:sz w:val="18"/>
                <w:szCs w:val="18"/>
              </w:rPr>
              <w:t>Schleierkraut</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1E122D2E" w14:textId="77777777" w:rsidR="005F10CD" w:rsidRDefault="005F10CD">
            <w:pPr>
              <w:autoSpaceDE w:val="0"/>
              <w:autoSpaceDN w:val="0"/>
              <w:adjustRightInd w:val="0"/>
              <w:rPr>
                <w:rFonts w:ascii="Calibri" w:hAnsi="Calibri" w:cs="Calibri"/>
              </w:rPr>
            </w:pPr>
            <w:r>
              <w:rPr>
                <w:rFonts w:cs="Arial"/>
                <w:color w:val="000000"/>
                <w:sz w:val="18"/>
                <w:szCs w:val="18"/>
              </w:rPr>
              <w:t>Niederlande</w:t>
            </w:r>
          </w:p>
        </w:tc>
      </w:tr>
      <w:tr w:rsidR="005F10CD" w14:paraId="4F5B4796"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9035946" w14:textId="77777777" w:rsidR="005F10CD" w:rsidRDefault="005F10CD">
            <w:pPr>
              <w:autoSpaceDE w:val="0"/>
              <w:autoSpaceDN w:val="0"/>
              <w:adjustRightInd w:val="0"/>
              <w:rPr>
                <w:rFonts w:ascii="Calibri" w:hAnsi="Calibri" w:cs="Calibri"/>
              </w:rPr>
            </w:pPr>
            <w:r>
              <w:rPr>
                <w:rFonts w:cs="Arial"/>
                <w:i/>
                <w:iCs/>
                <w:sz w:val="18"/>
                <w:szCs w:val="18"/>
              </w:rPr>
              <w:t>Nieswurz</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1084BD35" w14:textId="77777777" w:rsidR="005F10CD" w:rsidRDefault="005F10CD">
            <w:pPr>
              <w:autoSpaceDE w:val="0"/>
              <w:autoSpaceDN w:val="0"/>
              <w:adjustRightInd w:val="0"/>
              <w:rPr>
                <w:rFonts w:ascii="Calibri" w:hAnsi="Calibri" w:cs="Calibri"/>
              </w:rPr>
            </w:pPr>
            <w:r>
              <w:rPr>
                <w:rFonts w:cs="Arial"/>
                <w:color w:val="000000"/>
                <w:sz w:val="18"/>
                <w:szCs w:val="18"/>
              </w:rPr>
              <w:t>Niederlande</w:t>
            </w:r>
          </w:p>
        </w:tc>
      </w:tr>
      <w:tr w:rsidR="005F10CD" w14:paraId="7E5F27B2"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BD61B35" w14:textId="77777777" w:rsidR="005F10CD" w:rsidRDefault="005F10CD">
            <w:pPr>
              <w:autoSpaceDE w:val="0"/>
              <w:autoSpaceDN w:val="0"/>
              <w:adjustRightInd w:val="0"/>
              <w:rPr>
                <w:rFonts w:ascii="Calibri" w:hAnsi="Calibri" w:cs="Calibri"/>
              </w:rPr>
            </w:pPr>
            <w:r>
              <w:rPr>
                <w:rFonts w:cs="Arial"/>
                <w:i/>
                <w:iCs/>
                <w:sz w:val="18"/>
                <w:szCs w:val="18"/>
              </w:rPr>
              <w:t>Hibiskus</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5FDEB8A9" w14:textId="77777777" w:rsidR="005F10CD" w:rsidRDefault="005F10CD">
            <w:pPr>
              <w:autoSpaceDE w:val="0"/>
              <w:autoSpaceDN w:val="0"/>
              <w:adjustRightInd w:val="0"/>
              <w:rPr>
                <w:rFonts w:ascii="Calibri" w:hAnsi="Calibri" w:cs="Calibri"/>
              </w:rPr>
            </w:pPr>
            <w:r>
              <w:rPr>
                <w:rFonts w:cs="Arial"/>
                <w:sz w:val="18"/>
                <w:szCs w:val="18"/>
              </w:rPr>
              <w:t>China</w:t>
            </w:r>
          </w:p>
        </w:tc>
      </w:tr>
      <w:tr w:rsidR="005F10CD" w14:paraId="17B912CA"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2382E4FB" w14:textId="77777777" w:rsidR="005F10CD" w:rsidRDefault="005F10CD">
            <w:pPr>
              <w:autoSpaceDE w:val="0"/>
              <w:autoSpaceDN w:val="0"/>
              <w:adjustRightInd w:val="0"/>
              <w:rPr>
                <w:rFonts w:ascii="Calibri" w:hAnsi="Calibri" w:cs="Calibri"/>
              </w:rPr>
            </w:pPr>
            <w:r>
              <w:rPr>
                <w:rFonts w:cs="Arial"/>
                <w:i/>
                <w:iCs/>
                <w:sz w:val="18"/>
                <w:szCs w:val="18"/>
              </w:rPr>
              <w:t>Hortensie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6F973AD6" w14:textId="77777777" w:rsidR="005F10CD" w:rsidRDefault="005F10CD">
            <w:pPr>
              <w:autoSpaceDE w:val="0"/>
              <w:autoSpaceDN w:val="0"/>
              <w:adjustRightInd w:val="0"/>
              <w:rPr>
                <w:rFonts w:ascii="Calibri" w:hAnsi="Calibri" w:cs="Calibri"/>
              </w:rPr>
            </w:pPr>
            <w:r>
              <w:rPr>
                <w:rFonts w:cs="Arial"/>
                <w:sz w:val="18"/>
                <w:szCs w:val="18"/>
              </w:rPr>
              <w:t>Frankreich</w:t>
            </w:r>
          </w:p>
        </w:tc>
      </w:tr>
      <w:tr w:rsidR="005F10CD" w14:paraId="529F14AC"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32128A5A" w14:textId="77777777" w:rsidR="005F10CD" w:rsidRDefault="005F10CD">
            <w:pPr>
              <w:autoSpaceDE w:val="0"/>
              <w:autoSpaceDN w:val="0"/>
              <w:adjustRightInd w:val="0"/>
              <w:rPr>
                <w:rFonts w:ascii="Calibri" w:hAnsi="Calibri" w:cs="Calibri"/>
              </w:rPr>
            </w:pPr>
            <w:r>
              <w:rPr>
                <w:rFonts w:cs="Arial"/>
                <w:i/>
                <w:iCs/>
                <w:sz w:val="18"/>
                <w:szCs w:val="18"/>
              </w:rPr>
              <w:t>Lilie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0C5276AA" w14:textId="77777777" w:rsidR="005F10CD" w:rsidRDefault="005F10CD">
            <w:pPr>
              <w:autoSpaceDE w:val="0"/>
              <w:autoSpaceDN w:val="0"/>
              <w:adjustRightInd w:val="0"/>
              <w:rPr>
                <w:rFonts w:ascii="Calibri" w:hAnsi="Calibri" w:cs="Calibri"/>
              </w:rPr>
            </w:pPr>
            <w:r>
              <w:rPr>
                <w:rFonts w:cs="Arial"/>
                <w:color w:val="000000"/>
                <w:sz w:val="18"/>
                <w:szCs w:val="18"/>
              </w:rPr>
              <w:t>China</w:t>
            </w:r>
          </w:p>
        </w:tc>
      </w:tr>
      <w:tr w:rsidR="005F10CD" w14:paraId="6612CD52"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3BE8FE2D" w14:textId="77777777" w:rsidR="005F10CD" w:rsidRDefault="005F10CD">
            <w:pPr>
              <w:autoSpaceDE w:val="0"/>
              <w:autoSpaceDN w:val="0"/>
              <w:adjustRightInd w:val="0"/>
              <w:rPr>
                <w:rFonts w:ascii="Calibri" w:hAnsi="Calibri" w:cs="Calibri"/>
              </w:rPr>
            </w:pPr>
            <w:r>
              <w:rPr>
                <w:rFonts w:cs="Arial"/>
                <w:i/>
                <w:iCs/>
                <w:sz w:val="18"/>
                <w:szCs w:val="18"/>
              </w:rPr>
              <w:t>Phalaenopsis</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746BC934" w14:textId="77777777" w:rsidR="005F10CD" w:rsidRDefault="005F10CD">
            <w:pPr>
              <w:autoSpaceDE w:val="0"/>
              <w:autoSpaceDN w:val="0"/>
              <w:adjustRightInd w:val="0"/>
              <w:rPr>
                <w:rFonts w:ascii="Calibri" w:hAnsi="Calibri" w:cs="Calibri"/>
              </w:rPr>
            </w:pPr>
            <w:r>
              <w:rPr>
                <w:rFonts w:cs="Arial"/>
                <w:color w:val="000000"/>
                <w:sz w:val="18"/>
                <w:szCs w:val="18"/>
              </w:rPr>
              <w:t>Niederlande</w:t>
            </w:r>
          </w:p>
        </w:tc>
      </w:tr>
      <w:tr w:rsidR="005F10CD" w14:paraId="0D6B4880"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7A5B9F53" w14:textId="77777777" w:rsidR="005F10CD" w:rsidRDefault="005F10CD">
            <w:pPr>
              <w:autoSpaceDE w:val="0"/>
              <w:autoSpaceDN w:val="0"/>
              <w:adjustRightInd w:val="0"/>
              <w:rPr>
                <w:rFonts w:ascii="Calibri" w:hAnsi="Calibri" w:cs="Calibri"/>
              </w:rPr>
            </w:pPr>
            <w:r>
              <w:rPr>
                <w:rFonts w:cs="Arial"/>
                <w:sz w:val="18"/>
                <w:szCs w:val="18"/>
              </w:rPr>
              <w:t>Rose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27FC1982" w14:textId="77777777" w:rsidR="005F10CD" w:rsidRDefault="005F10CD">
            <w:pPr>
              <w:autoSpaceDE w:val="0"/>
              <w:autoSpaceDN w:val="0"/>
              <w:adjustRightInd w:val="0"/>
              <w:rPr>
                <w:rFonts w:ascii="Calibri" w:hAnsi="Calibri" w:cs="Calibri"/>
              </w:rPr>
            </w:pPr>
            <w:r>
              <w:rPr>
                <w:rFonts w:cs="Arial"/>
                <w:sz w:val="18"/>
                <w:szCs w:val="18"/>
              </w:rPr>
              <w:t xml:space="preserve">China, </w:t>
            </w:r>
            <w:r>
              <w:rPr>
                <w:rFonts w:cs="Arial"/>
                <w:color w:val="000000"/>
                <w:sz w:val="18"/>
                <w:szCs w:val="18"/>
              </w:rPr>
              <w:t>Niederlande</w:t>
            </w:r>
            <w:r>
              <w:rPr>
                <w:rFonts w:cs="Arial"/>
                <w:sz w:val="18"/>
                <w:szCs w:val="18"/>
              </w:rPr>
              <w:t>, CIOPORA</w:t>
            </w:r>
          </w:p>
        </w:tc>
      </w:tr>
      <w:tr w:rsidR="005F10CD" w14:paraId="769A3B17" w14:textId="77777777">
        <w:trPr>
          <w:trHeight w:val="1"/>
        </w:trPr>
        <w:tc>
          <w:tcPr>
            <w:tcW w:w="2122" w:type="dxa"/>
            <w:tcBorders>
              <w:top w:val="single" w:sz="3" w:space="0" w:color="000000"/>
              <w:left w:val="single" w:sz="3" w:space="0" w:color="000000"/>
              <w:bottom w:val="single" w:sz="3" w:space="0" w:color="000000"/>
              <w:right w:val="single" w:sz="3" w:space="0" w:color="000000"/>
            </w:tcBorders>
            <w:shd w:val="clear" w:color="000000" w:fill="FFFFFF"/>
          </w:tcPr>
          <w:p w14:paraId="67C919C9" w14:textId="77777777" w:rsidR="005F10CD" w:rsidRDefault="005F10CD">
            <w:pPr>
              <w:autoSpaceDE w:val="0"/>
              <w:autoSpaceDN w:val="0"/>
              <w:adjustRightInd w:val="0"/>
              <w:rPr>
                <w:rFonts w:ascii="Calibri" w:hAnsi="Calibri" w:cs="Calibri"/>
              </w:rPr>
            </w:pPr>
            <w:r>
              <w:rPr>
                <w:rFonts w:cs="Arial"/>
                <w:sz w:val="18"/>
                <w:szCs w:val="18"/>
              </w:rPr>
              <w:t>Strauchpäonie</w:t>
            </w:r>
          </w:p>
        </w:tc>
        <w:tc>
          <w:tcPr>
            <w:tcW w:w="7058" w:type="dxa"/>
            <w:tcBorders>
              <w:top w:val="single" w:sz="3" w:space="0" w:color="000000"/>
              <w:left w:val="single" w:sz="3" w:space="0" w:color="000000"/>
              <w:bottom w:val="single" w:sz="3" w:space="0" w:color="000000"/>
              <w:right w:val="single" w:sz="3" w:space="0" w:color="000000"/>
            </w:tcBorders>
            <w:shd w:val="clear" w:color="000000" w:fill="FFFFFF"/>
          </w:tcPr>
          <w:p w14:paraId="28EF1235" w14:textId="77777777" w:rsidR="005F10CD" w:rsidRDefault="005F10CD">
            <w:pPr>
              <w:autoSpaceDE w:val="0"/>
              <w:autoSpaceDN w:val="0"/>
              <w:adjustRightInd w:val="0"/>
              <w:rPr>
                <w:rFonts w:ascii="Calibri" w:hAnsi="Calibri" w:cs="Calibri"/>
              </w:rPr>
            </w:pPr>
            <w:r>
              <w:rPr>
                <w:rFonts w:cs="Arial"/>
                <w:sz w:val="18"/>
                <w:szCs w:val="18"/>
              </w:rPr>
              <w:t>China</w:t>
            </w:r>
          </w:p>
        </w:tc>
      </w:tr>
    </w:tbl>
    <w:p w14:paraId="15D9D845" w14:textId="77777777" w:rsidR="005F10CD" w:rsidRDefault="005F10CD" w:rsidP="005F10CD">
      <w:pPr>
        <w:tabs>
          <w:tab w:val="left" w:pos="960"/>
        </w:tabs>
        <w:autoSpaceDE w:val="0"/>
        <w:autoSpaceDN w:val="0"/>
        <w:adjustRightInd w:val="0"/>
        <w:rPr>
          <w:rFonts w:cs="Arial"/>
        </w:rPr>
      </w:pPr>
    </w:p>
    <w:p w14:paraId="614A8CBB" w14:textId="77777777" w:rsidR="005F10CD" w:rsidRPr="00D42510" w:rsidRDefault="005F10CD" w:rsidP="005F10CD">
      <w:pPr>
        <w:keepNext/>
        <w:autoSpaceDE w:val="0"/>
        <w:autoSpaceDN w:val="0"/>
        <w:adjustRightInd w:val="0"/>
        <w:ind w:left="567"/>
        <w:rPr>
          <w:rFonts w:cs="Arial"/>
          <w:u w:val="single"/>
        </w:rPr>
      </w:pPr>
      <w:r w:rsidRPr="00D42510">
        <w:rPr>
          <w:rFonts w:cs="Arial"/>
          <w:u w:val="single"/>
        </w:rPr>
        <w:t>Vorhaben für eine Zusammenarbeit</w:t>
      </w:r>
    </w:p>
    <w:p w14:paraId="0405CE95" w14:textId="77777777" w:rsidR="005F10CD" w:rsidRPr="00D42510" w:rsidRDefault="005F10CD" w:rsidP="005F10CD">
      <w:pPr>
        <w:autoSpaceDE w:val="0"/>
        <w:autoSpaceDN w:val="0"/>
        <w:adjustRightInd w:val="0"/>
        <w:rPr>
          <w:rFonts w:cs="Arial"/>
        </w:rPr>
      </w:pPr>
    </w:p>
    <w:p w14:paraId="6DD2EC23" w14:textId="77777777" w:rsidR="005F10CD" w:rsidRPr="00D42510" w:rsidRDefault="005F10CD" w:rsidP="005F10CD">
      <w:pPr>
        <w:numPr>
          <w:ilvl w:val="0"/>
          <w:numId w:val="1"/>
        </w:numPr>
        <w:autoSpaceDE w:val="0"/>
        <w:autoSpaceDN w:val="0"/>
        <w:adjustRightInd w:val="0"/>
        <w:ind w:left="720" w:hanging="360"/>
        <w:rPr>
          <w:rFonts w:cs="Arial"/>
        </w:rPr>
      </w:pPr>
      <w:r w:rsidRPr="00D42510">
        <w:rPr>
          <w:rFonts w:cs="Arial"/>
          <w:color w:val="000000"/>
        </w:rPr>
        <w:t>Rose:  China, die Niederlande und CIOPORA sollen eine Methodik erörtern, mit der ein Satz von molekularen Markern laborübergreifend validiert werden kann.</w:t>
      </w:r>
    </w:p>
    <w:p w14:paraId="4FB9FBE4" w14:textId="77777777" w:rsidR="005F10CD" w:rsidRPr="00D42510" w:rsidRDefault="005F10CD" w:rsidP="005F10CD">
      <w:pPr>
        <w:numPr>
          <w:ilvl w:val="0"/>
          <w:numId w:val="1"/>
        </w:numPr>
        <w:autoSpaceDE w:val="0"/>
        <w:autoSpaceDN w:val="0"/>
        <w:adjustRightInd w:val="0"/>
        <w:ind w:left="720" w:hanging="360"/>
        <w:rPr>
          <w:rFonts w:cs="Arial"/>
          <w:szCs w:val="18"/>
        </w:rPr>
      </w:pPr>
      <w:r w:rsidRPr="00D42510">
        <w:rPr>
          <w:rFonts w:cs="Arial"/>
        </w:rPr>
        <w:t>Chrysantheme,</w:t>
      </w:r>
      <w:r>
        <w:rPr>
          <w:rFonts w:cs="Arial"/>
          <w:sz w:val="18"/>
          <w:szCs w:val="18"/>
        </w:rPr>
        <w:t xml:space="preserve"> </w:t>
      </w:r>
      <w:r w:rsidRPr="00D42510">
        <w:rPr>
          <w:rFonts w:cs="Arial"/>
          <w:szCs w:val="18"/>
        </w:rPr>
        <w:t>Rose, Strauchpäonie: China soll die Möglichkeiten einer Zusammenarbeit bei der Entwicklung molekularer Marker mit anderen UPOV-Mitgliedern ausloten.</w:t>
      </w:r>
    </w:p>
    <w:p w14:paraId="2D01395D" w14:textId="77777777" w:rsidR="005F10CD" w:rsidRDefault="005F10CD" w:rsidP="005F10CD">
      <w:pPr>
        <w:keepNext/>
        <w:autoSpaceDE w:val="0"/>
        <w:autoSpaceDN w:val="0"/>
        <w:adjustRightInd w:val="0"/>
        <w:rPr>
          <w:rFonts w:cs="Arial"/>
        </w:rPr>
      </w:pPr>
    </w:p>
    <w:p w14:paraId="23026EF7" w14:textId="77777777" w:rsidR="005F10CD" w:rsidRPr="00D42510" w:rsidRDefault="005F10CD" w:rsidP="005F10CD">
      <w:pPr>
        <w:keepNext/>
        <w:autoSpaceDE w:val="0"/>
        <w:autoSpaceDN w:val="0"/>
        <w:adjustRightInd w:val="0"/>
        <w:ind w:left="567"/>
        <w:rPr>
          <w:rFonts w:cs="Arial"/>
          <w:u w:val="single"/>
        </w:rPr>
      </w:pPr>
      <w:r w:rsidRPr="00D42510">
        <w:rPr>
          <w:rFonts w:cs="Arial"/>
          <w:u w:val="single"/>
        </w:rPr>
        <w:t>Überblick über die derzeitige Verwendung chemischer und molekularer Verfahren</w:t>
      </w:r>
    </w:p>
    <w:p w14:paraId="2F67CCD4" w14:textId="77777777" w:rsidR="005F10CD" w:rsidRDefault="005F10CD" w:rsidP="005F10CD">
      <w:pPr>
        <w:keepNext/>
        <w:autoSpaceDE w:val="0"/>
        <w:autoSpaceDN w:val="0"/>
        <w:adjustRightInd w:val="0"/>
        <w:rPr>
          <w:rFonts w:cs="Arial"/>
        </w:rPr>
      </w:pPr>
    </w:p>
    <w:tbl>
      <w:tblPr>
        <w:tblW w:w="0" w:type="auto"/>
        <w:tblInd w:w="670" w:type="dxa"/>
        <w:tblLayout w:type="fixed"/>
        <w:tblLook w:val="0000" w:firstRow="0" w:lastRow="0" w:firstColumn="0" w:lastColumn="0" w:noHBand="0" w:noVBand="0"/>
      </w:tblPr>
      <w:tblGrid>
        <w:gridCol w:w="9072"/>
      </w:tblGrid>
      <w:tr w:rsidR="005F10CD" w14:paraId="24B93A59"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3C29A55A"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u w:val="single"/>
              </w:rPr>
              <w:t>Verwendung</w:t>
            </w:r>
            <w:r>
              <w:rPr>
                <w:rFonts w:cs="Arial"/>
                <w:sz w:val="18"/>
                <w:szCs w:val="18"/>
              </w:rPr>
              <w:t>:</w:t>
            </w:r>
          </w:p>
        </w:tc>
      </w:tr>
      <w:tr w:rsidR="005F10CD" w14:paraId="30EC0FAF"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1003B33"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Sortenidentifikation (CN)</w:t>
            </w:r>
          </w:p>
        </w:tc>
      </w:tr>
      <w:tr w:rsidR="005F10CD" w14:paraId="266EA37A"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6B2285A9"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Forschung (CN, FR)</w:t>
            </w:r>
          </w:p>
        </w:tc>
      </w:tr>
      <w:tr w:rsidR="005F10CD" w14:paraId="073F89A6"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D823531" w14:textId="77777777" w:rsidR="005F10CD" w:rsidRDefault="005F10CD">
            <w:pPr>
              <w:autoSpaceDE w:val="0"/>
              <w:autoSpaceDN w:val="0"/>
              <w:adjustRightInd w:val="0"/>
              <w:spacing w:before="20" w:after="20"/>
              <w:ind w:left="38"/>
              <w:rPr>
                <w:rFonts w:ascii="Calibri" w:hAnsi="Calibri" w:cs="Calibri"/>
              </w:rPr>
            </w:pPr>
          </w:p>
        </w:tc>
      </w:tr>
      <w:tr w:rsidR="005F10CD" w14:paraId="591B5FD0"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2B9047B3" w14:textId="77777777" w:rsidR="005F10CD" w:rsidRDefault="005F10CD">
            <w:pPr>
              <w:autoSpaceDE w:val="0"/>
              <w:autoSpaceDN w:val="0"/>
              <w:adjustRightInd w:val="0"/>
              <w:spacing w:before="20" w:after="20"/>
              <w:ind w:left="38"/>
              <w:rPr>
                <w:rFonts w:ascii="Calibri" w:hAnsi="Calibri" w:cs="Calibri"/>
              </w:rPr>
            </w:pPr>
            <w:r>
              <w:rPr>
                <w:rFonts w:cs="Arial"/>
                <w:sz w:val="18"/>
                <w:szCs w:val="18"/>
                <w:u w:val="single"/>
              </w:rPr>
              <w:t>Verfahren</w:t>
            </w:r>
            <w:r>
              <w:rPr>
                <w:rFonts w:cs="Arial"/>
                <w:sz w:val="18"/>
                <w:szCs w:val="18"/>
              </w:rPr>
              <w:t>:</w:t>
            </w:r>
          </w:p>
        </w:tc>
      </w:tr>
      <w:tr w:rsidR="005F10CD" w14:paraId="123BC947"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0A379AD6"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 xml:space="preserve">SSR (CN, FR) </w:t>
            </w:r>
          </w:p>
        </w:tc>
      </w:tr>
      <w:tr w:rsidR="005F10CD" w14:paraId="580D6F7E"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1AA571DA"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SNP</w:t>
            </w:r>
            <w:r w:rsidR="00670497">
              <w:rPr>
                <w:rFonts w:cs="Arial"/>
                <w:sz w:val="18"/>
                <w:szCs w:val="18"/>
              </w:rPr>
              <w:t>s</w:t>
            </w:r>
            <w:r>
              <w:rPr>
                <w:rFonts w:cs="Arial"/>
                <w:sz w:val="18"/>
                <w:szCs w:val="18"/>
              </w:rPr>
              <w:t xml:space="preserve"> (CN)</w:t>
            </w:r>
          </w:p>
        </w:tc>
      </w:tr>
    </w:tbl>
    <w:p w14:paraId="167B1090" w14:textId="77777777" w:rsidR="005F10CD" w:rsidRDefault="005F10CD" w:rsidP="005F10CD">
      <w:pPr>
        <w:autoSpaceDE w:val="0"/>
        <w:autoSpaceDN w:val="0"/>
        <w:adjustRightInd w:val="0"/>
        <w:rPr>
          <w:rFonts w:cs="Arial"/>
        </w:rPr>
      </w:pPr>
    </w:p>
    <w:p w14:paraId="0A372B59" w14:textId="77777777" w:rsidR="005F10CD" w:rsidRPr="00D42510" w:rsidRDefault="005F10CD" w:rsidP="005F10CD">
      <w:pPr>
        <w:keepNext/>
        <w:autoSpaceDE w:val="0"/>
        <w:autoSpaceDN w:val="0"/>
        <w:adjustRightInd w:val="0"/>
        <w:ind w:left="567"/>
        <w:rPr>
          <w:rFonts w:cs="Arial"/>
          <w:u w:val="single"/>
        </w:rPr>
      </w:pPr>
      <w:r w:rsidRPr="00D42510">
        <w:rPr>
          <w:rFonts w:cs="Arial"/>
          <w:u w:val="single"/>
        </w:rPr>
        <w:t>Vorschläge zu Geheimhaltung und Datenzugang</w:t>
      </w:r>
    </w:p>
    <w:p w14:paraId="0186B04E" w14:textId="77777777" w:rsidR="005F10CD" w:rsidRPr="00D42510" w:rsidRDefault="005F10CD" w:rsidP="005F10CD">
      <w:pPr>
        <w:keepNext/>
        <w:autoSpaceDE w:val="0"/>
        <w:autoSpaceDN w:val="0"/>
        <w:adjustRightInd w:val="0"/>
        <w:rPr>
          <w:rFonts w:cs="Arial"/>
        </w:rPr>
      </w:pPr>
    </w:p>
    <w:p w14:paraId="272651F1" w14:textId="77777777" w:rsidR="005F10CD" w:rsidRPr="00D42510" w:rsidRDefault="005F10CD" w:rsidP="005F10CD">
      <w:pPr>
        <w:keepNext/>
        <w:numPr>
          <w:ilvl w:val="0"/>
          <w:numId w:val="1"/>
        </w:numPr>
        <w:autoSpaceDE w:val="0"/>
        <w:autoSpaceDN w:val="0"/>
        <w:adjustRightInd w:val="0"/>
        <w:ind w:left="720" w:hanging="360"/>
        <w:rPr>
          <w:rFonts w:cs="Arial"/>
        </w:rPr>
      </w:pPr>
      <w:r w:rsidRPr="00D42510">
        <w:rPr>
          <w:rFonts w:cs="Arial"/>
        </w:rPr>
        <w:t xml:space="preserve">Ausarbeitung einer Mustervereinbarung zur Verwendung molekularer Daten mit den Züchtern. Die Mustervereinbarung sollte die Verpflichtung zur Beschreibung der beabsichtigten Datenverwendung enthalten.  </w:t>
      </w:r>
    </w:p>
    <w:p w14:paraId="04224779" w14:textId="77777777" w:rsidR="005F10CD" w:rsidRPr="00D42510" w:rsidRDefault="005F10CD" w:rsidP="005F10CD">
      <w:pPr>
        <w:autoSpaceDE w:val="0"/>
        <w:autoSpaceDN w:val="0"/>
        <w:adjustRightInd w:val="0"/>
        <w:rPr>
          <w:rFonts w:cs="Arial"/>
        </w:rPr>
      </w:pPr>
    </w:p>
    <w:p w14:paraId="321C9F6C" w14:textId="77777777" w:rsidR="005F10CD" w:rsidRDefault="005F10CD" w:rsidP="005F10CD">
      <w:pPr>
        <w:keepNext/>
        <w:autoSpaceDE w:val="0"/>
        <w:autoSpaceDN w:val="0"/>
        <w:adjustRightInd w:val="0"/>
        <w:spacing w:before="120" w:after="240"/>
        <w:rPr>
          <w:rFonts w:cs="Arial"/>
          <w:i/>
          <w:iCs/>
        </w:rPr>
      </w:pPr>
      <w:r>
        <w:rPr>
          <w:rFonts w:cs="Arial"/>
          <w:i/>
          <w:iCs/>
        </w:rPr>
        <w:t>Obstarten und forstliche Baumarten</w:t>
      </w:r>
    </w:p>
    <w:p w14:paraId="0F1CC5BF" w14:textId="77777777" w:rsidR="005F10CD" w:rsidRPr="00D42510" w:rsidRDefault="005F10CD" w:rsidP="005F10CD">
      <w:pPr>
        <w:keepNext/>
        <w:autoSpaceDE w:val="0"/>
        <w:autoSpaceDN w:val="0"/>
        <w:adjustRightInd w:val="0"/>
        <w:ind w:left="567"/>
        <w:rPr>
          <w:rFonts w:cs="Arial"/>
          <w:u w:val="single"/>
        </w:rPr>
      </w:pPr>
      <w:r w:rsidRPr="00D42510">
        <w:rPr>
          <w:rFonts w:cs="Arial"/>
          <w:u w:val="single"/>
        </w:rPr>
        <w:t xml:space="preserve">Überblick über die Pflanzen von Interesse </w:t>
      </w:r>
    </w:p>
    <w:p w14:paraId="5DDAE180" w14:textId="77777777" w:rsidR="005F10CD" w:rsidRDefault="005F10CD" w:rsidP="005F10CD">
      <w:pPr>
        <w:autoSpaceDE w:val="0"/>
        <w:autoSpaceDN w:val="0"/>
        <w:adjustRightInd w:val="0"/>
        <w:rPr>
          <w:rFonts w:cs="Arial"/>
        </w:rPr>
      </w:pPr>
    </w:p>
    <w:tbl>
      <w:tblPr>
        <w:tblW w:w="0" w:type="auto"/>
        <w:tblInd w:w="670" w:type="dxa"/>
        <w:tblLayout w:type="fixed"/>
        <w:tblLook w:val="0000" w:firstRow="0" w:lastRow="0" w:firstColumn="0" w:lastColumn="0" w:noHBand="0" w:noVBand="0"/>
      </w:tblPr>
      <w:tblGrid>
        <w:gridCol w:w="4814"/>
        <w:gridCol w:w="4258"/>
      </w:tblGrid>
      <w:tr w:rsidR="005F10CD" w14:paraId="30BCE877" w14:textId="77777777">
        <w:trPr>
          <w:trHeight w:val="1"/>
        </w:trPr>
        <w:tc>
          <w:tcPr>
            <w:tcW w:w="4814" w:type="dxa"/>
            <w:tcBorders>
              <w:top w:val="single" w:sz="3" w:space="0" w:color="000000"/>
              <w:left w:val="single" w:sz="3" w:space="0" w:color="000000"/>
              <w:bottom w:val="single" w:sz="3" w:space="0" w:color="000000"/>
              <w:right w:val="single" w:sz="3" w:space="0" w:color="000000"/>
            </w:tcBorders>
            <w:shd w:val="clear" w:color="000000" w:fill="FFFFFF"/>
          </w:tcPr>
          <w:p w14:paraId="3109DB08" w14:textId="77777777" w:rsidR="005F10CD" w:rsidRDefault="005F10CD">
            <w:pPr>
              <w:autoSpaceDE w:val="0"/>
              <w:autoSpaceDN w:val="0"/>
              <w:adjustRightInd w:val="0"/>
              <w:rPr>
                <w:rFonts w:ascii="Calibri" w:hAnsi="Calibri" w:cs="Calibri"/>
              </w:rPr>
            </w:pPr>
            <w:r>
              <w:rPr>
                <w:rFonts w:cs="Arial"/>
                <w:sz w:val="18"/>
                <w:szCs w:val="18"/>
              </w:rPr>
              <w:t>Zitrus</w:t>
            </w:r>
          </w:p>
        </w:tc>
        <w:tc>
          <w:tcPr>
            <w:tcW w:w="4258" w:type="dxa"/>
            <w:tcBorders>
              <w:top w:val="single" w:sz="3" w:space="0" w:color="000000"/>
              <w:left w:val="single" w:sz="3" w:space="0" w:color="000000"/>
              <w:bottom w:val="single" w:sz="3" w:space="0" w:color="000000"/>
              <w:right w:val="single" w:sz="3" w:space="0" w:color="000000"/>
            </w:tcBorders>
            <w:shd w:val="clear" w:color="000000" w:fill="FFFFFF"/>
          </w:tcPr>
          <w:p w14:paraId="622496E0" w14:textId="77777777" w:rsidR="005F10CD" w:rsidRDefault="005F10CD">
            <w:pPr>
              <w:autoSpaceDE w:val="0"/>
              <w:autoSpaceDN w:val="0"/>
              <w:adjustRightInd w:val="0"/>
              <w:rPr>
                <w:rFonts w:ascii="Calibri" w:hAnsi="Calibri" w:cs="Calibri"/>
              </w:rPr>
            </w:pPr>
            <w:r>
              <w:rPr>
                <w:rFonts w:cs="Arial"/>
                <w:sz w:val="18"/>
                <w:szCs w:val="18"/>
              </w:rPr>
              <w:t>China, Italien, Spanien</w:t>
            </w:r>
          </w:p>
        </w:tc>
      </w:tr>
      <w:tr w:rsidR="005F10CD" w14:paraId="0B6A9FA6" w14:textId="77777777">
        <w:trPr>
          <w:trHeight w:val="1"/>
        </w:trPr>
        <w:tc>
          <w:tcPr>
            <w:tcW w:w="4814" w:type="dxa"/>
            <w:tcBorders>
              <w:top w:val="single" w:sz="3" w:space="0" w:color="000000"/>
              <w:left w:val="single" w:sz="3" w:space="0" w:color="000000"/>
              <w:bottom w:val="single" w:sz="3" w:space="0" w:color="000000"/>
              <w:right w:val="single" w:sz="3" w:space="0" w:color="000000"/>
            </w:tcBorders>
            <w:shd w:val="clear" w:color="000000" w:fill="FFFFFF"/>
          </w:tcPr>
          <w:p w14:paraId="5A2EF5F2" w14:textId="77777777" w:rsidR="005F10CD" w:rsidRDefault="005F10CD">
            <w:pPr>
              <w:autoSpaceDE w:val="0"/>
              <w:autoSpaceDN w:val="0"/>
              <w:adjustRightInd w:val="0"/>
              <w:rPr>
                <w:rFonts w:ascii="Calibri" w:hAnsi="Calibri" w:cs="Calibri"/>
              </w:rPr>
            </w:pPr>
            <w:r>
              <w:rPr>
                <w:rFonts w:cs="Arial"/>
                <w:sz w:val="18"/>
                <w:szCs w:val="18"/>
              </w:rPr>
              <w:t>Kakipflaume</w:t>
            </w:r>
          </w:p>
        </w:tc>
        <w:tc>
          <w:tcPr>
            <w:tcW w:w="4258" w:type="dxa"/>
            <w:tcBorders>
              <w:top w:val="single" w:sz="3" w:space="0" w:color="000000"/>
              <w:left w:val="single" w:sz="3" w:space="0" w:color="000000"/>
              <w:bottom w:val="single" w:sz="3" w:space="0" w:color="000000"/>
              <w:right w:val="single" w:sz="3" w:space="0" w:color="000000"/>
            </w:tcBorders>
            <w:shd w:val="clear" w:color="000000" w:fill="FFFFFF"/>
          </w:tcPr>
          <w:p w14:paraId="569E2126" w14:textId="77777777" w:rsidR="005F10CD" w:rsidRDefault="005F10CD">
            <w:pPr>
              <w:autoSpaceDE w:val="0"/>
              <w:autoSpaceDN w:val="0"/>
              <w:adjustRightInd w:val="0"/>
              <w:rPr>
                <w:rFonts w:ascii="Calibri" w:hAnsi="Calibri" w:cs="Calibri"/>
              </w:rPr>
            </w:pPr>
            <w:r>
              <w:rPr>
                <w:rFonts w:cs="Arial"/>
                <w:sz w:val="18"/>
                <w:szCs w:val="18"/>
              </w:rPr>
              <w:t>Spanien, Republik Korea</w:t>
            </w:r>
          </w:p>
        </w:tc>
      </w:tr>
      <w:tr w:rsidR="005F10CD" w14:paraId="1A85FD13" w14:textId="77777777">
        <w:trPr>
          <w:trHeight w:val="1"/>
        </w:trPr>
        <w:tc>
          <w:tcPr>
            <w:tcW w:w="4814" w:type="dxa"/>
            <w:tcBorders>
              <w:top w:val="single" w:sz="3" w:space="0" w:color="000000"/>
              <w:left w:val="single" w:sz="3" w:space="0" w:color="000000"/>
              <w:bottom w:val="single" w:sz="3" w:space="0" w:color="000000"/>
              <w:right w:val="single" w:sz="3" w:space="0" w:color="000000"/>
            </w:tcBorders>
            <w:shd w:val="clear" w:color="000000" w:fill="FFFFFF"/>
          </w:tcPr>
          <w:p w14:paraId="147B6BEA" w14:textId="77777777" w:rsidR="005F10CD" w:rsidRDefault="005F10CD">
            <w:pPr>
              <w:autoSpaceDE w:val="0"/>
              <w:autoSpaceDN w:val="0"/>
              <w:adjustRightInd w:val="0"/>
              <w:rPr>
                <w:rFonts w:ascii="Calibri" w:hAnsi="Calibri" w:cs="Calibri"/>
              </w:rPr>
            </w:pPr>
            <w:r>
              <w:rPr>
                <w:rFonts w:cs="Arial"/>
                <w:sz w:val="18"/>
                <w:szCs w:val="18"/>
              </w:rPr>
              <w:t xml:space="preserve">Pfirsich </w:t>
            </w:r>
          </w:p>
        </w:tc>
        <w:tc>
          <w:tcPr>
            <w:tcW w:w="4258" w:type="dxa"/>
            <w:tcBorders>
              <w:top w:val="single" w:sz="3" w:space="0" w:color="000000"/>
              <w:left w:val="single" w:sz="3" w:space="0" w:color="000000"/>
              <w:bottom w:val="single" w:sz="3" w:space="0" w:color="000000"/>
              <w:right w:val="single" w:sz="3" w:space="0" w:color="000000"/>
            </w:tcBorders>
            <w:shd w:val="clear" w:color="000000" w:fill="FFFFFF"/>
          </w:tcPr>
          <w:p w14:paraId="5DE7A3DB" w14:textId="77777777" w:rsidR="005F10CD" w:rsidRDefault="005F10CD">
            <w:pPr>
              <w:autoSpaceDE w:val="0"/>
              <w:autoSpaceDN w:val="0"/>
              <w:adjustRightInd w:val="0"/>
              <w:rPr>
                <w:rFonts w:ascii="Calibri" w:hAnsi="Calibri" w:cs="Calibri"/>
              </w:rPr>
            </w:pPr>
            <w:r>
              <w:rPr>
                <w:rFonts w:cs="Arial"/>
                <w:sz w:val="18"/>
                <w:szCs w:val="18"/>
              </w:rPr>
              <w:t>Italien, Ungarn, Spanien</w:t>
            </w:r>
          </w:p>
        </w:tc>
      </w:tr>
      <w:tr w:rsidR="005F10CD" w14:paraId="6BDBDFC6" w14:textId="77777777">
        <w:trPr>
          <w:trHeight w:val="1"/>
        </w:trPr>
        <w:tc>
          <w:tcPr>
            <w:tcW w:w="4814" w:type="dxa"/>
            <w:tcBorders>
              <w:top w:val="single" w:sz="3" w:space="0" w:color="000000"/>
              <w:left w:val="single" w:sz="3" w:space="0" w:color="000000"/>
              <w:bottom w:val="single" w:sz="3" w:space="0" w:color="000000"/>
              <w:right w:val="single" w:sz="3" w:space="0" w:color="000000"/>
            </w:tcBorders>
            <w:shd w:val="clear" w:color="000000" w:fill="FFFFFF"/>
          </w:tcPr>
          <w:p w14:paraId="214A86B0" w14:textId="77777777" w:rsidR="005F10CD" w:rsidRDefault="005F10CD">
            <w:pPr>
              <w:autoSpaceDE w:val="0"/>
              <w:autoSpaceDN w:val="0"/>
              <w:adjustRightInd w:val="0"/>
              <w:rPr>
                <w:rFonts w:ascii="Calibri" w:hAnsi="Calibri" w:cs="Calibri"/>
              </w:rPr>
            </w:pPr>
            <w:r>
              <w:rPr>
                <w:rFonts w:cs="Arial"/>
                <w:sz w:val="18"/>
                <w:szCs w:val="18"/>
              </w:rPr>
              <w:t>Erdbeere</w:t>
            </w:r>
          </w:p>
        </w:tc>
        <w:tc>
          <w:tcPr>
            <w:tcW w:w="4258" w:type="dxa"/>
            <w:tcBorders>
              <w:top w:val="single" w:sz="3" w:space="0" w:color="000000"/>
              <w:left w:val="single" w:sz="3" w:space="0" w:color="000000"/>
              <w:bottom w:val="single" w:sz="3" w:space="0" w:color="000000"/>
              <w:right w:val="single" w:sz="3" w:space="0" w:color="000000"/>
            </w:tcBorders>
            <w:shd w:val="clear" w:color="000000" w:fill="FFFFFF"/>
          </w:tcPr>
          <w:p w14:paraId="431DDE09" w14:textId="77777777" w:rsidR="005F10CD" w:rsidRDefault="005F10CD">
            <w:pPr>
              <w:autoSpaceDE w:val="0"/>
              <w:autoSpaceDN w:val="0"/>
              <w:adjustRightInd w:val="0"/>
              <w:rPr>
                <w:rFonts w:ascii="Calibri" w:hAnsi="Calibri" w:cs="Calibri"/>
              </w:rPr>
            </w:pPr>
            <w:r>
              <w:rPr>
                <w:rFonts w:cs="Arial"/>
                <w:sz w:val="18"/>
                <w:szCs w:val="18"/>
              </w:rPr>
              <w:t>Italien, Ungarn, Spanien</w:t>
            </w:r>
          </w:p>
        </w:tc>
      </w:tr>
      <w:tr w:rsidR="005F10CD" w14:paraId="1AB51B24" w14:textId="77777777">
        <w:trPr>
          <w:trHeight w:val="1"/>
        </w:trPr>
        <w:tc>
          <w:tcPr>
            <w:tcW w:w="4814" w:type="dxa"/>
            <w:tcBorders>
              <w:top w:val="single" w:sz="3" w:space="0" w:color="000000"/>
              <w:left w:val="single" w:sz="3" w:space="0" w:color="000000"/>
              <w:bottom w:val="single" w:sz="3" w:space="0" w:color="000000"/>
              <w:right w:val="single" w:sz="3" w:space="0" w:color="000000"/>
            </w:tcBorders>
            <w:shd w:val="clear" w:color="000000" w:fill="FFFFFF"/>
          </w:tcPr>
          <w:p w14:paraId="6D24AD55" w14:textId="77777777" w:rsidR="005F10CD" w:rsidRDefault="005F10CD">
            <w:pPr>
              <w:autoSpaceDE w:val="0"/>
              <w:autoSpaceDN w:val="0"/>
              <w:adjustRightInd w:val="0"/>
              <w:rPr>
                <w:rFonts w:ascii="Calibri" w:hAnsi="Calibri" w:cs="Calibri"/>
              </w:rPr>
            </w:pPr>
            <w:r>
              <w:rPr>
                <w:rFonts w:cs="Arial"/>
                <w:sz w:val="18"/>
                <w:szCs w:val="18"/>
              </w:rPr>
              <w:t>Goji-Beere</w:t>
            </w:r>
          </w:p>
        </w:tc>
        <w:tc>
          <w:tcPr>
            <w:tcW w:w="4258" w:type="dxa"/>
            <w:tcBorders>
              <w:top w:val="single" w:sz="3" w:space="0" w:color="000000"/>
              <w:left w:val="single" w:sz="3" w:space="0" w:color="000000"/>
              <w:bottom w:val="single" w:sz="3" w:space="0" w:color="000000"/>
              <w:right w:val="single" w:sz="3" w:space="0" w:color="000000"/>
            </w:tcBorders>
            <w:shd w:val="clear" w:color="000000" w:fill="FFFFFF"/>
          </w:tcPr>
          <w:p w14:paraId="331A8034" w14:textId="77777777" w:rsidR="005F10CD" w:rsidRDefault="005F10CD">
            <w:pPr>
              <w:autoSpaceDE w:val="0"/>
              <w:autoSpaceDN w:val="0"/>
              <w:adjustRightInd w:val="0"/>
              <w:rPr>
                <w:rFonts w:ascii="Calibri" w:hAnsi="Calibri" w:cs="Calibri"/>
              </w:rPr>
            </w:pPr>
            <w:r>
              <w:rPr>
                <w:rFonts w:cs="Arial"/>
                <w:sz w:val="18"/>
                <w:szCs w:val="18"/>
              </w:rPr>
              <w:t>China</w:t>
            </w:r>
          </w:p>
        </w:tc>
      </w:tr>
      <w:tr w:rsidR="005F10CD" w14:paraId="4461F14C" w14:textId="77777777">
        <w:trPr>
          <w:trHeight w:val="1"/>
        </w:trPr>
        <w:tc>
          <w:tcPr>
            <w:tcW w:w="4814" w:type="dxa"/>
            <w:tcBorders>
              <w:top w:val="single" w:sz="3" w:space="0" w:color="000000"/>
              <w:left w:val="single" w:sz="3" w:space="0" w:color="000000"/>
              <w:bottom w:val="single" w:sz="3" w:space="0" w:color="000000"/>
              <w:right w:val="single" w:sz="3" w:space="0" w:color="000000"/>
            </w:tcBorders>
            <w:shd w:val="clear" w:color="000000" w:fill="FFFFFF"/>
          </w:tcPr>
          <w:p w14:paraId="30DEFC29" w14:textId="77777777" w:rsidR="005F10CD" w:rsidRDefault="005F10CD">
            <w:pPr>
              <w:autoSpaceDE w:val="0"/>
              <w:autoSpaceDN w:val="0"/>
              <w:adjustRightInd w:val="0"/>
              <w:rPr>
                <w:rFonts w:ascii="Calibri" w:hAnsi="Calibri" w:cs="Calibri"/>
              </w:rPr>
            </w:pPr>
            <w:r>
              <w:rPr>
                <w:rFonts w:cs="Arial"/>
                <w:sz w:val="18"/>
                <w:szCs w:val="18"/>
              </w:rPr>
              <w:t>Walnuß</w:t>
            </w:r>
          </w:p>
        </w:tc>
        <w:tc>
          <w:tcPr>
            <w:tcW w:w="4258" w:type="dxa"/>
            <w:tcBorders>
              <w:top w:val="single" w:sz="3" w:space="0" w:color="000000"/>
              <w:left w:val="single" w:sz="3" w:space="0" w:color="000000"/>
              <w:bottom w:val="single" w:sz="3" w:space="0" w:color="000000"/>
              <w:right w:val="single" w:sz="3" w:space="0" w:color="000000"/>
            </w:tcBorders>
            <w:shd w:val="clear" w:color="000000" w:fill="FFFFFF"/>
          </w:tcPr>
          <w:p w14:paraId="757C80B1" w14:textId="77777777" w:rsidR="005F10CD" w:rsidRDefault="005F10CD">
            <w:pPr>
              <w:autoSpaceDE w:val="0"/>
              <w:autoSpaceDN w:val="0"/>
              <w:adjustRightInd w:val="0"/>
              <w:rPr>
                <w:rFonts w:ascii="Calibri" w:hAnsi="Calibri" w:cs="Calibri"/>
              </w:rPr>
            </w:pPr>
            <w:r>
              <w:rPr>
                <w:rFonts w:cs="Arial"/>
                <w:sz w:val="18"/>
                <w:szCs w:val="18"/>
              </w:rPr>
              <w:t>China</w:t>
            </w:r>
          </w:p>
        </w:tc>
      </w:tr>
    </w:tbl>
    <w:p w14:paraId="7C72D922" w14:textId="77777777" w:rsidR="005F10CD" w:rsidRDefault="005F10CD" w:rsidP="005F10CD">
      <w:pPr>
        <w:autoSpaceDE w:val="0"/>
        <w:autoSpaceDN w:val="0"/>
        <w:adjustRightInd w:val="0"/>
        <w:rPr>
          <w:rFonts w:cs="Arial"/>
        </w:rPr>
      </w:pPr>
    </w:p>
    <w:p w14:paraId="5D00D61A" w14:textId="77777777" w:rsidR="005F10CD" w:rsidRPr="00D42510" w:rsidRDefault="005F10CD" w:rsidP="005F10CD">
      <w:pPr>
        <w:keepNext/>
        <w:autoSpaceDE w:val="0"/>
        <w:autoSpaceDN w:val="0"/>
        <w:adjustRightInd w:val="0"/>
        <w:ind w:left="567"/>
        <w:rPr>
          <w:rFonts w:cs="Arial"/>
          <w:u w:val="single"/>
        </w:rPr>
      </w:pPr>
      <w:r w:rsidRPr="00D42510">
        <w:rPr>
          <w:rFonts w:cs="Arial"/>
          <w:u w:val="single"/>
        </w:rPr>
        <w:t>Vorhaben für eine Zusammenarbeit</w:t>
      </w:r>
    </w:p>
    <w:p w14:paraId="04227AE4" w14:textId="77777777" w:rsidR="005F10CD" w:rsidRPr="00D42510" w:rsidRDefault="005F10CD" w:rsidP="005F10CD">
      <w:pPr>
        <w:autoSpaceDE w:val="0"/>
        <w:autoSpaceDN w:val="0"/>
        <w:adjustRightInd w:val="0"/>
        <w:rPr>
          <w:rFonts w:cs="Arial"/>
        </w:rPr>
      </w:pPr>
    </w:p>
    <w:tbl>
      <w:tblPr>
        <w:tblW w:w="0" w:type="auto"/>
        <w:tblInd w:w="670" w:type="dxa"/>
        <w:tblLayout w:type="fixed"/>
        <w:tblLook w:val="0000" w:firstRow="0" w:lastRow="0" w:firstColumn="0" w:lastColumn="0" w:noHBand="0" w:noVBand="0"/>
      </w:tblPr>
      <w:tblGrid>
        <w:gridCol w:w="4252"/>
        <w:gridCol w:w="4815"/>
      </w:tblGrid>
      <w:tr w:rsidR="005F10CD" w14:paraId="225BAF8A" w14:textId="77777777">
        <w:trPr>
          <w:trHeight w:val="1"/>
        </w:trPr>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39D12F55" w14:textId="77777777" w:rsidR="005F10CD" w:rsidRDefault="005F10CD">
            <w:pPr>
              <w:autoSpaceDE w:val="0"/>
              <w:autoSpaceDN w:val="0"/>
              <w:adjustRightInd w:val="0"/>
              <w:rPr>
                <w:rFonts w:ascii="Calibri" w:hAnsi="Calibri" w:cs="Calibri"/>
              </w:rPr>
            </w:pPr>
            <w:r>
              <w:rPr>
                <w:rFonts w:cs="Arial"/>
                <w:sz w:val="18"/>
                <w:szCs w:val="18"/>
              </w:rPr>
              <w:t>Zitrus – in Betracht stehend</w:t>
            </w:r>
          </w:p>
        </w:tc>
        <w:tc>
          <w:tcPr>
            <w:tcW w:w="4815" w:type="dxa"/>
            <w:tcBorders>
              <w:top w:val="single" w:sz="3" w:space="0" w:color="000000"/>
              <w:left w:val="single" w:sz="3" w:space="0" w:color="000000"/>
              <w:bottom w:val="single" w:sz="3" w:space="0" w:color="000000"/>
              <w:right w:val="single" w:sz="3" w:space="0" w:color="000000"/>
            </w:tcBorders>
            <w:shd w:val="clear" w:color="000000" w:fill="FFFFFF"/>
          </w:tcPr>
          <w:p w14:paraId="291193B1" w14:textId="77777777" w:rsidR="005F10CD" w:rsidRDefault="005F10CD">
            <w:pPr>
              <w:autoSpaceDE w:val="0"/>
              <w:autoSpaceDN w:val="0"/>
              <w:adjustRightInd w:val="0"/>
              <w:rPr>
                <w:rFonts w:ascii="Calibri" w:hAnsi="Calibri" w:cs="Calibri"/>
              </w:rPr>
            </w:pPr>
            <w:r>
              <w:rPr>
                <w:rFonts w:cs="Arial"/>
                <w:sz w:val="18"/>
                <w:szCs w:val="18"/>
              </w:rPr>
              <w:t>Spanien soll eine Initiative zur Zusammenarbeit mit Italien vorschlagen</w:t>
            </w:r>
          </w:p>
        </w:tc>
      </w:tr>
      <w:tr w:rsidR="005F10CD" w14:paraId="79518F6E" w14:textId="77777777">
        <w:trPr>
          <w:trHeight w:val="1"/>
        </w:trPr>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326A0A7D" w14:textId="77777777" w:rsidR="005F10CD" w:rsidRDefault="005F10CD">
            <w:pPr>
              <w:autoSpaceDE w:val="0"/>
              <w:autoSpaceDN w:val="0"/>
              <w:adjustRightInd w:val="0"/>
              <w:rPr>
                <w:rFonts w:ascii="Calibri" w:hAnsi="Calibri" w:cs="Calibri"/>
              </w:rPr>
            </w:pPr>
            <w:r>
              <w:rPr>
                <w:rFonts w:cs="Arial"/>
                <w:sz w:val="18"/>
                <w:szCs w:val="18"/>
              </w:rPr>
              <w:t>Kakipflaume</w:t>
            </w:r>
          </w:p>
        </w:tc>
        <w:tc>
          <w:tcPr>
            <w:tcW w:w="4815" w:type="dxa"/>
            <w:tcBorders>
              <w:top w:val="single" w:sz="3" w:space="0" w:color="000000"/>
              <w:left w:val="single" w:sz="3" w:space="0" w:color="000000"/>
              <w:bottom w:val="single" w:sz="3" w:space="0" w:color="000000"/>
              <w:right w:val="single" w:sz="3" w:space="0" w:color="000000"/>
            </w:tcBorders>
            <w:shd w:val="clear" w:color="000000" w:fill="FFFFFF"/>
          </w:tcPr>
          <w:p w14:paraId="29213095" w14:textId="77777777" w:rsidR="005F10CD" w:rsidRDefault="005F10CD">
            <w:pPr>
              <w:autoSpaceDE w:val="0"/>
              <w:autoSpaceDN w:val="0"/>
              <w:adjustRightInd w:val="0"/>
              <w:rPr>
                <w:rFonts w:ascii="Calibri" w:hAnsi="Calibri" w:cs="Calibri"/>
              </w:rPr>
            </w:pPr>
            <w:r>
              <w:rPr>
                <w:rFonts w:cs="Arial"/>
                <w:sz w:val="18"/>
                <w:szCs w:val="18"/>
              </w:rPr>
              <w:t>Spanien, Republik Korea</w:t>
            </w:r>
          </w:p>
        </w:tc>
      </w:tr>
      <w:tr w:rsidR="005F10CD" w14:paraId="4BC24A1B" w14:textId="77777777">
        <w:trPr>
          <w:trHeight w:val="1"/>
        </w:trPr>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48F85DDB" w14:textId="77777777" w:rsidR="005F10CD" w:rsidRDefault="005F10CD">
            <w:pPr>
              <w:autoSpaceDE w:val="0"/>
              <w:autoSpaceDN w:val="0"/>
              <w:adjustRightInd w:val="0"/>
              <w:rPr>
                <w:rFonts w:ascii="Calibri" w:hAnsi="Calibri" w:cs="Calibri"/>
              </w:rPr>
            </w:pPr>
            <w:r>
              <w:rPr>
                <w:rFonts w:cs="Arial"/>
                <w:sz w:val="18"/>
                <w:szCs w:val="18"/>
              </w:rPr>
              <w:t xml:space="preserve">Pfirsich </w:t>
            </w:r>
          </w:p>
        </w:tc>
        <w:tc>
          <w:tcPr>
            <w:tcW w:w="4815" w:type="dxa"/>
            <w:tcBorders>
              <w:top w:val="single" w:sz="3" w:space="0" w:color="000000"/>
              <w:left w:val="single" w:sz="3" w:space="0" w:color="000000"/>
              <w:bottom w:val="single" w:sz="3" w:space="0" w:color="000000"/>
              <w:right w:val="single" w:sz="3" w:space="0" w:color="000000"/>
            </w:tcBorders>
            <w:shd w:val="clear" w:color="000000" w:fill="FFFFFF"/>
          </w:tcPr>
          <w:p w14:paraId="7B356DCD" w14:textId="77777777" w:rsidR="005F10CD" w:rsidRDefault="005F10CD">
            <w:pPr>
              <w:autoSpaceDE w:val="0"/>
              <w:autoSpaceDN w:val="0"/>
              <w:adjustRightInd w:val="0"/>
              <w:rPr>
                <w:rFonts w:ascii="Calibri" w:hAnsi="Calibri" w:cs="Calibri"/>
              </w:rPr>
            </w:pPr>
            <w:r>
              <w:rPr>
                <w:rFonts w:cs="Arial"/>
                <w:sz w:val="18"/>
                <w:szCs w:val="18"/>
              </w:rPr>
              <w:t>Italien, Ungarn</w:t>
            </w:r>
          </w:p>
        </w:tc>
      </w:tr>
      <w:tr w:rsidR="005F10CD" w14:paraId="1DD02B6F" w14:textId="77777777">
        <w:trPr>
          <w:trHeight w:val="1"/>
        </w:trPr>
        <w:tc>
          <w:tcPr>
            <w:tcW w:w="4252" w:type="dxa"/>
            <w:tcBorders>
              <w:top w:val="single" w:sz="3" w:space="0" w:color="000000"/>
              <w:left w:val="single" w:sz="3" w:space="0" w:color="000000"/>
              <w:bottom w:val="single" w:sz="3" w:space="0" w:color="000000"/>
              <w:right w:val="single" w:sz="3" w:space="0" w:color="000000"/>
            </w:tcBorders>
            <w:shd w:val="clear" w:color="000000" w:fill="FFFFFF"/>
          </w:tcPr>
          <w:p w14:paraId="77A1D8BA" w14:textId="77777777" w:rsidR="005F10CD" w:rsidRDefault="005F10CD">
            <w:pPr>
              <w:autoSpaceDE w:val="0"/>
              <w:autoSpaceDN w:val="0"/>
              <w:adjustRightInd w:val="0"/>
              <w:rPr>
                <w:rFonts w:ascii="Calibri" w:hAnsi="Calibri" w:cs="Calibri"/>
              </w:rPr>
            </w:pPr>
            <w:r>
              <w:rPr>
                <w:rFonts w:cs="Arial"/>
                <w:sz w:val="18"/>
                <w:szCs w:val="18"/>
              </w:rPr>
              <w:t>Erdbeere – in Betracht stehend</w:t>
            </w:r>
          </w:p>
        </w:tc>
        <w:tc>
          <w:tcPr>
            <w:tcW w:w="4815" w:type="dxa"/>
            <w:tcBorders>
              <w:top w:val="single" w:sz="3" w:space="0" w:color="000000"/>
              <w:left w:val="single" w:sz="3" w:space="0" w:color="000000"/>
              <w:bottom w:val="single" w:sz="3" w:space="0" w:color="000000"/>
              <w:right w:val="single" w:sz="3" w:space="0" w:color="000000"/>
            </w:tcBorders>
            <w:shd w:val="clear" w:color="000000" w:fill="FFFFFF"/>
          </w:tcPr>
          <w:p w14:paraId="17045F7E" w14:textId="77777777" w:rsidR="005F10CD" w:rsidRDefault="005F10CD">
            <w:pPr>
              <w:autoSpaceDE w:val="0"/>
              <w:autoSpaceDN w:val="0"/>
              <w:adjustRightInd w:val="0"/>
              <w:rPr>
                <w:rFonts w:ascii="Calibri" w:hAnsi="Calibri" w:cs="Calibri"/>
              </w:rPr>
            </w:pPr>
            <w:r>
              <w:rPr>
                <w:rFonts w:cs="Arial"/>
                <w:sz w:val="18"/>
                <w:szCs w:val="18"/>
              </w:rPr>
              <w:t>Italien, Ungarn</w:t>
            </w:r>
          </w:p>
        </w:tc>
      </w:tr>
    </w:tbl>
    <w:p w14:paraId="561EFFD0" w14:textId="77777777" w:rsidR="005F10CD" w:rsidRDefault="005F10CD" w:rsidP="005F10CD">
      <w:pPr>
        <w:keepNext/>
        <w:autoSpaceDE w:val="0"/>
        <w:autoSpaceDN w:val="0"/>
        <w:adjustRightInd w:val="0"/>
        <w:ind w:left="567"/>
        <w:rPr>
          <w:rFonts w:cs="Arial"/>
        </w:rPr>
      </w:pPr>
    </w:p>
    <w:p w14:paraId="7E48BB21" w14:textId="77777777" w:rsidR="005F10CD" w:rsidRDefault="005F10CD" w:rsidP="005F10CD">
      <w:pPr>
        <w:keepNext/>
        <w:autoSpaceDE w:val="0"/>
        <w:autoSpaceDN w:val="0"/>
        <w:adjustRightInd w:val="0"/>
        <w:ind w:left="567"/>
        <w:rPr>
          <w:rFonts w:cs="Arial"/>
          <w:u w:val="single"/>
        </w:rPr>
      </w:pPr>
    </w:p>
    <w:p w14:paraId="473FE8C2" w14:textId="77777777" w:rsidR="005F10CD" w:rsidRPr="00670497" w:rsidRDefault="005F10CD" w:rsidP="005F10CD">
      <w:pPr>
        <w:keepNext/>
        <w:autoSpaceDE w:val="0"/>
        <w:autoSpaceDN w:val="0"/>
        <w:adjustRightInd w:val="0"/>
        <w:ind w:left="567"/>
        <w:rPr>
          <w:rFonts w:cs="Arial"/>
          <w:u w:val="single"/>
        </w:rPr>
      </w:pPr>
      <w:r w:rsidRPr="00670497">
        <w:rPr>
          <w:rFonts w:cs="Arial"/>
          <w:u w:val="single"/>
        </w:rPr>
        <w:t>Überblick über die derzeitige Verwendung chemischer und molekularer Verfahren</w:t>
      </w:r>
    </w:p>
    <w:p w14:paraId="79D13968" w14:textId="77777777" w:rsidR="005F10CD" w:rsidRPr="00670497" w:rsidRDefault="005F10CD" w:rsidP="005F10CD">
      <w:pPr>
        <w:keepNext/>
        <w:autoSpaceDE w:val="0"/>
        <w:autoSpaceDN w:val="0"/>
        <w:adjustRightInd w:val="0"/>
        <w:rPr>
          <w:rFonts w:cs="Arial"/>
        </w:rPr>
      </w:pPr>
    </w:p>
    <w:tbl>
      <w:tblPr>
        <w:tblW w:w="0" w:type="auto"/>
        <w:tblInd w:w="670" w:type="dxa"/>
        <w:tblLayout w:type="fixed"/>
        <w:tblLook w:val="0000" w:firstRow="0" w:lastRow="0" w:firstColumn="0" w:lastColumn="0" w:noHBand="0" w:noVBand="0"/>
      </w:tblPr>
      <w:tblGrid>
        <w:gridCol w:w="9072"/>
      </w:tblGrid>
      <w:tr w:rsidR="005F10CD" w14:paraId="56D98E2F"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6A94504D" w14:textId="77777777" w:rsidR="005F10CD" w:rsidRDefault="005F10CD" w:rsidP="009438C5">
            <w:pPr>
              <w:autoSpaceDE w:val="0"/>
              <w:autoSpaceDN w:val="0"/>
              <w:adjustRightInd w:val="0"/>
              <w:rPr>
                <w:rFonts w:ascii="Calibri" w:hAnsi="Calibri" w:cs="Calibri"/>
              </w:rPr>
            </w:pPr>
            <w:r>
              <w:rPr>
                <w:rFonts w:cs="Arial"/>
                <w:sz w:val="18"/>
                <w:szCs w:val="18"/>
              </w:rPr>
              <w:t xml:space="preserve">Australien: in einigen Fällen der </w:t>
            </w:r>
            <w:r w:rsidR="009438C5">
              <w:rPr>
                <w:rFonts w:cs="Arial"/>
                <w:sz w:val="18"/>
                <w:szCs w:val="18"/>
              </w:rPr>
              <w:t>Rechted</w:t>
            </w:r>
            <w:r>
              <w:rPr>
                <w:rFonts w:cs="Arial"/>
                <w:sz w:val="18"/>
                <w:szCs w:val="18"/>
              </w:rPr>
              <w:t>urchsetzung eventuell Einsatz von Mikrosatelliten</w:t>
            </w:r>
          </w:p>
        </w:tc>
      </w:tr>
      <w:tr w:rsidR="005F10CD" w14:paraId="2A12A4B4"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33096B5" w14:textId="77777777" w:rsidR="005F10CD" w:rsidRDefault="005F10CD">
            <w:pPr>
              <w:keepNext/>
              <w:autoSpaceDE w:val="0"/>
              <w:autoSpaceDN w:val="0"/>
              <w:adjustRightInd w:val="0"/>
              <w:spacing w:before="20" w:after="20"/>
              <w:ind w:left="38"/>
              <w:rPr>
                <w:rFonts w:ascii="Calibri" w:hAnsi="Calibri" w:cs="Calibri"/>
              </w:rPr>
            </w:pPr>
            <w:r>
              <w:rPr>
                <w:rFonts w:cs="Arial"/>
                <w:sz w:val="18"/>
                <w:szCs w:val="18"/>
              </w:rPr>
              <w:t>China: SSR-Marker zur Sortenidentifikation bei Apfel, Chinesischer Dattel, Zitrus, Aprikose, Goji-Beere und Esche</w:t>
            </w:r>
          </w:p>
        </w:tc>
      </w:tr>
      <w:tr w:rsidR="005F10CD" w14:paraId="049F8D45"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2845461D" w14:textId="77777777" w:rsidR="005F10CD" w:rsidRDefault="005F10CD">
            <w:pPr>
              <w:autoSpaceDE w:val="0"/>
              <w:autoSpaceDN w:val="0"/>
              <w:adjustRightInd w:val="0"/>
              <w:spacing w:before="20" w:after="20"/>
              <w:ind w:left="38"/>
              <w:rPr>
                <w:rFonts w:ascii="Calibri" w:hAnsi="Calibri" w:cs="Calibri"/>
              </w:rPr>
            </w:pPr>
            <w:r>
              <w:rPr>
                <w:rFonts w:cs="Arial"/>
                <w:sz w:val="18"/>
                <w:szCs w:val="18"/>
              </w:rPr>
              <w:t xml:space="preserve">Europäische Union:  Zusammenarbeit bezüglich epigenetischer Marker beim Apfel;  </w:t>
            </w:r>
          </w:p>
        </w:tc>
      </w:tr>
      <w:tr w:rsidR="005F10CD" w14:paraId="000CDE22"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7FB5586" w14:textId="77777777" w:rsidR="005F10CD" w:rsidRDefault="005F10CD" w:rsidP="009438C5">
            <w:pPr>
              <w:autoSpaceDE w:val="0"/>
              <w:autoSpaceDN w:val="0"/>
              <w:adjustRightInd w:val="0"/>
              <w:rPr>
                <w:rFonts w:ascii="Calibri" w:hAnsi="Calibri" w:cs="Calibri"/>
              </w:rPr>
            </w:pPr>
            <w:r>
              <w:rPr>
                <w:rFonts w:cs="Arial"/>
                <w:sz w:val="18"/>
                <w:szCs w:val="18"/>
              </w:rPr>
              <w:t xml:space="preserve">Japan: Prüfung des Einsatzes von SSR für Weintrauben und von CAPS für Zitrus im Rahmen der </w:t>
            </w:r>
            <w:r w:rsidR="009438C5">
              <w:rPr>
                <w:rFonts w:cs="Arial"/>
                <w:sz w:val="18"/>
                <w:szCs w:val="18"/>
              </w:rPr>
              <w:t>Rechted</w:t>
            </w:r>
            <w:r>
              <w:rPr>
                <w:rFonts w:cs="Arial"/>
                <w:sz w:val="18"/>
                <w:szCs w:val="18"/>
              </w:rPr>
              <w:t>urchsetzung</w:t>
            </w:r>
            <w:bookmarkStart w:id="6" w:name="_GoBack"/>
            <w:bookmarkEnd w:id="6"/>
            <w:r>
              <w:rPr>
                <w:rFonts w:cs="Arial"/>
                <w:sz w:val="18"/>
                <w:szCs w:val="18"/>
              </w:rPr>
              <w:t>.</w:t>
            </w:r>
          </w:p>
        </w:tc>
      </w:tr>
      <w:tr w:rsidR="005F10CD" w14:paraId="41FC15B9"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08B279EC" w14:textId="77777777" w:rsidR="005F10CD" w:rsidRDefault="005F10CD">
            <w:pPr>
              <w:autoSpaceDE w:val="0"/>
              <w:autoSpaceDN w:val="0"/>
              <w:adjustRightInd w:val="0"/>
              <w:rPr>
                <w:rFonts w:ascii="Calibri" w:hAnsi="Calibri" w:cs="Calibri"/>
              </w:rPr>
            </w:pPr>
            <w:r>
              <w:rPr>
                <w:rFonts w:cs="Arial"/>
                <w:sz w:val="18"/>
                <w:szCs w:val="18"/>
              </w:rPr>
              <w:t xml:space="preserve">Republik Korea: SSR bei Apfel, Pfirsich, Weintraube, Birne und Kakipflaume </w:t>
            </w:r>
          </w:p>
        </w:tc>
      </w:tr>
      <w:tr w:rsidR="005F10CD" w14:paraId="1290CB0E" w14:textId="77777777">
        <w:trPr>
          <w:trHeight w:val="1"/>
        </w:trPr>
        <w:tc>
          <w:tcPr>
            <w:tcW w:w="9072" w:type="dxa"/>
            <w:tcBorders>
              <w:top w:val="single" w:sz="3" w:space="0" w:color="000000"/>
              <w:left w:val="single" w:sz="3" w:space="0" w:color="000000"/>
              <w:bottom w:val="single" w:sz="3" w:space="0" w:color="000000"/>
              <w:right w:val="single" w:sz="3" w:space="0" w:color="000000"/>
            </w:tcBorders>
            <w:shd w:val="clear" w:color="000000" w:fill="FFFFFF"/>
          </w:tcPr>
          <w:p w14:paraId="7EDA2A2C" w14:textId="77777777" w:rsidR="005F10CD" w:rsidRDefault="005F10CD">
            <w:pPr>
              <w:keepNext/>
              <w:autoSpaceDE w:val="0"/>
              <w:autoSpaceDN w:val="0"/>
              <w:adjustRightInd w:val="0"/>
              <w:spacing w:before="20" w:after="20"/>
              <w:rPr>
                <w:rFonts w:ascii="Calibri" w:hAnsi="Calibri" w:cs="Calibri"/>
              </w:rPr>
            </w:pPr>
            <w:r>
              <w:rPr>
                <w:rFonts w:cs="Arial"/>
                <w:sz w:val="18"/>
                <w:szCs w:val="18"/>
              </w:rPr>
              <w:t>Spanien:  SSR zur Sortenidentifikation; Verwendung von SNP in der Forschung einschließlich der DUS-Prüfung</w:t>
            </w:r>
          </w:p>
        </w:tc>
      </w:tr>
    </w:tbl>
    <w:p w14:paraId="57CA8F4F" w14:textId="77777777" w:rsidR="005F10CD" w:rsidRDefault="005F10CD" w:rsidP="005F10CD">
      <w:pPr>
        <w:autoSpaceDE w:val="0"/>
        <w:autoSpaceDN w:val="0"/>
        <w:adjustRightInd w:val="0"/>
        <w:rPr>
          <w:rFonts w:cs="Arial"/>
        </w:rPr>
      </w:pPr>
    </w:p>
    <w:p w14:paraId="10E89E85" w14:textId="77777777" w:rsidR="005F10CD" w:rsidRPr="00D42510" w:rsidRDefault="005F10CD" w:rsidP="005F10CD">
      <w:pPr>
        <w:keepNext/>
        <w:autoSpaceDE w:val="0"/>
        <w:autoSpaceDN w:val="0"/>
        <w:adjustRightInd w:val="0"/>
        <w:ind w:left="567"/>
        <w:rPr>
          <w:rFonts w:cs="Arial"/>
          <w:u w:val="single"/>
        </w:rPr>
      </w:pPr>
      <w:r w:rsidRPr="00D42510">
        <w:rPr>
          <w:rFonts w:cs="Arial"/>
          <w:u w:val="single"/>
        </w:rPr>
        <w:t>Vorschläge zu Geheimhaltung und Datenzugang</w:t>
      </w:r>
    </w:p>
    <w:p w14:paraId="47161F78" w14:textId="77777777" w:rsidR="005F10CD" w:rsidRPr="00D42510" w:rsidRDefault="005F10CD" w:rsidP="005F10CD">
      <w:pPr>
        <w:autoSpaceDE w:val="0"/>
        <w:autoSpaceDN w:val="0"/>
        <w:adjustRightInd w:val="0"/>
        <w:rPr>
          <w:rFonts w:cs="Arial"/>
        </w:rPr>
      </w:pPr>
    </w:p>
    <w:p w14:paraId="36C21F8D" w14:textId="77777777" w:rsidR="005F10CD" w:rsidRPr="00D42510" w:rsidRDefault="005F10CD" w:rsidP="005F10CD">
      <w:pPr>
        <w:autoSpaceDE w:val="0"/>
        <w:autoSpaceDN w:val="0"/>
        <w:adjustRightInd w:val="0"/>
        <w:rPr>
          <w:rFonts w:cs="Arial"/>
        </w:rPr>
      </w:pPr>
      <w:r w:rsidRPr="00D42510">
        <w:rPr>
          <w:rFonts w:cs="Arial"/>
        </w:rPr>
        <w:t>Neuseeland hat seinen Standpunkt bezüglich der Zugänglichkeit und Nutzung von Pflanzenmaterial (einschließlich molekularer Daten) bekanntgegeben. Molekulare Daten würden beispielsweise nur mit Erlaubnis des Züchters übermittelt.</w:t>
      </w:r>
    </w:p>
    <w:p w14:paraId="50413FB6" w14:textId="77777777" w:rsidR="005F10CD" w:rsidRDefault="005F10CD" w:rsidP="005F10CD">
      <w:pPr>
        <w:autoSpaceDE w:val="0"/>
        <w:autoSpaceDN w:val="0"/>
        <w:adjustRightInd w:val="0"/>
        <w:rPr>
          <w:rFonts w:cs="Arial"/>
          <w:highlight w:val="yellow"/>
        </w:rPr>
      </w:pPr>
    </w:p>
    <w:p w14:paraId="7235FAA3" w14:textId="77777777" w:rsidR="005F10CD" w:rsidRDefault="005F10CD" w:rsidP="005F10CD">
      <w:pPr>
        <w:autoSpaceDE w:val="0"/>
        <w:autoSpaceDN w:val="0"/>
        <w:adjustRightInd w:val="0"/>
        <w:rPr>
          <w:rFonts w:cs="Arial"/>
          <w:highlight w:val="yellow"/>
        </w:rPr>
      </w:pPr>
    </w:p>
    <w:p w14:paraId="1BDD3109" w14:textId="77777777" w:rsidR="005F10CD" w:rsidRDefault="005F10CD" w:rsidP="005F10CD">
      <w:pPr>
        <w:autoSpaceDE w:val="0"/>
        <w:autoSpaceDN w:val="0"/>
        <w:adjustRightInd w:val="0"/>
        <w:rPr>
          <w:rFonts w:cs="Arial"/>
          <w:caps/>
          <w:spacing w:val="-4"/>
        </w:rPr>
      </w:pPr>
      <w:r>
        <w:rPr>
          <w:rFonts w:cs="Arial"/>
        </w:rPr>
        <w:br w:type="page"/>
      </w:r>
    </w:p>
    <w:p w14:paraId="0FAED674" w14:textId="1376DEAC" w:rsidR="005F10CD" w:rsidRPr="00F547CF" w:rsidRDefault="005F10CD" w:rsidP="008E0CBE">
      <w:pPr>
        <w:pStyle w:val="Heading1"/>
        <w:keepLines w:val="0"/>
        <w:spacing w:before="0"/>
        <w:rPr>
          <w:rFonts w:ascii="Arial" w:eastAsiaTheme="minorEastAsia" w:hAnsi="Arial" w:cs="Times New Roman"/>
          <w:b w:val="0"/>
          <w:bCs w:val="0"/>
          <w:caps/>
          <w:color w:val="auto"/>
          <w:spacing w:val="-4"/>
          <w:sz w:val="20"/>
          <w:szCs w:val="20"/>
          <w:lang w:eastAsia="ja-JP"/>
        </w:rPr>
      </w:pPr>
      <w:bookmarkStart w:id="7" w:name="_Toc23755145"/>
      <w:r w:rsidRPr="00F547CF">
        <w:rPr>
          <w:rFonts w:ascii="Arial" w:eastAsiaTheme="minorEastAsia" w:hAnsi="Arial" w:cs="Times New Roman"/>
          <w:b w:val="0"/>
          <w:bCs w:val="0"/>
          <w:caps/>
          <w:color w:val="auto"/>
          <w:spacing w:val="-4"/>
          <w:sz w:val="20"/>
          <w:szCs w:val="20"/>
          <w:lang w:eastAsia="ja-JP"/>
        </w:rPr>
        <w:lastRenderedPageBreak/>
        <w:t>Überprüfung von Dokument UPOV/INF/17 „Richtlinien für die DNS-Profilierung:  Auswahl molekularer Marker u</w:t>
      </w:r>
      <w:r w:rsidR="00694631" w:rsidRPr="00F547CF">
        <w:rPr>
          <w:rFonts w:ascii="Arial" w:eastAsiaTheme="minorEastAsia" w:hAnsi="Arial" w:cs="Times New Roman"/>
          <w:b w:val="0"/>
          <w:bCs w:val="0"/>
          <w:caps/>
          <w:color w:val="auto"/>
          <w:spacing w:val="-4"/>
          <w:sz w:val="20"/>
          <w:szCs w:val="20"/>
          <w:lang w:eastAsia="ja-JP"/>
        </w:rPr>
        <w:t>nd Aufbau von Datenbanken (‚BMT</w:t>
      </w:r>
      <w:r w:rsidR="00694631" w:rsidRPr="00F547CF">
        <w:rPr>
          <w:rFonts w:ascii="Arial" w:eastAsiaTheme="minorEastAsia" w:hAnsi="Arial" w:cs="Times New Roman"/>
          <w:b w:val="0"/>
          <w:bCs w:val="0"/>
          <w:caps/>
          <w:color w:val="auto"/>
          <w:spacing w:val="-4"/>
          <w:sz w:val="20"/>
          <w:szCs w:val="20"/>
          <w:lang w:eastAsia="ja-JP"/>
        </w:rPr>
        <w:noBreakHyphen/>
      </w:r>
      <w:r w:rsidRPr="00F547CF">
        <w:rPr>
          <w:rFonts w:ascii="Arial" w:eastAsiaTheme="minorEastAsia" w:hAnsi="Arial" w:cs="Times New Roman"/>
          <w:b w:val="0"/>
          <w:bCs w:val="0"/>
          <w:caps/>
          <w:color w:val="auto"/>
          <w:spacing w:val="-4"/>
          <w:sz w:val="20"/>
          <w:szCs w:val="20"/>
          <w:lang w:eastAsia="ja-JP"/>
        </w:rPr>
        <w:t>Richtlinien‘)</w:t>
      </w:r>
      <w:bookmarkEnd w:id="7"/>
    </w:p>
    <w:p w14:paraId="4165CBC0" w14:textId="77777777" w:rsidR="005F10CD" w:rsidRPr="00D42510" w:rsidRDefault="005F10CD" w:rsidP="008E0CBE"/>
    <w:p w14:paraId="794653A5" w14:textId="7D0325E9" w:rsidR="005F10CD" w:rsidRPr="00D42510" w:rsidRDefault="008C2005" w:rsidP="005F10CD">
      <w:pPr>
        <w:autoSpaceDE w:val="0"/>
        <w:autoSpaceDN w:val="0"/>
        <w:adjustRightInd w:val="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005F10CD" w:rsidRPr="00D42510">
        <w:rPr>
          <w:rFonts w:cs="Arial"/>
        </w:rPr>
        <w:t>Auf ihrer achtzehnten Tagung prüfte die BMT die Dokumente BMT/18/10 „Überprüfung von Dokument UPOV/INF/17 ‚Richtlinien für die DNS-Profilierung:  Auswahl molekularer Marker und Aufbau von Datenbanken (‚BMT-Richtlinien‘)“ und UPOV/INF/17/2 Draft 2 „Richtlinien für die DNS-Profilierung: Auswahl molekularer Marker und Aufbau von Datenbanken (‚BMT-Richtlinien‘)“ als Grundlage für die Überarbeitung von Dokument UPOV/INF/17 und vereinbarte, folgende Änderungen an UPOV/INF/17/1 vorzunehmen (vergleiche Dokument BMT/18/21 „Bericht“, Absätze 43 bis 68).</w:t>
      </w:r>
    </w:p>
    <w:p w14:paraId="1A03EB69" w14:textId="77777777" w:rsidR="005F10CD" w:rsidRPr="00D42510" w:rsidRDefault="005F10CD" w:rsidP="005F10CD">
      <w:pPr>
        <w:autoSpaceDE w:val="0"/>
        <w:autoSpaceDN w:val="0"/>
        <w:adjustRightInd w:val="0"/>
        <w:rPr>
          <w:rFonts w:cs="Arial"/>
          <w:i/>
          <w:iCs/>
        </w:rPr>
      </w:pPr>
    </w:p>
    <w:p w14:paraId="236AE866"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Abschnitt A.</w:t>
      </w:r>
      <w:r w:rsidRPr="00D42510">
        <w:rPr>
          <w:rFonts w:cs="Arial"/>
          <w:i/>
          <w:iCs/>
        </w:rPr>
        <w:tab/>
        <w:t>Einleitung</w:t>
      </w:r>
    </w:p>
    <w:p w14:paraId="57624EF2" w14:textId="32E97C68" w:rsidR="005F10CD" w:rsidRPr="00D42510" w:rsidRDefault="008C2005"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Wortlaut der Einführung wie folgt zu ändern:</w:t>
      </w:r>
    </w:p>
    <w:p w14:paraId="717B7519" w14:textId="77777777" w:rsidR="005F10CD" w:rsidRDefault="005F10CD" w:rsidP="005F10CD">
      <w:pPr>
        <w:autoSpaceDE w:val="0"/>
        <w:autoSpaceDN w:val="0"/>
        <w:adjustRightInd w:val="0"/>
        <w:rPr>
          <w:rFonts w:cs="Arial"/>
        </w:rPr>
      </w:pPr>
    </w:p>
    <w:p w14:paraId="28484276" w14:textId="77777777" w:rsidR="005F10CD" w:rsidRDefault="005F10CD" w:rsidP="005F10CD">
      <w:pPr>
        <w:autoSpaceDE w:val="0"/>
        <w:autoSpaceDN w:val="0"/>
        <w:adjustRightInd w:val="0"/>
        <w:ind w:left="426" w:right="425"/>
        <w:rPr>
          <w:rFonts w:cs="Arial"/>
          <w:sz w:val="18"/>
          <w:szCs w:val="18"/>
        </w:rPr>
      </w:pPr>
      <w:r>
        <w:rPr>
          <w:rFonts w:cs="Arial"/>
          <w:sz w:val="18"/>
          <w:szCs w:val="18"/>
        </w:rPr>
        <w:t xml:space="preserve">„Dieses Dokument (BMT-Richtlinien) soll Anleitung </w:t>
      </w:r>
      <w:r w:rsidRPr="00670497">
        <w:rPr>
          <w:rFonts w:cs="Arial"/>
          <w:strike/>
          <w:sz w:val="18"/>
          <w:szCs w:val="18"/>
          <w:highlight w:val="lightGray"/>
          <w:shd w:val="clear" w:color="auto" w:fill="BFBFBF" w:themeFill="background1" w:themeFillShade="BF"/>
        </w:rPr>
        <w:t>zur Entwicklung</w:t>
      </w:r>
      <w:r w:rsidR="0059090F" w:rsidRPr="00670497">
        <w:rPr>
          <w:rFonts w:cs="Arial"/>
          <w:strike/>
          <w:sz w:val="18"/>
          <w:szCs w:val="18"/>
          <w:highlight w:val="lightGray"/>
          <w:shd w:val="clear" w:color="auto" w:fill="BFBFBF" w:themeFill="background1" w:themeFillShade="BF"/>
        </w:rPr>
        <w:t xml:space="preserve"> </w:t>
      </w:r>
      <w:r w:rsidRPr="00670497">
        <w:rPr>
          <w:rFonts w:cs="Arial"/>
          <w:sz w:val="18"/>
          <w:szCs w:val="18"/>
          <w:highlight w:val="lightGray"/>
          <w:u w:val="single"/>
          <w:shd w:val="clear" w:color="auto" w:fill="BFBFBF" w:themeFill="background1" w:themeFillShade="BF"/>
        </w:rPr>
        <w:t>bezüglich</w:t>
      </w:r>
      <w:r w:rsidR="0059090F">
        <w:rPr>
          <w:rFonts w:cs="Arial"/>
          <w:sz w:val="18"/>
          <w:szCs w:val="18"/>
          <w:u w:val="single"/>
        </w:rPr>
        <w:t xml:space="preserve"> </w:t>
      </w:r>
      <w:r>
        <w:rPr>
          <w:rFonts w:cs="Arial"/>
          <w:sz w:val="18"/>
          <w:szCs w:val="18"/>
        </w:rPr>
        <w:t>harmonisierter</w:t>
      </w:r>
      <w:r>
        <w:rPr>
          <w:rFonts w:cs="Arial"/>
          <w:strike/>
          <w:sz w:val="18"/>
          <w:szCs w:val="18"/>
          <w:highlight w:val="white"/>
        </w:rPr>
        <w:t xml:space="preserve"> </w:t>
      </w:r>
      <w:r w:rsidRPr="00670497">
        <w:rPr>
          <w:rFonts w:cs="Arial"/>
          <w:strike/>
          <w:sz w:val="18"/>
          <w:szCs w:val="18"/>
          <w:highlight w:val="lightGray"/>
        </w:rPr>
        <w:t xml:space="preserve">Methoden </w:t>
      </w:r>
      <w:r w:rsidRPr="00670497">
        <w:rPr>
          <w:rFonts w:cs="Arial"/>
          <w:sz w:val="18"/>
          <w:szCs w:val="18"/>
          <w:highlight w:val="lightGray"/>
          <w:u w:val="single"/>
        </w:rPr>
        <w:t>Grundsätze für die Verwendung molekularer Marker</w:t>
      </w:r>
      <w:r>
        <w:rPr>
          <w:rFonts w:cs="Arial"/>
          <w:sz w:val="18"/>
          <w:szCs w:val="18"/>
        </w:rPr>
        <w:t xml:space="preserve"> geben, um qualitativ hochwertige molekulare Daten für eine Reihe von Anwendungen zu erzeugen.  </w:t>
      </w:r>
      <w:r>
        <w:rPr>
          <w:rFonts w:cs="Arial"/>
          <w:sz w:val="18"/>
          <w:szCs w:val="18"/>
          <w:highlight w:val="lightGray"/>
          <w:u w:val="single"/>
        </w:rPr>
        <w:t xml:space="preserve">In diesem Dokument sind nur molekulare DNS-Marker berücksichtigt. </w:t>
      </w:r>
      <w:r>
        <w:rPr>
          <w:rFonts w:cs="Arial"/>
          <w:sz w:val="18"/>
          <w:szCs w:val="18"/>
        </w:rPr>
        <w:t xml:space="preserve"> </w:t>
      </w:r>
    </w:p>
    <w:p w14:paraId="772A5E70" w14:textId="77777777" w:rsidR="005F10CD" w:rsidRDefault="005F10CD" w:rsidP="005F10CD">
      <w:pPr>
        <w:autoSpaceDE w:val="0"/>
        <w:autoSpaceDN w:val="0"/>
        <w:adjustRightInd w:val="0"/>
        <w:ind w:left="426" w:right="425"/>
        <w:rPr>
          <w:rFonts w:cs="Arial"/>
          <w:sz w:val="18"/>
          <w:szCs w:val="18"/>
        </w:rPr>
      </w:pPr>
    </w:p>
    <w:p w14:paraId="2F75EA05" w14:textId="77777777" w:rsidR="005F10CD" w:rsidRDefault="005F10CD" w:rsidP="005F10CD">
      <w:pPr>
        <w:autoSpaceDE w:val="0"/>
        <w:autoSpaceDN w:val="0"/>
        <w:adjustRightInd w:val="0"/>
        <w:ind w:left="426" w:right="425"/>
        <w:rPr>
          <w:rFonts w:cs="Arial"/>
          <w:sz w:val="18"/>
          <w:szCs w:val="18"/>
        </w:rPr>
      </w:pPr>
      <w:r>
        <w:rPr>
          <w:rFonts w:cs="Arial"/>
          <w:sz w:val="18"/>
          <w:szCs w:val="18"/>
        </w:rPr>
        <w:t xml:space="preserve">Die BMT-Richtlinien sollen ferner den Aufbau von Datenbanken mit molekularen Profilen von Pflanzensorten behandeln, die möglicherweise mit verschiedenen Techniken in verschiedenen Labors erzeugt werden.  Ziel ist es zudem, hohe Anforderungen zu stellen an die Qualität </w:t>
      </w:r>
      <w:r w:rsidRPr="00670497">
        <w:rPr>
          <w:rFonts w:cs="Arial"/>
          <w:strike/>
          <w:sz w:val="18"/>
          <w:szCs w:val="18"/>
          <w:highlight w:val="lightGray"/>
        </w:rPr>
        <w:t xml:space="preserve">der Marker </w:t>
      </w:r>
      <w:r>
        <w:rPr>
          <w:rFonts w:cs="Arial"/>
          <w:sz w:val="18"/>
          <w:szCs w:val="18"/>
        </w:rPr>
        <w:t xml:space="preserve"> von Markern und an das Bestreben, reproduzierbare Daten anhand dieser Marker zu erzeugen, wenn sich Ausrüstungen und/oder Reaktionschemikalien ändern.</w:t>
      </w:r>
      <w:r>
        <w:rPr>
          <w:rFonts w:cs="Arial"/>
          <w:sz w:val="18"/>
          <w:szCs w:val="18"/>
        </w:rPr>
        <w:br/>
      </w:r>
      <w:r>
        <w:rPr>
          <w:rFonts w:cs="Arial"/>
          <w:sz w:val="18"/>
          <w:szCs w:val="18"/>
        </w:rPr>
        <w:br/>
        <w:t xml:space="preserve">  Spezifische Vorsichtsmaßnahmen sind zu treffen, um qualitativ hochwertige Eingaben in eine Datenbank sicherzustellen. “</w:t>
      </w:r>
    </w:p>
    <w:p w14:paraId="599F9B0E" w14:textId="77777777" w:rsidR="005F10CD" w:rsidRDefault="005F10CD" w:rsidP="005F10CD">
      <w:pPr>
        <w:autoSpaceDE w:val="0"/>
        <w:autoSpaceDN w:val="0"/>
        <w:adjustRightInd w:val="0"/>
        <w:rPr>
          <w:rFonts w:cs="Arial"/>
        </w:rPr>
      </w:pPr>
    </w:p>
    <w:p w14:paraId="5B0C4EBD"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Abschnitt B.</w:t>
      </w:r>
      <w:r w:rsidRPr="00D42510">
        <w:rPr>
          <w:rFonts w:cs="Arial"/>
          <w:i/>
          <w:iCs/>
        </w:rPr>
        <w:tab/>
        <w:t>Allgemeine Grundsätze</w:t>
      </w:r>
    </w:p>
    <w:p w14:paraId="02357CA9" w14:textId="2B0B48E9" w:rsidR="005F10CD" w:rsidRPr="00D42510" w:rsidRDefault="008C2005" w:rsidP="005F10CD">
      <w:pPr>
        <w:keepNext/>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 xml:space="preserve">Die BMT vereinbarte, Abschnitt B den folgenden Text hinzuzufügen: </w:t>
      </w:r>
    </w:p>
    <w:p w14:paraId="58FC0442" w14:textId="77777777" w:rsidR="005F10CD" w:rsidRDefault="005F10CD" w:rsidP="005F10CD">
      <w:pPr>
        <w:keepNext/>
        <w:autoSpaceDE w:val="0"/>
        <w:autoSpaceDN w:val="0"/>
        <w:adjustRightInd w:val="0"/>
        <w:rPr>
          <w:rFonts w:cs="Arial"/>
        </w:rPr>
      </w:pPr>
    </w:p>
    <w:p w14:paraId="573C3FE7" w14:textId="77777777" w:rsidR="005F10CD" w:rsidRDefault="005F10CD" w:rsidP="005F10CD">
      <w:pPr>
        <w:keepNext/>
        <w:autoSpaceDE w:val="0"/>
        <w:autoSpaceDN w:val="0"/>
        <w:adjustRightInd w:val="0"/>
        <w:ind w:left="426" w:right="425"/>
        <w:rPr>
          <w:rFonts w:cs="Arial"/>
          <w:sz w:val="18"/>
          <w:szCs w:val="18"/>
        </w:rPr>
      </w:pPr>
      <w:r>
        <w:rPr>
          <w:rFonts w:cs="Arial"/>
          <w:sz w:val="18"/>
          <w:szCs w:val="18"/>
        </w:rPr>
        <w:t xml:space="preserve">„Die DNS-Profilierung einer Pflanzensorte erfordert einen Satz molekularer Marker und eine Methode, diese festzustellen. Zwei verschiedene molekulare Markersätze, die mit derselben Methode festgestellt wurden, führen bei einer bestimmten Sorte zu zwei unterschiedlichen DNS-Profilen. Dagegen wird die Feststellung der spezifischen Allele eines gegebenen molekularen Markersatzes mit zwei verschiedenen Methoden voraussichtlich zu identischen DNS-Profilen führen.   Eine Standardisierung der Detektionsmethode und -technologie ist nicht erforderlich, solange die Qualitätskriterien erfüllt werden und die gewonnenen DNS-Profile konsistent sind. Die Technologie, die zur Feststellung gegebener Markersätze eingesetzt wird, sollte den Genotyp einer bestimmten Sorte nicht beeinflussen.  </w:t>
      </w:r>
    </w:p>
    <w:p w14:paraId="3D6C6F4A" w14:textId="77777777" w:rsidR="005F10CD" w:rsidRDefault="005F10CD" w:rsidP="005F10CD">
      <w:pPr>
        <w:autoSpaceDE w:val="0"/>
        <w:autoSpaceDN w:val="0"/>
        <w:adjustRightInd w:val="0"/>
        <w:ind w:left="426" w:right="425"/>
        <w:rPr>
          <w:rFonts w:cs="Arial"/>
          <w:sz w:val="18"/>
          <w:szCs w:val="18"/>
        </w:rPr>
      </w:pPr>
    </w:p>
    <w:p w14:paraId="03F632B8" w14:textId="77777777" w:rsidR="005F10CD" w:rsidRDefault="005F10CD" w:rsidP="005F10CD">
      <w:pPr>
        <w:autoSpaceDE w:val="0"/>
        <w:autoSpaceDN w:val="0"/>
        <w:adjustRightInd w:val="0"/>
        <w:ind w:left="426" w:right="425"/>
        <w:rPr>
          <w:rFonts w:cs="Arial"/>
          <w:sz w:val="18"/>
          <w:szCs w:val="18"/>
        </w:rPr>
      </w:pPr>
      <w:r>
        <w:rPr>
          <w:rFonts w:cs="Arial"/>
          <w:sz w:val="18"/>
          <w:szCs w:val="18"/>
        </w:rPr>
        <w:t>„Bei den molekularen Markersätzen, den Methoden zur Markerfeststellung und dem anschließenden Aufbau der Datenbank lassen sich 5 verschiedene Phasen unterscheiden:</w:t>
      </w:r>
    </w:p>
    <w:p w14:paraId="17045F3D" w14:textId="77777777" w:rsidR="005F10CD" w:rsidRDefault="005F10CD" w:rsidP="005F10CD">
      <w:pPr>
        <w:autoSpaceDE w:val="0"/>
        <w:autoSpaceDN w:val="0"/>
        <w:adjustRightInd w:val="0"/>
        <w:ind w:left="426" w:right="425"/>
        <w:rPr>
          <w:rFonts w:cs="Arial"/>
          <w:sz w:val="18"/>
          <w:szCs w:val="18"/>
        </w:rPr>
      </w:pPr>
    </w:p>
    <w:p w14:paraId="1DC668F3" w14:textId="77777777" w:rsidR="005F10CD" w:rsidRDefault="005F10CD" w:rsidP="005F10CD">
      <w:pPr>
        <w:autoSpaceDE w:val="0"/>
        <w:autoSpaceDN w:val="0"/>
        <w:adjustRightInd w:val="0"/>
        <w:ind w:left="426" w:right="425"/>
        <w:rPr>
          <w:rFonts w:cs="Arial"/>
          <w:sz w:val="18"/>
          <w:szCs w:val="18"/>
        </w:rPr>
      </w:pPr>
      <w:r>
        <w:rPr>
          <w:rFonts w:cs="Arial"/>
          <w:sz w:val="18"/>
          <w:szCs w:val="18"/>
        </w:rPr>
        <w:t>1.</w:t>
      </w:r>
      <w:r>
        <w:rPr>
          <w:rFonts w:cs="Arial"/>
          <w:sz w:val="18"/>
          <w:szCs w:val="18"/>
        </w:rPr>
        <w:tab/>
        <w:t>Auswahl molekularer Marker</w:t>
      </w:r>
    </w:p>
    <w:p w14:paraId="5FB4F82F" w14:textId="77777777" w:rsidR="005F10CD" w:rsidRDefault="005F10CD" w:rsidP="005F10CD">
      <w:pPr>
        <w:autoSpaceDE w:val="0"/>
        <w:autoSpaceDN w:val="0"/>
        <w:adjustRightInd w:val="0"/>
        <w:ind w:left="426" w:right="425"/>
        <w:rPr>
          <w:rFonts w:cs="Arial"/>
          <w:sz w:val="18"/>
          <w:szCs w:val="18"/>
        </w:rPr>
      </w:pPr>
      <w:r>
        <w:rPr>
          <w:rFonts w:cs="Arial"/>
          <w:sz w:val="18"/>
          <w:szCs w:val="18"/>
        </w:rPr>
        <w:t>2.</w:t>
      </w:r>
      <w:r>
        <w:rPr>
          <w:rFonts w:cs="Arial"/>
          <w:sz w:val="18"/>
          <w:szCs w:val="18"/>
        </w:rPr>
        <w:tab/>
        <w:t>Auswahl der Detektionsmethode</w:t>
      </w:r>
    </w:p>
    <w:p w14:paraId="3CA20EF9" w14:textId="77777777" w:rsidR="005F10CD" w:rsidRDefault="005F10CD" w:rsidP="005F10CD">
      <w:pPr>
        <w:autoSpaceDE w:val="0"/>
        <w:autoSpaceDN w:val="0"/>
        <w:adjustRightInd w:val="0"/>
        <w:ind w:left="426" w:right="425"/>
        <w:rPr>
          <w:rFonts w:cs="Arial"/>
          <w:sz w:val="18"/>
          <w:szCs w:val="18"/>
        </w:rPr>
      </w:pPr>
      <w:r>
        <w:rPr>
          <w:rFonts w:cs="Arial"/>
          <w:sz w:val="18"/>
          <w:szCs w:val="18"/>
        </w:rPr>
        <w:t>3.</w:t>
      </w:r>
      <w:r>
        <w:rPr>
          <w:rFonts w:cs="Arial"/>
          <w:sz w:val="18"/>
          <w:szCs w:val="18"/>
        </w:rPr>
        <w:tab/>
        <w:t xml:space="preserve">Validierung und Harmonisierung der Detektionsmethode </w:t>
      </w:r>
    </w:p>
    <w:p w14:paraId="30252F83" w14:textId="77777777" w:rsidR="005F10CD" w:rsidRDefault="005F10CD" w:rsidP="005F10CD">
      <w:pPr>
        <w:autoSpaceDE w:val="0"/>
        <w:autoSpaceDN w:val="0"/>
        <w:adjustRightInd w:val="0"/>
        <w:ind w:left="426" w:right="425"/>
        <w:rPr>
          <w:rFonts w:cs="Arial"/>
          <w:sz w:val="18"/>
          <w:szCs w:val="18"/>
        </w:rPr>
      </w:pPr>
      <w:r>
        <w:rPr>
          <w:rFonts w:cs="Arial"/>
          <w:sz w:val="18"/>
          <w:szCs w:val="18"/>
        </w:rPr>
        <w:t xml:space="preserve">4.  </w:t>
      </w:r>
      <w:r>
        <w:rPr>
          <w:rFonts w:cs="Arial"/>
          <w:sz w:val="18"/>
          <w:szCs w:val="18"/>
        </w:rPr>
        <w:tab/>
        <w:t>Aufbau der Datenbank</w:t>
      </w:r>
    </w:p>
    <w:p w14:paraId="1D9C9241" w14:textId="77777777" w:rsidR="005F10CD" w:rsidRDefault="005F10CD" w:rsidP="005F10CD">
      <w:pPr>
        <w:autoSpaceDE w:val="0"/>
        <w:autoSpaceDN w:val="0"/>
        <w:adjustRightInd w:val="0"/>
        <w:ind w:left="426" w:right="425"/>
        <w:rPr>
          <w:rFonts w:cs="Arial"/>
          <w:sz w:val="18"/>
          <w:szCs w:val="18"/>
        </w:rPr>
      </w:pPr>
      <w:r>
        <w:rPr>
          <w:rFonts w:cs="Arial"/>
          <w:sz w:val="18"/>
          <w:szCs w:val="18"/>
        </w:rPr>
        <w:t xml:space="preserve">5. </w:t>
      </w:r>
      <w:r>
        <w:rPr>
          <w:rFonts w:cs="Arial"/>
          <w:sz w:val="18"/>
          <w:szCs w:val="18"/>
        </w:rPr>
        <w:tab/>
        <w:t>Datenaustausch</w:t>
      </w:r>
    </w:p>
    <w:p w14:paraId="1AA37D0A" w14:textId="77777777" w:rsidR="005F10CD" w:rsidRDefault="005F10CD" w:rsidP="005F10CD">
      <w:pPr>
        <w:autoSpaceDE w:val="0"/>
        <w:autoSpaceDN w:val="0"/>
        <w:adjustRightInd w:val="0"/>
        <w:ind w:left="426" w:right="425"/>
        <w:rPr>
          <w:rFonts w:cs="Arial"/>
        </w:rPr>
      </w:pPr>
      <w:r>
        <w:rPr>
          <w:rFonts w:cs="Arial"/>
        </w:rPr>
        <w:t xml:space="preserve">     </w:t>
      </w:r>
    </w:p>
    <w:p w14:paraId="0D00AFAB" w14:textId="77777777" w:rsidR="005F10CD" w:rsidRDefault="005F10CD" w:rsidP="005F10CD">
      <w:pPr>
        <w:autoSpaceDE w:val="0"/>
        <w:autoSpaceDN w:val="0"/>
        <w:adjustRightInd w:val="0"/>
        <w:ind w:left="426" w:right="425"/>
        <w:rPr>
          <w:rFonts w:cs="Arial"/>
          <w:sz w:val="18"/>
          <w:szCs w:val="18"/>
        </w:rPr>
      </w:pPr>
      <w:r>
        <w:rPr>
          <w:rFonts w:cs="Arial"/>
          <w:sz w:val="18"/>
          <w:szCs w:val="18"/>
        </w:rPr>
        <w:t>„Diese verschiedenen Phasen werden in diesem Dokument eingehender beschrieben. Es wird davon ausgegangen, daß diese Phasen unabhängig sind vom Entwicklungsstand der Genotypisierungstechnologien und von künftigen Verbesserungen der Hochdurchsatz-Sequenzierung.</w:t>
      </w:r>
      <w:r>
        <w:rPr>
          <w:rFonts w:cs="Arial"/>
          <w:sz w:val="18"/>
          <w:szCs w:val="18"/>
          <w:vertAlign w:val="superscript"/>
        </w:rPr>
        <w:t> </w:t>
      </w:r>
      <w:r>
        <w:rPr>
          <w:rFonts w:cs="Arial"/>
          <w:sz w:val="18"/>
          <w:szCs w:val="18"/>
        </w:rPr>
        <w:t>“</w:t>
      </w:r>
    </w:p>
    <w:p w14:paraId="6E5FEE16" w14:textId="77777777" w:rsidR="005F10CD" w:rsidRPr="00D42510" w:rsidRDefault="005F10CD" w:rsidP="005F10CD">
      <w:pPr>
        <w:autoSpaceDE w:val="0"/>
        <w:autoSpaceDN w:val="0"/>
        <w:adjustRightInd w:val="0"/>
        <w:rPr>
          <w:rFonts w:cs="Arial"/>
        </w:rPr>
      </w:pPr>
    </w:p>
    <w:p w14:paraId="713DC052" w14:textId="08836C6D" w:rsidR="005F10CD" w:rsidRPr="00D42510" w:rsidRDefault="008C2005"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daß Phase 5: „Datenaustausch“ im vorgeschlagenen Text erläutert werden soll.</w:t>
      </w:r>
    </w:p>
    <w:p w14:paraId="6907ED37" w14:textId="77777777" w:rsidR="005F10CD" w:rsidRDefault="005F10CD" w:rsidP="005F10CD">
      <w:pPr>
        <w:autoSpaceDE w:val="0"/>
        <w:autoSpaceDN w:val="0"/>
        <w:adjustRightInd w:val="0"/>
        <w:rPr>
          <w:rFonts w:cs="Arial"/>
        </w:rPr>
      </w:pPr>
    </w:p>
    <w:p w14:paraId="702458AE"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Abschnitt 1  Auswahl einer Methodik für molekulare Marker</w:t>
      </w:r>
    </w:p>
    <w:p w14:paraId="3D6AF529" w14:textId="427C6BD8" w:rsidR="005F10CD" w:rsidRPr="00D42510" w:rsidRDefault="008C2005"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 xml:space="preserve">Die BMT vereinbarte, den derzeitigen Abschnitt 1 aus dem Dokument UPOV/INF/17/1 zu streichen. </w:t>
      </w:r>
    </w:p>
    <w:p w14:paraId="4B4BF9BD" w14:textId="77777777" w:rsidR="005F10CD" w:rsidRDefault="005F10CD" w:rsidP="005F10CD">
      <w:pPr>
        <w:autoSpaceDE w:val="0"/>
        <w:autoSpaceDN w:val="0"/>
        <w:adjustRightInd w:val="0"/>
        <w:rPr>
          <w:rFonts w:cs="Arial"/>
        </w:rPr>
      </w:pPr>
      <w:r>
        <w:rPr>
          <w:rFonts w:cs="Arial"/>
        </w:rPr>
        <w:lastRenderedPageBreak/>
        <w:t xml:space="preserve"> </w:t>
      </w:r>
    </w:p>
    <w:p w14:paraId="3CB8AB51"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1.1</w:t>
      </w:r>
      <w:r w:rsidRPr="00D42510">
        <w:rPr>
          <w:rFonts w:cs="Arial"/>
          <w:i/>
          <w:iCs/>
        </w:rPr>
        <w:tab/>
        <w:t>Sortenserien für das Auswahlverfahren</w:t>
      </w:r>
    </w:p>
    <w:p w14:paraId="13910C3C" w14:textId="1885BD45" w:rsidR="005F10CD" w:rsidRPr="00D42510" w:rsidRDefault="008C2005"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die Hinzufügung des neuen Abschnitts 1.1 „Sortenserien für das Auswahlverfahren“ mit folgendem Wortlaut:</w:t>
      </w:r>
    </w:p>
    <w:p w14:paraId="3E8F0A0D" w14:textId="77777777" w:rsidR="005F10CD" w:rsidRDefault="005F10CD" w:rsidP="005F10CD">
      <w:pPr>
        <w:autoSpaceDE w:val="0"/>
        <w:autoSpaceDN w:val="0"/>
        <w:adjustRightInd w:val="0"/>
        <w:rPr>
          <w:rFonts w:cs="Arial"/>
        </w:rPr>
      </w:pPr>
    </w:p>
    <w:p w14:paraId="10816DAA" w14:textId="77777777" w:rsidR="005F10CD" w:rsidRDefault="005F10CD" w:rsidP="005F10CD">
      <w:pPr>
        <w:autoSpaceDE w:val="0"/>
        <w:autoSpaceDN w:val="0"/>
        <w:adjustRightInd w:val="0"/>
        <w:ind w:left="426" w:right="425"/>
        <w:rPr>
          <w:rFonts w:cs="Arial"/>
          <w:sz w:val="18"/>
          <w:szCs w:val="18"/>
        </w:rPr>
      </w:pPr>
      <w:r>
        <w:rPr>
          <w:rFonts w:cs="Arial"/>
          <w:sz w:val="18"/>
          <w:szCs w:val="18"/>
        </w:rPr>
        <w:t>„Bei der DNS-Profilierung von Pflanzensorten und dem Aufbau von Datenbanken sollten die molekularen Marker zielorientiert ausgewählt werden. Für die Einleitung des Markerauswahlverfahrens wird eine geeignete Anzahl von Sorten benötigt (Entwicklungsserie), um die Vielfalt widerzuspiegeln, die innerhalb der Gruppe/Pflanze/Art /bzw. des Typs beobachtet wird, für die bzw. den die Marker unterscheidend sein sollen. Eine weitere Auswahl erfolgt mittels Profilierung zusätzlicher Sorten (Validierungsserie), um die Leistung der Marker zu messen. Als Kriterien für die Auswahl der Validierungsserie kommen in Frage:</w:t>
      </w:r>
    </w:p>
    <w:p w14:paraId="5058DD89" w14:textId="77777777" w:rsidR="005F10CD" w:rsidRDefault="005F10CD" w:rsidP="005F10CD">
      <w:pPr>
        <w:autoSpaceDE w:val="0"/>
        <w:autoSpaceDN w:val="0"/>
        <w:adjustRightInd w:val="0"/>
        <w:ind w:left="426" w:right="425"/>
        <w:rPr>
          <w:rFonts w:cs="Arial"/>
          <w:sz w:val="18"/>
          <w:szCs w:val="18"/>
        </w:rPr>
      </w:pPr>
    </w:p>
    <w:p w14:paraId="7C37B53F" w14:textId="77777777" w:rsidR="005F10CD" w:rsidRDefault="005F10CD" w:rsidP="005F10CD">
      <w:pPr>
        <w:autoSpaceDE w:val="0"/>
        <w:autoSpaceDN w:val="0"/>
        <w:adjustRightInd w:val="0"/>
        <w:ind w:left="426" w:right="425"/>
        <w:rPr>
          <w:rFonts w:cs="Arial"/>
          <w:sz w:val="18"/>
          <w:szCs w:val="18"/>
        </w:rPr>
      </w:pPr>
      <w:r>
        <w:rPr>
          <w:rFonts w:cs="Arial"/>
          <w:sz w:val="18"/>
          <w:szCs w:val="18"/>
        </w:rPr>
        <w:t>a)</w:t>
      </w:r>
      <w:r>
        <w:rPr>
          <w:rFonts w:cs="Arial"/>
          <w:sz w:val="18"/>
          <w:szCs w:val="18"/>
        </w:rPr>
        <w:tab/>
        <w:t xml:space="preserve">genetisch sehr ähnliche Sorten oder Linien, NILs, RILs </w:t>
      </w:r>
    </w:p>
    <w:p w14:paraId="003121FC" w14:textId="77777777" w:rsidR="005F10CD" w:rsidRDefault="005F10CD" w:rsidP="005F10CD">
      <w:pPr>
        <w:autoSpaceDE w:val="0"/>
        <w:autoSpaceDN w:val="0"/>
        <w:adjustRightInd w:val="0"/>
        <w:ind w:left="426" w:right="425"/>
        <w:rPr>
          <w:rFonts w:cs="Arial"/>
          <w:sz w:val="18"/>
          <w:szCs w:val="18"/>
        </w:rPr>
      </w:pPr>
      <w:r>
        <w:rPr>
          <w:rFonts w:cs="Arial"/>
          <w:sz w:val="18"/>
          <w:szCs w:val="18"/>
        </w:rPr>
        <w:t>b)</w:t>
      </w:r>
      <w:r>
        <w:rPr>
          <w:rFonts w:cs="Arial"/>
          <w:sz w:val="18"/>
          <w:szCs w:val="18"/>
        </w:rPr>
        <w:tab/>
        <w:t>Elternlinien und Nachkommen</w:t>
      </w:r>
    </w:p>
    <w:p w14:paraId="77F169D4" w14:textId="77777777" w:rsidR="005F10CD" w:rsidRDefault="005F10CD" w:rsidP="005F10CD">
      <w:pPr>
        <w:autoSpaceDE w:val="0"/>
        <w:autoSpaceDN w:val="0"/>
        <w:adjustRightInd w:val="0"/>
        <w:ind w:left="426" w:right="425"/>
        <w:rPr>
          <w:rFonts w:cs="Arial"/>
          <w:sz w:val="18"/>
          <w:szCs w:val="18"/>
        </w:rPr>
      </w:pPr>
      <w:r>
        <w:rPr>
          <w:rFonts w:cs="Arial"/>
          <w:sz w:val="18"/>
          <w:szCs w:val="18"/>
        </w:rPr>
        <w:t>c)</w:t>
      </w:r>
      <w:r>
        <w:rPr>
          <w:rFonts w:cs="Arial"/>
          <w:sz w:val="18"/>
          <w:szCs w:val="18"/>
        </w:rPr>
        <w:tab/>
        <w:t>genetisch nah verwandte, jedoch morphologisch unterschiedliche Arten (z.B. Mutanten)</w:t>
      </w:r>
    </w:p>
    <w:p w14:paraId="0375ED72" w14:textId="77777777" w:rsidR="005F10CD" w:rsidRDefault="005F10CD" w:rsidP="005F10CD">
      <w:pPr>
        <w:autoSpaceDE w:val="0"/>
        <w:autoSpaceDN w:val="0"/>
        <w:adjustRightInd w:val="0"/>
        <w:ind w:left="426" w:right="425"/>
        <w:rPr>
          <w:rFonts w:cs="Arial"/>
          <w:sz w:val="18"/>
          <w:szCs w:val="18"/>
        </w:rPr>
      </w:pPr>
      <w:r>
        <w:rPr>
          <w:rFonts w:cs="Arial"/>
          <w:sz w:val="18"/>
          <w:szCs w:val="18"/>
        </w:rPr>
        <w:t>d)</w:t>
      </w:r>
      <w:r>
        <w:rPr>
          <w:rFonts w:cs="Arial"/>
          <w:sz w:val="18"/>
          <w:szCs w:val="18"/>
        </w:rPr>
        <w:tab/>
        <w:t>einige morphologisch ähnliche Sorten mit unterschiedlicher Zuchtformel</w:t>
      </w:r>
    </w:p>
    <w:p w14:paraId="5E22E0D7" w14:textId="77777777" w:rsidR="005F10CD" w:rsidRDefault="005F10CD" w:rsidP="005F10CD">
      <w:pPr>
        <w:autoSpaceDE w:val="0"/>
        <w:autoSpaceDN w:val="0"/>
        <w:adjustRightInd w:val="0"/>
        <w:ind w:left="426" w:right="425"/>
        <w:rPr>
          <w:rFonts w:cs="Arial"/>
          <w:sz w:val="18"/>
          <w:szCs w:val="18"/>
        </w:rPr>
      </w:pPr>
      <w:r>
        <w:rPr>
          <w:rFonts w:cs="Arial"/>
          <w:sz w:val="18"/>
          <w:szCs w:val="18"/>
        </w:rPr>
        <w:t>e)</w:t>
      </w:r>
      <w:r>
        <w:rPr>
          <w:rFonts w:cs="Arial"/>
          <w:sz w:val="18"/>
          <w:szCs w:val="18"/>
        </w:rPr>
        <w:tab/>
        <w:t>verschiedene Partien derselben Sorte</w:t>
      </w:r>
    </w:p>
    <w:p w14:paraId="7B187B4F" w14:textId="77777777" w:rsidR="005F10CD" w:rsidRDefault="005F10CD" w:rsidP="005F10CD">
      <w:pPr>
        <w:autoSpaceDE w:val="0"/>
        <w:autoSpaceDN w:val="0"/>
        <w:adjustRightInd w:val="0"/>
        <w:ind w:left="426" w:right="425"/>
        <w:rPr>
          <w:rFonts w:cs="Arial"/>
          <w:sz w:val="18"/>
          <w:szCs w:val="18"/>
        </w:rPr>
      </w:pPr>
      <w:r>
        <w:rPr>
          <w:rFonts w:cs="Arial"/>
          <w:sz w:val="18"/>
          <w:szCs w:val="18"/>
        </w:rPr>
        <w:t>e)</w:t>
      </w:r>
      <w:r>
        <w:rPr>
          <w:rFonts w:cs="Arial"/>
          <w:sz w:val="18"/>
          <w:szCs w:val="18"/>
        </w:rPr>
        <w:tab/>
        <w:t>unterschiedliche Herkunft innerhalb derselben Sorte”</w:t>
      </w:r>
    </w:p>
    <w:p w14:paraId="753F726B" w14:textId="77777777" w:rsidR="005F10CD" w:rsidRDefault="005F10CD" w:rsidP="005F10CD">
      <w:pPr>
        <w:autoSpaceDE w:val="0"/>
        <w:autoSpaceDN w:val="0"/>
        <w:adjustRightInd w:val="0"/>
        <w:rPr>
          <w:rFonts w:cs="Arial"/>
        </w:rPr>
      </w:pPr>
    </w:p>
    <w:p w14:paraId="1E15624B"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1.2</w:t>
      </w:r>
      <w:r w:rsidRPr="00D42510">
        <w:rPr>
          <w:rFonts w:cs="Arial"/>
          <w:i/>
          <w:iCs/>
        </w:rPr>
        <w:tab/>
        <w:t>Molekulare Marker – Leistungsaspekte</w:t>
      </w:r>
    </w:p>
    <w:p w14:paraId="35688E9E" w14:textId="29FC71F3" w:rsidR="005F10CD" w:rsidRPr="00D42510" w:rsidRDefault="008C2005"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Wortlaut des neuen Abschnitts 1.2 wie folgt zu ändern:</w:t>
      </w:r>
    </w:p>
    <w:p w14:paraId="07342628" w14:textId="77777777" w:rsidR="005F10CD" w:rsidRPr="00D42510" w:rsidRDefault="005F10CD" w:rsidP="005F10CD">
      <w:pPr>
        <w:autoSpaceDE w:val="0"/>
        <w:autoSpaceDN w:val="0"/>
        <w:adjustRightInd w:val="0"/>
        <w:rPr>
          <w:rFonts w:cs="Arial"/>
        </w:rPr>
      </w:pPr>
    </w:p>
    <w:p w14:paraId="76A88F70" w14:textId="77777777" w:rsidR="005F10CD" w:rsidRDefault="005F10CD" w:rsidP="005F10CD">
      <w:pPr>
        <w:autoSpaceDE w:val="0"/>
        <w:autoSpaceDN w:val="0"/>
        <w:adjustRightInd w:val="0"/>
        <w:ind w:left="426" w:right="425"/>
        <w:rPr>
          <w:rFonts w:cs="Arial"/>
          <w:sz w:val="18"/>
          <w:szCs w:val="18"/>
        </w:rPr>
      </w:pPr>
      <w:r>
        <w:rPr>
          <w:rFonts w:cs="Arial"/>
          <w:sz w:val="18"/>
          <w:szCs w:val="18"/>
        </w:rPr>
        <w:t xml:space="preserve">Folgende allgemeine Kriterien für die </w:t>
      </w:r>
      <w:r w:rsidRPr="00670497">
        <w:rPr>
          <w:rFonts w:cs="Arial"/>
          <w:strike/>
          <w:sz w:val="18"/>
          <w:szCs w:val="18"/>
          <w:highlight w:val="lightGray"/>
        </w:rPr>
        <w:t>Wahl</w:t>
      </w:r>
      <w:r w:rsidRPr="00670497">
        <w:rPr>
          <w:rFonts w:cs="Arial"/>
          <w:sz w:val="18"/>
          <w:szCs w:val="18"/>
          <w:highlight w:val="lightGray"/>
        </w:rPr>
        <w:t xml:space="preserve"> </w:t>
      </w:r>
      <w:r w:rsidRPr="00670497">
        <w:rPr>
          <w:rFonts w:cs="Arial"/>
          <w:sz w:val="18"/>
          <w:szCs w:val="18"/>
          <w:highlight w:val="lightGray"/>
          <w:u w:val="single"/>
        </w:rPr>
        <w:t>Auswahl</w:t>
      </w:r>
      <w:r>
        <w:rPr>
          <w:rFonts w:cs="Arial"/>
          <w:sz w:val="18"/>
          <w:szCs w:val="18"/>
        </w:rPr>
        <w:t xml:space="preserve"> eines spezifischen Markers oder Markersatzes sollen </w:t>
      </w:r>
      <w:r w:rsidRPr="00670497">
        <w:rPr>
          <w:rFonts w:cs="Arial"/>
          <w:strike/>
          <w:sz w:val="18"/>
          <w:szCs w:val="18"/>
          <w:highlight w:val="lightGray"/>
        </w:rPr>
        <w:t>für mole</w:t>
      </w:r>
      <w:r w:rsidR="0059090F" w:rsidRPr="00670497">
        <w:rPr>
          <w:rFonts w:cs="Arial"/>
          <w:strike/>
          <w:sz w:val="18"/>
          <w:szCs w:val="18"/>
          <w:highlight w:val="lightGray"/>
        </w:rPr>
        <w:t>k</w:t>
      </w:r>
      <w:r w:rsidRPr="00670497">
        <w:rPr>
          <w:rFonts w:cs="Arial"/>
          <w:strike/>
          <w:sz w:val="18"/>
          <w:szCs w:val="18"/>
          <w:highlight w:val="lightGray"/>
        </w:rPr>
        <w:t>ulare Marker</w:t>
      </w:r>
      <w:r>
        <w:rPr>
          <w:rFonts w:cs="Arial"/>
          <w:sz w:val="18"/>
          <w:szCs w:val="18"/>
        </w:rPr>
        <w:t xml:space="preserve"> ungeachtet der Verwendung der Marker geeignet sein, obwohl eingeräumt wird, daß spezifische Anwendungen bestimmte zusätzliche </w:t>
      </w:r>
      <w:r w:rsidRPr="00670497">
        <w:rPr>
          <w:rFonts w:cs="Arial"/>
          <w:strike/>
          <w:sz w:val="18"/>
          <w:szCs w:val="18"/>
          <w:highlight w:val="lightGray"/>
        </w:rPr>
        <w:t xml:space="preserve">Kriterien </w:t>
      </w:r>
      <w:r w:rsidRPr="00670497">
        <w:rPr>
          <w:rFonts w:cs="Arial"/>
          <w:sz w:val="18"/>
          <w:szCs w:val="18"/>
          <w:highlight w:val="lightGray"/>
        </w:rPr>
        <w:t xml:space="preserve"> </w:t>
      </w:r>
      <w:r w:rsidRPr="00670497">
        <w:rPr>
          <w:rFonts w:cs="Arial"/>
          <w:sz w:val="18"/>
          <w:szCs w:val="18"/>
          <w:highlight w:val="lightGray"/>
          <w:u w:val="single"/>
        </w:rPr>
        <w:t>Überlegungen</w:t>
      </w:r>
      <w:r w:rsidR="0059090F">
        <w:rPr>
          <w:rFonts w:cs="Arial"/>
          <w:sz w:val="18"/>
          <w:szCs w:val="18"/>
          <w:u w:val="single"/>
        </w:rPr>
        <w:t xml:space="preserve"> </w:t>
      </w:r>
      <w:r>
        <w:rPr>
          <w:rFonts w:cs="Arial"/>
          <w:sz w:val="18"/>
          <w:szCs w:val="18"/>
        </w:rPr>
        <w:t xml:space="preserve">erfordern könnten </w:t>
      </w:r>
    </w:p>
    <w:p w14:paraId="3B93C3C2" w14:textId="77777777" w:rsidR="005F10CD" w:rsidRDefault="005F10CD" w:rsidP="005F10CD">
      <w:pPr>
        <w:autoSpaceDE w:val="0"/>
        <w:autoSpaceDN w:val="0"/>
        <w:adjustRightInd w:val="0"/>
        <w:rPr>
          <w:rFonts w:cs="Arial"/>
          <w:sz w:val="18"/>
          <w:szCs w:val="18"/>
        </w:rPr>
      </w:pPr>
    </w:p>
    <w:p w14:paraId="2EC9BDEC" w14:textId="77777777" w:rsidR="005F10CD" w:rsidRDefault="005F10CD" w:rsidP="005F10CD">
      <w:pPr>
        <w:autoSpaceDE w:val="0"/>
        <w:autoSpaceDN w:val="0"/>
        <w:adjustRightInd w:val="0"/>
        <w:ind w:left="426" w:right="425" w:firstLine="283"/>
        <w:rPr>
          <w:rFonts w:cs="Arial"/>
          <w:sz w:val="18"/>
          <w:szCs w:val="18"/>
        </w:rPr>
      </w:pPr>
      <w:r>
        <w:rPr>
          <w:rFonts w:cs="Arial"/>
          <w:sz w:val="18"/>
          <w:szCs w:val="18"/>
        </w:rPr>
        <w:t>a)</w:t>
      </w:r>
      <w:r>
        <w:rPr>
          <w:rFonts w:cs="Arial"/>
          <w:sz w:val="18"/>
          <w:szCs w:val="18"/>
        </w:rPr>
        <w:tab/>
      </w:r>
      <w:r w:rsidRPr="00670497">
        <w:rPr>
          <w:rFonts w:cs="Arial"/>
          <w:strike/>
          <w:sz w:val="18"/>
          <w:szCs w:val="18"/>
          <w:highlight w:val="lightGray"/>
        </w:rPr>
        <w:t xml:space="preserve">nutzbares Polymorphismusniveau; </w:t>
      </w:r>
      <w:r w:rsidRPr="00670497">
        <w:rPr>
          <w:rFonts w:cs="Arial"/>
          <w:sz w:val="18"/>
          <w:szCs w:val="18"/>
          <w:highlight w:val="lightGray"/>
        </w:rPr>
        <w:t xml:space="preserve"> </w:t>
      </w:r>
      <w:r w:rsidRPr="00670497">
        <w:rPr>
          <w:rFonts w:cs="Arial"/>
          <w:sz w:val="18"/>
          <w:szCs w:val="18"/>
          <w:highlight w:val="lightGray"/>
          <w:u w:val="single"/>
        </w:rPr>
        <w:t>Die Anzahl der Marker sollte im Verhältnis stehen zur jeweils geforderten Genauigkeit des Genotyps. Die Anzahl der zum Erreichen der erforderlichen Auflösung oder Unterscheidungskraft einzusetzenden Marker ist abhängig vom Markertyp (dominant/kodominant, bi-/multiallelisch), der Art und der Qualität der Markerleistung</w:t>
      </w:r>
      <w:r>
        <w:rPr>
          <w:rFonts w:cs="Arial"/>
          <w:sz w:val="18"/>
          <w:szCs w:val="18"/>
          <w:highlight w:val="white"/>
          <w:u w:val="single"/>
        </w:rPr>
        <w:t>;</w:t>
      </w:r>
      <w:r>
        <w:rPr>
          <w:rFonts w:cs="Arial"/>
          <w:sz w:val="18"/>
          <w:szCs w:val="18"/>
        </w:rPr>
        <w:t> </w:t>
      </w:r>
    </w:p>
    <w:p w14:paraId="0C87D56A" w14:textId="77777777" w:rsidR="005F10CD" w:rsidRDefault="005F10CD" w:rsidP="005F10CD">
      <w:pPr>
        <w:autoSpaceDE w:val="0"/>
        <w:autoSpaceDN w:val="0"/>
        <w:adjustRightInd w:val="0"/>
        <w:ind w:firstLine="567"/>
        <w:rPr>
          <w:rFonts w:cs="Arial"/>
        </w:rPr>
      </w:pPr>
    </w:p>
    <w:p w14:paraId="5212EC58" w14:textId="40FE1919" w:rsidR="005F10CD" w:rsidRDefault="005F10CD" w:rsidP="008C2005">
      <w:pPr>
        <w:autoSpaceDE w:val="0"/>
        <w:autoSpaceDN w:val="0"/>
        <w:adjustRightInd w:val="0"/>
        <w:ind w:left="426" w:firstLine="283"/>
        <w:rPr>
          <w:rFonts w:cs="Arial"/>
          <w:sz w:val="18"/>
          <w:szCs w:val="18"/>
        </w:rPr>
      </w:pPr>
      <w:r>
        <w:rPr>
          <w:rFonts w:cs="Arial"/>
          <w:sz w:val="18"/>
          <w:szCs w:val="18"/>
        </w:rPr>
        <w:t>b)</w:t>
      </w:r>
      <w:r>
        <w:rPr>
          <w:rFonts w:cs="Arial"/>
          <w:sz w:val="18"/>
          <w:szCs w:val="18"/>
        </w:rPr>
        <w:tab/>
        <w:t xml:space="preserve">Laborintern Wiederholbarkeit </w:t>
      </w:r>
      <w:r w:rsidRPr="00670497">
        <w:rPr>
          <w:rFonts w:cs="Arial"/>
          <w:sz w:val="18"/>
          <w:szCs w:val="18"/>
          <w:highlight w:val="lightGray"/>
          <w:u w:val="double"/>
        </w:rPr>
        <w:t>und Solidität</w:t>
      </w:r>
      <w:r>
        <w:rPr>
          <w:rFonts w:cs="Arial"/>
          <w:sz w:val="18"/>
          <w:szCs w:val="18"/>
        </w:rPr>
        <w:t xml:space="preserve"> und laborübergreifend Reproduzierbarkeit bei der Auswertung der Daten; </w:t>
      </w:r>
    </w:p>
    <w:p w14:paraId="3B01C595" w14:textId="77777777" w:rsidR="005F10CD" w:rsidRDefault="005F10CD" w:rsidP="005F10CD">
      <w:pPr>
        <w:autoSpaceDE w:val="0"/>
        <w:autoSpaceDN w:val="0"/>
        <w:adjustRightInd w:val="0"/>
        <w:rPr>
          <w:rFonts w:cs="Arial"/>
        </w:rPr>
      </w:pPr>
    </w:p>
    <w:p w14:paraId="4E05C842" w14:textId="64827C00" w:rsidR="005F10CD" w:rsidRDefault="005F10CD" w:rsidP="008C2005">
      <w:pPr>
        <w:autoSpaceDE w:val="0"/>
        <w:autoSpaceDN w:val="0"/>
        <w:adjustRightInd w:val="0"/>
        <w:ind w:left="426" w:firstLine="283"/>
        <w:rPr>
          <w:rFonts w:cs="Arial"/>
          <w:sz w:val="18"/>
          <w:szCs w:val="18"/>
        </w:rPr>
      </w:pPr>
      <w:r>
        <w:rPr>
          <w:rFonts w:cs="Arial"/>
          <w:sz w:val="18"/>
          <w:szCs w:val="18"/>
        </w:rPr>
        <w:t>(c)</w:t>
      </w:r>
      <w:r>
        <w:rPr>
          <w:rFonts w:cs="Arial"/>
          <w:sz w:val="18"/>
          <w:szCs w:val="18"/>
        </w:rPr>
        <w:tab/>
      </w:r>
      <w:r w:rsidRPr="00670497">
        <w:rPr>
          <w:rFonts w:cs="Arial"/>
          <w:strike/>
          <w:sz w:val="18"/>
          <w:szCs w:val="18"/>
          <w:highlight w:val="lightGray"/>
        </w:rPr>
        <w:t>bekannte Verteilung der Ma</w:t>
      </w:r>
      <w:r w:rsidR="0059090F" w:rsidRPr="00670497">
        <w:rPr>
          <w:rFonts w:cs="Arial"/>
          <w:strike/>
          <w:sz w:val="18"/>
          <w:szCs w:val="18"/>
          <w:highlight w:val="lightGray"/>
        </w:rPr>
        <w:t>r</w:t>
      </w:r>
      <w:r w:rsidRPr="00670497">
        <w:rPr>
          <w:rFonts w:cs="Arial"/>
          <w:strike/>
          <w:sz w:val="18"/>
          <w:szCs w:val="18"/>
          <w:highlight w:val="lightGray"/>
        </w:rPr>
        <w:t xml:space="preserve">ker im gesamten Genom (d.h. Kartenposition), was zwar nicht wesentlich, jedoch eine wertvolle Information ist und hilft, die Auswahl von gekoppelten Markern zu vermeiden </w:t>
      </w:r>
      <w:r w:rsidRPr="00670497">
        <w:rPr>
          <w:rFonts w:cs="Arial"/>
          <w:sz w:val="18"/>
          <w:szCs w:val="18"/>
          <w:highlight w:val="lightGray"/>
          <w:u w:val="single"/>
        </w:rPr>
        <w:t>Die Einbeziehung des Genombereichs und des Kopplungs-Ungleichgewichts sollte die Ziele widerspiegeln. Das Bekanntsein der physischen und/oder genetischen  Position des ausgewählten Markers im Genom ist zwar nicht wesentlich, ermöglicht aber eine sinnvolle Markerauswahl</w:t>
      </w:r>
      <w:r w:rsidRPr="00670497">
        <w:rPr>
          <w:rFonts w:cs="Arial"/>
          <w:sz w:val="18"/>
          <w:szCs w:val="18"/>
          <w:highlight w:val="lightGray"/>
        </w:rPr>
        <w:t>;</w:t>
      </w:r>
      <w:r w:rsidRPr="00670497">
        <w:rPr>
          <w:rFonts w:cs="Arial"/>
          <w:strike/>
          <w:sz w:val="18"/>
          <w:szCs w:val="18"/>
          <w:highlight w:val="lightGray"/>
        </w:rPr>
        <w:t xml:space="preserve">  und</w:t>
      </w:r>
    </w:p>
    <w:p w14:paraId="4EE071BB" w14:textId="77777777" w:rsidR="005F10CD" w:rsidRDefault="005F10CD" w:rsidP="005F10CD">
      <w:pPr>
        <w:autoSpaceDE w:val="0"/>
        <w:autoSpaceDN w:val="0"/>
        <w:adjustRightInd w:val="0"/>
        <w:ind w:left="426"/>
        <w:rPr>
          <w:rFonts w:cs="Arial"/>
        </w:rPr>
      </w:pPr>
    </w:p>
    <w:p w14:paraId="1377E00A" w14:textId="7FF0B625" w:rsidR="005F10CD" w:rsidRPr="00670497" w:rsidRDefault="005F10CD" w:rsidP="008C2005">
      <w:pPr>
        <w:autoSpaceDE w:val="0"/>
        <w:autoSpaceDN w:val="0"/>
        <w:adjustRightInd w:val="0"/>
        <w:ind w:left="426" w:firstLine="283"/>
        <w:rPr>
          <w:rFonts w:cs="Arial"/>
          <w:sz w:val="18"/>
          <w:szCs w:val="18"/>
          <w:highlight w:val="lightGray"/>
          <w:u w:val="single"/>
        </w:rPr>
      </w:pPr>
      <w:r w:rsidRPr="00670497">
        <w:rPr>
          <w:rFonts w:cs="Arial"/>
          <w:sz w:val="18"/>
          <w:szCs w:val="18"/>
          <w:highlight w:val="lightGray"/>
          <w:u w:val="single"/>
        </w:rPr>
        <w:t>d)</w:t>
      </w:r>
      <w:r w:rsidRPr="00670497">
        <w:rPr>
          <w:rFonts w:cs="Arial"/>
          <w:sz w:val="18"/>
          <w:szCs w:val="18"/>
          <w:highlight w:val="lightGray"/>
          <w:u w:val="single"/>
        </w:rPr>
        <w:tab/>
        <w:t>Mögliche Quellen für molekulare Marker</w:t>
      </w:r>
    </w:p>
    <w:p w14:paraId="78DA8F95" w14:textId="77777777" w:rsidR="005F10CD" w:rsidRPr="00670497" w:rsidRDefault="005F10CD" w:rsidP="005F10CD">
      <w:pPr>
        <w:autoSpaceDE w:val="0"/>
        <w:autoSpaceDN w:val="0"/>
        <w:adjustRightInd w:val="0"/>
        <w:ind w:left="426"/>
        <w:rPr>
          <w:rFonts w:cs="Arial"/>
          <w:sz w:val="18"/>
          <w:szCs w:val="18"/>
          <w:highlight w:val="lightGray"/>
          <w:u w:val="single"/>
        </w:rPr>
      </w:pPr>
      <w:r w:rsidRPr="00670497">
        <w:rPr>
          <w:rFonts w:cs="Arial"/>
          <w:sz w:val="18"/>
          <w:szCs w:val="18"/>
          <w:highlight w:val="lightGray"/>
          <w:u w:val="single"/>
        </w:rPr>
        <w:t>-</w:t>
      </w:r>
      <w:r w:rsidRPr="00670497">
        <w:rPr>
          <w:rFonts w:cs="Arial"/>
          <w:sz w:val="18"/>
          <w:szCs w:val="18"/>
          <w:highlight w:val="lightGray"/>
          <w:u w:val="single"/>
        </w:rPr>
        <w:tab/>
        <w:t xml:space="preserve">Molekulare Marker, die aus öffentlichen Quellen stammen </w:t>
      </w:r>
    </w:p>
    <w:p w14:paraId="73C350EB" w14:textId="77777777" w:rsidR="005F10CD" w:rsidRPr="00670497" w:rsidRDefault="005F10CD" w:rsidP="005F10CD">
      <w:pPr>
        <w:autoSpaceDE w:val="0"/>
        <w:autoSpaceDN w:val="0"/>
        <w:adjustRightInd w:val="0"/>
        <w:ind w:left="426"/>
        <w:rPr>
          <w:rFonts w:cs="Arial"/>
          <w:sz w:val="18"/>
          <w:szCs w:val="18"/>
          <w:highlight w:val="lightGray"/>
          <w:u w:val="single"/>
        </w:rPr>
      </w:pPr>
      <w:r w:rsidRPr="00670497">
        <w:rPr>
          <w:rFonts w:cs="Arial"/>
          <w:sz w:val="18"/>
          <w:szCs w:val="18"/>
          <w:highlight w:val="lightGray"/>
          <w:u w:val="single"/>
        </w:rPr>
        <w:t>-</w:t>
      </w:r>
      <w:r w:rsidRPr="00670497">
        <w:rPr>
          <w:rFonts w:cs="Arial"/>
          <w:sz w:val="18"/>
          <w:szCs w:val="18"/>
          <w:highlight w:val="lightGray"/>
          <w:u w:val="single"/>
        </w:rPr>
        <w:tab/>
        <w:t xml:space="preserve">Molekulare Marker, die aus nicht-öffentlichen Quellen stammen oder durch Aussortieren und Auswählen von  handelsüblichen artspezifischen Chips und Arrays gewonnen wurden. </w:t>
      </w:r>
    </w:p>
    <w:p w14:paraId="27044913" w14:textId="77777777" w:rsidR="005F10CD" w:rsidRDefault="005F10CD" w:rsidP="005F10CD">
      <w:pPr>
        <w:autoSpaceDE w:val="0"/>
        <w:autoSpaceDN w:val="0"/>
        <w:adjustRightInd w:val="0"/>
        <w:ind w:left="426"/>
        <w:rPr>
          <w:rFonts w:cs="Arial"/>
          <w:sz w:val="18"/>
          <w:szCs w:val="18"/>
          <w:u w:val="single"/>
        </w:rPr>
      </w:pPr>
      <w:r w:rsidRPr="00670497">
        <w:rPr>
          <w:rFonts w:cs="Arial"/>
          <w:sz w:val="18"/>
          <w:szCs w:val="18"/>
          <w:highlight w:val="lightGray"/>
          <w:u w:val="single"/>
        </w:rPr>
        <w:t>-</w:t>
      </w:r>
      <w:r w:rsidRPr="00670497">
        <w:rPr>
          <w:rFonts w:cs="Arial"/>
          <w:sz w:val="18"/>
          <w:szCs w:val="18"/>
          <w:highlight w:val="lightGray"/>
          <w:u w:val="single"/>
        </w:rPr>
        <w:tab/>
        <w:t>Molekulare Marker, die aus neu generierten Sequenzdaten ausgewählt wurden</w:t>
      </w:r>
      <w:r>
        <w:rPr>
          <w:rFonts w:cs="Arial"/>
          <w:sz w:val="18"/>
          <w:szCs w:val="18"/>
          <w:u w:val="single"/>
        </w:rPr>
        <w:t>;</w:t>
      </w:r>
    </w:p>
    <w:p w14:paraId="6A74218F" w14:textId="77777777" w:rsidR="005F10CD" w:rsidRDefault="005F10CD" w:rsidP="005F10CD">
      <w:pPr>
        <w:autoSpaceDE w:val="0"/>
        <w:autoSpaceDN w:val="0"/>
        <w:adjustRightInd w:val="0"/>
        <w:ind w:left="426"/>
        <w:rPr>
          <w:rFonts w:cs="Arial"/>
        </w:rPr>
      </w:pPr>
    </w:p>
    <w:p w14:paraId="04386BFB" w14:textId="5A8CF8E2" w:rsidR="005F10CD" w:rsidRDefault="005F10CD" w:rsidP="008C2005">
      <w:pPr>
        <w:autoSpaceDE w:val="0"/>
        <w:autoSpaceDN w:val="0"/>
        <w:adjustRightInd w:val="0"/>
        <w:ind w:left="426" w:firstLine="283"/>
        <w:rPr>
          <w:rFonts w:cs="Arial"/>
          <w:sz w:val="18"/>
          <w:szCs w:val="18"/>
        </w:rPr>
      </w:pPr>
      <w:r w:rsidRPr="00670497">
        <w:rPr>
          <w:rFonts w:cs="Arial"/>
          <w:sz w:val="18"/>
          <w:szCs w:val="18"/>
          <w:highlight w:val="lightGray"/>
          <w:u w:val="single"/>
        </w:rPr>
        <w:t>e</w:t>
      </w:r>
      <w:r w:rsidRPr="00670497">
        <w:rPr>
          <w:rFonts w:cs="Arial"/>
          <w:sz w:val="18"/>
          <w:szCs w:val="18"/>
          <w:highlight w:val="lightGray"/>
        </w:rPr>
        <w:t>)</w:t>
      </w:r>
      <w:r>
        <w:rPr>
          <w:rFonts w:cs="Arial"/>
          <w:sz w:val="18"/>
          <w:szCs w:val="18"/>
        </w:rPr>
        <w:tab/>
        <w:t>nach Möglichkeit Vermeiden von Markern mit „Nullallelen“ (d.h.  ein Allel, das das Fehlen eines PCR-Produkts auf molekularer Ebene bewirkt), was ebenfalls nicht wesentlich, jedoch ratsam ist</w:t>
      </w:r>
      <w:r>
        <w:rPr>
          <w:rFonts w:cs="Arial"/>
          <w:strike/>
          <w:sz w:val="18"/>
          <w:szCs w:val="18"/>
          <w:highlight w:val="white"/>
        </w:rPr>
        <w:t>.</w:t>
      </w:r>
      <w:r>
        <w:rPr>
          <w:rFonts w:cs="Arial"/>
          <w:sz w:val="18"/>
          <w:szCs w:val="18"/>
          <w:highlight w:val="white"/>
          <w:u w:val="single"/>
        </w:rPr>
        <w:t>;</w:t>
      </w:r>
      <w:r>
        <w:rPr>
          <w:rFonts w:cs="Arial"/>
          <w:sz w:val="18"/>
          <w:szCs w:val="18"/>
        </w:rPr>
        <w:t xml:space="preserve"> </w:t>
      </w:r>
    </w:p>
    <w:p w14:paraId="0393276C" w14:textId="77777777" w:rsidR="005F10CD" w:rsidRDefault="005F10CD" w:rsidP="005F10CD">
      <w:pPr>
        <w:autoSpaceDE w:val="0"/>
        <w:autoSpaceDN w:val="0"/>
        <w:adjustRightInd w:val="0"/>
        <w:ind w:left="426"/>
        <w:rPr>
          <w:rFonts w:cs="Arial"/>
          <w:sz w:val="18"/>
          <w:szCs w:val="18"/>
          <w:highlight w:val="white"/>
        </w:rPr>
      </w:pPr>
    </w:p>
    <w:p w14:paraId="3F5C064B" w14:textId="3A510C63" w:rsidR="005F10CD" w:rsidRPr="00670497" w:rsidRDefault="005F10CD" w:rsidP="008C2005">
      <w:pPr>
        <w:autoSpaceDE w:val="0"/>
        <w:autoSpaceDN w:val="0"/>
        <w:adjustRightInd w:val="0"/>
        <w:ind w:left="426" w:firstLine="283"/>
        <w:rPr>
          <w:rFonts w:cs="Arial"/>
          <w:sz w:val="18"/>
          <w:szCs w:val="18"/>
          <w:highlight w:val="lightGray"/>
          <w:u w:val="single"/>
        </w:rPr>
      </w:pPr>
      <w:r w:rsidRPr="00670497">
        <w:rPr>
          <w:rFonts w:cs="Arial"/>
          <w:sz w:val="18"/>
          <w:szCs w:val="18"/>
          <w:highlight w:val="lightGray"/>
          <w:u w:val="single"/>
        </w:rPr>
        <w:t>f)</w:t>
      </w:r>
      <w:r w:rsidRPr="00670497">
        <w:rPr>
          <w:rFonts w:cs="Arial"/>
          <w:sz w:val="18"/>
          <w:szCs w:val="18"/>
          <w:highlight w:val="lightGray"/>
          <w:u w:val="single"/>
        </w:rPr>
        <w:tab/>
        <w:t>Zulassen einer Auswertung von Markerprofilen, die problemlos, objektiv und eindeutig ist.  Diese leistungsstarken Marker werden gegenüber komplexen Markerprofilen, die zur Mehrdeutigkeit neigen, bevorzugt. Klare Schwarz-Weiß-Antworten erleichtern zudem die Harmonisierung.</w:t>
      </w:r>
      <w:r w:rsidRPr="00670497">
        <w:rPr>
          <w:rFonts w:cs="Arial"/>
          <w:sz w:val="18"/>
          <w:szCs w:val="18"/>
          <w:highlight w:val="lightGray"/>
        </w:rPr>
        <w:t> </w:t>
      </w:r>
    </w:p>
    <w:p w14:paraId="486A3D98" w14:textId="77777777" w:rsidR="005F10CD" w:rsidRPr="00670497" w:rsidRDefault="005F10CD" w:rsidP="005F10CD">
      <w:pPr>
        <w:autoSpaceDE w:val="0"/>
        <w:autoSpaceDN w:val="0"/>
        <w:adjustRightInd w:val="0"/>
        <w:ind w:left="426"/>
        <w:rPr>
          <w:rFonts w:cs="Arial"/>
          <w:sz w:val="18"/>
          <w:szCs w:val="18"/>
          <w:highlight w:val="lightGray"/>
          <w:u w:val="single"/>
        </w:rPr>
      </w:pPr>
    </w:p>
    <w:p w14:paraId="2EC9BB99" w14:textId="173EDE1F" w:rsidR="005F10CD" w:rsidRPr="00670497" w:rsidRDefault="005F10CD" w:rsidP="008C2005">
      <w:pPr>
        <w:autoSpaceDE w:val="0"/>
        <w:autoSpaceDN w:val="0"/>
        <w:adjustRightInd w:val="0"/>
        <w:ind w:left="426" w:firstLine="283"/>
        <w:rPr>
          <w:rFonts w:cs="Arial"/>
          <w:sz w:val="18"/>
          <w:szCs w:val="18"/>
          <w:highlight w:val="lightGray"/>
          <w:u w:val="single"/>
        </w:rPr>
      </w:pPr>
      <w:r w:rsidRPr="00670497">
        <w:rPr>
          <w:rFonts w:cs="Arial"/>
          <w:sz w:val="18"/>
          <w:szCs w:val="18"/>
          <w:highlight w:val="lightGray"/>
          <w:u w:val="single"/>
        </w:rPr>
        <w:t>g)</w:t>
      </w:r>
      <w:r w:rsidRPr="00670497">
        <w:rPr>
          <w:rFonts w:cs="Arial"/>
          <w:sz w:val="18"/>
          <w:szCs w:val="18"/>
          <w:highlight w:val="lightGray"/>
          <w:u w:val="single"/>
        </w:rPr>
        <w:tab/>
        <w:t xml:space="preserve">Kodominante Marker werden dominanten Markern gegenüber grundsätzlich bevorzugt, weil sie ein besseres Unterscheidungsvermögen besitzen; </w:t>
      </w:r>
      <w:r w:rsidRPr="00670497">
        <w:rPr>
          <w:rFonts w:cs="Arial"/>
          <w:sz w:val="18"/>
          <w:szCs w:val="18"/>
          <w:highlight w:val="lightGray"/>
        </w:rPr>
        <w:t> </w:t>
      </w:r>
      <w:r w:rsidRPr="00670497">
        <w:rPr>
          <w:rFonts w:cs="Arial"/>
          <w:sz w:val="18"/>
          <w:szCs w:val="18"/>
          <w:highlight w:val="lightGray"/>
          <w:u w:val="single"/>
        </w:rPr>
        <w:t xml:space="preserve"> </w:t>
      </w:r>
    </w:p>
    <w:p w14:paraId="0C2EAC16" w14:textId="77777777" w:rsidR="005F10CD" w:rsidRPr="00670497" w:rsidRDefault="005F10CD" w:rsidP="005F10CD">
      <w:pPr>
        <w:autoSpaceDE w:val="0"/>
        <w:autoSpaceDN w:val="0"/>
        <w:adjustRightInd w:val="0"/>
        <w:ind w:left="426"/>
        <w:rPr>
          <w:rFonts w:cs="Arial"/>
          <w:sz w:val="18"/>
          <w:szCs w:val="18"/>
          <w:highlight w:val="lightGray"/>
          <w:u w:val="single"/>
        </w:rPr>
      </w:pPr>
    </w:p>
    <w:p w14:paraId="758C70C0" w14:textId="658EB9FA" w:rsidR="005F10CD" w:rsidRPr="00670497" w:rsidRDefault="005F10CD" w:rsidP="008C2005">
      <w:pPr>
        <w:autoSpaceDE w:val="0"/>
        <w:autoSpaceDN w:val="0"/>
        <w:adjustRightInd w:val="0"/>
        <w:ind w:left="426" w:firstLine="283"/>
        <w:rPr>
          <w:rFonts w:cs="Arial"/>
          <w:sz w:val="18"/>
          <w:szCs w:val="18"/>
          <w:highlight w:val="lightGray"/>
          <w:u w:val="single"/>
        </w:rPr>
      </w:pPr>
      <w:r w:rsidRPr="00670497">
        <w:rPr>
          <w:rFonts w:cs="Arial"/>
          <w:sz w:val="18"/>
          <w:szCs w:val="18"/>
          <w:highlight w:val="lightGray"/>
          <w:u w:val="single"/>
        </w:rPr>
        <w:t>h)</w:t>
      </w:r>
      <w:r w:rsidRPr="00670497">
        <w:rPr>
          <w:rFonts w:cs="Arial"/>
          <w:sz w:val="18"/>
          <w:szCs w:val="18"/>
          <w:highlight w:val="lightGray"/>
          <w:u w:val="single"/>
        </w:rPr>
        <w:tab/>
        <w:t>Dauerhaftigkeit des Markers Wenn ein Marker in einem Genombereich lo</w:t>
      </w:r>
      <w:r w:rsidR="0059090F" w:rsidRPr="00670497">
        <w:rPr>
          <w:rFonts w:cs="Arial"/>
          <w:sz w:val="18"/>
          <w:szCs w:val="18"/>
          <w:highlight w:val="lightGray"/>
          <w:u w:val="single"/>
        </w:rPr>
        <w:t>k</w:t>
      </w:r>
      <w:r w:rsidRPr="00670497">
        <w:rPr>
          <w:rFonts w:cs="Arial"/>
          <w:sz w:val="18"/>
          <w:szCs w:val="18"/>
          <w:highlight w:val="lightGray"/>
          <w:u w:val="single"/>
        </w:rPr>
        <w:t>alisiert ist, der nicht einer Auswahl durch die Züchter unterliegt, erhöht sich die Wahrscheinlichkeit, da</w:t>
      </w:r>
      <w:r w:rsidR="007F5336" w:rsidRPr="00670497">
        <w:rPr>
          <w:rFonts w:cs="Arial"/>
          <w:sz w:val="18"/>
          <w:szCs w:val="18"/>
          <w:highlight w:val="lightGray"/>
          <w:u w:val="single"/>
        </w:rPr>
        <w:t>ß</w:t>
      </w:r>
      <w:r w:rsidRPr="00670497">
        <w:rPr>
          <w:rFonts w:cs="Arial"/>
          <w:sz w:val="18"/>
          <w:szCs w:val="18"/>
          <w:highlight w:val="lightGray"/>
          <w:u w:val="single"/>
        </w:rPr>
        <w:t xml:space="preserve"> der Marker dauerhaft informativ ist;</w:t>
      </w:r>
    </w:p>
    <w:p w14:paraId="27CE6EC3" w14:textId="77777777" w:rsidR="005F10CD" w:rsidRPr="00670497" w:rsidRDefault="005F10CD" w:rsidP="005F10CD">
      <w:pPr>
        <w:autoSpaceDE w:val="0"/>
        <w:autoSpaceDN w:val="0"/>
        <w:adjustRightInd w:val="0"/>
        <w:ind w:left="426"/>
        <w:rPr>
          <w:rFonts w:cs="Arial"/>
          <w:sz w:val="18"/>
          <w:szCs w:val="18"/>
          <w:highlight w:val="lightGray"/>
          <w:u w:val="single"/>
        </w:rPr>
      </w:pPr>
    </w:p>
    <w:p w14:paraId="357BEFCE" w14:textId="4EAD3963" w:rsidR="005F10CD" w:rsidRPr="00670497" w:rsidRDefault="008C2005" w:rsidP="008C2005">
      <w:pPr>
        <w:autoSpaceDE w:val="0"/>
        <w:autoSpaceDN w:val="0"/>
        <w:adjustRightInd w:val="0"/>
        <w:ind w:left="426" w:firstLine="283"/>
        <w:rPr>
          <w:rFonts w:cs="Arial"/>
          <w:sz w:val="18"/>
          <w:szCs w:val="18"/>
          <w:highlight w:val="lightGray"/>
          <w:u w:val="single"/>
        </w:rPr>
      </w:pPr>
      <w:r>
        <w:rPr>
          <w:rFonts w:cs="Arial"/>
          <w:sz w:val="18"/>
          <w:szCs w:val="18"/>
          <w:highlight w:val="lightGray"/>
          <w:u w:val="single"/>
        </w:rPr>
        <w:lastRenderedPageBreak/>
        <w:t>i</w:t>
      </w:r>
      <w:r w:rsidR="005F10CD" w:rsidRPr="00670497">
        <w:rPr>
          <w:rFonts w:cs="Arial"/>
          <w:sz w:val="18"/>
          <w:szCs w:val="18"/>
          <w:highlight w:val="lightGray"/>
          <w:u w:val="single"/>
        </w:rPr>
        <w:t>)</w:t>
      </w:r>
      <w:r w:rsidR="005F10CD" w:rsidRPr="00670497">
        <w:rPr>
          <w:rFonts w:cs="Arial"/>
          <w:sz w:val="18"/>
          <w:szCs w:val="18"/>
          <w:highlight w:val="lightGray"/>
          <w:u w:val="single"/>
        </w:rPr>
        <w:tab/>
        <w:t xml:space="preserve"> Marker können in kodierenden und/oder  nichtkodierenden Regionen lokalisiert sein; und</w:t>
      </w:r>
    </w:p>
    <w:p w14:paraId="6EAB77D1" w14:textId="77777777" w:rsidR="005F10CD" w:rsidRPr="00670497" w:rsidRDefault="005F10CD" w:rsidP="005F10CD">
      <w:pPr>
        <w:autoSpaceDE w:val="0"/>
        <w:autoSpaceDN w:val="0"/>
        <w:adjustRightInd w:val="0"/>
        <w:ind w:left="426"/>
        <w:rPr>
          <w:rFonts w:cs="Arial"/>
          <w:sz w:val="18"/>
          <w:szCs w:val="18"/>
          <w:highlight w:val="lightGray"/>
          <w:u w:val="single"/>
        </w:rPr>
      </w:pPr>
    </w:p>
    <w:p w14:paraId="43207FCA" w14:textId="2244F6DE" w:rsidR="005F10CD" w:rsidRDefault="005F10CD" w:rsidP="008C2005">
      <w:pPr>
        <w:autoSpaceDE w:val="0"/>
        <w:autoSpaceDN w:val="0"/>
        <w:adjustRightInd w:val="0"/>
        <w:ind w:left="426" w:firstLine="283"/>
        <w:rPr>
          <w:rFonts w:cs="Arial"/>
          <w:sz w:val="18"/>
          <w:szCs w:val="18"/>
        </w:rPr>
      </w:pPr>
      <w:r w:rsidRPr="00670497">
        <w:rPr>
          <w:rFonts w:cs="Arial"/>
          <w:sz w:val="18"/>
          <w:szCs w:val="18"/>
          <w:highlight w:val="lightGray"/>
          <w:u w:val="single"/>
        </w:rPr>
        <w:t>(j)</w:t>
      </w:r>
      <w:r w:rsidRPr="00670497">
        <w:rPr>
          <w:rFonts w:cs="Arial"/>
          <w:sz w:val="18"/>
          <w:szCs w:val="18"/>
          <w:highlight w:val="lightGray"/>
          <w:u w:val="single"/>
        </w:rPr>
        <w:tab/>
        <w:t>Die Verwendung molekularer Marker ist artspezifisch und sollte die Besonderheiten der Vermehrung der Art berücksichtigen.</w:t>
      </w:r>
      <w:r w:rsidRPr="00670497">
        <w:rPr>
          <w:rFonts w:cs="Arial"/>
          <w:sz w:val="18"/>
          <w:szCs w:val="18"/>
          <w:highlight w:val="lightGray"/>
        </w:rPr>
        <w:t>“</w:t>
      </w:r>
    </w:p>
    <w:p w14:paraId="50D353C1" w14:textId="77777777" w:rsidR="005F10CD" w:rsidRDefault="005F10CD" w:rsidP="005F10CD">
      <w:pPr>
        <w:autoSpaceDE w:val="0"/>
        <w:autoSpaceDN w:val="0"/>
        <w:adjustRightInd w:val="0"/>
        <w:rPr>
          <w:rFonts w:cs="Arial"/>
        </w:rPr>
      </w:pPr>
    </w:p>
    <w:p w14:paraId="5640F81E"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Abschnitt</w:t>
      </w:r>
      <w:r w:rsidR="00D42510" w:rsidRPr="00D42510">
        <w:rPr>
          <w:rFonts w:cs="Arial"/>
          <w:i/>
          <w:iCs/>
        </w:rPr>
        <w:t xml:space="preserve"> </w:t>
      </w:r>
      <w:r w:rsidRPr="00D42510">
        <w:rPr>
          <w:rFonts w:cs="Arial"/>
          <w:i/>
          <w:iCs/>
        </w:rPr>
        <w:t>2.2</w:t>
      </w:r>
      <w:r w:rsidRPr="00D42510">
        <w:rPr>
          <w:rFonts w:cs="Arial"/>
          <w:i/>
          <w:iCs/>
        </w:rPr>
        <w:tab/>
        <w:t>Kriterien für spezifische Typen von molekularen Markern</w:t>
      </w:r>
    </w:p>
    <w:p w14:paraId="157B6B0C" w14:textId="3DC69452"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derzeitigen Abschnitt 2.2 aus dem Dokument UPOV/INF/17/1 zu streichen</w:t>
      </w:r>
    </w:p>
    <w:p w14:paraId="3AC65E29" w14:textId="77777777" w:rsidR="005F10CD" w:rsidRPr="00D42510" w:rsidRDefault="005F10CD" w:rsidP="005F10CD">
      <w:pPr>
        <w:autoSpaceDE w:val="0"/>
        <w:autoSpaceDN w:val="0"/>
        <w:adjustRightInd w:val="0"/>
        <w:rPr>
          <w:rFonts w:cs="Arial"/>
        </w:rPr>
      </w:pPr>
    </w:p>
    <w:p w14:paraId="67172A93"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2.1   Methoden der DNS-Profilierung – allgemeine Aspekte</w:t>
      </w:r>
    </w:p>
    <w:p w14:paraId="7EC947E1" w14:textId="52CB92B9"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im Anschluß an den neuen Abschnitt 2 „Auswahl der Detektionsmethode“ den neuen Abschnitt 2.1 mit folgendem Wortlaut hinzuzufügen:</w:t>
      </w:r>
    </w:p>
    <w:p w14:paraId="0AD773F5" w14:textId="77777777" w:rsidR="005F10CD" w:rsidRDefault="005F10CD" w:rsidP="005F10CD">
      <w:pPr>
        <w:autoSpaceDE w:val="0"/>
        <w:autoSpaceDN w:val="0"/>
        <w:adjustRightInd w:val="0"/>
        <w:rPr>
          <w:rFonts w:cs="Arial"/>
        </w:rPr>
      </w:pPr>
    </w:p>
    <w:p w14:paraId="0688432B" w14:textId="77777777" w:rsidR="005F10CD" w:rsidRDefault="005F10CD" w:rsidP="005F10CD">
      <w:pPr>
        <w:keepNext/>
        <w:autoSpaceDE w:val="0"/>
        <w:autoSpaceDN w:val="0"/>
        <w:adjustRightInd w:val="0"/>
        <w:ind w:left="426"/>
        <w:rPr>
          <w:rFonts w:cs="Arial"/>
          <w:i/>
          <w:iCs/>
          <w:sz w:val="18"/>
          <w:szCs w:val="18"/>
        </w:rPr>
      </w:pPr>
      <w:r>
        <w:rPr>
          <w:rFonts w:cs="Arial"/>
          <w:i/>
          <w:iCs/>
        </w:rPr>
        <w:t>„</w:t>
      </w:r>
      <w:r>
        <w:rPr>
          <w:rFonts w:cs="Arial"/>
          <w:i/>
          <w:iCs/>
          <w:sz w:val="18"/>
          <w:szCs w:val="18"/>
        </w:rPr>
        <w:t>2.1   DNS-Profilierungsverfahren – allgemeine Überlegungen </w:t>
      </w:r>
    </w:p>
    <w:p w14:paraId="34856ED6" w14:textId="77777777" w:rsidR="005F10CD" w:rsidRDefault="005F10CD" w:rsidP="005F10CD">
      <w:pPr>
        <w:autoSpaceDE w:val="0"/>
        <w:autoSpaceDN w:val="0"/>
        <w:adjustRightInd w:val="0"/>
        <w:ind w:left="426"/>
        <w:rPr>
          <w:rFonts w:cs="Arial"/>
          <w:sz w:val="18"/>
          <w:szCs w:val="18"/>
        </w:rPr>
      </w:pPr>
    </w:p>
    <w:p w14:paraId="7DF9D3A4" w14:textId="77777777" w:rsidR="005F10CD" w:rsidRDefault="005F10CD" w:rsidP="005F10CD">
      <w:pPr>
        <w:autoSpaceDE w:val="0"/>
        <w:autoSpaceDN w:val="0"/>
        <w:adjustRightInd w:val="0"/>
        <w:ind w:left="426"/>
        <w:rPr>
          <w:rFonts w:cs="Arial"/>
          <w:sz w:val="18"/>
          <w:szCs w:val="18"/>
        </w:rPr>
      </w:pPr>
      <w:r>
        <w:rPr>
          <w:rFonts w:cs="Arial"/>
          <w:sz w:val="18"/>
          <w:szCs w:val="18"/>
        </w:rPr>
        <w:t>„2.1.1</w:t>
      </w:r>
      <w:r>
        <w:rPr>
          <w:rFonts w:cs="Arial"/>
          <w:sz w:val="18"/>
          <w:szCs w:val="18"/>
        </w:rPr>
        <w:tab/>
        <w:t xml:space="preserve">Wichtige Überlegungen zur Wahl eines DNS-Profilierungsverfahrens zur Gewinnung hochwertiger molekularer Daten sind: </w:t>
      </w:r>
    </w:p>
    <w:p w14:paraId="74393ADA" w14:textId="77777777" w:rsidR="005F10CD" w:rsidRDefault="005F10CD" w:rsidP="005F10CD">
      <w:pPr>
        <w:autoSpaceDE w:val="0"/>
        <w:autoSpaceDN w:val="0"/>
        <w:adjustRightInd w:val="0"/>
        <w:ind w:left="426"/>
        <w:rPr>
          <w:rFonts w:cs="Arial"/>
          <w:sz w:val="18"/>
          <w:szCs w:val="18"/>
        </w:rPr>
      </w:pPr>
    </w:p>
    <w:p w14:paraId="5293BC33" w14:textId="77777777" w:rsidR="005F10CD" w:rsidRDefault="005F10CD" w:rsidP="00D42510">
      <w:pPr>
        <w:autoSpaceDE w:val="0"/>
        <w:autoSpaceDN w:val="0"/>
        <w:adjustRightInd w:val="0"/>
        <w:ind w:left="709" w:hanging="283"/>
        <w:rPr>
          <w:rFonts w:cs="Arial"/>
          <w:sz w:val="18"/>
          <w:szCs w:val="18"/>
        </w:rPr>
      </w:pPr>
      <w:r>
        <w:rPr>
          <w:rFonts w:cs="Arial"/>
          <w:sz w:val="18"/>
          <w:szCs w:val="18"/>
        </w:rPr>
        <w:t>a)</w:t>
      </w:r>
      <w:r>
        <w:rPr>
          <w:rFonts w:cs="Arial"/>
          <w:sz w:val="18"/>
          <w:szCs w:val="18"/>
        </w:rPr>
        <w:tab/>
        <w:t xml:space="preserve">Reproduzierbarkeit der Datengenerierung in den Laboren und Detektionsplattformen sowie zwischen diesen (unterschiedliche Arten von Ausrüstung); </w:t>
      </w:r>
    </w:p>
    <w:p w14:paraId="08A7C5E0" w14:textId="77777777" w:rsidR="005F10CD" w:rsidRDefault="005F10CD" w:rsidP="005F10CD">
      <w:pPr>
        <w:autoSpaceDE w:val="0"/>
        <w:autoSpaceDN w:val="0"/>
        <w:adjustRightInd w:val="0"/>
        <w:ind w:left="426"/>
        <w:rPr>
          <w:rFonts w:cs="Arial"/>
          <w:sz w:val="18"/>
          <w:szCs w:val="18"/>
        </w:rPr>
      </w:pPr>
      <w:r>
        <w:rPr>
          <w:rFonts w:cs="Arial"/>
          <w:sz w:val="18"/>
          <w:szCs w:val="18"/>
        </w:rPr>
        <w:t>b)</w:t>
      </w:r>
      <w:r>
        <w:rPr>
          <w:rFonts w:cs="Arial"/>
          <w:sz w:val="18"/>
          <w:szCs w:val="18"/>
        </w:rPr>
        <w:tab/>
        <w:t xml:space="preserve">Wiederholbarkeit im Zeitablauf; </w:t>
      </w:r>
    </w:p>
    <w:p w14:paraId="275ED195" w14:textId="77777777" w:rsidR="005F10CD" w:rsidRDefault="005F10CD" w:rsidP="005F10CD">
      <w:pPr>
        <w:autoSpaceDE w:val="0"/>
        <w:autoSpaceDN w:val="0"/>
        <w:adjustRightInd w:val="0"/>
        <w:ind w:left="426"/>
        <w:rPr>
          <w:rFonts w:cs="Arial"/>
          <w:sz w:val="18"/>
          <w:szCs w:val="18"/>
        </w:rPr>
      </w:pPr>
      <w:r>
        <w:rPr>
          <w:rFonts w:cs="Arial"/>
          <w:sz w:val="18"/>
          <w:szCs w:val="18"/>
        </w:rPr>
        <w:t>c)</w:t>
      </w:r>
      <w:r>
        <w:rPr>
          <w:rFonts w:cs="Arial"/>
          <w:sz w:val="18"/>
          <w:szCs w:val="18"/>
        </w:rPr>
        <w:tab/>
        <w:t xml:space="preserve">Unterscheidungskraft des Verfahrens; </w:t>
      </w:r>
    </w:p>
    <w:p w14:paraId="7B9B053C" w14:textId="77777777" w:rsidR="005F10CD" w:rsidRDefault="005F10CD" w:rsidP="005F10CD">
      <w:pPr>
        <w:autoSpaceDE w:val="0"/>
        <w:autoSpaceDN w:val="0"/>
        <w:adjustRightInd w:val="0"/>
        <w:ind w:left="426"/>
        <w:rPr>
          <w:rFonts w:cs="Arial"/>
          <w:sz w:val="18"/>
          <w:szCs w:val="18"/>
        </w:rPr>
      </w:pPr>
      <w:r>
        <w:rPr>
          <w:rFonts w:cs="Arial"/>
          <w:sz w:val="18"/>
          <w:szCs w:val="18"/>
        </w:rPr>
        <w:t>d)</w:t>
      </w:r>
      <w:r>
        <w:rPr>
          <w:rFonts w:cs="Arial"/>
          <w:sz w:val="18"/>
          <w:szCs w:val="18"/>
        </w:rPr>
        <w:tab/>
        <w:t>Zeit- und Arbeitsintensität des Verfahrens;</w:t>
      </w:r>
    </w:p>
    <w:p w14:paraId="0524D346" w14:textId="77777777" w:rsidR="005F10CD" w:rsidRDefault="005F10CD" w:rsidP="00D42510">
      <w:pPr>
        <w:autoSpaceDE w:val="0"/>
        <w:autoSpaceDN w:val="0"/>
        <w:adjustRightInd w:val="0"/>
        <w:ind w:left="709" w:hanging="283"/>
        <w:rPr>
          <w:rFonts w:cs="Arial"/>
          <w:sz w:val="18"/>
          <w:szCs w:val="18"/>
        </w:rPr>
      </w:pPr>
      <w:r>
        <w:rPr>
          <w:rFonts w:cs="Arial"/>
          <w:sz w:val="18"/>
          <w:szCs w:val="18"/>
        </w:rPr>
        <w:t>e)</w:t>
      </w:r>
      <w:r>
        <w:rPr>
          <w:rFonts w:cs="Arial"/>
          <w:sz w:val="18"/>
          <w:szCs w:val="18"/>
        </w:rPr>
        <w:tab/>
        <w:t>Belastbarkeit hinsichtlich der zeitlichen Gegebenheiten und der Bedingungen (Empfindlichkeit gegenüber subtilen Änderungen von Ablauf oder Bedingungen);</w:t>
      </w:r>
    </w:p>
    <w:p w14:paraId="70C9DD4C" w14:textId="77777777" w:rsidR="005F10CD" w:rsidRDefault="005F10CD" w:rsidP="005F10CD">
      <w:pPr>
        <w:autoSpaceDE w:val="0"/>
        <w:autoSpaceDN w:val="0"/>
        <w:adjustRightInd w:val="0"/>
        <w:ind w:left="426"/>
        <w:rPr>
          <w:rFonts w:cs="Arial"/>
          <w:sz w:val="18"/>
          <w:szCs w:val="18"/>
        </w:rPr>
      </w:pPr>
      <w:r>
        <w:rPr>
          <w:rFonts w:cs="Arial"/>
          <w:sz w:val="18"/>
          <w:szCs w:val="18"/>
        </w:rPr>
        <w:t>f)</w:t>
      </w:r>
      <w:r>
        <w:rPr>
          <w:rFonts w:cs="Arial"/>
          <w:sz w:val="18"/>
          <w:szCs w:val="18"/>
        </w:rPr>
        <w:tab/>
        <w:t>Flexibilität des Verfahrens; Möglichkeit , die Anzahl der Proben und/oder der Marker zu variieren;</w:t>
      </w:r>
    </w:p>
    <w:p w14:paraId="0B3BA7A5" w14:textId="77777777" w:rsidR="005F10CD" w:rsidRDefault="005F10CD" w:rsidP="005F10CD">
      <w:pPr>
        <w:autoSpaceDE w:val="0"/>
        <w:autoSpaceDN w:val="0"/>
        <w:adjustRightInd w:val="0"/>
        <w:ind w:left="426"/>
        <w:rPr>
          <w:rFonts w:cs="Arial"/>
          <w:sz w:val="18"/>
          <w:szCs w:val="18"/>
        </w:rPr>
      </w:pPr>
      <w:r>
        <w:rPr>
          <w:rFonts w:cs="Arial"/>
          <w:sz w:val="18"/>
          <w:szCs w:val="18"/>
        </w:rPr>
        <w:t>g)</w:t>
      </w:r>
      <w:r>
        <w:rPr>
          <w:rFonts w:cs="Arial"/>
          <w:sz w:val="18"/>
          <w:szCs w:val="18"/>
        </w:rPr>
        <w:tab/>
        <w:t>Auswertung der Daten ist von der Ausrüstung unabhängig;</w:t>
      </w:r>
    </w:p>
    <w:p w14:paraId="0A9B2250" w14:textId="77777777" w:rsidR="005F10CD" w:rsidRDefault="005F10CD" w:rsidP="005F10CD">
      <w:pPr>
        <w:autoSpaceDE w:val="0"/>
        <w:autoSpaceDN w:val="0"/>
        <w:adjustRightInd w:val="0"/>
        <w:ind w:left="426"/>
        <w:rPr>
          <w:rFonts w:cs="Arial"/>
          <w:sz w:val="18"/>
          <w:szCs w:val="18"/>
        </w:rPr>
      </w:pPr>
      <w:r>
        <w:rPr>
          <w:rFonts w:cs="Arial"/>
          <w:sz w:val="18"/>
          <w:szCs w:val="18"/>
        </w:rPr>
        <w:t>h)</w:t>
      </w:r>
      <w:r>
        <w:rPr>
          <w:rFonts w:cs="Arial"/>
          <w:sz w:val="18"/>
          <w:szCs w:val="18"/>
        </w:rPr>
        <w:tab/>
        <w:t xml:space="preserve">Nachhaltigkeit der Datenbanken; </w:t>
      </w:r>
    </w:p>
    <w:p w14:paraId="7C800178" w14:textId="77777777" w:rsidR="005F10CD" w:rsidRDefault="005F10CD" w:rsidP="005F10CD">
      <w:pPr>
        <w:autoSpaceDE w:val="0"/>
        <w:autoSpaceDN w:val="0"/>
        <w:adjustRightInd w:val="0"/>
        <w:ind w:left="426"/>
        <w:rPr>
          <w:rFonts w:cs="Arial"/>
          <w:sz w:val="18"/>
          <w:szCs w:val="18"/>
        </w:rPr>
      </w:pPr>
      <w:r>
        <w:rPr>
          <w:rFonts w:cs="Arial"/>
          <w:sz w:val="18"/>
          <w:szCs w:val="18"/>
        </w:rPr>
        <w:t>i)</w:t>
      </w:r>
      <w:r>
        <w:rPr>
          <w:rFonts w:cs="Arial"/>
          <w:sz w:val="18"/>
          <w:szCs w:val="18"/>
        </w:rPr>
        <w:tab/>
        <w:t xml:space="preserve">Zugänglichkeit der Methodik;  </w:t>
      </w:r>
    </w:p>
    <w:p w14:paraId="55C55174" w14:textId="77777777" w:rsidR="005F10CD" w:rsidRDefault="005F10CD" w:rsidP="005F10CD">
      <w:pPr>
        <w:autoSpaceDE w:val="0"/>
        <w:autoSpaceDN w:val="0"/>
        <w:adjustRightInd w:val="0"/>
        <w:ind w:left="426"/>
        <w:rPr>
          <w:rFonts w:cs="Arial"/>
          <w:sz w:val="18"/>
          <w:szCs w:val="18"/>
        </w:rPr>
      </w:pPr>
      <w:r>
        <w:rPr>
          <w:rFonts w:cs="Arial"/>
          <w:sz w:val="18"/>
          <w:szCs w:val="18"/>
        </w:rPr>
        <w:t>j)</w:t>
      </w:r>
      <w:r>
        <w:rPr>
          <w:rFonts w:cs="Arial"/>
          <w:sz w:val="18"/>
          <w:szCs w:val="18"/>
        </w:rPr>
        <w:tab/>
        <w:t xml:space="preserve">nicht abhängig von besonderen Maschinen, Chemikalien, Zulieferern, Partnern oder Produkten;  </w:t>
      </w:r>
    </w:p>
    <w:p w14:paraId="0DD2A889" w14:textId="77777777" w:rsidR="005F10CD" w:rsidRDefault="005F10CD" w:rsidP="005F10CD">
      <w:pPr>
        <w:autoSpaceDE w:val="0"/>
        <w:autoSpaceDN w:val="0"/>
        <w:adjustRightInd w:val="0"/>
        <w:ind w:left="426"/>
        <w:rPr>
          <w:rFonts w:cs="Arial"/>
          <w:sz w:val="18"/>
          <w:szCs w:val="18"/>
        </w:rPr>
      </w:pPr>
      <w:r>
        <w:rPr>
          <w:rFonts w:cs="Arial"/>
          <w:sz w:val="18"/>
          <w:szCs w:val="18"/>
        </w:rPr>
        <w:t>k)</w:t>
      </w:r>
      <w:r>
        <w:rPr>
          <w:rFonts w:cs="Arial"/>
          <w:sz w:val="18"/>
          <w:szCs w:val="18"/>
        </w:rPr>
        <w:tab/>
        <w:t>zur Automatisierung geeignet;</w:t>
      </w:r>
    </w:p>
    <w:p w14:paraId="659837A1" w14:textId="77777777" w:rsidR="005F10CD" w:rsidRDefault="005F10CD" w:rsidP="005F10CD">
      <w:pPr>
        <w:autoSpaceDE w:val="0"/>
        <w:autoSpaceDN w:val="0"/>
        <w:adjustRightInd w:val="0"/>
        <w:ind w:left="426"/>
        <w:rPr>
          <w:rFonts w:cs="Arial"/>
          <w:sz w:val="18"/>
          <w:szCs w:val="18"/>
        </w:rPr>
      </w:pPr>
      <w:r>
        <w:rPr>
          <w:rFonts w:cs="Arial"/>
          <w:sz w:val="18"/>
          <w:szCs w:val="18"/>
        </w:rPr>
        <w:t>l)</w:t>
      </w:r>
      <w:r>
        <w:rPr>
          <w:rFonts w:cs="Arial"/>
          <w:sz w:val="18"/>
          <w:szCs w:val="18"/>
        </w:rPr>
        <w:tab/>
        <w:t xml:space="preserve">für Multiplexing geeignet; und </w:t>
      </w:r>
    </w:p>
    <w:p w14:paraId="1B9B0D9B" w14:textId="77777777" w:rsidR="005F10CD" w:rsidRDefault="005F10CD" w:rsidP="005F10CD">
      <w:pPr>
        <w:autoSpaceDE w:val="0"/>
        <w:autoSpaceDN w:val="0"/>
        <w:adjustRightInd w:val="0"/>
        <w:ind w:left="426"/>
        <w:rPr>
          <w:rFonts w:cs="Arial"/>
          <w:sz w:val="18"/>
          <w:szCs w:val="18"/>
        </w:rPr>
      </w:pPr>
      <w:r>
        <w:rPr>
          <w:rFonts w:cs="Arial"/>
          <w:sz w:val="18"/>
          <w:szCs w:val="18"/>
        </w:rPr>
        <w:t>m)</w:t>
      </w:r>
      <w:r>
        <w:rPr>
          <w:rFonts w:cs="Arial"/>
          <w:sz w:val="18"/>
          <w:szCs w:val="18"/>
        </w:rPr>
        <w:tab/>
        <w:t>kostengünstig; Kosten, Zahl der Proben und Zahl der Marker stehen zueinander im Verhältnis.“</w:t>
      </w:r>
    </w:p>
    <w:p w14:paraId="2665BF4A" w14:textId="77777777" w:rsidR="005F10CD" w:rsidRDefault="005F10CD" w:rsidP="005F10CD">
      <w:pPr>
        <w:autoSpaceDE w:val="0"/>
        <w:autoSpaceDN w:val="0"/>
        <w:adjustRightInd w:val="0"/>
        <w:rPr>
          <w:rFonts w:cs="Arial"/>
        </w:rPr>
      </w:pPr>
    </w:p>
    <w:p w14:paraId="28683467" w14:textId="77777777" w:rsidR="005F10CD" w:rsidRDefault="005F10CD" w:rsidP="005F10CD">
      <w:pPr>
        <w:autoSpaceDE w:val="0"/>
        <w:autoSpaceDN w:val="0"/>
        <w:adjustRightInd w:val="0"/>
        <w:rPr>
          <w:rFonts w:cs="Arial"/>
        </w:rPr>
      </w:pPr>
    </w:p>
    <w:p w14:paraId="40AF27F0"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3.   Validierung und Harmonisierung von Markersatz und Detektionsmethode</w:t>
      </w:r>
    </w:p>
    <w:p w14:paraId="1A9BF7D5" w14:textId="2DDDDD2B"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neuen Abschnitt 3 mit folgendem Wortlaut hinzuzufügen:</w:t>
      </w:r>
    </w:p>
    <w:p w14:paraId="6C7F7174" w14:textId="77777777" w:rsidR="005F10CD" w:rsidRDefault="005F10CD" w:rsidP="005F10CD">
      <w:pPr>
        <w:autoSpaceDE w:val="0"/>
        <w:autoSpaceDN w:val="0"/>
        <w:adjustRightInd w:val="0"/>
        <w:rPr>
          <w:rFonts w:cs="Arial"/>
        </w:rPr>
      </w:pPr>
    </w:p>
    <w:p w14:paraId="70306F7D" w14:textId="77777777" w:rsidR="005F10CD" w:rsidRDefault="005F10CD" w:rsidP="005F10CD">
      <w:pPr>
        <w:keepNext/>
        <w:autoSpaceDE w:val="0"/>
        <w:autoSpaceDN w:val="0"/>
        <w:adjustRightInd w:val="0"/>
        <w:ind w:left="993" w:hanging="567"/>
        <w:rPr>
          <w:rFonts w:cs="Arial"/>
          <w:i/>
          <w:iCs/>
          <w:sz w:val="18"/>
          <w:szCs w:val="18"/>
        </w:rPr>
      </w:pPr>
      <w:r>
        <w:rPr>
          <w:rFonts w:cs="Arial"/>
          <w:i/>
          <w:iCs/>
          <w:sz w:val="18"/>
          <w:szCs w:val="18"/>
        </w:rPr>
        <w:t xml:space="preserve"> „3.1</w:t>
      </w:r>
      <w:r>
        <w:rPr>
          <w:rFonts w:cs="Arial"/>
          <w:i/>
          <w:iCs/>
          <w:sz w:val="18"/>
          <w:szCs w:val="18"/>
        </w:rPr>
        <w:tab/>
        <w:t>Validierung und Harmonisierung – allgemeine Überlegungen</w:t>
      </w:r>
    </w:p>
    <w:p w14:paraId="0D321476" w14:textId="77777777" w:rsidR="005F10CD" w:rsidRDefault="005F10CD" w:rsidP="005F10CD">
      <w:pPr>
        <w:autoSpaceDE w:val="0"/>
        <w:autoSpaceDN w:val="0"/>
        <w:adjustRightInd w:val="0"/>
        <w:ind w:left="993"/>
        <w:rPr>
          <w:rFonts w:cs="Arial"/>
          <w:sz w:val="18"/>
          <w:szCs w:val="18"/>
        </w:rPr>
      </w:pPr>
    </w:p>
    <w:p w14:paraId="5547A4B2" w14:textId="77777777" w:rsidR="005F10CD" w:rsidRDefault="005F10CD" w:rsidP="005F10CD">
      <w:pPr>
        <w:autoSpaceDE w:val="0"/>
        <w:autoSpaceDN w:val="0"/>
        <w:adjustRightInd w:val="0"/>
        <w:ind w:left="993"/>
        <w:rPr>
          <w:rFonts w:cs="Arial"/>
          <w:sz w:val="18"/>
          <w:szCs w:val="18"/>
        </w:rPr>
      </w:pPr>
      <w:r>
        <w:rPr>
          <w:rFonts w:cs="Arial"/>
          <w:sz w:val="18"/>
          <w:szCs w:val="18"/>
        </w:rPr>
        <w:t>Die Beschreibung der Auswahl molekularer Marker und der Detektionsmethode erfolgt leistungsbasiert: die Marker und Methoden müssen solide sein und zu konsistenten DNS-Profilen führen. Die Leistung der molekularen Marker und der Verfahren zur Genotypisierung wird im Rahmen des Validierungsprozesses evaluiert. Bei gemeinsamen Datenbanken wird die Übereinstimmung der DNS-Profile im Rahmen des Harmonisierungsprozesses in verschiedenen Laboren evaluiert, wobei unterschiedliche Ausrüstungen und Chemikalien verwendet werden. Die Verwendung validierter Marker und Verfahren wird zu harmonisierten Ergebnissen führen. </w:t>
      </w:r>
    </w:p>
    <w:p w14:paraId="3886127D" w14:textId="77777777" w:rsidR="005F10CD" w:rsidRDefault="005F10CD" w:rsidP="005F10CD">
      <w:pPr>
        <w:autoSpaceDE w:val="0"/>
        <w:autoSpaceDN w:val="0"/>
        <w:adjustRightInd w:val="0"/>
        <w:ind w:left="993"/>
        <w:rPr>
          <w:rFonts w:cs="Arial"/>
          <w:sz w:val="18"/>
          <w:szCs w:val="18"/>
        </w:rPr>
      </w:pPr>
      <w:r>
        <w:rPr>
          <w:rFonts w:cs="Arial"/>
          <w:sz w:val="18"/>
          <w:szCs w:val="18"/>
        </w:rPr>
        <w:t xml:space="preserve"> </w:t>
      </w:r>
    </w:p>
    <w:p w14:paraId="0A800660" w14:textId="77777777" w:rsidR="005F10CD" w:rsidRDefault="005F10CD" w:rsidP="005F10CD">
      <w:pPr>
        <w:keepNext/>
        <w:autoSpaceDE w:val="0"/>
        <w:autoSpaceDN w:val="0"/>
        <w:adjustRightInd w:val="0"/>
        <w:ind w:left="993" w:hanging="567"/>
        <w:rPr>
          <w:rFonts w:cs="Arial"/>
          <w:i/>
          <w:iCs/>
          <w:sz w:val="18"/>
          <w:szCs w:val="18"/>
        </w:rPr>
      </w:pPr>
      <w:r>
        <w:rPr>
          <w:rFonts w:cs="Arial"/>
          <w:i/>
          <w:iCs/>
          <w:sz w:val="18"/>
          <w:szCs w:val="18"/>
        </w:rPr>
        <w:t xml:space="preserve"> „3.2</w:t>
      </w:r>
      <w:r>
        <w:rPr>
          <w:rFonts w:cs="Arial"/>
          <w:i/>
          <w:iCs/>
          <w:sz w:val="18"/>
          <w:szCs w:val="18"/>
        </w:rPr>
        <w:tab/>
        <w:t>Leistungsaspekte – Validierung von Markern und Verfahren</w:t>
      </w:r>
    </w:p>
    <w:p w14:paraId="6C8156DB" w14:textId="77777777" w:rsidR="005F10CD" w:rsidRDefault="005F10CD" w:rsidP="005F10CD">
      <w:pPr>
        <w:autoSpaceDE w:val="0"/>
        <w:autoSpaceDN w:val="0"/>
        <w:adjustRightInd w:val="0"/>
        <w:ind w:left="993"/>
        <w:rPr>
          <w:rFonts w:cs="Arial"/>
          <w:sz w:val="18"/>
          <w:szCs w:val="18"/>
        </w:rPr>
      </w:pPr>
    </w:p>
    <w:p w14:paraId="38EE026D" w14:textId="77777777" w:rsidR="005F10CD" w:rsidRDefault="005F10CD" w:rsidP="005F10CD">
      <w:pPr>
        <w:autoSpaceDE w:val="0"/>
        <w:autoSpaceDN w:val="0"/>
        <w:adjustRightInd w:val="0"/>
        <w:ind w:left="993"/>
        <w:rPr>
          <w:rFonts w:cs="Arial"/>
          <w:sz w:val="18"/>
          <w:szCs w:val="18"/>
        </w:rPr>
      </w:pPr>
      <w:r>
        <w:rPr>
          <w:rFonts w:cs="Arial"/>
          <w:sz w:val="18"/>
          <w:szCs w:val="18"/>
        </w:rPr>
        <w:t>Es muß festgestellt werden, wie gut der ausgewählte Markersatz  geeignet ist (Zweckmäßigkeit). Die Genauigkeit muß gemessen werden. Um die Eignung eines Verfahrens oder DNS-Markersatzes festzustellen, sind diverse Punkte zu berücksichtigen:</w:t>
      </w:r>
    </w:p>
    <w:p w14:paraId="1DDFD49C" w14:textId="77777777" w:rsidR="005F10CD" w:rsidRDefault="005F10CD" w:rsidP="005F10CD">
      <w:pPr>
        <w:autoSpaceDE w:val="0"/>
        <w:autoSpaceDN w:val="0"/>
        <w:adjustRightInd w:val="0"/>
        <w:ind w:left="993"/>
        <w:rPr>
          <w:rFonts w:cs="Arial"/>
          <w:sz w:val="18"/>
          <w:szCs w:val="18"/>
        </w:rPr>
      </w:pPr>
    </w:p>
    <w:p w14:paraId="2EEC2350" w14:textId="77777777" w:rsidR="005F10CD" w:rsidRDefault="005F10CD" w:rsidP="005F10CD">
      <w:pPr>
        <w:autoSpaceDE w:val="0"/>
        <w:autoSpaceDN w:val="0"/>
        <w:adjustRightInd w:val="0"/>
        <w:ind w:left="993" w:firstLine="567"/>
        <w:rPr>
          <w:rFonts w:cs="Arial"/>
          <w:sz w:val="18"/>
          <w:szCs w:val="18"/>
        </w:rPr>
      </w:pPr>
      <w:r>
        <w:rPr>
          <w:rFonts w:cs="Arial"/>
          <w:sz w:val="18"/>
          <w:szCs w:val="18"/>
        </w:rPr>
        <w:t>a)</w:t>
      </w:r>
      <w:r>
        <w:rPr>
          <w:rFonts w:cs="Arial"/>
          <w:sz w:val="18"/>
          <w:szCs w:val="18"/>
        </w:rPr>
        <w:tab/>
        <w:t>Unterscheidungsvermögen/Informativität;</w:t>
      </w:r>
    </w:p>
    <w:p w14:paraId="34138835" w14:textId="77777777" w:rsidR="005F10CD" w:rsidRDefault="005F10CD" w:rsidP="005F10CD">
      <w:pPr>
        <w:autoSpaceDE w:val="0"/>
        <w:autoSpaceDN w:val="0"/>
        <w:adjustRightInd w:val="0"/>
        <w:ind w:left="993" w:firstLine="567"/>
        <w:rPr>
          <w:rFonts w:cs="Arial"/>
          <w:sz w:val="18"/>
          <w:szCs w:val="18"/>
        </w:rPr>
      </w:pPr>
      <w:r>
        <w:rPr>
          <w:rFonts w:cs="Arial"/>
          <w:sz w:val="18"/>
          <w:szCs w:val="18"/>
        </w:rPr>
        <w:t>b)</w:t>
      </w:r>
      <w:r>
        <w:rPr>
          <w:rFonts w:cs="Arial"/>
          <w:sz w:val="18"/>
          <w:szCs w:val="18"/>
        </w:rPr>
        <w:tab/>
        <w:t xml:space="preserve">Wiederholbarkeit; </w:t>
      </w:r>
    </w:p>
    <w:p w14:paraId="6C5D326B" w14:textId="77777777" w:rsidR="005F10CD" w:rsidRDefault="005F10CD" w:rsidP="005F10CD">
      <w:pPr>
        <w:autoSpaceDE w:val="0"/>
        <w:autoSpaceDN w:val="0"/>
        <w:adjustRightInd w:val="0"/>
        <w:ind w:left="993" w:firstLine="567"/>
        <w:rPr>
          <w:rFonts w:cs="Arial"/>
          <w:sz w:val="18"/>
          <w:szCs w:val="18"/>
        </w:rPr>
      </w:pPr>
      <w:r>
        <w:rPr>
          <w:rFonts w:cs="Arial"/>
          <w:sz w:val="18"/>
          <w:szCs w:val="18"/>
        </w:rPr>
        <w:t>c)</w:t>
      </w:r>
      <w:r>
        <w:rPr>
          <w:rFonts w:cs="Arial"/>
          <w:sz w:val="18"/>
          <w:szCs w:val="18"/>
        </w:rPr>
        <w:tab/>
        <w:t xml:space="preserve">Reproduzierbarkeit; </w:t>
      </w:r>
    </w:p>
    <w:p w14:paraId="4E64128E" w14:textId="77777777" w:rsidR="005F10CD" w:rsidRDefault="005F10CD" w:rsidP="005F10CD">
      <w:pPr>
        <w:autoSpaceDE w:val="0"/>
        <w:autoSpaceDN w:val="0"/>
        <w:adjustRightInd w:val="0"/>
        <w:ind w:left="993" w:firstLine="567"/>
        <w:rPr>
          <w:rFonts w:cs="Arial"/>
          <w:sz w:val="18"/>
          <w:szCs w:val="18"/>
        </w:rPr>
      </w:pPr>
      <w:r>
        <w:rPr>
          <w:rFonts w:cs="Arial"/>
          <w:sz w:val="18"/>
          <w:szCs w:val="18"/>
        </w:rPr>
        <w:t>d)</w:t>
      </w:r>
      <w:r>
        <w:rPr>
          <w:rFonts w:cs="Arial"/>
          <w:sz w:val="18"/>
          <w:szCs w:val="18"/>
        </w:rPr>
        <w:tab/>
        <w:t xml:space="preserve">Belastbarkeit; und </w:t>
      </w:r>
    </w:p>
    <w:p w14:paraId="7028A9C6" w14:textId="77777777" w:rsidR="005F10CD" w:rsidRDefault="005F10CD" w:rsidP="005F10CD">
      <w:pPr>
        <w:autoSpaceDE w:val="0"/>
        <w:autoSpaceDN w:val="0"/>
        <w:adjustRightInd w:val="0"/>
        <w:ind w:left="993" w:firstLine="567"/>
        <w:rPr>
          <w:rFonts w:cs="Arial"/>
          <w:sz w:val="18"/>
          <w:szCs w:val="18"/>
        </w:rPr>
      </w:pPr>
      <w:r>
        <w:rPr>
          <w:rFonts w:cs="Arial"/>
          <w:sz w:val="18"/>
          <w:szCs w:val="18"/>
        </w:rPr>
        <w:lastRenderedPageBreak/>
        <w:t>e)</w:t>
      </w:r>
      <w:r>
        <w:rPr>
          <w:rFonts w:cs="Arial"/>
          <w:sz w:val="18"/>
          <w:szCs w:val="18"/>
        </w:rPr>
        <w:tab/>
        <w:t>Fehlerquote. </w:t>
      </w:r>
    </w:p>
    <w:p w14:paraId="6306091D" w14:textId="77777777" w:rsidR="005F10CD" w:rsidRDefault="005F10CD" w:rsidP="005F10CD">
      <w:pPr>
        <w:autoSpaceDE w:val="0"/>
        <w:autoSpaceDN w:val="0"/>
        <w:adjustRightInd w:val="0"/>
        <w:ind w:left="993"/>
        <w:rPr>
          <w:rFonts w:cs="Arial"/>
          <w:sz w:val="18"/>
          <w:szCs w:val="18"/>
        </w:rPr>
      </w:pPr>
    </w:p>
    <w:p w14:paraId="799884DC" w14:textId="77777777" w:rsidR="005F10CD" w:rsidRDefault="005F10CD" w:rsidP="005F10CD">
      <w:pPr>
        <w:keepNext/>
        <w:autoSpaceDE w:val="0"/>
        <w:autoSpaceDN w:val="0"/>
        <w:adjustRightInd w:val="0"/>
        <w:ind w:left="993" w:hanging="567"/>
        <w:rPr>
          <w:rFonts w:cs="Arial"/>
          <w:i/>
          <w:iCs/>
          <w:sz w:val="18"/>
          <w:szCs w:val="18"/>
        </w:rPr>
      </w:pPr>
      <w:r>
        <w:rPr>
          <w:rFonts w:cs="Arial"/>
          <w:i/>
          <w:iCs/>
          <w:sz w:val="18"/>
          <w:szCs w:val="18"/>
        </w:rPr>
        <w:t>„3.3</w:t>
      </w:r>
      <w:r>
        <w:rPr>
          <w:rFonts w:cs="Arial"/>
          <w:i/>
          <w:iCs/>
          <w:sz w:val="18"/>
          <w:szCs w:val="18"/>
        </w:rPr>
        <w:tab/>
        <w:t>Konsistenzaspekte – Harmonisierung von Markern und Verfahren zwischen verschiedenen Laboren bei gemeinsamer Datenbank – Ringtest</w:t>
      </w:r>
    </w:p>
    <w:p w14:paraId="6B2DD844" w14:textId="77777777" w:rsidR="005F10CD" w:rsidRDefault="005F10CD" w:rsidP="005F10CD">
      <w:pPr>
        <w:autoSpaceDE w:val="0"/>
        <w:autoSpaceDN w:val="0"/>
        <w:adjustRightInd w:val="0"/>
        <w:ind w:left="993"/>
        <w:rPr>
          <w:rFonts w:cs="Arial"/>
          <w:sz w:val="18"/>
          <w:szCs w:val="18"/>
        </w:rPr>
      </w:pPr>
    </w:p>
    <w:p w14:paraId="58CE9BB8" w14:textId="77777777" w:rsidR="005F10CD" w:rsidRDefault="005F10CD" w:rsidP="005F10CD">
      <w:pPr>
        <w:autoSpaceDE w:val="0"/>
        <w:autoSpaceDN w:val="0"/>
        <w:adjustRightInd w:val="0"/>
        <w:ind w:left="993" w:hanging="567"/>
        <w:rPr>
          <w:rFonts w:cs="Arial"/>
          <w:sz w:val="18"/>
          <w:szCs w:val="18"/>
        </w:rPr>
      </w:pPr>
      <w:r>
        <w:rPr>
          <w:rFonts w:cs="Arial"/>
          <w:sz w:val="18"/>
          <w:szCs w:val="18"/>
        </w:rPr>
        <w:t xml:space="preserve">  a)</w:t>
      </w:r>
      <w:r>
        <w:rPr>
          <w:rFonts w:cs="Arial"/>
          <w:sz w:val="18"/>
          <w:szCs w:val="18"/>
        </w:rPr>
        <w:tab/>
        <w:t xml:space="preserve">Zur Prüfung der laborübergreifenden Konsistenz sollen in allen Laboren vorgegebene Referenz-Sortensammlungen, die ein breites Spektrum von Allelen abdecken, verwendet werden </w:t>
      </w:r>
    </w:p>
    <w:p w14:paraId="0938B4CB" w14:textId="77777777" w:rsidR="005F10CD" w:rsidRDefault="005F10CD" w:rsidP="005F10CD">
      <w:pPr>
        <w:autoSpaceDE w:val="0"/>
        <w:autoSpaceDN w:val="0"/>
        <w:adjustRightInd w:val="0"/>
        <w:ind w:left="993" w:hanging="567"/>
        <w:rPr>
          <w:rFonts w:cs="Arial"/>
          <w:sz w:val="18"/>
          <w:szCs w:val="18"/>
        </w:rPr>
      </w:pPr>
      <w:r>
        <w:rPr>
          <w:rFonts w:cs="Arial"/>
          <w:sz w:val="18"/>
          <w:szCs w:val="18"/>
        </w:rPr>
        <w:t xml:space="preserve"> </w:t>
      </w:r>
    </w:p>
    <w:p w14:paraId="5F7C8624" w14:textId="77777777" w:rsidR="005F10CD" w:rsidRDefault="005F10CD" w:rsidP="005F10CD">
      <w:pPr>
        <w:autoSpaceDE w:val="0"/>
        <w:autoSpaceDN w:val="0"/>
        <w:adjustRightInd w:val="0"/>
        <w:ind w:left="993" w:hanging="567"/>
        <w:rPr>
          <w:rFonts w:cs="Arial"/>
          <w:sz w:val="18"/>
          <w:szCs w:val="18"/>
        </w:rPr>
      </w:pPr>
      <w:r>
        <w:rPr>
          <w:rFonts w:cs="Arial"/>
          <w:sz w:val="18"/>
          <w:szCs w:val="18"/>
        </w:rPr>
        <w:t xml:space="preserve">  b)</w:t>
      </w:r>
      <w:r>
        <w:rPr>
          <w:rFonts w:cs="Arial"/>
          <w:sz w:val="18"/>
          <w:szCs w:val="18"/>
        </w:rPr>
        <w:tab/>
        <w:t>Duplikate, Unterproben und individuelle Exemplare einer Art zur Prüfung der Konsistenz der DNS-Profile und zur Einschätzung der Fehlerquote zwischen den Laboren</w:t>
      </w:r>
      <w:r>
        <w:rPr>
          <w:rFonts w:cs="Arial"/>
          <w:sz w:val="18"/>
          <w:szCs w:val="18"/>
        </w:rPr>
        <w:tab/>
        <w:t xml:space="preserve"> </w:t>
      </w:r>
    </w:p>
    <w:p w14:paraId="47330E56" w14:textId="77777777" w:rsidR="005F10CD" w:rsidRDefault="005F10CD" w:rsidP="005F10CD">
      <w:pPr>
        <w:autoSpaceDE w:val="0"/>
        <w:autoSpaceDN w:val="0"/>
        <w:adjustRightInd w:val="0"/>
        <w:ind w:left="993" w:hanging="567"/>
        <w:rPr>
          <w:rFonts w:cs="Arial"/>
          <w:sz w:val="18"/>
          <w:szCs w:val="18"/>
        </w:rPr>
      </w:pPr>
    </w:p>
    <w:p w14:paraId="0CB9CB5E" w14:textId="77777777" w:rsidR="005F10CD" w:rsidRDefault="005F10CD" w:rsidP="005F10CD">
      <w:pPr>
        <w:autoSpaceDE w:val="0"/>
        <w:autoSpaceDN w:val="0"/>
        <w:adjustRightInd w:val="0"/>
        <w:ind w:left="993" w:hanging="567"/>
        <w:rPr>
          <w:rFonts w:cs="Arial"/>
          <w:sz w:val="18"/>
          <w:szCs w:val="18"/>
        </w:rPr>
      </w:pPr>
      <w:r>
        <w:rPr>
          <w:rFonts w:cs="Arial"/>
          <w:sz w:val="18"/>
          <w:szCs w:val="18"/>
        </w:rPr>
        <w:t xml:space="preserve">  c)</w:t>
      </w:r>
      <w:r>
        <w:rPr>
          <w:rFonts w:cs="Arial"/>
          <w:sz w:val="18"/>
          <w:szCs w:val="18"/>
        </w:rPr>
        <w:tab/>
        <w:t xml:space="preserve">Vereinbarungen zur Auswertung molekularer Daten. Die Notwendigkeit der Erstellung eines Protokolls für die Allel-/Bandenauswertung zwischen den Laboren ist abhängig vom verwendeten Markertyp (z.B. wesentlich bei SSR-Markern, jedoch weniger bei SNP-Markern). Das Protokoll könnte sich mit der Auswertung folgender Daten  befassen: </w:t>
      </w:r>
    </w:p>
    <w:p w14:paraId="4EBB8B9F" w14:textId="77777777" w:rsidR="005F10CD" w:rsidRDefault="005F10CD" w:rsidP="005F10CD">
      <w:pPr>
        <w:autoSpaceDE w:val="0"/>
        <w:autoSpaceDN w:val="0"/>
        <w:adjustRightInd w:val="0"/>
        <w:ind w:left="993" w:firstLine="141"/>
        <w:rPr>
          <w:rFonts w:cs="Arial"/>
          <w:sz w:val="18"/>
          <w:szCs w:val="18"/>
          <w:u w:val="single"/>
        </w:rPr>
      </w:pPr>
    </w:p>
    <w:p w14:paraId="0BE82EA1" w14:textId="77777777" w:rsidR="005F10CD" w:rsidRDefault="005F10CD" w:rsidP="005F10CD">
      <w:pPr>
        <w:autoSpaceDE w:val="0"/>
        <w:autoSpaceDN w:val="0"/>
        <w:adjustRightInd w:val="0"/>
        <w:ind w:left="993" w:firstLine="141"/>
        <w:rPr>
          <w:rFonts w:cs="Arial"/>
          <w:sz w:val="18"/>
          <w:szCs w:val="18"/>
        </w:rPr>
      </w:pPr>
      <w:r>
        <w:rPr>
          <w:rFonts w:cs="Arial"/>
          <w:sz w:val="18"/>
          <w:szCs w:val="18"/>
        </w:rPr>
        <w:t>i)</w:t>
      </w:r>
      <w:r>
        <w:rPr>
          <w:rFonts w:cs="Arial"/>
          <w:sz w:val="18"/>
          <w:szCs w:val="18"/>
        </w:rPr>
        <w:tab/>
        <w:t>seltene Allele (d. h. diejenigen an einem spezifische Locus, die mit einer Häufigkeit unter einem vereinbarten Schwellenwert (in der Regel 5-10 %) in einer Population) auftreten);</w:t>
      </w:r>
    </w:p>
    <w:p w14:paraId="65517E20" w14:textId="77777777" w:rsidR="005F10CD" w:rsidRDefault="005F10CD" w:rsidP="005F10CD">
      <w:pPr>
        <w:autoSpaceDE w:val="0"/>
        <w:autoSpaceDN w:val="0"/>
        <w:adjustRightInd w:val="0"/>
        <w:ind w:left="993" w:firstLine="141"/>
        <w:rPr>
          <w:rFonts w:cs="Arial"/>
          <w:sz w:val="18"/>
          <w:szCs w:val="18"/>
        </w:rPr>
      </w:pPr>
    </w:p>
    <w:p w14:paraId="02606ED7" w14:textId="77777777" w:rsidR="005F10CD" w:rsidRDefault="005F10CD" w:rsidP="005F10CD">
      <w:pPr>
        <w:autoSpaceDE w:val="0"/>
        <w:autoSpaceDN w:val="0"/>
        <w:adjustRightInd w:val="0"/>
        <w:ind w:left="993" w:firstLine="141"/>
        <w:rPr>
          <w:rFonts w:cs="Arial"/>
          <w:sz w:val="18"/>
          <w:szCs w:val="18"/>
        </w:rPr>
      </w:pPr>
      <w:r>
        <w:rPr>
          <w:rFonts w:cs="Arial"/>
          <w:sz w:val="18"/>
          <w:szCs w:val="18"/>
        </w:rPr>
        <w:t>ii)</w:t>
      </w:r>
      <w:r>
        <w:rPr>
          <w:rFonts w:cs="Arial"/>
          <w:sz w:val="18"/>
          <w:szCs w:val="18"/>
        </w:rPr>
        <w:tab/>
        <w:t>Nullallele (ein Allel, das das Fehlen eines PCR-Produkts auf Molekularebene bewirkt);</w:t>
      </w:r>
    </w:p>
    <w:p w14:paraId="4888E015" w14:textId="77777777" w:rsidR="005F10CD" w:rsidRDefault="005F10CD" w:rsidP="005F10CD">
      <w:pPr>
        <w:autoSpaceDE w:val="0"/>
        <w:autoSpaceDN w:val="0"/>
        <w:adjustRightInd w:val="0"/>
        <w:ind w:left="993" w:firstLine="141"/>
        <w:rPr>
          <w:rFonts w:cs="Arial"/>
          <w:sz w:val="18"/>
          <w:szCs w:val="18"/>
        </w:rPr>
      </w:pPr>
      <w:r>
        <w:rPr>
          <w:rFonts w:cs="Arial"/>
          <w:sz w:val="18"/>
          <w:szCs w:val="18"/>
        </w:rPr>
        <w:t xml:space="preserve"> </w:t>
      </w:r>
    </w:p>
    <w:p w14:paraId="46096564" w14:textId="77777777" w:rsidR="005F10CD" w:rsidRDefault="005F10CD" w:rsidP="005F10CD">
      <w:pPr>
        <w:autoSpaceDE w:val="0"/>
        <w:autoSpaceDN w:val="0"/>
        <w:adjustRightInd w:val="0"/>
        <w:ind w:left="993" w:firstLine="141"/>
        <w:rPr>
          <w:rFonts w:cs="Arial"/>
          <w:sz w:val="18"/>
          <w:szCs w:val="18"/>
        </w:rPr>
      </w:pPr>
      <w:r>
        <w:rPr>
          <w:rFonts w:cs="Arial"/>
          <w:sz w:val="18"/>
          <w:szCs w:val="18"/>
        </w:rPr>
        <w:t>iii.</w:t>
      </w:r>
      <w:r>
        <w:rPr>
          <w:rFonts w:cs="Arial"/>
          <w:sz w:val="18"/>
          <w:szCs w:val="18"/>
        </w:rPr>
        <w:tab/>
        <w:t>„schwache</w:t>
      </w:r>
      <w:r w:rsidR="00670497">
        <w:rPr>
          <w:rFonts w:cs="Arial"/>
          <w:sz w:val="18"/>
          <w:szCs w:val="18"/>
        </w:rPr>
        <w:t>“</w:t>
      </w:r>
      <w:r>
        <w:rPr>
          <w:rFonts w:cs="Arial"/>
          <w:sz w:val="18"/>
          <w:szCs w:val="18"/>
        </w:rPr>
        <w:t xml:space="preserve"> Banden (d. h. Banden, bei denen die Intensität unter einen vereinbarten Schwellenwert für die Erfassung fällt, der entweder empirisch oder automatisch festgelegt wird und dessen Auswertung anfechtbar sein kann); </w:t>
      </w:r>
    </w:p>
    <w:p w14:paraId="71837D0D" w14:textId="77777777" w:rsidR="005F10CD" w:rsidRDefault="005F10CD" w:rsidP="005F10CD">
      <w:pPr>
        <w:autoSpaceDE w:val="0"/>
        <w:autoSpaceDN w:val="0"/>
        <w:adjustRightInd w:val="0"/>
        <w:ind w:left="993" w:firstLine="141"/>
        <w:rPr>
          <w:rFonts w:cs="Arial"/>
          <w:sz w:val="18"/>
          <w:szCs w:val="18"/>
        </w:rPr>
      </w:pPr>
    </w:p>
    <w:p w14:paraId="5C613FC0" w14:textId="77777777" w:rsidR="005F10CD" w:rsidRDefault="005F10CD" w:rsidP="005F10CD">
      <w:pPr>
        <w:autoSpaceDE w:val="0"/>
        <w:autoSpaceDN w:val="0"/>
        <w:adjustRightInd w:val="0"/>
        <w:ind w:left="993" w:firstLine="141"/>
        <w:rPr>
          <w:rFonts w:cs="Arial"/>
          <w:sz w:val="18"/>
          <w:szCs w:val="18"/>
        </w:rPr>
      </w:pPr>
      <w:r>
        <w:rPr>
          <w:rFonts w:cs="Arial"/>
          <w:sz w:val="18"/>
          <w:szCs w:val="18"/>
        </w:rPr>
        <w:t>iv.</w:t>
      </w:r>
      <w:r>
        <w:rPr>
          <w:rFonts w:cs="Arial"/>
          <w:sz w:val="18"/>
          <w:szCs w:val="18"/>
        </w:rPr>
        <w:tab/>
        <w:t xml:space="preserve">fehlende Daten (d. H. Loci, für die aus welchem Grund auch immer für eine oder mehrere Sorten keine Daten erfaßt wurden); und </w:t>
      </w:r>
    </w:p>
    <w:p w14:paraId="19D79579" w14:textId="77777777" w:rsidR="005F10CD" w:rsidRDefault="005F10CD" w:rsidP="005F10CD">
      <w:pPr>
        <w:autoSpaceDE w:val="0"/>
        <w:autoSpaceDN w:val="0"/>
        <w:adjustRightInd w:val="0"/>
        <w:ind w:left="993" w:firstLine="141"/>
        <w:rPr>
          <w:rFonts w:cs="Arial"/>
          <w:sz w:val="18"/>
          <w:szCs w:val="18"/>
        </w:rPr>
      </w:pPr>
    </w:p>
    <w:p w14:paraId="7E8E0BEF" w14:textId="77777777" w:rsidR="005F10CD" w:rsidRDefault="005F10CD" w:rsidP="005F10CD">
      <w:pPr>
        <w:autoSpaceDE w:val="0"/>
        <w:autoSpaceDN w:val="0"/>
        <w:adjustRightInd w:val="0"/>
        <w:ind w:left="993" w:firstLine="141"/>
        <w:rPr>
          <w:rFonts w:cs="Arial"/>
          <w:sz w:val="18"/>
          <w:szCs w:val="18"/>
          <w:u w:val="single"/>
        </w:rPr>
      </w:pPr>
      <w:r>
        <w:rPr>
          <w:rFonts w:cs="Arial"/>
          <w:sz w:val="18"/>
          <w:szCs w:val="18"/>
        </w:rPr>
        <w:t>v.</w:t>
      </w:r>
      <w:r>
        <w:rPr>
          <w:rFonts w:cs="Arial"/>
          <w:sz w:val="18"/>
          <w:szCs w:val="18"/>
        </w:rPr>
        <w:tab/>
        <w:t>monomorphe Banden oder nicht-informative Allel-Scorewerte (diejenigen Allele/Banden, die bei jeder analysierten Sorte auftreten, d. h. in einer bestimmten Sortensammlung nicht polymorph sind).“</w:t>
      </w:r>
    </w:p>
    <w:p w14:paraId="2A6CCCE2" w14:textId="77777777" w:rsidR="005F10CD" w:rsidRDefault="005F10CD" w:rsidP="005F10CD">
      <w:pPr>
        <w:autoSpaceDE w:val="0"/>
        <w:autoSpaceDN w:val="0"/>
        <w:adjustRightInd w:val="0"/>
        <w:rPr>
          <w:rFonts w:cs="Arial"/>
        </w:rPr>
      </w:pPr>
    </w:p>
    <w:p w14:paraId="2AFCB3B9" w14:textId="35A81AEB"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daß die Europäische Union, Frankreich und die Niederlande für die im neuen Abschnitt 3.2 verwendete Terminologie Begriffsbestimmungen in Form von Fußnoten ausarbeiten sollen.</w:t>
      </w:r>
    </w:p>
    <w:p w14:paraId="3B878DD5" w14:textId="77777777" w:rsidR="005F10CD" w:rsidRPr="00D42510" w:rsidRDefault="005F10CD" w:rsidP="005F10CD">
      <w:pPr>
        <w:autoSpaceDE w:val="0"/>
        <w:autoSpaceDN w:val="0"/>
        <w:adjustRightInd w:val="0"/>
        <w:rPr>
          <w:rFonts w:cs="Arial"/>
        </w:rPr>
      </w:pPr>
    </w:p>
    <w:p w14:paraId="5A59051C"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Abschnitt 5  Standardisierung von Analyseprotokollen</w:t>
      </w:r>
    </w:p>
    <w:p w14:paraId="2425F01F" w14:textId="0EBBC108"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 xml:space="preserve">Die BMT vereinbarte, Abschnitt 5 zu streichen. </w:t>
      </w:r>
    </w:p>
    <w:p w14:paraId="5E798CC8" w14:textId="77777777" w:rsidR="005F10CD" w:rsidRPr="00D42510" w:rsidRDefault="005F10CD" w:rsidP="005F10CD">
      <w:pPr>
        <w:autoSpaceDE w:val="0"/>
        <w:autoSpaceDN w:val="0"/>
        <w:adjustRightInd w:val="0"/>
        <w:rPr>
          <w:rFonts w:cs="Arial"/>
        </w:rPr>
      </w:pPr>
    </w:p>
    <w:p w14:paraId="781AC558"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4.   Aufbau einer pflanzenspezifischen Datenbank</w:t>
      </w:r>
    </w:p>
    <w:p w14:paraId="3611C85D" w14:textId="68296F2C"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neuen Abschnitt 4 mit folgendem Wortlaut hinzuzufügen:</w:t>
      </w:r>
    </w:p>
    <w:p w14:paraId="63407A50" w14:textId="77777777" w:rsidR="005F10CD" w:rsidRDefault="005F10CD" w:rsidP="005F10CD">
      <w:pPr>
        <w:autoSpaceDE w:val="0"/>
        <w:autoSpaceDN w:val="0"/>
        <w:adjustRightInd w:val="0"/>
        <w:rPr>
          <w:rFonts w:cs="Arial"/>
        </w:rPr>
      </w:pPr>
    </w:p>
    <w:p w14:paraId="3BA149CC" w14:textId="77777777" w:rsidR="005F10CD" w:rsidRDefault="005F10CD" w:rsidP="005F10CD">
      <w:pPr>
        <w:autoSpaceDE w:val="0"/>
        <w:autoSpaceDN w:val="0"/>
        <w:adjustRightInd w:val="0"/>
        <w:ind w:left="426"/>
        <w:rPr>
          <w:rFonts w:cs="Arial"/>
          <w:sz w:val="18"/>
          <w:szCs w:val="18"/>
          <w:highlight w:val="white"/>
          <w:u w:val="single"/>
        </w:rPr>
      </w:pPr>
      <w:r>
        <w:rPr>
          <w:rFonts w:cs="Arial"/>
          <w:sz w:val="18"/>
          <w:szCs w:val="18"/>
        </w:rPr>
        <w:t>„Die in einer Datenbank gespeicherten Daten sowie die Art und Weise der Speicherung sollten das datenproduzierende Verfahren widerspiegeln. Daher sollte der Aufbau einer Datenbank verschiedene Stufen der Datenproduktion berücksichtigen (d.h. Rohdaten, Sequenzdaten...). In der Datenbank sollte Folgendes gespeichert sein: 1) die Endergebnisse, d.h. das DNS-Profil ebenso wie die Art seiner Gewinnung im Sinne 2) der Verfahrensbeschreibung des Labors und 3) der Rechenschritte zur Gewinnung eines DNS-Profils.“ </w:t>
      </w:r>
      <w:r>
        <w:rPr>
          <w:rFonts w:cs="Arial"/>
          <w:sz w:val="18"/>
          <w:szCs w:val="18"/>
          <w:highlight w:val="white"/>
          <w:u w:val="single"/>
        </w:rPr>
        <w:t xml:space="preserve"> </w:t>
      </w:r>
    </w:p>
    <w:p w14:paraId="3598DED1" w14:textId="77777777" w:rsidR="005F10CD" w:rsidRDefault="005F10CD" w:rsidP="005F10CD">
      <w:pPr>
        <w:autoSpaceDE w:val="0"/>
        <w:autoSpaceDN w:val="0"/>
        <w:adjustRightInd w:val="0"/>
        <w:rPr>
          <w:rFonts w:cs="Arial"/>
        </w:rPr>
      </w:pPr>
    </w:p>
    <w:p w14:paraId="44A8CB3F"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4.1</w:t>
      </w:r>
    </w:p>
    <w:p w14:paraId="1A8A0921" w14:textId="08803362" w:rsidR="005F10CD" w:rsidRPr="00D42510" w:rsidRDefault="00162647" w:rsidP="005F10CD">
      <w:pPr>
        <w:keepNext/>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neuen Abschnitt 4.1 mit folgendem Wortlaut hinzuzufügen:</w:t>
      </w:r>
    </w:p>
    <w:p w14:paraId="3C8CF747" w14:textId="77777777" w:rsidR="005F10CD" w:rsidRPr="00D42510" w:rsidRDefault="005F10CD" w:rsidP="005F10CD">
      <w:pPr>
        <w:keepNext/>
        <w:autoSpaceDE w:val="0"/>
        <w:autoSpaceDN w:val="0"/>
        <w:adjustRightInd w:val="0"/>
        <w:ind w:left="567" w:hanging="567"/>
        <w:rPr>
          <w:rFonts w:cs="Arial"/>
          <w:i/>
          <w:iCs/>
          <w:sz w:val="16"/>
          <w:szCs w:val="18"/>
          <w:highlight w:val="white"/>
        </w:rPr>
      </w:pPr>
    </w:p>
    <w:p w14:paraId="06F732CB" w14:textId="77777777" w:rsidR="005F10CD" w:rsidRDefault="005F10CD" w:rsidP="005F10CD">
      <w:pPr>
        <w:keepNext/>
        <w:autoSpaceDE w:val="0"/>
        <w:autoSpaceDN w:val="0"/>
        <w:adjustRightInd w:val="0"/>
        <w:ind w:left="567" w:hanging="141"/>
        <w:rPr>
          <w:rFonts w:cs="Arial"/>
          <w:i/>
          <w:iCs/>
          <w:sz w:val="18"/>
          <w:szCs w:val="18"/>
          <w:highlight w:val="white"/>
        </w:rPr>
      </w:pPr>
      <w:r>
        <w:rPr>
          <w:rFonts w:cs="Arial"/>
          <w:i/>
          <w:iCs/>
          <w:sz w:val="18"/>
          <w:szCs w:val="18"/>
        </w:rPr>
        <w:t>„4.1</w:t>
      </w:r>
      <w:r>
        <w:rPr>
          <w:rFonts w:cs="Arial"/>
          <w:i/>
          <w:iCs/>
          <w:sz w:val="18"/>
          <w:szCs w:val="18"/>
        </w:rPr>
        <w:tab/>
        <w:t>Empfehlungen für die Gestaltung der Datenbank</w:t>
      </w:r>
      <w:r>
        <w:rPr>
          <w:rFonts w:cs="Arial"/>
          <w:i/>
          <w:iCs/>
          <w:sz w:val="18"/>
          <w:szCs w:val="18"/>
          <w:highlight w:val="white"/>
        </w:rPr>
        <w:t xml:space="preserve"> </w:t>
      </w:r>
    </w:p>
    <w:p w14:paraId="54643A9C" w14:textId="77777777" w:rsidR="005F10CD" w:rsidRDefault="005F10CD" w:rsidP="005F10CD">
      <w:pPr>
        <w:keepNext/>
        <w:autoSpaceDE w:val="0"/>
        <w:autoSpaceDN w:val="0"/>
        <w:adjustRightInd w:val="0"/>
        <w:ind w:hanging="141"/>
        <w:rPr>
          <w:rFonts w:cs="Arial"/>
          <w:sz w:val="18"/>
          <w:szCs w:val="18"/>
          <w:highlight w:val="white"/>
        </w:rPr>
      </w:pPr>
    </w:p>
    <w:p w14:paraId="24295A99" w14:textId="77777777" w:rsidR="005F10CD" w:rsidRDefault="005F10CD" w:rsidP="005F10CD">
      <w:pPr>
        <w:keepNext/>
        <w:autoSpaceDE w:val="0"/>
        <w:autoSpaceDN w:val="0"/>
        <w:adjustRightInd w:val="0"/>
        <w:ind w:firstLine="1134"/>
        <w:rPr>
          <w:rFonts w:cs="Arial"/>
          <w:sz w:val="18"/>
          <w:szCs w:val="18"/>
        </w:rPr>
      </w:pPr>
      <w:r>
        <w:rPr>
          <w:rFonts w:cs="Arial"/>
          <w:sz w:val="18"/>
          <w:szCs w:val="18"/>
        </w:rPr>
        <w:t>Bei der Gestaltung der Datenbank sollten folgende Aspekte berücksichtigt werden:</w:t>
      </w:r>
    </w:p>
    <w:p w14:paraId="618576F2" w14:textId="77777777" w:rsidR="005F10CD" w:rsidRDefault="005F10CD" w:rsidP="005F10CD">
      <w:pPr>
        <w:autoSpaceDE w:val="0"/>
        <w:autoSpaceDN w:val="0"/>
        <w:adjustRightInd w:val="0"/>
        <w:ind w:firstLine="1134"/>
        <w:rPr>
          <w:rFonts w:cs="Arial"/>
          <w:sz w:val="18"/>
          <w:szCs w:val="18"/>
        </w:rPr>
      </w:pPr>
    </w:p>
    <w:p w14:paraId="58311A2C" w14:textId="77777777" w:rsidR="005F10CD" w:rsidRDefault="005F10CD" w:rsidP="005F10CD">
      <w:pPr>
        <w:autoSpaceDE w:val="0"/>
        <w:autoSpaceDN w:val="0"/>
        <w:adjustRightInd w:val="0"/>
        <w:ind w:left="1560" w:hanging="426"/>
        <w:rPr>
          <w:rFonts w:cs="Arial"/>
          <w:sz w:val="18"/>
          <w:szCs w:val="18"/>
        </w:rPr>
      </w:pPr>
      <w:r>
        <w:rPr>
          <w:rFonts w:cs="Arial"/>
          <w:sz w:val="18"/>
          <w:szCs w:val="18"/>
        </w:rPr>
        <w:t>a)</w:t>
      </w:r>
      <w:r>
        <w:rPr>
          <w:rFonts w:cs="Arial"/>
          <w:sz w:val="18"/>
          <w:szCs w:val="18"/>
        </w:rPr>
        <w:tab/>
        <w:t>Die Architektur der Datenbank sollte flexibel sein und z.B. sowohl flache Dateien als auch komprimierte Archivformate speichern können.</w:t>
      </w:r>
      <w:r>
        <w:rPr>
          <w:rFonts w:cs="Arial"/>
          <w:sz w:val="18"/>
          <w:szCs w:val="18"/>
          <w:vertAlign w:val="superscript"/>
        </w:rPr>
        <w:t> </w:t>
      </w:r>
      <w:r>
        <w:rPr>
          <w:rFonts w:cs="Arial"/>
          <w:sz w:val="18"/>
          <w:szCs w:val="18"/>
        </w:rPr>
        <w:t xml:space="preserve"> </w:t>
      </w:r>
    </w:p>
    <w:p w14:paraId="6EC5F847" w14:textId="77777777" w:rsidR="005F10CD" w:rsidRDefault="005F10CD" w:rsidP="005F10CD">
      <w:pPr>
        <w:autoSpaceDE w:val="0"/>
        <w:autoSpaceDN w:val="0"/>
        <w:adjustRightInd w:val="0"/>
        <w:ind w:left="1560" w:hanging="426"/>
        <w:rPr>
          <w:rFonts w:cs="Arial"/>
          <w:sz w:val="18"/>
          <w:szCs w:val="18"/>
        </w:rPr>
      </w:pPr>
    </w:p>
    <w:p w14:paraId="3BD2A405" w14:textId="77777777" w:rsidR="005F10CD" w:rsidRDefault="005F10CD" w:rsidP="005F10CD">
      <w:pPr>
        <w:autoSpaceDE w:val="0"/>
        <w:autoSpaceDN w:val="0"/>
        <w:adjustRightInd w:val="0"/>
        <w:ind w:left="1560" w:hanging="426"/>
        <w:rPr>
          <w:rFonts w:cs="Arial"/>
          <w:sz w:val="18"/>
          <w:szCs w:val="18"/>
        </w:rPr>
      </w:pPr>
      <w:r>
        <w:rPr>
          <w:rFonts w:cs="Arial"/>
          <w:sz w:val="18"/>
          <w:szCs w:val="18"/>
        </w:rPr>
        <w:lastRenderedPageBreak/>
        <w:t>b)</w:t>
      </w:r>
      <w:r>
        <w:rPr>
          <w:rFonts w:cs="Arial"/>
          <w:sz w:val="18"/>
          <w:szCs w:val="18"/>
        </w:rPr>
        <w:tab/>
        <w:t>Beinhaltung verschiedener Tabellenformate. Für die experimentelle Laborarbeit, die Datenerzeugung und die Allel-Scorewerte sind jeweils eigenständige Tabellen und Einträge erforderlich.</w:t>
      </w:r>
      <w:r>
        <w:rPr>
          <w:rFonts w:cs="Arial"/>
          <w:sz w:val="18"/>
          <w:szCs w:val="18"/>
          <w:vertAlign w:val="superscript"/>
        </w:rPr>
        <w:t> </w:t>
      </w:r>
      <w:r>
        <w:rPr>
          <w:rFonts w:cs="Arial"/>
          <w:sz w:val="18"/>
          <w:szCs w:val="18"/>
        </w:rPr>
        <w:t xml:space="preserve"> </w:t>
      </w:r>
    </w:p>
    <w:p w14:paraId="1AEB20C5" w14:textId="77777777" w:rsidR="005F10CD" w:rsidRDefault="005F10CD" w:rsidP="005F10CD">
      <w:pPr>
        <w:autoSpaceDE w:val="0"/>
        <w:autoSpaceDN w:val="0"/>
        <w:adjustRightInd w:val="0"/>
        <w:ind w:left="1560" w:hanging="426"/>
        <w:rPr>
          <w:rFonts w:cs="Arial"/>
          <w:sz w:val="18"/>
          <w:szCs w:val="18"/>
        </w:rPr>
      </w:pPr>
    </w:p>
    <w:p w14:paraId="4954EDF2" w14:textId="77777777" w:rsidR="005F10CD" w:rsidRDefault="005F10CD" w:rsidP="005F10CD">
      <w:pPr>
        <w:autoSpaceDE w:val="0"/>
        <w:autoSpaceDN w:val="0"/>
        <w:adjustRightInd w:val="0"/>
        <w:ind w:left="1560" w:hanging="426"/>
        <w:rPr>
          <w:rFonts w:cs="Arial"/>
          <w:sz w:val="18"/>
          <w:szCs w:val="18"/>
        </w:rPr>
      </w:pPr>
      <w:r>
        <w:rPr>
          <w:rFonts w:cs="Arial"/>
          <w:sz w:val="18"/>
          <w:szCs w:val="18"/>
        </w:rPr>
        <w:t>c)</w:t>
      </w:r>
      <w:r>
        <w:rPr>
          <w:rFonts w:cs="Arial"/>
          <w:sz w:val="18"/>
          <w:szCs w:val="18"/>
        </w:rPr>
        <w:tab/>
        <w:t>Speicherung von Daten auf verschiedenen Stufen (Allel-Scorewerte / wie der Allel-Scorewert abgerufen wurde (die (Auswertungs-)Regeln, die einer Entscheidung zugrundeliegen) / (Ve</w:t>
      </w:r>
      <w:r w:rsidR="0059090F">
        <w:rPr>
          <w:rFonts w:cs="Arial"/>
          <w:sz w:val="18"/>
          <w:szCs w:val="18"/>
        </w:rPr>
        <w:t>r</w:t>
      </w:r>
      <w:r>
        <w:rPr>
          <w:rFonts w:cs="Arial"/>
          <w:sz w:val="18"/>
          <w:szCs w:val="18"/>
        </w:rPr>
        <w:t>knüpfungen) zu den Rohdaten (tiff-Dateien, bam-Dateien, Dateien, die der Maschine entstammen, welche die für die Allelauswertung und -deutung verwendeten Daten generiert hat).</w:t>
      </w:r>
      <w:r>
        <w:rPr>
          <w:rFonts w:cs="Arial"/>
          <w:sz w:val="18"/>
          <w:szCs w:val="18"/>
          <w:vertAlign w:val="superscript"/>
        </w:rPr>
        <w:t> </w:t>
      </w:r>
      <w:r>
        <w:rPr>
          <w:rFonts w:cs="Arial"/>
          <w:sz w:val="18"/>
          <w:szCs w:val="18"/>
        </w:rPr>
        <w:t xml:space="preserve"> </w:t>
      </w:r>
    </w:p>
    <w:p w14:paraId="5A394896" w14:textId="77777777" w:rsidR="005F10CD" w:rsidRDefault="005F10CD" w:rsidP="005F10CD">
      <w:pPr>
        <w:autoSpaceDE w:val="0"/>
        <w:autoSpaceDN w:val="0"/>
        <w:adjustRightInd w:val="0"/>
        <w:ind w:left="1560" w:hanging="426"/>
        <w:rPr>
          <w:rFonts w:cs="Arial"/>
          <w:sz w:val="18"/>
          <w:szCs w:val="18"/>
        </w:rPr>
      </w:pPr>
    </w:p>
    <w:p w14:paraId="62A27D01" w14:textId="77777777" w:rsidR="005F10CD" w:rsidRDefault="005F10CD" w:rsidP="005F10CD">
      <w:pPr>
        <w:autoSpaceDE w:val="0"/>
        <w:autoSpaceDN w:val="0"/>
        <w:adjustRightInd w:val="0"/>
        <w:ind w:left="1560" w:hanging="426"/>
        <w:rPr>
          <w:rFonts w:cs="Arial"/>
          <w:sz w:val="18"/>
          <w:szCs w:val="18"/>
        </w:rPr>
      </w:pPr>
      <w:r>
        <w:rPr>
          <w:rFonts w:cs="Arial"/>
          <w:sz w:val="18"/>
          <w:szCs w:val="18"/>
        </w:rPr>
        <w:t>d)</w:t>
      </w:r>
      <w:r>
        <w:rPr>
          <w:rFonts w:cs="Arial"/>
          <w:sz w:val="18"/>
          <w:szCs w:val="18"/>
        </w:rPr>
        <w:tab/>
        <w:t xml:space="preserve">Dateien zum Variantenaufruf im VCF- oder BCF-Format  (entsprechend der Standardversion 4.2 oder höher). Die Header-Einträge sollten Namen und Version der verschiedenen Scripte enthalten, die für Kartierung und Filterung der Sequenzabschnitte sowie für Aufruf und Filterung der Varianten verwendet werden, und zwar dergestalt, daß der Bioinformatiker die Analyse wiederholen kann. </w:t>
      </w:r>
    </w:p>
    <w:p w14:paraId="0EA27964" w14:textId="77777777" w:rsidR="005F10CD" w:rsidRDefault="005F10CD" w:rsidP="005F10CD">
      <w:pPr>
        <w:autoSpaceDE w:val="0"/>
        <w:autoSpaceDN w:val="0"/>
        <w:adjustRightInd w:val="0"/>
        <w:ind w:left="1560" w:hanging="426"/>
        <w:rPr>
          <w:rFonts w:cs="Arial"/>
          <w:sz w:val="18"/>
          <w:szCs w:val="18"/>
        </w:rPr>
      </w:pPr>
    </w:p>
    <w:p w14:paraId="0A17A5A2" w14:textId="77777777" w:rsidR="005F10CD" w:rsidRDefault="005F10CD" w:rsidP="005F10CD">
      <w:pPr>
        <w:autoSpaceDE w:val="0"/>
        <w:autoSpaceDN w:val="0"/>
        <w:adjustRightInd w:val="0"/>
        <w:ind w:left="1560" w:hanging="426"/>
        <w:rPr>
          <w:rFonts w:cs="Arial"/>
          <w:sz w:val="18"/>
          <w:szCs w:val="18"/>
        </w:rPr>
      </w:pPr>
      <w:r>
        <w:rPr>
          <w:rFonts w:cs="Arial"/>
          <w:sz w:val="18"/>
          <w:szCs w:val="18"/>
        </w:rPr>
        <w:t>e)</w:t>
      </w:r>
      <w:r>
        <w:rPr>
          <w:rFonts w:cs="Arial"/>
          <w:sz w:val="18"/>
          <w:szCs w:val="18"/>
        </w:rPr>
        <w:tab/>
        <w:t>Bei Wiederholungsproben kann ein Genotyp-Eintrag erstellt und gespeichert werden, sofern die DNS-Profile der Proben übereinstimmen. Bei nichtübereinst</w:t>
      </w:r>
      <w:r w:rsidR="007F5336">
        <w:rPr>
          <w:rFonts w:cs="Arial"/>
          <w:sz w:val="18"/>
          <w:szCs w:val="18"/>
        </w:rPr>
        <w:t>immenden Wiederholungsproben muß</w:t>
      </w:r>
      <w:r>
        <w:rPr>
          <w:rFonts w:cs="Arial"/>
          <w:sz w:val="18"/>
          <w:szCs w:val="18"/>
        </w:rPr>
        <w:t xml:space="preserve"> der Eintrag gekennzeichnet oder gegebenenfalls herausgefiltert werden. Die in solchen Fällen angewandten Regeln sind in einem öffentlich zugänglichen Code Repository zu dokumentieren, das Verweise auf die Variantenaufruf-Datei enthält. Die Häufigkeiten könnten auch für heterogene Sorten verwendet werden.</w:t>
      </w:r>
      <w:r>
        <w:rPr>
          <w:rFonts w:cs="Arial"/>
          <w:sz w:val="18"/>
          <w:szCs w:val="18"/>
          <w:vertAlign w:val="superscript"/>
        </w:rPr>
        <w:t> </w:t>
      </w:r>
      <w:r>
        <w:rPr>
          <w:rFonts w:cs="Arial"/>
          <w:sz w:val="18"/>
          <w:szCs w:val="18"/>
        </w:rPr>
        <w:t xml:space="preserve"> </w:t>
      </w:r>
    </w:p>
    <w:p w14:paraId="4839E316" w14:textId="77777777" w:rsidR="005F10CD" w:rsidRDefault="005F10CD" w:rsidP="005F10CD">
      <w:pPr>
        <w:autoSpaceDE w:val="0"/>
        <w:autoSpaceDN w:val="0"/>
        <w:adjustRightInd w:val="0"/>
        <w:ind w:left="1560" w:hanging="426"/>
        <w:rPr>
          <w:rFonts w:cs="Arial"/>
          <w:sz w:val="18"/>
          <w:szCs w:val="18"/>
        </w:rPr>
      </w:pPr>
    </w:p>
    <w:p w14:paraId="6FC99569" w14:textId="77777777" w:rsidR="005F10CD" w:rsidRDefault="005F10CD" w:rsidP="005F10CD">
      <w:pPr>
        <w:autoSpaceDE w:val="0"/>
        <w:autoSpaceDN w:val="0"/>
        <w:adjustRightInd w:val="0"/>
        <w:ind w:left="1560" w:hanging="426"/>
        <w:rPr>
          <w:rFonts w:cs="Arial"/>
          <w:sz w:val="18"/>
          <w:szCs w:val="18"/>
          <w:highlight w:val="white"/>
        </w:rPr>
      </w:pPr>
      <w:r>
        <w:rPr>
          <w:rFonts w:cs="Arial"/>
          <w:sz w:val="18"/>
          <w:szCs w:val="18"/>
        </w:rPr>
        <w:t>f)</w:t>
      </w:r>
      <w:r>
        <w:rPr>
          <w:rFonts w:cs="Arial"/>
          <w:sz w:val="18"/>
          <w:szCs w:val="18"/>
        </w:rPr>
        <w:tab/>
        <w:t>Validierung der VCF- und/oder BCF-Daten mittels einschlägiger Spezifikationen.</w:t>
      </w:r>
      <w:r>
        <w:rPr>
          <w:rFonts w:cs="Arial"/>
          <w:sz w:val="18"/>
          <w:szCs w:val="18"/>
          <w:highlight w:val="white"/>
        </w:rPr>
        <w:t xml:space="preserve"> </w:t>
      </w:r>
    </w:p>
    <w:p w14:paraId="2375D5DB" w14:textId="77777777" w:rsidR="005F10CD" w:rsidRDefault="005F10CD" w:rsidP="005F10CD">
      <w:pPr>
        <w:autoSpaceDE w:val="0"/>
        <w:autoSpaceDN w:val="0"/>
        <w:adjustRightInd w:val="0"/>
        <w:ind w:left="1560" w:hanging="426"/>
        <w:rPr>
          <w:rFonts w:cs="Arial"/>
          <w:sz w:val="18"/>
          <w:szCs w:val="18"/>
          <w:highlight w:val="white"/>
        </w:rPr>
      </w:pPr>
    </w:p>
    <w:p w14:paraId="7A99FE02" w14:textId="77777777" w:rsidR="005F10CD" w:rsidRDefault="005F10CD" w:rsidP="005F10CD">
      <w:pPr>
        <w:autoSpaceDE w:val="0"/>
        <w:autoSpaceDN w:val="0"/>
        <w:adjustRightInd w:val="0"/>
        <w:ind w:left="1560" w:hanging="426"/>
        <w:rPr>
          <w:rFonts w:cs="Arial"/>
          <w:sz w:val="18"/>
          <w:szCs w:val="18"/>
        </w:rPr>
      </w:pPr>
      <w:r>
        <w:rPr>
          <w:rFonts w:cs="Arial"/>
          <w:sz w:val="18"/>
          <w:szCs w:val="18"/>
        </w:rPr>
        <w:t>g)</w:t>
      </w:r>
      <w:r>
        <w:rPr>
          <w:rFonts w:cs="Arial"/>
          <w:sz w:val="18"/>
          <w:szCs w:val="18"/>
        </w:rPr>
        <w:tab/>
        <w:t>Leicht austauschbare Daten (z.B. API).“</w:t>
      </w:r>
    </w:p>
    <w:p w14:paraId="00B28F90" w14:textId="77777777" w:rsidR="005F10CD" w:rsidRPr="00162647" w:rsidRDefault="005F10CD" w:rsidP="005F10CD">
      <w:pPr>
        <w:autoSpaceDE w:val="0"/>
        <w:autoSpaceDN w:val="0"/>
        <w:adjustRightInd w:val="0"/>
        <w:rPr>
          <w:rFonts w:cs="Arial"/>
          <w:sz w:val="16"/>
        </w:rPr>
      </w:pPr>
    </w:p>
    <w:p w14:paraId="5D3A2C1A"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4.2</w:t>
      </w:r>
    </w:p>
    <w:p w14:paraId="1BBAC268" w14:textId="4ACA6857"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Wortlaut des neuen Abschnitts 4.2 „Anforderungen an das Pflanzenmaterial“ wie folgt zu ändern:</w:t>
      </w:r>
    </w:p>
    <w:p w14:paraId="66C0D05E" w14:textId="77777777" w:rsidR="005F10CD" w:rsidRDefault="005F10CD" w:rsidP="005F10CD">
      <w:pPr>
        <w:autoSpaceDE w:val="0"/>
        <w:autoSpaceDN w:val="0"/>
        <w:adjustRightInd w:val="0"/>
        <w:rPr>
          <w:rFonts w:cs="Arial"/>
        </w:rPr>
      </w:pPr>
    </w:p>
    <w:p w14:paraId="0E069605" w14:textId="77777777" w:rsidR="005F10CD" w:rsidRDefault="005F10CD" w:rsidP="005F10CD">
      <w:pPr>
        <w:autoSpaceDE w:val="0"/>
        <w:autoSpaceDN w:val="0"/>
        <w:adjustRightInd w:val="0"/>
        <w:ind w:left="426"/>
        <w:rPr>
          <w:rFonts w:cs="Arial"/>
          <w:i/>
          <w:iCs/>
          <w:sz w:val="18"/>
          <w:szCs w:val="18"/>
        </w:rPr>
      </w:pPr>
      <w:r w:rsidRPr="00670497">
        <w:rPr>
          <w:rFonts w:cs="Arial"/>
          <w:sz w:val="18"/>
          <w:szCs w:val="18"/>
          <w:highlight w:val="lightGray"/>
        </w:rPr>
        <w:t>“</w:t>
      </w:r>
      <w:r w:rsidRPr="00670497">
        <w:rPr>
          <w:rFonts w:cs="Arial"/>
          <w:i/>
          <w:iCs/>
          <w:sz w:val="18"/>
          <w:szCs w:val="18"/>
          <w:highlight w:val="lightGray"/>
          <w:u w:val="single"/>
        </w:rPr>
        <w:t>4.2</w:t>
      </w:r>
      <w:r w:rsidRPr="00670497">
        <w:rPr>
          <w:rFonts w:cs="Arial"/>
          <w:i/>
          <w:iCs/>
          <w:sz w:val="18"/>
          <w:szCs w:val="18"/>
          <w:highlight w:val="lightGray"/>
          <w:u w:val="single"/>
        </w:rPr>
        <w:tab/>
        <w:t>Anforderungen an das Pflanzenmaterial</w:t>
      </w:r>
    </w:p>
    <w:p w14:paraId="2DB5F890" w14:textId="77777777" w:rsidR="005F10CD" w:rsidRDefault="005F10CD" w:rsidP="005F10CD">
      <w:pPr>
        <w:autoSpaceDE w:val="0"/>
        <w:autoSpaceDN w:val="0"/>
        <w:adjustRightInd w:val="0"/>
        <w:ind w:left="426"/>
        <w:rPr>
          <w:rFonts w:cs="Arial"/>
          <w:sz w:val="18"/>
          <w:szCs w:val="18"/>
        </w:rPr>
      </w:pPr>
    </w:p>
    <w:p w14:paraId="390D6F60" w14:textId="77777777" w:rsidR="005F10CD" w:rsidRDefault="005F10CD" w:rsidP="005F10CD">
      <w:pPr>
        <w:keepNext/>
        <w:autoSpaceDE w:val="0"/>
        <w:autoSpaceDN w:val="0"/>
        <w:adjustRightInd w:val="0"/>
        <w:ind w:left="426"/>
        <w:rPr>
          <w:rFonts w:cs="Arial"/>
          <w:sz w:val="18"/>
          <w:szCs w:val="18"/>
        </w:rPr>
      </w:pPr>
      <w:r>
        <w:rPr>
          <w:rFonts w:cs="Arial"/>
          <w:sz w:val="18"/>
          <w:szCs w:val="18"/>
        </w:rPr>
        <w:t xml:space="preserve">„Quelle und Art des Materials und die Anzahl der </w:t>
      </w:r>
      <w:r>
        <w:rPr>
          <w:rFonts w:cs="Arial"/>
          <w:strike/>
          <w:sz w:val="18"/>
          <w:szCs w:val="18"/>
          <w:highlight w:val="white"/>
        </w:rPr>
        <w:t xml:space="preserve"> </w:t>
      </w:r>
      <w:r w:rsidRPr="00670497">
        <w:rPr>
          <w:rFonts w:cs="Arial"/>
          <w:strike/>
          <w:sz w:val="18"/>
          <w:szCs w:val="18"/>
          <w:highlight w:val="lightGray"/>
        </w:rPr>
        <w:t>zu analysierenden</w:t>
      </w:r>
      <w:r>
        <w:rPr>
          <w:rFonts w:cs="Arial"/>
          <w:sz w:val="18"/>
          <w:szCs w:val="18"/>
        </w:rPr>
        <w:t xml:space="preserve"> Proben, </w:t>
      </w:r>
      <w:r w:rsidRPr="00670497">
        <w:rPr>
          <w:rFonts w:cs="Arial"/>
          <w:sz w:val="18"/>
          <w:szCs w:val="18"/>
          <w:highlight w:val="lightGray"/>
        </w:rPr>
        <w:t xml:space="preserve">die  </w:t>
      </w:r>
      <w:r w:rsidRPr="00670497">
        <w:rPr>
          <w:rFonts w:cs="Arial"/>
          <w:sz w:val="18"/>
          <w:szCs w:val="18"/>
          <w:highlight w:val="lightGray"/>
          <w:u w:val="single"/>
        </w:rPr>
        <w:t>in der Datenbank gespeichert und gemeinsam genutzt werden sollen,</w:t>
      </w:r>
      <w:r>
        <w:rPr>
          <w:rFonts w:cs="Arial"/>
          <w:sz w:val="18"/>
          <w:szCs w:val="18"/>
        </w:rPr>
        <w:t xml:space="preserve"> sind, was das zu analysierende Material anbelangt, die Hauptprobleme.</w:t>
      </w:r>
    </w:p>
    <w:p w14:paraId="53767F27" w14:textId="77777777" w:rsidR="005F10CD" w:rsidRDefault="005F10CD" w:rsidP="005F10CD">
      <w:pPr>
        <w:autoSpaceDE w:val="0"/>
        <w:autoSpaceDN w:val="0"/>
        <w:adjustRightInd w:val="0"/>
        <w:ind w:left="426"/>
        <w:rPr>
          <w:rFonts w:cs="Arial"/>
          <w:sz w:val="18"/>
          <w:szCs w:val="18"/>
        </w:rPr>
      </w:pPr>
    </w:p>
    <w:p w14:paraId="03F8EDBD" w14:textId="77777777" w:rsidR="005F10CD" w:rsidRDefault="005F10CD" w:rsidP="005F10CD">
      <w:pPr>
        <w:keepNext/>
        <w:autoSpaceDE w:val="0"/>
        <w:autoSpaceDN w:val="0"/>
        <w:adjustRightInd w:val="0"/>
        <w:ind w:left="426"/>
        <w:rPr>
          <w:rFonts w:cs="Arial"/>
          <w:sz w:val="18"/>
          <w:szCs w:val="18"/>
        </w:rPr>
      </w:pPr>
      <w:r w:rsidRPr="00670497">
        <w:rPr>
          <w:rFonts w:cs="Arial"/>
          <w:sz w:val="18"/>
          <w:szCs w:val="18"/>
          <w:highlight w:val="lightGray"/>
        </w:rPr>
        <w:t>„</w:t>
      </w:r>
      <w:r w:rsidRPr="00670497">
        <w:rPr>
          <w:rFonts w:cs="Arial"/>
          <w:sz w:val="18"/>
          <w:szCs w:val="18"/>
          <w:highlight w:val="lightGray"/>
          <w:u w:val="single"/>
        </w:rPr>
        <w:t>4.2.1</w:t>
      </w:r>
      <w:r>
        <w:rPr>
          <w:rFonts w:cs="Arial"/>
          <w:sz w:val="18"/>
          <w:szCs w:val="18"/>
        </w:rPr>
        <w:tab/>
        <w:t>Quelle des Pflanzenmaterials</w:t>
      </w:r>
    </w:p>
    <w:p w14:paraId="7FC514B8" w14:textId="77777777" w:rsidR="005F10CD" w:rsidRDefault="005F10CD" w:rsidP="005F10CD">
      <w:pPr>
        <w:autoSpaceDE w:val="0"/>
        <w:autoSpaceDN w:val="0"/>
        <w:adjustRightInd w:val="0"/>
        <w:ind w:left="426"/>
        <w:rPr>
          <w:rFonts w:cs="Arial"/>
          <w:sz w:val="18"/>
          <w:szCs w:val="18"/>
        </w:rPr>
      </w:pPr>
    </w:p>
    <w:p w14:paraId="46B8C55D" w14:textId="77777777" w:rsidR="005F10CD" w:rsidRDefault="005F10CD" w:rsidP="005F10CD">
      <w:pPr>
        <w:autoSpaceDE w:val="0"/>
        <w:autoSpaceDN w:val="0"/>
        <w:adjustRightInd w:val="0"/>
        <w:ind w:left="426"/>
        <w:rPr>
          <w:rFonts w:cs="Arial"/>
          <w:sz w:val="18"/>
          <w:szCs w:val="18"/>
        </w:rPr>
      </w:pPr>
      <w:r>
        <w:rPr>
          <w:rFonts w:cs="Arial"/>
          <w:sz w:val="18"/>
          <w:szCs w:val="18"/>
        </w:rPr>
        <w:t>„Das zu analysierende Pflanzenmaterial sollte eine authentische, repräsentative Probe der Sorte sein und,</w:t>
      </w:r>
      <w:r w:rsidRPr="00670497">
        <w:rPr>
          <w:rFonts w:cs="Arial"/>
          <w:strike/>
          <w:sz w:val="18"/>
          <w:szCs w:val="18"/>
          <w:highlight w:val="lightGray"/>
        </w:rPr>
        <w:t>wo</w:t>
      </w:r>
      <w:r w:rsidRPr="00670497">
        <w:rPr>
          <w:rFonts w:cs="Arial"/>
          <w:sz w:val="18"/>
          <w:szCs w:val="18"/>
          <w:highlight w:val="lightGray"/>
        </w:rPr>
        <w:t xml:space="preserve"> </w:t>
      </w:r>
      <w:r w:rsidRPr="00670497">
        <w:rPr>
          <w:rFonts w:cs="Arial"/>
          <w:sz w:val="18"/>
          <w:szCs w:val="18"/>
          <w:highlight w:val="lightGray"/>
          <w:u w:val="single"/>
        </w:rPr>
        <w:t>wenn</w:t>
      </w:r>
      <w:r>
        <w:rPr>
          <w:rFonts w:cs="Arial"/>
          <w:sz w:val="18"/>
          <w:szCs w:val="18"/>
        </w:rPr>
        <w:t xml:space="preserve"> möglich, aus dem Muster der für die Prüfung im Hinblick auf die Erteilung von Züchterrechten oder auf die amtliche Eintragung verwendeten Sorte stammen.  Die Verwendung von Mustern des für die Prüfung im Hinblick auf die Erteilung von Züchterrechten oder auf die amtliche Eintragung eingereichten Materials erfordert gegebenenfalls die Genehmigung der zuständigen Behörde, des Züchters und/oder des Erhaltungszüchters.  Das Pflanzenmaterial, dem die Proben entnommen werden, sollte rückverfolgbar sein, falls sich einige der Pflanzen im Nachhinein als nicht repräsentativ für die Sorte erweisen.</w:t>
      </w:r>
    </w:p>
    <w:p w14:paraId="397857A1" w14:textId="77777777" w:rsidR="005F10CD" w:rsidRDefault="005F10CD" w:rsidP="005F10CD">
      <w:pPr>
        <w:autoSpaceDE w:val="0"/>
        <w:autoSpaceDN w:val="0"/>
        <w:adjustRightInd w:val="0"/>
        <w:ind w:left="426"/>
        <w:rPr>
          <w:rFonts w:cs="Arial"/>
          <w:sz w:val="18"/>
          <w:szCs w:val="18"/>
        </w:rPr>
      </w:pPr>
    </w:p>
    <w:p w14:paraId="58C682F8" w14:textId="77777777" w:rsidR="005F10CD" w:rsidRDefault="005F10CD" w:rsidP="005F10CD">
      <w:pPr>
        <w:keepNext/>
        <w:autoSpaceDE w:val="0"/>
        <w:autoSpaceDN w:val="0"/>
        <w:adjustRightInd w:val="0"/>
        <w:ind w:left="426"/>
        <w:rPr>
          <w:rFonts w:cs="Arial"/>
          <w:sz w:val="18"/>
          <w:szCs w:val="18"/>
        </w:rPr>
      </w:pPr>
      <w:r w:rsidRPr="00670497">
        <w:rPr>
          <w:rFonts w:cs="Arial"/>
          <w:sz w:val="18"/>
          <w:szCs w:val="18"/>
          <w:highlight w:val="lightGray"/>
        </w:rPr>
        <w:t>„</w:t>
      </w:r>
      <w:r w:rsidRPr="00670497">
        <w:rPr>
          <w:rFonts w:cs="Arial"/>
          <w:sz w:val="18"/>
          <w:szCs w:val="18"/>
          <w:highlight w:val="lightGray"/>
          <w:u w:val="single"/>
        </w:rPr>
        <w:t>4.2.2</w:t>
      </w:r>
      <w:r>
        <w:rPr>
          <w:rFonts w:cs="Arial"/>
          <w:sz w:val="18"/>
          <w:szCs w:val="18"/>
        </w:rPr>
        <w:tab/>
        <w:t>Art des Pflanzenmaterials</w:t>
      </w:r>
    </w:p>
    <w:p w14:paraId="529B48DF" w14:textId="77777777" w:rsidR="005F10CD" w:rsidRDefault="005F10CD" w:rsidP="005F10CD">
      <w:pPr>
        <w:autoSpaceDE w:val="0"/>
        <w:autoSpaceDN w:val="0"/>
        <w:adjustRightInd w:val="0"/>
        <w:ind w:left="426"/>
        <w:rPr>
          <w:rFonts w:cs="Arial"/>
          <w:sz w:val="18"/>
          <w:szCs w:val="18"/>
        </w:rPr>
      </w:pPr>
    </w:p>
    <w:p w14:paraId="12EB0491" w14:textId="32CDF9EF" w:rsidR="005F10CD" w:rsidRDefault="005F10CD" w:rsidP="005F10CD">
      <w:pPr>
        <w:autoSpaceDE w:val="0"/>
        <w:autoSpaceDN w:val="0"/>
        <w:adjustRightInd w:val="0"/>
        <w:ind w:left="426"/>
        <w:rPr>
          <w:rFonts w:cs="Arial"/>
          <w:sz w:val="18"/>
          <w:szCs w:val="18"/>
        </w:rPr>
      </w:pPr>
      <w:r>
        <w:rPr>
          <w:rFonts w:cs="Arial"/>
          <w:sz w:val="18"/>
          <w:szCs w:val="18"/>
        </w:rPr>
        <w:t xml:space="preserve">„Die Art des Pflanzenmaterials, dem Proben zu entnehmen sind, und das Verfahren für die Entnahme von Proben des Materials für die DNS-Extraktion wird weitgehend von der betreffenden Pflanze oder Art abhängen. Bei samenvermehrten Sorten beispielsweise kann der Samen als Quelle der DNS verwendet werden, während die DNS bei vegetativ vermehrten Sorten aus dem Blattmaterial extrahiert werden kann.  Welches auch immer die Quelle des Materials ist, es sollte das Verfahren für die Probenentnahme und die DNS-Extraktion  </w:t>
      </w:r>
      <w:r w:rsidRPr="00670497">
        <w:rPr>
          <w:rFonts w:cs="Arial"/>
          <w:strike/>
          <w:sz w:val="18"/>
          <w:szCs w:val="18"/>
          <w:highlight w:val="lightGray"/>
        </w:rPr>
        <w:t>genormt und</w:t>
      </w:r>
      <w:r>
        <w:rPr>
          <w:rFonts w:cs="Arial"/>
          <w:sz w:val="18"/>
          <w:szCs w:val="18"/>
          <w:vertAlign w:val="superscript"/>
        </w:rPr>
        <w:t> </w:t>
      </w:r>
      <w:r>
        <w:rPr>
          <w:rFonts w:cs="Arial"/>
          <w:sz w:val="18"/>
          <w:szCs w:val="18"/>
        </w:rPr>
        <w:t xml:space="preserve"> dokumentiert werden. Zudem sollte überprüft werden, daß die Verfahren für die Probeentnahme und die Extraktion bei der DNS-Analyse übereinstimmende Ergebnisse zeitigen.</w:t>
      </w:r>
      <w:r w:rsidR="00162647">
        <w:rPr>
          <w:rFonts w:cs="Arial"/>
          <w:sz w:val="18"/>
          <w:szCs w:val="18"/>
        </w:rPr>
        <w:br/>
      </w:r>
    </w:p>
    <w:p w14:paraId="5D1AE6DF" w14:textId="77777777" w:rsidR="005F10CD" w:rsidRDefault="005F10CD" w:rsidP="005F10CD">
      <w:pPr>
        <w:keepNext/>
        <w:autoSpaceDE w:val="0"/>
        <w:autoSpaceDN w:val="0"/>
        <w:adjustRightInd w:val="0"/>
        <w:ind w:left="426"/>
        <w:rPr>
          <w:rFonts w:cs="Arial"/>
          <w:sz w:val="18"/>
          <w:szCs w:val="18"/>
        </w:rPr>
      </w:pPr>
      <w:r w:rsidRPr="00670497">
        <w:rPr>
          <w:rFonts w:cs="Arial"/>
          <w:sz w:val="18"/>
          <w:szCs w:val="18"/>
          <w:highlight w:val="lightGray"/>
        </w:rPr>
        <w:t>„</w:t>
      </w:r>
      <w:r w:rsidRPr="00670497">
        <w:rPr>
          <w:rFonts w:cs="Arial"/>
          <w:sz w:val="18"/>
          <w:szCs w:val="18"/>
          <w:highlight w:val="lightGray"/>
          <w:u w:val="single"/>
        </w:rPr>
        <w:t>4.2.3</w:t>
      </w:r>
      <w:r>
        <w:rPr>
          <w:rFonts w:cs="Arial"/>
          <w:sz w:val="18"/>
          <w:szCs w:val="18"/>
        </w:rPr>
        <w:tab/>
        <w:t>Probengröße</w:t>
      </w:r>
      <w:r>
        <w:rPr>
          <w:rFonts w:cs="Arial"/>
          <w:sz w:val="18"/>
          <w:szCs w:val="18"/>
          <w:highlight w:val="white"/>
          <w:u w:val="single"/>
        </w:rPr>
        <w:t xml:space="preserve"> </w:t>
      </w:r>
      <w:r w:rsidRPr="00670497">
        <w:rPr>
          <w:rFonts w:cs="Arial"/>
          <w:sz w:val="18"/>
          <w:szCs w:val="18"/>
          <w:highlight w:val="lightGray"/>
          <w:u w:val="single"/>
        </w:rPr>
        <w:t>und -art (Massen- oder Einzelproben)</w:t>
      </w:r>
    </w:p>
    <w:p w14:paraId="6C17DBB1" w14:textId="77777777" w:rsidR="005F10CD" w:rsidRDefault="005F10CD" w:rsidP="005F10CD">
      <w:pPr>
        <w:keepNext/>
        <w:autoSpaceDE w:val="0"/>
        <w:autoSpaceDN w:val="0"/>
        <w:adjustRightInd w:val="0"/>
        <w:ind w:left="426"/>
        <w:rPr>
          <w:rFonts w:cs="Arial"/>
          <w:sz w:val="18"/>
          <w:szCs w:val="18"/>
        </w:rPr>
      </w:pPr>
    </w:p>
    <w:p w14:paraId="6A53F79B" w14:textId="77777777" w:rsidR="005F10CD" w:rsidRDefault="005F10CD" w:rsidP="005F10CD">
      <w:pPr>
        <w:keepNext/>
        <w:autoSpaceDE w:val="0"/>
        <w:autoSpaceDN w:val="0"/>
        <w:adjustRightInd w:val="0"/>
        <w:ind w:left="426"/>
        <w:rPr>
          <w:rFonts w:cs="Arial"/>
          <w:strike/>
          <w:sz w:val="18"/>
          <w:szCs w:val="18"/>
        </w:rPr>
      </w:pPr>
      <w:r>
        <w:rPr>
          <w:rFonts w:cs="Arial"/>
          <w:sz w:val="18"/>
          <w:szCs w:val="18"/>
        </w:rPr>
        <w:t xml:space="preserve">„Es ist wesentlich, daß die für die Analyse entnommenen Proben für die Sorte repräsentativ </w:t>
      </w:r>
      <w:r w:rsidRPr="00670497">
        <w:rPr>
          <w:rFonts w:cs="Arial"/>
          <w:sz w:val="18"/>
          <w:szCs w:val="18"/>
          <w:highlight w:val="lightGray"/>
          <w:u w:val="single"/>
        </w:rPr>
        <w:t>und gut dokumentiert sind</w:t>
      </w:r>
      <w:r w:rsidRPr="00670497">
        <w:rPr>
          <w:rFonts w:cs="Arial"/>
          <w:sz w:val="18"/>
          <w:szCs w:val="18"/>
          <w:highlight w:val="lightGray"/>
        </w:rPr>
        <w:t>.</w:t>
      </w:r>
      <w:r>
        <w:rPr>
          <w:rFonts w:cs="Arial"/>
          <w:sz w:val="18"/>
          <w:szCs w:val="18"/>
        </w:rPr>
        <w:t xml:space="preserve">  Was die Repräsentativität für die Sorte betrifft, sollten die Besonderheiten der Vermehrung beachtet werden </w:t>
      </w:r>
      <w:r>
        <w:rPr>
          <w:rFonts w:cs="Arial"/>
          <w:sz w:val="18"/>
          <w:szCs w:val="18"/>
        </w:rPr>
        <w:lastRenderedPageBreak/>
        <w:t xml:space="preserve">(vergleiche Allgemeine Einführung).  </w:t>
      </w:r>
      <w:r w:rsidRPr="00670497">
        <w:rPr>
          <w:rFonts w:cs="Arial"/>
          <w:strike/>
          <w:sz w:val="18"/>
          <w:szCs w:val="18"/>
          <w:highlight w:val="lightGray"/>
        </w:rPr>
        <w:t>Die Probengröße sollte unter Berücksichtigung geeigneter statistischer Verfahren bestimmt werden.</w:t>
      </w:r>
    </w:p>
    <w:p w14:paraId="324EDB23" w14:textId="77777777" w:rsidR="005F10CD" w:rsidRDefault="005F10CD" w:rsidP="005F10CD">
      <w:pPr>
        <w:keepNext/>
        <w:autoSpaceDE w:val="0"/>
        <w:autoSpaceDN w:val="0"/>
        <w:adjustRightInd w:val="0"/>
        <w:ind w:left="426"/>
        <w:rPr>
          <w:rFonts w:cs="Arial"/>
          <w:sz w:val="18"/>
          <w:szCs w:val="18"/>
        </w:rPr>
      </w:pPr>
    </w:p>
    <w:p w14:paraId="1639A1CA" w14:textId="77777777" w:rsidR="005F10CD" w:rsidRDefault="005F10CD" w:rsidP="005F10CD">
      <w:pPr>
        <w:keepNext/>
        <w:autoSpaceDE w:val="0"/>
        <w:autoSpaceDN w:val="0"/>
        <w:adjustRightInd w:val="0"/>
        <w:ind w:left="426"/>
        <w:rPr>
          <w:rFonts w:cs="Arial"/>
          <w:sz w:val="18"/>
          <w:szCs w:val="18"/>
        </w:rPr>
      </w:pPr>
      <w:r w:rsidRPr="00670497">
        <w:rPr>
          <w:rFonts w:cs="Arial"/>
          <w:sz w:val="18"/>
          <w:szCs w:val="18"/>
          <w:highlight w:val="lightGray"/>
        </w:rPr>
        <w:t>„</w:t>
      </w:r>
      <w:r w:rsidRPr="00670497">
        <w:rPr>
          <w:rFonts w:cs="Arial"/>
          <w:sz w:val="18"/>
          <w:szCs w:val="18"/>
          <w:highlight w:val="lightGray"/>
          <w:u w:val="single"/>
        </w:rPr>
        <w:t>4.2.4</w:t>
      </w:r>
      <w:r>
        <w:rPr>
          <w:rFonts w:cs="Arial"/>
          <w:sz w:val="18"/>
          <w:szCs w:val="18"/>
        </w:rPr>
        <w:tab/>
        <w:t>DNS-Referenzprobe</w:t>
      </w:r>
    </w:p>
    <w:p w14:paraId="3C006E37" w14:textId="77777777" w:rsidR="005F10CD" w:rsidRDefault="005F10CD" w:rsidP="005F10CD">
      <w:pPr>
        <w:keepNext/>
        <w:autoSpaceDE w:val="0"/>
        <w:autoSpaceDN w:val="0"/>
        <w:adjustRightInd w:val="0"/>
        <w:ind w:left="426"/>
        <w:rPr>
          <w:rFonts w:cs="Arial"/>
          <w:sz w:val="18"/>
          <w:szCs w:val="18"/>
        </w:rPr>
      </w:pPr>
    </w:p>
    <w:p w14:paraId="779117C8" w14:textId="77777777" w:rsidR="005F10CD" w:rsidRDefault="005F10CD" w:rsidP="005F10CD">
      <w:pPr>
        <w:keepNext/>
        <w:autoSpaceDE w:val="0"/>
        <w:autoSpaceDN w:val="0"/>
        <w:adjustRightInd w:val="0"/>
        <w:ind w:left="426"/>
        <w:rPr>
          <w:rFonts w:cs="Arial"/>
          <w:sz w:val="18"/>
          <w:szCs w:val="18"/>
          <w:vertAlign w:val="superscript"/>
        </w:rPr>
      </w:pPr>
      <w:r w:rsidRPr="00670497">
        <w:rPr>
          <w:rFonts w:cs="Arial"/>
          <w:sz w:val="18"/>
          <w:szCs w:val="18"/>
          <w:highlight w:val="lightGray"/>
        </w:rPr>
        <w:t>„</w:t>
      </w:r>
      <w:r w:rsidRPr="00670497">
        <w:rPr>
          <w:rFonts w:cs="Arial"/>
          <w:strike/>
          <w:sz w:val="18"/>
          <w:szCs w:val="18"/>
          <w:highlight w:val="lightGray"/>
        </w:rPr>
        <w:t>Es wird empfohlen,</w:t>
      </w:r>
      <w:r w:rsidRPr="00670497">
        <w:rPr>
          <w:rFonts w:cs="Arial"/>
          <w:sz w:val="18"/>
          <w:szCs w:val="18"/>
          <w:highlight w:val="lightGray"/>
          <w:vertAlign w:val="superscript"/>
        </w:rPr>
        <w:t xml:space="preserve"> </w:t>
      </w:r>
      <w:r w:rsidRPr="00670497">
        <w:rPr>
          <w:rFonts w:cs="Arial"/>
          <w:sz w:val="18"/>
          <w:szCs w:val="18"/>
          <w:highlight w:val="lightGray"/>
          <w:u w:val="single"/>
        </w:rPr>
        <w:t>Eine</w:t>
      </w:r>
      <w:r>
        <w:rPr>
          <w:rFonts w:cs="Arial"/>
          <w:sz w:val="18"/>
          <w:szCs w:val="18"/>
        </w:rPr>
        <w:t xml:space="preserve"> DNS-Referenzprobensammlung  </w:t>
      </w:r>
      <w:r w:rsidRPr="00670497">
        <w:rPr>
          <w:rFonts w:cs="Arial"/>
          <w:strike/>
          <w:sz w:val="18"/>
          <w:szCs w:val="18"/>
          <w:highlight w:val="lightGray"/>
        </w:rPr>
        <w:t>sollte</w:t>
      </w:r>
      <w:r w:rsidRPr="00670497">
        <w:rPr>
          <w:rFonts w:cs="Arial"/>
          <w:sz w:val="18"/>
          <w:szCs w:val="18"/>
          <w:highlight w:val="lightGray"/>
        </w:rPr>
        <w:t xml:space="preserve"> </w:t>
      </w:r>
      <w:r w:rsidRPr="00670497">
        <w:rPr>
          <w:rFonts w:cs="Arial"/>
          <w:sz w:val="18"/>
          <w:szCs w:val="18"/>
          <w:highlight w:val="lightGray"/>
          <w:u w:val="single"/>
        </w:rPr>
        <w:t>kann</w:t>
      </w:r>
      <w:r w:rsidRPr="00670497">
        <w:rPr>
          <w:rFonts w:cs="Arial"/>
          <w:sz w:val="18"/>
          <w:szCs w:val="18"/>
          <w:highlight w:val="lightGray"/>
        </w:rPr>
        <w:t xml:space="preserve"> </w:t>
      </w:r>
      <w:r w:rsidRPr="00670497">
        <w:rPr>
          <w:rFonts w:cs="Arial"/>
          <w:strike/>
          <w:sz w:val="18"/>
          <w:szCs w:val="18"/>
          <w:highlight w:val="lightGray"/>
        </w:rPr>
        <w:t>gemäß den Abschnitten 4.1 bis 4.3</w:t>
      </w:r>
      <w:r>
        <w:rPr>
          <w:rFonts w:cs="Arial"/>
          <w:sz w:val="18"/>
          <w:szCs w:val="18"/>
        </w:rPr>
        <w:t xml:space="preserve"> aus dem Pflanzenmaterial angelegt werden.</w:t>
      </w:r>
      <w:r w:rsidRPr="00670497">
        <w:rPr>
          <w:rFonts w:cs="Arial"/>
          <w:strike/>
          <w:sz w:val="18"/>
          <w:szCs w:val="18"/>
          <w:highlight w:val="lightGray"/>
        </w:rPr>
        <w:t>Dies hat den Vorteil, daß die DNS-Referenzproben gelagert und anderen Laboren zur Verfügung gestellt werden können.</w:t>
      </w:r>
      <w:r>
        <w:rPr>
          <w:rFonts w:cs="Arial"/>
          <w:sz w:val="18"/>
          <w:szCs w:val="18"/>
          <w:vertAlign w:val="superscript"/>
        </w:rPr>
        <w:t xml:space="preserve"> </w:t>
      </w:r>
      <w:r>
        <w:rPr>
          <w:rFonts w:cs="Arial"/>
          <w:sz w:val="18"/>
          <w:szCs w:val="18"/>
          <w:highlight w:val="lightGray"/>
          <w:u w:val="single"/>
        </w:rPr>
        <w:t>Das Verfahren zur Probeentnahme sollte der empfohlenen Vorgehensweise folgen, und die DNS-Extraktion sollte einigen Qualitätskriterien genügen. Beide müssen dokumentiert werden</w:t>
      </w:r>
      <w:r>
        <w:rPr>
          <w:rFonts w:cs="Arial"/>
          <w:sz w:val="18"/>
          <w:szCs w:val="18"/>
        </w:rPr>
        <w:t>.</w:t>
      </w:r>
      <w:r>
        <w:rPr>
          <w:rFonts w:cs="Arial"/>
          <w:sz w:val="18"/>
          <w:szCs w:val="18"/>
          <w:vertAlign w:val="superscript"/>
        </w:rPr>
        <w:t xml:space="preserve">  </w:t>
      </w:r>
    </w:p>
    <w:p w14:paraId="144A51C3" w14:textId="77777777" w:rsidR="005F10CD" w:rsidRDefault="005F10CD" w:rsidP="005F10CD">
      <w:pPr>
        <w:autoSpaceDE w:val="0"/>
        <w:autoSpaceDN w:val="0"/>
        <w:adjustRightInd w:val="0"/>
        <w:ind w:left="426"/>
        <w:rPr>
          <w:rFonts w:cs="Arial"/>
          <w:sz w:val="18"/>
          <w:szCs w:val="18"/>
        </w:rPr>
      </w:pPr>
    </w:p>
    <w:p w14:paraId="022F744B" w14:textId="77777777" w:rsidR="005F10CD" w:rsidRDefault="005F10CD" w:rsidP="005F10CD">
      <w:pPr>
        <w:autoSpaceDE w:val="0"/>
        <w:autoSpaceDN w:val="0"/>
        <w:adjustRightInd w:val="0"/>
        <w:ind w:left="426"/>
        <w:rPr>
          <w:rFonts w:cs="Arial"/>
          <w:sz w:val="18"/>
          <w:szCs w:val="18"/>
        </w:rPr>
      </w:pPr>
      <w:r>
        <w:rPr>
          <w:rFonts w:cs="Arial"/>
          <w:sz w:val="18"/>
          <w:szCs w:val="18"/>
        </w:rPr>
        <w:t>„Die DNS-Proben sollten so gelagert werden, daß ein Zerfall verhindert wird</w:t>
      </w:r>
      <w:r>
        <w:rPr>
          <w:rFonts w:cs="Arial"/>
          <w:sz w:val="18"/>
          <w:szCs w:val="18"/>
          <w:highlight w:val="white"/>
          <w:u w:val="single"/>
        </w:rPr>
        <w:t xml:space="preserve"> </w:t>
      </w:r>
      <w:r w:rsidRPr="00670497">
        <w:rPr>
          <w:rFonts w:cs="Arial"/>
          <w:sz w:val="18"/>
          <w:szCs w:val="18"/>
          <w:highlight w:val="lightGray"/>
          <w:u w:val="single"/>
        </w:rPr>
        <w:t>(z.B. durch Lagerung bei -80C). Der Transport von DNS-Referenzproben ist in Dokument TGP/5: Abschnitt 1.beschrieben.</w:t>
      </w:r>
      <w:r w:rsidRPr="00670497">
        <w:rPr>
          <w:rFonts w:cs="Arial"/>
          <w:sz w:val="18"/>
          <w:szCs w:val="18"/>
          <w:highlight w:val="lightGray"/>
        </w:rPr>
        <w:t>“</w:t>
      </w:r>
    </w:p>
    <w:p w14:paraId="718D1B8A" w14:textId="77777777" w:rsidR="005F10CD" w:rsidRPr="00162647" w:rsidRDefault="005F10CD" w:rsidP="005F10CD">
      <w:pPr>
        <w:autoSpaceDE w:val="0"/>
        <w:autoSpaceDN w:val="0"/>
        <w:adjustRightInd w:val="0"/>
        <w:rPr>
          <w:rFonts w:cs="Arial"/>
          <w:sz w:val="16"/>
        </w:rPr>
      </w:pPr>
    </w:p>
    <w:p w14:paraId="4D66631D"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4.3</w:t>
      </w:r>
      <w:r w:rsidRPr="00D42510">
        <w:rPr>
          <w:rFonts w:cs="Arial"/>
          <w:i/>
          <w:iCs/>
        </w:rPr>
        <w:tab/>
        <w:t>Verarbeitung der Sequenzdaten</w:t>
      </w:r>
    </w:p>
    <w:p w14:paraId="6BF5222E" w14:textId="108F6362"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neuen Abschnitt 4.3 „Verarbeitung der Sequenzdaten“ mit folgendem Wortlaut hinzuzufügen:</w:t>
      </w:r>
    </w:p>
    <w:p w14:paraId="362D25F7" w14:textId="77777777" w:rsidR="005F10CD" w:rsidRDefault="005F10CD" w:rsidP="005F10CD">
      <w:pPr>
        <w:keepNext/>
        <w:autoSpaceDE w:val="0"/>
        <w:autoSpaceDN w:val="0"/>
        <w:adjustRightInd w:val="0"/>
        <w:ind w:left="567" w:hanging="567"/>
        <w:rPr>
          <w:rFonts w:cs="Arial"/>
          <w:i/>
          <w:iCs/>
          <w:sz w:val="18"/>
          <w:szCs w:val="18"/>
          <w:highlight w:val="white"/>
        </w:rPr>
      </w:pPr>
    </w:p>
    <w:p w14:paraId="7D1633E4" w14:textId="77777777" w:rsidR="005F10CD" w:rsidRDefault="005F10CD" w:rsidP="005F10CD">
      <w:pPr>
        <w:keepNext/>
        <w:autoSpaceDE w:val="0"/>
        <w:autoSpaceDN w:val="0"/>
        <w:adjustRightInd w:val="0"/>
        <w:ind w:left="567" w:hanging="141"/>
        <w:rPr>
          <w:rFonts w:cs="Arial"/>
          <w:sz w:val="18"/>
          <w:szCs w:val="18"/>
        </w:rPr>
      </w:pPr>
      <w:r>
        <w:rPr>
          <w:rFonts w:cs="Arial"/>
          <w:i/>
          <w:iCs/>
          <w:sz w:val="18"/>
          <w:szCs w:val="18"/>
        </w:rPr>
        <w:t>„</w:t>
      </w:r>
      <w:r>
        <w:rPr>
          <w:rFonts w:cs="Arial"/>
          <w:sz w:val="18"/>
          <w:szCs w:val="18"/>
        </w:rPr>
        <w:t>Ein ausführliches Protokoll der Datenverarbeitungspipeline kann Folgendes beinhalten:</w:t>
      </w:r>
    </w:p>
    <w:p w14:paraId="57D1B6C0" w14:textId="77777777" w:rsidR="005F10CD" w:rsidRDefault="005F10CD" w:rsidP="005F10CD">
      <w:pPr>
        <w:autoSpaceDE w:val="0"/>
        <w:autoSpaceDN w:val="0"/>
        <w:adjustRightInd w:val="0"/>
        <w:rPr>
          <w:rFonts w:cs="Arial"/>
          <w:sz w:val="18"/>
          <w:szCs w:val="18"/>
        </w:rPr>
      </w:pPr>
    </w:p>
    <w:p w14:paraId="235CC695" w14:textId="77777777" w:rsidR="005F10CD" w:rsidRDefault="005F10CD" w:rsidP="005F10CD">
      <w:pPr>
        <w:autoSpaceDE w:val="0"/>
        <w:autoSpaceDN w:val="0"/>
        <w:adjustRightInd w:val="0"/>
        <w:ind w:left="1134" w:hanging="567"/>
        <w:rPr>
          <w:rFonts w:cs="Arial"/>
          <w:sz w:val="18"/>
          <w:szCs w:val="18"/>
        </w:rPr>
      </w:pPr>
      <w:r>
        <w:rPr>
          <w:rFonts w:cs="Arial"/>
          <w:sz w:val="18"/>
          <w:szCs w:val="18"/>
        </w:rPr>
        <w:t>a)</w:t>
      </w:r>
      <w:r>
        <w:rPr>
          <w:rFonts w:cs="Arial"/>
          <w:sz w:val="18"/>
          <w:szCs w:val="18"/>
        </w:rPr>
        <w:tab/>
        <w:t>Art und Version der Tools;</w:t>
      </w:r>
    </w:p>
    <w:p w14:paraId="393B0C02" w14:textId="77777777" w:rsidR="005F10CD" w:rsidRDefault="005F10CD" w:rsidP="005F10CD">
      <w:pPr>
        <w:autoSpaceDE w:val="0"/>
        <w:autoSpaceDN w:val="0"/>
        <w:adjustRightInd w:val="0"/>
        <w:ind w:left="1134" w:hanging="567"/>
        <w:rPr>
          <w:rFonts w:cs="Arial"/>
          <w:sz w:val="18"/>
          <w:szCs w:val="18"/>
        </w:rPr>
      </w:pPr>
      <w:r>
        <w:rPr>
          <w:rFonts w:cs="Arial"/>
          <w:sz w:val="18"/>
          <w:szCs w:val="18"/>
        </w:rPr>
        <w:t>b)</w:t>
      </w:r>
      <w:r>
        <w:rPr>
          <w:rFonts w:cs="Arial"/>
          <w:sz w:val="18"/>
          <w:szCs w:val="18"/>
        </w:rPr>
        <w:tab/>
        <w:t>die für das Tool verwendete Befehlszeile einschließlich Schwellenwerten;</w:t>
      </w:r>
    </w:p>
    <w:p w14:paraId="29488650" w14:textId="77777777" w:rsidR="005F10CD" w:rsidRDefault="005F10CD" w:rsidP="005F10CD">
      <w:pPr>
        <w:autoSpaceDE w:val="0"/>
        <w:autoSpaceDN w:val="0"/>
        <w:adjustRightInd w:val="0"/>
        <w:ind w:left="1134" w:hanging="567"/>
        <w:rPr>
          <w:rFonts w:cs="Arial"/>
          <w:sz w:val="18"/>
          <w:szCs w:val="18"/>
        </w:rPr>
      </w:pPr>
      <w:r>
        <w:rPr>
          <w:rFonts w:cs="Arial"/>
          <w:sz w:val="18"/>
          <w:szCs w:val="18"/>
        </w:rPr>
        <w:t>c)</w:t>
      </w:r>
      <w:r>
        <w:rPr>
          <w:rFonts w:cs="Arial"/>
          <w:sz w:val="18"/>
          <w:szCs w:val="18"/>
        </w:rPr>
        <w:tab/>
        <w:t>Reproduzierbarkeitszählwerte;</w:t>
      </w:r>
    </w:p>
    <w:p w14:paraId="5E557FE1" w14:textId="77777777" w:rsidR="005F10CD" w:rsidRDefault="005F10CD" w:rsidP="005F10CD">
      <w:pPr>
        <w:autoSpaceDE w:val="0"/>
        <w:autoSpaceDN w:val="0"/>
        <w:adjustRightInd w:val="0"/>
        <w:ind w:left="1134" w:hanging="567"/>
        <w:rPr>
          <w:rFonts w:cs="Arial"/>
          <w:sz w:val="18"/>
          <w:szCs w:val="18"/>
        </w:rPr>
      </w:pPr>
      <w:r>
        <w:rPr>
          <w:rFonts w:cs="Arial"/>
          <w:sz w:val="18"/>
          <w:szCs w:val="18"/>
        </w:rPr>
        <w:t>d)</w:t>
      </w:r>
      <w:r>
        <w:rPr>
          <w:rFonts w:cs="Arial"/>
          <w:sz w:val="18"/>
          <w:szCs w:val="18"/>
        </w:rPr>
        <w:tab/>
        <w:t>Möglichkeit, die Daten weiterzugeben und gemeinsam zu verarbeiten;</w:t>
      </w:r>
    </w:p>
    <w:p w14:paraId="1117CC42" w14:textId="77777777" w:rsidR="005F10CD" w:rsidRDefault="005F10CD" w:rsidP="005F10CD">
      <w:pPr>
        <w:autoSpaceDE w:val="0"/>
        <w:autoSpaceDN w:val="0"/>
        <w:adjustRightInd w:val="0"/>
        <w:ind w:left="1134" w:hanging="567"/>
        <w:rPr>
          <w:rFonts w:cs="Arial"/>
          <w:sz w:val="18"/>
          <w:szCs w:val="18"/>
        </w:rPr>
      </w:pPr>
      <w:r>
        <w:rPr>
          <w:rFonts w:cs="Arial"/>
          <w:sz w:val="18"/>
          <w:szCs w:val="18"/>
        </w:rPr>
        <w:t>e)</w:t>
      </w:r>
      <w:r>
        <w:rPr>
          <w:rFonts w:cs="Arial"/>
          <w:sz w:val="18"/>
          <w:szCs w:val="18"/>
        </w:rPr>
        <w:tab/>
        <w:t>Abgleich-Rohdaten (BAM oder CRAM-Dateien) sollten nach Möglichkeit gespeichert werden;</w:t>
      </w:r>
    </w:p>
    <w:p w14:paraId="5903BA92" w14:textId="77777777" w:rsidR="005F10CD" w:rsidRDefault="005F10CD" w:rsidP="005F10CD">
      <w:pPr>
        <w:autoSpaceDE w:val="0"/>
        <w:autoSpaceDN w:val="0"/>
        <w:adjustRightInd w:val="0"/>
        <w:ind w:left="1134" w:hanging="567"/>
        <w:rPr>
          <w:rFonts w:cs="Arial"/>
          <w:sz w:val="18"/>
          <w:szCs w:val="18"/>
        </w:rPr>
      </w:pPr>
      <w:r>
        <w:rPr>
          <w:rFonts w:cs="Arial"/>
          <w:sz w:val="18"/>
          <w:szCs w:val="18"/>
        </w:rPr>
        <w:t>f)</w:t>
      </w:r>
      <w:r>
        <w:rPr>
          <w:rFonts w:cs="Arial"/>
          <w:sz w:val="18"/>
          <w:szCs w:val="18"/>
        </w:rPr>
        <w:tab/>
        <w:t>es muß eine VCF-Datei pro Sorte vorhanden sein, mehrprobenbasierte VCF-Dateien sind nicht geeignet;</w:t>
      </w:r>
    </w:p>
    <w:p w14:paraId="7F194E86" w14:textId="77777777" w:rsidR="005F10CD" w:rsidRDefault="005F10CD" w:rsidP="005F10CD">
      <w:pPr>
        <w:autoSpaceDE w:val="0"/>
        <w:autoSpaceDN w:val="0"/>
        <w:adjustRightInd w:val="0"/>
        <w:ind w:left="1134" w:hanging="567"/>
        <w:rPr>
          <w:rFonts w:cs="Arial"/>
          <w:sz w:val="18"/>
          <w:szCs w:val="18"/>
        </w:rPr>
      </w:pPr>
      <w:r>
        <w:rPr>
          <w:rFonts w:cs="Arial"/>
          <w:sz w:val="18"/>
          <w:szCs w:val="18"/>
        </w:rPr>
        <w:t>g)</w:t>
      </w:r>
      <w:r>
        <w:rPr>
          <w:rFonts w:cs="Arial"/>
          <w:sz w:val="18"/>
          <w:szCs w:val="18"/>
        </w:rPr>
        <w:tab/>
        <w:t>wenn VCF-Dateien gespeichert werden, sollten alle Positionen (sowohl Varianten als auch Nicht-Varianten) sowie deren Tiefe gespeichert werden;</w:t>
      </w:r>
    </w:p>
    <w:p w14:paraId="08E66292" w14:textId="77777777" w:rsidR="005F10CD" w:rsidRDefault="005F10CD" w:rsidP="005F10CD">
      <w:pPr>
        <w:autoSpaceDE w:val="0"/>
        <w:autoSpaceDN w:val="0"/>
        <w:adjustRightInd w:val="0"/>
        <w:ind w:left="1134" w:hanging="567"/>
        <w:rPr>
          <w:rFonts w:cs="Arial"/>
          <w:sz w:val="18"/>
          <w:szCs w:val="18"/>
        </w:rPr>
      </w:pPr>
      <w:r>
        <w:rPr>
          <w:rFonts w:cs="Arial"/>
          <w:sz w:val="18"/>
          <w:szCs w:val="18"/>
        </w:rPr>
        <w:t>h)</w:t>
      </w:r>
      <w:r>
        <w:rPr>
          <w:rFonts w:cs="Arial"/>
          <w:sz w:val="18"/>
          <w:szCs w:val="18"/>
        </w:rPr>
        <w:tab/>
        <w:t>sowohl der heuristische als auch der probabilistische Ansatz sollten erwogen und im Hinblick auf Detektionsmethoden verglichen werden;</w:t>
      </w:r>
    </w:p>
    <w:p w14:paraId="09602022" w14:textId="77777777" w:rsidR="005F10CD" w:rsidRDefault="005F10CD" w:rsidP="005F10CD">
      <w:pPr>
        <w:autoSpaceDE w:val="0"/>
        <w:autoSpaceDN w:val="0"/>
        <w:adjustRightInd w:val="0"/>
        <w:ind w:left="1134" w:hanging="567"/>
        <w:rPr>
          <w:rFonts w:cs="Arial"/>
          <w:sz w:val="18"/>
          <w:szCs w:val="18"/>
        </w:rPr>
      </w:pPr>
      <w:r>
        <w:rPr>
          <w:rFonts w:cs="Arial"/>
          <w:sz w:val="18"/>
          <w:szCs w:val="18"/>
        </w:rPr>
        <w:t>i)</w:t>
      </w:r>
      <w:r>
        <w:rPr>
          <w:rFonts w:cs="Arial"/>
          <w:sz w:val="18"/>
          <w:szCs w:val="18"/>
        </w:rPr>
        <w:tab/>
        <w:t>die Datenbanken sollten die Ein- und Ausgabe von Variantenaufrufdaten in standardisiertem Format (VCF oder BCF) unterstützen;</w:t>
      </w:r>
    </w:p>
    <w:p w14:paraId="47BD6875" w14:textId="77777777" w:rsidR="005F10CD" w:rsidRDefault="005F10CD" w:rsidP="005F10CD">
      <w:pPr>
        <w:autoSpaceDE w:val="0"/>
        <w:autoSpaceDN w:val="0"/>
        <w:adjustRightInd w:val="0"/>
        <w:ind w:left="1134" w:hanging="567"/>
        <w:rPr>
          <w:rFonts w:cs="Arial"/>
          <w:sz w:val="18"/>
          <w:szCs w:val="18"/>
        </w:rPr>
      </w:pPr>
      <w:r>
        <w:rPr>
          <w:rFonts w:cs="Arial"/>
          <w:sz w:val="18"/>
          <w:szCs w:val="18"/>
        </w:rPr>
        <w:t>j)</w:t>
      </w:r>
      <w:r>
        <w:rPr>
          <w:rFonts w:cs="Arial"/>
          <w:sz w:val="18"/>
          <w:szCs w:val="18"/>
        </w:rPr>
        <w:tab/>
        <w:t>die Datenverarbeitungspipeline sollte eine ausführliche Protokolldatei generieren, die zusammen mit den Variantenaufrufdaten zu speichern ist;</w:t>
      </w:r>
    </w:p>
    <w:p w14:paraId="485D1B82" w14:textId="77777777" w:rsidR="005F10CD" w:rsidRDefault="005F10CD" w:rsidP="005F10CD">
      <w:pPr>
        <w:autoSpaceDE w:val="0"/>
        <w:autoSpaceDN w:val="0"/>
        <w:adjustRightInd w:val="0"/>
        <w:ind w:left="1134" w:hanging="567"/>
        <w:rPr>
          <w:rFonts w:cs="Arial"/>
          <w:sz w:val="18"/>
          <w:szCs w:val="18"/>
        </w:rPr>
      </w:pPr>
      <w:r>
        <w:rPr>
          <w:rFonts w:cs="Arial"/>
          <w:sz w:val="18"/>
          <w:szCs w:val="18"/>
        </w:rPr>
        <w:t>k)</w:t>
      </w:r>
      <w:r>
        <w:rPr>
          <w:rFonts w:cs="Arial"/>
          <w:sz w:val="18"/>
          <w:szCs w:val="18"/>
        </w:rPr>
        <w:tab/>
        <w:t>nach Möglichkeit sollten Rohdaten gespeichert werden, so daß die Datenverarbeitung mit neuen oder aktualisierten Tools wiederholt werden kann; und</w:t>
      </w:r>
    </w:p>
    <w:p w14:paraId="36F51D3F" w14:textId="77777777" w:rsidR="005F10CD" w:rsidRDefault="005F10CD" w:rsidP="00670497">
      <w:pPr>
        <w:tabs>
          <w:tab w:val="left" w:pos="1134"/>
        </w:tabs>
        <w:autoSpaceDE w:val="0"/>
        <w:autoSpaceDN w:val="0"/>
        <w:adjustRightInd w:val="0"/>
        <w:ind w:firstLine="567"/>
        <w:rPr>
          <w:rFonts w:cs="Arial"/>
          <w:sz w:val="18"/>
          <w:szCs w:val="18"/>
          <w:highlight w:val="white"/>
        </w:rPr>
      </w:pPr>
      <w:r>
        <w:rPr>
          <w:rFonts w:cs="Arial"/>
          <w:sz w:val="18"/>
          <w:szCs w:val="18"/>
        </w:rPr>
        <w:t>l)</w:t>
      </w:r>
      <w:r>
        <w:rPr>
          <w:rFonts w:cs="Arial"/>
          <w:sz w:val="18"/>
          <w:szCs w:val="18"/>
        </w:rPr>
        <w:tab/>
        <w:t xml:space="preserve">es sollte in bezug auf ein gegebenes Allel ein p-Wert oder ein Unsicherheitshinweis gespeichert </w:t>
      </w:r>
      <w:r w:rsidR="005E7A8F">
        <w:rPr>
          <w:rFonts w:cs="Arial"/>
          <w:sz w:val="18"/>
          <w:szCs w:val="18"/>
        </w:rPr>
        <w:tab/>
      </w:r>
      <w:r>
        <w:rPr>
          <w:rFonts w:cs="Arial"/>
          <w:sz w:val="18"/>
          <w:szCs w:val="18"/>
        </w:rPr>
        <w:t>werden.“</w:t>
      </w:r>
    </w:p>
    <w:p w14:paraId="746FDD9D" w14:textId="77777777" w:rsidR="005F10CD" w:rsidRPr="00162647" w:rsidRDefault="005F10CD" w:rsidP="005F10CD">
      <w:pPr>
        <w:autoSpaceDE w:val="0"/>
        <w:autoSpaceDN w:val="0"/>
        <w:adjustRightInd w:val="0"/>
        <w:rPr>
          <w:rFonts w:cs="Arial"/>
          <w:sz w:val="16"/>
        </w:rPr>
      </w:pPr>
    </w:p>
    <w:p w14:paraId="0295C72D"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4.4</w:t>
      </w:r>
      <w:r w:rsidRPr="00D42510">
        <w:rPr>
          <w:rFonts w:cs="Arial"/>
          <w:i/>
          <w:iCs/>
        </w:rPr>
        <w:tab/>
        <w:t xml:space="preserve">Art der Datenbank </w:t>
      </w:r>
    </w:p>
    <w:p w14:paraId="4706B5A1" w14:textId="55DE2B66"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Wortlaut des neuen Abschnitts 4.4 „Art der Datenbank“ wie folgt zu ändern:</w:t>
      </w:r>
    </w:p>
    <w:p w14:paraId="6772C8BD" w14:textId="77777777" w:rsidR="005F10CD" w:rsidRDefault="005F10CD" w:rsidP="005F10CD">
      <w:pPr>
        <w:autoSpaceDE w:val="0"/>
        <w:autoSpaceDN w:val="0"/>
        <w:adjustRightInd w:val="0"/>
        <w:ind w:left="426"/>
        <w:rPr>
          <w:rFonts w:cs="Arial"/>
        </w:rPr>
      </w:pPr>
    </w:p>
    <w:p w14:paraId="398BF70B" w14:textId="77777777" w:rsidR="005F10CD" w:rsidRDefault="005F10CD" w:rsidP="005F10CD">
      <w:pPr>
        <w:autoSpaceDE w:val="0"/>
        <w:autoSpaceDN w:val="0"/>
        <w:adjustRightInd w:val="0"/>
        <w:ind w:left="426"/>
        <w:rPr>
          <w:rFonts w:cs="Arial"/>
          <w:sz w:val="18"/>
          <w:szCs w:val="18"/>
        </w:rPr>
      </w:pPr>
      <w:r>
        <w:rPr>
          <w:rFonts w:cs="Arial"/>
          <w:sz w:val="18"/>
          <w:szCs w:val="18"/>
        </w:rPr>
        <w:t>„Molekulare Daten können auf zahlreiche Arten gespeichert werden, weshalb es wichtig ist, daß eine Datenbankstruktur entwickelt wird, die mit allen beabsichtigten Verwendungen der Daten kompatibel ist</w:t>
      </w:r>
      <w:r w:rsidRPr="005E7A8F">
        <w:rPr>
          <w:rFonts w:cs="Arial"/>
          <w:sz w:val="18"/>
          <w:szCs w:val="18"/>
          <w:highlight w:val="lightGray"/>
        </w:rPr>
        <w:t xml:space="preserve">. </w:t>
      </w:r>
      <w:r w:rsidRPr="005E7A8F">
        <w:rPr>
          <w:rFonts w:cs="Arial"/>
          <w:sz w:val="18"/>
          <w:szCs w:val="18"/>
          <w:highlight w:val="lightGray"/>
          <w:u w:val="single"/>
        </w:rPr>
        <w:t>Für molekulare Daten, die mittels Sequenzierung der nächsten Generation (NGS) gewonnen wurden, kann das Variantenaufruf-Standardformat VCFv4.2 verwendet werden.</w:t>
      </w:r>
      <w:r w:rsidRPr="005E7A8F">
        <w:rPr>
          <w:rFonts w:cs="Arial"/>
          <w:sz w:val="18"/>
          <w:szCs w:val="18"/>
          <w:highlight w:val="lightGray"/>
          <w:vertAlign w:val="superscript"/>
        </w:rPr>
        <w:t> </w:t>
      </w:r>
      <w:r w:rsidRPr="005E7A8F">
        <w:rPr>
          <w:rFonts w:cs="Arial"/>
          <w:sz w:val="18"/>
          <w:szCs w:val="18"/>
          <w:highlight w:val="lightGray"/>
        </w:rPr>
        <w:t>“</w:t>
      </w:r>
    </w:p>
    <w:p w14:paraId="4991288D" w14:textId="77777777" w:rsidR="005F10CD" w:rsidRDefault="005F10CD" w:rsidP="005F10CD">
      <w:pPr>
        <w:autoSpaceDE w:val="0"/>
        <w:autoSpaceDN w:val="0"/>
        <w:adjustRightInd w:val="0"/>
        <w:rPr>
          <w:rFonts w:cs="Arial"/>
        </w:rPr>
      </w:pPr>
    </w:p>
    <w:p w14:paraId="60CD94F8" w14:textId="77777777" w:rsidR="005F10CD" w:rsidRPr="00D42510" w:rsidRDefault="005F10CD" w:rsidP="005F10CD">
      <w:pPr>
        <w:keepNext/>
        <w:autoSpaceDE w:val="0"/>
        <w:autoSpaceDN w:val="0"/>
        <w:adjustRightInd w:val="0"/>
        <w:spacing w:before="120" w:after="240"/>
        <w:rPr>
          <w:rFonts w:cs="Arial"/>
          <w:i/>
          <w:iCs/>
        </w:rPr>
      </w:pPr>
      <w:r w:rsidRPr="00D42510">
        <w:rPr>
          <w:rFonts w:cs="Arial"/>
          <w:i/>
          <w:iCs/>
        </w:rPr>
        <w:t>Neuer Abschnitt 4.5</w:t>
      </w:r>
      <w:r w:rsidRPr="00D42510">
        <w:rPr>
          <w:rFonts w:cs="Arial"/>
          <w:i/>
          <w:iCs/>
        </w:rPr>
        <w:tab/>
        <w:t xml:space="preserve">Datenbankmodell </w:t>
      </w:r>
    </w:p>
    <w:p w14:paraId="49D8CF93" w14:textId="32BDD831" w:rsidR="005F10CD" w:rsidRPr="00D42510"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D42510">
        <w:rPr>
          <w:rFonts w:cs="Arial"/>
        </w:rPr>
        <w:t>Die BMT vereinbarte, den Wortlaut des neuen Abschnitts 4.5 „Datenbankmodell“ wie folgt zu ändern:</w:t>
      </w:r>
    </w:p>
    <w:p w14:paraId="1DA0204F" w14:textId="77777777" w:rsidR="005F10CD" w:rsidRPr="00162647" w:rsidRDefault="005F10CD" w:rsidP="005F10CD">
      <w:pPr>
        <w:autoSpaceDE w:val="0"/>
        <w:autoSpaceDN w:val="0"/>
        <w:adjustRightInd w:val="0"/>
        <w:rPr>
          <w:rFonts w:cs="Arial"/>
          <w:sz w:val="16"/>
        </w:rPr>
      </w:pPr>
    </w:p>
    <w:p w14:paraId="23042B60" w14:textId="77777777" w:rsidR="005F10CD" w:rsidRDefault="005F10CD" w:rsidP="005F10CD">
      <w:pPr>
        <w:autoSpaceDE w:val="0"/>
        <w:autoSpaceDN w:val="0"/>
        <w:adjustRightInd w:val="0"/>
        <w:ind w:left="426"/>
        <w:rPr>
          <w:rFonts w:cs="Arial"/>
          <w:sz w:val="18"/>
          <w:szCs w:val="18"/>
        </w:rPr>
      </w:pPr>
      <w:r>
        <w:rPr>
          <w:rFonts w:cs="Arial"/>
        </w:rPr>
        <w:t>„</w:t>
      </w:r>
      <w:r>
        <w:rPr>
          <w:rFonts w:cs="Arial"/>
          <w:sz w:val="18"/>
          <w:szCs w:val="18"/>
        </w:rPr>
        <w:t>Das Datenbankmodell sollte von IT-Datenbankexperten zusammen mit den Nutzern der Datenbank festgelegt werden. Das Datenbankmodell sollte mindestens sechs Kernobjekte enthalten:   Art, Sorte,</w:t>
      </w:r>
      <w:r w:rsidRPr="005E7A8F">
        <w:rPr>
          <w:rFonts w:cs="Arial"/>
          <w:strike/>
          <w:sz w:val="18"/>
          <w:szCs w:val="18"/>
          <w:highlight w:val="lightGray"/>
        </w:rPr>
        <w:t>Verfahren,</w:t>
      </w:r>
      <w:r w:rsidRPr="005E7A8F">
        <w:rPr>
          <w:rFonts w:ascii="Calibri" w:hAnsi="Calibri" w:cs="Calibri"/>
          <w:color w:val="000000"/>
          <w:sz w:val="18"/>
          <w:szCs w:val="18"/>
          <w:highlight w:val="lightGray"/>
        </w:rPr>
        <w:t xml:space="preserve"> </w:t>
      </w:r>
      <w:r w:rsidRPr="005E7A8F">
        <w:rPr>
          <w:rFonts w:cs="Arial"/>
          <w:sz w:val="18"/>
          <w:szCs w:val="18"/>
          <w:highlight w:val="lightGray"/>
          <w:u w:val="double"/>
        </w:rPr>
        <w:t>Marker-Detektionsmethode,</w:t>
      </w:r>
      <w:r w:rsidRPr="005E7A8F">
        <w:rPr>
          <w:rFonts w:cs="Arial"/>
          <w:sz w:val="18"/>
          <w:szCs w:val="18"/>
          <w:highlight w:val="lightGray"/>
          <w:vertAlign w:val="superscript"/>
        </w:rPr>
        <w:t> </w:t>
      </w:r>
      <w:r w:rsidRPr="005E7A8F">
        <w:rPr>
          <w:rFonts w:cs="Arial"/>
          <w:b/>
          <w:bCs/>
          <w:sz w:val="18"/>
          <w:szCs w:val="18"/>
          <w:highlight w:val="lightGray"/>
          <w:vertAlign w:val="superscript"/>
        </w:rPr>
        <w:t>Error! Bookmark not defined.</w:t>
      </w:r>
      <w:r w:rsidRPr="005E7A8F">
        <w:rPr>
          <w:rFonts w:cs="Arial"/>
          <w:sz w:val="18"/>
          <w:szCs w:val="18"/>
          <w:highlight w:val="lightGray"/>
        </w:rPr>
        <w:t>,</w:t>
      </w:r>
      <w:r>
        <w:rPr>
          <w:rFonts w:cs="Arial"/>
          <w:sz w:val="18"/>
          <w:szCs w:val="18"/>
        </w:rPr>
        <w:t xml:space="preserve">  Marker,  Locus und Allel</w:t>
      </w:r>
      <w:r w:rsidRPr="005E7A8F">
        <w:rPr>
          <w:rFonts w:cs="Arial"/>
          <w:sz w:val="18"/>
          <w:szCs w:val="18"/>
          <w:highlight w:val="lightGray"/>
        </w:rPr>
        <w:t>.</w:t>
      </w:r>
      <w:r w:rsidR="005E7A8F" w:rsidRPr="005E7A8F">
        <w:rPr>
          <w:rFonts w:cs="Arial"/>
          <w:sz w:val="18"/>
          <w:szCs w:val="18"/>
          <w:highlight w:val="lightGray"/>
        </w:rPr>
        <w:t xml:space="preserve"> </w:t>
      </w:r>
      <w:r w:rsidRPr="005E7A8F">
        <w:rPr>
          <w:rFonts w:cs="Arial"/>
          <w:sz w:val="18"/>
          <w:szCs w:val="18"/>
          <w:highlight w:val="lightGray"/>
          <w:u w:val="single"/>
        </w:rPr>
        <w:t>Bei mittels Sequenzierungsdaten gewonnenen Varianten können die VCF-Dateien in einer relationalen oder einer Nicht-SQL-Datenbank gespeichert werden. In diesem Fall gibt jeder Datenbanksatz in bezug auf eine Variante eine definierte Genomversion sowie Chromosom, Position und Referenzallel an.</w:t>
      </w:r>
      <w:r w:rsidRPr="005E7A8F">
        <w:rPr>
          <w:rFonts w:cs="Arial"/>
          <w:sz w:val="18"/>
          <w:szCs w:val="18"/>
          <w:highlight w:val="lightGray"/>
        </w:rPr>
        <w:t>“</w:t>
      </w:r>
    </w:p>
    <w:p w14:paraId="7200CFF3" w14:textId="77777777" w:rsidR="005F10CD" w:rsidRPr="00162647" w:rsidRDefault="005F10CD" w:rsidP="005F10CD">
      <w:pPr>
        <w:autoSpaceDE w:val="0"/>
        <w:autoSpaceDN w:val="0"/>
        <w:adjustRightInd w:val="0"/>
        <w:rPr>
          <w:rFonts w:cs="Arial"/>
          <w:sz w:val="16"/>
        </w:rPr>
      </w:pPr>
    </w:p>
    <w:p w14:paraId="24368175" w14:textId="77777777" w:rsidR="005F10CD" w:rsidRPr="00931079" w:rsidRDefault="005F10CD" w:rsidP="005F10CD">
      <w:pPr>
        <w:keepNext/>
        <w:autoSpaceDE w:val="0"/>
        <w:autoSpaceDN w:val="0"/>
        <w:adjustRightInd w:val="0"/>
        <w:spacing w:before="120" w:after="240"/>
        <w:rPr>
          <w:rFonts w:cs="Arial"/>
          <w:i/>
          <w:iCs/>
        </w:rPr>
      </w:pPr>
      <w:r w:rsidRPr="00931079">
        <w:rPr>
          <w:rFonts w:cs="Arial"/>
          <w:i/>
          <w:iCs/>
        </w:rPr>
        <w:t xml:space="preserve">Neuer Abschnitt 4.6.1 </w:t>
      </w:r>
    </w:p>
    <w:p w14:paraId="5A1139CC" w14:textId="7481400D" w:rsidR="005F10CD" w:rsidRPr="00931079" w:rsidRDefault="00162647" w:rsidP="005F10CD">
      <w:pPr>
        <w:keepNext/>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931079">
        <w:rPr>
          <w:rFonts w:cs="Arial"/>
        </w:rPr>
        <w:t>Die BMT vereinbarte, den Wortlaut des neuen Abschnitts 4.6.1 wie folgt zu ändern:</w:t>
      </w:r>
    </w:p>
    <w:p w14:paraId="61E32E35" w14:textId="77777777" w:rsidR="005F10CD" w:rsidRPr="00931079" w:rsidRDefault="005F10CD" w:rsidP="005F10CD">
      <w:pPr>
        <w:keepNext/>
        <w:autoSpaceDE w:val="0"/>
        <w:autoSpaceDN w:val="0"/>
        <w:adjustRightInd w:val="0"/>
        <w:rPr>
          <w:rFonts w:cs="Arial"/>
          <w:sz w:val="16"/>
          <w:szCs w:val="18"/>
        </w:rPr>
      </w:pPr>
    </w:p>
    <w:p w14:paraId="6370A50F" w14:textId="77777777" w:rsidR="005F10CD" w:rsidRDefault="005F10CD" w:rsidP="005F10CD">
      <w:pPr>
        <w:keepNext/>
        <w:autoSpaceDE w:val="0"/>
        <w:autoSpaceDN w:val="0"/>
        <w:adjustRightInd w:val="0"/>
        <w:ind w:left="426"/>
        <w:rPr>
          <w:rFonts w:cs="Arial"/>
          <w:sz w:val="18"/>
          <w:szCs w:val="18"/>
        </w:rPr>
      </w:pPr>
      <w:r w:rsidRPr="005E7A8F">
        <w:rPr>
          <w:rFonts w:cs="Arial"/>
          <w:sz w:val="18"/>
          <w:szCs w:val="18"/>
          <w:highlight w:val="lightGray"/>
        </w:rPr>
        <w:t>„</w:t>
      </w:r>
      <w:r w:rsidRPr="005E7A8F">
        <w:rPr>
          <w:rFonts w:cs="Arial"/>
          <w:sz w:val="18"/>
          <w:szCs w:val="18"/>
          <w:highlight w:val="lightGray"/>
          <w:u w:val="single"/>
        </w:rPr>
        <w:t>4.6.1</w:t>
      </w:r>
      <w:r>
        <w:rPr>
          <w:rFonts w:cs="Arial"/>
          <w:sz w:val="18"/>
          <w:szCs w:val="18"/>
        </w:rPr>
        <w:tab/>
        <w:t>In einer Datenbank wird jedes der Objekte zu einer Tabelle, in der Felder festgelegt sind,   beispielsweise:</w:t>
      </w:r>
    </w:p>
    <w:p w14:paraId="73790950" w14:textId="77777777" w:rsidR="005F10CD" w:rsidRDefault="005F10CD" w:rsidP="005F10CD">
      <w:pPr>
        <w:autoSpaceDE w:val="0"/>
        <w:autoSpaceDN w:val="0"/>
        <w:adjustRightInd w:val="0"/>
        <w:ind w:left="426"/>
        <w:rPr>
          <w:rFonts w:cs="Arial"/>
          <w:sz w:val="18"/>
          <w:szCs w:val="18"/>
        </w:rPr>
      </w:pPr>
    </w:p>
    <w:p w14:paraId="05672C3D" w14:textId="77777777" w:rsidR="005F10CD" w:rsidRDefault="005F10CD" w:rsidP="005F10CD">
      <w:pPr>
        <w:autoSpaceDE w:val="0"/>
        <w:autoSpaceDN w:val="0"/>
        <w:adjustRightInd w:val="0"/>
        <w:ind w:left="426"/>
        <w:rPr>
          <w:rFonts w:cs="Arial"/>
          <w:sz w:val="18"/>
          <w:szCs w:val="18"/>
        </w:rPr>
      </w:pPr>
      <w:r>
        <w:rPr>
          <w:rFonts w:cs="Arial"/>
          <w:sz w:val="18"/>
          <w:szCs w:val="18"/>
        </w:rPr>
        <w:t>a)</w:t>
      </w:r>
      <w:r>
        <w:rPr>
          <w:rFonts w:cs="Arial"/>
          <w:sz w:val="18"/>
          <w:szCs w:val="18"/>
        </w:rPr>
        <w:tab/>
      </w:r>
      <w:r w:rsidRPr="005E7A8F">
        <w:rPr>
          <w:rFonts w:cs="Arial"/>
          <w:strike/>
          <w:sz w:val="18"/>
          <w:szCs w:val="18"/>
          <w:highlight w:val="lightGray"/>
        </w:rPr>
        <w:t xml:space="preserve">Verfahrens-/Markercode </w:t>
      </w:r>
      <w:r w:rsidRPr="005E7A8F">
        <w:rPr>
          <w:rFonts w:cs="Arial"/>
          <w:sz w:val="18"/>
          <w:szCs w:val="18"/>
          <w:highlight w:val="lightGray"/>
        </w:rPr>
        <w:t xml:space="preserve"> </w:t>
      </w:r>
      <w:r w:rsidRPr="005E7A8F">
        <w:rPr>
          <w:rFonts w:cs="Arial"/>
          <w:sz w:val="18"/>
          <w:szCs w:val="18"/>
          <w:highlight w:val="lightGray"/>
          <w:u w:val="single"/>
        </w:rPr>
        <w:t>Markertyp</w:t>
      </w:r>
      <w:r w:rsidRPr="005E7A8F">
        <w:rPr>
          <w:rFonts w:cs="Arial"/>
          <w:sz w:val="18"/>
          <w:szCs w:val="18"/>
          <w:highlight w:val="lightGray"/>
        </w:rPr>
        <w:t>:</w:t>
      </w:r>
      <w:r>
        <w:rPr>
          <w:rFonts w:cs="Arial"/>
          <w:sz w:val="18"/>
          <w:szCs w:val="18"/>
        </w:rPr>
        <w:t xml:space="preserve"> Gibt den Code oder den Namen des Verfahrens oder den Typ des verwendeten Markers an, z..B. SSR, SNP usw.</w:t>
      </w:r>
    </w:p>
    <w:p w14:paraId="6218E278" w14:textId="77777777" w:rsidR="005F10CD" w:rsidRDefault="005F10CD" w:rsidP="005F10CD">
      <w:pPr>
        <w:autoSpaceDE w:val="0"/>
        <w:autoSpaceDN w:val="0"/>
        <w:adjustRightInd w:val="0"/>
        <w:ind w:left="426"/>
        <w:rPr>
          <w:rFonts w:cs="Arial"/>
          <w:sz w:val="18"/>
          <w:szCs w:val="18"/>
        </w:rPr>
      </w:pPr>
    </w:p>
    <w:p w14:paraId="6FB50C47" w14:textId="77777777" w:rsidR="005F10CD" w:rsidRDefault="005F10CD" w:rsidP="005F10CD">
      <w:pPr>
        <w:autoSpaceDE w:val="0"/>
        <w:autoSpaceDN w:val="0"/>
        <w:adjustRightInd w:val="0"/>
        <w:ind w:left="426"/>
        <w:rPr>
          <w:rFonts w:cs="Arial"/>
          <w:sz w:val="18"/>
          <w:szCs w:val="18"/>
        </w:rPr>
      </w:pPr>
      <w:r>
        <w:rPr>
          <w:rFonts w:cs="Arial"/>
          <w:sz w:val="18"/>
          <w:szCs w:val="18"/>
        </w:rPr>
        <w:t>b)</w:t>
      </w:r>
      <w:r>
        <w:rPr>
          <w:rFonts w:cs="Arial"/>
          <w:sz w:val="18"/>
          <w:szCs w:val="18"/>
        </w:rPr>
        <w:tab/>
      </w:r>
      <w:r w:rsidRPr="005E7A8F">
        <w:rPr>
          <w:rFonts w:cs="Arial"/>
          <w:sz w:val="18"/>
          <w:szCs w:val="18"/>
          <w:highlight w:val="lightGray"/>
          <w:u w:val="single"/>
        </w:rPr>
        <w:t xml:space="preserve">Position im Referenzgenom / </w:t>
      </w:r>
      <w:r>
        <w:rPr>
          <w:rFonts w:cs="Arial"/>
          <w:sz w:val="18"/>
          <w:szCs w:val="18"/>
        </w:rPr>
        <w:t xml:space="preserve"> Locuscode: </w:t>
      </w:r>
      <w:r w:rsidRPr="005E7A8F">
        <w:rPr>
          <w:rFonts w:cs="Arial"/>
          <w:sz w:val="18"/>
          <w:szCs w:val="18"/>
          <w:highlight w:val="lightGray"/>
          <w:u w:val="single"/>
        </w:rPr>
        <w:t xml:space="preserve">Sofern für die betreffende Art ein Regerenzgenom verfügbar ist, sollten vorzugsweise eine Genomaufbauversion, ein Chromosom und eine Position angegeben werden, z. B. SL2.50ch05:63309763 für Tomate </w:t>
      </w:r>
      <w:r w:rsidRPr="005E7A8F">
        <w:rPr>
          <w:rFonts w:cs="Arial"/>
          <w:i/>
          <w:iCs/>
          <w:sz w:val="18"/>
          <w:szCs w:val="18"/>
          <w:highlight w:val="lightGray"/>
          <w:u w:val="single"/>
        </w:rPr>
        <w:t>Solanum lycopersicum</w:t>
      </w:r>
      <w:r w:rsidRPr="005E7A8F">
        <w:rPr>
          <w:rFonts w:cs="Arial"/>
          <w:sz w:val="18"/>
          <w:szCs w:val="18"/>
          <w:highlight w:val="lightGray"/>
          <w:u w:val="single"/>
        </w:rPr>
        <w:t>, Aufbauversion 2.50 auf Chromosom 5, Position 63309763. Falls kein Referenzgenom verfügbar oder der Standort unbekannt ist,</w:t>
      </w:r>
      <w:r w:rsidRPr="005E7A8F">
        <w:rPr>
          <w:rFonts w:cs="Arial"/>
          <w:sz w:val="18"/>
          <w:szCs w:val="18"/>
          <w:highlight w:val="lightGray"/>
        </w:rPr>
        <w:t xml:space="preserve"> </w:t>
      </w:r>
      <w:r w:rsidRPr="005E7A8F">
        <w:rPr>
          <w:rFonts w:cs="Arial"/>
          <w:sz w:val="18"/>
          <w:szCs w:val="18"/>
          <w:highlight w:val="lightGray"/>
          <w:u w:val="single"/>
        </w:rPr>
        <w:t>kann</w:t>
      </w:r>
      <w:r w:rsidRPr="005E7A8F">
        <w:rPr>
          <w:rFonts w:cs="Arial"/>
          <w:sz w:val="18"/>
          <w:szCs w:val="18"/>
          <w:u w:val="single"/>
        </w:rPr>
        <w:t xml:space="preserve"> </w:t>
      </w:r>
      <w:r>
        <w:rPr>
          <w:rFonts w:cs="Arial"/>
          <w:sz w:val="18"/>
          <w:szCs w:val="18"/>
        </w:rPr>
        <w:t>für die betreffende Art ein Name o</w:t>
      </w:r>
      <w:r w:rsidR="0059090F">
        <w:rPr>
          <w:rFonts w:cs="Arial"/>
          <w:sz w:val="18"/>
          <w:szCs w:val="18"/>
        </w:rPr>
        <w:t>de</w:t>
      </w:r>
      <w:r>
        <w:rPr>
          <w:rFonts w:cs="Arial"/>
          <w:sz w:val="18"/>
          <w:szCs w:val="18"/>
        </w:rPr>
        <w:t xml:space="preserve">r Locuscode </w:t>
      </w:r>
      <w:r w:rsidRPr="005E7A8F">
        <w:rPr>
          <w:rFonts w:cs="Arial"/>
          <w:sz w:val="18"/>
          <w:szCs w:val="18"/>
          <w:highlight w:val="lightGray"/>
          <w:u w:val="single"/>
        </w:rPr>
        <w:t>angegeben werden</w:t>
      </w:r>
      <w:r>
        <w:rPr>
          <w:rFonts w:cs="Arial"/>
          <w:sz w:val="18"/>
          <w:szCs w:val="18"/>
        </w:rPr>
        <w:t>, z. B. gwm 149, A2 usw.</w:t>
      </w:r>
    </w:p>
    <w:p w14:paraId="0FA4F535" w14:textId="77777777" w:rsidR="005F10CD" w:rsidRDefault="005F10CD" w:rsidP="005F10CD">
      <w:pPr>
        <w:autoSpaceDE w:val="0"/>
        <w:autoSpaceDN w:val="0"/>
        <w:adjustRightInd w:val="0"/>
        <w:ind w:left="426"/>
        <w:rPr>
          <w:rFonts w:cs="Arial"/>
          <w:sz w:val="18"/>
          <w:szCs w:val="18"/>
        </w:rPr>
      </w:pPr>
    </w:p>
    <w:p w14:paraId="465FBE02" w14:textId="77777777" w:rsidR="005F10CD" w:rsidRDefault="005F10CD" w:rsidP="005F10CD">
      <w:pPr>
        <w:autoSpaceDE w:val="0"/>
        <w:autoSpaceDN w:val="0"/>
        <w:adjustRightInd w:val="0"/>
        <w:ind w:left="426"/>
        <w:rPr>
          <w:rFonts w:cs="Arial"/>
          <w:sz w:val="18"/>
          <w:szCs w:val="18"/>
        </w:rPr>
      </w:pPr>
      <w:r>
        <w:rPr>
          <w:rFonts w:cs="Arial"/>
          <w:sz w:val="18"/>
          <w:szCs w:val="18"/>
        </w:rPr>
        <w:t>c)</w:t>
      </w:r>
      <w:r>
        <w:rPr>
          <w:rFonts w:cs="Arial"/>
          <w:sz w:val="18"/>
          <w:szCs w:val="18"/>
        </w:rPr>
        <w:tab/>
      </w:r>
      <w:r>
        <w:rPr>
          <w:rFonts w:cs="Arial"/>
          <w:strike/>
          <w:sz w:val="18"/>
          <w:szCs w:val="18"/>
          <w:highlight w:val="white"/>
        </w:rPr>
        <w:t>Allel</w:t>
      </w:r>
      <w:r>
        <w:rPr>
          <w:rFonts w:cs="Arial"/>
          <w:strike/>
          <w:sz w:val="18"/>
          <w:szCs w:val="18"/>
          <w:highlight w:val="lightGray"/>
        </w:rPr>
        <w:t>code</w:t>
      </w:r>
      <w:r>
        <w:rPr>
          <w:rFonts w:cs="Arial"/>
          <w:sz w:val="18"/>
          <w:szCs w:val="18"/>
        </w:rPr>
        <w:t xml:space="preserve"> </w:t>
      </w:r>
      <w:r w:rsidRPr="005E7A8F">
        <w:rPr>
          <w:rFonts w:cs="Arial"/>
          <w:sz w:val="18"/>
          <w:szCs w:val="18"/>
          <w:highlight w:val="lightGray"/>
          <w:u w:val="single"/>
        </w:rPr>
        <w:t>Genotyp: Für SNP-Profile sollte die Allelzusammensetzung von SNP oder MNP angegeben werden, z.. B. A/T oder A/A.  Für andere Verfahren</w:t>
      </w:r>
      <w:r>
        <w:rPr>
          <w:rFonts w:cs="Arial"/>
          <w:sz w:val="18"/>
          <w:szCs w:val="18"/>
          <w:vertAlign w:val="superscript"/>
        </w:rPr>
        <w:t> </w:t>
      </w:r>
      <w:r>
        <w:rPr>
          <w:rFonts w:cs="Arial"/>
          <w:sz w:val="18"/>
          <w:szCs w:val="18"/>
        </w:rPr>
        <w:t xml:space="preserve">gibt der Genotyp </w:t>
      </w:r>
      <w:r>
        <w:rPr>
          <w:rFonts w:cs="Arial"/>
          <w:sz w:val="18"/>
          <w:szCs w:val="18"/>
          <w:highlight w:val="white"/>
          <w:u w:val="single"/>
        </w:rPr>
        <w:t xml:space="preserve">den </w:t>
      </w:r>
      <w:r>
        <w:rPr>
          <w:rFonts w:cs="Arial"/>
          <w:sz w:val="18"/>
          <w:szCs w:val="18"/>
        </w:rPr>
        <w:t>Namen oder den Code des Allels eines gegebenen Locus für die betreffende Art an, z. B. 1, 123 usw.“</w:t>
      </w:r>
    </w:p>
    <w:p w14:paraId="62091EB4" w14:textId="77777777" w:rsidR="005F10CD" w:rsidRPr="00162647" w:rsidRDefault="005F10CD" w:rsidP="005F10CD">
      <w:pPr>
        <w:autoSpaceDE w:val="0"/>
        <w:autoSpaceDN w:val="0"/>
        <w:adjustRightInd w:val="0"/>
        <w:rPr>
          <w:rFonts w:cs="Arial"/>
          <w:sz w:val="16"/>
          <w:szCs w:val="18"/>
        </w:rPr>
      </w:pPr>
    </w:p>
    <w:p w14:paraId="12EBC047" w14:textId="77777777" w:rsidR="005F10CD" w:rsidRDefault="005F10CD" w:rsidP="005F10CD">
      <w:pPr>
        <w:autoSpaceDE w:val="0"/>
        <w:autoSpaceDN w:val="0"/>
        <w:adjustRightInd w:val="0"/>
        <w:ind w:left="426"/>
        <w:rPr>
          <w:rFonts w:cs="Arial"/>
          <w:sz w:val="18"/>
          <w:szCs w:val="18"/>
        </w:rPr>
      </w:pPr>
      <w:r>
        <w:rPr>
          <w:rFonts w:cs="Arial"/>
          <w:sz w:val="18"/>
          <w:szCs w:val="18"/>
        </w:rPr>
        <w:t>d)</w:t>
      </w:r>
      <w:r>
        <w:rPr>
          <w:rFonts w:cs="Arial"/>
          <w:sz w:val="18"/>
          <w:szCs w:val="18"/>
        </w:rPr>
        <w:tab/>
      </w:r>
      <w:r w:rsidRPr="005E7A8F">
        <w:rPr>
          <w:rFonts w:cs="Arial"/>
          <w:sz w:val="18"/>
          <w:szCs w:val="18"/>
          <w:highlight w:val="lightGray"/>
          <w:u w:val="single"/>
        </w:rPr>
        <w:t>Alleltiefen /</w:t>
      </w:r>
      <w:r>
        <w:rPr>
          <w:rFonts w:cs="Arial"/>
          <w:sz w:val="18"/>
          <w:szCs w:val="18"/>
        </w:rPr>
        <w:t xml:space="preserve"> Datenwert:  </w:t>
      </w:r>
      <w:r w:rsidRPr="005E7A8F">
        <w:rPr>
          <w:rFonts w:cs="Arial"/>
          <w:sz w:val="18"/>
          <w:szCs w:val="18"/>
          <w:highlight w:val="lightGray"/>
          <w:u w:val="single"/>
        </w:rPr>
        <w:t>Für SNP, die aus den Sequenzierungsdaten der nächsten Generation gewonnen werden, sollte die Tiefe der Verteilung für Allele angeben werden, z..B. 10/20 für ein A/T-Allel, bei dem A durch 10 Lesungen und T durch 20 abgedeckt ist.) Andernfalls</w:t>
      </w:r>
      <w:r>
        <w:rPr>
          <w:rFonts w:cs="Arial"/>
          <w:sz w:val="18"/>
          <w:szCs w:val="18"/>
          <w:vertAlign w:val="superscript"/>
        </w:rPr>
        <w:t xml:space="preserve">  </w:t>
      </w:r>
      <w:r>
        <w:rPr>
          <w:rFonts w:cs="Arial"/>
          <w:sz w:val="18"/>
          <w:szCs w:val="18"/>
        </w:rPr>
        <w:t>sollte ein Datenwert für eine gegebene Probe auf einem gegebenen Locus-Allel angegeben werden, z.B. 0 (Fehlen), 1 (Vorhandensein), 0.25 (Häufigkeit) usw.</w:t>
      </w:r>
    </w:p>
    <w:p w14:paraId="793C11F2" w14:textId="77777777" w:rsidR="005F10CD" w:rsidRDefault="005F10CD" w:rsidP="005F10CD">
      <w:pPr>
        <w:autoSpaceDE w:val="0"/>
        <w:autoSpaceDN w:val="0"/>
        <w:adjustRightInd w:val="0"/>
        <w:ind w:left="426"/>
        <w:rPr>
          <w:rFonts w:cs="Arial"/>
          <w:sz w:val="18"/>
          <w:szCs w:val="18"/>
        </w:rPr>
      </w:pPr>
    </w:p>
    <w:p w14:paraId="10896CEC" w14:textId="77777777" w:rsidR="005F10CD" w:rsidRDefault="005F10CD" w:rsidP="005F10CD">
      <w:pPr>
        <w:autoSpaceDE w:val="0"/>
        <w:autoSpaceDN w:val="0"/>
        <w:adjustRightInd w:val="0"/>
        <w:ind w:left="426"/>
        <w:rPr>
          <w:rFonts w:cs="Arial"/>
          <w:sz w:val="18"/>
          <w:szCs w:val="18"/>
        </w:rPr>
      </w:pPr>
      <w:r>
        <w:rPr>
          <w:rFonts w:cs="Arial"/>
          <w:sz w:val="18"/>
          <w:szCs w:val="18"/>
        </w:rPr>
        <w:t>e)</w:t>
      </w:r>
      <w:r>
        <w:rPr>
          <w:rFonts w:cs="Arial"/>
          <w:sz w:val="18"/>
          <w:szCs w:val="18"/>
        </w:rPr>
        <w:tab/>
        <w:t xml:space="preserve">Sorte: </w:t>
      </w:r>
      <w:r>
        <w:rPr>
          <w:rFonts w:cs="Arial"/>
          <w:sz w:val="18"/>
          <w:szCs w:val="18"/>
          <w:highlight w:val="lightGray"/>
          <w:u w:val="single"/>
        </w:rPr>
        <w:t>Sortenbezeichnung oder Angabe des Züchters:</w:t>
      </w:r>
      <w:r>
        <w:rPr>
          <w:rFonts w:cs="Arial"/>
          <w:sz w:val="18"/>
          <w:szCs w:val="18"/>
          <w:vertAlign w:val="superscript"/>
        </w:rPr>
        <w:t> </w:t>
      </w:r>
      <w:r>
        <w:rPr>
          <w:rFonts w:cs="Arial"/>
          <w:sz w:val="18"/>
          <w:szCs w:val="18"/>
        </w:rPr>
        <w:t xml:space="preserve"> Die Sorte ist das Ziel, für das die Daten gewonnen wurden. </w:t>
      </w:r>
      <w:r>
        <w:rPr>
          <w:rFonts w:cs="Arial"/>
          <w:strike/>
          <w:sz w:val="18"/>
          <w:szCs w:val="18"/>
          <w:highlight w:val="lightGray"/>
        </w:rPr>
        <w:t>Bündelung</w:t>
      </w:r>
      <w:r w:rsidR="0059090F">
        <w:rPr>
          <w:rFonts w:cs="Arial"/>
          <w:strike/>
          <w:sz w:val="18"/>
          <w:szCs w:val="18"/>
          <w:highlight w:val="lightGray"/>
        </w:rPr>
        <w:t xml:space="preserve"> </w:t>
      </w:r>
      <w:r>
        <w:rPr>
          <w:rFonts w:cs="Arial"/>
          <w:sz w:val="18"/>
          <w:szCs w:val="18"/>
          <w:highlight w:val="lightGray"/>
          <w:u w:val="single"/>
        </w:rPr>
        <w:t>Art der Sorte: z.B. Inzuchtlinie oder Hybrid</w:t>
      </w:r>
      <w:r>
        <w:rPr>
          <w:rFonts w:cs="Arial"/>
          <w:sz w:val="18"/>
          <w:szCs w:val="18"/>
          <w:vertAlign w:val="superscript"/>
        </w:rPr>
        <w:t> </w:t>
      </w:r>
      <w:r>
        <w:rPr>
          <w:rFonts w:cs="Arial"/>
          <w:sz w:val="18"/>
          <w:szCs w:val="18"/>
        </w:rPr>
        <w:t xml:space="preserve"> </w:t>
      </w:r>
    </w:p>
    <w:p w14:paraId="032464E4" w14:textId="77777777" w:rsidR="005F10CD" w:rsidRDefault="005F10CD" w:rsidP="005F10CD">
      <w:pPr>
        <w:autoSpaceDE w:val="0"/>
        <w:autoSpaceDN w:val="0"/>
        <w:adjustRightInd w:val="0"/>
        <w:ind w:left="426"/>
        <w:rPr>
          <w:rFonts w:cs="Arial"/>
          <w:sz w:val="18"/>
          <w:szCs w:val="18"/>
        </w:rPr>
      </w:pPr>
    </w:p>
    <w:p w14:paraId="263F396D" w14:textId="77777777" w:rsidR="005F10CD" w:rsidRDefault="005F10CD" w:rsidP="005F10CD">
      <w:pPr>
        <w:autoSpaceDE w:val="0"/>
        <w:autoSpaceDN w:val="0"/>
        <w:adjustRightInd w:val="0"/>
        <w:ind w:left="426"/>
        <w:rPr>
          <w:rFonts w:cs="Arial"/>
          <w:sz w:val="18"/>
          <w:szCs w:val="18"/>
        </w:rPr>
      </w:pPr>
    </w:p>
    <w:p w14:paraId="628ABFB9" w14:textId="77777777" w:rsidR="005F10CD" w:rsidRPr="00162647" w:rsidRDefault="005F10CD" w:rsidP="005F10CD">
      <w:pPr>
        <w:autoSpaceDE w:val="0"/>
        <w:autoSpaceDN w:val="0"/>
        <w:adjustRightInd w:val="0"/>
        <w:ind w:left="426"/>
        <w:rPr>
          <w:rFonts w:cs="Arial"/>
          <w:sz w:val="16"/>
        </w:rPr>
      </w:pPr>
      <w:r>
        <w:rPr>
          <w:rFonts w:cs="Arial"/>
          <w:sz w:val="18"/>
          <w:szCs w:val="18"/>
        </w:rPr>
        <w:t>f)</w:t>
      </w:r>
      <w:r>
        <w:rPr>
          <w:rFonts w:cs="Arial"/>
          <w:sz w:val="18"/>
          <w:szCs w:val="18"/>
        </w:rPr>
        <w:tab/>
        <w:t>Art: die Art wird durch den botanischen Namen oder den landesüblichen Namen angegeben, der sich mitunter auch auf den Sortentyp bezieht (z. B. Verwendung, Winter-/Sommertyp usw.).</w:t>
      </w:r>
      <w:r>
        <w:rPr>
          <w:rFonts w:cs="Arial"/>
          <w:sz w:val="18"/>
          <w:szCs w:val="18"/>
        </w:rPr>
        <w:br/>
        <w:t>Die Verwendung des UPOV-Codes würde die Probleme mit Synonymen lösen und wäre daher für die Koordinierung von Vorteil.</w:t>
      </w:r>
      <w:r w:rsidR="00931079">
        <w:rPr>
          <w:rFonts w:cs="Arial"/>
          <w:sz w:val="18"/>
          <w:szCs w:val="18"/>
        </w:rPr>
        <w:t>“</w:t>
      </w:r>
      <w:r>
        <w:rPr>
          <w:rFonts w:cs="Arial"/>
          <w:sz w:val="18"/>
          <w:szCs w:val="18"/>
        </w:rPr>
        <w:br/>
      </w:r>
    </w:p>
    <w:p w14:paraId="7FEA04BA" w14:textId="77777777" w:rsidR="005F10CD" w:rsidRPr="00931079" w:rsidRDefault="005F10CD" w:rsidP="005F10CD">
      <w:pPr>
        <w:keepNext/>
        <w:autoSpaceDE w:val="0"/>
        <w:autoSpaceDN w:val="0"/>
        <w:adjustRightInd w:val="0"/>
        <w:spacing w:before="120" w:after="240"/>
        <w:rPr>
          <w:rFonts w:cs="Arial"/>
          <w:i/>
          <w:iCs/>
        </w:rPr>
      </w:pPr>
      <w:r w:rsidRPr="00931079">
        <w:rPr>
          <w:rFonts w:cs="Arial"/>
          <w:i/>
          <w:iCs/>
        </w:rPr>
        <w:t>Abschnitt 6</w:t>
      </w:r>
    </w:p>
    <w:p w14:paraId="4FC462AF" w14:textId="3C2C5502" w:rsidR="005F10CD" w:rsidRPr="00931079"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931079">
        <w:rPr>
          <w:rFonts w:cs="Arial"/>
        </w:rPr>
        <w:t xml:space="preserve">Die BMT vereinbarte, die Abschnitte 6.4, 6.5, 6.6, 6.7 und 6.8 zu streichen. </w:t>
      </w:r>
    </w:p>
    <w:p w14:paraId="3C0AAB04" w14:textId="77777777" w:rsidR="005F10CD" w:rsidRPr="00931079" w:rsidRDefault="005F10CD" w:rsidP="005F10CD">
      <w:pPr>
        <w:autoSpaceDE w:val="0"/>
        <w:autoSpaceDN w:val="0"/>
        <w:adjustRightInd w:val="0"/>
        <w:rPr>
          <w:rFonts w:cs="Arial"/>
        </w:rPr>
      </w:pPr>
    </w:p>
    <w:p w14:paraId="004F9153" w14:textId="6FD3C69B" w:rsidR="005F10CD" w:rsidRPr="00931079"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931079">
        <w:rPr>
          <w:rFonts w:cs="Arial"/>
        </w:rPr>
        <w:t xml:space="preserve">Die BMT vereinbarte, daß der Text von Abschnitt 6.6 „Datenzugang / Dateneigentum“ wieder eingefügt werden soll. </w:t>
      </w:r>
    </w:p>
    <w:p w14:paraId="0786BA9A" w14:textId="77777777" w:rsidR="005F10CD" w:rsidRPr="00162647" w:rsidRDefault="005F10CD" w:rsidP="005F10CD">
      <w:pPr>
        <w:autoSpaceDE w:val="0"/>
        <w:autoSpaceDN w:val="0"/>
        <w:adjustRightInd w:val="0"/>
        <w:rPr>
          <w:rFonts w:cs="Arial"/>
          <w:sz w:val="18"/>
        </w:rPr>
      </w:pPr>
    </w:p>
    <w:p w14:paraId="56B1682F" w14:textId="77777777" w:rsidR="005F10CD" w:rsidRPr="00931079" w:rsidRDefault="005F10CD" w:rsidP="005F10CD">
      <w:pPr>
        <w:keepNext/>
        <w:autoSpaceDE w:val="0"/>
        <w:autoSpaceDN w:val="0"/>
        <w:adjustRightInd w:val="0"/>
        <w:spacing w:before="120" w:after="240"/>
        <w:rPr>
          <w:rFonts w:cs="Arial"/>
          <w:i/>
          <w:iCs/>
        </w:rPr>
      </w:pPr>
      <w:r w:rsidRPr="00931079">
        <w:rPr>
          <w:rFonts w:cs="Arial"/>
          <w:i/>
          <w:iCs/>
        </w:rPr>
        <w:t>Neuer Abschnitt 5.   Datenaustausch</w:t>
      </w:r>
    </w:p>
    <w:p w14:paraId="6EF6AACE" w14:textId="71034CCD" w:rsidR="005F10CD" w:rsidRPr="00931079"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931079">
        <w:rPr>
          <w:rFonts w:cs="Arial"/>
        </w:rPr>
        <w:t>Die BMT vereinbarte, daß allgemeine Sätze aus dem neuen Abschnitt 5 im Hauptdokument beibehalten werden sollen, wohingegen Text in bezug auf technische Einzelheiten in die Anlage zu einem neuen Entwurf verschoben werden soll.</w:t>
      </w:r>
    </w:p>
    <w:p w14:paraId="0803864B" w14:textId="77777777" w:rsidR="005F10CD" w:rsidRPr="00931079" w:rsidRDefault="005F10CD" w:rsidP="005F10CD">
      <w:pPr>
        <w:autoSpaceDE w:val="0"/>
        <w:autoSpaceDN w:val="0"/>
        <w:adjustRightInd w:val="0"/>
        <w:rPr>
          <w:rFonts w:cs="Arial"/>
        </w:rPr>
      </w:pPr>
    </w:p>
    <w:p w14:paraId="0A439CA1" w14:textId="7EDEA3F1" w:rsidR="005F10CD" w:rsidRPr="00931079"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931079">
        <w:rPr>
          <w:rFonts w:cs="Arial"/>
        </w:rPr>
        <w:t>Die BMT vereinbarte, daß in einem neuen Entwurf Datenübertragungsverfahren erwähnt werden sollen. China wird aufgefordert, der Europäischen Union, Frankreich und den Niederlanden einen Entwurf zu Datenübertragungsverfahren an die Hand zu geben, der auch Beispiele enthält.</w:t>
      </w:r>
    </w:p>
    <w:p w14:paraId="5EDC7480" w14:textId="77777777" w:rsidR="005F10CD" w:rsidRPr="00162647" w:rsidRDefault="005F10CD" w:rsidP="00162647">
      <w:pPr>
        <w:rPr>
          <w:sz w:val="16"/>
        </w:rPr>
      </w:pPr>
    </w:p>
    <w:p w14:paraId="4A6E2C30" w14:textId="77777777" w:rsidR="005F10CD" w:rsidRPr="00931079" w:rsidRDefault="005F10CD" w:rsidP="005F10CD">
      <w:pPr>
        <w:keepNext/>
        <w:autoSpaceDE w:val="0"/>
        <w:autoSpaceDN w:val="0"/>
        <w:adjustRightInd w:val="0"/>
        <w:spacing w:before="120" w:after="240"/>
        <w:rPr>
          <w:rFonts w:cs="Arial"/>
          <w:i/>
          <w:iCs/>
        </w:rPr>
      </w:pPr>
      <w:r w:rsidRPr="00931079">
        <w:rPr>
          <w:rFonts w:cs="Arial"/>
          <w:i/>
          <w:iCs/>
        </w:rPr>
        <w:t>Zusammenfassung</w:t>
      </w:r>
    </w:p>
    <w:p w14:paraId="7FA21788" w14:textId="7072DBD4" w:rsidR="005F10CD" w:rsidRPr="00931079"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931079">
        <w:rPr>
          <w:rFonts w:cs="Arial"/>
        </w:rPr>
        <w:t>Die BMT vereinbarte, den Wortlaut der Zusammenfassung wie folgt zu ändern:</w:t>
      </w:r>
    </w:p>
    <w:p w14:paraId="086DC468" w14:textId="77777777" w:rsidR="005F10CD" w:rsidRPr="00162647" w:rsidRDefault="005F10CD" w:rsidP="005F10CD">
      <w:pPr>
        <w:keepNext/>
        <w:autoSpaceDE w:val="0"/>
        <w:autoSpaceDN w:val="0"/>
        <w:adjustRightInd w:val="0"/>
        <w:ind w:left="567" w:hanging="567"/>
        <w:rPr>
          <w:rFonts w:cs="Arial"/>
          <w:iCs/>
          <w:sz w:val="16"/>
          <w:szCs w:val="18"/>
          <w:highlight w:val="white"/>
        </w:rPr>
      </w:pPr>
    </w:p>
    <w:p w14:paraId="761470F7" w14:textId="77777777" w:rsidR="005F10CD" w:rsidRDefault="005F10CD" w:rsidP="005F10CD">
      <w:pPr>
        <w:keepNext/>
        <w:autoSpaceDE w:val="0"/>
        <w:autoSpaceDN w:val="0"/>
        <w:adjustRightInd w:val="0"/>
        <w:ind w:left="567" w:hanging="141"/>
        <w:rPr>
          <w:rFonts w:cs="Arial"/>
          <w:sz w:val="18"/>
          <w:szCs w:val="18"/>
        </w:rPr>
      </w:pPr>
      <w:r>
        <w:rPr>
          <w:rFonts w:cs="Arial"/>
          <w:i/>
          <w:iCs/>
          <w:sz w:val="18"/>
          <w:szCs w:val="18"/>
        </w:rPr>
        <w:t>„</w:t>
      </w:r>
      <w:r>
        <w:rPr>
          <w:rFonts w:cs="Arial"/>
          <w:sz w:val="18"/>
          <w:szCs w:val="18"/>
        </w:rPr>
        <w:t>Ein ausführliches Protokoll der Datenverarbeitungspipeline kann Folgendes beinhalten:</w:t>
      </w:r>
    </w:p>
    <w:p w14:paraId="093EB3DD" w14:textId="77777777" w:rsidR="005F10CD" w:rsidRPr="00162647" w:rsidRDefault="005F10CD" w:rsidP="005F10CD">
      <w:pPr>
        <w:autoSpaceDE w:val="0"/>
        <w:autoSpaceDN w:val="0"/>
        <w:adjustRightInd w:val="0"/>
        <w:rPr>
          <w:rFonts w:cs="Arial"/>
          <w:sz w:val="16"/>
          <w:szCs w:val="18"/>
        </w:rPr>
      </w:pPr>
    </w:p>
    <w:p w14:paraId="4586C9C6" w14:textId="77777777" w:rsidR="005F10CD" w:rsidRDefault="005F10CD" w:rsidP="005F10CD">
      <w:pPr>
        <w:autoSpaceDE w:val="0"/>
        <w:autoSpaceDN w:val="0"/>
        <w:adjustRightInd w:val="0"/>
        <w:ind w:left="426"/>
        <w:rPr>
          <w:rFonts w:cs="Arial"/>
          <w:sz w:val="18"/>
          <w:szCs w:val="18"/>
        </w:rPr>
      </w:pPr>
      <w:r>
        <w:rPr>
          <w:rFonts w:cs="Arial"/>
          <w:sz w:val="18"/>
          <w:szCs w:val="18"/>
        </w:rPr>
        <w:t xml:space="preserve">„Nachstehend ist eine Zusammenfassung des Vorgehens wiedergegeben, das für </w:t>
      </w:r>
      <w:r w:rsidR="005E7A8F" w:rsidRPr="005E7A8F">
        <w:rPr>
          <w:rFonts w:cs="Arial"/>
          <w:sz w:val="18"/>
          <w:szCs w:val="18"/>
          <w:highlight w:val="lightGray"/>
          <w:u w:val="single"/>
        </w:rPr>
        <w:t>hochwertige</w:t>
      </w:r>
      <w:r w:rsidR="005E7A8F">
        <w:rPr>
          <w:rFonts w:cs="Arial"/>
          <w:sz w:val="18"/>
          <w:szCs w:val="18"/>
          <w:highlight w:val="lightGray"/>
          <w:u w:val="single"/>
        </w:rPr>
        <w:t xml:space="preserve"> </w:t>
      </w:r>
      <w:r>
        <w:rPr>
          <w:rFonts w:cs="Arial"/>
          <w:sz w:val="18"/>
          <w:szCs w:val="18"/>
          <w:highlight w:val="lightGray"/>
          <w:u w:val="single"/>
        </w:rPr>
        <w:t>DNS-Profilierungsverfahren einschließlich</w:t>
      </w:r>
      <w:r w:rsidR="0059090F">
        <w:rPr>
          <w:rFonts w:cs="Arial"/>
          <w:sz w:val="18"/>
          <w:szCs w:val="18"/>
          <w:u w:val="single"/>
        </w:rPr>
        <w:t xml:space="preserve"> </w:t>
      </w:r>
      <w:r>
        <w:rPr>
          <w:rFonts w:cs="Arial"/>
          <w:sz w:val="18"/>
          <w:szCs w:val="18"/>
        </w:rPr>
        <w:t xml:space="preserve">der Auswahl und Verwendung molekularer Marker </w:t>
      </w:r>
      <w:r>
        <w:rPr>
          <w:rFonts w:cs="Arial"/>
          <w:sz w:val="18"/>
          <w:szCs w:val="18"/>
          <w:highlight w:val="lightGray"/>
          <w:u w:val="single"/>
        </w:rPr>
        <w:t xml:space="preserve"> sowie zum Aufbau </w:t>
      </w:r>
      <w:r>
        <w:rPr>
          <w:rFonts w:cs="Arial"/>
          <w:sz w:val="18"/>
          <w:szCs w:val="18"/>
          <w:highlight w:val="lightGray"/>
          <w:u w:val="single"/>
        </w:rPr>
        <w:lastRenderedPageBreak/>
        <w:t>gemeinsamer</w:t>
      </w:r>
      <w:r>
        <w:rPr>
          <w:rFonts w:cs="Arial"/>
          <w:sz w:val="18"/>
          <w:szCs w:val="18"/>
        </w:rPr>
        <w:t xml:space="preserve"> und nachhaltiger </w:t>
      </w:r>
      <w:r>
        <w:rPr>
          <w:rFonts w:cs="Arial"/>
          <w:sz w:val="18"/>
          <w:szCs w:val="18"/>
          <w:highlight w:val="lightGray"/>
          <w:u w:val="single"/>
        </w:rPr>
        <w:t>molekularer</w:t>
      </w:r>
      <w:r>
        <w:rPr>
          <w:rFonts w:cs="Arial"/>
          <w:sz w:val="18"/>
          <w:szCs w:val="18"/>
        </w:rPr>
        <w:t xml:space="preserve"> Datenbanken </w:t>
      </w:r>
      <w:r>
        <w:rPr>
          <w:rFonts w:cs="Arial"/>
          <w:strike/>
          <w:sz w:val="18"/>
          <w:szCs w:val="18"/>
          <w:highlight w:val="lightGray"/>
        </w:rPr>
        <w:t>für DNS-Profile von Sorten</w:t>
      </w:r>
      <w:r>
        <w:rPr>
          <w:rFonts w:cs="Arial"/>
          <w:sz w:val="18"/>
          <w:szCs w:val="18"/>
        </w:rPr>
        <w:t xml:space="preserve"> empfohlen wird (d.h.. Datenbanken, die künftig aus einer Reihe von Quellen, unabhängig von der angewandten Technik, bestückt werden können). </w:t>
      </w:r>
    </w:p>
    <w:p w14:paraId="5EF79C60" w14:textId="77777777" w:rsidR="005F10CD" w:rsidRPr="00162647" w:rsidRDefault="005F10CD" w:rsidP="005F10CD">
      <w:pPr>
        <w:autoSpaceDE w:val="0"/>
        <w:autoSpaceDN w:val="0"/>
        <w:adjustRightInd w:val="0"/>
        <w:rPr>
          <w:rFonts w:cs="Arial"/>
          <w:sz w:val="16"/>
          <w:szCs w:val="18"/>
        </w:rPr>
      </w:pPr>
    </w:p>
    <w:p w14:paraId="5C36FAD8" w14:textId="77777777" w:rsidR="005F10CD" w:rsidRDefault="005F10CD" w:rsidP="005F10CD">
      <w:pPr>
        <w:autoSpaceDE w:val="0"/>
        <w:autoSpaceDN w:val="0"/>
        <w:adjustRightInd w:val="0"/>
        <w:ind w:firstLine="567"/>
        <w:rPr>
          <w:rFonts w:cs="Arial"/>
          <w:sz w:val="18"/>
          <w:szCs w:val="18"/>
        </w:rPr>
      </w:pPr>
      <w:r>
        <w:rPr>
          <w:rFonts w:cs="Arial"/>
          <w:sz w:val="18"/>
          <w:szCs w:val="18"/>
        </w:rPr>
        <w:t>a)</w:t>
      </w:r>
      <w:r w:rsidR="00931079">
        <w:rPr>
          <w:rFonts w:cs="Arial"/>
          <w:sz w:val="18"/>
          <w:szCs w:val="18"/>
        </w:rPr>
        <w:tab/>
      </w:r>
      <w:r>
        <w:rPr>
          <w:rFonts w:cs="Arial"/>
          <w:sz w:val="18"/>
          <w:szCs w:val="18"/>
        </w:rPr>
        <w:t>Prüfung des Vorgehens nach Pflanzenart;</w:t>
      </w:r>
    </w:p>
    <w:p w14:paraId="444226DB" w14:textId="77777777" w:rsidR="005F10CD" w:rsidRDefault="005F10CD" w:rsidP="00931079">
      <w:pPr>
        <w:autoSpaceDE w:val="0"/>
        <w:autoSpaceDN w:val="0"/>
        <w:adjustRightInd w:val="0"/>
        <w:ind w:left="567"/>
        <w:rPr>
          <w:rFonts w:cs="Arial"/>
          <w:sz w:val="18"/>
          <w:szCs w:val="18"/>
        </w:rPr>
      </w:pPr>
      <w:r>
        <w:rPr>
          <w:rFonts w:cs="Arial"/>
          <w:sz w:val="18"/>
          <w:szCs w:val="18"/>
        </w:rPr>
        <w:t>b)</w:t>
      </w:r>
      <w:r>
        <w:rPr>
          <w:rFonts w:cs="Arial"/>
          <w:sz w:val="18"/>
          <w:szCs w:val="18"/>
        </w:rPr>
        <w:tab/>
        <w:t>Einigung auf einen akzeptierten Markertyp und die Quelle;</w:t>
      </w:r>
      <w:r>
        <w:rPr>
          <w:rFonts w:cs="Arial"/>
          <w:sz w:val="18"/>
          <w:szCs w:val="18"/>
        </w:rPr>
        <w:br/>
        <w:t xml:space="preserve">c) </w:t>
      </w:r>
      <w:r>
        <w:rPr>
          <w:rFonts w:cs="Arial"/>
          <w:sz w:val="18"/>
          <w:szCs w:val="18"/>
        </w:rPr>
        <w:tab/>
        <w:t>Einigung auf zulässige Detektionsmethoden/-ausrüstungen;</w:t>
      </w:r>
    </w:p>
    <w:p w14:paraId="38D97919" w14:textId="77777777" w:rsidR="005F10CD" w:rsidRDefault="005F10CD" w:rsidP="005F10CD">
      <w:pPr>
        <w:autoSpaceDE w:val="0"/>
        <w:autoSpaceDN w:val="0"/>
        <w:adjustRightInd w:val="0"/>
        <w:ind w:firstLine="567"/>
        <w:rPr>
          <w:rFonts w:cs="Arial"/>
          <w:sz w:val="18"/>
          <w:szCs w:val="18"/>
        </w:rPr>
      </w:pPr>
      <w:r>
        <w:rPr>
          <w:rFonts w:cs="Arial"/>
          <w:sz w:val="18"/>
          <w:szCs w:val="18"/>
        </w:rPr>
        <w:t xml:space="preserve">d) </w:t>
      </w:r>
      <w:r>
        <w:rPr>
          <w:rFonts w:cs="Arial"/>
          <w:sz w:val="18"/>
          <w:szCs w:val="18"/>
        </w:rPr>
        <w:tab/>
        <w:t>Einigung auf die an der Prüfung zu beteiligenden Labors;</w:t>
      </w:r>
    </w:p>
    <w:p w14:paraId="0A07903F" w14:textId="77777777" w:rsidR="005F10CD" w:rsidRDefault="005F10CD" w:rsidP="005F10CD">
      <w:pPr>
        <w:autoSpaceDE w:val="0"/>
        <w:autoSpaceDN w:val="0"/>
        <w:adjustRightInd w:val="0"/>
        <w:ind w:firstLine="567"/>
        <w:rPr>
          <w:rFonts w:cs="Arial"/>
          <w:sz w:val="18"/>
          <w:szCs w:val="18"/>
        </w:rPr>
      </w:pPr>
      <w:r>
        <w:rPr>
          <w:rFonts w:cs="Arial"/>
          <w:sz w:val="18"/>
          <w:szCs w:val="18"/>
        </w:rPr>
        <w:t xml:space="preserve">e) </w:t>
      </w:r>
      <w:r>
        <w:rPr>
          <w:rFonts w:cs="Arial"/>
          <w:sz w:val="18"/>
          <w:szCs w:val="18"/>
        </w:rPr>
        <w:tab/>
        <w:t xml:space="preserve">Einigung auf Qualitätsaspekte </w:t>
      </w:r>
      <w:r>
        <w:rPr>
          <w:rFonts w:cs="Arial"/>
          <w:strike/>
          <w:sz w:val="18"/>
          <w:szCs w:val="18"/>
          <w:highlight w:val="lightGray"/>
        </w:rPr>
        <w:t>(vergleiche Abschnitt 5.2)</w:t>
      </w:r>
      <w:r>
        <w:rPr>
          <w:rFonts w:cs="Arial"/>
          <w:sz w:val="18"/>
          <w:szCs w:val="18"/>
        </w:rPr>
        <w:t>;</w:t>
      </w:r>
    </w:p>
    <w:p w14:paraId="5F358465" w14:textId="77777777" w:rsidR="005F10CD" w:rsidRDefault="005F10CD" w:rsidP="005F10CD">
      <w:pPr>
        <w:autoSpaceDE w:val="0"/>
        <w:autoSpaceDN w:val="0"/>
        <w:adjustRightInd w:val="0"/>
        <w:ind w:firstLine="567"/>
        <w:rPr>
          <w:rFonts w:cs="Arial"/>
          <w:sz w:val="18"/>
          <w:szCs w:val="18"/>
        </w:rPr>
      </w:pPr>
      <w:r>
        <w:rPr>
          <w:rFonts w:cs="Arial"/>
          <w:sz w:val="18"/>
          <w:szCs w:val="18"/>
        </w:rPr>
        <w:t>f)</w:t>
      </w:r>
      <w:r w:rsidR="00931079">
        <w:rPr>
          <w:rFonts w:cs="Arial"/>
          <w:sz w:val="18"/>
          <w:szCs w:val="18"/>
        </w:rPr>
        <w:tab/>
      </w:r>
      <w:r>
        <w:rPr>
          <w:rFonts w:cs="Arial"/>
          <w:sz w:val="18"/>
          <w:szCs w:val="18"/>
        </w:rPr>
        <w:tab/>
        <w:t xml:space="preserve">Überprüfung der Quelle des verwendeten Pflanzenmaterials </w:t>
      </w:r>
      <w:r>
        <w:rPr>
          <w:rFonts w:cs="Arial"/>
          <w:strike/>
          <w:sz w:val="18"/>
          <w:szCs w:val="18"/>
          <w:highlight w:val="lightGray"/>
        </w:rPr>
        <w:t>(vergleiche Abschnitt 4)</w:t>
      </w:r>
      <w:r>
        <w:rPr>
          <w:rFonts w:cs="Arial"/>
          <w:sz w:val="18"/>
          <w:szCs w:val="18"/>
        </w:rPr>
        <w:t>;</w:t>
      </w:r>
    </w:p>
    <w:p w14:paraId="232509C9" w14:textId="77777777" w:rsidR="005F10CD" w:rsidRDefault="005F10CD" w:rsidP="005F10CD">
      <w:pPr>
        <w:autoSpaceDE w:val="0"/>
        <w:autoSpaceDN w:val="0"/>
        <w:adjustRightInd w:val="0"/>
        <w:ind w:left="1134" w:hanging="567"/>
        <w:rPr>
          <w:rFonts w:cs="Arial"/>
          <w:sz w:val="18"/>
          <w:szCs w:val="18"/>
        </w:rPr>
      </w:pPr>
      <w:r>
        <w:rPr>
          <w:rFonts w:cs="Arial"/>
          <w:sz w:val="18"/>
          <w:szCs w:val="18"/>
        </w:rPr>
        <w:t>g)</w:t>
      </w:r>
      <w:r>
        <w:rPr>
          <w:rFonts w:cs="Arial"/>
          <w:sz w:val="18"/>
          <w:szCs w:val="18"/>
        </w:rPr>
        <w:tab/>
      </w:r>
      <w:r w:rsidR="00931079">
        <w:rPr>
          <w:rFonts w:cs="Arial"/>
          <w:sz w:val="18"/>
          <w:szCs w:val="18"/>
        </w:rPr>
        <w:tab/>
      </w:r>
      <w:r>
        <w:rPr>
          <w:rFonts w:cs="Arial"/>
          <w:sz w:val="18"/>
          <w:szCs w:val="18"/>
        </w:rPr>
        <w:t xml:space="preserve">Einigung auf die Marker, die in einer vorläufigen kollaborativen Evaluierungsphase verwendet </w:t>
      </w:r>
      <w:r w:rsidR="00931079">
        <w:rPr>
          <w:rFonts w:cs="Arial"/>
          <w:sz w:val="18"/>
          <w:szCs w:val="18"/>
        </w:rPr>
        <w:tab/>
      </w:r>
      <w:r>
        <w:rPr>
          <w:rFonts w:cs="Arial"/>
          <w:sz w:val="18"/>
          <w:szCs w:val="18"/>
        </w:rPr>
        <w:t xml:space="preserve">werden sollen, in die mehr als ein Labor und verschiedene Detektionsmethoden einbezogen werden </w:t>
      </w:r>
      <w:r w:rsidR="00931079">
        <w:rPr>
          <w:rFonts w:cs="Arial"/>
          <w:sz w:val="18"/>
          <w:szCs w:val="18"/>
        </w:rPr>
        <w:tab/>
      </w:r>
      <w:r>
        <w:rPr>
          <w:rFonts w:cs="Arial"/>
          <w:strike/>
          <w:sz w:val="18"/>
          <w:szCs w:val="18"/>
          <w:highlight w:val="lightGray"/>
        </w:rPr>
        <w:t>(vergleiche Abschnitt 2)</w:t>
      </w:r>
      <w:r>
        <w:rPr>
          <w:rFonts w:cs="Arial"/>
          <w:sz w:val="18"/>
          <w:szCs w:val="18"/>
        </w:rPr>
        <w:t>;</w:t>
      </w:r>
    </w:p>
    <w:p w14:paraId="5EF5177E" w14:textId="77777777" w:rsidR="005F10CD" w:rsidRDefault="005F10CD" w:rsidP="005F10CD">
      <w:pPr>
        <w:autoSpaceDE w:val="0"/>
        <w:autoSpaceDN w:val="0"/>
        <w:adjustRightInd w:val="0"/>
        <w:ind w:firstLine="567"/>
        <w:rPr>
          <w:rFonts w:cs="Arial"/>
          <w:sz w:val="18"/>
          <w:szCs w:val="18"/>
        </w:rPr>
      </w:pPr>
      <w:r>
        <w:rPr>
          <w:rFonts w:cs="Arial"/>
          <w:sz w:val="18"/>
          <w:szCs w:val="18"/>
        </w:rPr>
        <w:t>h)</w:t>
      </w:r>
      <w:r>
        <w:rPr>
          <w:rFonts w:cs="Arial"/>
          <w:sz w:val="18"/>
          <w:szCs w:val="18"/>
        </w:rPr>
        <w:tab/>
        <w:t xml:space="preserve">Durchführung einer Evaluierung </w:t>
      </w:r>
      <w:r>
        <w:rPr>
          <w:rFonts w:cs="Arial"/>
          <w:strike/>
          <w:sz w:val="18"/>
          <w:szCs w:val="18"/>
          <w:highlight w:val="lightGray"/>
        </w:rPr>
        <w:t xml:space="preserve"> (vergleiche Abschnitt 5.3)</w:t>
      </w:r>
      <w:r>
        <w:rPr>
          <w:rFonts w:cs="Arial"/>
          <w:sz w:val="18"/>
          <w:szCs w:val="18"/>
        </w:rPr>
        <w:t>;</w:t>
      </w:r>
    </w:p>
    <w:p w14:paraId="7B9334CE" w14:textId="77777777" w:rsidR="005F10CD" w:rsidRDefault="005F10CD" w:rsidP="005F10CD">
      <w:pPr>
        <w:autoSpaceDE w:val="0"/>
        <w:autoSpaceDN w:val="0"/>
        <w:adjustRightInd w:val="0"/>
        <w:ind w:firstLine="567"/>
        <w:rPr>
          <w:rFonts w:cs="Arial"/>
          <w:sz w:val="18"/>
          <w:szCs w:val="18"/>
        </w:rPr>
      </w:pPr>
      <w:r>
        <w:rPr>
          <w:rFonts w:cs="Arial"/>
          <w:sz w:val="18"/>
          <w:szCs w:val="18"/>
        </w:rPr>
        <w:t>i)</w:t>
      </w:r>
      <w:r>
        <w:rPr>
          <w:rFonts w:cs="Arial"/>
          <w:sz w:val="18"/>
          <w:szCs w:val="18"/>
        </w:rPr>
        <w:tab/>
      </w:r>
      <w:r w:rsidR="00931079">
        <w:rPr>
          <w:rFonts w:cs="Arial"/>
          <w:sz w:val="18"/>
          <w:szCs w:val="18"/>
        </w:rPr>
        <w:tab/>
      </w:r>
      <w:r>
        <w:rPr>
          <w:rFonts w:cs="Arial"/>
          <w:sz w:val="18"/>
          <w:szCs w:val="18"/>
        </w:rPr>
        <w:t xml:space="preserve">Erstellung eines Protokolls für die Auswertung der molekularen Daten </w:t>
      </w:r>
      <w:r>
        <w:rPr>
          <w:rFonts w:cs="Arial"/>
          <w:strike/>
          <w:sz w:val="18"/>
          <w:szCs w:val="18"/>
          <w:highlight w:val="lightGray"/>
        </w:rPr>
        <w:t xml:space="preserve"> (vergleiche Abschnitt 5.4)</w:t>
      </w:r>
      <w:r>
        <w:rPr>
          <w:rFonts w:cs="Arial"/>
          <w:sz w:val="18"/>
          <w:szCs w:val="18"/>
        </w:rPr>
        <w:t>;</w:t>
      </w:r>
    </w:p>
    <w:p w14:paraId="595DC296" w14:textId="77777777" w:rsidR="005F10CD" w:rsidRDefault="005F10CD" w:rsidP="005F10CD">
      <w:pPr>
        <w:autoSpaceDE w:val="0"/>
        <w:autoSpaceDN w:val="0"/>
        <w:adjustRightInd w:val="0"/>
        <w:ind w:firstLine="567"/>
        <w:rPr>
          <w:rFonts w:cs="Arial"/>
          <w:sz w:val="18"/>
          <w:szCs w:val="18"/>
        </w:rPr>
      </w:pPr>
      <w:r>
        <w:rPr>
          <w:rFonts w:cs="Arial"/>
          <w:sz w:val="18"/>
          <w:szCs w:val="18"/>
        </w:rPr>
        <w:t>j)</w:t>
      </w:r>
      <w:r>
        <w:rPr>
          <w:rFonts w:cs="Arial"/>
          <w:sz w:val="18"/>
          <w:szCs w:val="18"/>
        </w:rPr>
        <w:tab/>
      </w:r>
      <w:r w:rsidR="00931079">
        <w:rPr>
          <w:rFonts w:cs="Arial"/>
          <w:sz w:val="18"/>
          <w:szCs w:val="18"/>
        </w:rPr>
        <w:tab/>
      </w:r>
      <w:r>
        <w:rPr>
          <w:rFonts w:cs="Arial"/>
          <w:sz w:val="18"/>
          <w:szCs w:val="18"/>
        </w:rPr>
        <w:t>Einigung auf das Pflanzenmaterial/Referenzset, das zu analysieren ist, und auf die Quelle(n);</w:t>
      </w:r>
    </w:p>
    <w:p w14:paraId="7CFEE927" w14:textId="77777777" w:rsidR="005F10CD" w:rsidRDefault="005F10CD" w:rsidP="00931079">
      <w:pPr>
        <w:autoSpaceDE w:val="0"/>
        <w:autoSpaceDN w:val="0"/>
        <w:adjustRightInd w:val="0"/>
        <w:ind w:left="1134" w:hanging="567"/>
        <w:rPr>
          <w:rFonts w:cs="Arial"/>
          <w:sz w:val="18"/>
          <w:szCs w:val="18"/>
        </w:rPr>
      </w:pPr>
      <w:r>
        <w:rPr>
          <w:rFonts w:cs="Arial"/>
          <w:sz w:val="18"/>
          <w:szCs w:val="18"/>
        </w:rPr>
        <w:t>k)</w:t>
      </w:r>
      <w:r>
        <w:rPr>
          <w:rFonts w:cs="Arial"/>
          <w:sz w:val="18"/>
          <w:szCs w:val="18"/>
        </w:rPr>
        <w:tab/>
      </w:r>
      <w:r w:rsidR="00931079">
        <w:rPr>
          <w:rFonts w:cs="Arial"/>
          <w:sz w:val="18"/>
          <w:szCs w:val="18"/>
        </w:rPr>
        <w:tab/>
      </w:r>
      <w:r>
        <w:rPr>
          <w:rFonts w:cs="Arial"/>
          <w:sz w:val="18"/>
          <w:szCs w:val="18"/>
        </w:rPr>
        <w:t xml:space="preserve">Analyse der vereinbarten Sortensammlung in verschiedenen Labors/verschiedenen </w:t>
      </w:r>
      <w:r w:rsidR="00931079">
        <w:rPr>
          <w:rFonts w:cs="Arial"/>
          <w:sz w:val="18"/>
          <w:szCs w:val="18"/>
        </w:rPr>
        <w:tab/>
      </w:r>
      <w:r>
        <w:rPr>
          <w:rFonts w:cs="Arial"/>
          <w:sz w:val="18"/>
          <w:szCs w:val="18"/>
        </w:rPr>
        <w:t xml:space="preserve">Detektionsmethoden anhand von Doppelproben und Austausch von Proben/DNS-Extrakten, wenn </w:t>
      </w:r>
      <w:r w:rsidR="00931079">
        <w:rPr>
          <w:rFonts w:cs="Arial"/>
          <w:sz w:val="18"/>
          <w:szCs w:val="18"/>
        </w:rPr>
        <w:tab/>
      </w:r>
      <w:r>
        <w:rPr>
          <w:rFonts w:cs="Arial"/>
          <w:sz w:val="18"/>
          <w:szCs w:val="18"/>
        </w:rPr>
        <w:t>Probleme auftreten;</w:t>
      </w:r>
    </w:p>
    <w:p w14:paraId="5A437640" w14:textId="77777777" w:rsidR="005F10CD" w:rsidRDefault="005F10CD" w:rsidP="00931079">
      <w:pPr>
        <w:autoSpaceDE w:val="0"/>
        <w:autoSpaceDN w:val="0"/>
        <w:adjustRightInd w:val="0"/>
        <w:ind w:left="567"/>
        <w:rPr>
          <w:rFonts w:cs="Arial"/>
          <w:sz w:val="18"/>
          <w:szCs w:val="18"/>
        </w:rPr>
      </w:pPr>
      <w:r>
        <w:rPr>
          <w:rFonts w:cs="Arial"/>
          <w:sz w:val="18"/>
          <w:szCs w:val="18"/>
        </w:rPr>
        <w:t>l)</w:t>
      </w:r>
      <w:r>
        <w:rPr>
          <w:rFonts w:cs="Arial"/>
          <w:sz w:val="18"/>
          <w:szCs w:val="18"/>
        </w:rPr>
        <w:tab/>
      </w:r>
      <w:r w:rsidR="00931079">
        <w:rPr>
          <w:rFonts w:cs="Arial"/>
          <w:sz w:val="18"/>
          <w:szCs w:val="18"/>
        </w:rPr>
        <w:tab/>
      </w:r>
      <w:r>
        <w:rPr>
          <w:rFonts w:cs="Arial"/>
          <w:sz w:val="18"/>
          <w:szCs w:val="18"/>
        </w:rPr>
        <w:t>Verwendung von Vergleichssorten/DNS-Proben/Allelen bei allen Analysen;</w:t>
      </w:r>
      <w:r>
        <w:rPr>
          <w:rFonts w:cs="Arial"/>
          <w:sz w:val="18"/>
          <w:szCs w:val="18"/>
        </w:rPr>
        <w:br/>
        <w:t>m)</w:t>
      </w:r>
      <w:r>
        <w:rPr>
          <w:rFonts w:cs="Arial"/>
          <w:sz w:val="18"/>
          <w:szCs w:val="18"/>
        </w:rPr>
        <w:tab/>
        <w:t xml:space="preserve">Überprüfung aller Stadien (einschließlich der Dateneingabe) – möglichst weitreichende </w:t>
      </w:r>
      <w:r w:rsidR="00931079">
        <w:rPr>
          <w:rFonts w:cs="Arial"/>
          <w:sz w:val="18"/>
          <w:szCs w:val="18"/>
        </w:rPr>
        <w:tab/>
      </w:r>
      <w:r w:rsidR="00931079">
        <w:rPr>
          <w:rFonts w:cs="Arial"/>
          <w:sz w:val="18"/>
          <w:szCs w:val="18"/>
        </w:rPr>
        <w:tab/>
      </w:r>
      <w:r w:rsidR="00931079">
        <w:rPr>
          <w:rFonts w:cs="Arial"/>
          <w:sz w:val="18"/>
          <w:szCs w:val="18"/>
        </w:rPr>
        <w:tab/>
      </w:r>
      <w:r w:rsidR="00931079">
        <w:rPr>
          <w:rFonts w:cs="Arial"/>
          <w:sz w:val="18"/>
          <w:szCs w:val="18"/>
        </w:rPr>
        <w:tab/>
      </w:r>
      <w:r>
        <w:rPr>
          <w:rFonts w:cs="Arial"/>
          <w:sz w:val="18"/>
          <w:szCs w:val="18"/>
        </w:rPr>
        <w:t>Automatisierung;</w:t>
      </w:r>
    </w:p>
    <w:p w14:paraId="691C6378" w14:textId="77777777" w:rsidR="005F10CD" w:rsidRDefault="005F10CD" w:rsidP="00931079">
      <w:pPr>
        <w:autoSpaceDE w:val="0"/>
        <w:autoSpaceDN w:val="0"/>
        <w:adjustRightInd w:val="0"/>
        <w:ind w:left="567"/>
        <w:rPr>
          <w:rFonts w:cs="Arial"/>
          <w:sz w:val="18"/>
          <w:szCs w:val="18"/>
        </w:rPr>
      </w:pPr>
      <w:r>
        <w:rPr>
          <w:rFonts w:cs="Arial"/>
          <w:sz w:val="18"/>
          <w:szCs w:val="18"/>
        </w:rPr>
        <w:t>n)</w:t>
      </w:r>
      <w:r>
        <w:rPr>
          <w:rFonts w:cs="Arial"/>
          <w:sz w:val="18"/>
          <w:szCs w:val="18"/>
        </w:rPr>
        <w:tab/>
        <w:t>Durchführung eines ‚Blindtests‛ in verschiedenen Labors anhand der Datenbank;</w:t>
      </w:r>
      <w:r>
        <w:rPr>
          <w:rFonts w:cs="Arial"/>
          <w:sz w:val="18"/>
          <w:szCs w:val="18"/>
        </w:rPr>
        <w:br/>
        <w:t>o)</w:t>
      </w:r>
      <w:r>
        <w:rPr>
          <w:rFonts w:cs="Arial"/>
          <w:sz w:val="18"/>
          <w:szCs w:val="18"/>
        </w:rPr>
        <w:tab/>
        <w:t>Annahme der Verfahren zur Hinzufügung neuer Daten.“</w:t>
      </w:r>
    </w:p>
    <w:p w14:paraId="0120D3DB" w14:textId="77777777" w:rsidR="005F10CD" w:rsidRPr="00162647" w:rsidRDefault="005F10CD" w:rsidP="005F10CD">
      <w:pPr>
        <w:autoSpaceDE w:val="0"/>
        <w:autoSpaceDN w:val="0"/>
        <w:adjustRightInd w:val="0"/>
        <w:rPr>
          <w:rFonts w:cs="Arial"/>
          <w:sz w:val="18"/>
        </w:rPr>
      </w:pPr>
    </w:p>
    <w:p w14:paraId="636C2331" w14:textId="77777777" w:rsidR="005F10CD" w:rsidRPr="00931079" w:rsidRDefault="00931079" w:rsidP="005F10CD">
      <w:pPr>
        <w:keepNext/>
        <w:autoSpaceDE w:val="0"/>
        <w:autoSpaceDN w:val="0"/>
        <w:adjustRightInd w:val="0"/>
        <w:spacing w:before="120" w:after="240"/>
        <w:rPr>
          <w:rFonts w:cs="Arial"/>
          <w:i/>
          <w:iCs/>
        </w:rPr>
      </w:pPr>
      <w:r w:rsidRPr="00931079">
        <w:rPr>
          <w:rFonts w:cs="Arial"/>
        </w:rPr>
        <w:t>G</w:t>
      </w:r>
      <w:r w:rsidR="005F10CD" w:rsidRPr="00931079">
        <w:rPr>
          <w:rFonts w:cs="Arial"/>
        </w:rPr>
        <w:t>LOSSAR</w:t>
      </w:r>
      <w:r w:rsidR="005F10CD" w:rsidRPr="00931079">
        <w:rPr>
          <w:rFonts w:cs="Arial"/>
          <w:i/>
          <w:iCs/>
        </w:rPr>
        <w:t xml:space="preserve"> </w:t>
      </w:r>
    </w:p>
    <w:p w14:paraId="468EF634" w14:textId="038249A6" w:rsidR="005F10CD" w:rsidRPr="00931079"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931079">
        <w:rPr>
          <w:rFonts w:cs="Arial"/>
        </w:rPr>
        <w:t>Die BMT vereinbarte, das Glossar zu streichen.</w:t>
      </w:r>
    </w:p>
    <w:p w14:paraId="7588014E" w14:textId="77777777" w:rsidR="005F10CD" w:rsidRPr="00162647" w:rsidRDefault="005F10CD" w:rsidP="005F10CD">
      <w:pPr>
        <w:autoSpaceDE w:val="0"/>
        <w:autoSpaceDN w:val="0"/>
        <w:adjustRightInd w:val="0"/>
        <w:rPr>
          <w:rFonts w:cs="Arial"/>
          <w:sz w:val="18"/>
        </w:rPr>
      </w:pPr>
    </w:p>
    <w:p w14:paraId="7DA6F40F" w14:textId="77777777" w:rsidR="005F10CD" w:rsidRPr="00931079" w:rsidRDefault="005F10CD" w:rsidP="005F10CD">
      <w:pPr>
        <w:keepNext/>
        <w:autoSpaceDE w:val="0"/>
        <w:autoSpaceDN w:val="0"/>
        <w:adjustRightInd w:val="0"/>
        <w:spacing w:before="120" w:after="240"/>
        <w:rPr>
          <w:rFonts w:cs="Arial"/>
          <w:i/>
          <w:iCs/>
        </w:rPr>
      </w:pPr>
      <w:r w:rsidRPr="00931079">
        <w:rPr>
          <w:rFonts w:cs="Arial"/>
          <w:i/>
          <w:iCs/>
        </w:rPr>
        <w:t>Neuer Absc</w:t>
      </w:r>
      <w:r w:rsidR="0059090F">
        <w:rPr>
          <w:rFonts w:cs="Arial"/>
          <w:i/>
          <w:iCs/>
        </w:rPr>
        <w:t>h</w:t>
      </w:r>
      <w:r w:rsidRPr="00931079">
        <w:rPr>
          <w:rFonts w:cs="Arial"/>
          <w:i/>
          <w:iCs/>
        </w:rPr>
        <w:t>nitt C</w:t>
      </w:r>
      <w:r w:rsidRPr="00931079">
        <w:rPr>
          <w:rFonts w:cs="Arial"/>
          <w:i/>
          <w:iCs/>
        </w:rPr>
        <w:tab/>
        <w:t>LISTE DER AKRONYME</w:t>
      </w:r>
    </w:p>
    <w:p w14:paraId="08EDE4DB" w14:textId="06E382F5" w:rsidR="005F10CD" w:rsidRPr="00931079" w:rsidRDefault="00162647" w:rsidP="005F10CD">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5F10CD" w:rsidRPr="00931079">
        <w:rPr>
          <w:rFonts w:cs="Arial"/>
        </w:rPr>
        <w:t>Die BMT vereinbarte, die Liste der Akronyme mit folgendem Wortlaut hinzuzufügen:</w:t>
      </w:r>
    </w:p>
    <w:p w14:paraId="29714D59" w14:textId="77777777" w:rsidR="005F10CD" w:rsidRPr="00162647" w:rsidRDefault="005F10CD" w:rsidP="005F10CD">
      <w:pPr>
        <w:autoSpaceDE w:val="0"/>
        <w:autoSpaceDN w:val="0"/>
        <w:adjustRightInd w:val="0"/>
        <w:rPr>
          <w:rFonts w:cs="Arial"/>
          <w:sz w:val="18"/>
        </w:rPr>
      </w:pPr>
    </w:p>
    <w:p w14:paraId="7AB1141D"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„BAM</w:t>
      </w:r>
      <w:r w:rsidRPr="00942671">
        <w:rPr>
          <w:rFonts w:cs="Arial"/>
          <w:sz w:val="18"/>
          <w:szCs w:val="18"/>
          <w:lang w:val="en-US"/>
        </w:rPr>
        <w:tab/>
      </w:r>
      <w:r w:rsidRPr="00942671">
        <w:rPr>
          <w:rFonts w:cs="Arial"/>
          <w:sz w:val="18"/>
          <w:szCs w:val="18"/>
          <w:lang w:val="en-US"/>
        </w:rPr>
        <w:tab/>
        <w:t>Binary Alignment Map</w:t>
      </w:r>
    </w:p>
    <w:p w14:paraId="765D92FE"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BCF</w:t>
      </w:r>
      <w:r w:rsidRPr="00942671">
        <w:rPr>
          <w:rFonts w:cs="Arial"/>
          <w:sz w:val="18"/>
          <w:szCs w:val="18"/>
          <w:lang w:val="en-US"/>
        </w:rPr>
        <w:tab/>
      </w:r>
      <w:r w:rsidRPr="00942671">
        <w:rPr>
          <w:rFonts w:cs="Arial"/>
          <w:sz w:val="18"/>
          <w:szCs w:val="18"/>
          <w:lang w:val="en-US"/>
        </w:rPr>
        <w:tab/>
        <w:t>Binary Call Format</w:t>
      </w:r>
    </w:p>
    <w:p w14:paraId="7EDD2137"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CRAM</w:t>
      </w:r>
      <w:r w:rsidRPr="00942671">
        <w:rPr>
          <w:rFonts w:cs="Arial"/>
          <w:sz w:val="18"/>
          <w:szCs w:val="18"/>
          <w:lang w:val="en-US"/>
        </w:rPr>
        <w:tab/>
      </w:r>
      <w:r w:rsidRPr="00942671">
        <w:rPr>
          <w:rFonts w:cs="Arial"/>
          <w:sz w:val="18"/>
          <w:szCs w:val="18"/>
          <w:lang w:val="en-US"/>
        </w:rPr>
        <w:tab/>
        <w:t>Compressed Reference-oriented Alignment Map</w:t>
      </w:r>
    </w:p>
    <w:p w14:paraId="0450406F"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MNP</w:t>
      </w:r>
      <w:r w:rsidRPr="00942671">
        <w:rPr>
          <w:rFonts w:cs="Arial"/>
          <w:sz w:val="18"/>
          <w:szCs w:val="18"/>
          <w:lang w:val="en-US"/>
        </w:rPr>
        <w:tab/>
      </w:r>
      <w:r w:rsidRPr="00942671">
        <w:rPr>
          <w:rFonts w:cs="Arial"/>
          <w:sz w:val="18"/>
          <w:szCs w:val="18"/>
          <w:lang w:val="en-US"/>
        </w:rPr>
        <w:tab/>
        <w:t>Multiple Nucleotide Polymorphism</w:t>
      </w:r>
    </w:p>
    <w:p w14:paraId="15C482C5"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NIL</w:t>
      </w:r>
      <w:r w:rsidRPr="00942671">
        <w:rPr>
          <w:rFonts w:cs="Arial"/>
          <w:sz w:val="18"/>
          <w:szCs w:val="18"/>
          <w:lang w:val="en-US"/>
        </w:rPr>
        <w:tab/>
      </w:r>
      <w:r w:rsidRPr="00942671">
        <w:rPr>
          <w:rFonts w:cs="Arial"/>
          <w:sz w:val="18"/>
          <w:szCs w:val="18"/>
          <w:lang w:val="en-US"/>
        </w:rPr>
        <w:tab/>
      </w:r>
      <w:r w:rsidR="00931079" w:rsidRPr="00942671">
        <w:rPr>
          <w:rFonts w:cs="Arial"/>
          <w:sz w:val="18"/>
          <w:szCs w:val="18"/>
          <w:lang w:val="en-US"/>
        </w:rPr>
        <w:tab/>
      </w:r>
      <w:r w:rsidRPr="00942671">
        <w:rPr>
          <w:rFonts w:cs="Arial"/>
          <w:sz w:val="18"/>
          <w:szCs w:val="18"/>
          <w:lang w:val="en-US"/>
        </w:rPr>
        <w:t>Near Isogenic Line</w:t>
      </w:r>
    </w:p>
    <w:p w14:paraId="2ED98BFF"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RIL</w:t>
      </w:r>
      <w:r w:rsidRPr="00942671">
        <w:rPr>
          <w:rFonts w:cs="Arial"/>
          <w:sz w:val="18"/>
          <w:szCs w:val="18"/>
          <w:lang w:val="en-US"/>
        </w:rPr>
        <w:tab/>
      </w:r>
      <w:r w:rsidRPr="00942671">
        <w:rPr>
          <w:rFonts w:cs="Arial"/>
          <w:sz w:val="18"/>
          <w:szCs w:val="18"/>
          <w:lang w:val="en-US"/>
        </w:rPr>
        <w:tab/>
      </w:r>
      <w:r w:rsidR="00931079" w:rsidRPr="00942671">
        <w:rPr>
          <w:rFonts w:cs="Arial"/>
          <w:sz w:val="18"/>
          <w:szCs w:val="18"/>
          <w:lang w:val="en-US"/>
        </w:rPr>
        <w:tab/>
      </w:r>
      <w:r w:rsidRPr="00942671">
        <w:rPr>
          <w:rFonts w:cs="Arial"/>
          <w:sz w:val="18"/>
          <w:szCs w:val="18"/>
          <w:lang w:val="en-US"/>
        </w:rPr>
        <w:t>Recombinant Inbred Line</w:t>
      </w:r>
    </w:p>
    <w:p w14:paraId="6ADC739A"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SAM</w:t>
      </w:r>
      <w:r w:rsidRPr="00942671">
        <w:rPr>
          <w:rFonts w:cs="Arial"/>
          <w:sz w:val="18"/>
          <w:szCs w:val="18"/>
          <w:lang w:val="en-US"/>
        </w:rPr>
        <w:tab/>
      </w:r>
      <w:r w:rsidRPr="00942671">
        <w:rPr>
          <w:rFonts w:cs="Arial"/>
          <w:sz w:val="18"/>
          <w:szCs w:val="18"/>
          <w:lang w:val="en-US"/>
        </w:rPr>
        <w:tab/>
        <w:t>Sequence Alignment Map</w:t>
      </w:r>
    </w:p>
    <w:p w14:paraId="264BBD1A"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SNP</w:t>
      </w:r>
      <w:r w:rsidRPr="00942671">
        <w:rPr>
          <w:rFonts w:cs="Arial"/>
          <w:sz w:val="18"/>
          <w:szCs w:val="18"/>
          <w:lang w:val="en-US"/>
        </w:rPr>
        <w:tab/>
      </w:r>
      <w:r w:rsidRPr="00942671">
        <w:rPr>
          <w:rFonts w:cs="Arial"/>
          <w:sz w:val="18"/>
          <w:szCs w:val="18"/>
          <w:lang w:val="en-US"/>
        </w:rPr>
        <w:tab/>
        <w:t>Single Nucleotide Polymorphism</w:t>
      </w:r>
    </w:p>
    <w:p w14:paraId="42A2667C" w14:textId="77777777" w:rsidR="005F10CD" w:rsidRPr="00942671" w:rsidRDefault="005F10CD" w:rsidP="005F10CD">
      <w:pPr>
        <w:autoSpaceDE w:val="0"/>
        <w:autoSpaceDN w:val="0"/>
        <w:adjustRightInd w:val="0"/>
        <w:ind w:left="426"/>
        <w:rPr>
          <w:rFonts w:cs="Arial"/>
          <w:sz w:val="18"/>
          <w:szCs w:val="18"/>
          <w:lang w:val="en-US"/>
        </w:rPr>
      </w:pPr>
      <w:r w:rsidRPr="00942671">
        <w:rPr>
          <w:rFonts w:cs="Arial"/>
          <w:sz w:val="18"/>
          <w:szCs w:val="18"/>
          <w:lang w:val="en-US"/>
        </w:rPr>
        <w:t>TIFF</w:t>
      </w:r>
      <w:r w:rsidRPr="00942671">
        <w:rPr>
          <w:rFonts w:cs="Arial"/>
          <w:sz w:val="18"/>
          <w:szCs w:val="18"/>
          <w:lang w:val="en-US"/>
        </w:rPr>
        <w:tab/>
      </w:r>
      <w:r w:rsidRPr="00942671">
        <w:rPr>
          <w:rFonts w:cs="Arial"/>
          <w:sz w:val="18"/>
          <w:szCs w:val="18"/>
          <w:lang w:val="en-US"/>
        </w:rPr>
        <w:tab/>
        <w:t>Tagged Image File Format</w:t>
      </w:r>
    </w:p>
    <w:p w14:paraId="6B428D4B" w14:textId="77777777" w:rsidR="005F10CD" w:rsidRDefault="005F10CD" w:rsidP="005F10CD">
      <w:pPr>
        <w:autoSpaceDE w:val="0"/>
        <w:autoSpaceDN w:val="0"/>
        <w:adjustRightInd w:val="0"/>
        <w:ind w:left="426"/>
        <w:rPr>
          <w:rFonts w:cs="Arial"/>
          <w:sz w:val="18"/>
          <w:szCs w:val="18"/>
        </w:rPr>
      </w:pPr>
      <w:r>
        <w:rPr>
          <w:rFonts w:cs="Arial"/>
          <w:sz w:val="18"/>
          <w:szCs w:val="18"/>
        </w:rPr>
        <w:t>VCF</w:t>
      </w:r>
      <w:r>
        <w:rPr>
          <w:rFonts w:cs="Arial"/>
          <w:sz w:val="18"/>
          <w:szCs w:val="18"/>
        </w:rPr>
        <w:tab/>
      </w:r>
      <w:r>
        <w:rPr>
          <w:rFonts w:cs="Arial"/>
          <w:sz w:val="18"/>
          <w:szCs w:val="18"/>
        </w:rPr>
        <w:tab/>
        <w:t>Variant Call Format“</w:t>
      </w:r>
    </w:p>
    <w:p w14:paraId="733365D0" w14:textId="77777777" w:rsidR="005F10CD" w:rsidRDefault="005F10CD" w:rsidP="005F10CD">
      <w:pPr>
        <w:autoSpaceDE w:val="0"/>
        <w:autoSpaceDN w:val="0"/>
        <w:adjustRightInd w:val="0"/>
        <w:rPr>
          <w:rFonts w:cs="Arial"/>
        </w:rPr>
      </w:pPr>
    </w:p>
    <w:p w14:paraId="15D5C83D" w14:textId="6CF73224" w:rsidR="005F10CD" w:rsidRDefault="005F10CD" w:rsidP="005F10CD">
      <w:pPr>
        <w:autoSpaceDE w:val="0"/>
        <w:autoSpaceDN w:val="0"/>
        <w:adjustRightInd w:val="0"/>
        <w:rPr>
          <w:rFonts w:cs="Arial"/>
        </w:rPr>
      </w:pPr>
      <w:r>
        <w:rPr>
          <w:rFonts w:cs="Arial"/>
        </w:rPr>
        <w:tab/>
      </w:r>
      <w:r w:rsidRPr="00931079">
        <w:rPr>
          <w:rFonts w:cs="Arial"/>
        </w:rPr>
        <w:t xml:space="preserve">Die BMT vereinbarte, dem TC vorzuschlagen, daß die Europäische Union, Frankreich und die Niederlande einen neuen Entwurf des Dokuments INF/17 zur Prüfung durch die neunzehnte Tagung der BMT ausarbeiten sollten (vergleiche Dokument BMT/18/21 „Bericht“, Absatz 69). </w:t>
      </w:r>
    </w:p>
    <w:p w14:paraId="07190FCA" w14:textId="77777777" w:rsidR="00162647" w:rsidRDefault="00162647" w:rsidP="00162647">
      <w:pPr>
        <w:autoSpaceDE w:val="0"/>
        <w:autoSpaceDN w:val="0"/>
        <w:adjustRightInd w:val="0"/>
        <w:jc w:val="right"/>
        <w:rPr>
          <w:rFonts w:cs="Arial"/>
        </w:rPr>
      </w:pPr>
    </w:p>
    <w:p w14:paraId="0FDFF68A" w14:textId="77777777" w:rsidR="00162647" w:rsidRDefault="00162647" w:rsidP="00162647">
      <w:pPr>
        <w:autoSpaceDE w:val="0"/>
        <w:autoSpaceDN w:val="0"/>
        <w:adjustRightInd w:val="0"/>
        <w:jc w:val="right"/>
        <w:rPr>
          <w:rFonts w:cs="Arial"/>
        </w:rPr>
      </w:pPr>
    </w:p>
    <w:p w14:paraId="5F890BF4" w14:textId="77777777" w:rsidR="00162647" w:rsidRDefault="00162647" w:rsidP="00162647">
      <w:pPr>
        <w:autoSpaceDE w:val="0"/>
        <w:autoSpaceDN w:val="0"/>
        <w:adjustRightInd w:val="0"/>
        <w:jc w:val="right"/>
        <w:rPr>
          <w:rFonts w:cs="Arial"/>
        </w:rPr>
      </w:pPr>
    </w:p>
    <w:p w14:paraId="7F196FF8" w14:textId="235719E4" w:rsidR="005F10CD" w:rsidRDefault="00162647" w:rsidP="00162647">
      <w:pPr>
        <w:autoSpaceDE w:val="0"/>
        <w:autoSpaceDN w:val="0"/>
        <w:adjustRightInd w:val="0"/>
        <w:jc w:val="right"/>
      </w:pPr>
      <w:r>
        <w:rPr>
          <w:rFonts w:cs="Arial"/>
        </w:rPr>
        <w:t>[Ende des Dokuments]</w:t>
      </w:r>
    </w:p>
    <w:sectPr w:rsidR="005F10CD" w:rsidSect="00946718">
      <w:headerReference w:type="default" r:id="rId14"/>
      <w:pgSz w:w="12240" w:h="15840" w:code="1"/>
      <w:pgMar w:top="851" w:right="1418" w:bottom="993"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A567B" w14:textId="77777777" w:rsidR="00053886" w:rsidRDefault="00053886" w:rsidP="00250413">
      <w:r>
        <w:separator/>
      </w:r>
    </w:p>
  </w:endnote>
  <w:endnote w:type="continuationSeparator" w:id="0">
    <w:p w14:paraId="441A784E" w14:textId="77777777" w:rsidR="00053886" w:rsidRDefault="00053886" w:rsidP="00250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F901C" w14:textId="77777777" w:rsidR="00053886" w:rsidRDefault="00053886" w:rsidP="00250413">
      <w:r>
        <w:separator/>
      </w:r>
    </w:p>
  </w:footnote>
  <w:footnote w:type="continuationSeparator" w:id="0">
    <w:p w14:paraId="56A03673" w14:textId="77777777" w:rsidR="00053886" w:rsidRDefault="00053886" w:rsidP="00250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F73DA" w14:textId="20FCFA64" w:rsidR="00F57068" w:rsidRPr="00E81622" w:rsidRDefault="00F57068" w:rsidP="00E81622">
    <w:pPr>
      <w:pStyle w:val="Header"/>
      <w:tabs>
        <w:tab w:val="clear" w:pos="4536"/>
        <w:tab w:val="clear" w:pos="9072"/>
      </w:tabs>
      <w:jc w:val="center"/>
      <w:rPr>
        <w:rStyle w:val="PageNumber"/>
        <w:rFonts w:eastAsiaTheme="minorEastAsia" w:cs="Times New Roman"/>
        <w:szCs w:val="20"/>
        <w:lang w:val="en-US"/>
      </w:rPr>
    </w:pPr>
    <w:r w:rsidRPr="00E81622">
      <w:rPr>
        <w:rStyle w:val="PageNumber"/>
        <w:rFonts w:eastAsiaTheme="minorEastAsia" w:cs="Times New Roman"/>
        <w:szCs w:val="20"/>
        <w:lang w:val="en-US"/>
      </w:rPr>
      <w:t>TC/55/7 Add. 2</w:t>
    </w:r>
  </w:p>
  <w:p w14:paraId="600C2B84" w14:textId="167DB638" w:rsidR="00F57068" w:rsidRPr="00E81622" w:rsidRDefault="00F57068" w:rsidP="00E81622">
    <w:pPr>
      <w:pStyle w:val="Header"/>
      <w:tabs>
        <w:tab w:val="clear" w:pos="4536"/>
        <w:tab w:val="clear" w:pos="9072"/>
      </w:tabs>
      <w:jc w:val="center"/>
      <w:rPr>
        <w:rStyle w:val="PageNumber"/>
        <w:rFonts w:eastAsiaTheme="minorEastAsia" w:cs="Times New Roman"/>
        <w:szCs w:val="20"/>
        <w:lang w:val="en-US"/>
      </w:rPr>
    </w:pPr>
    <w:r w:rsidRPr="00E81622">
      <w:rPr>
        <w:rStyle w:val="PageNumber"/>
        <w:rFonts w:eastAsiaTheme="minorEastAsia" w:cs="Times New Roman"/>
        <w:szCs w:val="20"/>
        <w:lang w:val="en-US"/>
      </w:rPr>
      <w:t xml:space="preserve">Seite </w:t>
    </w:r>
    <w:r w:rsidR="00946718" w:rsidRPr="00E81622">
      <w:rPr>
        <w:rStyle w:val="PageNumber"/>
        <w:rFonts w:eastAsiaTheme="minorEastAsia" w:cs="Times New Roman"/>
        <w:szCs w:val="20"/>
        <w:lang w:val="en-US"/>
      </w:rPr>
      <w:fldChar w:fldCharType="begin"/>
    </w:r>
    <w:r w:rsidR="00946718" w:rsidRPr="00E81622">
      <w:rPr>
        <w:rStyle w:val="PageNumber"/>
        <w:rFonts w:eastAsiaTheme="minorEastAsia" w:cs="Times New Roman"/>
        <w:szCs w:val="20"/>
        <w:lang w:val="en-US"/>
      </w:rPr>
      <w:instrText xml:space="preserve"> PAGE   \* MERGEFORMAT </w:instrText>
    </w:r>
    <w:r w:rsidR="00946718" w:rsidRPr="00E81622">
      <w:rPr>
        <w:rStyle w:val="PageNumber"/>
        <w:rFonts w:eastAsiaTheme="minorEastAsia" w:cs="Times New Roman"/>
        <w:szCs w:val="20"/>
        <w:lang w:val="en-US"/>
      </w:rPr>
      <w:fldChar w:fldCharType="separate"/>
    </w:r>
    <w:r w:rsidR="00F547CF">
      <w:rPr>
        <w:rStyle w:val="PageNumber"/>
        <w:rFonts w:eastAsiaTheme="minorEastAsia" w:cs="Times New Roman"/>
        <w:noProof/>
        <w:szCs w:val="20"/>
        <w:lang w:val="en-US"/>
      </w:rPr>
      <w:t>20</w:t>
    </w:r>
    <w:r w:rsidR="00946718" w:rsidRPr="00E81622">
      <w:rPr>
        <w:rStyle w:val="PageNumber"/>
        <w:rFonts w:eastAsiaTheme="minorEastAsia" w:cs="Times New Roman"/>
        <w:szCs w:val="20"/>
        <w:lang w:val="en-US"/>
      </w:rPr>
      <w:fldChar w:fldCharType="end"/>
    </w:r>
  </w:p>
  <w:p w14:paraId="4DEE3F11" w14:textId="77777777" w:rsidR="00F57068" w:rsidRDefault="00F57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2741E38"/>
    <w:lvl w:ilvl="0">
      <w:numFmt w:val="bullet"/>
      <w:lvlText w:val="*"/>
      <w:lvlJc w:val="left"/>
    </w:lvl>
  </w:abstractNum>
  <w:abstractNum w:abstractNumId="1" w15:restartNumberingAfterBreak="0">
    <w:nsid w:val="17402A44"/>
    <w:multiLevelType w:val="hybridMultilevel"/>
    <w:tmpl w:val="3CDAEF12"/>
    <w:lvl w:ilvl="0" w:tplc="0BDEA01A">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visionView w:markup="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CD"/>
    <w:rsid w:val="00053886"/>
    <w:rsid w:val="0005590F"/>
    <w:rsid w:val="00096B87"/>
    <w:rsid w:val="000B406F"/>
    <w:rsid w:val="00140E5F"/>
    <w:rsid w:val="00162647"/>
    <w:rsid w:val="001710FB"/>
    <w:rsid w:val="00201A38"/>
    <w:rsid w:val="00250413"/>
    <w:rsid w:val="00257E05"/>
    <w:rsid w:val="00260AC7"/>
    <w:rsid w:val="00304A48"/>
    <w:rsid w:val="00386BBC"/>
    <w:rsid w:val="0048095A"/>
    <w:rsid w:val="00541ED0"/>
    <w:rsid w:val="0059090F"/>
    <w:rsid w:val="005C087A"/>
    <w:rsid w:val="005C12C4"/>
    <w:rsid w:val="005E7A8F"/>
    <w:rsid w:val="005F10CD"/>
    <w:rsid w:val="00670497"/>
    <w:rsid w:val="00694631"/>
    <w:rsid w:val="006C192E"/>
    <w:rsid w:val="0072519B"/>
    <w:rsid w:val="00781C91"/>
    <w:rsid w:val="007F5336"/>
    <w:rsid w:val="008229B0"/>
    <w:rsid w:val="008C2005"/>
    <w:rsid w:val="008E0CBE"/>
    <w:rsid w:val="00902583"/>
    <w:rsid w:val="009262C2"/>
    <w:rsid w:val="00931079"/>
    <w:rsid w:val="009354F6"/>
    <w:rsid w:val="00942671"/>
    <w:rsid w:val="009438C5"/>
    <w:rsid w:val="00946718"/>
    <w:rsid w:val="00B1270C"/>
    <w:rsid w:val="00C36CAC"/>
    <w:rsid w:val="00CA2303"/>
    <w:rsid w:val="00D4212E"/>
    <w:rsid w:val="00D42510"/>
    <w:rsid w:val="00E315D2"/>
    <w:rsid w:val="00E64418"/>
    <w:rsid w:val="00E81622"/>
    <w:rsid w:val="00F547CF"/>
    <w:rsid w:val="00F57068"/>
    <w:rsid w:val="00F766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0A5587F2"/>
  <w15:docId w15:val="{A0F1C6C7-2CDE-4097-9F84-B66BE6446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C91"/>
    <w:pPr>
      <w:spacing w:after="0" w:line="240" w:lineRule="auto"/>
      <w:jc w:val="both"/>
    </w:pPr>
    <w:rPr>
      <w:rFonts w:ascii="Arial" w:hAnsi="Arial"/>
      <w:sz w:val="20"/>
    </w:rPr>
  </w:style>
  <w:style w:type="paragraph" w:styleId="Heading1">
    <w:name w:val="heading 1"/>
    <w:basedOn w:val="Normal"/>
    <w:next w:val="Normal"/>
    <w:link w:val="Heading1Char"/>
    <w:qFormat/>
    <w:rsid w:val="00931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9354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next w:val="Normal"/>
    <w:link w:val="Heading3Char"/>
    <w:autoRedefine/>
    <w:qFormat/>
    <w:rsid w:val="005C087A"/>
    <w:pPr>
      <w:keepNext/>
      <w:spacing w:after="0" w:line="240" w:lineRule="auto"/>
      <w:jc w:val="both"/>
      <w:outlineLvl w:val="2"/>
    </w:pPr>
    <w:rPr>
      <w:rFonts w:ascii="Arial" w:eastAsiaTheme="minorEastAsia" w:hAnsi="Arial" w:cs="Times New Roman"/>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0CD"/>
    <w:rPr>
      <w:rFonts w:ascii="Tahoma" w:hAnsi="Tahoma" w:cs="Tahoma"/>
      <w:sz w:val="16"/>
      <w:szCs w:val="16"/>
    </w:rPr>
  </w:style>
  <w:style w:type="character" w:customStyle="1" w:styleId="BalloonTextChar">
    <w:name w:val="Balloon Text Char"/>
    <w:basedOn w:val="DefaultParagraphFont"/>
    <w:link w:val="BalloonText"/>
    <w:uiPriority w:val="99"/>
    <w:semiHidden/>
    <w:rsid w:val="005F10CD"/>
    <w:rPr>
      <w:rFonts w:ascii="Tahoma" w:hAnsi="Tahoma" w:cs="Tahoma"/>
      <w:sz w:val="16"/>
      <w:szCs w:val="16"/>
    </w:rPr>
  </w:style>
  <w:style w:type="character" w:customStyle="1" w:styleId="Heading1Char">
    <w:name w:val="Heading 1 Char"/>
    <w:basedOn w:val="DefaultParagraphFont"/>
    <w:link w:val="Heading1"/>
    <w:rsid w:val="0093107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31079"/>
    <w:pPr>
      <w:outlineLvl w:val="9"/>
    </w:pPr>
  </w:style>
  <w:style w:type="paragraph" w:styleId="TOC1">
    <w:name w:val="toc 1"/>
    <w:basedOn w:val="Normal"/>
    <w:next w:val="Normal"/>
    <w:autoRedefine/>
    <w:uiPriority w:val="39"/>
    <w:unhideWhenUsed/>
    <w:rsid w:val="00CA2303"/>
    <w:pPr>
      <w:spacing w:before="60"/>
      <w:ind w:right="1418"/>
      <w:jc w:val="left"/>
    </w:pPr>
    <w:rPr>
      <w:sz w:val="18"/>
    </w:rPr>
  </w:style>
  <w:style w:type="character" w:styleId="Hyperlink">
    <w:name w:val="Hyperlink"/>
    <w:basedOn w:val="DefaultParagraphFont"/>
    <w:uiPriority w:val="99"/>
    <w:unhideWhenUsed/>
    <w:rsid w:val="009354F6"/>
    <w:rPr>
      <w:color w:val="0000FF" w:themeColor="hyperlink"/>
      <w:u w:val="single"/>
    </w:rPr>
  </w:style>
  <w:style w:type="character" w:customStyle="1" w:styleId="Heading2Char">
    <w:name w:val="Heading 2 Char"/>
    <w:basedOn w:val="DefaultParagraphFont"/>
    <w:link w:val="Heading2"/>
    <w:uiPriority w:val="9"/>
    <w:rsid w:val="009354F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A2303"/>
    <w:pPr>
      <w:tabs>
        <w:tab w:val="right" w:leader="dot" w:pos="9396"/>
      </w:tabs>
      <w:ind w:left="284" w:right="851"/>
      <w:jc w:val="left"/>
    </w:pPr>
    <w:rPr>
      <w:sz w:val="18"/>
    </w:rPr>
  </w:style>
  <w:style w:type="paragraph" w:styleId="Header">
    <w:name w:val="header"/>
    <w:basedOn w:val="Normal"/>
    <w:link w:val="HeaderChar"/>
    <w:unhideWhenUsed/>
    <w:rsid w:val="00250413"/>
    <w:pPr>
      <w:tabs>
        <w:tab w:val="center" w:pos="4536"/>
        <w:tab w:val="right" w:pos="9072"/>
      </w:tabs>
    </w:pPr>
  </w:style>
  <w:style w:type="character" w:customStyle="1" w:styleId="HeaderChar">
    <w:name w:val="Header Char"/>
    <w:basedOn w:val="DefaultParagraphFont"/>
    <w:link w:val="Header"/>
    <w:rsid w:val="00250413"/>
  </w:style>
  <w:style w:type="paragraph" w:styleId="Footer">
    <w:name w:val="footer"/>
    <w:basedOn w:val="Normal"/>
    <w:link w:val="FooterChar"/>
    <w:uiPriority w:val="99"/>
    <w:unhideWhenUsed/>
    <w:rsid w:val="00250413"/>
    <w:pPr>
      <w:tabs>
        <w:tab w:val="center" w:pos="4536"/>
        <w:tab w:val="right" w:pos="9072"/>
      </w:tabs>
    </w:pPr>
  </w:style>
  <w:style w:type="character" w:customStyle="1" w:styleId="FooterChar">
    <w:name w:val="Footer Char"/>
    <w:basedOn w:val="DefaultParagraphFont"/>
    <w:link w:val="Footer"/>
    <w:uiPriority w:val="99"/>
    <w:rsid w:val="00250413"/>
  </w:style>
  <w:style w:type="character" w:styleId="CommentReference">
    <w:name w:val="annotation reference"/>
    <w:basedOn w:val="DefaultParagraphFont"/>
    <w:uiPriority w:val="99"/>
    <w:semiHidden/>
    <w:unhideWhenUsed/>
    <w:rsid w:val="009438C5"/>
    <w:rPr>
      <w:sz w:val="16"/>
      <w:szCs w:val="16"/>
    </w:rPr>
  </w:style>
  <w:style w:type="paragraph" w:styleId="CommentText">
    <w:name w:val="annotation text"/>
    <w:basedOn w:val="Normal"/>
    <w:link w:val="CommentTextChar"/>
    <w:uiPriority w:val="99"/>
    <w:semiHidden/>
    <w:unhideWhenUsed/>
    <w:rsid w:val="009438C5"/>
    <w:rPr>
      <w:szCs w:val="20"/>
    </w:rPr>
  </w:style>
  <w:style w:type="character" w:customStyle="1" w:styleId="CommentTextChar">
    <w:name w:val="Comment Text Char"/>
    <w:basedOn w:val="DefaultParagraphFont"/>
    <w:link w:val="CommentText"/>
    <w:uiPriority w:val="99"/>
    <w:semiHidden/>
    <w:rsid w:val="009438C5"/>
    <w:rPr>
      <w:sz w:val="20"/>
      <w:szCs w:val="20"/>
    </w:rPr>
  </w:style>
  <w:style w:type="paragraph" w:styleId="CommentSubject">
    <w:name w:val="annotation subject"/>
    <w:basedOn w:val="CommentText"/>
    <w:next w:val="CommentText"/>
    <w:link w:val="CommentSubjectChar"/>
    <w:uiPriority w:val="99"/>
    <w:semiHidden/>
    <w:unhideWhenUsed/>
    <w:rsid w:val="009438C5"/>
    <w:rPr>
      <w:b/>
      <w:bCs/>
    </w:rPr>
  </w:style>
  <w:style w:type="character" w:customStyle="1" w:styleId="CommentSubjectChar">
    <w:name w:val="Comment Subject Char"/>
    <w:basedOn w:val="CommentTextChar"/>
    <w:link w:val="CommentSubject"/>
    <w:uiPriority w:val="99"/>
    <w:semiHidden/>
    <w:rsid w:val="009438C5"/>
    <w:rPr>
      <w:b/>
      <w:bCs/>
      <w:sz w:val="20"/>
      <w:szCs w:val="20"/>
    </w:rPr>
  </w:style>
  <w:style w:type="paragraph" w:customStyle="1" w:styleId="Sessiontc">
    <w:name w:val="Session_tc"/>
    <w:basedOn w:val="Normal"/>
    <w:rsid w:val="00942671"/>
    <w:pPr>
      <w:spacing w:line="280" w:lineRule="exact"/>
    </w:pPr>
    <w:rPr>
      <w:rFonts w:eastAsiaTheme="minorEastAsia" w:cs="Times New Roman"/>
      <w:b/>
      <w:bCs/>
      <w:kern w:val="28"/>
      <w:szCs w:val="20"/>
      <w:lang w:val="en-US"/>
    </w:rPr>
  </w:style>
  <w:style w:type="paragraph" w:customStyle="1" w:styleId="Doccode">
    <w:name w:val="Doc_code"/>
    <w:qFormat/>
    <w:rsid w:val="00942671"/>
    <w:pPr>
      <w:spacing w:after="0" w:line="240" w:lineRule="auto"/>
    </w:pPr>
    <w:rPr>
      <w:rFonts w:ascii="Arial" w:eastAsiaTheme="minorEastAsia" w:hAnsi="Arial" w:cs="Times New Roman"/>
      <w:b/>
      <w:bCs/>
      <w:spacing w:val="10"/>
      <w:sz w:val="18"/>
      <w:szCs w:val="20"/>
      <w:lang w:val="en-US"/>
    </w:rPr>
  </w:style>
  <w:style w:type="paragraph" w:customStyle="1" w:styleId="Docoriginal">
    <w:name w:val="Doc_original"/>
    <w:basedOn w:val="Normal"/>
    <w:link w:val="DocoriginalChar"/>
    <w:rsid w:val="00942671"/>
    <w:pPr>
      <w:spacing w:before="240" w:line="240" w:lineRule="exact"/>
      <w:contextualSpacing/>
    </w:pPr>
    <w:rPr>
      <w:rFonts w:eastAsiaTheme="minorEastAsia" w:cs="Times New Roman"/>
      <w:b/>
      <w:bCs/>
      <w:spacing w:val="10"/>
      <w:sz w:val="18"/>
      <w:szCs w:val="20"/>
      <w:lang w:val="en-US"/>
    </w:rPr>
  </w:style>
  <w:style w:type="character" w:customStyle="1" w:styleId="DocoriginalChar">
    <w:name w:val="Doc_original Char"/>
    <w:basedOn w:val="DefaultParagraphFont"/>
    <w:link w:val="Docoriginal"/>
    <w:rsid w:val="00942671"/>
    <w:rPr>
      <w:rFonts w:ascii="Arial" w:eastAsiaTheme="minorEastAsia" w:hAnsi="Arial" w:cs="Times New Roman"/>
      <w:b/>
      <w:bCs/>
      <w:spacing w:val="10"/>
      <w:sz w:val="18"/>
      <w:szCs w:val="20"/>
      <w:lang w:val="en-US"/>
    </w:rPr>
  </w:style>
  <w:style w:type="paragraph" w:customStyle="1" w:styleId="Sessiontcplacedate">
    <w:name w:val="Session_tc_place_date"/>
    <w:basedOn w:val="Normal"/>
    <w:rsid w:val="00942671"/>
    <w:pPr>
      <w:spacing w:before="240"/>
      <w:contextualSpacing/>
    </w:pPr>
    <w:rPr>
      <w:rFonts w:eastAsiaTheme="minorEastAsia" w:cs="Times New Roman"/>
      <w:b/>
      <w:bCs/>
      <w:kern w:val="28"/>
      <w:szCs w:val="20"/>
      <w:lang w:val="en-US"/>
    </w:rPr>
  </w:style>
  <w:style w:type="paragraph" w:customStyle="1" w:styleId="Titleofdoc">
    <w:name w:val="Title_of_doc"/>
    <w:basedOn w:val="Normal"/>
    <w:rsid w:val="00781C91"/>
    <w:pPr>
      <w:spacing w:before="600" w:after="240"/>
    </w:pPr>
    <w:rPr>
      <w:rFonts w:eastAsiaTheme="minorEastAsia" w:cs="Times New Roman"/>
      <w:b/>
      <w:caps/>
      <w:szCs w:val="20"/>
      <w:lang w:val="en-US"/>
    </w:rPr>
  </w:style>
  <w:style w:type="paragraph" w:customStyle="1" w:styleId="preparedby">
    <w:name w:val="prepared_by"/>
    <w:basedOn w:val="Normal"/>
    <w:rsid w:val="00781C91"/>
    <w:pPr>
      <w:spacing w:after="240"/>
      <w:jc w:val="center"/>
    </w:pPr>
    <w:rPr>
      <w:rFonts w:eastAsiaTheme="minorEastAsia" w:cs="Times New Roman"/>
      <w:i/>
      <w:iCs/>
      <w:szCs w:val="20"/>
      <w:lang w:val="en-US"/>
    </w:rPr>
  </w:style>
  <w:style w:type="paragraph" w:customStyle="1" w:styleId="Disclaimer">
    <w:name w:val="Disclaimer"/>
    <w:next w:val="Normal"/>
    <w:qFormat/>
    <w:rsid w:val="00781C91"/>
    <w:pPr>
      <w:spacing w:after="600" w:line="240" w:lineRule="auto"/>
    </w:pPr>
    <w:rPr>
      <w:rFonts w:ascii="Arial" w:eastAsiaTheme="minorEastAsia" w:hAnsi="Arial" w:cs="Times New Roman"/>
      <w:i/>
      <w:iCs/>
      <w:color w:val="A6A6A6" w:themeColor="background1" w:themeShade="A6"/>
      <w:sz w:val="20"/>
      <w:szCs w:val="20"/>
      <w:lang w:val="en-US"/>
    </w:rPr>
  </w:style>
  <w:style w:type="character" w:styleId="PageNumber">
    <w:name w:val="page number"/>
    <w:basedOn w:val="DefaultParagraphFont"/>
    <w:rsid w:val="00E81622"/>
    <w:rPr>
      <w:rFonts w:ascii="Arial" w:hAnsi="Arial"/>
      <w:sz w:val="20"/>
    </w:rPr>
  </w:style>
  <w:style w:type="character" w:customStyle="1" w:styleId="Heading3Char">
    <w:name w:val="Heading 3 Char"/>
    <w:basedOn w:val="DefaultParagraphFont"/>
    <w:link w:val="Heading3"/>
    <w:rsid w:val="005C087A"/>
    <w:rPr>
      <w:rFonts w:ascii="Arial" w:eastAsiaTheme="minorEastAsia" w:hAnsi="Arial" w:cs="Times New Roman"/>
      <w:i/>
      <w:sz w:val="20"/>
      <w:szCs w:val="20"/>
      <w:lang w:val="en-US"/>
    </w:rPr>
  </w:style>
  <w:style w:type="paragraph" w:styleId="ListParagraph">
    <w:name w:val="List Paragraph"/>
    <w:basedOn w:val="Normal"/>
    <w:uiPriority w:val="34"/>
    <w:qFormat/>
    <w:rsid w:val="009262C2"/>
    <w:pPr>
      <w:ind w:left="720"/>
      <w:contextualSpacing/>
    </w:pPr>
  </w:style>
  <w:style w:type="paragraph" w:styleId="Revision">
    <w:name w:val="Revision"/>
    <w:hidden/>
    <w:uiPriority w:val="99"/>
    <w:semiHidden/>
    <w:rsid w:val="00F547C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about/de/faq.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ldseedpartnership.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dtest.org/en/member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export/sites/upov/images/worldmap_de.jpg" TargetMode="External"/><Relationship Id="rId4" Type="http://schemas.openxmlformats.org/officeDocument/2006/relationships/settings" Target="settings.xml"/><Relationship Id="rId9" Type="http://schemas.openxmlformats.org/officeDocument/2006/relationships/hyperlink" Target="https://www.upov.int/export/sites/upov/members/de/pdf/pub423.pdf"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A2FE5-4CD0-4174-9312-ADABCDD4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9140</Words>
  <Characters>52100</Characters>
  <Application>Microsoft Office Word</Application>
  <DocSecurity>0</DocSecurity>
  <Lines>434</Lines>
  <Paragraphs>122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MAY Jessica</cp:lastModifiedBy>
  <cp:revision>28</cp:revision>
  <dcterms:created xsi:type="dcterms:W3CDTF">2019-11-04T09:05:00Z</dcterms:created>
  <dcterms:modified xsi:type="dcterms:W3CDTF">2019-11-04T10:16:00Z</dcterms:modified>
</cp:coreProperties>
</file>