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06C0E" w:rsidRPr="003C4979" w14:paraId="01875656" w14:textId="77777777" w:rsidTr="00C958DC">
        <w:tc>
          <w:tcPr>
            <w:tcW w:w="6522" w:type="dxa"/>
          </w:tcPr>
          <w:p w14:paraId="4A8C8C55" w14:textId="77777777" w:rsidR="00506C0E" w:rsidRPr="003C4979" w:rsidRDefault="00506C0E" w:rsidP="00C958DC">
            <w:pPr>
              <w:rPr>
                <w:noProof/>
                <w:lang w:val="de-DE"/>
              </w:rPr>
            </w:pPr>
            <w:r w:rsidRPr="003C4979">
              <w:rPr>
                <w:noProof/>
              </w:rPr>
              <w:drawing>
                <wp:inline distT="0" distB="0" distL="0" distR="0" wp14:anchorId="6B8210BA" wp14:editId="77C8AF1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CF080BC" w14:textId="77777777" w:rsidR="00506C0E" w:rsidRPr="003C4979" w:rsidRDefault="00506C0E" w:rsidP="00C958DC">
            <w:pPr>
              <w:pStyle w:val="Lettrine"/>
              <w:rPr>
                <w:noProof/>
                <w:lang w:val="de-DE"/>
              </w:rPr>
            </w:pPr>
            <w:r w:rsidRPr="003C4979">
              <w:rPr>
                <w:noProof/>
                <w:lang w:val="de-DE"/>
              </w:rPr>
              <w:t>G</w:t>
            </w:r>
          </w:p>
        </w:tc>
      </w:tr>
      <w:tr w:rsidR="00506C0E" w:rsidRPr="00307F52" w14:paraId="39475C62" w14:textId="77777777" w:rsidTr="00C958DC">
        <w:trPr>
          <w:trHeight w:val="219"/>
        </w:trPr>
        <w:tc>
          <w:tcPr>
            <w:tcW w:w="6522" w:type="dxa"/>
          </w:tcPr>
          <w:p w14:paraId="4007D0E6" w14:textId="77777777" w:rsidR="00506C0E" w:rsidRPr="003C4979" w:rsidRDefault="00506C0E" w:rsidP="00C958DC">
            <w:pPr>
              <w:pStyle w:val="upove"/>
              <w:rPr>
                <w:noProof/>
                <w:lang w:val="de-DE"/>
              </w:rPr>
            </w:pPr>
            <w:r w:rsidRPr="003C4979">
              <w:rPr>
                <w:noProof/>
                <w:lang w:val="de-DE"/>
              </w:rPr>
              <w:t>Internationaler Verband zum Schutz von Pflanzenzüchtungen</w:t>
            </w:r>
          </w:p>
        </w:tc>
        <w:tc>
          <w:tcPr>
            <w:tcW w:w="3117" w:type="dxa"/>
          </w:tcPr>
          <w:p w14:paraId="06E5CF1E" w14:textId="77777777" w:rsidR="00506C0E" w:rsidRPr="003C4979" w:rsidRDefault="00506C0E" w:rsidP="00C958DC">
            <w:pPr>
              <w:rPr>
                <w:noProof/>
                <w:lang w:val="de-DE"/>
              </w:rPr>
            </w:pPr>
          </w:p>
        </w:tc>
      </w:tr>
    </w:tbl>
    <w:p w14:paraId="01AFF512" w14:textId="77777777" w:rsidR="00506C0E" w:rsidRPr="003C4979" w:rsidRDefault="00506C0E" w:rsidP="00506C0E">
      <w:pPr>
        <w:rPr>
          <w:noProof/>
          <w:lang w:val="de-DE"/>
        </w:rPr>
      </w:pPr>
    </w:p>
    <w:p w14:paraId="5659625E" w14:textId="77777777" w:rsidR="00506C0E" w:rsidRPr="003C4979" w:rsidRDefault="00506C0E" w:rsidP="00506C0E">
      <w:pPr>
        <w:rPr>
          <w:noProof/>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06C0E" w:rsidRPr="00307F52" w14:paraId="1731146B" w14:textId="77777777" w:rsidTr="00C958DC">
        <w:tc>
          <w:tcPr>
            <w:tcW w:w="6512" w:type="dxa"/>
          </w:tcPr>
          <w:p w14:paraId="3E1F9E25" w14:textId="77777777" w:rsidR="00506C0E" w:rsidRPr="003C4979" w:rsidRDefault="00506C0E" w:rsidP="00C958DC">
            <w:pPr>
              <w:pStyle w:val="Sessiontc"/>
              <w:spacing w:line="240" w:lineRule="auto"/>
              <w:rPr>
                <w:noProof/>
                <w:lang w:val="de-DE"/>
              </w:rPr>
            </w:pPr>
            <w:r w:rsidRPr="003C4979">
              <w:rPr>
                <w:noProof/>
                <w:lang w:val="de-DE"/>
              </w:rPr>
              <w:t>Technischer Ausschuss</w:t>
            </w:r>
          </w:p>
          <w:p w14:paraId="5E02D4CB" w14:textId="77777777" w:rsidR="00506C0E" w:rsidRPr="003C4979" w:rsidRDefault="00506C0E" w:rsidP="00C958DC">
            <w:pPr>
              <w:pStyle w:val="Sessiontcplacedate"/>
              <w:rPr>
                <w:noProof/>
                <w:sz w:val="22"/>
                <w:lang w:val="de-DE"/>
              </w:rPr>
            </w:pPr>
            <w:r w:rsidRPr="003C4979">
              <w:rPr>
                <w:noProof/>
                <w:lang w:val="de-DE"/>
              </w:rPr>
              <w:t>Fünfundfünfzigste Tagung</w:t>
            </w:r>
            <w:r w:rsidRPr="003C4979">
              <w:rPr>
                <w:noProof/>
                <w:lang w:val="de-DE"/>
              </w:rPr>
              <w:br/>
              <w:t>Genf, 28. und 29. Oktober 2019</w:t>
            </w:r>
          </w:p>
        </w:tc>
        <w:tc>
          <w:tcPr>
            <w:tcW w:w="3127" w:type="dxa"/>
          </w:tcPr>
          <w:p w14:paraId="2DAA6A68" w14:textId="77777777" w:rsidR="00506C0E" w:rsidRPr="003C4979" w:rsidRDefault="00506C0E" w:rsidP="00C958DC">
            <w:pPr>
              <w:pStyle w:val="Doccode"/>
              <w:rPr>
                <w:noProof/>
                <w:lang w:val="de-DE"/>
              </w:rPr>
            </w:pPr>
            <w:r w:rsidRPr="003C4979">
              <w:rPr>
                <w:noProof/>
                <w:lang w:val="de-DE"/>
              </w:rPr>
              <w:t>TC/55/7 Add.</w:t>
            </w:r>
          </w:p>
          <w:p w14:paraId="7DC0D884" w14:textId="77777777" w:rsidR="00506C0E" w:rsidRPr="003C4979" w:rsidRDefault="00506C0E" w:rsidP="00C958DC">
            <w:pPr>
              <w:pStyle w:val="Docoriginal"/>
              <w:rPr>
                <w:noProof/>
                <w:lang w:val="de-DE"/>
              </w:rPr>
            </w:pPr>
            <w:r w:rsidRPr="003C4979">
              <w:rPr>
                <w:noProof/>
                <w:lang w:val="de-DE"/>
              </w:rPr>
              <w:t>Original:</w:t>
            </w:r>
            <w:r w:rsidRPr="003C4979">
              <w:rPr>
                <w:b w:val="0"/>
                <w:noProof/>
                <w:spacing w:val="0"/>
                <w:lang w:val="de-DE"/>
              </w:rPr>
              <w:t xml:space="preserve">  englisch</w:t>
            </w:r>
          </w:p>
          <w:p w14:paraId="6A3F3DC1" w14:textId="43C76D8B" w:rsidR="00506C0E" w:rsidRPr="003C4979" w:rsidRDefault="00506C0E" w:rsidP="00307F52">
            <w:pPr>
              <w:pStyle w:val="Docoriginal"/>
              <w:rPr>
                <w:noProof/>
                <w:lang w:val="de-DE"/>
              </w:rPr>
            </w:pPr>
            <w:r w:rsidRPr="003C4979">
              <w:rPr>
                <w:noProof/>
                <w:lang w:val="de-DE"/>
              </w:rPr>
              <w:t>Datum:</w:t>
            </w:r>
            <w:r w:rsidRPr="003C4979">
              <w:rPr>
                <w:b w:val="0"/>
                <w:noProof/>
                <w:spacing w:val="0"/>
                <w:lang w:val="de-DE"/>
              </w:rPr>
              <w:t xml:space="preserve">  </w:t>
            </w:r>
            <w:r w:rsidR="00307F52" w:rsidRPr="00307F52">
              <w:rPr>
                <w:b w:val="0"/>
                <w:noProof/>
                <w:spacing w:val="0"/>
                <w:lang w:val="de-DE"/>
              </w:rPr>
              <w:t>8</w:t>
            </w:r>
            <w:r w:rsidRPr="00307F52">
              <w:rPr>
                <w:b w:val="0"/>
                <w:noProof/>
                <w:spacing w:val="0"/>
                <w:lang w:val="de-DE"/>
              </w:rPr>
              <w:t>. Oktober 2019</w:t>
            </w:r>
          </w:p>
        </w:tc>
      </w:tr>
    </w:tbl>
    <w:p w14:paraId="50E917A6" w14:textId="77777777" w:rsidR="00506C0E" w:rsidRPr="003C4979" w:rsidRDefault="00506C0E" w:rsidP="00506C0E">
      <w:pPr>
        <w:pStyle w:val="Titleofdoc"/>
        <w:rPr>
          <w:noProof/>
          <w:lang w:val="de-DE"/>
        </w:rPr>
      </w:pPr>
      <w:bookmarkStart w:id="0" w:name="TitleOfDoc"/>
      <w:bookmarkEnd w:id="0"/>
      <w:r w:rsidRPr="003C4979">
        <w:rPr>
          <w:noProof/>
          <w:lang w:val="de-DE"/>
        </w:rPr>
        <w:t>Ergänzung zu molekularen Verfahren</w:t>
      </w:r>
    </w:p>
    <w:p w14:paraId="193D1FC9" w14:textId="77777777" w:rsidR="00506C0E" w:rsidRPr="003C4979" w:rsidRDefault="00506C0E" w:rsidP="00506C0E">
      <w:pPr>
        <w:pStyle w:val="preparedby"/>
        <w:jc w:val="left"/>
        <w:rPr>
          <w:noProof/>
          <w:lang w:val="de-DE"/>
        </w:rPr>
      </w:pPr>
      <w:bookmarkStart w:id="1" w:name="Prepared"/>
      <w:bookmarkEnd w:id="1"/>
      <w:r w:rsidRPr="003C4979">
        <w:rPr>
          <w:noProof/>
          <w:lang w:val="de-DE"/>
        </w:rPr>
        <w:t>Vom Verbandsbüro erstelltes Dokument</w:t>
      </w:r>
    </w:p>
    <w:p w14:paraId="58F92BBF" w14:textId="77777777" w:rsidR="00506C0E" w:rsidRPr="003C4979" w:rsidRDefault="00506C0E" w:rsidP="00506C0E">
      <w:pPr>
        <w:pStyle w:val="Disclaimer"/>
        <w:rPr>
          <w:noProof/>
          <w:lang w:val="de-DE"/>
        </w:rPr>
      </w:pPr>
      <w:r w:rsidRPr="003C4979">
        <w:rPr>
          <w:noProof/>
          <w:lang w:val="de-DE"/>
        </w:rPr>
        <w:t>Haftungsausschluss:  dieses Dokument gibt nicht die Grundsätze oder eine Anleitung der UPOV wieder</w:t>
      </w:r>
    </w:p>
    <w:p w14:paraId="6A103466" w14:textId="77777777" w:rsidR="00506C0E" w:rsidRPr="003C4979" w:rsidRDefault="00506C0E" w:rsidP="00506C0E">
      <w:pPr>
        <w:rPr>
          <w:noProof/>
          <w:lang w:val="de-DE"/>
        </w:rPr>
      </w:pPr>
      <w:r w:rsidRPr="003C4979">
        <w:rPr>
          <w:noProof/>
          <w:lang w:val="de-DE"/>
        </w:rPr>
        <w:fldChar w:fldCharType="begin"/>
      </w:r>
      <w:r w:rsidRPr="003C4979">
        <w:rPr>
          <w:noProof/>
          <w:lang w:val="de-DE"/>
        </w:rPr>
        <w:instrText xml:space="preserve"> AUTONUM  </w:instrText>
      </w:r>
      <w:r w:rsidRPr="003C4979">
        <w:rPr>
          <w:noProof/>
          <w:lang w:val="de-DE"/>
        </w:rPr>
        <w:fldChar w:fldCharType="end"/>
      </w:r>
      <w:r w:rsidRPr="003C4979">
        <w:rPr>
          <w:noProof/>
          <w:lang w:val="de-DE"/>
        </w:rPr>
        <w:tab/>
        <w:t xml:space="preserve">Der Zweck dieser Ergänzung ist es, über die Entwicklungen </w:t>
      </w:r>
      <w:r>
        <w:rPr>
          <w:noProof/>
          <w:lang w:val="de-DE"/>
        </w:rPr>
        <w:t>betreffend die</w:t>
      </w:r>
      <w:r w:rsidRPr="003C4979">
        <w:rPr>
          <w:noProof/>
          <w:lang w:val="de-DE"/>
        </w:rPr>
        <w:t xml:space="preserve"> Zusammenarbeit zwischen internationalen Organisationen bei</w:t>
      </w:r>
      <w:r>
        <w:rPr>
          <w:noProof/>
          <w:lang w:val="de-DE"/>
        </w:rPr>
        <w:t xml:space="preserve"> der</w:t>
      </w:r>
      <w:r w:rsidRPr="003C4979">
        <w:rPr>
          <w:noProof/>
          <w:lang w:val="de-DE"/>
        </w:rPr>
        <w:t xml:space="preserve"> </w:t>
      </w:r>
      <w:r>
        <w:rPr>
          <w:noProof/>
          <w:lang w:val="de-DE"/>
        </w:rPr>
        <w:t>Verwendung</w:t>
      </w:r>
      <w:r w:rsidRPr="003C4979">
        <w:rPr>
          <w:noProof/>
          <w:lang w:val="de-DE"/>
        </w:rPr>
        <w:t xml:space="preserve"> molekularer </w:t>
      </w:r>
      <w:r>
        <w:rPr>
          <w:noProof/>
          <w:lang w:val="de-DE"/>
        </w:rPr>
        <w:t>Verfahren</w:t>
      </w:r>
      <w:r w:rsidRPr="003C4979">
        <w:rPr>
          <w:noProof/>
          <w:lang w:val="de-DE"/>
        </w:rPr>
        <w:t xml:space="preserve"> </w:t>
      </w:r>
      <w:r w:rsidRPr="00C55E6B">
        <w:rPr>
          <w:noProof/>
          <w:lang w:val="de-DE"/>
        </w:rPr>
        <w:t xml:space="preserve">auf der achtundvierzigsten Tagung der Technischen Arbeitsgruppe für landwirtschaftliche Arten (TWA) </w:t>
      </w:r>
      <w:r w:rsidRPr="003C4979">
        <w:rPr>
          <w:noProof/>
          <w:lang w:val="de-DE"/>
        </w:rPr>
        <w:t>zu berichten.</w:t>
      </w:r>
    </w:p>
    <w:p w14:paraId="0AB70A1F" w14:textId="77777777" w:rsidR="00506C0E" w:rsidRPr="003C4979" w:rsidRDefault="00506C0E" w:rsidP="00506C0E">
      <w:pPr>
        <w:ind w:left="567" w:hanging="567"/>
        <w:rPr>
          <w:noProof/>
          <w:lang w:val="de-DE"/>
        </w:rPr>
      </w:pPr>
    </w:p>
    <w:p w14:paraId="2B0BEB4E" w14:textId="584EF522" w:rsidR="00506C0E" w:rsidRPr="003C4979" w:rsidRDefault="00506C0E" w:rsidP="00506C0E">
      <w:pPr>
        <w:rPr>
          <w:noProof/>
          <w:lang w:val="de-DE"/>
        </w:rPr>
      </w:pPr>
      <w:r w:rsidRPr="003C4979">
        <w:rPr>
          <w:noProof/>
          <w:lang w:val="de-DE"/>
        </w:rPr>
        <w:fldChar w:fldCharType="begin"/>
      </w:r>
      <w:r w:rsidRPr="003C4979">
        <w:rPr>
          <w:noProof/>
          <w:lang w:val="de-DE"/>
        </w:rPr>
        <w:instrText xml:space="preserve"> AUTONUM  </w:instrText>
      </w:r>
      <w:r w:rsidRPr="003C4979">
        <w:rPr>
          <w:noProof/>
          <w:lang w:val="de-DE"/>
        </w:rPr>
        <w:fldChar w:fldCharType="end"/>
      </w:r>
      <w:r w:rsidRPr="003C4979">
        <w:rPr>
          <w:noProof/>
          <w:lang w:val="de-DE"/>
        </w:rPr>
        <w:tab/>
        <w:t xml:space="preserve">Die TWA prüfte auf ihrer achtundvierzigsten Tagung vom 16. bis 20. September 2019 in Montevideo, Uruguay, die folgenden Elemente für eine Bestandsaufnahme zur Verwendung molekularer Markerverfahren nach Pflanze, die in Abstimmung mit der OECD erarbeitet wurden, wie in Dokument TWP/3/7 </w:t>
      </w:r>
      <w:r>
        <w:rPr>
          <w:noProof/>
          <w:lang w:val="de-DE"/>
        </w:rPr>
        <w:t>„</w:t>
      </w:r>
      <w:r w:rsidRPr="007055C4">
        <w:rPr>
          <w:i/>
          <w:noProof/>
          <w:lang w:val="de-DE"/>
        </w:rPr>
        <w:t>Molecular techniques“</w:t>
      </w:r>
      <w:r w:rsidRPr="003C4979">
        <w:rPr>
          <w:noProof/>
          <w:lang w:val="de-DE"/>
        </w:rPr>
        <w:t>, Absatz 81</w:t>
      </w:r>
      <w:r w:rsidR="000924A8">
        <w:rPr>
          <w:noProof/>
          <w:lang w:val="de-DE"/>
        </w:rPr>
        <w:t>,</w:t>
      </w:r>
      <w:r w:rsidRPr="003C4979">
        <w:rPr>
          <w:noProof/>
          <w:lang w:val="de-DE"/>
        </w:rPr>
        <w:t xml:space="preserve"> </w:t>
      </w:r>
      <w:r>
        <w:rPr>
          <w:noProof/>
          <w:lang w:val="de-DE"/>
        </w:rPr>
        <w:t xml:space="preserve">dargelegt </w:t>
      </w:r>
      <w:r w:rsidRPr="003C4979">
        <w:rPr>
          <w:noProof/>
          <w:lang w:val="de-DE"/>
        </w:rPr>
        <w:t xml:space="preserve">(vergleiche Dokument TWA/48/9 </w:t>
      </w:r>
      <w:r w:rsidRPr="007055C4">
        <w:rPr>
          <w:i/>
          <w:noProof/>
          <w:lang w:val="de-DE"/>
        </w:rPr>
        <w:t>„Report“</w:t>
      </w:r>
      <w:r w:rsidRPr="003C4979">
        <w:rPr>
          <w:noProof/>
          <w:lang w:val="de-DE"/>
        </w:rPr>
        <w:t>, Absätze 57 bis 61):</w:t>
      </w:r>
    </w:p>
    <w:p w14:paraId="034ED0FA" w14:textId="77777777" w:rsidR="00506C0E" w:rsidRPr="003C4979" w:rsidRDefault="00506C0E" w:rsidP="00506C0E">
      <w:pPr>
        <w:rPr>
          <w:noProof/>
          <w:lang w:val="de-DE"/>
        </w:rPr>
      </w:pPr>
    </w:p>
    <w:tbl>
      <w:tblPr>
        <w:tblStyle w:val="TableGrid5"/>
        <w:tblW w:w="9039" w:type="dxa"/>
        <w:tblInd w:w="-5" w:type="dxa"/>
        <w:tblCellMar>
          <w:top w:w="28" w:type="dxa"/>
          <w:left w:w="85" w:type="dxa"/>
          <w:right w:w="85" w:type="dxa"/>
        </w:tblCellMar>
        <w:tblLook w:val="04A0" w:firstRow="1" w:lastRow="0" w:firstColumn="1" w:lastColumn="0" w:noHBand="0" w:noVBand="1"/>
      </w:tblPr>
      <w:tblGrid>
        <w:gridCol w:w="9039"/>
      </w:tblGrid>
      <w:tr w:rsidR="00506C0E" w:rsidRPr="00307F52" w14:paraId="67AB3F86"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01B3BECC" w14:textId="77777777" w:rsidR="00506C0E" w:rsidRPr="003C4979" w:rsidRDefault="00506C0E" w:rsidP="00C958DC">
            <w:pPr>
              <w:rPr>
                <w:noProof/>
                <w:sz w:val="18"/>
                <w:lang w:val="de-DE"/>
              </w:rPr>
            </w:pPr>
            <w:r w:rsidRPr="003C4979">
              <w:rPr>
                <w:noProof/>
                <w:sz w:val="18"/>
                <w:lang w:val="de-DE"/>
              </w:rPr>
              <w:t>Land oder zwischenstaatliche Organisation, das/die molekulare Markerverfahren verwendet</w:t>
            </w:r>
          </w:p>
        </w:tc>
      </w:tr>
      <w:tr w:rsidR="00506C0E" w:rsidRPr="00307F52" w14:paraId="2E34558B"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2FB0D6FC" w14:textId="77777777" w:rsidR="00506C0E" w:rsidRPr="003C4979" w:rsidRDefault="00506C0E" w:rsidP="00C958DC">
            <w:pPr>
              <w:rPr>
                <w:noProof/>
                <w:sz w:val="18"/>
                <w:lang w:val="de-DE"/>
              </w:rPr>
            </w:pPr>
            <w:r w:rsidRPr="003C4979">
              <w:rPr>
                <w:noProof/>
                <w:sz w:val="18"/>
                <w:lang w:val="de-DE"/>
              </w:rPr>
              <w:t>Herkunft [Name der Behörde] und Kontaktangaben [E-Mail-Adresse]</w:t>
            </w:r>
          </w:p>
        </w:tc>
      </w:tr>
      <w:tr w:rsidR="00506C0E" w:rsidRPr="003C4979" w14:paraId="48D12122"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28C280BA" w14:textId="77777777" w:rsidR="00506C0E" w:rsidRPr="003C4979" w:rsidRDefault="00506C0E" w:rsidP="00C958DC">
            <w:pPr>
              <w:rPr>
                <w:noProof/>
                <w:sz w:val="18"/>
                <w:lang w:val="de-DE"/>
              </w:rPr>
            </w:pPr>
            <w:r w:rsidRPr="003C4979">
              <w:rPr>
                <w:noProof/>
                <w:sz w:val="18"/>
                <w:lang w:val="de-DE"/>
              </w:rPr>
              <w:t>Art des molekularen Markerverfahrens</w:t>
            </w:r>
          </w:p>
        </w:tc>
      </w:tr>
      <w:tr w:rsidR="00506C0E" w:rsidRPr="00307F52" w14:paraId="4812E0F4"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19F0ECB8" w14:textId="77777777" w:rsidR="00506C0E" w:rsidRPr="003C4979" w:rsidRDefault="00506C0E" w:rsidP="00C958DC">
            <w:pPr>
              <w:rPr>
                <w:noProof/>
                <w:sz w:val="18"/>
                <w:lang w:val="de-DE"/>
              </w:rPr>
            </w:pPr>
            <w:r w:rsidRPr="003C4979">
              <w:rPr>
                <w:noProof/>
                <w:sz w:val="18"/>
                <w:lang w:val="de-DE"/>
              </w:rPr>
              <w:t>Pflanze(n), für die das molekulare Markerverfahren verwendet wird</w:t>
            </w:r>
          </w:p>
          <w:p w14:paraId="4AB620BD" w14:textId="77777777" w:rsidR="00506C0E" w:rsidRPr="003C4979" w:rsidRDefault="00506C0E" w:rsidP="00C958DC">
            <w:pPr>
              <w:rPr>
                <w:noProof/>
                <w:sz w:val="18"/>
                <w:lang w:val="de-DE"/>
              </w:rPr>
            </w:pPr>
            <w:r w:rsidRPr="003C4979">
              <w:rPr>
                <w:noProof/>
                <w:sz w:val="18"/>
                <w:lang w:val="de-DE"/>
              </w:rPr>
              <w:t>[anzugebende(r) botanische(r) Name(n) und UPOV-Code(s)]</w:t>
            </w:r>
          </w:p>
        </w:tc>
      </w:tr>
      <w:tr w:rsidR="00506C0E" w:rsidRPr="00307F52" w14:paraId="0030C176"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174CD8DE" w14:textId="308B8450" w:rsidR="00506C0E" w:rsidRPr="003C4979" w:rsidRDefault="00506C0E" w:rsidP="00C958DC">
            <w:pPr>
              <w:rPr>
                <w:noProof/>
                <w:sz w:val="18"/>
                <w:lang w:val="de-DE"/>
              </w:rPr>
            </w:pPr>
            <w:r w:rsidRPr="003C4979">
              <w:rPr>
                <w:noProof/>
                <w:sz w:val="18"/>
                <w:lang w:val="de-DE"/>
              </w:rPr>
              <w:t>Zweck der Verwendung molekularer Verfahren [UPOV-Modell „Merkmalsspezifische molekulare Marker“, UPOV</w:t>
            </w:r>
            <w:r w:rsidR="00FB18CB">
              <w:rPr>
                <w:noProof/>
                <w:sz w:val="18"/>
                <w:lang w:val="de-DE"/>
              </w:rPr>
              <w:noBreakHyphen/>
            </w:r>
            <w:r w:rsidRPr="003C4979">
              <w:rPr>
                <w:noProof/>
                <w:sz w:val="18"/>
                <w:lang w:val="de-DE"/>
              </w:rPr>
              <w:t>Modell „Kombination phänotypischer und molekularer Abstände bei der Verwaltung von Sortensammlungen“,</w:t>
            </w:r>
          </w:p>
          <w:p w14:paraId="7A288986" w14:textId="77777777" w:rsidR="00506C0E" w:rsidRPr="003C4979" w:rsidRDefault="00506C0E" w:rsidP="00C958DC">
            <w:pPr>
              <w:rPr>
                <w:noProof/>
                <w:sz w:val="18"/>
                <w:lang w:val="de-DE"/>
              </w:rPr>
            </w:pPr>
            <w:r w:rsidRPr="003C4979">
              <w:rPr>
                <w:noProof/>
                <w:sz w:val="18"/>
                <w:lang w:val="de-DE"/>
              </w:rPr>
              <w:t>Reinheit, Identität, Überprüfung der Hybridität]</w:t>
            </w:r>
          </w:p>
        </w:tc>
      </w:tr>
      <w:tr w:rsidR="00506C0E" w:rsidRPr="003C4979" w14:paraId="190180D6"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697A6F02" w14:textId="77777777" w:rsidR="00506C0E" w:rsidRPr="003C4979" w:rsidRDefault="00506C0E" w:rsidP="00C958DC">
            <w:pPr>
              <w:rPr>
                <w:noProof/>
                <w:sz w:val="18"/>
                <w:lang w:val="de-DE"/>
              </w:rPr>
            </w:pPr>
            <w:r w:rsidRPr="003C4979">
              <w:rPr>
                <w:noProof/>
                <w:sz w:val="18"/>
                <w:lang w:val="de-DE"/>
              </w:rPr>
              <w:t>Wurde das molekulare Markerverfahren innerhalb der letzten zwei Jahre im Rahmen von Saatgutzertifizierung verwendet? [Nationale Zertifizierung, OECD-Zertifizierung] [maßgeblich für OECD-Saatgutschemata]</w:t>
            </w:r>
          </w:p>
        </w:tc>
      </w:tr>
      <w:tr w:rsidR="00506C0E" w:rsidRPr="00307F52" w14:paraId="61C21349"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69B86330" w14:textId="77777777" w:rsidR="00506C0E" w:rsidRPr="003C4979" w:rsidRDefault="00506C0E" w:rsidP="00C958DC">
            <w:pPr>
              <w:rPr>
                <w:noProof/>
                <w:sz w:val="18"/>
                <w:lang w:val="de-DE"/>
              </w:rPr>
            </w:pPr>
            <w:r w:rsidRPr="003C4979">
              <w:rPr>
                <w:noProof/>
                <w:sz w:val="18"/>
                <w:lang w:val="de-DE"/>
              </w:rPr>
              <w:t>Wie oft hat die Behörde in den letzten zwei Jahren die molekularen Markerverfahren verwendet?</w:t>
            </w:r>
          </w:p>
        </w:tc>
      </w:tr>
      <w:tr w:rsidR="00506C0E" w:rsidRPr="00307F52" w14:paraId="313FA6CD"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6D6AB21B" w14:textId="77777777" w:rsidR="00506C0E" w:rsidRPr="003C4979" w:rsidRDefault="00506C0E" w:rsidP="00C958DC">
            <w:pPr>
              <w:rPr>
                <w:noProof/>
                <w:sz w:val="18"/>
                <w:lang w:val="de-DE"/>
              </w:rPr>
            </w:pPr>
            <w:r w:rsidRPr="003C4979">
              <w:rPr>
                <w:noProof/>
                <w:sz w:val="18"/>
                <w:lang w:val="de-DE"/>
              </w:rPr>
              <w:t>Das molekulare Markerverfahren ist in der/den [UPOV-Prüfungsrichtlinie(n), dem/den UPOV-TGP-Dokument(en), (einem) anderen Dokument(en) enthalten (bitte angeben)]</w:t>
            </w:r>
          </w:p>
        </w:tc>
      </w:tr>
      <w:tr w:rsidR="00506C0E" w:rsidRPr="003C4979" w14:paraId="1D9388A6" w14:textId="77777777" w:rsidTr="00C958DC">
        <w:tc>
          <w:tcPr>
            <w:tcW w:w="9039" w:type="dxa"/>
            <w:tcBorders>
              <w:top w:val="single" w:sz="4" w:space="0" w:color="auto"/>
              <w:left w:val="single" w:sz="4" w:space="0" w:color="auto"/>
              <w:bottom w:val="single" w:sz="4" w:space="0" w:color="auto"/>
              <w:right w:val="single" w:sz="4" w:space="0" w:color="auto"/>
            </w:tcBorders>
            <w:hideMark/>
          </w:tcPr>
          <w:p w14:paraId="71EEDD03" w14:textId="77777777" w:rsidR="00506C0E" w:rsidRPr="003C4979" w:rsidRDefault="00506C0E" w:rsidP="00C958DC">
            <w:pPr>
              <w:rPr>
                <w:noProof/>
                <w:sz w:val="18"/>
                <w:lang w:val="de-DE"/>
              </w:rPr>
            </w:pPr>
            <w:r w:rsidRPr="003C4979">
              <w:rPr>
                <w:noProof/>
                <w:sz w:val="18"/>
                <w:lang w:val="de-DE"/>
              </w:rPr>
              <w:t xml:space="preserve">Ist das molekulare Verfahren validiert? [Wenn ja, geben Sie bitte eine bestimmte Organisation oder Behörde an] </w:t>
            </w:r>
          </w:p>
          <w:p w14:paraId="73A1B46C" w14:textId="77777777" w:rsidR="00506C0E" w:rsidRPr="003C4979" w:rsidRDefault="00506C0E" w:rsidP="00C958DC">
            <w:pPr>
              <w:rPr>
                <w:noProof/>
                <w:sz w:val="18"/>
                <w:lang w:val="de-DE"/>
              </w:rPr>
            </w:pPr>
            <w:r w:rsidRPr="003C4979">
              <w:rPr>
                <w:noProof/>
                <w:sz w:val="18"/>
                <w:lang w:val="de-DE"/>
              </w:rPr>
              <w:t>[maßgeblich für OECD-Saatgutschemata]</w:t>
            </w:r>
          </w:p>
        </w:tc>
      </w:tr>
    </w:tbl>
    <w:p w14:paraId="3FEE140F" w14:textId="77777777" w:rsidR="00506C0E" w:rsidRPr="003C4979" w:rsidRDefault="00506C0E" w:rsidP="00506C0E">
      <w:pPr>
        <w:rPr>
          <w:noProof/>
          <w:lang w:val="de-DE"/>
        </w:rPr>
      </w:pPr>
    </w:p>
    <w:p w14:paraId="2B844F6E" w14:textId="59521E25" w:rsidR="00506C0E" w:rsidRPr="003C4979" w:rsidRDefault="00506C0E" w:rsidP="00506C0E">
      <w:pPr>
        <w:rPr>
          <w:rFonts w:eastAsia="Times New Roman"/>
          <w:noProof/>
          <w:lang w:val="de-DE"/>
        </w:rPr>
      </w:pPr>
      <w:r w:rsidRPr="003C4979">
        <w:rPr>
          <w:rFonts w:eastAsia="Times New Roman"/>
          <w:noProof/>
          <w:lang w:val="de-DE"/>
        </w:rPr>
        <w:fldChar w:fldCharType="begin"/>
      </w:r>
      <w:r w:rsidRPr="003C4979">
        <w:rPr>
          <w:rFonts w:eastAsia="Times New Roman"/>
          <w:noProof/>
          <w:lang w:val="de-DE"/>
        </w:rPr>
        <w:instrText xml:space="preserve"> AUTONUM  </w:instrText>
      </w:r>
      <w:r w:rsidRPr="003C4979">
        <w:rPr>
          <w:rFonts w:eastAsia="Times New Roman"/>
          <w:noProof/>
          <w:lang w:val="de-DE"/>
        </w:rPr>
        <w:fldChar w:fldCharType="end"/>
      </w:r>
      <w:r w:rsidRPr="003C4979">
        <w:rPr>
          <w:rFonts w:eastAsia="Times New Roman"/>
          <w:noProof/>
          <w:lang w:val="de-DE"/>
        </w:rPr>
        <w:tab/>
      </w:r>
      <w:r>
        <w:rPr>
          <w:rFonts w:eastAsia="Times New Roman"/>
          <w:noProof/>
          <w:lang w:val="de-DE"/>
        </w:rPr>
        <w:t>Die</w:t>
      </w:r>
      <w:r w:rsidRPr="003C4979">
        <w:rPr>
          <w:rFonts w:eastAsia="Times New Roman"/>
          <w:noProof/>
          <w:lang w:val="de-DE"/>
        </w:rPr>
        <w:t xml:space="preserve"> TWA </w:t>
      </w:r>
      <w:r>
        <w:rPr>
          <w:rFonts w:eastAsia="Times New Roman"/>
          <w:noProof/>
          <w:lang w:val="de-DE"/>
        </w:rPr>
        <w:t>befürwortete</w:t>
      </w:r>
      <w:r w:rsidRPr="003C4979">
        <w:rPr>
          <w:rFonts w:eastAsia="Times New Roman"/>
          <w:noProof/>
          <w:lang w:val="de-DE"/>
        </w:rPr>
        <w:t xml:space="preserve"> </w:t>
      </w:r>
      <w:r>
        <w:rPr>
          <w:rFonts w:eastAsia="Times New Roman"/>
          <w:noProof/>
          <w:lang w:val="de-DE"/>
        </w:rPr>
        <w:t xml:space="preserve">die </w:t>
      </w:r>
      <w:r w:rsidRPr="003C4979">
        <w:rPr>
          <w:noProof/>
          <w:lang w:val="de-DE"/>
        </w:rPr>
        <w:t xml:space="preserve">Elemente für </w:t>
      </w:r>
      <w:r>
        <w:rPr>
          <w:noProof/>
          <w:lang w:val="de-DE"/>
        </w:rPr>
        <w:t>die</w:t>
      </w:r>
      <w:r w:rsidRPr="003C4979">
        <w:rPr>
          <w:noProof/>
          <w:lang w:val="de-DE"/>
        </w:rPr>
        <w:t xml:space="preserve"> Bestandsaufnahme</w:t>
      </w:r>
      <w:r w:rsidRPr="003C4979">
        <w:rPr>
          <w:rFonts w:eastAsia="Times New Roman"/>
          <w:noProof/>
          <w:lang w:val="de-DE"/>
        </w:rPr>
        <w:t xml:space="preserve"> </w:t>
      </w:r>
      <w:r>
        <w:rPr>
          <w:rFonts w:eastAsia="Times New Roman"/>
          <w:noProof/>
          <w:lang w:val="de-DE"/>
        </w:rPr>
        <w:t>und</w:t>
      </w:r>
      <w:r w:rsidRPr="003C4979">
        <w:rPr>
          <w:rFonts w:eastAsia="Times New Roman"/>
          <w:noProof/>
          <w:lang w:val="de-DE"/>
        </w:rPr>
        <w:t xml:space="preserve"> </w:t>
      </w:r>
      <w:r>
        <w:rPr>
          <w:rFonts w:eastAsia="Times New Roman"/>
          <w:noProof/>
          <w:lang w:val="de-DE"/>
        </w:rPr>
        <w:t>vereinbarte,</w:t>
      </w:r>
      <w:r w:rsidRPr="003C4979">
        <w:rPr>
          <w:rFonts w:eastAsia="Times New Roman"/>
          <w:noProof/>
          <w:lang w:val="de-DE"/>
        </w:rPr>
        <w:t xml:space="preserve"> </w:t>
      </w:r>
      <w:r>
        <w:rPr>
          <w:rFonts w:eastAsia="Times New Roman"/>
          <w:noProof/>
          <w:lang w:val="de-DE"/>
        </w:rPr>
        <w:t xml:space="preserve">daß die </w:t>
      </w:r>
      <w:r w:rsidRPr="003C4979">
        <w:rPr>
          <w:rFonts w:eastAsia="Times New Roman"/>
          <w:noProof/>
          <w:lang w:val="de-DE"/>
        </w:rPr>
        <w:t xml:space="preserve">Bedeutung des Begriffs </w:t>
      </w:r>
      <w:r>
        <w:rPr>
          <w:rFonts w:eastAsia="Times New Roman"/>
          <w:noProof/>
          <w:lang w:val="de-DE"/>
        </w:rPr>
        <w:t>„</w:t>
      </w:r>
      <w:r w:rsidRPr="003C4979">
        <w:rPr>
          <w:rFonts w:eastAsia="Times New Roman"/>
          <w:noProof/>
          <w:lang w:val="de-DE"/>
        </w:rPr>
        <w:t>Validierung</w:t>
      </w:r>
      <w:r>
        <w:rPr>
          <w:rFonts w:eastAsia="Times New Roman"/>
          <w:noProof/>
          <w:lang w:val="de-DE"/>
        </w:rPr>
        <w:t>“</w:t>
      </w:r>
      <w:r w:rsidRPr="003C4979">
        <w:rPr>
          <w:rFonts w:eastAsia="Times New Roman"/>
          <w:noProof/>
          <w:lang w:val="de-DE"/>
        </w:rPr>
        <w:t xml:space="preserve"> </w:t>
      </w:r>
      <w:r>
        <w:rPr>
          <w:rFonts w:eastAsia="Times New Roman"/>
          <w:noProof/>
          <w:lang w:val="de-DE"/>
        </w:rPr>
        <w:t>in der letzten Frage geklärt werden sollte. Die</w:t>
      </w:r>
      <w:r w:rsidRPr="003C4979">
        <w:rPr>
          <w:rFonts w:eastAsia="Times New Roman"/>
          <w:noProof/>
          <w:lang w:val="de-DE"/>
        </w:rPr>
        <w:t xml:space="preserve"> TWA </w:t>
      </w:r>
      <w:r>
        <w:rPr>
          <w:rFonts w:eastAsia="Times New Roman"/>
          <w:noProof/>
          <w:lang w:val="de-DE"/>
        </w:rPr>
        <w:t>vereinbarte,</w:t>
      </w:r>
      <w:r w:rsidRPr="003C4979">
        <w:rPr>
          <w:rFonts w:eastAsia="Times New Roman"/>
          <w:noProof/>
          <w:lang w:val="de-DE"/>
        </w:rPr>
        <w:t xml:space="preserve"> </w:t>
      </w:r>
      <w:r w:rsidRPr="00C050CF">
        <w:rPr>
          <w:rFonts w:eastAsia="Times New Roman"/>
          <w:noProof/>
          <w:lang w:val="de-DE"/>
        </w:rPr>
        <w:t>dass die Frage zu Verwirrung führen könnte</w:t>
      </w:r>
      <w:r w:rsidRPr="003C4979">
        <w:rPr>
          <w:rFonts w:eastAsia="Times New Roman"/>
          <w:noProof/>
          <w:lang w:val="de-DE"/>
        </w:rPr>
        <w:t xml:space="preserve"> </w:t>
      </w:r>
      <w:r>
        <w:rPr>
          <w:rFonts w:eastAsia="Times New Roman"/>
          <w:noProof/>
          <w:lang w:val="de-DE"/>
        </w:rPr>
        <w:t>u</w:t>
      </w:r>
      <w:r w:rsidRPr="003C4979">
        <w:rPr>
          <w:rFonts w:eastAsia="Times New Roman"/>
          <w:noProof/>
          <w:lang w:val="de-DE"/>
        </w:rPr>
        <w:t xml:space="preserve">nd </w:t>
      </w:r>
      <w:r>
        <w:rPr>
          <w:rFonts w:eastAsia="Times New Roman"/>
          <w:noProof/>
          <w:lang w:val="de-DE"/>
        </w:rPr>
        <w:t xml:space="preserve">deren Ausschluß </w:t>
      </w:r>
      <w:r w:rsidR="000924A8">
        <w:rPr>
          <w:rFonts w:eastAsia="Times New Roman"/>
          <w:noProof/>
          <w:lang w:val="de-DE"/>
        </w:rPr>
        <w:t>von</w:t>
      </w:r>
      <w:r>
        <w:rPr>
          <w:rFonts w:eastAsia="Times New Roman"/>
          <w:noProof/>
          <w:lang w:val="de-DE"/>
        </w:rPr>
        <w:t xml:space="preserve"> der Befragung geprüft werden sollte</w:t>
      </w:r>
      <w:r w:rsidRPr="003C4979">
        <w:rPr>
          <w:rFonts w:eastAsia="Times New Roman"/>
          <w:noProof/>
          <w:lang w:val="de-DE"/>
        </w:rPr>
        <w:t>.</w:t>
      </w:r>
    </w:p>
    <w:p w14:paraId="0DE7E97C" w14:textId="77777777" w:rsidR="00506C0E" w:rsidRPr="003C4979" w:rsidRDefault="00506C0E" w:rsidP="00506C0E">
      <w:pPr>
        <w:rPr>
          <w:rFonts w:eastAsia="Times New Roman"/>
          <w:noProof/>
          <w:lang w:val="de-DE"/>
        </w:rPr>
      </w:pPr>
    </w:p>
    <w:p w14:paraId="14F4E835" w14:textId="226DC38E" w:rsidR="00506C0E" w:rsidRPr="003C4979" w:rsidRDefault="00506C0E" w:rsidP="00506C0E">
      <w:pPr>
        <w:rPr>
          <w:rFonts w:eastAsia="Times New Roman"/>
          <w:noProof/>
          <w:lang w:val="de-DE"/>
        </w:rPr>
      </w:pPr>
      <w:r w:rsidRPr="003C4979">
        <w:rPr>
          <w:rFonts w:eastAsia="Times New Roman"/>
          <w:noProof/>
          <w:lang w:val="de-DE"/>
        </w:rPr>
        <w:fldChar w:fldCharType="begin"/>
      </w:r>
      <w:r w:rsidRPr="003C4979">
        <w:rPr>
          <w:rFonts w:eastAsia="Times New Roman"/>
          <w:noProof/>
          <w:lang w:val="de-DE"/>
        </w:rPr>
        <w:instrText xml:space="preserve"> AUTONUM  </w:instrText>
      </w:r>
      <w:r w:rsidRPr="003C4979">
        <w:rPr>
          <w:rFonts w:eastAsia="Times New Roman"/>
          <w:noProof/>
          <w:lang w:val="de-DE"/>
        </w:rPr>
        <w:fldChar w:fldCharType="end"/>
      </w:r>
      <w:r w:rsidRPr="003C4979">
        <w:rPr>
          <w:rFonts w:eastAsia="Times New Roman"/>
          <w:noProof/>
          <w:lang w:val="de-DE"/>
        </w:rPr>
        <w:tab/>
      </w:r>
      <w:r>
        <w:rPr>
          <w:rFonts w:eastAsia="Times New Roman"/>
          <w:noProof/>
          <w:lang w:val="de-DE"/>
        </w:rPr>
        <w:t>Die</w:t>
      </w:r>
      <w:r w:rsidRPr="003C4979">
        <w:rPr>
          <w:rFonts w:eastAsia="Times New Roman"/>
          <w:noProof/>
          <w:lang w:val="de-DE"/>
        </w:rPr>
        <w:t xml:space="preserve"> TWA </w:t>
      </w:r>
      <w:r>
        <w:rPr>
          <w:rFonts w:eastAsia="Times New Roman"/>
          <w:noProof/>
          <w:lang w:val="de-DE"/>
        </w:rPr>
        <w:t>vereinbarte, daß die Frage</w:t>
      </w:r>
      <w:r w:rsidRPr="003C4979">
        <w:rPr>
          <w:rFonts w:eastAsia="Times New Roman"/>
          <w:noProof/>
          <w:lang w:val="de-DE"/>
        </w:rPr>
        <w:t xml:space="preserve"> </w:t>
      </w:r>
      <w:r>
        <w:rPr>
          <w:rFonts w:eastAsia="Times New Roman"/>
          <w:noProof/>
          <w:lang w:val="de-DE"/>
        </w:rPr>
        <w:t>„</w:t>
      </w:r>
      <w:r w:rsidRPr="00C55E6B">
        <w:rPr>
          <w:rFonts w:eastAsia="Times New Roman"/>
          <w:noProof/>
          <w:lang w:val="de-DE"/>
        </w:rPr>
        <w:t>Wie oft hat die Behörde in den letzten zwei Jahren die molekularen Markerverfahren verwendet?</w:t>
      </w:r>
      <w:r>
        <w:rPr>
          <w:rFonts w:eastAsia="Times New Roman"/>
          <w:noProof/>
          <w:lang w:val="de-DE"/>
        </w:rPr>
        <w:t>“</w:t>
      </w:r>
      <w:r w:rsidRPr="003C4979">
        <w:rPr>
          <w:rFonts w:eastAsia="Times New Roman"/>
          <w:noProof/>
          <w:lang w:val="de-DE"/>
        </w:rPr>
        <w:t xml:space="preserve"> </w:t>
      </w:r>
      <w:r>
        <w:rPr>
          <w:rFonts w:eastAsia="Times New Roman"/>
          <w:noProof/>
          <w:lang w:val="de-DE"/>
        </w:rPr>
        <w:t>geklärt werden sollte, um</w:t>
      </w:r>
      <w:r w:rsidRPr="003C4979">
        <w:rPr>
          <w:rFonts w:eastAsia="Times New Roman"/>
          <w:noProof/>
          <w:lang w:val="de-DE"/>
        </w:rPr>
        <w:t xml:space="preserve"> </w:t>
      </w:r>
      <w:r>
        <w:rPr>
          <w:rFonts w:eastAsia="Times New Roman"/>
          <w:noProof/>
          <w:lang w:val="de-DE"/>
        </w:rPr>
        <w:t>zu erklären, ob</w:t>
      </w:r>
      <w:r w:rsidRPr="003C4979">
        <w:rPr>
          <w:rFonts w:eastAsia="Times New Roman"/>
          <w:noProof/>
          <w:lang w:val="de-DE"/>
        </w:rPr>
        <w:t xml:space="preserve"> </w:t>
      </w:r>
      <w:r>
        <w:rPr>
          <w:rFonts w:eastAsia="Times New Roman"/>
          <w:noProof/>
          <w:lang w:val="de-DE"/>
        </w:rPr>
        <w:t>sich der angegebene Wert</w:t>
      </w:r>
      <w:r w:rsidRPr="003C4979">
        <w:rPr>
          <w:rFonts w:eastAsia="Times New Roman"/>
          <w:noProof/>
          <w:lang w:val="de-DE"/>
        </w:rPr>
        <w:t xml:space="preserve"> </w:t>
      </w:r>
      <w:r>
        <w:rPr>
          <w:rFonts w:eastAsia="Times New Roman"/>
          <w:noProof/>
          <w:lang w:val="de-DE"/>
        </w:rPr>
        <w:t xml:space="preserve">auf die </w:t>
      </w:r>
      <w:r w:rsidRPr="003678E7">
        <w:rPr>
          <w:rFonts w:eastAsia="Times New Roman"/>
          <w:noProof/>
          <w:lang w:val="de-DE"/>
        </w:rPr>
        <w:t xml:space="preserve">routinemäßige oder außergewöhnliche </w:t>
      </w:r>
      <w:r>
        <w:rPr>
          <w:rFonts w:eastAsia="Times New Roman"/>
          <w:noProof/>
          <w:lang w:val="de-DE"/>
        </w:rPr>
        <w:t>Ver</w:t>
      </w:r>
      <w:r w:rsidRPr="003678E7">
        <w:rPr>
          <w:rFonts w:eastAsia="Times New Roman"/>
          <w:noProof/>
          <w:lang w:val="de-DE"/>
        </w:rPr>
        <w:t xml:space="preserve">wendung </w:t>
      </w:r>
      <w:r>
        <w:rPr>
          <w:rFonts w:eastAsia="Times New Roman"/>
          <w:noProof/>
          <w:lang w:val="de-DE"/>
        </w:rPr>
        <w:t>des Verfahrens</w:t>
      </w:r>
      <w:r w:rsidRPr="003678E7">
        <w:rPr>
          <w:rFonts w:eastAsia="Times New Roman"/>
          <w:noProof/>
          <w:lang w:val="de-DE"/>
        </w:rPr>
        <w:t xml:space="preserve"> </w:t>
      </w:r>
      <w:r w:rsidRPr="003C4979">
        <w:rPr>
          <w:rFonts w:eastAsia="Times New Roman"/>
          <w:noProof/>
          <w:lang w:val="de-DE"/>
        </w:rPr>
        <w:t>(</w:t>
      </w:r>
      <w:r>
        <w:rPr>
          <w:rFonts w:eastAsia="Times New Roman"/>
          <w:noProof/>
          <w:lang w:val="de-DE"/>
        </w:rPr>
        <w:t>z.B.</w:t>
      </w:r>
      <w:r w:rsidRPr="003C4979">
        <w:rPr>
          <w:rFonts w:eastAsia="Times New Roman"/>
          <w:noProof/>
          <w:lang w:val="de-DE"/>
        </w:rPr>
        <w:t xml:space="preserve"> </w:t>
      </w:r>
      <w:r>
        <w:rPr>
          <w:rFonts w:eastAsia="Times New Roman"/>
          <w:noProof/>
          <w:lang w:val="de-DE"/>
        </w:rPr>
        <w:t>Überprüfung</w:t>
      </w:r>
      <w:r w:rsidRPr="003C4979">
        <w:rPr>
          <w:rFonts w:eastAsia="Times New Roman"/>
          <w:noProof/>
          <w:lang w:val="de-DE"/>
        </w:rPr>
        <w:t xml:space="preserve"> </w:t>
      </w:r>
      <w:r>
        <w:rPr>
          <w:rFonts w:eastAsia="Times New Roman"/>
          <w:noProof/>
          <w:lang w:val="de-DE"/>
        </w:rPr>
        <w:t>von Sortensammlungen</w:t>
      </w:r>
      <w:r w:rsidRPr="003C4979">
        <w:rPr>
          <w:rFonts w:eastAsia="Times New Roman"/>
          <w:noProof/>
          <w:lang w:val="de-DE"/>
        </w:rPr>
        <w:t>)</w:t>
      </w:r>
      <w:r w:rsidR="000924A8">
        <w:rPr>
          <w:rFonts w:eastAsia="Times New Roman"/>
          <w:noProof/>
          <w:lang w:val="de-DE"/>
        </w:rPr>
        <w:t xml:space="preserve"> </w:t>
      </w:r>
      <w:r w:rsidR="000924A8" w:rsidRPr="003678E7">
        <w:rPr>
          <w:rFonts w:eastAsia="Times New Roman"/>
          <w:noProof/>
          <w:lang w:val="de-DE"/>
        </w:rPr>
        <w:t>bezieht</w:t>
      </w:r>
      <w:r w:rsidRPr="003C4979">
        <w:rPr>
          <w:rFonts w:eastAsia="Times New Roman"/>
          <w:noProof/>
          <w:lang w:val="de-DE"/>
        </w:rPr>
        <w:t>.</w:t>
      </w:r>
    </w:p>
    <w:p w14:paraId="127CE889" w14:textId="77777777" w:rsidR="00506C0E" w:rsidRPr="003C4979" w:rsidRDefault="00506C0E" w:rsidP="00506C0E">
      <w:pPr>
        <w:rPr>
          <w:rFonts w:eastAsia="Times New Roman"/>
          <w:noProof/>
          <w:lang w:val="de-DE"/>
        </w:rPr>
      </w:pPr>
    </w:p>
    <w:p w14:paraId="5CF19AD9" w14:textId="5E143B0C" w:rsidR="00506C0E" w:rsidRPr="003C4979" w:rsidRDefault="00506C0E" w:rsidP="00506C0E">
      <w:pPr>
        <w:rPr>
          <w:rFonts w:eastAsia="Times New Roman"/>
          <w:noProof/>
          <w:lang w:val="de-DE"/>
        </w:rPr>
      </w:pPr>
      <w:r w:rsidRPr="003C4979">
        <w:rPr>
          <w:rFonts w:eastAsia="Times New Roman"/>
          <w:noProof/>
          <w:lang w:val="de-DE"/>
        </w:rPr>
        <w:fldChar w:fldCharType="begin"/>
      </w:r>
      <w:r w:rsidRPr="003C4979">
        <w:rPr>
          <w:rFonts w:eastAsia="Times New Roman"/>
          <w:noProof/>
          <w:lang w:val="de-DE"/>
        </w:rPr>
        <w:instrText xml:space="preserve"> AUTONUM  </w:instrText>
      </w:r>
      <w:r w:rsidRPr="003C4979">
        <w:rPr>
          <w:rFonts w:eastAsia="Times New Roman"/>
          <w:noProof/>
          <w:lang w:val="de-DE"/>
        </w:rPr>
        <w:fldChar w:fldCharType="end"/>
      </w:r>
      <w:r w:rsidRPr="003C4979">
        <w:rPr>
          <w:rFonts w:eastAsia="Times New Roman"/>
          <w:noProof/>
          <w:lang w:val="de-DE"/>
        </w:rPr>
        <w:tab/>
      </w:r>
      <w:r>
        <w:rPr>
          <w:rFonts w:eastAsia="Times New Roman"/>
          <w:noProof/>
          <w:lang w:val="de-DE"/>
        </w:rPr>
        <w:t>Die</w:t>
      </w:r>
      <w:r w:rsidRPr="003C4979">
        <w:rPr>
          <w:rFonts w:eastAsia="Times New Roman"/>
          <w:noProof/>
          <w:lang w:val="de-DE"/>
        </w:rPr>
        <w:t xml:space="preserve"> TWA </w:t>
      </w:r>
      <w:r>
        <w:rPr>
          <w:rFonts w:eastAsia="Times New Roman"/>
          <w:noProof/>
          <w:lang w:val="de-DE"/>
        </w:rPr>
        <w:t>vereinbarte,</w:t>
      </w:r>
      <w:r w:rsidRPr="003C4979">
        <w:rPr>
          <w:rFonts w:eastAsia="Times New Roman"/>
          <w:noProof/>
          <w:lang w:val="de-DE"/>
        </w:rPr>
        <w:t xml:space="preserve"> </w:t>
      </w:r>
      <w:r>
        <w:rPr>
          <w:rFonts w:eastAsia="Times New Roman"/>
          <w:noProof/>
          <w:lang w:val="de-DE"/>
        </w:rPr>
        <w:t>eine zusätzliche Frage, ob die Befragten</w:t>
      </w:r>
      <w:r w:rsidRPr="003C4979">
        <w:rPr>
          <w:rFonts w:eastAsia="Times New Roman"/>
          <w:noProof/>
          <w:lang w:val="de-DE"/>
        </w:rPr>
        <w:t xml:space="preserve"> </w:t>
      </w:r>
      <w:r>
        <w:rPr>
          <w:rFonts w:eastAsia="Times New Roman"/>
          <w:noProof/>
          <w:lang w:val="de-DE"/>
        </w:rPr>
        <w:t xml:space="preserve">Datenbanken mit </w:t>
      </w:r>
      <w:r w:rsidR="000924A8">
        <w:rPr>
          <w:rFonts w:eastAsia="Times New Roman"/>
          <w:noProof/>
          <w:lang w:val="de-DE"/>
        </w:rPr>
        <w:t>von</w:t>
      </w:r>
      <w:r>
        <w:rPr>
          <w:rFonts w:eastAsia="Times New Roman"/>
          <w:noProof/>
          <w:lang w:val="de-DE"/>
        </w:rPr>
        <w:t xml:space="preserve"> den verwendeten molekularen Markern</w:t>
      </w:r>
      <w:r w:rsidR="000924A8">
        <w:rPr>
          <w:rFonts w:eastAsia="Times New Roman"/>
          <w:noProof/>
          <w:lang w:val="de-DE"/>
        </w:rPr>
        <w:t xml:space="preserve"> erlangten Informationen</w:t>
      </w:r>
      <w:r w:rsidRPr="003C4979">
        <w:rPr>
          <w:rFonts w:eastAsia="Times New Roman"/>
          <w:noProof/>
          <w:lang w:val="de-DE"/>
        </w:rPr>
        <w:t xml:space="preserve"> </w:t>
      </w:r>
      <w:r>
        <w:rPr>
          <w:rFonts w:eastAsia="Times New Roman"/>
          <w:noProof/>
          <w:lang w:val="de-DE"/>
        </w:rPr>
        <w:t>angelegt haben, vorzuschlagen</w:t>
      </w:r>
      <w:r w:rsidRPr="003C4979">
        <w:rPr>
          <w:rFonts w:eastAsia="Times New Roman"/>
          <w:noProof/>
          <w:lang w:val="de-DE"/>
        </w:rPr>
        <w:t xml:space="preserve">.  </w:t>
      </w:r>
    </w:p>
    <w:p w14:paraId="3BCE50D2" w14:textId="77777777" w:rsidR="00506C0E" w:rsidRPr="003C4979" w:rsidRDefault="00506C0E" w:rsidP="00506C0E">
      <w:pPr>
        <w:rPr>
          <w:rFonts w:eastAsia="Times New Roman"/>
          <w:noProof/>
          <w:lang w:val="de-DE"/>
        </w:rPr>
      </w:pPr>
    </w:p>
    <w:p w14:paraId="74FF67E5" w14:textId="77777777" w:rsidR="00506C0E" w:rsidRPr="003C4979" w:rsidRDefault="00506C0E" w:rsidP="00506C0E">
      <w:pPr>
        <w:rPr>
          <w:rFonts w:eastAsia="Times New Roman"/>
          <w:noProof/>
          <w:lang w:val="de-DE"/>
        </w:rPr>
      </w:pPr>
      <w:r w:rsidRPr="003C4979">
        <w:rPr>
          <w:rFonts w:eastAsia="Times New Roman"/>
          <w:noProof/>
          <w:lang w:val="de-DE"/>
        </w:rPr>
        <w:fldChar w:fldCharType="begin"/>
      </w:r>
      <w:r w:rsidRPr="003C4979">
        <w:rPr>
          <w:rFonts w:eastAsia="Times New Roman"/>
          <w:noProof/>
          <w:lang w:val="de-DE"/>
        </w:rPr>
        <w:instrText xml:space="preserve"> AUTONUM  </w:instrText>
      </w:r>
      <w:r w:rsidRPr="003C4979">
        <w:rPr>
          <w:rFonts w:eastAsia="Times New Roman"/>
          <w:noProof/>
          <w:lang w:val="de-DE"/>
        </w:rPr>
        <w:fldChar w:fldCharType="end"/>
      </w:r>
      <w:r w:rsidRPr="003C4979">
        <w:rPr>
          <w:rFonts w:eastAsia="Times New Roman"/>
          <w:noProof/>
          <w:lang w:val="de-DE"/>
        </w:rPr>
        <w:tab/>
      </w:r>
      <w:r>
        <w:rPr>
          <w:rFonts w:eastAsia="Times New Roman"/>
          <w:noProof/>
          <w:lang w:val="de-DE"/>
        </w:rPr>
        <w:t>Die</w:t>
      </w:r>
      <w:r w:rsidRPr="003C4979">
        <w:rPr>
          <w:rFonts w:eastAsia="Times New Roman"/>
          <w:noProof/>
          <w:lang w:val="de-DE"/>
        </w:rPr>
        <w:t xml:space="preserve"> TWA </w:t>
      </w:r>
      <w:r>
        <w:rPr>
          <w:rFonts w:eastAsia="Times New Roman"/>
          <w:noProof/>
          <w:lang w:val="de-DE"/>
        </w:rPr>
        <w:t xml:space="preserve">vereinbarte, </w:t>
      </w:r>
      <w:bookmarkStart w:id="2" w:name="_GoBack"/>
      <w:bookmarkEnd w:id="2"/>
      <w:r>
        <w:rPr>
          <w:rFonts w:eastAsia="Times New Roman"/>
          <w:noProof/>
          <w:lang w:val="de-DE"/>
        </w:rPr>
        <w:t>dass die Befragung</w:t>
      </w:r>
      <w:r w:rsidRPr="003C4979">
        <w:rPr>
          <w:rFonts w:eastAsia="Times New Roman"/>
          <w:noProof/>
          <w:lang w:val="de-DE"/>
        </w:rPr>
        <w:t xml:space="preserve"> </w:t>
      </w:r>
      <w:r w:rsidRPr="00D11ACA">
        <w:rPr>
          <w:rFonts w:eastAsia="Times New Roman"/>
          <w:noProof/>
          <w:lang w:val="de-DE"/>
        </w:rPr>
        <w:t>mit der OECD koordiniert werden sollte</w:t>
      </w:r>
      <w:r>
        <w:rPr>
          <w:rFonts w:eastAsia="Times New Roman"/>
          <w:noProof/>
          <w:lang w:val="de-DE"/>
        </w:rPr>
        <w:t>,</w:t>
      </w:r>
      <w:r w:rsidRPr="003C4979">
        <w:rPr>
          <w:rFonts w:eastAsia="Times New Roman"/>
          <w:noProof/>
          <w:lang w:val="de-DE"/>
        </w:rPr>
        <w:t xml:space="preserve"> </w:t>
      </w:r>
      <w:r>
        <w:rPr>
          <w:rFonts w:eastAsia="Times New Roman"/>
          <w:noProof/>
          <w:lang w:val="de-DE"/>
        </w:rPr>
        <w:t>um doppelte</w:t>
      </w:r>
      <w:r w:rsidRPr="00D11ACA">
        <w:rPr>
          <w:rFonts w:eastAsia="Times New Roman"/>
          <w:noProof/>
          <w:lang w:val="de-DE"/>
        </w:rPr>
        <w:t xml:space="preserve"> Arbeit</w:t>
      </w:r>
      <w:r>
        <w:rPr>
          <w:rFonts w:eastAsia="Times New Roman"/>
          <w:noProof/>
          <w:lang w:val="de-DE"/>
        </w:rPr>
        <w:t xml:space="preserve"> zu vermeiden,</w:t>
      </w:r>
      <w:r w:rsidRPr="003C4979">
        <w:rPr>
          <w:rFonts w:eastAsia="Times New Roman"/>
          <w:noProof/>
          <w:lang w:val="de-DE"/>
        </w:rPr>
        <w:t xml:space="preserve"> </w:t>
      </w:r>
      <w:r w:rsidRPr="00D11ACA">
        <w:rPr>
          <w:rFonts w:eastAsia="Times New Roman"/>
          <w:noProof/>
          <w:lang w:val="de-DE"/>
        </w:rPr>
        <w:t xml:space="preserve">insbesondere wenn dieselben Befragten die </w:t>
      </w:r>
      <w:r>
        <w:rPr>
          <w:rFonts w:eastAsia="Times New Roman"/>
          <w:noProof/>
          <w:lang w:val="de-DE"/>
        </w:rPr>
        <w:t xml:space="preserve">Befragung auch </w:t>
      </w:r>
      <w:r w:rsidRPr="00D11ACA">
        <w:rPr>
          <w:rFonts w:eastAsia="Times New Roman"/>
          <w:noProof/>
          <w:lang w:val="de-DE"/>
        </w:rPr>
        <w:t xml:space="preserve">von </w:t>
      </w:r>
      <w:r>
        <w:rPr>
          <w:rFonts w:eastAsia="Times New Roman"/>
          <w:noProof/>
          <w:lang w:val="de-DE"/>
        </w:rPr>
        <w:t xml:space="preserve">der </w:t>
      </w:r>
      <w:r w:rsidRPr="00D11ACA">
        <w:rPr>
          <w:rFonts w:eastAsia="Times New Roman"/>
          <w:noProof/>
          <w:lang w:val="de-DE"/>
        </w:rPr>
        <w:t>UPOV erhalten würden</w:t>
      </w:r>
      <w:r w:rsidRPr="003C4979">
        <w:rPr>
          <w:rFonts w:eastAsia="Times New Roman"/>
          <w:noProof/>
          <w:lang w:val="de-DE"/>
        </w:rPr>
        <w:t>.</w:t>
      </w:r>
    </w:p>
    <w:p w14:paraId="0541B3B5" w14:textId="77777777" w:rsidR="00506C0E" w:rsidRPr="003C4979" w:rsidRDefault="00506C0E" w:rsidP="00506C0E">
      <w:pPr>
        <w:jc w:val="right"/>
        <w:rPr>
          <w:noProof/>
          <w:lang w:val="de-DE"/>
        </w:rPr>
      </w:pPr>
    </w:p>
    <w:p w14:paraId="4497CF71" w14:textId="77777777" w:rsidR="00506C0E" w:rsidRPr="003C4979" w:rsidRDefault="00506C0E" w:rsidP="00506C0E">
      <w:pPr>
        <w:jc w:val="right"/>
        <w:rPr>
          <w:noProof/>
          <w:lang w:val="de-DE"/>
        </w:rPr>
      </w:pPr>
    </w:p>
    <w:p w14:paraId="0EFDEDBB" w14:textId="77777777" w:rsidR="00506C0E" w:rsidRPr="003C4979" w:rsidRDefault="00506C0E" w:rsidP="00506C0E">
      <w:pPr>
        <w:jc w:val="right"/>
        <w:rPr>
          <w:noProof/>
          <w:lang w:val="de-DE"/>
        </w:rPr>
      </w:pPr>
    </w:p>
    <w:p w14:paraId="3E95E3F1" w14:textId="77777777" w:rsidR="00506C0E" w:rsidRPr="003C4979" w:rsidRDefault="00506C0E" w:rsidP="00506C0E">
      <w:pPr>
        <w:jc w:val="right"/>
        <w:rPr>
          <w:noProof/>
          <w:lang w:val="de-DE"/>
        </w:rPr>
      </w:pPr>
      <w:r w:rsidRPr="003C4979">
        <w:rPr>
          <w:noProof/>
          <w:lang w:val="de-DE"/>
        </w:rPr>
        <w:t xml:space="preserve"> [Ende des Dokuments]</w:t>
      </w:r>
    </w:p>
    <w:p w14:paraId="1756798F" w14:textId="77777777" w:rsidR="00506C0E" w:rsidRDefault="00506C0E"/>
    <w:sectPr w:rsidR="00506C0E"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E048" w14:textId="77777777" w:rsidR="00C275BB" w:rsidRDefault="00C275BB">
      <w:r>
        <w:separator/>
      </w:r>
    </w:p>
  </w:endnote>
  <w:endnote w:type="continuationSeparator" w:id="0">
    <w:p w14:paraId="419550F8" w14:textId="77777777" w:rsidR="00C275BB" w:rsidRDefault="00C2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3876" w14:textId="77777777" w:rsidR="00C275BB" w:rsidRDefault="00C275BB">
      <w:r>
        <w:separator/>
      </w:r>
    </w:p>
  </w:footnote>
  <w:footnote w:type="continuationSeparator" w:id="0">
    <w:p w14:paraId="5913C163" w14:textId="77777777" w:rsidR="00C275BB" w:rsidRDefault="00C27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0099" w14:textId="77777777" w:rsidR="00455221" w:rsidRPr="00C5280D" w:rsidRDefault="00506C0E" w:rsidP="00EB048E">
    <w:pPr>
      <w:pStyle w:val="Header"/>
      <w:rPr>
        <w:rStyle w:val="PageNumber"/>
        <w:lang w:val="en-US"/>
      </w:rPr>
    </w:pPr>
    <w:r>
      <w:rPr>
        <w:rStyle w:val="PageNumber"/>
        <w:lang w:val="en-US"/>
      </w:rPr>
      <w:t>TC/55/7 Add.</w:t>
    </w:r>
  </w:p>
  <w:p w14:paraId="63A2B2BD" w14:textId="77777777" w:rsidR="00455221" w:rsidRPr="00C5280D" w:rsidRDefault="00506C0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3AFEF99" w14:textId="77777777" w:rsidR="00455221" w:rsidRPr="00C5280D" w:rsidRDefault="00FB18CB" w:rsidP="006655D3"/>
  <w:p w14:paraId="3F87B2D9" w14:textId="77777777" w:rsidR="00455221" w:rsidRDefault="00FB18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0E"/>
    <w:rsid w:val="000924A8"/>
    <w:rsid w:val="00205D01"/>
    <w:rsid w:val="00307F52"/>
    <w:rsid w:val="00506C0E"/>
    <w:rsid w:val="007055C4"/>
    <w:rsid w:val="00C275BB"/>
    <w:rsid w:val="00FB1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675E"/>
  <w15:chartTrackingRefBased/>
  <w15:docId w15:val="{2378F1D2-00C8-4095-9155-F7FEA34D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C0E"/>
    <w:pPr>
      <w:spacing w:after="0" w:line="240" w:lineRule="auto"/>
      <w:jc w:val="both"/>
    </w:pPr>
    <w:rPr>
      <w:rFonts w:ascii="Arial" w:eastAsiaTheme="minorEastAsia"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06C0E"/>
    <w:pPr>
      <w:spacing w:after="0" w:line="240" w:lineRule="auto"/>
      <w:jc w:val="center"/>
    </w:pPr>
    <w:rPr>
      <w:rFonts w:ascii="Arial" w:eastAsiaTheme="minorEastAsia" w:hAnsi="Arial" w:cs="Times New Roman"/>
      <w:sz w:val="20"/>
      <w:szCs w:val="20"/>
      <w:lang w:val="fr-FR"/>
    </w:rPr>
  </w:style>
  <w:style w:type="character" w:customStyle="1" w:styleId="HeaderChar">
    <w:name w:val="Header Char"/>
    <w:basedOn w:val="DefaultParagraphFont"/>
    <w:link w:val="Header"/>
    <w:rsid w:val="00506C0E"/>
    <w:rPr>
      <w:rFonts w:ascii="Arial" w:eastAsiaTheme="minorEastAsia" w:hAnsi="Arial" w:cs="Times New Roman"/>
      <w:sz w:val="20"/>
      <w:szCs w:val="20"/>
      <w:lang w:val="fr-FR"/>
    </w:rPr>
  </w:style>
  <w:style w:type="character" w:styleId="PageNumber">
    <w:name w:val="page number"/>
    <w:basedOn w:val="DefaultParagraphFont"/>
    <w:rsid w:val="00506C0E"/>
    <w:rPr>
      <w:rFonts w:ascii="Arial" w:hAnsi="Arial"/>
      <w:sz w:val="20"/>
    </w:rPr>
  </w:style>
  <w:style w:type="paragraph" w:customStyle="1" w:styleId="Docoriginal">
    <w:name w:val="Doc_original"/>
    <w:basedOn w:val="Normal"/>
    <w:link w:val="DocoriginalChar"/>
    <w:rsid w:val="00506C0E"/>
    <w:pPr>
      <w:spacing w:before="240" w:line="240" w:lineRule="exact"/>
      <w:contextualSpacing/>
      <w:jc w:val="left"/>
    </w:pPr>
    <w:rPr>
      <w:b/>
      <w:bCs/>
      <w:spacing w:val="10"/>
      <w:sz w:val="18"/>
    </w:rPr>
  </w:style>
  <w:style w:type="paragraph" w:customStyle="1" w:styleId="Disclaimer">
    <w:name w:val="Disclaimer"/>
    <w:next w:val="Normal"/>
    <w:qFormat/>
    <w:rsid w:val="00506C0E"/>
    <w:pPr>
      <w:spacing w:after="600" w:line="240" w:lineRule="auto"/>
    </w:pPr>
    <w:rPr>
      <w:rFonts w:ascii="Arial" w:eastAsiaTheme="minorEastAsia" w:hAnsi="Arial" w:cs="Times New Roman"/>
      <w:i/>
      <w:iCs/>
      <w:color w:val="A6A6A6" w:themeColor="background1" w:themeShade="A6"/>
      <w:sz w:val="20"/>
      <w:szCs w:val="20"/>
      <w:lang w:val="en-US"/>
    </w:rPr>
  </w:style>
  <w:style w:type="paragraph" w:customStyle="1" w:styleId="upove">
    <w:name w:val="upov_e"/>
    <w:basedOn w:val="Normal"/>
    <w:rsid w:val="00506C0E"/>
    <w:pPr>
      <w:spacing w:before="120"/>
    </w:pPr>
    <w:rPr>
      <w:sz w:val="16"/>
    </w:rPr>
  </w:style>
  <w:style w:type="paragraph" w:customStyle="1" w:styleId="Lettrine">
    <w:name w:val="Lettrine"/>
    <w:basedOn w:val="Normal"/>
    <w:rsid w:val="00506C0E"/>
    <w:pPr>
      <w:spacing w:line="340" w:lineRule="atLeast"/>
      <w:jc w:val="right"/>
    </w:pPr>
    <w:rPr>
      <w:b/>
      <w:bCs/>
      <w:sz w:val="36"/>
    </w:rPr>
  </w:style>
  <w:style w:type="paragraph" w:customStyle="1" w:styleId="Sessiontc">
    <w:name w:val="Session_tc"/>
    <w:basedOn w:val="Normal"/>
    <w:rsid w:val="00506C0E"/>
    <w:pPr>
      <w:spacing w:line="280" w:lineRule="exact"/>
      <w:jc w:val="left"/>
    </w:pPr>
    <w:rPr>
      <w:b/>
      <w:bCs/>
      <w:kern w:val="28"/>
    </w:rPr>
  </w:style>
  <w:style w:type="paragraph" w:customStyle="1" w:styleId="Sessiontcplacedate">
    <w:name w:val="Session_tc_place_date"/>
    <w:basedOn w:val="Normal"/>
    <w:rsid w:val="00506C0E"/>
    <w:pPr>
      <w:spacing w:before="240"/>
      <w:contextualSpacing/>
      <w:jc w:val="left"/>
    </w:pPr>
    <w:rPr>
      <w:b/>
      <w:bCs/>
      <w:kern w:val="28"/>
    </w:rPr>
  </w:style>
  <w:style w:type="paragraph" w:customStyle="1" w:styleId="Titleofdoc">
    <w:name w:val="Title_of_doc"/>
    <w:basedOn w:val="Normal"/>
    <w:rsid w:val="00506C0E"/>
    <w:pPr>
      <w:spacing w:before="600" w:after="240"/>
      <w:jc w:val="left"/>
    </w:pPr>
    <w:rPr>
      <w:b/>
      <w:caps/>
    </w:rPr>
  </w:style>
  <w:style w:type="paragraph" w:customStyle="1" w:styleId="preparedby">
    <w:name w:val="prepared_by"/>
    <w:basedOn w:val="Normal"/>
    <w:rsid w:val="00506C0E"/>
    <w:pPr>
      <w:spacing w:after="240"/>
      <w:jc w:val="center"/>
    </w:pPr>
    <w:rPr>
      <w:i/>
      <w:iCs/>
    </w:rPr>
  </w:style>
  <w:style w:type="character" w:customStyle="1" w:styleId="DocoriginalChar">
    <w:name w:val="Doc_original Char"/>
    <w:basedOn w:val="DefaultParagraphFont"/>
    <w:link w:val="Docoriginal"/>
    <w:rsid w:val="00506C0E"/>
    <w:rPr>
      <w:rFonts w:ascii="Arial" w:eastAsiaTheme="minorEastAsia" w:hAnsi="Arial" w:cs="Times New Roman"/>
      <w:b/>
      <w:bCs/>
      <w:spacing w:val="10"/>
      <w:sz w:val="18"/>
      <w:szCs w:val="20"/>
      <w:lang w:val="en-US"/>
    </w:rPr>
  </w:style>
  <w:style w:type="paragraph" w:customStyle="1" w:styleId="Doccode">
    <w:name w:val="Doc_code"/>
    <w:qFormat/>
    <w:rsid w:val="00506C0E"/>
    <w:pPr>
      <w:spacing w:after="0" w:line="240" w:lineRule="auto"/>
    </w:pPr>
    <w:rPr>
      <w:rFonts w:ascii="Arial" w:eastAsiaTheme="minorEastAsia" w:hAnsi="Arial" w:cs="Times New Roman"/>
      <w:b/>
      <w:bCs/>
      <w:spacing w:val="10"/>
      <w:sz w:val="18"/>
      <w:szCs w:val="20"/>
      <w:lang w:val="en-US"/>
    </w:rPr>
  </w:style>
  <w:style w:type="table" w:customStyle="1" w:styleId="TableGrid5">
    <w:name w:val="Table Grid5"/>
    <w:basedOn w:val="TableNormal"/>
    <w:next w:val="TableGrid"/>
    <w:rsid w:val="00506C0E"/>
    <w:pPr>
      <w:spacing w:after="0" w:line="240" w:lineRule="auto"/>
    </w:pPr>
    <w:rPr>
      <w:rFonts w:ascii="Times New Roman" w:eastAsiaTheme="minorEastAsia"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0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5</cp:revision>
  <dcterms:created xsi:type="dcterms:W3CDTF">2019-10-16T07:43:00Z</dcterms:created>
  <dcterms:modified xsi:type="dcterms:W3CDTF">2019-10-16T08:02:00Z</dcterms:modified>
</cp:coreProperties>
</file>