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D305C" w14:paraId="5876E8F6" w14:textId="77777777" w:rsidTr="00EB4E9C">
        <w:tc>
          <w:tcPr>
            <w:tcW w:w="6522" w:type="dxa"/>
          </w:tcPr>
          <w:p w14:paraId="2D319243" w14:textId="77777777" w:rsidR="00DC3802" w:rsidRPr="00FD305C" w:rsidRDefault="00DC3802" w:rsidP="00AC2883">
            <w:r w:rsidRPr="00FD305C">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1C4DD9E" w14:textId="77777777" w:rsidR="00DC3802" w:rsidRPr="00FD305C" w:rsidRDefault="00DC3802" w:rsidP="00AC2883">
            <w:pPr>
              <w:pStyle w:val="Lettrine"/>
            </w:pPr>
            <w:r w:rsidRPr="00FD305C">
              <w:t>G</w:t>
            </w:r>
          </w:p>
        </w:tc>
      </w:tr>
      <w:tr w:rsidR="00DC3802" w:rsidRPr="00FD305C" w14:paraId="21D557B5" w14:textId="77777777" w:rsidTr="00645CA8">
        <w:trPr>
          <w:trHeight w:val="219"/>
        </w:trPr>
        <w:tc>
          <w:tcPr>
            <w:tcW w:w="6522" w:type="dxa"/>
          </w:tcPr>
          <w:p w14:paraId="64D41B27" w14:textId="77777777" w:rsidR="00DC3802" w:rsidRPr="00FD305C" w:rsidRDefault="00DC3802" w:rsidP="00AC2883">
            <w:pPr>
              <w:pStyle w:val="upove"/>
            </w:pPr>
            <w:r w:rsidRPr="00FD305C">
              <w:t>Internationaler Verband zum Schutz von Pflanzenzüchtungen</w:t>
            </w:r>
          </w:p>
        </w:tc>
        <w:tc>
          <w:tcPr>
            <w:tcW w:w="3117" w:type="dxa"/>
          </w:tcPr>
          <w:p w14:paraId="382295B0" w14:textId="77777777" w:rsidR="00DC3802" w:rsidRPr="00FD305C" w:rsidRDefault="00DC3802" w:rsidP="00DA4973"/>
        </w:tc>
      </w:tr>
    </w:tbl>
    <w:p w14:paraId="10927B45" w14:textId="77777777" w:rsidR="00DC3802" w:rsidRPr="00FD305C" w:rsidRDefault="00DC3802" w:rsidP="00DC3802"/>
    <w:p w14:paraId="5E8FC89A" w14:textId="77777777" w:rsidR="00DA4973" w:rsidRPr="00FD305C"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FD305C" w14:paraId="69656B38" w14:textId="77777777" w:rsidTr="00EB4E9C">
        <w:tc>
          <w:tcPr>
            <w:tcW w:w="6512" w:type="dxa"/>
          </w:tcPr>
          <w:p w14:paraId="4D0FA12C" w14:textId="77777777" w:rsidR="00EB4E9C" w:rsidRPr="00FD305C" w:rsidRDefault="00EB4E9C" w:rsidP="00AC2883">
            <w:pPr>
              <w:pStyle w:val="Sessiontc"/>
              <w:spacing w:line="240" w:lineRule="auto"/>
            </w:pPr>
            <w:r w:rsidRPr="00FD305C">
              <w:t>Technischer Ausschuss</w:t>
            </w:r>
          </w:p>
          <w:p w14:paraId="6BA6FE08" w14:textId="77777777" w:rsidR="00EB4E9C" w:rsidRPr="00FD305C" w:rsidRDefault="00EB4E9C" w:rsidP="006D7435">
            <w:pPr>
              <w:pStyle w:val="Sessiontcplacedate"/>
              <w:rPr>
                <w:sz w:val="22"/>
              </w:rPr>
            </w:pPr>
            <w:r w:rsidRPr="00FD305C">
              <w:t>Fünfundfünfzigste Tagung</w:t>
            </w:r>
            <w:r w:rsidRPr="00FD305C">
              <w:br/>
              <w:t>Genf, 28. und 29. Oktober 2019</w:t>
            </w:r>
          </w:p>
        </w:tc>
        <w:tc>
          <w:tcPr>
            <w:tcW w:w="3127" w:type="dxa"/>
          </w:tcPr>
          <w:p w14:paraId="006C6C13" w14:textId="77777777" w:rsidR="00EB4E9C" w:rsidRPr="00FD305C" w:rsidRDefault="006D7435" w:rsidP="003C7FBE">
            <w:pPr>
              <w:pStyle w:val="Doccode"/>
            </w:pPr>
            <w:r w:rsidRPr="00FD305C">
              <w:t>TC/55/7</w:t>
            </w:r>
          </w:p>
          <w:p w14:paraId="5A7ACF6C" w14:textId="77777777" w:rsidR="00EB4E9C" w:rsidRPr="00FD305C" w:rsidRDefault="00EB4E9C" w:rsidP="003C7FBE">
            <w:pPr>
              <w:pStyle w:val="Docoriginal"/>
            </w:pPr>
            <w:r w:rsidRPr="00FD305C">
              <w:t>Original:</w:t>
            </w:r>
            <w:r w:rsidRPr="00FD305C">
              <w:rPr>
                <w:b w:val="0"/>
              </w:rPr>
              <w:t xml:space="preserve">  englisch</w:t>
            </w:r>
          </w:p>
          <w:p w14:paraId="347436C1" w14:textId="2A9472F7" w:rsidR="00EB4E9C" w:rsidRPr="00FD305C" w:rsidRDefault="00EB4E9C" w:rsidP="00DF6B9E">
            <w:pPr>
              <w:pStyle w:val="Docoriginal"/>
            </w:pPr>
            <w:r w:rsidRPr="00FD305C">
              <w:t>Datum:</w:t>
            </w:r>
            <w:r w:rsidRPr="00FD305C">
              <w:rPr>
                <w:b w:val="0"/>
              </w:rPr>
              <w:t xml:space="preserve">  </w:t>
            </w:r>
            <w:r w:rsidR="00DF6B9E" w:rsidRPr="00FD305C">
              <w:rPr>
                <w:b w:val="0"/>
              </w:rPr>
              <w:t>2</w:t>
            </w:r>
            <w:r w:rsidRPr="00FD305C">
              <w:rPr>
                <w:b w:val="0"/>
              </w:rPr>
              <w:t>1. August 2019</w:t>
            </w:r>
          </w:p>
        </w:tc>
      </w:tr>
    </w:tbl>
    <w:p w14:paraId="72CF2CC4" w14:textId="77777777" w:rsidR="000D7780" w:rsidRPr="00FD305C" w:rsidRDefault="001A473A" w:rsidP="006A644A">
      <w:pPr>
        <w:pStyle w:val="Titleofdoc0"/>
      </w:pPr>
      <w:bookmarkStart w:id="0" w:name="TitleOfDoc"/>
      <w:bookmarkEnd w:id="0"/>
      <w:r w:rsidRPr="00FD305C">
        <w:t>Molekulare Verfahren</w:t>
      </w:r>
    </w:p>
    <w:p w14:paraId="10F54AD9" w14:textId="77777777" w:rsidR="006A644A" w:rsidRPr="00FD305C" w:rsidRDefault="00AE0EF1" w:rsidP="006A644A">
      <w:pPr>
        <w:pStyle w:val="preparedby1"/>
        <w:jc w:val="left"/>
      </w:pPr>
      <w:bookmarkStart w:id="1" w:name="Prepared"/>
      <w:bookmarkEnd w:id="1"/>
      <w:r w:rsidRPr="00FD305C">
        <w:t>vom Verbandsbüro erstelltes Dokument</w:t>
      </w:r>
    </w:p>
    <w:p w14:paraId="2D45332F" w14:textId="77777777" w:rsidR="00050E16" w:rsidRPr="00FD305C" w:rsidRDefault="00050E16" w:rsidP="006A644A">
      <w:pPr>
        <w:pStyle w:val="Disclaimer"/>
      </w:pPr>
      <w:r w:rsidRPr="00FD305C">
        <w:t>Haftungsausschluss:  dieses Dokument gibt nicht die Grundsätze oder eine Anleitung der UPOV wieder</w:t>
      </w:r>
    </w:p>
    <w:p w14:paraId="52C96F6F" w14:textId="77777777" w:rsidR="00440683" w:rsidRPr="00FD305C" w:rsidRDefault="00440683" w:rsidP="00B96116">
      <w:pPr>
        <w:pStyle w:val="Heading1"/>
      </w:pPr>
      <w:bookmarkStart w:id="2" w:name="_Toc15059494"/>
      <w:bookmarkStart w:id="3" w:name="_Toc15295339"/>
      <w:bookmarkStart w:id="4" w:name="_Toc17358802"/>
      <w:r w:rsidRPr="00FD305C">
        <w:t>Zusammenfassung</w:t>
      </w:r>
      <w:bookmarkEnd w:id="2"/>
      <w:bookmarkEnd w:id="3"/>
      <w:bookmarkEnd w:id="4"/>
    </w:p>
    <w:p w14:paraId="14C4DB9B" w14:textId="77777777" w:rsidR="00440683" w:rsidRPr="00FD305C" w:rsidRDefault="00440683" w:rsidP="00440683">
      <w:pPr>
        <w:rPr>
          <w:sz w:val="18"/>
          <w:lang w:eastAsia="ja-JP"/>
        </w:rPr>
      </w:pPr>
    </w:p>
    <w:p w14:paraId="5F297A76" w14:textId="77777777" w:rsidR="00440683" w:rsidRPr="00FD305C" w:rsidRDefault="00440683" w:rsidP="00440683">
      <w:r w:rsidRPr="00FD305C">
        <w:fldChar w:fldCharType="begin"/>
      </w:r>
      <w:r w:rsidRPr="00FD305C">
        <w:instrText xml:space="preserve"> AUTONUM  </w:instrText>
      </w:r>
      <w:r w:rsidRPr="00FD305C">
        <w:fldChar w:fldCharType="end"/>
      </w:r>
      <w:r w:rsidRPr="00FD305C">
        <w:tab/>
        <w:t>Zweck dieses Dokuments ist es, Angelegenheiten betreffend die Verwendung biochemischer und molekularer Verfahren bei der DUS-Prüfung und molekularer Verfahren in Bezug auf die Technischen Arbeitsgruppen (TWP) und die Arbeitsgruppe für biochemische und molekulare Verfahren und insbesondere für DNS-Profilierungsverfahren (BMT) zur Prüfung durch den Technischen Ausschuß (TC) darzulegen.</w:t>
      </w:r>
    </w:p>
    <w:p w14:paraId="554BE0B3" w14:textId="77777777" w:rsidR="00C55669" w:rsidRPr="00FD305C" w:rsidRDefault="00C55669" w:rsidP="00C55669">
      <w:pPr>
        <w:rPr>
          <w:rFonts w:eastAsiaTheme="minorEastAsia"/>
        </w:rPr>
      </w:pPr>
    </w:p>
    <w:p w14:paraId="5AF81914" w14:textId="02E639AB" w:rsidR="00C55669" w:rsidRPr="00FD305C" w:rsidRDefault="00C55669" w:rsidP="00C55669">
      <w:r w:rsidRPr="00FD305C">
        <w:fldChar w:fldCharType="begin"/>
      </w:r>
      <w:r w:rsidRPr="00FD305C">
        <w:instrText xml:space="preserve"> AUTONUM  </w:instrText>
      </w:r>
      <w:r w:rsidRPr="00FD305C">
        <w:fldChar w:fldCharType="end"/>
      </w:r>
      <w:r w:rsidRPr="00FD305C">
        <w:tab/>
        <w:t>Fragen ausschließlich zur Information betreffend die Verwendung biochemischer und molekularer Verfahren bei der DUS-Prüfung und molekularer Verfahren in bezug auf die TWP und die BMT werden in Dokument TC/55/INF/6 „Molekulare Verfahren – Fragen zur Information” dargelegt werden.</w:t>
      </w:r>
    </w:p>
    <w:p w14:paraId="7AE6FD3D" w14:textId="77777777" w:rsidR="00440683" w:rsidRPr="00FD305C" w:rsidRDefault="00440683" w:rsidP="00440683">
      <w:pPr>
        <w:tabs>
          <w:tab w:val="left" w:pos="567"/>
          <w:tab w:val="left" w:pos="1134"/>
        </w:tabs>
        <w:rPr>
          <w:sz w:val="18"/>
          <w:lang w:eastAsia="ja-JP"/>
        </w:rPr>
      </w:pPr>
    </w:p>
    <w:p w14:paraId="0A8DF95C" w14:textId="77777777" w:rsidR="00440683" w:rsidRPr="00FD305C" w:rsidRDefault="00440683" w:rsidP="00440683">
      <w:pPr>
        <w:tabs>
          <w:tab w:val="left" w:pos="567"/>
          <w:tab w:val="left" w:pos="1134"/>
          <w:tab w:val="left" w:pos="5387"/>
        </w:tabs>
      </w:pPr>
      <w:r w:rsidRPr="00FD305C">
        <w:fldChar w:fldCharType="begin"/>
      </w:r>
      <w:r w:rsidRPr="00FD305C">
        <w:instrText xml:space="preserve"> AUTONUM  </w:instrText>
      </w:r>
      <w:r w:rsidRPr="00FD305C">
        <w:fldChar w:fldCharType="end"/>
      </w:r>
      <w:r w:rsidRPr="00FD305C">
        <w:tab/>
        <w:t>Der TC wird ersucht:</w:t>
      </w:r>
    </w:p>
    <w:p w14:paraId="03A3FCFE" w14:textId="77777777" w:rsidR="001708AA" w:rsidRPr="00FD305C" w:rsidRDefault="001708AA" w:rsidP="009A50E6">
      <w:pPr>
        <w:ind w:firstLine="567"/>
      </w:pPr>
    </w:p>
    <w:p w14:paraId="452D4316" w14:textId="3A233508" w:rsidR="001708AA" w:rsidRPr="00FD305C" w:rsidRDefault="001708AA" w:rsidP="001708AA">
      <w:pPr>
        <w:ind w:firstLine="567"/>
        <w:rPr>
          <w:highlight w:val="yellow"/>
        </w:rPr>
      </w:pPr>
      <w:r w:rsidRPr="00FD305C">
        <w:t>a)</w:t>
      </w:r>
      <w:r w:rsidRPr="00FD305C">
        <w:tab/>
        <w:t xml:space="preserve"> zur Kenntnis zu nehmen, daß die BMT auf ihrer achtzehnten Tagung ersucht werden wird, das Dokument UPOV/INF/17 Draft 2, „Richtlinien für die DNS-Profilierung: Auswahl molekularer Marker und Aufbau von Datenbanken ('BMT-Richtlinien"), wie in Absatz 7 dieses Dokuments dargelegt, zu prüfen</w:t>
      </w:r>
      <w:r w:rsidR="005155FF" w:rsidRPr="00FD305C">
        <w:t>;</w:t>
      </w:r>
      <w:r w:rsidR="005155FF" w:rsidRPr="00FD305C">
        <w:rPr>
          <w:highlight w:val="yellow"/>
        </w:rPr>
        <w:t xml:space="preserve"> </w:t>
      </w:r>
    </w:p>
    <w:p w14:paraId="74738046" w14:textId="77777777" w:rsidR="00955A55" w:rsidRPr="00FD305C" w:rsidRDefault="00955A55" w:rsidP="009A50E6">
      <w:pPr>
        <w:ind w:firstLine="567"/>
      </w:pPr>
    </w:p>
    <w:p w14:paraId="0E0D031B" w14:textId="194B48EE" w:rsidR="00955A55" w:rsidRPr="00FD305C" w:rsidRDefault="00955A55" w:rsidP="00955A55">
      <w:pPr>
        <w:ind w:firstLine="567"/>
        <w:rPr>
          <w:highlight w:val="yellow"/>
        </w:rPr>
      </w:pPr>
      <w:r w:rsidRPr="00FD305C">
        <w:t>b)</w:t>
      </w:r>
      <w:r w:rsidRPr="00FD305C">
        <w:tab/>
        <w:t xml:space="preserve"> zur Kenntnis zu nehmen, daß der Vorschlag der TWV, Anleitung zu Elementen zu erarbeiten, die in ein Protokoll für DNS-Markertests für ein spezielles Merkmal in Dokument UPOV/INF/17 aufgenommen werden sollen, der BMT auf ihrer achtzehnten Tagung, wie in Absatz 9 dieses Dokuments dargelegt, berichtet wird;</w:t>
      </w:r>
      <w:r w:rsidRPr="00FD305C">
        <w:rPr>
          <w:highlight w:val="yellow"/>
        </w:rPr>
        <w:t xml:space="preserve">  </w:t>
      </w:r>
    </w:p>
    <w:p w14:paraId="243CD816" w14:textId="77777777" w:rsidR="000E0939" w:rsidRPr="00FD305C" w:rsidRDefault="000E0939" w:rsidP="000E0939">
      <w:pPr>
        <w:tabs>
          <w:tab w:val="left" w:pos="567"/>
          <w:tab w:val="left" w:pos="1134"/>
          <w:tab w:val="left" w:pos="5387"/>
          <w:tab w:val="left" w:pos="5954"/>
        </w:tabs>
      </w:pPr>
    </w:p>
    <w:p w14:paraId="4D3A7D16" w14:textId="43296305" w:rsidR="000E0939" w:rsidRPr="00FD305C" w:rsidRDefault="000E0939" w:rsidP="000E0939">
      <w:pPr>
        <w:ind w:firstLine="567"/>
        <w:rPr>
          <w:highlight w:val="yellow"/>
        </w:rPr>
      </w:pPr>
      <w:r w:rsidRPr="00FD305C">
        <w:t>c)</w:t>
      </w:r>
      <w:r w:rsidRPr="00FD305C">
        <w:tab/>
        <w:t>zu prüfen, ob um die Ausarbeitung eines Entwurfs von Dokument UPOV/INF/17 zur Prüfung durch den TC auf seiner sechsundfünfzigsten Tagung ersucht werden soll</w:t>
      </w:r>
      <w:r w:rsidR="005155FF" w:rsidRPr="00FD305C">
        <w:t>;</w:t>
      </w:r>
      <w:r w:rsidR="005155FF" w:rsidRPr="00FD305C">
        <w:rPr>
          <w:highlight w:val="yellow"/>
        </w:rPr>
        <w:t xml:space="preserve"> </w:t>
      </w:r>
    </w:p>
    <w:p w14:paraId="57DD9E91" w14:textId="77777777" w:rsidR="003D348C" w:rsidRPr="00FD305C" w:rsidRDefault="003D348C" w:rsidP="003D348C">
      <w:pPr>
        <w:tabs>
          <w:tab w:val="left" w:pos="567"/>
          <w:tab w:val="left" w:pos="1134"/>
          <w:tab w:val="left" w:pos="5387"/>
          <w:tab w:val="left" w:pos="5954"/>
        </w:tabs>
      </w:pPr>
    </w:p>
    <w:p w14:paraId="6C18F7E4" w14:textId="0E240117" w:rsidR="003D348C" w:rsidRPr="00FD305C" w:rsidRDefault="00C60F5B" w:rsidP="003D348C">
      <w:pPr>
        <w:tabs>
          <w:tab w:val="left" w:pos="567"/>
          <w:tab w:val="left" w:pos="1134"/>
          <w:tab w:val="left" w:pos="5387"/>
          <w:tab w:val="left" w:pos="5954"/>
        </w:tabs>
      </w:pPr>
      <w:r w:rsidRPr="00FD305C">
        <w:tab/>
        <w:t>d)</w:t>
      </w:r>
      <w:r w:rsidRPr="00FD305C">
        <w:tab/>
      </w:r>
      <w:r w:rsidR="003D348C" w:rsidRPr="00FD305C">
        <w:t xml:space="preserve">zur Kenntnis zu nehmen, daß die BMT auf ihrer achtzehnten Tagung ersucht werden wird, ein gemeinsames Dokument zur Erläuterung der wesentlichen Funktionen der Systeme von OECD, UPOV und ISTA, wie in Absatz 15 dieses Dokuments dargelegt, zu erstellen; </w:t>
      </w:r>
    </w:p>
    <w:p w14:paraId="14EAD028" w14:textId="77777777" w:rsidR="003D348C" w:rsidRPr="00FD305C" w:rsidRDefault="003D348C" w:rsidP="003D348C">
      <w:pPr>
        <w:tabs>
          <w:tab w:val="left" w:pos="567"/>
          <w:tab w:val="left" w:pos="1134"/>
          <w:tab w:val="left" w:pos="5387"/>
          <w:tab w:val="left" w:pos="5954"/>
        </w:tabs>
      </w:pPr>
    </w:p>
    <w:p w14:paraId="0F40386B" w14:textId="77777777" w:rsidR="003D348C" w:rsidRPr="00FD305C" w:rsidRDefault="003D348C" w:rsidP="003D348C">
      <w:pPr>
        <w:tabs>
          <w:tab w:val="left" w:pos="567"/>
          <w:tab w:val="left" w:pos="1134"/>
          <w:tab w:val="left" w:pos="5387"/>
          <w:tab w:val="left" w:pos="5954"/>
        </w:tabs>
      </w:pPr>
      <w:r w:rsidRPr="00FD305C">
        <w:tab/>
        <w:t>e)</w:t>
      </w:r>
      <w:r w:rsidRPr="00FD305C">
        <w:tab/>
        <w:t xml:space="preserve">zur Kenntnis zu nehmen, daß die von der BMT auf ihrer achtzehnten Tagung erarbeiteten Vorschläge betreffend ein gemeinsames Dokument zur Erläuterung der wesentlichen Funktionen der Systeme von OECD, UPOV und ISTA in einer Ergänzung zu diesem Dokument, wie in Absatz 15 dieses Dokuments ausgeführt, dargelegt werden; </w:t>
      </w:r>
    </w:p>
    <w:p w14:paraId="2DC128F4" w14:textId="77777777" w:rsidR="00440683" w:rsidRPr="00FD305C" w:rsidRDefault="00440683" w:rsidP="00440683">
      <w:pPr>
        <w:tabs>
          <w:tab w:val="left" w:pos="567"/>
          <w:tab w:val="left" w:pos="1134"/>
          <w:tab w:val="left" w:pos="5387"/>
          <w:tab w:val="left" w:pos="5954"/>
        </w:tabs>
      </w:pPr>
    </w:p>
    <w:p w14:paraId="664CE870" w14:textId="76FD43B2" w:rsidR="00440683" w:rsidRPr="00FD305C" w:rsidRDefault="00440683" w:rsidP="00440683">
      <w:pPr>
        <w:ind w:firstLine="567"/>
        <w:rPr>
          <w:highlight w:val="yellow"/>
        </w:rPr>
      </w:pPr>
      <w:r w:rsidRPr="00FD305C">
        <w:t xml:space="preserve">f) </w:t>
      </w:r>
      <w:r w:rsidRPr="00FD305C">
        <w:tab/>
        <w:t>die Elemente für eine Bestandsaufnahme zur Verwendung molekularer Markerverfahren nach Pflanze, wie in Absatz 23 dieses Dokuments dargelegt, in Verbindung mit den Bemerkungen der TWP und der BMT auf ihren Tagungen im Jahr 2019 zu prüfen</w:t>
      </w:r>
      <w:r w:rsidR="005155FF" w:rsidRPr="00FD305C">
        <w:t>;</w:t>
      </w:r>
      <w:r w:rsidR="005155FF" w:rsidRPr="00FD305C">
        <w:rPr>
          <w:highlight w:val="yellow"/>
        </w:rPr>
        <w:t xml:space="preserve"> </w:t>
      </w:r>
    </w:p>
    <w:p w14:paraId="2F7DFBB0" w14:textId="77777777" w:rsidR="00F935A6" w:rsidRPr="00FD305C" w:rsidRDefault="00F935A6" w:rsidP="00F935A6">
      <w:pPr>
        <w:rPr>
          <w:sz w:val="18"/>
        </w:rPr>
      </w:pPr>
    </w:p>
    <w:p w14:paraId="0F2D511A" w14:textId="2B528675" w:rsidR="00F935A6" w:rsidRPr="00FD305C" w:rsidRDefault="00F935A6" w:rsidP="00F935A6">
      <w:pPr>
        <w:ind w:firstLine="567"/>
      </w:pPr>
      <w:r w:rsidRPr="00FD305C">
        <w:t xml:space="preserve">g) </w:t>
      </w:r>
      <w:r w:rsidRPr="00FD305C">
        <w:tab/>
        <w:t>zur Kenntnis zu nehmen, daß vorbehaltlich der Zustimmung des TC auf seiner fünfundfünfzigsten Tagung und nach Abstimmung mit der OECD ein Rundschreiben herausgegeben werden wird, in dem die Verbandsmitglieder aufgefordert werden, eine Umfrage als Grundlage für die Erstellung einer Bestandsaufnahme zur Verwendung molekularer Markerverfahren nach Pflanze, wie in Absatz 25 dieses Dokuments dargelegt, zu beantworten</w:t>
      </w:r>
      <w:r w:rsidR="005155FF" w:rsidRPr="00FD305C">
        <w:t xml:space="preserve">; </w:t>
      </w:r>
    </w:p>
    <w:p w14:paraId="588D14D5" w14:textId="17237DF1" w:rsidR="00C7456E" w:rsidRPr="00FD305C" w:rsidRDefault="00C7456E" w:rsidP="00C7456E"/>
    <w:p w14:paraId="376506AC" w14:textId="2B06F8C1" w:rsidR="00C7456E" w:rsidRPr="00FD305C" w:rsidRDefault="00C7456E" w:rsidP="00C7456E">
      <w:pPr>
        <w:ind w:firstLine="567"/>
      </w:pPr>
      <w:r w:rsidRPr="00FD305C">
        <w:lastRenderedPageBreak/>
        <w:t>h)</w:t>
      </w:r>
      <w:r w:rsidRPr="00FD305C">
        <w:tab/>
        <w:t>zur Kenntnis zu nehmen, daß die BMT auf ihrer achtzehnten Tagung ersucht werden wird, Listen möglicher gemeinsamer Initiativen mit OECD und ISTA im Hinblick auf mole</w:t>
      </w:r>
      <w:r w:rsidR="00A06917" w:rsidRPr="00FD305C">
        <w:t>kulare Verfahren, wie in Absatz </w:t>
      </w:r>
      <w:r w:rsidRPr="00FD305C">
        <w:t xml:space="preserve">27 dieses Dokuments dargelegt, zu erstellen; </w:t>
      </w:r>
    </w:p>
    <w:p w14:paraId="39BDBF6A" w14:textId="77777777" w:rsidR="00C7456E" w:rsidRPr="00FD305C" w:rsidRDefault="00C7456E" w:rsidP="00C7456E"/>
    <w:p w14:paraId="3F65118F" w14:textId="77777777" w:rsidR="00C7456E" w:rsidRPr="00FD305C" w:rsidRDefault="00C7456E" w:rsidP="00C7456E">
      <w:r w:rsidRPr="00FD305C">
        <w:tab/>
        <w:t>i)</w:t>
      </w:r>
      <w:r w:rsidRPr="00FD305C">
        <w:tab/>
        <w:t>zur Kenntnis zu nehmen, daß über die von der BMT auf ihrer achtzehnten Tagung erarbeiteten Vorschläge betreffend Listen möglicher gemeinsamer Initiativen mit OECD und ISTA im Hinblick auf molekulare Verfahren in einer Ergänzung zu diesem Dokument, wie in Absatz 27 dieses Dokuments dargelegt, berichtet werden wird;</w:t>
      </w:r>
    </w:p>
    <w:p w14:paraId="235F82CD" w14:textId="77777777" w:rsidR="00707D40" w:rsidRPr="00FD305C" w:rsidRDefault="00707D40" w:rsidP="00707D40">
      <w:pPr>
        <w:rPr>
          <w:sz w:val="18"/>
        </w:rPr>
      </w:pPr>
    </w:p>
    <w:p w14:paraId="2229C2DF" w14:textId="61A02E16" w:rsidR="00707D40" w:rsidRPr="00FD305C" w:rsidRDefault="00192CBF" w:rsidP="00707D40">
      <w:pPr>
        <w:ind w:firstLine="567"/>
      </w:pPr>
      <w:r w:rsidRPr="00FD305C">
        <w:t>j)</w:t>
      </w:r>
      <w:r w:rsidR="00707D40" w:rsidRPr="00FD305C">
        <w:tab/>
        <w:t xml:space="preserve">die Ergebnisse der Erörterungen der TWP und auf ihren Tagungen im Jahr 2019 über Zusammenarbeit im Hinblick auf die Verwendung molekularer Verfahren, wie in den Absätzen 32 bis 35 dieses Dokuments dargelegt, zur Kenntnis zu nehmen; </w:t>
      </w:r>
    </w:p>
    <w:p w14:paraId="3725BB08" w14:textId="77777777" w:rsidR="009C1868" w:rsidRPr="00FD305C" w:rsidRDefault="009C1868" w:rsidP="009C1868">
      <w:pPr>
        <w:rPr>
          <w:sz w:val="18"/>
        </w:rPr>
      </w:pPr>
    </w:p>
    <w:p w14:paraId="3D84E977" w14:textId="77777777" w:rsidR="009C1868" w:rsidRPr="00FD305C" w:rsidRDefault="009C1868" w:rsidP="009C1868">
      <w:pPr>
        <w:ind w:firstLine="567"/>
      </w:pPr>
      <w:r w:rsidRPr="00FD305C">
        <w:t>k)</w:t>
      </w:r>
      <w:r w:rsidRPr="00FD305C">
        <w:tab/>
        <w:t>zur Kenntnis zu nehmen, daß die BMT auf ihrer achtzehnten Tagung ersucht werden wird, Vorschläge zu nächsten Schritten zur Untersuchung von Bereichen zur Zusammenarbeit im Hinblick auf die Verwendung molekularer Verfahren, wie in Absatz 38 dieses Dokuments dargelegt, auszuarbeiten;  und</w:t>
      </w:r>
    </w:p>
    <w:p w14:paraId="2EFD3F9E" w14:textId="77777777" w:rsidR="009C1868" w:rsidRPr="00FD305C" w:rsidRDefault="009C1868" w:rsidP="009C1868">
      <w:pPr>
        <w:rPr>
          <w:sz w:val="18"/>
        </w:rPr>
      </w:pPr>
    </w:p>
    <w:p w14:paraId="447E4B84" w14:textId="77777777" w:rsidR="009C1868" w:rsidRPr="00FD305C" w:rsidRDefault="009C1868" w:rsidP="009C1868">
      <w:pPr>
        <w:ind w:firstLine="567"/>
      </w:pPr>
      <w:r w:rsidRPr="00FD305C">
        <w:t>l)</w:t>
      </w:r>
      <w:r w:rsidRPr="00FD305C">
        <w:tab/>
        <w:t xml:space="preserve">zur Kenntnis zu nehmen, daß über die von der BMT auf ihrer achtzehnten Tagung erarbeiteten Vorschläge betreffend Bereiche der Zusammenarbeit im Hinblick auf die Verwendung molekularer Verfahren in einer Ergänzung zu diesem Dokument, wie in Absatz 39 dieses Dokuments dargelegt, berichtet werden wird. </w:t>
      </w:r>
    </w:p>
    <w:p w14:paraId="3C23ECDB" w14:textId="77777777" w:rsidR="002A5737" w:rsidRPr="00FD305C" w:rsidRDefault="002A5737" w:rsidP="009A50E6">
      <w:pPr>
        <w:jc w:val="left"/>
        <w:rPr>
          <w:sz w:val="18"/>
          <w:lang w:eastAsia="ja-JP"/>
        </w:rPr>
      </w:pPr>
    </w:p>
    <w:p w14:paraId="49426899" w14:textId="77777777" w:rsidR="00440683" w:rsidRPr="00FD305C" w:rsidRDefault="00440683" w:rsidP="00DF1E9C">
      <w:r w:rsidRPr="00FD305C">
        <w:fldChar w:fldCharType="begin"/>
      </w:r>
      <w:r w:rsidRPr="00FD305C">
        <w:instrText xml:space="preserve"> AUTONUM  </w:instrText>
      </w:r>
      <w:r w:rsidRPr="00FD305C">
        <w:fldChar w:fldCharType="end"/>
      </w:r>
      <w:r w:rsidRPr="00FD305C">
        <w:tab/>
        <w:t>In diesem Dokument werden folgende Abkürzungen verwendet:</w:t>
      </w:r>
    </w:p>
    <w:p w14:paraId="13B383A9" w14:textId="77777777" w:rsidR="00440683" w:rsidRPr="00FD305C" w:rsidRDefault="00440683" w:rsidP="00DF1E9C"/>
    <w:p w14:paraId="68CEA835" w14:textId="77777777" w:rsidR="00440683" w:rsidRPr="00FD305C" w:rsidRDefault="00440683" w:rsidP="00DF1E9C">
      <w:pPr>
        <w:tabs>
          <w:tab w:val="left" w:pos="567"/>
        </w:tabs>
        <w:ind w:left="1701" w:hanging="1134"/>
      </w:pPr>
      <w:r w:rsidRPr="00FD305C">
        <w:t>BMT:</w:t>
      </w:r>
      <w:r w:rsidRPr="00FD305C">
        <w:tab/>
        <w:t xml:space="preserve">Arbeitsgruppe für biochemische und molekulare Verfahren und insbesondere für DNS-Profilierungsverfahren </w:t>
      </w:r>
    </w:p>
    <w:p w14:paraId="5B17F3D6" w14:textId="77777777" w:rsidR="00440683" w:rsidRPr="00FD305C" w:rsidRDefault="00440683" w:rsidP="00DF1E9C">
      <w:pPr>
        <w:tabs>
          <w:tab w:val="left" w:pos="567"/>
        </w:tabs>
        <w:ind w:left="1701" w:hanging="1134"/>
      </w:pPr>
      <w:r w:rsidRPr="00FD305C">
        <w:t>TC:</w:t>
      </w:r>
      <w:r w:rsidRPr="00FD305C">
        <w:tab/>
        <w:t>Technischer Ausschuß</w:t>
      </w:r>
    </w:p>
    <w:p w14:paraId="40F238E0" w14:textId="77777777" w:rsidR="002767CA" w:rsidRPr="00FD305C" w:rsidRDefault="002767CA" w:rsidP="002767CA">
      <w:pPr>
        <w:ind w:left="1701" w:hanging="1134"/>
        <w:rPr>
          <w:rFonts w:eastAsia="PMingLiU" w:cs="Arial"/>
        </w:rPr>
      </w:pPr>
      <w:r w:rsidRPr="00FD305C">
        <w:t>TWA:</w:t>
      </w:r>
      <w:r w:rsidRPr="00FD305C">
        <w:tab/>
        <w:t>Technische Arbeitsgruppe für landwirtschaftliche Arten</w:t>
      </w:r>
    </w:p>
    <w:p w14:paraId="277CC4F0" w14:textId="77777777" w:rsidR="002767CA" w:rsidRPr="00FD305C" w:rsidRDefault="002767CA" w:rsidP="002767CA">
      <w:pPr>
        <w:ind w:left="1701" w:hanging="1134"/>
        <w:rPr>
          <w:rFonts w:eastAsia="PMingLiU" w:cs="Arial"/>
        </w:rPr>
      </w:pPr>
      <w:r w:rsidRPr="00FD305C">
        <w:t>TWC:</w:t>
      </w:r>
      <w:r w:rsidRPr="00FD305C">
        <w:tab/>
        <w:t>Technische Arbeitsgruppe für Automatisierung und Computerprogramme</w:t>
      </w:r>
    </w:p>
    <w:p w14:paraId="789C03AD" w14:textId="77777777" w:rsidR="005078AE" w:rsidRPr="00FD305C" w:rsidRDefault="005078AE" w:rsidP="005078AE">
      <w:pPr>
        <w:ind w:left="1701" w:hanging="1134"/>
        <w:rPr>
          <w:rFonts w:eastAsia="PMingLiU" w:cs="Arial"/>
        </w:rPr>
      </w:pPr>
      <w:r w:rsidRPr="00FD305C">
        <w:t>TWF:</w:t>
      </w:r>
      <w:r w:rsidRPr="00FD305C">
        <w:tab/>
        <w:t>Technische Arbeitsgruppe für Obstarten</w:t>
      </w:r>
    </w:p>
    <w:p w14:paraId="1445F18C" w14:textId="77777777" w:rsidR="00440683" w:rsidRPr="00FD305C" w:rsidRDefault="00440683" w:rsidP="00DF1E9C">
      <w:pPr>
        <w:ind w:left="1701" w:hanging="1134"/>
        <w:rPr>
          <w:rFonts w:eastAsia="PMingLiU" w:cs="Arial"/>
        </w:rPr>
      </w:pPr>
      <w:r w:rsidRPr="00FD305C">
        <w:t>TWO:</w:t>
      </w:r>
      <w:r w:rsidRPr="00FD305C">
        <w:tab/>
        <w:t>Technische Arbeitsgruppe für Zierpflanzen und forstliche Baumarten</w:t>
      </w:r>
    </w:p>
    <w:p w14:paraId="5A503856" w14:textId="77777777" w:rsidR="00440683" w:rsidRPr="00FD305C" w:rsidRDefault="00440683" w:rsidP="00DF1E9C">
      <w:pPr>
        <w:ind w:left="1701" w:hanging="1134"/>
        <w:rPr>
          <w:rFonts w:eastAsia="PMingLiU" w:cs="Arial"/>
        </w:rPr>
      </w:pPr>
      <w:r w:rsidRPr="00FD305C">
        <w:t>TWP:</w:t>
      </w:r>
      <w:r w:rsidRPr="00FD305C">
        <w:tab/>
        <w:t>Technische Arbeitsgruppen</w:t>
      </w:r>
    </w:p>
    <w:p w14:paraId="528E2916" w14:textId="77777777" w:rsidR="00440683" w:rsidRPr="00FD305C" w:rsidRDefault="00440683" w:rsidP="00DF1E9C">
      <w:pPr>
        <w:ind w:left="1701" w:hanging="1134"/>
        <w:rPr>
          <w:rFonts w:eastAsia="PMingLiU" w:cs="Arial"/>
        </w:rPr>
      </w:pPr>
      <w:r w:rsidRPr="00FD305C">
        <w:t>TWV:</w:t>
      </w:r>
      <w:r w:rsidRPr="00FD305C">
        <w:tab/>
        <w:t>Technische Arbeitsgruppe für Gemüsearten</w:t>
      </w:r>
    </w:p>
    <w:p w14:paraId="32CB15C6" w14:textId="77777777" w:rsidR="00440683" w:rsidRPr="00FD305C" w:rsidRDefault="00440683" w:rsidP="00DF1E9C">
      <w:pPr>
        <w:ind w:left="1701" w:hanging="1134"/>
        <w:rPr>
          <w:rFonts w:eastAsia="PMingLiU" w:cs="Arial"/>
          <w:snapToGrid w:val="0"/>
        </w:rPr>
      </w:pPr>
      <w:r w:rsidRPr="00FD305C">
        <w:t>OECD:</w:t>
      </w:r>
      <w:r w:rsidRPr="00FD305C">
        <w:tab/>
      </w:r>
      <w:r w:rsidRPr="00FD305C">
        <w:rPr>
          <w:snapToGrid w:val="0"/>
        </w:rPr>
        <w:t>Organisation für Wirtschaftliche Zusammenarbeit und Entwicklung</w:t>
      </w:r>
    </w:p>
    <w:p w14:paraId="340F0C2C" w14:textId="77777777" w:rsidR="003A44CC" w:rsidRPr="00FD305C" w:rsidRDefault="003A44CC" w:rsidP="00DF1E9C">
      <w:pPr>
        <w:ind w:left="1701" w:hanging="1134"/>
        <w:rPr>
          <w:rFonts w:cs="Arial"/>
          <w:snapToGrid w:val="0"/>
        </w:rPr>
      </w:pPr>
      <w:r w:rsidRPr="00FD305C">
        <w:rPr>
          <w:snapToGrid w:val="0"/>
        </w:rPr>
        <w:t xml:space="preserve">ISTA: </w:t>
      </w:r>
      <w:r w:rsidRPr="00FD305C">
        <w:rPr>
          <w:snapToGrid w:val="0"/>
        </w:rPr>
        <w:tab/>
        <w:t>Internationale Vereinigung für Saatgutprüfung</w:t>
      </w:r>
    </w:p>
    <w:p w14:paraId="4052B326" w14:textId="5BA527A4" w:rsidR="00803B6D" w:rsidRPr="00FD305C" w:rsidRDefault="00803B6D">
      <w:pPr>
        <w:jc w:val="left"/>
        <w:rPr>
          <w:rFonts w:cs="Arial"/>
          <w:snapToGrid w:val="0"/>
          <w:szCs w:val="24"/>
        </w:rPr>
      </w:pPr>
      <w:bookmarkStart w:id="5" w:name="_Toc13511381"/>
    </w:p>
    <w:p w14:paraId="3FAF975D" w14:textId="77777777" w:rsidR="00803B6D" w:rsidRPr="00FD305C" w:rsidRDefault="00803B6D" w:rsidP="00803B6D">
      <w:pPr>
        <w:keepNext/>
        <w:keepLines/>
      </w:pPr>
      <w:r w:rsidRPr="00FD305C">
        <w:fldChar w:fldCharType="begin"/>
      </w:r>
      <w:r w:rsidRPr="00FD305C">
        <w:instrText xml:space="preserve"> AUTONUM  </w:instrText>
      </w:r>
      <w:r w:rsidRPr="00FD305C">
        <w:fldChar w:fldCharType="end"/>
      </w:r>
      <w:r w:rsidRPr="00FD305C">
        <w:tab/>
        <w:t>Der Aufbau dieses Dokumentes ist wie folgt:</w:t>
      </w:r>
    </w:p>
    <w:p w14:paraId="4E4EAD77" w14:textId="77777777" w:rsidR="00ED644C" w:rsidRPr="00FD305C" w:rsidRDefault="00ED644C" w:rsidP="00803B6D">
      <w:pPr>
        <w:keepNext/>
        <w:keepLines/>
      </w:pPr>
    </w:p>
    <w:p w14:paraId="0BEE9018" w14:textId="77777777" w:rsidR="002950DC" w:rsidRPr="00FD305C" w:rsidRDefault="00ED644C">
      <w:pPr>
        <w:pStyle w:val="TOC1"/>
        <w:rPr>
          <w:rFonts w:asciiTheme="minorHAnsi" w:eastAsiaTheme="minorEastAsia" w:hAnsiTheme="minorHAnsi" w:cstheme="minorBidi"/>
          <w:caps w:val="0"/>
          <w:sz w:val="22"/>
          <w:szCs w:val="22"/>
          <w:lang w:eastAsia="de-DE"/>
        </w:rPr>
      </w:pPr>
      <w:r w:rsidRPr="00FD305C">
        <w:rPr>
          <w:rFonts w:cs="Arial"/>
          <w:bCs/>
          <w:sz w:val="16"/>
        </w:rPr>
        <w:fldChar w:fldCharType="begin"/>
      </w:r>
      <w:r w:rsidRPr="00FD305C">
        <w:rPr>
          <w:sz w:val="16"/>
        </w:rPr>
        <w:instrText xml:space="preserve"> TOC \o "1-3" \h \z </w:instrText>
      </w:r>
      <w:r w:rsidRPr="00FD305C">
        <w:rPr>
          <w:rFonts w:cs="Arial"/>
          <w:bCs/>
          <w:sz w:val="16"/>
        </w:rPr>
        <w:fldChar w:fldCharType="separate"/>
      </w:r>
      <w:hyperlink w:anchor="_Toc17358802" w:history="1">
        <w:r w:rsidR="002950DC" w:rsidRPr="00FD305C">
          <w:rPr>
            <w:rStyle w:val="Hyperlink"/>
          </w:rPr>
          <w:t>Zusammenfassung</w:t>
        </w:r>
        <w:r w:rsidR="002950DC" w:rsidRPr="00FD305C">
          <w:rPr>
            <w:webHidden/>
          </w:rPr>
          <w:tab/>
        </w:r>
        <w:r w:rsidR="002950DC" w:rsidRPr="00FD305C">
          <w:rPr>
            <w:webHidden/>
          </w:rPr>
          <w:fldChar w:fldCharType="begin"/>
        </w:r>
        <w:r w:rsidR="002950DC" w:rsidRPr="00FD305C">
          <w:rPr>
            <w:webHidden/>
          </w:rPr>
          <w:instrText xml:space="preserve"> PAGEREF _Toc17358802 \h </w:instrText>
        </w:r>
        <w:r w:rsidR="002950DC" w:rsidRPr="00FD305C">
          <w:rPr>
            <w:webHidden/>
          </w:rPr>
        </w:r>
        <w:r w:rsidR="002950DC" w:rsidRPr="00FD305C">
          <w:rPr>
            <w:webHidden/>
          </w:rPr>
          <w:fldChar w:fldCharType="separate"/>
        </w:r>
        <w:r w:rsidR="002950DC" w:rsidRPr="00FD305C">
          <w:rPr>
            <w:webHidden/>
          </w:rPr>
          <w:t>1</w:t>
        </w:r>
        <w:r w:rsidR="002950DC" w:rsidRPr="00FD305C">
          <w:rPr>
            <w:webHidden/>
          </w:rPr>
          <w:fldChar w:fldCharType="end"/>
        </w:r>
      </w:hyperlink>
    </w:p>
    <w:p w14:paraId="5A1AA795" w14:textId="77777777" w:rsidR="002950DC" w:rsidRPr="00FD305C" w:rsidRDefault="008F3A02">
      <w:pPr>
        <w:pStyle w:val="TOC1"/>
        <w:rPr>
          <w:rFonts w:asciiTheme="minorHAnsi" w:eastAsiaTheme="minorEastAsia" w:hAnsiTheme="minorHAnsi" w:cstheme="minorBidi"/>
          <w:caps w:val="0"/>
          <w:sz w:val="22"/>
          <w:szCs w:val="22"/>
          <w:lang w:eastAsia="de-DE"/>
        </w:rPr>
      </w:pPr>
      <w:hyperlink w:anchor="_Toc17358803" w:history="1">
        <w:r w:rsidR="002950DC" w:rsidRPr="00FD305C">
          <w:rPr>
            <w:rStyle w:val="Hyperlink"/>
          </w:rPr>
          <w:t>Überprüfung von Dokument UPOV/INF/17 „Richtlinien für die DNS-Profilierung: Auswahl molekularer Marker und Aufbau von Datenbanken (‘BMT-Richtlinien’)“</w:t>
        </w:r>
        <w:r w:rsidR="002950DC" w:rsidRPr="00FD305C">
          <w:rPr>
            <w:webHidden/>
          </w:rPr>
          <w:tab/>
        </w:r>
        <w:r w:rsidR="002950DC" w:rsidRPr="00FD305C">
          <w:rPr>
            <w:webHidden/>
          </w:rPr>
          <w:fldChar w:fldCharType="begin"/>
        </w:r>
        <w:r w:rsidR="002950DC" w:rsidRPr="00FD305C">
          <w:rPr>
            <w:webHidden/>
          </w:rPr>
          <w:instrText xml:space="preserve"> PAGEREF _Toc17358803 \h </w:instrText>
        </w:r>
        <w:r w:rsidR="002950DC" w:rsidRPr="00FD305C">
          <w:rPr>
            <w:webHidden/>
          </w:rPr>
        </w:r>
        <w:r w:rsidR="002950DC" w:rsidRPr="00FD305C">
          <w:rPr>
            <w:webHidden/>
          </w:rPr>
          <w:fldChar w:fldCharType="separate"/>
        </w:r>
        <w:r w:rsidR="002950DC" w:rsidRPr="00FD305C">
          <w:rPr>
            <w:webHidden/>
          </w:rPr>
          <w:t>2</w:t>
        </w:r>
        <w:r w:rsidR="002950DC" w:rsidRPr="00FD305C">
          <w:rPr>
            <w:webHidden/>
          </w:rPr>
          <w:fldChar w:fldCharType="end"/>
        </w:r>
      </w:hyperlink>
    </w:p>
    <w:p w14:paraId="4B9BE82E" w14:textId="77777777" w:rsidR="002950DC" w:rsidRPr="00FD305C" w:rsidRDefault="008F3A02" w:rsidP="00192CBF">
      <w:pPr>
        <w:pStyle w:val="TOC2"/>
        <w:rPr>
          <w:rFonts w:asciiTheme="minorHAnsi" w:eastAsiaTheme="minorEastAsia" w:hAnsiTheme="minorHAnsi" w:cstheme="minorBidi"/>
          <w:noProof w:val="0"/>
          <w:sz w:val="22"/>
          <w:szCs w:val="22"/>
          <w:lang w:eastAsia="de-DE"/>
        </w:rPr>
      </w:pPr>
      <w:hyperlink w:anchor="_Toc17358804" w:history="1">
        <w:r w:rsidR="002950DC" w:rsidRPr="00FD305C">
          <w:rPr>
            <w:rStyle w:val="Hyperlink"/>
            <w:noProof w:val="0"/>
          </w:rPr>
          <w:t>Anleitung zum Protokoll eines DNS-Marker-Tests für ein bestimmtes Merkmal</w:t>
        </w:r>
        <w:r w:rsidR="002950DC" w:rsidRPr="00FD305C">
          <w:rPr>
            <w:noProof w:val="0"/>
            <w:webHidden/>
          </w:rPr>
          <w:tab/>
        </w:r>
        <w:r w:rsidR="002950DC" w:rsidRPr="00FD305C">
          <w:rPr>
            <w:noProof w:val="0"/>
            <w:webHidden/>
          </w:rPr>
          <w:fldChar w:fldCharType="begin"/>
        </w:r>
        <w:r w:rsidR="002950DC" w:rsidRPr="00FD305C">
          <w:rPr>
            <w:noProof w:val="0"/>
            <w:webHidden/>
          </w:rPr>
          <w:instrText xml:space="preserve"> PAGEREF _Toc17358804 \h </w:instrText>
        </w:r>
        <w:r w:rsidR="002950DC" w:rsidRPr="00FD305C">
          <w:rPr>
            <w:noProof w:val="0"/>
            <w:webHidden/>
          </w:rPr>
        </w:r>
        <w:r w:rsidR="002950DC" w:rsidRPr="00FD305C">
          <w:rPr>
            <w:noProof w:val="0"/>
            <w:webHidden/>
          </w:rPr>
          <w:fldChar w:fldCharType="separate"/>
        </w:r>
        <w:r w:rsidR="002950DC" w:rsidRPr="00FD305C">
          <w:rPr>
            <w:noProof w:val="0"/>
            <w:webHidden/>
          </w:rPr>
          <w:t>3</w:t>
        </w:r>
        <w:r w:rsidR="002950DC" w:rsidRPr="00FD305C">
          <w:rPr>
            <w:noProof w:val="0"/>
            <w:webHidden/>
          </w:rPr>
          <w:fldChar w:fldCharType="end"/>
        </w:r>
      </w:hyperlink>
    </w:p>
    <w:p w14:paraId="3726F983" w14:textId="77777777" w:rsidR="002950DC" w:rsidRPr="00FD305C" w:rsidRDefault="008F3A02">
      <w:pPr>
        <w:pStyle w:val="TOC1"/>
        <w:rPr>
          <w:rFonts w:asciiTheme="minorHAnsi" w:eastAsiaTheme="minorEastAsia" w:hAnsiTheme="minorHAnsi" w:cstheme="minorBidi"/>
          <w:caps w:val="0"/>
          <w:sz w:val="22"/>
          <w:szCs w:val="22"/>
          <w:lang w:eastAsia="de-DE"/>
        </w:rPr>
      </w:pPr>
      <w:hyperlink w:anchor="_Toc17358805" w:history="1">
        <w:r w:rsidR="002950DC" w:rsidRPr="00FD305C">
          <w:rPr>
            <w:rStyle w:val="Hyperlink"/>
          </w:rPr>
          <w:t>Zusammenarbeit zwischen internationalen Organisationen</w:t>
        </w:r>
        <w:r w:rsidR="002950DC" w:rsidRPr="00FD305C">
          <w:rPr>
            <w:webHidden/>
          </w:rPr>
          <w:tab/>
        </w:r>
        <w:r w:rsidR="002950DC" w:rsidRPr="00FD305C">
          <w:rPr>
            <w:webHidden/>
          </w:rPr>
          <w:fldChar w:fldCharType="begin"/>
        </w:r>
        <w:r w:rsidR="002950DC" w:rsidRPr="00FD305C">
          <w:rPr>
            <w:webHidden/>
          </w:rPr>
          <w:instrText xml:space="preserve"> PAGEREF _Toc17358805 \h </w:instrText>
        </w:r>
        <w:r w:rsidR="002950DC" w:rsidRPr="00FD305C">
          <w:rPr>
            <w:webHidden/>
          </w:rPr>
        </w:r>
        <w:r w:rsidR="002950DC" w:rsidRPr="00FD305C">
          <w:rPr>
            <w:webHidden/>
          </w:rPr>
          <w:fldChar w:fldCharType="separate"/>
        </w:r>
        <w:r w:rsidR="002950DC" w:rsidRPr="00FD305C">
          <w:rPr>
            <w:webHidden/>
          </w:rPr>
          <w:t>3</w:t>
        </w:r>
        <w:r w:rsidR="002950DC" w:rsidRPr="00FD305C">
          <w:rPr>
            <w:webHidden/>
          </w:rPr>
          <w:fldChar w:fldCharType="end"/>
        </w:r>
      </w:hyperlink>
    </w:p>
    <w:p w14:paraId="6D3EF765" w14:textId="77777777" w:rsidR="002950DC" w:rsidRPr="00FD305C" w:rsidRDefault="008F3A02" w:rsidP="00192CBF">
      <w:pPr>
        <w:pStyle w:val="TOC2"/>
        <w:rPr>
          <w:rFonts w:asciiTheme="minorHAnsi" w:eastAsiaTheme="minorEastAsia" w:hAnsiTheme="minorHAnsi" w:cstheme="minorBidi"/>
          <w:noProof w:val="0"/>
          <w:sz w:val="22"/>
          <w:szCs w:val="22"/>
          <w:lang w:eastAsia="de-DE"/>
        </w:rPr>
      </w:pPr>
      <w:hyperlink w:anchor="_Toc17358806" w:history="1">
        <w:r w:rsidR="002950DC" w:rsidRPr="00FD305C">
          <w:rPr>
            <w:rStyle w:val="Hyperlink"/>
            <w:noProof w:val="0"/>
          </w:rPr>
          <w:t>Gemeinsames Dokument zur Erläuterung der wesentlichen Besonderheiten der Systeme von OECD, UPOV und ISTA</w:t>
        </w:r>
        <w:r w:rsidR="002950DC" w:rsidRPr="00FD305C">
          <w:rPr>
            <w:noProof w:val="0"/>
            <w:webHidden/>
          </w:rPr>
          <w:tab/>
        </w:r>
        <w:r w:rsidR="002950DC" w:rsidRPr="00FD305C">
          <w:rPr>
            <w:noProof w:val="0"/>
            <w:webHidden/>
          </w:rPr>
          <w:fldChar w:fldCharType="begin"/>
        </w:r>
        <w:r w:rsidR="002950DC" w:rsidRPr="00FD305C">
          <w:rPr>
            <w:noProof w:val="0"/>
            <w:webHidden/>
          </w:rPr>
          <w:instrText xml:space="preserve"> PAGEREF _Toc17358806 \h </w:instrText>
        </w:r>
        <w:r w:rsidR="002950DC" w:rsidRPr="00FD305C">
          <w:rPr>
            <w:noProof w:val="0"/>
            <w:webHidden/>
          </w:rPr>
        </w:r>
        <w:r w:rsidR="002950DC" w:rsidRPr="00FD305C">
          <w:rPr>
            <w:noProof w:val="0"/>
            <w:webHidden/>
          </w:rPr>
          <w:fldChar w:fldCharType="separate"/>
        </w:r>
        <w:r w:rsidR="002950DC" w:rsidRPr="00FD305C">
          <w:rPr>
            <w:noProof w:val="0"/>
            <w:webHidden/>
          </w:rPr>
          <w:t>4</w:t>
        </w:r>
        <w:r w:rsidR="002950DC" w:rsidRPr="00FD305C">
          <w:rPr>
            <w:noProof w:val="0"/>
            <w:webHidden/>
          </w:rPr>
          <w:fldChar w:fldCharType="end"/>
        </w:r>
      </w:hyperlink>
    </w:p>
    <w:p w14:paraId="23A5D19C" w14:textId="77777777" w:rsidR="002950DC" w:rsidRPr="00FD305C" w:rsidRDefault="008F3A02" w:rsidP="00192CBF">
      <w:pPr>
        <w:pStyle w:val="TOC2"/>
        <w:rPr>
          <w:rFonts w:asciiTheme="minorHAnsi" w:eastAsiaTheme="minorEastAsia" w:hAnsiTheme="minorHAnsi" w:cstheme="minorBidi"/>
          <w:noProof w:val="0"/>
          <w:sz w:val="22"/>
          <w:szCs w:val="22"/>
          <w:lang w:eastAsia="de-DE"/>
        </w:rPr>
      </w:pPr>
      <w:hyperlink w:anchor="_Toc17358807" w:history="1">
        <w:r w:rsidR="002950DC" w:rsidRPr="00FD305C">
          <w:rPr>
            <w:rStyle w:val="Hyperlink"/>
            <w:noProof w:val="0"/>
          </w:rPr>
          <w:t>Bestandsaufnahme zur Verwendung molekularer Markerverfahren nach Pflanze</w:t>
        </w:r>
        <w:r w:rsidR="002950DC" w:rsidRPr="00FD305C">
          <w:rPr>
            <w:noProof w:val="0"/>
            <w:webHidden/>
          </w:rPr>
          <w:tab/>
        </w:r>
        <w:r w:rsidR="002950DC" w:rsidRPr="00FD305C">
          <w:rPr>
            <w:noProof w:val="0"/>
            <w:webHidden/>
          </w:rPr>
          <w:fldChar w:fldCharType="begin"/>
        </w:r>
        <w:r w:rsidR="002950DC" w:rsidRPr="00FD305C">
          <w:rPr>
            <w:noProof w:val="0"/>
            <w:webHidden/>
          </w:rPr>
          <w:instrText xml:space="preserve"> PAGEREF _Toc17358807 \h </w:instrText>
        </w:r>
        <w:r w:rsidR="002950DC" w:rsidRPr="00FD305C">
          <w:rPr>
            <w:noProof w:val="0"/>
            <w:webHidden/>
          </w:rPr>
        </w:r>
        <w:r w:rsidR="002950DC" w:rsidRPr="00FD305C">
          <w:rPr>
            <w:noProof w:val="0"/>
            <w:webHidden/>
          </w:rPr>
          <w:fldChar w:fldCharType="separate"/>
        </w:r>
        <w:r w:rsidR="002950DC" w:rsidRPr="00FD305C">
          <w:rPr>
            <w:noProof w:val="0"/>
            <w:webHidden/>
          </w:rPr>
          <w:t>4</w:t>
        </w:r>
        <w:r w:rsidR="002950DC" w:rsidRPr="00FD305C">
          <w:rPr>
            <w:noProof w:val="0"/>
            <w:webHidden/>
          </w:rPr>
          <w:fldChar w:fldCharType="end"/>
        </w:r>
      </w:hyperlink>
    </w:p>
    <w:p w14:paraId="2B670126" w14:textId="77777777" w:rsidR="002950DC" w:rsidRPr="00FD305C" w:rsidRDefault="008F3A02">
      <w:pPr>
        <w:pStyle w:val="TOC3"/>
        <w:rPr>
          <w:rFonts w:asciiTheme="minorHAnsi" w:eastAsiaTheme="minorEastAsia" w:hAnsiTheme="minorHAnsi" w:cstheme="minorBidi"/>
          <w:noProof w:val="0"/>
          <w:sz w:val="22"/>
          <w:szCs w:val="22"/>
          <w:lang w:eastAsia="de-DE"/>
        </w:rPr>
      </w:pPr>
      <w:hyperlink w:anchor="_Toc17358808" w:history="1">
        <w:r w:rsidR="002950DC" w:rsidRPr="00FD305C">
          <w:rPr>
            <w:rStyle w:val="Hyperlink"/>
            <w:noProof w:val="0"/>
          </w:rPr>
          <w:t>Vorschlag</w:t>
        </w:r>
        <w:r w:rsidR="002950DC" w:rsidRPr="00FD305C">
          <w:rPr>
            <w:noProof w:val="0"/>
            <w:webHidden/>
          </w:rPr>
          <w:tab/>
        </w:r>
        <w:r w:rsidR="002950DC" w:rsidRPr="00FD305C">
          <w:rPr>
            <w:noProof w:val="0"/>
            <w:webHidden/>
          </w:rPr>
          <w:fldChar w:fldCharType="begin"/>
        </w:r>
        <w:r w:rsidR="002950DC" w:rsidRPr="00FD305C">
          <w:rPr>
            <w:noProof w:val="0"/>
            <w:webHidden/>
          </w:rPr>
          <w:instrText xml:space="preserve"> PAGEREF _Toc17358808 \h </w:instrText>
        </w:r>
        <w:r w:rsidR="002950DC" w:rsidRPr="00FD305C">
          <w:rPr>
            <w:noProof w:val="0"/>
            <w:webHidden/>
          </w:rPr>
        </w:r>
        <w:r w:rsidR="002950DC" w:rsidRPr="00FD305C">
          <w:rPr>
            <w:noProof w:val="0"/>
            <w:webHidden/>
          </w:rPr>
          <w:fldChar w:fldCharType="separate"/>
        </w:r>
        <w:r w:rsidR="002950DC" w:rsidRPr="00FD305C">
          <w:rPr>
            <w:noProof w:val="0"/>
            <w:webHidden/>
          </w:rPr>
          <w:t>5</w:t>
        </w:r>
        <w:r w:rsidR="002950DC" w:rsidRPr="00FD305C">
          <w:rPr>
            <w:noProof w:val="0"/>
            <w:webHidden/>
          </w:rPr>
          <w:fldChar w:fldCharType="end"/>
        </w:r>
      </w:hyperlink>
    </w:p>
    <w:p w14:paraId="29A3E07A" w14:textId="77777777" w:rsidR="002950DC" w:rsidRPr="00FD305C" w:rsidRDefault="008F3A02" w:rsidP="00192CBF">
      <w:pPr>
        <w:pStyle w:val="TOC2"/>
        <w:rPr>
          <w:rFonts w:asciiTheme="minorHAnsi" w:eastAsiaTheme="minorEastAsia" w:hAnsiTheme="minorHAnsi" w:cstheme="minorBidi"/>
          <w:noProof w:val="0"/>
          <w:sz w:val="22"/>
          <w:szCs w:val="22"/>
          <w:lang w:eastAsia="de-DE"/>
        </w:rPr>
      </w:pPr>
      <w:hyperlink w:anchor="_Toc17358809" w:history="1">
        <w:r w:rsidR="002950DC" w:rsidRPr="00FD305C">
          <w:rPr>
            <w:rStyle w:val="Hyperlink"/>
            <w:noProof w:val="0"/>
          </w:rPr>
          <w:t>Listen möglicher gemeinsamer Initiativen mit OECD und ISTA im Hinblick auf molekulare Verfahren</w:t>
        </w:r>
        <w:r w:rsidR="002950DC" w:rsidRPr="00FD305C">
          <w:rPr>
            <w:noProof w:val="0"/>
            <w:webHidden/>
          </w:rPr>
          <w:tab/>
        </w:r>
        <w:r w:rsidR="002950DC" w:rsidRPr="00FD305C">
          <w:rPr>
            <w:noProof w:val="0"/>
            <w:webHidden/>
          </w:rPr>
          <w:fldChar w:fldCharType="begin"/>
        </w:r>
        <w:r w:rsidR="002950DC" w:rsidRPr="00FD305C">
          <w:rPr>
            <w:noProof w:val="0"/>
            <w:webHidden/>
          </w:rPr>
          <w:instrText xml:space="preserve"> PAGEREF _Toc17358809 \h </w:instrText>
        </w:r>
        <w:r w:rsidR="002950DC" w:rsidRPr="00FD305C">
          <w:rPr>
            <w:noProof w:val="0"/>
            <w:webHidden/>
          </w:rPr>
        </w:r>
        <w:r w:rsidR="002950DC" w:rsidRPr="00FD305C">
          <w:rPr>
            <w:noProof w:val="0"/>
            <w:webHidden/>
          </w:rPr>
          <w:fldChar w:fldCharType="separate"/>
        </w:r>
        <w:r w:rsidR="002950DC" w:rsidRPr="00FD305C">
          <w:rPr>
            <w:noProof w:val="0"/>
            <w:webHidden/>
          </w:rPr>
          <w:t>6</w:t>
        </w:r>
        <w:r w:rsidR="002950DC" w:rsidRPr="00FD305C">
          <w:rPr>
            <w:noProof w:val="0"/>
            <w:webHidden/>
          </w:rPr>
          <w:fldChar w:fldCharType="end"/>
        </w:r>
      </w:hyperlink>
    </w:p>
    <w:p w14:paraId="0EE781B7" w14:textId="77777777" w:rsidR="002950DC" w:rsidRPr="00FD305C" w:rsidRDefault="008F3A02">
      <w:pPr>
        <w:pStyle w:val="TOC1"/>
        <w:rPr>
          <w:rFonts w:asciiTheme="minorHAnsi" w:eastAsiaTheme="minorEastAsia" w:hAnsiTheme="minorHAnsi" w:cstheme="minorBidi"/>
          <w:caps w:val="0"/>
          <w:sz w:val="22"/>
          <w:szCs w:val="22"/>
          <w:lang w:eastAsia="de-DE"/>
        </w:rPr>
      </w:pPr>
      <w:hyperlink w:anchor="_Toc17358810" w:history="1">
        <w:r w:rsidR="002950DC" w:rsidRPr="00FD305C">
          <w:rPr>
            <w:rStyle w:val="Hyperlink"/>
          </w:rPr>
          <w:t>SITZUNG ZUR ERLEICHTERUNG DER ZUSAMMENARBEIT IM HINBLICK AUF DIE VERWENDUNG MOLEKULARER VERFAHREN</w:t>
        </w:r>
        <w:r w:rsidR="002950DC" w:rsidRPr="00FD305C">
          <w:rPr>
            <w:webHidden/>
          </w:rPr>
          <w:tab/>
        </w:r>
        <w:r w:rsidR="002950DC" w:rsidRPr="00FD305C">
          <w:rPr>
            <w:webHidden/>
          </w:rPr>
          <w:fldChar w:fldCharType="begin"/>
        </w:r>
        <w:r w:rsidR="002950DC" w:rsidRPr="00FD305C">
          <w:rPr>
            <w:webHidden/>
          </w:rPr>
          <w:instrText xml:space="preserve"> PAGEREF _Toc17358810 \h </w:instrText>
        </w:r>
        <w:r w:rsidR="002950DC" w:rsidRPr="00FD305C">
          <w:rPr>
            <w:webHidden/>
          </w:rPr>
        </w:r>
        <w:r w:rsidR="002950DC" w:rsidRPr="00FD305C">
          <w:rPr>
            <w:webHidden/>
          </w:rPr>
          <w:fldChar w:fldCharType="separate"/>
        </w:r>
        <w:r w:rsidR="002950DC" w:rsidRPr="00FD305C">
          <w:rPr>
            <w:webHidden/>
          </w:rPr>
          <w:t>7</w:t>
        </w:r>
        <w:r w:rsidR="002950DC" w:rsidRPr="00FD305C">
          <w:rPr>
            <w:webHidden/>
          </w:rPr>
          <w:fldChar w:fldCharType="end"/>
        </w:r>
      </w:hyperlink>
    </w:p>
    <w:p w14:paraId="6267F157" w14:textId="77777777" w:rsidR="002950DC" w:rsidRPr="00FD305C" w:rsidRDefault="008F3A02" w:rsidP="00192CBF">
      <w:pPr>
        <w:pStyle w:val="TOC2"/>
        <w:rPr>
          <w:rFonts w:asciiTheme="minorHAnsi" w:eastAsiaTheme="minorEastAsia" w:hAnsiTheme="minorHAnsi" w:cstheme="minorBidi"/>
          <w:noProof w:val="0"/>
          <w:sz w:val="22"/>
          <w:szCs w:val="22"/>
          <w:lang w:eastAsia="de-DE"/>
        </w:rPr>
      </w:pPr>
      <w:hyperlink w:anchor="_Toc17358811" w:history="1">
        <w:r w:rsidR="002950DC" w:rsidRPr="00FD305C">
          <w:rPr>
            <w:rStyle w:val="Hyperlink"/>
            <w:noProof w:val="0"/>
          </w:rPr>
          <w:t>Entwicklungen auf der vierundfünfzigsten Tagung des Technischen Ausschusses</w:t>
        </w:r>
        <w:r w:rsidR="002950DC" w:rsidRPr="00FD305C">
          <w:rPr>
            <w:noProof w:val="0"/>
            <w:webHidden/>
          </w:rPr>
          <w:tab/>
        </w:r>
        <w:r w:rsidR="002950DC" w:rsidRPr="00FD305C">
          <w:rPr>
            <w:noProof w:val="0"/>
            <w:webHidden/>
          </w:rPr>
          <w:fldChar w:fldCharType="begin"/>
        </w:r>
        <w:r w:rsidR="002950DC" w:rsidRPr="00FD305C">
          <w:rPr>
            <w:noProof w:val="0"/>
            <w:webHidden/>
          </w:rPr>
          <w:instrText xml:space="preserve"> PAGEREF _Toc17358811 \h </w:instrText>
        </w:r>
        <w:r w:rsidR="002950DC" w:rsidRPr="00FD305C">
          <w:rPr>
            <w:noProof w:val="0"/>
            <w:webHidden/>
          </w:rPr>
        </w:r>
        <w:r w:rsidR="002950DC" w:rsidRPr="00FD305C">
          <w:rPr>
            <w:noProof w:val="0"/>
            <w:webHidden/>
          </w:rPr>
          <w:fldChar w:fldCharType="separate"/>
        </w:r>
        <w:r w:rsidR="002950DC" w:rsidRPr="00FD305C">
          <w:rPr>
            <w:noProof w:val="0"/>
            <w:webHidden/>
          </w:rPr>
          <w:t>7</w:t>
        </w:r>
        <w:r w:rsidR="002950DC" w:rsidRPr="00FD305C">
          <w:rPr>
            <w:noProof w:val="0"/>
            <w:webHidden/>
          </w:rPr>
          <w:fldChar w:fldCharType="end"/>
        </w:r>
      </w:hyperlink>
    </w:p>
    <w:p w14:paraId="48A288B9" w14:textId="77777777" w:rsidR="002950DC" w:rsidRPr="00FD305C" w:rsidRDefault="008F3A02" w:rsidP="00192CBF">
      <w:pPr>
        <w:pStyle w:val="TOC2"/>
        <w:rPr>
          <w:rFonts w:asciiTheme="minorHAnsi" w:eastAsiaTheme="minorEastAsia" w:hAnsiTheme="minorHAnsi" w:cstheme="minorBidi"/>
          <w:noProof w:val="0"/>
          <w:sz w:val="22"/>
          <w:szCs w:val="22"/>
          <w:lang w:eastAsia="de-DE"/>
        </w:rPr>
      </w:pPr>
      <w:hyperlink w:anchor="_Toc17358812" w:history="1">
        <w:r w:rsidR="002950DC" w:rsidRPr="00FD305C">
          <w:rPr>
            <w:rStyle w:val="Hyperlink"/>
            <w:noProof w:val="0"/>
            <w:snapToGrid w:val="0"/>
          </w:rPr>
          <w:t>Entwicklungen in den Technischen Arbeitsgruppen und der Arbeitsgruppe für biochemische und molekulare Verfahren und insbesondere für DNS-Profilierungsverfahren im Jahr 2019</w:t>
        </w:r>
        <w:r w:rsidR="002950DC" w:rsidRPr="00FD305C">
          <w:rPr>
            <w:noProof w:val="0"/>
            <w:webHidden/>
          </w:rPr>
          <w:tab/>
        </w:r>
        <w:r w:rsidR="002950DC" w:rsidRPr="00FD305C">
          <w:rPr>
            <w:noProof w:val="0"/>
            <w:webHidden/>
          </w:rPr>
          <w:fldChar w:fldCharType="begin"/>
        </w:r>
        <w:r w:rsidR="002950DC" w:rsidRPr="00FD305C">
          <w:rPr>
            <w:noProof w:val="0"/>
            <w:webHidden/>
          </w:rPr>
          <w:instrText xml:space="preserve"> PAGEREF _Toc17358812 \h </w:instrText>
        </w:r>
        <w:r w:rsidR="002950DC" w:rsidRPr="00FD305C">
          <w:rPr>
            <w:noProof w:val="0"/>
            <w:webHidden/>
          </w:rPr>
        </w:r>
        <w:r w:rsidR="002950DC" w:rsidRPr="00FD305C">
          <w:rPr>
            <w:noProof w:val="0"/>
            <w:webHidden/>
          </w:rPr>
          <w:fldChar w:fldCharType="separate"/>
        </w:r>
        <w:r w:rsidR="002950DC" w:rsidRPr="00FD305C">
          <w:rPr>
            <w:noProof w:val="0"/>
            <w:webHidden/>
          </w:rPr>
          <w:t>7</w:t>
        </w:r>
        <w:r w:rsidR="002950DC" w:rsidRPr="00FD305C">
          <w:rPr>
            <w:noProof w:val="0"/>
            <w:webHidden/>
          </w:rPr>
          <w:fldChar w:fldCharType="end"/>
        </w:r>
      </w:hyperlink>
    </w:p>
    <w:p w14:paraId="7C3E67A0" w14:textId="07F8EADC" w:rsidR="00ED644C" w:rsidRPr="00FD305C" w:rsidRDefault="00ED644C" w:rsidP="00ED644C">
      <w:r w:rsidRPr="00FD305C">
        <w:fldChar w:fldCharType="end"/>
      </w:r>
    </w:p>
    <w:p w14:paraId="7356BE7A" w14:textId="77777777" w:rsidR="00433584" w:rsidRPr="00FD305C" w:rsidRDefault="00433584" w:rsidP="00ED644C"/>
    <w:p w14:paraId="6CAB3977" w14:textId="77777777" w:rsidR="00ED644C" w:rsidRPr="00FD305C" w:rsidRDefault="00ED644C" w:rsidP="00ED644C">
      <w:pPr>
        <w:rPr>
          <w:highlight w:val="yellow"/>
        </w:rPr>
      </w:pPr>
    </w:p>
    <w:p w14:paraId="7FC875AD" w14:textId="77777777" w:rsidR="001F329D" w:rsidRPr="00FD305C" w:rsidRDefault="001F329D" w:rsidP="001F329D">
      <w:pPr>
        <w:pStyle w:val="Heading1"/>
      </w:pPr>
      <w:bookmarkStart w:id="6" w:name="_Toc15059495"/>
      <w:bookmarkStart w:id="7" w:name="_Toc15295340"/>
      <w:bookmarkStart w:id="8" w:name="_Toc17358803"/>
      <w:r w:rsidRPr="00FD305C">
        <w:t>Überprüfung von Dokument UPOV/INF/17 „Richtlinien für die DNS-Profilierung: Auswahl molekularer Marker und Aufbau von Datenbanken (‘BMT-Richtlinien’)“</w:t>
      </w:r>
      <w:bookmarkEnd w:id="5"/>
      <w:bookmarkEnd w:id="6"/>
      <w:bookmarkEnd w:id="7"/>
      <w:bookmarkEnd w:id="8"/>
    </w:p>
    <w:p w14:paraId="4857655C" w14:textId="77777777" w:rsidR="001F329D" w:rsidRPr="00FD305C" w:rsidRDefault="001F329D" w:rsidP="001F329D">
      <w:pPr>
        <w:ind w:left="567" w:hanging="567"/>
      </w:pPr>
    </w:p>
    <w:p w14:paraId="5BD84978" w14:textId="0465FFBE" w:rsidR="001F329D" w:rsidRPr="00FD305C" w:rsidRDefault="001F329D" w:rsidP="001F329D">
      <w:pPr>
        <w:keepNext/>
        <w:rPr>
          <w:rFonts w:eastAsiaTheme="minorEastAsia"/>
        </w:rPr>
      </w:pPr>
      <w:r w:rsidRPr="00FD305C">
        <w:fldChar w:fldCharType="begin"/>
      </w:r>
      <w:r w:rsidRPr="00FD305C">
        <w:instrText xml:space="preserve"> AUTONUM  </w:instrText>
      </w:r>
      <w:r w:rsidRPr="00FD305C">
        <w:fldChar w:fldCharType="end"/>
      </w:r>
      <w:r w:rsidRPr="00FD305C">
        <w:tab/>
        <w:t>Der Hintergrund zu dieser Angelegenheit ist in Dokument TC/54/11 Add. „Molekulare Verfahren“, Absätze 10 bis 45 dargelegt.</w:t>
      </w:r>
    </w:p>
    <w:p w14:paraId="138772A3" w14:textId="77777777" w:rsidR="001F329D" w:rsidRPr="00FD305C" w:rsidRDefault="001F329D" w:rsidP="009A50E6"/>
    <w:p w14:paraId="4E459C39" w14:textId="10F2E252" w:rsidR="001F329D" w:rsidRPr="00FD305C" w:rsidRDefault="001F329D" w:rsidP="00ED644C">
      <w:r w:rsidRPr="00FD305C">
        <w:lastRenderedPageBreak/>
        <w:fldChar w:fldCharType="begin"/>
      </w:r>
      <w:r w:rsidRPr="00FD305C">
        <w:instrText xml:space="preserve"> AUTONUM  </w:instrText>
      </w:r>
      <w:r w:rsidRPr="00FD305C">
        <w:fldChar w:fldCharType="end"/>
      </w:r>
      <w:r w:rsidRPr="00FD305C">
        <w:rPr>
          <w:color w:val="000000"/>
        </w:rPr>
        <w:tab/>
        <w:t>Der TC stimmte auf seiner vierundfünfzigsten Tagung am 29. und 30. Oktober 2018 in Genf dem Vorschlag der Arbeitsgruppe für biochemische und molekulare Verfahren und insbesondere für DNS</w:t>
      </w:r>
      <w:r w:rsidR="00E87E81" w:rsidRPr="00FD305C">
        <w:rPr>
          <w:color w:val="000000"/>
        </w:rPr>
        <w:noBreakHyphen/>
      </w:r>
      <w:r w:rsidRPr="00FD305C">
        <w:rPr>
          <w:color w:val="000000"/>
        </w:rPr>
        <w:t>Profilierungsverfahren (BMT) auf ihrer siebzehnten Tagung vom 10. bis 13. September 2018 in Montevideo, Uruguay, zu, daß die Europäische Union, Frankreich und die Niederlande einen neuen Entwurf des Dokuments UPOV/INF/17 „Richtlinien für die DNS-Profilierung:</w:t>
      </w:r>
      <w:r w:rsidRPr="00FD305C">
        <w:t xml:space="preserve"> Auswahl molekularer Marker und Aufbau von Datenbanken (‘BMT-Richtlinien’)“ (Dokument UPOV/INF/17/2 Draft 2) zur Prüfung auf der achtzehnten Tagung der BMT vom 16. bis 18. Oktober 2019 in Hangzhou, China, erarbeiten sollen (vergleiche Dokument TC/54/31 „Bericht“, Absatz 264).</w:t>
      </w:r>
    </w:p>
    <w:p w14:paraId="5D3EE943" w14:textId="05E6D558" w:rsidR="002A26F5" w:rsidRPr="00FD305C" w:rsidRDefault="002A26F5" w:rsidP="005A0E75"/>
    <w:p w14:paraId="0393463F" w14:textId="77777777" w:rsidR="00433584" w:rsidRPr="00FD305C" w:rsidRDefault="00433584" w:rsidP="005A0E75"/>
    <w:p w14:paraId="51878881" w14:textId="77777777" w:rsidR="00282B27" w:rsidRPr="00FD305C" w:rsidRDefault="00781CC3" w:rsidP="00282B27">
      <w:pPr>
        <w:pStyle w:val="Heading2"/>
      </w:pPr>
      <w:bookmarkStart w:id="9" w:name="_Toc17358804"/>
      <w:r w:rsidRPr="00FD305C">
        <w:t>Anleitung zum Protokoll eines DNS-Marker-Tests für ein bestimmtes Merkmal</w:t>
      </w:r>
      <w:bookmarkEnd w:id="9"/>
    </w:p>
    <w:p w14:paraId="578C9C8C" w14:textId="77777777" w:rsidR="00282B27" w:rsidRPr="00FD305C" w:rsidRDefault="00282B27" w:rsidP="009A50E6">
      <w:pPr>
        <w:keepNext/>
      </w:pPr>
    </w:p>
    <w:p w14:paraId="485E7EFA" w14:textId="66C918E3" w:rsidR="005A0E75" w:rsidRPr="00FD305C" w:rsidRDefault="005A0E75" w:rsidP="005A0E75">
      <w:r w:rsidRPr="00FD305C">
        <w:fldChar w:fldCharType="begin"/>
      </w:r>
      <w:r w:rsidRPr="00FD305C">
        <w:instrText xml:space="preserve"> AUTONUM  </w:instrText>
      </w:r>
      <w:r w:rsidRPr="00FD305C">
        <w:fldChar w:fldCharType="end"/>
      </w:r>
      <w:r w:rsidRPr="00FD305C">
        <w:tab/>
        <w:t>Die Technische Arbeitsgruppe für Gemüsearten (TWV) schlug auf ihrer dreiundfünfzigsten Tagung vom 20. bis 24. Mai 2019 in Seoul, Republik Korea, vor, daß die BMT aufgefordert werden sollte, Richtlinien für Elemente auszuarbeiten, die in ein Protokoll eines DNS-Marker-Tests für ein bestimmtes Merkmal aufzunehmen sind (vergleiche Dokument TWV/53/14 „</w:t>
      </w:r>
      <w:r w:rsidRPr="00FD305C">
        <w:rPr>
          <w:i/>
          <w:iCs/>
        </w:rPr>
        <w:t>Report</w:t>
      </w:r>
      <w:r w:rsidRPr="00FD305C">
        <w:t>“, Absatz 44).</w:t>
      </w:r>
    </w:p>
    <w:p w14:paraId="6C3A07AC" w14:textId="77777777" w:rsidR="00480568" w:rsidRPr="00FD305C" w:rsidRDefault="00480568" w:rsidP="00480568"/>
    <w:p w14:paraId="09453CEF" w14:textId="77E29BCA" w:rsidR="00480568" w:rsidRPr="00FD305C" w:rsidRDefault="00480568" w:rsidP="00480568">
      <w:r w:rsidRPr="00FD305C">
        <w:fldChar w:fldCharType="begin"/>
      </w:r>
      <w:r w:rsidRPr="00FD305C">
        <w:instrText xml:space="preserve"> AUTONUM  </w:instrText>
      </w:r>
      <w:r w:rsidRPr="00FD305C">
        <w:fldChar w:fldCharType="end"/>
      </w:r>
      <w:r w:rsidRPr="00FD305C">
        <w:t xml:space="preserve"> </w:t>
      </w:r>
      <w:r w:rsidRPr="00FD305C">
        <w:tab/>
        <w:t xml:space="preserve">Über den Vorschlag der TWV auf ihrer dreiundfünfzigsten Tagung </w:t>
      </w:r>
      <w:r w:rsidRPr="00FD305C">
        <w:noBreakHyphen/>
        <w:t xml:space="preserve"> zur Erarbeitung von Anleitung zu Elementen, die in ein Protokoll für einen DNS-Markertest für ein bestimmtes Merkmal aufgenommen werden sollen, in das Dokument  UPOV/INF/17, wird der BMT auf ihrer achtzehnten Tagung berichtet werden.</w:t>
      </w:r>
    </w:p>
    <w:p w14:paraId="403F6295" w14:textId="77777777" w:rsidR="00781CC3" w:rsidRPr="00FD305C" w:rsidRDefault="00781CC3" w:rsidP="009A50E6"/>
    <w:p w14:paraId="5AB5CC16" w14:textId="77777777" w:rsidR="00781CC3" w:rsidRPr="00FD305C" w:rsidRDefault="00781CC3" w:rsidP="009A50E6">
      <w:pPr>
        <w:pStyle w:val="DecisionParagraphs"/>
        <w:keepLines/>
      </w:pPr>
      <w:r w:rsidRPr="00FD305C">
        <w:fldChar w:fldCharType="begin"/>
      </w:r>
      <w:r w:rsidRPr="00FD305C">
        <w:instrText xml:space="preserve"> AUTONUM  </w:instrText>
      </w:r>
      <w:r w:rsidRPr="00FD305C">
        <w:fldChar w:fldCharType="end"/>
      </w:r>
      <w:r w:rsidRPr="00FD305C">
        <w:tab/>
        <w:t>Der TC wird ersucht:</w:t>
      </w:r>
    </w:p>
    <w:p w14:paraId="0B635FA8" w14:textId="77777777" w:rsidR="00326FCD" w:rsidRPr="00FD305C" w:rsidRDefault="00326FCD" w:rsidP="009A50E6">
      <w:pPr>
        <w:pStyle w:val="DecisionParagraphs"/>
        <w:keepNext/>
        <w:tabs>
          <w:tab w:val="left" w:pos="5812"/>
          <w:tab w:val="left" w:pos="5954"/>
        </w:tabs>
      </w:pPr>
    </w:p>
    <w:p w14:paraId="7E596693" w14:textId="257FE6FF" w:rsidR="00326FCD" w:rsidRPr="00FD305C" w:rsidRDefault="00326FCD" w:rsidP="009A50E6">
      <w:pPr>
        <w:pStyle w:val="DecisionParagraphs"/>
        <w:tabs>
          <w:tab w:val="left" w:pos="5812"/>
        </w:tabs>
      </w:pPr>
      <w:r w:rsidRPr="00FD305C">
        <w:tab/>
        <w:t>a)</w:t>
      </w:r>
      <w:r w:rsidRPr="00FD305C">
        <w:tab/>
        <w:t xml:space="preserve"> zur Kenntnis zu nehmen, daß die BMT auf ihrer achtzehnten Tagung ersucht werden wird, das Dokument UPOV/INF/17 Draft 2, „Richtlinien für die DNS-Profilierung: Auswahl molekularer Marker und Aufbau von Datenbanken ('BMT-Richtlinien’)“, wie in Absatz 7 dieses Dokuments dargelegt, zu prüfen;</w:t>
      </w:r>
    </w:p>
    <w:p w14:paraId="46C11E99" w14:textId="77777777" w:rsidR="00781CC3" w:rsidRPr="00FD305C" w:rsidRDefault="00781CC3" w:rsidP="009A50E6">
      <w:pPr>
        <w:pStyle w:val="DecisionParagraphs"/>
        <w:keepNext/>
        <w:tabs>
          <w:tab w:val="left" w:pos="5812"/>
          <w:tab w:val="left" w:pos="5954"/>
        </w:tabs>
        <w:rPr>
          <w:sz w:val="18"/>
        </w:rPr>
      </w:pPr>
    </w:p>
    <w:p w14:paraId="79BF9D88" w14:textId="7658CD7A" w:rsidR="00781CC3" w:rsidRPr="00FD305C" w:rsidRDefault="00781CC3" w:rsidP="00781CC3">
      <w:pPr>
        <w:pStyle w:val="DecisionParagraphs"/>
        <w:tabs>
          <w:tab w:val="left" w:pos="5812"/>
        </w:tabs>
        <w:rPr>
          <w:snapToGrid w:val="0"/>
        </w:rPr>
      </w:pPr>
      <w:r w:rsidRPr="00FD305C">
        <w:tab/>
        <w:t>b)</w:t>
      </w:r>
      <w:r w:rsidRPr="00FD305C">
        <w:tab/>
        <w:t xml:space="preserve"> zur Kenntnis zu nehmen, daß der BMT auf ihrer achtzehnten Tagung über den Vorschlag der TWV, Anleitung zu Elementen zu erarbeiten, die in ein Protokoll von DNS-Markertests für ein spezielles Merkmal in Dokument UPOV/INF/17 aufgenommen werden sollen, wie in Absatz 9 dieses Dokuments dargelegt, berichtet wird; und</w:t>
      </w:r>
    </w:p>
    <w:p w14:paraId="470B7553" w14:textId="77777777" w:rsidR="00781CC3" w:rsidRPr="00FD305C" w:rsidRDefault="00781CC3" w:rsidP="00781CC3">
      <w:pPr>
        <w:pStyle w:val="DecisionParagraphs"/>
        <w:keepNext/>
        <w:tabs>
          <w:tab w:val="left" w:pos="5812"/>
          <w:tab w:val="left" w:pos="5954"/>
        </w:tabs>
        <w:rPr>
          <w:sz w:val="18"/>
        </w:rPr>
      </w:pPr>
    </w:p>
    <w:p w14:paraId="1DA0C201" w14:textId="77777777" w:rsidR="00781CC3" w:rsidRPr="00FD305C" w:rsidRDefault="00781CC3" w:rsidP="009A50E6">
      <w:pPr>
        <w:pStyle w:val="DecisionParagraphs"/>
        <w:tabs>
          <w:tab w:val="left" w:pos="5812"/>
          <w:tab w:val="left" w:pos="5954"/>
        </w:tabs>
      </w:pPr>
      <w:r w:rsidRPr="00FD305C">
        <w:tab/>
        <w:t>c)</w:t>
      </w:r>
      <w:r w:rsidRPr="00FD305C">
        <w:tab/>
        <w:t>zu prüfen, ob um die Erstellung eines Entwurfs von Dokument UPOV/INF/17 zur Prüfung durch den TC auf seiner sechsundfünfzigsten Tagung ersucht werden sollte.</w:t>
      </w:r>
    </w:p>
    <w:p w14:paraId="0771D16D" w14:textId="77777777" w:rsidR="00781CC3" w:rsidRPr="00FD305C" w:rsidRDefault="00781CC3" w:rsidP="00891741">
      <w:pPr>
        <w:autoSpaceDE w:val="0"/>
        <w:autoSpaceDN w:val="0"/>
        <w:adjustRightInd w:val="0"/>
        <w:rPr>
          <w:rFonts w:cs="Arial"/>
          <w:lang w:eastAsia="ja-JP"/>
        </w:rPr>
      </w:pPr>
    </w:p>
    <w:p w14:paraId="347C0A3B" w14:textId="19E2EA55" w:rsidR="00ED644C" w:rsidRPr="00FD305C" w:rsidRDefault="00ED644C" w:rsidP="00891741">
      <w:pPr>
        <w:autoSpaceDE w:val="0"/>
        <w:autoSpaceDN w:val="0"/>
        <w:adjustRightInd w:val="0"/>
        <w:rPr>
          <w:rFonts w:cs="Arial"/>
          <w:lang w:eastAsia="ja-JP"/>
        </w:rPr>
      </w:pPr>
    </w:p>
    <w:p w14:paraId="31448517" w14:textId="77777777" w:rsidR="00433584" w:rsidRPr="00FD305C" w:rsidRDefault="00433584" w:rsidP="00891741">
      <w:pPr>
        <w:autoSpaceDE w:val="0"/>
        <w:autoSpaceDN w:val="0"/>
        <w:adjustRightInd w:val="0"/>
        <w:rPr>
          <w:rFonts w:cs="Arial"/>
          <w:lang w:eastAsia="ja-JP"/>
        </w:rPr>
      </w:pPr>
    </w:p>
    <w:p w14:paraId="15A145CA" w14:textId="77777777" w:rsidR="00891741" w:rsidRPr="00FD305C" w:rsidRDefault="00891741" w:rsidP="00B96116">
      <w:pPr>
        <w:pStyle w:val="Heading1"/>
      </w:pPr>
      <w:bookmarkStart w:id="10" w:name="_Toc525647214"/>
      <w:bookmarkStart w:id="11" w:name="_Toc526175654"/>
      <w:bookmarkStart w:id="12" w:name="_Toc15059496"/>
      <w:bookmarkStart w:id="13" w:name="_Toc15295341"/>
      <w:bookmarkStart w:id="14" w:name="_Toc17358805"/>
      <w:r w:rsidRPr="00FD305C">
        <w:t>Zusammenarbeit zwischen internationalen Organisationen</w:t>
      </w:r>
      <w:bookmarkEnd w:id="10"/>
      <w:bookmarkEnd w:id="11"/>
      <w:bookmarkEnd w:id="12"/>
      <w:bookmarkEnd w:id="13"/>
      <w:bookmarkEnd w:id="14"/>
    </w:p>
    <w:p w14:paraId="66FF0D61" w14:textId="77777777" w:rsidR="008D3D46" w:rsidRPr="00FD305C" w:rsidRDefault="008D3D46" w:rsidP="00ED644C">
      <w:pPr>
        <w:keepNext/>
        <w:ind w:left="567" w:hanging="567"/>
      </w:pPr>
    </w:p>
    <w:p w14:paraId="61B12883" w14:textId="77777777" w:rsidR="00891741" w:rsidRPr="00FD305C" w:rsidRDefault="00891741" w:rsidP="00891741">
      <w:pPr>
        <w:keepNext/>
        <w:rPr>
          <w:rFonts w:eastAsiaTheme="minorEastAsia"/>
        </w:rPr>
      </w:pPr>
      <w:r w:rsidRPr="00FD305C">
        <w:fldChar w:fldCharType="begin"/>
      </w:r>
      <w:r w:rsidRPr="00FD305C">
        <w:instrText xml:space="preserve"> AUTONUM  </w:instrText>
      </w:r>
      <w:r w:rsidRPr="00FD305C">
        <w:fldChar w:fldCharType="end"/>
      </w:r>
      <w:r w:rsidRPr="00FD305C">
        <w:tab/>
        <w:t>Der Hintergrund zu dieser Angelegenheit ist in Dokument TC/54/11, „Molekulare Verfahren“, Absätze 19 bis 23, und Dokument TC/54/11 Add., Absätze 48 bis 50, wiedergegeben.</w:t>
      </w:r>
    </w:p>
    <w:p w14:paraId="646C2778" w14:textId="77777777" w:rsidR="006040BF" w:rsidRPr="00FD305C" w:rsidRDefault="006040BF" w:rsidP="00ED644C">
      <w:pPr>
        <w:keepNext/>
        <w:rPr>
          <w:rFonts w:cs="Arial"/>
        </w:rPr>
      </w:pPr>
    </w:p>
    <w:p w14:paraId="2433066E" w14:textId="76512336" w:rsidR="006040BF" w:rsidRPr="00FD305C" w:rsidRDefault="006040BF" w:rsidP="006040BF">
      <w:pPr>
        <w:rPr>
          <w:rFonts w:cs="Arial"/>
          <w:iCs/>
        </w:rPr>
      </w:pPr>
      <w:r w:rsidRPr="00FD305C">
        <w:fldChar w:fldCharType="begin"/>
      </w:r>
      <w:r w:rsidRPr="00FD305C">
        <w:instrText xml:space="preserve"> AUTONUM  </w:instrText>
      </w:r>
      <w:r w:rsidRPr="00FD305C">
        <w:fldChar w:fldCharType="end"/>
      </w:r>
      <w:r w:rsidRPr="00FD305C">
        <w:tab/>
        <w:t xml:space="preserve">Der TC </w:t>
      </w:r>
      <w:r w:rsidRPr="00FD305C">
        <w:rPr>
          <w:snapToGrid w:val="0"/>
        </w:rPr>
        <w:t xml:space="preserve">vereinbarte </w:t>
      </w:r>
      <w:r w:rsidRPr="00FD305C">
        <w:t>auf seiner vierundfünfzigsten Tagung am 29. und 30. Oktober 2018 in Genf, daß UPOV und OECD Fortschritte bei den zuvor vom TC vereinbarten Angelegenheit</w:t>
      </w:r>
      <w:r w:rsidR="0065749C" w:rsidRPr="00FD305C">
        <w:t>en erzielen sollten (vergleiche </w:t>
      </w:r>
      <w:r w:rsidRPr="00FD305C">
        <w:t>Dokument TC/54/31 „Bericht“, Absätze 267 bis 271), nämlich:</w:t>
      </w:r>
    </w:p>
    <w:p w14:paraId="548A69A6" w14:textId="77777777" w:rsidR="006040BF" w:rsidRPr="00FD305C" w:rsidRDefault="006040BF" w:rsidP="006040BF">
      <w:pPr>
        <w:rPr>
          <w:rFonts w:cs="Arial"/>
          <w:iCs/>
        </w:rPr>
      </w:pPr>
    </w:p>
    <w:p w14:paraId="5D03EE47" w14:textId="77777777" w:rsidR="006040BF" w:rsidRPr="00FD305C" w:rsidRDefault="006040BF" w:rsidP="006040BF">
      <w:pPr>
        <w:ind w:firstLine="567"/>
      </w:pPr>
      <w:r w:rsidRPr="00FD305C">
        <w:t>a)</w:t>
      </w:r>
      <w:r w:rsidRPr="00FD305C">
        <w:tab/>
        <w:t xml:space="preserve">ein gemeinsames Dokument zur Erläuterung der wesentlichen Besonderheiten der Systeme von OECD, UPOV und ISTA zu erarbeiten; </w:t>
      </w:r>
    </w:p>
    <w:p w14:paraId="7AD905FC" w14:textId="77777777" w:rsidR="006040BF" w:rsidRPr="00FD305C" w:rsidRDefault="006040BF" w:rsidP="006040BF">
      <w:pPr>
        <w:ind w:firstLine="567"/>
      </w:pPr>
    </w:p>
    <w:p w14:paraId="72C79FD6" w14:textId="77777777" w:rsidR="006040BF" w:rsidRPr="00FD305C" w:rsidRDefault="006040BF" w:rsidP="006040BF">
      <w:pPr>
        <w:keepLines/>
        <w:ind w:firstLine="567"/>
      </w:pPr>
      <w:r w:rsidRPr="00FD305C">
        <w:t>b)</w:t>
      </w:r>
      <w:r w:rsidRPr="00FD305C">
        <w:tab/>
        <w:t>eine Bestandsaufnahme zur Verwendung molekularer Markerverfahren nach Pflanze im Hinblick auf die Ausarbeitung eines gemeinsamen Dokuments von OECD, UPOV und ISTA mit diesen Informationen in einem ähnlichen Format wie das UPOV-Dokument UPOV/INF/16 „Austauschbare Software“, vorbehaltlich der Billigung durch den Rat und in Koordination mit OECD und ISTA, zu erarbeiten;</w:t>
      </w:r>
      <w:r w:rsidRPr="00FD305C">
        <w:tab/>
        <w:t xml:space="preserve">und </w:t>
      </w:r>
    </w:p>
    <w:p w14:paraId="6F4BC85B" w14:textId="77777777" w:rsidR="006040BF" w:rsidRPr="00FD305C" w:rsidRDefault="006040BF" w:rsidP="006040BF">
      <w:pPr>
        <w:ind w:firstLine="567"/>
      </w:pPr>
    </w:p>
    <w:p w14:paraId="49522F63" w14:textId="08D57CB5" w:rsidR="006040BF" w:rsidRPr="00FD305C" w:rsidRDefault="006040BF" w:rsidP="006040BF">
      <w:pPr>
        <w:ind w:firstLine="567"/>
        <w:rPr>
          <w:rFonts w:cs="Arial"/>
        </w:rPr>
      </w:pPr>
      <w:r w:rsidRPr="00FD305C">
        <w:lastRenderedPageBreak/>
        <w:t>c)</w:t>
      </w:r>
      <w:r w:rsidRPr="00FD305C">
        <w:tab/>
        <w:t>daß die BMT Listen möglicher gemeinsamer Initiativen mit OECD und ISTA im Hinblick auf molekulare Verfahren zur Prüfung durch den TC erstellen soll.</w:t>
      </w:r>
    </w:p>
    <w:p w14:paraId="70F0CB31" w14:textId="77777777" w:rsidR="006040BF" w:rsidRPr="00FD305C" w:rsidRDefault="006040BF" w:rsidP="006040BF">
      <w:pPr>
        <w:rPr>
          <w:rFonts w:cs="Arial"/>
        </w:rPr>
      </w:pPr>
    </w:p>
    <w:p w14:paraId="60B01C06" w14:textId="77777777" w:rsidR="006040BF" w:rsidRPr="00FD305C" w:rsidRDefault="006040BF" w:rsidP="006040BF">
      <w:pPr>
        <w:rPr>
          <w:rFonts w:cs="Arial"/>
        </w:rPr>
      </w:pPr>
      <w:r w:rsidRPr="00FD305C">
        <w:rPr>
          <w:rFonts w:cs="Arial"/>
        </w:rPr>
        <w:fldChar w:fldCharType="begin"/>
      </w:r>
      <w:r w:rsidRPr="00FD305C">
        <w:rPr>
          <w:rFonts w:cs="Arial"/>
        </w:rPr>
        <w:instrText xml:space="preserve"> AUTONUM  </w:instrText>
      </w:r>
      <w:r w:rsidRPr="00FD305C">
        <w:rPr>
          <w:rFonts w:cs="Arial"/>
        </w:rPr>
        <w:fldChar w:fldCharType="end"/>
      </w:r>
      <w:r w:rsidRPr="00FD305C">
        <w:tab/>
        <w:t>Der TC vereinbarte auf seiner vierundfünfzigsten Tagung, ISTA zu ersuchen, den Initiativen beizutreten, sobald sie dazu in der Lage sei.</w:t>
      </w:r>
    </w:p>
    <w:p w14:paraId="5F2FEA85" w14:textId="77777777" w:rsidR="00422D07" w:rsidRPr="00FD305C" w:rsidRDefault="00422D07" w:rsidP="00422D07">
      <w:pPr>
        <w:rPr>
          <w:rFonts w:cs="Arial"/>
        </w:rPr>
      </w:pPr>
    </w:p>
    <w:p w14:paraId="4C44D013" w14:textId="77777777" w:rsidR="00422D07" w:rsidRPr="00FD305C" w:rsidRDefault="00422D07" w:rsidP="00422D07">
      <w:pPr>
        <w:rPr>
          <w:rFonts w:cs="Arial"/>
        </w:rPr>
      </w:pPr>
      <w:r w:rsidRPr="00FD305C">
        <w:rPr>
          <w:rFonts w:cs="Arial"/>
        </w:rPr>
        <w:fldChar w:fldCharType="begin"/>
      </w:r>
      <w:r w:rsidRPr="00FD305C">
        <w:rPr>
          <w:rFonts w:cs="Arial"/>
        </w:rPr>
        <w:instrText xml:space="preserve"> AUTONUM  </w:instrText>
      </w:r>
      <w:r w:rsidRPr="00FD305C">
        <w:rPr>
          <w:rFonts w:cs="Arial"/>
        </w:rPr>
        <w:fldChar w:fldCharType="end"/>
      </w:r>
      <w:r w:rsidRPr="00FD305C">
        <w:tab/>
        <w:t>Die Entwicklungen im Zusammenhang mit den oben genannten Angelegenheiten sind wie folgt:</w:t>
      </w:r>
    </w:p>
    <w:p w14:paraId="24A97BA5" w14:textId="611BB27E" w:rsidR="00ED644C" w:rsidRPr="00FD305C" w:rsidRDefault="00ED644C" w:rsidP="00ED644C"/>
    <w:p w14:paraId="7E9B7E69" w14:textId="77777777" w:rsidR="00433584" w:rsidRPr="00FD305C" w:rsidRDefault="00433584" w:rsidP="00ED644C"/>
    <w:p w14:paraId="14F92E67" w14:textId="77777777" w:rsidR="00A45A4F" w:rsidRPr="00FD305C" w:rsidRDefault="00A45A4F" w:rsidP="00A45A4F">
      <w:pPr>
        <w:pStyle w:val="Heading2"/>
      </w:pPr>
      <w:bookmarkStart w:id="15" w:name="_Toc14980927"/>
      <w:bookmarkStart w:id="16" w:name="_Toc15059497"/>
      <w:bookmarkStart w:id="17" w:name="_Toc15295342"/>
      <w:bookmarkStart w:id="18" w:name="_Toc17358806"/>
      <w:r w:rsidRPr="00FD305C">
        <w:t>Gemeinsames Dokument zur Erläuterung der wesentlichen Besonderheiten der Systeme von OECD, UPOV und ISTA</w:t>
      </w:r>
      <w:bookmarkEnd w:id="15"/>
      <w:bookmarkEnd w:id="16"/>
      <w:bookmarkEnd w:id="17"/>
      <w:bookmarkEnd w:id="18"/>
    </w:p>
    <w:p w14:paraId="3675E781" w14:textId="77777777" w:rsidR="006040BF" w:rsidRPr="00FD305C" w:rsidRDefault="006040BF" w:rsidP="00ED644C">
      <w:pPr>
        <w:keepNext/>
        <w:ind w:left="567" w:hanging="567"/>
      </w:pPr>
    </w:p>
    <w:p w14:paraId="643F21A5" w14:textId="5EAE7C93" w:rsidR="006040BF" w:rsidRPr="00FD305C" w:rsidRDefault="006040BF" w:rsidP="009A50E6">
      <w:pPr>
        <w:spacing w:after="240"/>
      </w:pPr>
      <w:r w:rsidRPr="00FD305C">
        <w:fldChar w:fldCharType="begin"/>
      </w:r>
      <w:r w:rsidRPr="00FD305C">
        <w:instrText xml:space="preserve"> AUTONUM  </w:instrText>
      </w:r>
      <w:r w:rsidRPr="00FD305C">
        <w:fldChar w:fldCharType="end"/>
      </w:r>
      <w:r w:rsidRPr="00FD305C">
        <w:tab/>
      </w:r>
      <w:r w:rsidR="005155FF" w:rsidRPr="00FD305C">
        <w:t xml:space="preserve">Im Hinblick auf die etwaige Ausarbeitung eines gemeinsamen Dokuments zur Erläuterung der wesentlichen Besonderheiten der Systeme von OECD, UPOV und ISTA, wie in Absatz 12 Buchstabe a dargelegt, </w:t>
      </w:r>
      <w:r w:rsidR="005155FF" w:rsidRPr="00FD305C">
        <w:rPr>
          <w:snapToGrid w:val="0"/>
        </w:rPr>
        <w:t>vereinbarte der TC</w:t>
      </w:r>
      <w:r w:rsidR="005155FF" w:rsidRPr="00FD305C">
        <w:t xml:space="preserve">, die BMT zu ersuchen, ein gemeinsames Dokument auszuarbeiten, in dem die wesentlichen Besonderheiten der Systeme von OECD, UPOV und ISTA erläutert werden. </w:t>
      </w:r>
      <w:r w:rsidRPr="00FD305C">
        <w:t>Das Verbandsbüro wird auf der Grundlage maßgeblicher Elemente der Weltsaatgutpartnerschaft und der FAQ betreffend die Verwendung molekularer Verfahren bei der DUS-Prüfung einen Entwurf zur Prüfung durch die BMT auf ihrer achtzehnten Tagung vom 16. bis 18. Oktober 2019 in Hangzhou, China, ausarbeiten. Über Entwicklungen auf der achtzehnten Tagung der BMT wird in einer Ergänzung zu diesem Dokument berichtet werden.</w:t>
      </w:r>
    </w:p>
    <w:p w14:paraId="64FA925A" w14:textId="77777777" w:rsidR="003D348C" w:rsidRPr="00FD305C" w:rsidRDefault="003D348C" w:rsidP="003D348C">
      <w:pPr>
        <w:pStyle w:val="DecisionParagraphs"/>
        <w:keepNext/>
      </w:pPr>
      <w:r w:rsidRPr="00FD305C">
        <w:fldChar w:fldCharType="begin"/>
      </w:r>
      <w:r w:rsidRPr="00FD305C">
        <w:instrText xml:space="preserve"> AUTONUM  </w:instrText>
      </w:r>
      <w:r w:rsidRPr="00FD305C">
        <w:fldChar w:fldCharType="end"/>
      </w:r>
      <w:r w:rsidRPr="00FD305C">
        <w:tab/>
        <w:t>Der TC wird ersucht:</w:t>
      </w:r>
    </w:p>
    <w:p w14:paraId="7BCD779C" w14:textId="77777777" w:rsidR="003D348C" w:rsidRPr="00FD305C" w:rsidRDefault="003D348C" w:rsidP="003D348C">
      <w:pPr>
        <w:pStyle w:val="DecisionParagraphs"/>
        <w:keepNext/>
        <w:tabs>
          <w:tab w:val="left" w:pos="5812"/>
          <w:tab w:val="left" w:pos="5954"/>
        </w:tabs>
        <w:rPr>
          <w:sz w:val="18"/>
        </w:rPr>
      </w:pPr>
    </w:p>
    <w:p w14:paraId="1472919D" w14:textId="77777777" w:rsidR="003D348C" w:rsidRPr="00FD305C" w:rsidRDefault="003D348C" w:rsidP="003D348C">
      <w:pPr>
        <w:pStyle w:val="DecisionParagraphs"/>
        <w:tabs>
          <w:tab w:val="left" w:pos="5812"/>
        </w:tabs>
        <w:rPr>
          <w:snapToGrid w:val="0"/>
          <w:spacing w:val="-2"/>
        </w:rPr>
      </w:pPr>
      <w:r w:rsidRPr="00FD305C">
        <w:tab/>
        <w:t>a)</w:t>
      </w:r>
      <w:r w:rsidRPr="00FD305C">
        <w:tab/>
        <w:t xml:space="preserve"> zur Kenntnis zu nehmen, daß die BMT auf ihrer achtzehnten Tagung ersucht werden wird, ein gemeinsames Dokument zur Erläuterung der wesentlichen Funktionen der Systeme von OECD, UPOV und ISTA, wie in Absatz 15 dieses Dokuments dargelegt, zu erstellen; und</w:t>
      </w:r>
    </w:p>
    <w:p w14:paraId="0A48E3EB" w14:textId="77777777" w:rsidR="003D348C" w:rsidRPr="00FD305C" w:rsidRDefault="003D348C" w:rsidP="003D348C">
      <w:pPr>
        <w:pStyle w:val="DecisionParagraphs"/>
        <w:keepNext/>
        <w:tabs>
          <w:tab w:val="left" w:pos="5812"/>
          <w:tab w:val="left" w:pos="5954"/>
        </w:tabs>
        <w:rPr>
          <w:sz w:val="18"/>
        </w:rPr>
      </w:pPr>
    </w:p>
    <w:p w14:paraId="295C6479" w14:textId="77777777" w:rsidR="003D348C" w:rsidRPr="00FD305C" w:rsidRDefault="003D348C" w:rsidP="00831627">
      <w:pPr>
        <w:pStyle w:val="DecisionParagraphs"/>
        <w:tabs>
          <w:tab w:val="left" w:pos="5812"/>
          <w:tab w:val="left" w:pos="5954"/>
        </w:tabs>
      </w:pPr>
      <w:r w:rsidRPr="00FD305C">
        <w:tab/>
        <w:t>b)</w:t>
      </w:r>
      <w:r w:rsidRPr="00FD305C">
        <w:tab/>
        <w:t>zur Kenntnis zu nehmen, daß die von der BMT auf ihrer achtzehnten Tagung erarbeiteten Vorschläge betreffend ein gemeinsames Dokument zur Erläuterung der wesentlichen Funktionen der Systeme von OECD, UPOV und ISTA in einer Ergänzung zu diesem Dokument, wie in Absatz 15 dieses Dokuments dargelegt, enthalten sind;</w:t>
      </w:r>
    </w:p>
    <w:p w14:paraId="58872EFA" w14:textId="77777777" w:rsidR="006040BF" w:rsidRPr="00FD305C" w:rsidRDefault="006040BF" w:rsidP="006040BF">
      <w:pPr>
        <w:ind w:left="567" w:hanging="567"/>
      </w:pPr>
    </w:p>
    <w:p w14:paraId="55220F6D" w14:textId="77777777" w:rsidR="00ED644C" w:rsidRPr="00FD305C" w:rsidRDefault="00ED644C" w:rsidP="006040BF">
      <w:pPr>
        <w:ind w:left="567" w:hanging="567"/>
      </w:pPr>
    </w:p>
    <w:p w14:paraId="16B6A3F0" w14:textId="77777777" w:rsidR="00A45A4F" w:rsidRPr="00FD305C" w:rsidRDefault="007F2D8A" w:rsidP="00A45A4F">
      <w:pPr>
        <w:pStyle w:val="Heading2"/>
      </w:pPr>
      <w:bookmarkStart w:id="19" w:name="_Toc14980928"/>
      <w:bookmarkStart w:id="20" w:name="_Toc15059498"/>
      <w:bookmarkStart w:id="21" w:name="_Toc15295343"/>
      <w:bookmarkStart w:id="22" w:name="_Toc17358807"/>
      <w:r w:rsidRPr="00FD305C">
        <w:t>Bestandsaufnahme zur Verwendung molekularer Markerverfahren nach Pflanze</w:t>
      </w:r>
      <w:bookmarkEnd w:id="19"/>
      <w:bookmarkEnd w:id="20"/>
      <w:bookmarkEnd w:id="21"/>
      <w:bookmarkEnd w:id="22"/>
    </w:p>
    <w:p w14:paraId="77BBF1C5" w14:textId="77777777" w:rsidR="00A45A4F" w:rsidRPr="00FD305C" w:rsidRDefault="00A45A4F" w:rsidP="00ED644C">
      <w:pPr>
        <w:keepNext/>
        <w:ind w:left="567" w:hanging="567"/>
      </w:pPr>
    </w:p>
    <w:p w14:paraId="00370CA1" w14:textId="54734A00" w:rsidR="006040BF" w:rsidRPr="00FD305C" w:rsidRDefault="006040BF" w:rsidP="006040BF">
      <w:r w:rsidRPr="00FD305C">
        <w:fldChar w:fldCharType="begin"/>
      </w:r>
      <w:r w:rsidRPr="00FD305C">
        <w:instrText xml:space="preserve"> AUTONUM  </w:instrText>
      </w:r>
      <w:r w:rsidRPr="00FD305C">
        <w:fldChar w:fldCharType="end"/>
      </w:r>
      <w:r w:rsidRPr="00FD305C">
        <w:tab/>
        <w:t xml:space="preserve">Im Hinblick auf die mögliche Erstellung einer Bestandsaufnahme zur Verwendung molekularer Markerverfahren nach Pflanze, wie in Absatz 12 Buchstabe b dargelegt, </w:t>
      </w:r>
      <w:r w:rsidRPr="00FD305C">
        <w:rPr>
          <w:snapToGrid w:val="0"/>
        </w:rPr>
        <w:t>vereinbarte der TC</w:t>
      </w:r>
      <w:r w:rsidRPr="00FD305C">
        <w:t>, die BMT und die TWP zu ersuchen, eine Bestandsaufnahme zur Verwendung molekularer Markerverfahren nach Pflanze zu erstellen, um ein gemeinsames OECD/UPOV/ISTA-Dokument mit diesen Informationen in einem ähnlichen Format wie das Dokument UPOV/INF/16 „Austauschbare Software“ zu erarbeiten</w:t>
      </w:r>
      <w:r w:rsidR="005155FF" w:rsidRPr="00FD305C">
        <w:t xml:space="preserve">. </w:t>
      </w:r>
    </w:p>
    <w:p w14:paraId="5AEC2BEB" w14:textId="77777777" w:rsidR="00D544F7" w:rsidRPr="00FD305C" w:rsidRDefault="00D544F7" w:rsidP="00D544F7"/>
    <w:p w14:paraId="315DAF63" w14:textId="4E59C716" w:rsidR="007F2D8A" w:rsidRPr="00FD305C" w:rsidRDefault="007F2D8A" w:rsidP="00ED644C">
      <w:r w:rsidRPr="00FD305C">
        <w:fldChar w:fldCharType="begin"/>
      </w:r>
      <w:r w:rsidRPr="00FD305C">
        <w:instrText xml:space="preserve"> AUTONUM  </w:instrText>
      </w:r>
      <w:r w:rsidRPr="00FD305C">
        <w:fldChar w:fldCharType="end"/>
      </w:r>
      <w:r w:rsidRPr="00FD305C">
        <w:tab/>
        <w:t>Die Technische Arbeitsgruppe für Zierpflanzen und forstliche Baumarten (TWO) auf ihrer einundfünfzigsten Tagung vom 18. bis 22. Februar 2019 in Christchurch, Neuseeland, die Technische Arbeitsgruppe für Gemüsearten (TWV) auf ihrer dreiundfünfzigsten Tagung vom 20. bis 24. Mai 2019 in Seoul, Republik Korea, und die Technische Arbeitsgruppe für Obstarten (TWF) auf ihrer fünfzigsten Tagung vom 24.</w:t>
      </w:r>
      <w:r w:rsidR="00DE2A95" w:rsidRPr="00FD305C">
        <w:t> </w:t>
      </w:r>
      <w:r w:rsidRPr="00FD305C">
        <w:t>bis 28. Juni 2019 in Budapest, Ungarn, prüften folgende Elemente für die Bestandsaufnahme zur Verwendung molekularer Markerverfahren nach Pflanze, die in Absprache mit der OECD entwickelt wurden, wie in Dokument TWP/3/7 „Molekulare Verfahren“, Absatz 81, dargelegt:</w:t>
      </w:r>
    </w:p>
    <w:p w14:paraId="721E4918" w14:textId="77777777" w:rsidR="00F80657" w:rsidRPr="00FD305C" w:rsidRDefault="00F80657" w:rsidP="00F80657"/>
    <w:tbl>
      <w:tblPr>
        <w:tblStyle w:val="TableGrid5"/>
        <w:tblW w:w="9039" w:type="dxa"/>
        <w:tblInd w:w="454" w:type="dxa"/>
        <w:tblCellMar>
          <w:top w:w="28" w:type="dxa"/>
          <w:left w:w="85" w:type="dxa"/>
          <w:right w:w="85" w:type="dxa"/>
        </w:tblCellMar>
        <w:tblLook w:val="04A0" w:firstRow="1" w:lastRow="0" w:firstColumn="1" w:lastColumn="0" w:noHBand="0" w:noVBand="1"/>
      </w:tblPr>
      <w:tblGrid>
        <w:gridCol w:w="9039"/>
      </w:tblGrid>
      <w:tr w:rsidR="00F80657" w:rsidRPr="00FD305C" w14:paraId="53B5D595" w14:textId="77777777" w:rsidTr="009A50E6">
        <w:tc>
          <w:tcPr>
            <w:tcW w:w="9039" w:type="dxa"/>
          </w:tcPr>
          <w:p w14:paraId="0EE71FA6" w14:textId="77777777" w:rsidR="00F80657" w:rsidRPr="00FD305C" w:rsidRDefault="00F80657" w:rsidP="00F80657">
            <w:pPr>
              <w:rPr>
                <w:sz w:val="18"/>
              </w:rPr>
            </w:pPr>
            <w:r w:rsidRPr="00FD305C">
              <w:rPr>
                <w:sz w:val="18"/>
              </w:rPr>
              <w:t>Land oder zwischenstaatliche Organisation, das/die molekulare Markerverfahren verwendet</w:t>
            </w:r>
          </w:p>
        </w:tc>
      </w:tr>
      <w:tr w:rsidR="00F80657" w:rsidRPr="00FD305C" w14:paraId="11FD39A8" w14:textId="77777777" w:rsidTr="009A50E6">
        <w:tc>
          <w:tcPr>
            <w:tcW w:w="9039" w:type="dxa"/>
          </w:tcPr>
          <w:p w14:paraId="01CF8A67" w14:textId="77777777" w:rsidR="00F80657" w:rsidRPr="00FD305C" w:rsidRDefault="00F80657" w:rsidP="00F80657">
            <w:pPr>
              <w:rPr>
                <w:sz w:val="18"/>
              </w:rPr>
            </w:pPr>
            <w:r w:rsidRPr="00FD305C">
              <w:rPr>
                <w:sz w:val="18"/>
              </w:rPr>
              <w:t>Herkunft [Name der Behörde] und Kontaktangaben [E-Mail-Adresse]</w:t>
            </w:r>
          </w:p>
        </w:tc>
      </w:tr>
      <w:tr w:rsidR="00F80657" w:rsidRPr="00FD305C" w14:paraId="3425C114" w14:textId="77777777" w:rsidTr="009A50E6">
        <w:tc>
          <w:tcPr>
            <w:tcW w:w="9039" w:type="dxa"/>
          </w:tcPr>
          <w:p w14:paraId="3A99AA44" w14:textId="77777777" w:rsidR="00F80657" w:rsidRPr="00FD305C" w:rsidRDefault="00F80657" w:rsidP="00F80657">
            <w:pPr>
              <w:rPr>
                <w:sz w:val="18"/>
              </w:rPr>
            </w:pPr>
            <w:r w:rsidRPr="00FD305C">
              <w:rPr>
                <w:sz w:val="18"/>
              </w:rPr>
              <w:t>Art des molekularen Markerverfahrens</w:t>
            </w:r>
          </w:p>
        </w:tc>
      </w:tr>
      <w:tr w:rsidR="00F80657" w:rsidRPr="00FD305C" w14:paraId="04ABE34C" w14:textId="77777777" w:rsidTr="009A50E6">
        <w:tc>
          <w:tcPr>
            <w:tcW w:w="9039" w:type="dxa"/>
          </w:tcPr>
          <w:p w14:paraId="276CF5F5" w14:textId="77777777" w:rsidR="00F80657" w:rsidRPr="00FD305C" w:rsidRDefault="00F80657" w:rsidP="00F80657">
            <w:pPr>
              <w:rPr>
                <w:sz w:val="18"/>
              </w:rPr>
            </w:pPr>
            <w:r w:rsidRPr="00FD305C">
              <w:rPr>
                <w:sz w:val="18"/>
              </w:rPr>
              <w:t>Pflanze(n), für die das molekulare Markerverfahren verwendet wird</w:t>
            </w:r>
          </w:p>
          <w:p w14:paraId="1A247BBE" w14:textId="77777777" w:rsidR="00F80657" w:rsidRPr="00FD305C" w:rsidRDefault="00F80657" w:rsidP="00F80657">
            <w:pPr>
              <w:rPr>
                <w:sz w:val="18"/>
              </w:rPr>
            </w:pPr>
            <w:r w:rsidRPr="00FD305C">
              <w:rPr>
                <w:sz w:val="18"/>
              </w:rPr>
              <w:t>[anzugebende(r) botanische(r) Name(n) und UPOV-Code(s)]</w:t>
            </w:r>
          </w:p>
        </w:tc>
      </w:tr>
      <w:tr w:rsidR="00F80657" w:rsidRPr="00FD305C" w14:paraId="72851A2F" w14:textId="77777777" w:rsidTr="009A50E6">
        <w:tc>
          <w:tcPr>
            <w:tcW w:w="9039" w:type="dxa"/>
          </w:tcPr>
          <w:p w14:paraId="513B81B9" w14:textId="77777777" w:rsidR="00F80657" w:rsidRPr="00FD305C" w:rsidRDefault="00F80657" w:rsidP="00F80657">
            <w:pPr>
              <w:rPr>
                <w:sz w:val="18"/>
              </w:rPr>
            </w:pPr>
            <w:r w:rsidRPr="00FD305C">
              <w:rPr>
                <w:sz w:val="18"/>
              </w:rPr>
              <w:t>Zweck der Verwendung molekularer Verfahren [UPOV-Modell „Merkmalsspezifische molekulare Marker“, UPOV-Modell „Kombination phänotypischer und molekularer Abstände bei der Verwaltung von Sortensammlungen“,</w:t>
            </w:r>
          </w:p>
          <w:p w14:paraId="72EC6900" w14:textId="77777777" w:rsidR="00F80657" w:rsidRPr="00FD305C" w:rsidRDefault="00F80657" w:rsidP="00F80657">
            <w:pPr>
              <w:rPr>
                <w:sz w:val="18"/>
              </w:rPr>
            </w:pPr>
            <w:r w:rsidRPr="00FD305C">
              <w:rPr>
                <w:sz w:val="18"/>
              </w:rPr>
              <w:t>Reinheit, Identität, Überprüfung der Hybridität]</w:t>
            </w:r>
          </w:p>
        </w:tc>
      </w:tr>
      <w:tr w:rsidR="00F80657" w:rsidRPr="00FD305C" w14:paraId="003358DB" w14:textId="77777777" w:rsidTr="009A50E6">
        <w:tc>
          <w:tcPr>
            <w:tcW w:w="9039" w:type="dxa"/>
          </w:tcPr>
          <w:p w14:paraId="774A8092" w14:textId="77777777" w:rsidR="00F80657" w:rsidRPr="00FD305C" w:rsidRDefault="00F80657" w:rsidP="00F80657">
            <w:pPr>
              <w:rPr>
                <w:sz w:val="18"/>
              </w:rPr>
            </w:pPr>
            <w:r w:rsidRPr="00FD305C">
              <w:rPr>
                <w:sz w:val="18"/>
              </w:rPr>
              <w:lastRenderedPageBreak/>
              <w:t>Wurde das molekulare Markerverfahren innerhalb der letzten zwei Jahre im Rahmen von Saatgutzertifizierung verwendet? [Nationale Zertifizierung, OECD-Zertifizierung] [maßgeblich für OECD-Saatgutschemata]</w:t>
            </w:r>
          </w:p>
        </w:tc>
      </w:tr>
      <w:tr w:rsidR="00F80657" w:rsidRPr="00FD305C" w14:paraId="716D38AB" w14:textId="77777777" w:rsidTr="009A50E6">
        <w:tc>
          <w:tcPr>
            <w:tcW w:w="9039" w:type="dxa"/>
          </w:tcPr>
          <w:p w14:paraId="4CE467C1" w14:textId="77777777" w:rsidR="00F80657" w:rsidRPr="00FD305C" w:rsidRDefault="00F80657" w:rsidP="00F80657">
            <w:pPr>
              <w:rPr>
                <w:sz w:val="18"/>
              </w:rPr>
            </w:pPr>
            <w:r w:rsidRPr="00FD305C">
              <w:rPr>
                <w:sz w:val="18"/>
              </w:rPr>
              <w:t>Wie oft hat die Behörde in den letzten zwei Jahren die molekularen Markerverfahren verwendet?</w:t>
            </w:r>
          </w:p>
        </w:tc>
      </w:tr>
      <w:tr w:rsidR="00F80657" w:rsidRPr="00FD305C" w14:paraId="2C3CA270" w14:textId="77777777" w:rsidTr="009A50E6">
        <w:tc>
          <w:tcPr>
            <w:tcW w:w="9039" w:type="dxa"/>
          </w:tcPr>
          <w:p w14:paraId="0623F362" w14:textId="77777777" w:rsidR="00F80657" w:rsidRPr="00FD305C" w:rsidRDefault="00F80657" w:rsidP="00F80657">
            <w:pPr>
              <w:rPr>
                <w:sz w:val="18"/>
              </w:rPr>
            </w:pPr>
            <w:r w:rsidRPr="00FD305C">
              <w:rPr>
                <w:sz w:val="18"/>
              </w:rPr>
              <w:t>Das molekulare Markerverfahren ist in der/den [UPOV-Prüfungsrichtlinie(n), dem/den UPOV-TGP-Dokument(en), (einem) anderen Dokument(en) enthalten (bitte angeben)]</w:t>
            </w:r>
          </w:p>
        </w:tc>
      </w:tr>
      <w:tr w:rsidR="00F80657" w:rsidRPr="00FD305C" w14:paraId="6650394E" w14:textId="77777777" w:rsidTr="009A50E6">
        <w:tc>
          <w:tcPr>
            <w:tcW w:w="9039" w:type="dxa"/>
          </w:tcPr>
          <w:p w14:paraId="2D306021" w14:textId="77777777" w:rsidR="00F80657" w:rsidRPr="00FD305C" w:rsidRDefault="00F80657" w:rsidP="00F80657">
            <w:pPr>
              <w:rPr>
                <w:sz w:val="18"/>
              </w:rPr>
            </w:pPr>
            <w:r w:rsidRPr="00FD305C">
              <w:rPr>
                <w:sz w:val="18"/>
              </w:rPr>
              <w:t xml:space="preserve">Ist das molekulare Verfahren validiert? [Wenn ja, geben Sie bitte eine bestimmte Organisation oder Behörde an] </w:t>
            </w:r>
          </w:p>
          <w:p w14:paraId="33E4A9BB" w14:textId="77777777" w:rsidR="00F80657" w:rsidRPr="00FD305C" w:rsidRDefault="00F80657" w:rsidP="00F80657">
            <w:pPr>
              <w:rPr>
                <w:sz w:val="18"/>
              </w:rPr>
            </w:pPr>
            <w:r w:rsidRPr="00FD305C">
              <w:rPr>
                <w:sz w:val="18"/>
              </w:rPr>
              <w:t>[maßgeblich für OECD-Saatgutschemata]</w:t>
            </w:r>
          </w:p>
        </w:tc>
      </w:tr>
    </w:tbl>
    <w:p w14:paraId="2EB36564" w14:textId="77777777" w:rsidR="00F80657" w:rsidRPr="00FD305C" w:rsidRDefault="00F80657" w:rsidP="00ED644C"/>
    <w:p w14:paraId="33457110" w14:textId="599480DA" w:rsidR="007F2D8A" w:rsidRPr="00FD305C" w:rsidRDefault="007F2D8A" w:rsidP="00ED644C">
      <w:r w:rsidRPr="00FD305C">
        <w:fldChar w:fldCharType="begin"/>
      </w:r>
      <w:r w:rsidRPr="00FD305C">
        <w:instrText xml:space="preserve"> AUTONUM  </w:instrText>
      </w:r>
      <w:r w:rsidRPr="00FD305C">
        <w:fldChar w:fldCharType="end"/>
      </w:r>
      <w:r w:rsidRPr="00FD305C">
        <w:tab/>
        <w:t>Die TWO billigte auf ihrer einundfünfzigsten Tagung die vom Verbandsbüro für die Bestandsaufnahme betreffend die Verwendung molekularer Markerverfahren nach Pflanze vorgeschlagenen Elemente (vergleiche</w:t>
      </w:r>
      <w:r w:rsidR="00DE2A95" w:rsidRPr="00FD305C">
        <w:t> </w:t>
      </w:r>
      <w:r w:rsidRPr="00FD305C">
        <w:t>Dokument TWO/51/12 „</w:t>
      </w:r>
      <w:r w:rsidRPr="00FD305C">
        <w:rPr>
          <w:i/>
          <w:iCs/>
        </w:rPr>
        <w:t>Report</w:t>
      </w:r>
      <w:r w:rsidRPr="00FD305C">
        <w:t>“, Absätze 42 bis 43).</w:t>
      </w:r>
    </w:p>
    <w:p w14:paraId="0A0F5473" w14:textId="77777777" w:rsidR="007F2D8A" w:rsidRPr="00FD305C" w:rsidRDefault="007F2D8A" w:rsidP="007F2D8A">
      <w:pPr>
        <w:rPr>
          <w:sz w:val="18"/>
        </w:rPr>
      </w:pPr>
    </w:p>
    <w:p w14:paraId="092766E5" w14:textId="089FD63A" w:rsidR="007F2D8A" w:rsidRPr="00FD305C" w:rsidRDefault="007F2D8A" w:rsidP="007F2D8A">
      <w:r w:rsidRPr="00FD305C">
        <w:fldChar w:fldCharType="begin"/>
      </w:r>
      <w:r w:rsidRPr="00FD305C">
        <w:instrText xml:space="preserve"> AUTONUM  </w:instrText>
      </w:r>
      <w:r w:rsidRPr="00FD305C">
        <w:fldChar w:fldCharType="end"/>
      </w:r>
      <w:r w:rsidRPr="00FD305C">
        <w:tab/>
        <w:t>Die TWO vereinbarte, daß der Begriff „Identität“ geklärt werden sollte, um die Überprüfung der Übereinstimmung von Pflanzenmaterial mit einer geschützten Sorte für die Ausübung von Züchterrechten aufzunehmen</w:t>
      </w:r>
      <w:r w:rsidR="005155FF" w:rsidRPr="00FD305C">
        <w:t xml:space="preserve">. </w:t>
      </w:r>
      <w:r w:rsidRPr="00FD305C">
        <w:t xml:space="preserve">Die TWO kam ferner darin überein, vorzuschlagen, daß Informationen über molekulare Marker Angaben zu Herkunft und Verfügbarkeit des Markers enthalten sollten, </w:t>
      </w:r>
      <w:r w:rsidR="005155FF" w:rsidRPr="00FD305C">
        <w:t>z. B.</w:t>
      </w:r>
      <w:r w:rsidRPr="00FD305C">
        <w:t xml:space="preserve"> ob es sich um einen öffentlich verfügbaren oder einen proprietären Marker handelt.</w:t>
      </w:r>
    </w:p>
    <w:p w14:paraId="47A30BA0" w14:textId="77777777" w:rsidR="007F2D8A" w:rsidRPr="00FD305C" w:rsidRDefault="007F2D8A" w:rsidP="007F2D8A">
      <w:pPr>
        <w:rPr>
          <w:sz w:val="18"/>
        </w:rPr>
      </w:pPr>
    </w:p>
    <w:p w14:paraId="5501C7F3" w14:textId="14F18A77" w:rsidR="007F2D8A" w:rsidRPr="00FD305C" w:rsidRDefault="007F2D8A" w:rsidP="00ED644C">
      <w:r w:rsidRPr="00FD305C">
        <w:fldChar w:fldCharType="begin"/>
      </w:r>
      <w:r w:rsidRPr="00FD305C">
        <w:instrText xml:space="preserve"> AUTONUM  </w:instrText>
      </w:r>
      <w:r w:rsidRPr="00FD305C">
        <w:fldChar w:fldCharType="end"/>
      </w:r>
      <w:r w:rsidRPr="00FD305C">
        <w:tab/>
        <w:t>Die TWV billigte auf ihrer dreiundfünfzigsten Tagung die Elemente in Dokument TWP/3/7 für die vom Verbandsbüro vorgeschlagene Bestandsaufnahme über die Verwendung molekularer Markerverfahren nach Pflanze mit den folgenden Ergänzungen, um den aktuellen Stand der molekularen Markerverfahren wiederzugeben (</w:t>
      </w:r>
      <w:r w:rsidR="005155FF" w:rsidRPr="00FD305C">
        <w:t>d. h.</w:t>
      </w:r>
      <w:r w:rsidRPr="00FD305C">
        <w:t xml:space="preserve"> bereits in Gebrauch oder in Entwicklung). (</w:t>
      </w:r>
      <w:r w:rsidRPr="00FD305C">
        <w:rPr>
          <w:highlight w:val="lightGray"/>
        </w:rPr>
        <w:t>in Grau hervorgehoben</w:t>
      </w:r>
      <w:r w:rsidRPr="00FD305C">
        <w:t>) (vergleiche Dokument TWV/53/14 „</w:t>
      </w:r>
      <w:r w:rsidRPr="00FD305C">
        <w:rPr>
          <w:i/>
          <w:iCs/>
        </w:rPr>
        <w:t>Report</w:t>
      </w:r>
      <w:r w:rsidRPr="00FD305C">
        <w:t>”, Absatz 48):</w:t>
      </w:r>
    </w:p>
    <w:p w14:paraId="4060926A" w14:textId="77777777" w:rsidR="007F2D8A" w:rsidRPr="00FD305C" w:rsidRDefault="007F2D8A" w:rsidP="00ED644C">
      <w:pPr>
        <w:rPr>
          <w:sz w:val="18"/>
        </w:rPr>
      </w:pPr>
    </w:p>
    <w:tbl>
      <w:tblPr>
        <w:tblStyle w:val="TableGrid3"/>
        <w:tblW w:w="9032"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85" w:type="dxa"/>
          <w:right w:w="85" w:type="dxa"/>
        </w:tblCellMar>
        <w:tblLook w:val="04A0" w:firstRow="1" w:lastRow="0" w:firstColumn="1" w:lastColumn="0" w:noHBand="0" w:noVBand="1"/>
      </w:tblPr>
      <w:tblGrid>
        <w:gridCol w:w="9032"/>
      </w:tblGrid>
      <w:tr w:rsidR="007F2D8A" w:rsidRPr="00FD305C" w14:paraId="7CCA449D" w14:textId="77777777" w:rsidTr="009A50E6">
        <w:trPr>
          <w:cantSplit/>
        </w:trPr>
        <w:tc>
          <w:tcPr>
            <w:tcW w:w="9032" w:type="dxa"/>
          </w:tcPr>
          <w:p w14:paraId="53DDBDE1" w14:textId="198703B3" w:rsidR="007F2D8A" w:rsidRPr="00FD305C" w:rsidRDefault="005155FF" w:rsidP="009A50E6">
            <w:pPr>
              <w:keepNext/>
              <w:rPr>
                <w:sz w:val="18"/>
                <w:highlight w:val="lightGray"/>
              </w:rPr>
            </w:pPr>
            <w:r w:rsidRPr="00FD305C">
              <w:rPr>
                <w:sz w:val="18"/>
                <w:highlight w:val="lightGray"/>
              </w:rPr>
              <w:t>Stand (z. B.</w:t>
            </w:r>
            <w:r w:rsidR="007F2D8A" w:rsidRPr="00FD305C">
              <w:rPr>
                <w:sz w:val="18"/>
                <w:highlight w:val="lightGray"/>
              </w:rPr>
              <w:t xml:space="preserve"> derzeit in Verwendung oder in Entwicklung)</w:t>
            </w:r>
          </w:p>
        </w:tc>
      </w:tr>
      <w:tr w:rsidR="007F2D8A" w:rsidRPr="00FD305C" w14:paraId="35D1FBBD" w14:textId="77777777" w:rsidTr="009A50E6">
        <w:trPr>
          <w:cantSplit/>
        </w:trPr>
        <w:tc>
          <w:tcPr>
            <w:tcW w:w="9032" w:type="dxa"/>
          </w:tcPr>
          <w:p w14:paraId="76B7401B" w14:textId="77777777" w:rsidR="007F2D8A" w:rsidRPr="00FD305C" w:rsidRDefault="007F2D8A" w:rsidP="009A50E6">
            <w:pPr>
              <w:spacing w:before="20" w:after="20"/>
              <w:rPr>
                <w:sz w:val="18"/>
              </w:rPr>
            </w:pPr>
            <w:r w:rsidRPr="00FD305C">
              <w:rPr>
                <w:sz w:val="18"/>
              </w:rPr>
              <w:t xml:space="preserve">Pflanze(n), für die das molekulare Markerverfahren verwendet wird </w:t>
            </w:r>
            <w:r w:rsidRPr="00FD305C">
              <w:rPr>
                <w:sz w:val="18"/>
                <w:highlight w:val="lightGray"/>
              </w:rPr>
              <w:t>und betreffendes Merkmal (im Falle der Verwendung)</w:t>
            </w:r>
          </w:p>
          <w:p w14:paraId="6F233C6C" w14:textId="77777777" w:rsidR="007F2D8A" w:rsidRPr="00FD305C" w:rsidRDefault="007F2D8A" w:rsidP="009A50E6">
            <w:pPr>
              <w:spacing w:before="20" w:after="20"/>
              <w:rPr>
                <w:sz w:val="18"/>
              </w:rPr>
            </w:pPr>
            <w:r w:rsidRPr="00FD305C">
              <w:rPr>
                <w:sz w:val="18"/>
              </w:rPr>
              <w:t>[anzugebende(r) botanische(r) Name(n) und UPOV-Code(s)]</w:t>
            </w:r>
          </w:p>
        </w:tc>
      </w:tr>
    </w:tbl>
    <w:p w14:paraId="690A1C56" w14:textId="77777777" w:rsidR="00DE2A95" w:rsidRPr="00FD305C" w:rsidRDefault="00DE2A95" w:rsidP="00ED644C"/>
    <w:p w14:paraId="53B348EB" w14:textId="13F2EA10" w:rsidR="007F2D8A" w:rsidRPr="00FD305C" w:rsidRDefault="007F2D8A" w:rsidP="00ED644C">
      <w:r w:rsidRPr="00FD305C">
        <w:fldChar w:fldCharType="begin"/>
      </w:r>
      <w:r w:rsidRPr="00FD305C">
        <w:instrText xml:space="preserve"> AUTONUM  </w:instrText>
      </w:r>
      <w:r w:rsidRPr="00FD305C">
        <w:fldChar w:fldCharType="end"/>
      </w:r>
      <w:r w:rsidRPr="00FD305C">
        <w:tab/>
      </w:r>
      <w:r w:rsidRPr="00FD305C">
        <w:noBreakHyphen/>
        <w:t>Die TWF billigte auf ihrer fünfzigsten Tagung die Elemente für die in Dokument TWP/3/7 vorgeschlagene Bestandsaufnahme betreffend die Verwendung molekularer Markerverfahren nach Pflanze mit folgenden von der TWV auf ihrer dreiundfünfzigsten Tagung vorgeschlagenen Ergänzungen, um den aktuellen Stand der molekularen Markerverfahren wiederzugeben (</w:t>
      </w:r>
      <w:r w:rsidR="005155FF" w:rsidRPr="00FD305C">
        <w:t>d. h.</w:t>
      </w:r>
      <w:r w:rsidRPr="00FD305C">
        <w:t xml:space="preserve"> bereits in Gebrauch oder in Entwicklung) (vergleiche Dokument TWF/50/13 „</w:t>
      </w:r>
      <w:r w:rsidRPr="00FD305C">
        <w:rPr>
          <w:i/>
          <w:iCs/>
        </w:rPr>
        <w:t>Report</w:t>
      </w:r>
      <w:r w:rsidRPr="00FD305C">
        <w:t xml:space="preserve">“, Absatz 63). </w:t>
      </w:r>
    </w:p>
    <w:p w14:paraId="20012F3F" w14:textId="77777777" w:rsidR="002A5737" w:rsidRPr="00FD305C" w:rsidRDefault="002A5737" w:rsidP="009A50E6">
      <w:pPr>
        <w:spacing w:line="360" w:lineRule="auto"/>
        <w:jc w:val="left"/>
      </w:pPr>
    </w:p>
    <w:p w14:paraId="687E4F7D" w14:textId="77777777" w:rsidR="00BD7E4E" w:rsidRPr="00FD305C" w:rsidRDefault="00BD7E4E" w:rsidP="00324FB0">
      <w:pPr>
        <w:pStyle w:val="Heading3"/>
      </w:pPr>
      <w:bookmarkStart w:id="23" w:name="_Toc15059499"/>
      <w:bookmarkStart w:id="24" w:name="_Toc15295344"/>
      <w:bookmarkStart w:id="25" w:name="_Toc17358808"/>
      <w:r w:rsidRPr="00FD305C">
        <w:t>Vorschlag</w:t>
      </w:r>
      <w:bookmarkEnd w:id="23"/>
      <w:bookmarkEnd w:id="24"/>
      <w:bookmarkEnd w:id="25"/>
    </w:p>
    <w:p w14:paraId="50BC52D0" w14:textId="77777777" w:rsidR="007F2D8A" w:rsidRPr="00FD305C" w:rsidRDefault="007F2D8A" w:rsidP="00ED644C">
      <w:pPr>
        <w:keepNext/>
      </w:pPr>
    </w:p>
    <w:p w14:paraId="63C1DEAF" w14:textId="1EF81C2B" w:rsidR="007F2D8A" w:rsidRPr="00FD305C" w:rsidRDefault="007F2D8A" w:rsidP="007F2D8A">
      <w:r w:rsidRPr="00FD305C">
        <w:fldChar w:fldCharType="begin"/>
      </w:r>
      <w:r w:rsidRPr="00FD305C">
        <w:instrText xml:space="preserve"> AUTONUM  </w:instrText>
      </w:r>
      <w:r w:rsidRPr="00FD305C">
        <w:fldChar w:fldCharType="end"/>
      </w:r>
      <w:r w:rsidRPr="00FD305C">
        <w:tab/>
        <w:t>Auf der Grundlage der Bemerkungen der TWP und der BMT auf ihren Tagungen im Jahr 2019 wird vorgeschlagen, daß die folgenden Elemente als Grundlage für eine Bestandsaufnahme zur Verwendung molekularer Markerverfahren nach Pflanze geprüft werden:</w:t>
      </w:r>
    </w:p>
    <w:p w14:paraId="1F88D9B6" w14:textId="77777777" w:rsidR="007F2D8A" w:rsidRPr="00FD305C" w:rsidRDefault="007F2D8A" w:rsidP="007F2D8A"/>
    <w:tbl>
      <w:tblPr>
        <w:tblStyle w:val="TableGrid3"/>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9039"/>
      </w:tblGrid>
      <w:tr w:rsidR="007F2D8A" w:rsidRPr="00FD305C" w14:paraId="19B3A9FB" w14:textId="77777777" w:rsidTr="009A50E6">
        <w:trPr>
          <w:cantSplit/>
        </w:trPr>
        <w:tc>
          <w:tcPr>
            <w:tcW w:w="9039" w:type="dxa"/>
          </w:tcPr>
          <w:p w14:paraId="6014D170" w14:textId="77777777" w:rsidR="007F2D8A" w:rsidRPr="00FD305C" w:rsidRDefault="007F2D8A" w:rsidP="009A50E6">
            <w:pPr>
              <w:keepNext/>
              <w:rPr>
                <w:sz w:val="18"/>
                <w:szCs w:val="18"/>
              </w:rPr>
            </w:pPr>
            <w:r w:rsidRPr="00FD305C">
              <w:rPr>
                <w:sz w:val="18"/>
                <w:szCs w:val="18"/>
              </w:rPr>
              <w:t>Land oder zwischenstaatliche Organisation, das/die molekulare Markerverfahren verwendet</w:t>
            </w:r>
          </w:p>
        </w:tc>
      </w:tr>
      <w:tr w:rsidR="007F2D8A" w:rsidRPr="00FD305C" w14:paraId="5C97EC46" w14:textId="77777777" w:rsidTr="009A50E6">
        <w:trPr>
          <w:cantSplit/>
        </w:trPr>
        <w:tc>
          <w:tcPr>
            <w:tcW w:w="9039" w:type="dxa"/>
          </w:tcPr>
          <w:p w14:paraId="1C8CB211" w14:textId="77777777" w:rsidR="007F2D8A" w:rsidRPr="00FD305C" w:rsidRDefault="007F2D8A" w:rsidP="009A50E6">
            <w:pPr>
              <w:keepNext/>
              <w:rPr>
                <w:sz w:val="18"/>
                <w:szCs w:val="18"/>
              </w:rPr>
            </w:pPr>
            <w:r w:rsidRPr="00FD305C">
              <w:rPr>
                <w:sz w:val="18"/>
                <w:szCs w:val="18"/>
              </w:rPr>
              <w:t>Herkunft [Name der Behörde] und Kontaktangaben [E-Mail-Adresse]</w:t>
            </w:r>
          </w:p>
        </w:tc>
      </w:tr>
      <w:tr w:rsidR="007F2D8A" w:rsidRPr="00FD305C" w14:paraId="5AD4C62B" w14:textId="77777777" w:rsidTr="009A50E6">
        <w:trPr>
          <w:cantSplit/>
        </w:trPr>
        <w:tc>
          <w:tcPr>
            <w:tcW w:w="9039" w:type="dxa"/>
          </w:tcPr>
          <w:p w14:paraId="4B5018D0" w14:textId="77777777" w:rsidR="007F2D8A" w:rsidRPr="00FD305C" w:rsidRDefault="007F2D8A" w:rsidP="009A50E6">
            <w:pPr>
              <w:keepNext/>
              <w:rPr>
                <w:sz w:val="18"/>
                <w:szCs w:val="18"/>
              </w:rPr>
            </w:pPr>
            <w:r w:rsidRPr="00FD305C">
              <w:rPr>
                <w:sz w:val="18"/>
                <w:szCs w:val="18"/>
              </w:rPr>
              <w:t>Art des molekularen Markerverfahrens</w:t>
            </w:r>
          </w:p>
        </w:tc>
      </w:tr>
      <w:tr w:rsidR="007F2D8A" w:rsidRPr="00FD305C" w14:paraId="6FB9B2F3" w14:textId="77777777" w:rsidTr="009A50E6">
        <w:trPr>
          <w:cantSplit/>
        </w:trPr>
        <w:tc>
          <w:tcPr>
            <w:tcW w:w="9039" w:type="dxa"/>
          </w:tcPr>
          <w:p w14:paraId="2FC33AF6" w14:textId="77777777" w:rsidR="007F2D8A" w:rsidRPr="00FD305C" w:rsidRDefault="00E7081F" w:rsidP="009A50E6">
            <w:pPr>
              <w:keepNext/>
              <w:rPr>
                <w:sz w:val="18"/>
                <w:szCs w:val="18"/>
              </w:rPr>
            </w:pPr>
            <w:r w:rsidRPr="00FD305C">
              <w:rPr>
                <w:sz w:val="18"/>
                <w:szCs w:val="18"/>
              </w:rPr>
              <w:t xml:space="preserve">Herkunft des molekularen Markers und Kontaktdaten [E-Mail-Adresse] </w:t>
            </w:r>
          </w:p>
        </w:tc>
      </w:tr>
      <w:tr w:rsidR="007F2D8A" w:rsidRPr="00FD305C" w14:paraId="7019CF08" w14:textId="77777777" w:rsidTr="009A50E6">
        <w:trPr>
          <w:cantSplit/>
        </w:trPr>
        <w:tc>
          <w:tcPr>
            <w:tcW w:w="9039" w:type="dxa"/>
          </w:tcPr>
          <w:p w14:paraId="42130E56" w14:textId="77777777" w:rsidR="007F2D8A" w:rsidRPr="00FD305C" w:rsidRDefault="007F2D8A" w:rsidP="009A50E6">
            <w:pPr>
              <w:keepNext/>
              <w:rPr>
                <w:sz w:val="18"/>
                <w:szCs w:val="18"/>
              </w:rPr>
            </w:pPr>
            <w:r w:rsidRPr="00FD305C">
              <w:rPr>
                <w:sz w:val="18"/>
                <w:szCs w:val="18"/>
              </w:rPr>
              <w:t>Verfügbarkeit des Markers [öffentlich verfügbar oder ein proprietärer Marker]</w:t>
            </w:r>
          </w:p>
        </w:tc>
      </w:tr>
      <w:tr w:rsidR="007F2D8A" w:rsidRPr="00FD305C" w14:paraId="0DC27345" w14:textId="77777777" w:rsidTr="009A50E6">
        <w:trPr>
          <w:cantSplit/>
        </w:trPr>
        <w:tc>
          <w:tcPr>
            <w:tcW w:w="9039" w:type="dxa"/>
            <w:shd w:val="clear" w:color="auto" w:fill="auto"/>
          </w:tcPr>
          <w:p w14:paraId="29286549" w14:textId="7028BB79" w:rsidR="007F2D8A" w:rsidRPr="00FD305C" w:rsidRDefault="005155FF" w:rsidP="0087315F">
            <w:pPr>
              <w:rPr>
                <w:sz w:val="18"/>
                <w:szCs w:val="18"/>
                <w:highlight w:val="lightGray"/>
              </w:rPr>
            </w:pPr>
            <w:r w:rsidRPr="00FD305C">
              <w:rPr>
                <w:sz w:val="18"/>
                <w:szCs w:val="18"/>
              </w:rPr>
              <w:t>Stand (z. B.</w:t>
            </w:r>
            <w:r w:rsidR="007F2D8A" w:rsidRPr="00FD305C">
              <w:rPr>
                <w:sz w:val="18"/>
                <w:szCs w:val="18"/>
              </w:rPr>
              <w:t xml:space="preserve"> derzeit in Verwendung oder in Entwicklung)</w:t>
            </w:r>
          </w:p>
        </w:tc>
      </w:tr>
      <w:tr w:rsidR="007F2D8A" w:rsidRPr="00FD305C" w14:paraId="0889A7EC" w14:textId="77777777" w:rsidTr="009A50E6">
        <w:trPr>
          <w:cantSplit/>
        </w:trPr>
        <w:tc>
          <w:tcPr>
            <w:tcW w:w="9039" w:type="dxa"/>
            <w:shd w:val="clear" w:color="auto" w:fill="auto"/>
          </w:tcPr>
          <w:p w14:paraId="77CCD80F" w14:textId="77777777" w:rsidR="007F2D8A" w:rsidRPr="00FD305C" w:rsidRDefault="007F2D8A" w:rsidP="009A50E6">
            <w:pPr>
              <w:keepNext/>
              <w:rPr>
                <w:sz w:val="18"/>
                <w:szCs w:val="18"/>
              </w:rPr>
            </w:pPr>
            <w:r w:rsidRPr="00FD305C">
              <w:rPr>
                <w:sz w:val="18"/>
                <w:szCs w:val="18"/>
              </w:rPr>
              <w:t>Pflanze(n), für die das molekulare Markerverfahren verwendet wird und betreffendes Merkmal [bitte botanische(r) Name(n) und UPOV-Code(s) angeben]</w:t>
            </w:r>
          </w:p>
        </w:tc>
      </w:tr>
      <w:tr w:rsidR="007F2D8A" w:rsidRPr="00FD305C" w14:paraId="09650CD4" w14:textId="77777777" w:rsidTr="009A50E6">
        <w:trPr>
          <w:cantSplit/>
        </w:trPr>
        <w:tc>
          <w:tcPr>
            <w:tcW w:w="9039" w:type="dxa"/>
          </w:tcPr>
          <w:p w14:paraId="23FBAE93" w14:textId="77777777" w:rsidR="007F2D8A" w:rsidRPr="00FD305C" w:rsidRDefault="007F2D8A" w:rsidP="009A50E6">
            <w:pPr>
              <w:rPr>
                <w:sz w:val="18"/>
                <w:szCs w:val="18"/>
              </w:rPr>
            </w:pPr>
            <w:r w:rsidRPr="00FD305C">
              <w:rPr>
                <w:sz w:val="18"/>
                <w:szCs w:val="18"/>
              </w:rPr>
              <w:t>Zweck der Verwendung des molekularen Verfahrens [UPOV-Modell „Merkmalsspezifische molekulare Marker“, UPOV-Modell "Kombination phänotypischer und molekularer Abstände bei der Verwaltung von Sortensammlungen“, Reinheit, Identität, Überprüfung der Übereinstimmung von Pflanzenmaterial mit einer geschützten Sorte für die Ausübung der Züchterrechte, Überprüfung der Hybridität]</w:t>
            </w:r>
          </w:p>
        </w:tc>
      </w:tr>
      <w:tr w:rsidR="007F2D8A" w:rsidRPr="00FD305C" w14:paraId="056313C1" w14:textId="77777777" w:rsidTr="009A50E6">
        <w:trPr>
          <w:cantSplit/>
        </w:trPr>
        <w:tc>
          <w:tcPr>
            <w:tcW w:w="9039" w:type="dxa"/>
          </w:tcPr>
          <w:p w14:paraId="04A9E92D" w14:textId="77777777" w:rsidR="007F2D8A" w:rsidRPr="00FD305C" w:rsidRDefault="00E7081F" w:rsidP="009A50E6">
            <w:pPr>
              <w:rPr>
                <w:sz w:val="18"/>
                <w:szCs w:val="18"/>
              </w:rPr>
            </w:pPr>
            <w:r w:rsidRPr="00FD305C">
              <w:rPr>
                <w:sz w:val="18"/>
                <w:szCs w:val="18"/>
              </w:rPr>
              <w:t>Ob das molekulare Markerverfahren in den letzten zwei Jahren im Rahmen der Saatgutzertifizierung verwendet wurde [nationale Zertifizierung, OECD-Zertifizierung] [maßgeblich für OECD-Saatgutschemata]</w:t>
            </w:r>
          </w:p>
        </w:tc>
      </w:tr>
      <w:tr w:rsidR="007F2D8A" w:rsidRPr="00FD305C" w14:paraId="35A14A07" w14:textId="77777777" w:rsidTr="009A50E6">
        <w:trPr>
          <w:cantSplit/>
        </w:trPr>
        <w:tc>
          <w:tcPr>
            <w:tcW w:w="9039" w:type="dxa"/>
          </w:tcPr>
          <w:p w14:paraId="44F993A0" w14:textId="77777777" w:rsidR="007F2D8A" w:rsidRPr="00FD305C" w:rsidRDefault="00E7081F" w:rsidP="009A50E6">
            <w:pPr>
              <w:rPr>
                <w:sz w:val="18"/>
                <w:szCs w:val="18"/>
              </w:rPr>
            </w:pPr>
            <w:r w:rsidRPr="00FD305C">
              <w:rPr>
                <w:sz w:val="18"/>
                <w:szCs w:val="18"/>
              </w:rPr>
              <w:t>Anzahl der Male, die die Behörde das molekulare Markerverfahren in den letzten zwei Jahren verwendet hat</w:t>
            </w:r>
          </w:p>
        </w:tc>
      </w:tr>
      <w:tr w:rsidR="007F2D8A" w:rsidRPr="00FD305C" w14:paraId="608657D4" w14:textId="77777777" w:rsidTr="009A50E6">
        <w:trPr>
          <w:cantSplit/>
        </w:trPr>
        <w:tc>
          <w:tcPr>
            <w:tcW w:w="9039" w:type="dxa"/>
          </w:tcPr>
          <w:p w14:paraId="07A1AD69" w14:textId="77777777" w:rsidR="007F2D8A" w:rsidRPr="00FD305C" w:rsidRDefault="00E7081F" w:rsidP="009A50E6">
            <w:pPr>
              <w:rPr>
                <w:sz w:val="18"/>
                <w:szCs w:val="18"/>
              </w:rPr>
            </w:pPr>
            <w:r w:rsidRPr="00FD305C">
              <w:rPr>
                <w:sz w:val="18"/>
                <w:szCs w:val="18"/>
              </w:rPr>
              <w:t>Ob das molekulare Markerverfahren in der/den UPOV-Prüfungsrichtlinie(n), dem/den UPOV-TGP-Dokument(en), (einem) anderen Dokument(en) enthalten ist (bitte ausführen)</w:t>
            </w:r>
          </w:p>
        </w:tc>
      </w:tr>
      <w:tr w:rsidR="007F2D8A" w:rsidRPr="00FD305C" w14:paraId="0E1977DF" w14:textId="77777777" w:rsidTr="009A50E6">
        <w:trPr>
          <w:cantSplit/>
        </w:trPr>
        <w:tc>
          <w:tcPr>
            <w:tcW w:w="9039" w:type="dxa"/>
          </w:tcPr>
          <w:p w14:paraId="1CE4532F" w14:textId="77777777" w:rsidR="007F2D8A" w:rsidRPr="00FD305C" w:rsidRDefault="00E7081F" w:rsidP="009A50E6">
            <w:pPr>
              <w:rPr>
                <w:sz w:val="18"/>
                <w:szCs w:val="18"/>
              </w:rPr>
            </w:pPr>
            <w:r w:rsidRPr="00FD305C">
              <w:rPr>
                <w:sz w:val="18"/>
                <w:szCs w:val="18"/>
              </w:rPr>
              <w:t xml:space="preserve">Ob das molekulare Verfahren validiert ist [ja, um eine bestimmte Organisation oder Behörde anzugeben] </w:t>
            </w:r>
          </w:p>
          <w:p w14:paraId="7E57EC84" w14:textId="77777777" w:rsidR="007F2D8A" w:rsidRPr="00FD305C" w:rsidRDefault="007F2D8A" w:rsidP="009A50E6">
            <w:pPr>
              <w:rPr>
                <w:sz w:val="18"/>
                <w:szCs w:val="18"/>
              </w:rPr>
            </w:pPr>
            <w:r w:rsidRPr="00FD305C">
              <w:rPr>
                <w:sz w:val="18"/>
                <w:szCs w:val="18"/>
              </w:rPr>
              <w:t>[maßgeblich für OECD-Saatgutschemata]</w:t>
            </w:r>
          </w:p>
        </w:tc>
      </w:tr>
    </w:tbl>
    <w:p w14:paraId="0218597E" w14:textId="77777777" w:rsidR="007F2D8A" w:rsidRPr="00FD305C" w:rsidRDefault="007F2D8A" w:rsidP="007F2D8A">
      <w:pPr>
        <w:rPr>
          <w:rFonts w:eastAsia="MS Mincho"/>
          <w:snapToGrid w:val="0"/>
        </w:rPr>
      </w:pPr>
    </w:p>
    <w:p w14:paraId="7B2DE214" w14:textId="77777777" w:rsidR="00422D07" w:rsidRPr="00FD305C" w:rsidRDefault="00422D07" w:rsidP="00422D07">
      <w:pPr>
        <w:rPr>
          <w:rFonts w:eastAsia="MS Mincho"/>
          <w:snapToGrid w:val="0"/>
        </w:rPr>
      </w:pPr>
      <w:r w:rsidRPr="00FD305C">
        <w:rPr>
          <w:rFonts w:eastAsia="MS Mincho"/>
          <w:snapToGrid w:val="0"/>
        </w:rPr>
        <w:lastRenderedPageBreak/>
        <w:fldChar w:fldCharType="begin"/>
      </w:r>
      <w:r w:rsidRPr="00FD305C">
        <w:rPr>
          <w:rFonts w:eastAsia="MS Mincho"/>
          <w:snapToGrid w:val="0"/>
        </w:rPr>
        <w:instrText xml:space="preserve"> AUTONUM  </w:instrText>
      </w:r>
      <w:r w:rsidRPr="00FD305C">
        <w:rPr>
          <w:rFonts w:eastAsia="MS Mincho"/>
          <w:snapToGrid w:val="0"/>
        </w:rPr>
        <w:fldChar w:fldCharType="end"/>
      </w:r>
      <w:r w:rsidRPr="00FD305C">
        <w:rPr>
          <w:snapToGrid w:val="0"/>
        </w:rPr>
        <w:tab/>
        <w:t>Über Entwicklungen zu dieser Angelegenheit auf den Tagungen der Technischen Arbeitsgruppe für landwirtschaftliche Arten (TWA), der Technische Arbeitsgruppe für Automatisierung und Computerprogramme (TWC) und der BMT im Jahr 2019 wird in einer Ergänzung zu diesem Dokument berichtet werden.</w:t>
      </w:r>
    </w:p>
    <w:p w14:paraId="2A471906" w14:textId="77777777" w:rsidR="00422D07" w:rsidRPr="00FD305C" w:rsidRDefault="00422D07" w:rsidP="009A50E6">
      <w:pPr>
        <w:rPr>
          <w:rFonts w:eastAsia="MS Mincho"/>
          <w:snapToGrid w:val="0"/>
        </w:rPr>
      </w:pPr>
    </w:p>
    <w:p w14:paraId="0497BA0C" w14:textId="59E53ED0" w:rsidR="007F2D8A" w:rsidRPr="00FD305C" w:rsidRDefault="007F2D8A" w:rsidP="00E7081F">
      <w:r w:rsidRPr="00FD305C">
        <w:rPr>
          <w:rFonts w:eastAsia="MS Mincho"/>
          <w:snapToGrid w:val="0"/>
        </w:rPr>
        <w:fldChar w:fldCharType="begin"/>
      </w:r>
      <w:r w:rsidRPr="00FD305C">
        <w:rPr>
          <w:rFonts w:eastAsia="MS Mincho"/>
          <w:snapToGrid w:val="0"/>
        </w:rPr>
        <w:instrText xml:space="preserve"> AUTONUM  </w:instrText>
      </w:r>
      <w:r w:rsidRPr="00FD305C">
        <w:rPr>
          <w:rFonts w:eastAsia="MS Mincho"/>
          <w:snapToGrid w:val="0"/>
        </w:rPr>
        <w:fldChar w:fldCharType="end"/>
      </w:r>
      <w:r w:rsidR="00DE2A95" w:rsidRPr="00FD305C">
        <w:rPr>
          <w:snapToGrid w:val="0"/>
        </w:rPr>
        <w:tab/>
      </w:r>
      <w:r w:rsidRPr="00FD305C">
        <w:rPr>
          <w:snapToGrid w:val="0"/>
        </w:rPr>
        <w:t>Vorbehaltlich der Zustimmung des TC</w:t>
      </w:r>
      <w:r w:rsidRPr="00FD305C">
        <w:t xml:space="preserve"> auf seiner fünfundfünfzigsten </w:t>
      </w:r>
      <w:r w:rsidRPr="00FD305C">
        <w:rPr>
          <w:snapToGrid w:val="0"/>
        </w:rPr>
        <w:t>Tagung und in Abstimmung mit der OECD wird ein Rundschreiben versandt werden, in dem die Verbandsmitglieder aufgefordert werden, eine Umfrage als Grundlage für die Ausarbeitung</w:t>
      </w:r>
      <w:r w:rsidRPr="00FD305C">
        <w:t xml:space="preserve"> einer Bestandsaufnahme zur Verwendung molekularer Markerverfahren nach Pflanze zu beantworten.    </w:t>
      </w:r>
    </w:p>
    <w:p w14:paraId="4BC9210C" w14:textId="77777777" w:rsidR="003D348C" w:rsidRPr="00FD305C" w:rsidRDefault="003D348C" w:rsidP="003D348C">
      <w:pPr>
        <w:rPr>
          <w:snapToGrid w:val="0"/>
          <w:lang w:eastAsia="ja-JP"/>
        </w:rPr>
      </w:pPr>
    </w:p>
    <w:p w14:paraId="7E059628" w14:textId="77777777" w:rsidR="003D348C" w:rsidRPr="00FD305C" w:rsidRDefault="003D348C" w:rsidP="003D348C">
      <w:pPr>
        <w:pStyle w:val="DecisionParagraphs"/>
        <w:keepNext/>
      </w:pPr>
      <w:r w:rsidRPr="00FD305C">
        <w:fldChar w:fldCharType="begin"/>
      </w:r>
      <w:r w:rsidRPr="00FD305C">
        <w:instrText xml:space="preserve"> AUTONUM  </w:instrText>
      </w:r>
      <w:r w:rsidRPr="00FD305C">
        <w:fldChar w:fldCharType="end"/>
      </w:r>
      <w:r w:rsidRPr="00FD305C">
        <w:tab/>
        <w:t>Der TC wird ersucht:</w:t>
      </w:r>
    </w:p>
    <w:p w14:paraId="375E83B4" w14:textId="77777777" w:rsidR="003D348C" w:rsidRPr="00FD305C" w:rsidRDefault="003D348C" w:rsidP="003D348C">
      <w:pPr>
        <w:pStyle w:val="DecisionParagraphs"/>
        <w:keepNext/>
      </w:pPr>
    </w:p>
    <w:p w14:paraId="3FEF5DF1" w14:textId="16FE34FC" w:rsidR="003D348C" w:rsidRPr="00FD305C" w:rsidRDefault="003D348C" w:rsidP="003D348C">
      <w:pPr>
        <w:pStyle w:val="DecisionParagraphs"/>
        <w:keepNext/>
        <w:tabs>
          <w:tab w:val="left" w:pos="5954"/>
        </w:tabs>
      </w:pPr>
      <w:r w:rsidRPr="00FD305C">
        <w:tab/>
        <w:t xml:space="preserve">a) </w:t>
      </w:r>
      <w:r w:rsidRPr="00FD305C">
        <w:tab/>
        <w:t xml:space="preserve">die Elemente für eine Bestandsaufnahme zur Verwendung molekularer Markerverfahren nach Pflanze, wie in </w:t>
      </w:r>
      <w:r w:rsidR="005155FF" w:rsidRPr="00FD305C">
        <w:t>Absatz 23</w:t>
      </w:r>
      <w:r w:rsidRPr="00FD305C">
        <w:t xml:space="preserve"> dieses Dokuments dargelegt, in Verbindung mit den Bemerkungen der TWP und der BMT auf ihren Tagungen im Jahr 2019 zu prüfen;  und</w:t>
      </w:r>
    </w:p>
    <w:p w14:paraId="5CF3C050" w14:textId="77777777" w:rsidR="003D348C" w:rsidRPr="00FD305C" w:rsidRDefault="003D348C" w:rsidP="003D348C">
      <w:pPr>
        <w:pStyle w:val="DecisionParagraphs"/>
      </w:pPr>
    </w:p>
    <w:p w14:paraId="0E25AE22" w14:textId="77777777" w:rsidR="003D348C" w:rsidRPr="00FD305C" w:rsidRDefault="003D348C" w:rsidP="003D348C">
      <w:pPr>
        <w:pStyle w:val="DecisionParagraphs"/>
        <w:tabs>
          <w:tab w:val="left" w:pos="5954"/>
        </w:tabs>
        <w:rPr>
          <w:spacing w:val="-2"/>
        </w:rPr>
      </w:pPr>
      <w:r w:rsidRPr="00FD305C">
        <w:tab/>
        <w:t xml:space="preserve">b) </w:t>
      </w:r>
      <w:r w:rsidRPr="00FD305C">
        <w:tab/>
        <w:t>zur Kenntnis zu nehmen, daß vorbehaltlich der Zustimmung des TC auf seiner fünfundfünfzigsten Tagung und nach Abstimmung mit der OECD ein Rundschreiben herausgegeben wird, in dem die Verbandsmitglieder aufgefordert werden, eine Umfrage als Grundlage für die Erstellung einer Bestandsaufnahme zur Verwendung molekularer Markerverfahren nach Pflanze, wie in Absatz 25 dieses Dokuments dargelegt, zu beantworten;</w:t>
      </w:r>
    </w:p>
    <w:p w14:paraId="5696057F" w14:textId="77777777" w:rsidR="007F2D8A" w:rsidRPr="00FD305C" w:rsidRDefault="007F2D8A" w:rsidP="00D544F7"/>
    <w:p w14:paraId="545DCD59" w14:textId="77777777" w:rsidR="00E7081F" w:rsidRPr="00FD305C" w:rsidRDefault="00E7081F" w:rsidP="00D544F7"/>
    <w:p w14:paraId="2D9BC4F9" w14:textId="77777777" w:rsidR="00A45A4F" w:rsidRPr="00FD305C" w:rsidRDefault="007F2D8A" w:rsidP="00A45A4F">
      <w:pPr>
        <w:pStyle w:val="Heading2"/>
      </w:pPr>
      <w:bookmarkStart w:id="26" w:name="_Toc14980929"/>
      <w:bookmarkStart w:id="27" w:name="_Toc15059500"/>
      <w:bookmarkStart w:id="28" w:name="_Toc15295345"/>
      <w:bookmarkStart w:id="29" w:name="_Toc17358809"/>
      <w:r w:rsidRPr="00FD305C">
        <w:t>Listen möglicher gemeinsamer Initiativen mit OECD und ISTA im Hinblick auf molekulare Verfahren</w:t>
      </w:r>
      <w:bookmarkEnd w:id="26"/>
      <w:bookmarkEnd w:id="27"/>
      <w:bookmarkEnd w:id="28"/>
      <w:bookmarkEnd w:id="29"/>
    </w:p>
    <w:p w14:paraId="4BE03EAD" w14:textId="77777777" w:rsidR="00A45A4F" w:rsidRPr="00FD305C" w:rsidRDefault="00A45A4F" w:rsidP="00E7081F">
      <w:pPr>
        <w:keepNext/>
      </w:pPr>
    </w:p>
    <w:p w14:paraId="74D151DB" w14:textId="49419C27" w:rsidR="00D544F7" w:rsidRPr="00FD305C" w:rsidRDefault="00D544F7" w:rsidP="00D544F7">
      <w:r w:rsidRPr="00FD305C">
        <w:fldChar w:fldCharType="begin"/>
      </w:r>
      <w:r w:rsidRPr="00FD305C">
        <w:instrText xml:space="preserve"> AUTONUM  </w:instrText>
      </w:r>
      <w:r w:rsidRPr="00FD305C">
        <w:fldChar w:fldCharType="end"/>
      </w:r>
      <w:r w:rsidRPr="00FD305C">
        <w:tab/>
      </w:r>
      <w:r w:rsidRPr="00FD305C">
        <w:rPr>
          <w:snapToGrid w:val="0"/>
        </w:rPr>
        <w:t xml:space="preserve">Die </w:t>
      </w:r>
      <w:r w:rsidRPr="00FD305C">
        <w:t xml:space="preserve">BMT wird auf ihrer achtzehnten Tagung ersucht werden, Listen möglicher gemeinsamer Initiativen mit OECD und ISTA im Hinblick auf molekulare Verfahren zur Prüfung durch den </w:t>
      </w:r>
      <w:r w:rsidR="005155FF" w:rsidRPr="00FD305C">
        <w:t xml:space="preserve">TC </w:t>
      </w:r>
      <w:r w:rsidR="005155FF" w:rsidRPr="00FD305C">
        <w:rPr>
          <w:snapToGrid w:val="0"/>
        </w:rPr>
        <w:t>auf</w:t>
      </w:r>
      <w:r w:rsidRPr="00FD305C">
        <w:rPr>
          <w:snapToGrid w:val="0"/>
        </w:rPr>
        <w:t xml:space="preserve"> seiner </w:t>
      </w:r>
      <w:r w:rsidRPr="00FD305C">
        <w:t xml:space="preserve">fünfundfünfzigsten </w:t>
      </w:r>
      <w:r w:rsidR="005155FF" w:rsidRPr="00FD305C">
        <w:rPr>
          <w:snapToGrid w:val="0"/>
        </w:rPr>
        <w:t xml:space="preserve">Tagung </w:t>
      </w:r>
      <w:r w:rsidR="005155FF" w:rsidRPr="00FD305C">
        <w:t>zu</w:t>
      </w:r>
      <w:r w:rsidRPr="00FD305C">
        <w:t xml:space="preserve"> erstellen. Über Entwicklungen auf der achtzehnten Tagung der BMT wird in einer Ergänzung zu diesem Dokument berichtet werden.</w:t>
      </w:r>
    </w:p>
    <w:p w14:paraId="1D3E24B0" w14:textId="77777777" w:rsidR="00803B6D" w:rsidRPr="00FD305C" w:rsidRDefault="00803B6D" w:rsidP="00E7081F">
      <w:pPr>
        <w:rPr>
          <w:snapToGrid w:val="0"/>
          <w:lang w:eastAsia="ja-JP"/>
        </w:rPr>
      </w:pPr>
    </w:p>
    <w:p w14:paraId="74123D97" w14:textId="77777777" w:rsidR="006040BF" w:rsidRPr="00FD305C" w:rsidRDefault="006040BF" w:rsidP="007172AD">
      <w:pPr>
        <w:pStyle w:val="DecisionParagraphs"/>
        <w:keepNext/>
      </w:pPr>
      <w:r w:rsidRPr="00FD305C">
        <w:fldChar w:fldCharType="begin"/>
      </w:r>
      <w:r w:rsidRPr="00FD305C">
        <w:instrText xml:space="preserve"> AUTONUM  </w:instrText>
      </w:r>
      <w:r w:rsidRPr="00FD305C">
        <w:fldChar w:fldCharType="end"/>
      </w:r>
      <w:r w:rsidRPr="00FD305C">
        <w:tab/>
        <w:t>Der TC wird ersucht:</w:t>
      </w:r>
    </w:p>
    <w:p w14:paraId="7AD1B8E5" w14:textId="77777777" w:rsidR="003D348C" w:rsidRPr="00FD305C" w:rsidRDefault="003D348C" w:rsidP="009A50E6">
      <w:pPr>
        <w:pStyle w:val="DecisionParagraphs"/>
        <w:keepNext/>
        <w:tabs>
          <w:tab w:val="left" w:pos="5812"/>
          <w:tab w:val="left" w:pos="5954"/>
        </w:tabs>
      </w:pPr>
    </w:p>
    <w:p w14:paraId="5AAF30E3" w14:textId="1C3A8368" w:rsidR="003D348C" w:rsidRPr="00FD305C" w:rsidRDefault="003D348C" w:rsidP="003D348C">
      <w:pPr>
        <w:pStyle w:val="DecisionParagraphs"/>
        <w:tabs>
          <w:tab w:val="left" w:pos="5812"/>
        </w:tabs>
        <w:rPr>
          <w:snapToGrid w:val="0"/>
          <w:spacing w:val="-2"/>
        </w:rPr>
      </w:pPr>
      <w:r w:rsidRPr="00FD305C">
        <w:tab/>
        <w:t>a)</w:t>
      </w:r>
      <w:r w:rsidRPr="00FD305C">
        <w:tab/>
        <w:t>zur Kenntnis zu nehmen, daß die BMT auf ihrer achtzehnten Tagung ersucht werden wird, Listen möglicher gemeinsamer Initiativen mit OECD und ISTA hinsichtlich molekularer Verfahren, wie in Absatz 27 dieses Dokuments dargelegt, zu erstellen;</w:t>
      </w:r>
    </w:p>
    <w:p w14:paraId="0DF34C82" w14:textId="77777777" w:rsidR="003D348C" w:rsidRPr="00FD305C" w:rsidRDefault="003D348C" w:rsidP="003D348C">
      <w:pPr>
        <w:pStyle w:val="DecisionParagraphs"/>
        <w:keepNext/>
        <w:tabs>
          <w:tab w:val="left" w:pos="5812"/>
          <w:tab w:val="left" w:pos="5954"/>
        </w:tabs>
      </w:pPr>
    </w:p>
    <w:p w14:paraId="49CADB1C" w14:textId="77777777" w:rsidR="003D348C" w:rsidRPr="00FD305C" w:rsidRDefault="003D348C" w:rsidP="003D348C">
      <w:pPr>
        <w:pStyle w:val="DecisionParagraphs"/>
        <w:keepNext/>
        <w:tabs>
          <w:tab w:val="left" w:pos="5812"/>
          <w:tab w:val="left" w:pos="5954"/>
        </w:tabs>
      </w:pPr>
      <w:r w:rsidRPr="00FD305C">
        <w:tab/>
        <w:t>b)</w:t>
      </w:r>
      <w:r w:rsidRPr="00FD305C">
        <w:tab/>
        <w:t>zur Kenntnis zu nehmen, daß die von der BMT auf ihrer achtzehnten Tagung erarbeiteten Vorschläge betreffend Listen möglicher gemeinsamer Initiativen mit OECD und ISTA im Hinblick auf molekulare Verfahren in einer Ergänzung zu diesem Dokument, wie in Absatz 27 dieses Dokuments ausgeführt, dargelegt sind;</w:t>
      </w:r>
    </w:p>
    <w:p w14:paraId="0644B0BE" w14:textId="77777777" w:rsidR="000524F2" w:rsidRPr="00FD305C" w:rsidRDefault="000524F2" w:rsidP="000524F2">
      <w:pPr>
        <w:rPr>
          <w:snapToGrid w:val="0"/>
          <w:lang w:eastAsia="ja-JP"/>
        </w:rPr>
      </w:pPr>
    </w:p>
    <w:p w14:paraId="143D2E43" w14:textId="77777777" w:rsidR="000524F2" w:rsidRPr="00FD305C" w:rsidRDefault="000524F2" w:rsidP="000524F2">
      <w:pPr>
        <w:rPr>
          <w:snapToGrid w:val="0"/>
          <w:lang w:eastAsia="ja-JP"/>
        </w:rPr>
      </w:pPr>
    </w:p>
    <w:p w14:paraId="0A246D86" w14:textId="77777777" w:rsidR="000524F2" w:rsidRPr="00FD305C" w:rsidRDefault="000524F2" w:rsidP="000524F2">
      <w:pPr>
        <w:rPr>
          <w:snapToGrid w:val="0"/>
          <w:lang w:eastAsia="ja-JP"/>
        </w:rPr>
      </w:pPr>
    </w:p>
    <w:p w14:paraId="328A7576" w14:textId="77777777" w:rsidR="000524F2" w:rsidRPr="00FD305C" w:rsidRDefault="000524F2" w:rsidP="00707D27">
      <w:pPr>
        <w:pStyle w:val="Heading1"/>
        <w:rPr>
          <w:snapToGrid w:val="0"/>
        </w:rPr>
      </w:pPr>
      <w:bookmarkStart w:id="30" w:name="_Toc536782789"/>
      <w:bookmarkStart w:id="31" w:name="_Toc13511378"/>
      <w:bookmarkStart w:id="32" w:name="_Toc14980930"/>
      <w:bookmarkStart w:id="33" w:name="_Toc15568815"/>
      <w:bookmarkStart w:id="34" w:name="_Toc17358810"/>
      <w:r w:rsidRPr="00FD305C">
        <w:rPr>
          <w:rStyle w:val="Heading1Char"/>
        </w:rPr>
        <w:t>SITZUNG ZUR ERLEICHTERUNG DER ZUSAMMENARBEIT</w:t>
      </w:r>
      <w:r w:rsidRPr="00FD305C">
        <w:t xml:space="preserve"> IM HINBLICK AUF DIE VERWENDUNG MOLEKULARER VERFAHREN</w:t>
      </w:r>
      <w:bookmarkEnd w:id="30"/>
      <w:bookmarkEnd w:id="31"/>
      <w:bookmarkEnd w:id="32"/>
      <w:bookmarkEnd w:id="33"/>
      <w:bookmarkEnd w:id="34"/>
    </w:p>
    <w:p w14:paraId="04C90A29" w14:textId="77777777" w:rsidR="000524F2" w:rsidRPr="00FD305C" w:rsidRDefault="000524F2" w:rsidP="000524F2">
      <w:pPr>
        <w:keepNext/>
        <w:rPr>
          <w:u w:val="single"/>
        </w:rPr>
      </w:pPr>
    </w:p>
    <w:p w14:paraId="2F9775A7" w14:textId="72DFC990" w:rsidR="000524F2" w:rsidRPr="00FD305C" w:rsidRDefault="005155FF" w:rsidP="002767CA">
      <w:pPr>
        <w:pStyle w:val="Heading2"/>
      </w:pPr>
      <w:bookmarkStart w:id="35" w:name="_Toc15568816"/>
      <w:bookmarkStart w:id="36" w:name="_Toc17358811"/>
      <w:r w:rsidRPr="00FD305C">
        <w:t>Entwicklungen auf der vierundfünfzigsten Tagung des Technischen Ausschusses</w:t>
      </w:r>
      <w:bookmarkEnd w:id="35"/>
      <w:bookmarkEnd w:id="36"/>
    </w:p>
    <w:p w14:paraId="60894854" w14:textId="77777777" w:rsidR="000524F2" w:rsidRPr="00FD305C" w:rsidRDefault="000524F2" w:rsidP="000524F2">
      <w:pPr>
        <w:keepNext/>
        <w:ind w:left="567" w:hanging="567"/>
      </w:pPr>
    </w:p>
    <w:p w14:paraId="0DA8B55B" w14:textId="77777777" w:rsidR="000524F2" w:rsidRPr="00FD305C" w:rsidRDefault="000524F2" w:rsidP="000524F2">
      <w:pPr>
        <w:keepNext/>
        <w:rPr>
          <w:rFonts w:eastAsiaTheme="minorEastAsia"/>
        </w:rPr>
      </w:pPr>
      <w:r w:rsidRPr="00FD305C">
        <w:fldChar w:fldCharType="begin"/>
      </w:r>
      <w:r w:rsidRPr="00FD305C">
        <w:instrText xml:space="preserve"> AUTONUM  </w:instrText>
      </w:r>
      <w:r w:rsidRPr="00FD305C">
        <w:fldChar w:fldCharType="end"/>
      </w:r>
      <w:r w:rsidRPr="00FD305C">
        <w:tab/>
        <w:t>Der Hintergrund zu dieser Angelegenheit ist in Dokument TC/54/11 Add. „Molekulare Verfahren“, Absätze 56 bis 66, dargelegt.</w:t>
      </w:r>
    </w:p>
    <w:p w14:paraId="1C421AAF" w14:textId="77777777" w:rsidR="000524F2" w:rsidRPr="00FD305C" w:rsidRDefault="000524F2" w:rsidP="000524F2">
      <w:pPr>
        <w:keepNext/>
        <w:keepLines/>
      </w:pPr>
    </w:p>
    <w:p w14:paraId="2F066F03" w14:textId="47549C94" w:rsidR="000524F2" w:rsidRPr="00FD305C" w:rsidRDefault="000524F2" w:rsidP="000524F2">
      <w:r w:rsidRPr="00FD305C">
        <w:fldChar w:fldCharType="begin"/>
      </w:r>
      <w:r w:rsidRPr="00FD305C">
        <w:instrText xml:space="preserve"> AUTONUM  </w:instrText>
      </w:r>
      <w:r w:rsidRPr="00FD305C">
        <w:fldChar w:fldCharType="end"/>
      </w:r>
      <w:r w:rsidRPr="00FD305C">
        <w:tab/>
        <w:t xml:space="preserve">Der TC vereinbarte auf seiner vierundfünfzigsten Tagung, daß die Ergebnisse der Koordinierungssitzung in der BMT auf ihrer siebzehnten Tagung, wie in den Absätzen 57 bis 66 von Dokument </w:t>
      </w:r>
      <w:r w:rsidRPr="00FD305C">
        <w:lastRenderedPageBreak/>
        <w:t>TC/54/11 Add. dargelegt, anderen TWP berichtet werden sollen</w:t>
      </w:r>
      <w:r w:rsidR="005155FF" w:rsidRPr="00FD305C">
        <w:t xml:space="preserve">. </w:t>
      </w:r>
      <w:r w:rsidRPr="00FD305C">
        <w:t>Der TC vereinbarte, die TWP zu ersuchen, eine ähnliche Sitzung abzuhalten, um auf die Ergebnisse der BMT aufzubauen und einen Beitrag zur künftigen Arbeit der BMT beizutragen</w:t>
      </w:r>
      <w:r w:rsidR="005155FF" w:rsidRPr="00FD305C">
        <w:t xml:space="preserve">. </w:t>
      </w:r>
      <w:r w:rsidRPr="00FD305C">
        <w:t>Der TC vereinbarte, daß in jeder TWP Diskussionsgruppen für die wichtigsten Pflanzen gebildet werden sollten, damit die Teilnehmer Informationen über ihre Arbeit zu biochemischen und molekularen Verfahren austauschen und Bereiche der Zusammenarb</w:t>
      </w:r>
      <w:r w:rsidR="00C94FDE" w:rsidRPr="00FD305C">
        <w:t>eit ausloten können (vergleiche </w:t>
      </w:r>
      <w:r w:rsidRPr="00FD305C">
        <w:t>Dokument TC/54/31 „Bericht“, Absatz 281)</w:t>
      </w:r>
      <w:r w:rsidR="005155FF" w:rsidRPr="00FD305C">
        <w:t xml:space="preserve">. </w:t>
      </w:r>
    </w:p>
    <w:p w14:paraId="24DD8BDA" w14:textId="77777777" w:rsidR="000524F2" w:rsidRPr="00FD305C" w:rsidRDefault="000524F2" w:rsidP="000524F2">
      <w:pPr>
        <w:rPr>
          <w:snapToGrid w:val="0"/>
          <w:lang w:eastAsia="ja-JP"/>
        </w:rPr>
      </w:pPr>
    </w:p>
    <w:p w14:paraId="624AE1CA" w14:textId="77777777" w:rsidR="000524F2" w:rsidRPr="00FD305C" w:rsidRDefault="000524F2" w:rsidP="000524F2">
      <w:pPr>
        <w:rPr>
          <w:snapToGrid w:val="0"/>
          <w:lang w:eastAsia="ja-JP"/>
        </w:rPr>
      </w:pPr>
    </w:p>
    <w:p w14:paraId="6DC4FA0A" w14:textId="6DC628C4" w:rsidR="000524F2" w:rsidRPr="00FD305C" w:rsidRDefault="005155FF" w:rsidP="002767CA">
      <w:pPr>
        <w:pStyle w:val="Heading2"/>
        <w:rPr>
          <w:snapToGrid w:val="0"/>
        </w:rPr>
      </w:pPr>
      <w:bookmarkStart w:id="37" w:name="_Toc13511380"/>
      <w:bookmarkStart w:id="38" w:name="_Toc15568817"/>
      <w:bookmarkStart w:id="39" w:name="_Toc17358812"/>
      <w:r w:rsidRPr="00FD305C">
        <w:rPr>
          <w:snapToGrid w:val="0"/>
        </w:rPr>
        <w:t>Entwicklungen in den Technischen Arbeitsgruppen und der Arbeitsgruppe für biochemische und molekulare Verfahren und insbesondere für DNS-Profilierungsverfahren im Jahr 2019</w:t>
      </w:r>
      <w:bookmarkEnd w:id="37"/>
      <w:bookmarkEnd w:id="38"/>
      <w:bookmarkEnd w:id="39"/>
    </w:p>
    <w:p w14:paraId="38B954E8" w14:textId="77777777" w:rsidR="000524F2" w:rsidRPr="00FD305C" w:rsidRDefault="000524F2" w:rsidP="000524F2">
      <w:pPr>
        <w:rPr>
          <w:rFonts w:eastAsia="MS Mincho"/>
          <w:snapToGrid w:val="0"/>
          <w:lang w:eastAsia="ja-JP"/>
        </w:rPr>
      </w:pPr>
    </w:p>
    <w:p w14:paraId="38FB2B1D" w14:textId="55888505" w:rsidR="000524F2" w:rsidRPr="00FD305C" w:rsidRDefault="000524F2" w:rsidP="009A50E6">
      <w:pPr>
        <w:rPr>
          <w:color w:val="000000"/>
        </w:rPr>
      </w:pPr>
      <w:r w:rsidRPr="00FD305C">
        <w:rPr>
          <w:rFonts w:cs="Arial"/>
        </w:rPr>
        <w:fldChar w:fldCharType="begin"/>
      </w:r>
      <w:r w:rsidRPr="00FD305C">
        <w:rPr>
          <w:rFonts w:cs="Arial"/>
        </w:rPr>
        <w:instrText xml:space="preserve"> AUTONUM  </w:instrText>
      </w:r>
      <w:r w:rsidRPr="00FD305C">
        <w:rPr>
          <w:rFonts w:cs="Arial"/>
        </w:rPr>
        <w:fldChar w:fldCharType="end"/>
      </w:r>
      <w:r w:rsidRPr="00FD305C">
        <w:tab/>
      </w:r>
      <w:r w:rsidRPr="00FD305C">
        <w:rPr>
          <w:color w:val="000000"/>
        </w:rPr>
        <w:t xml:space="preserve">Auf ihren Tagungen im Jahr 2019 prüften die TWO, die TWV und die TWF </w:t>
      </w:r>
      <w:r w:rsidRPr="00FD305C">
        <w:rPr>
          <w:snapToGrid w:val="0"/>
          <w:color w:val="000000"/>
        </w:rPr>
        <w:t>das Dokument TWF/3/7 „molekulare Verfahren“ (vergleiche Dokumente TWO/51/12 „</w:t>
      </w:r>
      <w:r w:rsidRPr="00FD305C">
        <w:rPr>
          <w:i/>
          <w:iCs/>
          <w:snapToGrid w:val="0"/>
          <w:color w:val="000000"/>
        </w:rPr>
        <w:t>Report</w:t>
      </w:r>
      <w:r w:rsidRPr="00FD305C">
        <w:rPr>
          <w:snapToGrid w:val="0"/>
          <w:color w:val="000000"/>
        </w:rPr>
        <w:t xml:space="preserve">“, Absätze 36 und 51, </w:t>
      </w:r>
      <w:r w:rsidRPr="00FD305C">
        <w:t>TWV/53/14 „</w:t>
      </w:r>
      <w:r w:rsidRPr="00FD305C">
        <w:rPr>
          <w:i/>
          <w:iCs/>
        </w:rPr>
        <w:t>Report</w:t>
      </w:r>
      <w:r w:rsidRPr="00FD305C">
        <w:t>“, Absätze 40 und 56, und TWF/50/13 „</w:t>
      </w:r>
      <w:r w:rsidRPr="00FD305C">
        <w:rPr>
          <w:i/>
          <w:iCs/>
        </w:rPr>
        <w:t>Report</w:t>
      </w:r>
      <w:r w:rsidRPr="00FD305C">
        <w:t>“, Absätze 56 und 74</w:t>
      </w:r>
      <w:r w:rsidRPr="00FD305C">
        <w:rPr>
          <w:snapToGrid w:val="0"/>
          <w:color w:val="000000"/>
        </w:rPr>
        <w:t xml:space="preserve">). </w:t>
      </w:r>
    </w:p>
    <w:p w14:paraId="16B1C16B" w14:textId="77777777" w:rsidR="000524F2" w:rsidRPr="00FD305C" w:rsidRDefault="000524F2" w:rsidP="009A50E6">
      <w:pPr>
        <w:spacing w:line="360" w:lineRule="auto"/>
        <w:rPr>
          <w:snapToGrid w:val="0"/>
        </w:rPr>
      </w:pPr>
    </w:p>
    <w:p w14:paraId="3C55DD18" w14:textId="3B8D0981" w:rsidR="000524F2" w:rsidRPr="00FD305C" w:rsidRDefault="000524F2" w:rsidP="000524F2">
      <w:pPr>
        <w:keepNext/>
        <w:outlineLvl w:val="2"/>
        <w:rPr>
          <w:i/>
          <w:snapToGrid w:val="0"/>
        </w:rPr>
      </w:pPr>
      <w:bookmarkStart w:id="40" w:name="_Toc14980931"/>
      <w:r w:rsidRPr="00FD305C">
        <w:rPr>
          <w:i/>
          <w:snapToGrid w:val="0"/>
        </w:rPr>
        <w:t>Technische Arbeitsgruppe für Zierpflanzen und forstliche Baumarten</w:t>
      </w:r>
      <w:bookmarkEnd w:id="40"/>
    </w:p>
    <w:p w14:paraId="450FB68A" w14:textId="77777777" w:rsidR="000524F2" w:rsidRPr="00FD305C" w:rsidRDefault="000524F2" w:rsidP="000524F2"/>
    <w:p w14:paraId="06DA974A" w14:textId="1514D0D9" w:rsidR="000524F2" w:rsidRPr="00FD305C" w:rsidRDefault="000524F2" w:rsidP="000524F2">
      <w:r w:rsidRPr="00FD305C">
        <w:fldChar w:fldCharType="begin"/>
      </w:r>
      <w:r w:rsidRPr="00FD305C">
        <w:instrText xml:space="preserve"> AUTONUM  </w:instrText>
      </w:r>
      <w:r w:rsidRPr="00FD305C">
        <w:fldChar w:fldCharType="end"/>
      </w:r>
      <w:r w:rsidRPr="00FD305C">
        <w:tab/>
        <w:t>Die folgenden Informationen wurden von TWO-Teilnehmern bereitgestellt (vergleiche Dokument TWO/51/12 „</w:t>
      </w:r>
      <w:r w:rsidRPr="00FD305C">
        <w:rPr>
          <w:i/>
          <w:iCs/>
        </w:rPr>
        <w:t>Report</w:t>
      </w:r>
      <w:r w:rsidRPr="00FD305C">
        <w:t>“, Absätze 52 und 53)</w:t>
      </w:r>
      <w:r w:rsidR="005155FF" w:rsidRPr="00FD305C">
        <w:t xml:space="preserve">: </w:t>
      </w:r>
    </w:p>
    <w:p w14:paraId="0AEAAC7B" w14:textId="77777777" w:rsidR="000524F2" w:rsidRPr="00FD305C" w:rsidRDefault="000524F2" w:rsidP="000524F2"/>
    <w:tbl>
      <w:tblPr>
        <w:tblStyle w:val="TableGrid411"/>
        <w:tblW w:w="8897" w:type="dxa"/>
        <w:tblInd w:w="4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1384"/>
        <w:gridCol w:w="7513"/>
      </w:tblGrid>
      <w:tr w:rsidR="000524F2" w:rsidRPr="00FD305C" w14:paraId="619D3EDC" w14:textId="77777777" w:rsidTr="0087315F">
        <w:tc>
          <w:tcPr>
            <w:tcW w:w="1384" w:type="dxa"/>
          </w:tcPr>
          <w:p w14:paraId="67E79FCE" w14:textId="77777777" w:rsidR="000524F2" w:rsidRPr="00FD305C" w:rsidRDefault="000524F2" w:rsidP="00E20AE5">
            <w:pPr>
              <w:jc w:val="left"/>
              <w:rPr>
                <w:rFonts w:cs="Arial"/>
                <w:sz w:val="18"/>
              </w:rPr>
            </w:pPr>
            <w:r w:rsidRPr="00FD305C">
              <w:rPr>
                <w:sz w:val="18"/>
              </w:rPr>
              <w:t>Australien</w:t>
            </w:r>
          </w:p>
        </w:tc>
        <w:tc>
          <w:tcPr>
            <w:tcW w:w="7513" w:type="dxa"/>
          </w:tcPr>
          <w:p w14:paraId="3BEA99B9" w14:textId="77777777" w:rsidR="000524F2" w:rsidRPr="00FD305C" w:rsidRDefault="000524F2" w:rsidP="0087315F">
            <w:pPr>
              <w:numPr>
                <w:ilvl w:val="0"/>
                <w:numId w:val="2"/>
              </w:numPr>
              <w:ind w:left="197" w:hanging="251"/>
              <w:jc w:val="left"/>
              <w:rPr>
                <w:rFonts w:cs="Arial"/>
                <w:sz w:val="18"/>
              </w:rPr>
            </w:pPr>
            <w:r w:rsidRPr="00FD305C">
              <w:rPr>
                <w:sz w:val="18"/>
              </w:rPr>
              <w:t xml:space="preserve">DNS-Informationen können in einigen Fällen von Klagen gegen Rechtsverletzungen verwendet werden; </w:t>
            </w:r>
          </w:p>
          <w:p w14:paraId="321819A9" w14:textId="77777777" w:rsidR="000524F2" w:rsidRPr="00FD305C" w:rsidRDefault="000524F2" w:rsidP="0087315F">
            <w:pPr>
              <w:numPr>
                <w:ilvl w:val="0"/>
                <w:numId w:val="2"/>
              </w:numPr>
              <w:ind w:left="197" w:hanging="251"/>
              <w:jc w:val="left"/>
              <w:rPr>
                <w:rFonts w:cs="Arial"/>
                <w:sz w:val="18"/>
              </w:rPr>
            </w:pPr>
            <w:r w:rsidRPr="00FD305C">
              <w:rPr>
                <w:sz w:val="18"/>
              </w:rPr>
              <w:t xml:space="preserve">erwägt derzeit die Erstellung einer DNS-Sammlung für einheimische Arten </w:t>
            </w:r>
          </w:p>
        </w:tc>
      </w:tr>
      <w:tr w:rsidR="000524F2" w:rsidRPr="00FD305C" w14:paraId="7297AA13" w14:textId="77777777" w:rsidTr="0087315F">
        <w:tc>
          <w:tcPr>
            <w:tcW w:w="1384" w:type="dxa"/>
          </w:tcPr>
          <w:p w14:paraId="68816F49" w14:textId="77777777" w:rsidR="000524F2" w:rsidRPr="00FD305C" w:rsidRDefault="000524F2" w:rsidP="00E20AE5">
            <w:pPr>
              <w:jc w:val="left"/>
              <w:rPr>
                <w:rFonts w:cs="Arial"/>
                <w:sz w:val="18"/>
              </w:rPr>
            </w:pPr>
            <w:r w:rsidRPr="00FD305C">
              <w:rPr>
                <w:sz w:val="18"/>
              </w:rPr>
              <w:t>China</w:t>
            </w:r>
          </w:p>
        </w:tc>
        <w:tc>
          <w:tcPr>
            <w:tcW w:w="7513" w:type="dxa"/>
          </w:tcPr>
          <w:p w14:paraId="48973CE7" w14:textId="77777777" w:rsidR="000524F2" w:rsidRPr="00FD305C" w:rsidRDefault="000524F2" w:rsidP="0087315F">
            <w:pPr>
              <w:numPr>
                <w:ilvl w:val="0"/>
                <w:numId w:val="2"/>
              </w:numPr>
              <w:ind w:left="197" w:hanging="251"/>
              <w:jc w:val="left"/>
              <w:rPr>
                <w:rFonts w:cs="Arial"/>
                <w:sz w:val="18"/>
              </w:rPr>
            </w:pPr>
            <w:r w:rsidRPr="00FD305C">
              <w:rPr>
                <w:sz w:val="18"/>
              </w:rPr>
              <w:t xml:space="preserve">Pflanze von Interesse: forstwirtschaftlicher Sektor und holzige Zierpflanzen, insbesondere </w:t>
            </w:r>
            <w:r w:rsidRPr="00FD305C">
              <w:rPr>
                <w:i/>
                <w:sz w:val="18"/>
              </w:rPr>
              <w:t>Fraxinus;</w:t>
            </w:r>
          </w:p>
          <w:p w14:paraId="6D084DA5" w14:textId="77777777" w:rsidR="000524F2" w:rsidRPr="00FD305C" w:rsidRDefault="000524F2" w:rsidP="0087315F">
            <w:pPr>
              <w:numPr>
                <w:ilvl w:val="0"/>
                <w:numId w:val="2"/>
              </w:numPr>
              <w:ind w:left="197" w:hanging="251"/>
              <w:jc w:val="left"/>
              <w:rPr>
                <w:rFonts w:cs="Arial"/>
                <w:sz w:val="18"/>
              </w:rPr>
            </w:pPr>
            <w:r w:rsidRPr="00FD305C">
              <w:rPr>
                <w:sz w:val="18"/>
              </w:rPr>
              <w:t>entwickelt derzeit Datenbanken mit DNS-Informationen für Rose, Pappel und Strauchpäonie</w:t>
            </w:r>
          </w:p>
        </w:tc>
      </w:tr>
      <w:tr w:rsidR="000524F2" w:rsidRPr="00FD305C" w14:paraId="48156E71" w14:textId="77777777" w:rsidTr="0087315F">
        <w:tc>
          <w:tcPr>
            <w:tcW w:w="1384" w:type="dxa"/>
          </w:tcPr>
          <w:p w14:paraId="3F6493E9" w14:textId="4D1360FB" w:rsidR="000524F2" w:rsidRPr="00FD305C" w:rsidRDefault="000524F2" w:rsidP="00E20AE5">
            <w:pPr>
              <w:jc w:val="left"/>
              <w:rPr>
                <w:rFonts w:cs="Arial"/>
                <w:sz w:val="18"/>
              </w:rPr>
            </w:pPr>
            <w:r w:rsidRPr="00FD305C">
              <w:rPr>
                <w:sz w:val="18"/>
              </w:rPr>
              <w:t>Europäische Union</w:t>
            </w:r>
            <w:r w:rsidR="005155FF" w:rsidRPr="00FD305C">
              <w:rPr>
                <w:sz w:val="18"/>
              </w:rPr>
              <w:t xml:space="preserve">: </w:t>
            </w:r>
          </w:p>
        </w:tc>
        <w:tc>
          <w:tcPr>
            <w:tcW w:w="7513" w:type="dxa"/>
          </w:tcPr>
          <w:p w14:paraId="108B38F9" w14:textId="77777777" w:rsidR="000524F2" w:rsidRPr="00FD305C" w:rsidRDefault="000524F2" w:rsidP="0087315F">
            <w:pPr>
              <w:numPr>
                <w:ilvl w:val="0"/>
                <w:numId w:val="2"/>
              </w:numPr>
              <w:ind w:left="197" w:hanging="251"/>
              <w:jc w:val="left"/>
              <w:rPr>
                <w:rFonts w:cs="Arial"/>
                <w:sz w:val="18"/>
              </w:rPr>
            </w:pPr>
            <w:r w:rsidRPr="00FD305C">
              <w:rPr>
                <w:sz w:val="18"/>
              </w:rPr>
              <w:t>Antragsteller für neue Rosensorten können gegen eine Gebühr eine DNS-Probe extrahieren und lagern lassen; ähnliches Verfahren für Obstpflanzen wird derzeit geprüft</w:t>
            </w:r>
          </w:p>
        </w:tc>
      </w:tr>
      <w:tr w:rsidR="000524F2" w:rsidRPr="00FD305C" w14:paraId="545151F6" w14:textId="77777777" w:rsidTr="0087315F">
        <w:tc>
          <w:tcPr>
            <w:tcW w:w="1384" w:type="dxa"/>
          </w:tcPr>
          <w:p w14:paraId="793AB18D" w14:textId="77777777" w:rsidR="000524F2" w:rsidRPr="00FD305C" w:rsidRDefault="000524F2" w:rsidP="00E20AE5">
            <w:pPr>
              <w:jc w:val="left"/>
              <w:rPr>
                <w:rFonts w:cs="Arial"/>
                <w:sz w:val="18"/>
              </w:rPr>
            </w:pPr>
            <w:r w:rsidRPr="00FD305C">
              <w:rPr>
                <w:sz w:val="18"/>
              </w:rPr>
              <w:t>Frankreich</w:t>
            </w:r>
          </w:p>
        </w:tc>
        <w:tc>
          <w:tcPr>
            <w:tcW w:w="7513" w:type="dxa"/>
          </w:tcPr>
          <w:p w14:paraId="5BBA5985" w14:textId="77777777" w:rsidR="000524F2" w:rsidRPr="00FD305C" w:rsidRDefault="000524F2" w:rsidP="0087315F">
            <w:pPr>
              <w:numPr>
                <w:ilvl w:val="0"/>
                <w:numId w:val="2"/>
              </w:numPr>
              <w:ind w:left="197" w:hanging="251"/>
              <w:jc w:val="left"/>
              <w:rPr>
                <w:rFonts w:cs="Arial"/>
                <w:sz w:val="18"/>
              </w:rPr>
            </w:pPr>
            <w:r w:rsidRPr="00FD305C">
              <w:rPr>
                <w:sz w:val="18"/>
              </w:rPr>
              <w:t>Pflanze von Interesse: Hortensie;</w:t>
            </w:r>
          </w:p>
          <w:p w14:paraId="1709215B" w14:textId="77777777" w:rsidR="000524F2" w:rsidRPr="00FD305C" w:rsidRDefault="000524F2" w:rsidP="0087315F">
            <w:pPr>
              <w:numPr>
                <w:ilvl w:val="0"/>
                <w:numId w:val="2"/>
              </w:numPr>
              <w:ind w:left="197" w:hanging="251"/>
              <w:jc w:val="left"/>
              <w:rPr>
                <w:rFonts w:cs="Arial"/>
                <w:sz w:val="18"/>
              </w:rPr>
            </w:pPr>
            <w:r w:rsidRPr="00FD305C">
              <w:rPr>
                <w:sz w:val="18"/>
              </w:rPr>
              <w:t>Derzeit wird ein Satz molekularer Marker für Hortensien-Sorten getestet</w:t>
            </w:r>
          </w:p>
        </w:tc>
      </w:tr>
      <w:tr w:rsidR="000524F2" w:rsidRPr="00FD305C" w14:paraId="751CBD61" w14:textId="77777777" w:rsidTr="0087315F">
        <w:tc>
          <w:tcPr>
            <w:tcW w:w="1384" w:type="dxa"/>
          </w:tcPr>
          <w:p w14:paraId="4EC22328" w14:textId="77777777" w:rsidR="000524F2" w:rsidRPr="00FD305C" w:rsidRDefault="000524F2" w:rsidP="00E20AE5">
            <w:pPr>
              <w:jc w:val="left"/>
              <w:rPr>
                <w:rFonts w:cs="Arial"/>
                <w:sz w:val="18"/>
              </w:rPr>
            </w:pPr>
            <w:r w:rsidRPr="00FD305C">
              <w:rPr>
                <w:sz w:val="18"/>
              </w:rPr>
              <w:t>Niederlande</w:t>
            </w:r>
          </w:p>
        </w:tc>
        <w:tc>
          <w:tcPr>
            <w:tcW w:w="7513" w:type="dxa"/>
          </w:tcPr>
          <w:p w14:paraId="08CB98BD" w14:textId="77777777" w:rsidR="000524F2" w:rsidRPr="00FD305C" w:rsidRDefault="000524F2" w:rsidP="0087315F">
            <w:pPr>
              <w:numPr>
                <w:ilvl w:val="0"/>
                <w:numId w:val="2"/>
              </w:numPr>
              <w:ind w:left="197" w:hanging="251"/>
              <w:jc w:val="left"/>
              <w:rPr>
                <w:rFonts w:cs="Arial"/>
                <w:sz w:val="18"/>
              </w:rPr>
            </w:pPr>
            <w:r w:rsidRPr="00FD305C">
              <w:rPr>
                <w:sz w:val="18"/>
              </w:rPr>
              <w:t xml:space="preserve">Pflanzen von Interesse: </w:t>
            </w:r>
            <w:r w:rsidRPr="00FD305C">
              <w:rPr>
                <w:i/>
                <w:sz w:val="18"/>
              </w:rPr>
              <w:t>Chrysanthemum</w:t>
            </w:r>
            <w:r w:rsidRPr="00FD305C">
              <w:rPr>
                <w:sz w:val="18"/>
              </w:rPr>
              <w:t xml:space="preserve">, </w:t>
            </w:r>
            <w:r w:rsidRPr="00FD305C">
              <w:rPr>
                <w:i/>
                <w:sz w:val="18"/>
              </w:rPr>
              <w:t>Gypsophila, Helleborus</w:t>
            </w:r>
            <w:r w:rsidRPr="00FD305C">
              <w:rPr>
                <w:sz w:val="18"/>
              </w:rPr>
              <w:t xml:space="preserve">, </w:t>
            </w:r>
            <w:r w:rsidRPr="00FD305C">
              <w:rPr>
                <w:i/>
                <w:sz w:val="18"/>
              </w:rPr>
              <w:t>Lilium, Phalaenopsis</w:t>
            </w:r>
            <w:r w:rsidRPr="00FD305C">
              <w:rPr>
                <w:sz w:val="18"/>
              </w:rPr>
              <w:t xml:space="preserve"> und Rose;</w:t>
            </w:r>
          </w:p>
          <w:p w14:paraId="05AF5106" w14:textId="6D512545" w:rsidR="000524F2" w:rsidRPr="00FD305C" w:rsidRDefault="000524F2" w:rsidP="0087315F">
            <w:pPr>
              <w:numPr>
                <w:ilvl w:val="0"/>
                <w:numId w:val="2"/>
              </w:numPr>
              <w:ind w:left="197" w:hanging="251"/>
              <w:jc w:val="left"/>
              <w:rPr>
                <w:rFonts w:cs="Arial"/>
                <w:sz w:val="18"/>
              </w:rPr>
            </w:pPr>
            <w:r w:rsidRPr="00FD305C">
              <w:rPr>
                <w:sz w:val="18"/>
              </w:rPr>
              <w:t xml:space="preserve">derzeit Aufbau einer DNS-Datenbank für </w:t>
            </w:r>
            <w:r w:rsidRPr="00FD305C">
              <w:rPr>
                <w:i/>
                <w:sz w:val="18"/>
              </w:rPr>
              <w:t>Fraxinus</w:t>
            </w:r>
            <w:r w:rsidRPr="00FD305C">
              <w:rPr>
                <w:sz w:val="18"/>
              </w:rPr>
              <w:t xml:space="preserve"> und </w:t>
            </w:r>
            <w:r w:rsidRPr="00FD305C">
              <w:rPr>
                <w:i/>
                <w:sz w:val="18"/>
              </w:rPr>
              <w:t>Ulmus</w:t>
            </w:r>
            <w:r w:rsidR="005155FF" w:rsidRPr="00FD305C">
              <w:rPr>
                <w:sz w:val="18"/>
              </w:rPr>
              <w:t xml:space="preserve">; </w:t>
            </w:r>
          </w:p>
          <w:p w14:paraId="31C3F5CC" w14:textId="3FD963F4" w:rsidR="000524F2" w:rsidRPr="00FD305C" w:rsidRDefault="000524F2" w:rsidP="0087315F">
            <w:pPr>
              <w:numPr>
                <w:ilvl w:val="0"/>
                <w:numId w:val="2"/>
              </w:numPr>
              <w:ind w:left="197" w:hanging="251"/>
              <w:jc w:val="left"/>
              <w:rPr>
                <w:rFonts w:cs="Arial"/>
                <w:sz w:val="18"/>
              </w:rPr>
            </w:pPr>
            <w:r w:rsidRPr="00FD305C">
              <w:rPr>
                <w:sz w:val="18"/>
              </w:rPr>
              <w:t>DNS-Informationen, die für die Sortenidentität verwendet werden</w:t>
            </w:r>
            <w:r w:rsidR="005155FF" w:rsidRPr="00FD305C">
              <w:rPr>
                <w:sz w:val="18"/>
              </w:rPr>
              <w:t xml:space="preserve">; </w:t>
            </w:r>
          </w:p>
          <w:p w14:paraId="45B969CD" w14:textId="77777777" w:rsidR="000524F2" w:rsidRPr="00FD305C" w:rsidRDefault="000524F2" w:rsidP="0087315F">
            <w:pPr>
              <w:numPr>
                <w:ilvl w:val="0"/>
                <w:numId w:val="2"/>
              </w:numPr>
              <w:ind w:left="197" w:hanging="251"/>
              <w:jc w:val="left"/>
              <w:rPr>
                <w:rFonts w:cs="Arial"/>
                <w:sz w:val="18"/>
              </w:rPr>
            </w:pPr>
            <w:r w:rsidRPr="00FD305C">
              <w:rPr>
                <w:sz w:val="18"/>
              </w:rPr>
              <w:t>etwaig zukünftige Entwicklung von Datenbanken mit DNS-Informationen für Zierpflanzen</w:t>
            </w:r>
          </w:p>
        </w:tc>
      </w:tr>
    </w:tbl>
    <w:p w14:paraId="6A9A1F42" w14:textId="77777777" w:rsidR="000524F2" w:rsidRPr="00FD305C" w:rsidRDefault="000524F2" w:rsidP="000524F2"/>
    <w:p w14:paraId="35AE0BE8" w14:textId="77777777" w:rsidR="000524F2" w:rsidRPr="00FD305C" w:rsidRDefault="000524F2" w:rsidP="000524F2">
      <w:r w:rsidRPr="00FD305C">
        <w:fldChar w:fldCharType="begin"/>
      </w:r>
      <w:r w:rsidRPr="00FD305C">
        <w:instrText xml:space="preserve"> AUTONUM  </w:instrText>
      </w:r>
      <w:r w:rsidRPr="00FD305C">
        <w:fldChar w:fldCharType="end"/>
      </w:r>
      <w:r w:rsidRPr="00FD305C">
        <w:tab/>
        <w:t>Die TWO vereinbarte, daß etwaige UPOV-Initiativen die Erarbeitung von Leitlinien zur Sammlung von DNS-Proben, das Eigentum an gesammeltem Material und wie die Verwendung von Material oder Informationen erleichtert werden könnte umfassen könnten.</w:t>
      </w:r>
    </w:p>
    <w:p w14:paraId="710B9074" w14:textId="77777777" w:rsidR="000524F2" w:rsidRPr="00FD305C" w:rsidRDefault="000524F2" w:rsidP="0087315F">
      <w:pPr>
        <w:spacing w:line="360" w:lineRule="auto"/>
        <w:rPr>
          <w:snapToGrid w:val="0"/>
        </w:rPr>
      </w:pPr>
    </w:p>
    <w:p w14:paraId="63B1B5CA" w14:textId="77777777" w:rsidR="000524F2" w:rsidRPr="00FD305C" w:rsidRDefault="000524F2" w:rsidP="000524F2">
      <w:pPr>
        <w:keepNext/>
        <w:outlineLvl w:val="2"/>
        <w:rPr>
          <w:i/>
          <w:snapToGrid w:val="0"/>
        </w:rPr>
      </w:pPr>
      <w:bookmarkStart w:id="41" w:name="_Toc14980932"/>
      <w:r w:rsidRPr="00FD305C">
        <w:rPr>
          <w:i/>
          <w:snapToGrid w:val="0"/>
        </w:rPr>
        <w:t>Technische Arbeitsgruppe für Gemüsearten</w:t>
      </w:r>
      <w:bookmarkEnd w:id="41"/>
    </w:p>
    <w:p w14:paraId="3397E5C5" w14:textId="77777777" w:rsidR="000524F2" w:rsidRPr="00FD305C" w:rsidRDefault="000524F2" w:rsidP="000524F2">
      <w:pPr>
        <w:keepNext/>
      </w:pPr>
    </w:p>
    <w:p w14:paraId="655672CF" w14:textId="4EF918D4" w:rsidR="000524F2" w:rsidRPr="00FD305C" w:rsidRDefault="000524F2" w:rsidP="000524F2">
      <w:r w:rsidRPr="00FD305C">
        <w:fldChar w:fldCharType="begin"/>
      </w:r>
      <w:r w:rsidRPr="00FD305C">
        <w:instrText xml:space="preserve"> AUTONUM  </w:instrText>
      </w:r>
      <w:r w:rsidRPr="00FD305C">
        <w:fldChar w:fldCharType="end"/>
      </w:r>
      <w:r w:rsidRPr="00FD305C">
        <w:tab/>
        <w:t>Nach Diskussionen in Untergruppen wurden von TWV-Teilnehmern folgende Informationen bereitgestellt (vergleiche Dokument TWV/53/14 „</w:t>
      </w:r>
      <w:r w:rsidRPr="00FD305C">
        <w:rPr>
          <w:i/>
          <w:iCs/>
        </w:rPr>
        <w:t>Report</w:t>
      </w:r>
      <w:r w:rsidRPr="00FD305C">
        <w:t>“, Absatz 57)</w:t>
      </w:r>
      <w:r w:rsidR="005155FF" w:rsidRPr="00FD305C">
        <w:t xml:space="preserve">: </w:t>
      </w:r>
    </w:p>
    <w:p w14:paraId="407F4A89" w14:textId="77777777" w:rsidR="000524F2" w:rsidRPr="00FD305C" w:rsidRDefault="000524F2" w:rsidP="000524F2"/>
    <w:p w14:paraId="6E5B53B7" w14:textId="77777777" w:rsidR="000524F2" w:rsidRPr="00FD305C" w:rsidRDefault="000524F2" w:rsidP="000524F2">
      <w:pPr>
        <w:keepNext/>
        <w:ind w:left="567"/>
        <w:outlineLvl w:val="3"/>
        <w:rPr>
          <w:rFonts w:eastAsiaTheme="minorEastAsia"/>
          <w:u w:val="single"/>
        </w:rPr>
      </w:pPr>
      <w:r w:rsidRPr="00FD305C">
        <w:rPr>
          <w:u w:val="single"/>
        </w:rPr>
        <w:t>Übersicht über Pflanzen und Behörden, die derzeit biochemische und molekulare Verfahren im Pflanzensektor verwenden (bzw. diese derzeit entwickeln)</w:t>
      </w:r>
    </w:p>
    <w:p w14:paraId="40A78D8A" w14:textId="77777777" w:rsidR="000524F2" w:rsidRPr="00FD305C" w:rsidRDefault="000524F2" w:rsidP="000524F2">
      <w:pPr>
        <w:keepNext/>
        <w:rPr>
          <w:rFonts w:eastAsiaTheme="minorEastAsia"/>
        </w:rPr>
      </w:pPr>
    </w:p>
    <w:tbl>
      <w:tblPr>
        <w:tblStyle w:val="TableGrid21"/>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1560"/>
        <w:gridCol w:w="7479"/>
      </w:tblGrid>
      <w:tr w:rsidR="000524F2" w:rsidRPr="00FD305C" w14:paraId="51E58F48" w14:textId="77777777" w:rsidTr="0087315F">
        <w:tc>
          <w:tcPr>
            <w:tcW w:w="1560" w:type="dxa"/>
          </w:tcPr>
          <w:p w14:paraId="76EDBCEC" w14:textId="77777777" w:rsidR="000524F2" w:rsidRPr="00FD305C" w:rsidRDefault="000524F2" w:rsidP="000524F2">
            <w:pPr>
              <w:keepNext/>
              <w:jc w:val="left"/>
              <w:rPr>
                <w:rFonts w:cs="Arial"/>
                <w:sz w:val="18"/>
                <w:szCs w:val="18"/>
              </w:rPr>
            </w:pPr>
            <w:r w:rsidRPr="00FD305C">
              <w:rPr>
                <w:sz w:val="18"/>
                <w:szCs w:val="18"/>
              </w:rPr>
              <w:t>Tomate</w:t>
            </w:r>
          </w:p>
        </w:tc>
        <w:tc>
          <w:tcPr>
            <w:tcW w:w="7479" w:type="dxa"/>
          </w:tcPr>
          <w:p w14:paraId="1975A91D" w14:textId="77777777" w:rsidR="000524F2" w:rsidRPr="00FD305C" w:rsidRDefault="000524F2" w:rsidP="000524F2">
            <w:pPr>
              <w:keepNext/>
              <w:jc w:val="left"/>
              <w:rPr>
                <w:rFonts w:cs="Arial"/>
                <w:sz w:val="18"/>
                <w:szCs w:val="18"/>
              </w:rPr>
            </w:pPr>
            <w:r w:rsidRPr="00FD305C">
              <w:rPr>
                <w:sz w:val="18"/>
                <w:szCs w:val="18"/>
              </w:rPr>
              <w:t>China,</w:t>
            </w:r>
            <w:r w:rsidRPr="00FD305C">
              <w:rPr>
                <w:color w:val="000000"/>
                <w:sz w:val="18"/>
                <w:szCs w:val="18"/>
              </w:rPr>
              <w:t xml:space="preserve"> Europäische Union, (</w:t>
            </w:r>
            <w:r w:rsidRPr="00FD305C">
              <w:rPr>
                <w:sz w:val="18"/>
                <w:szCs w:val="18"/>
              </w:rPr>
              <w:t xml:space="preserve">Frankreich), (Italien), </w:t>
            </w:r>
            <w:r w:rsidRPr="00FD305C">
              <w:rPr>
                <w:color w:val="000000"/>
                <w:sz w:val="18"/>
                <w:szCs w:val="18"/>
              </w:rPr>
              <w:t xml:space="preserve">Niederlande, </w:t>
            </w:r>
            <w:r w:rsidRPr="00FD305C">
              <w:rPr>
                <w:sz w:val="18"/>
                <w:szCs w:val="18"/>
              </w:rPr>
              <w:t>Republik Korea</w:t>
            </w:r>
          </w:p>
        </w:tc>
      </w:tr>
      <w:tr w:rsidR="000524F2" w:rsidRPr="00FD305C" w14:paraId="2DDA5AA7" w14:textId="77777777" w:rsidTr="0087315F">
        <w:tc>
          <w:tcPr>
            <w:tcW w:w="1560" w:type="dxa"/>
          </w:tcPr>
          <w:p w14:paraId="6EB69D83" w14:textId="77777777" w:rsidR="000524F2" w:rsidRPr="00FD305C" w:rsidRDefault="000524F2" w:rsidP="000524F2">
            <w:pPr>
              <w:jc w:val="left"/>
              <w:rPr>
                <w:rFonts w:cs="Arial"/>
                <w:sz w:val="18"/>
                <w:szCs w:val="18"/>
              </w:rPr>
            </w:pPr>
            <w:r w:rsidRPr="00FD305C">
              <w:rPr>
                <w:sz w:val="18"/>
                <w:szCs w:val="18"/>
              </w:rPr>
              <w:t>Paprika</w:t>
            </w:r>
          </w:p>
        </w:tc>
        <w:tc>
          <w:tcPr>
            <w:tcW w:w="7479" w:type="dxa"/>
          </w:tcPr>
          <w:p w14:paraId="6EC59B0E" w14:textId="77777777" w:rsidR="000524F2" w:rsidRPr="00FD305C" w:rsidRDefault="000524F2" w:rsidP="000524F2">
            <w:pPr>
              <w:jc w:val="left"/>
              <w:rPr>
                <w:rFonts w:cs="Arial"/>
                <w:sz w:val="18"/>
                <w:szCs w:val="18"/>
              </w:rPr>
            </w:pPr>
            <w:r w:rsidRPr="00FD305C">
              <w:rPr>
                <w:sz w:val="18"/>
                <w:szCs w:val="18"/>
              </w:rPr>
              <w:t>China, (Frankreich), Republik Korea</w:t>
            </w:r>
          </w:p>
        </w:tc>
      </w:tr>
      <w:tr w:rsidR="000524F2" w:rsidRPr="00FD305C" w14:paraId="5FEE7A08" w14:textId="77777777" w:rsidTr="0087315F">
        <w:tc>
          <w:tcPr>
            <w:tcW w:w="1560" w:type="dxa"/>
          </w:tcPr>
          <w:p w14:paraId="2CD4882B" w14:textId="77777777" w:rsidR="000524F2" w:rsidRPr="00FD305C" w:rsidRDefault="000524F2" w:rsidP="000524F2">
            <w:pPr>
              <w:jc w:val="left"/>
              <w:rPr>
                <w:rFonts w:cs="Arial"/>
                <w:sz w:val="18"/>
                <w:szCs w:val="18"/>
              </w:rPr>
            </w:pPr>
            <w:r w:rsidRPr="00FD305C">
              <w:rPr>
                <w:sz w:val="18"/>
                <w:szCs w:val="18"/>
              </w:rPr>
              <w:t>Wassermelone</w:t>
            </w:r>
          </w:p>
        </w:tc>
        <w:tc>
          <w:tcPr>
            <w:tcW w:w="7479" w:type="dxa"/>
          </w:tcPr>
          <w:p w14:paraId="7078A8BE" w14:textId="77777777" w:rsidR="000524F2" w:rsidRPr="00FD305C" w:rsidRDefault="000524F2" w:rsidP="000524F2">
            <w:pPr>
              <w:jc w:val="left"/>
              <w:rPr>
                <w:rFonts w:cs="Arial"/>
                <w:sz w:val="18"/>
                <w:szCs w:val="18"/>
              </w:rPr>
            </w:pPr>
            <w:r w:rsidRPr="00FD305C">
              <w:rPr>
                <w:sz w:val="18"/>
                <w:szCs w:val="18"/>
              </w:rPr>
              <w:t>Republik Korea</w:t>
            </w:r>
          </w:p>
        </w:tc>
      </w:tr>
      <w:tr w:rsidR="000524F2" w:rsidRPr="00FD305C" w14:paraId="77416828" w14:textId="77777777" w:rsidTr="0087315F">
        <w:tc>
          <w:tcPr>
            <w:tcW w:w="1560" w:type="dxa"/>
          </w:tcPr>
          <w:p w14:paraId="5ACC6C3B" w14:textId="77777777" w:rsidR="000524F2" w:rsidRPr="00FD305C" w:rsidRDefault="000524F2" w:rsidP="000524F2">
            <w:pPr>
              <w:jc w:val="left"/>
              <w:rPr>
                <w:rFonts w:cs="Arial"/>
                <w:sz w:val="18"/>
                <w:szCs w:val="18"/>
              </w:rPr>
            </w:pPr>
            <w:r w:rsidRPr="00FD305C">
              <w:rPr>
                <w:sz w:val="18"/>
                <w:szCs w:val="18"/>
              </w:rPr>
              <w:t>Melone</w:t>
            </w:r>
          </w:p>
        </w:tc>
        <w:tc>
          <w:tcPr>
            <w:tcW w:w="7479" w:type="dxa"/>
          </w:tcPr>
          <w:p w14:paraId="6F60FFC7" w14:textId="77777777" w:rsidR="000524F2" w:rsidRPr="00FD305C" w:rsidRDefault="005F10C4" w:rsidP="000524F2">
            <w:pPr>
              <w:jc w:val="left"/>
              <w:rPr>
                <w:rFonts w:cs="Arial"/>
                <w:sz w:val="18"/>
                <w:szCs w:val="18"/>
              </w:rPr>
            </w:pPr>
            <w:r w:rsidRPr="00FD305C">
              <w:rPr>
                <w:sz w:val="18"/>
                <w:szCs w:val="18"/>
              </w:rPr>
              <w:t>(Frankreich), Republik Korea</w:t>
            </w:r>
          </w:p>
        </w:tc>
      </w:tr>
      <w:tr w:rsidR="000524F2" w:rsidRPr="00FD305C" w14:paraId="3D2644C0" w14:textId="77777777" w:rsidTr="0087315F">
        <w:tc>
          <w:tcPr>
            <w:tcW w:w="1560" w:type="dxa"/>
          </w:tcPr>
          <w:p w14:paraId="2345B1E8" w14:textId="77777777" w:rsidR="000524F2" w:rsidRPr="00FD305C" w:rsidRDefault="000524F2" w:rsidP="000524F2">
            <w:pPr>
              <w:jc w:val="left"/>
              <w:rPr>
                <w:rFonts w:cs="Arial"/>
                <w:sz w:val="18"/>
                <w:szCs w:val="18"/>
              </w:rPr>
            </w:pPr>
            <w:r w:rsidRPr="00FD305C">
              <w:rPr>
                <w:sz w:val="18"/>
                <w:szCs w:val="18"/>
              </w:rPr>
              <w:t>Salat</w:t>
            </w:r>
          </w:p>
        </w:tc>
        <w:tc>
          <w:tcPr>
            <w:tcW w:w="7479" w:type="dxa"/>
          </w:tcPr>
          <w:p w14:paraId="43C6CFFF" w14:textId="77777777" w:rsidR="000524F2" w:rsidRPr="00FD305C" w:rsidRDefault="000524F2" w:rsidP="000524F2">
            <w:pPr>
              <w:jc w:val="left"/>
              <w:rPr>
                <w:rFonts w:cs="Arial"/>
                <w:sz w:val="18"/>
                <w:szCs w:val="18"/>
              </w:rPr>
            </w:pPr>
            <w:r w:rsidRPr="00FD305C">
              <w:rPr>
                <w:sz w:val="18"/>
                <w:szCs w:val="18"/>
              </w:rPr>
              <w:t>Frankreich, (Italien), Japan, (Niederlande), Republik Korea</w:t>
            </w:r>
          </w:p>
        </w:tc>
      </w:tr>
      <w:tr w:rsidR="000524F2" w:rsidRPr="00FD305C" w14:paraId="7A43306E" w14:textId="77777777" w:rsidTr="0087315F">
        <w:tc>
          <w:tcPr>
            <w:tcW w:w="1560" w:type="dxa"/>
          </w:tcPr>
          <w:p w14:paraId="00284ECC" w14:textId="77777777" w:rsidR="000524F2" w:rsidRPr="00FD305C" w:rsidRDefault="000524F2" w:rsidP="000524F2">
            <w:pPr>
              <w:jc w:val="left"/>
              <w:rPr>
                <w:rFonts w:cs="Arial"/>
                <w:sz w:val="18"/>
                <w:szCs w:val="18"/>
              </w:rPr>
            </w:pPr>
            <w:r w:rsidRPr="00FD305C">
              <w:rPr>
                <w:sz w:val="18"/>
                <w:szCs w:val="18"/>
              </w:rPr>
              <w:t>Kohl</w:t>
            </w:r>
          </w:p>
        </w:tc>
        <w:tc>
          <w:tcPr>
            <w:tcW w:w="7479" w:type="dxa"/>
          </w:tcPr>
          <w:p w14:paraId="2563A1CE" w14:textId="77777777" w:rsidR="000524F2" w:rsidRPr="00FD305C" w:rsidRDefault="000524F2" w:rsidP="000524F2">
            <w:pPr>
              <w:jc w:val="left"/>
              <w:rPr>
                <w:rFonts w:cs="Arial"/>
                <w:sz w:val="18"/>
                <w:szCs w:val="18"/>
              </w:rPr>
            </w:pPr>
            <w:r w:rsidRPr="00FD305C">
              <w:rPr>
                <w:sz w:val="18"/>
                <w:szCs w:val="18"/>
              </w:rPr>
              <w:t xml:space="preserve">Europäische Union, Niederlande, Republik Korea </w:t>
            </w:r>
          </w:p>
        </w:tc>
      </w:tr>
      <w:tr w:rsidR="000524F2" w:rsidRPr="00FD305C" w14:paraId="62F4ECDE" w14:textId="77777777" w:rsidTr="0087315F">
        <w:tc>
          <w:tcPr>
            <w:tcW w:w="1560" w:type="dxa"/>
          </w:tcPr>
          <w:p w14:paraId="7EA5D6F4" w14:textId="77777777" w:rsidR="000524F2" w:rsidRPr="00FD305C" w:rsidRDefault="000524F2" w:rsidP="000524F2">
            <w:pPr>
              <w:jc w:val="left"/>
              <w:rPr>
                <w:rFonts w:cs="Arial"/>
                <w:sz w:val="18"/>
                <w:szCs w:val="18"/>
              </w:rPr>
            </w:pPr>
            <w:r w:rsidRPr="00FD305C">
              <w:rPr>
                <w:sz w:val="18"/>
                <w:szCs w:val="18"/>
              </w:rPr>
              <w:t>Champignon</w:t>
            </w:r>
          </w:p>
        </w:tc>
        <w:tc>
          <w:tcPr>
            <w:tcW w:w="7479" w:type="dxa"/>
          </w:tcPr>
          <w:p w14:paraId="3B345D88" w14:textId="77777777" w:rsidR="000524F2" w:rsidRPr="00FD305C" w:rsidRDefault="000524F2" w:rsidP="000524F2">
            <w:pPr>
              <w:jc w:val="left"/>
              <w:rPr>
                <w:rFonts w:cs="Arial"/>
                <w:sz w:val="18"/>
                <w:szCs w:val="18"/>
              </w:rPr>
            </w:pPr>
            <w:r w:rsidRPr="00FD305C">
              <w:rPr>
                <w:sz w:val="18"/>
                <w:szCs w:val="18"/>
              </w:rPr>
              <w:t>Japan</w:t>
            </w:r>
          </w:p>
        </w:tc>
      </w:tr>
      <w:tr w:rsidR="000524F2" w:rsidRPr="00FD305C" w14:paraId="1F32C992" w14:textId="77777777" w:rsidTr="0087315F">
        <w:tc>
          <w:tcPr>
            <w:tcW w:w="1560" w:type="dxa"/>
          </w:tcPr>
          <w:p w14:paraId="692FDEE8" w14:textId="77777777" w:rsidR="000524F2" w:rsidRPr="00FD305C" w:rsidRDefault="000524F2" w:rsidP="000524F2">
            <w:pPr>
              <w:jc w:val="left"/>
              <w:rPr>
                <w:rFonts w:cs="Arial"/>
                <w:sz w:val="18"/>
                <w:szCs w:val="18"/>
              </w:rPr>
            </w:pPr>
            <w:r w:rsidRPr="00FD305C">
              <w:rPr>
                <w:sz w:val="18"/>
                <w:szCs w:val="18"/>
              </w:rPr>
              <w:t>Gartenbohne</w:t>
            </w:r>
          </w:p>
        </w:tc>
        <w:tc>
          <w:tcPr>
            <w:tcW w:w="7479" w:type="dxa"/>
          </w:tcPr>
          <w:p w14:paraId="6C875773" w14:textId="77777777" w:rsidR="000524F2" w:rsidRPr="00FD305C" w:rsidRDefault="000524F2" w:rsidP="000524F2">
            <w:pPr>
              <w:jc w:val="left"/>
              <w:rPr>
                <w:rFonts w:cs="Arial"/>
                <w:sz w:val="18"/>
                <w:szCs w:val="18"/>
              </w:rPr>
            </w:pPr>
            <w:r w:rsidRPr="00FD305C">
              <w:rPr>
                <w:color w:val="000000"/>
                <w:sz w:val="18"/>
                <w:szCs w:val="18"/>
              </w:rPr>
              <w:t>Niederlande</w:t>
            </w:r>
          </w:p>
        </w:tc>
      </w:tr>
      <w:tr w:rsidR="000524F2" w:rsidRPr="00FD305C" w14:paraId="50A4725B" w14:textId="77777777" w:rsidTr="0087315F">
        <w:tc>
          <w:tcPr>
            <w:tcW w:w="1560" w:type="dxa"/>
          </w:tcPr>
          <w:p w14:paraId="7A6BA400" w14:textId="77777777" w:rsidR="000524F2" w:rsidRPr="00FD305C" w:rsidRDefault="000524F2" w:rsidP="000524F2">
            <w:pPr>
              <w:jc w:val="left"/>
              <w:rPr>
                <w:rFonts w:cs="Arial"/>
                <w:sz w:val="18"/>
                <w:szCs w:val="18"/>
              </w:rPr>
            </w:pPr>
            <w:r w:rsidRPr="00FD305C">
              <w:rPr>
                <w:sz w:val="18"/>
                <w:szCs w:val="18"/>
              </w:rPr>
              <w:t>Erbse</w:t>
            </w:r>
          </w:p>
        </w:tc>
        <w:tc>
          <w:tcPr>
            <w:tcW w:w="7479" w:type="dxa"/>
          </w:tcPr>
          <w:p w14:paraId="0E7F9C86" w14:textId="77777777" w:rsidR="000524F2" w:rsidRPr="00FD305C" w:rsidRDefault="005F10C4" w:rsidP="000524F2">
            <w:pPr>
              <w:jc w:val="left"/>
              <w:rPr>
                <w:rFonts w:cs="Arial"/>
                <w:sz w:val="18"/>
                <w:szCs w:val="18"/>
              </w:rPr>
            </w:pPr>
            <w:r w:rsidRPr="00FD305C">
              <w:rPr>
                <w:sz w:val="18"/>
                <w:szCs w:val="18"/>
              </w:rPr>
              <w:t xml:space="preserve">(Niederlande), (Vereinigtes Königreich) </w:t>
            </w:r>
          </w:p>
        </w:tc>
      </w:tr>
      <w:tr w:rsidR="000524F2" w:rsidRPr="00FD305C" w14:paraId="31F33B84" w14:textId="77777777" w:rsidTr="0087315F">
        <w:tc>
          <w:tcPr>
            <w:tcW w:w="1560" w:type="dxa"/>
          </w:tcPr>
          <w:p w14:paraId="4FC3F74E" w14:textId="77777777" w:rsidR="000524F2" w:rsidRPr="00FD305C" w:rsidRDefault="000524F2" w:rsidP="000524F2">
            <w:pPr>
              <w:jc w:val="left"/>
              <w:rPr>
                <w:rFonts w:cs="Arial"/>
                <w:sz w:val="18"/>
                <w:szCs w:val="18"/>
              </w:rPr>
            </w:pPr>
            <w:r w:rsidRPr="00FD305C">
              <w:rPr>
                <w:sz w:val="18"/>
                <w:szCs w:val="18"/>
              </w:rPr>
              <w:t>Zwiebel</w:t>
            </w:r>
          </w:p>
        </w:tc>
        <w:tc>
          <w:tcPr>
            <w:tcW w:w="7479" w:type="dxa"/>
          </w:tcPr>
          <w:p w14:paraId="2BF35AE8" w14:textId="77777777" w:rsidR="000524F2" w:rsidRPr="00FD305C" w:rsidRDefault="000524F2" w:rsidP="000524F2">
            <w:pPr>
              <w:jc w:val="left"/>
              <w:rPr>
                <w:rFonts w:cs="Arial"/>
                <w:sz w:val="18"/>
                <w:szCs w:val="18"/>
              </w:rPr>
            </w:pPr>
            <w:r w:rsidRPr="00FD305C">
              <w:rPr>
                <w:color w:val="000000"/>
                <w:sz w:val="18"/>
                <w:szCs w:val="18"/>
              </w:rPr>
              <w:t>Niederlande</w:t>
            </w:r>
          </w:p>
        </w:tc>
      </w:tr>
      <w:tr w:rsidR="000524F2" w:rsidRPr="00FD305C" w14:paraId="5918DC72" w14:textId="77777777" w:rsidTr="0087315F">
        <w:tc>
          <w:tcPr>
            <w:tcW w:w="1560" w:type="dxa"/>
          </w:tcPr>
          <w:p w14:paraId="5B3F0A7F" w14:textId="77777777" w:rsidR="000524F2" w:rsidRPr="00FD305C" w:rsidRDefault="000524F2" w:rsidP="000524F2">
            <w:pPr>
              <w:jc w:val="left"/>
              <w:rPr>
                <w:rFonts w:cs="Arial"/>
                <w:sz w:val="18"/>
                <w:szCs w:val="18"/>
              </w:rPr>
            </w:pPr>
            <w:r w:rsidRPr="00FD305C">
              <w:rPr>
                <w:sz w:val="18"/>
                <w:szCs w:val="18"/>
              </w:rPr>
              <w:t>Aubergine</w:t>
            </w:r>
          </w:p>
        </w:tc>
        <w:tc>
          <w:tcPr>
            <w:tcW w:w="7479" w:type="dxa"/>
          </w:tcPr>
          <w:p w14:paraId="1C829849" w14:textId="77777777" w:rsidR="000524F2" w:rsidRPr="00FD305C" w:rsidRDefault="005F10C4" w:rsidP="000524F2">
            <w:pPr>
              <w:jc w:val="left"/>
              <w:rPr>
                <w:rFonts w:cs="Arial"/>
                <w:color w:val="000000"/>
                <w:sz w:val="18"/>
                <w:szCs w:val="18"/>
              </w:rPr>
            </w:pPr>
            <w:r w:rsidRPr="00FD305C">
              <w:rPr>
                <w:color w:val="000000"/>
                <w:sz w:val="18"/>
                <w:szCs w:val="18"/>
              </w:rPr>
              <w:t>(China)</w:t>
            </w:r>
          </w:p>
        </w:tc>
      </w:tr>
    </w:tbl>
    <w:p w14:paraId="29CDD689" w14:textId="77777777" w:rsidR="000524F2" w:rsidRPr="00FD305C" w:rsidRDefault="000524F2" w:rsidP="000524F2"/>
    <w:p w14:paraId="58AC066E" w14:textId="77777777" w:rsidR="000524F2" w:rsidRPr="00FD305C" w:rsidRDefault="000524F2" w:rsidP="000524F2">
      <w:pPr>
        <w:keepNext/>
        <w:ind w:left="567"/>
        <w:outlineLvl w:val="3"/>
        <w:rPr>
          <w:rFonts w:eastAsiaTheme="minorEastAsia"/>
          <w:u w:val="single"/>
        </w:rPr>
      </w:pPr>
      <w:r w:rsidRPr="00FD305C">
        <w:rPr>
          <w:u w:val="single"/>
        </w:rPr>
        <w:lastRenderedPageBreak/>
        <w:t>Zusammenfassung der aktuellen Verwendung biochemischer und molekularer Verfahren im Gemüsesektor</w:t>
      </w:r>
    </w:p>
    <w:p w14:paraId="5A7FA0CC" w14:textId="77777777" w:rsidR="000524F2" w:rsidRPr="00FD305C" w:rsidRDefault="000524F2" w:rsidP="000524F2">
      <w:pPr>
        <w:rPr>
          <w:rFonts w:eastAsiaTheme="minorEastAsia"/>
        </w:rPr>
      </w:pPr>
    </w:p>
    <w:tbl>
      <w:tblPr>
        <w:tblStyle w:val="TableGrid21"/>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9039"/>
      </w:tblGrid>
      <w:tr w:rsidR="000524F2" w:rsidRPr="00FD305C" w14:paraId="13A67585" w14:textId="77777777" w:rsidTr="0087315F">
        <w:tc>
          <w:tcPr>
            <w:tcW w:w="9039" w:type="dxa"/>
          </w:tcPr>
          <w:p w14:paraId="6D488F18" w14:textId="77777777" w:rsidR="000524F2" w:rsidRPr="00FD305C" w:rsidRDefault="000524F2" w:rsidP="000524F2">
            <w:pPr>
              <w:jc w:val="left"/>
              <w:rPr>
                <w:rFonts w:cs="Arial"/>
                <w:sz w:val="18"/>
                <w:szCs w:val="18"/>
                <w:u w:val="single"/>
              </w:rPr>
            </w:pPr>
            <w:r w:rsidRPr="00FD305C">
              <w:rPr>
                <w:sz w:val="18"/>
                <w:szCs w:val="18"/>
              </w:rPr>
              <w:t>Verwendung:</w:t>
            </w:r>
          </w:p>
        </w:tc>
      </w:tr>
      <w:tr w:rsidR="000524F2" w:rsidRPr="00FD305C" w14:paraId="6DBBF7DC" w14:textId="77777777" w:rsidTr="0087315F">
        <w:tc>
          <w:tcPr>
            <w:tcW w:w="9039" w:type="dxa"/>
          </w:tcPr>
          <w:p w14:paraId="73F73512" w14:textId="77777777" w:rsidR="000524F2" w:rsidRPr="00FD305C" w:rsidRDefault="000524F2" w:rsidP="000524F2">
            <w:pPr>
              <w:jc w:val="left"/>
              <w:rPr>
                <w:rFonts w:cs="Arial"/>
                <w:sz w:val="18"/>
                <w:szCs w:val="18"/>
              </w:rPr>
            </w:pPr>
            <w:r w:rsidRPr="00FD305C">
              <w:rPr>
                <w:sz w:val="18"/>
                <w:szCs w:val="18"/>
              </w:rPr>
              <w:t>Verwaltung von Vergleichssammlungen</w:t>
            </w:r>
          </w:p>
        </w:tc>
      </w:tr>
      <w:tr w:rsidR="000524F2" w:rsidRPr="00FD305C" w14:paraId="0342B2DC" w14:textId="77777777" w:rsidTr="0087315F">
        <w:tc>
          <w:tcPr>
            <w:tcW w:w="9039" w:type="dxa"/>
          </w:tcPr>
          <w:p w14:paraId="5F20AABB" w14:textId="77777777" w:rsidR="000524F2" w:rsidRPr="00FD305C" w:rsidRDefault="000524F2" w:rsidP="000524F2">
            <w:pPr>
              <w:jc w:val="left"/>
              <w:rPr>
                <w:rFonts w:cs="Arial"/>
                <w:sz w:val="18"/>
                <w:szCs w:val="18"/>
              </w:rPr>
            </w:pPr>
            <w:r w:rsidRPr="00FD305C">
              <w:rPr>
                <w:sz w:val="18"/>
                <w:szCs w:val="18"/>
              </w:rPr>
              <w:t>Auswahl ähnlicher Sorten/Gruppierungsmerkmale</w:t>
            </w:r>
          </w:p>
        </w:tc>
      </w:tr>
      <w:tr w:rsidR="000524F2" w:rsidRPr="00FD305C" w14:paraId="5E050E68" w14:textId="77777777" w:rsidTr="0087315F">
        <w:tc>
          <w:tcPr>
            <w:tcW w:w="9039" w:type="dxa"/>
          </w:tcPr>
          <w:p w14:paraId="30D45D1E" w14:textId="77777777" w:rsidR="000524F2" w:rsidRPr="00FD305C" w:rsidRDefault="000524F2" w:rsidP="000524F2">
            <w:pPr>
              <w:jc w:val="left"/>
              <w:rPr>
                <w:rFonts w:cs="Arial"/>
                <w:sz w:val="18"/>
                <w:szCs w:val="18"/>
              </w:rPr>
            </w:pPr>
            <w:r w:rsidRPr="00FD305C">
              <w:rPr>
                <w:sz w:val="18"/>
                <w:szCs w:val="18"/>
              </w:rPr>
              <w:t>Sortenidentifikation</w:t>
            </w:r>
          </w:p>
        </w:tc>
      </w:tr>
      <w:tr w:rsidR="000524F2" w:rsidRPr="00FD305C" w14:paraId="2F4353C7" w14:textId="77777777" w:rsidTr="0087315F">
        <w:tc>
          <w:tcPr>
            <w:tcW w:w="9039" w:type="dxa"/>
          </w:tcPr>
          <w:p w14:paraId="030699B5" w14:textId="77777777" w:rsidR="000524F2" w:rsidRPr="00FD305C" w:rsidRDefault="000524F2" w:rsidP="000524F2">
            <w:pPr>
              <w:jc w:val="left"/>
              <w:rPr>
                <w:rFonts w:cs="Arial"/>
                <w:sz w:val="18"/>
                <w:szCs w:val="18"/>
              </w:rPr>
            </w:pPr>
            <w:r w:rsidRPr="00FD305C">
              <w:rPr>
                <w:sz w:val="18"/>
                <w:szCs w:val="18"/>
              </w:rPr>
              <w:t>Durchsetzung geistiger Eigentumsrechte/Rechtsverletzungen</w:t>
            </w:r>
          </w:p>
        </w:tc>
      </w:tr>
      <w:tr w:rsidR="000524F2" w:rsidRPr="00FD305C" w14:paraId="07A31D0E" w14:textId="77777777" w:rsidTr="0087315F">
        <w:tc>
          <w:tcPr>
            <w:tcW w:w="9039" w:type="dxa"/>
          </w:tcPr>
          <w:p w14:paraId="44F1B46A" w14:textId="7649C2A9" w:rsidR="000524F2" w:rsidRPr="00FD305C" w:rsidRDefault="000524F2" w:rsidP="000524F2">
            <w:pPr>
              <w:jc w:val="left"/>
              <w:rPr>
                <w:rFonts w:cs="Arial"/>
                <w:sz w:val="18"/>
                <w:szCs w:val="18"/>
              </w:rPr>
            </w:pPr>
            <w:r w:rsidRPr="00FD305C">
              <w:rPr>
                <w:sz w:val="18"/>
                <w:szCs w:val="18"/>
              </w:rPr>
              <w:t>Prüfung spezifischer Merkmale (</w:t>
            </w:r>
            <w:r w:rsidR="005155FF" w:rsidRPr="00FD305C">
              <w:rPr>
                <w:sz w:val="18"/>
                <w:szCs w:val="18"/>
              </w:rPr>
              <w:t>z. B.</w:t>
            </w:r>
            <w:r w:rsidRPr="00FD305C">
              <w:rPr>
                <w:sz w:val="18"/>
                <w:szCs w:val="18"/>
              </w:rPr>
              <w:t xml:space="preserve"> männliche Sterilität, Krankheitsresistenz: als Ersatz oder Ergänzung zur biologischen Prüfung)</w:t>
            </w:r>
          </w:p>
        </w:tc>
      </w:tr>
      <w:tr w:rsidR="000524F2" w:rsidRPr="00FD305C" w14:paraId="2F177491" w14:textId="77777777" w:rsidTr="0087315F">
        <w:tc>
          <w:tcPr>
            <w:tcW w:w="9039" w:type="dxa"/>
          </w:tcPr>
          <w:p w14:paraId="179E4DB2" w14:textId="77777777" w:rsidR="000524F2" w:rsidRPr="00FD305C" w:rsidRDefault="000524F2" w:rsidP="000524F2">
            <w:pPr>
              <w:jc w:val="left"/>
              <w:rPr>
                <w:rFonts w:cs="Arial"/>
                <w:sz w:val="10"/>
                <w:szCs w:val="18"/>
                <w:lang w:eastAsia="zh-CN"/>
              </w:rPr>
            </w:pPr>
          </w:p>
        </w:tc>
      </w:tr>
      <w:tr w:rsidR="000524F2" w:rsidRPr="00FD305C" w14:paraId="6A80821F" w14:textId="77777777" w:rsidTr="0087315F">
        <w:tc>
          <w:tcPr>
            <w:tcW w:w="9039" w:type="dxa"/>
          </w:tcPr>
          <w:p w14:paraId="31DF9C6B" w14:textId="77777777" w:rsidR="000524F2" w:rsidRPr="00FD305C" w:rsidRDefault="000524F2" w:rsidP="000524F2">
            <w:pPr>
              <w:jc w:val="left"/>
              <w:rPr>
                <w:rFonts w:cs="Arial"/>
                <w:sz w:val="18"/>
                <w:szCs w:val="18"/>
                <w:u w:val="single"/>
              </w:rPr>
            </w:pPr>
            <w:r w:rsidRPr="00FD305C">
              <w:rPr>
                <w:sz w:val="18"/>
                <w:szCs w:val="18"/>
              </w:rPr>
              <w:t>Verfahren:</w:t>
            </w:r>
          </w:p>
        </w:tc>
      </w:tr>
      <w:tr w:rsidR="000524F2" w:rsidRPr="00FD305C" w14:paraId="07B57A25" w14:textId="77777777" w:rsidTr="0087315F">
        <w:tc>
          <w:tcPr>
            <w:tcW w:w="9039" w:type="dxa"/>
          </w:tcPr>
          <w:p w14:paraId="5F0CC384" w14:textId="77777777" w:rsidR="000524F2" w:rsidRPr="00FD305C" w:rsidRDefault="000524F2" w:rsidP="000524F2">
            <w:pPr>
              <w:jc w:val="left"/>
              <w:rPr>
                <w:rFonts w:cs="Arial"/>
                <w:sz w:val="18"/>
                <w:szCs w:val="18"/>
              </w:rPr>
            </w:pPr>
            <w:r w:rsidRPr="00FD305C">
              <w:rPr>
                <w:sz w:val="18"/>
                <w:szCs w:val="18"/>
              </w:rPr>
              <w:t>SSR</w:t>
            </w:r>
          </w:p>
        </w:tc>
      </w:tr>
      <w:tr w:rsidR="000524F2" w:rsidRPr="00FD305C" w14:paraId="34E6B54B" w14:textId="77777777" w:rsidTr="0087315F">
        <w:tc>
          <w:tcPr>
            <w:tcW w:w="9039" w:type="dxa"/>
          </w:tcPr>
          <w:p w14:paraId="581B9317" w14:textId="77777777" w:rsidR="000524F2" w:rsidRPr="00FD305C" w:rsidRDefault="000524F2" w:rsidP="000524F2">
            <w:pPr>
              <w:jc w:val="left"/>
              <w:rPr>
                <w:rFonts w:cs="Arial"/>
                <w:sz w:val="18"/>
                <w:szCs w:val="18"/>
              </w:rPr>
            </w:pPr>
            <w:r w:rsidRPr="00FD305C">
              <w:rPr>
                <w:sz w:val="18"/>
                <w:szCs w:val="18"/>
              </w:rPr>
              <w:t>SNP</w:t>
            </w:r>
          </w:p>
        </w:tc>
      </w:tr>
      <w:tr w:rsidR="000524F2" w:rsidRPr="00FD305C" w14:paraId="6D44BE11" w14:textId="77777777" w:rsidTr="0087315F">
        <w:tc>
          <w:tcPr>
            <w:tcW w:w="9039" w:type="dxa"/>
          </w:tcPr>
          <w:p w14:paraId="11C5D338" w14:textId="77777777" w:rsidR="000524F2" w:rsidRPr="00FD305C" w:rsidRDefault="000524F2" w:rsidP="000524F2">
            <w:pPr>
              <w:jc w:val="left"/>
              <w:rPr>
                <w:rFonts w:cs="Arial"/>
                <w:sz w:val="18"/>
                <w:szCs w:val="18"/>
              </w:rPr>
            </w:pPr>
            <w:r w:rsidRPr="00FD305C">
              <w:rPr>
                <w:sz w:val="18"/>
                <w:szCs w:val="18"/>
              </w:rPr>
              <w:t>Elektrophorese (Isoenzym)</w:t>
            </w:r>
          </w:p>
        </w:tc>
      </w:tr>
    </w:tbl>
    <w:p w14:paraId="013C9142" w14:textId="77777777" w:rsidR="00F13396" w:rsidRPr="00FD305C" w:rsidRDefault="00F13396" w:rsidP="000524F2"/>
    <w:p w14:paraId="0B9D46DB" w14:textId="77777777" w:rsidR="000524F2" w:rsidRPr="00FD305C" w:rsidRDefault="000524F2" w:rsidP="000524F2">
      <w:pPr>
        <w:keepNext/>
        <w:ind w:left="567"/>
        <w:outlineLvl w:val="3"/>
        <w:rPr>
          <w:rFonts w:eastAsiaTheme="minorEastAsia"/>
          <w:u w:val="single"/>
        </w:rPr>
      </w:pPr>
      <w:r w:rsidRPr="00FD305C">
        <w:rPr>
          <w:u w:val="single"/>
        </w:rPr>
        <w:t>Zusammenfassung möglicher Bereiche der Zusammenarbeit im Hinblick auf die Verwendung biochemischer und molekularer Verfahren im Gemüsesektor</w:t>
      </w:r>
    </w:p>
    <w:p w14:paraId="2BB3E3AD" w14:textId="77777777" w:rsidR="000524F2" w:rsidRPr="00FD305C" w:rsidRDefault="000524F2" w:rsidP="000524F2">
      <w:pPr>
        <w:keepNext/>
        <w:rPr>
          <w:rFonts w:eastAsiaTheme="minorEastAsia"/>
        </w:rPr>
      </w:pPr>
      <w:r w:rsidRPr="00FD305C">
        <w:t xml:space="preserve"> </w:t>
      </w:r>
    </w:p>
    <w:tbl>
      <w:tblPr>
        <w:tblStyle w:val="TableGrid21"/>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0524F2" w:rsidRPr="00FD305C" w14:paraId="34997481" w14:textId="77777777" w:rsidTr="0087315F">
        <w:tc>
          <w:tcPr>
            <w:tcW w:w="9039" w:type="dxa"/>
          </w:tcPr>
          <w:p w14:paraId="2F3237F5" w14:textId="77777777" w:rsidR="000524F2" w:rsidRPr="00FD305C" w:rsidRDefault="000524F2" w:rsidP="000524F2">
            <w:pPr>
              <w:keepNext/>
              <w:jc w:val="left"/>
              <w:rPr>
                <w:rFonts w:cs="Arial"/>
                <w:sz w:val="18"/>
                <w:szCs w:val="18"/>
              </w:rPr>
            </w:pPr>
            <w:r w:rsidRPr="00FD305C">
              <w:rPr>
                <w:sz w:val="18"/>
                <w:szCs w:val="18"/>
              </w:rPr>
              <w:t>Förderung des Austausches von Daten und Verfahren</w:t>
            </w:r>
          </w:p>
        </w:tc>
      </w:tr>
      <w:tr w:rsidR="000524F2" w:rsidRPr="00FD305C" w14:paraId="5E1BF886" w14:textId="77777777" w:rsidTr="0087315F">
        <w:tc>
          <w:tcPr>
            <w:tcW w:w="9039" w:type="dxa"/>
          </w:tcPr>
          <w:p w14:paraId="7E17476C" w14:textId="77777777" w:rsidR="000524F2" w:rsidRPr="00FD305C" w:rsidRDefault="000524F2" w:rsidP="000524F2">
            <w:pPr>
              <w:jc w:val="left"/>
              <w:rPr>
                <w:rFonts w:cs="Arial"/>
                <w:sz w:val="18"/>
                <w:szCs w:val="18"/>
              </w:rPr>
            </w:pPr>
            <w:r w:rsidRPr="00FD305C">
              <w:rPr>
                <w:sz w:val="18"/>
                <w:szCs w:val="18"/>
              </w:rPr>
              <w:t>Erleichterung der Zusammenarbeit und Schulung</w:t>
            </w:r>
          </w:p>
        </w:tc>
      </w:tr>
      <w:tr w:rsidR="000524F2" w:rsidRPr="00FD305C" w14:paraId="6F3EC288" w14:textId="77777777" w:rsidTr="0087315F">
        <w:tc>
          <w:tcPr>
            <w:tcW w:w="9039" w:type="dxa"/>
          </w:tcPr>
          <w:p w14:paraId="721A1FB1" w14:textId="77777777" w:rsidR="000524F2" w:rsidRPr="00FD305C" w:rsidRDefault="000524F2" w:rsidP="000524F2">
            <w:pPr>
              <w:jc w:val="left"/>
              <w:rPr>
                <w:rFonts w:cs="Arial"/>
                <w:sz w:val="18"/>
                <w:szCs w:val="18"/>
              </w:rPr>
            </w:pPr>
            <w:r w:rsidRPr="00FD305C">
              <w:rPr>
                <w:sz w:val="18"/>
                <w:szCs w:val="18"/>
              </w:rPr>
              <w:t>Förderung des Austauschs von DNS/Marker-Sets (keine lebenden Organismen) und Saatgut</w:t>
            </w:r>
          </w:p>
        </w:tc>
      </w:tr>
      <w:tr w:rsidR="000524F2" w:rsidRPr="00FD305C" w14:paraId="55954825" w14:textId="77777777" w:rsidTr="0087315F">
        <w:tc>
          <w:tcPr>
            <w:tcW w:w="9039" w:type="dxa"/>
          </w:tcPr>
          <w:p w14:paraId="55B9D7B6" w14:textId="77777777" w:rsidR="000524F2" w:rsidRPr="00FD305C" w:rsidRDefault="000524F2" w:rsidP="000524F2">
            <w:pPr>
              <w:jc w:val="left"/>
              <w:rPr>
                <w:rFonts w:cs="Arial"/>
                <w:sz w:val="18"/>
                <w:szCs w:val="18"/>
              </w:rPr>
            </w:pPr>
            <w:r w:rsidRPr="00FD305C">
              <w:rPr>
                <w:sz w:val="18"/>
                <w:szCs w:val="18"/>
              </w:rPr>
              <w:t xml:space="preserve">Sicherstellung der Konsistenz bei der Nutzung von BMT zwischen den UPOV-Mitgliedern </w:t>
            </w:r>
          </w:p>
        </w:tc>
      </w:tr>
      <w:tr w:rsidR="000524F2" w:rsidRPr="00FD305C" w14:paraId="4ABA84FE" w14:textId="77777777" w:rsidTr="0087315F">
        <w:tc>
          <w:tcPr>
            <w:tcW w:w="9039" w:type="dxa"/>
          </w:tcPr>
          <w:p w14:paraId="5AFD83EA" w14:textId="77777777" w:rsidR="000524F2" w:rsidRPr="00FD305C" w:rsidRDefault="000524F2" w:rsidP="000524F2">
            <w:pPr>
              <w:jc w:val="left"/>
              <w:rPr>
                <w:rFonts w:cs="Arial"/>
                <w:sz w:val="18"/>
                <w:szCs w:val="18"/>
              </w:rPr>
            </w:pPr>
            <w:r w:rsidRPr="00FD305C">
              <w:rPr>
                <w:sz w:val="18"/>
                <w:szCs w:val="18"/>
              </w:rPr>
              <w:t>Identifizierung von Schwerpunkten für molekulare Verfahren bei der DUS-Prüfung für jedes Verbandsmitglied und Bereitstellung dieser Informationen über die UPOV-Website</w:t>
            </w:r>
          </w:p>
        </w:tc>
      </w:tr>
      <w:tr w:rsidR="000524F2" w:rsidRPr="00FD305C" w14:paraId="699614A9" w14:textId="77777777" w:rsidTr="0087315F">
        <w:tc>
          <w:tcPr>
            <w:tcW w:w="9039" w:type="dxa"/>
          </w:tcPr>
          <w:p w14:paraId="708CEE12" w14:textId="77777777" w:rsidR="000524F2" w:rsidRPr="00FD305C" w:rsidRDefault="000524F2" w:rsidP="000524F2">
            <w:pPr>
              <w:jc w:val="left"/>
              <w:rPr>
                <w:rFonts w:cs="Arial"/>
                <w:sz w:val="18"/>
                <w:szCs w:val="18"/>
              </w:rPr>
            </w:pPr>
            <w:r w:rsidRPr="00FD305C">
              <w:rPr>
                <w:sz w:val="18"/>
                <w:szCs w:val="18"/>
              </w:rPr>
              <w:t>Erarbeitung von Anleitung für das Sammeln von DNS-Proben, Eigentum an Materialaustausch (Vertraulichkeit)</w:t>
            </w:r>
          </w:p>
        </w:tc>
      </w:tr>
      <w:tr w:rsidR="000524F2" w:rsidRPr="00FD305C" w14:paraId="42DCD53A" w14:textId="77777777" w:rsidTr="0087315F">
        <w:tc>
          <w:tcPr>
            <w:tcW w:w="9039" w:type="dxa"/>
          </w:tcPr>
          <w:p w14:paraId="3DA3756E" w14:textId="77777777" w:rsidR="000524F2" w:rsidRPr="00FD305C" w:rsidRDefault="000524F2" w:rsidP="000524F2">
            <w:pPr>
              <w:jc w:val="left"/>
              <w:rPr>
                <w:rFonts w:cs="Arial"/>
                <w:sz w:val="18"/>
                <w:szCs w:val="18"/>
              </w:rPr>
            </w:pPr>
            <w:r w:rsidRPr="00FD305C">
              <w:rPr>
                <w:sz w:val="18"/>
                <w:szCs w:val="18"/>
              </w:rPr>
              <w:t>Aktualisierung der Anleitung zur Verwendung von Informationen und zum Austausch von DNS-Material.</w:t>
            </w:r>
          </w:p>
        </w:tc>
      </w:tr>
      <w:tr w:rsidR="000524F2" w:rsidRPr="00FD305C" w14:paraId="17FADD21" w14:textId="77777777" w:rsidTr="0087315F">
        <w:trPr>
          <w:trHeight w:val="156"/>
        </w:trPr>
        <w:tc>
          <w:tcPr>
            <w:tcW w:w="9039" w:type="dxa"/>
          </w:tcPr>
          <w:p w14:paraId="2CECEADD" w14:textId="77777777" w:rsidR="000524F2" w:rsidRPr="00FD305C" w:rsidRDefault="000524F2" w:rsidP="000524F2">
            <w:pPr>
              <w:jc w:val="left"/>
              <w:rPr>
                <w:rFonts w:cs="Arial"/>
                <w:sz w:val="18"/>
                <w:szCs w:val="18"/>
              </w:rPr>
            </w:pPr>
            <w:r w:rsidRPr="00FD305C">
              <w:rPr>
                <w:sz w:val="18"/>
                <w:szCs w:val="18"/>
              </w:rPr>
              <w:t>Prüfung der Möglichkeit der Erstellung einer „UPOV“-DNS-Datenbank, eines „UPOV“-Markersets</w:t>
            </w:r>
          </w:p>
        </w:tc>
      </w:tr>
      <w:tr w:rsidR="000524F2" w:rsidRPr="00FD305C" w14:paraId="7DFA7C4F" w14:textId="77777777" w:rsidTr="0087315F">
        <w:tc>
          <w:tcPr>
            <w:tcW w:w="9039" w:type="dxa"/>
          </w:tcPr>
          <w:p w14:paraId="0E020159" w14:textId="77777777" w:rsidR="000524F2" w:rsidRPr="00FD305C" w:rsidRDefault="000524F2" w:rsidP="000524F2">
            <w:pPr>
              <w:jc w:val="left"/>
              <w:rPr>
                <w:rFonts w:cs="Arial"/>
                <w:sz w:val="18"/>
                <w:szCs w:val="18"/>
              </w:rPr>
            </w:pPr>
            <w:r w:rsidRPr="00FD305C">
              <w:rPr>
                <w:sz w:val="18"/>
                <w:szCs w:val="18"/>
              </w:rPr>
              <w:t>Erarbeitung von Anleitung und/oder Schulung für spezialisierte Gerichte/Sachverständige</w:t>
            </w:r>
          </w:p>
        </w:tc>
      </w:tr>
      <w:tr w:rsidR="000524F2" w:rsidRPr="00FD305C" w14:paraId="7DB7CF18" w14:textId="77777777" w:rsidTr="0087315F">
        <w:tc>
          <w:tcPr>
            <w:tcW w:w="9039" w:type="dxa"/>
          </w:tcPr>
          <w:p w14:paraId="0D7FDFC2" w14:textId="28968970" w:rsidR="000524F2" w:rsidRPr="00FD305C" w:rsidRDefault="000524F2" w:rsidP="000524F2">
            <w:pPr>
              <w:jc w:val="left"/>
              <w:rPr>
                <w:rFonts w:cs="Arial"/>
                <w:sz w:val="18"/>
                <w:szCs w:val="18"/>
              </w:rPr>
            </w:pPr>
            <w:r w:rsidRPr="00FD305C">
              <w:rPr>
                <w:sz w:val="18"/>
                <w:szCs w:val="18"/>
              </w:rPr>
              <w:t>Aufbau von Vergleichs-Anbauprüfungen (</w:t>
            </w:r>
            <w:r w:rsidR="005155FF" w:rsidRPr="00FD305C">
              <w:rPr>
                <w:sz w:val="18"/>
                <w:szCs w:val="18"/>
              </w:rPr>
              <w:t>z. B.</w:t>
            </w:r>
            <w:r w:rsidRPr="00FD305C">
              <w:rPr>
                <w:sz w:val="18"/>
                <w:szCs w:val="18"/>
              </w:rPr>
              <w:t xml:space="preserve"> Harmores-Projekt)</w:t>
            </w:r>
          </w:p>
        </w:tc>
      </w:tr>
      <w:tr w:rsidR="000524F2" w:rsidRPr="00FD305C" w14:paraId="3F17637D" w14:textId="77777777" w:rsidTr="0087315F">
        <w:tc>
          <w:tcPr>
            <w:tcW w:w="9039" w:type="dxa"/>
          </w:tcPr>
          <w:p w14:paraId="0F90BFB6" w14:textId="77777777" w:rsidR="000524F2" w:rsidRPr="00FD305C" w:rsidRDefault="000524F2" w:rsidP="000524F2">
            <w:pPr>
              <w:jc w:val="left"/>
              <w:rPr>
                <w:rFonts w:cs="Arial"/>
                <w:sz w:val="18"/>
                <w:szCs w:val="18"/>
              </w:rPr>
            </w:pPr>
            <w:r w:rsidRPr="00FD305C">
              <w:rPr>
                <w:sz w:val="18"/>
                <w:szCs w:val="18"/>
              </w:rPr>
              <w:t>Förderung der Arbeit der BMT als Plattform zur Verbesserung der Zusammenarbeit und Förderung der Beteiligung von Mitgliedern</w:t>
            </w:r>
          </w:p>
        </w:tc>
      </w:tr>
      <w:tr w:rsidR="000524F2" w:rsidRPr="00FD305C" w14:paraId="4D3E8628" w14:textId="77777777" w:rsidTr="0087315F">
        <w:tc>
          <w:tcPr>
            <w:tcW w:w="9039" w:type="dxa"/>
          </w:tcPr>
          <w:p w14:paraId="7F5078FD" w14:textId="77777777" w:rsidR="000524F2" w:rsidRPr="00FD305C" w:rsidRDefault="000524F2" w:rsidP="000524F2">
            <w:pPr>
              <w:jc w:val="left"/>
              <w:rPr>
                <w:rFonts w:cs="Arial"/>
                <w:sz w:val="18"/>
                <w:szCs w:val="18"/>
              </w:rPr>
            </w:pPr>
            <w:r w:rsidRPr="00FD305C">
              <w:rPr>
                <w:sz w:val="18"/>
                <w:szCs w:val="18"/>
              </w:rPr>
              <w:t>Förderung und Verbesserung der Zusammenarbeit mit Züchtern und deren Vertretern</w:t>
            </w:r>
          </w:p>
        </w:tc>
      </w:tr>
    </w:tbl>
    <w:p w14:paraId="72AD9D4C" w14:textId="77777777" w:rsidR="000524F2" w:rsidRPr="00FD305C" w:rsidRDefault="000524F2" w:rsidP="000524F2">
      <w:pPr>
        <w:spacing w:line="360" w:lineRule="auto"/>
        <w:rPr>
          <w:lang w:eastAsia="ja-JP"/>
        </w:rPr>
      </w:pPr>
    </w:p>
    <w:p w14:paraId="0978549D" w14:textId="77777777" w:rsidR="000524F2" w:rsidRPr="00FD305C" w:rsidRDefault="000524F2" w:rsidP="000524F2">
      <w:pPr>
        <w:keepNext/>
        <w:outlineLvl w:val="2"/>
        <w:rPr>
          <w:i/>
          <w:snapToGrid w:val="0"/>
        </w:rPr>
      </w:pPr>
      <w:bookmarkStart w:id="42" w:name="_Toc14980933"/>
      <w:r w:rsidRPr="00FD305C">
        <w:rPr>
          <w:i/>
          <w:snapToGrid w:val="0"/>
        </w:rPr>
        <w:t>Technische Arbeitsgruppe für Obstarten</w:t>
      </w:r>
      <w:bookmarkEnd w:id="42"/>
    </w:p>
    <w:p w14:paraId="6852C301" w14:textId="77777777" w:rsidR="000524F2" w:rsidRPr="00FD305C" w:rsidRDefault="000524F2" w:rsidP="000524F2">
      <w:pPr>
        <w:keepNext/>
        <w:rPr>
          <w:lang w:eastAsia="ja-JP"/>
        </w:rPr>
      </w:pPr>
    </w:p>
    <w:p w14:paraId="4A0FF180" w14:textId="0FDD9F08" w:rsidR="000524F2" w:rsidRPr="00FD305C" w:rsidRDefault="000524F2" w:rsidP="000524F2">
      <w:r w:rsidRPr="00FD305C">
        <w:fldChar w:fldCharType="begin"/>
      </w:r>
      <w:r w:rsidRPr="00FD305C">
        <w:instrText xml:space="preserve"> AUTONUM  </w:instrText>
      </w:r>
      <w:r w:rsidRPr="00FD305C">
        <w:fldChar w:fldCharType="end"/>
      </w:r>
      <w:r w:rsidRPr="00FD305C">
        <w:tab/>
        <w:t>Nach Diskussionen in der Untergruppe wurden von TWF-Teilnehmern folgende Informationen bereitgestellt (vergleiche Dokument TWF/50/13 „</w:t>
      </w:r>
      <w:r w:rsidRPr="00FD305C">
        <w:rPr>
          <w:i/>
          <w:iCs/>
        </w:rPr>
        <w:t>Report</w:t>
      </w:r>
      <w:r w:rsidRPr="00FD305C">
        <w:t>“, Absatz 75)</w:t>
      </w:r>
      <w:r w:rsidR="005155FF" w:rsidRPr="00FD305C">
        <w:t xml:space="preserve">: </w:t>
      </w:r>
    </w:p>
    <w:p w14:paraId="60B0AA2B" w14:textId="77777777" w:rsidR="000524F2" w:rsidRPr="00FD305C" w:rsidRDefault="000524F2" w:rsidP="000524F2"/>
    <w:p w14:paraId="747D1852" w14:textId="77777777" w:rsidR="000524F2" w:rsidRPr="00FD305C" w:rsidRDefault="000524F2" w:rsidP="000524F2">
      <w:pPr>
        <w:keepNext/>
        <w:ind w:left="567"/>
        <w:outlineLvl w:val="3"/>
        <w:rPr>
          <w:rFonts w:eastAsiaTheme="minorEastAsia"/>
          <w:u w:val="single"/>
        </w:rPr>
      </w:pPr>
      <w:r w:rsidRPr="00FD305C">
        <w:rPr>
          <w:u w:val="single"/>
        </w:rPr>
        <w:t>Übersicht über Pflanzen und Behörden, die derzeit biochemische und molekulare Verfahren im Bereich der Obstsorten verwenden</w:t>
      </w:r>
    </w:p>
    <w:p w14:paraId="7E1B06C9" w14:textId="77777777" w:rsidR="000524F2" w:rsidRPr="00FD305C" w:rsidRDefault="000524F2" w:rsidP="000524F2">
      <w:pPr>
        <w:keepNext/>
        <w:ind w:left="567"/>
        <w:outlineLvl w:val="3"/>
        <w:rPr>
          <w:rFonts w:eastAsiaTheme="minorEastAsia"/>
          <w:sz w:val="16"/>
          <w:u w:val="single"/>
        </w:rPr>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2093"/>
        <w:gridCol w:w="6946"/>
      </w:tblGrid>
      <w:tr w:rsidR="000524F2" w:rsidRPr="00FD305C" w14:paraId="33FA0C60" w14:textId="77777777" w:rsidTr="00F9295B">
        <w:tc>
          <w:tcPr>
            <w:tcW w:w="2093" w:type="dxa"/>
          </w:tcPr>
          <w:p w14:paraId="6DE036BE" w14:textId="77777777" w:rsidR="000524F2" w:rsidRPr="00FD305C" w:rsidRDefault="000524F2" w:rsidP="001D597D">
            <w:pPr>
              <w:keepNext/>
              <w:rPr>
                <w:sz w:val="18"/>
              </w:rPr>
            </w:pPr>
            <w:r w:rsidRPr="00FD305C">
              <w:rPr>
                <w:sz w:val="18"/>
              </w:rPr>
              <w:t>Tschechische Republik</w:t>
            </w:r>
          </w:p>
        </w:tc>
        <w:tc>
          <w:tcPr>
            <w:tcW w:w="6946" w:type="dxa"/>
          </w:tcPr>
          <w:p w14:paraId="4DA0FC40" w14:textId="77777777" w:rsidR="000524F2" w:rsidRPr="00FD305C" w:rsidRDefault="000524F2" w:rsidP="001D597D">
            <w:pPr>
              <w:keepNext/>
              <w:rPr>
                <w:sz w:val="18"/>
              </w:rPr>
            </w:pPr>
            <w:r w:rsidRPr="00FD305C">
              <w:rPr>
                <w:sz w:val="18"/>
              </w:rPr>
              <w:t>Rebe</w:t>
            </w:r>
          </w:p>
        </w:tc>
      </w:tr>
      <w:tr w:rsidR="000524F2" w:rsidRPr="00FD305C" w14:paraId="768E0E69" w14:textId="77777777" w:rsidTr="00F9295B">
        <w:tc>
          <w:tcPr>
            <w:tcW w:w="2093" w:type="dxa"/>
          </w:tcPr>
          <w:p w14:paraId="1AB992A6" w14:textId="77777777" w:rsidR="000524F2" w:rsidRPr="00FD305C" w:rsidRDefault="000524F2" w:rsidP="001D597D">
            <w:pPr>
              <w:keepNext/>
              <w:rPr>
                <w:sz w:val="18"/>
              </w:rPr>
            </w:pPr>
            <w:r w:rsidRPr="00FD305C">
              <w:rPr>
                <w:sz w:val="18"/>
              </w:rPr>
              <w:t>Frankreich</w:t>
            </w:r>
          </w:p>
        </w:tc>
        <w:tc>
          <w:tcPr>
            <w:tcW w:w="6946" w:type="dxa"/>
          </w:tcPr>
          <w:p w14:paraId="5C3BA0A0" w14:textId="77777777" w:rsidR="000524F2" w:rsidRPr="00FD305C" w:rsidRDefault="000524F2" w:rsidP="001D597D">
            <w:pPr>
              <w:keepNext/>
              <w:rPr>
                <w:sz w:val="18"/>
              </w:rPr>
            </w:pPr>
            <w:r w:rsidRPr="00FD305C">
              <w:rPr>
                <w:sz w:val="18"/>
              </w:rPr>
              <w:t>Apfel, Pfirsich, Birne, Süßkirsche, Aprikose, Japanische Pflaume</w:t>
            </w:r>
          </w:p>
        </w:tc>
      </w:tr>
      <w:tr w:rsidR="000524F2" w:rsidRPr="00FD305C" w14:paraId="425E6EDF" w14:textId="77777777" w:rsidTr="00F9295B">
        <w:tc>
          <w:tcPr>
            <w:tcW w:w="2093" w:type="dxa"/>
          </w:tcPr>
          <w:p w14:paraId="42CBCEC0" w14:textId="77777777" w:rsidR="000524F2" w:rsidRPr="00FD305C" w:rsidRDefault="000524F2" w:rsidP="001D597D">
            <w:pPr>
              <w:keepNext/>
              <w:rPr>
                <w:sz w:val="18"/>
              </w:rPr>
            </w:pPr>
            <w:r w:rsidRPr="00FD305C">
              <w:rPr>
                <w:sz w:val="18"/>
              </w:rPr>
              <w:t>Deutschland</w:t>
            </w:r>
          </w:p>
        </w:tc>
        <w:tc>
          <w:tcPr>
            <w:tcW w:w="6946" w:type="dxa"/>
          </w:tcPr>
          <w:p w14:paraId="1FC7784A" w14:textId="77777777" w:rsidR="000524F2" w:rsidRPr="00FD305C" w:rsidRDefault="000524F2" w:rsidP="001D597D">
            <w:pPr>
              <w:keepNext/>
              <w:rPr>
                <w:sz w:val="18"/>
              </w:rPr>
            </w:pPr>
            <w:r w:rsidRPr="00FD305C">
              <w:rPr>
                <w:sz w:val="18"/>
              </w:rPr>
              <w:t>Birne, Apfel, Erdbeere, Süßkirsche, Sauerkirsche</w:t>
            </w:r>
          </w:p>
        </w:tc>
      </w:tr>
      <w:tr w:rsidR="000524F2" w:rsidRPr="00FD305C" w14:paraId="67795942" w14:textId="77777777" w:rsidTr="00F9295B">
        <w:tc>
          <w:tcPr>
            <w:tcW w:w="2093" w:type="dxa"/>
          </w:tcPr>
          <w:p w14:paraId="3BD03F7F" w14:textId="77777777" w:rsidR="000524F2" w:rsidRPr="00FD305C" w:rsidRDefault="000524F2" w:rsidP="001D597D">
            <w:pPr>
              <w:rPr>
                <w:sz w:val="18"/>
              </w:rPr>
            </w:pPr>
            <w:r w:rsidRPr="00FD305C">
              <w:rPr>
                <w:sz w:val="18"/>
              </w:rPr>
              <w:t>Republik Korea</w:t>
            </w:r>
          </w:p>
        </w:tc>
        <w:tc>
          <w:tcPr>
            <w:tcW w:w="6946" w:type="dxa"/>
          </w:tcPr>
          <w:p w14:paraId="3F20C6D9" w14:textId="77777777" w:rsidR="000524F2" w:rsidRPr="00FD305C" w:rsidRDefault="000524F2" w:rsidP="001D597D">
            <w:pPr>
              <w:rPr>
                <w:sz w:val="18"/>
              </w:rPr>
            </w:pPr>
            <w:r w:rsidRPr="00FD305C">
              <w:rPr>
                <w:sz w:val="18"/>
              </w:rPr>
              <w:t>Apfel, Rebe, Pfirsich, Birne, Birne, Erdbeere</w:t>
            </w:r>
          </w:p>
        </w:tc>
      </w:tr>
      <w:tr w:rsidR="000524F2" w:rsidRPr="00FD305C" w14:paraId="0B4ABD07" w14:textId="77777777" w:rsidTr="00F9295B">
        <w:tc>
          <w:tcPr>
            <w:tcW w:w="2093" w:type="dxa"/>
          </w:tcPr>
          <w:p w14:paraId="35621E6E" w14:textId="77777777" w:rsidR="000524F2" w:rsidRPr="00FD305C" w:rsidRDefault="000524F2" w:rsidP="001D597D">
            <w:pPr>
              <w:rPr>
                <w:sz w:val="18"/>
              </w:rPr>
            </w:pPr>
            <w:r w:rsidRPr="00FD305C">
              <w:rPr>
                <w:sz w:val="18"/>
              </w:rPr>
              <w:t>Marokko</w:t>
            </w:r>
          </w:p>
        </w:tc>
        <w:tc>
          <w:tcPr>
            <w:tcW w:w="6946" w:type="dxa"/>
          </w:tcPr>
          <w:p w14:paraId="1036398E" w14:textId="77777777" w:rsidR="000524F2" w:rsidRPr="00FD305C" w:rsidRDefault="000524F2" w:rsidP="001D597D">
            <w:pPr>
              <w:rPr>
                <w:sz w:val="18"/>
              </w:rPr>
            </w:pPr>
            <w:r w:rsidRPr="00FD305C">
              <w:rPr>
                <w:sz w:val="18"/>
              </w:rPr>
              <w:t>Zitrusfrüchte, Dattelpalme</w:t>
            </w:r>
          </w:p>
        </w:tc>
      </w:tr>
      <w:tr w:rsidR="000524F2" w:rsidRPr="00FD305C" w14:paraId="7FF15EFD" w14:textId="77777777" w:rsidTr="00F9295B">
        <w:tc>
          <w:tcPr>
            <w:tcW w:w="2093" w:type="dxa"/>
          </w:tcPr>
          <w:p w14:paraId="4D42711C" w14:textId="77777777" w:rsidR="000524F2" w:rsidRPr="00FD305C" w:rsidRDefault="000524F2" w:rsidP="001D597D">
            <w:pPr>
              <w:rPr>
                <w:sz w:val="18"/>
              </w:rPr>
            </w:pPr>
            <w:r w:rsidRPr="00FD305C">
              <w:rPr>
                <w:sz w:val="18"/>
              </w:rPr>
              <w:t>Italien</w:t>
            </w:r>
          </w:p>
        </w:tc>
        <w:tc>
          <w:tcPr>
            <w:tcW w:w="6946" w:type="dxa"/>
          </w:tcPr>
          <w:p w14:paraId="08FA2886" w14:textId="77777777" w:rsidR="000524F2" w:rsidRPr="00FD305C" w:rsidRDefault="000524F2" w:rsidP="001D597D">
            <w:pPr>
              <w:rPr>
                <w:sz w:val="18"/>
              </w:rPr>
            </w:pPr>
            <w:r w:rsidRPr="00FD305C">
              <w:rPr>
                <w:sz w:val="18"/>
              </w:rPr>
              <w:t>Rebe</w:t>
            </w:r>
          </w:p>
        </w:tc>
      </w:tr>
      <w:tr w:rsidR="000524F2" w:rsidRPr="00FD305C" w14:paraId="5A811487" w14:textId="77777777" w:rsidTr="00F9295B">
        <w:tc>
          <w:tcPr>
            <w:tcW w:w="2093" w:type="dxa"/>
          </w:tcPr>
          <w:p w14:paraId="69D60698" w14:textId="77777777" w:rsidR="000524F2" w:rsidRPr="00FD305C" w:rsidRDefault="000524F2" w:rsidP="001D597D">
            <w:pPr>
              <w:rPr>
                <w:sz w:val="18"/>
              </w:rPr>
            </w:pPr>
            <w:r w:rsidRPr="00FD305C">
              <w:rPr>
                <w:sz w:val="18"/>
              </w:rPr>
              <w:t>Ungarn</w:t>
            </w:r>
          </w:p>
        </w:tc>
        <w:tc>
          <w:tcPr>
            <w:tcW w:w="6946" w:type="dxa"/>
          </w:tcPr>
          <w:p w14:paraId="52C7EAA1" w14:textId="77777777" w:rsidR="000524F2" w:rsidRPr="00FD305C" w:rsidRDefault="000524F2" w:rsidP="001D597D">
            <w:pPr>
              <w:rPr>
                <w:sz w:val="18"/>
              </w:rPr>
            </w:pPr>
            <w:r w:rsidRPr="00FD305C">
              <w:rPr>
                <w:sz w:val="18"/>
              </w:rPr>
              <w:t xml:space="preserve">Rebe, Pfirsich, Kirsche, Sauerkirsche, Aprikose, Pflaume </w:t>
            </w:r>
          </w:p>
        </w:tc>
      </w:tr>
      <w:tr w:rsidR="000524F2" w:rsidRPr="00FD305C" w14:paraId="7258FABB" w14:textId="77777777" w:rsidTr="00F9295B">
        <w:tc>
          <w:tcPr>
            <w:tcW w:w="2093" w:type="dxa"/>
          </w:tcPr>
          <w:p w14:paraId="24FD6A6B" w14:textId="77777777" w:rsidR="000524F2" w:rsidRPr="00FD305C" w:rsidRDefault="000524F2" w:rsidP="001D597D">
            <w:pPr>
              <w:rPr>
                <w:sz w:val="18"/>
              </w:rPr>
            </w:pPr>
            <w:r w:rsidRPr="00FD305C">
              <w:rPr>
                <w:sz w:val="18"/>
              </w:rPr>
              <w:t>Spanien</w:t>
            </w:r>
          </w:p>
        </w:tc>
        <w:tc>
          <w:tcPr>
            <w:tcW w:w="6946" w:type="dxa"/>
          </w:tcPr>
          <w:p w14:paraId="28E84983" w14:textId="77777777" w:rsidR="000524F2" w:rsidRPr="00FD305C" w:rsidRDefault="000524F2" w:rsidP="001D597D">
            <w:pPr>
              <w:rPr>
                <w:sz w:val="18"/>
              </w:rPr>
            </w:pPr>
            <w:r w:rsidRPr="00FD305C">
              <w:rPr>
                <w:sz w:val="18"/>
              </w:rPr>
              <w:t xml:space="preserve">Mandel, Aprikose, Avocado, Banane, Cherimoya, Zitrusfrüchte, Feigenbaum, Rebe, Haselnuss, Mango, Pfirsich, Birne, Ananas, Erdbeere, Süßkirsche, Walnuß </w:t>
            </w:r>
          </w:p>
        </w:tc>
      </w:tr>
      <w:tr w:rsidR="000524F2" w:rsidRPr="00FD305C" w14:paraId="22481E15" w14:textId="77777777" w:rsidTr="00F9295B">
        <w:tc>
          <w:tcPr>
            <w:tcW w:w="2093" w:type="dxa"/>
          </w:tcPr>
          <w:p w14:paraId="5A97D776" w14:textId="77777777" w:rsidR="000524F2" w:rsidRPr="00FD305C" w:rsidRDefault="000524F2" w:rsidP="001D597D">
            <w:pPr>
              <w:rPr>
                <w:sz w:val="18"/>
              </w:rPr>
            </w:pPr>
            <w:r w:rsidRPr="00FD305C">
              <w:rPr>
                <w:sz w:val="18"/>
              </w:rPr>
              <w:t>Japan</w:t>
            </w:r>
          </w:p>
        </w:tc>
        <w:tc>
          <w:tcPr>
            <w:tcW w:w="6946" w:type="dxa"/>
          </w:tcPr>
          <w:p w14:paraId="0E31A9B4" w14:textId="77777777" w:rsidR="000524F2" w:rsidRPr="00FD305C" w:rsidRDefault="000524F2" w:rsidP="001D597D">
            <w:pPr>
              <w:rPr>
                <w:sz w:val="18"/>
              </w:rPr>
            </w:pPr>
            <w:r w:rsidRPr="00FD305C">
              <w:rPr>
                <w:sz w:val="18"/>
              </w:rPr>
              <w:t>Apfel, Zitrusfrüchte, Ananas, Japanische Birne, Süßkirsche, Erdbeere, Rebe</w:t>
            </w:r>
          </w:p>
        </w:tc>
      </w:tr>
    </w:tbl>
    <w:p w14:paraId="43B6CE3E" w14:textId="77777777" w:rsidR="000524F2" w:rsidRPr="00FD305C" w:rsidRDefault="000524F2" w:rsidP="001D597D">
      <w:pPr>
        <w:rPr>
          <w:rFonts w:eastAsiaTheme="minorEastAsia"/>
        </w:rPr>
      </w:pPr>
    </w:p>
    <w:p w14:paraId="5712E65B" w14:textId="77777777" w:rsidR="000524F2" w:rsidRPr="00FD305C" w:rsidRDefault="000524F2" w:rsidP="000524F2">
      <w:pPr>
        <w:keepNext/>
        <w:ind w:left="567"/>
        <w:outlineLvl w:val="3"/>
        <w:rPr>
          <w:rFonts w:eastAsiaTheme="minorEastAsia"/>
          <w:u w:val="single"/>
        </w:rPr>
      </w:pPr>
      <w:r w:rsidRPr="00FD305C">
        <w:rPr>
          <w:u w:val="single"/>
        </w:rPr>
        <w:t>Zusammenfassung der aktuellen Verwendung biochemischer und molekularer Verfahren im Bereich der Obstsorten</w:t>
      </w:r>
    </w:p>
    <w:p w14:paraId="0B1C15FE" w14:textId="77777777" w:rsidR="000524F2" w:rsidRPr="00FD305C" w:rsidRDefault="000524F2" w:rsidP="000524F2">
      <w:pPr>
        <w:keepNext/>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0524F2" w:rsidRPr="00FD305C" w14:paraId="23342148" w14:textId="77777777" w:rsidTr="001D597D">
        <w:tc>
          <w:tcPr>
            <w:tcW w:w="9039" w:type="dxa"/>
          </w:tcPr>
          <w:p w14:paraId="4F845816" w14:textId="77777777" w:rsidR="000524F2" w:rsidRPr="00FD305C" w:rsidRDefault="000524F2" w:rsidP="000524F2">
            <w:pPr>
              <w:keepNext/>
              <w:ind w:left="40"/>
              <w:rPr>
                <w:sz w:val="18"/>
              </w:rPr>
            </w:pPr>
            <w:r w:rsidRPr="00FD305C">
              <w:rPr>
                <w:sz w:val="18"/>
              </w:rPr>
              <w:t>Verwendung:</w:t>
            </w:r>
          </w:p>
        </w:tc>
      </w:tr>
      <w:tr w:rsidR="000524F2" w:rsidRPr="00FD305C" w14:paraId="2F584115" w14:textId="77777777" w:rsidTr="001D597D">
        <w:tc>
          <w:tcPr>
            <w:tcW w:w="9039" w:type="dxa"/>
          </w:tcPr>
          <w:p w14:paraId="21ED801B" w14:textId="77777777" w:rsidR="000524F2" w:rsidRPr="00FD305C" w:rsidRDefault="000524F2" w:rsidP="000524F2">
            <w:pPr>
              <w:ind w:left="40"/>
              <w:rPr>
                <w:sz w:val="18"/>
              </w:rPr>
            </w:pPr>
            <w:r w:rsidRPr="00FD305C">
              <w:rPr>
                <w:sz w:val="18"/>
              </w:rPr>
              <w:t xml:space="preserve">Verwaltung und Beschreibung von Sortensammlungen </w:t>
            </w:r>
          </w:p>
        </w:tc>
      </w:tr>
      <w:tr w:rsidR="000524F2" w:rsidRPr="00FD305C" w14:paraId="23E80F91" w14:textId="77777777" w:rsidTr="001D597D">
        <w:tc>
          <w:tcPr>
            <w:tcW w:w="9039" w:type="dxa"/>
          </w:tcPr>
          <w:p w14:paraId="67C5A216" w14:textId="4E3B31E8" w:rsidR="000524F2" w:rsidRPr="00FD305C" w:rsidRDefault="000524F2" w:rsidP="000524F2">
            <w:pPr>
              <w:ind w:left="40"/>
              <w:rPr>
                <w:sz w:val="18"/>
              </w:rPr>
            </w:pPr>
            <w:r w:rsidRPr="00FD305C">
              <w:rPr>
                <w:sz w:val="18"/>
              </w:rPr>
              <w:t>Genetischer A</w:t>
            </w:r>
            <w:r w:rsidR="005155FF" w:rsidRPr="00FD305C">
              <w:rPr>
                <w:sz w:val="18"/>
              </w:rPr>
              <w:t>bstand und molekulare Profilierung</w:t>
            </w:r>
          </w:p>
        </w:tc>
      </w:tr>
      <w:tr w:rsidR="000524F2" w:rsidRPr="00FD305C" w14:paraId="4D8A8927" w14:textId="77777777" w:rsidTr="001D597D">
        <w:tc>
          <w:tcPr>
            <w:tcW w:w="9039" w:type="dxa"/>
          </w:tcPr>
          <w:p w14:paraId="18AA04E5" w14:textId="77777777" w:rsidR="000524F2" w:rsidRPr="00FD305C" w:rsidRDefault="000524F2" w:rsidP="000524F2">
            <w:pPr>
              <w:ind w:left="40"/>
              <w:rPr>
                <w:sz w:val="18"/>
              </w:rPr>
            </w:pPr>
            <w:r w:rsidRPr="00FD305C">
              <w:rPr>
                <w:sz w:val="18"/>
              </w:rPr>
              <w:t>Homogenitätsprüfung</w:t>
            </w:r>
          </w:p>
        </w:tc>
      </w:tr>
      <w:tr w:rsidR="000524F2" w:rsidRPr="00FD305C" w14:paraId="15BB8A16" w14:textId="77777777" w:rsidTr="001D597D">
        <w:tc>
          <w:tcPr>
            <w:tcW w:w="9039" w:type="dxa"/>
          </w:tcPr>
          <w:p w14:paraId="56BC6D57" w14:textId="77777777" w:rsidR="000524F2" w:rsidRPr="00FD305C" w:rsidRDefault="000524F2" w:rsidP="000524F2">
            <w:pPr>
              <w:ind w:left="40"/>
              <w:rPr>
                <w:sz w:val="18"/>
              </w:rPr>
            </w:pPr>
            <w:r w:rsidRPr="00FD305C">
              <w:rPr>
                <w:sz w:val="18"/>
              </w:rPr>
              <w:lastRenderedPageBreak/>
              <w:t xml:space="preserve">Forschungszwecke </w:t>
            </w:r>
          </w:p>
        </w:tc>
      </w:tr>
      <w:tr w:rsidR="000524F2" w:rsidRPr="00FD305C" w14:paraId="4A06B47B" w14:textId="77777777" w:rsidTr="001D597D">
        <w:tc>
          <w:tcPr>
            <w:tcW w:w="9039" w:type="dxa"/>
          </w:tcPr>
          <w:p w14:paraId="56AD1B8C" w14:textId="77777777" w:rsidR="000524F2" w:rsidRPr="00FD305C" w:rsidRDefault="000524F2" w:rsidP="000524F2">
            <w:pPr>
              <w:ind w:left="40"/>
              <w:rPr>
                <w:sz w:val="18"/>
              </w:rPr>
            </w:pPr>
            <w:r w:rsidRPr="00FD305C">
              <w:rPr>
                <w:sz w:val="18"/>
              </w:rPr>
              <w:t>Durchsetzung</w:t>
            </w:r>
          </w:p>
        </w:tc>
      </w:tr>
      <w:tr w:rsidR="000524F2" w:rsidRPr="00FD305C" w14:paraId="7B0FE2EC" w14:textId="77777777" w:rsidTr="001D597D">
        <w:tc>
          <w:tcPr>
            <w:tcW w:w="9039" w:type="dxa"/>
          </w:tcPr>
          <w:p w14:paraId="7E46BEBA" w14:textId="77777777" w:rsidR="000524F2" w:rsidRPr="00FD305C" w:rsidRDefault="000524F2" w:rsidP="000524F2">
            <w:pPr>
              <w:ind w:left="40"/>
              <w:rPr>
                <w:sz w:val="18"/>
              </w:rPr>
            </w:pPr>
            <w:r w:rsidRPr="00FD305C">
              <w:rPr>
                <w:sz w:val="18"/>
              </w:rPr>
              <w:t xml:space="preserve">Identifizierung von Sorten für Zertifizierungszwecke. </w:t>
            </w:r>
          </w:p>
        </w:tc>
      </w:tr>
      <w:tr w:rsidR="000524F2" w:rsidRPr="00FD305C" w14:paraId="203C4B70" w14:textId="77777777" w:rsidTr="001D597D">
        <w:trPr>
          <w:trHeight w:val="117"/>
        </w:trPr>
        <w:tc>
          <w:tcPr>
            <w:tcW w:w="9039" w:type="dxa"/>
          </w:tcPr>
          <w:p w14:paraId="2B817398" w14:textId="77777777" w:rsidR="000524F2" w:rsidRPr="00FD305C" w:rsidRDefault="000524F2" w:rsidP="000524F2">
            <w:pPr>
              <w:ind w:left="40"/>
              <w:rPr>
                <w:sz w:val="14"/>
              </w:rPr>
            </w:pPr>
          </w:p>
        </w:tc>
      </w:tr>
      <w:tr w:rsidR="000524F2" w:rsidRPr="00FD305C" w14:paraId="1F34516C" w14:textId="77777777" w:rsidTr="001D597D">
        <w:tc>
          <w:tcPr>
            <w:tcW w:w="9039" w:type="dxa"/>
          </w:tcPr>
          <w:p w14:paraId="4426CA86" w14:textId="77777777" w:rsidR="000524F2" w:rsidRPr="00FD305C" w:rsidRDefault="000524F2" w:rsidP="000524F2">
            <w:pPr>
              <w:ind w:left="40"/>
              <w:rPr>
                <w:sz w:val="18"/>
              </w:rPr>
            </w:pPr>
            <w:r w:rsidRPr="00FD305C">
              <w:rPr>
                <w:sz w:val="18"/>
              </w:rPr>
              <w:t>Verfahren:</w:t>
            </w:r>
          </w:p>
        </w:tc>
      </w:tr>
      <w:tr w:rsidR="000524F2" w:rsidRPr="00FD305C" w14:paraId="4CE1ECFD" w14:textId="77777777" w:rsidTr="001D597D">
        <w:tc>
          <w:tcPr>
            <w:tcW w:w="9039" w:type="dxa"/>
          </w:tcPr>
          <w:p w14:paraId="35244E70" w14:textId="77777777" w:rsidR="000524F2" w:rsidRPr="00FD305C" w:rsidRDefault="000524F2" w:rsidP="000524F2">
            <w:pPr>
              <w:ind w:left="40"/>
              <w:rPr>
                <w:sz w:val="18"/>
              </w:rPr>
            </w:pPr>
            <w:r w:rsidRPr="00FD305C">
              <w:rPr>
                <w:sz w:val="18"/>
              </w:rPr>
              <w:t>SSR</w:t>
            </w:r>
          </w:p>
        </w:tc>
      </w:tr>
      <w:tr w:rsidR="000524F2" w:rsidRPr="00FD305C" w14:paraId="4119A6B5" w14:textId="77777777" w:rsidTr="001D597D">
        <w:tc>
          <w:tcPr>
            <w:tcW w:w="9039" w:type="dxa"/>
          </w:tcPr>
          <w:p w14:paraId="124D78A2" w14:textId="77777777" w:rsidR="000524F2" w:rsidRPr="00FD305C" w:rsidRDefault="000524F2" w:rsidP="000524F2">
            <w:pPr>
              <w:ind w:left="40"/>
              <w:rPr>
                <w:sz w:val="18"/>
              </w:rPr>
            </w:pPr>
            <w:r w:rsidRPr="00FD305C">
              <w:rPr>
                <w:sz w:val="18"/>
              </w:rPr>
              <w:t>SNPs</w:t>
            </w:r>
          </w:p>
        </w:tc>
      </w:tr>
    </w:tbl>
    <w:p w14:paraId="101D4F04" w14:textId="77777777" w:rsidR="000524F2" w:rsidRPr="00FD305C" w:rsidRDefault="000524F2" w:rsidP="000524F2"/>
    <w:p w14:paraId="4F6CF716" w14:textId="77777777" w:rsidR="000524F2" w:rsidRPr="00FD305C" w:rsidRDefault="000524F2" w:rsidP="000524F2">
      <w:pPr>
        <w:keepNext/>
        <w:ind w:left="567"/>
        <w:outlineLvl w:val="3"/>
        <w:rPr>
          <w:rFonts w:eastAsiaTheme="minorEastAsia"/>
          <w:u w:val="single"/>
        </w:rPr>
      </w:pPr>
      <w:r w:rsidRPr="00FD305C">
        <w:rPr>
          <w:u w:val="single"/>
        </w:rPr>
        <w:t>Zusammenfassung etwaiger Bereiche der Zusammenarbeit im Hinblick auf die Verwendung biochemischer und molekularer Verfahren im Bereich der Obstsorten</w:t>
      </w:r>
    </w:p>
    <w:p w14:paraId="224FEE65" w14:textId="77777777" w:rsidR="000524F2" w:rsidRPr="00FD305C" w:rsidRDefault="000524F2" w:rsidP="000524F2">
      <w:pPr>
        <w:keepNext/>
        <w:ind w:left="567"/>
        <w:outlineLvl w:val="3"/>
        <w:rPr>
          <w:u w:val="single"/>
        </w:rPr>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0524F2" w:rsidRPr="00FD305C" w14:paraId="1F3D3353" w14:textId="77777777" w:rsidTr="001D597D">
        <w:tc>
          <w:tcPr>
            <w:tcW w:w="9039" w:type="dxa"/>
          </w:tcPr>
          <w:p w14:paraId="6F7965A4" w14:textId="77777777" w:rsidR="000524F2" w:rsidRPr="00FD305C" w:rsidRDefault="000524F2" w:rsidP="000524F2">
            <w:pPr>
              <w:keepNext/>
              <w:ind w:left="40"/>
              <w:rPr>
                <w:sz w:val="18"/>
              </w:rPr>
            </w:pPr>
            <w:r w:rsidRPr="00FD305C">
              <w:rPr>
                <w:sz w:val="18"/>
              </w:rPr>
              <w:t>Entwicklung und Austausch gemeinsamer Datenbanken (Benennung eines führenden Landes und Koordinators)</w:t>
            </w:r>
          </w:p>
        </w:tc>
      </w:tr>
      <w:tr w:rsidR="000524F2" w:rsidRPr="00FD305C" w14:paraId="73DE951E" w14:textId="77777777" w:rsidTr="001D597D">
        <w:tc>
          <w:tcPr>
            <w:tcW w:w="9039" w:type="dxa"/>
          </w:tcPr>
          <w:p w14:paraId="09E6BC9D" w14:textId="77777777" w:rsidR="000524F2" w:rsidRPr="00FD305C" w:rsidRDefault="000524F2" w:rsidP="000524F2">
            <w:pPr>
              <w:keepNext/>
              <w:ind w:left="40"/>
              <w:rPr>
                <w:sz w:val="18"/>
              </w:rPr>
            </w:pPr>
            <w:r w:rsidRPr="00FD305C">
              <w:rPr>
                <w:sz w:val="18"/>
              </w:rPr>
              <w:t>Verfahren für den Austausch</w:t>
            </w:r>
          </w:p>
        </w:tc>
      </w:tr>
      <w:tr w:rsidR="000524F2" w:rsidRPr="00FD305C" w14:paraId="033A897D" w14:textId="77777777" w:rsidTr="001D597D">
        <w:tc>
          <w:tcPr>
            <w:tcW w:w="9039" w:type="dxa"/>
          </w:tcPr>
          <w:p w14:paraId="3D0BA80B" w14:textId="77777777" w:rsidR="000524F2" w:rsidRPr="00FD305C" w:rsidRDefault="000524F2" w:rsidP="000524F2">
            <w:pPr>
              <w:ind w:left="40"/>
              <w:rPr>
                <w:sz w:val="18"/>
              </w:rPr>
            </w:pPr>
            <w:r w:rsidRPr="00FD305C">
              <w:rPr>
                <w:sz w:val="18"/>
              </w:rPr>
              <w:t>Harmonisierung von Projekten/Markern/Methoden/Verfahren</w:t>
            </w:r>
          </w:p>
        </w:tc>
      </w:tr>
      <w:tr w:rsidR="000524F2" w:rsidRPr="00FD305C" w14:paraId="15C94B7F" w14:textId="77777777" w:rsidTr="001D597D">
        <w:tc>
          <w:tcPr>
            <w:tcW w:w="9039" w:type="dxa"/>
          </w:tcPr>
          <w:p w14:paraId="77B92B91" w14:textId="77777777" w:rsidR="000524F2" w:rsidRPr="00FD305C" w:rsidRDefault="000524F2" w:rsidP="000524F2">
            <w:pPr>
              <w:ind w:left="40"/>
              <w:rPr>
                <w:sz w:val="18"/>
              </w:rPr>
            </w:pPr>
            <w:r w:rsidRPr="00FD305C">
              <w:rPr>
                <w:sz w:val="18"/>
              </w:rPr>
              <w:t>Austausch von Informationen und Verfahren</w:t>
            </w:r>
          </w:p>
        </w:tc>
      </w:tr>
      <w:tr w:rsidR="000524F2" w:rsidRPr="00FD305C" w14:paraId="5AC948D3" w14:textId="77777777" w:rsidTr="001D597D">
        <w:tc>
          <w:tcPr>
            <w:tcW w:w="9039" w:type="dxa"/>
          </w:tcPr>
          <w:p w14:paraId="66620E3E" w14:textId="77777777" w:rsidR="000524F2" w:rsidRPr="00FD305C" w:rsidRDefault="000524F2" w:rsidP="000524F2">
            <w:pPr>
              <w:ind w:left="40"/>
              <w:rPr>
                <w:sz w:val="18"/>
              </w:rPr>
            </w:pPr>
            <w:r w:rsidRPr="00FD305C">
              <w:rPr>
                <w:sz w:val="18"/>
              </w:rPr>
              <w:t>Pflanzenexperten zur Teilnahme an BMT-Tagungen auffordern</w:t>
            </w:r>
          </w:p>
        </w:tc>
      </w:tr>
    </w:tbl>
    <w:p w14:paraId="76FB9A7E" w14:textId="77777777" w:rsidR="000524F2" w:rsidRPr="00FD305C" w:rsidRDefault="000524F2" w:rsidP="000524F2"/>
    <w:p w14:paraId="2D62DDCB" w14:textId="77777777" w:rsidR="00422D07" w:rsidRPr="00FD305C" w:rsidRDefault="00422D07" w:rsidP="00422D07">
      <w:pPr>
        <w:rPr>
          <w:snapToGrid w:val="0"/>
          <w:color w:val="000000"/>
        </w:rPr>
      </w:pPr>
      <w:r w:rsidRPr="00FD305C">
        <w:rPr>
          <w:rFonts w:cs="Arial"/>
        </w:rPr>
        <w:fldChar w:fldCharType="begin"/>
      </w:r>
      <w:r w:rsidRPr="00FD305C">
        <w:rPr>
          <w:rFonts w:cs="Arial"/>
        </w:rPr>
        <w:instrText xml:space="preserve"> AUTONUM  </w:instrText>
      </w:r>
      <w:r w:rsidRPr="00FD305C">
        <w:rPr>
          <w:rFonts w:cs="Arial"/>
        </w:rPr>
        <w:fldChar w:fldCharType="end"/>
      </w:r>
      <w:r w:rsidRPr="00FD305C">
        <w:tab/>
      </w:r>
      <w:r w:rsidRPr="00FD305C">
        <w:rPr>
          <w:color w:val="000000"/>
        </w:rPr>
        <w:t xml:space="preserve">Die TWA auf ihrer achtundvierzigsten Tagung vom 16. bis 20. September 2019 in Montevideo, Uruguay, und die TWC auf ihrer siebenunddreißigsten Tagung vom 14. bis 16. Oktober 2019 in Hangzhou, China werden das </w:t>
      </w:r>
      <w:r w:rsidRPr="00FD305C">
        <w:rPr>
          <w:snapToGrid w:val="0"/>
          <w:color w:val="000000"/>
        </w:rPr>
        <w:t>Dokument TWP/3/7 „Molekulare Verfahren“ prüfen.</w:t>
      </w:r>
    </w:p>
    <w:p w14:paraId="44E37EB3" w14:textId="77777777" w:rsidR="00422D07" w:rsidRPr="00FD305C" w:rsidRDefault="00422D07" w:rsidP="00422D07">
      <w:pPr>
        <w:rPr>
          <w:lang w:eastAsia="ja-JP"/>
        </w:rPr>
      </w:pPr>
    </w:p>
    <w:p w14:paraId="66807D94" w14:textId="09E4A57A" w:rsidR="00422D07" w:rsidRPr="00FD305C" w:rsidRDefault="00422D07" w:rsidP="00422D07">
      <w:pPr>
        <w:rPr>
          <w:snapToGrid w:val="0"/>
          <w:color w:val="000000"/>
        </w:rPr>
      </w:pPr>
      <w:r w:rsidRPr="00FD305C">
        <w:rPr>
          <w:rFonts w:cs="Arial"/>
        </w:rPr>
        <w:fldChar w:fldCharType="begin"/>
      </w:r>
      <w:r w:rsidRPr="00FD305C">
        <w:rPr>
          <w:rFonts w:cs="Arial"/>
        </w:rPr>
        <w:instrText xml:space="preserve"> AUTONUM  </w:instrText>
      </w:r>
      <w:r w:rsidRPr="00FD305C">
        <w:rPr>
          <w:rFonts w:cs="Arial"/>
        </w:rPr>
        <w:fldChar w:fldCharType="end"/>
      </w:r>
      <w:r w:rsidRPr="00FD305C">
        <w:tab/>
        <w:t>Die Ergebnisse der Erörterungen der TWP auf ihren</w:t>
      </w:r>
      <w:r w:rsidRPr="00FD305C">
        <w:rPr>
          <w:color w:val="000000"/>
        </w:rPr>
        <w:t xml:space="preserve"> </w:t>
      </w:r>
      <w:r w:rsidR="005155FF" w:rsidRPr="00FD305C">
        <w:rPr>
          <w:color w:val="000000"/>
        </w:rPr>
        <w:t xml:space="preserve">Tagungen </w:t>
      </w:r>
      <w:r w:rsidR="005155FF" w:rsidRPr="00FD305C">
        <w:t>zur</w:t>
      </w:r>
      <w:r w:rsidRPr="00FD305C">
        <w:t xml:space="preserve"> Prüfung von Bereichen der Zusammenarbeit bei der Verwendung molekularer Verfahren </w:t>
      </w:r>
      <w:r w:rsidRPr="00FD305C">
        <w:rPr>
          <w:color w:val="000000"/>
        </w:rPr>
        <w:t>werden der BMT auf ihrer achtzehnten Tagung vom 16. bis 18. Oktober 2019 in Hangzhou, China, mitgeteilt werden</w:t>
      </w:r>
      <w:r w:rsidR="005155FF" w:rsidRPr="00FD305C">
        <w:rPr>
          <w:color w:val="000000"/>
        </w:rPr>
        <w:t xml:space="preserve">. </w:t>
      </w:r>
    </w:p>
    <w:p w14:paraId="6A5E8DD3" w14:textId="77777777" w:rsidR="00422D07" w:rsidRPr="00FD305C" w:rsidRDefault="00422D07" w:rsidP="00422D07">
      <w:pPr>
        <w:rPr>
          <w:lang w:eastAsia="ja-JP"/>
        </w:rPr>
      </w:pPr>
    </w:p>
    <w:p w14:paraId="4873C98B" w14:textId="2F30A2F6" w:rsidR="00422D07" w:rsidRPr="00FD305C" w:rsidRDefault="00422D07" w:rsidP="00422D07">
      <w:pPr>
        <w:rPr>
          <w:snapToGrid w:val="0"/>
          <w:color w:val="000000"/>
        </w:rPr>
      </w:pPr>
      <w:r w:rsidRPr="00FD305C">
        <w:rPr>
          <w:rFonts w:cs="Arial"/>
        </w:rPr>
        <w:fldChar w:fldCharType="begin"/>
      </w:r>
      <w:r w:rsidRPr="00FD305C">
        <w:rPr>
          <w:rFonts w:cs="Arial"/>
        </w:rPr>
        <w:instrText xml:space="preserve"> AUTONUM  </w:instrText>
      </w:r>
      <w:r w:rsidRPr="00FD305C">
        <w:rPr>
          <w:rFonts w:cs="Arial"/>
        </w:rPr>
        <w:fldChar w:fldCharType="end"/>
      </w:r>
      <w:r w:rsidRPr="00FD305C">
        <w:tab/>
        <w:t>Die BMT wird auf ihrer achtzehnten Tagung ersucht werden, Vorschläge zu nächsten Schritten zur Untersuchung von Bereichen zur Zusammenarbeit hinsichtlich der Verwendung molekularer Verfahren zu erarbeiten</w:t>
      </w:r>
      <w:r w:rsidR="005155FF" w:rsidRPr="00FD305C">
        <w:t>.</w:t>
      </w:r>
      <w:r w:rsidR="005155FF" w:rsidRPr="00FD305C">
        <w:rPr>
          <w:color w:val="000000"/>
        </w:rPr>
        <w:t xml:space="preserve"> </w:t>
      </w:r>
    </w:p>
    <w:p w14:paraId="1D07B6EF" w14:textId="77777777" w:rsidR="00422D07" w:rsidRPr="00FD305C" w:rsidRDefault="00422D07" w:rsidP="00422D07">
      <w:pPr>
        <w:rPr>
          <w:color w:val="000000"/>
          <w:lang w:eastAsia="ja-JP"/>
        </w:rPr>
      </w:pPr>
    </w:p>
    <w:p w14:paraId="4C01B5B5" w14:textId="2E31A5C9" w:rsidR="00422D07" w:rsidRPr="00FD305C" w:rsidRDefault="00422D07" w:rsidP="00422D07">
      <w:pPr>
        <w:rPr>
          <w:snapToGrid w:val="0"/>
          <w:color w:val="000000"/>
        </w:rPr>
      </w:pPr>
      <w:r w:rsidRPr="00FD305C">
        <w:rPr>
          <w:rFonts w:cs="Arial"/>
        </w:rPr>
        <w:fldChar w:fldCharType="begin"/>
      </w:r>
      <w:r w:rsidRPr="00FD305C">
        <w:rPr>
          <w:rFonts w:cs="Arial"/>
        </w:rPr>
        <w:instrText xml:space="preserve"> AUTONUM  </w:instrText>
      </w:r>
      <w:r w:rsidRPr="00FD305C">
        <w:rPr>
          <w:rFonts w:cs="Arial"/>
        </w:rPr>
        <w:fldChar w:fldCharType="end"/>
      </w:r>
      <w:r w:rsidRPr="00FD305C">
        <w:tab/>
      </w:r>
      <w:r w:rsidRPr="00FD305C">
        <w:noBreakHyphen/>
        <w:t xml:space="preserve">Von der BMT auf ihrer achtzehnten Tagung erarbeitete Vorschläge </w:t>
      </w:r>
      <w:r w:rsidRPr="00FD305C">
        <w:rPr>
          <w:color w:val="000000"/>
        </w:rPr>
        <w:t>werden dem TC auf seiner fünfundfünfzigsten Tagung als Ergänzung zu diesem Dokument vorgelegt werden</w:t>
      </w:r>
      <w:r w:rsidR="005155FF" w:rsidRPr="00FD305C">
        <w:rPr>
          <w:color w:val="000000"/>
        </w:rPr>
        <w:t xml:space="preserve">. </w:t>
      </w:r>
    </w:p>
    <w:p w14:paraId="78A4B425" w14:textId="77777777" w:rsidR="00422D07" w:rsidRPr="00FD305C" w:rsidRDefault="00422D07" w:rsidP="00E40632">
      <w:pPr>
        <w:rPr>
          <w:snapToGrid w:val="0"/>
          <w:lang w:eastAsia="ja-JP"/>
        </w:rPr>
      </w:pPr>
    </w:p>
    <w:p w14:paraId="619FF603" w14:textId="48046335" w:rsidR="00E40632" w:rsidRPr="00FD305C" w:rsidRDefault="00E40632" w:rsidP="00E40632">
      <w:pPr>
        <w:pStyle w:val="DecisionParagraphs"/>
        <w:keepNext/>
      </w:pPr>
      <w:r w:rsidRPr="00FD305C">
        <w:fldChar w:fldCharType="begin"/>
      </w:r>
      <w:r w:rsidRPr="00FD305C">
        <w:instrText xml:space="preserve"> AUTONUM  </w:instrText>
      </w:r>
      <w:r w:rsidRPr="00FD305C">
        <w:fldChar w:fldCharType="end"/>
      </w:r>
      <w:r w:rsidR="008F3A02">
        <w:tab/>
        <w:t>Der TC wird ersucht:</w:t>
      </w:r>
    </w:p>
    <w:p w14:paraId="50ADB39F" w14:textId="77777777" w:rsidR="00057048" w:rsidRPr="00FD305C" w:rsidRDefault="00057048" w:rsidP="00057048">
      <w:pPr>
        <w:pStyle w:val="DecisionParagraphs"/>
        <w:keepNext/>
        <w:tabs>
          <w:tab w:val="left" w:pos="5812"/>
          <w:tab w:val="left" w:pos="5954"/>
        </w:tabs>
      </w:pPr>
    </w:p>
    <w:p w14:paraId="32D0AF22" w14:textId="5D969389" w:rsidR="00057048" w:rsidRPr="00FD305C" w:rsidRDefault="00057048" w:rsidP="00057048">
      <w:pPr>
        <w:pStyle w:val="DecisionParagraphs"/>
        <w:keepNext/>
        <w:tabs>
          <w:tab w:val="left" w:pos="5812"/>
          <w:tab w:val="left" w:pos="5954"/>
        </w:tabs>
      </w:pPr>
      <w:r w:rsidRPr="00FD305C">
        <w:tab/>
        <w:t>a) </w:t>
      </w:r>
      <w:r w:rsidRPr="00FD305C">
        <w:tab/>
        <w:t>die Ergebnisse der von den TWP auf ihren Tagungen im Jahr 2019 geführten Erörterungen über die Zusammenarbeit bei der Verwendung molekularer Verfahren, wie in den Absätzen 32 bis 35 dieses Dokuments dargelegt, zur Kenntnis zu nehmen;</w:t>
      </w:r>
    </w:p>
    <w:p w14:paraId="0ADB7310" w14:textId="77777777" w:rsidR="00E40632" w:rsidRPr="00FD305C" w:rsidRDefault="00E40632" w:rsidP="00E40632">
      <w:pPr>
        <w:pStyle w:val="DecisionParagraphs"/>
      </w:pPr>
    </w:p>
    <w:p w14:paraId="1FD9D9C6" w14:textId="77777777" w:rsidR="00E40632" w:rsidRPr="00FD305C" w:rsidRDefault="00E40632" w:rsidP="00E40632">
      <w:pPr>
        <w:pStyle w:val="DecisionParagraphs"/>
        <w:tabs>
          <w:tab w:val="left" w:pos="5812"/>
        </w:tabs>
        <w:rPr>
          <w:snapToGrid w:val="0"/>
        </w:rPr>
      </w:pPr>
      <w:r w:rsidRPr="00FD305C">
        <w:tab/>
        <w:t>b)</w:t>
      </w:r>
      <w:r w:rsidRPr="00FD305C">
        <w:tab/>
        <w:t>zur Kenntnis zu nehmen, daß die BMT auf ihrer achtzehnten Tagung ersucht werden wird, Vorschläge zu nächsten Schritten zur Prüfung von Bereichen zur Zusammenarbeit hinsichtlich molekularer Verfahren, wie in Absatz 38 dieses Dokuments dargelegt, auszuarbeiten; und</w:t>
      </w:r>
    </w:p>
    <w:p w14:paraId="038433CF" w14:textId="77777777" w:rsidR="00E40632" w:rsidRPr="00FD305C" w:rsidRDefault="00E40632" w:rsidP="00E40632">
      <w:pPr>
        <w:pStyle w:val="DecisionParagraphs"/>
        <w:keepNext/>
        <w:tabs>
          <w:tab w:val="left" w:pos="5812"/>
          <w:tab w:val="left" w:pos="5954"/>
        </w:tabs>
      </w:pPr>
    </w:p>
    <w:p w14:paraId="01C44C7E" w14:textId="77777777" w:rsidR="00E40632" w:rsidRPr="00FD305C" w:rsidRDefault="00E40632" w:rsidP="009A50E6">
      <w:pPr>
        <w:pStyle w:val="DecisionParagraphs"/>
        <w:keepNext/>
        <w:tabs>
          <w:tab w:val="left" w:pos="5812"/>
          <w:tab w:val="left" w:pos="5954"/>
        </w:tabs>
      </w:pPr>
      <w:r w:rsidRPr="00FD305C">
        <w:tab/>
        <w:t>c)</w:t>
      </w:r>
      <w:r w:rsidRPr="00FD305C">
        <w:tab/>
        <w:t>zur Kenntnis zu nehmen, daß über die von der BMT auf ihrer achtzehnten Tagung erarbeiteten Vorschläge betreffend Bereiche der Zusammenarbeit im Hinblick auf die Verwend</w:t>
      </w:r>
      <w:bookmarkStart w:id="43" w:name="_GoBack"/>
      <w:bookmarkEnd w:id="43"/>
      <w:r w:rsidRPr="00FD305C">
        <w:t>ung molekularer Verfahren in einer Ergänzung zu diesem Dokument, wie in Absatz 39 dieses Dokuments dargelegt, berichtet werden wird.</w:t>
      </w:r>
    </w:p>
    <w:p w14:paraId="62B72B67" w14:textId="77777777" w:rsidR="00E8631F" w:rsidRPr="00FD305C" w:rsidRDefault="00E8631F" w:rsidP="009A50E6"/>
    <w:p w14:paraId="28090003" w14:textId="77777777" w:rsidR="00F935A6" w:rsidRPr="00FD305C" w:rsidRDefault="00F935A6" w:rsidP="00E8631F"/>
    <w:p w14:paraId="7C524BA7" w14:textId="77777777" w:rsidR="00E8631F" w:rsidRPr="00FD305C" w:rsidRDefault="00E8631F" w:rsidP="00E8631F"/>
    <w:p w14:paraId="7C2D3A54" w14:textId="77777777" w:rsidR="00E8631F" w:rsidRPr="00FD305C" w:rsidRDefault="00E8631F" w:rsidP="00E8631F">
      <w:pPr>
        <w:jc w:val="right"/>
      </w:pPr>
      <w:r w:rsidRPr="00FD305C">
        <w:t>[Ende des Dokuments]</w:t>
      </w:r>
    </w:p>
    <w:p w14:paraId="41B1C90A" w14:textId="77777777" w:rsidR="005155FF" w:rsidRPr="00FD305C" w:rsidRDefault="005155FF">
      <w:pPr>
        <w:jc w:val="right"/>
      </w:pPr>
    </w:p>
    <w:sectPr w:rsidR="005155FF" w:rsidRPr="00FD305C" w:rsidSect="00906DDC">
      <w:headerReference w:type="default" r:id="rId9"/>
      <w:foot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F775D" w14:textId="77777777" w:rsidR="00394889" w:rsidRDefault="00394889" w:rsidP="006655D3">
      <w:r>
        <w:separator/>
      </w:r>
    </w:p>
    <w:p w14:paraId="712303F2" w14:textId="77777777" w:rsidR="00394889" w:rsidRDefault="00394889" w:rsidP="006655D3"/>
    <w:p w14:paraId="675B60F5" w14:textId="77777777" w:rsidR="00394889" w:rsidRDefault="00394889" w:rsidP="006655D3"/>
  </w:endnote>
  <w:endnote w:type="continuationSeparator" w:id="0">
    <w:p w14:paraId="19AD60C6" w14:textId="77777777" w:rsidR="00394889" w:rsidRDefault="00394889" w:rsidP="006655D3">
      <w:r>
        <w:separator/>
      </w:r>
    </w:p>
    <w:p w14:paraId="2B664CE5" w14:textId="77777777" w:rsidR="00394889" w:rsidRPr="00294751" w:rsidRDefault="00394889">
      <w:pPr>
        <w:pStyle w:val="Footer"/>
        <w:spacing w:after="60"/>
        <w:rPr>
          <w:sz w:val="18"/>
          <w:lang w:val="fr-FR"/>
        </w:rPr>
      </w:pPr>
      <w:r w:rsidRPr="00294751">
        <w:rPr>
          <w:sz w:val="18"/>
          <w:lang w:val="fr-FR"/>
        </w:rPr>
        <w:t>[Suite de la note de la page précédente]</w:t>
      </w:r>
    </w:p>
    <w:p w14:paraId="0EA0B32E" w14:textId="77777777" w:rsidR="00394889" w:rsidRPr="00294751" w:rsidRDefault="00394889" w:rsidP="006655D3">
      <w:pPr>
        <w:rPr>
          <w:lang w:val="fr-FR"/>
        </w:rPr>
      </w:pPr>
    </w:p>
    <w:p w14:paraId="460691D9" w14:textId="77777777" w:rsidR="00394889" w:rsidRPr="00294751" w:rsidRDefault="00394889" w:rsidP="006655D3">
      <w:pPr>
        <w:rPr>
          <w:lang w:val="fr-FR"/>
        </w:rPr>
      </w:pPr>
    </w:p>
  </w:endnote>
  <w:endnote w:type="continuationNotice" w:id="1">
    <w:p w14:paraId="3C685906" w14:textId="77777777" w:rsidR="00394889" w:rsidRPr="00294751" w:rsidRDefault="00394889" w:rsidP="006655D3">
      <w:pPr>
        <w:rPr>
          <w:lang w:val="fr-FR"/>
        </w:rPr>
      </w:pPr>
      <w:r w:rsidRPr="00294751">
        <w:rPr>
          <w:lang w:val="fr-FR"/>
        </w:rPr>
        <w:t>[Suite de la note page suivante]</w:t>
      </w:r>
    </w:p>
    <w:p w14:paraId="0A2C1373" w14:textId="77777777" w:rsidR="00394889" w:rsidRPr="00294751" w:rsidRDefault="00394889" w:rsidP="006655D3">
      <w:pPr>
        <w:rPr>
          <w:lang w:val="fr-FR"/>
        </w:rPr>
      </w:pPr>
    </w:p>
    <w:p w14:paraId="57F2D534" w14:textId="77777777" w:rsidR="00394889" w:rsidRPr="00294751" w:rsidRDefault="0039488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51AE" w14:textId="77777777" w:rsidR="000D17A1" w:rsidRDefault="000D1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D6FD7" w14:textId="77777777" w:rsidR="00394889" w:rsidRDefault="00394889" w:rsidP="006655D3">
      <w:r>
        <w:separator/>
      </w:r>
    </w:p>
  </w:footnote>
  <w:footnote w:type="continuationSeparator" w:id="0">
    <w:p w14:paraId="06C7B674" w14:textId="77777777" w:rsidR="00394889" w:rsidRDefault="00394889" w:rsidP="006655D3">
      <w:r>
        <w:separator/>
      </w:r>
    </w:p>
  </w:footnote>
  <w:footnote w:type="continuationNotice" w:id="1">
    <w:p w14:paraId="783CBE82" w14:textId="77777777" w:rsidR="00394889" w:rsidRPr="00AB530F" w:rsidRDefault="0039488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3A1AC" w14:textId="77777777" w:rsidR="00A5050C" w:rsidRPr="00C5280D" w:rsidRDefault="00A5050C" w:rsidP="00EB048E">
    <w:pPr>
      <w:pStyle w:val="Header"/>
      <w:rPr>
        <w:rStyle w:val="PageNumber"/>
      </w:rPr>
    </w:pPr>
    <w:r>
      <w:rPr>
        <w:rStyle w:val="PageNumber"/>
      </w:rPr>
      <w:t>TC/55/7</w:t>
    </w:r>
  </w:p>
  <w:p w14:paraId="67FE38BF" w14:textId="6C23EE71" w:rsidR="00A5050C" w:rsidRPr="00C5280D" w:rsidRDefault="00A5050C"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8F3A02">
      <w:rPr>
        <w:rStyle w:val="PageNumber"/>
        <w:noProof/>
      </w:rPr>
      <w:t>8</w:t>
    </w:r>
    <w:r w:rsidRPr="00C5280D">
      <w:rPr>
        <w:rStyle w:val="PageNumber"/>
      </w:rPr>
      <w:fldChar w:fldCharType="end"/>
    </w:r>
  </w:p>
  <w:p w14:paraId="1ED3DB91" w14:textId="77777777" w:rsidR="00A5050C" w:rsidRDefault="00A5050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15:restartNumberingAfterBreak="0">
    <w:nsid w:val="5B314102"/>
    <w:multiLevelType w:val="hybridMultilevel"/>
    <w:tmpl w:val="5B3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046CD"/>
    <w:rsid w:val="00010CF3"/>
    <w:rsid w:val="0001118E"/>
    <w:rsid w:val="00011E27"/>
    <w:rsid w:val="00012AE5"/>
    <w:rsid w:val="000148BC"/>
    <w:rsid w:val="00016763"/>
    <w:rsid w:val="00017ADB"/>
    <w:rsid w:val="00024AB8"/>
    <w:rsid w:val="00030854"/>
    <w:rsid w:val="00036028"/>
    <w:rsid w:val="000372AA"/>
    <w:rsid w:val="00044642"/>
    <w:rsid w:val="000446B9"/>
    <w:rsid w:val="00047E21"/>
    <w:rsid w:val="00050E16"/>
    <w:rsid w:val="000524F2"/>
    <w:rsid w:val="00057048"/>
    <w:rsid w:val="00077892"/>
    <w:rsid w:val="00085505"/>
    <w:rsid w:val="00085851"/>
    <w:rsid w:val="000C4E25"/>
    <w:rsid w:val="000C7021"/>
    <w:rsid w:val="000D17A1"/>
    <w:rsid w:val="000D50ED"/>
    <w:rsid w:val="000D6BBC"/>
    <w:rsid w:val="000D7780"/>
    <w:rsid w:val="000E0939"/>
    <w:rsid w:val="000E46B6"/>
    <w:rsid w:val="000E636A"/>
    <w:rsid w:val="000E7560"/>
    <w:rsid w:val="000F2F11"/>
    <w:rsid w:val="001015BE"/>
    <w:rsid w:val="00103150"/>
    <w:rsid w:val="00105929"/>
    <w:rsid w:val="00110BD9"/>
    <w:rsid w:val="00110C36"/>
    <w:rsid w:val="001131D5"/>
    <w:rsid w:val="00141DB8"/>
    <w:rsid w:val="001708AA"/>
    <w:rsid w:val="00172084"/>
    <w:rsid w:val="0017474A"/>
    <w:rsid w:val="00175271"/>
    <w:rsid w:val="001758C6"/>
    <w:rsid w:val="00182B99"/>
    <w:rsid w:val="00190770"/>
    <w:rsid w:val="001929DA"/>
    <w:rsid w:val="00192CBF"/>
    <w:rsid w:val="001A473A"/>
    <w:rsid w:val="001B195D"/>
    <w:rsid w:val="001B59B6"/>
    <w:rsid w:val="001C47B5"/>
    <w:rsid w:val="001D36AC"/>
    <w:rsid w:val="001D597D"/>
    <w:rsid w:val="001E09F1"/>
    <w:rsid w:val="001E16DD"/>
    <w:rsid w:val="001F329D"/>
    <w:rsid w:val="002067ED"/>
    <w:rsid w:val="0021332C"/>
    <w:rsid w:val="00213982"/>
    <w:rsid w:val="0021667A"/>
    <w:rsid w:val="00242B45"/>
    <w:rsid w:val="0024416D"/>
    <w:rsid w:val="00251DEF"/>
    <w:rsid w:val="00271911"/>
    <w:rsid w:val="002767CA"/>
    <w:rsid w:val="002800A0"/>
    <w:rsid w:val="002801B3"/>
    <w:rsid w:val="00281060"/>
    <w:rsid w:val="00282B27"/>
    <w:rsid w:val="00284B1A"/>
    <w:rsid w:val="002940E8"/>
    <w:rsid w:val="00294751"/>
    <w:rsid w:val="002950DC"/>
    <w:rsid w:val="00296CC4"/>
    <w:rsid w:val="002A1FF7"/>
    <w:rsid w:val="002A26F5"/>
    <w:rsid w:val="002A5737"/>
    <w:rsid w:val="002A6E50"/>
    <w:rsid w:val="002B36CC"/>
    <w:rsid w:val="002B4298"/>
    <w:rsid w:val="002C10B5"/>
    <w:rsid w:val="002C256A"/>
    <w:rsid w:val="002C3CFE"/>
    <w:rsid w:val="002C7ED9"/>
    <w:rsid w:val="002D2DFD"/>
    <w:rsid w:val="002F4D19"/>
    <w:rsid w:val="00304827"/>
    <w:rsid w:val="00305573"/>
    <w:rsid w:val="00305A7F"/>
    <w:rsid w:val="00314CFE"/>
    <w:rsid w:val="003152FE"/>
    <w:rsid w:val="00324FB0"/>
    <w:rsid w:val="00326FCD"/>
    <w:rsid w:val="00327436"/>
    <w:rsid w:val="003447B7"/>
    <w:rsid w:val="00344AE4"/>
    <w:rsid w:val="00344BD6"/>
    <w:rsid w:val="00347951"/>
    <w:rsid w:val="0035528D"/>
    <w:rsid w:val="00361821"/>
    <w:rsid w:val="00361E9E"/>
    <w:rsid w:val="00363688"/>
    <w:rsid w:val="00381D64"/>
    <w:rsid w:val="00394889"/>
    <w:rsid w:val="003A44CC"/>
    <w:rsid w:val="003A4AEB"/>
    <w:rsid w:val="003C04BA"/>
    <w:rsid w:val="003C4226"/>
    <w:rsid w:val="003C7FBE"/>
    <w:rsid w:val="003D227C"/>
    <w:rsid w:val="003D2B4D"/>
    <w:rsid w:val="003D348C"/>
    <w:rsid w:val="003D388D"/>
    <w:rsid w:val="00413009"/>
    <w:rsid w:val="00414712"/>
    <w:rsid w:val="00422D07"/>
    <w:rsid w:val="00433584"/>
    <w:rsid w:val="00440683"/>
    <w:rsid w:val="00440EB9"/>
    <w:rsid w:val="004422D8"/>
    <w:rsid w:val="00443766"/>
    <w:rsid w:val="00444A88"/>
    <w:rsid w:val="00451F5A"/>
    <w:rsid w:val="00455221"/>
    <w:rsid w:val="00467FFE"/>
    <w:rsid w:val="0047482A"/>
    <w:rsid w:val="00474DA4"/>
    <w:rsid w:val="00476B4D"/>
    <w:rsid w:val="00480568"/>
    <w:rsid w:val="004805FA"/>
    <w:rsid w:val="004935D2"/>
    <w:rsid w:val="004A02EF"/>
    <w:rsid w:val="004A27A2"/>
    <w:rsid w:val="004A4FB0"/>
    <w:rsid w:val="004B1215"/>
    <w:rsid w:val="004C5C7E"/>
    <w:rsid w:val="004D047D"/>
    <w:rsid w:val="004E75D6"/>
    <w:rsid w:val="004F1E9E"/>
    <w:rsid w:val="004F305A"/>
    <w:rsid w:val="00501163"/>
    <w:rsid w:val="00504ABB"/>
    <w:rsid w:val="005078AE"/>
    <w:rsid w:val="00512164"/>
    <w:rsid w:val="005155FF"/>
    <w:rsid w:val="00520297"/>
    <w:rsid w:val="00530403"/>
    <w:rsid w:val="005338F9"/>
    <w:rsid w:val="00536FFD"/>
    <w:rsid w:val="0054281C"/>
    <w:rsid w:val="00544581"/>
    <w:rsid w:val="0055268D"/>
    <w:rsid w:val="00563124"/>
    <w:rsid w:val="005651DF"/>
    <w:rsid w:val="0057020C"/>
    <w:rsid w:val="00576BE4"/>
    <w:rsid w:val="00591C21"/>
    <w:rsid w:val="00594BA7"/>
    <w:rsid w:val="005A0E75"/>
    <w:rsid w:val="005A400A"/>
    <w:rsid w:val="005B46E9"/>
    <w:rsid w:val="005D59C3"/>
    <w:rsid w:val="005E1079"/>
    <w:rsid w:val="005F0C9E"/>
    <w:rsid w:val="005F10C4"/>
    <w:rsid w:val="005F2BA6"/>
    <w:rsid w:val="005F5286"/>
    <w:rsid w:val="005F7B92"/>
    <w:rsid w:val="006040BF"/>
    <w:rsid w:val="00612379"/>
    <w:rsid w:val="006153B6"/>
    <w:rsid w:val="0061555F"/>
    <w:rsid w:val="00616463"/>
    <w:rsid w:val="00625039"/>
    <w:rsid w:val="00636B03"/>
    <w:rsid w:val="00636CA6"/>
    <w:rsid w:val="00641200"/>
    <w:rsid w:val="00645CA8"/>
    <w:rsid w:val="0065749C"/>
    <w:rsid w:val="00660AA5"/>
    <w:rsid w:val="006655D3"/>
    <w:rsid w:val="00667404"/>
    <w:rsid w:val="00687EB4"/>
    <w:rsid w:val="006929F3"/>
    <w:rsid w:val="00695C56"/>
    <w:rsid w:val="006A5CDE"/>
    <w:rsid w:val="006A644A"/>
    <w:rsid w:val="006B049D"/>
    <w:rsid w:val="006B17D2"/>
    <w:rsid w:val="006C224E"/>
    <w:rsid w:val="006C668F"/>
    <w:rsid w:val="006C7057"/>
    <w:rsid w:val="006D7435"/>
    <w:rsid w:val="006D780A"/>
    <w:rsid w:val="006E6DB8"/>
    <w:rsid w:val="00707D27"/>
    <w:rsid w:val="00707D40"/>
    <w:rsid w:val="0071271E"/>
    <w:rsid w:val="007172AD"/>
    <w:rsid w:val="00727851"/>
    <w:rsid w:val="00732DEC"/>
    <w:rsid w:val="00735BD5"/>
    <w:rsid w:val="00747752"/>
    <w:rsid w:val="00751613"/>
    <w:rsid w:val="007556F6"/>
    <w:rsid w:val="00760EEF"/>
    <w:rsid w:val="00761BCB"/>
    <w:rsid w:val="0077415F"/>
    <w:rsid w:val="00777EE5"/>
    <w:rsid w:val="00781CC3"/>
    <w:rsid w:val="00784836"/>
    <w:rsid w:val="0079023E"/>
    <w:rsid w:val="00797BAC"/>
    <w:rsid w:val="007A2854"/>
    <w:rsid w:val="007C1D92"/>
    <w:rsid w:val="007C4CB9"/>
    <w:rsid w:val="007D0B9D"/>
    <w:rsid w:val="007D19B0"/>
    <w:rsid w:val="007F2D8A"/>
    <w:rsid w:val="007F4385"/>
    <w:rsid w:val="007F498F"/>
    <w:rsid w:val="007F5CFF"/>
    <w:rsid w:val="007F6128"/>
    <w:rsid w:val="00803B6D"/>
    <w:rsid w:val="0080679D"/>
    <w:rsid w:val="008108B0"/>
    <w:rsid w:val="00811B20"/>
    <w:rsid w:val="00820097"/>
    <w:rsid w:val="008211B5"/>
    <w:rsid w:val="0082296E"/>
    <w:rsid w:val="00824099"/>
    <w:rsid w:val="00831627"/>
    <w:rsid w:val="00846D7C"/>
    <w:rsid w:val="008474D1"/>
    <w:rsid w:val="00855FFE"/>
    <w:rsid w:val="00861419"/>
    <w:rsid w:val="00864D30"/>
    <w:rsid w:val="00867AC1"/>
    <w:rsid w:val="0087315F"/>
    <w:rsid w:val="00880459"/>
    <w:rsid w:val="00890DF8"/>
    <w:rsid w:val="00891741"/>
    <w:rsid w:val="008958EB"/>
    <w:rsid w:val="008A31C9"/>
    <w:rsid w:val="008A5CAE"/>
    <w:rsid w:val="008A743F"/>
    <w:rsid w:val="008B0899"/>
    <w:rsid w:val="008B6E60"/>
    <w:rsid w:val="008C0970"/>
    <w:rsid w:val="008C10EC"/>
    <w:rsid w:val="008C4271"/>
    <w:rsid w:val="008D0BC5"/>
    <w:rsid w:val="008D2CF7"/>
    <w:rsid w:val="008D3D46"/>
    <w:rsid w:val="008D7E86"/>
    <w:rsid w:val="008E4275"/>
    <w:rsid w:val="008F3A02"/>
    <w:rsid w:val="00900C26"/>
    <w:rsid w:val="00900C6F"/>
    <w:rsid w:val="0090197F"/>
    <w:rsid w:val="00903985"/>
    <w:rsid w:val="00906DDC"/>
    <w:rsid w:val="00931509"/>
    <w:rsid w:val="00934E09"/>
    <w:rsid w:val="00936253"/>
    <w:rsid w:val="00940D46"/>
    <w:rsid w:val="00952DD4"/>
    <w:rsid w:val="00955A55"/>
    <w:rsid w:val="00965AE7"/>
    <w:rsid w:val="00965DC4"/>
    <w:rsid w:val="00970FED"/>
    <w:rsid w:val="00983ED6"/>
    <w:rsid w:val="00990A26"/>
    <w:rsid w:val="00992D82"/>
    <w:rsid w:val="00995EAD"/>
    <w:rsid w:val="00997029"/>
    <w:rsid w:val="009A0856"/>
    <w:rsid w:val="009A50E6"/>
    <w:rsid w:val="009A7339"/>
    <w:rsid w:val="009B440E"/>
    <w:rsid w:val="009C1868"/>
    <w:rsid w:val="009C7311"/>
    <w:rsid w:val="009D4699"/>
    <w:rsid w:val="009D690D"/>
    <w:rsid w:val="009E65B6"/>
    <w:rsid w:val="009F155B"/>
    <w:rsid w:val="00A032E5"/>
    <w:rsid w:val="00A04A26"/>
    <w:rsid w:val="00A06917"/>
    <w:rsid w:val="00A111A2"/>
    <w:rsid w:val="00A1232B"/>
    <w:rsid w:val="00A24C10"/>
    <w:rsid w:val="00A33DC8"/>
    <w:rsid w:val="00A37C2B"/>
    <w:rsid w:val="00A42AC3"/>
    <w:rsid w:val="00A430CF"/>
    <w:rsid w:val="00A45A4F"/>
    <w:rsid w:val="00A5050C"/>
    <w:rsid w:val="00A54309"/>
    <w:rsid w:val="00A7496F"/>
    <w:rsid w:val="00A90061"/>
    <w:rsid w:val="00AA0374"/>
    <w:rsid w:val="00AA75A3"/>
    <w:rsid w:val="00AB2B93"/>
    <w:rsid w:val="00AB530F"/>
    <w:rsid w:val="00AB66D3"/>
    <w:rsid w:val="00AB7E5B"/>
    <w:rsid w:val="00AC2883"/>
    <w:rsid w:val="00AD0387"/>
    <w:rsid w:val="00AD31CA"/>
    <w:rsid w:val="00AE0811"/>
    <w:rsid w:val="00AE0EF1"/>
    <w:rsid w:val="00AE2937"/>
    <w:rsid w:val="00B07301"/>
    <w:rsid w:val="00B11F3E"/>
    <w:rsid w:val="00B224DE"/>
    <w:rsid w:val="00B324D4"/>
    <w:rsid w:val="00B370A4"/>
    <w:rsid w:val="00B46575"/>
    <w:rsid w:val="00B61777"/>
    <w:rsid w:val="00B84BBD"/>
    <w:rsid w:val="00B91D03"/>
    <w:rsid w:val="00B96116"/>
    <w:rsid w:val="00BA43FB"/>
    <w:rsid w:val="00BA5109"/>
    <w:rsid w:val="00BC127D"/>
    <w:rsid w:val="00BC1FE6"/>
    <w:rsid w:val="00BD2F44"/>
    <w:rsid w:val="00BD7E4E"/>
    <w:rsid w:val="00BE0AA3"/>
    <w:rsid w:val="00BE0C8B"/>
    <w:rsid w:val="00BF6FB1"/>
    <w:rsid w:val="00C061B6"/>
    <w:rsid w:val="00C2446C"/>
    <w:rsid w:val="00C30618"/>
    <w:rsid w:val="00C36AE5"/>
    <w:rsid w:val="00C415AB"/>
    <w:rsid w:val="00C41F17"/>
    <w:rsid w:val="00C527FA"/>
    <w:rsid w:val="00C5280D"/>
    <w:rsid w:val="00C53EB3"/>
    <w:rsid w:val="00C54E4D"/>
    <w:rsid w:val="00C55669"/>
    <w:rsid w:val="00C5791C"/>
    <w:rsid w:val="00C60F5B"/>
    <w:rsid w:val="00C65649"/>
    <w:rsid w:val="00C66290"/>
    <w:rsid w:val="00C72B7A"/>
    <w:rsid w:val="00C7456E"/>
    <w:rsid w:val="00C848A6"/>
    <w:rsid w:val="00C94FDE"/>
    <w:rsid w:val="00C96568"/>
    <w:rsid w:val="00C973F2"/>
    <w:rsid w:val="00CA304C"/>
    <w:rsid w:val="00CA774A"/>
    <w:rsid w:val="00CC11B0"/>
    <w:rsid w:val="00CC2841"/>
    <w:rsid w:val="00CC3BE3"/>
    <w:rsid w:val="00CE1DA2"/>
    <w:rsid w:val="00CE46FF"/>
    <w:rsid w:val="00CE6FEF"/>
    <w:rsid w:val="00CF1330"/>
    <w:rsid w:val="00CF7E36"/>
    <w:rsid w:val="00D03F4E"/>
    <w:rsid w:val="00D15A7B"/>
    <w:rsid w:val="00D31C54"/>
    <w:rsid w:val="00D326F9"/>
    <w:rsid w:val="00D3708D"/>
    <w:rsid w:val="00D40426"/>
    <w:rsid w:val="00D44D6F"/>
    <w:rsid w:val="00D50A6D"/>
    <w:rsid w:val="00D544F7"/>
    <w:rsid w:val="00D5514B"/>
    <w:rsid w:val="00D57C96"/>
    <w:rsid w:val="00D57D18"/>
    <w:rsid w:val="00D705E1"/>
    <w:rsid w:val="00D91203"/>
    <w:rsid w:val="00D95174"/>
    <w:rsid w:val="00DA4973"/>
    <w:rsid w:val="00DA6F36"/>
    <w:rsid w:val="00DB596E"/>
    <w:rsid w:val="00DB7773"/>
    <w:rsid w:val="00DC00EA"/>
    <w:rsid w:val="00DC3802"/>
    <w:rsid w:val="00DD42B1"/>
    <w:rsid w:val="00DE2A95"/>
    <w:rsid w:val="00DE2C65"/>
    <w:rsid w:val="00DF1E9C"/>
    <w:rsid w:val="00DF6B9E"/>
    <w:rsid w:val="00E07D87"/>
    <w:rsid w:val="00E2045F"/>
    <w:rsid w:val="00E20AE5"/>
    <w:rsid w:val="00E2109F"/>
    <w:rsid w:val="00E31C55"/>
    <w:rsid w:val="00E32F7E"/>
    <w:rsid w:val="00E40632"/>
    <w:rsid w:val="00E51FA2"/>
    <w:rsid w:val="00E5267B"/>
    <w:rsid w:val="00E5302F"/>
    <w:rsid w:val="00E63C0E"/>
    <w:rsid w:val="00E651E2"/>
    <w:rsid w:val="00E656A1"/>
    <w:rsid w:val="00E7081F"/>
    <w:rsid w:val="00E72D49"/>
    <w:rsid w:val="00E7593C"/>
    <w:rsid w:val="00E7678A"/>
    <w:rsid w:val="00E8631F"/>
    <w:rsid w:val="00E879C4"/>
    <w:rsid w:val="00E87E81"/>
    <w:rsid w:val="00E935F1"/>
    <w:rsid w:val="00E94A81"/>
    <w:rsid w:val="00EA1FFB"/>
    <w:rsid w:val="00EA4AD7"/>
    <w:rsid w:val="00EB048E"/>
    <w:rsid w:val="00EB4E9C"/>
    <w:rsid w:val="00EC621F"/>
    <w:rsid w:val="00ED644C"/>
    <w:rsid w:val="00EE34DF"/>
    <w:rsid w:val="00EF2F89"/>
    <w:rsid w:val="00F00A42"/>
    <w:rsid w:val="00F03E98"/>
    <w:rsid w:val="00F0703A"/>
    <w:rsid w:val="00F1237A"/>
    <w:rsid w:val="00F13396"/>
    <w:rsid w:val="00F22CBD"/>
    <w:rsid w:val="00F272F1"/>
    <w:rsid w:val="00F45372"/>
    <w:rsid w:val="00F4590B"/>
    <w:rsid w:val="00F468AF"/>
    <w:rsid w:val="00F507E2"/>
    <w:rsid w:val="00F549A0"/>
    <w:rsid w:val="00F560F7"/>
    <w:rsid w:val="00F6334D"/>
    <w:rsid w:val="00F80657"/>
    <w:rsid w:val="00F84369"/>
    <w:rsid w:val="00F9295B"/>
    <w:rsid w:val="00F92E58"/>
    <w:rsid w:val="00F935A6"/>
    <w:rsid w:val="00FA49AB"/>
    <w:rsid w:val="00FA5822"/>
    <w:rsid w:val="00FB6BDA"/>
    <w:rsid w:val="00FD303B"/>
    <w:rsid w:val="00FD305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D3B35A"/>
  <w15:docId w15:val="{7C1E8AF7-BFF7-4B74-88C9-18662E4A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B96116"/>
    <w:pPr>
      <w:keepNext/>
      <w:jc w:val="both"/>
      <w:outlineLvl w:val="0"/>
    </w:pPr>
    <w:rPr>
      <w:rFonts w:ascii="Arial" w:hAnsi="Arial"/>
      <w:caps/>
      <w:spacing w:val="-4"/>
      <w:lang w:eastAsia="ja-JP"/>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basedOn w:val="Normal"/>
    <w:next w:val="Normal"/>
    <w:autoRedefine/>
    <w:uiPriority w:val="39"/>
    <w:rsid w:val="00192CBF"/>
    <w:pPr>
      <w:tabs>
        <w:tab w:val="right" w:leader="dot" w:pos="9639"/>
      </w:tabs>
      <w:ind w:left="284" w:right="851"/>
    </w:pPr>
    <w:rPr>
      <w:noProof/>
      <w:sz w:val="18"/>
    </w:rPr>
  </w:style>
  <w:style w:type="paragraph" w:styleId="TOC3">
    <w:name w:val="toc 3"/>
    <w:next w:val="Normal"/>
    <w:autoRedefine/>
    <w:uiPriority w:val="39"/>
    <w:rsid w:val="000D17A1"/>
    <w:pPr>
      <w:tabs>
        <w:tab w:val="right" w:leader="dot" w:pos="9639"/>
      </w:tabs>
      <w:ind w:right="851" w:firstLine="284"/>
    </w:pPr>
    <w:rPr>
      <w:rFonts w:ascii="Arial" w:hAnsi="Arial"/>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ED644C"/>
    <w:pPr>
      <w:tabs>
        <w:tab w:val="right" w:leader="dot" w:pos="9639"/>
      </w:tabs>
      <w:spacing w:before="60"/>
      <w:ind w:right="1418"/>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440683"/>
    <w:rPr>
      <w:rFonts w:ascii="Arial" w:hAnsi="Arial"/>
      <w:lang w:val="de-DE"/>
    </w:rPr>
  </w:style>
  <w:style w:type="table" w:styleId="TableGrid">
    <w:name w:val="Table Grid"/>
    <w:basedOn w:val="TableNormal"/>
    <w:uiPriority w:val="39"/>
    <w:rsid w:val="00E863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0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96116"/>
    <w:rPr>
      <w:rFonts w:ascii="Arial" w:hAnsi="Arial"/>
      <w:caps/>
      <w:spacing w:val="-4"/>
      <w:lang w:eastAsia="ja-JP"/>
    </w:rPr>
  </w:style>
  <w:style w:type="table" w:customStyle="1" w:styleId="TableGrid2">
    <w:name w:val="Table Grid2"/>
    <w:basedOn w:val="TableNormal"/>
    <w:next w:val="TableGrid"/>
    <w:rsid w:val="00C415A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F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0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0097"/>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table" w:customStyle="1" w:styleId="TableGrid41">
    <w:name w:val="Table Grid41"/>
    <w:basedOn w:val="TableNormal"/>
    <w:next w:val="TableGrid"/>
    <w:rsid w:val="00C9656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8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52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052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A4F09-FE98-4405-B0C8-D739031F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3727</Words>
  <Characters>26279</Characters>
  <Application>Microsoft Office Word</Application>
  <DocSecurity>0</DocSecurity>
  <Lines>218</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TC/55/7</vt:lpstr>
      <vt:lpstr>TC/55/7</vt:lpstr>
    </vt:vector>
  </TitlesOfParts>
  <Company>UPOV</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TC/55/7</dc:title>
  <dc:creator>SANCHEZ VIZCAINO GOMEZ Rosa Maria</dc:creator>
  <cp:lastModifiedBy>MAY Jessica</cp:lastModifiedBy>
  <cp:revision>17</cp:revision>
  <cp:lastPrinted>2019-08-06T12:27:00Z</cp:lastPrinted>
  <dcterms:created xsi:type="dcterms:W3CDTF">2019-09-11T15:05:00Z</dcterms:created>
  <dcterms:modified xsi:type="dcterms:W3CDTF">2019-09-26T14:40:00Z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fb420226-08e7-4e42-bdef-65e1fc7c63d5</vt:lpwstr>
  </property>
</Properties>
</file>