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A44BD" w:rsidRPr="00B05705" w:rsidTr="00DC4ECD">
        <w:tc>
          <w:tcPr>
            <w:tcW w:w="6522" w:type="dxa"/>
          </w:tcPr>
          <w:p w:rsidR="00EA44BD" w:rsidRPr="00B05705" w:rsidRDefault="00EA44BD" w:rsidP="00DC4ECD">
            <w:pPr>
              <w:rPr>
                <w:noProof/>
                <w:lang w:val="de-DE"/>
              </w:rPr>
            </w:pPr>
            <w:r w:rsidRPr="00B05705">
              <w:rPr>
                <w:noProof/>
              </w:rPr>
              <w:drawing>
                <wp:inline distT="0" distB="0" distL="0" distR="0" wp14:anchorId="357EC3F7" wp14:editId="5B30B49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A44BD" w:rsidRPr="00B05705" w:rsidRDefault="00EA44BD" w:rsidP="00DC4ECD">
            <w:pPr>
              <w:pStyle w:val="Lettrine"/>
              <w:spacing w:line="240" w:lineRule="auto"/>
              <w:rPr>
                <w:noProof/>
                <w:lang w:val="de-DE"/>
              </w:rPr>
            </w:pPr>
            <w:r w:rsidRPr="00B05705">
              <w:rPr>
                <w:noProof/>
                <w:lang w:val="de-DE"/>
              </w:rPr>
              <w:t>G</w:t>
            </w:r>
          </w:p>
        </w:tc>
      </w:tr>
      <w:tr w:rsidR="00EA44BD" w:rsidRPr="00F176B7" w:rsidTr="00DC4ECD">
        <w:trPr>
          <w:trHeight w:val="219"/>
        </w:trPr>
        <w:tc>
          <w:tcPr>
            <w:tcW w:w="6522" w:type="dxa"/>
          </w:tcPr>
          <w:p w:rsidR="00EA44BD" w:rsidRPr="00B05705" w:rsidRDefault="00EA44BD" w:rsidP="00DC4ECD">
            <w:pPr>
              <w:pStyle w:val="upove"/>
              <w:rPr>
                <w:noProof/>
                <w:lang w:val="de-DE"/>
              </w:rPr>
            </w:pPr>
            <w:r w:rsidRPr="00B05705">
              <w:rPr>
                <w:noProof/>
                <w:lang w:val="de-DE"/>
              </w:rPr>
              <w:t>Internationaler Verband zum Schutz von Pflanzenzüchtungen</w:t>
            </w:r>
          </w:p>
        </w:tc>
        <w:tc>
          <w:tcPr>
            <w:tcW w:w="3117" w:type="dxa"/>
          </w:tcPr>
          <w:p w:rsidR="00EA44BD" w:rsidRPr="00B05705" w:rsidRDefault="00EA44BD" w:rsidP="00DC4ECD">
            <w:pPr>
              <w:rPr>
                <w:noProof/>
                <w:lang w:val="de-DE"/>
              </w:rPr>
            </w:pPr>
          </w:p>
        </w:tc>
      </w:tr>
    </w:tbl>
    <w:p w:rsidR="00EA44BD" w:rsidRPr="00B05705" w:rsidRDefault="00EA44BD" w:rsidP="00EA44BD">
      <w:pPr>
        <w:rPr>
          <w:noProof/>
          <w:lang w:val="de-DE"/>
        </w:rPr>
      </w:pPr>
    </w:p>
    <w:p w:rsidR="00EA44BD" w:rsidRPr="00B05705" w:rsidRDefault="00EA44BD" w:rsidP="00EA44BD">
      <w:pPr>
        <w:rPr>
          <w:noProof/>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A44BD" w:rsidRPr="001762B2" w:rsidTr="00DC4ECD">
        <w:tc>
          <w:tcPr>
            <w:tcW w:w="6512" w:type="dxa"/>
          </w:tcPr>
          <w:p w:rsidR="00EA44BD" w:rsidRPr="00B05705" w:rsidRDefault="00EA44BD" w:rsidP="00DC4ECD">
            <w:pPr>
              <w:pStyle w:val="Sessiontc"/>
              <w:spacing w:line="240" w:lineRule="auto"/>
              <w:rPr>
                <w:noProof/>
                <w:lang w:val="de-DE"/>
              </w:rPr>
            </w:pPr>
            <w:r w:rsidRPr="00B05705">
              <w:rPr>
                <w:noProof/>
                <w:lang w:val="de-DE"/>
              </w:rPr>
              <w:t xml:space="preserve">Technischer </w:t>
            </w:r>
            <w:r>
              <w:rPr>
                <w:noProof/>
                <w:lang w:val="de-DE"/>
              </w:rPr>
              <w:t>Ausschuss</w:t>
            </w:r>
          </w:p>
          <w:p w:rsidR="00EA44BD" w:rsidRPr="00B05705" w:rsidRDefault="00EA44BD" w:rsidP="00DC4ECD">
            <w:pPr>
              <w:pStyle w:val="Sessiontcplacedate"/>
              <w:rPr>
                <w:noProof/>
                <w:sz w:val="22"/>
                <w:lang w:val="de-DE"/>
              </w:rPr>
            </w:pPr>
            <w:r w:rsidRPr="00B05705">
              <w:rPr>
                <w:noProof/>
                <w:lang w:val="de-DE"/>
              </w:rPr>
              <w:t>Fünfundfünfzigste Tagung</w:t>
            </w:r>
            <w:r w:rsidRPr="00B05705">
              <w:rPr>
                <w:noProof/>
                <w:lang w:val="de-DE"/>
              </w:rPr>
              <w:br/>
              <w:t xml:space="preserve">Genf, 28. und </w:t>
            </w:r>
            <w:r>
              <w:rPr>
                <w:noProof/>
                <w:lang w:val="de-DE"/>
              </w:rPr>
              <w:t>2</w:t>
            </w:r>
            <w:r w:rsidRPr="00B05705">
              <w:rPr>
                <w:noProof/>
                <w:lang w:val="de-DE"/>
              </w:rPr>
              <w:t>9. Oktober</w:t>
            </w:r>
            <w:r>
              <w:rPr>
                <w:noProof/>
                <w:lang w:val="de-DE"/>
              </w:rPr>
              <w:t xml:space="preserve"> </w:t>
            </w:r>
            <w:r w:rsidRPr="00B05705">
              <w:rPr>
                <w:noProof/>
                <w:lang w:val="de-DE"/>
              </w:rPr>
              <w:t>2019</w:t>
            </w:r>
          </w:p>
        </w:tc>
        <w:tc>
          <w:tcPr>
            <w:tcW w:w="3127" w:type="dxa"/>
          </w:tcPr>
          <w:p w:rsidR="00EA44BD" w:rsidRPr="00B05705" w:rsidRDefault="00EA44BD" w:rsidP="00DC4ECD">
            <w:pPr>
              <w:pStyle w:val="Doccode"/>
              <w:rPr>
                <w:noProof/>
                <w:lang w:val="de-DE"/>
              </w:rPr>
            </w:pPr>
            <w:r w:rsidRPr="00B05705">
              <w:rPr>
                <w:noProof/>
                <w:lang w:val="de-DE"/>
              </w:rPr>
              <w:t>TC/55/4</w:t>
            </w:r>
          </w:p>
          <w:p w:rsidR="00EA44BD" w:rsidRPr="00B05705" w:rsidRDefault="00EA44BD" w:rsidP="00DC4ECD">
            <w:pPr>
              <w:pStyle w:val="Docoriginal"/>
              <w:spacing w:line="240" w:lineRule="auto"/>
              <w:rPr>
                <w:noProof/>
                <w:lang w:val="de-DE"/>
              </w:rPr>
            </w:pPr>
            <w:r w:rsidRPr="00B05705">
              <w:rPr>
                <w:noProof/>
                <w:lang w:val="de-DE"/>
              </w:rPr>
              <w:t>Original:</w:t>
            </w:r>
            <w:r>
              <w:rPr>
                <w:b w:val="0"/>
                <w:noProof/>
                <w:spacing w:val="0"/>
                <w:lang w:val="de-DE"/>
              </w:rPr>
              <w:t xml:space="preserve"> </w:t>
            </w:r>
            <w:r w:rsidRPr="00B05705">
              <w:rPr>
                <w:b w:val="0"/>
                <w:noProof/>
                <w:spacing w:val="0"/>
                <w:lang w:val="de-DE"/>
              </w:rPr>
              <w:t>englisch</w:t>
            </w:r>
          </w:p>
          <w:p w:rsidR="00EA44BD" w:rsidRPr="00B05705" w:rsidRDefault="00EA44BD" w:rsidP="00DC4ECD">
            <w:pPr>
              <w:pStyle w:val="Docoriginal"/>
              <w:spacing w:line="240" w:lineRule="auto"/>
              <w:rPr>
                <w:noProof/>
                <w:lang w:val="de-DE"/>
              </w:rPr>
            </w:pPr>
            <w:r w:rsidRPr="00B05705">
              <w:rPr>
                <w:noProof/>
                <w:lang w:val="de-DE"/>
              </w:rPr>
              <w:t>Datum</w:t>
            </w:r>
            <w:r w:rsidRPr="001762B2">
              <w:rPr>
                <w:noProof/>
                <w:lang w:val="de-DE"/>
              </w:rPr>
              <w:t>:</w:t>
            </w:r>
            <w:r w:rsidRPr="001762B2">
              <w:rPr>
                <w:b w:val="0"/>
                <w:noProof/>
                <w:spacing w:val="0"/>
                <w:lang w:val="de-DE"/>
              </w:rPr>
              <w:t xml:space="preserve"> </w:t>
            </w:r>
            <w:r w:rsidR="001762B2" w:rsidRPr="001762B2">
              <w:rPr>
                <w:b w:val="0"/>
                <w:noProof/>
                <w:spacing w:val="0"/>
                <w:lang w:val="de-DE"/>
              </w:rPr>
              <w:t>10</w:t>
            </w:r>
            <w:r w:rsidRPr="001762B2">
              <w:rPr>
                <w:b w:val="0"/>
                <w:noProof/>
                <w:spacing w:val="0"/>
                <w:lang w:val="de-DE"/>
              </w:rPr>
              <w:t>. Oktober 2019</w:t>
            </w:r>
          </w:p>
        </w:tc>
      </w:tr>
    </w:tbl>
    <w:p w:rsidR="00EA44BD" w:rsidRPr="00B05705" w:rsidRDefault="00EA44BD" w:rsidP="00EA44BD">
      <w:pPr>
        <w:pStyle w:val="Titleofdoc0"/>
        <w:rPr>
          <w:noProof/>
          <w:lang w:val="de-DE"/>
        </w:rPr>
      </w:pPr>
      <w:bookmarkStart w:id="0" w:name="TitleOfDoc"/>
      <w:bookmarkEnd w:id="0"/>
      <w:r w:rsidRPr="00B05705">
        <w:rPr>
          <w:noProof/>
          <w:lang w:val="de-DE"/>
        </w:rPr>
        <w:t>TGP-Dokumente</w:t>
      </w:r>
    </w:p>
    <w:p w:rsidR="00EA44BD" w:rsidRPr="00B05705" w:rsidRDefault="00EA44BD" w:rsidP="00EA44BD">
      <w:pPr>
        <w:pStyle w:val="preparedby1"/>
        <w:jc w:val="left"/>
        <w:rPr>
          <w:noProof/>
          <w:lang w:val="de-DE"/>
        </w:rPr>
      </w:pPr>
      <w:bookmarkStart w:id="1" w:name="Prepared"/>
      <w:bookmarkEnd w:id="1"/>
      <w:r w:rsidRPr="00B05705">
        <w:rPr>
          <w:noProof/>
          <w:lang w:val="de-DE"/>
        </w:rPr>
        <w:t>vom Verbandsbüro erstelltes Dokument</w:t>
      </w:r>
    </w:p>
    <w:p w:rsidR="00EA44BD" w:rsidRPr="00B05705" w:rsidRDefault="00EA44BD" w:rsidP="00EA44BD">
      <w:pPr>
        <w:pStyle w:val="Disclaimer"/>
        <w:rPr>
          <w:noProof/>
          <w:lang w:val="de-DE"/>
        </w:rPr>
      </w:pPr>
      <w:r w:rsidRPr="00B05705">
        <w:rPr>
          <w:noProof/>
          <w:lang w:val="de-DE"/>
        </w:rPr>
        <w:t>Haftungsausschluss: dieses Dokument gibt nicht die Grundsätze oder eine Anleitung der UPOV wieder</w:t>
      </w:r>
    </w:p>
    <w:p w:rsidR="00EA44BD" w:rsidRPr="00B05705" w:rsidRDefault="00EA44BD" w:rsidP="00EA44BD">
      <w:pPr>
        <w:keepNext/>
        <w:outlineLvl w:val="0"/>
        <w:rPr>
          <w:caps/>
          <w:noProof/>
          <w:snapToGrid w:val="0"/>
          <w:lang w:val="de-DE"/>
        </w:rPr>
      </w:pPr>
      <w:bookmarkStart w:id="2" w:name="_Toc15647497"/>
      <w:bookmarkStart w:id="3" w:name="_Toc22740434"/>
      <w:r w:rsidRPr="00B05705">
        <w:rPr>
          <w:caps/>
          <w:noProof/>
          <w:snapToGrid w:val="0"/>
          <w:lang w:val="de-DE"/>
        </w:rPr>
        <w:t>ZUSAMMENFASSUNG</w:t>
      </w:r>
      <w:bookmarkEnd w:id="2"/>
      <w:bookmarkEnd w:id="3"/>
    </w:p>
    <w:p w:rsidR="00EA44BD" w:rsidRPr="00B05705" w:rsidRDefault="00EA44BD" w:rsidP="00EA44BD">
      <w:pPr>
        <w:rPr>
          <w:noProof/>
          <w:snapToGrid w:val="0"/>
          <w:lang w:val="de-DE"/>
        </w:rPr>
      </w:pPr>
    </w:p>
    <w:bookmarkStart w:id="4" w:name="_Hlk22499385"/>
    <w:p w:rsidR="00EA44BD" w:rsidRPr="002365D6" w:rsidRDefault="00EA44BD" w:rsidP="00EA44BD">
      <w:pPr>
        <w:rPr>
          <w:rFonts w:cs="Arial"/>
          <w:noProof/>
          <w:lang w:val="de-DE"/>
        </w:rPr>
      </w:pPr>
      <w:r w:rsidRPr="0059364E">
        <w:rPr>
          <w:noProof/>
          <w:snapToGrid w:val="0"/>
          <w:lang w:val="de-DE"/>
        </w:rPr>
        <w:fldChar w:fldCharType="begin"/>
      </w:r>
      <w:r w:rsidRPr="002365D6">
        <w:rPr>
          <w:noProof/>
          <w:snapToGrid w:val="0"/>
          <w:lang w:val="de-DE"/>
        </w:rPr>
        <w:instrText xml:space="preserve"> AUTONUM  </w:instrText>
      </w:r>
      <w:r w:rsidRPr="0059364E">
        <w:rPr>
          <w:noProof/>
          <w:snapToGrid w:val="0"/>
          <w:lang w:val="de-DE"/>
        </w:rPr>
        <w:fldChar w:fldCharType="end"/>
      </w:r>
      <w:r w:rsidRPr="002365D6">
        <w:rPr>
          <w:noProof/>
          <w:snapToGrid w:val="0"/>
          <w:lang w:val="de-DE"/>
        </w:rPr>
        <w:tab/>
      </w:r>
      <w:r w:rsidRPr="002365D6">
        <w:rPr>
          <w:noProof/>
          <w:lang w:val="de-DE"/>
        </w:rPr>
        <w:t xml:space="preserve">Zweck dieses Dokumentes ist es, </w:t>
      </w:r>
      <w:r w:rsidRPr="0059364E">
        <w:rPr>
          <w:noProof/>
          <w:lang w:val="de-DE"/>
        </w:rPr>
        <w:t>e</w:t>
      </w:r>
      <w:r w:rsidRPr="002365D6">
        <w:rPr>
          <w:noProof/>
          <w:lang w:val="de-DE"/>
        </w:rPr>
        <w:t>inen Überblick über die Überarbeitungen von TGP-Dokumenten bereitzustellen</w:t>
      </w:r>
      <w:r w:rsidRPr="002365D6">
        <w:rPr>
          <w:rFonts w:cs="Arial"/>
          <w:noProof/>
          <w:lang w:val="de-DE"/>
        </w:rPr>
        <w:t xml:space="preserve">. </w:t>
      </w:r>
    </w:p>
    <w:p w:rsidR="00EA44BD" w:rsidRPr="0059364E" w:rsidRDefault="00EA44BD" w:rsidP="00EA44BD">
      <w:pPr>
        <w:tabs>
          <w:tab w:val="left" w:pos="567"/>
          <w:tab w:val="left" w:pos="1134"/>
          <w:tab w:val="left" w:pos="5387"/>
        </w:tabs>
        <w:rPr>
          <w:noProof/>
          <w:lang w:val="de-DE"/>
        </w:rPr>
      </w:pPr>
    </w:p>
    <w:p w:rsidR="00EA44BD" w:rsidRPr="00B05705" w:rsidRDefault="00EA44BD" w:rsidP="00EA44BD">
      <w:pPr>
        <w:tabs>
          <w:tab w:val="left" w:pos="567"/>
          <w:tab w:val="left" w:pos="1134"/>
          <w:tab w:val="left" w:pos="5387"/>
        </w:tabs>
        <w:rPr>
          <w:noProof/>
          <w:u w:val="single"/>
          <w:lang w:val="de-DE"/>
        </w:rPr>
      </w:pPr>
      <w:r w:rsidRPr="0059364E">
        <w:rPr>
          <w:noProof/>
          <w:u w:val="single"/>
          <w:lang w:val="de-DE"/>
        </w:rPr>
        <w:t>A</w:t>
      </w:r>
      <w:r w:rsidRPr="002365D6">
        <w:rPr>
          <w:noProof/>
          <w:u w:val="single"/>
          <w:lang w:val="de-DE"/>
        </w:rPr>
        <w:t>ngelegenheite</w:t>
      </w:r>
      <w:r w:rsidRPr="00B05705">
        <w:rPr>
          <w:noProof/>
          <w:u w:val="single"/>
          <w:lang w:val="de-DE"/>
        </w:rPr>
        <w:t>n zur Annahme durch den Rat im Jahr 2019</w:t>
      </w:r>
    </w:p>
    <w:p w:rsidR="00EA44BD" w:rsidRPr="00B05705" w:rsidRDefault="00EA44BD" w:rsidP="00EA44BD">
      <w:pPr>
        <w:tabs>
          <w:tab w:val="left" w:pos="567"/>
          <w:tab w:val="left" w:pos="1134"/>
          <w:tab w:val="left" w:pos="5387"/>
        </w:tabs>
        <w:rPr>
          <w:noProof/>
          <w:lang w:val="de-DE"/>
        </w:rPr>
      </w:pPr>
    </w:p>
    <w:p w:rsidR="00EA44BD" w:rsidRPr="00B05705" w:rsidRDefault="00EA44BD" w:rsidP="00EA44BD">
      <w:pPr>
        <w:tabs>
          <w:tab w:val="left" w:pos="567"/>
          <w:tab w:val="left" w:pos="1134"/>
          <w:tab w:val="left" w:pos="5387"/>
        </w:tabs>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wird ersucht:</w:t>
      </w:r>
    </w:p>
    <w:p w:rsidR="00EA44BD" w:rsidRPr="00B05705" w:rsidRDefault="00EA44BD" w:rsidP="00EA44BD">
      <w:pPr>
        <w:rPr>
          <w:noProof/>
          <w:lang w:val="de-DE"/>
        </w:rPr>
      </w:pPr>
    </w:p>
    <w:p w:rsidR="00EA44BD" w:rsidRPr="00B05705" w:rsidRDefault="00EA44BD" w:rsidP="00EA44BD">
      <w:pPr>
        <w:tabs>
          <w:tab w:val="left" w:pos="1134"/>
        </w:tabs>
        <w:ind w:firstLine="567"/>
        <w:rPr>
          <w:noProof/>
          <w:lang w:val="de-DE"/>
        </w:rPr>
      </w:pPr>
      <w:r w:rsidRPr="00B05705">
        <w:rPr>
          <w:noProof/>
          <w:lang w:val="de-DE"/>
        </w:rPr>
        <w:t>a)</w:t>
      </w:r>
      <w:r w:rsidRPr="00B05705">
        <w:rPr>
          <w:noProof/>
          <w:lang w:val="de-DE"/>
        </w:rPr>
        <w:tab/>
        <w:t>die Überarbeitung von Dokument TGP/7 „Erstellung von Prüfungsrichtlinien</w:t>
      </w:r>
      <w:r>
        <w:rPr>
          <w:noProof/>
          <w:lang w:val="de-DE"/>
        </w:rPr>
        <w:t>“</w:t>
      </w:r>
      <w:r w:rsidRPr="00B05705">
        <w:rPr>
          <w:noProof/>
          <w:lang w:val="de-DE"/>
        </w:rPr>
        <w:t xml:space="preserve"> (Dokument TGP/7/7) auf der Grundlage von Dokument TGP/7/7 Draft 1 zu prüfen;</w:t>
      </w:r>
    </w:p>
    <w:p w:rsidR="00EA44BD" w:rsidRPr="00B05705" w:rsidRDefault="00EA44BD" w:rsidP="00EA44BD">
      <w:pPr>
        <w:tabs>
          <w:tab w:val="left" w:pos="1134"/>
        </w:tabs>
        <w:ind w:firstLine="567"/>
        <w:rPr>
          <w:noProof/>
          <w:lang w:val="de-DE"/>
        </w:rPr>
      </w:pPr>
    </w:p>
    <w:p w:rsidR="00EA44BD" w:rsidRPr="00B05705" w:rsidRDefault="00EA44BD" w:rsidP="00EA44BD">
      <w:pPr>
        <w:tabs>
          <w:tab w:val="left" w:pos="1134"/>
        </w:tabs>
        <w:ind w:firstLine="567"/>
        <w:rPr>
          <w:noProof/>
          <w:lang w:val="de-DE"/>
        </w:rPr>
      </w:pPr>
      <w:r w:rsidRPr="00B05705">
        <w:rPr>
          <w:noProof/>
          <w:lang w:val="de-DE"/>
        </w:rPr>
        <w:t>b)</w:t>
      </w:r>
      <w:r w:rsidRPr="00B05705">
        <w:rPr>
          <w:noProof/>
          <w:lang w:val="de-DE"/>
        </w:rPr>
        <w:tab/>
        <w:t>die Überarbeitung von Dokument TGP/8 „Prüfungsanlage und Verfahren für die Prüfung der Unterscheidbarkeit, Homogenität und Beständigkeit</w:t>
      </w:r>
      <w:r>
        <w:rPr>
          <w:noProof/>
          <w:lang w:val="de-DE"/>
        </w:rPr>
        <w:t>“</w:t>
      </w:r>
      <w:r w:rsidRPr="00B05705">
        <w:rPr>
          <w:noProof/>
          <w:lang w:val="de-DE"/>
        </w:rPr>
        <w:t xml:space="preserve"> </w:t>
      </w:r>
      <w:r>
        <w:rPr>
          <w:noProof/>
          <w:lang w:val="de-DE"/>
        </w:rPr>
        <w:t xml:space="preserve">(Dokument TGP/8/3) </w:t>
      </w:r>
      <w:r w:rsidRPr="00B05705">
        <w:rPr>
          <w:noProof/>
          <w:lang w:val="de-DE"/>
        </w:rPr>
        <w:t>auf der Grundlage von Dokument TGP/8/4 Draft 1 zu prüfen;</w:t>
      </w:r>
    </w:p>
    <w:p w:rsidR="00EA44BD" w:rsidRPr="00B05705" w:rsidRDefault="00EA44BD" w:rsidP="00EA44BD">
      <w:pPr>
        <w:tabs>
          <w:tab w:val="left" w:pos="1134"/>
        </w:tabs>
        <w:ind w:firstLine="567"/>
        <w:rPr>
          <w:noProof/>
          <w:lang w:val="de-DE"/>
        </w:rPr>
      </w:pPr>
    </w:p>
    <w:p w:rsidR="00EA44BD" w:rsidRPr="00B05705" w:rsidRDefault="00EA44BD" w:rsidP="00EA44BD">
      <w:pPr>
        <w:tabs>
          <w:tab w:val="left" w:pos="1134"/>
        </w:tabs>
        <w:ind w:firstLine="567"/>
        <w:rPr>
          <w:noProof/>
          <w:lang w:val="de-DE"/>
        </w:rPr>
      </w:pPr>
      <w:r w:rsidRPr="00B05705">
        <w:rPr>
          <w:noProof/>
          <w:lang w:val="de-DE"/>
        </w:rPr>
        <w:t>c)</w:t>
      </w:r>
      <w:r w:rsidRPr="00B05705">
        <w:rPr>
          <w:noProof/>
          <w:lang w:val="de-DE"/>
        </w:rPr>
        <w:tab/>
        <w:t>die Überarbeitung von Dokument TGP/10 „Prüfung der Homogenität</w:t>
      </w:r>
      <w:r>
        <w:rPr>
          <w:i/>
          <w:noProof/>
          <w:lang w:val="de-DE"/>
        </w:rPr>
        <w:t>“</w:t>
      </w:r>
      <w:r w:rsidRPr="00B05705">
        <w:rPr>
          <w:noProof/>
          <w:lang w:val="de-DE"/>
        </w:rPr>
        <w:t xml:space="preserve"> (Dokument TGP/10/1) auf der Grundlage von Dokument TGP/10/2 Draft 1 zu prüfen;</w:t>
      </w:r>
    </w:p>
    <w:p w:rsidR="00EA44BD" w:rsidRPr="00B05705" w:rsidRDefault="00EA44BD" w:rsidP="00EA44BD">
      <w:pPr>
        <w:tabs>
          <w:tab w:val="left" w:pos="1134"/>
        </w:tabs>
        <w:ind w:firstLine="567"/>
        <w:rPr>
          <w:noProof/>
          <w:lang w:val="de-DE"/>
        </w:rPr>
      </w:pPr>
    </w:p>
    <w:p w:rsidR="00EA44BD" w:rsidRPr="00B05705" w:rsidRDefault="00EA44BD" w:rsidP="00EA44BD">
      <w:pPr>
        <w:tabs>
          <w:tab w:val="left" w:pos="1134"/>
        </w:tabs>
        <w:ind w:firstLine="567"/>
        <w:rPr>
          <w:noProof/>
          <w:lang w:val="de-DE"/>
        </w:rPr>
      </w:pPr>
      <w:r w:rsidRPr="00B05705">
        <w:rPr>
          <w:noProof/>
          <w:lang w:val="de-DE"/>
        </w:rPr>
        <w:t>d)</w:t>
      </w:r>
      <w:r w:rsidRPr="00B05705">
        <w:rPr>
          <w:noProof/>
          <w:lang w:val="de-DE"/>
        </w:rPr>
        <w:tab/>
        <w:t>die Überarbeitung von Dokument TGP/14 „Glossar der in den UPOV-Dokumenten verwendeten Begriffe</w:t>
      </w:r>
      <w:r>
        <w:rPr>
          <w:rFonts w:cs="Arial"/>
          <w:noProof/>
          <w:lang w:val="de-DE"/>
        </w:rPr>
        <w:t>“</w:t>
      </w:r>
      <w:r w:rsidRPr="00B05705">
        <w:rPr>
          <w:noProof/>
          <w:lang w:val="de-DE"/>
        </w:rPr>
        <w:t xml:space="preserve"> (Dokument TGP/14/3) auf der Grundlage von Dokument TGP/14/4 Draft 1 zu prüfen;</w:t>
      </w:r>
    </w:p>
    <w:p w:rsidR="00EA44BD" w:rsidRPr="00B05705" w:rsidRDefault="00EA44BD" w:rsidP="00EA44BD">
      <w:pPr>
        <w:tabs>
          <w:tab w:val="left" w:pos="1134"/>
        </w:tabs>
        <w:ind w:firstLine="567"/>
        <w:rPr>
          <w:noProof/>
          <w:lang w:val="de-DE"/>
        </w:rPr>
      </w:pPr>
    </w:p>
    <w:p w:rsidR="00EA44BD" w:rsidRPr="00B05705" w:rsidRDefault="00EA44BD" w:rsidP="00EA44BD">
      <w:pPr>
        <w:tabs>
          <w:tab w:val="left" w:pos="1134"/>
        </w:tabs>
        <w:ind w:firstLine="567"/>
        <w:rPr>
          <w:noProof/>
          <w:lang w:val="de-DE"/>
        </w:rPr>
      </w:pPr>
      <w:r w:rsidRPr="00B05705">
        <w:rPr>
          <w:noProof/>
          <w:lang w:val="de-DE"/>
        </w:rPr>
        <w:t>e)</w:t>
      </w:r>
      <w:r w:rsidRPr="00B05705">
        <w:rPr>
          <w:noProof/>
          <w:lang w:val="de-DE"/>
        </w:rPr>
        <w:tab/>
        <w:t>die Überarbeitung von Dokument TGP/15 „Anleitung zur Verwendung biochemischer und molekularer Marker bei der Prüfung der Unterscheidbarkeit, Homogenität und Beständigkeit (DUS)</w:t>
      </w:r>
      <w:r>
        <w:rPr>
          <w:noProof/>
          <w:lang w:val="de-DE"/>
        </w:rPr>
        <w:t>“</w:t>
      </w:r>
      <w:r w:rsidRPr="00B05705">
        <w:rPr>
          <w:noProof/>
          <w:lang w:val="de-DE"/>
        </w:rPr>
        <w:t xml:space="preserve"> </w:t>
      </w:r>
      <w:r>
        <w:rPr>
          <w:noProof/>
          <w:lang w:val="de-DE"/>
        </w:rPr>
        <w:t xml:space="preserve">(Dokument TGP/15/1) </w:t>
      </w:r>
      <w:r w:rsidRPr="00B05705">
        <w:rPr>
          <w:noProof/>
          <w:lang w:val="de-DE"/>
        </w:rPr>
        <w:t>auf der Grundlage von Dokument TGP/15/2 Draft 2 zu prüfen; und</w:t>
      </w:r>
    </w:p>
    <w:p w:rsidR="00EA44BD" w:rsidRPr="00B05705" w:rsidRDefault="00EA44BD" w:rsidP="00EA44BD">
      <w:pPr>
        <w:tabs>
          <w:tab w:val="left" w:pos="1134"/>
        </w:tabs>
        <w:ind w:firstLine="567"/>
        <w:rPr>
          <w:noProof/>
          <w:lang w:val="de-DE"/>
        </w:rPr>
      </w:pPr>
    </w:p>
    <w:p w:rsidR="00EA44BD" w:rsidRPr="00B05705" w:rsidRDefault="00EA44BD" w:rsidP="00EA44BD">
      <w:pPr>
        <w:tabs>
          <w:tab w:val="left" w:pos="1134"/>
        </w:tabs>
        <w:ind w:firstLine="567"/>
        <w:rPr>
          <w:rFonts w:cs="Arial"/>
          <w:noProof/>
          <w:lang w:val="de-DE"/>
        </w:rPr>
      </w:pPr>
      <w:r w:rsidRPr="00B05705">
        <w:rPr>
          <w:rFonts w:cs="Arial"/>
          <w:noProof/>
          <w:lang w:val="de-DE"/>
        </w:rPr>
        <w:t>f)</w:t>
      </w:r>
      <w:r w:rsidRPr="00B05705">
        <w:rPr>
          <w:rFonts w:cs="Arial"/>
          <w:noProof/>
          <w:lang w:val="de-DE"/>
        </w:rPr>
        <w:tab/>
        <w:t>zur Kenntnis zu nehmen, daß der Rat in Verbindung mit der Annahme der überarbeiteten TGP-Dokumente auf der dreiundfünfzigsten ordentlichen Tagung des Rates ersucht werden wird</w:t>
      </w:r>
      <w:r>
        <w:rPr>
          <w:rFonts w:cs="Arial"/>
          <w:noProof/>
          <w:lang w:val="de-DE"/>
        </w:rPr>
        <w:t>,</w:t>
      </w:r>
      <w:r w:rsidRPr="00B05705">
        <w:rPr>
          <w:rFonts w:cs="Arial"/>
          <w:noProof/>
          <w:lang w:val="de-DE"/>
        </w:rPr>
        <w:t xml:space="preserve"> eine Überarbeitung von Dokument TGP/0 „Liste der TGP-Dokumente und Datum der jüngsten Ausgabe</w:t>
      </w:r>
      <w:r>
        <w:rPr>
          <w:rFonts w:cs="Arial"/>
          <w:noProof/>
          <w:lang w:val="de-DE"/>
        </w:rPr>
        <w:t>“</w:t>
      </w:r>
      <w:r w:rsidRPr="00B05705">
        <w:rPr>
          <w:rFonts w:cs="Arial"/>
          <w:noProof/>
          <w:lang w:val="de-DE"/>
        </w:rPr>
        <w:t xml:space="preserve"> (Dokument TGP/0/10)</w:t>
      </w:r>
      <w:r>
        <w:rPr>
          <w:rFonts w:cs="Arial"/>
          <w:noProof/>
          <w:lang w:val="de-DE"/>
        </w:rPr>
        <w:t xml:space="preserve"> </w:t>
      </w:r>
      <w:r w:rsidRPr="00B05705">
        <w:rPr>
          <w:rFonts w:cs="Arial"/>
          <w:noProof/>
          <w:lang w:val="de-DE"/>
        </w:rPr>
        <w:t>auf der Grundlage von Dokument TGP/0/11 Draft 1</w:t>
      </w:r>
      <w:r>
        <w:rPr>
          <w:rFonts w:cs="Arial"/>
          <w:noProof/>
          <w:lang w:val="de-DE"/>
        </w:rPr>
        <w:t xml:space="preserve"> </w:t>
      </w:r>
      <w:r w:rsidRPr="00B05705">
        <w:rPr>
          <w:rFonts w:cs="Arial"/>
          <w:noProof/>
          <w:lang w:val="de-DE"/>
        </w:rPr>
        <w:t>anzunehmen.</w:t>
      </w:r>
    </w:p>
    <w:p w:rsidR="00EA44BD" w:rsidRPr="00B05705" w:rsidRDefault="00EA44BD" w:rsidP="00EA44BD">
      <w:pPr>
        <w:tabs>
          <w:tab w:val="left" w:pos="1134"/>
          <w:tab w:val="left" w:pos="5387"/>
          <w:tab w:val="left" w:pos="5954"/>
        </w:tabs>
        <w:contextualSpacing/>
        <w:rPr>
          <w:noProof/>
          <w:u w:val="single"/>
          <w:lang w:val="de-DE"/>
        </w:rPr>
      </w:pPr>
    </w:p>
    <w:p w:rsidR="00EA44BD" w:rsidRPr="002365D6" w:rsidRDefault="00EA44BD" w:rsidP="00EA44BD">
      <w:pPr>
        <w:tabs>
          <w:tab w:val="left" w:pos="1134"/>
          <w:tab w:val="left" w:pos="5387"/>
          <w:tab w:val="left" w:pos="5954"/>
        </w:tabs>
        <w:contextualSpacing/>
        <w:rPr>
          <w:noProof/>
          <w:u w:val="single"/>
          <w:lang w:val="de-DE"/>
        </w:rPr>
      </w:pPr>
      <w:r w:rsidRPr="0059364E">
        <w:rPr>
          <w:noProof/>
          <w:u w:val="single"/>
          <w:lang w:val="de-DE"/>
        </w:rPr>
        <w:t>E</w:t>
      </w:r>
      <w:r w:rsidRPr="002365D6">
        <w:rPr>
          <w:noProof/>
          <w:u w:val="single"/>
          <w:lang w:val="de-DE"/>
        </w:rPr>
        <w:t>twaige künftige Überarbeitungen von TGP-Dokumenten</w:t>
      </w:r>
    </w:p>
    <w:p w:rsidR="00EA44BD" w:rsidRPr="002365D6" w:rsidRDefault="00EA44BD" w:rsidP="00EA44BD">
      <w:pPr>
        <w:tabs>
          <w:tab w:val="left" w:pos="1134"/>
          <w:tab w:val="left" w:pos="5387"/>
          <w:tab w:val="left" w:pos="5954"/>
        </w:tabs>
        <w:ind w:left="570"/>
        <w:contextualSpacing/>
        <w:rPr>
          <w:noProof/>
          <w:lang w:val="de-DE"/>
        </w:rPr>
      </w:pPr>
    </w:p>
    <w:p w:rsidR="00EA44BD" w:rsidRPr="002365D6" w:rsidRDefault="00EA44BD" w:rsidP="00EA44BD">
      <w:pPr>
        <w:tabs>
          <w:tab w:val="left" w:pos="567"/>
          <w:tab w:val="left" w:pos="1134"/>
          <w:tab w:val="left" w:pos="5387"/>
        </w:tabs>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2365D6">
        <w:rPr>
          <w:noProof/>
          <w:lang w:val="de-DE"/>
        </w:rPr>
        <w:tab/>
        <w:t>Der TC wird ersucht, folgendes zur Kenntnis zu nehmen:</w:t>
      </w:r>
    </w:p>
    <w:p w:rsidR="00EA44BD" w:rsidRPr="00440F19" w:rsidRDefault="00EA44BD" w:rsidP="00EA44BD">
      <w:pPr>
        <w:tabs>
          <w:tab w:val="left" w:pos="1134"/>
          <w:tab w:val="left" w:pos="5387"/>
          <w:tab w:val="left" w:pos="5954"/>
        </w:tabs>
        <w:ind w:left="570"/>
        <w:contextualSpacing/>
        <w:rPr>
          <w:noProof/>
          <w:lang w:val="de-DE"/>
        </w:rPr>
      </w:pPr>
    </w:p>
    <w:p w:rsidR="00EA44BD" w:rsidRPr="00440F19" w:rsidRDefault="00EA44BD" w:rsidP="00EA44BD">
      <w:pPr>
        <w:tabs>
          <w:tab w:val="left" w:pos="567"/>
          <w:tab w:val="left" w:pos="1134"/>
          <w:tab w:val="left" w:pos="5387"/>
          <w:tab w:val="left" w:pos="5954"/>
        </w:tabs>
        <w:contextualSpacing/>
        <w:rPr>
          <w:noProof/>
          <w:lang w:val="de-DE"/>
        </w:rPr>
      </w:pPr>
      <w:r w:rsidRPr="00440F19">
        <w:rPr>
          <w:noProof/>
          <w:lang w:val="de-DE"/>
        </w:rPr>
        <w:tab/>
      </w:r>
      <w:r w:rsidRPr="0059364E">
        <w:rPr>
          <w:noProof/>
          <w:lang w:val="de-DE"/>
        </w:rPr>
        <w:t>g</w:t>
      </w:r>
      <w:r w:rsidRPr="002365D6">
        <w:rPr>
          <w:noProof/>
          <w:lang w:val="de-DE"/>
        </w:rPr>
        <w:t>)</w:t>
      </w:r>
      <w:r w:rsidRPr="002365D6">
        <w:rPr>
          <w:noProof/>
          <w:lang w:val="de-DE"/>
        </w:rPr>
        <w:tab/>
        <w:t>die Angelegenheiten für eine etwaige künftige Überarbeitung der Dokumente TGP/7, TGP/8, TGP/14</w:t>
      </w:r>
      <w:r w:rsidRPr="00440F19">
        <w:rPr>
          <w:noProof/>
          <w:lang w:val="de-DE"/>
        </w:rPr>
        <w:t xml:space="preserve"> und TGP/15, die in separaten Dokumenten geprüft werden; </w:t>
      </w:r>
    </w:p>
    <w:p w:rsidR="00EA44BD" w:rsidRPr="002365D6" w:rsidRDefault="00EA44BD" w:rsidP="00EA44BD">
      <w:pPr>
        <w:tabs>
          <w:tab w:val="left" w:pos="567"/>
          <w:tab w:val="left" w:pos="1134"/>
          <w:tab w:val="left" w:pos="5387"/>
          <w:tab w:val="left" w:pos="5954"/>
        </w:tabs>
        <w:ind w:firstLine="567"/>
        <w:rPr>
          <w:noProof/>
          <w:lang w:val="de-DE"/>
        </w:rPr>
      </w:pPr>
    </w:p>
    <w:p w:rsidR="00EA44BD" w:rsidRPr="002365D6" w:rsidRDefault="00EA44BD" w:rsidP="00EA44BD">
      <w:pPr>
        <w:tabs>
          <w:tab w:val="left" w:pos="567"/>
          <w:tab w:val="left" w:pos="1134"/>
          <w:tab w:val="left" w:pos="5387"/>
          <w:tab w:val="left" w:pos="5954"/>
        </w:tabs>
        <w:contextualSpacing/>
        <w:rPr>
          <w:noProof/>
          <w:lang w:val="de-DE"/>
        </w:rPr>
      </w:pPr>
      <w:r w:rsidRPr="002365D6">
        <w:rPr>
          <w:noProof/>
          <w:lang w:val="de-DE"/>
        </w:rPr>
        <w:tab/>
      </w:r>
      <w:r w:rsidRPr="0059364E">
        <w:rPr>
          <w:noProof/>
          <w:lang w:val="de-DE"/>
        </w:rPr>
        <w:t>h</w:t>
      </w:r>
      <w:r w:rsidRPr="002365D6">
        <w:rPr>
          <w:noProof/>
          <w:lang w:val="de-DE"/>
        </w:rPr>
        <w:t>)</w:t>
      </w:r>
      <w:r w:rsidRPr="002365D6">
        <w:rPr>
          <w:noProof/>
          <w:lang w:val="de-DE"/>
        </w:rPr>
        <w:tab/>
        <w:t>das Gesuch des Vereinigten Königreichs, daß beteiligte Sachverständige zum Testen der neuen Software mit der verbesserten Methode zur Berechnung des COYU miteinander in Kontakt treten;</w:t>
      </w:r>
    </w:p>
    <w:p w:rsidR="00EA44BD" w:rsidRPr="002365D6" w:rsidRDefault="00EA44BD" w:rsidP="00EA44BD">
      <w:pPr>
        <w:tabs>
          <w:tab w:val="left" w:pos="567"/>
          <w:tab w:val="left" w:pos="1134"/>
          <w:tab w:val="left" w:pos="5387"/>
          <w:tab w:val="left" w:pos="5954"/>
        </w:tabs>
        <w:ind w:firstLine="567"/>
        <w:contextualSpacing/>
        <w:rPr>
          <w:noProof/>
          <w:lang w:val="de-DE"/>
        </w:rPr>
      </w:pPr>
    </w:p>
    <w:p w:rsidR="00EA44BD" w:rsidRPr="002365D6" w:rsidRDefault="00EA44BD" w:rsidP="00EA44BD">
      <w:pPr>
        <w:tabs>
          <w:tab w:val="left" w:pos="567"/>
          <w:tab w:val="left" w:pos="1134"/>
          <w:tab w:val="left" w:pos="5387"/>
          <w:tab w:val="left" w:pos="5954"/>
        </w:tabs>
        <w:contextualSpacing/>
        <w:rPr>
          <w:noProof/>
          <w:lang w:val="de-DE"/>
        </w:rPr>
      </w:pPr>
      <w:r w:rsidRPr="002365D6">
        <w:rPr>
          <w:noProof/>
          <w:lang w:val="de-DE"/>
        </w:rPr>
        <w:tab/>
      </w:r>
      <w:r w:rsidRPr="0059364E">
        <w:rPr>
          <w:noProof/>
          <w:lang w:val="de-DE"/>
        </w:rPr>
        <w:t>i</w:t>
      </w:r>
      <w:r w:rsidRPr="002365D6">
        <w:rPr>
          <w:noProof/>
          <w:lang w:val="de-DE"/>
        </w:rPr>
        <w:t>)</w:t>
      </w:r>
      <w:r w:rsidRPr="002365D6">
        <w:rPr>
          <w:noProof/>
          <w:lang w:val="de-DE"/>
        </w:rPr>
        <w:tab/>
        <w:t xml:space="preserve">daß die TWC auf ihrer siebenunddreißigsten Tagung einen Entwurf eines Ersatzabschnitts für das Dokument TGP/8 über die Methode zur Berechnung des COYU prüfen wird und über die Entwicklungen in dieser Angelegenheit als Ergänzung zu diesem Dokument berichtet </w:t>
      </w:r>
      <w:r>
        <w:rPr>
          <w:noProof/>
          <w:lang w:val="de-DE"/>
        </w:rPr>
        <w:t xml:space="preserve">werden </w:t>
      </w:r>
      <w:r w:rsidRPr="002365D6">
        <w:rPr>
          <w:noProof/>
          <w:lang w:val="de-DE"/>
        </w:rPr>
        <w:t>wird.</w:t>
      </w:r>
    </w:p>
    <w:p w:rsidR="00EA44BD" w:rsidRPr="00440F19" w:rsidRDefault="00EA44BD" w:rsidP="00EA44BD">
      <w:pPr>
        <w:tabs>
          <w:tab w:val="left" w:pos="1134"/>
          <w:tab w:val="left" w:pos="5387"/>
          <w:tab w:val="left" w:pos="5954"/>
        </w:tabs>
        <w:ind w:left="570"/>
        <w:contextualSpacing/>
        <w:rPr>
          <w:noProof/>
          <w:lang w:val="de-DE"/>
        </w:rPr>
      </w:pPr>
    </w:p>
    <w:p w:rsidR="00EA44BD" w:rsidRPr="00B05705" w:rsidRDefault="00EA44BD" w:rsidP="00EA44BD">
      <w:pPr>
        <w:keepNext/>
        <w:tabs>
          <w:tab w:val="left" w:pos="1134"/>
          <w:tab w:val="left" w:pos="5387"/>
          <w:tab w:val="left" w:pos="5954"/>
        </w:tabs>
        <w:contextualSpacing/>
        <w:rPr>
          <w:noProof/>
          <w:u w:val="single"/>
          <w:lang w:val="de-DE"/>
        </w:rPr>
      </w:pPr>
      <w:r w:rsidRPr="0059364E">
        <w:rPr>
          <w:noProof/>
          <w:u w:val="single"/>
          <w:lang w:val="de-DE"/>
        </w:rPr>
        <w:lastRenderedPageBreak/>
        <w:t>N</w:t>
      </w:r>
      <w:r w:rsidRPr="002365D6">
        <w:rPr>
          <w:noProof/>
          <w:u w:val="single"/>
          <w:lang w:val="de-DE"/>
        </w:rPr>
        <w:t>eue Vorschläge für Überarbeitungen von TGP-Dokumenten</w:t>
      </w:r>
    </w:p>
    <w:p w:rsidR="00EA44BD" w:rsidRPr="00B05705" w:rsidRDefault="00EA44BD" w:rsidP="00EA44BD">
      <w:pPr>
        <w:keepNext/>
        <w:tabs>
          <w:tab w:val="left" w:pos="1134"/>
          <w:tab w:val="left" w:pos="5387"/>
          <w:tab w:val="left" w:pos="5954"/>
        </w:tabs>
        <w:ind w:left="570"/>
        <w:contextualSpacing/>
        <w:rPr>
          <w:noProof/>
          <w:lang w:val="de-DE"/>
        </w:rPr>
      </w:pPr>
    </w:p>
    <w:p w:rsidR="00EA44BD" w:rsidRPr="002365D6" w:rsidRDefault="00EA44BD" w:rsidP="00EA44BD">
      <w:pPr>
        <w:keepNext/>
        <w:tabs>
          <w:tab w:val="left" w:pos="567"/>
          <w:tab w:val="left" w:pos="1134"/>
          <w:tab w:val="left" w:pos="5387"/>
        </w:tabs>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2365D6">
        <w:rPr>
          <w:noProof/>
          <w:lang w:val="de-DE"/>
        </w:rPr>
        <w:tab/>
        <w:t>Der TC wird ersucht:</w:t>
      </w:r>
    </w:p>
    <w:p w:rsidR="00EA44BD" w:rsidRPr="002365D6" w:rsidRDefault="00EA44BD" w:rsidP="00EA44BD">
      <w:pPr>
        <w:rPr>
          <w:noProof/>
          <w:snapToGrid w:val="0"/>
          <w:lang w:val="de-DE"/>
        </w:rPr>
      </w:pPr>
    </w:p>
    <w:p w:rsidR="00EA44BD" w:rsidRPr="002365D6" w:rsidRDefault="00EA44BD" w:rsidP="00EA44BD">
      <w:pPr>
        <w:rPr>
          <w:noProof/>
          <w:lang w:val="de-DE"/>
        </w:rPr>
      </w:pPr>
      <w:r w:rsidRPr="002365D6">
        <w:rPr>
          <w:noProof/>
          <w:snapToGrid w:val="0"/>
          <w:lang w:val="de-DE"/>
        </w:rPr>
        <w:tab/>
      </w:r>
      <w:r w:rsidRPr="0059364E">
        <w:rPr>
          <w:noProof/>
          <w:snapToGrid w:val="0"/>
          <w:lang w:val="de-DE"/>
        </w:rPr>
        <w:t>j</w:t>
      </w:r>
      <w:r w:rsidRPr="002365D6">
        <w:rPr>
          <w:noProof/>
          <w:snapToGrid w:val="0"/>
          <w:lang w:val="de-DE"/>
        </w:rPr>
        <w:t>)</w:t>
      </w:r>
      <w:r w:rsidRPr="002365D6">
        <w:rPr>
          <w:noProof/>
          <w:snapToGrid w:val="0"/>
          <w:lang w:val="de-DE"/>
        </w:rPr>
        <w:tab/>
      </w:r>
      <w:r w:rsidRPr="002365D6">
        <w:rPr>
          <w:noProof/>
          <w:lang w:val="de-DE"/>
        </w:rPr>
        <w:t>die Vorschläge der TWF zu den Umständen, unter denen Änderungen der UPOV-Prüfungsrichtlinien kurzfristig umgesetzt oder nicht umgesetzt werden könnten, zu prüfen;</w:t>
      </w:r>
    </w:p>
    <w:p w:rsidR="00EA44BD" w:rsidRPr="002365D6" w:rsidRDefault="00EA44BD" w:rsidP="00EA44BD">
      <w:pPr>
        <w:rPr>
          <w:noProof/>
          <w:lang w:val="de-DE"/>
        </w:rPr>
      </w:pPr>
    </w:p>
    <w:p w:rsidR="00EA44BD" w:rsidRPr="000C0C41" w:rsidRDefault="00EA44BD" w:rsidP="00EA44BD">
      <w:pPr>
        <w:ind w:firstLine="567"/>
        <w:rPr>
          <w:noProof/>
          <w:lang w:val="de-DE"/>
        </w:rPr>
      </w:pPr>
      <w:r w:rsidRPr="0059364E">
        <w:rPr>
          <w:noProof/>
          <w:lang w:val="de-DE"/>
        </w:rPr>
        <w:t>k</w:t>
      </w:r>
      <w:r w:rsidRPr="002365D6">
        <w:rPr>
          <w:noProof/>
          <w:lang w:val="de-DE"/>
        </w:rPr>
        <w:t>)</w:t>
      </w:r>
      <w:r w:rsidRPr="00B05705">
        <w:rPr>
          <w:noProof/>
          <w:lang w:val="de-DE"/>
        </w:rPr>
        <w:tab/>
        <w:t xml:space="preserve">zu prüfen, ob das Verfahren für Teilüberarbeitungen von Prüfungsrichtlinien </w:t>
      </w:r>
      <w:r>
        <w:rPr>
          <w:noProof/>
          <w:lang w:val="de-DE"/>
        </w:rPr>
        <w:t>auf der Grundlage</w:t>
      </w:r>
      <w:r w:rsidRPr="00B05705">
        <w:rPr>
          <w:noProof/>
          <w:lang w:val="de-DE"/>
        </w:rPr>
        <w:t xml:space="preserve"> des Vorschlags der TWF überarbeitet werden sollte, wie </w:t>
      </w:r>
      <w:r w:rsidRPr="000C0C41">
        <w:rPr>
          <w:noProof/>
          <w:lang w:val="de-DE"/>
        </w:rPr>
        <w:t>in Absätzen 45 bis 47 dieses Dokuments dargelegt;</w:t>
      </w:r>
    </w:p>
    <w:p w:rsidR="00EA44BD" w:rsidRPr="000C0C41" w:rsidRDefault="00EA44BD" w:rsidP="00EA44BD">
      <w:pPr>
        <w:keepNext/>
        <w:tabs>
          <w:tab w:val="left" w:pos="1134"/>
          <w:tab w:val="left" w:pos="5387"/>
          <w:tab w:val="left" w:pos="5954"/>
        </w:tabs>
        <w:ind w:left="570"/>
        <w:contextualSpacing/>
        <w:rPr>
          <w:noProof/>
          <w:lang w:val="de-DE"/>
        </w:rPr>
      </w:pPr>
    </w:p>
    <w:p w:rsidR="00EA44BD" w:rsidRPr="000C0C41" w:rsidRDefault="00EA44BD" w:rsidP="00EA44BD">
      <w:pPr>
        <w:tabs>
          <w:tab w:val="left" w:pos="567"/>
          <w:tab w:val="left" w:pos="1134"/>
          <w:tab w:val="left" w:pos="5387"/>
          <w:tab w:val="left" w:pos="5954"/>
        </w:tabs>
        <w:rPr>
          <w:noProof/>
          <w:lang w:val="de-DE"/>
        </w:rPr>
      </w:pPr>
      <w:r w:rsidRPr="000C0C41">
        <w:rPr>
          <w:noProof/>
          <w:lang w:val="de-DE"/>
        </w:rPr>
        <w:tab/>
        <w:t>l)</w:t>
      </w:r>
      <w:r w:rsidRPr="000C0C41">
        <w:rPr>
          <w:noProof/>
          <w:lang w:val="de-DE"/>
        </w:rPr>
        <w:tab/>
        <w:t>den Vorschlag, Dokument TGP/7 zu überarbeiten, alle Ausprägungsstufen für quantitative Merkmale in den Prüfungsrichtlinien darzustellen, unter Berücksichtigung der Bemerkungen der TWP auf ihren Tagungen im Jahr 2019, wie in Absätzen 53 bis 60 dieses Dokuments dargelegt, zu prüfen;</w:t>
      </w:r>
      <w:r w:rsidRPr="000C0C41">
        <w:rPr>
          <w:rFonts w:cs="Arial"/>
          <w:bCs/>
          <w:noProof/>
          <w:snapToGrid w:val="0"/>
          <w:lang w:val="de-DE"/>
        </w:rPr>
        <w:t xml:space="preserve"> und </w:t>
      </w:r>
    </w:p>
    <w:p w:rsidR="00EA44BD" w:rsidRPr="000C0C41" w:rsidRDefault="00EA44BD" w:rsidP="00EA44BD">
      <w:pPr>
        <w:tabs>
          <w:tab w:val="left" w:pos="567"/>
          <w:tab w:val="left" w:pos="1134"/>
          <w:tab w:val="left" w:pos="5387"/>
          <w:tab w:val="left" w:pos="5954"/>
        </w:tabs>
        <w:rPr>
          <w:noProof/>
          <w:lang w:val="de-DE"/>
        </w:rPr>
      </w:pPr>
    </w:p>
    <w:p w:rsidR="00EA44BD" w:rsidRPr="002365D6" w:rsidRDefault="00EA44BD" w:rsidP="00EA44BD">
      <w:pPr>
        <w:tabs>
          <w:tab w:val="left" w:pos="567"/>
          <w:tab w:val="left" w:pos="1134"/>
          <w:tab w:val="left" w:pos="5387"/>
          <w:tab w:val="left" w:pos="5954"/>
        </w:tabs>
        <w:rPr>
          <w:noProof/>
          <w:lang w:val="de-DE"/>
        </w:rPr>
      </w:pPr>
      <w:r w:rsidRPr="000C0C41">
        <w:rPr>
          <w:rFonts w:cs="Arial"/>
          <w:bCs/>
          <w:noProof/>
          <w:snapToGrid w:val="0"/>
          <w:lang w:val="de-DE"/>
        </w:rPr>
        <w:tab/>
        <w:t>m)</w:t>
      </w:r>
      <w:r w:rsidRPr="000C0C41">
        <w:rPr>
          <w:rFonts w:cs="Arial"/>
          <w:bCs/>
          <w:noProof/>
          <w:snapToGrid w:val="0"/>
          <w:lang w:val="de-DE"/>
        </w:rPr>
        <w:tab/>
        <w:t>zur Kenntnis zu nehmen, daß die TWV vereinbart hat, daß die derzeitige in den UPOV-Dokumenten angegebene Anleitung in bezug auf die Verwendung von Krankheitsresistenzmerkmalen in den Prüfungsrichtlinien und in der DUS-Prüfung klar und vorerst ausreichend sei, wie in Absatz 65</w:t>
      </w:r>
      <w:r w:rsidRPr="002365D6">
        <w:rPr>
          <w:rFonts w:cs="Arial"/>
          <w:bCs/>
          <w:noProof/>
          <w:snapToGrid w:val="0"/>
          <w:lang w:val="de-DE"/>
        </w:rPr>
        <w:t xml:space="preserve"> dieses Dokuments dargelegt.</w:t>
      </w:r>
    </w:p>
    <w:p w:rsidR="00EA44BD" w:rsidRPr="00440F19" w:rsidRDefault="00EA44BD" w:rsidP="00EA44BD">
      <w:pPr>
        <w:tabs>
          <w:tab w:val="left" w:pos="567"/>
          <w:tab w:val="left" w:pos="1134"/>
          <w:tab w:val="left" w:pos="5387"/>
          <w:tab w:val="left" w:pos="5954"/>
        </w:tabs>
        <w:rPr>
          <w:noProof/>
          <w:u w:val="single"/>
          <w:lang w:val="de-DE"/>
        </w:rPr>
      </w:pPr>
    </w:p>
    <w:p w:rsidR="00EA44BD" w:rsidRPr="002365D6" w:rsidRDefault="00EA44BD" w:rsidP="00EA44BD">
      <w:pPr>
        <w:tabs>
          <w:tab w:val="left" w:pos="567"/>
          <w:tab w:val="left" w:pos="1134"/>
          <w:tab w:val="left" w:pos="5387"/>
          <w:tab w:val="left" w:pos="5954"/>
        </w:tabs>
        <w:rPr>
          <w:noProof/>
          <w:u w:val="single"/>
          <w:lang w:val="de-DE"/>
        </w:rPr>
      </w:pPr>
      <w:r w:rsidRPr="0059364E">
        <w:rPr>
          <w:noProof/>
          <w:u w:val="single"/>
          <w:lang w:val="de-DE"/>
        </w:rPr>
        <w:t>P</w:t>
      </w:r>
      <w:r w:rsidRPr="002365D6">
        <w:rPr>
          <w:noProof/>
          <w:u w:val="single"/>
          <w:lang w:val="de-DE"/>
        </w:rPr>
        <w:t>ROGRAMM FÜR DIE ERSTELLUNG VON TGP-DOKUMENTEN</w:t>
      </w:r>
    </w:p>
    <w:p w:rsidR="00EA44BD" w:rsidRPr="002365D6" w:rsidRDefault="00EA44BD" w:rsidP="00EA44BD">
      <w:pPr>
        <w:tabs>
          <w:tab w:val="left" w:pos="567"/>
          <w:tab w:val="left" w:pos="1134"/>
          <w:tab w:val="left" w:pos="5387"/>
          <w:tab w:val="left" w:pos="5954"/>
        </w:tabs>
        <w:rPr>
          <w:noProof/>
          <w:lang w:val="de-DE"/>
        </w:rPr>
      </w:pPr>
    </w:p>
    <w:p w:rsidR="00EA44BD" w:rsidRPr="00B05705" w:rsidRDefault="00EA44BD" w:rsidP="00EA44BD">
      <w:pPr>
        <w:tabs>
          <w:tab w:val="left" w:pos="567"/>
          <w:tab w:val="left" w:pos="1134"/>
          <w:tab w:val="left" w:pos="5387"/>
        </w:tabs>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2365D6">
        <w:rPr>
          <w:noProof/>
          <w:lang w:val="de-DE"/>
        </w:rPr>
        <w:tab/>
        <w:t>Der</w:t>
      </w:r>
      <w:r w:rsidRPr="00B05705">
        <w:rPr>
          <w:noProof/>
          <w:lang w:val="de-DE"/>
        </w:rPr>
        <w:t xml:space="preserve"> TC wird ersucht, folgendes zu prüfen:</w:t>
      </w:r>
    </w:p>
    <w:p w:rsidR="00EA44BD" w:rsidRPr="00B05705" w:rsidRDefault="00EA44BD" w:rsidP="00EA44BD">
      <w:pPr>
        <w:tabs>
          <w:tab w:val="left" w:pos="567"/>
          <w:tab w:val="left" w:pos="1134"/>
          <w:tab w:val="left" w:pos="5387"/>
        </w:tabs>
        <w:rPr>
          <w:noProof/>
          <w:lang w:val="de-DE"/>
        </w:rPr>
      </w:pPr>
    </w:p>
    <w:p w:rsidR="00EA44BD" w:rsidRPr="00B05705" w:rsidRDefault="00EA44BD" w:rsidP="00EA44BD">
      <w:pPr>
        <w:tabs>
          <w:tab w:val="left" w:pos="567"/>
          <w:tab w:val="left" w:pos="1134"/>
          <w:tab w:val="left" w:pos="5387"/>
          <w:tab w:val="left" w:pos="5954"/>
        </w:tabs>
        <w:rPr>
          <w:noProof/>
          <w:lang w:val="de-DE"/>
        </w:rPr>
      </w:pPr>
      <w:r w:rsidRPr="00B05705">
        <w:rPr>
          <w:noProof/>
          <w:lang w:val="de-DE"/>
        </w:rPr>
        <w:tab/>
        <w:t>o)</w:t>
      </w:r>
      <w:r w:rsidRPr="00B05705">
        <w:rPr>
          <w:noProof/>
          <w:lang w:val="de-DE"/>
        </w:rPr>
        <w:tab/>
        <w:t xml:space="preserve">das </w:t>
      </w:r>
      <w:r>
        <w:rPr>
          <w:noProof/>
          <w:lang w:val="de-DE"/>
        </w:rPr>
        <w:t>P</w:t>
      </w:r>
      <w:r w:rsidRPr="00B05705">
        <w:rPr>
          <w:noProof/>
          <w:lang w:val="de-DE"/>
        </w:rPr>
        <w:t xml:space="preserve">rogramm für die </w:t>
      </w:r>
      <w:r>
        <w:rPr>
          <w:noProof/>
          <w:lang w:val="de-DE"/>
        </w:rPr>
        <w:t>E</w:t>
      </w:r>
      <w:r w:rsidRPr="00B05705">
        <w:rPr>
          <w:noProof/>
          <w:lang w:val="de-DE"/>
        </w:rPr>
        <w:t xml:space="preserve">rstellung von </w:t>
      </w:r>
      <w:r>
        <w:rPr>
          <w:noProof/>
          <w:lang w:val="de-DE"/>
        </w:rPr>
        <w:t>TGP-D</w:t>
      </w:r>
      <w:r w:rsidRPr="00B05705">
        <w:rPr>
          <w:noProof/>
          <w:lang w:val="de-DE"/>
        </w:rPr>
        <w:t xml:space="preserve">okumenten, wie </w:t>
      </w:r>
      <w:r w:rsidRPr="000C0C41">
        <w:rPr>
          <w:noProof/>
          <w:lang w:val="de-DE"/>
        </w:rPr>
        <w:t>in Anlage VI</w:t>
      </w:r>
      <w:r w:rsidRPr="00B05705">
        <w:rPr>
          <w:noProof/>
          <w:lang w:val="de-DE"/>
        </w:rPr>
        <w:t xml:space="preserve"> dieses Dokuments dargelegt; und </w:t>
      </w:r>
    </w:p>
    <w:p w:rsidR="00EA44BD" w:rsidRPr="00B05705" w:rsidRDefault="00EA44BD" w:rsidP="00EA44BD">
      <w:pPr>
        <w:tabs>
          <w:tab w:val="left" w:pos="567"/>
          <w:tab w:val="left" w:pos="1134"/>
          <w:tab w:val="left" w:pos="5387"/>
          <w:tab w:val="left" w:pos="5954"/>
        </w:tabs>
        <w:rPr>
          <w:noProof/>
          <w:lang w:val="de-DE"/>
        </w:rPr>
      </w:pPr>
    </w:p>
    <w:p w:rsidR="00EA44BD" w:rsidRPr="00B05705" w:rsidRDefault="00EA44BD" w:rsidP="00EA44BD">
      <w:pPr>
        <w:tabs>
          <w:tab w:val="left" w:pos="567"/>
          <w:tab w:val="left" w:pos="1134"/>
          <w:tab w:val="left" w:pos="5387"/>
        </w:tabs>
        <w:rPr>
          <w:noProof/>
          <w:lang w:val="de-DE"/>
        </w:rPr>
      </w:pPr>
      <w:r w:rsidRPr="00B05705">
        <w:rPr>
          <w:noProof/>
          <w:lang w:val="de-DE"/>
        </w:rPr>
        <w:tab/>
      </w:r>
      <w:r w:rsidRPr="0059364E">
        <w:rPr>
          <w:noProof/>
          <w:lang w:val="de-DE"/>
        </w:rPr>
        <w:t>p</w:t>
      </w:r>
      <w:r w:rsidRPr="002365D6">
        <w:rPr>
          <w:noProof/>
          <w:lang w:val="de-DE"/>
        </w:rPr>
        <w:t>)</w:t>
      </w:r>
      <w:r w:rsidRPr="00B05705">
        <w:rPr>
          <w:noProof/>
          <w:lang w:val="de-DE"/>
        </w:rPr>
        <w:tab/>
      </w:r>
      <w:bookmarkStart w:id="5" w:name="_Hlk22396640"/>
      <w:r w:rsidRPr="00B05705">
        <w:rPr>
          <w:noProof/>
          <w:lang w:val="de-DE"/>
        </w:rPr>
        <w:t xml:space="preserve">den Vorschlag, den Geltungsbereich dieses Dokuments zu erweitern, um alle Informationsmaterialien für künftige Tagungen des Technischen </w:t>
      </w:r>
      <w:r>
        <w:rPr>
          <w:noProof/>
          <w:lang w:val="de-DE"/>
        </w:rPr>
        <w:t>Ausschusses</w:t>
      </w:r>
      <w:r w:rsidRPr="00B05705">
        <w:rPr>
          <w:noProof/>
          <w:lang w:val="de-DE"/>
        </w:rPr>
        <w:t xml:space="preserve"> abzudecken</w:t>
      </w:r>
      <w:bookmarkEnd w:id="5"/>
      <w:r w:rsidRPr="00B05705">
        <w:rPr>
          <w:noProof/>
          <w:lang w:val="de-DE"/>
        </w:rPr>
        <w:t>.</w:t>
      </w:r>
    </w:p>
    <w:bookmarkEnd w:id="4"/>
    <w:p w:rsidR="00EA44BD" w:rsidRPr="00B05705" w:rsidRDefault="00EA44BD" w:rsidP="00EA44BD">
      <w:pPr>
        <w:rPr>
          <w:rFonts w:cs="Arial"/>
          <w:noProof/>
          <w:lang w:val="de-DE"/>
        </w:rPr>
      </w:pPr>
    </w:p>
    <w:p w:rsidR="00EA44BD" w:rsidRPr="00B05705" w:rsidRDefault="00EA44BD" w:rsidP="00EA44BD">
      <w:pPr>
        <w:rPr>
          <w:rFonts w:cs="Arial"/>
          <w:noProof/>
          <w:lang w:val="de-DE"/>
        </w:rPr>
      </w:pPr>
    </w:p>
    <w:p w:rsidR="00EA44BD" w:rsidRPr="00B05705" w:rsidRDefault="00EA44BD" w:rsidP="00EA44BD">
      <w:pPr>
        <w:rPr>
          <w:rFonts w:cs="Arial"/>
          <w:noProof/>
          <w:lang w:val="de-DE"/>
        </w:rPr>
      </w:pPr>
      <w:r w:rsidRPr="00B05705">
        <w:rPr>
          <w:rFonts w:cs="Arial"/>
          <w:noProof/>
          <w:lang w:val="de-DE"/>
        </w:rPr>
        <w:fldChar w:fldCharType="begin"/>
      </w:r>
      <w:r w:rsidRPr="00B05705">
        <w:rPr>
          <w:rFonts w:cs="Arial"/>
          <w:noProof/>
          <w:lang w:val="de-DE"/>
        </w:rPr>
        <w:instrText xml:space="preserve"> AUTONUM  </w:instrText>
      </w:r>
      <w:r w:rsidRPr="00B05705">
        <w:rPr>
          <w:rFonts w:cs="Arial"/>
          <w:noProof/>
          <w:lang w:val="de-DE"/>
        </w:rPr>
        <w:fldChar w:fldCharType="end"/>
      </w:r>
      <w:r w:rsidRPr="00B05705">
        <w:rPr>
          <w:rFonts w:cs="Arial"/>
          <w:noProof/>
          <w:lang w:val="de-DE"/>
        </w:rPr>
        <w:tab/>
        <w:t>Der Aufbau dieses Dokuments ist nachstehend zusammengefasst:</w:t>
      </w:r>
    </w:p>
    <w:p w:rsidR="00EA44BD" w:rsidRPr="00B05705" w:rsidRDefault="00EA44BD" w:rsidP="00EA44BD">
      <w:pPr>
        <w:rPr>
          <w:rFonts w:cs="Arial"/>
          <w:noProof/>
          <w:lang w:val="de-DE"/>
        </w:rPr>
      </w:pPr>
    </w:p>
    <w:p w:rsidR="000D114D" w:rsidRDefault="00EA44BD">
      <w:pPr>
        <w:pStyle w:val="TOC1"/>
        <w:rPr>
          <w:rFonts w:asciiTheme="minorHAnsi" w:eastAsiaTheme="minorEastAsia" w:hAnsiTheme="minorHAnsi" w:cstheme="minorBidi"/>
          <w:caps w:val="0"/>
          <w:noProof/>
          <w:sz w:val="22"/>
          <w:szCs w:val="22"/>
          <w:lang w:val="de-DE" w:eastAsia="de-DE"/>
        </w:rPr>
      </w:pPr>
      <w:r w:rsidRPr="00B05705">
        <w:rPr>
          <w:rFonts w:cs="Arial"/>
          <w:bCs/>
          <w:noProof/>
          <w:snapToGrid w:val="0"/>
          <w:highlight w:val="cyan"/>
          <w:lang w:val="de-DE"/>
        </w:rPr>
        <w:fldChar w:fldCharType="begin"/>
      </w:r>
      <w:r w:rsidRPr="00B05705">
        <w:rPr>
          <w:rFonts w:cs="Arial"/>
          <w:bCs/>
          <w:noProof/>
          <w:snapToGrid w:val="0"/>
          <w:highlight w:val="cyan"/>
          <w:lang w:val="de-DE"/>
        </w:rPr>
        <w:instrText xml:space="preserve"> TOC \o "1-4" \h \z \u </w:instrText>
      </w:r>
      <w:r w:rsidRPr="00B05705">
        <w:rPr>
          <w:rFonts w:cs="Arial"/>
          <w:bCs/>
          <w:noProof/>
          <w:snapToGrid w:val="0"/>
          <w:highlight w:val="cyan"/>
          <w:lang w:val="de-DE"/>
        </w:rPr>
        <w:fldChar w:fldCharType="separate"/>
      </w:r>
      <w:hyperlink w:anchor="_Toc22740434" w:history="1">
        <w:r w:rsidR="000D114D" w:rsidRPr="00620D62">
          <w:rPr>
            <w:rStyle w:val="Hyperlink"/>
            <w:noProof/>
            <w:snapToGrid w:val="0"/>
            <w:lang w:val="de-DE"/>
          </w:rPr>
          <w:t>ZUSAMMENFASSUNG</w:t>
        </w:r>
        <w:r w:rsidR="000D114D">
          <w:rPr>
            <w:noProof/>
            <w:webHidden/>
          </w:rPr>
          <w:tab/>
        </w:r>
        <w:r w:rsidR="000D114D">
          <w:rPr>
            <w:noProof/>
            <w:webHidden/>
          </w:rPr>
          <w:fldChar w:fldCharType="begin"/>
        </w:r>
        <w:r w:rsidR="000D114D">
          <w:rPr>
            <w:noProof/>
            <w:webHidden/>
          </w:rPr>
          <w:instrText xml:space="preserve"> PAGEREF _Toc22740434 \h </w:instrText>
        </w:r>
        <w:r w:rsidR="000D114D">
          <w:rPr>
            <w:noProof/>
            <w:webHidden/>
          </w:rPr>
        </w:r>
        <w:r w:rsidR="000D114D">
          <w:rPr>
            <w:noProof/>
            <w:webHidden/>
          </w:rPr>
          <w:fldChar w:fldCharType="separate"/>
        </w:r>
        <w:r w:rsidR="000D114D">
          <w:rPr>
            <w:noProof/>
            <w:webHidden/>
          </w:rPr>
          <w:t>1</w:t>
        </w:r>
        <w:r w:rsidR="000D114D">
          <w:rPr>
            <w:noProof/>
            <w:webHidden/>
          </w:rPr>
          <w:fldChar w:fldCharType="end"/>
        </w:r>
      </w:hyperlink>
    </w:p>
    <w:p w:rsidR="000D114D" w:rsidRDefault="00442CED">
      <w:pPr>
        <w:pStyle w:val="TOC1"/>
        <w:rPr>
          <w:rFonts w:asciiTheme="minorHAnsi" w:eastAsiaTheme="minorEastAsia" w:hAnsiTheme="minorHAnsi" w:cstheme="minorBidi"/>
          <w:caps w:val="0"/>
          <w:noProof/>
          <w:sz w:val="22"/>
          <w:szCs w:val="22"/>
          <w:lang w:val="de-DE" w:eastAsia="de-DE"/>
        </w:rPr>
      </w:pPr>
      <w:hyperlink w:anchor="_Toc22740435" w:history="1">
        <w:r w:rsidR="000D114D" w:rsidRPr="00620D62">
          <w:rPr>
            <w:rStyle w:val="Hyperlink"/>
            <w:noProof/>
            <w:lang w:val="de-DE"/>
          </w:rPr>
          <w:t>Hintergrund</w:t>
        </w:r>
        <w:r w:rsidR="000D114D">
          <w:rPr>
            <w:noProof/>
            <w:webHidden/>
          </w:rPr>
          <w:tab/>
        </w:r>
        <w:r w:rsidR="000D114D">
          <w:rPr>
            <w:noProof/>
            <w:webHidden/>
          </w:rPr>
          <w:fldChar w:fldCharType="begin"/>
        </w:r>
        <w:r w:rsidR="000D114D">
          <w:rPr>
            <w:noProof/>
            <w:webHidden/>
          </w:rPr>
          <w:instrText xml:space="preserve"> PAGEREF _Toc22740435 \h </w:instrText>
        </w:r>
        <w:r w:rsidR="000D114D">
          <w:rPr>
            <w:noProof/>
            <w:webHidden/>
          </w:rPr>
        </w:r>
        <w:r w:rsidR="000D114D">
          <w:rPr>
            <w:noProof/>
            <w:webHidden/>
          </w:rPr>
          <w:fldChar w:fldCharType="separate"/>
        </w:r>
        <w:r w:rsidR="000D114D">
          <w:rPr>
            <w:noProof/>
            <w:webHidden/>
          </w:rPr>
          <w:t>3</w:t>
        </w:r>
        <w:r w:rsidR="000D114D">
          <w:rPr>
            <w:noProof/>
            <w:webHidden/>
          </w:rPr>
          <w:fldChar w:fldCharType="end"/>
        </w:r>
      </w:hyperlink>
    </w:p>
    <w:p w:rsidR="000D114D" w:rsidRDefault="00442CED">
      <w:pPr>
        <w:pStyle w:val="TOC1"/>
        <w:rPr>
          <w:rFonts w:asciiTheme="minorHAnsi" w:eastAsiaTheme="minorEastAsia" w:hAnsiTheme="minorHAnsi" w:cstheme="minorBidi"/>
          <w:caps w:val="0"/>
          <w:noProof/>
          <w:sz w:val="22"/>
          <w:szCs w:val="22"/>
          <w:lang w:val="de-DE" w:eastAsia="de-DE"/>
        </w:rPr>
      </w:pPr>
      <w:hyperlink w:anchor="_Toc22740436" w:history="1">
        <w:r w:rsidR="000D114D" w:rsidRPr="00620D62">
          <w:rPr>
            <w:rStyle w:val="Hyperlink"/>
            <w:noProof/>
            <w:lang w:val="de-DE"/>
          </w:rPr>
          <w:t>Angelegenheiten zur Annahme durch den Rat im Jahr 2019</w:t>
        </w:r>
        <w:r w:rsidR="000D114D">
          <w:rPr>
            <w:noProof/>
            <w:webHidden/>
          </w:rPr>
          <w:tab/>
        </w:r>
        <w:r w:rsidR="000D114D">
          <w:rPr>
            <w:noProof/>
            <w:webHidden/>
          </w:rPr>
          <w:fldChar w:fldCharType="begin"/>
        </w:r>
        <w:r w:rsidR="000D114D">
          <w:rPr>
            <w:noProof/>
            <w:webHidden/>
          </w:rPr>
          <w:instrText xml:space="preserve"> PAGEREF _Toc22740436 \h </w:instrText>
        </w:r>
        <w:r w:rsidR="000D114D">
          <w:rPr>
            <w:noProof/>
            <w:webHidden/>
          </w:rPr>
        </w:r>
        <w:r w:rsidR="000D114D">
          <w:rPr>
            <w:noProof/>
            <w:webHidden/>
          </w:rPr>
          <w:fldChar w:fldCharType="separate"/>
        </w:r>
        <w:r w:rsidR="000D114D">
          <w:rPr>
            <w:noProof/>
            <w:webHidden/>
          </w:rPr>
          <w:t>3</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37" w:history="1">
        <w:r w:rsidR="000D114D" w:rsidRPr="00620D62">
          <w:rPr>
            <w:rStyle w:val="Hyperlink"/>
            <w:noProof/>
            <w:lang w:val="de-DE"/>
          </w:rPr>
          <w:t>Dokument TGP/7: Erstellung von Prüfungsrichtlinien (Überarbeitung) (Dokument TGP/7/7 Draft 1)</w:t>
        </w:r>
        <w:r w:rsidR="000D114D">
          <w:rPr>
            <w:noProof/>
            <w:webHidden/>
          </w:rPr>
          <w:tab/>
        </w:r>
        <w:r w:rsidR="000D114D">
          <w:rPr>
            <w:noProof/>
            <w:webHidden/>
          </w:rPr>
          <w:fldChar w:fldCharType="begin"/>
        </w:r>
        <w:r w:rsidR="000D114D">
          <w:rPr>
            <w:noProof/>
            <w:webHidden/>
          </w:rPr>
          <w:instrText xml:space="preserve"> PAGEREF _Toc22740437 \h </w:instrText>
        </w:r>
        <w:r w:rsidR="000D114D">
          <w:rPr>
            <w:noProof/>
            <w:webHidden/>
          </w:rPr>
        </w:r>
        <w:r w:rsidR="000D114D">
          <w:rPr>
            <w:noProof/>
            <w:webHidden/>
          </w:rPr>
          <w:fldChar w:fldCharType="separate"/>
        </w:r>
        <w:r w:rsidR="000D114D">
          <w:rPr>
            <w:noProof/>
            <w:webHidden/>
          </w:rPr>
          <w:t>3</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38" w:history="1">
        <w:r w:rsidR="000D114D" w:rsidRPr="00620D62">
          <w:rPr>
            <w:rStyle w:val="Hyperlink"/>
            <w:noProof/>
            <w:lang w:val="de-DE"/>
          </w:rPr>
          <w:t>Dokument TGP/8: Prüfungsanlage und Verfahren für die Prüfung der Unterscheidbarkeit, der Homogenität und der Beständigkeit (Überarbeitung) (Dokument TGP/8/4 Draft 1)</w:t>
        </w:r>
        <w:r w:rsidR="000D114D">
          <w:rPr>
            <w:noProof/>
            <w:webHidden/>
          </w:rPr>
          <w:tab/>
        </w:r>
        <w:r w:rsidR="000D114D">
          <w:rPr>
            <w:noProof/>
            <w:webHidden/>
          </w:rPr>
          <w:fldChar w:fldCharType="begin"/>
        </w:r>
        <w:r w:rsidR="000D114D">
          <w:rPr>
            <w:noProof/>
            <w:webHidden/>
          </w:rPr>
          <w:instrText xml:space="preserve"> PAGEREF _Toc22740438 \h </w:instrText>
        </w:r>
        <w:r w:rsidR="000D114D">
          <w:rPr>
            <w:noProof/>
            <w:webHidden/>
          </w:rPr>
        </w:r>
        <w:r w:rsidR="000D114D">
          <w:rPr>
            <w:noProof/>
            <w:webHidden/>
          </w:rPr>
          <w:fldChar w:fldCharType="separate"/>
        </w:r>
        <w:r w:rsidR="000D114D">
          <w:rPr>
            <w:noProof/>
            <w:webHidden/>
          </w:rPr>
          <w:t>4</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39" w:history="1">
        <w:r w:rsidR="000D114D" w:rsidRPr="00620D62">
          <w:rPr>
            <w:rStyle w:val="Hyperlink"/>
            <w:noProof/>
            <w:lang w:val="de-DE"/>
          </w:rPr>
          <w:t>Dokument TGP/10: Prüfung der Homogenität (Überarbeitung) (Dokument TGP/10/2 Draft 1)</w:t>
        </w:r>
        <w:r w:rsidR="000D114D">
          <w:rPr>
            <w:noProof/>
            <w:webHidden/>
          </w:rPr>
          <w:tab/>
        </w:r>
        <w:r w:rsidR="000D114D">
          <w:rPr>
            <w:noProof/>
            <w:webHidden/>
          </w:rPr>
          <w:fldChar w:fldCharType="begin"/>
        </w:r>
        <w:r w:rsidR="000D114D">
          <w:rPr>
            <w:noProof/>
            <w:webHidden/>
          </w:rPr>
          <w:instrText xml:space="preserve"> PAGEREF _Toc22740439 \h </w:instrText>
        </w:r>
        <w:r w:rsidR="000D114D">
          <w:rPr>
            <w:noProof/>
            <w:webHidden/>
          </w:rPr>
        </w:r>
        <w:r w:rsidR="000D114D">
          <w:rPr>
            <w:noProof/>
            <w:webHidden/>
          </w:rPr>
          <w:fldChar w:fldCharType="separate"/>
        </w:r>
        <w:r w:rsidR="000D114D">
          <w:rPr>
            <w:noProof/>
            <w:webHidden/>
          </w:rPr>
          <w:t>4</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40" w:history="1">
        <w:r w:rsidR="000D114D" w:rsidRPr="00620D62">
          <w:rPr>
            <w:rStyle w:val="Hyperlink"/>
            <w:noProof/>
            <w:spacing w:val="-2"/>
            <w:lang w:val="de-DE"/>
          </w:rPr>
          <w:t>Dokument TGP/14: Glossar der in den UPOV-Dokumenten verwendeten Begriffe (Dokument TGP/14/4 Draft 1</w:t>
        </w:r>
        <w:r w:rsidR="000D114D" w:rsidRPr="00620D62">
          <w:rPr>
            <w:rStyle w:val="Hyperlink"/>
            <w:noProof/>
            <w:lang w:val="de-DE"/>
          </w:rPr>
          <w:t>)</w:t>
        </w:r>
        <w:r w:rsidR="000D114D">
          <w:rPr>
            <w:noProof/>
            <w:webHidden/>
          </w:rPr>
          <w:tab/>
        </w:r>
        <w:r w:rsidR="000D114D">
          <w:rPr>
            <w:noProof/>
            <w:webHidden/>
          </w:rPr>
          <w:fldChar w:fldCharType="begin"/>
        </w:r>
        <w:r w:rsidR="000D114D">
          <w:rPr>
            <w:noProof/>
            <w:webHidden/>
          </w:rPr>
          <w:instrText xml:space="preserve"> PAGEREF _Toc22740440 \h </w:instrText>
        </w:r>
        <w:r w:rsidR="000D114D">
          <w:rPr>
            <w:noProof/>
            <w:webHidden/>
          </w:rPr>
        </w:r>
        <w:r w:rsidR="000D114D">
          <w:rPr>
            <w:noProof/>
            <w:webHidden/>
          </w:rPr>
          <w:fldChar w:fldCharType="separate"/>
        </w:r>
        <w:r w:rsidR="000D114D">
          <w:rPr>
            <w:noProof/>
            <w:webHidden/>
          </w:rPr>
          <w:t>5</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41" w:history="1">
        <w:r w:rsidR="000D114D" w:rsidRPr="00620D62">
          <w:rPr>
            <w:rStyle w:val="Hyperlink"/>
            <w:noProof/>
            <w:lang w:val="de-DE"/>
          </w:rPr>
          <w:t>Dokument TGP/15: „Anleitung zur Verwendung biochemischer und molekularer Marker bei der Prüfung der Unterscheidbarkeit, Homogenität und Beständigkeit (DUS)“ (Überarbeitung) (Dokument TGP/15/2 Draft 2)</w:t>
        </w:r>
        <w:r w:rsidR="000D114D">
          <w:rPr>
            <w:noProof/>
            <w:webHidden/>
          </w:rPr>
          <w:tab/>
        </w:r>
        <w:r w:rsidR="000D114D">
          <w:rPr>
            <w:noProof/>
            <w:webHidden/>
          </w:rPr>
          <w:fldChar w:fldCharType="begin"/>
        </w:r>
        <w:r w:rsidR="000D114D">
          <w:rPr>
            <w:noProof/>
            <w:webHidden/>
          </w:rPr>
          <w:instrText xml:space="preserve"> PAGEREF _Toc22740441 \h </w:instrText>
        </w:r>
        <w:r w:rsidR="000D114D">
          <w:rPr>
            <w:noProof/>
            <w:webHidden/>
          </w:rPr>
        </w:r>
        <w:r w:rsidR="000D114D">
          <w:rPr>
            <w:noProof/>
            <w:webHidden/>
          </w:rPr>
          <w:fldChar w:fldCharType="separate"/>
        </w:r>
        <w:r w:rsidR="000D114D">
          <w:rPr>
            <w:noProof/>
            <w:webHidden/>
          </w:rPr>
          <w:t>5</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42" w:history="1">
        <w:r w:rsidR="000D114D" w:rsidRPr="00620D62">
          <w:rPr>
            <w:rStyle w:val="Hyperlink"/>
            <w:noProof/>
            <w:snapToGrid w:val="0"/>
            <w:lang w:val="de-DE"/>
          </w:rPr>
          <w:t>Dokument TGP/0: Liste der TGP-Dokumente und Datum der jüngsten Ausgabe (Überarbeitung) (Dokument TGP/0/11 Draft 1)</w:t>
        </w:r>
        <w:r w:rsidR="000D114D">
          <w:rPr>
            <w:noProof/>
            <w:webHidden/>
          </w:rPr>
          <w:tab/>
        </w:r>
        <w:r w:rsidR="000D114D">
          <w:rPr>
            <w:noProof/>
            <w:webHidden/>
          </w:rPr>
          <w:fldChar w:fldCharType="begin"/>
        </w:r>
        <w:r w:rsidR="000D114D">
          <w:rPr>
            <w:noProof/>
            <w:webHidden/>
          </w:rPr>
          <w:instrText xml:space="preserve"> PAGEREF _Toc22740442 \h </w:instrText>
        </w:r>
        <w:r w:rsidR="000D114D">
          <w:rPr>
            <w:noProof/>
            <w:webHidden/>
          </w:rPr>
        </w:r>
        <w:r w:rsidR="000D114D">
          <w:rPr>
            <w:noProof/>
            <w:webHidden/>
          </w:rPr>
          <w:fldChar w:fldCharType="separate"/>
        </w:r>
        <w:r w:rsidR="000D114D">
          <w:rPr>
            <w:noProof/>
            <w:webHidden/>
          </w:rPr>
          <w:t>6</w:t>
        </w:r>
        <w:r w:rsidR="000D114D">
          <w:rPr>
            <w:noProof/>
            <w:webHidden/>
          </w:rPr>
          <w:fldChar w:fldCharType="end"/>
        </w:r>
      </w:hyperlink>
    </w:p>
    <w:p w:rsidR="000D114D" w:rsidRDefault="00442CED">
      <w:pPr>
        <w:pStyle w:val="TOC1"/>
        <w:rPr>
          <w:rFonts w:asciiTheme="minorHAnsi" w:eastAsiaTheme="minorEastAsia" w:hAnsiTheme="minorHAnsi" w:cstheme="minorBidi"/>
          <w:caps w:val="0"/>
          <w:noProof/>
          <w:sz w:val="22"/>
          <w:szCs w:val="22"/>
          <w:lang w:val="de-DE" w:eastAsia="de-DE"/>
        </w:rPr>
      </w:pPr>
      <w:hyperlink w:anchor="_Toc22740443" w:history="1">
        <w:r w:rsidR="000D114D" w:rsidRPr="00620D62">
          <w:rPr>
            <w:rStyle w:val="Hyperlink"/>
            <w:noProof/>
            <w:lang w:val="de-DE"/>
          </w:rPr>
          <w:t>Etwaige künftige Überarbeitungen von TGP-Dokumenten</w:t>
        </w:r>
        <w:r w:rsidR="000D114D">
          <w:rPr>
            <w:noProof/>
            <w:webHidden/>
          </w:rPr>
          <w:tab/>
        </w:r>
        <w:r w:rsidR="000D114D">
          <w:rPr>
            <w:noProof/>
            <w:webHidden/>
          </w:rPr>
          <w:fldChar w:fldCharType="begin"/>
        </w:r>
        <w:r w:rsidR="000D114D">
          <w:rPr>
            <w:noProof/>
            <w:webHidden/>
          </w:rPr>
          <w:instrText xml:space="preserve"> PAGEREF _Toc22740443 \h </w:instrText>
        </w:r>
        <w:r w:rsidR="000D114D">
          <w:rPr>
            <w:noProof/>
            <w:webHidden/>
          </w:rPr>
        </w:r>
        <w:r w:rsidR="000D114D">
          <w:rPr>
            <w:noProof/>
            <w:webHidden/>
          </w:rPr>
          <w:fldChar w:fldCharType="separate"/>
        </w:r>
        <w:r w:rsidR="000D114D">
          <w:rPr>
            <w:noProof/>
            <w:webHidden/>
          </w:rPr>
          <w:t>6</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44" w:history="1">
        <w:r w:rsidR="000D114D" w:rsidRPr="00620D62">
          <w:rPr>
            <w:rStyle w:val="Hyperlink"/>
            <w:noProof/>
            <w:lang w:val="de-DE"/>
          </w:rPr>
          <w:t>Angelegenheiten zur Prüfung durch den Technischen Ausschuß</w:t>
        </w:r>
        <w:r w:rsidR="000D114D">
          <w:rPr>
            <w:noProof/>
            <w:webHidden/>
          </w:rPr>
          <w:tab/>
        </w:r>
        <w:r w:rsidR="000D114D">
          <w:rPr>
            <w:noProof/>
            <w:webHidden/>
          </w:rPr>
          <w:fldChar w:fldCharType="begin"/>
        </w:r>
        <w:r w:rsidR="000D114D">
          <w:rPr>
            <w:noProof/>
            <w:webHidden/>
          </w:rPr>
          <w:instrText xml:space="preserve"> PAGEREF _Toc22740444 \h </w:instrText>
        </w:r>
        <w:r w:rsidR="000D114D">
          <w:rPr>
            <w:noProof/>
            <w:webHidden/>
          </w:rPr>
        </w:r>
        <w:r w:rsidR="000D114D">
          <w:rPr>
            <w:noProof/>
            <w:webHidden/>
          </w:rPr>
          <w:fldChar w:fldCharType="separate"/>
        </w:r>
        <w:r w:rsidR="000D114D">
          <w:rPr>
            <w:noProof/>
            <w:webHidden/>
          </w:rPr>
          <w:t>6</w:t>
        </w:r>
        <w:r w:rsidR="000D114D">
          <w:rPr>
            <w:noProof/>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45" w:history="1">
        <w:r w:rsidR="000D114D" w:rsidRPr="00620D62">
          <w:rPr>
            <w:rStyle w:val="Hyperlink"/>
            <w:noProof/>
            <w:lang w:val="de-DE"/>
          </w:rPr>
          <w:t>TGP/7: Erstellung von Prüfungsrichtlinien</w:t>
        </w:r>
        <w:r w:rsidR="000D114D">
          <w:rPr>
            <w:noProof/>
            <w:webHidden/>
          </w:rPr>
          <w:tab/>
        </w:r>
        <w:r w:rsidR="000D114D">
          <w:rPr>
            <w:noProof/>
            <w:webHidden/>
          </w:rPr>
          <w:fldChar w:fldCharType="begin"/>
        </w:r>
        <w:r w:rsidR="000D114D">
          <w:rPr>
            <w:noProof/>
            <w:webHidden/>
          </w:rPr>
          <w:instrText xml:space="preserve"> PAGEREF _Toc22740445 \h </w:instrText>
        </w:r>
        <w:r w:rsidR="000D114D">
          <w:rPr>
            <w:noProof/>
            <w:webHidden/>
          </w:rPr>
        </w:r>
        <w:r w:rsidR="000D114D">
          <w:rPr>
            <w:noProof/>
            <w:webHidden/>
          </w:rPr>
          <w:fldChar w:fldCharType="separate"/>
        </w:r>
        <w:r w:rsidR="000D114D">
          <w:rPr>
            <w:noProof/>
            <w:webHidden/>
          </w:rPr>
          <w:t>7</w:t>
        </w:r>
        <w:r w:rsidR="000D114D">
          <w:rPr>
            <w:noProof/>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46" w:history="1">
        <w:r w:rsidR="000D114D" w:rsidRPr="00620D62">
          <w:rPr>
            <w:rStyle w:val="Hyperlink"/>
          </w:rPr>
          <w:t>Merkmale, die nur für bestimmte Sorten gelten</w:t>
        </w:r>
        <w:r w:rsidR="000D114D">
          <w:rPr>
            <w:webHidden/>
          </w:rPr>
          <w:tab/>
        </w:r>
        <w:r w:rsidR="000D114D">
          <w:rPr>
            <w:webHidden/>
          </w:rPr>
          <w:fldChar w:fldCharType="begin"/>
        </w:r>
        <w:r w:rsidR="000D114D">
          <w:rPr>
            <w:webHidden/>
          </w:rPr>
          <w:instrText xml:space="preserve"> PAGEREF _Toc22740446 \h </w:instrText>
        </w:r>
        <w:r w:rsidR="000D114D">
          <w:rPr>
            <w:webHidden/>
          </w:rPr>
        </w:r>
        <w:r w:rsidR="000D114D">
          <w:rPr>
            <w:webHidden/>
          </w:rPr>
          <w:fldChar w:fldCharType="separate"/>
        </w:r>
        <w:r w:rsidR="000D114D">
          <w:rPr>
            <w:webHidden/>
          </w:rPr>
          <w:t>7</w:t>
        </w:r>
        <w:r w:rsidR="000D114D">
          <w:rPr>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47" w:history="1">
        <w:r w:rsidR="000D114D" w:rsidRPr="00620D62">
          <w:rPr>
            <w:rStyle w:val="Hyperlink"/>
            <w:noProof/>
            <w:lang w:val="de-DE"/>
          </w:rPr>
          <w:t>TGP/8: Prüfungsanlage und Verfahren für die Prüfung der Unterscheidbarkeit, der Homogenität und der Beständigkeit</w:t>
        </w:r>
        <w:r w:rsidR="000D114D">
          <w:rPr>
            <w:noProof/>
            <w:webHidden/>
          </w:rPr>
          <w:tab/>
        </w:r>
        <w:r w:rsidR="000D114D">
          <w:rPr>
            <w:noProof/>
            <w:webHidden/>
          </w:rPr>
          <w:fldChar w:fldCharType="begin"/>
        </w:r>
        <w:r w:rsidR="000D114D">
          <w:rPr>
            <w:noProof/>
            <w:webHidden/>
          </w:rPr>
          <w:instrText xml:space="preserve"> PAGEREF _Toc22740447 \h </w:instrText>
        </w:r>
        <w:r w:rsidR="000D114D">
          <w:rPr>
            <w:noProof/>
            <w:webHidden/>
          </w:rPr>
        </w:r>
        <w:r w:rsidR="000D114D">
          <w:rPr>
            <w:noProof/>
            <w:webHidden/>
          </w:rPr>
          <w:fldChar w:fldCharType="separate"/>
        </w:r>
        <w:r w:rsidR="000D114D">
          <w:rPr>
            <w:noProof/>
            <w:webHidden/>
          </w:rPr>
          <w:t>7</w:t>
        </w:r>
        <w:r w:rsidR="000D114D">
          <w:rPr>
            <w:noProof/>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48" w:history="1">
        <w:r w:rsidR="000D114D" w:rsidRPr="00620D62">
          <w:rPr>
            <w:rStyle w:val="Hyperlink"/>
          </w:rPr>
          <w:t>Das kombinierte Homogenitätskriterium über mehrere Jahre (COYU)</w:t>
        </w:r>
        <w:r w:rsidR="000D114D">
          <w:rPr>
            <w:webHidden/>
          </w:rPr>
          <w:tab/>
        </w:r>
        <w:r w:rsidR="000D114D">
          <w:rPr>
            <w:webHidden/>
          </w:rPr>
          <w:fldChar w:fldCharType="begin"/>
        </w:r>
        <w:r w:rsidR="000D114D">
          <w:rPr>
            <w:webHidden/>
          </w:rPr>
          <w:instrText xml:space="preserve"> PAGEREF _Toc22740448 \h </w:instrText>
        </w:r>
        <w:r w:rsidR="000D114D">
          <w:rPr>
            <w:webHidden/>
          </w:rPr>
        </w:r>
        <w:r w:rsidR="000D114D">
          <w:rPr>
            <w:webHidden/>
          </w:rPr>
          <w:fldChar w:fldCharType="separate"/>
        </w:r>
        <w:r w:rsidR="000D114D">
          <w:rPr>
            <w:webHidden/>
          </w:rPr>
          <w:t>7</w:t>
        </w:r>
        <w:r w:rsidR="000D114D">
          <w:rPr>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49" w:history="1">
        <w:r w:rsidR="000D114D" w:rsidRPr="00620D62">
          <w:rPr>
            <w:rStyle w:val="Hyperlink"/>
          </w:rPr>
          <w:t>Datenverarbeitung für die Prüfung der Unterscheidbarkeit und die Erstellung von Sortenbeschreibungen</w:t>
        </w:r>
        <w:r w:rsidR="000D114D">
          <w:rPr>
            <w:webHidden/>
          </w:rPr>
          <w:tab/>
        </w:r>
        <w:r w:rsidR="000D114D">
          <w:rPr>
            <w:webHidden/>
          </w:rPr>
          <w:fldChar w:fldCharType="begin"/>
        </w:r>
        <w:r w:rsidR="000D114D">
          <w:rPr>
            <w:webHidden/>
          </w:rPr>
          <w:instrText xml:space="preserve"> PAGEREF _Toc22740449 \h </w:instrText>
        </w:r>
        <w:r w:rsidR="000D114D">
          <w:rPr>
            <w:webHidden/>
          </w:rPr>
        </w:r>
        <w:r w:rsidR="000D114D">
          <w:rPr>
            <w:webHidden/>
          </w:rPr>
          <w:fldChar w:fldCharType="separate"/>
        </w:r>
        <w:r w:rsidR="000D114D">
          <w:rPr>
            <w:webHidden/>
          </w:rPr>
          <w:t>7</w:t>
        </w:r>
        <w:r w:rsidR="000D114D">
          <w:rPr>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50" w:history="1">
        <w:r w:rsidR="000D114D" w:rsidRPr="00620D62">
          <w:rPr>
            <w:rStyle w:val="Hyperlink"/>
            <w:noProof/>
            <w:lang w:val="de-DE"/>
          </w:rPr>
          <w:t>TGP/14: Glossar der in den UPOV-Dokumenten verwendeten Begriffe</w:t>
        </w:r>
        <w:r w:rsidR="000D114D">
          <w:rPr>
            <w:noProof/>
            <w:webHidden/>
          </w:rPr>
          <w:tab/>
        </w:r>
        <w:r w:rsidR="000D114D">
          <w:rPr>
            <w:noProof/>
            <w:webHidden/>
          </w:rPr>
          <w:fldChar w:fldCharType="begin"/>
        </w:r>
        <w:r w:rsidR="000D114D">
          <w:rPr>
            <w:noProof/>
            <w:webHidden/>
          </w:rPr>
          <w:instrText xml:space="preserve"> PAGEREF _Toc22740450 \h </w:instrText>
        </w:r>
        <w:r w:rsidR="000D114D">
          <w:rPr>
            <w:noProof/>
            <w:webHidden/>
          </w:rPr>
        </w:r>
        <w:r w:rsidR="000D114D">
          <w:rPr>
            <w:noProof/>
            <w:webHidden/>
          </w:rPr>
          <w:fldChar w:fldCharType="separate"/>
        </w:r>
        <w:r w:rsidR="000D114D">
          <w:rPr>
            <w:noProof/>
            <w:webHidden/>
          </w:rPr>
          <w:t>7</w:t>
        </w:r>
        <w:r w:rsidR="000D114D">
          <w:rPr>
            <w:noProof/>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51" w:history="1">
        <w:r w:rsidR="000D114D" w:rsidRPr="00620D62">
          <w:rPr>
            <w:rStyle w:val="Hyperlink"/>
          </w:rPr>
          <w:t>Farbbezeichnungen für die RHS-Farbkarte</w:t>
        </w:r>
        <w:r w:rsidR="000D114D">
          <w:rPr>
            <w:webHidden/>
          </w:rPr>
          <w:tab/>
        </w:r>
        <w:r w:rsidR="000D114D">
          <w:rPr>
            <w:webHidden/>
          </w:rPr>
          <w:fldChar w:fldCharType="begin"/>
        </w:r>
        <w:r w:rsidR="000D114D">
          <w:rPr>
            <w:webHidden/>
          </w:rPr>
          <w:instrText xml:space="preserve"> PAGEREF _Toc22740451 \h </w:instrText>
        </w:r>
        <w:r w:rsidR="000D114D">
          <w:rPr>
            <w:webHidden/>
          </w:rPr>
        </w:r>
        <w:r w:rsidR="000D114D">
          <w:rPr>
            <w:webHidden/>
          </w:rPr>
          <w:fldChar w:fldCharType="separate"/>
        </w:r>
        <w:r w:rsidR="000D114D">
          <w:rPr>
            <w:webHidden/>
          </w:rPr>
          <w:t>7</w:t>
        </w:r>
        <w:r w:rsidR="000D114D">
          <w:rPr>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52" w:history="1">
        <w:r w:rsidR="000D114D" w:rsidRPr="00620D62">
          <w:rPr>
            <w:rStyle w:val="Hyperlink"/>
            <w:noProof/>
            <w:lang w:val="de-DE"/>
          </w:rPr>
          <w:t>TGP/15: Anleitung zur Verwendung biochemischer und molekularer Marker bei der Prüfung der Unterscheidbarkeit, Homogenität und Beständigkeit (DUS)</w:t>
        </w:r>
        <w:r w:rsidR="000D114D">
          <w:rPr>
            <w:noProof/>
            <w:webHidden/>
          </w:rPr>
          <w:tab/>
        </w:r>
        <w:r w:rsidR="000D114D">
          <w:rPr>
            <w:noProof/>
            <w:webHidden/>
          </w:rPr>
          <w:fldChar w:fldCharType="begin"/>
        </w:r>
        <w:r w:rsidR="000D114D">
          <w:rPr>
            <w:noProof/>
            <w:webHidden/>
          </w:rPr>
          <w:instrText xml:space="preserve"> PAGEREF _Toc22740452 \h </w:instrText>
        </w:r>
        <w:r w:rsidR="000D114D">
          <w:rPr>
            <w:noProof/>
            <w:webHidden/>
          </w:rPr>
        </w:r>
        <w:r w:rsidR="000D114D">
          <w:rPr>
            <w:noProof/>
            <w:webHidden/>
          </w:rPr>
          <w:fldChar w:fldCharType="separate"/>
        </w:r>
        <w:r w:rsidR="000D114D">
          <w:rPr>
            <w:noProof/>
            <w:webHidden/>
          </w:rPr>
          <w:t>7</w:t>
        </w:r>
        <w:r w:rsidR="000D114D">
          <w:rPr>
            <w:noProof/>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53" w:history="1">
        <w:r w:rsidR="000D114D" w:rsidRPr="00620D62">
          <w:rPr>
            <w:rStyle w:val="Hyperlink"/>
          </w:rPr>
          <w:t>Neues Beispiel: Merkmalsspezifischer Marker mit unvollständigen Informationen über die Ausprägungsstufe</w:t>
        </w:r>
        <w:r w:rsidR="000D114D">
          <w:rPr>
            <w:webHidden/>
          </w:rPr>
          <w:tab/>
        </w:r>
        <w:r w:rsidR="000D114D">
          <w:rPr>
            <w:webHidden/>
          </w:rPr>
          <w:fldChar w:fldCharType="begin"/>
        </w:r>
        <w:r w:rsidR="000D114D">
          <w:rPr>
            <w:webHidden/>
          </w:rPr>
          <w:instrText xml:space="preserve"> PAGEREF _Toc22740453 \h </w:instrText>
        </w:r>
        <w:r w:rsidR="000D114D">
          <w:rPr>
            <w:webHidden/>
          </w:rPr>
        </w:r>
        <w:r w:rsidR="000D114D">
          <w:rPr>
            <w:webHidden/>
          </w:rPr>
          <w:fldChar w:fldCharType="separate"/>
        </w:r>
        <w:r w:rsidR="000D114D">
          <w:rPr>
            <w:webHidden/>
          </w:rPr>
          <w:t>7</w:t>
        </w:r>
        <w:r w:rsidR="000D114D">
          <w:rPr>
            <w:webHidden/>
          </w:rPr>
          <w:fldChar w:fldCharType="end"/>
        </w:r>
      </w:hyperlink>
    </w:p>
    <w:p w:rsidR="000D114D" w:rsidRDefault="00442CED">
      <w:pPr>
        <w:pStyle w:val="TOC1"/>
        <w:rPr>
          <w:rFonts w:asciiTheme="minorHAnsi" w:eastAsiaTheme="minorEastAsia" w:hAnsiTheme="minorHAnsi" w:cstheme="minorBidi"/>
          <w:caps w:val="0"/>
          <w:noProof/>
          <w:sz w:val="22"/>
          <w:szCs w:val="22"/>
          <w:lang w:val="de-DE" w:eastAsia="de-DE"/>
        </w:rPr>
      </w:pPr>
      <w:hyperlink w:anchor="_Toc22740454" w:history="1">
        <w:r w:rsidR="000D114D" w:rsidRPr="00620D62">
          <w:rPr>
            <w:rStyle w:val="Hyperlink"/>
            <w:noProof/>
            <w:lang w:val="de-DE"/>
          </w:rPr>
          <w:t>neue Vorschläge für Überarbeitungen von TGP-Dokumenten</w:t>
        </w:r>
        <w:r w:rsidR="000D114D">
          <w:rPr>
            <w:noProof/>
            <w:webHidden/>
          </w:rPr>
          <w:tab/>
        </w:r>
        <w:r w:rsidR="000D114D">
          <w:rPr>
            <w:noProof/>
            <w:webHidden/>
          </w:rPr>
          <w:fldChar w:fldCharType="begin"/>
        </w:r>
        <w:r w:rsidR="000D114D">
          <w:rPr>
            <w:noProof/>
            <w:webHidden/>
          </w:rPr>
          <w:instrText xml:space="preserve"> PAGEREF _Toc22740454 \h </w:instrText>
        </w:r>
        <w:r w:rsidR="000D114D">
          <w:rPr>
            <w:noProof/>
            <w:webHidden/>
          </w:rPr>
        </w:r>
        <w:r w:rsidR="000D114D">
          <w:rPr>
            <w:noProof/>
            <w:webHidden/>
          </w:rPr>
          <w:fldChar w:fldCharType="separate"/>
        </w:r>
        <w:r w:rsidR="000D114D">
          <w:rPr>
            <w:noProof/>
            <w:webHidden/>
          </w:rPr>
          <w:t>8</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55" w:history="1">
        <w:r w:rsidR="000D114D" w:rsidRPr="00620D62">
          <w:rPr>
            <w:rStyle w:val="Hyperlink"/>
            <w:noProof/>
            <w:lang w:val="de-DE"/>
          </w:rPr>
          <w:t>TGP/7: Erstellung von Prüfungsrichtlinien</w:t>
        </w:r>
        <w:r w:rsidR="000D114D">
          <w:rPr>
            <w:noProof/>
            <w:webHidden/>
          </w:rPr>
          <w:tab/>
        </w:r>
        <w:r w:rsidR="000D114D">
          <w:rPr>
            <w:noProof/>
            <w:webHidden/>
          </w:rPr>
          <w:fldChar w:fldCharType="begin"/>
        </w:r>
        <w:r w:rsidR="000D114D">
          <w:rPr>
            <w:noProof/>
            <w:webHidden/>
          </w:rPr>
          <w:instrText xml:space="preserve"> PAGEREF _Toc22740455 \h </w:instrText>
        </w:r>
        <w:r w:rsidR="000D114D">
          <w:rPr>
            <w:noProof/>
            <w:webHidden/>
          </w:rPr>
        </w:r>
        <w:r w:rsidR="000D114D">
          <w:rPr>
            <w:noProof/>
            <w:webHidden/>
          </w:rPr>
          <w:fldChar w:fldCharType="separate"/>
        </w:r>
        <w:r w:rsidR="000D114D">
          <w:rPr>
            <w:noProof/>
            <w:webHidden/>
          </w:rPr>
          <w:t>8</w:t>
        </w:r>
        <w:r w:rsidR="000D114D">
          <w:rPr>
            <w:noProof/>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56" w:history="1">
        <w:r w:rsidR="000D114D" w:rsidRPr="00620D62">
          <w:rPr>
            <w:rStyle w:val="Hyperlink"/>
            <w:rFonts w:eastAsia="MS Mincho"/>
            <w:noProof/>
            <w:lang w:val="de-DE"/>
          </w:rPr>
          <w:t>Verfahren für eine Teilüberarbeitung von UPOV-Prüfungsrichtlinien</w:t>
        </w:r>
        <w:r w:rsidR="000D114D">
          <w:rPr>
            <w:noProof/>
            <w:webHidden/>
          </w:rPr>
          <w:tab/>
        </w:r>
        <w:r w:rsidR="000D114D">
          <w:rPr>
            <w:noProof/>
            <w:webHidden/>
          </w:rPr>
          <w:fldChar w:fldCharType="begin"/>
        </w:r>
        <w:r w:rsidR="000D114D">
          <w:rPr>
            <w:noProof/>
            <w:webHidden/>
          </w:rPr>
          <w:instrText xml:space="preserve"> PAGEREF _Toc22740456 \h </w:instrText>
        </w:r>
        <w:r w:rsidR="000D114D">
          <w:rPr>
            <w:noProof/>
            <w:webHidden/>
          </w:rPr>
        </w:r>
        <w:r w:rsidR="000D114D">
          <w:rPr>
            <w:noProof/>
            <w:webHidden/>
          </w:rPr>
          <w:fldChar w:fldCharType="separate"/>
        </w:r>
        <w:r w:rsidR="000D114D">
          <w:rPr>
            <w:noProof/>
            <w:webHidden/>
          </w:rPr>
          <w:t>8</w:t>
        </w:r>
        <w:r w:rsidR="000D114D">
          <w:rPr>
            <w:noProof/>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57" w:history="1">
        <w:r w:rsidR="000D114D" w:rsidRPr="00620D62">
          <w:rPr>
            <w:rStyle w:val="Hyperlink"/>
          </w:rPr>
          <w:t>Bemerkungen der Technischen Arbeitsgruppe für Obstarten</w:t>
        </w:r>
        <w:r w:rsidR="000D114D">
          <w:rPr>
            <w:webHidden/>
          </w:rPr>
          <w:tab/>
        </w:r>
        <w:r w:rsidR="000D114D">
          <w:rPr>
            <w:webHidden/>
          </w:rPr>
          <w:fldChar w:fldCharType="begin"/>
        </w:r>
        <w:r w:rsidR="000D114D">
          <w:rPr>
            <w:webHidden/>
          </w:rPr>
          <w:instrText xml:space="preserve"> PAGEREF _Toc22740457 \h </w:instrText>
        </w:r>
        <w:r w:rsidR="000D114D">
          <w:rPr>
            <w:webHidden/>
          </w:rPr>
        </w:r>
        <w:r w:rsidR="000D114D">
          <w:rPr>
            <w:webHidden/>
          </w:rPr>
          <w:fldChar w:fldCharType="separate"/>
        </w:r>
        <w:r w:rsidR="000D114D">
          <w:rPr>
            <w:webHidden/>
          </w:rPr>
          <w:t>8</w:t>
        </w:r>
        <w:r w:rsidR="000D114D">
          <w:rPr>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58" w:history="1">
        <w:r w:rsidR="000D114D" w:rsidRPr="00620D62">
          <w:rPr>
            <w:rStyle w:val="Hyperlink"/>
            <w:rFonts w:eastAsia="MS Mincho"/>
            <w:noProof/>
            <w:lang w:val="de-DE"/>
          </w:rPr>
          <w:t>Darstellung der vollständigen Notenskala für quantitative Merkmale in den Prüfungsrichtlinien</w:t>
        </w:r>
        <w:r w:rsidR="000D114D">
          <w:rPr>
            <w:noProof/>
            <w:webHidden/>
          </w:rPr>
          <w:tab/>
        </w:r>
        <w:r w:rsidR="000D114D">
          <w:rPr>
            <w:noProof/>
            <w:webHidden/>
          </w:rPr>
          <w:fldChar w:fldCharType="begin"/>
        </w:r>
        <w:r w:rsidR="000D114D">
          <w:rPr>
            <w:noProof/>
            <w:webHidden/>
          </w:rPr>
          <w:instrText xml:space="preserve"> PAGEREF _Toc22740458 \h </w:instrText>
        </w:r>
        <w:r w:rsidR="000D114D">
          <w:rPr>
            <w:noProof/>
            <w:webHidden/>
          </w:rPr>
        </w:r>
        <w:r w:rsidR="000D114D">
          <w:rPr>
            <w:noProof/>
            <w:webHidden/>
          </w:rPr>
          <w:fldChar w:fldCharType="separate"/>
        </w:r>
        <w:r w:rsidR="000D114D">
          <w:rPr>
            <w:noProof/>
            <w:webHidden/>
          </w:rPr>
          <w:t>9</w:t>
        </w:r>
        <w:r w:rsidR="000D114D">
          <w:rPr>
            <w:noProof/>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59" w:history="1">
        <w:r w:rsidR="000D114D" w:rsidRPr="00620D62">
          <w:rPr>
            <w:rStyle w:val="Hyperlink"/>
            <w:rFonts w:eastAsia="Arial"/>
          </w:rPr>
          <w:t>Bemerkungen der TWP auf ihren Tagungen im Jahr 2019</w:t>
        </w:r>
        <w:r w:rsidR="000D114D">
          <w:rPr>
            <w:webHidden/>
          </w:rPr>
          <w:tab/>
        </w:r>
        <w:r w:rsidR="000D114D">
          <w:rPr>
            <w:webHidden/>
          </w:rPr>
          <w:fldChar w:fldCharType="begin"/>
        </w:r>
        <w:r w:rsidR="000D114D">
          <w:rPr>
            <w:webHidden/>
          </w:rPr>
          <w:instrText xml:space="preserve"> PAGEREF _Toc22740459 \h </w:instrText>
        </w:r>
        <w:r w:rsidR="000D114D">
          <w:rPr>
            <w:webHidden/>
          </w:rPr>
        </w:r>
        <w:r w:rsidR="000D114D">
          <w:rPr>
            <w:webHidden/>
          </w:rPr>
          <w:fldChar w:fldCharType="separate"/>
        </w:r>
        <w:r w:rsidR="000D114D">
          <w:rPr>
            <w:webHidden/>
          </w:rPr>
          <w:t>10</w:t>
        </w:r>
        <w:r w:rsidR="000D114D">
          <w:rPr>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60" w:history="1">
        <w:r w:rsidR="000D114D" w:rsidRPr="00620D62">
          <w:rPr>
            <w:rStyle w:val="Hyperlink"/>
            <w:noProof/>
            <w:snapToGrid w:val="0"/>
            <w:lang w:val="de-DE"/>
          </w:rPr>
          <w:t>TGP/12: Anleitung zu bestimmten physiologischen Merkmalen</w:t>
        </w:r>
        <w:r w:rsidR="000D114D">
          <w:rPr>
            <w:noProof/>
            <w:webHidden/>
          </w:rPr>
          <w:tab/>
        </w:r>
        <w:r w:rsidR="000D114D">
          <w:rPr>
            <w:noProof/>
            <w:webHidden/>
          </w:rPr>
          <w:fldChar w:fldCharType="begin"/>
        </w:r>
        <w:r w:rsidR="000D114D">
          <w:rPr>
            <w:noProof/>
            <w:webHidden/>
          </w:rPr>
          <w:instrText xml:space="preserve"> PAGEREF _Toc22740460 \h </w:instrText>
        </w:r>
        <w:r w:rsidR="000D114D">
          <w:rPr>
            <w:noProof/>
            <w:webHidden/>
          </w:rPr>
        </w:r>
        <w:r w:rsidR="000D114D">
          <w:rPr>
            <w:noProof/>
            <w:webHidden/>
          </w:rPr>
          <w:fldChar w:fldCharType="separate"/>
        </w:r>
        <w:r w:rsidR="000D114D">
          <w:rPr>
            <w:noProof/>
            <w:webHidden/>
          </w:rPr>
          <w:t>10</w:t>
        </w:r>
        <w:r w:rsidR="000D114D">
          <w:rPr>
            <w:noProof/>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61" w:history="1">
        <w:r w:rsidR="000D114D" w:rsidRPr="00620D62">
          <w:rPr>
            <w:rStyle w:val="Hyperlink"/>
            <w:rFonts w:eastAsia="MS Mincho"/>
            <w:noProof/>
            <w:lang w:val="de-DE"/>
          </w:rPr>
          <w:t>Erläuterungen zu den Krankheitsresistenzmerkmalen</w:t>
        </w:r>
        <w:r w:rsidR="000D114D">
          <w:rPr>
            <w:noProof/>
            <w:webHidden/>
          </w:rPr>
          <w:tab/>
        </w:r>
        <w:r w:rsidR="000D114D">
          <w:rPr>
            <w:noProof/>
            <w:webHidden/>
          </w:rPr>
          <w:fldChar w:fldCharType="begin"/>
        </w:r>
        <w:r w:rsidR="000D114D">
          <w:rPr>
            <w:noProof/>
            <w:webHidden/>
          </w:rPr>
          <w:instrText xml:space="preserve"> PAGEREF _Toc22740461 \h </w:instrText>
        </w:r>
        <w:r w:rsidR="000D114D">
          <w:rPr>
            <w:noProof/>
            <w:webHidden/>
          </w:rPr>
        </w:r>
        <w:r w:rsidR="000D114D">
          <w:rPr>
            <w:noProof/>
            <w:webHidden/>
          </w:rPr>
          <w:fldChar w:fldCharType="separate"/>
        </w:r>
        <w:r w:rsidR="000D114D">
          <w:rPr>
            <w:noProof/>
            <w:webHidden/>
          </w:rPr>
          <w:t>10</w:t>
        </w:r>
        <w:r w:rsidR="000D114D">
          <w:rPr>
            <w:noProof/>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62" w:history="1">
        <w:r w:rsidR="000D114D" w:rsidRPr="00620D62">
          <w:rPr>
            <w:rStyle w:val="Hyperlink"/>
          </w:rPr>
          <w:t xml:space="preserve">Prüfung durch die </w:t>
        </w:r>
        <w:r w:rsidR="000D114D" w:rsidRPr="00620D62">
          <w:rPr>
            <w:rStyle w:val="Hyperlink"/>
            <w:rFonts w:cs="Arial"/>
          </w:rPr>
          <w:t>Technische Arbeitsgruppe für Gemüsearten</w:t>
        </w:r>
        <w:r w:rsidR="000D114D">
          <w:rPr>
            <w:webHidden/>
          </w:rPr>
          <w:tab/>
        </w:r>
        <w:r w:rsidR="000D114D">
          <w:rPr>
            <w:webHidden/>
          </w:rPr>
          <w:fldChar w:fldCharType="begin"/>
        </w:r>
        <w:r w:rsidR="000D114D">
          <w:rPr>
            <w:webHidden/>
          </w:rPr>
          <w:instrText xml:space="preserve"> PAGEREF _Toc22740462 \h </w:instrText>
        </w:r>
        <w:r w:rsidR="000D114D">
          <w:rPr>
            <w:webHidden/>
          </w:rPr>
        </w:r>
        <w:r w:rsidR="000D114D">
          <w:rPr>
            <w:webHidden/>
          </w:rPr>
          <w:fldChar w:fldCharType="separate"/>
        </w:r>
        <w:r w:rsidR="000D114D">
          <w:rPr>
            <w:webHidden/>
          </w:rPr>
          <w:t>11</w:t>
        </w:r>
        <w:r w:rsidR="000D114D">
          <w:rPr>
            <w:webHidden/>
          </w:rPr>
          <w:fldChar w:fldCharType="end"/>
        </w:r>
      </w:hyperlink>
    </w:p>
    <w:p w:rsidR="000D114D" w:rsidRDefault="00442CED">
      <w:pPr>
        <w:pStyle w:val="TOC1"/>
        <w:rPr>
          <w:rFonts w:asciiTheme="minorHAnsi" w:eastAsiaTheme="minorEastAsia" w:hAnsiTheme="minorHAnsi" w:cstheme="minorBidi"/>
          <w:caps w:val="0"/>
          <w:noProof/>
          <w:sz w:val="22"/>
          <w:szCs w:val="22"/>
          <w:lang w:val="de-DE" w:eastAsia="de-DE"/>
        </w:rPr>
      </w:pPr>
      <w:hyperlink w:anchor="_Toc22740463" w:history="1">
        <w:r w:rsidR="000D114D" w:rsidRPr="00620D62">
          <w:rPr>
            <w:rStyle w:val="Hyperlink"/>
            <w:noProof/>
            <w:lang w:val="de-DE"/>
          </w:rPr>
          <w:t>PROGRAMM FÜR DIE ERSTELLUNG VON TGP-DOKUMENTEN</w:t>
        </w:r>
        <w:r w:rsidR="000D114D">
          <w:rPr>
            <w:noProof/>
            <w:webHidden/>
          </w:rPr>
          <w:tab/>
        </w:r>
        <w:r w:rsidR="000D114D">
          <w:rPr>
            <w:noProof/>
            <w:webHidden/>
          </w:rPr>
          <w:fldChar w:fldCharType="begin"/>
        </w:r>
        <w:r w:rsidR="000D114D">
          <w:rPr>
            <w:noProof/>
            <w:webHidden/>
          </w:rPr>
          <w:instrText xml:space="preserve"> PAGEREF _Toc22740463 \h </w:instrText>
        </w:r>
        <w:r w:rsidR="000D114D">
          <w:rPr>
            <w:noProof/>
            <w:webHidden/>
          </w:rPr>
        </w:r>
        <w:r w:rsidR="000D114D">
          <w:rPr>
            <w:noProof/>
            <w:webHidden/>
          </w:rPr>
          <w:fldChar w:fldCharType="separate"/>
        </w:r>
        <w:r w:rsidR="000D114D">
          <w:rPr>
            <w:noProof/>
            <w:webHidden/>
          </w:rPr>
          <w:t>11</w:t>
        </w:r>
        <w:r w:rsidR="000D114D">
          <w:rPr>
            <w:noProof/>
            <w:webHidden/>
          </w:rPr>
          <w:fldChar w:fldCharType="end"/>
        </w:r>
      </w:hyperlink>
    </w:p>
    <w:p w:rsidR="000D114D" w:rsidRDefault="00442CED" w:rsidP="000C0C41">
      <w:pPr>
        <w:pStyle w:val="TOC2"/>
        <w:rPr>
          <w:rFonts w:asciiTheme="minorHAnsi" w:eastAsiaTheme="minorEastAsia" w:hAnsiTheme="minorHAnsi" w:cstheme="minorBidi"/>
          <w:noProof/>
          <w:sz w:val="22"/>
          <w:szCs w:val="22"/>
          <w:lang w:val="de-DE" w:eastAsia="de-DE"/>
        </w:rPr>
      </w:pPr>
      <w:hyperlink w:anchor="_Toc22740464" w:history="1">
        <w:r w:rsidR="000D114D" w:rsidRPr="00620D62">
          <w:rPr>
            <w:rStyle w:val="Hyperlink"/>
            <w:noProof/>
            <w:lang w:val="de-DE"/>
          </w:rPr>
          <w:t>2.</w:t>
        </w:r>
        <w:r w:rsidR="000D114D">
          <w:rPr>
            <w:rFonts w:asciiTheme="minorHAnsi" w:eastAsiaTheme="minorEastAsia" w:hAnsiTheme="minorHAnsi" w:cstheme="minorBidi"/>
            <w:noProof/>
            <w:sz w:val="22"/>
            <w:szCs w:val="22"/>
            <w:lang w:val="de-DE" w:eastAsia="de-DE"/>
          </w:rPr>
          <w:tab/>
        </w:r>
        <w:r w:rsidR="000D114D" w:rsidRPr="00620D62">
          <w:rPr>
            <w:rStyle w:val="Hyperlink"/>
            <w:noProof/>
            <w:lang w:val="de-DE"/>
          </w:rPr>
          <w:t>Verfahren</w:t>
        </w:r>
        <w:r w:rsidR="000D114D">
          <w:rPr>
            <w:noProof/>
            <w:webHidden/>
          </w:rPr>
          <w:tab/>
        </w:r>
        <w:r w:rsidR="000D114D">
          <w:rPr>
            <w:noProof/>
            <w:webHidden/>
          </w:rPr>
          <w:fldChar w:fldCharType="begin"/>
        </w:r>
        <w:r w:rsidR="000D114D">
          <w:rPr>
            <w:noProof/>
            <w:webHidden/>
          </w:rPr>
          <w:instrText xml:space="preserve"> PAGEREF _Toc22740464 \h </w:instrText>
        </w:r>
        <w:r w:rsidR="000D114D">
          <w:rPr>
            <w:noProof/>
            <w:webHidden/>
          </w:rPr>
        </w:r>
        <w:r w:rsidR="000D114D">
          <w:rPr>
            <w:noProof/>
            <w:webHidden/>
          </w:rPr>
          <w:fldChar w:fldCharType="separate"/>
        </w:r>
        <w:r w:rsidR="000D114D">
          <w:rPr>
            <w:noProof/>
            <w:webHidden/>
          </w:rPr>
          <w:t>2</w:t>
        </w:r>
        <w:r w:rsidR="000D114D">
          <w:rPr>
            <w:noProof/>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65" w:history="1">
        <w:r w:rsidR="000D114D" w:rsidRPr="00620D62">
          <w:rPr>
            <w:rStyle w:val="Hyperlink"/>
            <w:noProof/>
            <w:lang w:val="de-DE"/>
          </w:rPr>
          <w:t>Bestimmung genetischer Ähnlichkeit</w:t>
        </w:r>
        <w:r w:rsidR="000D114D">
          <w:rPr>
            <w:noProof/>
            <w:webHidden/>
          </w:rPr>
          <w:tab/>
        </w:r>
        <w:r w:rsidR="000D114D">
          <w:rPr>
            <w:noProof/>
            <w:webHidden/>
          </w:rPr>
          <w:fldChar w:fldCharType="begin"/>
        </w:r>
        <w:r w:rsidR="000D114D">
          <w:rPr>
            <w:noProof/>
            <w:webHidden/>
          </w:rPr>
          <w:instrText xml:space="preserve"> PAGEREF _Toc22740465 \h </w:instrText>
        </w:r>
        <w:r w:rsidR="000D114D">
          <w:rPr>
            <w:noProof/>
            <w:webHidden/>
          </w:rPr>
        </w:r>
        <w:r w:rsidR="000D114D">
          <w:rPr>
            <w:noProof/>
            <w:webHidden/>
          </w:rPr>
          <w:fldChar w:fldCharType="separate"/>
        </w:r>
        <w:r w:rsidR="000D114D">
          <w:rPr>
            <w:noProof/>
            <w:webHidden/>
          </w:rPr>
          <w:t>2</w:t>
        </w:r>
        <w:r w:rsidR="000D114D">
          <w:rPr>
            <w:noProof/>
            <w:webHidden/>
          </w:rPr>
          <w:fldChar w:fldCharType="end"/>
        </w:r>
      </w:hyperlink>
    </w:p>
    <w:p w:rsidR="000D114D" w:rsidRDefault="00442CED">
      <w:pPr>
        <w:pStyle w:val="TOC3"/>
        <w:rPr>
          <w:rFonts w:asciiTheme="minorHAnsi" w:eastAsiaTheme="minorEastAsia" w:hAnsiTheme="minorHAnsi" w:cstheme="minorBidi"/>
          <w:i w:val="0"/>
          <w:noProof/>
          <w:sz w:val="22"/>
          <w:szCs w:val="22"/>
          <w:lang w:val="de-DE" w:eastAsia="de-DE"/>
        </w:rPr>
      </w:pPr>
      <w:hyperlink w:anchor="_Toc22740466" w:history="1">
        <w:r w:rsidR="000D114D" w:rsidRPr="00620D62">
          <w:rPr>
            <w:rStyle w:val="Hyperlink"/>
            <w:noProof/>
            <w:lang w:val="de-DE"/>
          </w:rPr>
          <w:t>Anbauprüfung:</w:t>
        </w:r>
        <w:r w:rsidR="000D114D">
          <w:rPr>
            <w:noProof/>
            <w:webHidden/>
          </w:rPr>
          <w:tab/>
        </w:r>
        <w:r w:rsidR="000D114D">
          <w:rPr>
            <w:noProof/>
            <w:webHidden/>
          </w:rPr>
          <w:fldChar w:fldCharType="begin"/>
        </w:r>
        <w:r w:rsidR="000D114D">
          <w:rPr>
            <w:noProof/>
            <w:webHidden/>
          </w:rPr>
          <w:instrText xml:space="preserve"> PAGEREF _Toc22740466 \h </w:instrText>
        </w:r>
        <w:r w:rsidR="000D114D">
          <w:rPr>
            <w:noProof/>
            <w:webHidden/>
          </w:rPr>
        </w:r>
        <w:r w:rsidR="000D114D">
          <w:rPr>
            <w:noProof/>
            <w:webHidden/>
          </w:rPr>
          <w:fldChar w:fldCharType="separate"/>
        </w:r>
        <w:r w:rsidR="000D114D">
          <w:rPr>
            <w:noProof/>
            <w:webHidden/>
          </w:rPr>
          <w:t>2</w:t>
        </w:r>
        <w:r w:rsidR="000D114D">
          <w:rPr>
            <w:noProof/>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67" w:history="1">
        <w:r w:rsidR="000D114D" w:rsidRPr="00620D62">
          <w:rPr>
            <w:rStyle w:val="Hyperlink"/>
          </w:rPr>
          <w:t>Erste Wachstumsperiode</w:t>
        </w:r>
        <w:r w:rsidR="000D114D">
          <w:rPr>
            <w:webHidden/>
          </w:rPr>
          <w:tab/>
        </w:r>
        <w:r w:rsidR="000D114D">
          <w:rPr>
            <w:webHidden/>
          </w:rPr>
          <w:fldChar w:fldCharType="begin"/>
        </w:r>
        <w:r w:rsidR="000D114D">
          <w:rPr>
            <w:webHidden/>
          </w:rPr>
          <w:instrText xml:space="preserve"> PAGEREF _Toc22740467 \h </w:instrText>
        </w:r>
        <w:r w:rsidR="000D114D">
          <w:rPr>
            <w:webHidden/>
          </w:rPr>
        </w:r>
        <w:r w:rsidR="000D114D">
          <w:rPr>
            <w:webHidden/>
          </w:rPr>
          <w:fldChar w:fldCharType="separate"/>
        </w:r>
        <w:r w:rsidR="000D114D">
          <w:rPr>
            <w:webHidden/>
          </w:rPr>
          <w:t>2</w:t>
        </w:r>
        <w:r w:rsidR="000D114D">
          <w:rPr>
            <w:webHidden/>
          </w:rPr>
          <w:fldChar w:fldCharType="end"/>
        </w:r>
      </w:hyperlink>
    </w:p>
    <w:p w:rsidR="000D114D" w:rsidRDefault="00442CED">
      <w:pPr>
        <w:pStyle w:val="TOC4"/>
        <w:rPr>
          <w:rFonts w:asciiTheme="minorHAnsi" w:eastAsiaTheme="minorEastAsia" w:hAnsiTheme="minorHAnsi" w:cstheme="minorBidi"/>
          <w:sz w:val="22"/>
          <w:szCs w:val="22"/>
          <w:lang w:eastAsia="de-DE"/>
        </w:rPr>
      </w:pPr>
      <w:hyperlink w:anchor="_Toc22740468" w:history="1">
        <w:r w:rsidR="000D114D" w:rsidRPr="00620D62">
          <w:rPr>
            <w:rStyle w:val="Hyperlink"/>
          </w:rPr>
          <w:t>Zweite Wachstumsperiode</w:t>
        </w:r>
        <w:r w:rsidR="000D114D">
          <w:rPr>
            <w:webHidden/>
          </w:rPr>
          <w:tab/>
        </w:r>
        <w:r w:rsidR="000D114D">
          <w:rPr>
            <w:webHidden/>
          </w:rPr>
          <w:fldChar w:fldCharType="begin"/>
        </w:r>
        <w:r w:rsidR="000D114D">
          <w:rPr>
            <w:webHidden/>
          </w:rPr>
          <w:instrText xml:space="preserve"> PAGEREF _Toc22740468 \h </w:instrText>
        </w:r>
        <w:r w:rsidR="000D114D">
          <w:rPr>
            <w:webHidden/>
          </w:rPr>
        </w:r>
        <w:r w:rsidR="000D114D">
          <w:rPr>
            <w:webHidden/>
          </w:rPr>
          <w:fldChar w:fldCharType="separate"/>
        </w:r>
        <w:r w:rsidR="000D114D">
          <w:rPr>
            <w:webHidden/>
          </w:rPr>
          <w:t>2</w:t>
        </w:r>
        <w:r w:rsidR="000D114D">
          <w:rPr>
            <w:webHidden/>
          </w:rPr>
          <w:fldChar w:fldCharType="end"/>
        </w:r>
      </w:hyperlink>
    </w:p>
    <w:p w:rsidR="00EA44BD" w:rsidRPr="00B05705" w:rsidRDefault="00EA44BD" w:rsidP="00EA44BD">
      <w:pPr>
        <w:spacing w:before="60"/>
        <w:rPr>
          <w:noProof/>
          <w:sz w:val="18"/>
          <w:lang w:val="de-DE"/>
        </w:rPr>
      </w:pPr>
      <w:r w:rsidRPr="00B05705">
        <w:rPr>
          <w:noProof/>
          <w:snapToGrid w:val="0"/>
          <w:highlight w:val="cyan"/>
          <w:lang w:val="de-DE"/>
        </w:rPr>
        <w:fldChar w:fldCharType="end"/>
      </w:r>
      <w:r w:rsidRPr="00B05705">
        <w:rPr>
          <w:noProof/>
          <w:sz w:val="18"/>
          <w:lang w:val="de-DE"/>
        </w:rPr>
        <w:t>ANLAGE I:</w:t>
      </w:r>
      <w:r w:rsidRPr="00B05705">
        <w:rPr>
          <w:noProof/>
          <w:sz w:val="18"/>
          <w:lang w:val="de-DE"/>
        </w:rPr>
        <w:tab/>
      </w:r>
      <w:r w:rsidRPr="0059364E">
        <w:rPr>
          <w:noProof/>
          <w:sz w:val="18"/>
          <w:lang w:val="de-DE"/>
        </w:rPr>
        <w:t>A</w:t>
      </w:r>
      <w:r w:rsidRPr="002365D6">
        <w:rPr>
          <w:noProof/>
          <w:sz w:val="18"/>
          <w:lang w:val="de-DE"/>
        </w:rPr>
        <w:t>ng</w:t>
      </w:r>
      <w:r w:rsidRPr="00B05705">
        <w:rPr>
          <w:noProof/>
          <w:sz w:val="18"/>
          <w:lang w:val="de-DE"/>
        </w:rPr>
        <w:t xml:space="preserve">elegenheiten zur Annahme durch den Rat im Jahr 2019: Überarbeitungen von Dokument TGP/7 </w:t>
      </w:r>
    </w:p>
    <w:p w:rsidR="00EA44BD" w:rsidRPr="00B05705" w:rsidRDefault="00EA44BD" w:rsidP="00EA44BD">
      <w:pPr>
        <w:rPr>
          <w:noProof/>
          <w:sz w:val="18"/>
          <w:lang w:val="de-DE"/>
        </w:rPr>
      </w:pPr>
      <w:r w:rsidRPr="00B05705">
        <w:rPr>
          <w:noProof/>
          <w:sz w:val="18"/>
          <w:lang w:val="de-DE"/>
        </w:rPr>
        <w:t>ANLAGE II:</w:t>
      </w:r>
      <w:r w:rsidRPr="00B05705">
        <w:rPr>
          <w:noProof/>
          <w:sz w:val="18"/>
          <w:lang w:val="de-DE"/>
        </w:rPr>
        <w:tab/>
        <w:t xml:space="preserve">Angelegenheiten zur Annahme durch den Rat im Jahr 2019: Neuer Abschnitt </w:t>
      </w:r>
      <w:r>
        <w:rPr>
          <w:noProof/>
          <w:sz w:val="18"/>
          <w:lang w:val="de-DE"/>
        </w:rPr>
        <w:t>zu</w:t>
      </w:r>
      <w:r w:rsidRPr="00B05705">
        <w:rPr>
          <w:noProof/>
          <w:sz w:val="18"/>
          <w:lang w:val="de-DE"/>
        </w:rPr>
        <w:t xml:space="preserve"> Dokument TGP/8</w:t>
      </w:r>
    </w:p>
    <w:p w:rsidR="00EA44BD" w:rsidRPr="00B05705" w:rsidRDefault="00EA44BD" w:rsidP="00EA44BD">
      <w:pPr>
        <w:rPr>
          <w:noProof/>
          <w:sz w:val="18"/>
          <w:lang w:val="de-DE"/>
        </w:rPr>
      </w:pPr>
      <w:bookmarkStart w:id="6" w:name="_Toc386185971"/>
      <w:bookmarkStart w:id="7" w:name="_Toc419124859"/>
      <w:r w:rsidRPr="00B05705">
        <w:rPr>
          <w:noProof/>
          <w:sz w:val="18"/>
          <w:lang w:val="de-DE"/>
        </w:rPr>
        <w:t>ANLAGE III:</w:t>
      </w:r>
      <w:r w:rsidRPr="00B05705">
        <w:rPr>
          <w:noProof/>
          <w:sz w:val="18"/>
          <w:lang w:val="de-DE"/>
        </w:rPr>
        <w:tab/>
        <w:t xml:space="preserve">Angelegenheiten zur Annahme durch den Rat im Jahr 2019: Neue Abschnitte </w:t>
      </w:r>
      <w:r>
        <w:rPr>
          <w:noProof/>
          <w:sz w:val="18"/>
          <w:lang w:val="de-DE"/>
        </w:rPr>
        <w:t>zu</w:t>
      </w:r>
      <w:r w:rsidRPr="00B05705">
        <w:rPr>
          <w:noProof/>
          <w:sz w:val="18"/>
          <w:lang w:val="de-DE"/>
        </w:rPr>
        <w:t xml:space="preserve"> Dokument TGP/10</w:t>
      </w:r>
    </w:p>
    <w:p w:rsidR="00EA44BD" w:rsidRPr="00B05705" w:rsidRDefault="00EA44BD" w:rsidP="00EA44BD">
      <w:pPr>
        <w:ind w:left="1134" w:hanging="1134"/>
        <w:rPr>
          <w:noProof/>
          <w:sz w:val="18"/>
          <w:lang w:val="de-DE"/>
        </w:rPr>
      </w:pPr>
      <w:r w:rsidRPr="00B05705">
        <w:rPr>
          <w:noProof/>
          <w:sz w:val="18"/>
          <w:lang w:val="de-DE"/>
        </w:rPr>
        <w:t>ANLAGE IV:</w:t>
      </w:r>
      <w:r w:rsidRPr="00B05705">
        <w:rPr>
          <w:noProof/>
          <w:sz w:val="18"/>
          <w:lang w:val="de-DE"/>
        </w:rPr>
        <w:tab/>
        <w:t>Angelegenheiten zur Annahme durch den Rat im Jahr 2019: Überarbeitungen von Dokument TGP/14</w:t>
      </w:r>
    </w:p>
    <w:p w:rsidR="00EA44BD" w:rsidRPr="00B05705" w:rsidRDefault="00EA44BD" w:rsidP="00EA44BD">
      <w:pPr>
        <w:ind w:left="1134" w:hanging="1134"/>
        <w:rPr>
          <w:noProof/>
          <w:sz w:val="18"/>
          <w:lang w:val="de-DE"/>
        </w:rPr>
      </w:pPr>
      <w:r w:rsidRPr="00B05705">
        <w:rPr>
          <w:noProof/>
          <w:sz w:val="18"/>
          <w:lang w:val="de-DE"/>
        </w:rPr>
        <w:t>ANLAGE V:</w:t>
      </w:r>
      <w:r w:rsidRPr="00B05705">
        <w:rPr>
          <w:noProof/>
          <w:sz w:val="18"/>
          <w:lang w:val="de-DE"/>
        </w:rPr>
        <w:tab/>
        <w:t xml:space="preserve">Angelegenheiten zur Annahme durch den Rat im Jahr 2019: Neues Modell </w:t>
      </w:r>
      <w:r>
        <w:rPr>
          <w:noProof/>
          <w:sz w:val="18"/>
          <w:lang w:val="de-DE"/>
        </w:rPr>
        <w:t xml:space="preserve">zu </w:t>
      </w:r>
      <w:r w:rsidRPr="00B05705">
        <w:rPr>
          <w:noProof/>
          <w:sz w:val="18"/>
          <w:lang w:val="de-DE"/>
        </w:rPr>
        <w:t>Dokument TGP/15</w:t>
      </w:r>
    </w:p>
    <w:p w:rsidR="00EA44BD" w:rsidRPr="00B05705" w:rsidRDefault="00EA44BD" w:rsidP="00EA44BD">
      <w:pPr>
        <w:ind w:left="1134" w:hanging="1134"/>
        <w:rPr>
          <w:noProof/>
          <w:sz w:val="18"/>
          <w:lang w:val="de-DE"/>
        </w:rPr>
      </w:pPr>
      <w:r w:rsidRPr="00B05705">
        <w:rPr>
          <w:noProof/>
          <w:sz w:val="18"/>
          <w:lang w:val="de-DE"/>
        </w:rPr>
        <w:t>ANLAGE VI:</w:t>
      </w:r>
      <w:r w:rsidRPr="00B05705">
        <w:rPr>
          <w:noProof/>
          <w:sz w:val="18"/>
          <w:lang w:val="de-DE"/>
        </w:rPr>
        <w:tab/>
        <w:t xml:space="preserve">Programm </w:t>
      </w:r>
      <w:r>
        <w:rPr>
          <w:noProof/>
          <w:sz w:val="18"/>
          <w:lang w:val="de-DE"/>
        </w:rPr>
        <w:t>f</w:t>
      </w:r>
      <w:r w:rsidRPr="00B05705">
        <w:rPr>
          <w:noProof/>
          <w:sz w:val="18"/>
          <w:lang w:val="de-DE"/>
        </w:rPr>
        <w:t xml:space="preserve">ür </w:t>
      </w:r>
      <w:r>
        <w:rPr>
          <w:noProof/>
          <w:sz w:val="18"/>
          <w:lang w:val="de-DE"/>
        </w:rPr>
        <w:t>d</w:t>
      </w:r>
      <w:r w:rsidRPr="00B05705">
        <w:rPr>
          <w:noProof/>
          <w:sz w:val="18"/>
          <w:lang w:val="de-DE"/>
        </w:rPr>
        <w:t xml:space="preserve">ie Erstellung </w:t>
      </w:r>
      <w:r>
        <w:rPr>
          <w:noProof/>
          <w:sz w:val="18"/>
          <w:lang w:val="de-DE"/>
        </w:rPr>
        <w:t>v</w:t>
      </w:r>
      <w:r w:rsidRPr="00B05705">
        <w:rPr>
          <w:noProof/>
          <w:sz w:val="18"/>
          <w:lang w:val="de-DE"/>
        </w:rPr>
        <w:t>on T</w:t>
      </w:r>
      <w:r>
        <w:rPr>
          <w:noProof/>
          <w:sz w:val="18"/>
          <w:lang w:val="de-DE"/>
        </w:rPr>
        <w:t>GP</w:t>
      </w:r>
      <w:r w:rsidRPr="00B05705">
        <w:rPr>
          <w:noProof/>
          <w:sz w:val="18"/>
          <w:lang w:val="de-DE"/>
        </w:rPr>
        <w:t xml:space="preserve">-Dokumenten </w:t>
      </w:r>
    </w:p>
    <w:p w:rsidR="00EA44BD" w:rsidRPr="00B05705" w:rsidRDefault="00EA44BD" w:rsidP="00EA44BD">
      <w:pPr>
        <w:ind w:left="1134" w:hanging="1134"/>
        <w:rPr>
          <w:noProof/>
          <w:sz w:val="18"/>
          <w:lang w:val="de-DE"/>
        </w:rPr>
      </w:pPr>
    </w:p>
    <w:p w:rsidR="00EA44BD" w:rsidRPr="00B05705" w:rsidRDefault="00EA44BD" w:rsidP="00EA44BD">
      <w:pPr>
        <w:rPr>
          <w:rFonts w:cs="Arial"/>
          <w:noProof/>
          <w:lang w:val="de-DE"/>
        </w:rPr>
      </w:pPr>
      <w:r w:rsidRPr="00B05705">
        <w:rPr>
          <w:rFonts w:cs="Arial"/>
          <w:noProof/>
          <w:lang w:val="de-DE"/>
        </w:rPr>
        <w:fldChar w:fldCharType="begin"/>
      </w:r>
      <w:r w:rsidRPr="00B05705">
        <w:rPr>
          <w:rFonts w:cs="Arial"/>
          <w:noProof/>
          <w:lang w:val="de-DE"/>
        </w:rPr>
        <w:instrText xml:space="preserve"> AUTONUM  </w:instrText>
      </w:r>
      <w:r w:rsidRPr="00B05705">
        <w:rPr>
          <w:rFonts w:cs="Arial"/>
          <w:noProof/>
          <w:lang w:val="de-DE"/>
        </w:rPr>
        <w:fldChar w:fldCharType="end"/>
      </w:r>
      <w:r w:rsidRPr="00B05705">
        <w:rPr>
          <w:rFonts w:cs="Arial"/>
          <w:noProof/>
          <w:lang w:val="de-DE"/>
        </w:rPr>
        <w:tab/>
        <w:t>In diesem Dokument werden folgende Abkürzungen verwendet:</w:t>
      </w:r>
    </w:p>
    <w:p w:rsidR="00EA44BD" w:rsidRPr="00B05705" w:rsidRDefault="00EA44BD" w:rsidP="00EA44BD">
      <w:pPr>
        <w:ind w:left="1701" w:hanging="1134"/>
        <w:rPr>
          <w:rFonts w:cs="Arial"/>
          <w:noProof/>
          <w:lang w:val="de-DE"/>
        </w:rPr>
      </w:pPr>
    </w:p>
    <w:p w:rsidR="00EA44BD" w:rsidRPr="00B05705" w:rsidRDefault="00EA44BD" w:rsidP="00EA44BD">
      <w:pPr>
        <w:ind w:left="1701" w:hanging="1134"/>
        <w:rPr>
          <w:rFonts w:cs="Arial"/>
          <w:noProof/>
          <w:lang w:val="de-DE"/>
        </w:rPr>
      </w:pPr>
      <w:r w:rsidRPr="00B05705">
        <w:rPr>
          <w:rFonts w:cs="Arial"/>
          <w:noProof/>
          <w:lang w:val="de-DE"/>
        </w:rPr>
        <w:t>BMT</w:t>
      </w:r>
      <w:r w:rsidRPr="00B05705">
        <w:rPr>
          <w:rFonts w:cs="Arial"/>
          <w:noProof/>
          <w:lang w:val="de-DE"/>
        </w:rPr>
        <w:tab/>
        <w:t>Arbeitsgruppe für biochemische und molekulare Verfahren und insbesondere für DNS-Profilierungsverfahren</w:t>
      </w:r>
    </w:p>
    <w:p w:rsidR="00EA44BD" w:rsidRPr="00B05705" w:rsidRDefault="00EA44BD" w:rsidP="00EA44BD">
      <w:pPr>
        <w:ind w:left="1701" w:hanging="1134"/>
        <w:rPr>
          <w:rFonts w:cs="Arial"/>
          <w:noProof/>
          <w:lang w:val="de-DE"/>
        </w:rPr>
      </w:pPr>
      <w:r w:rsidRPr="00B05705">
        <w:rPr>
          <w:rFonts w:cs="Arial"/>
          <w:noProof/>
          <w:lang w:val="de-DE"/>
        </w:rPr>
        <w:t>TC:</w:t>
      </w:r>
      <w:r>
        <w:rPr>
          <w:rFonts w:cs="Arial"/>
          <w:noProof/>
          <w:lang w:val="de-DE"/>
        </w:rPr>
        <w:t xml:space="preserve"> </w:t>
      </w:r>
      <w:r w:rsidRPr="00B05705">
        <w:rPr>
          <w:rFonts w:cs="Arial"/>
          <w:noProof/>
          <w:lang w:val="de-DE"/>
        </w:rPr>
        <w:tab/>
        <w:t>Technischer Ausschuß</w:t>
      </w:r>
    </w:p>
    <w:p w:rsidR="00EA44BD" w:rsidRPr="00B05705" w:rsidRDefault="00EA44BD" w:rsidP="00EA44BD">
      <w:pPr>
        <w:ind w:left="1701" w:hanging="1134"/>
        <w:rPr>
          <w:rFonts w:cs="Arial"/>
          <w:noProof/>
          <w:lang w:val="de-DE"/>
        </w:rPr>
      </w:pPr>
      <w:r w:rsidRPr="00B05705">
        <w:rPr>
          <w:rFonts w:cs="Arial"/>
          <w:noProof/>
          <w:lang w:val="de-DE"/>
        </w:rPr>
        <w:t>TC-EDC:</w:t>
      </w:r>
      <w:r>
        <w:rPr>
          <w:rFonts w:cs="Arial"/>
          <w:noProof/>
          <w:lang w:val="de-DE"/>
        </w:rPr>
        <w:t xml:space="preserve"> </w:t>
      </w:r>
      <w:r w:rsidRPr="00B05705">
        <w:rPr>
          <w:rFonts w:cs="Arial"/>
          <w:noProof/>
          <w:lang w:val="de-DE"/>
        </w:rPr>
        <w:tab/>
        <w:t>Erweiterter Redaktionsausschuß</w:t>
      </w:r>
    </w:p>
    <w:p w:rsidR="00EA44BD" w:rsidRPr="00B05705" w:rsidRDefault="00EA44BD" w:rsidP="00EA44BD">
      <w:pPr>
        <w:ind w:left="1701" w:hanging="1134"/>
        <w:rPr>
          <w:rFonts w:cs="Arial"/>
          <w:noProof/>
          <w:lang w:val="de-DE"/>
        </w:rPr>
      </w:pPr>
      <w:r w:rsidRPr="00B05705">
        <w:rPr>
          <w:rFonts w:cs="Arial"/>
          <w:noProof/>
          <w:lang w:val="de-DE"/>
        </w:rPr>
        <w:t>TWA:</w:t>
      </w:r>
      <w:r>
        <w:rPr>
          <w:rFonts w:cs="Arial"/>
          <w:noProof/>
          <w:lang w:val="de-DE"/>
        </w:rPr>
        <w:t xml:space="preserve"> </w:t>
      </w:r>
      <w:r w:rsidRPr="00B05705">
        <w:rPr>
          <w:rFonts w:cs="Arial"/>
          <w:noProof/>
          <w:lang w:val="de-DE"/>
        </w:rPr>
        <w:tab/>
        <w:t>Technische Arbeitsgruppe für landwirtschaftliche Arten</w:t>
      </w:r>
    </w:p>
    <w:p w:rsidR="00EA44BD" w:rsidRPr="00B05705" w:rsidRDefault="00EA44BD" w:rsidP="00EA44BD">
      <w:pPr>
        <w:ind w:left="1701" w:hanging="1134"/>
        <w:rPr>
          <w:rFonts w:cs="Arial"/>
          <w:noProof/>
          <w:lang w:val="de-DE"/>
        </w:rPr>
      </w:pPr>
      <w:r w:rsidRPr="00B05705">
        <w:rPr>
          <w:rFonts w:cs="Arial"/>
          <w:noProof/>
          <w:lang w:val="de-DE"/>
        </w:rPr>
        <w:t>TWC:</w:t>
      </w:r>
      <w:r>
        <w:rPr>
          <w:rFonts w:cs="Arial"/>
          <w:noProof/>
          <w:lang w:val="de-DE"/>
        </w:rPr>
        <w:t xml:space="preserve"> </w:t>
      </w:r>
      <w:r w:rsidRPr="00B05705">
        <w:rPr>
          <w:rFonts w:cs="Arial"/>
          <w:noProof/>
          <w:lang w:val="de-DE"/>
        </w:rPr>
        <w:tab/>
        <w:t>Technische Arbeitsgruppe für Automatisierung und Computerprogramme</w:t>
      </w:r>
    </w:p>
    <w:p w:rsidR="00EA44BD" w:rsidRPr="00B05705" w:rsidRDefault="00EA44BD" w:rsidP="00EA44BD">
      <w:pPr>
        <w:ind w:left="1701" w:hanging="1134"/>
        <w:rPr>
          <w:rFonts w:cs="Arial"/>
          <w:noProof/>
          <w:lang w:val="de-DE"/>
        </w:rPr>
      </w:pPr>
      <w:r w:rsidRPr="00B05705">
        <w:rPr>
          <w:rFonts w:cs="Arial"/>
          <w:noProof/>
          <w:lang w:val="de-DE"/>
        </w:rPr>
        <w:t>TWF:</w:t>
      </w:r>
      <w:r>
        <w:rPr>
          <w:rFonts w:cs="Arial"/>
          <w:noProof/>
          <w:lang w:val="de-DE"/>
        </w:rPr>
        <w:t xml:space="preserve"> </w:t>
      </w:r>
      <w:r w:rsidRPr="00B05705">
        <w:rPr>
          <w:rFonts w:cs="Arial"/>
          <w:noProof/>
          <w:lang w:val="de-DE"/>
        </w:rPr>
        <w:tab/>
        <w:t xml:space="preserve">Technische Arbeitsgruppe für Obstarten </w:t>
      </w:r>
    </w:p>
    <w:p w:rsidR="00EA44BD" w:rsidRPr="00B05705" w:rsidRDefault="00EA44BD" w:rsidP="00EA44BD">
      <w:pPr>
        <w:ind w:left="1701" w:hanging="1134"/>
        <w:rPr>
          <w:rFonts w:cs="Arial"/>
          <w:noProof/>
          <w:lang w:val="de-DE"/>
        </w:rPr>
      </w:pPr>
      <w:r w:rsidRPr="00B05705">
        <w:rPr>
          <w:rFonts w:cs="Arial"/>
          <w:noProof/>
          <w:lang w:val="de-DE"/>
        </w:rPr>
        <w:t>TWO:</w:t>
      </w:r>
      <w:r>
        <w:rPr>
          <w:rFonts w:cs="Arial"/>
          <w:noProof/>
          <w:lang w:val="de-DE"/>
        </w:rPr>
        <w:t xml:space="preserve"> </w:t>
      </w:r>
      <w:r w:rsidRPr="00B05705">
        <w:rPr>
          <w:rFonts w:cs="Arial"/>
          <w:noProof/>
          <w:lang w:val="de-DE"/>
        </w:rPr>
        <w:tab/>
        <w:t xml:space="preserve">Technische Arbeitsgruppe für Zierpflanzen und forstliche Baumarten </w:t>
      </w:r>
    </w:p>
    <w:p w:rsidR="00EA44BD" w:rsidRPr="00B05705" w:rsidRDefault="00EA44BD" w:rsidP="00EA44BD">
      <w:pPr>
        <w:ind w:left="1701" w:hanging="1134"/>
        <w:rPr>
          <w:rFonts w:cs="Arial"/>
          <w:noProof/>
          <w:lang w:val="de-DE"/>
        </w:rPr>
      </w:pPr>
      <w:r w:rsidRPr="00B05705">
        <w:rPr>
          <w:rFonts w:cs="Arial"/>
          <w:noProof/>
          <w:lang w:val="de-DE"/>
        </w:rPr>
        <w:t>TWV:</w:t>
      </w:r>
      <w:r>
        <w:rPr>
          <w:rFonts w:cs="Arial"/>
          <w:noProof/>
          <w:lang w:val="de-DE"/>
        </w:rPr>
        <w:t xml:space="preserve"> </w:t>
      </w:r>
      <w:r w:rsidRPr="00B05705">
        <w:rPr>
          <w:rFonts w:cs="Arial"/>
          <w:noProof/>
          <w:lang w:val="de-DE"/>
        </w:rPr>
        <w:tab/>
        <w:t>Technische Arbeitsgruppe für Gemüsearten</w:t>
      </w:r>
    </w:p>
    <w:p w:rsidR="00EA44BD" w:rsidRPr="00B05705" w:rsidRDefault="00EA44BD" w:rsidP="00EA44BD">
      <w:pPr>
        <w:ind w:left="1701" w:hanging="1134"/>
        <w:rPr>
          <w:caps/>
          <w:noProof/>
          <w:lang w:val="de-DE"/>
        </w:rPr>
      </w:pPr>
      <w:r w:rsidRPr="00B05705">
        <w:rPr>
          <w:rFonts w:cs="Arial"/>
          <w:noProof/>
          <w:color w:val="000000"/>
          <w:lang w:val="de-DE"/>
        </w:rPr>
        <w:t>TWP:</w:t>
      </w:r>
      <w:r w:rsidRPr="00B05705">
        <w:rPr>
          <w:rFonts w:cs="Arial"/>
          <w:noProof/>
          <w:color w:val="000000"/>
          <w:lang w:val="de-DE"/>
        </w:rPr>
        <w:tab/>
        <w:t xml:space="preserve">Technische Arbeitsgruppen </w:t>
      </w:r>
      <w:bookmarkStart w:id="8" w:name="_Toc352678045"/>
      <w:bookmarkStart w:id="9" w:name="_Toc353797725"/>
      <w:bookmarkStart w:id="10" w:name="_Toc386185970"/>
      <w:bookmarkStart w:id="11" w:name="_Toc419124858"/>
    </w:p>
    <w:p w:rsidR="00EA44BD" w:rsidRPr="00B05705" w:rsidRDefault="00EA44BD" w:rsidP="00EA44BD">
      <w:pPr>
        <w:keepNext/>
        <w:keepLines/>
        <w:outlineLvl w:val="0"/>
        <w:rPr>
          <w:caps/>
          <w:noProof/>
          <w:lang w:val="de-DE"/>
        </w:rPr>
      </w:pPr>
    </w:p>
    <w:p w:rsidR="00EA44BD" w:rsidRPr="00B05705" w:rsidRDefault="00EA44BD" w:rsidP="00EA44BD">
      <w:pPr>
        <w:keepNext/>
        <w:keepLines/>
        <w:outlineLvl w:val="0"/>
        <w:rPr>
          <w:caps/>
          <w:noProof/>
          <w:lang w:val="de-DE"/>
        </w:rPr>
      </w:pPr>
    </w:p>
    <w:p w:rsidR="00EA44BD" w:rsidRPr="00B05705" w:rsidRDefault="00EA44BD" w:rsidP="00EA44BD">
      <w:pPr>
        <w:keepNext/>
        <w:keepLines/>
        <w:outlineLvl w:val="0"/>
        <w:rPr>
          <w:caps/>
          <w:noProof/>
          <w:lang w:val="de-DE"/>
        </w:rPr>
      </w:pPr>
      <w:bookmarkStart w:id="12" w:name="_Toc22740435"/>
      <w:bookmarkEnd w:id="8"/>
      <w:bookmarkEnd w:id="9"/>
      <w:bookmarkEnd w:id="10"/>
      <w:bookmarkEnd w:id="11"/>
      <w:r w:rsidRPr="00B05705">
        <w:rPr>
          <w:caps/>
          <w:noProof/>
          <w:lang w:val="de-DE"/>
        </w:rPr>
        <w:t>Hintergrund</w:t>
      </w:r>
      <w:bookmarkEnd w:id="12"/>
    </w:p>
    <w:p w:rsidR="00EA44BD" w:rsidRPr="00B05705" w:rsidRDefault="00EA44BD" w:rsidP="00EA44BD">
      <w:pPr>
        <w:keepNext/>
        <w:keepLines/>
        <w:rPr>
          <w:rFonts w:cs="Arial"/>
          <w:noProof/>
          <w:lang w:val="de-DE"/>
        </w:rPr>
      </w:pPr>
    </w:p>
    <w:p w:rsidR="00EA44BD" w:rsidRPr="00B05705" w:rsidRDefault="00EA44BD" w:rsidP="00EA44BD">
      <w:pPr>
        <w:keepNext/>
        <w:keepLines/>
        <w:rPr>
          <w:rFonts w:cs="Arial"/>
          <w:noProof/>
          <w:lang w:val="de-DE"/>
        </w:rPr>
      </w:pPr>
      <w:r w:rsidRPr="00B05705">
        <w:rPr>
          <w:rFonts w:cs="Arial"/>
          <w:noProof/>
          <w:lang w:val="de-DE"/>
        </w:rPr>
        <w:fldChar w:fldCharType="begin"/>
      </w:r>
      <w:r w:rsidRPr="00B05705">
        <w:rPr>
          <w:rFonts w:cs="Arial"/>
          <w:noProof/>
          <w:lang w:val="de-DE"/>
        </w:rPr>
        <w:instrText xml:space="preserve"> AUTONUM  </w:instrText>
      </w:r>
      <w:r w:rsidRPr="00B05705">
        <w:rPr>
          <w:rFonts w:cs="Arial"/>
          <w:noProof/>
          <w:lang w:val="de-DE"/>
        </w:rPr>
        <w:fldChar w:fldCharType="end"/>
      </w:r>
      <w:r w:rsidRPr="00B05705">
        <w:rPr>
          <w:rFonts w:cs="Arial"/>
          <w:noProof/>
          <w:lang w:val="de-DE"/>
        </w:rPr>
        <w:tab/>
      </w:r>
      <w:r w:rsidRPr="00B05705">
        <w:rPr>
          <w:noProof/>
          <w:lang w:val="de-DE"/>
        </w:rPr>
        <w:t xml:space="preserve">Der TC auf seiner vierundfünfzigsten Tagung vom 29. und 30. Oktober 2018 in Genf und der CAJ auf seiner fünfundsiebzigsten Tagung vom 31. Oktober 2018 in Genf billigten das Programm für die Erstellung von TGP-Dokumenten, wie in der Anlage der Dokumente TC/54/5 Rev. und CAJ/75/13 dargelegt, vorbehaltlich der </w:t>
      </w:r>
      <w:r w:rsidRPr="000C4CAD">
        <w:rPr>
          <w:noProof/>
          <w:lang w:val="de-DE"/>
        </w:rPr>
        <w:t xml:space="preserve">Entschließungen auf ihren Tagungen (vergleiche Dokument </w:t>
      </w:r>
      <w:r w:rsidR="00DC4ECD">
        <w:rPr>
          <w:noProof/>
          <w:lang w:val="de-DE"/>
        </w:rPr>
        <w:t xml:space="preserve">TC/54/31 </w:t>
      </w:r>
      <w:r w:rsidRPr="000C4CAD">
        <w:rPr>
          <w:noProof/>
          <w:lang w:val="de-DE"/>
        </w:rPr>
        <w:t>„Bericht“, Absatz 251,</w:t>
      </w:r>
      <w:r>
        <w:rPr>
          <w:noProof/>
          <w:lang w:val="de-DE"/>
        </w:rPr>
        <w:t xml:space="preserve"> </w:t>
      </w:r>
      <w:r w:rsidRPr="000C4CAD">
        <w:rPr>
          <w:noProof/>
          <w:lang w:val="de-DE"/>
        </w:rPr>
        <w:t>und Dokument CAJ/75/14 „</w:t>
      </w:r>
      <w:r>
        <w:rPr>
          <w:noProof/>
          <w:lang w:val="de-DE"/>
        </w:rPr>
        <w:t>Bericht</w:t>
      </w:r>
      <w:r w:rsidRPr="000C4CAD">
        <w:rPr>
          <w:noProof/>
          <w:lang w:val="de-DE"/>
        </w:rPr>
        <w:t>“, Abs</w:t>
      </w:r>
      <w:r w:rsidRPr="00B05705">
        <w:rPr>
          <w:noProof/>
          <w:lang w:val="de-DE"/>
        </w:rPr>
        <w:t>atz 13).</w:t>
      </w:r>
    </w:p>
    <w:p w:rsidR="00EA44BD" w:rsidRPr="00B05705" w:rsidRDefault="00EA44BD" w:rsidP="00EA44BD">
      <w:pPr>
        <w:keepNext/>
        <w:rPr>
          <w:rFonts w:cs="Arial"/>
          <w:noProof/>
          <w:lang w:val="de-DE"/>
        </w:rPr>
      </w:pPr>
    </w:p>
    <w:p w:rsidR="00EA44BD" w:rsidRPr="00B05705" w:rsidRDefault="00EA44BD" w:rsidP="00EA44BD">
      <w:pPr>
        <w:rPr>
          <w:rFonts w:cs="Arial"/>
          <w:noProof/>
          <w:lang w:val="de-DE"/>
        </w:rPr>
      </w:pPr>
      <w:r w:rsidRPr="00B05705">
        <w:rPr>
          <w:rFonts w:cs="Arial"/>
          <w:noProof/>
          <w:lang w:val="de-DE"/>
        </w:rPr>
        <w:fldChar w:fldCharType="begin"/>
      </w:r>
      <w:r w:rsidRPr="00B05705">
        <w:rPr>
          <w:rFonts w:cs="Arial"/>
          <w:noProof/>
          <w:lang w:val="de-DE"/>
        </w:rPr>
        <w:instrText xml:space="preserve"> AUTONUM  </w:instrText>
      </w:r>
      <w:r w:rsidRPr="00B05705">
        <w:rPr>
          <w:rFonts w:cs="Arial"/>
          <w:noProof/>
          <w:lang w:val="de-DE"/>
        </w:rPr>
        <w:fldChar w:fldCharType="end"/>
      </w:r>
      <w:r w:rsidRPr="00B05705">
        <w:rPr>
          <w:rFonts w:cs="Arial"/>
          <w:noProof/>
          <w:color w:val="000000"/>
          <w:lang w:val="de-DE"/>
        </w:rPr>
        <w:tab/>
      </w:r>
      <w:r w:rsidRPr="00B05705">
        <w:rPr>
          <w:rFonts w:cs="Arial"/>
          <w:noProof/>
          <w:lang w:val="de-DE"/>
        </w:rPr>
        <w:t xml:space="preserve">Die angenommenen TGP-Dokumente werden auf der UPOV-Website veröffentlicht unter </w:t>
      </w:r>
      <w:hyperlink r:id="rId8" w:history="1">
        <w:r w:rsidRPr="00B05705">
          <w:rPr>
            <w:rStyle w:val="Hyperlink"/>
            <w:rFonts w:cs="Arial"/>
            <w:noProof/>
            <w:lang w:val="de-DE"/>
          </w:rPr>
          <w:t>https://www.upov.int/upov_collection/de/</w:t>
        </w:r>
      </w:hyperlink>
      <w:r w:rsidRPr="00B05705">
        <w:rPr>
          <w:rFonts w:cs="Arial"/>
          <w:noProof/>
          <w:lang w:val="de-DE"/>
        </w:rPr>
        <w:t>.</w:t>
      </w:r>
    </w:p>
    <w:p w:rsidR="00EA44BD" w:rsidRPr="00B05705" w:rsidRDefault="00EA44BD" w:rsidP="00EA44BD">
      <w:pPr>
        <w:rPr>
          <w:noProof/>
          <w:lang w:val="de-DE"/>
        </w:rPr>
      </w:pPr>
      <w:bookmarkStart w:id="13" w:name="_Toc386185983"/>
      <w:bookmarkStart w:id="14" w:name="_Toc419124871"/>
      <w:bookmarkStart w:id="15" w:name="_Toc378251517"/>
      <w:bookmarkStart w:id="16" w:name="_Toc381279978"/>
      <w:bookmarkEnd w:id="6"/>
      <w:bookmarkEnd w:id="7"/>
    </w:p>
    <w:p w:rsidR="00EA44BD" w:rsidRPr="00B05705" w:rsidRDefault="00EA44BD" w:rsidP="00EA44BD">
      <w:pPr>
        <w:rPr>
          <w:noProof/>
          <w:lang w:val="de-DE"/>
        </w:rPr>
      </w:pPr>
    </w:p>
    <w:p w:rsidR="00EA44BD" w:rsidRPr="00B05705" w:rsidRDefault="00EA44BD" w:rsidP="00EA44BD">
      <w:pPr>
        <w:keepNext/>
        <w:outlineLvl w:val="0"/>
        <w:rPr>
          <w:caps/>
          <w:noProof/>
          <w:lang w:val="de-DE"/>
        </w:rPr>
      </w:pPr>
      <w:bookmarkStart w:id="17" w:name="_Toc22740436"/>
      <w:r w:rsidRPr="00B05705">
        <w:rPr>
          <w:caps/>
          <w:noProof/>
          <w:lang w:val="de-DE"/>
        </w:rPr>
        <w:t>Angelegenheiten zur Annahme durch den Rat im Jahr 2019</w:t>
      </w:r>
      <w:bookmarkEnd w:id="17"/>
    </w:p>
    <w:p w:rsidR="00EA44BD" w:rsidRPr="00B05705" w:rsidRDefault="00EA44BD" w:rsidP="00EA44BD">
      <w:pPr>
        <w:rPr>
          <w:noProof/>
          <w:highlight w:val="yellow"/>
          <w:lang w:val="de-DE"/>
        </w:rPr>
      </w:pPr>
    </w:p>
    <w:p w:rsidR="00EA44BD"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2365D6">
        <w:rPr>
          <w:noProof/>
          <w:lang w:val="de-DE"/>
        </w:rPr>
        <w:tab/>
        <w:t>Es w</w:t>
      </w:r>
      <w:r w:rsidRPr="00B05705">
        <w:rPr>
          <w:noProof/>
          <w:lang w:val="de-DE"/>
        </w:rPr>
        <w:t xml:space="preserve">urde vom Technischen Ausschuß vereinbart, die folgenden Überarbeitungen </w:t>
      </w:r>
      <w:r>
        <w:rPr>
          <w:noProof/>
          <w:lang w:val="de-DE"/>
        </w:rPr>
        <w:t>von</w:t>
      </w:r>
      <w:r w:rsidRPr="00B05705">
        <w:rPr>
          <w:noProof/>
          <w:lang w:val="de-DE"/>
        </w:rPr>
        <w:t xml:space="preserve"> TGP-Dokumente</w:t>
      </w:r>
      <w:r>
        <w:rPr>
          <w:noProof/>
          <w:lang w:val="de-DE"/>
        </w:rPr>
        <w:t>n</w:t>
      </w:r>
      <w:r w:rsidRPr="00B05705">
        <w:rPr>
          <w:noProof/>
          <w:lang w:val="de-DE"/>
        </w:rPr>
        <w:t xml:space="preserve"> zur Annahme durch den Rat auf seiner dreiundfünfzigsten ordentlichen Tagung am 1. November 2019 in Genf vorzuschlagen, vorbehaltlich der Billigung durch den CAJ auf seiner sechsundsiebzigsten Tagung am 30. Oktober 2019 in Genf:</w:t>
      </w:r>
    </w:p>
    <w:p w:rsidR="00EA44BD" w:rsidRPr="00B05705" w:rsidRDefault="00EA44BD" w:rsidP="00EA44BD">
      <w:pPr>
        <w:keepNext/>
        <w:rPr>
          <w:noProof/>
          <w:lang w:val="de-DE"/>
        </w:rPr>
      </w:pPr>
    </w:p>
    <w:p w:rsidR="00EA44BD" w:rsidRPr="00B05705" w:rsidRDefault="00EA44BD" w:rsidP="00EA44BD">
      <w:pPr>
        <w:keepNext/>
        <w:outlineLvl w:val="1"/>
        <w:rPr>
          <w:noProof/>
          <w:u w:val="single"/>
          <w:lang w:val="de-DE"/>
        </w:rPr>
      </w:pPr>
      <w:bookmarkStart w:id="18" w:name="_Toc15647500"/>
      <w:bookmarkStart w:id="19" w:name="_Toc15566517"/>
      <w:bookmarkStart w:id="20" w:name="_Toc22740437"/>
      <w:r w:rsidRPr="00B05705">
        <w:rPr>
          <w:noProof/>
          <w:u w:val="single"/>
          <w:lang w:val="de-DE"/>
        </w:rPr>
        <w:t>Dokument TGP/7: Erstellung von Prüfungsrichtlinien (Überarbeitung) (Dokument TGP/7/7 Draft 1</w:t>
      </w:r>
      <w:bookmarkEnd w:id="18"/>
      <w:r w:rsidRPr="00B05705">
        <w:rPr>
          <w:noProof/>
          <w:u w:val="single"/>
          <w:lang w:val="de-DE"/>
        </w:rPr>
        <w:t>)</w:t>
      </w:r>
      <w:bookmarkEnd w:id="19"/>
      <w:bookmarkEnd w:id="20"/>
    </w:p>
    <w:p w:rsidR="00EA44BD" w:rsidRPr="00B05705" w:rsidRDefault="00EA44BD" w:rsidP="00EA44BD">
      <w:pPr>
        <w:keepNext/>
        <w:rPr>
          <w:noProof/>
          <w:highlight w:val="yellow"/>
          <w:lang w:val="de-DE"/>
        </w:rPr>
      </w:pPr>
    </w:p>
    <w:p w:rsidR="00EA44BD" w:rsidRPr="00B05705" w:rsidRDefault="00EA44BD" w:rsidP="00EA44BD">
      <w:pPr>
        <w:keepNext/>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vereinbarte auf seiner vierundfünfzigsten Tagung, daß die Vorschläge für eine Anleitung zu „Dauer der DUS-Prüfungen</w:t>
      </w:r>
      <w:r>
        <w:rPr>
          <w:noProof/>
          <w:lang w:val="de-DE"/>
        </w:rPr>
        <w:t>“</w:t>
      </w:r>
      <w:r w:rsidRPr="00B05705">
        <w:rPr>
          <w:noProof/>
          <w:lang w:val="de-DE"/>
        </w:rPr>
        <w:t xml:space="preserve"> und „Verfahren zur Einführung von Prüfungsrichtlinien</w:t>
      </w:r>
      <w:r>
        <w:rPr>
          <w:noProof/>
          <w:lang w:val="de-DE"/>
        </w:rPr>
        <w:t>“</w:t>
      </w:r>
      <w:r w:rsidRPr="00B05705">
        <w:rPr>
          <w:noProof/>
          <w:lang w:val="de-DE"/>
        </w:rPr>
        <w:t xml:space="preserve"> in eine Überarbeitung von Dokument TGP/7 „Erstellung von Prüfungsrichtlinien</w:t>
      </w:r>
      <w:r>
        <w:rPr>
          <w:noProof/>
          <w:lang w:val="de-DE"/>
        </w:rPr>
        <w:t>“</w:t>
      </w:r>
      <w:r w:rsidRPr="00B05705">
        <w:rPr>
          <w:noProof/>
          <w:lang w:val="de-DE"/>
        </w:rPr>
        <w:t xml:space="preserve"> aufgenommen werden sollen</w:t>
      </w:r>
      <w:r w:rsidRPr="00B05705">
        <w:rPr>
          <w:rStyle w:val="FootnoteReference"/>
          <w:noProof/>
          <w:lang w:val="de-DE"/>
        </w:rPr>
        <w:t xml:space="preserve"> </w:t>
      </w:r>
      <w:r w:rsidRPr="00B05705">
        <w:rPr>
          <w:noProof/>
          <w:lang w:val="de-DE"/>
        </w:rPr>
        <w:t>(vergleiche Dokument </w:t>
      </w:r>
      <w:hyperlink r:id="rId9" w:history="1">
        <w:r w:rsidR="00DC4ECD">
          <w:rPr>
            <w:noProof/>
            <w:lang w:val="de-DE"/>
          </w:rPr>
          <w:t>TC/54/31</w:t>
        </w:r>
      </w:hyperlink>
      <w:r w:rsidRPr="00B05705">
        <w:rPr>
          <w:noProof/>
          <w:lang w:val="de-DE"/>
        </w:rPr>
        <w:t xml:space="preserve"> „Bericht</w:t>
      </w:r>
      <w:r>
        <w:rPr>
          <w:noProof/>
          <w:lang w:val="de-DE"/>
        </w:rPr>
        <w:t>“</w:t>
      </w:r>
      <w:r w:rsidRPr="00B05705">
        <w:rPr>
          <w:noProof/>
          <w:lang w:val="de-DE"/>
        </w:rPr>
        <w:t>, Absätze 210 bis 212 und 217 bis 220).</w:t>
      </w:r>
    </w:p>
    <w:p w:rsidR="00EA44BD" w:rsidRPr="00B05705" w:rsidRDefault="00EA44BD" w:rsidP="00EA44BD">
      <w:pPr>
        <w:rPr>
          <w:noProof/>
          <w:lang w:val="de-DE"/>
        </w:rPr>
      </w:pPr>
    </w:p>
    <w:p w:rsidR="00EA44BD" w:rsidRPr="00B05705" w:rsidRDefault="00EA44BD" w:rsidP="00EA44BD">
      <w:pPr>
        <w:rPr>
          <w:noProof/>
          <w:spacing w:val="-2"/>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In Anbetracht dieser Tatsache vereinbarte der TC, daß eine Überarbeitung von Dokument TGP/7/6 (Dokument TGP/7/7 Draft 1) dem Rat auf seiner dreiundfünfzigsten ordentlichen Tagung vorbehaltlich der Billigung durch den CAJ auf seiner sechsundsiebzigsten Tagung zur Annahme vorgelegt werden sollte.</w:t>
      </w:r>
    </w:p>
    <w:p w:rsidR="00EA44BD" w:rsidRPr="00B05705" w:rsidRDefault="00EA44BD" w:rsidP="00EA44BD">
      <w:pPr>
        <w:rPr>
          <w:noProof/>
          <w:spacing w:val="-2"/>
          <w:lang w:val="de-DE"/>
        </w:rPr>
      </w:pPr>
    </w:p>
    <w:p w:rsidR="00EA44BD" w:rsidRPr="00B05705" w:rsidRDefault="00EA44BD" w:rsidP="00EA44BD">
      <w:pPr>
        <w:rPr>
          <w:bCs/>
          <w:noProof/>
          <w:snapToGrid w:val="0"/>
          <w:szCs w:val="24"/>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Die Übersetzungen des englischen Originalwortlauts ins Deutsche, Französische und Spanische wurden von den entsprechenden Mitgliedern des Redaktions</w:t>
      </w:r>
      <w:r>
        <w:rPr>
          <w:noProof/>
          <w:spacing w:val="-2"/>
          <w:lang w:val="de-DE"/>
        </w:rPr>
        <w:t>ausschusses</w:t>
      </w:r>
      <w:r w:rsidRPr="00B05705">
        <w:rPr>
          <w:noProof/>
          <w:spacing w:val="-2"/>
          <w:lang w:val="de-DE"/>
        </w:rPr>
        <w:t xml:space="preserve"> vor der Vorlage des Entwurfs von Dokument TGP/7/7 an den Rat überprüft. Dokument TGP/7/7 Draft 1 beinhaltet die vom TC vereinbarten Änderungen, wie </w:t>
      </w:r>
      <w:r w:rsidRPr="00F25DD4">
        <w:rPr>
          <w:noProof/>
          <w:spacing w:val="-2"/>
          <w:lang w:val="de-DE"/>
        </w:rPr>
        <w:t>in Anlage I di</w:t>
      </w:r>
      <w:r w:rsidRPr="00B05705">
        <w:rPr>
          <w:noProof/>
          <w:spacing w:val="-2"/>
          <w:lang w:val="de-DE"/>
        </w:rPr>
        <w:t>eses Dokuments (im Überarbeitungsmodus) dargelegt, sowie die von den entsprechenden Mitgliedern des Redaktions</w:t>
      </w:r>
      <w:r>
        <w:rPr>
          <w:noProof/>
          <w:spacing w:val="-2"/>
          <w:lang w:val="de-DE"/>
        </w:rPr>
        <w:t>ausschusses</w:t>
      </w:r>
      <w:r w:rsidRPr="00B05705">
        <w:rPr>
          <w:noProof/>
          <w:spacing w:val="-2"/>
          <w:lang w:val="de-DE"/>
        </w:rPr>
        <w:t xml:space="preserve"> vorgeschlagenen sprachlichen Änderungen.</w:t>
      </w:r>
    </w:p>
    <w:p w:rsidR="00EA44BD" w:rsidRPr="00B05705" w:rsidRDefault="00EA44BD" w:rsidP="00EA44BD">
      <w:pPr>
        <w:rPr>
          <w:noProof/>
          <w:lang w:val="de-DE"/>
        </w:rPr>
      </w:pPr>
    </w:p>
    <w:p w:rsidR="00EA44BD" w:rsidRDefault="00EA44BD" w:rsidP="00EA44BD">
      <w:pPr>
        <w:pStyle w:val="DecisionParagraphs"/>
        <w:rPr>
          <w:noProof/>
          <w:spacing w:val="-2"/>
          <w:lang w:val="de-DE"/>
        </w:rPr>
      </w:pPr>
      <w:r w:rsidRPr="0059364E">
        <w:rPr>
          <w:i w:val="0"/>
          <w:noProof/>
          <w:lang w:val="de-DE"/>
        </w:rPr>
        <w:fldChar w:fldCharType="begin"/>
      </w:r>
      <w:r w:rsidRPr="0059364E">
        <w:rPr>
          <w:noProof/>
          <w:lang w:val="de-DE"/>
        </w:rPr>
        <w:instrText xml:space="preserve"> AUTONUM  </w:instrText>
      </w:r>
      <w:r w:rsidRPr="0059364E">
        <w:rPr>
          <w:i w:val="0"/>
          <w:noProof/>
          <w:lang w:val="de-DE"/>
        </w:rPr>
        <w:fldChar w:fldCharType="end"/>
      </w:r>
      <w:r w:rsidRPr="002365D6">
        <w:rPr>
          <w:noProof/>
          <w:lang w:val="de-DE"/>
        </w:rPr>
        <w:tab/>
      </w:r>
      <w:bookmarkStart w:id="21" w:name="_Hlk22574443"/>
      <w:r w:rsidRPr="002365D6">
        <w:rPr>
          <w:noProof/>
          <w:lang w:val="de-DE"/>
        </w:rPr>
        <w:t>Der TC wird ersucht, die Überarbeitung von Dokumen</w:t>
      </w:r>
      <w:r w:rsidRPr="007B1FE5">
        <w:rPr>
          <w:noProof/>
          <w:lang w:val="de-DE"/>
        </w:rPr>
        <w:t>t TGP/7 „Erstellung von Prüfungsrichtlinien</w:t>
      </w:r>
      <w:r>
        <w:rPr>
          <w:noProof/>
          <w:lang w:val="de-DE"/>
        </w:rPr>
        <w:t>“</w:t>
      </w:r>
      <w:r w:rsidRPr="007B1FE5">
        <w:rPr>
          <w:noProof/>
          <w:lang w:val="de-DE"/>
        </w:rPr>
        <w:t xml:space="preserve"> (Dokument TGP/7/7)</w:t>
      </w:r>
      <w:r>
        <w:rPr>
          <w:noProof/>
          <w:lang w:val="de-DE"/>
        </w:rPr>
        <w:t xml:space="preserve"> </w:t>
      </w:r>
      <w:r w:rsidRPr="007B1FE5">
        <w:rPr>
          <w:noProof/>
          <w:lang w:val="de-DE"/>
        </w:rPr>
        <w:t>auf der Grundlage von</w:t>
      </w:r>
      <w:r>
        <w:rPr>
          <w:noProof/>
          <w:lang w:val="de-DE"/>
        </w:rPr>
        <w:t xml:space="preserve"> </w:t>
      </w:r>
      <w:r w:rsidRPr="007B1FE5">
        <w:rPr>
          <w:noProof/>
          <w:lang w:val="de-DE"/>
        </w:rPr>
        <w:t>Dokument TGP/7/7 Draft 1</w:t>
      </w:r>
      <w:r>
        <w:rPr>
          <w:noProof/>
          <w:lang w:val="de-DE"/>
        </w:rPr>
        <w:t xml:space="preserve"> </w:t>
      </w:r>
      <w:r w:rsidRPr="007B1FE5">
        <w:rPr>
          <w:noProof/>
          <w:lang w:val="de-DE"/>
        </w:rPr>
        <w:t>zur Kenntnis zu nehmen, die dem</w:t>
      </w:r>
      <w:r w:rsidRPr="007B1FE5">
        <w:rPr>
          <w:noProof/>
          <w:spacing w:val="-2"/>
          <w:lang w:val="de-DE"/>
        </w:rPr>
        <w:t xml:space="preserve"> Rat auf seiner dreiundfünfzigsten ordentlichen Tagung vorbehaltlich der Billigung durch den CAJ auf seiner sechsundsiebzigsten Tagung zur Annahme vorgelegt werden soll</w:t>
      </w:r>
      <w:r>
        <w:rPr>
          <w:noProof/>
          <w:spacing w:val="-2"/>
          <w:lang w:val="de-DE"/>
        </w:rPr>
        <w:t>.</w:t>
      </w:r>
      <w:bookmarkEnd w:id="21"/>
    </w:p>
    <w:p w:rsidR="00EA44BD" w:rsidRDefault="00EA44BD" w:rsidP="00EA44BD">
      <w:pPr>
        <w:pStyle w:val="DecisionParagraphs"/>
        <w:rPr>
          <w:noProof/>
          <w:spacing w:val="-2"/>
          <w:lang w:val="de-DE"/>
        </w:rPr>
      </w:pPr>
    </w:p>
    <w:p w:rsidR="00EA44BD" w:rsidRPr="00B05705" w:rsidRDefault="00EA44BD" w:rsidP="00EA44BD">
      <w:pPr>
        <w:pStyle w:val="DecisionParagraphs"/>
        <w:rPr>
          <w:rFonts w:eastAsia="MS Mincho"/>
          <w:noProof/>
          <w:lang w:val="de-DE"/>
        </w:rPr>
      </w:pPr>
    </w:p>
    <w:p w:rsidR="00EA44BD" w:rsidRPr="00B05705" w:rsidRDefault="00EA44BD" w:rsidP="00EA44BD">
      <w:pPr>
        <w:pStyle w:val="Heading2"/>
        <w:rPr>
          <w:noProof/>
          <w:lang w:val="de-DE"/>
        </w:rPr>
      </w:pPr>
      <w:bookmarkStart w:id="22" w:name="_Toc15647501"/>
      <w:bookmarkStart w:id="23" w:name="_Toc22740438"/>
      <w:r w:rsidRPr="00B05705">
        <w:rPr>
          <w:noProof/>
          <w:lang w:val="de-DE"/>
        </w:rPr>
        <w:t>Dokument TGP/8: Prüfungsanlage und Verfahren für die Prüfung der Unterscheidbarkeit, der Homogenität und der Beständigkeit (Überarbeitung) (Dokument TGP/8/4 Draft 1)</w:t>
      </w:r>
      <w:bookmarkEnd w:id="22"/>
      <w:bookmarkEnd w:id="23"/>
    </w:p>
    <w:p w:rsidR="00EA44BD" w:rsidRPr="00B05705" w:rsidRDefault="00EA44BD" w:rsidP="00EA44BD">
      <w:pPr>
        <w:rPr>
          <w:noProof/>
          <w:lang w:val="de-DE"/>
        </w:rPr>
      </w:pPr>
    </w:p>
    <w:p w:rsidR="00EA44BD" w:rsidRPr="00B05705" w:rsidRDefault="00EA44BD" w:rsidP="00EA44BD">
      <w:pPr>
        <w:keepNext/>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r>
      <w:bookmarkStart w:id="24" w:name="_Ref12539616"/>
      <w:r w:rsidRPr="00B05705">
        <w:rPr>
          <w:noProof/>
          <w:lang w:val="de-DE"/>
        </w:rPr>
        <w:t>Der TC vereinbarte auf seiner dreiundfünfzigsten Tagun</w:t>
      </w:r>
      <w:bookmarkEnd w:id="24"/>
      <w:r w:rsidRPr="00B05705">
        <w:rPr>
          <w:noProof/>
          <w:lang w:val="de-DE"/>
        </w:rPr>
        <w:t>g vom 3. bis 5. April 2017, daß der Vorschlag einer Anleitung zu „Prüfung von Merkmalen aufgrund von Mischproben</w:t>
      </w:r>
      <w:r>
        <w:rPr>
          <w:noProof/>
          <w:lang w:val="de-DE"/>
        </w:rPr>
        <w:t>“</w:t>
      </w:r>
      <w:r w:rsidRPr="00B05705">
        <w:rPr>
          <w:noProof/>
          <w:lang w:val="de-DE"/>
        </w:rPr>
        <w:t xml:space="preserve"> in eine Überarbeitung von Dokument TGP/8 „Prüfungsanlage und Verfahren für die Prüfung der Unterscheidbarkeit, Homogenität und Beständigkeit</w:t>
      </w:r>
      <w:r>
        <w:rPr>
          <w:noProof/>
          <w:lang w:val="de-DE"/>
        </w:rPr>
        <w:t>“</w:t>
      </w:r>
      <w:r w:rsidRPr="00B05705">
        <w:rPr>
          <w:noProof/>
          <w:lang w:val="de-DE"/>
        </w:rPr>
        <w:t xml:space="preserve"> aufgenommen werden soll (vergleiche Dokument TC/53/31 „</w:t>
      </w:r>
      <w:r>
        <w:rPr>
          <w:noProof/>
          <w:lang w:val="de-DE"/>
        </w:rPr>
        <w:t>Bericht“</w:t>
      </w:r>
      <w:r w:rsidRPr="00B05705">
        <w:rPr>
          <w:noProof/>
          <w:lang w:val="de-DE"/>
        </w:rPr>
        <w:t xml:space="preserve">, Absätze 113 bis 116). </w:t>
      </w:r>
    </w:p>
    <w:p w:rsidR="00EA44BD" w:rsidRPr="00B05705" w:rsidRDefault="00EA44BD" w:rsidP="00EA44BD">
      <w:pPr>
        <w:rPr>
          <w:noProof/>
          <w:lang w:val="de-DE"/>
        </w:rPr>
      </w:pPr>
    </w:p>
    <w:p w:rsidR="00EA44BD" w:rsidRPr="00B05705" w:rsidRDefault="00EA44BD" w:rsidP="00EA44BD">
      <w:pPr>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vereinbarte auf seiner vierundfünfzigsten Tagung, daß die Anleitung in Dokument TGP/8/2: Teil II, Abschnitt 8: Unterabschnitt 8.1.7 durch einen Querverweis auf die neue Anleitung zu „Prüfung der Homogenität anhand von Abweichern aufgrund von mehr als einer Wachstumsperiode oder aufgrund von Unterproben</w:t>
      </w:r>
      <w:r>
        <w:rPr>
          <w:noProof/>
          <w:lang w:val="de-DE"/>
        </w:rPr>
        <w:t>“</w:t>
      </w:r>
      <w:r w:rsidRPr="00B05705">
        <w:rPr>
          <w:noProof/>
          <w:lang w:val="de-DE"/>
        </w:rPr>
        <w:t xml:space="preserve"> ersetzt werden sollte, der in Dokument TGP/10 „Prüfung der Homogenität</w:t>
      </w:r>
      <w:r>
        <w:rPr>
          <w:noProof/>
          <w:lang w:val="de-DE"/>
        </w:rPr>
        <w:t>“</w:t>
      </w:r>
      <w:r w:rsidRPr="00B05705">
        <w:rPr>
          <w:noProof/>
          <w:lang w:val="de-DE"/>
        </w:rPr>
        <w:t xml:space="preserve"> aufgenommen werden soll (vergleiche Dokument </w:t>
      </w:r>
      <w:hyperlink r:id="rId10" w:history="1">
        <w:hyperlink r:id="rId11" w:history="1">
          <w:r w:rsidR="00DC4ECD">
            <w:rPr>
              <w:rStyle w:val="Hyperlink"/>
              <w:noProof/>
              <w:lang w:val="de-DE"/>
            </w:rPr>
            <w:t xml:space="preserve">TC/54/31 </w:t>
          </w:r>
        </w:hyperlink>
      </w:hyperlink>
      <w:r w:rsidRPr="00B05705">
        <w:rPr>
          <w:noProof/>
          <w:lang w:val="de-DE"/>
        </w:rPr>
        <w:t>„Bericht</w:t>
      </w:r>
      <w:r>
        <w:rPr>
          <w:noProof/>
          <w:lang w:val="de-DE"/>
        </w:rPr>
        <w:t>“</w:t>
      </w:r>
      <w:r w:rsidRPr="00B05705">
        <w:rPr>
          <w:noProof/>
          <w:lang w:val="de-DE"/>
        </w:rPr>
        <w:t>, Absätze 231 und 232).</w:t>
      </w:r>
    </w:p>
    <w:p w:rsidR="00EA44BD" w:rsidRPr="00B05705" w:rsidRDefault="00EA44BD" w:rsidP="00EA44BD">
      <w:pPr>
        <w:rPr>
          <w:noProof/>
          <w:lang w:val="de-DE"/>
        </w:rPr>
      </w:pPr>
    </w:p>
    <w:p w:rsidR="00EA44BD" w:rsidRPr="00B05705" w:rsidRDefault="00EA44BD" w:rsidP="00EA44BD">
      <w:pPr>
        <w:rPr>
          <w:noProof/>
          <w:spacing w:val="-2"/>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 xml:space="preserve">In Anbetracht dieser Tatsache vereinbarte der TC, daß eine Überarbeitung von Dokument TGP/8/3 (Dokument TGP/8/4 Draft 1) dem Rat auf seiner dreiundfünfzigsten ordentlichen Tagung vorbehaltlich der Billigung durch den CAJ auf seiner sechsundsiebzigsten Tagung zur Annahme vorgelegt werden sollte. </w:t>
      </w:r>
    </w:p>
    <w:p w:rsidR="00EA44BD" w:rsidRPr="00B05705" w:rsidRDefault="00EA44BD" w:rsidP="00EA44BD">
      <w:pPr>
        <w:rPr>
          <w:noProof/>
          <w:spacing w:val="-2"/>
          <w:lang w:val="de-DE"/>
        </w:rPr>
      </w:pPr>
    </w:p>
    <w:p w:rsidR="00EA44BD" w:rsidRPr="00B05705" w:rsidRDefault="00EA44BD" w:rsidP="00EA44BD">
      <w:pPr>
        <w:rPr>
          <w:bCs/>
          <w:noProof/>
          <w:snapToGrid w:val="0"/>
          <w:szCs w:val="24"/>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 xml:space="preserve">Die Übersetzungen des englischen Originalwortlauts ins Deutsche, Französische und Spanische wurden von den entsprechenden Mitgliedern des </w:t>
      </w:r>
      <w:r>
        <w:rPr>
          <w:noProof/>
          <w:spacing w:val="-2"/>
          <w:lang w:val="de-DE"/>
        </w:rPr>
        <w:t>Redaktionsausschusses</w:t>
      </w:r>
      <w:r w:rsidRPr="00B05705">
        <w:rPr>
          <w:noProof/>
          <w:spacing w:val="-2"/>
          <w:lang w:val="de-DE"/>
        </w:rPr>
        <w:t xml:space="preserve"> vor der Vorlage des Entwurfs von Dokument TGP/8/4 an den Rat überprüft. Dokument TGP/8/4 Draft 1 beinhaltet die vom TC vereinbarten Änderungen, wie in Anlage I</w:t>
      </w:r>
      <w:r>
        <w:rPr>
          <w:noProof/>
          <w:spacing w:val="-2"/>
          <w:lang w:val="de-DE"/>
        </w:rPr>
        <w:t>I</w:t>
      </w:r>
      <w:r w:rsidRPr="00B05705">
        <w:rPr>
          <w:noProof/>
          <w:spacing w:val="-2"/>
          <w:lang w:val="de-DE"/>
        </w:rPr>
        <w:t xml:space="preserve"> dieses Dokuments (im Überarbeitungsmodus) dargelegt, sowie die von den entsprechenden Mitgliedern des </w:t>
      </w:r>
      <w:r>
        <w:rPr>
          <w:noProof/>
          <w:spacing w:val="-2"/>
          <w:lang w:val="de-DE"/>
        </w:rPr>
        <w:t>Redaktionsausschusses</w:t>
      </w:r>
      <w:r w:rsidRPr="00B05705">
        <w:rPr>
          <w:noProof/>
          <w:spacing w:val="-2"/>
          <w:lang w:val="de-DE"/>
        </w:rPr>
        <w:t xml:space="preserve"> vorgeschlagenen sprachlichen Änderungen.</w:t>
      </w:r>
    </w:p>
    <w:p w:rsidR="00EA44BD" w:rsidRPr="00B05705" w:rsidRDefault="00EA44BD" w:rsidP="00EA44BD">
      <w:pPr>
        <w:rPr>
          <w:bCs/>
          <w:noProof/>
          <w:snapToGrid w:val="0"/>
          <w:szCs w:val="24"/>
          <w:lang w:val="de-DE"/>
        </w:rPr>
      </w:pPr>
    </w:p>
    <w:p w:rsidR="00EA44BD" w:rsidRPr="00B05705" w:rsidRDefault="00EA44BD" w:rsidP="00EA44BD">
      <w:pPr>
        <w:pStyle w:val="DecisionParagraphs"/>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B05705">
        <w:rPr>
          <w:noProof/>
          <w:lang w:val="de-DE"/>
        </w:rPr>
        <w:tab/>
        <w:t>Der TC wird ersucht, die Überarbeitung von Dokument TGP/8 „Prüfungsanlage und Verfahren für die Prüfung der Unterscheidbarkeit, der Homogenität und der Beständigkeit</w:t>
      </w:r>
      <w:r>
        <w:rPr>
          <w:noProof/>
          <w:lang w:val="de-DE"/>
        </w:rPr>
        <w:t>“</w:t>
      </w:r>
      <w:r w:rsidRPr="00B05705">
        <w:rPr>
          <w:noProof/>
          <w:lang w:val="de-DE"/>
        </w:rPr>
        <w:t xml:space="preserve"> (Dokument TGP/8/3)</w:t>
      </w:r>
      <w:r w:rsidRPr="00B05705">
        <w:rPr>
          <w:noProof/>
          <w:spacing w:val="-2"/>
          <w:lang w:val="de-DE"/>
        </w:rPr>
        <w:t xml:space="preserve"> </w:t>
      </w:r>
      <w:r w:rsidRPr="00B05705">
        <w:rPr>
          <w:noProof/>
          <w:lang w:val="de-DE"/>
        </w:rPr>
        <w:t>auf der Grundlage von Dokument TGP/8/4 Draft 1</w:t>
      </w:r>
      <w:r>
        <w:rPr>
          <w:noProof/>
          <w:lang w:val="de-DE"/>
        </w:rPr>
        <w:t xml:space="preserve"> </w:t>
      </w:r>
      <w:r w:rsidRPr="00B05705">
        <w:rPr>
          <w:noProof/>
          <w:lang w:val="de-DE"/>
        </w:rPr>
        <w:t xml:space="preserve">zur Kenntnis zu nehmen, </w:t>
      </w:r>
      <w:bookmarkStart w:id="25" w:name="_Hlk22390004"/>
      <w:r w:rsidRPr="00B05705">
        <w:rPr>
          <w:noProof/>
          <w:lang w:val="de-DE"/>
        </w:rPr>
        <w:t>die dem</w:t>
      </w:r>
      <w:r w:rsidRPr="00B05705">
        <w:rPr>
          <w:noProof/>
          <w:spacing w:val="-2"/>
          <w:lang w:val="de-DE"/>
        </w:rPr>
        <w:t xml:space="preserve"> Rat auf seiner dreiundfünfzigsten ordentlichen Tagung</w:t>
      </w:r>
      <w:r>
        <w:rPr>
          <w:noProof/>
          <w:spacing w:val="-2"/>
          <w:lang w:val="de-DE"/>
        </w:rPr>
        <w:t xml:space="preserve"> </w:t>
      </w:r>
      <w:r w:rsidRPr="00B05705">
        <w:rPr>
          <w:noProof/>
          <w:spacing w:val="-2"/>
          <w:lang w:val="de-DE"/>
        </w:rPr>
        <w:t>vorbehaltlich der Billigung durch den CAJ auf seiner sechsundsiebzigsten Tagung</w:t>
      </w:r>
      <w:r>
        <w:rPr>
          <w:noProof/>
          <w:spacing w:val="-2"/>
          <w:lang w:val="de-DE"/>
        </w:rPr>
        <w:t xml:space="preserve"> </w:t>
      </w:r>
      <w:r w:rsidRPr="00B05705">
        <w:rPr>
          <w:noProof/>
          <w:spacing w:val="-2"/>
          <w:lang w:val="de-DE"/>
        </w:rPr>
        <w:t>zur Annahme vorgelegt werden soll</w:t>
      </w:r>
      <w:r w:rsidRPr="00B05705">
        <w:rPr>
          <w:noProof/>
          <w:lang w:val="de-DE"/>
        </w:rPr>
        <w:t xml:space="preserve">. </w:t>
      </w:r>
    </w:p>
    <w:bookmarkEnd w:id="25"/>
    <w:p w:rsidR="00EA44BD" w:rsidRPr="00B05705" w:rsidRDefault="00EA44BD" w:rsidP="00EA44BD">
      <w:pPr>
        <w:pStyle w:val="DecisionParagraphs"/>
        <w:rPr>
          <w:noProof/>
          <w:lang w:val="de-DE"/>
        </w:rPr>
      </w:pPr>
    </w:p>
    <w:p w:rsidR="00EA44BD" w:rsidRPr="00B05705" w:rsidRDefault="00EA44BD" w:rsidP="00EA44BD">
      <w:pPr>
        <w:pStyle w:val="Heading2"/>
        <w:rPr>
          <w:noProof/>
          <w:lang w:val="de-DE"/>
        </w:rPr>
      </w:pPr>
      <w:bookmarkStart w:id="26" w:name="_Toc519608630"/>
      <w:bookmarkStart w:id="27" w:name="_Toc15566519"/>
      <w:bookmarkStart w:id="28" w:name="_Toc22740439"/>
      <w:r w:rsidRPr="00B05705">
        <w:rPr>
          <w:noProof/>
          <w:lang w:val="de-DE"/>
        </w:rPr>
        <w:t xml:space="preserve">Dokument TGP/10: </w:t>
      </w:r>
      <w:bookmarkEnd w:id="26"/>
      <w:r w:rsidRPr="00B05705">
        <w:rPr>
          <w:noProof/>
          <w:lang w:val="de-DE"/>
        </w:rPr>
        <w:t>Prüfung der Homogenität (Überarbeitung) (Dokument TGP/10/2 Draft 1)</w:t>
      </w:r>
      <w:bookmarkEnd w:id="27"/>
      <w:bookmarkEnd w:id="28"/>
    </w:p>
    <w:p w:rsidR="00EA44BD" w:rsidRPr="00B05705" w:rsidRDefault="00EA44BD" w:rsidP="00EA44BD">
      <w:pPr>
        <w:keepNext/>
        <w:rPr>
          <w:rFonts w:eastAsia="MS Mincho"/>
          <w:i/>
          <w:noProof/>
          <w:lang w:val="de-DE"/>
        </w:rPr>
      </w:pPr>
    </w:p>
    <w:p w:rsidR="00EA44BD" w:rsidRPr="003712D8" w:rsidRDefault="00EA44BD" w:rsidP="00EA44BD">
      <w:pPr>
        <w:keepNext/>
        <w:rPr>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vereinbarte auf seiner vierundfünfzigsten Tagung, daß der Entwurf einer Anleitung</w:t>
      </w:r>
      <w:r w:rsidRPr="00B05705">
        <w:rPr>
          <w:rFonts w:eastAsia="MS Mincho"/>
          <w:noProof/>
          <w:szCs w:val="24"/>
          <w:lang w:val="de-DE" w:eastAsia="ja-JP"/>
        </w:rPr>
        <w:t xml:space="preserve"> zu „Prüfung der Homogenität anhand von Abweichern aufgrund von mehr als einer Wachstumsperiode oder aufgrund von Unterproben</w:t>
      </w:r>
      <w:r>
        <w:rPr>
          <w:rFonts w:eastAsia="MS Mincho"/>
          <w:noProof/>
          <w:szCs w:val="24"/>
          <w:lang w:val="de-DE" w:eastAsia="ja-JP"/>
        </w:rPr>
        <w:t>“</w:t>
      </w:r>
      <w:r w:rsidRPr="00B05705">
        <w:rPr>
          <w:noProof/>
          <w:lang w:val="de-DE"/>
        </w:rPr>
        <w:t xml:space="preserve"> zur Aufnahme in eine künftige Überarbeitung von Dokument TGP/10 „Prüfung der Homogenität</w:t>
      </w:r>
      <w:r>
        <w:rPr>
          <w:noProof/>
          <w:lang w:val="de-DE"/>
        </w:rPr>
        <w:t>“</w:t>
      </w:r>
      <w:r w:rsidRPr="00B05705">
        <w:rPr>
          <w:noProof/>
          <w:lang w:val="de-DE"/>
        </w:rPr>
        <w:t xml:space="preserve"> dem Rat zur Annahme vorgelegt werden sollt</w:t>
      </w:r>
      <w:r w:rsidRPr="003712D8">
        <w:rPr>
          <w:lang w:val="de-DE"/>
        </w:rPr>
        <w:t xml:space="preserve">e (vergleiche </w:t>
      </w:r>
      <w:r>
        <w:rPr>
          <w:lang w:val="de-DE"/>
        </w:rPr>
        <w:t>Dokument</w:t>
      </w:r>
      <w:r w:rsidRPr="003712D8">
        <w:rPr>
          <w:lang w:val="de-DE"/>
        </w:rPr>
        <w:t> </w:t>
      </w:r>
      <w:hyperlink r:id="rId12" w:history="1">
        <w:r w:rsidR="00DC4ECD">
          <w:rPr>
            <w:lang w:val="de-DE"/>
          </w:rPr>
          <w:t xml:space="preserve">TC/54/31 </w:t>
        </w:r>
      </w:hyperlink>
      <w:r>
        <w:rPr>
          <w:lang w:val="de-DE"/>
        </w:rPr>
        <w:t>„</w:t>
      </w:r>
      <w:r w:rsidRPr="003712D8">
        <w:rPr>
          <w:lang w:val="de-DE"/>
        </w:rPr>
        <w:t>Bericht</w:t>
      </w:r>
      <w:r>
        <w:rPr>
          <w:lang w:val="de-DE"/>
        </w:rPr>
        <w:t>“,</w:t>
      </w:r>
      <w:r w:rsidRPr="003712D8">
        <w:rPr>
          <w:lang w:val="de-DE"/>
        </w:rPr>
        <w:t xml:space="preserve"> </w:t>
      </w:r>
      <w:r>
        <w:rPr>
          <w:lang w:val="de-DE"/>
        </w:rPr>
        <w:t>Absätze</w:t>
      </w:r>
      <w:r w:rsidRPr="003712D8">
        <w:rPr>
          <w:lang w:val="de-DE"/>
        </w:rPr>
        <w:t xml:space="preserve"> </w:t>
      </w:r>
      <w:r>
        <w:rPr>
          <w:lang w:val="de-DE"/>
        </w:rPr>
        <w:t>233</w:t>
      </w:r>
      <w:r w:rsidRPr="003712D8">
        <w:rPr>
          <w:lang w:val="de-DE"/>
        </w:rPr>
        <w:t xml:space="preserve"> </w:t>
      </w:r>
      <w:r>
        <w:rPr>
          <w:lang w:val="de-DE"/>
        </w:rPr>
        <w:t>und</w:t>
      </w:r>
      <w:r w:rsidRPr="003712D8">
        <w:rPr>
          <w:lang w:val="de-DE"/>
        </w:rPr>
        <w:t xml:space="preserve"> </w:t>
      </w:r>
      <w:r>
        <w:rPr>
          <w:lang w:val="de-DE"/>
        </w:rPr>
        <w:t>234)</w:t>
      </w:r>
      <w:r>
        <w:rPr>
          <w:rFonts w:eastAsia="MS Mincho"/>
          <w:color w:val="000000"/>
          <w:szCs w:val="24"/>
          <w:lang w:val="de-DE" w:eastAsia="ja-JP"/>
        </w:rPr>
        <w:t xml:space="preserve">. </w:t>
      </w:r>
    </w:p>
    <w:p w:rsidR="00EA44BD" w:rsidRPr="00B05705" w:rsidRDefault="00EA44BD" w:rsidP="00EA44BD">
      <w:pPr>
        <w:rPr>
          <w:noProof/>
          <w:lang w:val="de-DE"/>
        </w:rPr>
      </w:pPr>
    </w:p>
    <w:p w:rsidR="00EA44BD" w:rsidRPr="00B05705" w:rsidRDefault="00EA44BD" w:rsidP="00EA44BD">
      <w:pPr>
        <w:rPr>
          <w:bCs/>
          <w:noProof/>
          <w:snapToGrid w:val="0"/>
          <w:szCs w:val="24"/>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 xml:space="preserve">Die Übersetzungen des englischen Originalwortlauts ins Deutsche, Französische und Spanische wurden von den entsprechenden Mitgliedern des </w:t>
      </w:r>
      <w:r>
        <w:rPr>
          <w:noProof/>
          <w:spacing w:val="-2"/>
          <w:lang w:val="de-DE"/>
        </w:rPr>
        <w:t>Redaktionsausschusses</w:t>
      </w:r>
      <w:r w:rsidRPr="00B05705">
        <w:rPr>
          <w:noProof/>
          <w:spacing w:val="-2"/>
          <w:lang w:val="de-DE"/>
        </w:rPr>
        <w:t xml:space="preserve"> vor der Vorlage des Entwurfs von Dokument TGP/10/2 an den Rat überprüft. Dokument TGP/10/2 Draft 1 beinhaltet die vom TC vereinbarten </w:t>
      </w:r>
      <w:r w:rsidRPr="00B05705">
        <w:rPr>
          <w:noProof/>
          <w:spacing w:val="-2"/>
          <w:lang w:val="de-DE"/>
        </w:rPr>
        <w:lastRenderedPageBreak/>
        <w:t xml:space="preserve">Änderungen, wie </w:t>
      </w:r>
      <w:r w:rsidRPr="00CB751D">
        <w:rPr>
          <w:noProof/>
          <w:spacing w:val="-2"/>
          <w:lang w:val="de-DE"/>
        </w:rPr>
        <w:t>in Anlage III dieses Dokuments</w:t>
      </w:r>
      <w:r w:rsidRPr="00B05705">
        <w:rPr>
          <w:noProof/>
          <w:spacing w:val="-2"/>
          <w:lang w:val="de-DE"/>
        </w:rPr>
        <w:t xml:space="preserve"> dargelegt</w:t>
      </w:r>
      <w:r w:rsidRPr="00B05705">
        <w:rPr>
          <w:i/>
          <w:noProof/>
          <w:spacing w:val="-2"/>
          <w:lang w:val="de-DE"/>
        </w:rPr>
        <w:t xml:space="preserve">, </w:t>
      </w:r>
      <w:r w:rsidRPr="00B05705">
        <w:rPr>
          <w:noProof/>
          <w:spacing w:val="-2"/>
          <w:lang w:val="de-DE"/>
        </w:rPr>
        <w:t xml:space="preserve">sowie die von den entsprechenden Mitgliedern des </w:t>
      </w:r>
      <w:r>
        <w:rPr>
          <w:noProof/>
          <w:spacing w:val="-2"/>
          <w:lang w:val="de-DE"/>
        </w:rPr>
        <w:t>Redaktionsausschusses</w:t>
      </w:r>
      <w:r w:rsidRPr="00B05705">
        <w:rPr>
          <w:noProof/>
          <w:spacing w:val="-2"/>
          <w:lang w:val="de-DE"/>
        </w:rPr>
        <w:t xml:space="preserve"> vorgenommenen sprachlichen Änderungen.</w:t>
      </w:r>
    </w:p>
    <w:p w:rsidR="00EA44BD" w:rsidRPr="00B05705" w:rsidRDefault="00EA44BD" w:rsidP="00EA44BD">
      <w:pPr>
        <w:rPr>
          <w:bCs/>
          <w:noProof/>
          <w:snapToGrid w:val="0"/>
          <w:szCs w:val="24"/>
          <w:lang w:val="de-DE"/>
        </w:rPr>
      </w:pPr>
    </w:p>
    <w:p w:rsidR="00EA44BD" w:rsidRPr="00B05705" w:rsidRDefault="00EA44BD" w:rsidP="00EA44BD">
      <w:pPr>
        <w:pStyle w:val="DecisionParagraphs"/>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B05705">
        <w:rPr>
          <w:noProof/>
          <w:lang w:val="de-DE"/>
        </w:rPr>
        <w:tab/>
        <w:t>Der TC wird ersucht, die Überarbeitung von Dokument TGP/10 „Prüfung der Homogenität</w:t>
      </w:r>
      <w:r>
        <w:rPr>
          <w:noProof/>
          <w:lang w:val="de-DE"/>
        </w:rPr>
        <w:t>“</w:t>
      </w:r>
      <w:r w:rsidRPr="00B05705">
        <w:rPr>
          <w:noProof/>
          <w:lang w:val="de-DE"/>
        </w:rPr>
        <w:t xml:space="preserve"> (Dokument TGP/10/1)</w:t>
      </w:r>
      <w:r>
        <w:rPr>
          <w:noProof/>
          <w:spacing w:val="-2"/>
          <w:lang w:val="de-DE"/>
        </w:rPr>
        <w:t xml:space="preserve"> </w:t>
      </w:r>
      <w:r w:rsidRPr="00B05705">
        <w:rPr>
          <w:noProof/>
          <w:lang w:val="de-DE"/>
        </w:rPr>
        <w:t>auf der Grundlage von Dokument TGP/10/2 Draft 1</w:t>
      </w:r>
      <w:r>
        <w:rPr>
          <w:noProof/>
          <w:lang w:val="de-DE"/>
        </w:rPr>
        <w:t xml:space="preserve"> </w:t>
      </w:r>
      <w:r w:rsidRPr="00B05705">
        <w:rPr>
          <w:noProof/>
          <w:lang w:val="de-DE"/>
        </w:rPr>
        <w:t>zur Kenntnis zu nehmen, die dem</w:t>
      </w:r>
      <w:r w:rsidRPr="00B05705">
        <w:rPr>
          <w:noProof/>
          <w:spacing w:val="-2"/>
          <w:lang w:val="de-DE"/>
        </w:rPr>
        <w:t xml:space="preserve"> Rat auf seiner dreiundfünfzigsten ordentlichen Tagung vorbehaltlich der Billigung durch den CAJ auf seiner sechsundsiebzigsten Tagung</w:t>
      </w:r>
      <w:r>
        <w:rPr>
          <w:noProof/>
          <w:spacing w:val="-2"/>
          <w:lang w:val="de-DE"/>
        </w:rPr>
        <w:t xml:space="preserve"> </w:t>
      </w:r>
      <w:r w:rsidRPr="00B05705">
        <w:rPr>
          <w:noProof/>
          <w:spacing w:val="-2"/>
          <w:lang w:val="de-DE"/>
        </w:rPr>
        <w:t>zur Annahme vorgelegt werden soll</w:t>
      </w:r>
      <w:r w:rsidRPr="00B05705">
        <w:rPr>
          <w:noProof/>
          <w:lang w:val="de-DE"/>
        </w:rPr>
        <w:t xml:space="preserve">. </w:t>
      </w: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keepNext/>
        <w:outlineLvl w:val="1"/>
        <w:rPr>
          <w:noProof/>
          <w:u w:val="single"/>
          <w:lang w:val="de-DE"/>
        </w:rPr>
      </w:pPr>
      <w:bookmarkStart w:id="29" w:name="_Toc15566520"/>
      <w:bookmarkStart w:id="30" w:name="_Toc22740440"/>
      <w:r w:rsidRPr="00B05705">
        <w:rPr>
          <w:noProof/>
          <w:spacing w:val="-2"/>
          <w:u w:val="single"/>
          <w:lang w:val="de-DE"/>
        </w:rPr>
        <w:t>Dokument TGP/14: Glossar der in den UPOV-Dokumenten verwendeten Begriffe (Dokument TGP/14/4 Draft 1</w:t>
      </w:r>
      <w:r w:rsidRPr="00B05705">
        <w:rPr>
          <w:noProof/>
          <w:u w:val="single"/>
          <w:lang w:val="de-DE"/>
        </w:rPr>
        <w:t>)</w:t>
      </w:r>
      <w:bookmarkEnd w:id="29"/>
      <w:bookmarkEnd w:id="30"/>
    </w:p>
    <w:p w:rsidR="00EA44BD" w:rsidRPr="00B05705" w:rsidRDefault="00EA44BD" w:rsidP="00EA44BD">
      <w:pPr>
        <w:rPr>
          <w:i/>
          <w:noProof/>
          <w:lang w:val="de-DE"/>
        </w:rPr>
      </w:pPr>
    </w:p>
    <w:p w:rsidR="00EA44BD" w:rsidRPr="00B05705" w:rsidRDefault="00EA44BD" w:rsidP="00EA44BD">
      <w:pPr>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vereinbarte auf seiner dreiundfünfzigsten Tagung, Dokument TGP/14: Abschnitt 2: Unterabschnitt 2: „Formen und Strukturen</w:t>
      </w:r>
      <w:r>
        <w:rPr>
          <w:noProof/>
          <w:lang w:val="de-DE"/>
        </w:rPr>
        <w:t>“</w:t>
      </w:r>
      <w:r w:rsidRPr="00B05705">
        <w:rPr>
          <w:noProof/>
          <w:lang w:val="de-DE"/>
        </w:rPr>
        <w:t xml:space="preserve"> zu überarbeiten, um das Raster in Beispiel 5, Alternative 2, wie in Anlage IV dieses Dokuments dargelegt, zu ändern (vergleiche Dokument TC/53/31 „Bericht</w:t>
      </w:r>
      <w:r>
        <w:rPr>
          <w:noProof/>
          <w:lang w:val="de-DE"/>
        </w:rPr>
        <w:t>“</w:t>
      </w:r>
      <w:r w:rsidRPr="00B05705">
        <w:rPr>
          <w:noProof/>
          <w:lang w:val="de-DE"/>
        </w:rPr>
        <w:t>, Absatz 141).</w:t>
      </w:r>
    </w:p>
    <w:p w:rsidR="00EA44BD" w:rsidRPr="00B05705" w:rsidRDefault="00EA44BD" w:rsidP="00EA44BD">
      <w:pPr>
        <w:keepNext/>
        <w:outlineLvl w:val="2"/>
        <w:rPr>
          <w:rFonts w:eastAsia="MS Mincho"/>
          <w:i/>
          <w:noProof/>
          <w:lang w:val="de-DE"/>
        </w:rPr>
      </w:pPr>
    </w:p>
    <w:p w:rsidR="00EA44BD" w:rsidRPr="00B05705" w:rsidRDefault="00EA44BD" w:rsidP="00EA44BD">
      <w:pPr>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vereinbarte auf seiner vierundfünfzigsten Tagung, die vorgeschlagenen Überarbeitungen von Dokument TGP/14, „Glossar der in den UPOV-Dokumenten verwendeten Begriffe</w:t>
      </w:r>
      <w:r>
        <w:rPr>
          <w:noProof/>
          <w:lang w:val="de-DE"/>
        </w:rPr>
        <w:t>“</w:t>
      </w:r>
      <w:r w:rsidRPr="00B05705">
        <w:rPr>
          <w:noProof/>
          <w:lang w:val="de-DE"/>
        </w:rPr>
        <w:t xml:space="preserve"> in eine Anleitung zu den Faktoren, die für das Erstellen von Farbgruppen für die Gruppierung von Sorten und die Organisation der Anbauprüfung zu berücksichtigen sind, aufzunehmen (vergleiche Dokument </w:t>
      </w:r>
      <w:hyperlink r:id="rId13" w:history="1">
        <w:r w:rsidR="00DC4ECD">
          <w:rPr>
            <w:noProof/>
            <w:lang w:val="de-DE"/>
          </w:rPr>
          <w:t xml:space="preserve">TC/54/31 </w:t>
        </w:r>
      </w:hyperlink>
      <w:r w:rsidRPr="00B05705">
        <w:rPr>
          <w:noProof/>
          <w:lang w:val="de-DE"/>
        </w:rPr>
        <w:t>„Bericht</w:t>
      </w:r>
      <w:r>
        <w:rPr>
          <w:noProof/>
          <w:lang w:val="de-DE"/>
        </w:rPr>
        <w:t>“</w:t>
      </w:r>
      <w:r w:rsidRPr="00B05705">
        <w:rPr>
          <w:noProof/>
          <w:lang w:val="de-DE"/>
        </w:rPr>
        <w:t>, Absatz 244).</w:t>
      </w:r>
      <w:r>
        <w:rPr>
          <w:noProof/>
          <w:lang w:val="de-DE"/>
        </w:rPr>
        <w:t xml:space="preserve"> </w:t>
      </w:r>
    </w:p>
    <w:p w:rsidR="00EA44BD" w:rsidRPr="00B05705" w:rsidRDefault="00EA44BD" w:rsidP="00EA44BD">
      <w:pPr>
        <w:rPr>
          <w:noProof/>
          <w:lang w:val="de-DE"/>
        </w:rPr>
      </w:pPr>
    </w:p>
    <w:p w:rsidR="00EA44BD" w:rsidRPr="00B05705" w:rsidRDefault="00EA44BD" w:rsidP="00EA44BD">
      <w:pPr>
        <w:rPr>
          <w:noProof/>
          <w:spacing w:val="-2"/>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In Anbetracht dieser Tatsache vereinbarte der TC, daß eine Überarbeitung von Dokument TGP/14/3 (Dokument TGP/14/4 Draft 1) dem Rat auf seiner dreiundfünfzigsten ordentlichen Tagung vorbehaltlich der Billigung durch den CAJ auf seiner siebenundsechzigsten Tagung</w:t>
      </w:r>
      <w:r w:rsidRPr="00B05705">
        <w:rPr>
          <w:noProof/>
          <w:lang w:val="de-DE"/>
        </w:rPr>
        <w:t xml:space="preserve"> </w:t>
      </w:r>
      <w:r w:rsidRPr="00B05705">
        <w:rPr>
          <w:noProof/>
          <w:spacing w:val="-2"/>
          <w:lang w:val="de-DE"/>
        </w:rPr>
        <w:t xml:space="preserve">zur Annahme vorgelegt werden sollte. </w:t>
      </w:r>
    </w:p>
    <w:p w:rsidR="00EA44BD" w:rsidRPr="00B05705" w:rsidRDefault="00EA44BD" w:rsidP="00EA44BD">
      <w:pPr>
        <w:rPr>
          <w:noProof/>
          <w:spacing w:val="-2"/>
          <w:lang w:val="de-DE"/>
        </w:rPr>
      </w:pPr>
    </w:p>
    <w:p w:rsidR="00EA44BD" w:rsidRPr="00B05705" w:rsidRDefault="00EA44BD" w:rsidP="00EA44BD">
      <w:pPr>
        <w:rPr>
          <w:bCs/>
          <w:noProof/>
          <w:snapToGrid w:val="0"/>
          <w:szCs w:val="24"/>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 xml:space="preserve">Die Übersetzungen des englischen Originalwortlauts ins Deutsche, Französische und Spanische wurden von den entsprechenden Mitgliedern des </w:t>
      </w:r>
      <w:r>
        <w:rPr>
          <w:noProof/>
          <w:spacing w:val="-2"/>
          <w:lang w:val="de-DE"/>
        </w:rPr>
        <w:t>Redaktionsausschusses</w:t>
      </w:r>
      <w:r w:rsidRPr="00B05705">
        <w:rPr>
          <w:noProof/>
          <w:spacing w:val="-2"/>
          <w:lang w:val="de-DE"/>
        </w:rPr>
        <w:t xml:space="preserve"> vor der Vorlage des Entwurfs von Dokument TGP/14/4 an den Rat überprüft. Dokument TGP/14/4 Draft 1 beinhaltet die vom TC vereinbarten Änderungen, wie </w:t>
      </w:r>
      <w:r w:rsidRPr="006B3406">
        <w:rPr>
          <w:noProof/>
          <w:spacing w:val="-2"/>
          <w:lang w:val="de-DE"/>
        </w:rPr>
        <w:t>in Anlage IV dieses</w:t>
      </w:r>
      <w:r w:rsidRPr="00B05705">
        <w:rPr>
          <w:noProof/>
          <w:spacing w:val="-2"/>
          <w:lang w:val="de-DE"/>
        </w:rPr>
        <w:t xml:space="preserve"> Dokuments dargelegt, sowie die von den entsprechenden Mitgliedern des </w:t>
      </w:r>
      <w:r>
        <w:rPr>
          <w:noProof/>
          <w:spacing w:val="-2"/>
          <w:lang w:val="de-DE"/>
        </w:rPr>
        <w:t>Redaktionsausschusses</w:t>
      </w:r>
      <w:r w:rsidRPr="00B05705">
        <w:rPr>
          <w:noProof/>
          <w:spacing w:val="-2"/>
          <w:lang w:val="de-DE"/>
        </w:rPr>
        <w:t xml:space="preserve"> vorgenommenen sprachlichen Änderungen.</w:t>
      </w:r>
    </w:p>
    <w:p w:rsidR="00EA44BD" w:rsidRPr="00B05705" w:rsidRDefault="00EA44BD" w:rsidP="00EA44BD">
      <w:pPr>
        <w:rPr>
          <w:noProof/>
          <w:lang w:val="de-DE"/>
        </w:rPr>
      </w:pPr>
    </w:p>
    <w:p w:rsidR="00EA44BD" w:rsidRPr="00B05705" w:rsidRDefault="00EA44BD" w:rsidP="00EA44BD">
      <w:pPr>
        <w:pStyle w:val="DecisionParagraphs"/>
        <w:keepLines/>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B05705">
        <w:rPr>
          <w:noProof/>
          <w:lang w:val="de-DE"/>
        </w:rPr>
        <w:tab/>
        <w:t xml:space="preserve">Der TC wird ersucht, die Überarbeitung von Dokument </w:t>
      </w:r>
      <w:r w:rsidR="006B3406">
        <w:rPr>
          <w:noProof/>
          <w:lang w:val="de-DE"/>
        </w:rPr>
        <w:t>TGP/14 „Glossar der in den UPOV</w:t>
      </w:r>
      <w:r w:rsidR="006B3406">
        <w:rPr>
          <w:noProof/>
          <w:lang w:val="de-DE"/>
        </w:rPr>
        <w:noBreakHyphen/>
      </w:r>
      <w:r w:rsidRPr="00B05705">
        <w:rPr>
          <w:noProof/>
          <w:lang w:val="de-DE"/>
        </w:rPr>
        <w:t>Dokumenten verwendeten Begriffe</w:t>
      </w:r>
      <w:r>
        <w:rPr>
          <w:noProof/>
          <w:lang w:val="de-DE"/>
        </w:rPr>
        <w:t>“</w:t>
      </w:r>
      <w:r w:rsidRPr="00B05705">
        <w:rPr>
          <w:noProof/>
          <w:lang w:val="de-DE"/>
        </w:rPr>
        <w:t xml:space="preserve"> (Dokument TGP/14/3)</w:t>
      </w:r>
      <w:r>
        <w:rPr>
          <w:noProof/>
          <w:spacing w:val="-2"/>
          <w:lang w:val="de-DE"/>
        </w:rPr>
        <w:t xml:space="preserve"> </w:t>
      </w:r>
      <w:r w:rsidRPr="00B05705">
        <w:rPr>
          <w:noProof/>
          <w:lang w:val="de-DE"/>
        </w:rPr>
        <w:t>auf der Grundlage von Dokument TGP/14/4 Draft 1</w:t>
      </w:r>
      <w:r>
        <w:rPr>
          <w:noProof/>
          <w:lang w:val="de-DE"/>
        </w:rPr>
        <w:t xml:space="preserve"> </w:t>
      </w:r>
      <w:r w:rsidRPr="00B05705">
        <w:rPr>
          <w:noProof/>
          <w:lang w:val="de-DE"/>
        </w:rPr>
        <w:t>zur Kenntnis zu nehmen, die dem</w:t>
      </w:r>
      <w:r w:rsidRPr="00B05705">
        <w:rPr>
          <w:noProof/>
          <w:spacing w:val="-2"/>
          <w:lang w:val="de-DE"/>
        </w:rPr>
        <w:t xml:space="preserve"> Rat auf seiner dreiundfünfzigsten ordentlichen Tagung vorbehaltlich der Billigung durch den CAJ auf seiner sechsundsiebzigsten Tagung</w:t>
      </w:r>
      <w:r>
        <w:rPr>
          <w:noProof/>
          <w:spacing w:val="-2"/>
          <w:lang w:val="de-DE"/>
        </w:rPr>
        <w:t xml:space="preserve"> </w:t>
      </w:r>
      <w:r w:rsidRPr="00B05705">
        <w:rPr>
          <w:noProof/>
          <w:spacing w:val="-2"/>
          <w:lang w:val="de-DE"/>
        </w:rPr>
        <w:t>zur Annahme vorgelegt werden soll</w:t>
      </w:r>
      <w:r w:rsidRPr="00B05705">
        <w:rPr>
          <w:noProof/>
          <w:lang w:val="de-DE"/>
        </w:rPr>
        <w:t>.</w:t>
      </w: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pStyle w:val="Heading2"/>
        <w:rPr>
          <w:noProof/>
          <w:lang w:val="de-DE"/>
        </w:rPr>
      </w:pPr>
      <w:bookmarkStart w:id="31" w:name="_Toc15566521"/>
      <w:bookmarkStart w:id="32" w:name="_Toc22740441"/>
      <w:r w:rsidRPr="00B05705">
        <w:rPr>
          <w:noProof/>
          <w:lang w:val="de-DE"/>
        </w:rPr>
        <w:t>Dokument TGP/15: „Anleitung zur Verwendung biochemischer und molekularer Marker bei der Prüfung der Unterscheidbarkeit, Homogenität und Beständigkeit (DUS)</w:t>
      </w:r>
      <w:r>
        <w:rPr>
          <w:noProof/>
          <w:lang w:val="de-DE"/>
        </w:rPr>
        <w:t>“</w:t>
      </w:r>
      <w:r w:rsidRPr="00B05705">
        <w:rPr>
          <w:noProof/>
          <w:lang w:val="de-DE"/>
        </w:rPr>
        <w:t xml:space="preserve"> (Überarbeitung) (Dokument TGP/15/2 Draft 2)</w:t>
      </w:r>
      <w:bookmarkEnd w:id="31"/>
      <w:bookmarkEnd w:id="32"/>
      <w:r w:rsidRPr="00B05705">
        <w:rPr>
          <w:noProof/>
          <w:lang w:val="de-DE"/>
        </w:rPr>
        <w:t xml:space="preserve"> </w:t>
      </w:r>
    </w:p>
    <w:p w:rsidR="00EA44BD" w:rsidRPr="00B05705" w:rsidRDefault="00EA44BD" w:rsidP="00EA44BD">
      <w:pPr>
        <w:ind w:left="567" w:hanging="567"/>
        <w:rPr>
          <w:rFonts w:cs="Arial"/>
          <w:noProof/>
          <w:lang w:val="de-DE"/>
        </w:rPr>
      </w:pPr>
    </w:p>
    <w:p w:rsidR="00EA44BD" w:rsidRPr="00B05705" w:rsidRDefault="00EA44BD" w:rsidP="00EA44BD">
      <w:pPr>
        <w:rPr>
          <w:noProof/>
          <w:lang w:val="de-DE"/>
        </w:rPr>
      </w:pPr>
      <w:r w:rsidRPr="00B05705">
        <w:rPr>
          <w:rFonts w:cs="Arial"/>
          <w:noProof/>
          <w:lang w:val="de-DE"/>
        </w:rPr>
        <w:fldChar w:fldCharType="begin"/>
      </w:r>
      <w:r w:rsidRPr="00B05705">
        <w:rPr>
          <w:rFonts w:cs="Arial"/>
          <w:noProof/>
          <w:lang w:val="de-DE"/>
        </w:rPr>
        <w:instrText xml:space="preserve"> AUTONUM  </w:instrText>
      </w:r>
      <w:r w:rsidRPr="00B05705">
        <w:rPr>
          <w:rFonts w:cs="Arial"/>
          <w:noProof/>
          <w:lang w:val="de-DE"/>
        </w:rPr>
        <w:fldChar w:fldCharType="end"/>
      </w:r>
      <w:r w:rsidRPr="00B05705">
        <w:rPr>
          <w:rFonts w:cs="Arial"/>
          <w:noProof/>
          <w:lang w:val="de-DE"/>
        </w:rPr>
        <w:tab/>
      </w:r>
      <w:r w:rsidRPr="00B05705">
        <w:rPr>
          <w:noProof/>
          <w:lang w:val="de-DE"/>
        </w:rPr>
        <w:t>Der TC vereinbarte auf seiner vierundfünfzigsten Tagung, daß der folgende Wortlaut aus Dokument UPOV/INF/18/1 „Mögliche Verwendung molekularer Marker bei der Prüfung der Unterscheidbarkeit, Homogenität und Beständigkeit (DUS)</w:t>
      </w:r>
      <w:r>
        <w:rPr>
          <w:noProof/>
          <w:lang w:val="de-DE"/>
        </w:rPr>
        <w:t>“</w:t>
      </w:r>
      <w:r w:rsidRPr="00B05705">
        <w:rPr>
          <w:noProof/>
          <w:lang w:val="de-DE"/>
        </w:rPr>
        <w:t xml:space="preserve"> in Dokument TGP/15 „Anleitung zur Verwendung biochemischer und molekularer Marker bei der Prüfung der Unterscheidbarkeit, Homogenität und Beständigkeit (DUS)</w:t>
      </w:r>
      <w:r>
        <w:rPr>
          <w:noProof/>
          <w:lang w:val="de-DE"/>
        </w:rPr>
        <w:t>“</w:t>
      </w:r>
      <w:r w:rsidRPr="00B05705">
        <w:rPr>
          <w:noProof/>
          <w:lang w:val="de-DE"/>
        </w:rPr>
        <w:t xml:space="preserve"> aufgenommen werden sollte, um klarzustellen, daß es der Verantwortung der Behörde obliegt, über die Zuverlässigkeit der Verbindung zwischen dem Gen und der Ausprägung des Merkmals zu entscheiden</w:t>
      </w:r>
      <w:r w:rsidRPr="00B05705">
        <w:rPr>
          <w:rStyle w:val="FootnoteReference"/>
          <w:noProof/>
          <w:lang w:val="de-DE"/>
        </w:rPr>
        <w:t xml:space="preserve"> </w:t>
      </w:r>
      <w:r w:rsidRPr="00B05705">
        <w:rPr>
          <w:noProof/>
          <w:lang w:val="de-DE"/>
        </w:rPr>
        <w:t xml:space="preserve">(vergleiche Dokument </w:t>
      </w:r>
      <w:hyperlink r:id="rId14" w:history="1">
        <w:r w:rsidR="00DC4ECD">
          <w:rPr>
            <w:noProof/>
            <w:lang w:val="de-DE"/>
          </w:rPr>
          <w:t xml:space="preserve">TC/54/31 </w:t>
        </w:r>
      </w:hyperlink>
      <w:r w:rsidRPr="00B05705">
        <w:rPr>
          <w:noProof/>
          <w:lang w:val="de-DE"/>
        </w:rPr>
        <w:t>„Bericht</w:t>
      </w:r>
      <w:r>
        <w:rPr>
          <w:noProof/>
          <w:lang w:val="de-DE"/>
        </w:rPr>
        <w:t>“</w:t>
      </w:r>
      <w:r w:rsidRPr="00B05705">
        <w:rPr>
          <w:noProof/>
          <w:lang w:val="de-DE"/>
        </w:rPr>
        <w:t>, Absätze 272 und 273):</w:t>
      </w:r>
    </w:p>
    <w:p w:rsidR="00EA44BD" w:rsidRPr="00B05705" w:rsidRDefault="00EA44BD" w:rsidP="00EA44BD">
      <w:pPr>
        <w:rPr>
          <w:rFonts w:cs="Arial"/>
          <w:noProof/>
          <w:lang w:val="de-DE"/>
        </w:rPr>
      </w:pPr>
    </w:p>
    <w:p w:rsidR="00EA44BD" w:rsidRPr="00B05705" w:rsidRDefault="00EA44BD" w:rsidP="00EA44BD">
      <w:pPr>
        <w:autoSpaceDE w:val="0"/>
        <w:autoSpaceDN w:val="0"/>
        <w:adjustRightInd w:val="0"/>
        <w:ind w:left="567" w:right="567"/>
        <w:rPr>
          <w:noProof/>
          <w:sz w:val="18"/>
          <w:lang w:val="de-DE" w:eastAsia="ja-JP"/>
        </w:rPr>
      </w:pPr>
      <w:r w:rsidRPr="00B05705">
        <w:rPr>
          <w:noProof/>
          <w:sz w:val="18"/>
          <w:lang w:val="de-DE" w:eastAsia="ja-JP"/>
        </w:rPr>
        <w:t>„3.1.4 Bei der Beurteilung des in Anlage 1 dieses Dokuments dargelegten Modells und Beispiels betonte der TC, daß es wichtig sei, daß die Annahmen erfüllt werden. In dieser Hinsicht merkte er an, daß es Sache der entsprechenden Behörde sein werde zu prüfen, ob diese Annahmen erfüllt worden seien (vergleiche Dokument TC/45/16, „Bericht</w:t>
      </w:r>
      <w:r>
        <w:rPr>
          <w:noProof/>
          <w:sz w:val="18"/>
          <w:lang w:val="de-DE" w:eastAsia="ja-JP"/>
        </w:rPr>
        <w:t>“</w:t>
      </w:r>
      <w:r w:rsidRPr="00B05705">
        <w:rPr>
          <w:noProof/>
          <w:sz w:val="18"/>
          <w:lang w:val="de-DE" w:eastAsia="ja-JP"/>
        </w:rPr>
        <w:t>, Absatz 152)</w:t>
      </w:r>
      <w:r>
        <w:rPr>
          <w:noProof/>
          <w:sz w:val="18"/>
          <w:lang w:val="de-DE" w:eastAsia="ja-JP"/>
        </w:rPr>
        <w:t>“</w:t>
      </w:r>
      <w:r w:rsidRPr="00B05705">
        <w:rPr>
          <w:noProof/>
          <w:sz w:val="18"/>
          <w:lang w:val="de-DE" w:eastAsia="ja-JP"/>
        </w:rPr>
        <w:t xml:space="preserve"> </w:t>
      </w:r>
    </w:p>
    <w:p w:rsidR="00EA44BD" w:rsidRPr="00B05705" w:rsidRDefault="00EA44BD" w:rsidP="00EA44BD">
      <w:pPr>
        <w:pStyle w:val="EndnoteText"/>
        <w:rPr>
          <w:noProof/>
          <w:lang w:val="de-DE"/>
        </w:rPr>
      </w:pPr>
    </w:p>
    <w:p w:rsidR="00EA44BD" w:rsidRPr="00B05705" w:rsidRDefault="00EA44BD" w:rsidP="00EE320F">
      <w:pPr>
        <w:keepNext/>
        <w:keepLines/>
        <w:rPr>
          <w:noProof/>
          <w:lang w:val="de-DE"/>
        </w:rPr>
      </w:pPr>
      <w:r w:rsidRPr="00B05705">
        <w:rPr>
          <w:rFonts w:cs="Arial"/>
          <w:noProof/>
          <w:lang w:val="de-DE"/>
        </w:rPr>
        <w:lastRenderedPageBreak/>
        <w:fldChar w:fldCharType="begin"/>
      </w:r>
      <w:r w:rsidRPr="00B05705">
        <w:rPr>
          <w:rFonts w:cs="Arial"/>
          <w:noProof/>
          <w:lang w:val="de-DE"/>
        </w:rPr>
        <w:instrText xml:space="preserve"> AUTONUM  </w:instrText>
      </w:r>
      <w:r w:rsidRPr="00B05705">
        <w:rPr>
          <w:rFonts w:cs="Arial"/>
          <w:noProof/>
          <w:lang w:val="de-DE"/>
        </w:rPr>
        <w:fldChar w:fldCharType="end"/>
      </w:r>
      <w:r w:rsidRPr="00B05705">
        <w:rPr>
          <w:rFonts w:cs="Arial"/>
          <w:noProof/>
          <w:lang w:val="de-DE"/>
        </w:rPr>
        <w:tab/>
        <w:t>Der TC prüfte auf seiner vierundfünfzigsten Tagung den Vorschlag der BMT und vereinbarte, in Dokument TGP/15 eine Erklärung aufzunehmen, daß es der Verantwortung der jeweiligen TWP und des TC obliegen würde, zu beurteilen, ob die Zuverlässigkeit der Verbindung zwischen dem Gen und der Ausprägung des Merkmals erfüllt ist, um ein Verfahren in die Prüfungsrichtlinien aufzunehmen.</w:t>
      </w:r>
    </w:p>
    <w:p w:rsidR="00EA44BD" w:rsidRPr="00B05705" w:rsidRDefault="00EA44BD" w:rsidP="00EA44BD">
      <w:pPr>
        <w:rPr>
          <w:noProof/>
          <w:lang w:val="de-DE"/>
        </w:rPr>
      </w:pPr>
    </w:p>
    <w:p w:rsidR="00EA44BD" w:rsidRPr="00B05705" w:rsidRDefault="00EA44BD" w:rsidP="00EA44BD">
      <w:pPr>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vereinbarte auf seiner vierundfünfzigsten Tagung ferner die Aufnahme eines neuen Modells „Genetische Selektion von ähnlichen Sorten für die erste Wachstumsperiode: Beispiel Gartenbohne</w:t>
      </w:r>
      <w:r>
        <w:rPr>
          <w:noProof/>
          <w:lang w:val="de-DE"/>
        </w:rPr>
        <w:t>“</w:t>
      </w:r>
      <w:r w:rsidRPr="00B05705">
        <w:rPr>
          <w:noProof/>
          <w:lang w:val="de-DE"/>
        </w:rPr>
        <w:t xml:space="preserve"> in Dokument TGP/15 zur Verwendung biochemischer und molekularer Marker bei der Prüfung der Unterscheidbarkeit, Homogenität und Beständigkeit (DUS) auf der Grundlage des vom TC-EDC überarbeiteten Dokuments TGP/15/2 Draft 1, wie in Anlage III des Dokuments </w:t>
      </w:r>
      <w:r w:rsidR="00DC4ECD">
        <w:rPr>
          <w:noProof/>
          <w:lang w:val="de-DE"/>
        </w:rPr>
        <w:t xml:space="preserve">TC/54/31 </w:t>
      </w:r>
      <w:r w:rsidRPr="00B05705">
        <w:rPr>
          <w:noProof/>
          <w:lang w:val="de-DE"/>
        </w:rPr>
        <w:t>„Bericht</w:t>
      </w:r>
      <w:r>
        <w:rPr>
          <w:noProof/>
          <w:lang w:val="de-DE"/>
        </w:rPr>
        <w:t>“</w:t>
      </w:r>
      <w:r w:rsidRPr="00B05705">
        <w:rPr>
          <w:noProof/>
          <w:lang w:val="de-DE"/>
        </w:rPr>
        <w:t xml:space="preserve"> dargelegt</w:t>
      </w:r>
      <w:r>
        <w:rPr>
          <w:noProof/>
          <w:lang w:val="de-DE"/>
        </w:rPr>
        <w:t xml:space="preserve"> </w:t>
      </w:r>
      <w:r w:rsidRPr="00B05705">
        <w:rPr>
          <w:noProof/>
          <w:lang w:val="de-DE"/>
        </w:rPr>
        <w:t xml:space="preserve">(vergleiche Dokument </w:t>
      </w:r>
      <w:r w:rsidR="00DC4ECD">
        <w:rPr>
          <w:noProof/>
          <w:lang w:val="de-DE"/>
        </w:rPr>
        <w:t xml:space="preserve">TC/54/31 </w:t>
      </w:r>
      <w:r w:rsidRPr="00B05705">
        <w:rPr>
          <w:noProof/>
          <w:lang w:val="de-DE"/>
        </w:rPr>
        <w:t>„Bericht</w:t>
      </w:r>
      <w:r>
        <w:rPr>
          <w:noProof/>
          <w:lang w:val="de-DE"/>
        </w:rPr>
        <w:t>“</w:t>
      </w:r>
      <w:r w:rsidRPr="00B05705">
        <w:rPr>
          <w:noProof/>
          <w:lang w:val="de-DE"/>
        </w:rPr>
        <w:t>, Absätze 290 und 291).</w:t>
      </w:r>
    </w:p>
    <w:p w:rsidR="00EA44BD" w:rsidRPr="00B05705" w:rsidRDefault="00EA44BD" w:rsidP="00EA44BD">
      <w:pPr>
        <w:rPr>
          <w:noProof/>
          <w:lang w:val="de-DE"/>
        </w:rPr>
      </w:pPr>
    </w:p>
    <w:p w:rsidR="00EA44BD" w:rsidRPr="00B05705" w:rsidRDefault="00EA44BD" w:rsidP="00EA44BD">
      <w:pPr>
        <w:rPr>
          <w:noProof/>
          <w:spacing w:val="-2"/>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In Anbetracht dieser Tatsache vereinbarte der TC, daß eine Überarbeitung von Dokument TGP/15/1 (Dokument TGP/15/2 Draft 2) dem Rat auf seiner dreiundfünfzigsten ordentlichen Tagung vorbehaltlich der Billigung durch den CAJ auf seiner sechsundsiebzigsten Tagung</w:t>
      </w:r>
      <w:r w:rsidRPr="00B05705">
        <w:rPr>
          <w:noProof/>
          <w:lang w:val="de-DE"/>
        </w:rPr>
        <w:t xml:space="preserve"> </w:t>
      </w:r>
      <w:r w:rsidRPr="00B05705">
        <w:rPr>
          <w:noProof/>
          <w:spacing w:val="-2"/>
          <w:lang w:val="de-DE"/>
        </w:rPr>
        <w:t xml:space="preserve">zur Annahme vorgelegt werden sollte. </w:t>
      </w:r>
    </w:p>
    <w:p w:rsidR="00EA44BD" w:rsidRPr="00B05705" w:rsidRDefault="00EA44BD" w:rsidP="00EA44BD">
      <w:pPr>
        <w:rPr>
          <w:noProof/>
          <w:spacing w:val="-2"/>
          <w:lang w:val="de-DE"/>
        </w:rPr>
      </w:pPr>
    </w:p>
    <w:p w:rsidR="00EA44BD" w:rsidRPr="00B05705" w:rsidRDefault="00EA44BD" w:rsidP="00EA44BD">
      <w:pPr>
        <w:rPr>
          <w:bCs/>
          <w:noProof/>
          <w:snapToGrid w:val="0"/>
          <w:szCs w:val="24"/>
          <w:lang w:val="de-DE"/>
        </w:rPr>
      </w:pPr>
      <w:r w:rsidRPr="00B05705">
        <w:rPr>
          <w:noProof/>
          <w:spacing w:val="-2"/>
          <w:lang w:val="de-DE"/>
        </w:rPr>
        <w:fldChar w:fldCharType="begin"/>
      </w:r>
      <w:r w:rsidRPr="00B05705">
        <w:rPr>
          <w:noProof/>
          <w:spacing w:val="-2"/>
          <w:lang w:val="de-DE"/>
        </w:rPr>
        <w:instrText xml:space="preserve"> AUTONUM  </w:instrText>
      </w:r>
      <w:r w:rsidRPr="00B05705">
        <w:rPr>
          <w:noProof/>
          <w:spacing w:val="-2"/>
          <w:lang w:val="de-DE"/>
        </w:rPr>
        <w:fldChar w:fldCharType="end"/>
      </w:r>
      <w:r w:rsidRPr="00B05705">
        <w:rPr>
          <w:noProof/>
          <w:spacing w:val="-2"/>
          <w:lang w:val="de-DE"/>
        </w:rPr>
        <w:tab/>
        <w:t xml:space="preserve">Die Übersetzungen des englischen Originalwortlauts ins Deutsche, Französische und Spanische wurden von den entsprechenden Mitgliedern des </w:t>
      </w:r>
      <w:r>
        <w:rPr>
          <w:noProof/>
          <w:spacing w:val="-2"/>
          <w:lang w:val="de-DE"/>
        </w:rPr>
        <w:t>Redaktionsausschusses</w:t>
      </w:r>
      <w:r w:rsidRPr="00B05705">
        <w:rPr>
          <w:noProof/>
          <w:spacing w:val="-2"/>
          <w:lang w:val="de-DE"/>
        </w:rPr>
        <w:t xml:space="preserve"> vor der Vorlage des Entwurfs von Dokument TGP/15/2 an den Rat überprüft. Dokument TGP/15/2 Draft 2 beinhaltet die vom TC vereinbarten Änderungen, wie in Anlage V dieses Dokuments dargelegt, sowie die von den entsprechenden Mitgliedern des </w:t>
      </w:r>
      <w:r>
        <w:rPr>
          <w:noProof/>
          <w:spacing w:val="-2"/>
          <w:lang w:val="de-DE"/>
        </w:rPr>
        <w:t>Redaktionsausschusses</w:t>
      </w:r>
      <w:r w:rsidRPr="00B05705">
        <w:rPr>
          <w:noProof/>
          <w:spacing w:val="-2"/>
          <w:lang w:val="de-DE"/>
        </w:rPr>
        <w:t xml:space="preserve"> vorgenommenen sprachlichen Änderungen.</w:t>
      </w:r>
    </w:p>
    <w:p w:rsidR="00EA44BD" w:rsidRPr="00B05705" w:rsidRDefault="00EA44BD" w:rsidP="00EA44BD">
      <w:pPr>
        <w:rPr>
          <w:noProof/>
          <w:lang w:val="de-DE"/>
        </w:rPr>
      </w:pPr>
    </w:p>
    <w:p w:rsidR="00EA44BD" w:rsidRPr="00B05705" w:rsidRDefault="00EA44BD" w:rsidP="00EA44BD">
      <w:pPr>
        <w:pStyle w:val="DecisionParagraphs"/>
        <w:keepNext/>
        <w:keepLines/>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B05705">
        <w:rPr>
          <w:noProof/>
          <w:lang w:val="de-DE"/>
        </w:rPr>
        <w:tab/>
        <w:t>Der TC wird ersucht, die Überarbeitung von Dokument TGP/15 „Anleitung zur Verwendung biochemischer und molekularer Marker bei der Prüfung der Unterscheidbarkeit, Homogenität und Beständigkeit (DUS)</w:t>
      </w:r>
      <w:r>
        <w:rPr>
          <w:noProof/>
          <w:lang w:val="de-DE"/>
        </w:rPr>
        <w:t>“</w:t>
      </w:r>
      <w:r w:rsidRPr="00B05705">
        <w:rPr>
          <w:noProof/>
          <w:lang w:val="de-DE"/>
        </w:rPr>
        <w:t xml:space="preserve"> (Dokument TGP/15/1)</w:t>
      </w:r>
      <w:r w:rsidRPr="00B05705">
        <w:rPr>
          <w:noProof/>
          <w:spacing w:val="-2"/>
          <w:lang w:val="de-DE"/>
        </w:rPr>
        <w:t xml:space="preserve"> </w:t>
      </w:r>
      <w:r w:rsidRPr="00B05705">
        <w:rPr>
          <w:noProof/>
          <w:lang w:val="de-DE"/>
        </w:rPr>
        <w:t>auf der Grundlage von Dokument TGP/15/2 Draft 2 zur Kenntnis zu nehmen, die dem</w:t>
      </w:r>
      <w:r w:rsidRPr="00B05705">
        <w:rPr>
          <w:noProof/>
          <w:spacing w:val="-2"/>
          <w:lang w:val="de-DE"/>
        </w:rPr>
        <w:t xml:space="preserve"> Rat auf seiner dreiundfünfzigsten ordentlichen Tagung</w:t>
      </w:r>
      <w:r>
        <w:rPr>
          <w:noProof/>
          <w:spacing w:val="-2"/>
          <w:lang w:val="de-DE"/>
        </w:rPr>
        <w:t xml:space="preserve"> </w:t>
      </w:r>
      <w:r w:rsidRPr="00B05705">
        <w:rPr>
          <w:noProof/>
          <w:spacing w:val="-2"/>
          <w:lang w:val="de-DE"/>
        </w:rPr>
        <w:t>vorbehaltlich der Billigung durch den CAJ auf seiner sechsundsiebzigsten Tagung zur Annahme vorgelegt werden soll</w:t>
      </w:r>
      <w:r w:rsidRPr="00B05705">
        <w:rPr>
          <w:noProof/>
          <w:lang w:val="de-DE"/>
        </w:rPr>
        <w:t xml:space="preserve">. </w:t>
      </w:r>
    </w:p>
    <w:p w:rsidR="00EA44BD" w:rsidRPr="00B05705" w:rsidRDefault="00EA44BD" w:rsidP="00EA44BD">
      <w:pPr>
        <w:tabs>
          <w:tab w:val="left" w:pos="5387"/>
        </w:tabs>
        <w:rPr>
          <w:noProof/>
          <w:lang w:val="de-DE"/>
        </w:rPr>
      </w:pPr>
    </w:p>
    <w:p w:rsidR="00EA44BD" w:rsidRPr="00B05705" w:rsidRDefault="00EA44BD" w:rsidP="00EA44BD">
      <w:pPr>
        <w:tabs>
          <w:tab w:val="left" w:pos="5387"/>
        </w:tabs>
        <w:rPr>
          <w:noProof/>
          <w:lang w:val="de-DE"/>
        </w:rPr>
      </w:pPr>
    </w:p>
    <w:p w:rsidR="00EA44BD" w:rsidRPr="00B05705" w:rsidRDefault="00EA44BD" w:rsidP="00EA44BD">
      <w:pPr>
        <w:pStyle w:val="Heading2"/>
        <w:rPr>
          <w:noProof/>
          <w:snapToGrid w:val="0"/>
          <w:lang w:val="de-DE"/>
        </w:rPr>
      </w:pPr>
      <w:bookmarkStart w:id="33" w:name="_Toc22740442"/>
      <w:r w:rsidRPr="00B05705">
        <w:rPr>
          <w:noProof/>
          <w:snapToGrid w:val="0"/>
          <w:lang w:val="de-DE"/>
        </w:rPr>
        <w:t>Dokument TGP/0: Liste der TGP-Dokumente und Datum der jüngsten Ausgabe (Überarbeitung) (Dokument TGP/0/11 Draft 1)</w:t>
      </w:r>
      <w:bookmarkEnd w:id="33"/>
      <w:r w:rsidRPr="00B05705">
        <w:rPr>
          <w:noProof/>
          <w:snapToGrid w:val="0"/>
          <w:lang w:val="de-DE"/>
        </w:rPr>
        <w:t xml:space="preserve"> </w:t>
      </w:r>
    </w:p>
    <w:p w:rsidR="00EA44BD" w:rsidRPr="00B05705" w:rsidRDefault="00EA44BD" w:rsidP="00EA44BD">
      <w:pPr>
        <w:keepNext/>
        <w:rPr>
          <w:noProof/>
          <w:lang w:val="de-DE"/>
        </w:rPr>
      </w:pPr>
    </w:p>
    <w:p w:rsidR="00EA44BD" w:rsidRPr="00B05705" w:rsidRDefault="00EA44BD" w:rsidP="00EA44BD">
      <w:pPr>
        <w:keepNext/>
        <w:rPr>
          <w:rFonts w:cs="Arial"/>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wird ersucht, zur Kenntnis zu nehmen, daß der Rat in Verbindung mit der Annahme der überarbeiteten TGP-Dokumente auf der dreiundfünfzigsten ordentlichen Tagung des Rates ersucht werden wird, eine Überarbeitung von Dokument TGP/0 „Liste der TGP-Dokumente und Datum der jüngsten Ausgabe</w:t>
      </w:r>
      <w:r>
        <w:rPr>
          <w:noProof/>
          <w:lang w:val="de-DE"/>
        </w:rPr>
        <w:t>“</w:t>
      </w:r>
      <w:r w:rsidRPr="00B05705">
        <w:rPr>
          <w:noProof/>
          <w:lang w:val="de-DE"/>
        </w:rPr>
        <w:t xml:space="preserve"> (Dokument TGP/0/10) auf der Grundlage von Dokument TGP/0/11 Draft 1 </w:t>
      </w:r>
      <w:r>
        <w:rPr>
          <w:noProof/>
          <w:lang w:val="de-DE"/>
        </w:rPr>
        <w:t>a</w:t>
      </w:r>
      <w:r w:rsidRPr="00B05705">
        <w:rPr>
          <w:noProof/>
          <w:lang w:val="de-DE"/>
        </w:rPr>
        <w:t>nzunehmen</w:t>
      </w:r>
      <w:r w:rsidRPr="00B05705">
        <w:rPr>
          <w:rFonts w:cs="Arial"/>
          <w:noProof/>
          <w:lang w:val="de-DE"/>
        </w:rPr>
        <w:t>.</w:t>
      </w:r>
    </w:p>
    <w:p w:rsidR="00EA44BD" w:rsidRPr="00B05705" w:rsidRDefault="00EA44BD" w:rsidP="00EA44BD">
      <w:pPr>
        <w:rPr>
          <w:noProof/>
          <w:lang w:val="de-DE"/>
        </w:rPr>
      </w:pPr>
    </w:p>
    <w:p w:rsidR="00EA44BD" w:rsidRPr="00B05705" w:rsidRDefault="00EA44BD" w:rsidP="00EA44BD">
      <w:pPr>
        <w:tabs>
          <w:tab w:val="left" w:pos="5387"/>
          <w:tab w:val="left" w:pos="5954"/>
        </w:tabs>
        <w:ind w:left="4820"/>
        <w:rPr>
          <w:noProof/>
          <w:lang w:val="de-DE"/>
        </w:rPr>
      </w:pPr>
      <w:r w:rsidRPr="00B05705">
        <w:rPr>
          <w:i/>
          <w:noProof/>
          <w:lang w:val="de-DE"/>
        </w:rPr>
        <w:fldChar w:fldCharType="begin"/>
      </w:r>
      <w:r w:rsidRPr="00B05705">
        <w:rPr>
          <w:i/>
          <w:noProof/>
          <w:lang w:val="de-DE"/>
        </w:rPr>
        <w:instrText xml:space="preserve"> AUTONUM  </w:instrText>
      </w:r>
      <w:r w:rsidRPr="00B05705">
        <w:rPr>
          <w:i/>
          <w:noProof/>
          <w:lang w:val="de-DE"/>
        </w:rPr>
        <w:fldChar w:fldCharType="end"/>
      </w:r>
      <w:r w:rsidRPr="00B05705">
        <w:rPr>
          <w:i/>
          <w:noProof/>
          <w:lang w:val="de-DE"/>
        </w:rPr>
        <w:tab/>
        <w:t>Der TC wird ersucht, zur Kenntnis zu nehmen, daß der Rat in Verbindung mit der Annahme der überarbeiteten TGP-Dokumente auf der dreiundfünfzigsten ordentlichen Tagung des Rates ersucht werden wird, eine Überarbeitung von Dokument TGP/0 „Liste der TGP-Dokumente und Datum der jüngsten Ausgabe</w:t>
      </w:r>
      <w:r>
        <w:rPr>
          <w:i/>
          <w:noProof/>
          <w:lang w:val="de-DE"/>
        </w:rPr>
        <w:t>“</w:t>
      </w:r>
      <w:r w:rsidRPr="00B05705">
        <w:rPr>
          <w:i/>
          <w:noProof/>
          <w:lang w:val="de-DE"/>
        </w:rPr>
        <w:t xml:space="preserve"> (Dokument TGP/0/10) auf der Grundlage von Dokument TGP/0/11 Draft 1 anzunehmen.</w:t>
      </w:r>
      <w:r w:rsidRPr="00B05705">
        <w:rPr>
          <w:noProof/>
          <w:lang w:val="de-DE"/>
        </w:rPr>
        <w:t xml:space="preserve"> </w:t>
      </w:r>
    </w:p>
    <w:p w:rsidR="00EA44BD" w:rsidRPr="00B05705" w:rsidRDefault="00EA44BD" w:rsidP="00EA44BD">
      <w:pPr>
        <w:rPr>
          <w:noProof/>
          <w:lang w:val="de-DE"/>
        </w:rPr>
      </w:pPr>
    </w:p>
    <w:p w:rsidR="00EA44BD" w:rsidRPr="00B05705" w:rsidRDefault="00EA44BD" w:rsidP="00EA44BD">
      <w:pPr>
        <w:rPr>
          <w:noProof/>
          <w:lang w:val="de-DE"/>
        </w:rPr>
      </w:pPr>
    </w:p>
    <w:p w:rsidR="00EA44BD" w:rsidRPr="00440F19" w:rsidRDefault="00EA44BD" w:rsidP="00EE320F">
      <w:pPr>
        <w:keepNext/>
        <w:outlineLvl w:val="0"/>
        <w:rPr>
          <w:caps/>
          <w:noProof/>
          <w:lang w:val="de-DE"/>
        </w:rPr>
      </w:pPr>
      <w:bookmarkStart w:id="34" w:name="_Toc22740443"/>
      <w:r w:rsidRPr="0059364E">
        <w:rPr>
          <w:caps/>
          <w:noProof/>
          <w:lang w:val="de-DE"/>
        </w:rPr>
        <w:lastRenderedPageBreak/>
        <w:t>E</w:t>
      </w:r>
      <w:r w:rsidRPr="00440F19">
        <w:rPr>
          <w:caps/>
          <w:noProof/>
          <w:lang w:val="de-DE"/>
        </w:rPr>
        <w:t>twaige künftige Überarbeitungen von TGP-Dokumenten</w:t>
      </w:r>
      <w:bookmarkEnd w:id="34"/>
    </w:p>
    <w:p w:rsidR="00EA44BD" w:rsidRPr="00440F19" w:rsidRDefault="00EA44BD" w:rsidP="00EE320F">
      <w:pPr>
        <w:keepNext/>
        <w:rPr>
          <w:noProof/>
          <w:lang w:val="de-DE"/>
        </w:rPr>
      </w:pPr>
    </w:p>
    <w:p w:rsidR="00EA44BD" w:rsidRPr="00440F19" w:rsidRDefault="00EA44BD" w:rsidP="00EE320F">
      <w:pPr>
        <w:pStyle w:val="Heading2"/>
        <w:rPr>
          <w:noProof/>
          <w:lang w:val="de-DE"/>
        </w:rPr>
      </w:pPr>
      <w:bookmarkStart w:id="35" w:name="_Toc22740444"/>
      <w:r w:rsidRPr="00440F19">
        <w:rPr>
          <w:noProof/>
          <w:lang w:val="de-DE"/>
        </w:rPr>
        <w:t>Angelegenheiten zur Prüfung durch den Technischen Ausschuß</w:t>
      </w:r>
      <w:bookmarkEnd w:id="35"/>
    </w:p>
    <w:p w:rsidR="00EA44BD" w:rsidRPr="00440F19" w:rsidRDefault="00EA44BD" w:rsidP="00EE320F">
      <w:pPr>
        <w:keepNext/>
        <w:rPr>
          <w:noProof/>
          <w:lang w:val="de-DE"/>
        </w:rPr>
      </w:pPr>
    </w:p>
    <w:p w:rsidR="00EA44BD" w:rsidRPr="00440F19" w:rsidRDefault="00EA44BD" w:rsidP="00EE320F">
      <w:pPr>
        <w:pStyle w:val="Heading3"/>
        <w:rPr>
          <w:noProof/>
          <w:lang w:val="de-DE"/>
        </w:rPr>
      </w:pPr>
      <w:bookmarkStart w:id="36" w:name="_Toc512250116"/>
      <w:bookmarkStart w:id="37" w:name="_Toc22740445"/>
      <w:r w:rsidRPr="00440F19">
        <w:rPr>
          <w:noProof/>
          <w:lang w:val="de-DE"/>
        </w:rPr>
        <w:t>TGP/7: Erstellung von Prüfungsrichtlinien</w:t>
      </w:r>
      <w:bookmarkEnd w:id="36"/>
      <w:bookmarkEnd w:id="37"/>
    </w:p>
    <w:p w:rsidR="00EA44BD" w:rsidRPr="00440F19" w:rsidRDefault="00EA44BD" w:rsidP="00EA44BD">
      <w:pPr>
        <w:keepNext/>
        <w:keepLines/>
        <w:rPr>
          <w:noProof/>
          <w:lang w:val="de-DE"/>
        </w:rPr>
      </w:pPr>
    </w:p>
    <w:p w:rsidR="00EA44BD" w:rsidRPr="00440F19" w:rsidRDefault="00EA44BD" w:rsidP="00EA44BD">
      <w:pPr>
        <w:pStyle w:val="Heading4"/>
        <w:rPr>
          <w:rFonts w:eastAsia="MS Mincho"/>
          <w:noProof/>
          <w:lang w:val="de-DE"/>
        </w:rPr>
      </w:pPr>
      <w:bookmarkStart w:id="38" w:name="_Toc22740446"/>
      <w:r w:rsidRPr="00440F19">
        <w:rPr>
          <w:rFonts w:eastAsia="MS Mincho"/>
          <w:noProof/>
          <w:lang w:val="de-DE"/>
        </w:rPr>
        <w:t>Merkmale, die nur für bestimmte Sorten gelten</w:t>
      </w:r>
      <w:bookmarkEnd w:id="38"/>
    </w:p>
    <w:p w:rsidR="00EA44BD" w:rsidRPr="00440F19" w:rsidRDefault="00EA44BD" w:rsidP="00EA44BD">
      <w:pPr>
        <w:keepNext/>
        <w:keepLines/>
        <w:ind w:left="1134" w:firstLine="567"/>
        <w:rPr>
          <w:noProof/>
          <w:lang w:val="de-DE"/>
        </w:rPr>
      </w:pPr>
      <w:r w:rsidRPr="00440F19">
        <w:rPr>
          <w:noProof/>
          <w:lang w:val="de-DE"/>
        </w:rPr>
        <w:t>Vergleiche Dokument TC/55/12</w:t>
      </w:r>
    </w:p>
    <w:p w:rsidR="00EA44BD" w:rsidRPr="00440F19" w:rsidRDefault="00EA44BD" w:rsidP="00EA44BD">
      <w:pPr>
        <w:keepNext/>
        <w:keepLines/>
        <w:ind w:left="1134"/>
        <w:rPr>
          <w:noProof/>
          <w:lang w:val="de-DE"/>
        </w:rPr>
      </w:pPr>
    </w:p>
    <w:p w:rsidR="00EA44BD" w:rsidRPr="00440F19" w:rsidRDefault="00EA44BD" w:rsidP="00EA44BD">
      <w:pPr>
        <w:pStyle w:val="Heading3"/>
        <w:rPr>
          <w:noProof/>
          <w:lang w:val="de-DE"/>
        </w:rPr>
      </w:pPr>
      <w:bookmarkStart w:id="39" w:name="_Toc22740447"/>
      <w:r w:rsidRPr="00440F19">
        <w:rPr>
          <w:noProof/>
          <w:lang w:val="de-DE"/>
        </w:rPr>
        <w:t>TGP/8: Prüfungsanlage und Verfahren für die Prüfung der Unterscheidbarkeit, der Homogenität und der Beständigkeit</w:t>
      </w:r>
      <w:bookmarkEnd w:id="39"/>
    </w:p>
    <w:p w:rsidR="00EA44BD" w:rsidRPr="00440F19" w:rsidRDefault="00EA44BD" w:rsidP="00EA44BD">
      <w:pPr>
        <w:rPr>
          <w:noProof/>
          <w:lang w:val="de-DE"/>
        </w:rPr>
      </w:pPr>
    </w:p>
    <w:p w:rsidR="00EA44BD" w:rsidRPr="00440F19" w:rsidRDefault="00EA44BD" w:rsidP="00EA44BD">
      <w:pPr>
        <w:pStyle w:val="Heading4"/>
        <w:rPr>
          <w:rFonts w:eastAsia="MS Mincho"/>
          <w:noProof/>
          <w:lang w:val="de-DE"/>
        </w:rPr>
      </w:pPr>
      <w:bookmarkStart w:id="40" w:name="_Toc22740448"/>
      <w:r w:rsidRPr="00440F19">
        <w:rPr>
          <w:rFonts w:eastAsia="MS Mincho"/>
          <w:noProof/>
          <w:lang w:val="de-DE"/>
        </w:rPr>
        <w:t>Das kombinierte Homogenitätskriterium über mehrere Jahre (COYU)</w:t>
      </w:r>
      <w:bookmarkEnd w:id="40"/>
    </w:p>
    <w:p w:rsidR="00EA44BD" w:rsidRPr="00440F19" w:rsidRDefault="00EA44BD" w:rsidP="00EA44BD">
      <w:pPr>
        <w:keepNext/>
        <w:rPr>
          <w:noProof/>
          <w:lang w:val="de-DE"/>
        </w:rPr>
      </w:pPr>
    </w:p>
    <w:p w:rsidR="00EA44BD" w:rsidRPr="00440F19" w:rsidRDefault="00EA44BD" w:rsidP="00EA44BD">
      <w:pPr>
        <w:keepNext/>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 xml:space="preserve">Der TC prüfte auf seiner vierundfünfzigsten Tagung das Dokument TC/54/17 „Das kombinierte Homogenitätskriterium über mehrere Jahre (COYU)“ (vergleiche Dokument </w:t>
      </w:r>
      <w:r w:rsidR="00DC4ECD">
        <w:rPr>
          <w:noProof/>
          <w:lang w:val="de-DE"/>
        </w:rPr>
        <w:t xml:space="preserve">TC/54/31 </w:t>
      </w:r>
      <w:r w:rsidRPr="00440F19">
        <w:rPr>
          <w:noProof/>
          <w:lang w:val="de-DE"/>
        </w:rPr>
        <w:t>„Bericht“, Absätze 221 bis 224).</w:t>
      </w:r>
    </w:p>
    <w:p w:rsidR="00EA44BD" w:rsidRPr="00440F19" w:rsidRDefault="00EA44BD" w:rsidP="00EA44BD">
      <w:pPr>
        <w:rPr>
          <w:noProof/>
          <w:lang w:val="de-DE"/>
        </w:rPr>
      </w:pPr>
    </w:p>
    <w:p w:rsidR="00EA44BD" w:rsidRPr="00440F19" w:rsidRDefault="00EA44BD" w:rsidP="00EA44BD">
      <w:pPr>
        <w:rPr>
          <w:bCs/>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Der TC nahm zur Kenntnis, daß die statistische Entwicklung der neuen Berechnungsmethode für COYU abgeschlossen worden war, einschließlich der Festlegung der Wahrscheinlichkeitsniveaus, die erforderlich sind, damit Entscheidungen mit der derzeitigen Methode zur Berechnung des COYU bestmöglich übereinstimmen</w:t>
      </w:r>
      <w:r w:rsidRPr="00440F19">
        <w:rPr>
          <w:bCs/>
          <w:noProof/>
          <w:lang w:val="de-DE"/>
        </w:rPr>
        <w:t>.</w:t>
      </w:r>
      <w:r>
        <w:rPr>
          <w:bCs/>
          <w:noProof/>
          <w:lang w:val="de-DE"/>
        </w:rPr>
        <w:t xml:space="preserve"> </w:t>
      </w:r>
    </w:p>
    <w:p w:rsidR="00EA44BD" w:rsidRPr="00440F19" w:rsidRDefault="00EA44BD" w:rsidP="00EA44BD">
      <w:pPr>
        <w:rPr>
          <w:noProof/>
          <w:lang w:val="de-DE"/>
        </w:rPr>
      </w:pP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000A6B17">
        <w:rPr>
          <w:noProof/>
          <w:lang w:val="de-DE"/>
        </w:rPr>
        <w:tab/>
        <w:t>Die TC</w:t>
      </w:r>
      <w:r w:rsidRPr="00440F19">
        <w:rPr>
          <w:noProof/>
          <w:lang w:val="de-DE"/>
        </w:rPr>
        <w:t xml:space="preserve"> nahm</w:t>
      </w:r>
      <w:r w:rsidRPr="00B05705">
        <w:rPr>
          <w:noProof/>
          <w:lang w:val="de-DE"/>
        </w:rPr>
        <w:t xml:space="preserve"> das Gesuch des Vereinigten Königreichs, daß beteiligte Sachverständige zum Testen der neuen Software mit der verbesserten Methode zur Berechnung des COYU miteinander in Kontakt treten, zur Kenntnis.</w:t>
      </w:r>
    </w:p>
    <w:p w:rsidR="00EA44BD" w:rsidRPr="00B05705" w:rsidRDefault="00EA44BD" w:rsidP="00EA44BD">
      <w:pPr>
        <w:rPr>
          <w:noProof/>
          <w:lang w:val="de-DE"/>
        </w:rPr>
      </w:pPr>
    </w:p>
    <w:p w:rsidR="00EA44BD" w:rsidRPr="00440F19" w:rsidRDefault="00EA44BD" w:rsidP="00EA44BD">
      <w:pPr>
        <w:rPr>
          <w:iCs/>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Der TC nahm das Gesuch der TWC an den Sachverständigen aus dem Vereinigten Königreich zur Kenntnis, einen Ersatzabschnitt für das Dokument TGP/8 über die Methode zur Berechnung des kombinierten Homogenitätskriteriums über mehrere Jahre zu verfassen</w:t>
      </w:r>
      <w:r w:rsidRPr="00440F19">
        <w:rPr>
          <w:iCs/>
          <w:noProof/>
          <w:lang w:val="de-DE"/>
        </w:rPr>
        <w:t>.</w:t>
      </w:r>
    </w:p>
    <w:p w:rsidR="00EA44BD" w:rsidRPr="00440F19" w:rsidRDefault="00EA44BD" w:rsidP="00EA44BD">
      <w:pPr>
        <w:rPr>
          <w:iCs/>
          <w:noProof/>
          <w:lang w:val="de-DE"/>
        </w:rPr>
      </w:pP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 xml:space="preserve">Die TWC wird auf ihrer siebenunddreißigsten Tagung vom 14. bis 16. Oktober 2019 in Hangzhou, China, </w:t>
      </w:r>
      <w:r w:rsidRPr="00440F19">
        <w:rPr>
          <w:iCs/>
          <w:noProof/>
          <w:lang w:val="de-DE"/>
        </w:rPr>
        <w:t>auf der Grundlage</w:t>
      </w:r>
      <w:r w:rsidRPr="00B05705">
        <w:rPr>
          <w:iCs/>
          <w:noProof/>
          <w:lang w:val="de-DE"/>
        </w:rPr>
        <w:t xml:space="preserve"> eines Dokuments</w:t>
      </w:r>
      <w:r>
        <w:rPr>
          <w:iCs/>
          <w:noProof/>
          <w:lang w:val="de-DE"/>
        </w:rPr>
        <w:t xml:space="preserve">, das </w:t>
      </w:r>
      <w:r w:rsidRPr="00B05705">
        <w:rPr>
          <w:iCs/>
          <w:noProof/>
          <w:lang w:val="de-DE"/>
        </w:rPr>
        <w:t>von einem Sachverständigen aus dem Vereinigten Königreich erstellt</w:t>
      </w:r>
      <w:r>
        <w:rPr>
          <w:iCs/>
          <w:noProof/>
          <w:lang w:val="de-DE"/>
        </w:rPr>
        <w:t xml:space="preserve"> wurde, </w:t>
      </w:r>
      <w:r w:rsidRPr="00B05705">
        <w:rPr>
          <w:noProof/>
          <w:lang w:val="de-DE"/>
        </w:rPr>
        <w:t>einen Entwurf eines</w:t>
      </w:r>
      <w:r w:rsidRPr="00B05705">
        <w:rPr>
          <w:iCs/>
          <w:noProof/>
          <w:lang w:val="de-DE"/>
        </w:rPr>
        <w:t xml:space="preserve"> Ersatzabschnitts für </w:t>
      </w:r>
      <w:r>
        <w:rPr>
          <w:iCs/>
          <w:noProof/>
          <w:lang w:val="de-DE"/>
        </w:rPr>
        <w:t xml:space="preserve">das </w:t>
      </w:r>
      <w:r w:rsidRPr="00B05705">
        <w:rPr>
          <w:iCs/>
          <w:noProof/>
          <w:lang w:val="de-DE"/>
        </w:rPr>
        <w:t>Dokument TGP/8 über die Methode zur Berechnung des COYU</w:t>
      </w:r>
      <w:r>
        <w:rPr>
          <w:iCs/>
          <w:noProof/>
          <w:lang w:val="de-DE"/>
        </w:rPr>
        <w:t xml:space="preserve"> prüfen</w:t>
      </w:r>
      <w:r w:rsidRPr="00B05705">
        <w:rPr>
          <w:iCs/>
          <w:noProof/>
          <w:lang w:val="de-DE"/>
        </w:rPr>
        <w:t xml:space="preserve">. </w:t>
      </w:r>
      <w:r>
        <w:rPr>
          <w:iCs/>
          <w:noProof/>
          <w:lang w:val="de-DE"/>
        </w:rPr>
        <w:t>D</w:t>
      </w:r>
      <w:r w:rsidRPr="00B05705">
        <w:rPr>
          <w:iCs/>
          <w:noProof/>
          <w:lang w:val="de-DE"/>
        </w:rPr>
        <w:t>ie Entwicklungen in dieser Angelegenheit auf der si</w:t>
      </w:r>
      <w:r w:rsidR="009D2D98">
        <w:rPr>
          <w:iCs/>
          <w:noProof/>
          <w:lang w:val="de-DE"/>
        </w:rPr>
        <w:t>ebenunddreißigsten Tagung des T</w:t>
      </w:r>
      <w:r w:rsidRPr="00B05705">
        <w:rPr>
          <w:iCs/>
          <w:noProof/>
          <w:lang w:val="de-DE"/>
        </w:rPr>
        <w:t>W</w:t>
      </w:r>
      <w:r w:rsidR="009D2D98">
        <w:rPr>
          <w:iCs/>
          <w:noProof/>
          <w:lang w:val="de-DE"/>
        </w:rPr>
        <w:t>C</w:t>
      </w:r>
      <w:r w:rsidRPr="00B05705">
        <w:rPr>
          <w:iCs/>
          <w:noProof/>
          <w:lang w:val="de-DE"/>
        </w:rPr>
        <w:t xml:space="preserve"> </w:t>
      </w:r>
      <w:r>
        <w:rPr>
          <w:iCs/>
          <w:noProof/>
          <w:lang w:val="de-DE"/>
        </w:rPr>
        <w:t>werden</w:t>
      </w:r>
      <w:r w:rsidRPr="00B05705">
        <w:rPr>
          <w:iCs/>
          <w:noProof/>
          <w:lang w:val="de-DE"/>
        </w:rPr>
        <w:t xml:space="preserve"> dem T</w:t>
      </w:r>
      <w:r w:rsidRPr="000C4CAD">
        <w:rPr>
          <w:iCs/>
          <w:noProof/>
          <w:lang w:val="de-DE"/>
        </w:rPr>
        <w:t xml:space="preserve">C als Ergänzung zu diesem Dokument </w:t>
      </w:r>
      <w:r>
        <w:rPr>
          <w:iCs/>
          <w:noProof/>
          <w:lang w:val="de-DE"/>
        </w:rPr>
        <w:t>vorgelegt</w:t>
      </w:r>
      <w:r w:rsidRPr="000C4CAD">
        <w:rPr>
          <w:iCs/>
          <w:noProof/>
          <w:lang w:val="de-DE"/>
        </w:rPr>
        <w:t>.</w:t>
      </w:r>
    </w:p>
    <w:p w:rsidR="00EA44BD" w:rsidRPr="00B05705" w:rsidRDefault="00EA44BD" w:rsidP="00EA44BD">
      <w:pPr>
        <w:ind w:left="567"/>
        <w:rPr>
          <w:noProof/>
          <w:lang w:val="de-DE"/>
        </w:rPr>
      </w:pPr>
    </w:p>
    <w:p w:rsidR="00EA44BD" w:rsidRPr="00B05705" w:rsidRDefault="00EA44BD" w:rsidP="00EA44BD">
      <w:pPr>
        <w:pStyle w:val="Heading4"/>
        <w:rPr>
          <w:rFonts w:eastAsia="MS Mincho"/>
          <w:noProof/>
          <w:lang w:val="de-DE"/>
        </w:rPr>
      </w:pPr>
      <w:bookmarkStart w:id="41" w:name="_Toc22740449"/>
      <w:r w:rsidRPr="00B05705">
        <w:rPr>
          <w:rFonts w:eastAsia="MS Mincho"/>
          <w:noProof/>
          <w:lang w:val="de-DE"/>
        </w:rPr>
        <w:t>Datenverarbeitung für die Prüfung der Unterscheidbarkeit und die Erstellung von Sortenbeschreibungen</w:t>
      </w:r>
      <w:bookmarkEnd w:id="41"/>
    </w:p>
    <w:p w:rsidR="00EA44BD" w:rsidRPr="00B05705" w:rsidRDefault="00EA44BD" w:rsidP="00EA44BD">
      <w:pPr>
        <w:keepNext/>
        <w:keepLines/>
        <w:ind w:left="1134" w:firstLine="567"/>
        <w:rPr>
          <w:noProof/>
          <w:lang w:val="de-DE"/>
        </w:rPr>
      </w:pPr>
      <w:r w:rsidRPr="00B05705">
        <w:rPr>
          <w:noProof/>
          <w:lang w:val="de-DE"/>
        </w:rPr>
        <w:t>Vergleiche Dokument TC/55/13</w:t>
      </w:r>
    </w:p>
    <w:p w:rsidR="00EA44BD" w:rsidRPr="00B05705" w:rsidRDefault="00EA44BD" w:rsidP="00EA44BD">
      <w:pPr>
        <w:rPr>
          <w:noProof/>
          <w:lang w:val="de-DE"/>
        </w:rPr>
      </w:pPr>
    </w:p>
    <w:p w:rsidR="00EA44BD" w:rsidRPr="00B05705" w:rsidRDefault="00EA44BD" w:rsidP="00EA44BD">
      <w:pPr>
        <w:pStyle w:val="Heading3"/>
        <w:rPr>
          <w:noProof/>
          <w:lang w:val="de-DE"/>
        </w:rPr>
      </w:pPr>
      <w:bookmarkStart w:id="42" w:name="_Toc22740450"/>
      <w:r w:rsidRPr="00B05705">
        <w:rPr>
          <w:noProof/>
          <w:lang w:val="de-DE"/>
        </w:rPr>
        <w:t>TGP/14: Glossar der in den UPOV-Dokumenten verwendeten Begriffe</w:t>
      </w:r>
      <w:bookmarkEnd w:id="42"/>
    </w:p>
    <w:p w:rsidR="00EA44BD" w:rsidRPr="00B05705" w:rsidRDefault="00EA44BD" w:rsidP="00EA44BD">
      <w:pPr>
        <w:rPr>
          <w:noProof/>
          <w:lang w:val="de-DE"/>
        </w:rPr>
      </w:pPr>
    </w:p>
    <w:p w:rsidR="00EA44BD" w:rsidRPr="00B05705" w:rsidRDefault="00EA44BD" w:rsidP="00EA44BD">
      <w:pPr>
        <w:pStyle w:val="Heading4"/>
        <w:rPr>
          <w:rFonts w:eastAsia="MS Mincho"/>
          <w:noProof/>
          <w:lang w:val="de-DE"/>
        </w:rPr>
      </w:pPr>
      <w:bookmarkStart w:id="43" w:name="_Toc22740451"/>
      <w:r w:rsidRPr="00B05705">
        <w:rPr>
          <w:rFonts w:eastAsia="MS Mincho"/>
          <w:noProof/>
          <w:lang w:val="de-DE"/>
        </w:rPr>
        <w:t>Farbbezeichnungen für die RHS-Farbkarte</w:t>
      </w:r>
      <w:bookmarkEnd w:id="43"/>
    </w:p>
    <w:p w:rsidR="00EA44BD" w:rsidRPr="00B05705" w:rsidRDefault="00EA44BD" w:rsidP="00EA44BD">
      <w:pPr>
        <w:keepNext/>
        <w:keepLines/>
        <w:ind w:left="1134" w:firstLine="567"/>
        <w:rPr>
          <w:noProof/>
          <w:lang w:val="de-DE"/>
        </w:rPr>
      </w:pPr>
      <w:r w:rsidRPr="00B05705">
        <w:rPr>
          <w:noProof/>
          <w:lang w:val="de-DE"/>
        </w:rPr>
        <w:t>Vergleiche Dokument TC/55/14</w:t>
      </w:r>
    </w:p>
    <w:p w:rsidR="00EA44BD" w:rsidRPr="00B05705" w:rsidRDefault="00EA44BD" w:rsidP="00EA44BD">
      <w:pPr>
        <w:tabs>
          <w:tab w:val="left" w:pos="5387"/>
        </w:tabs>
        <w:rPr>
          <w:noProof/>
          <w:lang w:val="de-DE"/>
        </w:rPr>
      </w:pPr>
    </w:p>
    <w:p w:rsidR="00EA44BD" w:rsidRPr="00B05705" w:rsidRDefault="00EA44BD" w:rsidP="00EA44BD">
      <w:pPr>
        <w:pStyle w:val="Heading3"/>
        <w:rPr>
          <w:noProof/>
          <w:lang w:val="de-DE"/>
        </w:rPr>
      </w:pPr>
      <w:bookmarkStart w:id="44" w:name="_Toc22740452"/>
      <w:r w:rsidRPr="00B05705">
        <w:rPr>
          <w:noProof/>
          <w:lang w:val="de-DE"/>
        </w:rPr>
        <w:t>TGP/15: Anleitung zur Verwendung biochemischer und molekularer Marker bei der Prüfung der Unterscheidbarkeit, Homogenität und Beständigkeit (DUS)</w:t>
      </w:r>
      <w:bookmarkEnd w:id="44"/>
      <w:r w:rsidRPr="00B05705">
        <w:rPr>
          <w:noProof/>
          <w:lang w:val="de-DE"/>
        </w:rPr>
        <w:t xml:space="preserve"> </w:t>
      </w:r>
    </w:p>
    <w:p w:rsidR="00EA44BD" w:rsidRPr="00B05705" w:rsidRDefault="00EA44BD" w:rsidP="00EA44BD">
      <w:pPr>
        <w:rPr>
          <w:noProof/>
          <w:lang w:val="de-DE"/>
        </w:rPr>
      </w:pPr>
    </w:p>
    <w:p w:rsidR="00EA44BD" w:rsidRPr="00B05705" w:rsidRDefault="00EA44BD" w:rsidP="00EA44BD">
      <w:pPr>
        <w:pStyle w:val="Heading4"/>
        <w:rPr>
          <w:rFonts w:eastAsia="MS Mincho"/>
          <w:noProof/>
          <w:lang w:val="de-DE"/>
        </w:rPr>
      </w:pPr>
      <w:bookmarkStart w:id="45" w:name="_Toc22740453"/>
      <w:r w:rsidRPr="00B05705">
        <w:rPr>
          <w:rFonts w:eastAsia="MS Mincho"/>
          <w:noProof/>
          <w:lang w:val="de-DE"/>
        </w:rPr>
        <w:t>Neues Beispiel: Merkmalsspezifischer Marker mit unvollständigen Informationen über die Ausprägungsstufe</w:t>
      </w:r>
      <w:bookmarkEnd w:id="45"/>
    </w:p>
    <w:p w:rsidR="00EA44BD" w:rsidRPr="00B05705" w:rsidRDefault="00EA44BD" w:rsidP="00EA44BD">
      <w:pPr>
        <w:keepNext/>
        <w:keepLines/>
        <w:ind w:left="1134" w:firstLine="567"/>
        <w:rPr>
          <w:noProof/>
          <w:lang w:val="de-DE"/>
        </w:rPr>
      </w:pPr>
      <w:r w:rsidRPr="00B05705">
        <w:rPr>
          <w:noProof/>
          <w:lang w:val="de-DE"/>
        </w:rPr>
        <w:t>Vergleiche Dokument TC/55/15</w:t>
      </w:r>
    </w:p>
    <w:p w:rsidR="00EA44BD" w:rsidRPr="00B05705" w:rsidRDefault="00EA44BD" w:rsidP="00EA44BD">
      <w:pPr>
        <w:tabs>
          <w:tab w:val="left" w:pos="5387"/>
        </w:tabs>
        <w:rPr>
          <w:noProof/>
          <w:highlight w:val="yellow"/>
          <w:lang w:val="de-DE"/>
        </w:rPr>
      </w:pPr>
    </w:p>
    <w:p w:rsidR="00EA44BD" w:rsidRPr="00B05705" w:rsidRDefault="00EA44BD" w:rsidP="00EA44BD">
      <w:pPr>
        <w:tabs>
          <w:tab w:val="left" w:pos="5387"/>
          <w:tab w:val="left" w:pos="5954"/>
        </w:tabs>
        <w:ind w:left="4820"/>
        <w:rPr>
          <w:i/>
          <w:noProof/>
          <w:lang w:val="de-DE"/>
        </w:rPr>
      </w:pPr>
      <w:r w:rsidRPr="0059364E">
        <w:rPr>
          <w:i/>
          <w:noProof/>
          <w:lang w:val="de-DE"/>
        </w:rPr>
        <w:fldChar w:fldCharType="begin"/>
      </w:r>
      <w:r w:rsidRPr="0059364E">
        <w:rPr>
          <w:i/>
          <w:noProof/>
          <w:lang w:val="de-DE"/>
        </w:rPr>
        <w:instrText xml:space="preserve"> AUTONUM  </w:instrText>
      </w:r>
      <w:r w:rsidRPr="0059364E">
        <w:rPr>
          <w:i/>
          <w:noProof/>
          <w:lang w:val="de-DE"/>
        </w:rPr>
        <w:fldChar w:fldCharType="end"/>
      </w:r>
      <w:r w:rsidRPr="00440F19">
        <w:rPr>
          <w:i/>
          <w:noProof/>
          <w:lang w:val="de-DE"/>
        </w:rPr>
        <w:tab/>
        <w:t>Der T</w:t>
      </w:r>
      <w:r w:rsidRPr="00B05705">
        <w:rPr>
          <w:i/>
          <w:noProof/>
          <w:lang w:val="de-DE"/>
        </w:rPr>
        <w:t xml:space="preserve">C wird ersucht, </w:t>
      </w:r>
      <w:r>
        <w:rPr>
          <w:i/>
          <w:noProof/>
          <w:lang w:val="de-DE"/>
        </w:rPr>
        <w:t xml:space="preserve">folgendes </w:t>
      </w:r>
      <w:r w:rsidRPr="00B05705">
        <w:rPr>
          <w:i/>
          <w:noProof/>
          <w:lang w:val="de-DE"/>
        </w:rPr>
        <w:t>zur Kenntnis zu nehmen:</w:t>
      </w:r>
    </w:p>
    <w:p w:rsidR="00EA44BD" w:rsidRPr="00B05705" w:rsidRDefault="00EA44BD" w:rsidP="00EA44BD">
      <w:pPr>
        <w:tabs>
          <w:tab w:val="left" w:pos="5387"/>
          <w:tab w:val="left" w:pos="5954"/>
        </w:tabs>
        <w:ind w:left="4820"/>
        <w:rPr>
          <w:i/>
          <w:noProof/>
          <w:lang w:val="de-DE"/>
        </w:rPr>
      </w:pPr>
    </w:p>
    <w:p w:rsidR="00EA44BD" w:rsidRPr="00B05705" w:rsidRDefault="00EA44BD" w:rsidP="00EA44BD">
      <w:pPr>
        <w:numPr>
          <w:ilvl w:val="0"/>
          <w:numId w:val="11"/>
        </w:numPr>
        <w:tabs>
          <w:tab w:val="left" w:pos="5387"/>
          <w:tab w:val="left" w:pos="5954"/>
        </w:tabs>
        <w:ind w:left="4820" w:firstLine="567"/>
        <w:contextualSpacing/>
        <w:rPr>
          <w:i/>
          <w:noProof/>
          <w:lang w:val="de-DE"/>
        </w:rPr>
      </w:pPr>
      <w:r w:rsidRPr="00B05705">
        <w:rPr>
          <w:i/>
          <w:noProof/>
          <w:lang w:val="de-DE"/>
        </w:rPr>
        <w:t>die Angelegenheiten für eine etwaige künftige Überarbeitung der Dokumente TGP/7, TGP/8, TGP/14 und TGP/15, die in separaten Dokumenten geprüft werden;</w:t>
      </w:r>
    </w:p>
    <w:p w:rsidR="00EA44BD" w:rsidRPr="00B05705" w:rsidRDefault="00EA44BD" w:rsidP="00EA44BD">
      <w:pPr>
        <w:tabs>
          <w:tab w:val="left" w:pos="5387"/>
          <w:tab w:val="left" w:pos="5954"/>
        </w:tabs>
        <w:ind w:left="4820" w:firstLine="570"/>
        <w:rPr>
          <w:i/>
          <w:noProof/>
          <w:lang w:val="de-DE"/>
        </w:rPr>
      </w:pPr>
    </w:p>
    <w:p w:rsidR="00EA44BD" w:rsidRPr="00B05705" w:rsidRDefault="00EA44BD" w:rsidP="00DB2D9C">
      <w:pPr>
        <w:keepNext/>
        <w:keepLines/>
        <w:tabs>
          <w:tab w:val="left" w:pos="5387"/>
          <w:tab w:val="left" w:pos="5954"/>
        </w:tabs>
        <w:ind w:left="4820" w:firstLine="570"/>
        <w:rPr>
          <w:i/>
          <w:noProof/>
          <w:lang w:val="de-DE"/>
        </w:rPr>
      </w:pPr>
      <w:r w:rsidRPr="00B05705">
        <w:rPr>
          <w:i/>
          <w:noProof/>
          <w:lang w:val="de-DE"/>
        </w:rPr>
        <w:lastRenderedPageBreak/>
        <w:t>b)</w:t>
      </w:r>
      <w:r w:rsidRPr="00B05705">
        <w:rPr>
          <w:i/>
          <w:noProof/>
          <w:lang w:val="de-DE"/>
        </w:rPr>
        <w:tab/>
        <w:t xml:space="preserve">das Gesuch des Vereinigten Königreichs, daß beteiligte Sachverständige zum Testen der neuen Software mit der verbesserten Berechnungsmethode von COYU miteinander in Kontakt treten; und </w:t>
      </w:r>
    </w:p>
    <w:p w:rsidR="00EA44BD" w:rsidRPr="00B05705" w:rsidRDefault="00EA44BD" w:rsidP="00EA44BD">
      <w:pPr>
        <w:tabs>
          <w:tab w:val="left" w:pos="5387"/>
          <w:tab w:val="left" w:pos="5954"/>
        </w:tabs>
        <w:ind w:left="4820" w:firstLine="570"/>
        <w:rPr>
          <w:i/>
          <w:noProof/>
          <w:lang w:val="de-DE"/>
        </w:rPr>
      </w:pPr>
    </w:p>
    <w:p w:rsidR="00EA44BD" w:rsidRPr="00B05705" w:rsidRDefault="00EA44BD" w:rsidP="00EA44BD">
      <w:pPr>
        <w:tabs>
          <w:tab w:val="left" w:pos="5387"/>
          <w:tab w:val="left" w:pos="5954"/>
        </w:tabs>
        <w:ind w:left="4820" w:firstLine="570"/>
        <w:rPr>
          <w:i/>
          <w:noProof/>
          <w:lang w:val="de-DE"/>
        </w:rPr>
      </w:pPr>
      <w:r w:rsidRPr="00B05705">
        <w:rPr>
          <w:i/>
          <w:noProof/>
          <w:lang w:val="de-DE"/>
        </w:rPr>
        <w:t>c)</w:t>
      </w:r>
      <w:r w:rsidRPr="00B05705">
        <w:rPr>
          <w:i/>
          <w:noProof/>
          <w:lang w:val="de-DE"/>
        </w:rPr>
        <w:tab/>
        <w:t xml:space="preserve">daß die TWC auf ihrer </w:t>
      </w:r>
      <w:r>
        <w:rPr>
          <w:i/>
          <w:noProof/>
          <w:lang w:val="de-DE"/>
        </w:rPr>
        <w:t>siebenunddreißigsten</w:t>
      </w:r>
      <w:r w:rsidRPr="00B05705">
        <w:rPr>
          <w:i/>
          <w:noProof/>
          <w:lang w:val="de-DE"/>
        </w:rPr>
        <w:t xml:space="preserve"> Tagung einen Entwurf eines Ersatzabschnitts für </w:t>
      </w:r>
      <w:r>
        <w:rPr>
          <w:i/>
          <w:noProof/>
          <w:lang w:val="de-DE"/>
        </w:rPr>
        <w:t xml:space="preserve">das </w:t>
      </w:r>
      <w:r w:rsidRPr="00B05705">
        <w:rPr>
          <w:i/>
          <w:noProof/>
          <w:lang w:val="de-DE"/>
        </w:rPr>
        <w:t xml:space="preserve">Dokument TGP/8 </w:t>
      </w:r>
      <w:r w:rsidRPr="00B05705">
        <w:rPr>
          <w:i/>
          <w:iCs/>
          <w:noProof/>
          <w:lang w:val="de-DE"/>
        </w:rPr>
        <w:t>über die Methode zur Berechnung des COYU prüfen wird</w:t>
      </w:r>
      <w:r w:rsidRPr="00B05705">
        <w:rPr>
          <w:i/>
          <w:noProof/>
          <w:lang w:val="de-DE"/>
        </w:rPr>
        <w:t xml:space="preserve"> und </w:t>
      </w:r>
      <w:r>
        <w:rPr>
          <w:i/>
          <w:noProof/>
          <w:lang w:val="de-DE"/>
        </w:rPr>
        <w:t xml:space="preserve">über die </w:t>
      </w:r>
      <w:r w:rsidRPr="00FC01B3">
        <w:rPr>
          <w:i/>
          <w:noProof/>
          <w:lang w:val="de-DE"/>
        </w:rPr>
        <w:t>Entwicklungen in</w:t>
      </w:r>
      <w:r w:rsidRPr="00B05705">
        <w:rPr>
          <w:i/>
          <w:noProof/>
          <w:lang w:val="de-DE"/>
        </w:rPr>
        <w:t xml:space="preserve"> dieser Angelegenheit </w:t>
      </w:r>
      <w:r w:rsidRPr="000C4CAD">
        <w:rPr>
          <w:i/>
          <w:iCs/>
          <w:noProof/>
          <w:lang w:val="de-DE"/>
        </w:rPr>
        <w:t xml:space="preserve">als Ergänzung zu diesem Dokument </w:t>
      </w:r>
      <w:r>
        <w:rPr>
          <w:i/>
          <w:iCs/>
          <w:noProof/>
          <w:lang w:val="de-DE"/>
        </w:rPr>
        <w:t>berichtet werden wird</w:t>
      </w:r>
      <w:r w:rsidRPr="000C4CAD">
        <w:rPr>
          <w:i/>
          <w:noProof/>
          <w:lang w:val="de-DE"/>
        </w:rPr>
        <w:t>.</w:t>
      </w: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keepNext/>
        <w:outlineLvl w:val="0"/>
        <w:rPr>
          <w:caps/>
          <w:noProof/>
          <w:lang w:val="de-DE"/>
        </w:rPr>
      </w:pPr>
      <w:bookmarkStart w:id="46" w:name="_Toc22740454"/>
      <w:r w:rsidRPr="00B05705">
        <w:rPr>
          <w:caps/>
          <w:noProof/>
          <w:lang w:val="de-DE"/>
        </w:rPr>
        <w:t>neue Vorschläge für Überarbeitungen von TGP-Dokumenten</w:t>
      </w:r>
      <w:bookmarkEnd w:id="46"/>
    </w:p>
    <w:p w:rsidR="00EA44BD" w:rsidRPr="00B05705" w:rsidRDefault="00EA44BD" w:rsidP="00EA44BD">
      <w:pPr>
        <w:rPr>
          <w:noProof/>
          <w:lang w:val="de-DE"/>
        </w:rPr>
      </w:pPr>
    </w:p>
    <w:p w:rsidR="00EA44BD" w:rsidRPr="00B05705" w:rsidRDefault="00EA44BD" w:rsidP="00EA44BD">
      <w:pPr>
        <w:keepNext/>
        <w:outlineLvl w:val="1"/>
        <w:rPr>
          <w:noProof/>
          <w:u w:val="single"/>
          <w:lang w:val="de-DE"/>
        </w:rPr>
      </w:pPr>
      <w:bookmarkStart w:id="47" w:name="_Toc22740455"/>
      <w:r w:rsidRPr="00B05705">
        <w:rPr>
          <w:noProof/>
          <w:u w:val="single"/>
          <w:lang w:val="de-DE"/>
        </w:rPr>
        <w:t>TGP/7: Erstellung von Prüfungsrichtlinien</w:t>
      </w:r>
      <w:bookmarkEnd w:id="47"/>
    </w:p>
    <w:p w:rsidR="00EA44BD" w:rsidRPr="00B05705" w:rsidRDefault="00EA44BD" w:rsidP="00EA44BD">
      <w:pPr>
        <w:rPr>
          <w:noProof/>
          <w:lang w:val="de-DE"/>
        </w:rPr>
      </w:pPr>
      <w:bookmarkStart w:id="48" w:name="_Toc352678076"/>
      <w:bookmarkStart w:id="49" w:name="_Toc353797757"/>
      <w:bookmarkStart w:id="50" w:name="_Toc386185988"/>
      <w:bookmarkStart w:id="51" w:name="_Toc419124879"/>
      <w:bookmarkEnd w:id="13"/>
      <w:bookmarkEnd w:id="14"/>
      <w:bookmarkEnd w:id="15"/>
      <w:bookmarkEnd w:id="16"/>
    </w:p>
    <w:p w:rsidR="00EA44BD" w:rsidRPr="00B05705" w:rsidRDefault="00EA44BD" w:rsidP="00EA44BD">
      <w:pPr>
        <w:pStyle w:val="Heading3"/>
        <w:rPr>
          <w:rFonts w:eastAsia="MS Mincho"/>
          <w:noProof/>
          <w:lang w:val="de-DE"/>
        </w:rPr>
      </w:pPr>
      <w:bookmarkStart w:id="52" w:name="_Toc527377896"/>
      <w:bookmarkStart w:id="53" w:name="_Toc22740456"/>
      <w:r w:rsidRPr="00B05705">
        <w:rPr>
          <w:rFonts w:eastAsia="MS Mincho"/>
          <w:noProof/>
          <w:lang w:val="de-DE"/>
        </w:rPr>
        <w:t>Verfahren für eine Teilüberarbeitung von UPOV-Prüfungsrichtlinien</w:t>
      </w:r>
      <w:bookmarkEnd w:id="52"/>
      <w:bookmarkEnd w:id="53"/>
    </w:p>
    <w:p w:rsidR="00EA44BD" w:rsidRPr="00B05705" w:rsidRDefault="00EA44BD" w:rsidP="00EA44BD">
      <w:pPr>
        <w:rPr>
          <w:noProof/>
          <w:lang w:val="de-DE"/>
        </w:rPr>
      </w:pP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r>
      <w:bookmarkStart w:id="54" w:name="_Hlk22512865"/>
      <w:r w:rsidRPr="00440F19">
        <w:rPr>
          <w:noProof/>
          <w:lang w:val="de-DE"/>
        </w:rPr>
        <w:t>Der</w:t>
      </w:r>
      <w:r w:rsidRPr="00B05705">
        <w:rPr>
          <w:noProof/>
          <w:lang w:val="de-DE"/>
        </w:rPr>
        <w:t xml:space="preserve"> TC prüfte auf seiner vierundfünfzigsten Tagung, ob das Verfahren für Teilüberarbeitungen von Prüfungsrichtlinien aufgrund des folgenden Vorschlags der TWF, wie in Dokument TC/54/3, Absatz 24, dargelegt, überarbeitet werden sollte</w:t>
      </w:r>
      <w:bookmarkEnd w:id="54"/>
      <w:r w:rsidRPr="00B05705">
        <w:rPr>
          <w:noProof/>
          <w:lang w:val="de-DE"/>
        </w:rPr>
        <w:t xml:space="preserve"> (vergleiche Dokument </w:t>
      </w:r>
      <w:r w:rsidR="00DC4ECD">
        <w:rPr>
          <w:noProof/>
          <w:lang w:val="de-DE"/>
        </w:rPr>
        <w:t xml:space="preserve">TC/54/31 </w:t>
      </w:r>
      <w:r w:rsidRPr="00B05705">
        <w:rPr>
          <w:noProof/>
          <w:lang w:val="de-DE"/>
        </w:rPr>
        <w:t>„Bericht</w:t>
      </w:r>
      <w:r>
        <w:rPr>
          <w:noProof/>
          <w:lang w:val="de-DE"/>
        </w:rPr>
        <w:t>“</w:t>
      </w:r>
      <w:r w:rsidRPr="00B05705">
        <w:rPr>
          <w:noProof/>
          <w:lang w:val="de-DE"/>
        </w:rPr>
        <w:t>, Absätze 221 bis 224)</w:t>
      </w:r>
      <w:r w:rsidRPr="00B05705">
        <w:rPr>
          <w:rFonts w:cs="Arial"/>
          <w:noProof/>
          <w:lang w:val="de-DE"/>
        </w:rPr>
        <w:t>:</w:t>
      </w:r>
    </w:p>
    <w:p w:rsidR="00EA44BD" w:rsidRPr="00B05705" w:rsidRDefault="00EA44BD" w:rsidP="00EA44BD">
      <w:pPr>
        <w:rPr>
          <w:noProof/>
          <w:lang w:val="de-DE"/>
        </w:rPr>
      </w:pPr>
    </w:p>
    <w:p w:rsidR="00EA44BD" w:rsidRPr="00B05705" w:rsidRDefault="00EA44BD" w:rsidP="00EA44BD">
      <w:pPr>
        <w:numPr>
          <w:ilvl w:val="0"/>
          <w:numId w:val="1"/>
        </w:numPr>
        <w:ind w:left="1134" w:right="567" w:hanging="567"/>
        <w:contextualSpacing/>
        <w:rPr>
          <w:noProof/>
          <w:sz w:val="18"/>
          <w:lang w:val="de-DE"/>
        </w:rPr>
      </w:pPr>
      <w:r w:rsidRPr="00B05705">
        <w:rPr>
          <w:noProof/>
          <w:sz w:val="18"/>
          <w:lang w:val="de-DE"/>
        </w:rPr>
        <w:t>jeden neuen Vorschlag für eine Teilüberarbeitung der Prüfungsrichtlinien im Laufe des Jahres zwischen zwei TWP-Sitzungen mit einer Frist von zwei Monaten vor der Sitzung schriftlich anzunehmen, um das Dokument vorzubereiten und an die Sachverständigen weiterzuleiten;</w:t>
      </w:r>
    </w:p>
    <w:p w:rsidR="00EA44BD" w:rsidRPr="00B05705" w:rsidRDefault="00EA44BD" w:rsidP="00EA44BD">
      <w:pPr>
        <w:numPr>
          <w:ilvl w:val="0"/>
          <w:numId w:val="1"/>
        </w:numPr>
        <w:ind w:left="1134" w:right="567" w:hanging="567"/>
        <w:contextualSpacing/>
        <w:rPr>
          <w:noProof/>
          <w:sz w:val="18"/>
          <w:lang w:val="de-DE"/>
        </w:rPr>
      </w:pPr>
      <w:r w:rsidRPr="00B05705">
        <w:rPr>
          <w:noProof/>
          <w:sz w:val="18"/>
          <w:lang w:val="de-DE"/>
        </w:rPr>
        <w:t>die Hinzufügung von Teilüberarbeitungen von Prüfungsrichtlinien auf dem Schriftweg zu genehmigen, wobei vier Wochen für Einwände gewährt werden;</w:t>
      </w:r>
    </w:p>
    <w:p w:rsidR="00EA44BD" w:rsidRPr="00B05705" w:rsidRDefault="00EA44BD" w:rsidP="00EA44BD">
      <w:pPr>
        <w:numPr>
          <w:ilvl w:val="0"/>
          <w:numId w:val="1"/>
        </w:numPr>
        <w:ind w:left="1134" w:right="567" w:hanging="567"/>
        <w:contextualSpacing/>
        <w:rPr>
          <w:noProof/>
          <w:sz w:val="18"/>
          <w:lang w:val="de-DE"/>
        </w:rPr>
      </w:pPr>
      <w:r w:rsidRPr="00B05705">
        <w:rPr>
          <w:noProof/>
          <w:sz w:val="18"/>
          <w:lang w:val="de-DE"/>
        </w:rPr>
        <w:t>da die beteiligten Sachverständigen während der Annahme des Berichts unter dem Tagesordnungspunkt „Vorschläge für Teilüberarbeitungen von Prüfungsrichtlinien</w:t>
      </w:r>
      <w:r>
        <w:rPr>
          <w:noProof/>
          <w:sz w:val="18"/>
          <w:lang w:val="de-DE"/>
        </w:rPr>
        <w:t>“</w:t>
      </w:r>
      <w:r w:rsidRPr="00B05705">
        <w:rPr>
          <w:noProof/>
          <w:sz w:val="18"/>
          <w:lang w:val="de-DE"/>
        </w:rPr>
        <w:t xml:space="preserve"> nicht gelistet wurden, wird vorgeschlagen, das Dokument zur Einholung von Bemerkungen an </w:t>
      </w:r>
      <w:bookmarkStart w:id="55" w:name="_Hlk22332873"/>
      <w:r w:rsidRPr="00B05705">
        <w:rPr>
          <w:noProof/>
          <w:sz w:val="18"/>
          <w:lang w:val="de-DE"/>
        </w:rPr>
        <w:t>alle maßgeblichen TWP-Sachverständigen</w:t>
      </w:r>
      <w:bookmarkEnd w:id="55"/>
      <w:r w:rsidRPr="00B05705">
        <w:rPr>
          <w:noProof/>
          <w:sz w:val="18"/>
          <w:lang w:val="de-DE"/>
        </w:rPr>
        <w:t xml:space="preserve"> zu schicken;</w:t>
      </w:r>
    </w:p>
    <w:p w:rsidR="00EA44BD" w:rsidRPr="00B05705" w:rsidRDefault="00EA44BD" w:rsidP="00EA44BD">
      <w:pPr>
        <w:numPr>
          <w:ilvl w:val="0"/>
          <w:numId w:val="1"/>
        </w:numPr>
        <w:ind w:left="1134" w:right="567" w:hanging="567"/>
        <w:contextualSpacing/>
        <w:rPr>
          <w:noProof/>
          <w:sz w:val="18"/>
          <w:lang w:val="de-DE"/>
        </w:rPr>
      </w:pPr>
      <w:r w:rsidRPr="00B05705">
        <w:rPr>
          <w:noProof/>
          <w:sz w:val="18"/>
          <w:lang w:val="de-DE"/>
        </w:rPr>
        <w:t>diese Regel ausschließlich auf Teilüberarbeitungen zu beschränken.</w:t>
      </w:r>
    </w:p>
    <w:p w:rsidR="00EA44BD" w:rsidRPr="00B05705" w:rsidRDefault="00EA44BD" w:rsidP="00EA44BD">
      <w:pPr>
        <w:rPr>
          <w:noProof/>
          <w:lang w:val="de-DE"/>
        </w:rPr>
      </w:pPr>
    </w:p>
    <w:p w:rsidR="00EA44BD" w:rsidRPr="00440F19"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Der TC erinnerte daran, daß ein ähnlicher Vorschlag auf seiner vorangegangenen Tagung geprüft worden sei, und erinnerte ferner daran, daß UPOV-Mitglieder ihre eigenen Prüfungsrichtlinien ändern könnten, bevor Änderungen an den UPOV-Prüfungsrichtlinien vorgenommen würden.</w:t>
      </w:r>
      <w:r>
        <w:rPr>
          <w:noProof/>
          <w:lang w:val="de-DE"/>
        </w:rPr>
        <w:t xml:space="preserve"> </w:t>
      </w:r>
    </w:p>
    <w:p w:rsidR="00EA44BD" w:rsidRPr="00440F19" w:rsidRDefault="00EA44BD" w:rsidP="00EA44BD">
      <w:pPr>
        <w:rPr>
          <w:noProof/>
          <w:lang w:val="de-DE"/>
        </w:rPr>
      </w:pPr>
    </w:p>
    <w:p w:rsidR="00EA44BD" w:rsidRPr="00440F19"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Der TC vereinbarte, die TWF zu ersuchen, zu klären, unter welchen Umständen kurzfristig Änderungen an den UPOV-Prüfungsrichtlinien vorgenommen werden müßten. Insbesondere vereinbarte der TC, um Klarstellung über die Art der Änderungen zu bitten, die durch das vorgeschlagene Verfahren erfaßt werden sollten, und konkrete Beispiele zu nennen.</w:t>
      </w:r>
      <w:r>
        <w:rPr>
          <w:noProof/>
          <w:lang w:val="de-DE"/>
        </w:rPr>
        <w:t xml:space="preserve"> </w:t>
      </w:r>
    </w:p>
    <w:p w:rsidR="00EA44BD" w:rsidRPr="00440F19" w:rsidRDefault="00EA44BD" w:rsidP="00EA44BD">
      <w:pPr>
        <w:rPr>
          <w:noProof/>
          <w:lang w:val="de-DE"/>
        </w:rPr>
      </w:pP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Der TC vereinbar</w:t>
      </w:r>
      <w:r w:rsidRPr="00B05705">
        <w:rPr>
          <w:noProof/>
          <w:lang w:val="de-DE"/>
        </w:rPr>
        <w:t>te, daß im Fall der Annahme eines beschleunigten Verfahrens Vorschläge für Teilüberarbeitungen von Prüfungsrichtlinien mindestens zwei Monate vor der Tagung veröffentlicht werden müßten, um den Mitgliedern genügend Zeit zur Prüfung zu geben.</w:t>
      </w:r>
      <w:r>
        <w:rPr>
          <w:noProof/>
          <w:lang w:val="de-DE"/>
        </w:rPr>
        <w:t xml:space="preserve"> </w:t>
      </w:r>
    </w:p>
    <w:p w:rsidR="00EA44BD" w:rsidRPr="00B05705" w:rsidRDefault="00EA44BD" w:rsidP="00EA44BD">
      <w:pPr>
        <w:rPr>
          <w:rFonts w:cs="Arial"/>
          <w:bCs/>
          <w:i/>
          <w:noProof/>
          <w:snapToGrid w:val="0"/>
          <w:lang w:val="de-DE"/>
        </w:rPr>
      </w:pPr>
    </w:p>
    <w:p w:rsidR="00EA44BD" w:rsidRPr="00B05705" w:rsidRDefault="00EA44BD" w:rsidP="00EA44BD">
      <w:pPr>
        <w:rPr>
          <w:rFonts w:cs="Arial"/>
          <w:bCs/>
          <w:i/>
          <w:noProof/>
          <w:snapToGrid w:val="0"/>
          <w:lang w:val="de-DE"/>
        </w:rPr>
      </w:pPr>
    </w:p>
    <w:p w:rsidR="00EA44BD" w:rsidRPr="00B05705" w:rsidRDefault="00EA44BD" w:rsidP="00EA44BD">
      <w:pPr>
        <w:pStyle w:val="Heading4"/>
        <w:rPr>
          <w:noProof/>
          <w:lang w:val="de-DE"/>
        </w:rPr>
      </w:pPr>
      <w:bookmarkStart w:id="56" w:name="_Toc22740457"/>
      <w:r w:rsidRPr="00B05705">
        <w:rPr>
          <w:noProof/>
          <w:lang w:val="de-DE"/>
        </w:rPr>
        <w:t>Bemerkungen der Technischen Arbeitsgruppe für Obstarten</w:t>
      </w:r>
      <w:bookmarkEnd w:id="56"/>
    </w:p>
    <w:p w:rsidR="00EA44BD" w:rsidRPr="00B05705" w:rsidRDefault="00EA44BD" w:rsidP="00EA44BD">
      <w:pPr>
        <w:rPr>
          <w:noProof/>
          <w:lang w:val="de-DE"/>
        </w:rPr>
      </w:pPr>
    </w:p>
    <w:p w:rsidR="00EA44BD" w:rsidRPr="00B05705" w:rsidRDefault="00EA44BD" w:rsidP="00EA44BD">
      <w:pPr>
        <w:keepNext/>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Die TWF begrüßte auf ihrer fünfzigsten Tagung vom 24. bis 28. Juni 2019 in Budapest, Ungarn, die Möglichkeit, das Verfahren für Teilüberarbeitungen von Prüfungsrichtlinien zu überarbeiten, um Sachverständi</w:t>
      </w:r>
      <w:r w:rsidRPr="00B05705">
        <w:rPr>
          <w:noProof/>
          <w:lang w:val="de-DE"/>
        </w:rPr>
        <w:t xml:space="preserve">gen die Möglichkeit zu geben, im Laufe des Jahres neue Vorschläge zu unterbreiten und die internationale Harmonisierung der derzeitigen Praxis für die DUS-Prüfung anzuregen. Wie vom TC ersucht, </w:t>
      </w:r>
      <w:r w:rsidRPr="00B05705">
        <w:rPr>
          <w:noProof/>
          <w:lang w:val="de-DE"/>
        </w:rPr>
        <w:lastRenderedPageBreak/>
        <w:t>vereinbarte die TWF, daß das beschleunigte Verfahren angewendet werden sollte (vergleiche Dokument TWF/50/13 „Report</w:t>
      </w:r>
      <w:r>
        <w:rPr>
          <w:noProof/>
          <w:lang w:val="de-DE"/>
        </w:rPr>
        <w:t>“</w:t>
      </w:r>
      <w:r w:rsidRPr="00B05705">
        <w:rPr>
          <w:noProof/>
          <w:lang w:val="de-DE"/>
        </w:rPr>
        <w:t>, Absätze 30 bis 33):</w:t>
      </w:r>
    </w:p>
    <w:p w:rsidR="00EA44BD" w:rsidRPr="00B05705" w:rsidRDefault="00EA44BD" w:rsidP="00EA44BD">
      <w:pPr>
        <w:keepNext/>
        <w:rPr>
          <w:noProof/>
          <w:lang w:val="de-DE"/>
        </w:rPr>
      </w:pPr>
    </w:p>
    <w:p w:rsidR="00EA44BD" w:rsidRPr="00B05705" w:rsidRDefault="00EA44BD" w:rsidP="00EA44BD">
      <w:pPr>
        <w:pStyle w:val="ListParagraph"/>
        <w:keepNext/>
        <w:numPr>
          <w:ilvl w:val="0"/>
          <w:numId w:val="16"/>
        </w:numPr>
        <w:rPr>
          <w:noProof/>
          <w:lang w:val="de-DE"/>
        </w:rPr>
      </w:pPr>
      <w:r w:rsidRPr="00B05705">
        <w:rPr>
          <w:noProof/>
          <w:lang w:val="de-DE"/>
        </w:rPr>
        <w:t>Für Vorschläge zum Streichen eines Merkmals</w:t>
      </w:r>
    </w:p>
    <w:p w:rsidR="00EA44BD" w:rsidRPr="00B05705" w:rsidRDefault="00EA44BD" w:rsidP="00EA44BD">
      <w:pPr>
        <w:pStyle w:val="ListParagraph"/>
        <w:keepNext/>
        <w:numPr>
          <w:ilvl w:val="0"/>
          <w:numId w:val="16"/>
        </w:numPr>
        <w:rPr>
          <w:noProof/>
          <w:lang w:val="de-DE"/>
        </w:rPr>
      </w:pPr>
      <w:r w:rsidRPr="00B05705">
        <w:rPr>
          <w:noProof/>
          <w:lang w:val="de-DE"/>
        </w:rPr>
        <w:t>Für Vorschläge zum Hinzufügen einer neuen Ausprägungsstufe und/oder Hinzufügen einer neuen Abbildung</w:t>
      </w:r>
    </w:p>
    <w:p w:rsidR="00EA44BD" w:rsidRPr="00B05705" w:rsidRDefault="00EA44BD" w:rsidP="00EA44BD">
      <w:pPr>
        <w:pStyle w:val="ListParagraph"/>
        <w:keepNext/>
        <w:numPr>
          <w:ilvl w:val="0"/>
          <w:numId w:val="16"/>
        </w:numPr>
        <w:rPr>
          <w:noProof/>
          <w:lang w:val="de-DE"/>
        </w:rPr>
      </w:pPr>
      <w:r w:rsidRPr="00B05705">
        <w:rPr>
          <w:noProof/>
          <w:lang w:val="de-DE"/>
        </w:rPr>
        <w:t>Für Vorschläge zum Hinzufügung neuer Beispielsorten</w:t>
      </w:r>
    </w:p>
    <w:p w:rsidR="00EA44BD" w:rsidRPr="00B05705" w:rsidRDefault="00EA44BD" w:rsidP="00EA44BD">
      <w:pPr>
        <w:keepNext/>
        <w:rPr>
          <w:noProof/>
          <w:lang w:val="de-DE"/>
        </w:rPr>
      </w:pPr>
    </w:p>
    <w:p w:rsidR="00EA44BD" w:rsidRPr="00440F19" w:rsidRDefault="00EA44BD" w:rsidP="00EA44BD">
      <w:pPr>
        <w:keepNext/>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Die TWF vereinbarte, daß dieses beschleunigte Verfahren nicht angewendet werden sollte:</w:t>
      </w:r>
    </w:p>
    <w:p w:rsidR="00EA44BD" w:rsidRPr="00440F19" w:rsidRDefault="00EA44BD" w:rsidP="00EA44BD">
      <w:pPr>
        <w:keepNext/>
        <w:rPr>
          <w:noProof/>
          <w:lang w:val="de-DE"/>
        </w:rPr>
      </w:pPr>
    </w:p>
    <w:p w:rsidR="00EA44BD" w:rsidRPr="00440F19" w:rsidRDefault="00EA44BD" w:rsidP="00EA44BD">
      <w:pPr>
        <w:pStyle w:val="ListParagraph"/>
        <w:keepNext/>
        <w:numPr>
          <w:ilvl w:val="0"/>
          <w:numId w:val="17"/>
        </w:numPr>
        <w:rPr>
          <w:noProof/>
          <w:lang w:val="de-DE"/>
        </w:rPr>
      </w:pPr>
      <w:r w:rsidRPr="00440F19">
        <w:rPr>
          <w:noProof/>
          <w:lang w:val="de-DE"/>
        </w:rPr>
        <w:t>Für Vorschläge zur Gruppierung von Merkmalen</w:t>
      </w:r>
    </w:p>
    <w:p w:rsidR="00EA44BD" w:rsidRPr="00440F19" w:rsidRDefault="00EA44BD" w:rsidP="00EA44BD">
      <w:pPr>
        <w:pStyle w:val="ListParagraph"/>
        <w:keepNext/>
        <w:numPr>
          <w:ilvl w:val="0"/>
          <w:numId w:val="17"/>
        </w:numPr>
        <w:rPr>
          <w:noProof/>
          <w:lang w:val="de-DE"/>
        </w:rPr>
      </w:pPr>
      <w:r w:rsidRPr="00440F19">
        <w:rPr>
          <w:noProof/>
          <w:lang w:val="de-DE"/>
        </w:rPr>
        <w:t>Für Vorschläge zum Hinzufügen neuer Merkmale</w:t>
      </w:r>
    </w:p>
    <w:p w:rsidR="00EA44BD" w:rsidRPr="00440F19" w:rsidRDefault="00EA44BD" w:rsidP="00EA44BD">
      <w:pPr>
        <w:keepNext/>
        <w:rPr>
          <w:noProof/>
          <w:lang w:val="de-DE"/>
        </w:rPr>
      </w:pPr>
    </w:p>
    <w:p w:rsidR="00EA44BD" w:rsidRPr="00440F19" w:rsidRDefault="00EA44BD" w:rsidP="00EA44BD">
      <w:pPr>
        <w:keepNext/>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 xml:space="preserve">Die TWF vereinbarte, daß bei dem beschleunigten Verfahren für Teilüberarbeitungen von Prüfungsrichtlinien der vereinbarte Zeitplan für die Vorbereitung und Verbreitung von Dokumenten vor der Tagung eingehalten werden sollte, damit genügend Zeit für die Prüfung durch die Verbandsmitglieder bleibt. Sie betonte ferner, wie wichtig es sei, daß alle maßgeblichen TWP-Sachverständigen </w:t>
      </w:r>
      <w:r>
        <w:rPr>
          <w:noProof/>
          <w:lang w:val="de-DE"/>
        </w:rPr>
        <w:t>ersucht</w:t>
      </w:r>
      <w:r w:rsidRPr="00440F19">
        <w:rPr>
          <w:noProof/>
          <w:lang w:val="de-DE"/>
        </w:rPr>
        <w:t xml:space="preserve"> würden, in der bevorstehenden Sitzung zu jedem Vorschlag für neue Teilüberarbeitungen von Prüfungsrichtlinien Stellung zu nehmen, und schlug in diesem Zusammenhang vor, alle Teilnehmer der vorangegangenen TWP-Tagung in die Korrespondenz aufzunehmen.</w:t>
      </w:r>
    </w:p>
    <w:p w:rsidR="00EA44BD" w:rsidRPr="00440F19" w:rsidRDefault="00EA44BD" w:rsidP="00EA44BD">
      <w:pPr>
        <w:rPr>
          <w:rFonts w:cs="Arial"/>
          <w:bCs/>
          <w:i/>
          <w:noProof/>
          <w:snapToGrid w:val="0"/>
          <w:lang w:val="de-DE"/>
        </w:rPr>
      </w:pPr>
    </w:p>
    <w:p w:rsidR="00EA44BD" w:rsidRPr="00B05705" w:rsidRDefault="00EA44BD" w:rsidP="00EA44BD">
      <w:pPr>
        <w:tabs>
          <w:tab w:val="left" w:pos="5387"/>
          <w:tab w:val="left" w:pos="5954"/>
        </w:tabs>
        <w:ind w:left="4820"/>
        <w:rPr>
          <w:rFonts w:cs="Arial"/>
          <w:bCs/>
          <w:i/>
          <w:noProof/>
          <w:snapToGrid w:val="0"/>
          <w:lang w:val="de-DE"/>
        </w:rPr>
      </w:pPr>
      <w:r w:rsidRPr="0059364E">
        <w:rPr>
          <w:rFonts w:cs="Arial"/>
          <w:bCs/>
          <w:i/>
          <w:noProof/>
          <w:snapToGrid w:val="0"/>
          <w:lang w:val="de-DE"/>
        </w:rPr>
        <w:fldChar w:fldCharType="begin"/>
      </w:r>
      <w:r w:rsidRPr="0059364E">
        <w:rPr>
          <w:rFonts w:cs="Arial"/>
          <w:bCs/>
          <w:i/>
          <w:noProof/>
          <w:snapToGrid w:val="0"/>
          <w:lang w:val="de-DE"/>
        </w:rPr>
        <w:instrText xml:space="preserve"> AUTONUM  </w:instrText>
      </w:r>
      <w:r w:rsidRPr="0059364E">
        <w:rPr>
          <w:rFonts w:cs="Arial"/>
          <w:bCs/>
          <w:i/>
          <w:noProof/>
          <w:snapToGrid w:val="0"/>
          <w:lang w:val="de-DE"/>
        </w:rPr>
        <w:fldChar w:fldCharType="end"/>
      </w:r>
      <w:r w:rsidRPr="00440F19">
        <w:rPr>
          <w:rFonts w:cs="Arial"/>
          <w:bCs/>
          <w:i/>
          <w:noProof/>
          <w:snapToGrid w:val="0"/>
          <w:lang w:val="de-DE"/>
        </w:rPr>
        <w:tab/>
        <w:t>Der TC wird</w:t>
      </w:r>
      <w:r w:rsidRPr="00B05705">
        <w:rPr>
          <w:rFonts w:cs="Arial"/>
          <w:bCs/>
          <w:i/>
          <w:noProof/>
          <w:snapToGrid w:val="0"/>
          <w:lang w:val="de-DE"/>
        </w:rPr>
        <w:t xml:space="preserve"> ersucht, folgendes zu prüfen:</w:t>
      </w:r>
    </w:p>
    <w:p w:rsidR="00EA44BD" w:rsidRPr="00B05705" w:rsidRDefault="00EA44BD" w:rsidP="00EA44BD">
      <w:pPr>
        <w:keepNext/>
        <w:tabs>
          <w:tab w:val="left" w:pos="5387"/>
          <w:tab w:val="left" w:pos="5954"/>
        </w:tabs>
        <w:ind w:left="4820"/>
        <w:rPr>
          <w:rFonts w:cs="Arial"/>
          <w:bCs/>
          <w:i/>
          <w:noProof/>
          <w:snapToGrid w:val="0"/>
          <w:lang w:val="de-DE"/>
        </w:rPr>
      </w:pPr>
    </w:p>
    <w:p w:rsidR="00EA44BD" w:rsidRPr="00B05705" w:rsidRDefault="00EA44BD" w:rsidP="00EA44BD">
      <w:pPr>
        <w:keepNext/>
        <w:tabs>
          <w:tab w:val="left" w:pos="5387"/>
          <w:tab w:val="left" w:pos="5954"/>
        </w:tabs>
        <w:ind w:left="4820"/>
        <w:rPr>
          <w:i/>
          <w:noProof/>
          <w:lang w:val="de-DE"/>
        </w:rPr>
      </w:pPr>
      <w:r w:rsidRPr="00B05705">
        <w:rPr>
          <w:rFonts w:cs="Arial"/>
          <w:bCs/>
          <w:i/>
          <w:noProof/>
          <w:snapToGrid w:val="0"/>
          <w:lang w:val="de-DE"/>
        </w:rPr>
        <w:tab/>
        <w:t>a)</w:t>
      </w:r>
      <w:r w:rsidRPr="00B05705">
        <w:rPr>
          <w:rFonts w:cs="Arial"/>
          <w:bCs/>
          <w:i/>
          <w:noProof/>
          <w:snapToGrid w:val="0"/>
          <w:lang w:val="de-DE"/>
        </w:rPr>
        <w:tab/>
      </w:r>
      <w:r w:rsidRPr="00B05705">
        <w:rPr>
          <w:i/>
          <w:noProof/>
          <w:lang w:val="de-DE"/>
        </w:rPr>
        <w:t xml:space="preserve">die Vorschläge der TWF zu den Umständen, </w:t>
      </w:r>
      <w:r w:rsidR="009379FD">
        <w:rPr>
          <w:i/>
          <w:noProof/>
          <w:lang w:val="de-DE"/>
        </w:rPr>
        <w:t>unter denen Änderungen der UPOV</w:t>
      </w:r>
      <w:r w:rsidR="009379FD">
        <w:rPr>
          <w:i/>
          <w:noProof/>
          <w:lang w:val="de-DE"/>
        </w:rPr>
        <w:noBreakHyphen/>
      </w:r>
      <w:r w:rsidRPr="00B05705">
        <w:rPr>
          <w:i/>
          <w:noProof/>
          <w:lang w:val="de-DE"/>
        </w:rPr>
        <w:t>Prüfungsrichtlinien kurzfristig umgesetzt oder nicht umgesetzt werden k</w:t>
      </w:r>
      <w:r>
        <w:rPr>
          <w:i/>
          <w:noProof/>
          <w:lang w:val="de-DE"/>
        </w:rPr>
        <w:t>ö</w:t>
      </w:r>
      <w:r w:rsidRPr="00B05705">
        <w:rPr>
          <w:i/>
          <w:noProof/>
          <w:lang w:val="de-DE"/>
        </w:rPr>
        <w:t>nnten;</w:t>
      </w:r>
    </w:p>
    <w:p w:rsidR="00EA44BD" w:rsidRPr="00B05705" w:rsidRDefault="00EA44BD" w:rsidP="00EA44BD">
      <w:pPr>
        <w:tabs>
          <w:tab w:val="left" w:pos="5387"/>
          <w:tab w:val="left" w:pos="5954"/>
        </w:tabs>
        <w:ind w:left="4820"/>
        <w:rPr>
          <w:i/>
          <w:noProof/>
          <w:lang w:val="de-DE"/>
        </w:rPr>
      </w:pPr>
    </w:p>
    <w:p w:rsidR="00EA44BD" w:rsidRDefault="00EA44BD" w:rsidP="00EA44BD">
      <w:pPr>
        <w:numPr>
          <w:ilvl w:val="0"/>
          <w:numId w:val="11"/>
        </w:numPr>
        <w:tabs>
          <w:tab w:val="left" w:pos="5387"/>
          <w:tab w:val="left" w:pos="5954"/>
        </w:tabs>
        <w:ind w:left="4820" w:firstLine="570"/>
        <w:contextualSpacing/>
        <w:rPr>
          <w:i/>
          <w:noProof/>
          <w:lang w:val="de-DE"/>
        </w:rPr>
      </w:pPr>
      <w:r>
        <w:rPr>
          <w:i/>
          <w:noProof/>
          <w:lang w:val="de-DE"/>
        </w:rPr>
        <w:t>auf der Grundlage</w:t>
      </w:r>
      <w:r w:rsidRPr="00B05705">
        <w:rPr>
          <w:i/>
          <w:noProof/>
          <w:lang w:val="de-DE"/>
        </w:rPr>
        <w:t xml:space="preserve"> des Vorschlags der TWF</w:t>
      </w:r>
      <w:r>
        <w:rPr>
          <w:i/>
          <w:noProof/>
          <w:lang w:val="de-DE"/>
        </w:rPr>
        <w:t>,</w:t>
      </w:r>
      <w:r w:rsidRPr="00B05705">
        <w:rPr>
          <w:i/>
          <w:noProof/>
          <w:lang w:val="de-DE"/>
        </w:rPr>
        <w:t xml:space="preserve"> wie </w:t>
      </w:r>
      <w:r w:rsidRPr="009379FD">
        <w:rPr>
          <w:i/>
          <w:noProof/>
          <w:lang w:val="de-DE"/>
        </w:rPr>
        <w:t>in Absätzen 45 bis 47 dieses</w:t>
      </w:r>
      <w:r w:rsidRPr="00B05705">
        <w:rPr>
          <w:i/>
          <w:noProof/>
          <w:lang w:val="de-DE"/>
        </w:rPr>
        <w:t xml:space="preserve"> Dokuments dargelegt</w:t>
      </w:r>
      <w:r>
        <w:rPr>
          <w:i/>
          <w:noProof/>
          <w:lang w:val="de-DE"/>
        </w:rPr>
        <w:t xml:space="preserve">, ob das Verfahren für Teilüberarbeitungen von Prüfungsrichtlinien </w:t>
      </w:r>
      <w:r w:rsidRPr="00B05705">
        <w:rPr>
          <w:i/>
          <w:noProof/>
          <w:lang w:val="de-DE"/>
        </w:rPr>
        <w:t>überarbeitet werden soll</w:t>
      </w:r>
      <w:r>
        <w:rPr>
          <w:i/>
          <w:noProof/>
          <w:lang w:val="de-DE"/>
        </w:rPr>
        <w:t>te.</w:t>
      </w:r>
    </w:p>
    <w:p w:rsidR="00EA44BD" w:rsidRPr="00B05705" w:rsidRDefault="00EA44BD" w:rsidP="00EA44BD">
      <w:pPr>
        <w:rPr>
          <w:noProof/>
          <w:lang w:val="de-DE"/>
        </w:rPr>
      </w:pPr>
    </w:p>
    <w:p w:rsidR="00EA44BD" w:rsidRPr="00B05705" w:rsidRDefault="00EA44BD" w:rsidP="00EA44BD">
      <w:pPr>
        <w:pStyle w:val="Heading3"/>
        <w:rPr>
          <w:rFonts w:eastAsia="MS Mincho"/>
          <w:noProof/>
          <w:lang w:val="de-DE"/>
        </w:rPr>
      </w:pPr>
      <w:bookmarkStart w:id="57" w:name="_Toc22740458"/>
      <w:bookmarkStart w:id="58" w:name="_Hlk22406388"/>
      <w:r w:rsidRPr="00C742FB">
        <w:rPr>
          <w:rFonts w:eastAsia="MS Mincho"/>
          <w:noProof/>
          <w:lang w:val="de-DE"/>
        </w:rPr>
        <w:t>Darstellung der vollständigen Notenskala für quantitative Merkmale in den Prüfungsrichtlinien</w:t>
      </w:r>
      <w:bookmarkEnd w:id="57"/>
    </w:p>
    <w:bookmarkEnd w:id="58"/>
    <w:p w:rsidR="00EA44BD" w:rsidRPr="00B05705" w:rsidRDefault="00EA44BD" w:rsidP="00EA44BD">
      <w:pPr>
        <w:rPr>
          <w:noProof/>
          <w:lang w:val="de-DE"/>
        </w:rPr>
      </w:pP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Alle UPOV-</w:t>
      </w:r>
      <w:r w:rsidRPr="00B05705">
        <w:rPr>
          <w:noProof/>
          <w:lang w:val="de-DE"/>
        </w:rPr>
        <w:t xml:space="preserve">Prüfungsrichtlinien </w:t>
      </w:r>
      <w:r>
        <w:rPr>
          <w:noProof/>
          <w:lang w:val="de-DE"/>
        </w:rPr>
        <w:t>enthalten die folgenden</w:t>
      </w:r>
      <w:r w:rsidRPr="00B05705">
        <w:rPr>
          <w:noProof/>
          <w:lang w:val="de-DE"/>
        </w:rPr>
        <w:t xml:space="preserve"> </w:t>
      </w:r>
      <w:r w:rsidRPr="00AA6750">
        <w:rPr>
          <w:noProof/>
          <w:lang w:val="de-DE"/>
        </w:rPr>
        <w:t>Erläuterungen zur Darstellung der</w:t>
      </w:r>
      <w:r w:rsidRPr="00B05705">
        <w:rPr>
          <w:noProof/>
          <w:lang w:val="de-DE"/>
        </w:rPr>
        <w:t xml:space="preserve"> Ausprägungsstufen für quantitative Merkmale (vergleiche Dokument TGP/7 „Erstellung von Prüfungsrichtlinien</w:t>
      </w:r>
      <w:r>
        <w:rPr>
          <w:noProof/>
          <w:lang w:val="de-DE"/>
        </w:rPr>
        <w:t>“</w:t>
      </w:r>
      <w:r w:rsidRPr="00B05705">
        <w:rPr>
          <w:noProof/>
          <w:lang w:val="de-DE"/>
        </w:rPr>
        <w:t>, Anlage I „</w:t>
      </w:r>
      <w:r>
        <w:rPr>
          <w:noProof/>
          <w:lang w:val="de-DE"/>
        </w:rPr>
        <w:t>TG-Aufbau</w:t>
      </w:r>
      <w:r w:rsidRPr="00AA6750">
        <w:rPr>
          <w:noProof/>
          <w:lang w:val="de-DE"/>
        </w:rPr>
        <w:t xml:space="preserve"> und allgemeingültiger Standardwortlaut</w:t>
      </w:r>
      <w:r>
        <w:rPr>
          <w:noProof/>
          <w:lang w:val="de-DE"/>
        </w:rPr>
        <w:t>“</w:t>
      </w:r>
      <w:r w:rsidRPr="00B05705">
        <w:rPr>
          <w:noProof/>
          <w:lang w:val="de-DE"/>
        </w:rPr>
        <w:t>).</w:t>
      </w:r>
    </w:p>
    <w:p w:rsidR="00EA44BD" w:rsidRPr="00B05705" w:rsidRDefault="00EA44BD" w:rsidP="00EA44BD">
      <w:pPr>
        <w:rPr>
          <w:noProof/>
          <w:lang w:val="de-DE"/>
        </w:rPr>
      </w:pPr>
    </w:p>
    <w:p w:rsidR="00EA44BD" w:rsidRPr="00E27C94" w:rsidRDefault="00EA44BD" w:rsidP="00EA44BD">
      <w:pPr>
        <w:ind w:left="567" w:right="567"/>
        <w:rPr>
          <w:rFonts w:eastAsia="Arial" w:cs="Arial"/>
          <w:noProof/>
          <w:color w:val="000000"/>
          <w:lang w:val="de-DE"/>
        </w:rPr>
      </w:pPr>
      <w:r>
        <w:rPr>
          <w:rFonts w:eastAsia="Arial" w:cs="Arial"/>
          <w:noProof/>
          <w:color w:val="000000"/>
          <w:lang w:val="de-DE"/>
        </w:rPr>
        <w:t>„B</w:t>
      </w:r>
      <w:r w:rsidRPr="00AA6750">
        <w:rPr>
          <w:rFonts w:eastAsia="Arial" w:cs="Arial"/>
          <w:noProof/>
          <w:color w:val="000000"/>
          <w:lang w:val="de-DE"/>
        </w:rPr>
        <w:t>ei qualitativen und pseudoqualitativen Merkmalen (vgl.</w:t>
      </w:r>
      <w:r>
        <w:rPr>
          <w:rFonts w:eastAsia="Arial" w:cs="Arial"/>
          <w:noProof/>
          <w:color w:val="000000"/>
          <w:lang w:val="de-DE"/>
        </w:rPr>
        <w:t xml:space="preserve"> </w:t>
      </w:r>
      <w:r w:rsidRPr="00AA6750">
        <w:rPr>
          <w:rFonts w:eastAsia="Arial" w:cs="Arial"/>
          <w:noProof/>
          <w:color w:val="000000"/>
          <w:lang w:val="de-DE"/>
        </w:rPr>
        <w:t xml:space="preserve">Kapitel 6.3) sind alle </w:t>
      </w:r>
      <w:r>
        <w:rPr>
          <w:rFonts w:eastAsia="Arial" w:cs="Arial"/>
          <w:noProof/>
          <w:color w:val="000000"/>
          <w:lang w:val="de-DE"/>
        </w:rPr>
        <w:t>maßgeblichen</w:t>
      </w:r>
      <w:r w:rsidRPr="00AA6750">
        <w:rPr>
          <w:rFonts w:eastAsia="Arial" w:cs="Arial"/>
          <w:noProof/>
          <w:color w:val="000000"/>
          <w:lang w:val="de-DE"/>
        </w:rPr>
        <w:t xml:space="preserve"> Ausprägungsstufen für das Merkmal dargestellt.</w:t>
      </w:r>
      <w:r>
        <w:rPr>
          <w:rFonts w:eastAsia="Arial" w:cs="Arial"/>
          <w:noProof/>
          <w:color w:val="000000"/>
          <w:lang w:val="de-DE"/>
        </w:rPr>
        <w:t xml:space="preserve"> </w:t>
      </w:r>
      <w:r w:rsidRPr="00AA6750">
        <w:rPr>
          <w:rFonts w:eastAsia="Arial" w:cs="Arial"/>
          <w:noProof/>
          <w:color w:val="000000"/>
          <w:lang w:val="de-DE"/>
        </w:rPr>
        <w:t>Bei quantitativen Merkmalen mit fünf oder mehr Stufen kann jedoch eine verkürzte Skala verwendet werden, um die Größe der Merkmalstabelle zu vermindern.</w:t>
      </w:r>
      <w:r>
        <w:rPr>
          <w:rFonts w:eastAsia="Arial" w:cs="Arial"/>
          <w:noProof/>
          <w:color w:val="000000"/>
          <w:lang w:val="de-DE"/>
        </w:rPr>
        <w:t xml:space="preserve"> </w:t>
      </w:r>
      <w:r w:rsidRPr="00AA6750">
        <w:rPr>
          <w:rFonts w:eastAsia="Arial" w:cs="Arial"/>
          <w:noProof/>
          <w:color w:val="000000"/>
          <w:lang w:val="de-DE"/>
        </w:rPr>
        <w:t>Bei einem quantitativen Merkmal mit neun Stufen kann die Darstellung der Ausprägungsstufen in den Prüfungsrichtlinien beispielsweise wie folgt abgekürzt werden</w:t>
      </w:r>
      <w:r w:rsidRPr="00B05705">
        <w:rPr>
          <w:rFonts w:eastAsia="Arial" w:cs="Arial"/>
          <w:noProof/>
          <w:color w:val="000000"/>
          <w:lang w:val="de-DE"/>
        </w:rPr>
        <w:t>:</w:t>
      </w:r>
    </w:p>
    <w:p w:rsidR="00EA44BD" w:rsidRPr="00B05705" w:rsidRDefault="00EA44BD" w:rsidP="00EA44BD">
      <w:pPr>
        <w:rPr>
          <w:noProof/>
          <w:lang w:val="de-DE"/>
        </w:rPr>
      </w:pPr>
    </w:p>
    <w:tbl>
      <w:tblPr>
        <w:tblOverlap w:val="never"/>
        <w:tblW w:w="9630" w:type="dxa"/>
        <w:tblLayout w:type="fixed"/>
        <w:tblLook w:val="01E0" w:firstRow="1" w:lastRow="1" w:firstColumn="1" w:lastColumn="1" w:noHBand="0" w:noVBand="0"/>
      </w:tblPr>
      <w:tblGrid>
        <w:gridCol w:w="9630"/>
      </w:tblGrid>
      <w:tr w:rsidR="00EA44BD" w:rsidRPr="00B05705" w:rsidTr="00DC4ECD">
        <w:tc>
          <w:tcPr>
            <w:tcW w:w="8820" w:type="dxa"/>
            <w:tcMar>
              <w:top w:w="0" w:type="dxa"/>
              <w:left w:w="0" w:type="dxa"/>
              <w:bottom w:w="0" w:type="dxa"/>
              <w:right w:w="0" w:type="dxa"/>
            </w:tcMar>
          </w:tcPr>
          <w:tbl>
            <w:tblPr>
              <w:tblOverlap w:val="never"/>
              <w:tblW w:w="3585" w:type="dxa"/>
              <w:jc w:val="center"/>
              <w:tblLayout w:type="fixed"/>
              <w:tblLook w:val="01E0" w:firstRow="1" w:lastRow="1" w:firstColumn="1" w:lastColumn="1" w:noHBand="0" w:noVBand="0"/>
            </w:tblPr>
            <w:tblGrid>
              <w:gridCol w:w="2595"/>
              <w:gridCol w:w="990"/>
            </w:tblGrid>
            <w:tr w:rsidR="00EA44BD" w:rsidRPr="00B05705" w:rsidTr="00DC4ECD">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jc w:val="center"/>
                    <w:rPr>
                      <w:rFonts w:eastAsia="Arial" w:cs="Arial"/>
                      <w:i/>
                      <w:iCs/>
                      <w:noProof/>
                      <w:color w:val="000000"/>
                      <w:sz w:val="16"/>
                      <w:szCs w:val="16"/>
                      <w:lang w:val="de-DE"/>
                    </w:rPr>
                  </w:pPr>
                  <w:r>
                    <w:rPr>
                      <w:rFonts w:eastAsia="Arial" w:cs="Arial"/>
                      <w:i/>
                      <w:iCs/>
                      <w:noProof/>
                      <w:color w:val="000000"/>
                      <w:sz w:val="16"/>
                      <w:szCs w:val="16"/>
                      <w:lang w:val="de-DE"/>
                    </w:rPr>
                    <w:t>Stufe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jc w:val="center"/>
                    <w:rPr>
                      <w:rFonts w:eastAsia="Arial" w:cs="Arial"/>
                      <w:i/>
                      <w:iCs/>
                      <w:noProof/>
                      <w:color w:val="000000"/>
                      <w:sz w:val="16"/>
                      <w:szCs w:val="16"/>
                      <w:lang w:val="de-DE"/>
                    </w:rPr>
                  </w:pPr>
                  <w:r w:rsidRPr="00B05705">
                    <w:rPr>
                      <w:rFonts w:eastAsia="Arial" w:cs="Arial"/>
                      <w:i/>
                      <w:iCs/>
                      <w:noProof/>
                      <w:color w:val="000000"/>
                      <w:sz w:val="16"/>
                      <w:szCs w:val="16"/>
                      <w:lang w:val="de-DE"/>
                    </w:rPr>
                    <w:t>Note</w:t>
                  </w:r>
                </w:p>
              </w:tc>
            </w:tr>
            <w:tr w:rsidR="00EA44BD" w:rsidRPr="00B05705" w:rsidTr="00DC4ECD">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rPr>
                      <w:rFonts w:eastAsia="Arial" w:cs="Arial"/>
                      <w:noProof/>
                      <w:color w:val="000000"/>
                      <w:sz w:val="16"/>
                      <w:szCs w:val="16"/>
                      <w:lang w:val="de-DE"/>
                    </w:rPr>
                  </w:pPr>
                  <w:r>
                    <w:rPr>
                      <w:rFonts w:eastAsia="Arial" w:cs="Arial"/>
                      <w:noProof/>
                      <w:color w:val="000000"/>
                      <w:sz w:val="16"/>
                      <w:szCs w:val="16"/>
                      <w:lang w:val="de-DE"/>
                    </w:rPr>
                    <w:t>klein</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jc w:val="center"/>
                    <w:rPr>
                      <w:rFonts w:eastAsia="Arial" w:cs="Arial"/>
                      <w:noProof/>
                      <w:color w:val="000000"/>
                      <w:sz w:val="16"/>
                      <w:szCs w:val="16"/>
                      <w:lang w:val="de-DE"/>
                    </w:rPr>
                  </w:pPr>
                  <w:r w:rsidRPr="00B05705">
                    <w:rPr>
                      <w:rFonts w:eastAsia="Arial" w:cs="Arial"/>
                      <w:noProof/>
                      <w:color w:val="000000"/>
                      <w:sz w:val="16"/>
                      <w:szCs w:val="16"/>
                      <w:lang w:val="de-DE"/>
                    </w:rPr>
                    <w:t>3</w:t>
                  </w:r>
                </w:p>
              </w:tc>
            </w:tr>
            <w:tr w:rsidR="00EA44BD" w:rsidRPr="00B05705" w:rsidTr="00DC4ECD">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rPr>
                      <w:rFonts w:eastAsia="Arial" w:cs="Arial"/>
                      <w:noProof/>
                      <w:color w:val="000000"/>
                      <w:sz w:val="16"/>
                      <w:szCs w:val="16"/>
                      <w:lang w:val="de-DE"/>
                    </w:rPr>
                  </w:pPr>
                  <w:r>
                    <w:rPr>
                      <w:rFonts w:eastAsia="Arial" w:cs="Arial"/>
                      <w:noProof/>
                      <w:color w:val="000000"/>
                      <w:sz w:val="16"/>
                      <w:szCs w:val="16"/>
                      <w:lang w:val="de-DE"/>
                    </w:rPr>
                    <w:t>mittel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jc w:val="center"/>
                    <w:rPr>
                      <w:rFonts w:eastAsia="Arial" w:cs="Arial"/>
                      <w:noProof/>
                      <w:color w:val="000000"/>
                      <w:sz w:val="16"/>
                      <w:szCs w:val="16"/>
                      <w:lang w:val="de-DE"/>
                    </w:rPr>
                  </w:pPr>
                  <w:r w:rsidRPr="00B05705">
                    <w:rPr>
                      <w:rFonts w:eastAsia="Arial" w:cs="Arial"/>
                      <w:noProof/>
                      <w:color w:val="000000"/>
                      <w:sz w:val="16"/>
                      <w:szCs w:val="16"/>
                      <w:lang w:val="de-DE"/>
                    </w:rPr>
                    <w:t>5</w:t>
                  </w:r>
                </w:p>
              </w:tc>
            </w:tr>
            <w:tr w:rsidR="00EA44BD" w:rsidRPr="00B05705" w:rsidTr="00DC4ECD">
              <w:trPr>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rPr>
                      <w:rFonts w:eastAsia="Arial" w:cs="Arial"/>
                      <w:noProof/>
                      <w:color w:val="000000"/>
                      <w:sz w:val="16"/>
                      <w:szCs w:val="16"/>
                      <w:lang w:val="de-DE"/>
                    </w:rPr>
                  </w:pPr>
                  <w:r>
                    <w:rPr>
                      <w:rFonts w:eastAsia="Arial" w:cs="Arial"/>
                      <w:noProof/>
                      <w:color w:val="000000"/>
                      <w:sz w:val="16"/>
                      <w:szCs w:val="16"/>
                      <w:lang w:val="de-DE"/>
                    </w:rPr>
                    <w:t>groß</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jc w:val="center"/>
                    <w:rPr>
                      <w:rFonts w:eastAsia="Arial" w:cs="Arial"/>
                      <w:noProof/>
                      <w:color w:val="000000"/>
                      <w:sz w:val="16"/>
                      <w:szCs w:val="16"/>
                      <w:lang w:val="de-DE"/>
                    </w:rPr>
                  </w:pPr>
                  <w:r w:rsidRPr="00B05705">
                    <w:rPr>
                      <w:rFonts w:eastAsia="Arial" w:cs="Arial"/>
                      <w:noProof/>
                      <w:color w:val="000000"/>
                      <w:sz w:val="16"/>
                      <w:szCs w:val="16"/>
                      <w:lang w:val="de-DE"/>
                    </w:rPr>
                    <w:t>7</w:t>
                  </w:r>
                </w:p>
              </w:tc>
            </w:tr>
          </w:tbl>
          <w:p w:rsidR="00EA44BD" w:rsidRPr="00B05705" w:rsidRDefault="00EA44BD" w:rsidP="00DC4ECD">
            <w:pPr>
              <w:rPr>
                <w:noProof/>
                <w:lang w:val="de-DE"/>
              </w:rPr>
            </w:pPr>
          </w:p>
        </w:tc>
      </w:tr>
    </w:tbl>
    <w:p w:rsidR="00EA44BD" w:rsidRPr="00B05705" w:rsidRDefault="00EA44BD" w:rsidP="00EA44BD">
      <w:pPr>
        <w:rPr>
          <w:noProof/>
          <w:lang w:val="de-DE"/>
        </w:rPr>
      </w:pPr>
    </w:p>
    <w:p w:rsidR="00EA44BD" w:rsidRPr="00B05705" w:rsidRDefault="00EA44BD" w:rsidP="00EA44BD">
      <w:pPr>
        <w:ind w:left="567" w:right="567"/>
        <w:rPr>
          <w:noProof/>
          <w:lang w:val="de-DE"/>
        </w:rPr>
      </w:pPr>
      <w:r>
        <w:rPr>
          <w:rFonts w:eastAsia="Arial" w:cs="Arial"/>
          <w:noProof/>
          <w:color w:val="000000"/>
          <w:lang w:val="de-DE"/>
        </w:rPr>
        <w:t>„</w:t>
      </w:r>
      <w:r w:rsidRPr="00140894">
        <w:rPr>
          <w:rFonts w:eastAsia="Arial" w:cs="Arial"/>
          <w:noProof/>
          <w:color w:val="000000"/>
          <w:lang w:val="de-DE"/>
        </w:rPr>
        <w:t xml:space="preserve">Es ist jedoch anzumerken, daß alle der nachstehenden </w:t>
      </w:r>
      <w:r>
        <w:rPr>
          <w:rFonts w:eastAsia="Arial" w:cs="Arial"/>
          <w:noProof/>
          <w:color w:val="000000"/>
          <w:lang w:val="de-DE"/>
        </w:rPr>
        <w:t>neun</w:t>
      </w:r>
      <w:r w:rsidRPr="00140894">
        <w:rPr>
          <w:rFonts w:eastAsia="Arial" w:cs="Arial"/>
          <w:noProof/>
          <w:color w:val="000000"/>
          <w:lang w:val="de-DE"/>
        </w:rPr>
        <w:t xml:space="preserve"> Ausprägungsstufen für die Beschreibung von Sorten existieren und entsprechend verwendet werden sollten</w:t>
      </w:r>
      <w:r w:rsidRPr="00B05705">
        <w:rPr>
          <w:rFonts w:eastAsia="Arial" w:cs="Arial"/>
          <w:noProof/>
          <w:color w:val="000000"/>
          <w:lang w:val="de-DE"/>
        </w:rPr>
        <w:t>:</w:t>
      </w:r>
    </w:p>
    <w:p w:rsidR="00EA44BD" w:rsidRPr="00B05705" w:rsidRDefault="00EA44BD" w:rsidP="00EA44BD">
      <w:pPr>
        <w:rPr>
          <w:noProof/>
          <w:lang w:val="de-DE"/>
        </w:rPr>
      </w:pPr>
    </w:p>
    <w:tbl>
      <w:tblPr>
        <w:tblOverlap w:val="never"/>
        <w:tblW w:w="3585" w:type="dxa"/>
        <w:jc w:val="center"/>
        <w:tblLayout w:type="fixed"/>
        <w:tblLook w:val="01E0" w:firstRow="1" w:lastRow="1" w:firstColumn="1" w:lastColumn="1" w:noHBand="0" w:noVBand="0"/>
      </w:tblPr>
      <w:tblGrid>
        <w:gridCol w:w="2595"/>
        <w:gridCol w:w="990"/>
      </w:tblGrid>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i/>
                <w:iCs/>
                <w:noProof/>
                <w:color w:val="000000"/>
                <w:sz w:val="16"/>
                <w:szCs w:val="16"/>
                <w:lang w:val="de-DE"/>
              </w:rPr>
            </w:pPr>
            <w:r>
              <w:rPr>
                <w:rFonts w:eastAsia="Arial" w:cs="Arial"/>
                <w:i/>
                <w:iCs/>
                <w:noProof/>
                <w:color w:val="000000"/>
                <w:sz w:val="16"/>
                <w:szCs w:val="16"/>
                <w:lang w:val="de-DE"/>
              </w:rPr>
              <w:t>Stufe</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i/>
                <w:iCs/>
                <w:noProof/>
                <w:color w:val="000000"/>
                <w:sz w:val="16"/>
                <w:szCs w:val="16"/>
                <w:lang w:val="de-DE"/>
              </w:rPr>
            </w:pPr>
            <w:r w:rsidRPr="00B05705">
              <w:rPr>
                <w:rFonts w:eastAsia="Arial" w:cs="Arial"/>
                <w:i/>
                <w:iCs/>
                <w:noProof/>
                <w:color w:val="000000"/>
                <w:sz w:val="16"/>
                <w:szCs w:val="16"/>
                <w:lang w:val="de-DE"/>
              </w:rPr>
              <w:t>Note</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sehr</w:t>
            </w:r>
            <w:r w:rsidRPr="00B05705">
              <w:rPr>
                <w:rFonts w:eastAsia="Arial" w:cs="Arial"/>
                <w:noProof/>
                <w:color w:val="000000"/>
                <w:sz w:val="16"/>
                <w:szCs w:val="16"/>
                <w:lang w:val="de-DE"/>
              </w:rPr>
              <w:t xml:space="preserve"> </w:t>
            </w:r>
            <w:r>
              <w:rPr>
                <w:rFonts w:eastAsia="Arial" w:cs="Arial"/>
                <w:noProof/>
                <w:color w:val="000000"/>
                <w:sz w:val="16"/>
                <w:szCs w:val="16"/>
                <w:lang w:val="de-DE"/>
              </w:rPr>
              <w:t>klein</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1</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sehr</w:t>
            </w:r>
            <w:r w:rsidRPr="00B05705">
              <w:rPr>
                <w:rFonts w:eastAsia="Arial" w:cs="Arial"/>
                <w:noProof/>
                <w:color w:val="000000"/>
                <w:sz w:val="16"/>
                <w:szCs w:val="16"/>
                <w:lang w:val="de-DE"/>
              </w:rPr>
              <w:t xml:space="preserve"> </w:t>
            </w:r>
            <w:r>
              <w:rPr>
                <w:rFonts w:eastAsia="Arial" w:cs="Arial"/>
                <w:noProof/>
                <w:color w:val="000000"/>
                <w:sz w:val="16"/>
                <w:szCs w:val="16"/>
                <w:lang w:val="de-DE"/>
              </w:rPr>
              <w:t>klein</w:t>
            </w:r>
            <w:r w:rsidRPr="00B05705">
              <w:rPr>
                <w:rFonts w:eastAsia="Arial" w:cs="Arial"/>
                <w:noProof/>
                <w:color w:val="000000"/>
                <w:sz w:val="16"/>
                <w:szCs w:val="16"/>
                <w:lang w:val="de-DE"/>
              </w:rPr>
              <w:t xml:space="preserve"> </w:t>
            </w:r>
            <w:r>
              <w:rPr>
                <w:rFonts w:eastAsia="Arial" w:cs="Arial"/>
                <w:noProof/>
                <w:color w:val="000000"/>
                <w:sz w:val="16"/>
                <w:szCs w:val="16"/>
                <w:lang w:val="de-DE"/>
              </w:rPr>
              <w:t>bis</w:t>
            </w:r>
            <w:r w:rsidRPr="00B05705">
              <w:rPr>
                <w:rFonts w:eastAsia="Arial" w:cs="Arial"/>
                <w:noProof/>
                <w:color w:val="000000"/>
                <w:sz w:val="16"/>
                <w:szCs w:val="16"/>
                <w:lang w:val="de-DE"/>
              </w:rPr>
              <w:t xml:space="preserve"> </w:t>
            </w:r>
            <w:r>
              <w:rPr>
                <w:rFonts w:eastAsia="Arial" w:cs="Arial"/>
                <w:noProof/>
                <w:color w:val="000000"/>
                <w:sz w:val="16"/>
                <w:szCs w:val="16"/>
                <w:lang w:val="de-DE"/>
              </w:rPr>
              <w:t>klein</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2</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klein</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3</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klein</w:t>
            </w:r>
            <w:r w:rsidRPr="00B05705">
              <w:rPr>
                <w:rFonts w:eastAsia="Arial" w:cs="Arial"/>
                <w:noProof/>
                <w:color w:val="000000"/>
                <w:sz w:val="16"/>
                <w:szCs w:val="16"/>
                <w:lang w:val="de-DE"/>
              </w:rPr>
              <w:t xml:space="preserve"> </w:t>
            </w:r>
            <w:r>
              <w:rPr>
                <w:rFonts w:eastAsia="Arial" w:cs="Arial"/>
                <w:noProof/>
                <w:color w:val="000000"/>
                <w:sz w:val="16"/>
                <w:szCs w:val="16"/>
                <w:lang w:val="de-DE"/>
              </w:rPr>
              <w:t>bis</w:t>
            </w:r>
            <w:r w:rsidRPr="00B05705">
              <w:rPr>
                <w:rFonts w:eastAsia="Arial" w:cs="Arial"/>
                <w:noProof/>
                <w:color w:val="000000"/>
                <w:sz w:val="16"/>
                <w:szCs w:val="16"/>
                <w:lang w:val="de-DE"/>
              </w:rPr>
              <w:t xml:space="preserve"> </w:t>
            </w:r>
            <w:r>
              <w:rPr>
                <w:rFonts w:eastAsia="Arial" w:cs="Arial"/>
                <w:noProof/>
                <w:color w:val="000000"/>
                <w:sz w:val="16"/>
                <w:szCs w:val="16"/>
                <w:lang w:val="de-DE"/>
              </w:rPr>
              <w:t>mittel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4</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mittel</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5</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mittel</w:t>
            </w:r>
            <w:r w:rsidRPr="00B05705">
              <w:rPr>
                <w:rFonts w:eastAsia="Arial" w:cs="Arial"/>
                <w:noProof/>
                <w:color w:val="000000"/>
                <w:sz w:val="16"/>
                <w:szCs w:val="16"/>
                <w:lang w:val="de-DE"/>
              </w:rPr>
              <w:t xml:space="preserve"> </w:t>
            </w:r>
            <w:r>
              <w:rPr>
                <w:rFonts w:eastAsia="Arial" w:cs="Arial"/>
                <w:noProof/>
                <w:color w:val="000000"/>
                <w:sz w:val="16"/>
                <w:szCs w:val="16"/>
                <w:lang w:val="de-DE"/>
              </w:rPr>
              <w:t>bis</w:t>
            </w:r>
            <w:r w:rsidRPr="00B05705">
              <w:rPr>
                <w:rFonts w:eastAsia="Arial" w:cs="Arial"/>
                <w:noProof/>
                <w:color w:val="000000"/>
                <w:sz w:val="16"/>
                <w:szCs w:val="16"/>
                <w:lang w:val="de-DE"/>
              </w:rPr>
              <w:t xml:space="preserve"> </w:t>
            </w:r>
            <w:r>
              <w:rPr>
                <w:rFonts w:eastAsia="Arial" w:cs="Arial"/>
                <w:noProof/>
                <w:color w:val="000000"/>
                <w:sz w:val="16"/>
                <w:szCs w:val="16"/>
                <w:lang w:val="de-DE"/>
              </w:rPr>
              <w:t>groß</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6</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groß</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7</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groß</w:t>
            </w:r>
            <w:r w:rsidRPr="00B05705">
              <w:rPr>
                <w:rFonts w:eastAsia="Arial" w:cs="Arial"/>
                <w:noProof/>
                <w:color w:val="000000"/>
                <w:sz w:val="16"/>
                <w:szCs w:val="16"/>
                <w:lang w:val="de-DE"/>
              </w:rPr>
              <w:t xml:space="preserve"> </w:t>
            </w:r>
            <w:r>
              <w:rPr>
                <w:rFonts w:eastAsia="Arial" w:cs="Arial"/>
                <w:noProof/>
                <w:color w:val="000000"/>
                <w:sz w:val="16"/>
                <w:szCs w:val="16"/>
                <w:lang w:val="de-DE"/>
              </w:rPr>
              <w:t>bis</w:t>
            </w:r>
            <w:r w:rsidRPr="00B05705">
              <w:rPr>
                <w:rFonts w:eastAsia="Arial" w:cs="Arial"/>
                <w:noProof/>
                <w:color w:val="000000"/>
                <w:sz w:val="16"/>
                <w:szCs w:val="16"/>
                <w:lang w:val="de-DE"/>
              </w:rPr>
              <w:t xml:space="preserve"> </w:t>
            </w:r>
            <w:r>
              <w:rPr>
                <w:rFonts w:eastAsia="Arial" w:cs="Arial"/>
                <w:noProof/>
                <w:color w:val="000000"/>
                <w:sz w:val="16"/>
                <w:szCs w:val="16"/>
                <w:lang w:val="de-DE"/>
              </w:rPr>
              <w:t>sehr</w:t>
            </w:r>
            <w:r w:rsidRPr="00B05705">
              <w:rPr>
                <w:rFonts w:eastAsia="Arial" w:cs="Arial"/>
                <w:noProof/>
                <w:color w:val="000000"/>
                <w:sz w:val="16"/>
                <w:szCs w:val="16"/>
                <w:lang w:val="de-DE"/>
              </w:rPr>
              <w:t xml:space="preserve"> </w:t>
            </w:r>
            <w:r>
              <w:rPr>
                <w:rFonts w:eastAsia="Arial" w:cs="Arial"/>
                <w:noProof/>
                <w:color w:val="000000"/>
                <w:sz w:val="16"/>
                <w:szCs w:val="16"/>
                <w:lang w:val="de-DE"/>
              </w:rPr>
              <w:t>groß</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8</w:t>
            </w:r>
          </w:p>
        </w:tc>
      </w:tr>
      <w:tr w:rsidR="00EA44BD" w:rsidRPr="00B05705" w:rsidTr="00DC4ECD">
        <w:trPr>
          <w:cantSplit/>
          <w:jc w:val="center"/>
        </w:trPr>
        <w:tc>
          <w:tcPr>
            <w:tcW w:w="2595"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rPr>
                <w:rFonts w:eastAsia="Arial" w:cs="Arial"/>
                <w:noProof/>
                <w:color w:val="000000"/>
                <w:sz w:val="16"/>
                <w:szCs w:val="16"/>
                <w:lang w:val="de-DE"/>
              </w:rPr>
            </w:pPr>
            <w:r>
              <w:rPr>
                <w:rFonts w:eastAsia="Arial" w:cs="Arial"/>
                <w:noProof/>
                <w:color w:val="000000"/>
                <w:sz w:val="16"/>
                <w:szCs w:val="16"/>
                <w:lang w:val="de-DE"/>
              </w:rPr>
              <w:t>sehr</w:t>
            </w:r>
            <w:r w:rsidRPr="00B05705">
              <w:rPr>
                <w:rFonts w:eastAsia="Arial" w:cs="Arial"/>
                <w:noProof/>
                <w:color w:val="000000"/>
                <w:sz w:val="16"/>
                <w:szCs w:val="16"/>
                <w:lang w:val="de-DE"/>
              </w:rPr>
              <w:t xml:space="preserve"> </w:t>
            </w:r>
            <w:r>
              <w:rPr>
                <w:rFonts w:eastAsia="Arial" w:cs="Arial"/>
                <w:noProof/>
                <w:color w:val="000000"/>
                <w:sz w:val="16"/>
                <w:szCs w:val="16"/>
                <w:lang w:val="de-DE"/>
              </w:rPr>
              <w:t>groß</w:t>
            </w:r>
          </w:p>
        </w:tc>
        <w:tc>
          <w:tcPr>
            <w:tcW w:w="990" w:type="dxa"/>
            <w:tcBorders>
              <w:top w:val="dotted" w:sz="6" w:space="0" w:color="000000"/>
              <w:left w:val="dotted" w:sz="6" w:space="0" w:color="000000"/>
              <w:bottom w:val="dotted" w:sz="6" w:space="0" w:color="000000"/>
              <w:right w:val="dotted" w:sz="6" w:space="0" w:color="000000"/>
            </w:tcBorders>
            <w:tcMar>
              <w:top w:w="0" w:type="dxa"/>
              <w:left w:w="0" w:type="dxa"/>
              <w:bottom w:w="0" w:type="dxa"/>
              <w:right w:w="0" w:type="dxa"/>
            </w:tcMar>
          </w:tcPr>
          <w:p w:rsidR="00EA44BD" w:rsidRPr="00B05705" w:rsidRDefault="00EA44BD" w:rsidP="00DC4ECD">
            <w:pPr>
              <w:keepNext/>
              <w:jc w:val="center"/>
              <w:rPr>
                <w:rFonts w:eastAsia="Arial" w:cs="Arial"/>
                <w:noProof/>
                <w:color w:val="000000"/>
                <w:sz w:val="16"/>
                <w:szCs w:val="16"/>
                <w:lang w:val="de-DE"/>
              </w:rPr>
            </w:pPr>
            <w:r w:rsidRPr="00B05705">
              <w:rPr>
                <w:rFonts w:eastAsia="Arial" w:cs="Arial"/>
                <w:noProof/>
                <w:color w:val="000000"/>
                <w:sz w:val="16"/>
                <w:szCs w:val="16"/>
                <w:lang w:val="de-DE"/>
              </w:rPr>
              <w:t>9</w:t>
            </w:r>
          </w:p>
        </w:tc>
      </w:tr>
    </w:tbl>
    <w:p w:rsidR="00EA44BD" w:rsidRPr="00B05705" w:rsidRDefault="00EA44BD" w:rsidP="00EA44BD">
      <w:pPr>
        <w:rPr>
          <w:noProof/>
          <w:lang w:val="de-DE"/>
        </w:rPr>
      </w:pPr>
    </w:p>
    <w:p w:rsidR="00EA44BD" w:rsidRPr="00440F19" w:rsidRDefault="00EA44BD" w:rsidP="00EA44BD">
      <w:pPr>
        <w:rPr>
          <w:noProof/>
          <w:lang w:val="de-DE"/>
        </w:rPr>
      </w:pPr>
      <w:r w:rsidRPr="0059364E">
        <w:rPr>
          <w:noProof/>
          <w:lang w:val="de-DE"/>
        </w:rPr>
        <w:lastRenderedPageBreak/>
        <w:fldChar w:fldCharType="begin"/>
      </w:r>
      <w:r w:rsidRPr="0059364E">
        <w:rPr>
          <w:noProof/>
          <w:lang w:val="de-DE"/>
        </w:rPr>
        <w:instrText xml:space="preserve"> AUTONUM  </w:instrText>
      </w:r>
      <w:r w:rsidRPr="0059364E">
        <w:rPr>
          <w:noProof/>
          <w:lang w:val="de-DE"/>
        </w:rPr>
        <w:fldChar w:fldCharType="end"/>
      </w:r>
      <w:r w:rsidRPr="00440F19">
        <w:rPr>
          <w:noProof/>
          <w:lang w:val="de-DE"/>
        </w:rPr>
        <w:tab/>
        <w:t xml:space="preserve">Trotz der Aufnahme dieser Erläuterung bestehen weit verbreitete Verwirrung und Mißverständnisse über die „verkürzte“ Skala. Darüber hinaus wurde die UPOV-Dokumentation, einschließlich der Prüfungsrichtlinien, auf der UPOV-Website </w:t>
      </w:r>
      <w:r>
        <w:rPr>
          <w:noProof/>
          <w:lang w:val="de-DE"/>
        </w:rPr>
        <w:t>bereitgestellt</w:t>
      </w:r>
      <w:r w:rsidRPr="00440F19">
        <w:rPr>
          <w:noProof/>
          <w:lang w:val="de-DE"/>
        </w:rPr>
        <w:t xml:space="preserve"> und wird den UPOV-Mitgliedern nicht mehr als Papierexemplare per Post zugesandt. Daher ist die Verwendung einer verkürzte</w:t>
      </w:r>
      <w:r>
        <w:rPr>
          <w:noProof/>
          <w:lang w:val="de-DE"/>
        </w:rPr>
        <w:t>n</w:t>
      </w:r>
      <w:r w:rsidRPr="00440F19">
        <w:rPr>
          <w:noProof/>
          <w:lang w:val="de-DE"/>
        </w:rPr>
        <w:t xml:space="preserve"> Skala zur Verminderung der Größe der Merkmalstabelle möglicherweise nicht mehr zweckmäßig. Die Darstellung aller Ausprägungsstufen für quantitative Merkmale in der Merkmalstabelle würde auch die Notwendigkeit einer Sonderbehandlung der Merkmale, die im Technischen Fragebogen enthalten sind, erübrigen. Ein weiterer Vorteil </w:t>
      </w:r>
      <w:r>
        <w:rPr>
          <w:noProof/>
          <w:lang w:val="de-DE"/>
        </w:rPr>
        <w:t>bestünde darin</w:t>
      </w:r>
      <w:r w:rsidRPr="00440F19">
        <w:rPr>
          <w:noProof/>
          <w:lang w:val="de-DE"/>
        </w:rPr>
        <w:t>, daß alle Ausprägungsstufen für die in UPOV</w:t>
      </w:r>
      <w:r>
        <w:rPr>
          <w:noProof/>
          <w:lang w:val="de-DE"/>
        </w:rPr>
        <w:t>-</w:t>
      </w:r>
      <w:r w:rsidRPr="00440F19">
        <w:rPr>
          <w:noProof/>
          <w:lang w:val="de-DE"/>
        </w:rPr>
        <w:t>PRISMA enthaltenen Merkmale benötigt werden. Aus diesen Gründen sollten die UPOV-Mitglieder erwägen, alle Ausprägungsstufen für quantitative Merkmale in den Prüfungsrichtlinien darzustellen.</w:t>
      </w:r>
      <w:r>
        <w:rPr>
          <w:noProof/>
          <w:lang w:val="de-DE"/>
        </w:rPr>
        <w:t xml:space="preserve"> </w:t>
      </w:r>
    </w:p>
    <w:p w:rsidR="00EA44BD" w:rsidRPr="00440F19" w:rsidRDefault="00EA44BD" w:rsidP="00EA44BD">
      <w:pPr>
        <w:rPr>
          <w:noProof/>
          <w:lang w:val="de-DE"/>
        </w:rPr>
      </w:pPr>
    </w:p>
    <w:p w:rsidR="00EA44BD" w:rsidRPr="00440F19" w:rsidRDefault="00EA44BD" w:rsidP="00EA44BD">
      <w:pPr>
        <w:rPr>
          <w:rFonts w:eastAsia="Arial" w:cs="Arial"/>
          <w:noProof/>
          <w:color w:val="000000"/>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 xml:space="preserve">Die TWP wurden auf ihren Tagungen im Jahr 2019 ersucht, eine Überarbeitung von Dokument TGP/7, GN 20 „Darstellung der Merkmale: Ausprägungsstufen nach Ausprägungstyp eines Merkmals“ und Anlage 1 „TG-Aufbau und allgemeingültiger Standardwortlaut“, </w:t>
      </w:r>
      <w:r w:rsidRPr="00440F19">
        <w:rPr>
          <w:rFonts w:eastAsia="Arial" w:cs="Arial"/>
          <w:noProof/>
          <w:color w:val="000000"/>
          <w:lang w:val="de-DE"/>
        </w:rPr>
        <w:t>zu prüfen,</w:t>
      </w:r>
      <w:r w:rsidRPr="00440F19">
        <w:rPr>
          <w:noProof/>
          <w:lang w:val="de-DE"/>
        </w:rPr>
        <w:t xml:space="preserve"> um alle Ausprägungsstufen </w:t>
      </w:r>
      <w:r w:rsidRPr="00440F19">
        <w:rPr>
          <w:rFonts w:eastAsia="Arial" w:cs="Arial"/>
          <w:noProof/>
          <w:color w:val="000000"/>
          <w:lang w:val="de-DE"/>
        </w:rPr>
        <w:t>für quantitative Merkmale, die in den Prüfungsrichtlinien</w:t>
      </w:r>
      <w:r w:rsidRPr="00440F19">
        <w:rPr>
          <w:noProof/>
          <w:lang w:val="de-DE"/>
        </w:rPr>
        <w:t xml:space="preserve"> enthalten sind, darzustellen</w:t>
      </w:r>
      <w:r w:rsidRPr="00440F19">
        <w:rPr>
          <w:rFonts w:eastAsia="Arial" w:cs="Arial"/>
          <w:noProof/>
          <w:color w:val="000000"/>
          <w:lang w:val="de-DE"/>
        </w:rPr>
        <w:t>.</w:t>
      </w:r>
    </w:p>
    <w:p w:rsidR="00EA44BD" w:rsidRPr="00440F19" w:rsidRDefault="00EA44BD" w:rsidP="00EA44BD">
      <w:pPr>
        <w:rPr>
          <w:rFonts w:eastAsia="Arial" w:cs="Arial"/>
          <w:noProof/>
          <w:color w:val="000000"/>
          <w:lang w:val="de-DE"/>
        </w:rPr>
      </w:pPr>
    </w:p>
    <w:p w:rsidR="00EA44BD" w:rsidRPr="00440F19" w:rsidRDefault="00EA44BD" w:rsidP="00EA44BD">
      <w:pPr>
        <w:pStyle w:val="Heading4"/>
        <w:rPr>
          <w:rFonts w:eastAsia="Arial"/>
          <w:noProof/>
          <w:lang w:val="de-DE"/>
        </w:rPr>
      </w:pPr>
      <w:bookmarkStart w:id="59" w:name="_Toc22499450"/>
      <w:bookmarkStart w:id="60" w:name="_Toc22740459"/>
      <w:r w:rsidRPr="00440F19">
        <w:rPr>
          <w:rFonts w:eastAsia="Arial"/>
          <w:noProof/>
          <w:lang w:val="de-DE"/>
        </w:rPr>
        <w:t>Bemerkungen der TWP auf ihren Tagungen im Jahr 2019</w:t>
      </w:r>
      <w:bookmarkEnd w:id="59"/>
      <w:bookmarkEnd w:id="60"/>
    </w:p>
    <w:p w:rsidR="00EA44BD" w:rsidRPr="00440F19" w:rsidRDefault="00EA44BD" w:rsidP="00EA44BD">
      <w:pPr>
        <w:rPr>
          <w:rFonts w:eastAsia="Arial" w:cs="Arial"/>
          <w:noProof/>
          <w:color w:val="000000"/>
          <w:lang w:val="de-DE"/>
        </w:rPr>
      </w:pPr>
    </w:p>
    <w:p w:rsidR="00EA44BD" w:rsidRPr="006A1471"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 xml:space="preserve">Die TWO, TWV, TWF und TWA prüften auf ihren Tagungen im Jahr 2019 den Vorschlag zur Überarbeitung von Dokument TGP/7, GN 20, um alle Ausprägungsstufen </w:t>
      </w:r>
      <w:r w:rsidRPr="00440F19">
        <w:rPr>
          <w:rFonts w:eastAsia="Arial" w:cs="Arial"/>
          <w:noProof/>
          <w:color w:val="000000"/>
          <w:lang w:val="de-DE"/>
        </w:rPr>
        <w:t>für quantitative Merkmale, die in den Prüfungsrichtlinien</w:t>
      </w:r>
      <w:r w:rsidRPr="00440F19">
        <w:rPr>
          <w:noProof/>
          <w:lang w:val="de-DE"/>
        </w:rPr>
        <w:t xml:space="preserve"> enthalten sind, darzu</w:t>
      </w:r>
      <w:r>
        <w:rPr>
          <w:noProof/>
          <w:lang w:val="de-DE"/>
        </w:rPr>
        <w:t>stellen</w:t>
      </w:r>
      <w:r w:rsidRPr="00440F19">
        <w:rPr>
          <w:noProof/>
          <w:lang w:val="de-DE"/>
        </w:rPr>
        <w:t xml:space="preserve"> (vergleiche Dokumente TWO/51/12 „Report“, Absätze 19 bis 23, TWV/53/14 „Report“, Absätze 12 bis 16, TWF/50/13 „Report“, Absätze 11 und 13 und TWA/48/9 „Report“, Absätze 40 bis 42).</w:t>
      </w:r>
    </w:p>
    <w:p w:rsidR="00EA44BD" w:rsidRPr="00440F19" w:rsidRDefault="00EA44BD" w:rsidP="00EA44BD">
      <w:pPr>
        <w:tabs>
          <w:tab w:val="left" w:pos="1116"/>
        </w:tabs>
        <w:rPr>
          <w:noProof/>
          <w:lang w:val="de-DE"/>
        </w:rPr>
      </w:pPr>
      <w:r w:rsidRPr="00440F19">
        <w:rPr>
          <w:noProof/>
          <w:lang w:val="de-DE"/>
        </w:rPr>
        <w:tab/>
      </w: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Die TWO, TWV und TWF ver</w:t>
      </w:r>
      <w:r w:rsidRPr="00B05705">
        <w:rPr>
          <w:noProof/>
          <w:lang w:val="de-DE"/>
        </w:rPr>
        <w:t>einbarte</w:t>
      </w:r>
      <w:r>
        <w:rPr>
          <w:noProof/>
          <w:lang w:val="de-DE"/>
        </w:rPr>
        <w:t>n,</w:t>
      </w:r>
      <w:r w:rsidRPr="00B05705">
        <w:rPr>
          <w:noProof/>
          <w:lang w:val="de-DE"/>
        </w:rPr>
        <w:t xml:space="preserve"> </w:t>
      </w:r>
      <w:r>
        <w:rPr>
          <w:noProof/>
          <w:lang w:val="de-DE"/>
        </w:rPr>
        <w:t>daß alle</w:t>
      </w:r>
      <w:r w:rsidRPr="00B05705">
        <w:rPr>
          <w:noProof/>
          <w:lang w:val="de-DE"/>
        </w:rPr>
        <w:t xml:space="preserve"> Ausprägungsstufen für quantitative Merkmale </w:t>
      </w:r>
      <w:r>
        <w:rPr>
          <w:noProof/>
          <w:lang w:val="de-DE"/>
        </w:rPr>
        <w:t>in den</w:t>
      </w:r>
      <w:r w:rsidRPr="00B05705">
        <w:rPr>
          <w:noProof/>
          <w:lang w:val="de-DE"/>
        </w:rPr>
        <w:t xml:space="preserve"> Prüfungsrichtlinien</w:t>
      </w:r>
      <w:r>
        <w:rPr>
          <w:noProof/>
          <w:lang w:val="de-DE"/>
        </w:rPr>
        <w:t xml:space="preserve"> dargestellt werden sollten</w:t>
      </w:r>
      <w:r w:rsidRPr="00B05705">
        <w:rPr>
          <w:noProof/>
          <w:lang w:val="de-DE"/>
        </w:rPr>
        <w:t xml:space="preserve">. </w:t>
      </w:r>
    </w:p>
    <w:p w:rsidR="00EA44BD" w:rsidRPr="00B05705" w:rsidRDefault="00EA44BD" w:rsidP="00EA44BD">
      <w:pPr>
        <w:rPr>
          <w:noProof/>
          <w:lang w:val="de-DE"/>
        </w:rPr>
      </w:pPr>
    </w:p>
    <w:p w:rsidR="00EA44BD" w:rsidRPr="00440F19"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 xml:space="preserve">Die TWO und die TWV erinnerten daran, daß die Anleitung in Dokument TGP/7 </w:t>
      </w:r>
      <w:r>
        <w:rPr>
          <w:noProof/>
          <w:lang w:val="de-DE"/>
        </w:rPr>
        <w:t xml:space="preserve">erfordere, daß </w:t>
      </w:r>
      <w:r w:rsidRPr="00440F19">
        <w:rPr>
          <w:noProof/>
          <w:lang w:val="de-DE"/>
        </w:rPr>
        <w:t>quantitative Merkmale mit der Skala „1</w:t>
      </w:r>
      <w:r w:rsidRPr="00440F19">
        <w:rPr>
          <w:noProof/>
          <w:lang w:val="de-DE"/>
        </w:rPr>
        <w:noBreakHyphen/>
        <w:t>9“</w:t>
      </w:r>
      <w:r>
        <w:rPr>
          <w:noProof/>
          <w:lang w:val="de-DE"/>
        </w:rPr>
        <w:t xml:space="preserve"> </w:t>
      </w:r>
      <w:r w:rsidRPr="006A1471">
        <w:rPr>
          <w:noProof/>
          <w:lang w:val="de-DE"/>
        </w:rPr>
        <w:t>über Beispielsorten für mindestens drei Ausprägungsstufen und die Skalen „1-5“ / „1-4“ / „1-3“ für mindestens zwei Ausprägungsstufen verfügen. Die TWO und die TWV stimmten dem</w:t>
      </w:r>
      <w:r w:rsidRPr="0004263E">
        <w:rPr>
          <w:noProof/>
          <w:lang w:val="de-DE"/>
        </w:rPr>
        <w:t xml:space="preserve"> Vorschlag zu, alle Ausprägungsstufen von quantitativen Merkmalen in den Prüfungsrichtlinien darzu</w:t>
      </w:r>
      <w:r>
        <w:rPr>
          <w:noProof/>
          <w:lang w:val="de-DE"/>
        </w:rPr>
        <w:t xml:space="preserve">stellen, </w:t>
      </w:r>
      <w:r w:rsidRPr="00440F19">
        <w:rPr>
          <w:noProof/>
          <w:lang w:val="de-DE"/>
        </w:rPr>
        <w:t>und vereinbarten, daß dies die Mindestanzahl der in Dokument TGP/7 geforderten Beispielsorten nicht ändern würde.</w:t>
      </w:r>
      <w:r>
        <w:rPr>
          <w:noProof/>
          <w:lang w:val="de-DE"/>
        </w:rPr>
        <w:t xml:space="preserve"> </w:t>
      </w:r>
    </w:p>
    <w:p w:rsidR="00EA44BD" w:rsidRPr="00440F19" w:rsidRDefault="00EA44BD" w:rsidP="00EA44BD">
      <w:pPr>
        <w:rPr>
          <w:noProof/>
          <w:lang w:val="de-DE"/>
        </w:rPr>
      </w:pPr>
    </w:p>
    <w:p w:rsidR="00EA44BD"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Die TWF</w:t>
      </w:r>
      <w:r w:rsidRPr="00B05705">
        <w:rPr>
          <w:noProof/>
          <w:lang w:val="de-DE"/>
        </w:rPr>
        <w:t xml:space="preserve"> </w:t>
      </w:r>
      <w:r>
        <w:rPr>
          <w:noProof/>
          <w:lang w:val="de-DE"/>
        </w:rPr>
        <w:t>begrüßte</w:t>
      </w:r>
      <w:r w:rsidRPr="00B05705">
        <w:rPr>
          <w:noProof/>
          <w:lang w:val="de-DE"/>
        </w:rPr>
        <w:t xml:space="preserve"> </w:t>
      </w:r>
      <w:r>
        <w:rPr>
          <w:noProof/>
          <w:lang w:val="de-DE"/>
        </w:rPr>
        <w:t xml:space="preserve">den </w:t>
      </w:r>
      <w:r w:rsidRPr="00B05705">
        <w:rPr>
          <w:noProof/>
          <w:lang w:val="de-DE"/>
        </w:rPr>
        <w:t>Vorschlag</w:t>
      </w:r>
      <w:r>
        <w:rPr>
          <w:noProof/>
          <w:lang w:val="de-DE"/>
        </w:rPr>
        <w:t>,</w:t>
      </w:r>
      <w:r w:rsidRPr="00B05705">
        <w:rPr>
          <w:noProof/>
          <w:lang w:val="de-DE"/>
        </w:rPr>
        <w:t xml:space="preserve"> </w:t>
      </w:r>
      <w:r>
        <w:rPr>
          <w:noProof/>
          <w:lang w:val="de-DE"/>
        </w:rPr>
        <w:t xml:space="preserve">die </w:t>
      </w:r>
      <w:r w:rsidRPr="00CE5B01">
        <w:rPr>
          <w:noProof/>
          <w:lang w:val="de-DE"/>
        </w:rPr>
        <w:t>vollständig</w:t>
      </w:r>
      <w:r>
        <w:rPr>
          <w:noProof/>
          <w:lang w:val="de-DE"/>
        </w:rPr>
        <w:t>e</w:t>
      </w:r>
      <w:r w:rsidRPr="00CE5B01">
        <w:rPr>
          <w:noProof/>
          <w:lang w:val="de-DE"/>
        </w:rPr>
        <w:t xml:space="preserve"> Notenskala </w:t>
      </w:r>
      <w:r w:rsidRPr="00B05705">
        <w:rPr>
          <w:noProof/>
          <w:lang w:val="de-DE"/>
        </w:rPr>
        <w:t>für QN</w:t>
      </w:r>
      <w:r>
        <w:rPr>
          <w:noProof/>
          <w:lang w:val="de-DE"/>
        </w:rPr>
        <w:t>-Merkmale</w:t>
      </w:r>
      <w:r w:rsidRPr="00B05705">
        <w:rPr>
          <w:noProof/>
          <w:lang w:val="de-DE"/>
        </w:rPr>
        <w:t xml:space="preserve"> in </w:t>
      </w:r>
      <w:r>
        <w:rPr>
          <w:noProof/>
          <w:lang w:val="de-DE"/>
        </w:rPr>
        <w:t xml:space="preserve">den </w:t>
      </w:r>
      <w:r w:rsidRPr="00B05705">
        <w:rPr>
          <w:noProof/>
          <w:lang w:val="de-DE"/>
        </w:rPr>
        <w:t xml:space="preserve">Prüfungsrichtlinien </w:t>
      </w:r>
      <w:r>
        <w:rPr>
          <w:noProof/>
          <w:lang w:val="de-DE"/>
        </w:rPr>
        <w:t xml:space="preserve">darzustellen, </w:t>
      </w:r>
      <w:r w:rsidRPr="00CE5B01">
        <w:rPr>
          <w:noProof/>
          <w:lang w:val="de-DE"/>
        </w:rPr>
        <w:t xml:space="preserve">da </w:t>
      </w:r>
      <w:r>
        <w:rPr>
          <w:noProof/>
          <w:lang w:val="de-DE"/>
        </w:rPr>
        <w:t>dies</w:t>
      </w:r>
      <w:r w:rsidRPr="00CE5B01">
        <w:rPr>
          <w:noProof/>
          <w:lang w:val="de-DE"/>
        </w:rPr>
        <w:t xml:space="preserve"> für die DUS-Prüfer mehr Klarheit schaffen würde</w:t>
      </w:r>
      <w:r w:rsidRPr="00B05705">
        <w:rPr>
          <w:noProof/>
          <w:lang w:val="de-DE"/>
        </w:rPr>
        <w:t xml:space="preserve">, </w:t>
      </w:r>
      <w:r w:rsidRPr="003F637D">
        <w:rPr>
          <w:noProof/>
          <w:lang w:val="de-DE"/>
        </w:rPr>
        <w:t>insbesondere bei Prüfungen</w:t>
      </w:r>
      <w:r w:rsidRPr="00B05705">
        <w:rPr>
          <w:noProof/>
          <w:lang w:val="de-DE"/>
        </w:rPr>
        <w:t xml:space="preserve"> </w:t>
      </w:r>
      <w:r>
        <w:rPr>
          <w:noProof/>
          <w:lang w:val="de-DE"/>
        </w:rPr>
        <w:t xml:space="preserve">auf dem </w:t>
      </w:r>
      <w:r w:rsidRPr="003F637D">
        <w:rPr>
          <w:noProof/>
          <w:lang w:val="de-DE"/>
        </w:rPr>
        <w:t>Gelände des Züchters</w:t>
      </w:r>
      <w:r w:rsidRPr="00B05705">
        <w:rPr>
          <w:noProof/>
          <w:lang w:val="de-DE"/>
        </w:rPr>
        <w:t xml:space="preserve">. </w:t>
      </w:r>
      <w:r>
        <w:rPr>
          <w:noProof/>
          <w:lang w:val="de-DE"/>
        </w:rPr>
        <w:t xml:space="preserve">Sie </w:t>
      </w:r>
      <w:r w:rsidRPr="00B05705">
        <w:rPr>
          <w:noProof/>
          <w:lang w:val="de-DE"/>
        </w:rPr>
        <w:t>vereinbarte</w:t>
      </w:r>
      <w:r>
        <w:rPr>
          <w:noProof/>
          <w:lang w:val="de-DE"/>
        </w:rPr>
        <w:t xml:space="preserve"> ferner, daß</w:t>
      </w:r>
      <w:r w:rsidRPr="00B05705">
        <w:rPr>
          <w:noProof/>
          <w:lang w:val="de-DE"/>
        </w:rPr>
        <w:t xml:space="preserve"> </w:t>
      </w:r>
      <w:r>
        <w:rPr>
          <w:noProof/>
          <w:lang w:val="de-DE"/>
        </w:rPr>
        <w:t>dies die Qualität der bereitgestellten Daten verbessern würde.</w:t>
      </w:r>
    </w:p>
    <w:p w:rsidR="00EA44BD" w:rsidRPr="00B05705" w:rsidRDefault="00EA44BD" w:rsidP="00EA44BD">
      <w:pPr>
        <w:rPr>
          <w:noProof/>
          <w:lang w:val="de-DE"/>
        </w:rPr>
      </w:pPr>
    </w:p>
    <w:p w:rsidR="00EA44BD" w:rsidRPr="00440F19"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 xml:space="preserve">Die TWA prüfte den Vorschlag für die Überarbeitung von Dokument TGP/7, alle Ausprägungsstufen für quantitative Merkmale in den Prüfungsrichtlinien </w:t>
      </w:r>
      <w:r>
        <w:rPr>
          <w:noProof/>
          <w:lang w:val="de-DE"/>
        </w:rPr>
        <w:t>darzustellen</w:t>
      </w:r>
      <w:r w:rsidRPr="00440F19">
        <w:rPr>
          <w:noProof/>
          <w:lang w:val="de-DE"/>
        </w:rPr>
        <w:t xml:space="preserve">, und vereinbarte, daß es zum jetzigen Zeitpunkt nicht möglich wäre, </w:t>
      </w:r>
      <w:r w:rsidRPr="006A1471">
        <w:rPr>
          <w:noProof/>
          <w:lang w:val="de-DE"/>
        </w:rPr>
        <w:t>in dieser Angelegenheit</w:t>
      </w:r>
      <w:r>
        <w:rPr>
          <w:noProof/>
          <w:lang w:val="de-DE"/>
        </w:rPr>
        <w:t xml:space="preserve"> </w:t>
      </w:r>
      <w:r w:rsidRPr="00DD201B">
        <w:rPr>
          <w:noProof/>
          <w:lang w:val="de-DE"/>
        </w:rPr>
        <w:t xml:space="preserve">zu einer </w:t>
      </w:r>
      <w:r>
        <w:rPr>
          <w:noProof/>
          <w:lang w:val="de-DE"/>
        </w:rPr>
        <w:t>Entschließung</w:t>
      </w:r>
      <w:r w:rsidRPr="00440F19">
        <w:rPr>
          <w:noProof/>
          <w:lang w:val="de-DE"/>
        </w:rPr>
        <w:t xml:space="preserve"> zu gelangen. </w:t>
      </w:r>
    </w:p>
    <w:p w:rsidR="00EA44BD" w:rsidRPr="006A1471" w:rsidRDefault="00EA44BD" w:rsidP="00EA44BD">
      <w:pPr>
        <w:rPr>
          <w:noProof/>
          <w:lang w:val="de-DE"/>
        </w:rPr>
      </w:pPr>
    </w:p>
    <w:p w:rsidR="00EA44BD" w:rsidRPr="006A1471"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Die TWA nahm zur Kenntnis, daß die Dar</w:t>
      </w:r>
      <w:r>
        <w:rPr>
          <w:noProof/>
          <w:lang w:val="de-DE"/>
        </w:rPr>
        <w:t>stell</w:t>
      </w:r>
      <w:r w:rsidRPr="00440F19">
        <w:rPr>
          <w:noProof/>
          <w:lang w:val="de-DE"/>
        </w:rPr>
        <w:t>ung aller Ausprägungsstufen in den Prüfungsrichtlinien für weniger erfahrene DUS-Prüfer und andere Benutzer von Prüfungsrichtlinien, wie z.B. Züchter, nützlich sein könnte</w:t>
      </w:r>
      <w:r w:rsidRPr="006A1471">
        <w:rPr>
          <w:noProof/>
          <w:lang w:val="de-DE"/>
        </w:rPr>
        <w:t>. Die TWA nahm ferner zur Kenntnis, daß die Dar</w:t>
      </w:r>
      <w:r>
        <w:rPr>
          <w:noProof/>
          <w:lang w:val="de-DE"/>
        </w:rPr>
        <w:t>stell</w:t>
      </w:r>
      <w:r w:rsidRPr="006A1471">
        <w:rPr>
          <w:noProof/>
          <w:lang w:val="de-DE"/>
        </w:rPr>
        <w:t xml:space="preserve">ung aller Ausprägungsstufen für </w:t>
      </w:r>
      <w:r>
        <w:rPr>
          <w:noProof/>
          <w:lang w:val="de-DE"/>
        </w:rPr>
        <w:t>die</w:t>
      </w:r>
      <w:r w:rsidRPr="006A1471">
        <w:rPr>
          <w:noProof/>
          <w:lang w:val="de-DE"/>
        </w:rPr>
        <w:t xml:space="preserve"> Online-System</w:t>
      </w:r>
      <w:r>
        <w:rPr>
          <w:noProof/>
          <w:lang w:val="de-DE"/>
        </w:rPr>
        <w:t>e</w:t>
      </w:r>
      <w:r w:rsidRPr="006A1471">
        <w:rPr>
          <w:noProof/>
          <w:lang w:val="de-DE"/>
        </w:rPr>
        <w:t xml:space="preserve"> für die Einreichung von Anträgen wichtig sei, einschließlich </w:t>
      </w:r>
      <w:r>
        <w:rPr>
          <w:noProof/>
          <w:lang w:val="de-DE"/>
        </w:rPr>
        <w:t>der</w:t>
      </w:r>
      <w:r w:rsidRPr="006A1471">
        <w:rPr>
          <w:noProof/>
          <w:lang w:val="de-DE"/>
        </w:rPr>
        <w:t xml:space="preserve"> nationalen Online-System</w:t>
      </w:r>
      <w:r>
        <w:rPr>
          <w:noProof/>
          <w:lang w:val="de-DE"/>
        </w:rPr>
        <w:t>e</w:t>
      </w:r>
      <w:r w:rsidRPr="006A1471">
        <w:rPr>
          <w:noProof/>
          <w:lang w:val="de-DE"/>
        </w:rPr>
        <w:t xml:space="preserve"> für die Einreichung von Anträgen und UPOV-PRISMA.</w:t>
      </w:r>
      <w:r>
        <w:rPr>
          <w:noProof/>
          <w:lang w:val="de-DE"/>
        </w:rPr>
        <w:t xml:space="preserve"> </w:t>
      </w:r>
    </w:p>
    <w:p w:rsidR="00EA44BD" w:rsidRPr="006A1471" w:rsidRDefault="00EA44BD" w:rsidP="00EA44BD">
      <w:pPr>
        <w:rPr>
          <w:noProof/>
          <w:lang w:val="de-DE"/>
        </w:rPr>
      </w:pP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440F19">
        <w:rPr>
          <w:noProof/>
          <w:lang w:val="de-DE"/>
        </w:rPr>
        <w:tab/>
        <w:t>Die TWA nahm die St</w:t>
      </w:r>
      <w:r w:rsidRPr="00876A24">
        <w:rPr>
          <w:noProof/>
          <w:lang w:val="de-DE"/>
        </w:rPr>
        <w:t>andarderläuterung</w:t>
      </w:r>
      <w:r>
        <w:rPr>
          <w:noProof/>
          <w:lang w:val="de-DE"/>
        </w:rPr>
        <w:t xml:space="preserve"> </w:t>
      </w:r>
      <w:r w:rsidRPr="00B05705">
        <w:rPr>
          <w:noProof/>
          <w:lang w:val="de-DE"/>
        </w:rPr>
        <w:t xml:space="preserve">in </w:t>
      </w:r>
      <w:r>
        <w:rPr>
          <w:noProof/>
          <w:lang w:val="de-DE"/>
        </w:rPr>
        <w:t xml:space="preserve">den </w:t>
      </w:r>
      <w:r w:rsidRPr="00B05705">
        <w:rPr>
          <w:noProof/>
          <w:lang w:val="de-DE"/>
        </w:rPr>
        <w:t>Prüfungsrichtlinie</w:t>
      </w:r>
      <w:r>
        <w:rPr>
          <w:noProof/>
          <w:lang w:val="de-DE"/>
        </w:rPr>
        <w:t xml:space="preserve">n, daß bei </w:t>
      </w:r>
      <w:r w:rsidRPr="00B05705">
        <w:rPr>
          <w:noProof/>
          <w:lang w:val="de-DE"/>
        </w:rPr>
        <w:t>quantitative</w:t>
      </w:r>
      <w:r>
        <w:rPr>
          <w:noProof/>
          <w:lang w:val="de-DE"/>
        </w:rPr>
        <w:t>n</w:t>
      </w:r>
      <w:r w:rsidRPr="00B05705">
        <w:rPr>
          <w:noProof/>
          <w:lang w:val="de-DE"/>
        </w:rPr>
        <w:t xml:space="preserve"> </w:t>
      </w:r>
      <w:r>
        <w:rPr>
          <w:noProof/>
          <w:lang w:val="de-DE"/>
        </w:rPr>
        <w:t>Merkmalen</w:t>
      </w:r>
      <w:r w:rsidRPr="00B05705">
        <w:rPr>
          <w:noProof/>
          <w:lang w:val="de-DE"/>
        </w:rPr>
        <w:t xml:space="preserve"> </w:t>
      </w:r>
      <w:r>
        <w:rPr>
          <w:noProof/>
          <w:lang w:val="de-DE"/>
        </w:rPr>
        <w:t>mit</w:t>
      </w:r>
      <w:r w:rsidRPr="00B05705">
        <w:rPr>
          <w:noProof/>
          <w:lang w:val="de-DE"/>
        </w:rPr>
        <w:t xml:space="preserve"> </w:t>
      </w:r>
      <w:r>
        <w:rPr>
          <w:noProof/>
          <w:lang w:val="de-DE"/>
        </w:rPr>
        <w:t>fünf</w:t>
      </w:r>
      <w:r w:rsidRPr="00B05705">
        <w:rPr>
          <w:noProof/>
          <w:lang w:val="de-DE"/>
        </w:rPr>
        <w:t xml:space="preserve"> </w:t>
      </w:r>
      <w:r>
        <w:rPr>
          <w:noProof/>
          <w:lang w:val="de-DE"/>
        </w:rPr>
        <w:t>oder mehr Stufen</w:t>
      </w:r>
      <w:r w:rsidRPr="00B05705">
        <w:rPr>
          <w:noProof/>
          <w:lang w:val="de-DE"/>
        </w:rPr>
        <w:t xml:space="preserve"> </w:t>
      </w:r>
      <w:r>
        <w:rPr>
          <w:noProof/>
          <w:lang w:val="de-DE"/>
        </w:rPr>
        <w:t>eine verkürzte Skala</w:t>
      </w:r>
      <w:r w:rsidRPr="00B05705">
        <w:rPr>
          <w:noProof/>
          <w:lang w:val="de-DE"/>
        </w:rPr>
        <w:t xml:space="preserve"> </w:t>
      </w:r>
      <w:r>
        <w:rPr>
          <w:noProof/>
          <w:lang w:val="de-DE"/>
        </w:rPr>
        <w:t>verwendet werden kann</w:t>
      </w:r>
      <w:r w:rsidRPr="00B05705">
        <w:rPr>
          <w:noProof/>
          <w:lang w:val="de-DE"/>
        </w:rPr>
        <w:t xml:space="preserve">, </w:t>
      </w:r>
      <w:r>
        <w:rPr>
          <w:noProof/>
          <w:lang w:val="de-DE"/>
        </w:rPr>
        <w:t>obwohl andere</w:t>
      </w:r>
      <w:r w:rsidRPr="00B05705">
        <w:rPr>
          <w:noProof/>
          <w:lang w:val="de-DE"/>
        </w:rPr>
        <w:t xml:space="preserve"> Ausprägungsstufen </w:t>
      </w:r>
      <w:r w:rsidRPr="00876A24">
        <w:rPr>
          <w:noProof/>
          <w:lang w:val="de-DE"/>
        </w:rPr>
        <w:t>zur Beschreibung von Sorten existieren und gegebenenfalls verwendet werden sollten</w:t>
      </w:r>
      <w:r>
        <w:rPr>
          <w:noProof/>
          <w:lang w:val="de-DE"/>
        </w:rPr>
        <w:t>, zur Kenntnis</w:t>
      </w:r>
      <w:r w:rsidRPr="00B05705">
        <w:rPr>
          <w:noProof/>
          <w:lang w:val="de-DE"/>
        </w:rPr>
        <w:t xml:space="preserve">. </w:t>
      </w:r>
      <w:r>
        <w:rPr>
          <w:noProof/>
          <w:lang w:val="de-DE"/>
        </w:rPr>
        <w:t xml:space="preserve">Die </w:t>
      </w:r>
      <w:r w:rsidRPr="00B05705">
        <w:rPr>
          <w:noProof/>
          <w:lang w:val="de-DE"/>
        </w:rPr>
        <w:t xml:space="preserve">TWA </w:t>
      </w:r>
      <w:r>
        <w:rPr>
          <w:noProof/>
          <w:lang w:val="de-DE"/>
        </w:rPr>
        <w:t>nahm zur Kenntnis, daß</w:t>
      </w:r>
      <w:r w:rsidRPr="00B05705">
        <w:rPr>
          <w:noProof/>
          <w:lang w:val="de-DE"/>
        </w:rPr>
        <w:t xml:space="preserve"> </w:t>
      </w:r>
      <w:r>
        <w:rPr>
          <w:noProof/>
          <w:lang w:val="de-DE"/>
        </w:rPr>
        <w:t>die Darstellung aller</w:t>
      </w:r>
      <w:r w:rsidRPr="00B05705">
        <w:rPr>
          <w:noProof/>
          <w:lang w:val="de-DE"/>
        </w:rPr>
        <w:t xml:space="preserve"> Ausprägungsstufen </w:t>
      </w:r>
      <w:r>
        <w:rPr>
          <w:noProof/>
          <w:lang w:val="de-DE"/>
        </w:rPr>
        <w:t xml:space="preserve">die </w:t>
      </w:r>
      <w:r w:rsidRPr="00B05705">
        <w:rPr>
          <w:noProof/>
          <w:lang w:val="de-DE"/>
        </w:rPr>
        <w:t xml:space="preserve">Prüfungsrichtlinien </w:t>
      </w:r>
      <w:r>
        <w:rPr>
          <w:noProof/>
          <w:lang w:val="de-DE"/>
        </w:rPr>
        <w:t xml:space="preserve">verlängern </w:t>
      </w:r>
      <w:r w:rsidRPr="00B05705">
        <w:rPr>
          <w:noProof/>
          <w:lang w:val="de-DE"/>
        </w:rPr>
        <w:t xml:space="preserve">und </w:t>
      </w:r>
      <w:r w:rsidRPr="00A14FEE">
        <w:rPr>
          <w:noProof/>
          <w:lang w:val="de-DE"/>
        </w:rPr>
        <w:t xml:space="preserve">die Praktikabilität des Dokuments für den Einsatz </w:t>
      </w:r>
      <w:r>
        <w:rPr>
          <w:noProof/>
          <w:lang w:val="de-DE"/>
        </w:rPr>
        <w:t>i</w:t>
      </w:r>
      <w:r w:rsidRPr="00A14FEE">
        <w:rPr>
          <w:noProof/>
          <w:lang w:val="de-DE"/>
        </w:rPr>
        <w:t>m Feld durch erfahrene Prüfer verringern</w:t>
      </w:r>
      <w:r>
        <w:rPr>
          <w:noProof/>
          <w:lang w:val="de-DE"/>
        </w:rPr>
        <w:t xml:space="preserve"> könnte</w:t>
      </w:r>
      <w:r w:rsidRPr="00B05705">
        <w:rPr>
          <w:noProof/>
          <w:lang w:val="de-DE"/>
        </w:rPr>
        <w:t>.</w:t>
      </w:r>
    </w:p>
    <w:p w:rsidR="00EA44BD" w:rsidRPr="00B05705" w:rsidRDefault="00EA44BD" w:rsidP="00EA44BD">
      <w:pPr>
        <w:rPr>
          <w:noProof/>
          <w:lang w:val="de-DE"/>
        </w:rPr>
      </w:pPr>
    </w:p>
    <w:p w:rsidR="00EA44BD" w:rsidRPr="0004263E" w:rsidRDefault="00EA44BD" w:rsidP="00EA44BD">
      <w:pPr>
        <w:rPr>
          <w:rFonts w:cs="Arial"/>
          <w:noProof/>
          <w:lang w:val="de-DE"/>
        </w:rPr>
      </w:pPr>
      <w:r w:rsidRPr="0059364E">
        <w:rPr>
          <w:rFonts w:cs="Arial"/>
          <w:noProof/>
          <w:lang w:val="de-DE"/>
        </w:rPr>
        <w:fldChar w:fldCharType="begin"/>
      </w:r>
      <w:r w:rsidRPr="0059364E">
        <w:rPr>
          <w:rFonts w:cs="Arial"/>
          <w:noProof/>
          <w:lang w:val="de-DE"/>
        </w:rPr>
        <w:instrText xml:space="preserve"> AUTONUM  </w:instrText>
      </w:r>
      <w:r w:rsidRPr="0059364E">
        <w:rPr>
          <w:rFonts w:cs="Arial"/>
          <w:noProof/>
          <w:lang w:val="de-DE"/>
        </w:rPr>
        <w:fldChar w:fldCharType="end"/>
      </w:r>
      <w:r w:rsidRPr="006A1471">
        <w:rPr>
          <w:rFonts w:cs="Arial"/>
          <w:noProof/>
          <w:lang w:val="de-DE"/>
        </w:rPr>
        <w:tab/>
        <w:t xml:space="preserve">Die Bemerkungen des TC auf dessen siebenunddreißigster Tagung vom 14. bis 16. Oktober 2019 in Hangzhou, China, </w:t>
      </w:r>
      <w:r w:rsidRPr="0004263E">
        <w:rPr>
          <w:rFonts w:cs="Arial"/>
          <w:noProof/>
          <w:lang w:val="de-DE"/>
        </w:rPr>
        <w:t>werden als Ergänzung zu diesem Dokument dargelegt</w:t>
      </w:r>
      <w:r>
        <w:rPr>
          <w:rFonts w:cs="Arial"/>
          <w:noProof/>
          <w:lang w:val="de-DE"/>
        </w:rPr>
        <w:t xml:space="preserve"> werden</w:t>
      </w:r>
      <w:r w:rsidRPr="0004263E">
        <w:rPr>
          <w:rFonts w:cs="Arial"/>
          <w:noProof/>
          <w:lang w:val="de-DE"/>
        </w:rPr>
        <w:t>.</w:t>
      </w:r>
    </w:p>
    <w:p w:rsidR="00EA44BD" w:rsidRPr="0004263E" w:rsidRDefault="00EA44BD" w:rsidP="00EA44BD">
      <w:pPr>
        <w:tabs>
          <w:tab w:val="left" w:pos="5387"/>
        </w:tabs>
        <w:ind w:left="4820"/>
        <w:rPr>
          <w:i/>
          <w:noProof/>
          <w:lang w:val="de-DE"/>
        </w:rPr>
      </w:pPr>
    </w:p>
    <w:p w:rsidR="00EA44BD" w:rsidRPr="00B05705" w:rsidRDefault="00EA44BD" w:rsidP="009379FD">
      <w:pPr>
        <w:keepNext/>
        <w:keepLines/>
        <w:tabs>
          <w:tab w:val="left" w:pos="5387"/>
        </w:tabs>
        <w:ind w:left="4820"/>
        <w:rPr>
          <w:i/>
          <w:noProof/>
          <w:lang w:val="de-DE"/>
        </w:rPr>
      </w:pPr>
      <w:r w:rsidRPr="0059364E">
        <w:rPr>
          <w:i/>
          <w:noProof/>
          <w:lang w:val="de-DE"/>
        </w:rPr>
        <w:lastRenderedPageBreak/>
        <w:fldChar w:fldCharType="begin"/>
      </w:r>
      <w:r w:rsidRPr="0059364E">
        <w:rPr>
          <w:i/>
          <w:noProof/>
          <w:lang w:val="de-DE"/>
        </w:rPr>
        <w:instrText xml:space="preserve"> AUTONUM  </w:instrText>
      </w:r>
      <w:r w:rsidRPr="0059364E">
        <w:rPr>
          <w:i/>
          <w:noProof/>
          <w:lang w:val="de-DE"/>
        </w:rPr>
        <w:fldChar w:fldCharType="end"/>
      </w:r>
      <w:r w:rsidRPr="006A1471">
        <w:rPr>
          <w:i/>
          <w:noProof/>
          <w:lang w:val="de-DE"/>
        </w:rPr>
        <w:tab/>
        <w:t>Der TC wird ersucht, den Vorschlag zur Überarbeitung</w:t>
      </w:r>
      <w:r w:rsidRPr="00045304">
        <w:rPr>
          <w:i/>
          <w:noProof/>
          <w:lang w:val="de-DE"/>
        </w:rPr>
        <w:t xml:space="preserve"> von Dokument TGP/7 zu prüfen, alle Ausprägungsstufen für quantitative Merkmale in den Prüfungsrichtlinien</w:t>
      </w:r>
      <w:r>
        <w:rPr>
          <w:i/>
          <w:noProof/>
          <w:lang w:val="de-DE"/>
        </w:rPr>
        <w:t xml:space="preserve"> darzustellen,</w:t>
      </w:r>
      <w:r w:rsidRPr="00045304">
        <w:rPr>
          <w:i/>
          <w:noProof/>
          <w:lang w:val="de-DE"/>
        </w:rPr>
        <w:t xml:space="preserve"> unter Berücksichtigung der Bemerkungen der TWP auf ihren Tagungen im Jahr 2019, </w:t>
      </w:r>
      <w:r w:rsidRPr="00510494">
        <w:rPr>
          <w:i/>
          <w:noProof/>
          <w:lang w:val="de-DE"/>
        </w:rPr>
        <w:t>wie in Absätzen 53 bis 60</w:t>
      </w:r>
      <w:r w:rsidRPr="00B05705">
        <w:rPr>
          <w:i/>
          <w:noProof/>
          <w:lang w:val="de-DE"/>
        </w:rPr>
        <w:t xml:space="preserve"> dieses Dokuments dargelegt. </w:t>
      </w:r>
    </w:p>
    <w:p w:rsidR="00EA44BD" w:rsidRPr="00B05705" w:rsidRDefault="00EA44BD" w:rsidP="00EA44BD">
      <w:pPr>
        <w:tabs>
          <w:tab w:val="left" w:pos="5387"/>
        </w:tabs>
        <w:ind w:left="4820"/>
        <w:rPr>
          <w:i/>
          <w:noProof/>
          <w:lang w:val="de-DE"/>
        </w:rPr>
      </w:pPr>
    </w:p>
    <w:p w:rsidR="00EA44BD" w:rsidRPr="00B05705" w:rsidRDefault="00EA44BD" w:rsidP="00EA44BD">
      <w:pPr>
        <w:rPr>
          <w:noProof/>
          <w:lang w:val="de-DE"/>
        </w:rPr>
      </w:pPr>
    </w:p>
    <w:p w:rsidR="00EA44BD" w:rsidRPr="00B05705" w:rsidRDefault="00EA44BD" w:rsidP="00EA44BD">
      <w:pPr>
        <w:keepNext/>
        <w:outlineLvl w:val="1"/>
        <w:rPr>
          <w:noProof/>
          <w:snapToGrid w:val="0"/>
          <w:u w:val="single"/>
          <w:lang w:val="de-DE"/>
        </w:rPr>
      </w:pPr>
      <w:bookmarkStart w:id="61" w:name="_Toc519608642"/>
      <w:bookmarkStart w:id="62" w:name="_Toc22740460"/>
      <w:r w:rsidRPr="00B05705">
        <w:rPr>
          <w:noProof/>
          <w:snapToGrid w:val="0"/>
          <w:u w:val="single"/>
          <w:lang w:val="de-DE"/>
        </w:rPr>
        <w:t xml:space="preserve">TGP/12: </w:t>
      </w:r>
      <w:r>
        <w:rPr>
          <w:noProof/>
          <w:snapToGrid w:val="0"/>
          <w:u w:val="single"/>
          <w:lang w:val="de-DE"/>
        </w:rPr>
        <w:t>Anleitung zu bestimmten physiologischen Merkmalen</w:t>
      </w:r>
      <w:bookmarkEnd w:id="61"/>
      <w:bookmarkEnd w:id="62"/>
    </w:p>
    <w:p w:rsidR="00EA44BD" w:rsidRPr="00F723DE" w:rsidRDefault="00EA44BD" w:rsidP="00EA44BD">
      <w:pPr>
        <w:keepNext/>
        <w:outlineLvl w:val="2"/>
        <w:rPr>
          <w:rFonts w:eastAsia="MS Mincho"/>
          <w:i/>
          <w:noProof/>
          <w:lang w:val="de-DE"/>
        </w:rPr>
      </w:pPr>
      <w:bookmarkStart w:id="63" w:name="_Toc519608643"/>
    </w:p>
    <w:p w:rsidR="00EA44BD" w:rsidRPr="00B05705" w:rsidRDefault="00EA44BD" w:rsidP="00EA44BD">
      <w:pPr>
        <w:keepNext/>
        <w:outlineLvl w:val="2"/>
        <w:rPr>
          <w:rFonts w:eastAsia="MS Mincho"/>
          <w:i/>
          <w:noProof/>
          <w:lang w:val="de-DE"/>
        </w:rPr>
      </w:pPr>
      <w:bookmarkStart w:id="64" w:name="_Toc22740461"/>
      <w:r w:rsidRPr="00F723DE">
        <w:rPr>
          <w:rFonts w:eastAsia="MS Mincho"/>
          <w:i/>
          <w:noProof/>
          <w:lang w:val="de-DE"/>
        </w:rPr>
        <w:t>Erläuterungen zu den Krankheitsresistenzmerkmalen</w:t>
      </w:r>
      <w:bookmarkEnd w:id="63"/>
      <w:bookmarkEnd w:id="64"/>
    </w:p>
    <w:p w:rsidR="00EA44BD" w:rsidRPr="00B05705" w:rsidRDefault="00EA44BD" w:rsidP="00EA44BD">
      <w:pPr>
        <w:rPr>
          <w:noProof/>
          <w:lang w:val="de-DE"/>
        </w:rPr>
      </w:pPr>
    </w:p>
    <w:p w:rsidR="00EA44BD" w:rsidRPr="0004263E"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6A1471">
        <w:rPr>
          <w:noProof/>
          <w:lang w:val="de-DE"/>
        </w:rPr>
        <w:tab/>
        <w:t>Der TC prüfte auf seiner vierundfünfzigsten Tagung, ob die TWP ersucht werden sollten, weitere Anleitung zur Bereitstellung von Erläuterungen zu den Krankheitsresistenzmerkmalen in den Prüfungsrichtlinien mit Hilfe des Standard-Resistenzprüfungsprotokolls</w:t>
      </w:r>
      <w:r>
        <w:rPr>
          <w:noProof/>
          <w:lang w:val="de-DE"/>
        </w:rPr>
        <w:t xml:space="preserve"> </w:t>
      </w:r>
      <w:r w:rsidRPr="006A1471">
        <w:rPr>
          <w:noProof/>
          <w:lang w:val="de-DE"/>
        </w:rPr>
        <w:t>zu erarbeiten, das in Dokument TGP/12 „Anleitung zu bestimmten physiologischen Merkmalen” dargelegt ist, einschließlich der Elemente, die nicht vervollständigt werden müßten (vergleiche</w:t>
      </w:r>
      <w:r w:rsidRPr="0004263E">
        <w:rPr>
          <w:noProof/>
          <w:lang w:val="de-DE"/>
        </w:rPr>
        <w:t xml:space="preserve"> Dokument </w:t>
      </w:r>
      <w:r w:rsidR="00DC4ECD">
        <w:rPr>
          <w:noProof/>
          <w:lang w:val="de-DE"/>
        </w:rPr>
        <w:t xml:space="preserve">TC/54/31 </w:t>
      </w:r>
      <w:r w:rsidRPr="0004263E">
        <w:rPr>
          <w:noProof/>
          <w:lang w:val="de-DE"/>
        </w:rPr>
        <w:t>„Bericht“, Absätze 249 und 250).</w:t>
      </w:r>
      <w:r>
        <w:rPr>
          <w:noProof/>
          <w:lang w:val="de-DE"/>
        </w:rPr>
        <w:t xml:space="preserve"> </w:t>
      </w:r>
    </w:p>
    <w:p w:rsidR="00EA44BD" w:rsidRPr="0004263E" w:rsidRDefault="00EA44BD" w:rsidP="00EA44BD">
      <w:pPr>
        <w:rPr>
          <w:noProof/>
          <w:lang w:val="de-DE"/>
        </w:rPr>
      </w:pPr>
    </w:p>
    <w:p w:rsidR="00EA44BD" w:rsidRPr="006A1471"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6A1471">
        <w:rPr>
          <w:noProof/>
          <w:lang w:val="de-DE"/>
        </w:rPr>
        <w:tab/>
        <w:t>Der TC nahm zur Kenntnis, daß die Verwendung von Krankheitsresistenzmerkmalen von der TWV auf deren nächster Tagung erörte</w:t>
      </w:r>
      <w:r w:rsidRPr="0004263E">
        <w:rPr>
          <w:noProof/>
          <w:lang w:val="de-DE"/>
        </w:rPr>
        <w:t xml:space="preserve">rt </w:t>
      </w:r>
      <w:r>
        <w:rPr>
          <w:noProof/>
          <w:lang w:val="de-DE"/>
        </w:rPr>
        <w:t xml:space="preserve">werden </w:t>
      </w:r>
      <w:r w:rsidRPr="0004263E">
        <w:rPr>
          <w:noProof/>
          <w:lang w:val="de-DE"/>
        </w:rPr>
        <w:t xml:space="preserve">würde, und vereinbarte, die Ergebnisse dieser Erörterungen abzuwarten, bevor weitere Anleitung </w:t>
      </w:r>
      <w:r>
        <w:rPr>
          <w:noProof/>
          <w:lang w:val="de-DE"/>
        </w:rPr>
        <w:t>erarb</w:t>
      </w:r>
      <w:r w:rsidRPr="006A1471">
        <w:rPr>
          <w:noProof/>
          <w:lang w:val="de-DE"/>
        </w:rPr>
        <w:t>eitet werden würde.</w:t>
      </w:r>
    </w:p>
    <w:p w:rsidR="00EA44BD" w:rsidRPr="006A1471" w:rsidRDefault="00EA44BD" w:rsidP="00EA44BD">
      <w:pPr>
        <w:rPr>
          <w:i/>
          <w:noProof/>
          <w:lang w:val="de-DE"/>
        </w:rPr>
      </w:pPr>
    </w:p>
    <w:p w:rsidR="00EA44BD" w:rsidRPr="0004263E" w:rsidRDefault="00EA44BD" w:rsidP="00EA44BD">
      <w:pPr>
        <w:pStyle w:val="Heading4"/>
        <w:rPr>
          <w:rFonts w:cs="Arial"/>
          <w:noProof/>
          <w:lang w:val="de-DE"/>
        </w:rPr>
      </w:pPr>
      <w:bookmarkStart w:id="65" w:name="_Toc22499453"/>
      <w:bookmarkStart w:id="66" w:name="_Toc22740462"/>
      <w:r w:rsidRPr="0004263E">
        <w:rPr>
          <w:noProof/>
          <w:lang w:val="de-DE"/>
        </w:rPr>
        <w:t xml:space="preserve">Prüfung durch die </w:t>
      </w:r>
      <w:r w:rsidRPr="0004263E">
        <w:rPr>
          <w:rFonts w:cs="Arial"/>
          <w:noProof/>
          <w:lang w:val="de-DE"/>
        </w:rPr>
        <w:t>Technische Arbeitsgruppe für Gemüsearten</w:t>
      </w:r>
      <w:bookmarkEnd w:id="65"/>
      <w:bookmarkEnd w:id="66"/>
    </w:p>
    <w:p w:rsidR="00EA44BD" w:rsidRPr="0004263E" w:rsidRDefault="00EA44BD" w:rsidP="00EA44BD">
      <w:pPr>
        <w:rPr>
          <w:lang w:val="de-DE"/>
        </w:rPr>
      </w:pPr>
    </w:p>
    <w:p w:rsidR="00EA44BD" w:rsidRPr="00B05705" w:rsidRDefault="00EA44BD" w:rsidP="00EA44BD">
      <w:pPr>
        <w:keepNext/>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6A1471">
        <w:rPr>
          <w:noProof/>
          <w:lang w:val="de-DE"/>
        </w:rPr>
        <w:tab/>
        <w:t>Die TWV hörte auf ihrer dreiundfünfzigsten Tagung vom 20. bis 24. Mai 2019 in Seoul, Republik Korea, die folgenden Referate, von denen Kopie</w:t>
      </w:r>
      <w:r w:rsidRPr="001730C4">
        <w:rPr>
          <w:noProof/>
          <w:lang w:val="de-DE"/>
        </w:rPr>
        <w:t>n in Dokument</w:t>
      </w:r>
      <w:r w:rsidRPr="00B05705">
        <w:rPr>
          <w:noProof/>
          <w:lang w:val="de-DE"/>
        </w:rPr>
        <w:t xml:space="preserve"> TWV/53/13 Rev. </w:t>
      </w:r>
      <w:r>
        <w:rPr>
          <w:noProof/>
          <w:lang w:val="de-DE"/>
        </w:rPr>
        <w:t xml:space="preserve">enthalten sind </w:t>
      </w:r>
      <w:r w:rsidRPr="00B05705">
        <w:rPr>
          <w:noProof/>
          <w:lang w:val="de-DE"/>
        </w:rPr>
        <w:t>(vergleiche Dokument TWV/53/14 Rev. „Revised Report</w:t>
      </w:r>
      <w:r>
        <w:rPr>
          <w:noProof/>
          <w:lang w:val="de-DE"/>
        </w:rPr>
        <w:t>“</w:t>
      </w:r>
      <w:r w:rsidRPr="00B05705">
        <w:rPr>
          <w:noProof/>
          <w:lang w:val="de-DE"/>
        </w:rPr>
        <w:t xml:space="preserve">, Absätze 59 </w:t>
      </w:r>
      <w:r>
        <w:rPr>
          <w:noProof/>
          <w:lang w:val="de-DE"/>
        </w:rPr>
        <w:t>bis</w:t>
      </w:r>
      <w:r w:rsidRPr="00B05705">
        <w:rPr>
          <w:noProof/>
          <w:lang w:val="de-DE"/>
        </w:rPr>
        <w:t xml:space="preserve"> 62):</w:t>
      </w:r>
    </w:p>
    <w:p w:rsidR="00EA44BD" w:rsidRPr="00B05705" w:rsidRDefault="00EA44BD" w:rsidP="00EA44BD">
      <w:pPr>
        <w:keepNext/>
        <w:rPr>
          <w:noProof/>
          <w:lang w:val="de-DE"/>
        </w:rPr>
      </w:pPr>
    </w:p>
    <w:p w:rsidR="00EA44BD" w:rsidRPr="00B05705" w:rsidRDefault="00EA44BD" w:rsidP="00EA44BD">
      <w:pPr>
        <w:numPr>
          <w:ilvl w:val="0"/>
          <w:numId w:val="18"/>
        </w:numPr>
        <w:ind w:left="1134" w:hanging="567"/>
        <w:contextualSpacing/>
        <w:rPr>
          <w:rFonts w:eastAsia="MS Mincho"/>
          <w:noProof/>
          <w:lang w:val="de-DE"/>
        </w:rPr>
      </w:pPr>
      <w:r>
        <w:rPr>
          <w:rFonts w:eastAsia="MS Mincho"/>
          <w:noProof/>
          <w:lang w:val="de-DE"/>
        </w:rPr>
        <w:t>„Verwendung von</w:t>
      </w:r>
      <w:r w:rsidRPr="00B05705">
        <w:rPr>
          <w:rFonts w:eastAsia="MS Mincho"/>
          <w:noProof/>
          <w:lang w:val="de-DE"/>
        </w:rPr>
        <w:t xml:space="preserve"> </w:t>
      </w:r>
      <w:r>
        <w:rPr>
          <w:rFonts w:eastAsia="MS Mincho"/>
          <w:noProof/>
          <w:lang w:val="de-DE"/>
        </w:rPr>
        <w:t>Krankheitsresistenzmerkmalen“</w:t>
      </w:r>
      <w:r w:rsidRPr="00B05705">
        <w:rPr>
          <w:rFonts w:eastAsia="MS Mincho"/>
          <w:noProof/>
          <w:lang w:val="de-DE"/>
        </w:rPr>
        <w:t xml:space="preserve">, </w:t>
      </w:r>
      <w:r>
        <w:rPr>
          <w:rFonts w:eastAsia="MS Mincho"/>
          <w:noProof/>
          <w:lang w:val="de-DE"/>
        </w:rPr>
        <w:t xml:space="preserve">vorgetragen </w:t>
      </w:r>
      <w:r w:rsidRPr="008231C2">
        <w:rPr>
          <w:rFonts w:eastAsia="MS Mincho"/>
          <w:noProof/>
          <w:lang w:val="de-DE"/>
        </w:rPr>
        <w:t>von einem Sachverständigen aus der Europäischen Union</w:t>
      </w:r>
      <w:r w:rsidRPr="00B05705">
        <w:rPr>
          <w:rFonts w:eastAsia="MS Mincho"/>
          <w:noProof/>
          <w:lang w:val="de-DE"/>
        </w:rPr>
        <w:t>.</w:t>
      </w:r>
    </w:p>
    <w:p w:rsidR="00EA44BD" w:rsidRPr="00B05705" w:rsidRDefault="00EA44BD" w:rsidP="00EA44BD">
      <w:pPr>
        <w:numPr>
          <w:ilvl w:val="0"/>
          <w:numId w:val="18"/>
        </w:numPr>
        <w:ind w:left="1134" w:hanging="567"/>
        <w:contextualSpacing/>
        <w:rPr>
          <w:rFonts w:eastAsia="MS Mincho"/>
          <w:noProof/>
          <w:lang w:val="de-DE"/>
        </w:rPr>
      </w:pPr>
      <w:r>
        <w:rPr>
          <w:rFonts w:eastAsia="MS Mincho"/>
          <w:noProof/>
          <w:lang w:val="de-DE"/>
        </w:rPr>
        <w:t>„Bewertung</w:t>
      </w:r>
      <w:r w:rsidRPr="00B05705">
        <w:rPr>
          <w:rFonts w:eastAsia="MS Mincho"/>
          <w:noProof/>
          <w:lang w:val="de-DE"/>
        </w:rPr>
        <w:t xml:space="preserve"> </w:t>
      </w:r>
      <w:r>
        <w:rPr>
          <w:rFonts w:eastAsia="MS Mincho"/>
          <w:noProof/>
          <w:lang w:val="de-DE"/>
        </w:rPr>
        <w:t>der</w:t>
      </w:r>
      <w:r w:rsidRPr="00B05705">
        <w:rPr>
          <w:rFonts w:eastAsia="MS Mincho"/>
          <w:noProof/>
          <w:lang w:val="de-DE"/>
        </w:rPr>
        <w:t xml:space="preserve"> </w:t>
      </w:r>
      <w:r>
        <w:rPr>
          <w:rFonts w:eastAsia="MS Mincho"/>
          <w:noProof/>
          <w:lang w:val="de-DE"/>
        </w:rPr>
        <w:t>Krankheitsresistenz</w:t>
      </w:r>
      <w:r w:rsidRPr="00B05705">
        <w:rPr>
          <w:rFonts w:eastAsia="MS Mincho"/>
          <w:noProof/>
          <w:lang w:val="de-DE"/>
        </w:rPr>
        <w:t xml:space="preserve"> </w:t>
      </w:r>
      <w:r>
        <w:rPr>
          <w:rFonts w:eastAsia="MS Mincho"/>
          <w:noProof/>
          <w:lang w:val="de-DE"/>
        </w:rPr>
        <w:t xml:space="preserve">bei Gemüsesorten </w:t>
      </w:r>
      <w:r w:rsidRPr="00CF7146">
        <w:rPr>
          <w:rFonts w:eastAsia="MS Mincho"/>
          <w:noProof/>
          <w:lang w:val="de-DE"/>
        </w:rPr>
        <w:t>gemäß UPOV</w:t>
      </w:r>
      <w:r>
        <w:rPr>
          <w:rFonts w:eastAsia="MS Mincho"/>
          <w:noProof/>
          <w:lang w:val="de-DE"/>
        </w:rPr>
        <w:t>-</w:t>
      </w:r>
      <w:r w:rsidRPr="00CF7146">
        <w:rPr>
          <w:rFonts w:eastAsia="MS Mincho"/>
          <w:noProof/>
          <w:lang w:val="de-DE"/>
        </w:rPr>
        <w:t>Normen</w:t>
      </w:r>
      <w:r w:rsidRPr="00B05705">
        <w:rPr>
          <w:rFonts w:eastAsia="MS Mincho"/>
          <w:noProof/>
          <w:lang w:val="de-DE"/>
        </w:rPr>
        <w:t xml:space="preserve">. </w:t>
      </w:r>
      <w:r>
        <w:rPr>
          <w:rFonts w:eastAsia="MS Mincho"/>
          <w:noProof/>
          <w:lang w:val="de-DE"/>
        </w:rPr>
        <w:t>Schwerpunkt</w:t>
      </w:r>
      <w:r w:rsidRPr="00CF7146">
        <w:rPr>
          <w:rFonts w:eastAsia="MS Mincho"/>
          <w:noProof/>
          <w:lang w:val="de-DE"/>
        </w:rPr>
        <w:t xml:space="preserve"> auf </w:t>
      </w:r>
      <w:r>
        <w:rPr>
          <w:rFonts w:eastAsia="MS Mincho"/>
          <w:noProof/>
          <w:lang w:val="de-DE"/>
        </w:rPr>
        <w:t>den</w:t>
      </w:r>
      <w:r w:rsidRPr="00CF7146">
        <w:rPr>
          <w:rFonts w:eastAsia="MS Mincho"/>
          <w:noProof/>
          <w:lang w:val="de-DE"/>
        </w:rPr>
        <w:t xml:space="preserve"> italienischen </w:t>
      </w:r>
      <w:r>
        <w:rPr>
          <w:rFonts w:eastAsia="MS Mincho"/>
          <w:noProof/>
          <w:lang w:val="de-DE"/>
        </w:rPr>
        <w:t>Tätigkeiten</w:t>
      </w:r>
      <w:r w:rsidRPr="00CF7146">
        <w:rPr>
          <w:rFonts w:eastAsia="MS Mincho"/>
          <w:noProof/>
          <w:lang w:val="de-DE"/>
        </w:rPr>
        <w:t xml:space="preserve">", </w:t>
      </w:r>
      <w:r>
        <w:rPr>
          <w:rFonts w:eastAsia="MS Mincho"/>
          <w:noProof/>
          <w:lang w:val="de-DE"/>
        </w:rPr>
        <w:t>vorgetragen</w:t>
      </w:r>
      <w:r w:rsidRPr="00CF7146">
        <w:rPr>
          <w:rFonts w:eastAsia="MS Mincho"/>
          <w:noProof/>
          <w:lang w:val="de-DE"/>
        </w:rPr>
        <w:t xml:space="preserve"> von einem Experten aus Italien</w:t>
      </w:r>
      <w:r w:rsidRPr="00B05705">
        <w:rPr>
          <w:rFonts w:eastAsia="MS Mincho"/>
          <w:noProof/>
          <w:lang w:val="de-DE"/>
        </w:rPr>
        <w:t>.</w:t>
      </w:r>
    </w:p>
    <w:p w:rsidR="00EA44BD" w:rsidRPr="00B05705" w:rsidRDefault="00EA44BD" w:rsidP="00EA44BD">
      <w:pPr>
        <w:numPr>
          <w:ilvl w:val="0"/>
          <w:numId w:val="18"/>
        </w:numPr>
        <w:ind w:left="1134" w:hanging="567"/>
        <w:contextualSpacing/>
        <w:rPr>
          <w:rFonts w:eastAsia="MS Mincho"/>
          <w:noProof/>
          <w:lang w:val="de-DE"/>
        </w:rPr>
      </w:pPr>
      <w:r>
        <w:rPr>
          <w:rFonts w:eastAsia="MS Mincho"/>
          <w:noProof/>
          <w:lang w:val="de-DE"/>
        </w:rPr>
        <w:t>„Krankheitsresistenz</w:t>
      </w:r>
      <w:r w:rsidRPr="00B05705">
        <w:rPr>
          <w:rFonts w:eastAsia="MS Mincho"/>
          <w:noProof/>
          <w:lang w:val="de-DE"/>
        </w:rPr>
        <w:t xml:space="preserve"> </w:t>
      </w:r>
      <w:r>
        <w:rPr>
          <w:rFonts w:eastAsia="MS Mincho"/>
          <w:noProof/>
          <w:lang w:val="de-DE"/>
        </w:rPr>
        <w:t>bei</w:t>
      </w:r>
      <w:r w:rsidRPr="00B05705">
        <w:rPr>
          <w:rFonts w:eastAsia="MS Mincho"/>
          <w:noProof/>
          <w:lang w:val="de-DE"/>
        </w:rPr>
        <w:t xml:space="preserve"> DUS</w:t>
      </w:r>
      <w:r>
        <w:rPr>
          <w:rFonts w:eastAsia="MS Mincho"/>
          <w:noProof/>
          <w:lang w:val="de-DE"/>
        </w:rPr>
        <w:t>“</w:t>
      </w:r>
      <w:r w:rsidRPr="00B05705">
        <w:rPr>
          <w:rFonts w:eastAsia="MS Mincho"/>
          <w:noProof/>
          <w:lang w:val="de-DE"/>
        </w:rPr>
        <w:t xml:space="preserve">, </w:t>
      </w:r>
      <w:r>
        <w:rPr>
          <w:rFonts w:eastAsia="MS Mincho"/>
          <w:noProof/>
          <w:lang w:val="de-DE"/>
        </w:rPr>
        <w:t>vorgetragen von</w:t>
      </w:r>
      <w:r w:rsidRPr="00B05705">
        <w:rPr>
          <w:rFonts w:eastAsia="MS Mincho"/>
          <w:noProof/>
          <w:lang w:val="de-DE"/>
        </w:rPr>
        <w:t xml:space="preserve"> Sachverständige</w:t>
      </w:r>
      <w:r>
        <w:rPr>
          <w:rFonts w:eastAsia="MS Mincho"/>
          <w:noProof/>
          <w:lang w:val="de-DE"/>
        </w:rPr>
        <w:t>n</w:t>
      </w:r>
      <w:r w:rsidRPr="00B05705">
        <w:rPr>
          <w:rFonts w:eastAsia="MS Mincho"/>
          <w:noProof/>
          <w:lang w:val="de-DE"/>
        </w:rPr>
        <w:t xml:space="preserve"> </w:t>
      </w:r>
      <w:r w:rsidRPr="00CF7146">
        <w:rPr>
          <w:rFonts w:eastAsia="MS Mincho"/>
          <w:noProof/>
          <w:lang w:val="de-DE"/>
        </w:rPr>
        <w:t>aus Frankreich und den Niederlanden</w:t>
      </w:r>
      <w:r w:rsidRPr="00B05705">
        <w:rPr>
          <w:rFonts w:eastAsia="MS Mincho"/>
          <w:noProof/>
          <w:lang w:val="de-DE"/>
        </w:rPr>
        <w:t>.</w:t>
      </w:r>
    </w:p>
    <w:p w:rsidR="00EA44BD" w:rsidRPr="00B05705" w:rsidRDefault="00EA44BD" w:rsidP="00EA44BD">
      <w:pPr>
        <w:numPr>
          <w:ilvl w:val="0"/>
          <w:numId w:val="18"/>
        </w:numPr>
        <w:ind w:left="1134" w:hanging="567"/>
        <w:contextualSpacing/>
        <w:rPr>
          <w:rFonts w:eastAsia="MS Mincho"/>
          <w:noProof/>
          <w:lang w:val="de-DE"/>
        </w:rPr>
      </w:pPr>
      <w:r>
        <w:rPr>
          <w:rFonts w:eastAsia="MS Mincho"/>
          <w:noProof/>
          <w:lang w:val="de-DE"/>
        </w:rPr>
        <w:t>„</w:t>
      </w:r>
      <w:r w:rsidRPr="00CF7146">
        <w:rPr>
          <w:rFonts w:eastAsia="MS Mincho"/>
          <w:noProof/>
          <w:lang w:val="de-DE"/>
        </w:rPr>
        <w:t xml:space="preserve">Harmonisierung von Krankheitsresistenzprüfungen für die DUS-Prüfung: Harmores </w:t>
      </w:r>
      <w:r>
        <w:rPr>
          <w:rFonts w:eastAsia="MS Mincho"/>
          <w:noProof/>
          <w:lang w:val="de-DE"/>
        </w:rPr>
        <w:t>3“</w:t>
      </w:r>
      <w:r w:rsidRPr="00B05705">
        <w:rPr>
          <w:rFonts w:eastAsia="MS Mincho"/>
          <w:noProof/>
          <w:lang w:val="de-DE"/>
        </w:rPr>
        <w:t xml:space="preserve">, </w:t>
      </w:r>
      <w:r>
        <w:rPr>
          <w:rFonts w:eastAsia="MS Mincho"/>
          <w:noProof/>
          <w:lang w:val="de-DE"/>
        </w:rPr>
        <w:t>vorgetragen von einem Sachverständigen aus Frankreich</w:t>
      </w:r>
      <w:r w:rsidRPr="00B05705">
        <w:rPr>
          <w:rFonts w:eastAsia="MS Mincho"/>
          <w:noProof/>
          <w:lang w:val="de-DE"/>
        </w:rPr>
        <w:t xml:space="preserve"> (</w:t>
      </w:r>
      <w:r w:rsidRPr="00CF7146">
        <w:rPr>
          <w:rFonts w:eastAsia="MS Mincho"/>
          <w:noProof/>
          <w:lang w:val="de-DE"/>
        </w:rPr>
        <w:t>im Namen der Arbeitsgruppe</w:t>
      </w:r>
      <w:r w:rsidRPr="00B05705">
        <w:rPr>
          <w:rFonts w:eastAsia="MS Mincho"/>
          <w:noProof/>
          <w:lang w:val="de-DE"/>
        </w:rPr>
        <w:t>).</w:t>
      </w:r>
    </w:p>
    <w:p w:rsidR="00EA44BD" w:rsidRPr="00B05705" w:rsidRDefault="00EA44BD" w:rsidP="00EA44BD">
      <w:pPr>
        <w:numPr>
          <w:ilvl w:val="0"/>
          <w:numId w:val="18"/>
        </w:numPr>
        <w:ind w:left="1134" w:hanging="567"/>
        <w:contextualSpacing/>
        <w:rPr>
          <w:rFonts w:eastAsia="MS Mincho"/>
          <w:noProof/>
          <w:snapToGrid w:val="0"/>
          <w:lang w:val="de-DE"/>
        </w:rPr>
      </w:pPr>
      <w:r>
        <w:rPr>
          <w:rFonts w:eastAsia="MS Mincho"/>
          <w:noProof/>
          <w:lang w:val="de-DE"/>
        </w:rPr>
        <w:t>„Krankheitsresistenz</w:t>
      </w:r>
      <w:r w:rsidRPr="00B05705">
        <w:rPr>
          <w:rFonts w:eastAsia="MS Mincho"/>
          <w:noProof/>
          <w:lang w:val="de-DE"/>
        </w:rPr>
        <w:t xml:space="preserve"> </w:t>
      </w:r>
      <w:r>
        <w:rPr>
          <w:rFonts w:eastAsia="MS Mincho"/>
          <w:noProof/>
          <w:lang w:val="de-DE"/>
        </w:rPr>
        <w:t>bei</w:t>
      </w:r>
      <w:r w:rsidRPr="00B05705">
        <w:rPr>
          <w:rFonts w:eastAsia="MS Mincho"/>
          <w:noProof/>
          <w:lang w:val="de-DE"/>
        </w:rPr>
        <w:t xml:space="preserve"> </w:t>
      </w:r>
      <w:r>
        <w:rPr>
          <w:rFonts w:eastAsia="MS Mincho"/>
          <w:noProof/>
          <w:lang w:val="de-DE"/>
        </w:rPr>
        <w:t>Gemüse</w:t>
      </w:r>
      <w:r w:rsidRPr="00B05705">
        <w:rPr>
          <w:rFonts w:eastAsia="MS Mincho"/>
          <w:noProof/>
          <w:lang w:val="de-DE"/>
        </w:rPr>
        <w:t xml:space="preserve">: </w:t>
      </w:r>
      <w:r w:rsidRPr="00BE6D34">
        <w:rPr>
          <w:rFonts w:eastAsia="MS Mincho"/>
          <w:noProof/>
          <w:lang w:val="de-DE"/>
        </w:rPr>
        <w:t xml:space="preserve">Was unternimmt die europäische Industrie </w:t>
      </w:r>
      <w:r>
        <w:rPr>
          <w:rFonts w:eastAsia="MS Mincho"/>
          <w:noProof/>
          <w:lang w:val="de-DE"/>
        </w:rPr>
        <w:t>hinsichtlich</w:t>
      </w:r>
      <w:r w:rsidRPr="00BE6D34">
        <w:rPr>
          <w:rFonts w:eastAsia="MS Mincho"/>
          <w:noProof/>
          <w:lang w:val="de-DE"/>
        </w:rPr>
        <w:t xml:space="preserve"> Ansprüchen</w:t>
      </w:r>
      <w:r>
        <w:rPr>
          <w:rFonts w:eastAsia="MS Mincho"/>
          <w:noProof/>
          <w:lang w:val="de-DE"/>
        </w:rPr>
        <w:t>?“,</w:t>
      </w:r>
      <w:r w:rsidRPr="00B05705">
        <w:rPr>
          <w:rFonts w:eastAsia="MS Mincho"/>
          <w:noProof/>
          <w:lang w:val="de-DE"/>
        </w:rPr>
        <w:t xml:space="preserve"> </w:t>
      </w:r>
      <w:r>
        <w:rPr>
          <w:rFonts w:eastAsia="MS Mincho"/>
          <w:noProof/>
          <w:lang w:val="de-DE"/>
        </w:rPr>
        <w:t>vorgetragen von einem Sachverständigen des</w:t>
      </w:r>
      <w:r w:rsidRPr="00B05705">
        <w:rPr>
          <w:rFonts w:eastAsia="MS Mincho"/>
          <w:noProof/>
          <w:lang w:val="de-DE"/>
        </w:rPr>
        <w:t xml:space="preserve"> </w:t>
      </w:r>
      <w:r w:rsidRPr="00BE6D34">
        <w:rPr>
          <w:rFonts w:eastAsia="MS Mincho"/>
          <w:noProof/>
          <w:lang w:val="de-DE"/>
        </w:rPr>
        <w:t>Europäischen Saatgutverband</w:t>
      </w:r>
      <w:r>
        <w:rPr>
          <w:rFonts w:eastAsia="MS Mincho"/>
          <w:noProof/>
          <w:lang w:val="de-DE"/>
        </w:rPr>
        <w:t>es.</w:t>
      </w:r>
    </w:p>
    <w:p w:rsidR="00EA44BD" w:rsidRPr="00B05705" w:rsidRDefault="00EA44BD" w:rsidP="00EA44BD">
      <w:pPr>
        <w:keepNext/>
        <w:numPr>
          <w:ilvl w:val="0"/>
          <w:numId w:val="18"/>
        </w:numPr>
        <w:ind w:left="1134" w:hanging="567"/>
        <w:contextualSpacing/>
        <w:rPr>
          <w:rFonts w:eastAsia="MS Mincho"/>
          <w:noProof/>
          <w:lang w:val="de-DE"/>
        </w:rPr>
      </w:pPr>
      <w:r>
        <w:rPr>
          <w:rFonts w:eastAsia="MS Mincho"/>
          <w:noProof/>
          <w:lang w:val="de-DE"/>
        </w:rPr>
        <w:t>„</w:t>
      </w:r>
      <w:r w:rsidRPr="00343036">
        <w:rPr>
          <w:rFonts w:eastAsia="MS Mincho"/>
          <w:noProof/>
          <w:lang w:val="de-DE"/>
        </w:rPr>
        <w:t>ISF-Arbeitsgruppe über die Terminologie der Krankheitsresistenz</w:t>
      </w:r>
      <w:r>
        <w:rPr>
          <w:rFonts w:eastAsia="MS Mincho"/>
          <w:noProof/>
          <w:lang w:val="de-DE"/>
        </w:rPr>
        <w:t>“</w:t>
      </w:r>
      <w:r w:rsidRPr="00B05705">
        <w:rPr>
          <w:rFonts w:eastAsia="MS Mincho"/>
          <w:noProof/>
          <w:lang w:val="de-DE"/>
        </w:rPr>
        <w:t xml:space="preserve">, </w:t>
      </w:r>
      <w:r>
        <w:rPr>
          <w:rFonts w:eastAsia="MS Mincho"/>
          <w:noProof/>
          <w:lang w:val="de-DE"/>
        </w:rPr>
        <w:t xml:space="preserve">vorgetragen von einem Sachverständigen </w:t>
      </w:r>
      <w:r w:rsidRPr="00BE6D34">
        <w:rPr>
          <w:rFonts w:eastAsia="MS Mincho"/>
          <w:noProof/>
          <w:lang w:val="de-DE"/>
        </w:rPr>
        <w:t xml:space="preserve">des </w:t>
      </w:r>
      <w:r w:rsidRPr="007C60B9">
        <w:rPr>
          <w:rFonts w:eastAsia="MS Mincho"/>
          <w:lang w:val="de-DE"/>
        </w:rPr>
        <w:t xml:space="preserve">International Seed Federation </w:t>
      </w:r>
      <w:r w:rsidRPr="00B05705">
        <w:rPr>
          <w:rFonts w:eastAsia="MS Mincho"/>
          <w:noProof/>
          <w:lang w:val="de-DE"/>
        </w:rPr>
        <w:t>(ISF).</w:t>
      </w:r>
    </w:p>
    <w:p w:rsidR="00EA44BD" w:rsidRPr="00B05705" w:rsidRDefault="00EA44BD" w:rsidP="00EA44BD">
      <w:pPr>
        <w:rPr>
          <w:noProof/>
          <w:lang w:val="de-DE"/>
        </w:rPr>
      </w:pPr>
    </w:p>
    <w:p w:rsidR="00EA44BD" w:rsidRPr="0004263E"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04263E">
        <w:rPr>
          <w:noProof/>
          <w:lang w:val="de-DE"/>
        </w:rPr>
        <w:tab/>
        <w:t>Die TWV vereinbarte, daß die derzeitige in den UPOV-Dokumenten dargelegte Anleitung in bezug auf die Verwendung von Krankheitsresistenzmerkmalen in den Prüfungsrichtlinien und in der DUS-Prüfung klar und vorerst ausreichend sei. Die TWV nahm zur Kenntnis, daß im Anwendungsbereich der Krankheitsresistenzmerkmale bei Verwendung von QN als Ausprägungstyp mehr als drei Stufen verwendet werden könnten.</w:t>
      </w:r>
    </w:p>
    <w:p w:rsidR="00EA44BD" w:rsidRPr="0004263E" w:rsidRDefault="00EA44BD" w:rsidP="00EA44BD">
      <w:pPr>
        <w:rPr>
          <w:noProof/>
          <w:lang w:val="de-DE"/>
        </w:rPr>
      </w:pPr>
    </w:p>
    <w:p w:rsidR="00EA44BD" w:rsidRPr="0004263E"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04263E">
        <w:rPr>
          <w:noProof/>
          <w:lang w:val="de-DE"/>
        </w:rPr>
        <w:tab/>
        <w:t xml:space="preserve">Die TWV vereinbarte, daß Krankheitsresistenz ein wichtiges Züchterziel </w:t>
      </w:r>
      <w:r>
        <w:rPr>
          <w:noProof/>
          <w:lang w:val="de-DE"/>
        </w:rPr>
        <w:t>sei</w:t>
      </w:r>
      <w:r w:rsidRPr="0004263E">
        <w:rPr>
          <w:noProof/>
          <w:lang w:val="de-DE"/>
        </w:rPr>
        <w:t xml:space="preserve">, weshalb die Zusammenarbeit zwischen allen Interessensvertretern von Vorteil wäre, um die Erstellung von DUS-Prüfungen und Prüfungsrichtlinien im Einklang mit den Erwartungen der Nutzer des Systems sicherzustellen. </w:t>
      </w:r>
    </w:p>
    <w:p w:rsidR="00EA44BD" w:rsidRPr="0004263E" w:rsidRDefault="00EA44BD" w:rsidP="00EA44BD">
      <w:pPr>
        <w:rPr>
          <w:noProof/>
          <w:lang w:val="de-DE"/>
        </w:rPr>
      </w:pP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04263E">
        <w:rPr>
          <w:noProof/>
          <w:lang w:val="de-DE"/>
        </w:rPr>
        <w:tab/>
        <w:t>Die TWV vereinbarte, d</w:t>
      </w:r>
      <w:r>
        <w:rPr>
          <w:noProof/>
          <w:lang w:val="de-DE"/>
        </w:rPr>
        <w:t>aß</w:t>
      </w:r>
      <w:r w:rsidRPr="00B05705">
        <w:rPr>
          <w:noProof/>
          <w:lang w:val="de-DE"/>
        </w:rPr>
        <w:t xml:space="preserve"> </w:t>
      </w:r>
      <w:r>
        <w:rPr>
          <w:noProof/>
          <w:lang w:val="de-DE"/>
        </w:rPr>
        <w:t>Krankheitsresistenzmerkmale</w:t>
      </w:r>
      <w:r w:rsidRPr="00B05705">
        <w:rPr>
          <w:noProof/>
          <w:lang w:val="de-DE"/>
        </w:rPr>
        <w:t xml:space="preserve"> </w:t>
      </w:r>
      <w:r>
        <w:rPr>
          <w:noProof/>
          <w:lang w:val="de-DE"/>
        </w:rPr>
        <w:t>f</w:t>
      </w:r>
      <w:r w:rsidRPr="00B05705">
        <w:rPr>
          <w:noProof/>
          <w:lang w:val="de-DE"/>
        </w:rPr>
        <w:t xml:space="preserve">ür </w:t>
      </w:r>
      <w:r>
        <w:rPr>
          <w:noProof/>
          <w:lang w:val="de-DE"/>
        </w:rPr>
        <w:t>die DUS-Prüfung</w:t>
      </w:r>
      <w:r w:rsidRPr="00B05705">
        <w:rPr>
          <w:noProof/>
          <w:lang w:val="de-DE"/>
        </w:rPr>
        <w:t xml:space="preserve"> und </w:t>
      </w:r>
      <w:r>
        <w:rPr>
          <w:noProof/>
          <w:lang w:val="de-DE"/>
        </w:rPr>
        <w:t>insbesondere</w:t>
      </w:r>
      <w:r w:rsidRPr="00B05705">
        <w:rPr>
          <w:noProof/>
          <w:lang w:val="de-DE"/>
        </w:rPr>
        <w:t xml:space="preserve"> für </w:t>
      </w:r>
      <w:r>
        <w:rPr>
          <w:noProof/>
          <w:lang w:val="de-DE"/>
        </w:rPr>
        <w:t>Unterscheidbarkeit</w:t>
      </w:r>
      <w:r w:rsidRPr="00B05705">
        <w:rPr>
          <w:noProof/>
          <w:lang w:val="de-DE"/>
        </w:rPr>
        <w:t xml:space="preserve">, </w:t>
      </w:r>
      <w:r>
        <w:rPr>
          <w:noProof/>
          <w:lang w:val="de-DE"/>
        </w:rPr>
        <w:t>Gruppierung</w:t>
      </w:r>
      <w:r w:rsidRPr="00B05705">
        <w:rPr>
          <w:noProof/>
          <w:lang w:val="de-DE"/>
        </w:rPr>
        <w:t xml:space="preserve"> und </w:t>
      </w:r>
      <w:r w:rsidRPr="004C6D18">
        <w:rPr>
          <w:noProof/>
          <w:lang w:val="de-DE"/>
        </w:rPr>
        <w:t xml:space="preserve">Sortenbeschreibungen </w:t>
      </w:r>
      <w:r>
        <w:rPr>
          <w:noProof/>
          <w:lang w:val="de-DE"/>
        </w:rPr>
        <w:t>wichtig seien</w:t>
      </w:r>
      <w:r w:rsidRPr="00B05705">
        <w:rPr>
          <w:noProof/>
          <w:lang w:val="de-DE"/>
        </w:rPr>
        <w:t xml:space="preserve">. </w:t>
      </w:r>
      <w:r>
        <w:rPr>
          <w:noProof/>
          <w:lang w:val="de-DE"/>
        </w:rPr>
        <w:t xml:space="preserve">Die </w:t>
      </w:r>
      <w:r w:rsidRPr="00B05705">
        <w:rPr>
          <w:noProof/>
          <w:lang w:val="de-DE"/>
        </w:rPr>
        <w:t>TWV vereinbarte</w:t>
      </w:r>
      <w:r>
        <w:rPr>
          <w:noProof/>
          <w:lang w:val="de-DE"/>
        </w:rPr>
        <w:t xml:space="preserve"> daher,</w:t>
      </w:r>
      <w:r w:rsidRPr="00B05705">
        <w:rPr>
          <w:noProof/>
          <w:lang w:val="de-DE"/>
        </w:rPr>
        <w:t xml:space="preserve"> </w:t>
      </w:r>
      <w:r>
        <w:rPr>
          <w:noProof/>
          <w:lang w:val="de-DE"/>
        </w:rPr>
        <w:t>daß</w:t>
      </w:r>
      <w:r w:rsidRPr="00B05705">
        <w:rPr>
          <w:noProof/>
          <w:lang w:val="de-DE"/>
        </w:rPr>
        <w:t xml:space="preserve"> </w:t>
      </w:r>
      <w:r w:rsidRPr="00A9561F">
        <w:rPr>
          <w:noProof/>
          <w:lang w:val="de-DE"/>
        </w:rPr>
        <w:t xml:space="preserve">es in der Verantwortung </w:t>
      </w:r>
      <w:r>
        <w:rPr>
          <w:noProof/>
          <w:lang w:val="de-DE"/>
        </w:rPr>
        <w:t>jeder</w:t>
      </w:r>
      <w:r w:rsidRPr="00A9561F">
        <w:rPr>
          <w:noProof/>
          <w:lang w:val="de-DE"/>
        </w:rPr>
        <w:t xml:space="preserve"> TWP lieg</w:t>
      </w:r>
      <w:r>
        <w:rPr>
          <w:noProof/>
          <w:lang w:val="de-DE"/>
        </w:rPr>
        <w:t>e</w:t>
      </w:r>
      <w:r w:rsidRPr="00A9561F">
        <w:rPr>
          <w:noProof/>
          <w:lang w:val="de-DE"/>
        </w:rPr>
        <w:t xml:space="preserve">, die </w:t>
      </w:r>
      <w:r>
        <w:rPr>
          <w:noProof/>
          <w:lang w:val="de-DE"/>
        </w:rPr>
        <w:t>Prüfungsrichtlinien</w:t>
      </w:r>
      <w:r w:rsidRPr="00A9561F">
        <w:rPr>
          <w:noProof/>
          <w:lang w:val="de-DE"/>
        </w:rPr>
        <w:t xml:space="preserve"> zu aktualisieren, wenn und falls </w:t>
      </w:r>
      <w:r>
        <w:rPr>
          <w:noProof/>
          <w:lang w:val="de-DE"/>
        </w:rPr>
        <w:t>relevant</w:t>
      </w:r>
      <w:r w:rsidRPr="00A9561F">
        <w:rPr>
          <w:noProof/>
          <w:lang w:val="de-DE"/>
        </w:rPr>
        <w:t xml:space="preserve">, und sich die angemessene Zeit zu nehmen, um Merkmale mit einer </w:t>
      </w:r>
      <w:r>
        <w:rPr>
          <w:noProof/>
          <w:lang w:val="de-DE"/>
        </w:rPr>
        <w:t>gebilligten</w:t>
      </w:r>
      <w:r w:rsidRPr="00A9561F">
        <w:rPr>
          <w:noProof/>
          <w:lang w:val="de-DE"/>
        </w:rPr>
        <w:t xml:space="preserve"> Methodik für die </w:t>
      </w:r>
      <w:r>
        <w:rPr>
          <w:noProof/>
          <w:lang w:val="de-DE"/>
        </w:rPr>
        <w:t>Prüfung</w:t>
      </w:r>
      <w:r w:rsidRPr="00A9561F">
        <w:rPr>
          <w:noProof/>
          <w:lang w:val="de-DE"/>
        </w:rPr>
        <w:t xml:space="preserve"> der Merkmale</w:t>
      </w:r>
      <w:r w:rsidRPr="00B05705">
        <w:rPr>
          <w:noProof/>
          <w:lang w:val="de-DE"/>
        </w:rPr>
        <w:t xml:space="preserve"> (</w:t>
      </w:r>
      <w:r>
        <w:rPr>
          <w:noProof/>
          <w:lang w:val="de-DE"/>
        </w:rPr>
        <w:t>z.B</w:t>
      </w:r>
      <w:r w:rsidRPr="00B05705">
        <w:rPr>
          <w:noProof/>
          <w:lang w:val="de-DE"/>
        </w:rPr>
        <w:t xml:space="preserve">. </w:t>
      </w:r>
      <w:r w:rsidRPr="00A9561F">
        <w:rPr>
          <w:noProof/>
          <w:lang w:val="de-DE"/>
        </w:rPr>
        <w:t>Ausprägungstyp</w:t>
      </w:r>
      <w:r>
        <w:rPr>
          <w:noProof/>
          <w:lang w:val="de-DE"/>
        </w:rPr>
        <w:t xml:space="preserve"> </w:t>
      </w:r>
      <w:r w:rsidRPr="00B05705">
        <w:rPr>
          <w:noProof/>
          <w:lang w:val="de-DE"/>
        </w:rPr>
        <w:t xml:space="preserve">QN/QL, </w:t>
      </w:r>
      <w:r>
        <w:rPr>
          <w:noProof/>
          <w:lang w:val="de-DE"/>
        </w:rPr>
        <w:t>gemeinsame</w:t>
      </w:r>
      <w:r w:rsidRPr="00B05705">
        <w:rPr>
          <w:noProof/>
          <w:lang w:val="de-DE"/>
        </w:rPr>
        <w:t xml:space="preserve"> vereinbarte </w:t>
      </w:r>
      <w:r>
        <w:rPr>
          <w:noProof/>
          <w:lang w:val="de-DE"/>
        </w:rPr>
        <w:t>Terminologie</w:t>
      </w:r>
      <w:r w:rsidRPr="00B05705">
        <w:rPr>
          <w:noProof/>
          <w:lang w:val="de-DE"/>
        </w:rPr>
        <w:t xml:space="preserve">) und für </w:t>
      </w:r>
      <w:r>
        <w:rPr>
          <w:noProof/>
          <w:lang w:val="de-DE"/>
        </w:rPr>
        <w:t>die Einhaltung des bestätigten Krankheits</w:t>
      </w:r>
      <w:r w:rsidRPr="00A9561F">
        <w:rPr>
          <w:noProof/>
          <w:lang w:val="de-DE"/>
        </w:rPr>
        <w:t>prüfungsprotokoll</w:t>
      </w:r>
      <w:r>
        <w:rPr>
          <w:noProof/>
          <w:lang w:val="de-DE"/>
        </w:rPr>
        <w:t>s aufzunehmen und/oder zu aktualisieren</w:t>
      </w:r>
      <w:r w:rsidRPr="00B05705">
        <w:rPr>
          <w:noProof/>
          <w:lang w:val="de-DE"/>
        </w:rPr>
        <w:t xml:space="preserve">. </w:t>
      </w:r>
      <w:r w:rsidRPr="00C87D00">
        <w:rPr>
          <w:noProof/>
          <w:lang w:val="de-DE"/>
        </w:rPr>
        <w:t>Um dieses Ziel zu erreichen</w:t>
      </w:r>
      <w:r>
        <w:rPr>
          <w:noProof/>
          <w:lang w:val="de-DE"/>
        </w:rPr>
        <w:t>,</w:t>
      </w:r>
      <w:r w:rsidRPr="00B05705">
        <w:rPr>
          <w:noProof/>
          <w:lang w:val="de-DE"/>
        </w:rPr>
        <w:t xml:space="preserve"> vereinbarte </w:t>
      </w:r>
      <w:r>
        <w:rPr>
          <w:noProof/>
          <w:lang w:val="de-DE"/>
        </w:rPr>
        <w:t xml:space="preserve">die </w:t>
      </w:r>
      <w:r w:rsidRPr="00B05705">
        <w:rPr>
          <w:noProof/>
          <w:lang w:val="de-DE"/>
        </w:rPr>
        <w:t>TWV</w:t>
      </w:r>
      <w:r>
        <w:rPr>
          <w:noProof/>
          <w:lang w:val="de-DE"/>
        </w:rPr>
        <w:t>,</w:t>
      </w:r>
      <w:r w:rsidRPr="00B05705">
        <w:rPr>
          <w:noProof/>
          <w:lang w:val="de-DE"/>
        </w:rPr>
        <w:t xml:space="preserve"> </w:t>
      </w:r>
      <w:r>
        <w:rPr>
          <w:noProof/>
          <w:lang w:val="de-DE"/>
        </w:rPr>
        <w:t>daß alle</w:t>
      </w:r>
      <w:r w:rsidRPr="00B05705">
        <w:rPr>
          <w:noProof/>
          <w:lang w:val="de-DE"/>
        </w:rPr>
        <w:t xml:space="preserve"> </w:t>
      </w:r>
      <w:r>
        <w:rPr>
          <w:noProof/>
          <w:lang w:val="de-DE"/>
        </w:rPr>
        <w:t>Interessensvertreter</w:t>
      </w:r>
      <w:r w:rsidRPr="004327BE">
        <w:rPr>
          <w:noProof/>
          <w:lang w:val="de-DE"/>
        </w:rPr>
        <w:t xml:space="preserve"> </w:t>
      </w:r>
      <w:r w:rsidRPr="00B05705">
        <w:rPr>
          <w:noProof/>
          <w:lang w:val="de-DE"/>
        </w:rPr>
        <w:t>(</w:t>
      </w:r>
      <w:r>
        <w:rPr>
          <w:noProof/>
          <w:lang w:val="de-DE"/>
        </w:rPr>
        <w:t>d.h</w:t>
      </w:r>
      <w:r w:rsidRPr="00B05705">
        <w:rPr>
          <w:noProof/>
          <w:lang w:val="de-DE"/>
        </w:rPr>
        <w:t>. DUS</w:t>
      </w:r>
      <w:r>
        <w:rPr>
          <w:noProof/>
          <w:lang w:val="de-DE"/>
        </w:rPr>
        <w:t>-</w:t>
      </w:r>
      <w:r w:rsidRPr="00B05705">
        <w:rPr>
          <w:noProof/>
          <w:lang w:val="de-DE"/>
        </w:rPr>
        <w:t xml:space="preserve">Sachverständige, </w:t>
      </w:r>
      <w:r w:rsidRPr="00A9561F">
        <w:rPr>
          <w:noProof/>
          <w:lang w:val="de-DE"/>
        </w:rPr>
        <w:t>Pathologen</w:t>
      </w:r>
      <w:r w:rsidRPr="00B05705">
        <w:rPr>
          <w:noProof/>
          <w:lang w:val="de-DE"/>
        </w:rPr>
        <w:t xml:space="preserve">, </w:t>
      </w:r>
      <w:r>
        <w:rPr>
          <w:noProof/>
          <w:lang w:val="de-DE"/>
        </w:rPr>
        <w:t>Züchter</w:t>
      </w:r>
      <w:r w:rsidRPr="00B05705">
        <w:rPr>
          <w:noProof/>
          <w:lang w:val="de-DE"/>
        </w:rPr>
        <w:t xml:space="preserve">) </w:t>
      </w:r>
      <w:r>
        <w:rPr>
          <w:noProof/>
          <w:lang w:val="de-DE"/>
        </w:rPr>
        <w:t>hinzugezogen</w:t>
      </w:r>
      <w:r w:rsidRPr="00B05705">
        <w:rPr>
          <w:noProof/>
          <w:lang w:val="de-DE"/>
        </w:rPr>
        <w:t>/</w:t>
      </w:r>
      <w:r>
        <w:rPr>
          <w:noProof/>
          <w:lang w:val="de-DE"/>
        </w:rPr>
        <w:t>beteiligt</w:t>
      </w:r>
      <w:r w:rsidRPr="00B05705">
        <w:rPr>
          <w:noProof/>
          <w:lang w:val="de-DE"/>
        </w:rPr>
        <w:t xml:space="preserve"> </w:t>
      </w:r>
      <w:r>
        <w:rPr>
          <w:noProof/>
          <w:lang w:val="de-DE"/>
        </w:rPr>
        <w:t xml:space="preserve">werden sollten </w:t>
      </w:r>
      <w:r w:rsidRPr="00B05705">
        <w:rPr>
          <w:noProof/>
          <w:lang w:val="de-DE"/>
        </w:rPr>
        <w:t xml:space="preserve">und </w:t>
      </w:r>
      <w:r>
        <w:rPr>
          <w:noProof/>
          <w:lang w:val="de-DE"/>
        </w:rPr>
        <w:t>genügend Zeit</w:t>
      </w:r>
      <w:r w:rsidRPr="00B05705">
        <w:rPr>
          <w:noProof/>
          <w:lang w:val="de-DE"/>
        </w:rPr>
        <w:t xml:space="preserve"> </w:t>
      </w:r>
      <w:r w:rsidRPr="00C87D00">
        <w:rPr>
          <w:noProof/>
          <w:lang w:val="de-DE"/>
        </w:rPr>
        <w:t xml:space="preserve">zur Verfügung </w:t>
      </w:r>
      <w:r>
        <w:rPr>
          <w:noProof/>
          <w:lang w:val="de-DE"/>
        </w:rPr>
        <w:t>haben</w:t>
      </w:r>
      <w:r w:rsidRPr="00C87D00">
        <w:rPr>
          <w:noProof/>
          <w:lang w:val="de-DE"/>
        </w:rPr>
        <w:t xml:space="preserve"> sollte</w:t>
      </w:r>
      <w:r>
        <w:rPr>
          <w:noProof/>
          <w:lang w:val="de-DE"/>
        </w:rPr>
        <w:t>n</w:t>
      </w:r>
      <w:r w:rsidRPr="00C87D00">
        <w:rPr>
          <w:noProof/>
          <w:lang w:val="de-DE"/>
        </w:rPr>
        <w:t>, um sicherzustellen</w:t>
      </w:r>
      <w:r>
        <w:rPr>
          <w:noProof/>
          <w:lang w:val="de-DE"/>
        </w:rPr>
        <w:t>,</w:t>
      </w:r>
      <w:r w:rsidRPr="00B05705">
        <w:rPr>
          <w:noProof/>
          <w:lang w:val="de-DE"/>
        </w:rPr>
        <w:t xml:space="preserve"> </w:t>
      </w:r>
      <w:r>
        <w:rPr>
          <w:noProof/>
          <w:lang w:val="de-DE"/>
        </w:rPr>
        <w:t>daß sich alle</w:t>
      </w:r>
      <w:r w:rsidRPr="00B05705">
        <w:rPr>
          <w:noProof/>
          <w:lang w:val="de-DE"/>
        </w:rPr>
        <w:t xml:space="preserve"> </w:t>
      </w:r>
      <w:r w:rsidRPr="00C87D00">
        <w:rPr>
          <w:noProof/>
          <w:lang w:val="de-DE"/>
        </w:rPr>
        <w:t>DUS-Prüfungsämter</w:t>
      </w:r>
      <w:r w:rsidRPr="00B05705">
        <w:rPr>
          <w:noProof/>
          <w:lang w:val="de-DE"/>
        </w:rPr>
        <w:t xml:space="preserve"> </w:t>
      </w:r>
      <w:r>
        <w:rPr>
          <w:noProof/>
          <w:lang w:val="de-DE"/>
        </w:rPr>
        <w:t>einverstanden erklärt haben,</w:t>
      </w:r>
      <w:r w:rsidRPr="00B05705">
        <w:rPr>
          <w:noProof/>
          <w:lang w:val="de-DE"/>
        </w:rPr>
        <w:t xml:space="preserve"> </w:t>
      </w:r>
      <w:r>
        <w:rPr>
          <w:noProof/>
          <w:lang w:val="de-DE"/>
        </w:rPr>
        <w:t>bevor sie</w:t>
      </w:r>
      <w:r w:rsidRPr="00B05705">
        <w:rPr>
          <w:noProof/>
          <w:lang w:val="de-DE"/>
        </w:rPr>
        <w:t xml:space="preserve"> </w:t>
      </w:r>
      <w:r>
        <w:rPr>
          <w:noProof/>
          <w:lang w:val="de-DE"/>
        </w:rPr>
        <w:t>neue</w:t>
      </w:r>
      <w:r w:rsidRPr="00B05705">
        <w:rPr>
          <w:noProof/>
          <w:lang w:val="de-DE"/>
        </w:rPr>
        <w:t xml:space="preserve"> </w:t>
      </w:r>
      <w:r>
        <w:rPr>
          <w:noProof/>
          <w:lang w:val="de-DE"/>
        </w:rPr>
        <w:t>Krankheitsresistenzmerkmale</w:t>
      </w:r>
      <w:r w:rsidRPr="00B05705">
        <w:rPr>
          <w:noProof/>
          <w:lang w:val="de-DE"/>
        </w:rPr>
        <w:t xml:space="preserve"> </w:t>
      </w:r>
      <w:r>
        <w:rPr>
          <w:noProof/>
          <w:lang w:val="de-DE"/>
        </w:rPr>
        <w:t>oder ein neues Krankheits</w:t>
      </w:r>
      <w:r w:rsidRPr="00A9561F">
        <w:rPr>
          <w:noProof/>
          <w:lang w:val="de-DE"/>
        </w:rPr>
        <w:t>prüfungsprotokoll</w:t>
      </w:r>
      <w:r>
        <w:rPr>
          <w:noProof/>
          <w:lang w:val="de-DE"/>
        </w:rPr>
        <w:t xml:space="preserve"> hinzufügen</w:t>
      </w:r>
      <w:r w:rsidRPr="00B05705">
        <w:rPr>
          <w:noProof/>
          <w:lang w:val="de-DE"/>
        </w:rPr>
        <w:t>.</w:t>
      </w:r>
    </w:p>
    <w:p w:rsidR="00EA44BD" w:rsidRPr="00B05705" w:rsidRDefault="00EA44BD" w:rsidP="00EA44BD">
      <w:pPr>
        <w:rPr>
          <w:noProof/>
          <w:lang w:val="de-DE"/>
        </w:rPr>
      </w:pPr>
    </w:p>
    <w:p w:rsidR="00EA44BD" w:rsidRPr="00B05705" w:rsidRDefault="00EA44BD" w:rsidP="00EA44BD">
      <w:pPr>
        <w:tabs>
          <w:tab w:val="left" w:pos="5387"/>
          <w:tab w:val="left" w:pos="5954"/>
        </w:tabs>
        <w:ind w:left="4820"/>
        <w:rPr>
          <w:rFonts w:cs="Arial"/>
          <w:bCs/>
          <w:i/>
          <w:noProof/>
          <w:snapToGrid w:val="0"/>
          <w:lang w:val="de-DE"/>
        </w:rPr>
      </w:pPr>
      <w:r w:rsidRPr="0059364E">
        <w:rPr>
          <w:rFonts w:cs="Arial"/>
          <w:bCs/>
          <w:i/>
          <w:noProof/>
          <w:snapToGrid w:val="0"/>
          <w:lang w:val="de-DE"/>
        </w:rPr>
        <w:lastRenderedPageBreak/>
        <w:fldChar w:fldCharType="begin"/>
      </w:r>
      <w:r w:rsidRPr="0059364E">
        <w:rPr>
          <w:rFonts w:cs="Arial"/>
          <w:bCs/>
          <w:i/>
          <w:noProof/>
          <w:snapToGrid w:val="0"/>
          <w:lang w:val="de-DE"/>
        </w:rPr>
        <w:instrText xml:space="preserve"> AUTONUM  </w:instrText>
      </w:r>
      <w:r w:rsidRPr="0059364E">
        <w:rPr>
          <w:rFonts w:cs="Arial"/>
          <w:bCs/>
          <w:i/>
          <w:noProof/>
          <w:snapToGrid w:val="0"/>
          <w:lang w:val="de-DE"/>
        </w:rPr>
        <w:fldChar w:fldCharType="end"/>
      </w:r>
      <w:r w:rsidRPr="0004263E">
        <w:rPr>
          <w:rFonts w:cs="Arial"/>
          <w:bCs/>
          <w:i/>
          <w:noProof/>
          <w:snapToGrid w:val="0"/>
          <w:lang w:val="de-DE"/>
        </w:rPr>
        <w:tab/>
        <w:t>Der TC wird ersucht, zur Kenntnis zu nehmen, daß die TWV verei</w:t>
      </w:r>
      <w:r>
        <w:rPr>
          <w:rFonts w:cs="Arial"/>
          <w:bCs/>
          <w:i/>
          <w:noProof/>
          <w:snapToGrid w:val="0"/>
          <w:lang w:val="de-DE"/>
        </w:rPr>
        <w:t xml:space="preserve">nbart hat, daß die </w:t>
      </w:r>
      <w:r w:rsidRPr="00B05705">
        <w:rPr>
          <w:rFonts w:cs="Arial"/>
          <w:bCs/>
          <w:i/>
          <w:noProof/>
          <w:snapToGrid w:val="0"/>
          <w:lang w:val="de-DE"/>
        </w:rPr>
        <w:t xml:space="preserve">derzeitige in </w:t>
      </w:r>
      <w:r>
        <w:rPr>
          <w:rFonts w:cs="Arial"/>
          <w:bCs/>
          <w:i/>
          <w:noProof/>
          <w:snapToGrid w:val="0"/>
          <w:lang w:val="de-DE"/>
        </w:rPr>
        <w:t>den UPOV-Dokument</w:t>
      </w:r>
      <w:r w:rsidRPr="00B05705">
        <w:rPr>
          <w:rFonts w:cs="Arial"/>
          <w:bCs/>
          <w:i/>
          <w:noProof/>
          <w:snapToGrid w:val="0"/>
          <w:lang w:val="de-DE"/>
        </w:rPr>
        <w:t xml:space="preserve">en </w:t>
      </w:r>
      <w:r>
        <w:rPr>
          <w:rFonts w:cs="Arial"/>
          <w:bCs/>
          <w:i/>
          <w:noProof/>
          <w:snapToGrid w:val="0"/>
          <w:lang w:val="de-DE"/>
        </w:rPr>
        <w:t>angegebene</w:t>
      </w:r>
      <w:r w:rsidRPr="00B05705">
        <w:rPr>
          <w:rFonts w:cs="Arial"/>
          <w:bCs/>
          <w:i/>
          <w:noProof/>
          <w:snapToGrid w:val="0"/>
          <w:lang w:val="de-DE"/>
        </w:rPr>
        <w:t xml:space="preserve"> Anleitung in bezug auf die Verwendung von Krankheitsresistenzmerkmalen in den Prüfungsrichtlinien und in der </w:t>
      </w:r>
      <w:r w:rsidRPr="00AD490D">
        <w:rPr>
          <w:rFonts w:cs="Arial"/>
          <w:bCs/>
          <w:i/>
          <w:noProof/>
          <w:snapToGrid w:val="0"/>
          <w:lang w:val="de-DE"/>
        </w:rPr>
        <w:t xml:space="preserve">DUS-Prüfung klar und vorerst ausreichend </w:t>
      </w:r>
      <w:r>
        <w:rPr>
          <w:rFonts w:cs="Arial"/>
          <w:bCs/>
          <w:i/>
          <w:noProof/>
          <w:snapToGrid w:val="0"/>
          <w:lang w:val="de-DE"/>
        </w:rPr>
        <w:t>sei</w:t>
      </w:r>
      <w:r w:rsidRPr="00AD490D">
        <w:rPr>
          <w:rFonts w:cs="Arial"/>
          <w:bCs/>
          <w:i/>
          <w:noProof/>
          <w:snapToGrid w:val="0"/>
          <w:lang w:val="de-DE"/>
        </w:rPr>
        <w:t xml:space="preserve">, wie </w:t>
      </w:r>
      <w:r w:rsidRPr="00442CED">
        <w:rPr>
          <w:rFonts w:cs="Arial"/>
          <w:bCs/>
          <w:i/>
          <w:noProof/>
          <w:snapToGrid w:val="0"/>
          <w:lang w:val="de-DE"/>
        </w:rPr>
        <w:t>in Absatz 65 dieses</w:t>
      </w:r>
      <w:r w:rsidRPr="00AD490D">
        <w:rPr>
          <w:rFonts w:cs="Arial"/>
          <w:bCs/>
          <w:i/>
          <w:noProof/>
          <w:snapToGrid w:val="0"/>
          <w:lang w:val="de-DE"/>
        </w:rPr>
        <w:t xml:space="preserve"> Dokuments dargelegt.</w:t>
      </w:r>
      <w:r w:rsidRPr="00B05705">
        <w:rPr>
          <w:rFonts w:cs="Arial"/>
          <w:bCs/>
          <w:i/>
          <w:noProof/>
          <w:snapToGrid w:val="0"/>
          <w:lang w:val="de-DE"/>
        </w:rPr>
        <w:t xml:space="preserve"> </w:t>
      </w:r>
    </w:p>
    <w:p w:rsidR="00EA44BD" w:rsidRPr="00B05705" w:rsidRDefault="00EA44BD" w:rsidP="00EA44BD">
      <w:pPr>
        <w:rPr>
          <w:rFonts w:cs="Arial"/>
          <w:bCs/>
          <w:noProof/>
          <w:snapToGrid w:val="0"/>
          <w:lang w:val="de-DE"/>
        </w:rPr>
      </w:pP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keepNext/>
        <w:outlineLvl w:val="0"/>
        <w:rPr>
          <w:caps/>
          <w:noProof/>
          <w:lang w:val="de-DE"/>
        </w:rPr>
      </w:pPr>
      <w:bookmarkStart w:id="67" w:name="_Toc22740463"/>
      <w:r w:rsidRPr="00B05705">
        <w:rPr>
          <w:noProof/>
          <w:lang w:val="de-DE"/>
        </w:rPr>
        <w:t xml:space="preserve">PROGRAMM FÜR DIE </w:t>
      </w:r>
      <w:r>
        <w:rPr>
          <w:noProof/>
          <w:lang w:val="de-DE"/>
        </w:rPr>
        <w:t>E</w:t>
      </w:r>
      <w:r w:rsidRPr="00B05705">
        <w:rPr>
          <w:noProof/>
          <w:lang w:val="de-DE"/>
        </w:rPr>
        <w:t xml:space="preserve">RSTELLUNG VON </w:t>
      </w:r>
      <w:r>
        <w:rPr>
          <w:noProof/>
          <w:lang w:val="de-DE"/>
        </w:rPr>
        <w:t>TGP-D</w:t>
      </w:r>
      <w:r w:rsidRPr="00B05705">
        <w:rPr>
          <w:noProof/>
          <w:lang w:val="de-DE"/>
        </w:rPr>
        <w:t>OKUMENTEN</w:t>
      </w:r>
      <w:bookmarkEnd w:id="67"/>
    </w:p>
    <w:p w:rsidR="00EA44BD" w:rsidRPr="00B05705" w:rsidRDefault="00EA44BD" w:rsidP="00EA44BD">
      <w:pPr>
        <w:rPr>
          <w:noProof/>
          <w:lang w:val="de-DE"/>
        </w:rPr>
      </w:pPr>
    </w:p>
    <w:p w:rsidR="00EA44BD" w:rsidRPr="00B05705"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Pr>
          <w:noProof/>
          <w:lang w:val="de-DE"/>
        </w:rPr>
        <w:tab/>
        <w:t xml:space="preserve">In </w:t>
      </w:r>
      <w:r w:rsidRPr="00442CED">
        <w:rPr>
          <w:noProof/>
          <w:lang w:val="de-DE"/>
        </w:rPr>
        <w:t xml:space="preserve">Anlage VI </w:t>
      </w:r>
      <w:r w:rsidRPr="00442CED">
        <w:rPr>
          <w:rFonts w:cs="Arial"/>
          <w:lang w:val="de-DE" w:eastAsia="ja-JP"/>
        </w:rPr>
        <w:t>dieses</w:t>
      </w:r>
      <w:r w:rsidRPr="00652E2A">
        <w:rPr>
          <w:rFonts w:cs="Arial"/>
          <w:lang w:val="de-DE" w:eastAsia="ja-JP"/>
        </w:rPr>
        <w:t xml:space="preserve"> Dokuments ist das </w:t>
      </w:r>
      <w:r w:rsidRPr="00B05705">
        <w:rPr>
          <w:noProof/>
          <w:lang w:val="de-DE"/>
        </w:rPr>
        <w:t xml:space="preserve">auf der Grundlage </w:t>
      </w:r>
      <w:r>
        <w:rPr>
          <w:noProof/>
          <w:lang w:val="de-DE"/>
        </w:rPr>
        <w:t>der</w:t>
      </w:r>
      <w:r w:rsidRPr="00B05705">
        <w:rPr>
          <w:noProof/>
          <w:lang w:val="de-DE"/>
        </w:rPr>
        <w:t xml:space="preserve"> Bemerkungen </w:t>
      </w:r>
      <w:r w:rsidRPr="00AD490D">
        <w:rPr>
          <w:noProof/>
          <w:lang w:val="de-DE"/>
        </w:rPr>
        <w:t xml:space="preserve">der TWP auf deren Tagungen im Jahr 2019 geänderte </w:t>
      </w:r>
      <w:r w:rsidRPr="00AD490D">
        <w:rPr>
          <w:rFonts w:cs="Arial"/>
          <w:lang w:val="de-DE" w:eastAsia="ja-JP"/>
        </w:rPr>
        <w:t>Programm für die Erstellung von TGP-Dokumenten dargelegt</w:t>
      </w:r>
      <w:r>
        <w:rPr>
          <w:rFonts w:cs="Arial"/>
          <w:lang w:val="de-DE" w:eastAsia="ja-JP"/>
        </w:rPr>
        <w:t>.</w:t>
      </w:r>
      <w:r>
        <w:rPr>
          <w:noProof/>
          <w:lang w:val="de-DE"/>
        </w:rPr>
        <w:t xml:space="preserve"> </w:t>
      </w:r>
    </w:p>
    <w:p w:rsidR="00EA44BD" w:rsidRPr="00B05705" w:rsidRDefault="00EA44BD" w:rsidP="00EA44BD">
      <w:pPr>
        <w:rPr>
          <w:noProof/>
          <w:lang w:val="de-DE"/>
        </w:rPr>
      </w:pPr>
    </w:p>
    <w:p w:rsidR="00EA44BD" w:rsidRPr="0004263E" w:rsidRDefault="00EA44BD" w:rsidP="00EA44BD">
      <w:pPr>
        <w:rPr>
          <w:noProof/>
          <w:lang w:val="de-DE"/>
        </w:rPr>
      </w:pPr>
      <w:r w:rsidRPr="0059364E">
        <w:rPr>
          <w:noProof/>
          <w:lang w:val="de-DE"/>
        </w:rPr>
        <w:fldChar w:fldCharType="begin"/>
      </w:r>
      <w:r w:rsidRPr="0059364E">
        <w:rPr>
          <w:noProof/>
          <w:lang w:val="de-DE"/>
        </w:rPr>
        <w:instrText xml:space="preserve"> AUTONUM  </w:instrText>
      </w:r>
      <w:r w:rsidRPr="0059364E">
        <w:rPr>
          <w:noProof/>
          <w:lang w:val="de-DE"/>
        </w:rPr>
        <w:fldChar w:fldCharType="end"/>
      </w:r>
      <w:r w:rsidRPr="0004263E">
        <w:rPr>
          <w:noProof/>
          <w:lang w:val="de-DE"/>
        </w:rPr>
        <w:tab/>
        <w:t>Es wird vorgeschlagen, den Geltungsbereich dieses Dokuments zu erweitern, um alle maßgeblichen Informationsmaterialien für künftige Tagungen des Technischen Ausschusses abzudecken.</w:t>
      </w:r>
    </w:p>
    <w:p w:rsidR="00EA44BD" w:rsidRPr="0004263E" w:rsidRDefault="00EA44BD" w:rsidP="00EA44BD">
      <w:pPr>
        <w:rPr>
          <w:noProof/>
          <w:lang w:val="de-DE"/>
        </w:rPr>
      </w:pPr>
    </w:p>
    <w:p w:rsidR="00EA44BD" w:rsidRPr="00B05705" w:rsidRDefault="00EA44BD" w:rsidP="00EA44BD">
      <w:pPr>
        <w:keepNext/>
        <w:tabs>
          <w:tab w:val="left" w:pos="5387"/>
        </w:tabs>
        <w:ind w:left="4820"/>
        <w:rPr>
          <w:i/>
          <w:noProof/>
          <w:lang w:val="de-DE"/>
        </w:rPr>
      </w:pPr>
      <w:r w:rsidRPr="0059364E">
        <w:rPr>
          <w:i/>
          <w:noProof/>
          <w:lang w:val="de-DE"/>
        </w:rPr>
        <w:fldChar w:fldCharType="begin"/>
      </w:r>
      <w:r w:rsidRPr="0059364E">
        <w:rPr>
          <w:i/>
          <w:noProof/>
          <w:lang w:val="de-DE"/>
        </w:rPr>
        <w:instrText xml:space="preserve"> AUTONUM  </w:instrText>
      </w:r>
      <w:r w:rsidRPr="0059364E">
        <w:rPr>
          <w:i/>
          <w:noProof/>
          <w:lang w:val="de-DE"/>
        </w:rPr>
        <w:fldChar w:fldCharType="end"/>
      </w:r>
      <w:r w:rsidRPr="0004263E">
        <w:rPr>
          <w:i/>
          <w:noProof/>
          <w:lang w:val="de-DE"/>
        </w:rPr>
        <w:tab/>
        <w:t>D</w:t>
      </w:r>
      <w:r w:rsidRPr="00B05705">
        <w:rPr>
          <w:i/>
          <w:noProof/>
          <w:lang w:val="de-DE"/>
        </w:rPr>
        <w:t>er TC wird ersucht</w:t>
      </w:r>
      <w:r>
        <w:rPr>
          <w:i/>
          <w:noProof/>
          <w:lang w:val="de-DE"/>
        </w:rPr>
        <w:t>, folgendes zu prüfen</w:t>
      </w:r>
      <w:r w:rsidRPr="00B05705">
        <w:rPr>
          <w:i/>
          <w:noProof/>
          <w:lang w:val="de-DE"/>
        </w:rPr>
        <w:t>:</w:t>
      </w:r>
    </w:p>
    <w:p w:rsidR="00EA44BD" w:rsidRPr="00B05705" w:rsidRDefault="00EA44BD" w:rsidP="00EA44BD">
      <w:pPr>
        <w:keepNext/>
        <w:tabs>
          <w:tab w:val="left" w:pos="5387"/>
        </w:tabs>
        <w:ind w:left="4820"/>
        <w:rPr>
          <w:i/>
          <w:noProof/>
          <w:lang w:val="de-DE"/>
        </w:rPr>
      </w:pPr>
    </w:p>
    <w:p w:rsidR="00EA44BD" w:rsidRPr="00B05705" w:rsidRDefault="00EA44BD" w:rsidP="00EA44BD">
      <w:pPr>
        <w:keepNext/>
        <w:tabs>
          <w:tab w:val="left" w:pos="5387"/>
          <w:tab w:val="left" w:pos="5954"/>
        </w:tabs>
        <w:ind w:left="4820"/>
        <w:rPr>
          <w:i/>
          <w:noProof/>
          <w:lang w:val="de-DE"/>
        </w:rPr>
      </w:pPr>
      <w:r w:rsidRPr="00B05705">
        <w:rPr>
          <w:i/>
          <w:noProof/>
          <w:lang w:val="de-DE"/>
        </w:rPr>
        <w:tab/>
        <w:t>a)</w:t>
      </w:r>
      <w:r w:rsidRPr="00B05705">
        <w:rPr>
          <w:i/>
          <w:noProof/>
          <w:lang w:val="de-DE"/>
        </w:rPr>
        <w:tab/>
      </w:r>
      <w:r>
        <w:rPr>
          <w:i/>
          <w:noProof/>
          <w:lang w:val="de-DE"/>
        </w:rPr>
        <w:t>das</w:t>
      </w:r>
      <w:r w:rsidRPr="00B05705">
        <w:rPr>
          <w:i/>
          <w:noProof/>
          <w:lang w:val="de-DE"/>
        </w:rPr>
        <w:t xml:space="preserve"> Programm </w:t>
      </w:r>
      <w:r>
        <w:rPr>
          <w:i/>
          <w:noProof/>
          <w:lang w:val="de-DE"/>
        </w:rPr>
        <w:t>f</w:t>
      </w:r>
      <w:r w:rsidRPr="00B05705">
        <w:rPr>
          <w:i/>
          <w:noProof/>
          <w:lang w:val="de-DE"/>
        </w:rPr>
        <w:t xml:space="preserve">ür </w:t>
      </w:r>
      <w:r>
        <w:rPr>
          <w:i/>
          <w:noProof/>
          <w:lang w:val="de-DE"/>
        </w:rPr>
        <w:t>d</w:t>
      </w:r>
      <w:r w:rsidRPr="00B05705">
        <w:rPr>
          <w:i/>
          <w:noProof/>
          <w:lang w:val="de-DE"/>
        </w:rPr>
        <w:t xml:space="preserve">ie Erstellung </w:t>
      </w:r>
      <w:r>
        <w:rPr>
          <w:i/>
          <w:noProof/>
          <w:lang w:val="de-DE"/>
        </w:rPr>
        <w:t>v</w:t>
      </w:r>
      <w:r w:rsidRPr="00B05705">
        <w:rPr>
          <w:i/>
          <w:noProof/>
          <w:lang w:val="de-DE"/>
        </w:rPr>
        <w:t>on T</w:t>
      </w:r>
      <w:r>
        <w:rPr>
          <w:i/>
          <w:noProof/>
          <w:lang w:val="de-DE"/>
        </w:rPr>
        <w:t>GP</w:t>
      </w:r>
      <w:r w:rsidRPr="00B05705">
        <w:rPr>
          <w:i/>
          <w:noProof/>
          <w:lang w:val="de-DE"/>
        </w:rPr>
        <w:t xml:space="preserve">-Dokumenten, wie </w:t>
      </w:r>
      <w:r w:rsidRPr="00442CED">
        <w:rPr>
          <w:i/>
          <w:noProof/>
          <w:lang w:val="de-DE"/>
        </w:rPr>
        <w:t>in Anlage VI dieses</w:t>
      </w:r>
      <w:r w:rsidRPr="00B05705">
        <w:rPr>
          <w:i/>
          <w:noProof/>
          <w:lang w:val="de-DE"/>
        </w:rPr>
        <w:t xml:space="preserve"> Dokuments</w:t>
      </w:r>
      <w:r>
        <w:rPr>
          <w:i/>
          <w:noProof/>
          <w:lang w:val="de-DE"/>
        </w:rPr>
        <w:t xml:space="preserve"> </w:t>
      </w:r>
      <w:r w:rsidRPr="00B05705">
        <w:rPr>
          <w:i/>
          <w:noProof/>
          <w:lang w:val="de-DE"/>
        </w:rPr>
        <w:t xml:space="preserve">dargelegt; und </w:t>
      </w:r>
    </w:p>
    <w:p w:rsidR="00EA44BD" w:rsidRPr="00B05705" w:rsidRDefault="00EA44BD" w:rsidP="00EA44BD">
      <w:pPr>
        <w:tabs>
          <w:tab w:val="left" w:pos="5387"/>
          <w:tab w:val="left" w:pos="5954"/>
        </w:tabs>
        <w:ind w:left="4820"/>
        <w:rPr>
          <w:i/>
          <w:noProof/>
          <w:lang w:val="de-DE"/>
        </w:rPr>
      </w:pPr>
    </w:p>
    <w:p w:rsidR="00EA44BD" w:rsidRDefault="00EA44BD" w:rsidP="00EA44BD">
      <w:pPr>
        <w:tabs>
          <w:tab w:val="left" w:pos="5387"/>
          <w:tab w:val="left" w:pos="5954"/>
        </w:tabs>
        <w:ind w:left="4820"/>
        <w:rPr>
          <w:i/>
          <w:noProof/>
          <w:lang w:val="de-DE"/>
        </w:rPr>
      </w:pPr>
      <w:r w:rsidRPr="00B05705">
        <w:rPr>
          <w:i/>
          <w:noProof/>
          <w:lang w:val="de-DE"/>
        </w:rPr>
        <w:tab/>
        <w:t>b)</w:t>
      </w:r>
      <w:r w:rsidRPr="00B05705">
        <w:rPr>
          <w:i/>
          <w:noProof/>
          <w:lang w:val="de-DE"/>
        </w:rPr>
        <w:tab/>
      </w:r>
      <w:r w:rsidRPr="006A7AC7">
        <w:rPr>
          <w:i/>
          <w:noProof/>
          <w:lang w:val="de-DE"/>
        </w:rPr>
        <w:t xml:space="preserve">den Vorschlag, </w:t>
      </w:r>
      <w:bookmarkStart w:id="68" w:name="_Hlk22396851"/>
      <w:r w:rsidRPr="006A7AC7">
        <w:rPr>
          <w:i/>
          <w:noProof/>
          <w:lang w:val="de-DE"/>
        </w:rPr>
        <w:t xml:space="preserve">den Geltungsbereich dieses Dokuments zu erweitern, um alle </w:t>
      </w:r>
      <w:r>
        <w:rPr>
          <w:i/>
          <w:noProof/>
          <w:lang w:val="de-DE"/>
        </w:rPr>
        <w:t xml:space="preserve">maßgeblichen </w:t>
      </w:r>
      <w:r w:rsidRPr="006A7AC7">
        <w:rPr>
          <w:i/>
          <w:noProof/>
          <w:lang w:val="de-DE"/>
        </w:rPr>
        <w:t xml:space="preserve">Informationsmaterialien für künftige Tagungen des Technischen </w:t>
      </w:r>
      <w:r>
        <w:rPr>
          <w:i/>
          <w:noProof/>
          <w:lang w:val="de-DE"/>
        </w:rPr>
        <w:t>Ausschusses</w:t>
      </w:r>
      <w:r w:rsidRPr="006A7AC7">
        <w:rPr>
          <w:i/>
          <w:noProof/>
          <w:lang w:val="de-DE"/>
        </w:rPr>
        <w:t xml:space="preserve"> abzudecken</w:t>
      </w:r>
      <w:bookmarkEnd w:id="68"/>
      <w:r w:rsidRPr="00B05705">
        <w:rPr>
          <w:i/>
          <w:noProof/>
          <w:lang w:val="de-DE"/>
        </w:rPr>
        <w:t>.</w:t>
      </w:r>
    </w:p>
    <w:p w:rsidR="00EA44BD" w:rsidRPr="00B05705" w:rsidRDefault="00EA44BD" w:rsidP="00EA44BD">
      <w:pPr>
        <w:tabs>
          <w:tab w:val="left" w:pos="5387"/>
          <w:tab w:val="left" w:pos="5954"/>
        </w:tabs>
        <w:ind w:left="4820"/>
        <w:rPr>
          <w:i/>
          <w:noProof/>
          <w:lang w:val="de-DE"/>
        </w:rPr>
      </w:pPr>
    </w:p>
    <w:p w:rsidR="00EA44BD" w:rsidRPr="00B05705" w:rsidRDefault="00EA44BD" w:rsidP="00EA44BD">
      <w:pPr>
        <w:rPr>
          <w:rFonts w:cs="Arial"/>
          <w:bCs/>
          <w:noProof/>
          <w:snapToGrid w:val="0"/>
          <w:lang w:val="de-DE"/>
        </w:rPr>
      </w:pPr>
    </w:p>
    <w:p w:rsidR="00EA44BD" w:rsidRPr="00B05705" w:rsidRDefault="00EA44BD" w:rsidP="00EA44BD">
      <w:pPr>
        <w:rPr>
          <w:rFonts w:cs="Arial"/>
          <w:bCs/>
          <w:noProof/>
          <w:snapToGrid w:val="0"/>
          <w:lang w:val="de-DE"/>
        </w:rPr>
      </w:pPr>
    </w:p>
    <w:bookmarkEnd w:id="48"/>
    <w:bookmarkEnd w:id="49"/>
    <w:bookmarkEnd w:id="50"/>
    <w:bookmarkEnd w:id="51"/>
    <w:p w:rsidR="00EA44BD" w:rsidRPr="00B05705" w:rsidRDefault="00EA44BD" w:rsidP="00EA44BD">
      <w:pPr>
        <w:jc w:val="right"/>
        <w:rPr>
          <w:noProof/>
          <w:snapToGrid w:val="0"/>
          <w:lang w:val="de-DE"/>
        </w:rPr>
      </w:pPr>
      <w:r w:rsidRPr="00B05705">
        <w:rPr>
          <w:noProof/>
          <w:snapToGrid w:val="0"/>
          <w:lang w:val="de-DE"/>
        </w:rPr>
        <w:t xml:space="preserve"> [Anlagen folgen]</w:t>
      </w:r>
    </w:p>
    <w:p w:rsidR="00EA44BD" w:rsidRPr="00B05705" w:rsidRDefault="00EA44BD" w:rsidP="00EA44BD">
      <w:pPr>
        <w:jc w:val="right"/>
        <w:rPr>
          <w:noProof/>
          <w:snapToGrid w:val="0"/>
          <w:lang w:val="de-DE"/>
        </w:rPr>
        <w:sectPr w:rsidR="00EA44BD" w:rsidRPr="00B05705" w:rsidSect="00DC4ECD">
          <w:headerReference w:type="default" r:id="rId15"/>
          <w:pgSz w:w="11907" w:h="16840" w:code="9"/>
          <w:pgMar w:top="709" w:right="1134" w:bottom="993" w:left="1134" w:header="510" w:footer="680" w:gutter="0"/>
          <w:pgNumType w:start="1"/>
          <w:cols w:space="720"/>
          <w:titlePg/>
        </w:sectPr>
      </w:pPr>
    </w:p>
    <w:p w:rsidR="00EA44BD" w:rsidRPr="00B05705" w:rsidRDefault="00EA44BD" w:rsidP="00EA44BD">
      <w:pPr>
        <w:jc w:val="center"/>
        <w:rPr>
          <w:noProof/>
          <w:lang w:val="de-DE"/>
        </w:rPr>
      </w:pPr>
      <w:r w:rsidRPr="00B05705">
        <w:rPr>
          <w:noProof/>
          <w:lang w:val="de-DE"/>
        </w:rPr>
        <w:lastRenderedPageBreak/>
        <w:t>ANGELEGENHEITEN ZUR ANNAHME DURCH DEN RAT IM JAHR 2019: ÜBERARBEITUNGEN VON DOKUMENT TGP/7</w:t>
      </w:r>
    </w:p>
    <w:p w:rsidR="00EA44BD" w:rsidRPr="00B05705" w:rsidRDefault="00EA44BD" w:rsidP="00EA44BD">
      <w:pPr>
        <w:rPr>
          <w:noProof/>
          <w:lang w:val="de-DE"/>
        </w:rPr>
      </w:pPr>
    </w:p>
    <w:p w:rsidR="00EA44BD" w:rsidRPr="00B05705" w:rsidRDefault="00EA44BD" w:rsidP="00EA44BD">
      <w:pPr>
        <w:rPr>
          <w:noProof/>
          <w:lang w:val="de-DE"/>
        </w:rPr>
      </w:pPr>
      <w:r w:rsidRPr="0059364E">
        <w:rPr>
          <w:noProof/>
          <w:lang w:val="de-DE"/>
        </w:rPr>
        <w:t>E</w:t>
      </w:r>
      <w:r w:rsidRPr="0004263E">
        <w:rPr>
          <w:noProof/>
          <w:lang w:val="de-DE"/>
        </w:rPr>
        <w:t>s w</w:t>
      </w:r>
      <w:r w:rsidRPr="00B05705">
        <w:rPr>
          <w:noProof/>
          <w:lang w:val="de-DE"/>
        </w:rPr>
        <w:t>urde vom Technischen Ausschuß vereinbart, die folgende</w:t>
      </w:r>
      <w:r>
        <w:rPr>
          <w:noProof/>
          <w:lang w:val="de-DE"/>
        </w:rPr>
        <w:t>n</w:t>
      </w:r>
      <w:r w:rsidRPr="00B05705">
        <w:rPr>
          <w:noProof/>
          <w:lang w:val="de-DE"/>
        </w:rPr>
        <w:t xml:space="preserve"> Überarbeitung</w:t>
      </w:r>
      <w:r>
        <w:rPr>
          <w:noProof/>
          <w:lang w:val="de-DE"/>
        </w:rPr>
        <w:t>en</w:t>
      </w:r>
      <w:r w:rsidRPr="00B05705">
        <w:rPr>
          <w:noProof/>
          <w:lang w:val="de-DE"/>
        </w:rPr>
        <w:t xml:space="preserve"> von Dokument TGP/7 „Erstellung von Prüfungsrichtlinien</w:t>
      </w:r>
      <w:r>
        <w:rPr>
          <w:noProof/>
          <w:lang w:val="de-DE"/>
        </w:rPr>
        <w:t>“</w:t>
      </w:r>
      <w:r w:rsidRPr="00B05705">
        <w:rPr>
          <w:noProof/>
          <w:lang w:val="de-DE"/>
        </w:rPr>
        <w:t xml:space="preserve"> zur Annahme durch den Rat auf seiner dreiundfünfzigsten ordentlichen Tagung am 1. November 2019 in Genf</w:t>
      </w:r>
      <w:r>
        <w:rPr>
          <w:noProof/>
          <w:lang w:val="de-DE"/>
        </w:rPr>
        <w:t>,</w:t>
      </w:r>
      <w:r w:rsidRPr="00B05705">
        <w:rPr>
          <w:noProof/>
          <w:lang w:val="de-DE"/>
        </w:rPr>
        <w:t xml:space="preserve"> vorbehaltlich der Billigung durch den CAJ auf seiner sechsundsiebzigsten Tagung am 30. Oktober 2019 in Genf</w:t>
      </w:r>
      <w:r>
        <w:rPr>
          <w:noProof/>
          <w:lang w:val="de-DE"/>
        </w:rPr>
        <w:t xml:space="preserve">, </w:t>
      </w:r>
      <w:r w:rsidRPr="00B05705">
        <w:rPr>
          <w:noProof/>
          <w:lang w:val="de-DE"/>
        </w:rPr>
        <w:t>vorzuschlagen (</w:t>
      </w:r>
      <w:r w:rsidRPr="00B05705">
        <w:rPr>
          <w:strike/>
          <w:noProof/>
          <w:highlight w:val="lightGray"/>
          <w:lang w:val="de-DE"/>
        </w:rPr>
        <w:t>Hervorheben und Durchstreichen</w:t>
      </w:r>
      <w:r w:rsidRPr="00B05705">
        <w:rPr>
          <w:noProof/>
          <w:lang w:val="de-DE"/>
        </w:rPr>
        <w:t xml:space="preserve"> für Streichungen und </w:t>
      </w:r>
      <w:r w:rsidRPr="00B05705">
        <w:rPr>
          <w:noProof/>
          <w:highlight w:val="lightGray"/>
          <w:u w:val="single"/>
          <w:lang w:val="de-DE"/>
        </w:rPr>
        <w:t>Hervorheben und Unterstreichen</w:t>
      </w:r>
      <w:r w:rsidRPr="00B05705">
        <w:rPr>
          <w:noProof/>
          <w:lang w:val="de-DE"/>
        </w:rPr>
        <w:t xml:space="preserve"> für Einfügung):</w:t>
      </w:r>
    </w:p>
    <w:p w:rsidR="00EA44BD" w:rsidRPr="00B05705" w:rsidRDefault="00EA44BD" w:rsidP="00EA44BD">
      <w:pPr>
        <w:rPr>
          <w:noProof/>
          <w:lang w:val="de-DE"/>
        </w:rPr>
      </w:pPr>
    </w:p>
    <w:p w:rsidR="00EA44BD" w:rsidRPr="007C60B9" w:rsidRDefault="00EA44BD" w:rsidP="00EA44BD">
      <w:pPr>
        <w:rPr>
          <w:noProof/>
          <w:u w:val="single"/>
          <w:lang w:val="de-DE"/>
        </w:rPr>
      </w:pPr>
      <w:r w:rsidRPr="007C60B9">
        <w:rPr>
          <w:rFonts w:eastAsia="MS Mincho"/>
          <w:noProof/>
          <w:u w:val="single"/>
          <w:lang w:val="de-DE"/>
        </w:rPr>
        <w:t>i)</w:t>
      </w:r>
      <w:r w:rsidRPr="007C60B9">
        <w:rPr>
          <w:rFonts w:eastAsia="MS Mincho"/>
          <w:noProof/>
          <w:u w:val="single"/>
          <w:lang w:val="de-DE"/>
        </w:rPr>
        <w:tab/>
      </w:r>
      <w:r>
        <w:rPr>
          <w:rFonts w:eastAsia="MS Mincho"/>
          <w:noProof/>
          <w:u w:val="single"/>
          <w:lang w:val="de-DE"/>
        </w:rPr>
        <w:t>Dauer von DUS-Prüfungen</w:t>
      </w:r>
      <w:r w:rsidRPr="007C60B9">
        <w:rPr>
          <w:noProof/>
          <w:u w:val="single"/>
          <w:lang w:val="de-DE"/>
        </w:rPr>
        <w:t xml:space="preserve">: </w:t>
      </w:r>
    </w:p>
    <w:p w:rsidR="00EA44BD" w:rsidRPr="00B05705" w:rsidRDefault="00EA44BD" w:rsidP="00EA44BD">
      <w:pPr>
        <w:rPr>
          <w:noProof/>
          <w:u w:val="single"/>
          <w:lang w:val="de-DE"/>
        </w:rPr>
      </w:pPr>
    </w:p>
    <w:p w:rsidR="00EA44BD" w:rsidRPr="00B05705" w:rsidRDefault="00EA44BD" w:rsidP="00EA44BD">
      <w:pPr>
        <w:rPr>
          <w:i/>
          <w:noProof/>
          <w:lang w:val="de-DE"/>
        </w:rPr>
      </w:pPr>
      <w:r w:rsidRPr="00B05705">
        <w:rPr>
          <w:i/>
          <w:noProof/>
          <w:lang w:val="de-DE"/>
        </w:rPr>
        <w:t>Allgemeiner Standardwortlaut: Abschnitt 3.1: Anzahl der Wachstumsperioden</w:t>
      </w:r>
    </w:p>
    <w:p w:rsidR="00EA44BD" w:rsidRPr="00B05705" w:rsidRDefault="00EA44BD" w:rsidP="00EA44BD">
      <w:pPr>
        <w:rPr>
          <w:noProof/>
          <w:lang w:val="de-DE"/>
        </w:rPr>
      </w:pPr>
    </w:p>
    <w:p w:rsidR="00EA44BD" w:rsidRPr="00B05705" w:rsidRDefault="00EA44BD" w:rsidP="00EA44BD">
      <w:pPr>
        <w:rPr>
          <w:noProof/>
          <w:lang w:val="de-DE"/>
        </w:rPr>
      </w:pPr>
      <w:r w:rsidRPr="00B05705">
        <w:rPr>
          <w:noProof/>
          <w:lang w:val="de-DE"/>
        </w:rPr>
        <w:t xml:space="preserve">Der TC prüfte auf seiner vierundfünfzigsten Tagung Dokument TC/54/14 „Dauer </w:t>
      </w:r>
      <w:r>
        <w:rPr>
          <w:noProof/>
          <w:lang w:val="de-DE"/>
        </w:rPr>
        <w:t>von</w:t>
      </w:r>
      <w:r w:rsidRPr="00B05705">
        <w:rPr>
          <w:noProof/>
          <w:lang w:val="de-DE"/>
        </w:rPr>
        <w:t xml:space="preserve"> DUS-Prüfungen</w:t>
      </w:r>
      <w:r>
        <w:rPr>
          <w:noProof/>
          <w:lang w:val="de-DE"/>
        </w:rPr>
        <w:t>“</w:t>
      </w:r>
      <w:r w:rsidRPr="00B05705">
        <w:rPr>
          <w:noProof/>
          <w:lang w:val="de-DE"/>
        </w:rPr>
        <w:t xml:space="preserve"> (vergleiche Dokument </w:t>
      </w:r>
      <w:r w:rsidR="00DC4ECD">
        <w:rPr>
          <w:noProof/>
          <w:lang w:val="de-DE"/>
        </w:rPr>
        <w:t xml:space="preserve">TC/54/31 </w:t>
      </w:r>
      <w:r w:rsidRPr="00B05705">
        <w:rPr>
          <w:noProof/>
          <w:lang w:val="de-DE"/>
        </w:rPr>
        <w:t>„Bericht</w:t>
      </w:r>
      <w:r>
        <w:rPr>
          <w:noProof/>
          <w:lang w:val="de-DE"/>
        </w:rPr>
        <w:t>“</w:t>
      </w:r>
      <w:r w:rsidRPr="00B05705">
        <w:rPr>
          <w:noProof/>
          <w:lang w:val="de-DE"/>
        </w:rPr>
        <w:t>, Absätze 210 bis 212).</w:t>
      </w:r>
    </w:p>
    <w:p w:rsidR="00EA44BD" w:rsidRPr="00B05705" w:rsidRDefault="00EA44BD" w:rsidP="00EA44BD">
      <w:pPr>
        <w:rPr>
          <w:noProof/>
          <w:lang w:val="de-DE"/>
        </w:rPr>
      </w:pPr>
    </w:p>
    <w:p w:rsidR="00EA44BD" w:rsidRPr="0004263E" w:rsidRDefault="00EA44BD" w:rsidP="00EA44BD">
      <w:pPr>
        <w:rPr>
          <w:noProof/>
          <w:lang w:val="de-DE"/>
        </w:rPr>
      </w:pPr>
      <w:r w:rsidRPr="0059364E">
        <w:rPr>
          <w:noProof/>
          <w:lang w:val="de-DE"/>
        </w:rPr>
        <w:t>D</w:t>
      </w:r>
      <w:r w:rsidRPr="0004263E">
        <w:rPr>
          <w:noProof/>
          <w:lang w:val="de-DE"/>
        </w:rPr>
        <w:t>er TC vereinbarte, daß die Anleitung in Dokument TGP/7 geändert werden sollte, um klarzustellen, daß die Prüfung einer Sorte abgeschlossen werden kann, wenn die zuständige Behörde das Ergebnis der Prüfung mit Sicherheit bestimmen kann.</w:t>
      </w:r>
    </w:p>
    <w:p w:rsidR="00EA44BD" w:rsidRPr="0004263E" w:rsidRDefault="00EA44BD" w:rsidP="00EA44BD">
      <w:pPr>
        <w:rPr>
          <w:noProof/>
          <w:lang w:val="de-DE"/>
        </w:rPr>
      </w:pPr>
    </w:p>
    <w:p w:rsidR="00EA44BD" w:rsidRPr="00B05705" w:rsidRDefault="00EA44BD" w:rsidP="00EA44BD">
      <w:pPr>
        <w:rPr>
          <w:noProof/>
          <w:lang w:val="de-DE"/>
        </w:rPr>
      </w:pPr>
      <w:r w:rsidRPr="0059364E">
        <w:rPr>
          <w:noProof/>
          <w:lang w:val="de-DE"/>
        </w:rPr>
        <w:t>D</w:t>
      </w:r>
      <w:r w:rsidRPr="0004263E">
        <w:rPr>
          <w:noProof/>
          <w:lang w:val="de-DE"/>
        </w:rPr>
        <w:t>er TC vereinbarte</w:t>
      </w:r>
      <w:r w:rsidRPr="00B05705">
        <w:rPr>
          <w:noProof/>
          <w:lang w:val="de-DE"/>
        </w:rPr>
        <w:t xml:space="preserve">, </w:t>
      </w:r>
      <w:r>
        <w:rPr>
          <w:noProof/>
          <w:lang w:val="de-DE"/>
        </w:rPr>
        <w:t>daß</w:t>
      </w:r>
      <w:r w:rsidRPr="00B05705">
        <w:rPr>
          <w:noProof/>
          <w:lang w:val="de-DE"/>
        </w:rPr>
        <w:t xml:space="preserve"> der folgende Satz als Standardwortlaut in die Prüfungsrichtlinien aufgenommen werden sollte:</w:t>
      </w:r>
    </w:p>
    <w:p w:rsidR="00EA44BD" w:rsidRPr="00B05705" w:rsidRDefault="00EA44BD" w:rsidP="00EA44BD">
      <w:pPr>
        <w:rPr>
          <w:noProof/>
          <w:sz w:val="18"/>
          <w:highlight w:val="yellow"/>
          <w:lang w:val="de-DE"/>
        </w:rPr>
      </w:pPr>
    </w:p>
    <w:p w:rsidR="00EA44BD" w:rsidRPr="00B05705" w:rsidRDefault="00EA44BD" w:rsidP="00EA44BD">
      <w:pPr>
        <w:ind w:left="567" w:right="567"/>
        <w:rPr>
          <w:noProof/>
          <w:sz w:val="18"/>
          <w:u w:val="single"/>
          <w:lang w:val="de-DE"/>
        </w:rPr>
      </w:pPr>
      <w:r w:rsidRPr="00B05705">
        <w:rPr>
          <w:noProof/>
          <w:sz w:val="18"/>
          <w:highlight w:val="lightGray"/>
          <w:u w:val="single"/>
          <w:lang w:val="de-DE"/>
        </w:rPr>
        <w:t>„Die Prüfung einer Sorte kann abgeschlossen werden, wenn die zuständige Behörde das Ergebnis der Prüfung mit Sicherheit bestimmen kann.</w:t>
      </w:r>
      <w:r>
        <w:rPr>
          <w:noProof/>
          <w:sz w:val="18"/>
          <w:highlight w:val="lightGray"/>
          <w:u w:val="single"/>
          <w:lang w:val="de-DE"/>
        </w:rPr>
        <w:t>“</w:t>
      </w: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rPr>
          <w:rFonts w:eastAsia="MS Mincho"/>
          <w:noProof/>
          <w:u w:val="single"/>
          <w:lang w:val="de-DE"/>
        </w:rPr>
      </w:pPr>
      <w:r w:rsidRPr="00B05705">
        <w:rPr>
          <w:rFonts w:eastAsia="MS Mincho"/>
          <w:noProof/>
          <w:u w:val="single"/>
          <w:lang w:val="de-DE"/>
        </w:rPr>
        <w:t>ii)</w:t>
      </w:r>
      <w:r w:rsidRPr="00B05705">
        <w:rPr>
          <w:rFonts w:eastAsia="MS Mincho"/>
          <w:noProof/>
          <w:u w:val="single"/>
          <w:lang w:val="de-DE"/>
        </w:rPr>
        <w:tab/>
        <w:t xml:space="preserve">Verfahren zur Annahme von Prüfungsrichtlinien auf dem Schriftweg </w:t>
      </w:r>
    </w:p>
    <w:p w:rsidR="00EA44BD" w:rsidRPr="00B05705" w:rsidRDefault="00EA44BD" w:rsidP="00EA44BD">
      <w:pPr>
        <w:rPr>
          <w:i/>
          <w:noProof/>
          <w:lang w:val="de-DE"/>
        </w:rPr>
      </w:pPr>
    </w:p>
    <w:p w:rsidR="00EA44BD" w:rsidRPr="00B05705" w:rsidRDefault="00EA44BD" w:rsidP="00EA44BD">
      <w:pPr>
        <w:rPr>
          <w:i/>
          <w:noProof/>
          <w:lang w:val="de-DE"/>
        </w:rPr>
      </w:pPr>
      <w:r w:rsidRPr="00B05705">
        <w:rPr>
          <w:i/>
          <w:noProof/>
          <w:lang w:val="de-DE"/>
        </w:rPr>
        <w:t>Abschnitt 2.2 „Verfahren zur Einführung von Prüfungsrichtlinien</w:t>
      </w:r>
      <w:r>
        <w:rPr>
          <w:i/>
          <w:noProof/>
          <w:lang w:val="de-DE"/>
        </w:rPr>
        <w:t>“</w:t>
      </w:r>
    </w:p>
    <w:p w:rsidR="00EA44BD" w:rsidRPr="00B05705" w:rsidRDefault="00EA44BD" w:rsidP="00EA44BD">
      <w:pPr>
        <w:rPr>
          <w:i/>
          <w:noProof/>
          <w:lang w:val="de-DE"/>
        </w:rPr>
      </w:pPr>
    </w:p>
    <w:p w:rsidR="00EA44BD" w:rsidRPr="0004263E" w:rsidRDefault="00EA44BD" w:rsidP="00EA44BD">
      <w:pPr>
        <w:rPr>
          <w:noProof/>
          <w:lang w:val="de-DE"/>
        </w:rPr>
      </w:pPr>
      <w:r w:rsidRPr="0059364E">
        <w:rPr>
          <w:noProof/>
          <w:lang w:val="de-DE"/>
        </w:rPr>
        <w:t>D</w:t>
      </w:r>
      <w:r w:rsidRPr="0004263E">
        <w:rPr>
          <w:noProof/>
          <w:lang w:val="de-DE"/>
        </w:rPr>
        <w:t xml:space="preserve">er TC prüfte auf seiner vierundfünfzigsten Tagung Dokument TC/54/16 „Verfahren zur Annahme von Entwürfen für Prüfungsrichtlinien“ (vergleiche Dokument </w:t>
      </w:r>
      <w:r w:rsidR="00DC4ECD">
        <w:rPr>
          <w:noProof/>
          <w:lang w:val="de-DE"/>
        </w:rPr>
        <w:t xml:space="preserve">TC/54/31 </w:t>
      </w:r>
      <w:r w:rsidRPr="0004263E">
        <w:rPr>
          <w:noProof/>
          <w:lang w:val="de-DE"/>
        </w:rPr>
        <w:t>„Bericht“, Absätze 217 bis 220).</w:t>
      </w:r>
    </w:p>
    <w:p w:rsidR="00EA44BD" w:rsidRPr="0004263E" w:rsidRDefault="00EA44BD" w:rsidP="00EA44BD">
      <w:pPr>
        <w:rPr>
          <w:noProof/>
          <w:lang w:val="de-DE"/>
        </w:rPr>
      </w:pPr>
    </w:p>
    <w:p w:rsidR="00EA44BD" w:rsidRPr="00B05705" w:rsidRDefault="00EA44BD" w:rsidP="00EA44BD">
      <w:pPr>
        <w:rPr>
          <w:noProof/>
          <w:lang w:val="de-DE"/>
        </w:rPr>
      </w:pPr>
      <w:r w:rsidRPr="0059364E">
        <w:rPr>
          <w:noProof/>
          <w:lang w:val="de-DE"/>
        </w:rPr>
        <w:t>D</w:t>
      </w:r>
      <w:r w:rsidRPr="0004263E">
        <w:rPr>
          <w:noProof/>
          <w:lang w:val="de-DE"/>
        </w:rPr>
        <w:t>er TC prüfte den</w:t>
      </w:r>
      <w:r w:rsidRPr="005B3A8F">
        <w:rPr>
          <w:noProof/>
          <w:lang w:val="de-DE"/>
        </w:rPr>
        <w:t xml:space="preserve"> Vorschlag zur Überarbeitung von Dokument TGP/7 „Erstellung von Prüfungsrichtlinien</w:t>
      </w:r>
      <w:r>
        <w:rPr>
          <w:noProof/>
          <w:lang w:val="de-DE"/>
        </w:rPr>
        <w:t>“</w:t>
      </w:r>
      <w:r w:rsidRPr="005B3A8F">
        <w:rPr>
          <w:noProof/>
          <w:lang w:val="de-DE"/>
        </w:rPr>
        <w:t xml:space="preserve">, um der Einführung eines Verfahrens zur Annahme von Prüfungsrichtlinien auf dem Schriftweg, wie in </w:t>
      </w:r>
      <w:r>
        <w:rPr>
          <w:noProof/>
          <w:lang w:val="de-DE"/>
        </w:rPr>
        <w:t xml:space="preserve">Dokument TC/54/16, </w:t>
      </w:r>
      <w:r w:rsidRPr="005B3A8F">
        <w:rPr>
          <w:noProof/>
          <w:lang w:val="de-DE"/>
        </w:rPr>
        <w:t xml:space="preserve">Absatz 14 dargelegt, Rechnung zu tragen, und hörte vom UPOV-Büro ein Referat, von dem eine Kopie als </w:t>
      </w:r>
      <w:r>
        <w:rPr>
          <w:noProof/>
          <w:lang w:val="de-DE"/>
        </w:rPr>
        <w:t>Ergänzung</w:t>
      </w:r>
      <w:r w:rsidRPr="005B3A8F">
        <w:rPr>
          <w:noProof/>
          <w:lang w:val="de-DE"/>
        </w:rPr>
        <w:t xml:space="preserve"> zu Dokument TC/54/16 zur Verfügung gestellt w</w:t>
      </w:r>
      <w:r>
        <w:rPr>
          <w:noProof/>
          <w:lang w:val="de-DE"/>
        </w:rPr>
        <w:t>u</w:t>
      </w:r>
      <w:r w:rsidRPr="005B3A8F">
        <w:rPr>
          <w:noProof/>
          <w:lang w:val="de-DE"/>
        </w:rPr>
        <w:t>rde.</w:t>
      </w:r>
      <w:r w:rsidRPr="00B05705">
        <w:rPr>
          <w:noProof/>
          <w:lang w:val="de-DE"/>
        </w:rPr>
        <w:t xml:space="preserve"> </w:t>
      </w:r>
      <w:r>
        <w:rPr>
          <w:noProof/>
          <w:lang w:val="de-DE"/>
        </w:rPr>
        <w:t xml:space="preserve">Der TC vereinbarte, </w:t>
      </w:r>
      <w:r>
        <w:rPr>
          <w:lang w:val="de-DE"/>
        </w:rPr>
        <w:t>daß</w:t>
      </w:r>
      <w:r w:rsidRPr="004F58B9">
        <w:rPr>
          <w:lang w:val="de-DE"/>
        </w:rPr>
        <w:t xml:space="preserve"> die Anleitung in Dokument TGP/7 wie folgt überarbeitet werden sollte</w:t>
      </w:r>
      <w:r w:rsidRPr="00B05705">
        <w:rPr>
          <w:noProof/>
          <w:lang w:val="de-DE"/>
        </w:rPr>
        <w:t xml:space="preserve">: </w:t>
      </w:r>
    </w:p>
    <w:p w:rsidR="00EA44BD" w:rsidRPr="00B05705" w:rsidRDefault="00EA44BD" w:rsidP="00EA44BD">
      <w:pPr>
        <w:rPr>
          <w:noProof/>
          <w:lang w:val="de-DE"/>
        </w:rPr>
      </w:pPr>
    </w:p>
    <w:p w:rsidR="00EA44BD" w:rsidRPr="00B05705" w:rsidRDefault="00EA44BD" w:rsidP="00EA44BD">
      <w:pPr>
        <w:ind w:left="567" w:right="567"/>
        <w:rPr>
          <w:noProof/>
          <w:sz w:val="18"/>
          <w:szCs w:val="18"/>
          <w:u w:val="single"/>
          <w:lang w:val="de-DE"/>
        </w:rPr>
      </w:pPr>
      <w:r w:rsidRPr="00B05705">
        <w:rPr>
          <w:noProof/>
          <w:sz w:val="18"/>
          <w:szCs w:val="18"/>
          <w:u w:val="single"/>
          <w:lang w:val="de-DE"/>
        </w:rPr>
        <w:t>„2.2.7</w:t>
      </w:r>
      <w:r w:rsidRPr="00B05705">
        <w:rPr>
          <w:noProof/>
          <w:sz w:val="18"/>
          <w:szCs w:val="18"/>
          <w:u w:val="single"/>
          <w:lang w:val="de-DE"/>
        </w:rPr>
        <w:tab/>
      </w:r>
      <w:r w:rsidRPr="00B05705">
        <w:rPr>
          <w:noProof/>
          <w:sz w:val="18"/>
          <w:szCs w:val="18"/>
          <w:u w:val="single"/>
          <w:bdr w:val="single" w:sz="4" w:space="0" w:color="auto"/>
          <w:lang w:val="de-DE"/>
        </w:rPr>
        <w:t>SCHRITT 7</w:t>
      </w:r>
      <w:r w:rsidRPr="00B05705">
        <w:rPr>
          <w:noProof/>
          <w:sz w:val="18"/>
          <w:szCs w:val="18"/>
          <w:u w:val="single"/>
          <w:lang w:val="de-DE"/>
        </w:rPr>
        <w:t xml:space="preserve"> </w:t>
      </w:r>
      <w:r w:rsidRPr="00B05705">
        <w:rPr>
          <w:noProof/>
          <w:sz w:val="18"/>
          <w:szCs w:val="18"/>
          <w:u w:val="single"/>
          <w:lang w:val="de-DE"/>
        </w:rPr>
        <w:tab/>
        <w:t xml:space="preserve">Prüfung des Entwurfs der Prüfungsrichtlinien durch den TC-EDC </w:t>
      </w:r>
    </w:p>
    <w:p w:rsidR="00EA44BD" w:rsidRPr="00B05705" w:rsidRDefault="00EA44BD" w:rsidP="00EA44BD">
      <w:pPr>
        <w:ind w:left="567" w:right="567"/>
        <w:rPr>
          <w:noProof/>
          <w:sz w:val="18"/>
          <w:szCs w:val="18"/>
          <w:lang w:val="de-DE"/>
        </w:rPr>
      </w:pPr>
    </w:p>
    <w:p w:rsidR="00EA44BD" w:rsidRPr="00B05705" w:rsidRDefault="00EA44BD" w:rsidP="00EA44BD">
      <w:pPr>
        <w:ind w:left="567" w:right="567"/>
        <w:rPr>
          <w:noProof/>
          <w:sz w:val="18"/>
          <w:szCs w:val="18"/>
          <w:lang w:val="de-DE"/>
        </w:rPr>
      </w:pPr>
      <w:r w:rsidRPr="00B05705">
        <w:rPr>
          <w:noProof/>
          <w:sz w:val="18"/>
          <w:szCs w:val="18"/>
          <w:lang w:val="de-DE"/>
        </w:rPr>
        <w:t xml:space="preserve">„2.2.7.1 </w:t>
      </w:r>
      <w:r w:rsidRPr="00B05705">
        <w:rPr>
          <w:noProof/>
          <w:sz w:val="18"/>
          <w:szCs w:val="18"/>
          <w:lang w:val="de-DE"/>
        </w:rPr>
        <w:tab/>
        <w:t xml:space="preserve">Der TC-EDC wurde vom Technischen </w:t>
      </w:r>
      <w:r>
        <w:rPr>
          <w:noProof/>
          <w:sz w:val="18"/>
          <w:szCs w:val="18"/>
          <w:lang w:val="de-DE"/>
        </w:rPr>
        <w:t>Ausschuß</w:t>
      </w:r>
      <w:r w:rsidRPr="00B05705">
        <w:rPr>
          <w:noProof/>
          <w:sz w:val="18"/>
          <w:szCs w:val="18"/>
          <w:lang w:val="de-DE"/>
        </w:rPr>
        <w:t xml:space="preserve"> zur Prüfung der Entwürfe aller von den TWP erstellten Prüfungsrichtlinien eingesetzt, bevor diese dem Technischen </w:t>
      </w:r>
      <w:r>
        <w:rPr>
          <w:noProof/>
          <w:sz w:val="18"/>
          <w:szCs w:val="18"/>
          <w:lang w:val="de-DE"/>
        </w:rPr>
        <w:t>Ausschuß</w:t>
      </w:r>
      <w:r w:rsidRPr="00B05705">
        <w:rPr>
          <w:noProof/>
          <w:sz w:val="18"/>
          <w:szCs w:val="18"/>
          <w:lang w:val="de-DE"/>
        </w:rPr>
        <w:t xml:space="preserve"> zur Annahme vorgelegt werden. Die Funktion des TC-EDC besteht darin, die Übereinstimmung der Prüfungsrichtlinien mit den Anforderungen von Dokument TGP/7 sicherzustellen und die Abgleichung der Wortlaute in allen Amtssprachen der UPOV zu überprüfen. Er führt keine technische Sachprüfung der Prüfungsrichtlinien durch. Die Mitglieder des TC-EDC werden vom TC bestimmt, um sowohl breite Erfahrung mit dem UPOV-System als auch die Vertretung der UPOV-Sprachen – Deutsch, Englisch, Französisch und Spanisch – sicherzustellen. Der/die Vorsitzende des TC-EDC wird vom UPOV-Sekretariat gestellt.</w:t>
      </w:r>
    </w:p>
    <w:p w:rsidR="00EA44BD" w:rsidRPr="00B05705" w:rsidRDefault="00EA44BD" w:rsidP="00EA44BD">
      <w:pPr>
        <w:ind w:left="567" w:right="567"/>
        <w:rPr>
          <w:noProof/>
          <w:sz w:val="18"/>
          <w:szCs w:val="18"/>
          <w:lang w:val="de-DE"/>
        </w:rPr>
      </w:pPr>
    </w:p>
    <w:p w:rsidR="00EA44BD" w:rsidRPr="00B05705" w:rsidRDefault="00EA44BD" w:rsidP="00EA44BD">
      <w:pPr>
        <w:ind w:left="567" w:right="567"/>
        <w:rPr>
          <w:noProof/>
          <w:sz w:val="18"/>
          <w:szCs w:val="18"/>
          <w:lang w:val="de-DE"/>
        </w:rPr>
      </w:pPr>
      <w:r w:rsidRPr="00B05705">
        <w:rPr>
          <w:noProof/>
          <w:sz w:val="18"/>
          <w:szCs w:val="18"/>
          <w:lang w:val="de-DE"/>
        </w:rPr>
        <w:t xml:space="preserve">„2.2.7.2 </w:t>
      </w:r>
      <w:r w:rsidRPr="00B05705">
        <w:rPr>
          <w:noProof/>
          <w:sz w:val="18"/>
          <w:szCs w:val="18"/>
          <w:lang w:val="de-DE"/>
        </w:rPr>
        <w:tab/>
        <w:t xml:space="preserve">Der TC-EDC überprüft die Entwürfe der Prüfungsrichtlinien unter Berücksichtigung spezifischer Anweisungen seitens des Technischen </w:t>
      </w:r>
      <w:r>
        <w:rPr>
          <w:noProof/>
          <w:sz w:val="18"/>
          <w:szCs w:val="18"/>
          <w:lang w:val="de-DE"/>
        </w:rPr>
        <w:t>Ausschusses</w:t>
      </w:r>
      <w:r w:rsidRPr="00B05705">
        <w:rPr>
          <w:noProof/>
          <w:sz w:val="18"/>
          <w:szCs w:val="18"/>
          <w:lang w:val="de-DE"/>
        </w:rPr>
        <w:t xml:space="preserve"> und gibt eine Empfehlung darüber ab, ob die Prüfungsrichtlinien angenommen werden können (Schritt 8). Er kann dem Technischen </w:t>
      </w:r>
      <w:r>
        <w:rPr>
          <w:noProof/>
          <w:sz w:val="18"/>
          <w:szCs w:val="18"/>
          <w:lang w:val="de-DE"/>
        </w:rPr>
        <w:t>Ausschuß</w:t>
      </w:r>
      <w:r w:rsidRPr="00B05705">
        <w:rPr>
          <w:noProof/>
          <w:sz w:val="18"/>
          <w:szCs w:val="18"/>
          <w:lang w:val="de-DE"/>
        </w:rPr>
        <w:t xml:space="preserve">, vorbehaltlich der redaktionellen Änderungen, die er nennt, die Annahme vorschlagen. </w:t>
      </w:r>
    </w:p>
    <w:p w:rsidR="00EA44BD" w:rsidRPr="00B05705" w:rsidRDefault="00EA44BD" w:rsidP="00EA44BD">
      <w:pPr>
        <w:ind w:left="567" w:right="567"/>
        <w:rPr>
          <w:noProof/>
          <w:sz w:val="18"/>
          <w:szCs w:val="18"/>
          <w:lang w:val="de-DE"/>
        </w:rPr>
      </w:pPr>
    </w:p>
    <w:p w:rsidR="00EA44BD" w:rsidRPr="00B05705" w:rsidRDefault="00EA44BD" w:rsidP="00EA44BD">
      <w:pPr>
        <w:ind w:left="567" w:right="567"/>
        <w:rPr>
          <w:strike/>
          <w:noProof/>
          <w:sz w:val="18"/>
          <w:szCs w:val="18"/>
          <w:highlight w:val="lightGray"/>
          <w:lang w:val="de-DE"/>
        </w:rPr>
      </w:pPr>
      <w:r w:rsidRPr="00B05705">
        <w:rPr>
          <w:strike/>
          <w:noProof/>
          <w:sz w:val="18"/>
          <w:szCs w:val="18"/>
          <w:highlight w:val="lightGray"/>
          <w:lang w:val="de-DE"/>
        </w:rPr>
        <w:t xml:space="preserve">„2.2.7.3 </w:t>
      </w:r>
      <w:r w:rsidRPr="00B05705">
        <w:rPr>
          <w:strike/>
          <w:noProof/>
          <w:sz w:val="18"/>
          <w:szCs w:val="18"/>
          <w:highlight w:val="lightGray"/>
          <w:lang w:val="de-DE"/>
        </w:rPr>
        <w:tab/>
        <w:t xml:space="preserve">Ist er der Ansicht, </w:t>
      </w:r>
      <w:r>
        <w:rPr>
          <w:strike/>
          <w:noProof/>
          <w:sz w:val="18"/>
          <w:szCs w:val="18"/>
          <w:highlight w:val="lightGray"/>
          <w:lang w:val="de-DE"/>
        </w:rPr>
        <w:t>daß</w:t>
      </w:r>
      <w:r w:rsidRPr="00B05705">
        <w:rPr>
          <w:strike/>
          <w:noProof/>
          <w:sz w:val="18"/>
          <w:szCs w:val="18"/>
          <w:highlight w:val="lightGray"/>
          <w:lang w:val="de-DE"/>
        </w:rPr>
        <w:t xml:space="preserve"> technische Aspekte vorliegen, die zu klären sind, kann der TC-EDC versuchen, diese Aspekte mit dem federführenden Sachverständigen vor der Prüfung der Prüfungsrichtlinien durch den Technischen </w:t>
      </w:r>
      <w:r>
        <w:rPr>
          <w:strike/>
          <w:noProof/>
          <w:sz w:val="18"/>
          <w:szCs w:val="18"/>
          <w:highlight w:val="lightGray"/>
          <w:lang w:val="de-DE"/>
        </w:rPr>
        <w:t>Ausschuß</w:t>
      </w:r>
      <w:r w:rsidRPr="00B05705">
        <w:rPr>
          <w:strike/>
          <w:noProof/>
          <w:sz w:val="18"/>
          <w:szCs w:val="18"/>
          <w:highlight w:val="lightGray"/>
          <w:lang w:val="de-DE"/>
        </w:rPr>
        <w:t xml:space="preserve"> zu klären. Ist dies nicht möglich, kann der TC-EDC dem Technischen </w:t>
      </w:r>
      <w:r>
        <w:rPr>
          <w:strike/>
          <w:noProof/>
          <w:sz w:val="18"/>
          <w:szCs w:val="18"/>
          <w:highlight w:val="lightGray"/>
          <w:lang w:val="de-DE"/>
        </w:rPr>
        <w:t>Ausschuß</w:t>
      </w:r>
      <w:r w:rsidRPr="00B05705">
        <w:rPr>
          <w:strike/>
          <w:noProof/>
          <w:sz w:val="18"/>
          <w:szCs w:val="18"/>
          <w:highlight w:val="lightGray"/>
          <w:lang w:val="de-DE"/>
        </w:rPr>
        <w:t xml:space="preserve"> empfehlen:</w:t>
      </w:r>
    </w:p>
    <w:p w:rsidR="00EA44BD" w:rsidRPr="00B05705" w:rsidRDefault="00EA44BD" w:rsidP="00EA44BD">
      <w:pPr>
        <w:ind w:left="567" w:right="567"/>
        <w:rPr>
          <w:strike/>
          <w:noProof/>
          <w:sz w:val="18"/>
          <w:szCs w:val="18"/>
          <w:highlight w:val="lightGray"/>
          <w:lang w:val="de-DE"/>
        </w:rPr>
      </w:pPr>
    </w:p>
    <w:p w:rsidR="00EA44BD" w:rsidRPr="00B05705" w:rsidRDefault="00EA44BD" w:rsidP="00EA44BD">
      <w:pPr>
        <w:ind w:left="567" w:right="567"/>
        <w:rPr>
          <w:strike/>
          <w:noProof/>
          <w:sz w:val="18"/>
          <w:szCs w:val="18"/>
          <w:highlight w:val="lightGray"/>
          <w:lang w:val="de-DE"/>
        </w:rPr>
      </w:pPr>
      <w:r w:rsidRPr="00B05705">
        <w:rPr>
          <w:strike/>
          <w:noProof/>
          <w:sz w:val="18"/>
          <w:szCs w:val="18"/>
          <w:highlight w:val="lightGray"/>
          <w:lang w:val="de-DE"/>
        </w:rPr>
        <w:tab/>
        <w:t xml:space="preserve">a) </w:t>
      </w:r>
      <w:r w:rsidRPr="00B05705">
        <w:rPr>
          <w:strike/>
          <w:noProof/>
          <w:sz w:val="18"/>
          <w:szCs w:val="18"/>
          <w:highlight w:val="lightGray"/>
          <w:lang w:val="de-DE"/>
        </w:rPr>
        <w:tab/>
        <w:t xml:space="preserve">die Prüfungsrichtlinien an die TWP zurückzuverweisen (Schritt 4) oder </w:t>
      </w:r>
    </w:p>
    <w:p w:rsidR="00EA44BD" w:rsidRPr="00B05705" w:rsidRDefault="00EA44BD" w:rsidP="00EA44BD">
      <w:pPr>
        <w:ind w:left="567" w:right="567"/>
        <w:rPr>
          <w:strike/>
          <w:noProof/>
          <w:sz w:val="18"/>
          <w:szCs w:val="18"/>
          <w:highlight w:val="lightGray"/>
          <w:lang w:val="de-DE"/>
        </w:rPr>
      </w:pPr>
      <w:r w:rsidRPr="00B05705">
        <w:rPr>
          <w:strike/>
          <w:noProof/>
          <w:sz w:val="18"/>
          <w:szCs w:val="18"/>
          <w:highlight w:val="lightGray"/>
          <w:lang w:val="de-DE"/>
        </w:rPr>
        <w:tab/>
        <w:t xml:space="preserve">b) </w:t>
      </w:r>
      <w:r w:rsidRPr="00B05705">
        <w:rPr>
          <w:strike/>
          <w:noProof/>
          <w:sz w:val="18"/>
          <w:szCs w:val="18"/>
          <w:highlight w:val="lightGray"/>
          <w:lang w:val="de-DE"/>
        </w:rPr>
        <w:tab/>
        <w:t xml:space="preserve">die Prüfungsrichtlinien, vorbehaltlich weiterer Informationen anzunehmen, die vom federführenden Sachverständigen mit </w:t>
      </w:r>
      <w:r>
        <w:rPr>
          <w:strike/>
          <w:noProof/>
          <w:sz w:val="18"/>
          <w:szCs w:val="18"/>
          <w:highlight w:val="lightGray"/>
          <w:lang w:val="de-DE"/>
        </w:rPr>
        <w:t>Billigung</w:t>
      </w:r>
      <w:r w:rsidRPr="00B05705">
        <w:rPr>
          <w:strike/>
          <w:noProof/>
          <w:sz w:val="18"/>
          <w:szCs w:val="18"/>
          <w:highlight w:val="lightGray"/>
          <w:lang w:val="de-DE"/>
        </w:rPr>
        <w:t xml:space="preserve"> aller beteiligten Sachverständigen und des Vorsitzenden der betreffenden TWP vorzulegen sind.</w:t>
      </w:r>
    </w:p>
    <w:p w:rsidR="00EA44BD" w:rsidRPr="00B05705" w:rsidRDefault="00EA44BD" w:rsidP="00EA44BD">
      <w:pPr>
        <w:ind w:left="567" w:right="567"/>
        <w:rPr>
          <w:noProof/>
          <w:sz w:val="18"/>
          <w:szCs w:val="18"/>
          <w:highlight w:val="lightGray"/>
          <w:lang w:val="de-DE"/>
        </w:rPr>
      </w:pPr>
    </w:p>
    <w:p w:rsidR="00EA44BD" w:rsidRPr="00B05705" w:rsidRDefault="00EA44BD" w:rsidP="00EA44BD">
      <w:pPr>
        <w:ind w:left="567" w:right="567"/>
        <w:rPr>
          <w:noProof/>
          <w:sz w:val="18"/>
          <w:szCs w:val="18"/>
          <w:highlight w:val="lightGray"/>
          <w:u w:val="single"/>
          <w:lang w:val="de-DE"/>
        </w:rPr>
      </w:pPr>
      <w:r w:rsidRPr="00B05705">
        <w:rPr>
          <w:noProof/>
          <w:sz w:val="18"/>
          <w:szCs w:val="18"/>
          <w:highlight w:val="lightGray"/>
          <w:u w:val="single"/>
          <w:lang w:val="de-DE"/>
        </w:rPr>
        <w:lastRenderedPageBreak/>
        <w:t>„NEU</w:t>
      </w:r>
      <w:r w:rsidRPr="00B05705">
        <w:rPr>
          <w:noProof/>
          <w:sz w:val="18"/>
          <w:szCs w:val="18"/>
          <w:highlight w:val="lightGray"/>
          <w:u w:val="single"/>
          <w:lang w:val="de-DE"/>
        </w:rPr>
        <w:tab/>
      </w:r>
      <w:r w:rsidRPr="00B05705">
        <w:rPr>
          <w:noProof/>
          <w:sz w:val="18"/>
          <w:szCs w:val="18"/>
          <w:highlight w:val="lightGray"/>
          <w:u w:val="single"/>
          <w:lang w:val="de-DE"/>
        </w:rPr>
        <w:tab/>
        <w:t>Sofern nicht anders vom TC vereinbart, trifft sich der TC-EDC zweimal pro Jahr, einmal im Zeitraum März/April und einmal in Verbindung mit der Tagung des TC (Oktober/November). Der TC-EDC wird die von den Technischen Arbeitsgruppen vorgelegten Prüfungsrichtlinien mindestens 14 Wochen vor der Tagung des TC-EDC prüfen. Die weniger als 14 Wochen vor der Tagung des TC-EDC vorgelegten Prüfungsrichtlinien werden auf seiner nächsten Tagung geprüft.</w:t>
      </w:r>
    </w:p>
    <w:p w:rsidR="00EA44BD" w:rsidRPr="00B05705" w:rsidRDefault="00EA44BD" w:rsidP="00EA44BD">
      <w:pPr>
        <w:tabs>
          <w:tab w:val="left" w:pos="567"/>
          <w:tab w:val="left" w:pos="1134"/>
          <w:tab w:val="left" w:pos="5387"/>
        </w:tabs>
        <w:ind w:left="567" w:right="567"/>
        <w:rPr>
          <w:noProof/>
          <w:sz w:val="18"/>
          <w:szCs w:val="18"/>
          <w:highlight w:val="lightGray"/>
          <w:u w:val="single"/>
          <w:lang w:val="de-DE"/>
        </w:rPr>
      </w:pPr>
    </w:p>
    <w:p w:rsidR="00EA44BD" w:rsidRPr="00B05705" w:rsidRDefault="00EA44BD" w:rsidP="00EA44BD">
      <w:pPr>
        <w:ind w:left="567" w:right="567"/>
        <w:rPr>
          <w:noProof/>
          <w:sz w:val="18"/>
          <w:szCs w:val="18"/>
          <w:highlight w:val="lightGray"/>
          <w:u w:val="single"/>
          <w:lang w:val="de-DE"/>
        </w:rPr>
      </w:pPr>
      <w:r w:rsidRPr="00B05705">
        <w:rPr>
          <w:noProof/>
          <w:sz w:val="18"/>
          <w:szCs w:val="18"/>
          <w:highlight w:val="lightGray"/>
          <w:u w:val="single"/>
          <w:lang w:val="de-DE"/>
        </w:rPr>
        <w:t>„NEU</w:t>
      </w:r>
      <w:r w:rsidRPr="00B05705">
        <w:rPr>
          <w:noProof/>
          <w:sz w:val="18"/>
          <w:szCs w:val="18"/>
          <w:highlight w:val="lightGray"/>
          <w:u w:val="single"/>
          <w:lang w:val="de-DE"/>
        </w:rPr>
        <w:tab/>
      </w:r>
      <w:r w:rsidRPr="00B05705">
        <w:rPr>
          <w:noProof/>
          <w:sz w:val="18"/>
          <w:szCs w:val="18"/>
          <w:highlight w:val="lightGray"/>
          <w:u w:val="single"/>
          <w:lang w:val="de-DE"/>
        </w:rPr>
        <w:tab/>
        <w:t>Die möglichen Ergebnisse für die vom TC-EDC geprüften Prüfungsrichtlinien sind wie folgt:</w:t>
      </w:r>
    </w:p>
    <w:p w:rsidR="00EA44BD" w:rsidRPr="00B05705" w:rsidRDefault="00EA44BD" w:rsidP="00EA44BD">
      <w:pPr>
        <w:ind w:left="567" w:right="567"/>
        <w:rPr>
          <w:noProof/>
          <w:sz w:val="18"/>
          <w:szCs w:val="18"/>
          <w:highlight w:val="lightGray"/>
          <w:u w:val="single"/>
          <w:lang w:val="de-DE"/>
        </w:rPr>
      </w:pPr>
    </w:p>
    <w:p w:rsidR="00EA44BD" w:rsidRPr="00B05705" w:rsidRDefault="00EA44BD" w:rsidP="00EA44BD">
      <w:pPr>
        <w:numPr>
          <w:ilvl w:val="0"/>
          <w:numId w:val="6"/>
        </w:numPr>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 xml:space="preserve">Es sind keine Änderungen der Prüfungsrichtlinien erforderlich oder diese beschränken sich auf </w:t>
      </w:r>
      <w:r w:rsidRPr="00B05705">
        <w:rPr>
          <w:rFonts w:cs="Arial"/>
          <w:noProof/>
          <w:sz w:val="18"/>
          <w:szCs w:val="18"/>
          <w:highlight w:val="lightGray"/>
          <w:lang w:val="de-DE" w:eastAsia="en-GB"/>
        </w:rPr>
        <w:tab/>
      </w:r>
      <w:r w:rsidRPr="00B05705">
        <w:rPr>
          <w:rFonts w:cs="Arial"/>
          <w:noProof/>
          <w:sz w:val="18"/>
          <w:szCs w:val="18"/>
          <w:highlight w:val="lightGray"/>
          <w:u w:val="single"/>
          <w:lang w:val="de-DE" w:eastAsia="en-GB"/>
        </w:rPr>
        <w:t xml:space="preserve">rein redaktionelle Änderungen, für die Empfehlungen durch den TC-EDC vereinbart wurden; </w:t>
      </w:r>
      <w:r w:rsidRPr="00B05705">
        <w:rPr>
          <w:rFonts w:cs="Arial"/>
          <w:noProof/>
          <w:sz w:val="18"/>
          <w:szCs w:val="18"/>
          <w:highlight w:val="lightGray"/>
          <w:lang w:val="de-DE" w:eastAsia="en-GB"/>
        </w:rPr>
        <w:tab/>
      </w:r>
      <w:r w:rsidRPr="00B05705">
        <w:rPr>
          <w:rFonts w:cs="Arial"/>
          <w:noProof/>
          <w:sz w:val="18"/>
          <w:szCs w:val="18"/>
          <w:highlight w:val="lightGray"/>
          <w:u w:val="single"/>
          <w:lang w:val="de-DE" w:eastAsia="en-GB"/>
        </w:rPr>
        <w:t>oder</w:t>
      </w:r>
    </w:p>
    <w:p w:rsidR="00EA44BD" w:rsidRPr="00B05705" w:rsidRDefault="00EA44BD" w:rsidP="00EA44BD">
      <w:pPr>
        <w:numPr>
          <w:ilvl w:val="0"/>
          <w:numId w:val="6"/>
        </w:numPr>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Es sind redaktionelle Klarstellungen erforderlich; oder</w:t>
      </w:r>
    </w:p>
    <w:p w:rsidR="00EA44BD" w:rsidRPr="00B05705" w:rsidRDefault="00EA44BD" w:rsidP="00EA44BD">
      <w:pPr>
        <w:numPr>
          <w:ilvl w:val="0"/>
          <w:numId w:val="6"/>
        </w:numPr>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Es müssen technische Fragen gelöst werden.</w:t>
      </w:r>
    </w:p>
    <w:p w:rsidR="00EA44BD" w:rsidRPr="00B05705" w:rsidRDefault="00EA44BD" w:rsidP="00EA44BD">
      <w:pPr>
        <w:ind w:left="567" w:right="567"/>
        <w:rPr>
          <w:noProof/>
          <w:sz w:val="18"/>
          <w:szCs w:val="18"/>
          <w:u w:val="single"/>
          <w:lang w:val="de-DE"/>
        </w:rPr>
      </w:pPr>
    </w:p>
    <w:p w:rsidR="00EA44BD" w:rsidRPr="00B05705" w:rsidRDefault="00EA44BD" w:rsidP="00EA44BD">
      <w:pPr>
        <w:ind w:left="567" w:right="567"/>
        <w:rPr>
          <w:noProof/>
          <w:sz w:val="18"/>
          <w:szCs w:val="18"/>
          <w:highlight w:val="lightGray"/>
          <w:u w:val="single"/>
          <w:lang w:val="de-DE"/>
        </w:rPr>
      </w:pPr>
      <w:r w:rsidRPr="00B05705">
        <w:rPr>
          <w:noProof/>
          <w:sz w:val="18"/>
          <w:szCs w:val="18"/>
          <w:highlight w:val="lightGray"/>
          <w:u w:val="single"/>
          <w:lang w:val="de-DE"/>
        </w:rPr>
        <w:t xml:space="preserve">„NEU </w:t>
      </w:r>
      <w:r w:rsidRPr="00B05705">
        <w:rPr>
          <w:noProof/>
          <w:sz w:val="18"/>
          <w:szCs w:val="18"/>
          <w:highlight w:val="lightGray"/>
          <w:u w:val="single"/>
          <w:lang w:val="de-DE"/>
        </w:rPr>
        <w:tab/>
      </w:r>
      <w:r w:rsidRPr="00B05705">
        <w:rPr>
          <w:noProof/>
          <w:sz w:val="18"/>
          <w:szCs w:val="18"/>
          <w:highlight w:val="lightGray"/>
          <w:u w:val="single"/>
          <w:lang w:val="de-DE"/>
        </w:rPr>
        <w:tab/>
        <w:t xml:space="preserve">In Fällen, in denen keine Änderungen der Prüfungsrichtlinien erforderlich sind oder diese sich auf rein redaktionelle Änderungen beschränken, für die Empfehlungen des TC-EDC vereinbart wurden, werden die Prüfungsrichtlinien zur Annahme durch den Technischen </w:t>
      </w:r>
      <w:r>
        <w:rPr>
          <w:noProof/>
          <w:sz w:val="18"/>
          <w:szCs w:val="18"/>
          <w:highlight w:val="lightGray"/>
          <w:u w:val="single"/>
          <w:lang w:val="de-DE"/>
        </w:rPr>
        <w:t>Ausschuß</w:t>
      </w:r>
      <w:r w:rsidRPr="00B05705">
        <w:rPr>
          <w:noProof/>
          <w:sz w:val="18"/>
          <w:szCs w:val="18"/>
          <w:highlight w:val="lightGray"/>
          <w:u w:val="single"/>
          <w:lang w:val="de-DE"/>
        </w:rPr>
        <w:t xml:space="preserve"> vorgelegt werden. </w:t>
      </w:r>
    </w:p>
    <w:p w:rsidR="00EA44BD" w:rsidRPr="00B05705" w:rsidRDefault="00EA44BD" w:rsidP="00EA44BD">
      <w:pPr>
        <w:ind w:left="567" w:right="567"/>
        <w:rPr>
          <w:noProof/>
          <w:sz w:val="18"/>
          <w:szCs w:val="18"/>
          <w:highlight w:val="lightGray"/>
          <w:u w:val="single"/>
          <w:lang w:val="de-DE"/>
        </w:rPr>
      </w:pPr>
    </w:p>
    <w:p w:rsidR="00EA44BD" w:rsidRPr="00B05705" w:rsidRDefault="00EA44BD" w:rsidP="00EA44BD">
      <w:pPr>
        <w:ind w:left="567" w:right="567"/>
        <w:rPr>
          <w:noProof/>
          <w:sz w:val="18"/>
          <w:szCs w:val="18"/>
          <w:highlight w:val="lightGray"/>
          <w:u w:val="single"/>
          <w:lang w:val="de-DE"/>
        </w:rPr>
      </w:pPr>
      <w:r w:rsidRPr="00B05705">
        <w:rPr>
          <w:noProof/>
          <w:sz w:val="18"/>
          <w:szCs w:val="18"/>
          <w:highlight w:val="lightGray"/>
          <w:u w:val="single"/>
          <w:lang w:val="de-DE"/>
        </w:rPr>
        <w:t>„NEU</w:t>
      </w:r>
      <w:r w:rsidRPr="00B05705">
        <w:rPr>
          <w:noProof/>
          <w:sz w:val="18"/>
          <w:szCs w:val="18"/>
          <w:highlight w:val="lightGray"/>
          <w:u w:val="single"/>
          <w:lang w:val="de-DE"/>
        </w:rPr>
        <w:tab/>
      </w:r>
      <w:r w:rsidRPr="00B05705">
        <w:rPr>
          <w:noProof/>
          <w:sz w:val="18"/>
          <w:szCs w:val="18"/>
          <w:highlight w:val="lightGray"/>
          <w:u w:val="single"/>
          <w:lang w:val="de-DE"/>
        </w:rPr>
        <w:tab/>
        <w:t xml:space="preserve">Das folgende Verfahren findet für die Prüfungsrichtlinien Anwendung, wenn redaktionelle Klarstellungen erforderlich sind: </w:t>
      </w:r>
    </w:p>
    <w:p w:rsidR="00EA44BD" w:rsidRPr="00B05705" w:rsidRDefault="00EA44BD" w:rsidP="00EA44BD">
      <w:pPr>
        <w:ind w:left="567" w:right="567"/>
        <w:rPr>
          <w:rFonts w:cs="Arial"/>
          <w:noProof/>
          <w:sz w:val="18"/>
          <w:szCs w:val="18"/>
          <w:highlight w:val="lightGray"/>
          <w:u w:val="single"/>
          <w:lang w:val="de-DE"/>
        </w:rPr>
      </w:pPr>
    </w:p>
    <w:p w:rsidR="00EA44BD" w:rsidRPr="00B05705" w:rsidRDefault="00EA44BD" w:rsidP="00EA44BD">
      <w:pPr>
        <w:numPr>
          <w:ilvl w:val="0"/>
          <w:numId w:val="4"/>
        </w:numPr>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Ersuchen um Klarstellungen wird an den führenden Sachverständigen übermittelt;</w:t>
      </w:r>
    </w:p>
    <w:p w:rsidR="00EA44BD" w:rsidRPr="00B05705" w:rsidRDefault="00EA44BD" w:rsidP="00EA44BD">
      <w:pPr>
        <w:numPr>
          <w:ilvl w:val="0"/>
          <w:numId w:val="4"/>
        </w:numPr>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die Klarstellungen sollten innerhalb von vier Wochen vorliegen;</w:t>
      </w:r>
    </w:p>
    <w:p w:rsidR="00EA44BD" w:rsidRPr="00B05705" w:rsidRDefault="00EA44BD" w:rsidP="00EA44BD">
      <w:pPr>
        <w:numPr>
          <w:ilvl w:val="0"/>
          <w:numId w:val="4"/>
        </w:numPr>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falls die Klarstellungen vom TC-EDC gebilligt werden, werden die Prüfungsrichtlinien zur Annahme auf der Tagung des TC-EDC empfohlen werden;</w:t>
      </w:r>
    </w:p>
    <w:p w:rsidR="00EA44BD" w:rsidRPr="00B05705" w:rsidRDefault="00EA44BD" w:rsidP="00EA44BD">
      <w:pPr>
        <w:numPr>
          <w:ilvl w:val="0"/>
          <w:numId w:val="4"/>
        </w:numPr>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die Prüfungsrichtlinien werden zur Annahme durch den TC geprüft.</w:t>
      </w:r>
    </w:p>
    <w:p w:rsidR="00EA44BD" w:rsidRPr="00B05705" w:rsidRDefault="00EA44BD" w:rsidP="00EA44BD">
      <w:pPr>
        <w:ind w:left="993" w:right="567" w:hanging="426"/>
        <w:rPr>
          <w:noProof/>
          <w:sz w:val="18"/>
          <w:szCs w:val="18"/>
          <w:highlight w:val="lightGray"/>
          <w:u w:val="single"/>
          <w:lang w:val="de-DE"/>
        </w:rPr>
      </w:pPr>
    </w:p>
    <w:p w:rsidR="00EA44BD" w:rsidRPr="00B05705" w:rsidRDefault="00EA44BD" w:rsidP="00EA44BD">
      <w:pPr>
        <w:ind w:left="993" w:right="567" w:hanging="426"/>
        <w:rPr>
          <w:noProof/>
          <w:sz w:val="18"/>
          <w:szCs w:val="18"/>
          <w:highlight w:val="lightGray"/>
          <w:u w:val="single"/>
          <w:lang w:val="de-DE"/>
        </w:rPr>
      </w:pPr>
      <w:r w:rsidRPr="00B05705">
        <w:rPr>
          <w:noProof/>
          <w:sz w:val="18"/>
          <w:szCs w:val="18"/>
          <w:highlight w:val="lightGray"/>
          <w:u w:val="single"/>
          <w:lang w:val="de-DE"/>
        </w:rPr>
        <w:t>„NEU</w:t>
      </w:r>
      <w:r w:rsidRPr="00B05705">
        <w:rPr>
          <w:noProof/>
          <w:sz w:val="18"/>
          <w:szCs w:val="18"/>
          <w:highlight w:val="lightGray"/>
          <w:u w:val="single"/>
          <w:lang w:val="de-DE"/>
        </w:rPr>
        <w:tab/>
      </w:r>
      <w:r w:rsidRPr="00B05705">
        <w:rPr>
          <w:noProof/>
          <w:sz w:val="18"/>
          <w:szCs w:val="18"/>
          <w:highlight w:val="lightGray"/>
          <w:u w:val="single"/>
          <w:lang w:val="de-DE"/>
        </w:rPr>
        <w:tab/>
        <w:t>Das folgende Verfahren findet für die Prüfungsrichtlinien Anwendung, wenn technische Fragen gelöst werden müssen:</w:t>
      </w:r>
    </w:p>
    <w:p w:rsidR="00EA44BD" w:rsidRPr="00B05705" w:rsidRDefault="00EA44BD" w:rsidP="00EA44BD">
      <w:pPr>
        <w:ind w:left="993" w:right="567" w:hanging="426"/>
        <w:rPr>
          <w:rFonts w:cs="Arial"/>
          <w:noProof/>
          <w:sz w:val="18"/>
          <w:szCs w:val="18"/>
          <w:highlight w:val="lightGray"/>
          <w:u w:val="single"/>
          <w:lang w:val="de-DE"/>
        </w:rPr>
      </w:pPr>
    </w:p>
    <w:p w:rsidR="00EA44BD" w:rsidRPr="00B05705" w:rsidRDefault="00EA44BD" w:rsidP="00EA44BD">
      <w:pPr>
        <w:numPr>
          <w:ilvl w:val="0"/>
          <w:numId w:val="5"/>
        </w:numPr>
        <w:ind w:left="993" w:right="567" w:hanging="426"/>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 xml:space="preserve">Technische Fragen werden an den führenden Sachverständigen übermittelt </w:t>
      </w:r>
    </w:p>
    <w:p w:rsidR="00EA44BD" w:rsidRPr="00B05705" w:rsidRDefault="00EA44BD" w:rsidP="00EA44BD">
      <w:pPr>
        <w:numPr>
          <w:ilvl w:val="0"/>
          <w:numId w:val="5"/>
        </w:numPr>
        <w:ind w:left="993" w:right="567" w:hanging="426"/>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 xml:space="preserve">Die technischen Fragen sind an die betreffende Technische Arbeitsgruppe zu richten mittels eines TWP-Dokuments, das vom führenden Sachverständigen mindestens vier Wochen vor der TWP-Tagung vorgelegt werden muss (es soll kein neuer Entwurf von Prüfungsrichtlinien erstellt werden) </w:t>
      </w:r>
    </w:p>
    <w:p w:rsidR="00EA44BD" w:rsidRPr="00B05705" w:rsidRDefault="00EA44BD" w:rsidP="00EA44BD">
      <w:pPr>
        <w:numPr>
          <w:ilvl w:val="0"/>
          <w:numId w:val="5"/>
        </w:numPr>
        <w:ind w:left="993" w:right="567" w:hanging="426"/>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Die Lösung der Fragen ist dem TC-EDC mindestens sieben Wochen vor der Tagung des TC-EDC vorzulegen;</w:t>
      </w:r>
    </w:p>
    <w:p w:rsidR="00EA44BD" w:rsidRPr="00B05705" w:rsidRDefault="00EA44BD" w:rsidP="00EA44BD">
      <w:pPr>
        <w:numPr>
          <w:ilvl w:val="0"/>
          <w:numId w:val="4"/>
        </w:numPr>
        <w:ind w:left="993" w:right="567" w:hanging="426"/>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Falls vom TC-EDC gebilligt, werden die Prüfungsrichtlinien auf der Tagung des TC-EDC zur Annahme empfohlen;</w:t>
      </w:r>
    </w:p>
    <w:p w:rsidR="00EA44BD" w:rsidRPr="00B05705" w:rsidRDefault="00EA44BD" w:rsidP="00EA44BD">
      <w:pPr>
        <w:numPr>
          <w:ilvl w:val="0"/>
          <w:numId w:val="4"/>
        </w:numPr>
        <w:ind w:left="993" w:right="567" w:hanging="426"/>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Die Prüfungsrichtlinien werden vom TC zur Annahme geprüft.</w:t>
      </w:r>
    </w:p>
    <w:p w:rsidR="00EA44BD" w:rsidRPr="00B05705" w:rsidRDefault="00EA44BD" w:rsidP="00EA44BD">
      <w:pPr>
        <w:ind w:left="567" w:right="567"/>
        <w:rPr>
          <w:noProof/>
          <w:sz w:val="18"/>
          <w:szCs w:val="18"/>
          <w:lang w:val="de-DE"/>
        </w:rPr>
      </w:pPr>
    </w:p>
    <w:p w:rsidR="00EA44BD" w:rsidRPr="00B05705" w:rsidRDefault="00EA44BD" w:rsidP="00EA44BD">
      <w:pPr>
        <w:ind w:left="567" w:right="567"/>
        <w:rPr>
          <w:noProof/>
          <w:sz w:val="18"/>
          <w:szCs w:val="18"/>
          <w:u w:val="single"/>
          <w:lang w:val="de-DE"/>
        </w:rPr>
      </w:pPr>
      <w:r w:rsidRPr="00B05705">
        <w:rPr>
          <w:noProof/>
          <w:sz w:val="18"/>
          <w:szCs w:val="18"/>
          <w:u w:val="single"/>
          <w:lang w:val="de-DE"/>
        </w:rPr>
        <w:t>„2.2.8</w:t>
      </w:r>
      <w:r w:rsidRPr="00B05705">
        <w:rPr>
          <w:noProof/>
          <w:sz w:val="18"/>
          <w:szCs w:val="18"/>
          <w:u w:val="single"/>
          <w:lang w:val="de-DE"/>
        </w:rPr>
        <w:tab/>
        <w:t xml:space="preserve"> </w:t>
      </w:r>
      <w:r w:rsidRPr="00B05705">
        <w:rPr>
          <w:noProof/>
          <w:sz w:val="18"/>
          <w:szCs w:val="18"/>
          <w:u w:val="single"/>
          <w:bdr w:val="single" w:sz="4" w:space="0" w:color="auto"/>
          <w:lang w:val="de-DE"/>
        </w:rPr>
        <w:t>SCHRITT 8</w:t>
      </w:r>
      <w:r w:rsidRPr="00B05705">
        <w:rPr>
          <w:noProof/>
          <w:sz w:val="18"/>
          <w:szCs w:val="18"/>
          <w:u w:val="single"/>
          <w:lang w:val="de-DE"/>
        </w:rPr>
        <w:tab/>
        <w:t xml:space="preserve">Annahme des Entwurfs der Prüfungsrichtlinien durch den Technischen </w:t>
      </w:r>
      <w:r>
        <w:rPr>
          <w:noProof/>
          <w:sz w:val="18"/>
          <w:szCs w:val="18"/>
          <w:u w:val="single"/>
          <w:lang w:val="de-DE"/>
        </w:rPr>
        <w:t>Ausschuß</w:t>
      </w:r>
      <w:r w:rsidRPr="00B05705">
        <w:rPr>
          <w:noProof/>
          <w:sz w:val="18"/>
          <w:szCs w:val="18"/>
          <w:u w:val="single"/>
          <w:lang w:val="de-DE"/>
        </w:rPr>
        <w:t xml:space="preserve"> </w:t>
      </w:r>
    </w:p>
    <w:p w:rsidR="00EA44BD" w:rsidRPr="00B05705" w:rsidRDefault="00EA44BD" w:rsidP="00EA44BD">
      <w:pPr>
        <w:ind w:left="567" w:right="567"/>
        <w:rPr>
          <w:noProof/>
          <w:sz w:val="18"/>
          <w:szCs w:val="18"/>
          <w:lang w:val="de-DE"/>
        </w:rPr>
      </w:pPr>
    </w:p>
    <w:p w:rsidR="00EA44BD" w:rsidRPr="00B05705" w:rsidRDefault="00EA44BD" w:rsidP="00EA44BD">
      <w:pPr>
        <w:ind w:left="567" w:right="567"/>
        <w:rPr>
          <w:noProof/>
          <w:sz w:val="18"/>
          <w:szCs w:val="18"/>
          <w:lang w:val="de-DE"/>
        </w:rPr>
      </w:pPr>
      <w:r w:rsidRPr="00B05705">
        <w:rPr>
          <w:noProof/>
          <w:sz w:val="18"/>
          <w:szCs w:val="18"/>
          <w:lang w:val="de-DE"/>
        </w:rPr>
        <w:t xml:space="preserve">„2.2.8.1 </w:t>
      </w:r>
      <w:r w:rsidRPr="00B05705">
        <w:rPr>
          <w:noProof/>
          <w:sz w:val="18"/>
          <w:szCs w:val="18"/>
          <w:lang w:val="de-DE"/>
        </w:rPr>
        <w:tab/>
        <w:t>Der TC prüft aufgrund der Empfehlungen des TC-EDC, ob die Prüfungsrichtlinien anzunehmen oder an die betreffende TWP zurückzuverweisen sind.</w:t>
      </w:r>
    </w:p>
    <w:p w:rsidR="00EA44BD" w:rsidRPr="00B05705" w:rsidRDefault="00EA44BD" w:rsidP="00EA44BD">
      <w:pPr>
        <w:ind w:left="567" w:right="567"/>
        <w:rPr>
          <w:noProof/>
          <w:sz w:val="18"/>
          <w:szCs w:val="18"/>
          <w:lang w:val="de-DE"/>
        </w:rPr>
      </w:pPr>
    </w:p>
    <w:p w:rsidR="00EA44BD" w:rsidRPr="00B05705" w:rsidRDefault="00EA44BD" w:rsidP="00EA44BD">
      <w:pPr>
        <w:ind w:left="567" w:right="567"/>
        <w:rPr>
          <w:noProof/>
          <w:sz w:val="18"/>
          <w:szCs w:val="18"/>
          <w:highlight w:val="lightGray"/>
          <w:u w:val="single"/>
          <w:lang w:val="de-DE"/>
        </w:rPr>
      </w:pPr>
      <w:r w:rsidRPr="00B05705">
        <w:rPr>
          <w:noProof/>
          <w:sz w:val="18"/>
          <w:szCs w:val="18"/>
          <w:highlight w:val="lightGray"/>
          <w:u w:val="single"/>
          <w:lang w:val="de-DE"/>
        </w:rPr>
        <w:t>„NEU</w:t>
      </w:r>
      <w:r w:rsidRPr="00B05705">
        <w:rPr>
          <w:noProof/>
          <w:sz w:val="18"/>
          <w:szCs w:val="18"/>
          <w:highlight w:val="lightGray"/>
          <w:u w:val="single"/>
          <w:lang w:val="de-DE"/>
        </w:rPr>
        <w:tab/>
      </w:r>
      <w:r w:rsidRPr="00B05705">
        <w:rPr>
          <w:noProof/>
          <w:sz w:val="18"/>
          <w:szCs w:val="18"/>
          <w:highlight w:val="lightGray"/>
          <w:u w:val="single"/>
          <w:lang w:val="de-DE"/>
        </w:rPr>
        <w:tab/>
        <w:t xml:space="preserve">Der Technische </w:t>
      </w:r>
      <w:r>
        <w:rPr>
          <w:noProof/>
          <w:sz w:val="18"/>
          <w:szCs w:val="18"/>
          <w:highlight w:val="lightGray"/>
          <w:u w:val="single"/>
          <w:lang w:val="de-DE"/>
        </w:rPr>
        <w:t>Ausschuß</w:t>
      </w:r>
      <w:r w:rsidRPr="00B05705">
        <w:rPr>
          <w:noProof/>
          <w:sz w:val="18"/>
          <w:szCs w:val="18"/>
          <w:highlight w:val="lightGray"/>
          <w:u w:val="single"/>
          <w:lang w:val="de-DE"/>
        </w:rPr>
        <w:t xml:space="preserve"> kann Prüfungsrichtlinien auf seinen Tagungen oder auf dem Schriftweg annehmen. Prüfungsrichtlinien können gemäß folgendem Verfahren auf dem Schriftweg angenommen werden:</w:t>
      </w:r>
    </w:p>
    <w:p w:rsidR="00EA44BD" w:rsidRPr="00B05705" w:rsidRDefault="00EA44BD" w:rsidP="00EA44BD">
      <w:pPr>
        <w:ind w:left="567" w:right="567"/>
        <w:rPr>
          <w:noProof/>
          <w:sz w:val="18"/>
          <w:szCs w:val="18"/>
          <w:highlight w:val="lightGray"/>
          <w:u w:val="single"/>
          <w:lang w:val="de-DE"/>
        </w:rPr>
      </w:pPr>
    </w:p>
    <w:p w:rsidR="00EA44BD" w:rsidRPr="00B05705" w:rsidRDefault="00EA44BD" w:rsidP="00EA44BD">
      <w:pPr>
        <w:numPr>
          <w:ilvl w:val="0"/>
          <w:numId w:val="3"/>
        </w:numPr>
        <w:tabs>
          <w:tab w:val="left" w:pos="1134"/>
          <w:tab w:val="left" w:pos="5387"/>
        </w:tabs>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Die Entwürfe der Prüfungsrichtlinien werden zusammen mit den Empfehlungen des TC-EDC zur Annahme auf dem Schriftweg an den TC übermittelt;</w:t>
      </w:r>
    </w:p>
    <w:p w:rsidR="00EA44BD" w:rsidRPr="00B05705" w:rsidRDefault="00EA44BD" w:rsidP="00EA44BD">
      <w:pPr>
        <w:numPr>
          <w:ilvl w:val="0"/>
          <w:numId w:val="3"/>
        </w:numPr>
        <w:tabs>
          <w:tab w:val="left" w:pos="1134"/>
          <w:tab w:val="left" w:pos="5387"/>
        </w:tabs>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Die Entwürfe der Prüfungsrichtlinien gelten als angenommen, falls innerhalb von sechs Wochen keine Bemerkungen eingehen;</w:t>
      </w:r>
    </w:p>
    <w:p w:rsidR="00EA44BD" w:rsidRPr="00B05705" w:rsidRDefault="00EA44BD" w:rsidP="00EA44BD">
      <w:pPr>
        <w:numPr>
          <w:ilvl w:val="0"/>
          <w:numId w:val="3"/>
        </w:numPr>
        <w:tabs>
          <w:tab w:val="left" w:pos="1134"/>
          <w:tab w:val="left" w:pos="5387"/>
        </w:tabs>
        <w:ind w:left="1134" w:right="567" w:hanging="567"/>
        <w:contextualSpacing/>
        <w:rPr>
          <w:rFonts w:cs="Arial"/>
          <w:noProof/>
          <w:sz w:val="18"/>
          <w:szCs w:val="18"/>
          <w:highlight w:val="lightGray"/>
          <w:u w:val="single"/>
          <w:lang w:val="de-DE" w:eastAsia="en-GB"/>
        </w:rPr>
      </w:pPr>
      <w:r w:rsidRPr="00B05705">
        <w:rPr>
          <w:rFonts w:cs="Arial"/>
          <w:noProof/>
          <w:sz w:val="18"/>
          <w:szCs w:val="18"/>
          <w:highlight w:val="lightGray"/>
          <w:u w:val="single"/>
          <w:lang w:val="de-DE" w:eastAsia="en-GB"/>
        </w:rPr>
        <w:t>Falls Bemerkungen eingehen, werden die Entwürfe der Prüfungsrichtlinien an die betreffende TWP verwiesen, um diese Bemerkungen zu prüfen.</w:t>
      </w:r>
    </w:p>
    <w:p w:rsidR="00EA44BD" w:rsidRPr="00B05705" w:rsidRDefault="00EA44BD" w:rsidP="00EA44BD">
      <w:pPr>
        <w:ind w:left="567" w:right="567"/>
        <w:rPr>
          <w:noProof/>
          <w:sz w:val="18"/>
          <w:szCs w:val="18"/>
          <w:lang w:val="de-DE"/>
        </w:rPr>
      </w:pPr>
    </w:p>
    <w:p w:rsidR="00EA44BD" w:rsidRPr="00B05705" w:rsidRDefault="00EA44BD" w:rsidP="00EA44BD">
      <w:pPr>
        <w:ind w:left="567" w:right="567"/>
        <w:rPr>
          <w:noProof/>
          <w:sz w:val="18"/>
          <w:szCs w:val="18"/>
          <w:lang w:val="de-DE"/>
        </w:rPr>
      </w:pPr>
      <w:r w:rsidRPr="00B05705">
        <w:rPr>
          <w:noProof/>
          <w:sz w:val="18"/>
          <w:szCs w:val="18"/>
          <w:lang w:val="de-DE"/>
        </w:rPr>
        <w:t xml:space="preserve">„2.2.8.2 </w:t>
      </w:r>
      <w:r w:rsidRPr="00B05705">
        <w:rPr>
          <w:noProof/>
          <w:sz w:val="18"/>
          <w:szCs w:val="18"/>
          <w:lang w:val="de-DE"/>
        </w:rPr>
        <w:tab/>
        <w:t xml:space="preserve">Nimmt der Technische </w:t>
      </w:r>
      <w:r>
        <w:rPr>
          <w:noProof/>
          <w:sz w:val="18"/>
          <w:szCs w:val="18"/>
          <w:lang w:val="de-DE"/>
        </w:rPr>
        <w:t>Ausschuß</w:t>
      </w:r>
      <w:r w:rsidRPr="00B05705">
        <w:rPr>
          <w:noProof/>
          <w:sz w:val="18"/>
          <w:szCs w:val="18"/>
          <w:lang w:val="de-DE"/>
        </w:rPr>
        <w:t xml:space="preserve"> die Prüfungsrichtlinien an, nimmt das Büro alle vom Technischen </w:t>
      </w:r>
      <w:r>
        <w:rPr>
          <w:noProof/>
          <w:sz w:val="18"/>
          <w:szCs w:val="18"/>
          <w:lang w:val="de-DE"/>
        </w:rPr>
        <w:t>Ausschuß</w:t>
      </w:r>
      <w:r w:rsidRPr="00B05705">
        <w:rPr>
          <w:noProof/>
          <w:sz w:val="18"/>
          <w:szCs w:val="18"/>
          <w:lang w:val="de-DE"/>
        </w:rPr>
        <w:t xml:space="preserve"> vereinbarten Änderungen vor, die in einem Bericht der entsprechenden Tagung des Technischen </w:t>
      </w:r>
      <w:r>
        <w:rPr>
          <w:noProof/>
          <w:sz w:val="18"/>
          <w:szCs w:val="18"/>
          <w:lang w:val="de-DE"/>
        </w:rPr>
        <w:t>Ausschusses</w:t>
      </w:r>
      <w:r w:rsidRPr="00B05705">
        <w:rPr>
          <w:noProof/>
          <w:sz w:val="18"/>
          <w:szCs w:val="18"/>
          <w:lang w:val="de-DE"/>
        </w:rPr>
        <w:t xml:space="preserve"> aufgeführt sind. Das Büro veröffentlicht sodann die angenommenen Prüfungsrichtlinien. </w:t>
      </w:r>
    </w:p>
    <w:p w:rsidR="00EA44BD" w:rsidRPr="00B05705" w:rsidRDefault="00EA44BD" w:rsidP="00EA44BD">
      <w:pPr>
        <w:ind w:left="567" w:right="567"/>
        <w:rPr>
          <w:strike/>
          <w:noProof/>
          <w:sz w:val="18"/>
          <w:szCs w:val="18"/>
          <w:lang w:val="de-DE"/>
        </w:rPr>
      </w:pPr>
    </w:p>
    <w:p w:rsidR="00EA44BD" w:rsidRPr="00B05705" w:rsidRDefault="00EA44BD" w:rsidP="00EA44BD">
      <w:pPr>
        <w:ind w:left="567" w:right="567"/>
        <w:rPr>
          <w:strike/>
          <w:noProof/>
          <w:sz w:val="18"/>
          <w:szCs w:val="18"/>
          <w:lang w:val="de-DE"/>
        </w:rPr>
      </w:pPr>
      <w:r w:rsidRPr="00B05705">
        <w:rPr>
          <w:noProof/>
          <w:sz w:val="18"/>
          <w:szCs w:val="18"/>
          <w:highlight w:val="lightGray"/>
          <w:lang w:val="de-DE"/>
        </w:rPr>
        <w:t>„</w:t>
      </w:r>
      <w:r w:rsidRPr="00B05705">
        <w:rPr>
          <w:strike/>
          <w:noProof/>
          <w:sz w:val="18"/>
          <w:szCs w:val="18"/>
          <w:highlight w:val="lightGray"/>
          <w:lang w:val="de-DE"/>
        </w:rPr>
        <w:t xml:space="preserve">2.2.8.3 </w:t>
      </w:r>
      <w:r w:rsidRPr="00B05705">
        <w:rPr>
          <w:strike/>
          <w:noProof/>
          <w:sz w:val="18"/>
          <w:szCs w:val="18"/>
          <w:highlight w:val="lightGray"/>
          <w:lang w:val="de-DE"/>
        </w:rPr>
        <w:tab/>
        <w:t xml:space="preserve">Nimmt der Technische </w:t>
      </w:r>
      <w:r>
        <w:rPr>
          <w:strike/>
          <w:noProof/>
          <w:sz w:val="18"/>
          <w:szCs w:val="18"/>
          <w:highlight w:val="lightGray"/>
          <w:lang w:val="de-DE"/>
        </w:rPr>
        <w:t>Ausschuß</w:t>
      </w:r>
      <w:r w:rsidRPr="00B05705">
        <w:rPr>
          <w:strike/>
          <w:noProof/>
          <w:sz w:val="18"/>
          <w:szCs w:val="18"/>
          <w:highlight w:val="lightGray"/>
          <w:lang w:val="de-DE"/>
        </w:rPr>
        <w:t xml:space="preserve"> die Prüfungsrichtlinien, vorbehaltlich der Erteilung weiterer Informationen an, die durch den federführenden Sachverständigen mit </w:t>
      </w:r>
      <w:r>
        <w:rPr>
          <w:strike/>
          <w:noProof/>
          <w:sz w:val="18"/>
          <w:szCs w:val="18"/>
          <w:highlight w:val="lightGray"/>
          <w:lang w:val="de-DE"/>
        </w:rPr>
        <w:t>Billigung</w:t>
      </w:r>
      <w:r w:rsidRPr="00B05705">
        <w:rPr>
          <w:strike/>
          <w:noProof/>
          <w:sz w:val="18"/>
          <w:szCs w:val="18"/>
          <w:highlight w:val="lightGray"/>
          <w:lang w:val="de-DE"/>
        </w:rPr>
        <w:t xml:space="preserve"> aller beteiligten Sachverständigen und des Vorsitzenden der betreffenden TWP vorzulegen sind (vgl. 2.2.7.3 b)), sollten die zwischen allen beteiligten Sachverständigen abgestimmten erforderlichen Angaben dem Büro innerhalb von drei Monaten nach der Tagung des Technischen </w:t>
      </w:r>
      <w:r>
        <w:rPr>
          <w:strike/>
          <w:noProof/>
          <w:sz w:val="18"/>
          <w:szCs w:val="18"/>
          <w:highlight w:val="lightGray"/>
          <w:lang w:val="de-DE"/>
        </w:rPr>
        <w:t>Ausschusses</w:t>
      </w:r>
      <w:r w:rsidRPr="00B05705">
        <w:rPr>
          <w:strike/>
          <w:noProof/>
          <w:sz w:val="18"/>
          <w:szCs w:val="18"/>
          <w:highlight w:val="lightGray"/>
          <w:lang w:val="de-DE"/>
        </w:rPr>
        <w:t xml:space="preserve"> oder vor der darauffolgenden Tagung der betreffenden TWP berichtet werden, je nachdem, welche früher stattfindet. Werden die erforderlichen </w:t>
      </w:r>
      <w:r w:rsidRPr="00B05705">
        <w:rPr>
          <w:strike/>
          <w:noProof/>
          <w:sz w:val="18"/>
          <w:szCs w:val="18"/>
          <w:highlight w:val="lightGray"/>
          <w:lang w:val="de-DE"/>
        </w:rPr>
        <w:lastRenderedPageBreak/>
        <w:t>Informationen nicht innerhalb dieser Frist berichtet, werden die betreffenden Prüfungsrichtlinien nicht angenommen und der betreffenden TWP erneut vorgelegt (Schritt 4)</w:t>
      </w:r>
    </w:p>
    <w:p w:rsidR="00EA44BD" w:rsidRPr="00B05705" w:rsidRDefault="00EA44BD" w:rsidP="00EA44BD">
      <w:pPr>
        <w:rPr>
          <w:noProof/>
          <w:lang w:val="de-DE"/>
        </w:rPr>
      </w:pPr>
    </w:p>
    <w:p w:rsidR="00EA44BD" w:rsidRPr="00B05705" w:rsidRDefault="00EA44BD" w:rsidP="00EA44BD">
      <w:pPr>
        <w:rPr>
          <w:noProof/>
          <w:lang w:val="de-DE"/>
        </w:rPr>
      </w:pPr>
    </w:p>
    <w:p w:rsidR="00EA44BD" w:rsidRPr="0004263E" w:rsidRDefault="00EA44BD" w:rsidP="00EA44BD">
      <w:pPr>
        <w:rPr>
          <w:noProof/>
          <w:lang w:val="de-DE"/>
        </w:rPr>
      </w:pPr>
      <w:r w:rsidRPr="0059364E">
        <w:rPr>
          <w:noProof/>
          <w:lang w:val="de-DE"/>
        </w:rPr>
        <w:t>D</w:t>
      </w:r>
      <w:r w:rsidRPr="0004263E">
        <w:rPr>
          <w:noProof/>
          <w:lang w:val="de-DE"/>
        </w:rPr>
        <w:t xml:space="preserve">er TC vereinbarte, daß ein geeigneter Zeitplan für die Veröffentlichung </w:t>
      </w:r>
      <w:r>
        <w:rPr>
          <w:noProof/>
          <w:lang w:val="de-DE"/>
        </w:rPr>
        <w:t>von</w:t>
      </w:r>
      <w:r w:rsidRPr="0004263E">
        <w:rPr>
          <w:noProof/>
          <w:lang w:val="de-DE"/>
        </w:rPr>
        <w:t xml:space="preserve"> angenommenen Prüfungsrichtlinien in die Anleitung aufgenommen werden sollte. Der TC wird ersucht, auf seiner fünfundfünfzigsten Tagung am 28. und 29. Oktober 2019 in Genf einen vorgeschlagenen Zeitplan zu prüfen.</w:t>
      </w:r>
      <w:r>
        <w:rPr>
          <w:noProof/>
          <w:lang w:val="de-DE"/>
        </w:rPr>
        <w:t xml:space="preserve"> </w:t>
      </w:r>
      <w:r w:rsidRPr="0004263E">
        <w:rPr>
          <w:noProof/>
          <w:lang w:val="de-DE"/>
        </w:rPr>
        <w:t xml:space="preserve">Vorbehaltlich der Billigung durch den TC und den CAJ wird der vorgeschlagene Zeitplan dem Rat auf seiner Tagung am 1. November 2019 zur Annahme vorgelegt. </w:t>
      </w:r>
    </w:p>
    <w:p w:rsidR="00EA44BD" w:rsidRPr="0004263E" w:rsidRDefault="00EA44BD" w:rsidP="00EA44BD">
      <w:pPr>
        <w:rPr>
          <w:noProof/>
          <w:lang w:val="de-DE"/>
        </w:rPr>
      </w:pPr>
    </w:p>
    <w:p w:rsidR="00EA44BD" w:rsidRDefault="00EA44BD" w:rsidP="00EA44BD">
      <w:pPr>
        <w:rPr>
          <w:noProof/>
          <w:lang w:val="de-DE"/>
        </w:rPr>
      </w:pPr>
      <w:r w:rsidRPr="0059364E">
        <w:rPr>
          <w:noProof/>
          <w:lang w:val="de-DE"/>
        </w:rPr>
        <w:t>D</w:t>
      </w:r>
      <w:r w:rsidRPr="0004263E">
        <w:rPr>
          <w:noProof/>
          <w:lang w:val="de-DE"/>
        </w:rPr>
        <w:t>er TC vereinbarte</w:t>
      </w:r>
      <w:r w:rsidRPr="00B44EF2">
        <w:rPr>
          <w:noProof/>
          <w:lang w:val="de-DE"/>
        </w:rPr>
        <w:t>, daß das Verfahren zur Annahme von Prüfungsrichtlinien auf dem Schriftweg in den Inhalt der vorbereitenden Arbeitstagungen für die TWP aufgenommen werden sollte.</w:t>
      </w:r>
    </w:p>
    <w:p w:rsidR="00EA44BD" w:rsidRPr="007C60B9" w:rsidRDefault="00EA44BD" w:rsidP="00EA44BD">
      <w:pPr>
        <w:rPr>
          <w:lang w:val="de-DE"/>
        </w:rPr>
      </w:pPr>
    </w:p>
    <w:p w:rsidR="00EA44BD" w:rsidRPr="007C60B9" w:rsidRDefault="00EA44BD" w:rsidP="00EA44BD">
      <w:pPr>
        <w:rPr>
          <w:lang w:val="de-DE"/>
        </w:rPr>
      </w:pPr>
    </w:p>
    <w:p w:rsidR="00EA44BD" w:rsidRPr="007C60B9" w:rsidRDefault="00EA44BD" w:rsidP="00EA44BD">
      <w:pPr>
        <w:rPr>
          <w:lang w:val="de-DE"/>
        </w:rPr>
      </w:pPr>
    </w:p>
    <w:p w:rsidR="00EA44BD" w:rsidRPr="00B05705" w:rsidRDefault="00EA44BD" w:rsidP="00EA44BD">
      <w:pPr>
        <w:jc w:val="right"/>
        <w:rPr>
          <w:noProof/>
          <w:lang w:val="de-DE"/>
        </w:rPr>
      </w:pPr>
      <w:r w:rsidRPr="00B05705">
        <w:rPr>
          <w:noProof/>
          <w:lang w:val="de-DE"/>
        </w:rPr>
        <w:t>[Anlage II folgt]</w:t>
      </w:r>
    </w:p>
    <w:p w:rsidR="00EA44BD" w:rsidRPr="00B05705" w:rsidRDefault="00EA44BD" w:rsidP="00EA44BD">
      <w:pPr>
        <w:rPr>
          <w:noProof/>
          <w:lang w:val="de-DE"/>
        </w:rPr>
      </w:pPr>
    </w:p>
    <w:p w:rsidR="00EA44BD" w:rsidRPr="00B05705" w:rsidRDefault="00EA44BD" w:rsidP="00EA44BD">
      <w:pPr>
        <w:rPr>
          <w:noProof/>
          <w:lang w:val="de-DE"/>
        </w:rPr>
        <w:sectPr w:rsidR="00EA44BD" w:rsidRPr="00B05705" w:rsidSect="00DC4ECD">
          <w:headerReference w:type="default" r:id="rId16"/>
          <w:footerReference w:type="default" r:id="rId17"/>
          <w:headerReference w:type="first" r:id="rId18"/>
          <w:pgSz w:w="11907" w:h="16840" w:code="9"/>
          <w:pgMar w:top="510" w:right="1134" w:bottom="709" w:left="1134" w:header="510" w:footer="680" w:gutter="0"/>
          <w:pgNumType w:start="1"/>
          <w:cols w:space="720"/>
          <w:titlePg/>
        </w:sectPr>
      </w:pPr>
    </w:p>
    <w:p w:rsidR="00EA44BD" w:rsidRPr="00B05705" w:rsidRDefault="00EA44BD" w:rsidP="00EA44BD">
      <w:pPr>
        <w:jc w:val="center"/>
        <w:rPr>
          <w:noProof/>
          <w:lang w:val="de-DE"/>
        </w:rPr>
      </w:pPr>
      <w:r w:rsidRPr="00B05705">
        <w:rPr>
          <w:noProof/>
          <w:lang w:val="de-DE"/>
        </w:rPr>
        <w:lastRenderedPageBreak/>
        <w:t>ANGELEGENHEITEN ZUR ANNAHME DURCH DEN RAT IM JAHR 2019: DOKUMENT TGP/8</w:t>
      </w:r>
    </w:p>
    <w:p w:rsidR="00EA44BD" w:rsidRPr="00B05705" w:rsidRDefault="00EA44BD" w:rsidP="00EA44BD">
      <w:pPr>
        <w:rPr>
          <w:noProof/>
          <w:lang w:val="de-DE"/>
        </w:rPr>
      </w:pPr>
    </w:p>
    <w:p w:rsidR="00EA44BD" w:rsidRDefault="00EA44BD" w:rsidP="00EA44BD">
      <w:pPr>
        <w:rPr>
          <w:noProof/>
          <w:lang w:val="de-DE"/>
        </w:rPr>
      </w:pPr>
      <w:r w:rsidRPr="0059364E">
        <w:rPr>
          <w:noProof/>
          <w:lang w:val="de-DE"/>
        </w:rPr>
        <w:t>E</w:t>
      </w:r>
      <w:r w:rsidRPr="0004263E">
        <w:rPr>
          <w:noProof/>
          <w:lang w:val="de-DE"/>
        </w:rPr>
        <w:t>s wurde vom Technischen Ausschuß vereinbart, die folgende Überarbeitung von Dokument TGP/8 „Prüfungsanlage</w:t>
      </w:r>
      <w:r w:rsidRPr="00B05705">
        <w:rPr>
          <w:noProof/>
          <w:lang w:val="de-DE"/>
        </w:rPr>
        <w:t xml:space="preserve"> und Verfahren für die Prüfung der Unterscheidbarkeit, der Homogenität und der Beständigkeit</w:t>
      </w:r>
      <w:r>
        <w:rPr>
          <w:noProof/>
          <w:lang w:val="de-DE"/>
        </w:rPr>
        <w:t>“</w:t>
      </w:r>
      <w:r w:rsidRPr="00B05705">
        <w:rPr>
          <w:noProof/>
          <w:lang w:val="de-DE"/>
        </w:rPr>
        <w:t xml:space="preserve"> zur Annahme durch den Rat auf seiner dreiundfünfzigsten ordentlichen Tagung am 1. November 2019 in Genf, vorbehaltlich der Billigung durch den CAJ auf seiner sechsundsiebzigsten Tagung am 30. Oktober 2019 in Genf</w:t>
      </w:r>
      <w:r>
        <w:rPr>
          <w:noProof/>
          <w:lang w:val="de-DE"/>
        </w:rPr>
        <w:t xml:space="preserve">, </w:t>
      </w:r>
      <w:r w:rsidRPr="00B05705">
        <w:rPr>
          <w:noProof/>
          <w:lang w:val="de-DE"/>
        </w:rPr>
        <w:t>vorzuschlagen.</w:t>
      </w:r>
    </w:p>
    <w:p w:rsidR="00EA44BD" w:rsidRPr="00B05705" w:rsidRDefault="00EA44BD" w:rsidP="00EA44BD">
      <w:pPr>
        <w:keepNext/>
        <w:rPr>
          <w:caps/>
          <w:noProof/>
          <w:lang w:val="de-DE"/>
        </w:rPr>
      </w:pPr>
    </w:p>
    <w:p w:rsidR="00EA44BD" w:rsidRPr="00B05705" w:rsidRDefault="00EA44BD" w:rsidP="00EA44BD">
      <w:pPr>
        <w:keepNext/>
        <w:rPr>
          <w:noProof/>
          <w:u w:val="single"/>
          <w:lang w:val="de-DE"/>
        </w:rPr>
      </w:pPr>
      <w:r w:rsidRPr="00B05705">
        <w:rPr>
          <w:noProof/>
          <w:u w:val="single"/>
          <w:lang w:val="de-DE"/>
        </w:rPr>
        <w:t>DUS-Prüfung an Mischproben</w:t>
      </w:r>
    </w:p>
    <w:p w:rsidR="00EA44BD" w:rsidRPr="00B05705" w:rsidRDefault="00EA44BD" w:rsidP="00EA44BD">
      <w:pPr>
        <w:keepNext/>
        <w:rPr>
          <w:noProof/>
          <w:lang w:val="de-DE"/>
        </w:rPr>
      </w:pPr>
    </w:p>
    <w:p w:rsidR="00EA44BD" w:rsidRPr="00B05705" w:rsidRDefault="00EA44BD" w:rsidP="00EA44BD">
      <w:pPr>
        <w:keepNext/>
        <w:rPr>
          <w:i/>
          <w:noProof/>
          <w:lang w:val="de-DE"/>
        </w:rPr>
      </w:pPr>
      <w:r w:rsidRPr="00B05705">
        <w:rPr>
          <w:i/>
          <w:noProof/>
          <w:lang w:val="de-DE"/>
        </w:rPr>
        <w:t>Dokument TGP/8: Teil II: Ausgewählte Verfahren für die DUS-Prüfung: Neuer Abschnitt 12: Prüfung von Merkmalen aufgrund von Mischproben</w:t>
      </w:r>
    </w:p>
    <w:p w:rsidR="00EA44BD" w:rsidRPr="00B05705" w:rsidRDefault="00EA44BD" w:rsidP="00EA44BD">
      <w:pPr>
        <w:keepNext/>
        <w:rPr>
          <w:noProof/>
          <w:lang w:val="de-DE"/>
        </w:rPr>
      </w:pPr>
    </w:p>
    <w:p w:rsidR="00EA44BD" w:rsidRPr="00B05705" w:rsidRDefault="00EA44BD" w:rsidP="00EA44BD">
      <w:pPr>
        <w:keepNext/>
        <w:rPr>
          <w:noProof/>
          <w:lang w:val="de-DE"/>
        </w:rPr>
      </w:pPr>
      <w:r w:rsidRPr="00B05705">
        <w:rPr>
          <w:noProof/>
          <w:lang w:val="de-DE"/>
        </w:rPr>
        <w:t>Auf seiner dreiundfünfzigsten Tagung vom 3. bis 5. April 2017 in Genf vereinbarte der TC eine Liste von Kriterien als Grundlage für die Erarbeitung einer Anleitung zur Aufnahme in eine künftige Überarbeitung von Dokument TGP/8 wie folgt (vergleiche Dokument TC/53/31 „Bericht</w:t>
      </w:r>
      <w:r>
        <w:rPr>
          <w:noProof/>
          <w:lang w:val="de-DE"/>
        </w:rPr>
        <w:t>“</w:t>
      </w:r>
      <w:r w:rsidRPr="00B05705">
        <w:rPr>
          <w:noProof/>
          <w:lang w:val="de-DE"/>
        </w:rPr>
        <w:t>, Absätze 113 bis 116):</w:t>
      </w:r>
    </w:p>
    <w:p w:rsidR="00EA44BD" w:rsidRPr="00B05705" w:rsidRDefault="00EA44BD" w:rsidP="00EA44BD">
      <w:pPr>
        <w:rPr>
          <w:noProof/>
          <w:lang w:val="de-DE"/>
        </w:rPr>
      </w:pPr>
    </w:p>
    <w:p w:rsidR="00EA44BD" w:rsidRPr="0059364E" w:rsidRDefault="00EA44BD" w:rsidP="00EA44BD">
      <w:pPr>
        <w:numPr>
          <w:ilvl w:val="0"/>
          <w:numId w:val="15"/>
        </w:numPr>
        <w:ind w:left="1134" w:right="567" w:hanging="567"/>
        <w:rPr>
          <w:noProof/>
          <w:sz w:val="18"/>
          <w:lang w:val="de-DE"/>
        </w:rPr>
      </w:pPr>
      <w:r w:rsidRPr="0059364E">
        <w:rPr>
          <w:noProof/>
          <w:sz w:val="18"/>
          <w:lang w:val="de-DE"/>
        </w:rPr>
        <w:t>„Das Merkmal sollte die Anforderungen an ein Merkmal erfüllen, wie in der „Allgemeinen Einführung zur Prüfung auf Unterscheidbarkeit, Homogenität und Beständigkeit und zur Erstellung harmonisierter Beschreibungen von neuen Pflanzensorten“ dargelegt (vergleiche Dokument TG/1/3, Abschnitt 4.2.1);</w:t>
      </w:r>
    </w:p>
    <w:p w:rsidR="00EA44BD" w:rsidRPr="0059364E" w:rsidRDefault="00EA44BD" w:rsidP="00EA44BD">
      <w:pPr>
        <w:ind w:left="1134" w:right="567" w:hanging="567"/>
        <w:rPr>
          <w:noProof/>
          <w:sz w:val="18"/>
          <w:lang w:val="de-DE"/>
        </w:rPr>
      </w:pPr>
    </w:p>
    <w:p w:rsidR="00EA44BD" w:rsidRPr="0059364E" w:rsidRDefault="00EA44BD" w:rsidP="00EA44BD">
      <w:pPr>
        <w:numPr>
          <w:ilvl w:val="0"/>
          <w:numId w:val="15"/>
        </w:numPr>
        <w:ind w:left="1134" w:right="567" w:hanging="567"/>
        <w:rPr>
          <w:noProof/>
          <w:sz w:val="18"/>
          <w:lang w:val="de-DE"/>
        </w:rPr>
      </w:pPr>
      <w:r w:rsidRPr="0059364E">
        <w:rPr>
          <w:noProof/>
          <w:sz w:val="18"/>
          <w:lang w:val="de-DE"/>
        </w:rPr>
        <w:t>„Es sollten Kenntnisse über die genetische Kontrolle des Merkmals vorliegen;</w:t>
      </w:r>
    </w:p>
    <w:p w:rsidR="00EA44BD" w:rsidRPr="0059364E" w:rsidRDefault="00EA44BD" w:rsidP="00EA44BD">
      <w:pPr>
        <w:ind w:left="1134" w:right="567" w:hanging="567"/>
        <w:rPr>
          <w:iCs/>
          <w:noProof/>
          <w:sz w:val="18"/>
          <w:lang w:val="de-DE"/>
        </w:rPr>
      </w:pPr>
    </w:p>
    <w:p w:rsidR="00EA44BD" w:rsidRPr="0059364E" w:rsidRDefault="00EA44BD" w:rsidP="00EA44BD">
      <w:pPr>
        <w:numPr>
          <w:ilvl w:val="0"/>
          <w:numId w:val="15"/>
        </w:numPr>
        <w:ind w:left="1134" w:right="567" w:hanging="567"/>
        <w:rPr>
          <w:iCs/>
          <w:noProof/>
          <w:sz w:val="18"/>
          <w:lang w:val="de-DE"/>
        </w:rPr>
      </w:pPr>
      <w:r w:rsidRPr="0059364E">
        <w:rPr>
          <w:iCs/>
          <w:noProof/>
          <w:sz w:val="18"/>
          <w:lang w:val="de-DE"/>
        </w:rPr>
        <w:t xml:space="preserve">„Die Eignung des Merkmals sollte zuerst durch eine Prüfung der Homogenität an Einzelpflanzen validiert werden; </w:t>
      </w:r>
    </w:p>
    <w:p w:rsidR="00EA44BD" w:rsidRPr="0059364E" w:rsidRDefault="00EA44BD" w:rsidP="00EA44BD">
      <w:pPr>
        <w:ind w:left="1134" w:right="567" w:hanging="567"/>
        <w:rPr>
          <w:iCs/>
          <w:noProof/>
          <w:sz w:val="18"/>
          <w:lang w:val="de-DE"/>
        </w:rPr>
      </w:pPr>
    </w:p>
    <w:p w:rsidR="00EA44BD" w:rsidRPr="0059364E" w:rsidRDefault="00EA44BD" w:rsidP="00EA44BD">
      <w:pPr>
        <w:numPr>
          <w:ilvl w:val="0"/>
          <w:numId w:val="15"/>
        </w:numPr>
        <w:ind w:left="1134" w:right="567" w:hanging="567"/>
        <w:rPr>
          <w:iCs/>
          <w:noProof/>
          <w:sz w:val="18"/>
          <w:lang w:val="de-DE"/>
        </w:rPr>
      </w:pPr>
      <w:r w:rsidRPr="0059364E">
        <w:rPr>
          <w:iCs/>
          <w:noProof/>
          <w:sz w:val="18"/>
          <w:lang w:val="de-DE"/>
        </w:rPr>
        <w:t>„Informationen zur Variation zwischen Einzelpflanzen und Unterschieden zwischen den Wachstumsperioden sollten vorgelegt werden (Daten aus Routinemessungen des Merkmals aus verschiedenen Jahren);</w:t>
      </w:r>
    </w:p>
    <w:p w:rsidR="00EA44BD" w:rsidRPr="0059364E" w:rsidRDefault="00EA44BD" w:rsidP="00EA44BD">
      <w:pPr>
        <w:ind w:left="1134" w:right="567" w:hanging="567"/>
        <w:rPr>
          <w:iCs/>
          <w:noProof/>
          <w:sz w:val="18"/>
          <w:lang w:val="de-DE"/>
        </w:rPr>
      </w:pPr>
    </w:p>
    <w:p w:rsidR="00EA44BD" w:rsidRPr="0059364E" w:rsidRDefault="00EA44BD" w:rsidP="00EA44BD">
      <w:pPr>
        <w:numPr>
          <w:ilvl w:val="0"/>
          <w:numId w:val="15"/>
        </w:numPr>
        <w:ind w:left="1134" w:right="567" w:hanging="567"/>
        <w:rPr>
          <w:noProof/>
          <w:sz w:val="18"/>
          <w:lang w:val="de-DE"/>
        </w:rPr>
      </w:pPr>
      <w:r w:rsidRPr="0059364E">
        <w:rPr>
          <w:iCs/>
          <w:noProof/>
          <w:sz w:val="18"/>
          <w:lang w:val="de-DE"/>
        </w:rPr>
        <w:t>„</w:t>
      </w:r>
      <w:r w:rsidRPr="0059364E">
        <w:rPr>
          <w:noProof/>
          <w:sz w:val="18"/>
          <w:lang w:val="de-DE"/>
        </w:rPr>
        <w:t>Eine ausführliche Beschreibung des Prüfungsverfahrens sollte bereitgestellt werden;</w:t>
      </w:r>
    </w:p>
    <w:p w:rsidR="00EA44BD" w:rsidRPr="0059364E" w:rsidRDefault="00EA44BD" w:rsidP="00EA44BD">
      <w:pPr>
        <w:ind w:left="1134" w:right="567" w:hanging="567"/>
        <w:rPr>
          <w:noProof/>
          <w:sz w:val="18"/>
          <w:lang w:val="de-DE"/>
        </w:rPr>
      </w:pPr>
    </w:p>
    <w:p w:rsidR="00EA44BD" w:rsidRPr="0059364E" w:rsidRDefault="00EA44BD" w:rsidP="00EA44BD">
      <w:pPr>
        <w:numPr>
          <w:ilvl w:val="0"/>
          <w:numId w:val="15"/>
        </w:numPr>
        <w:ind w:left="1134" w:right="567" w:hanging="567"/>
        <w:rPr>
          <w:noProof/>
          <w:sz w:val="18"/>
          <w:lang w:val="de-DE"/>
        </w:rPr>
      </w:pPr>
      <w:r w:rsidRPr="0059364E">
        <w:rPr>
          <w:noProof/>
          <w:sz w:val="18"/>
          <w:lang w:val="de-DE"/>
        </w:rPr>
        <w:t>„Ausprägungsstufen sollten auf vorhandener Variation zwischen Sorten unter Berücksichtigung des Umwelteinflusses basieren.“</w:t>
      </w: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jc w:val="right"/>
        <w:rPr>
          <w:noProof/>
          <w:lang w:val="de-DE"/>
        </w:rPr>
      </w:pPr>
      <w:r w:rsidRPr="00B05705">
        <w:rPr>
          <w:noProof/>
          <w:lang w:val="de-DE"/>
        </w:rPr>
        <w:t>[Anlage III folgt]</w:t>
      </w:r>
    </w:p>
    <w:p w:rsidR="00EA44BD" w:rsidRPr="00B05705" w:rsidRDefault="00EA44BD" w:rsidP="00EA44BD">
      <w:pPr>
        <w:rPr>
          <w:noProof/>
          <w:lang w:val="de-DE"/>
        </w:rPr>
      </w:pPr>
    </w:p>
    <w:p w:rsidR="00EA44BD" w:rsidRPr="00B05705" w:rsidRDefault="00EA44BD" w:rsidP="00EA44BD">
      <w:pPr>
        <w:rPr>
          <w:noProof/>
          <w:lang w:val="de-DE"/>
        </w:rPr>
        <w:sectPr w:rsidR="00EA44BD" w:rsidRPr="00B05705" w:rsidSect="00DC4ECD">
          <w:headerReference w:type="first" r:id="rId19"/>
          <w:pgSz w:w="11907" w:h="16840" w:code="9"/>
          <w:pgMar w:top="510" w:right="1134" w:bottom="709" w:left="1134" w:header="510" w:footer="680" w:gutter="0"/>
          <w:pgNumType w:start="1"/>
          <w:cols w:space="720"/>
          <w:titlePg/>
        </w:sectPr>
      </w:pPr>
    </w:p>
    <w:p w:rsidR="00EA44BD" w:rsidRPr="00B05705" w:rsidRDefault="00EA44BD" w:rsidP="00EA44BD">
      <w:pPr>
        <w:jc w:val="center"/>
        <w:rPr>
          <w:noProof/>
          <w:lang w:val="de-DE"/>
        </w:rPr>
      </w:pPr>
      <w:r w:rsidRPr="00B05705">
        <w:rPr>
          <w:noProof/>
          <w:lang w:val="de-DE"/>
        </w:rPr>
        <w:lastRenderedPageBreak/>
        <w:t>ANGELEGENHEITEN ZUR ANNAHME DURCH DEN RAT IM JAHR 2019: DOKUMENT TGP/10</w:t>
      </w:r>
    </w:p>
    <w:p w:rsidR="00EA44BD" w:rsidRPr="00B05705" w:rsidRDefault="00EA44BD" w:rsidP="00EA44BD">
      <w:pPr>
        <w:rPr>
          <w:noProof/>
          <w:lang w:val="de-DE"/>
        </w:rPr>
      </w:pPr>
    </w:p>
    <w:p w:rsidR="00EA44BD" w:rsidRPr="0004263E" w:rsidRDefault="00EA44BD" w:rsidP="00EA44BD">
      <w:pPr>
        <w:rPr>
          <w:noProof/>
          <w:lang w:val="de-DE"/>
        </w:rPr>
      </w:pPr>
      <w:r w:rsidRPr="0059364E">
        <w:rPr>
          <w:noProof/>
          <w:lang w:val="de-DE"/>
        </w:rPr>
        <w:t>E</w:t>
      </w:r>
      <w:r w:rsidRPr="0004263E">
        <w:rPr>
          <w:noProof/>
          <w:lang w:val="de-DE"/>
        </w:rPr>
        <w:t>s wurde vom Technischen Ausschuß vereinbart, die folgende Überarbeitung von Dokument TGP/10 „Prüfung der Homogenität“ zur Annahme durch den Rat auf seiner dreiundfünfzigsten ordentlichen Tagung am 1. November 2019 in Genf, vorbehaltlich der Billigung durch den CAJ auf seiner sechsundsiebzigsten Tagung am 30. Oktober 2019 in Genf, vorzuschlagen.</w:t>
      </w:r>
    </w:p>
    <w:p w:rsidR="00EA44BD" w:rsidRPr="0004263E" w:rsidRDefault="00EA44BD" w:rsidP="00EA44BD">
      <w:pPr>
        <w:rPr>
          <w:noProof/>
          <w:lang w:val="de-DE"/>
        </w:rPr>
      </w:pPr>
    </w:p>
    <w:p w:rsidR="00EA44BD" w:rsidRPr="0004263E" w:rsidRDefault="00EA44BD" w:rsidP="00EA44BD">
      <w:pPr>
        <w:rPr>
          <w:rFonts w:eastAsia="MS Mincho"/>
          <w:noProof/>
          <w:u w:val="single"/>
          <w:lang w:val="de-DE"/>
        </w:rPr>
      </w:pPr>
      <w:r w:rsidRPr="0059364E">
        <w:rPr>
          <w:rFonts w:eastAsia="MS Mincho"/>
          <w:noProof/>
          <w:u w:val="single"/>
          <w:lang w:val="de-DE"/>
        </w:rPr>
        <w:t>P</w:t>
      </w:r>
      <w:r w:rsidRPr="0004263E">
        <w:rPr>
          <w:rFonts w:eastAsia="MS Mincho"/>
          <w:noProof/>
          <w:u w:val="single"/>
          <w:lang w:val="de-DE"/>
        </w:rPr>
        <w:t xml:space="preserve">rüfung der Homogenität anhand von Abweichern aufgrund von mehr als einer Wachstumsperiode oder aufgrund von Unterproben </w:t>
      </w:r>
    </w:p>
    <w:p w:rsidR="00EA44BD" w:rsidRPr="0004263E" w:rsidRDefault="00EA44BD" w:rsidP="00EA44BD">
      <w:pPr>
        <w:rPr>
          <w:noProof/>
          <w:lang w:val="de-DE"/>
        </w:rPr>
      </w:pPr>
    </w:p>
    <w:p w:rsidR="00EA44BD" w:rsidRPr="0004263E" w:rsidRDefault="00EA44BD" w:rsidP="00EA44BD">
      <w:pPr>
        <w:rPr>
          <w:noProof/>
          <w:lang w:val="de-DE"/>
        </w:rPr>
      </w:pPr>
      <w:r w:rsidRPr="0059364E">
        <w:rPr>
          <w:noProof/>
          <w:lang w:val="de-DE"/>
        </w:rPr>
        <w:t>D</w:t>
      </w:r>
      <w:r w:rsidRPr="0004263E">
        <w:rPr>
          <w:noProof/>
          <w:lang w:val="de-DE"/>
        </w:rPr>
        <w:t>er TC prüfte auf seiner vierundfünfzigsten Tagung Dokument TC/54/20 „Prüfung der Homogenität anhand von Abweichern aufgrund von mehr als einer Wachstumsperiode oder aufgrund von Unterproben“</w:t>
      </w:r>
      <w:r w:rsidRPr="0004263E">
        <w:rPr>
          <w:rFonts w:eastAsia="MS Mincho"/>
          <w:noProof/>
          <w:lang w:val="de-DE"/>
        </w:rPr>
        <w:t xml:space="preserve"> </w:t>
      </w:r>
      <w:r w:rsidRPr="0004263E">
        <w:rPr>
          <w:noProof/>
          <w:lang w:val="de-DE"/>
        </w:rPr>
        <w:t xml:space="preserve">(vergleiche Dokument </w:t>
      </w:r>
      <w:r w:rsidR="00DC4ECD">
        <w:rPr>
          <w:noProof/>
          <w:lang w:val="de-DE"/>
        </w:rPr>
        <w:t xml:space="preserve">TC/54/31 </w:t>
      </w:r>
      <w:r w:rsidRPr="0004263E">
        <w:rPr>
          <w:noProof/>
          <w:lang w:val="de-DE"/>
        </w:rPr>
        <w:t>„Bericht“, Absätze 233 und 234).</w:t>
      </w:r>
    </w:p>
    <w:p w:rsidR="00EA44BD" w:rsidRPr="0004263E" w:rsidRDefault="00EA44BD" w:rsidP="00EA44BD">
      <w:pPr>
        <w:rPr>
          <w:noProof/>
          <w:lang w:val="de-DE"/>
        </w:rPr>
      </w:pPr>
    </w:p>
    <w:p w:rsidR="00EA44BD" w:rsidRPr="00B05705" w:rsidRDefault="00EA44BD" w:rsidP="00EA44BD">
      <w:pPr>
        <w:rPr>
          <w:rFonts w:eastAsia="MS Mincho"/>
          <w:noProof/>
          <w:color w:val="000000"/>
          <w:szCs w:val="24"/>
          <w:lang w:val="de-DE" w:eastAsia="ja-JP"/>
        </w:rPr>
      </w:pPr>
      <w:r w:rsidRPr="0059364E">
        <w:rPr>
          <w:noProof/>
          <w:lang w:val="de-DE"/>
        </w:rPr>
        <w:t>D</w:t>
      </w:r>
      <w:r w:rsidRPr="0004263E">
        <w:rPr>
          <w:noProof/>
          <w:lang w:val="de-DE"/>
        </w:rPr>
        <w:t xml:space="preserve">er TC vereinbarte, daß der folgende Entwurf einer Anleitung dem Rat zur Aufnahme in eine künftige Überarbeitung von Dokument TGP/10 über die „Prüfung der Homogenität“ </w:t>
      </w:r>
      <w:r w:rsidRPr="00DD201B">
        <w:rPr>
          <w:noProof/>
          <w:lang w:val="de-DE"/>
        </w:rPr>
        <w:t>zur Annahme</w:t>
      </w:r>
      <w:r>
        <w:rPr>
          <w:noProof/>
          <w:lang w:val="de-DE"/>
        </w:rPr>
        <w:t xml:space="preserve"> </w:t>
      </w:r>
      <w:r w:rsidRPr="0004263E">
        <w:rPr>
          <w:noProof/>
          <w:lang w:val="de-DE"/>
        </w:rPr>
        <w:t>vorgelegt werden sollte, um Anleitung zur Prüfung</w:t>
      </w:r>
      <w:r>
        <w:rPr>
          <w:noProof/>
          <w:lang w:val="de-DE"/>
        </w:rPr>
        <w:t xml:space="preserve"> der Homogenität </w:t>
      </w:r>
      <w:r w:rsidRPr="00B05705">
        <w:rPr>
          <w:noProof/>
          <w:lang w:val="de-DE"/>
        </w:rPr>
        <w:t>anhand von Abweichern aufgrund von mehr als einer Wachstumsperiode oder aufgrund von Unterproben</w:t>
      </w:r>
      <w:r>
        <w:rPr>
          <w:noProof/>
          <w:lang w:val="de-DE"/>
        </w:rPr>
        <w:t xml:space="preserve"> bereitzustellen</w:t>
      </w:r>
      <w:r w:rsidRPr="00B05705">
        <w:rPr>
          <w:rFonts w:eastAsia="MS Mincho"/>
          <w:noProof/>
          <w:color w:val="000000"/>
          <w:szCs w:val="24"/>
          <w:lang w:val="de-DE" w:eastAsia="ja-JP"/>
        </w:rPr>
        <w:t>.</w:t>
      </w:r>
      <w:r>
        <w:rPr>
          <w:rFonts w:eastAsia="MS Mincho"/>
          <w:noProof/>
          <w:color w:val="000000"/>
          <w:szCs w:val="24"/>
          <w:lang w:val="de-DE" w:eastAsia="ja-JP"/>
        </w:rPr>
        <w:t xml:space="preserve"> </w:t>
      </w:r>
    </w:p>
    <w:p w:rsidR="00EA44BD" w:rsidRPr="00B05705" w:rsidRDefault="00EA44BD" w:rsidP="00EA44BD">
      <w:pPr>
        <w:rPr>
          <w:noProof/>
          <w:sz w:val="18"/>
          <w:lang w:val="de-DE"/>
        </w:rPr>
      </w:pPr>
    </w:p>
    <w:p w:rsidR="00EA44BD" w:rsidRPr="00B05705" w:rsidRDefault="00EA44BD" w:rsidP="00EA44BD">
      <w:pPr>
        <w:ind w:left="567"/>
        <w:rPr>
          <w:noProof/>
          <w:sz w:val="18"/>
          <w:szCs w:val="18"/>
          <w:u w:val="single"/>
          <w:lang w:val="de-DE"/>
        </w:rPr>
      </w:pPr>
      <w:r w:rsidRPr="00B05705">
        <w:rPr>
          <w:rFonts w:eastAsia="MS Mincho"/>
          <w:noProof/>
          <w:sz w:val="18"/>
          <w:szCs w:val="18"/>
          <w:u w:val="single"/>
          <w:lang w:val="de-DE"/>
        </w:rPr>
        <w:t xml:space="preserve">Neuer Abschnitt 4.7: Prüfung der Homogenität anhand von Abweichern aufgrund von mehr als einer Wachstumsperiode </w:t>
      </w: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t>Zwei unabhängige Wachstumsperioden könnten an einem einzigen Prüfungsort in verschiedenen Jahren oder an unterschiedlichen Prüfungsorten im selben Jahr stattfinden gemäß Dokument TGP/8 Teil I, Abschnitte 1.2 und 1.3.</w:t>
      </w: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t>Die folgende Anleitung ist nicht für die Prüfung der Homogenität anhand von Abweichern an den gleichen Pflanzen in zwei Wachstumsperioden vorgesehen. Ergebnisse aus Wachstumsperioden unter Verwendung verschiedener Partien von Vermehrungsmaterial sollten nicht kombiniert werden.</w:t>
      </w:r>
    </w:p>
    <w:p w:rsidR="00EA44BD" w:rsidRPr="00B05705" w:rsidRDefault="00EA44BD" w:rsidP="00EA44BD">
      <w:pPr>
        <w:ind w:left="567"/>
        <w:rPr>
          <w:noProof/>
          <w:sz w:val="18"/>
          <w:szCs w:val="18"/>
          <w:lang w:val="de-DE"/>
        </w:rPr>
      </w:pPr>
    </w:p>
    <w:p w:rsidR="00EA44BD" w:rsidRPr="00B05705" w:rsidRDefault="00EA44BD" w:rsidP="00EA44BD">
      <w:pPr>
        <w:ind w:left="567" w:firstLine="567"/>
        <w:rPr>
          <w:i/>
          <w:noProof/>
          <w:sz w:val="18"/>
          <w:szCs w:val="18"/>
          <w:lang w:val="de-DE"/>
        </w:rPr>
      </w:pPr>
      <w:r w:rsidRPr="00B05705">
        <w:rPr>
          <w:i/>
          <w:noProof/>
          <w:sz w:val="18"/>
          <w:szCs w:val="18"/>
          <w:lang w:val="de-DE"/>
        </w:rPr>
        <w:t xml:space="preserve">Ansatz 1: Dritte Wachstumsperiode im Fall widersprüchlicher Ergebnisse </w:t>
      </w:r>
    </w:p>
    <w:p w:rsidR="00EA44BD" w:rsidRPr="00B05705" w:rsidRDefault="00EA44BD" w:rsidP="00EA44BD">
      <w:pPr>
        <w:ind w:left="567"/>
        <w:jc w:val="center"/>
        <w:rPr>
          <w:b/>
          <w:noProof/>
          <w:sz w:val="18"/>
          <w:szCs w:val="18"/>
          <w:lang w:val="de-DE"/>
        </w:rPr>
      </w:pPr>
    </w:p>
    <w:p w:rsidR="00EA44BD" w:rsidRPr="00B05705" w:rsidRDefault="00EA44BD" w:rsidP="00EA44BD">
      <w:pPr>
        <w:ind w:left="567"/>
        <w:rPr>
          <w:rFonts w:eastAsia="SimSun"/>
          <w:noProof/>
          <w:sz w:val="18"/>
          <w:szCs w:val="18"/>
          <w:lang w:val="de-DE" w:eastAsia="zh-CN"/>
        </w:rPr>
      </w:pPr>
      <w:r w:rsidRPr="00B05705">
        <w:rPr>
          <w:rFonts w:eastAsia="SimSun"/>
          <w:noProof/>
          <w:sz w:val="18"/>
          <w:szCs w:val="18"/>
          <w:lang w:val="de-DE" w:eastAsia="zh-CN"/>
        </w:rPr>
        <w:t>Eine Sorte wird als homogen angesehen, wenn sie in beiden Wachstumsperioden dem Homogenitätsstandard entspricht.</w:t>
      </w:r>
    </w:p>
    <w:p w:rsidR="00EA44BD" w:rsidRPr="00B05705" w:rsidRDefault="00EA44BD" w:rsidP="00EA44BD">
      <w:pPr>
        <w:ind w:left="567"/>
        <w:rPr>
          <w:rFonts w:eastAsia="SimSun"/>
          <w:noProof/>
          <w:sz w:val="18"/>
          <w:szCs w:val="18"/>
          <w:lang w:val="de-DE" w:eastAsia="zh-CN"/>
        </w:rPr>
      </w:pPr>
    </w:p>
    <w:p w:rsidR="00EA44BD" w:rsidRPr="00B05705" w:rsidRDefault="00EA44BD" w:rsidP="00EA44BD">
      <w:pPr>
        <w:ind w:left="567"/>
        <w:rPr>
          <w:rFonts w:eastAsia="SimSun"/>
          <w:noProof/>
          <w:sz w:val="18"/>
          <w:szCs w:val="18"/>
          <w:lang w:val="de-DE" w:eastAsia="zh-CN"/>
        </w:rPr>
      </w:pPr>
      <w:r w:rsidRPr="00B05705">
        <w:rPr>
          <w:rFonts w:eastAsia="SimSun"/>
          <w:noProof/>
          <w:sz w:val="18"/>
          <w:szCs w:val="18"/>
          <w:lang w:val="de-DE" w:eastAsia="zh-CN"/>
        </w:rPr>
        <w:t>Eine Sorte wird als nicht homogen angesehen, wenn sie in beiden Wachstumsperioden dem Homogenitätsstandard nicht entspricht.</w:t>
      </w:r>
    </w:p>
    <w:p w:rsidR="00EA44BD" w:rsidRPr="00B05705" w:rsidRDefault="00EA44BD" w:rsidP="00EA44BD">
      <w:pPr>
        <w:ind w:left="567"/>
        <w:rPr>
          <w:rFonts w:eastAsia="SimSun"/>
          <w:noProof/>
          <w:sz w:val="18"/>
          <w:szCs w:val="18"/>
          <w:lang w:val="de-DE" w:eastAsia="zh-CN"/>
        </w:rPr>
      </w:pPr>
    </w:p>
    <w:p w:rsidR="00EA44BD" w:rsidRPr="00B05705" w:rsidRDefault="00EA44BD" w:rsidP="00EA44BD">
      <w:pPr>
        <w:ind w:left="567"/>
        <w:rPr>
          <w:rFonts w:eastAsia="SimSun"/>
          <w:noProof/>
          <w:sz w:val="18"/>
          <w:szCs w:val="18"/>
          <w:lang w:val="de-DE" w:eastAsia="zh-CN"/>
        </w:rPr>
      </w:pPr>
      <w:r w:rsidRPr="00B05705">
        <w:rPr>
          <w:rFonts w:eastAsia="SimSun"/>
          <w:noProof/>
          <w:sz w:val="18"/>
          <w:szCs w:val="18"/>
          <w:lang w:val="de-DE" w:eastAsia="zh-CN"/>
        </w:rPr>
        <w:t>Entspricht die Sorte am Ende der beiden Wachstumsperioden in einer Wachstumsperiode dem Homogenitätsstandard, in der anderen Wachstumsperiode aber nicht, dann wird die Homogenität in einer dritten Wachstumsperiode geprüft. Entspricht die Sorte in der dritten Wachstumsperiode dem Homogenitätsstandard, so wird die Sorte als homogen angesehen. Entspricht die Sorte in der dritten Wachstumsperiode nicht dem Homogenitätsstandard, so wird die Sorte als nicht homogen angesehen.</w:t>
      </w: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t xml:space="preserve">Bei der Bewertung von Ergebnissen, die zwischen den Wachstumsperioden sehr unterschiedlich sind, muss mit größter Sorgfalt verfahren werden, etwa wenn ein Abweichertyp in einer Wachstumsperiode sehr häufig und in einer anderen überhaupt nicht vorkommt. Es ist wichtig, zu erkennen, ob Unterschiede in der Anzahl von Abweichern zwischen Wachstumsperioden durch Umweltursachen oder Unterschiede in der Art der Probennahme bedingt sind. </w:t>
      </w:r>
    </w:p>
    <w:p w:rsidR="00EA44BD" w:rsidRPr="00B05705" w:rsidRDefault="00EA44BD" w:rsidP="00EA44BD">
      <w:pPr>
        <w:ind w:left="567"/>
        <w:rPr>
          <w:noProof/>
          <w:sz w:val="18"/>
          <w:szCs w:val="18"/>
          <w:lang w:val="de-DE"/>
        </w:rPr>
      </w:pPr>
    </w:p>
    <w:p w:rsidR="00EA44BD" w:rsidRPr="00B05705" w:rsidRDefault="00EA44BD" w:rsidP="00EA44BD">
      <w:pPr>
        <w:ind w:left="567"/>
        <w:rPr>
          <w:rFonts w:eastAsia="SimSun"/>
          <w:noProof/>
          <w:sz w:val="18"/>
          <w:szCs w:val="18"/>
          <w:lang w:val="de-DE" w:eastAsia="zh-CN"/>
        </w:rPr>
      </w:pPr>
      <w:r w:rsidRPr="00B05705">
        <w:rPr>
          <w:noProof/>
          <w:sz w:val="18"/>
          <w:szCs w:val="18"/>
          <w:lang w:val="de-DE"/>
        </w:rPr>
        <w:t xml:space="preserve">Zudem kann eine Sorte, falls sie in der ersten Wachstumsperiode einen festgelegten oberen Grenzwert für Abweicher übersteigt, nach einer Wachstumsperiode zurückgewiesen werden. </w:t>
      </w:r>
    </w:p>
    <w:p w:rsidR="00EA44BD" w:rsidRPr="00B05705" w:rsidRDefault="00EA44BD" w:rsidP="00EA44BD">
      <w:pPr>
        <w:keepNext/>
        <w:keepLines/>
        <w:ind w:left="567"/>
        <w:rPr>
          <w:rFonts w:eastAsia="SimSun"/>
          <w:noProof/>
          <w:sz w:val="18"/>
          <w:szCs w:val="18"/>
          <w:lang w:val="de-DE" w:eastAsia="zh-CN"/>
        </w:rPr>
      </w:pPr>
    </w:p>
    <w:p w:rsidR="00EA44BD" w:rsidRPr="00B05705" w:rsidRDefault="00EA44BD" w:rsidP="00EA44BD">
      <w:pPr>
        <w:ind w:left="567" w:firstLine="567"/>
        <w:rPr>
          <w:i/>
          <w:noProof/>
          <w:sz w:val="18"/>
          <w:szCs w:val="18"/>
          <w:lang w:val="de-DE"/>
        </w:rPr>
      </w:pPr>
      <w:r w:rsidRPr="00B05705">
        <w:rPr>
          <w:i/>
          <w:noProof/>
          <w:sz w:val="18"/>
          <w:szCs w:val="18"/>
          <w:lang w:val="de-DE"/>
        </w:rPr>
        <w:t>Ansatz 2: Kombination der Ergebnisse von zwei Wachstumsperioden im Fall widersprüchlicher Ergebnisse</w:t>
      </w:r>
    </w:p>
    <w:p w:rsidR="00EA44BD" w:rsidRPr="00B05705" w:rsidRDefault="00EA44BD" w:rsidP="00EA44BD">
      <w:pPr>
        <w:keepNext/>
        <w:keepLines/>
        <w:ind w:left="567"/>
        <w:rPr>
          <w:rFonts w:eastAsia="MS Mincho"/>
          <w:noProof/>
          <w:sz w:val="18"/>
          <w:szCs w:val="18"/>
          <w:lang w:val="de-DE" w:eastAsia="ja-JP"/>
        </w:rPr>
      </w:pPr>
    </w:p>
    <w:p w:rsidR="00EA44BD" w:rsidRPr="00B05705" w:rsidRDefault="00EA44BD" w:rsidP="00EA44BD">
      <w:pPr>
        <w:ind w:left="567"/>
        <w:rPr>
          <w:rFonts w:eastAsia="SimSun"/>
          <w:noProof/>
          <w:sz w:val="18"/>
          <w:szCs w:val="18"/>
          <w:lang w:val="de-DE" w:eastAsia="zh-CN"/>
        </w:rPr>
      </w:pPr>
      <w:r w:rsidRPr="00B05705">
        <w:rPr>
          <w:rFonts w:eastAsia="SimSun"/>
          <w:noProof/>
          <w:sz w:val="18"/>
          <w:szCs w:val="18"/>
          <w:lang w:val="de-DE" w:eastAsia="zh-CN"/>
        </w:rPr>
        <w:t>Eine Sorte wird als homogen angesehen, wenn sie in beiden Wachstumsperioden dem Homogenitätsstandard entspricht.</w:t>
      </w:r>
    </w:p>
    <w:p w:rsidR="00EA44BD" w:rsidRPr="00B05705" w:rsidRDefault="00EA44BD" w:rsidP="00EA44BD">
      <w:pPr>
        <w:ind w:left="567"/>
        <w:rPr>
          <w:rFonts w:eastAsia="SimSun"/>
          <w:noProof/>
          <w:sz w:val="18"/>
          <w:szCs w:val="18"/>
          <w:lang w:val="de-DE" w:eastAsia="zh-CN"/>
        </w:rPr>
      </w:pPr>
    </w:p>
    <w:p w:rsidR="00EA44BD" w:rsidRPr="00B05705" w:rsidRDefault="00EA44BD" w:rsidP="00EA44BD">
      <w:pPr>
        <w:ind w:left="567"/>
        <w:rPr>
          <w:rFonts w:eastAsia="SimSun"/>
          <w:noProof/>
          <w:sz w:val="18"/>
          <w:szCs w:val="18"/>
          <w:lang w:val="de-DE" w:eastAsia="zh-CN"/>
        </w:rPr>
      </w:pPr>
      <w:r w:rsidRPr="00B05705">
        <w:rPr>
          <w:rFonts w:eastAsia="SimSun"/>
          <w:noProof/>
          <w:sz w:val="18"/>
          <w:szCs w:val="18"/>
          <w:lang w:val="de-DE" w:eastAsia="zh-CN"/>
        </w:rPr>
        <w:t>Eine Sorte wird als nicht homogen angesehen, wenn sie in beiden Wachstumsperioden dem Homogenitätsstandard nicht entspricht.</w:t>
      </w:r>
    </w:p>
    <w:p w:rsidR="00EA44BD" w:rsidRPr="00B05705" w:rsidRDefault="00EA44BD" w:rsidP="00EA44BD">
      <w:pPr>
        <w:ind w:left="567"/>
        <w:rPr>
          <w:rFonts w:eastAsia="SimSun"/>
          <w:noProof/>
          <w:sz w:val="18"/>
          <w:szCs w:val="18"/>
          <w:lang w:val="de-DE" w:eastAsia="zh-CN"/>
        </w:rPr>
      </w:pPr>
    </w:p>
    <w:p w:rsidR="00EA44BD" w:rsidRPr="00B05705" w:rsidRDefault="00EA44BD" w:rsidP="00EA44BD">
      <w:pPr>
        <w:ind w:left="567"/>
        <w:rPr>
          <w:rFonts w:eastAsia="SimSun"/>
          <w:noProof/>
          <w:sz w:val="18"/>
          <w:szCs w:val="18"/>
          <w:lang w:val="de-DE" w:eastAsia="zh-CN"/>
        </w:rPr>
      </w:pPr>
      <w:r w:rsidRPr="00B05705">
        <w:rPr>
          <w:rFonts w:eastAsia="SimSun"/>
          <w:noProof/>
          <w:sz w:val="18"/>
          <w:szCs w:val="18"/>
          <w:lang w:val="de-DE" w:eastAsia="zh-CN"/>
        </w:rPr>
        <w:t>Entspricht die Sorte am Ende der beiden Wachstumsperioden in einer Wachstumsperiode dem Homogenitätsstandard, in der anderen Wachstumsperiode aber nicht, wird eine Sorte als homogen angesehen, wenn die Gesamtanzahl der Abweicher am Ende der beiden Wachstumsperioden die Anzahl der erlaubten Abweicher der Probengröße in den kombinierten Wachstumsperioden 1 und 2 nicht übersteigt.</w:t>
      </w:r>
    </w:p>
    <w:p w:rsidR="00EA44BD" w:rsidRPr="00B05705" w:rsidRDefault="00EA44BD" w:rsidP="00EA44BD">
      <w:pPr>
        <w:ind w:left="567"/>
        <w:rPr>
          <w:rFonts w:eastAsia="SimSun"/>
          <w:noProof/>
          <w:sz w:val="18"/>
          <w:szCs w:val="18"/>
          <w:lang w:val="de-DE" w:eastAsia="zh-CN"/>
        </w:rPr>
      </w:pPr>
    </w:p>
    <w:p w:rsidR="00EA44BD" w:rsidRPr="00B05705" w:rsidRDefault="00EA44BD" w:rsidP="00EA44BD">
      <w:pPr>
        <w:ind w:left="567"/>
        <w:rPr>
          <w:rFonts w:eastAsia="SimSun"/>
          <w:noProof/>
          <w:sz w:val="18"/>
          <w:szCs w:val="18"/>
          <w:lang w:val="de-DE" w:eastAsia="zh-CN"/>
        </w:rPr>
      </w:pPr>
      <w:r w:rsidRPr="00B05705">
        <w:rPr>
          <w:noProof/>
          <w:sz w:val="18"/>
          <w:szCs w:val="18"/>
          <w:lang w:val="de-DE"/>
        </w:rPr>
        <w:t xml:space="preserve">Bei der Bewertung von Ergebnissen, die zwischen den Wachstumsperioden sehr unterschiedlich sind, muss mit größter Sorgfalt verfahren werden, etwa wenn ein Abweichertyp in einer Wachstumsperiode sehr häufig und in einer anderen überhaupt nicht vorkommt. Gegebenenfalls sollte eine statistische Prüfung auf Konsistenz </w:t>
      </w:r>
      <w:r w:rsidRPr="00B05705">
        <w:rPr>
          <w:noProof/>
          <w:sz w:val="18"/>
          <w:szCs w:val="18"/>
          <w:lang w:val="de-DE"/>
        </w:rPr>
        <w:lastRenderedPageBreak/>
        <w:t xml:space="preserve">durchgeführt werden. Es ist wichtig, zu erkennen, ob Unterschiede in der Anzahl von Abweichern zwischen Wachstumsperioden durch Umweltursachen oder Unterschiede in der Art der Probennahme bedingt sind. </w:t>
      </w:r>
    </w:p>
    <w:p w:rsidR="00EA44BD" w:rsidRPr="00B05705" w:rsidRDefault="00EA44BD" w:rsidP="00EA44BD">
      <w:pPr>
        <w:ind w:left="567"/>
        <w:rPr>
          <w:noProof/>
          <w:sz w:val="18"/>
          <w:szCs w:val="18"/>
          <w:lang w:val="de-DE"/>
        </w:rPr>
      </w:pPr>
    </w:p>
    <w:p w:rsidR="00EA44BD" w:rsidRPr="00B05705" w:rsidRDefault="00EA44BD" w:rsidP="00EA44BD">
      <w:pPr>
        <w:ind w:left="567"/>
        <w:rPr>
          <w:rFonts w:eastAsia="SimSun"/>
          <w:noProof/>
          <w:sz w:val="18"/>
          <w:szCs w:val="18"/>
          <w:lang w:val="de-DE" w:eastAsia="zh-CN"/>
        </w:rPr>
      </w:pPr>
      <w:r w:rsidRPr="00B05705">
        <w:rPr>
          <w:rFonts w:eastAsia="SimSun"/>
          <w:noProof/>
          <w:sz w:val="18"/>
          <w:szCs w:val="18"/>
          <w:lang w:val="de-DE" w:eastAsia="zh-CN"/>
        </w:rPr>
        <w:t>Zudem kann eine Sorte, falls sie in der ersten Wachstumsperiode einen festgelegten oberen Grenzwert für Abweicher übersteigt, nach einer Wachstumsperiode zurückgewiesen werden.</w:t>
      </w:r>
    </w:p>
    <w:p w:rsidR="00EA44BD" w:rsidRPr="00B05705" w:rsidRDefault="00EA44BD" w:rsidP="00EA44BD">
      <w:pPr>
        <w:ind w:left="567"/>
        <w:rPr>
          <w:rFonts w:eastAsia="SimSun"/>
          <w:noProof/>
          <w:sz w:val="18"/>
          <w:szCs w:val="18"/>
          <w:lang w:val="de-DE" w:eastAsia="zh-CN"/>
        </w:rPr>
      </w:pPr>
    </w:p>
    <w:p w:rsidR="00EA44BD" w:rsidRPr="00B05705" w:rsidRDefault="00EA44BD" w:rsidP="00EA44BD">
      <w:pPr>
        <w:keepNext/>
        <w:ind w:left="567" w:firstLine="567"/>
        <w:rPr>
          <w:bCs/>
          <w:i/>
          <w:noProof/>
          <w:sz w:val="18"/>
          <w:szCs w:val="18"/>
          <w:lang w:val="de-DE"/>
        </w:rPr>
      </w:pPr>
      <w:r w:rsidRPr="00B05705">
        <w:rPr>
          <w:bCs/>
          <w:i/>
          <w:noProof/>
          <w:sz w:val="18"/>
          <w:szCs w:val="18"/>
          <w:lang w:val="de-DE"/>
        </w:rPr>
        <w:t xml:space="preserve">Ansatz 3: Kombination der Ergebnisse von zwei Wachstumsperioden </w:t>
      </w:r>
    </w:p>
    <w:p w:rsidR="00EA44BD" w:rsidRPr="00B05705" w:rsidRDefault="00EA44BD" w:rsidP="00EA44BD">
      <w:pPr>
        <w:keepNext/>
        <w:ind w:left="567"/>
        <w:rPr>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t>Eine Sorte wird als homogen angesehen, wenn die Gesamtanzahl der Abweicher am Ende der beiden Wachstumsperioden die Anzahl der erlaubten Abweicher der kombinierten Probe nicht übersteigt.</w:t>
      </w: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t>Eine Sorte wird als nicht homogen angesehen, wenn die Gesamtanzahl der Abweicher am Ende der beiden Wachstumsperioden die Anzahl der erlaubten Abweicher der kombinierten Probe übersteigt.</w:t>
      </w: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t>Eine Sorte kann nach einer einzigen Wachstumsperiode zurückgewiesen werden, wenn die Anzahl der Abweicher die Anzahl der erlaubten Abweicher für die kombinierte Probe (über zwei Wachstumsperioden) übersteigt .</w:t>
      </w:r>
    </w:p>
    <w:p w:rsidR="00EA44BD" w:rsidRPr="00B05705" w:rsidRDefault="00EA44BD" w:rsidP="00EA44BD">
      <w:pPr>
        <w:ind w:left="567"/>
        <w:rPr>
          <w:noProof/>
          <w:sz w:val="18"/>
          <w:szCs w:val="18"/>
          <w:lang w:val="de-DE"/>
        </w:rPr>
      </w:pPr>
    </w:p>
    <w:p w:rsidR="00EA44BD" w:rsidRPr="00B05705" w:rsidRDefault="00EA44BD" w:rsidP="00EA44BD">
      <w:pPr>
        <w:spacing w:after="120"/>
        <w:ind w:left="567"/>
        <w:rPr>
          <w:i/>
          <w:noProof/>
          <w:lang w:val="de-DE"/>
        </w:rPr>
      </w:pPr>
      <w:r w:rsidRPr="00B05705">
        <w:rPr>
          <w:rFonts w:eastAsia="SimSun"/>
          <w:noProof/>
          <w:sz w:val="18"/>
          <w:szCs w:val="18"/>
          <w:lang w:val="de-DE" w:eastAsia="zh-CN"/>
        </w:rPr>
        <w:t>Bei der Bewertung von Ergebnissen, die zwischen den Wachstumsperioden sehr unterschiedlich sind, muss mit größter Sorgfalt verfahren werden, etwa wenn ein Abweichertyp in einer Wachstumsperiode sehr häufig und in einer anderen überhaupt nicht vorkommt. Gegebenenfalls sollte eine statistische Prüfung auf Konsistenz durchgeführt werden. Es ist wichtig, zu erkennen, ob Unterschiede in der Anzahl von Abweichern zwischen Wachstumsperioden durch Umweltursachen oder Unterschiede in der Art der Probennahme bedingt sind.</w:t>
      </w:r>
      <w:r w:rsidRPr="00B05705">
        <w:rPr>
          <w:noProof/>
          <w:u w:val="single"/>
          <w:lang w:val="de-DE"/>
        </w:rPr>
        <w:t xml:space="preserve"> </w:t>
      </w:r>
    </w:p>
    <w:p w:rsidR="00EA44BD" w:rsidRPr="00B05705" w:rsidRDefault="00EA44BD" w:rsidP="00EA44BD">
      <w:pPr>
        <w:keepNext/>
        <w:keepLines/>
        <w:jc w:val="left"/>
        <w:rPr>
          <w:noProof/>
          <w:sz w:val="22"/>
          <w:szCs w:val="24"/>
          <w:lang w:val="de-DE"/>
        </w:rPr>
      </w:pPr>
    </w:p>
    <w:p w:rsidR="00EA44BD" w:rsidRPr="00B05705" w:rsidRDefault="00EA44BD" w:rsidP="00EA44BD">
      <w:pPr>
        <w:keepNext/>
        <w:keepLines/>
        <w:ind w:left="567" w:right="567" w:firstLine="567"/>
        <w:jc w:val="left"/>
        <w:rPr>
          <w:i/>
          <w:noProof/>
          <w:sz w:val="18"/>
          <w:szCs w:val="24"/>
          <w:lang w:val="de-DE"/>
        </w:rPr>
      </w:pPr>
      <w:r w:rsidRPr="00B05705">
        <w:rPr>
          <w:i/>
          <w:noProof/>
          <w:szCs w:val="24"/>
          <w:lang w:val="de-DE"/>
        </w:rPr>
        <w:t>Beispiel</w:t>
      </w:r>
      <w:r w:rsidRPr="00B05705">
        <w:rPr>
          <w:i/>
          <w:noProof/>
          <w:sz w:val="18"/>
          <w:szCs w:val="24"/>
          <w:lang w:val="de-DE"/>
        </w:rPr>
        <w:t>:</w:t>
      </w:r>
    </w:p>
    <w:p w:rsidR="00EA44BD" w:rsidRPr="00B05705" w:rsidRDefault="00EA44BD" w:rsidP="00EA44BD">
      <w:pPr>
        <w:keepNext/>
        <w:keepLines/>
        <w:jc w:val="left"/>
        <w:rPr>
          <w:noProof/>
          <w:szCs w:val="24"/>
          <w:lang w:val="de-DE"/>
        </w:rPr>
      </w:pPr>
    </w:p>
    <w:tbl>
      <w:tblPr>
        <w:tblW w:w="8366" w:type="dxa"/>
        <w:tblInd w:w="709" w:type="dxa"/>
        <w:tblLayout w:type="fixed"/>
        <w:tblLook w:val="04A0" w:firstRow="1" w:lastRow="0" w:firstColumn="1" w:lastColumn="0" w:noHBand="0" w:noVBand="1"/>
      </w:tblPr>
      <w:tblGrid>
        <w:gridCol w:w="567"/>
        <w:gridCol w:w="236"/>
        <w:gridCol w:w="756"/>
        <w:gridCol w:w="993"/>
        <w:gridCol w:w="35"/>
        <w:gridCol w:w="977"/>
        <w:gridCol w:w="1050"/>
        <w:gridCol w:w="2190"/>
        <w:gridCol w:w="1562"/>
      </w:tblGrid>
      <w:tr w:rsidR="00EA44BD" w:rsidRPr="00B05705" w:rsidTr="00DC4ECD">
        <w:trPr>
          <w:gridAfter w:val="1"/>
          <w:wAfter w:w="1562" w:type="dxa"/>
          <w:trHeight w:val="255"/>
        </w:trPr>
        <w:tc>
          <w:tcPr>
            <w:tcW w:w="567" w:type="dxa"/>
            <w:tcBorders>
              <w:top w:val="nil"/>
              <w:left w:val="nil"/>
              <w:bottom w:val="nil"/>
            </w:tcBorders>
            <w:shd w:val="clear" w:color="auto" w:fill="auto"/>
            <w:noWrap/>
            <w:vAlign w:val="bottom"/>
          </w:tcPr>
          <w:p w:rsidR="00EA44BD" w:rsidRPr="00B05705" w:rsidRDefault="00EA44BD" w:rsidP="00DC4ECD">
            <w:pPr>
              <w:jc w:val="left"/>
              <w:rPr>
                <w:rFonts w:cs="Arial"/>
                <w:noProof/>
                <w:sz w:val="18"/>
                <w:szCs w:val="18"/>
                <w:lang w:val="de-DE"/>
              </w:rPr>
            </w:pPr>
          </w:p>
        </w:tc>
        <w:tc>
          <w:tcPr>
            <w:tcW w:w="6237" w:type="dxa"/>
            <w:gridSpan w:val="7"/>
            <w:tcBorders>
              <w:top w:val="nil"/>
            </w:tcBorders>
            <w:shd w:val="clear" w:color="auto" w:fill="auto"/>
            <w:vAlign w:val="bottom"/>
          </w:tcPr>
          <w:p w:rsidR="00EA44BD" w:rsidRPr="00B05705" w:rsidRDefault="00EA44BD" w:rsidP="00DC4ECD">
            <w:pPr>
              <w:jc w:val="left"/>
              <w:rPr>
                <w:rFonts w:cs="Arial"/>
                <w:noProof/>
                <w:sz w:val="18"/>
                <w:szCs w:val="18"/>
                <w:lang w:val="de-DE"/>
              </w:rPr>
            </w:pPr>
            <w:r w:rsidRPr="00B05705">
              <w:rPr>
                <w:rFonts w:cs="Arial"/>
                <w:noProof/>
                <w:sz w:val="18"/>
                <w:szCs w:val="18"/>
                <w:lang w:val="de-DE"/>
              </w:rPr>
              <w:t xml:space="preserve">Populationsstandard = 1% </w:t>
            </w:r>
          </w:p>
        </w:tc>
      </w:tr>
      <w:tr w:rsidR="00EA44BD" w:rsidRPr="00B05705" w:rsidTr="00DC4ECD">
        <w:trPr>
          <w:gridAfter w:val="1"/>
          <w:wAfter w:w="1562" w:type="dxa"/>
          <w:trHeight w:val="270"/>
        </w:trPr>
        <w:tc>
          <w:tcPr>
            <w:tcW w:w="567" w:type="dxa"/>
            <w:tcBorders>
              <w:top w:val="nil"/>
              <w:left w:val="nil"/>
              <w:bottom w:val="nil"/>
            </w:tcBorders>
            <w:shd w:val="clear" w:color="auto" w:fill="auto"/>
            <w:noWrap/>
            <w:vAlign w:val="bottom"/>
            <w:hideMark/>
          </w:tcPr>
          <w:p w:rsidR="00EA44BD" w:rsidRPr="00B05705" w:rsidRDefault="00EA44BD" w:rsidP="00DC4ECD">
            <w:pPr>
              <w:jc w:val="left"/>
              <w:rPr>
                <w:rFonts w:cs="Arial"/>
                <w:noProof/>
                <w:sz w:val="18"/>
                <w:szCs w:val="18"/>
                <w:lang w:val="de-DE"/>
              </w:rPr>
            </w:pPr>
          </w:p>
        </w:tc>
        <w:tc>
          <w:tcPr>
            <w:tcW w:w="6237" w:type="dxa"/>
            <w:gridSpan w:val="7"/>
            <w:tcBorders>
              <w:top w:val="nil"/>
              <w:bottom w:val="single" w:sz="4" w:space="0" w:color="auto"/>
            </w:tcBorders>
            <w:shd w:val="clear" w:color="auto" w:fill="auto"/>
            <w:vAlign w:val="bottom"/>
          </w:tcPr>
          <w:p w:rsidR="00EA44BD" w:rsidRPr="00B05705" w:rsidRDefault="00EA44BD" w:rsidP="00DC4ECD">
            <w:pPr>
              <w:jc w:val="left"/>
              <w:rPr>
                <w:rFonts w:cs="Arial"/>
                <w:noProof/>
                <w:sz w:val="18"/>
                <w:szCs w:val="18"/>
                <w:lang w:val="de-DE"/>
              </w:rPr>
            </w:pPr>
            <w:r w:rsidRPr="00B05705">
              <w:rPr>
                <w:rFonts w:cs="Arial"/>
                <w:noProof/>
                <w:sz w:val="18"/>
                <w:szCs w:val="18"/>
                <w:lang w:val="de-DE"/>
              </w:rPr>
              <w:t>Akzeptanzwahrscheinlichkeit ≥ 95%</w:t>
            </w:r>
          </w:p>
        </w:tc>
      </w:tr>
      <w:tr w:rsidR="00EA44BD" w:rsidRPr="000C0C41" w:rsidTr="00DC4ECD">
        <w:trPr>
          <w:gridBefore w:val="1"/>
          <w:gridAfter w:val="1"/>
          <w:wBefore w:w="567" w:type="dxa"/>
          <w:wAfter w:w="1562" w:type="dxa"/>
          <w:trHeight w:val="255"/>
        </w:trPr>
        <w:tc>
          <w:tcPr>
            <w:tcW w:w="6237" w:type="dxa"/>
            <w:gridSpan w:val="7"/>
            <w:tcBorders>
              <w:top w:val="single" w:sz="4" w:space="0" w:color="auto"/>
              <w:left w:val="single" w:sz="4" w:space="0" w:color="auto"/>
              <w:bottom w:val="single" w:sz="6" w:space="0" w:color="auto"/>
              <w:right w:val="single" w:sz="4" w:space="0" w:color="auto"/>
            </w:tcBorders>
            <w:shd w:val="clear" w:color="auto" w:fill="auto"/>
            <w:vAlign w:val="bottom"/>
          </w:tcPr>
          <w:p w:rsidR="00EA44BD" w:rsidRPr="00B05705" w:rsidRDefault="00EA44BD" w:rsidP="00DC4ECD">
            <w:pPr>
              <w:jc w:val="left"/>
              <w:rPr>
                <w:rFonts w:cs="Arial"/>
                <w:noProof/>
                <w:sz w:val="18"/>
                <w:szCs w:val="18"/>
                <w:lang w:val="de-DE"/>
              </w:rPr>
            </w:pPr>
            <w:r w:rsidRPr="00B05705">
              <w:rPr>
                <w:rFonts w:cs="Arial"/>
                <w:noProof/>
                <w:sz w:val="18"/>
                <w:szCs w:val="18"/>
                <w:lang w:val="de-DE"/>
              </w:rPr>
              <w:t>Probengröße in jeder der Wachstumsperioden 1 und 2 = 50</w:t>
            </w:r>
          </w:p>
        </w:tc>
      </w:tr>
      <w:tr w:rsidR="00EA44BD" w:rsidRPr="00B05705" w:rsidTr="00DC4ECD">
        <w:trPr>
          <w:gridBefore w:val="1"/>
          <w:gridAfter w:val="1"/>
          <w:wBefore w:w="567" w:type="dxa"/>
          <w:wAfter w:w="1562" w:type="dxa"/>
          <w:trHeight w:val="270"/>
        </w:trPr>
        <w:tc>
          <w:tcPr>
            <w:tcW w:w="6237" w:type="dxa"/>
            <w:gridSpan w:val="7"/>
            <w:tcBorders>
              <w:top w:val="single" w:sz="6" w:space="0" w:color="auto"/>
              <w:left w:val="single" w:sz="4" w:space="0" w:color="auto"/>
              <w:bottom w:val="single" w:sz="4" w:space="0" w:color="auto"/>
              <w:right w:val="single" w:sz="4" w:space="0" w:color="auto"/>
            </w:tcBorders>
            <w:shd w:val="clear" w:color="auto" w:fill="auto"/>
            <w:vAlign w:val="bottom"/>
          </w:tcPr>
          <w:p w:rsidR="00EA44BD" w:rsidRPr="00B05705" w:rsidRDefault="00EA44BD" w:rsidP="00DC4ECD">
            <w:pPr>
              <w:jc w:val="left"/>
              <w:rPr>
                <w:rFonts w:cs="Arial"/>
                <w:noProof/>
                <w:sz w:val="18"/>
                <w:szCs w:val="18"/>
                <w:lang w:val="de-DE"/>
              </w:rPr>
            </w:pPr>
            <w:r w:rsidRPr="00B05705">
              <w:rPr>
                <w:rFonts w:cs="Arial"/>
                <w:noProof/>
                <w:sz w:val="18"/>
                <w:szCs w:val="18"/>
                <w:lang w:val="de-DE"/>
              </w:rPr>
              <w:t>Höchstzahl an Abweichern = 2</w:t>
            </w:r>
          </w:p>
        </w:tc>
      </w:tr>
      <w:tr w:rsidR="00EA44BD" w:rsidRPr="000C0C41" w:rsidTr="00DC4ECD">
        <w:trPr>
          <w:gridBefore w:val="1"/>
          <w:gridAfter w:val="1"/>
          <w:wBefore w:w="567" w:type="dxa"/>
          <w:wAfter w:w="1562" w:type="dxa"/>
          <w:trHeight w:val="270"/>
        </w:trPr>
        <w:tc>
          <w:tcPr>
            <w:tcW w:w="6237" w:type="dxa"/>
            <w:gridSpan w:val="7"/>
            <w:tcBorders>
              <w:top w:val="single" w:sz="4" w:space="0" w:color="auto"/>
              <w:left w:val="single" w:sz="4" w:space="0" w:color="auto"/>
              <w:bottom w:val="nil"/>
              <w:right w:val="single" w:sz="4" w:space="0" w:color="auto"/>
            </w:tcBorders>
            <w:shd w:val="clear" w:color="auto" w:fill="auto"/>
            <w:vAlign w:val="bottom"/>
          </w:tcPr>
          <w:p w:rsidR="00EA44BD" w:rsidRPr="00B05705" w:rsidRDefault="00EA44BD" w:rsidP="00DC4ECD">
            <w:pPr>
              <w:jc w:val="left"/>
              <w:rPr>
                <w:rFonts w:cs="Arial"/>
                <w:noProof/>
                <w:sz w:val="18"/>
                <w:szCs w:val="18"/>
                <w:lang w:val="de-DE"/>
              </w:rPr>
            </w:pPr>
            <w:r w:rsidRPr="00B05705">
              <w:rPr>
                <w:rFonts w:cs="Arial"/>
                <w:noProof/>
                <w:sz w:val="18"/>
                <w:szCs w:val="18"/>
                <w:lang w:val="de-DE"/>
              </w:rPr>
              <w:t>Probengröße in den Wachstumsperioden 1 und 2 kombiniert = 100</w:t>
            </w:r>
          </w:p>
        </w:tc>
      </w:tr>
      <w:tr w:rsidR="00EA44BD" w:rsidRPr="00B05705" w:rsidTr="00DC4ECD">
        <w:trPr>
          <w:gridBefore w:val="1"/>
          <w:gridAfter w:val="1"/>
          <w:wBefore w:w="567" w:type="dxa"/>
          <w:wAfter w:w="1562" w:type="dxa"/>
          <w:trHeight w:val="270"/>
        </w:trPr>
        <w:tc>
          <w:tcPr>
            <w:tcW w:w="6237" w:type="dxa"/>
            <w:gridSpan w:val="7"/>
            <w:tcBorders>
              <w:top w:val="nil"/>
              <w:left w:val="single" w:sz="4" w:space="0" w:color="auto"/>
              <w:bottom w:val="single" w:sz="4" w:space="0" w:color="auto"/>
              <w:right w:val="single" w:sz="4" w:space="0" w:color="auto"/>
            </w:tcBorders>
            <w:shd w:val="clear" w:color="auto" w:fill="auto"/>
            <w:vAlign w:val="bottom"/>
          </w:tcPr>
          <w:p w:rsidR="00EA44BD" w:rsidRPr="00B05705" w:rsidRDefault="00EA44BD" w:rsidP="00DC4ECD">
            <w:pPr>
              <w:jc w:val="left"/>
              <w:rPr>
                <w:rFonts w:cs="Arial"/>
                <w:noProof/>
                <w:sz w:val="18"/>
                <w:szCs w:val="18"/>
                <w:lang w:val="de-DE"/>
              </w:rPr>
            </w:pPr>
            <w:r w:rsidRPr="00B05705">
              <w:rPr>
                <w:rFonts w:cs="Arial"/>
                <w:noProof/>
                <w:sz w:val="18"/>
                <w:szCs w:val="18"/>
                <w:lang w:val="de-DE"/>
              </w:rPr>
              <w:t>Höchstzahl an Abweichern = 3</w:t>
            </w:r>
          </w:p>
        </w:tc>
      </w:tr>
      <w:tr w:rsidR="00EA44BD" w:rsidRPr="00B05705" w:rsidTr="00DC4ECD">
        <w:trPr>
          <w:gridBefore w:val="1"/>
          <w:gridAfter w:val="1"/>
          <w:wBefore w:w="567" w:type="dxa"/>
          <w:wAfter w:w="1562" w:type="dxa"/>
          <w:trHeight w:val="239"/>
        </w:trPr>
        <w:tc>
          <w:tcPr>
            <w:tcW w:w="236" w:type="dxa"/>
            <w:tcBorders>
              <w:top w:val="nil"/>
              <w:left w:val="nil"/>
              <w:bottom w:val="single" w:sz="4" w:space="0" w:color="auto"/>
              <w:right w:val="nil"/>
            </w:tcBorders>
            <w:shd w:val="clear" w:color="auto" w:fill="auto"/>
            <w:noWrap/>
            <w:vAlign w:val="bottom"/>
            <w:hideMark/>
          </w:tcPr>
          <w:p w:rsidR="00EA44BD" w:rsidRPr="00B05705" w:rsidRDefault="00EA44BD" w:rsidP="00DC4ECD">
            <w:pPr>
              <w:jc w:val="left"/>
              <w:rPr>
                <w:rFonts w:cs="Arial"/>
                <w:noProof/>
                <w:sz w:val="18"/>
                <w:szCs w:val="18"/>
                <w:lang w:val="de-DE"/>
              </w:rPr>
            </w:pPr>
            <w:r w:rsidRPr="00B05705">
              <w:rPr>
                <w:rFonts w:cs="Arial"/>
                <w:noProof/>
                <w:sz w:val="18"/>
                <w:szCs w:val="18"/>
                <w:lang w:val="de-DE"/>
              </w:rPr>
              <w:t> </w:t>
            </w:r>
          </w:p>
        </w:tc>
        <w:tc>
          <w:tcPr>
            <w:tcW w:w="1784" w:type="dxa"/>
            <w:gridSpan w:val="3"/>
            <w:tcBorders>
              <w:top w:val="nil"/>
              <w:left w:val="nil"/>
              <w:bottom w:val="single" w:sz="4" w:space="0" w:color="auto"/>
              <w:right w:val="nil"/>
            </w:tcBorders>
            <w:shd w:val="clear" w:color="auto" w:fill="auto"/>
            <w:noWrap/>
            <w:vAlign w:val="bottom"/>
            <w:hideMark/>
          </w:tcPr>
          <w:p w:rsidR="00EA44BD" w:rsidRPr="00B05705" w:rsidRDefault="00EA44BD" w:rsidP="00DC4ECD">
            <w:pPr>
              <w:jc w:val="left"/>
              <w:rPr>
                <w:rFonts w:cs="Arial"/>
                <w:noProof/>
                <w:sz w:val="18"/>
                <w:szCs w:val="18"/>
                <w:lang w:val="de-DE"/>
              </w:rPr>
            </w:pPr>
            <w:r w:rsidRPr="00B05705">
              <w:rPr>
                <w:rFonts w:cs="Arial"/>
                <w:noProof/>
                <w:sz w:val="18"/>
                <w:szCs w:val="18"/>
                <w:lang w:val="de-DE"/>
              </w:rPr>
              <w:t> </w:t>
            </w:r>
          </w:p>
        </w:tc>
        <w:tc>
          <w:tcPr>
            <w:tcW w:w="977" w:type="dxa"/>
            <w:tcBorders>
              <w:top w:val="nil"/>
              <w:left w:val="nil"/>
              <w:bottom w:val="single" w:sz="4" w:space="0" w:color="auto"/>
              <w:right w:val="nil"/>
            </w:tcBorders>
            <w:shd w:val="clear" w:color="auto" w:fill="auto"/>
            <w:noWrap/>
            <w:vAlign w:val="bottom"/>
            <w:hideMark/>
          </w:tcPr>
          <w:p w:rsidR="00EA44BD" w:rsidRPr="00B05705" w:rsidRDefault="00EA44BD" w:rsidP="00DC4ECD">
            <w:pPr>
              <w:jc w:val="left"/>
              <w:rPr>
                <w:rFonts w:cs="Arial"/>
                <w:noProof/>
                <w:sz w:val="18"/>
                <w:szCs w:val="18"/>
                <w:lang w:val="de-DE"/>
              </w:rPr>
            </w:pPr>
            <w:r w:rsidRPr="00B05705">
              <w:rPr>
                <w:rFonts w:cs="Arial"/>
                <w:noProof/>
                <w:sz w:val="18"/>
                <w:szCs w:val="18"/>
                <w:lang w:val="de-DE"/>
              </w:rPr>
              <w:t> </w:t>
            </w:r>
          </w:p>
        </w:tc>
        <w:tc>
          <w:tcPr>
            <w:tcW w:w="3240" w:type="dxa"/>
            <w:gridSpan w:val="2"/>
            <w:tcBorders>
              <w:top w:val="nil"/>
              <w:left w:val="nil"/>
              <w:bottom w:val="single" w:sz="4" w:space="0" w:color="auto"/>
            </w:tcBorders>
            <w:shd w:val="clear" w:color="auto" w:fill="auto"/>
            <w:noWrap/>
            <w:vAlign w:val="bottom"/>
            <w:hideMark/>
          </w:tcPr>
          <w:p w:rsidR="00EA44BD" w:rsidRPr="00B05705" w:rsidRDefault="00EA44BD" w:rsidP="00DC4ECD">
            <w:pPr>
              <w:jc w:val="left"/>
              <w:rPr>
                <w:rFonts w:cs="Arial"/>
                <w:noProof/>
                <w:sz w:val="18"/>
                <w:szCs w:val="18"/>
                <w:lang w:val="de-DE"/>
              </w:rPr>
            </w:pPr>
            <w:r w:rsidRPr="00B05705">
              <w:rPr>
                <w:rFonts w:cs="Arial"/>
                <w:noProof/>
                <w:sz w:val="18"/>
                <w:szCs w:val="18"/>
                <w:lang w:val="de-DE"/>
              </w:rPr>
              <w:t> </w:t>
            </w:r>
          </w:p>
        </w:tc>
      </w:tr>
      <w:tr w:rsidR="00EA44BD" w:rsidRPr="00B05705" w:rsidTr="00DC4ECD">
        <w:trPr>
          <w:trHeight w:val="380"/>
        </w:trPr>
        <w:tc>
          <w:tcPr>
            <w:tcW w:w="567" w:type="dxa"/>
            <w:tcBorders>
              <w:top w:val="nil"/>
              <w:left w:val="nil"/>
              <w:bottom w:val="nil"/>
              <w:right w:val="single" w:sz="4" w:space="0" w:color="auto"/>
            </w:tcBorders>
            <w:shd w:val="clear" w:color="auto" w:fill="auto"/>
            <w:noWrap/>
            <w:vAlign w:val="bottom"/>
            <w:hideMark/>
          </w:tcPr>
          <w:p w:rsidR="00EA44BD" w:rsidRPr="00B05705" w:rsidRDefault="00EA44BD" w:rsidP="00DC4ECD">
            <w:pPr>
              <w:jc w:val="left"/>
              <w:rPr>
                <w:rFonts w:cs="Arial"/>
                <w:noProof/>
                <w:sz w:val="18"/>
                <w:szCs w:val="18"/>
                <w:lang w:val="de-DE"/>
              </w:rPr>
            </w:pPr>
            <w:r w:rsidRPr="00B05705">
              <w:rPr>
                <w:rFonts w:cs="Arial"/>
                <w:noProof/>
                <w:sz w:val="18"/>
                <w:szCs w:val="18"/>
                <w:lang w:val="de-DE"/>
              </w:rPr>
              <w:t> </w:t>
            </w:r>
          </w:p>
        </w:tc>
        <w:tc>
          <w:tcPr>
            <w:tcW w:w="1985" w:type="dxa"/>
            <w:gridSpan w:val="3"/>
            <w:tcBorders>
              <w:top w:val="nil"/>
              <w:left w:val="nil"/>
              <w:bottom w:val="single" w:sz="4" w:space="0" w:color="auto"/>
              <w:right w:val="single" w:sz="4" w:space="0" w:color="000000"/>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Wachstumsperiode</w:t>
            </w:r>
          </w:p>
        </w:tc>
        <w:tc>
          <w:tcPr>
            <w:tcW w:w="5814" w:type="dxa"/>
            <w:gridSpan w:val="5"/>
            <w:tcBorders>
              <w:top w:val="single" w:sz="4" w:space="0" w:color="auto"/>
              <w:left w:val="nil"/>
              <w:bottom w:val="single" w:sz="4" w:space="0" w:color="auto"/>
              <w:right w:val="single" w:sz="4" w:space="0" w:color="auto"/>
            </w:tcBorders>
            <w:shd w:val="clear" w:color="auto" w:fill="auto"/>
            <w:noWrap/>
            <w:vAlign w:val="center"/>
            <w:hideMark/>
          </w:tcPr>
          <w:p w:rsidR="00EA44BD" w:rsidRPr="00B05705" w:rsidRDefault="00EA44BD" w:rsidP="00DC4ECD">
            <w:pPr>
              <w:jc w:val="center"/>
              <w:rPr>
                <w:noProof/>
                <w:sz w:val="18"/>
                <w:szCs w:val="18"/>
                <w:lang w:val="de-DE"/>
              </w:rPr>
            </w:pPr>
            <w:r w:rsidRPr="00B05705">
              <w:rPr>
                <w:noProof/>
                <w:sz w:val="18"/>
                <w:szCs w:val="18"/>
                <w:lang w:val="de-DE"/>
              </w:rPr>
              <w:t>Entscheidung</w:t>
            </w:r>
          </w:p>
        </w:tc>
      </w:tr>
      <w:tr w:rsidR="00EA44BD" w:rsidRPr="00B05705" w:rsidTr="00DC4ECD">
        <w:trPr>
          <w:trHeight w:val="236"/>
        </w:trPr>
        <w:tc>
          <w:tcPr>
            <w:tcW w:w="567" w:type="dxa"/>
            <w:tcBorders>
              <w:top w:val="nil"/>
              <w:left w:val="nil"/>
              <w:bottom w:val="single" w:sz="4" w:space="0" w:color="auto"/>
              <w:right w:val="single" w:sz="4" w:space="0" w:color="auto"/>
            </w:tcBorders>
            <w:shd w:val="clear" w:color="auto" w:fill="auto"/>
            <w:noWrap/>
            <w:vAlign w:val="bottom"/>
            <w:hideMark/>
          </w:tcPr>
          <w:p w:rsidR="00EA44BD" w:rsidRPr="00B05705" w:rsidRDefault="00EA44BD" w:rsidP="00DC4ECD">
            <w:pPr>
              <w:jc w:val="left"/>
              <w:rPr>
                <w:rFonts w:cs="Arial"/>
                <w:noProof/>
                <w:sz w:val="18"/>
                <w:szCs w:val="18"/>
                <w:lang w:val="de-DE"/>
              </w:rPr>
            </w:pPr>
            <w:r w:rsidRPr="00B05705">
              <w:rPr>
                <w:rFonts w:cs="Arial"/>
                <w:noProof/>
                <w:sz w:val="18"/>
                <w:szCs w:val="18"/>
                <w:lang w:val="de-DE"/>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EA44BD" w:rsidRPr="00B05705" w:rsidRDefault="00EA44BD" w:rsidP="00DC4ECD">
            <w:pPr>
              <w:spacing w:after="100" w:afterAutospacing="1"/>
              <w:jc w:val="center"/>
              <w:rPr>
                <w:rFonts w:cs="Arial"/>
                <w:noProof/>
                <w:sz w:val="18"/>
                <w:szCs w:val="18"/>
                <w:lang w:val="de-DE"/>
              </w:rPr>
            </w:pPr>
            <w:r w:rsidRPr="00B05705">
              <w:rPr>
                <w:rFonts w:cs="Arial"/>
                <w:noProof/>
                <w:sz w:val="18"/>
                <w:szCs w:val="18"/>
                <w:lang w:val="de-DE"/>
              </w:rPr>
              <w:t>Erste</w:t>
            </w:r>
          </w:p>
        </w:tc>
        <w:tc>
          <w:tcPr>
            <w:tcW w:w="993" w:type="dxa"/>
            <w:tcBorders>
              <w:top w:val="nil"/>
              <w:left w:val="nil"/>
              <w:bottom w:val="single" w:sz="4" w:space="0" w:color="auto"/>
              <w:right w:val="single" w:sz="4"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Zweite</w:t>
            </w:r>
          </w:p>
        </w:tc>
        <w:tc>
          <w:tcPr>
            <w:tcW w:w="2062" w:type="dxa"/>
            <w:gridSpan w:val="3"/>
            <w:tcBorders>
              <w:top w:val="nil"/>
              <w:left w:val="nil"/>
              <w:bottom w:val="single" w:sz="4" w:space="0" w:color="auto"/>
              <w:right w:val="single" w:sz="4"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Ansatz 1</w:t>
            </w:r>
          </w:p>
        </w:tc>
        <w:tc>
          <w:tcPr>
            <w:tcW w:w="2190" w:type="dxa"/>
            <w:tcBorders>
              <w:top w:val="nil"/>
              <w:left w:val="nil"/>
              <w:bottom w:val="single" w:sz="4" w:space="0" w:color="auto"/>
              <w:right w:val="single" w:sz="4"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Ansatz 2</w:t>
            </w:r>
          </w:p>
        </w:tc>
        <w:tc>
          <w:tcPr>
            <w:tcW w:w="1559" w:type="dxa"/>
            <w:tcBorders>
              <w:top w:val="single" w:sz="4" w:space="0" w:color="auto"/>
              <w:bottom w:val="single" w:sz="4" w:space="0" w:color="auto"/>
              <w:right w:val="single" w:sz="4" w:space="0" w:color="auto"/>
            </w:tcBorders>
            <w:shd w:val="clear" w:color="auto" w:fill="auto"/>
            <w:vAlign w:val="center"/>
          </w:tcPr>
          <w:p w:rsidR="00EA44BD" w:rsidRPr="00B05705" w:rsidRDefault="00EA44BD" w:rsidP="00DC4ECD">
            <w:pPr>
              <w:jc w:val="center"/>
              <w:rPr>
                <w:noProof/>
                <w:sz w:val="18"/>
                <w:szCs w:val="18"/>
                <w:lang w:val="de-DE"/>
              </w:rPr>
            </w:pPr>
            <w:r w:rsidRPr="00B05705">
              <w:rPr>
                <w:noProof/>
                <w:sz w:val="18"/>
                <w:szCs w:val="18"/>
                <w:lang w:val="de-DE"/>
              </w:rPr>
              <w:t>Ansatz 3</w:t>
            </w:r>
          </w:p>
        </w:tc>
      </w:tr>
      <w:tr w:rsidR="00EA44BD" w:rsidRPr="00B05705" w:rsidTr="00DC4ECD">
        <w:trPr>
          <w:trHeight w:val="240"/>
        </w:trPr>
        <w:tc>
          <w:tcPr>
            <w:tcW w:w="567" w:type="dxa"/>
            <w:vMerge w:val="restart"/>
            <w:tcBorders>
              <w:top w:val="nil"/>
              <w:left w:val="single" w:sz="4" w:space="0" w:color="auto"/>
              <w:right w:val="single" w:sz="4" w:space="0" w:color="auto"/>
            </w:tcBorders>
            <w:shd w:val="clear" w:color="auto" w:fill="auto"/>
            <w:textDirection w:val="btLr"/>
            <w:vAlign w:val="center"/>
          </w:tcPr>
          <w:p w:rsidR="00EA44BD" w:rsidRPr="00B05705" w:rsidRDefault="00EA44BD" w:rsidP="00DC4ECD">
            <w:pPr>
              <w:jc w:val="center"/>
              <w:rPr>
                <w:rFonts w:cs="Arial"/>
                <w:noProof/>
                <w:sz w:val="18"/>
                <w:szCs w:val="18"/>
                <w:lang w:val="de-DE"/>
              </w:rPr>
            </w:pPr>
            <w:r w:rsidRPr="00B05705">
              <w:rPr>
                <w:rFonts w:cs="Arial"/>
                <w:noProof/>
                <w:sz w:val="18"/>
                <w:szCs w:val="18"/>
                <w:lang w:val="de-DE"/>
              </w:rPr>
              <w:t>Anzahl der Abweicher</w:t>
            </w:r>
          </w:p>
        </w:tc>
        <w:tc>
          <w:tcPr>
            <w:tcW w:w="992" w:type="dxa"/>
            <w:gridSpan w:val="2"/>
            <w:tcBorders>
              <w:top w:val="single" w:sz="4" w:space="0" w:color="auto"/>
              <w:left w:val="single" w:sz="4" w:space="0" w:color="auto"/>
              <w:bottom w:val="single" w:sz="6" w:space="0" w:color="auto"/>
              <w:right w:val="single" w:sz="6" w:space="0" w:color="auto"/>
            </w:tcBorders>
            <w:shd w:val="clear" w:color="auto" w:fill="auto"/>
            <w:noWrap/>
            <w:vAlign w:val="center"/>
          </w:tcPr>
          <w:p w:rsidR="00EA44BD" w:rsidRPr="00B05705" w:rsidRDefault="00EA44BD" w:rsidP="00DC4ECD">
            <w:pPr>
              <w:jc w:val="center"/>
              <w:rPr>
                <w:rFonts w:cs="Arial"/>
                <w:noProof/>
                <w:sz w:val="18"/>
                <w:szCs w:val="18"/>
                <w:lang w:val="de-DE"/>
              </w:rPr>
            </w:pPr>
            <w:r w:rsidRPr="00B05705">
              <w:rPr>
                <w:rFonts w:cs="Arial"/>
                <w:noProof/>
                <w:sz w:val="18"/>
                <w:szCs w:val="18"/>
                <w:lang w:val="de-DE"/>
              </w:rPr>
              <w:t>1</w:t>
            </w:r>
          </w:p>
        </w:tc>
        <w:tc>
          <w:tcPr>
            <w:tcW w:w="993" w:type="dxa"/>
            <w:tcBorders>
              <w:top w:val="single" w:sz="4" w:space="0" w:color="auto"/>
              <w:left w:val="single" w:sz="6" w:space="0" w:color="auto"/>
              <w:bottom w:val="single" w:sz="6" w:space="0" w:color="auto"/>
              <w:right w:val="single" w:sz="6" w:space="0" w:color="auto"/>
            </w:tcBorders>
            <w:shd w:val="clear" w:color="auto" w:fill="auto"/>
            <w:noWrap/>
            <w:vAlign w:val="center"/>
          </w:tcPr>
          <w:p w:rsidR="00EA44BD" w:rsidRPr="00B05705" w:rsidRDefault="00EA44BD" w:rsidP="00DC4ECD">
            <w:pPr>
              <w:jc w:val="center"/>
              <w:rPr>
                <w:rFonts w:cs="Arial"/>
                <w:noProof/>
                <w:sz w:val="18"/>
                <w:szCs w:val="18"/>
                <w:lang w:val="de-DE"/>
              </w:rPr>
            </w:pPr>
            <w:r w:rsidRPr="00B05705">
              <w:rPr>
                <w:rFonts w:cs="Arial"/>
                <w:noProof/>
                <w:sz w:val="18"/>
                <w:szCs w:val="18"/>
                <w:lang w:val="de-DE"/>
              </w:rPr>
              <w:t>1</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noWrap/>
            <w:vAlign w:val="center"/>
          </w:tcPr>
          <w:p w:rsidR="00EA44BD" w:rsidRPr="00B05705" w:rsidRDefault="00EA44BD" w:rsidP="00DC4ECD">
            <w:pPr>
              <w:jc w:val="center"/>
              <w:rPr>
                <w:rFonts w:cs="Arial"/>
                <w:noProof/>
                <w:sz w:val="18"/>
                <w:szCs w:val="18"/>
                <w:lang w:val="de-DE"/>
              </w:rPr>
            </w:pPr>
            <w:r w:rsidRPr="00B05705">
              <w:rPr>
                <w:rFonts w:cs="Arial"/>
                <w:noProof/>
                <w:sz w:val="18"/>
                <w:szCs w:val="18"/>
                <w:lang w:val="de-DE"/>
              </w:rPr>
              <w:t>homogen</w:t>
            </w:r>
          </w:p>
        </w:tc>
        <w:tc>
          <w:tcPr>
            <w:tcW w:w="2190" w:type="dxa"/>
            <w:tcBorders>
              <w:top w:val="single" w:sz="4" w:space="0" w:color="auto"/>
              <w:left w:val="single" w:sz="6" w:space="0" w:color="auto"/>
              <w:bottom w:val="single" w:sz="6" w:space="0" w:color="auto"/>
              <w:right w:val="single" w:sz="4" w:space="0" w:color="auto"/>
            </w:tcBorders>
            <w:shd w:val="clear" w:color="auto" w:fill="auto"/>
            <w:vAlign w:val="center"/>
          </w:tcPr>
          <w:p w:rsidR="00EA44BD" w:rsidRPr="00B05705" w:rsidRDefault="00EA44BD" w:rsidP="00DC4ECD">
            <w:pPr>
              <w:jc w:val="center"/>
              <w:rPr>
                <w:rFonts w:cs="Arial"/>
                <w:noProof/>
                <w:sz w:val="18"/>
                <w:szCs w:val="18"/>
                <w:lang w:val="de-DE"/>
              </w:rPr>
            </w:pPr>
            <w:r w:rsidRPr="00B05705">
              <w:rPr>
                <w:rFonts w:cs="Arial"/>
                <w:noProof/>
                <w:sz w:val="18"/>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44BD" w:rsidRPr="00B05705" w:rsidRDefault="00EA44BD" w:rsidP="00DC4ECD">
            <w:pPr>
              <w:jc w:val="center"/>
              <w:rPr>
                <w:noProof/>
                <w:sz w:val="18"/>
                <w:szCs w:val="18"/>
                <w:lang w:val="de-DE"/>
              </w:rPr>
            </w:pPr>
            <w:r w:rsidRPr="00B05705">
              <w:rPr>
                <w:rFonts w:cs="Arial"/>
                <w:noProof/>
                <w:sz w:val="18"/>
                <w:szCs w:val="18"/>
                <w:lang w:val="de-DE"/>
              </w:rPr>
              <w:t>homogen</w:t>
            </w:r>
          </w:p>
        </w:tc>
      </w:tr>
      <w:tr w:rsidR="00EA44BD" w:rsidRPr="00B05705" w:rsidTr="00DC4ECD">
        <w:trPr>
          <w:trHeight w:val="240"/>
        </w:trPr>
        <w:tc>
          <w:tcPr>
            <w:tcW w:w="567" w:type="dxa"/>
            <w:vMerge/>
            <w:tcBorders>
              <w:left w:val="single" w:sz="4" w:space="0" w:color="auto"/>
              <w:right w:val="single" w:sz="4" w:space="0" w:color="auto"/>
            </w:tcBorders>
            <w:shd w:val="clear" w:color="auto" w:fill="auto"/>
            <w:textDirection w:val="btLr"/>
            <w:vAlign w:val="center"/>
            <w:hideMark/>
          </w:tcPr>
          <w:p w:rsidR="00EA44BD" w:rsidRPr="00B05705" w:rsidRDefault="00EA44BD" w:rsidP="00DC4ECD">
            <w:pPr>
              <w:jc w:val="center"/>
              <w:rPr>
                <w:rFonts w:cs="Arial"/>
                <w:noProof/>
                <w:sz w:val="18"/>
                <w:szCs w:val="18"/>
                <w:lang w:val="de-DE"/>
              </w:rPr>
            </w:pPr>
          </w:p>
        </w:tc>
        <w:tc>
          <w:tcPr>
            <w:tcW w:w="992" w:type="dxa"/>
            <w:gridSpan w:val="2"/>
            <w:tcBorders>
              <w:top w:val="single" w:sz="6" w:space="0" w:color="auto"/>
              <w:left w:val="single" w:sz="4" w:space="0" w:color="auto"/>
              <w:bottom w:val="single" w:sz="4" w:space="0" w:color="auto"/>
              <w:right w:val="single" w:sz="6"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2</w:t>
            </w:r>
          </w:p>
        </w:tc>
        <w:tc>
          <w:tcPr>
            <w:tcW w:w="993" w:type="dxa"/>
            <w:tcBorders>
              <w:top w:val="single" w:sz="6" w:space="0" w:color="auto"/>
              <w:left w:val="single" w:sz="6" w:space="0" w:color="auto"/>
              <w:bottom w:val="single" w:sz="4" w:space="0" w:color="auto"/>
              <w:right w:val="single" w:sz="6"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2</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homogen</w:t>
            </w:r>
          </w:p>
        </w:tc>
        <w:tc>
          <w:tcPr>
            <w:tcW w:w="2190"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44BD" w:rsidRPr="00B05705" w:rsidRDefault="00EA44BD" w:rsidP="00DC4ECD">
            <w:pPr>
              <w:jc w:val="center"/>
              <w:rPr>
                <w:noProof/>
                <w:sz w:val="18"/>
                <w:szCs w:val="18"/>
                <w:lang w:val="de-DE"/>
              </w:rPr>
            </w:pPr>
            <w:r w:rsidRPr="00B05705">
              <w:rPr>
                <w:noProof/>
                <w:sz w:val="18"/>
                <w:szCs w:val="18"/>
                <w:lang w:val="de-DE"/>
              </w:rPr>
              <w:t>nicht homogen</w:t>
            </w:r>
          </w:p>
        </w:tc>
      </w:tr>
      <w:tr w:rsidR="00EA44BD" w:rsidRPr="00B05705" w:rsidTr="00DC4ECD">
        <w:trPr>
          <w:trHeight w:val="273"/>
        </w:trPr>
        <w:tc>
          <w:tcPr>
            <w:tcW w:w="567" w:type="dxa"/>
            <w:vMerge/>
            <w:tcBorders>
              <w:left w:val="single" w:sz="4" w:space="0" w:color="auto"/>
              <w:right w:val="single" w:sz="4" w:space="0" w:color="000000"/>
            </w:tcBorders>
            <w:vAlign w:val="center"/>
            <w:hideMark/>
          </w:tcPr>
          <w:p w:rsidR="00EA44BD" w:rsidRPr="00B05705" w:rsidRDefault="00EA44BD" w:rsidP="00DC4ECD">
            <w:pPr>
              <w:jc w:val="left"/>
              <w:rPr>
                <w:rFonts w:cs="Arial"/>
                <w:noProof/>
                <w:sz w:val="18"/>
                <w:szCs w:val="18"/>
                <w:lang w:val="de-DE"/>
              </w:rPr>
            </w:pP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3*</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dritte Wachstumsperiode*</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44BD" w:rsidRPr="00B05705" w:rsidRDefault="00EA44BD" w:rsidP="00DC4ECD">
            <w:pPr>
              <w:jc w:val="center"/>
              <w:rPr>
                <w:noProof/>
                <w:sz w:val="18"/>
                <w:szCs w:val="18"/>
                <w:lang w:val="de-DE"/>
              </w:rPr>
            </w:pPr>
            <w:r w:rsidRPr="00B05705">
              <w:rPr>
                <w:rFonts w:cs="Arial"/>
                <w:noProof/>
                <w:sz w:val="18"/>
                <w:szCs w:val="18"/>
                <w:lang w:val="de-DE"/>
              </w:rPr>
              <w:t>homogen*</w:t>
            </w:r>
          </w:p>
        </w:tc>
      </w:tr>
      <w:tr w:rsidR="00EA44BD" w:rsidRPr="00B05705" w:rsidTr="00DC4ECD">
        <w:trPr>
          <w:trHeight w:val="248"/>
        </w:trPr>
        <w:tc>
          <w:tcPr>
            <w:tcW w:w="567" w:type="dxa"/>
            <w:vMerge/>
            <w:tcBorders>
              <w:left w:val="single" w:sz="4" w:space="0" w:color="auto"/>
              <w:right w:val="single" w:sz="4" w:space="0" w:color="auto"/>
            </w:tcBorders>
            <w:vAlign w:val="center"/>
            <w:hideMark/>
          </w:tcPr>
          <w:p w:rsidR="00EA44BD" w:rsidRPr="00B05705" w:rsidRDefault="00EA44BD" w:rsidP="00DC4ECD">
            <w:pPr>
              <w:jc w:val="left"/>
              <w:rPr>
                <w:rFonts w:cs="Arial"/>
                <w:noProof/>
                <w:sz w:val="18"/>
                <w:szCs w:val="18"/>
                <w:lang w:val="de-DE"/>
              </w:rPr>
            </w:pPr>
          </w:p>
        </w:tc>
        <w:tc>
          <w:tcPr>
            <w:tcW w:w="992" w:type="dxa"/>
            <w:gridSpan w:val="2"/>
            <w:tcBorders>
              <w:top w:val="single" w:sz="4" w:space="0" w:color="auto"/>
              <w:left w:val="single" w:sz="4" w:space="0" w:color="auto"/>
              <w:bottom w:val="single" w:sz="4" w:space="0" w:color="auto"/>
              <w:right w:val="single" w:sz="6"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1</w:t>
            </w:r>
          </w:p>
        </w:tc>
        <w:tc>
          <w:tcPr>
            <w:tcW w:w="993" w:type="dxa"/>
            <w:tcBorders>
              <w:top w:val="single" w:sz="4" w:space="0" w:color="auto"/>
              <w:left w:val="single" w:sz="6" w:space="0" w:color="auto"/>
              <w:bottom w:val="single" w:sz="4" w:space="0" w:color="auto"/>
              <w:right w:val="single" w:sz="6"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3*</w:t>
            </w:r>
          </w:p>
        </w:tc>
        <w:tc>
          <w:tcPr>
            <w:tcW w:w="2062" w:type="dxa"/>
            <w:gridSpan w:val="3"/>
            <w:tcBorders>
              <w:top w:val="single" w:sz="4" w:space="0" w:color="auto"/>
              <w:left w:val="single" w:sz="6" w:space="0" w:color="auto"/>
              <w:bottom w:val="single" w:sz="4" w:space="0" w:color="auto"/>
              <w:right w:val="single" w:sz="6"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dritte Wachstumsperiode*</w:t>
            </w:r>
          </w:p>
        </w:tc>
        <w:tc>
          <w:tcPr>
            <w:tcW w:w="2190"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nicht homogen*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A44BD" w:rsidRPr="00B05705" w:rsidRDefault="00EA44BD" w:rsidP="00DC4ECD">
            <w:pPr>
              <w:jc w:val="center"/>
              <w:rPr>
                <w:noProof/>
                <w:sz w:val="18"/>
                <w:szCs w:val="18"/>
                <w:lang w:val="de-DE"/>
              </w:rPr>
            </w:pPr>
            <w:r w:rsidRPr="00B05705">
              <w:rPr>
                <w:noProof/>
                <w:sz w:val="18"/>
                <w:szCs w:val="18"/>
                <w:lang w:val="de-DE"/>
              </w:rPr>
              <w:t>nicht homogen*</w:t>
            </w:r>
          </w:p>
        </w:tc>
      </w:tr>
      <w:tr w:rsidR="00EA44BD" w:rsidRPr="00B05705" w:rsidTr="00DC4ECD">
        <w:trPr>
          <w:trHeight w:val="267"/>
        </w:trPr>
        <w:tc>
          <w:tcPr>
            <w:tcW w:w="567" w:type="dxa"/>
            <w:vMerge/>
            <w:tcBorders>
              <w:left w:val="single" w:sz="4" w:space="0" w:color="auto"/>
              <w:right w:val="single" w:sz="4" w:space="0" w:color="000000"/>
            </w:tcBorders>
            <w:vAlign w:val="center"/>
            <w:hideMark/>
          </w:tcPr>
          <w:p w:rsidR="00EA44BD" w:rsidRPr="00B05705" w:rsidRDefault="00EA44BD" w:rsidP="00DC4ECD">
            <w:pPr>
              <w:jc w:val="left"/>
              <w:rPr>
                <w:rFonts w:cs="Arial"/>
                <w:noProof/>
                <w:sz w:val="18"/>
                <w:szCs w:val="18"/>
                <w:lang w:val="de-DE"/>
              </w:rPr>
            </w:pP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EA44BD" w:rsidRPr="00B05705" w:rsidRDefault="00EA44BD" w:rsidP="00DC4ECD">
            <w:pPr>
              <w:ind w:left="49"/>
              <w:jc w:val="center"/>
              <w:rPr>
                <w:rFonts w:cs="Arial"/>
                <w:noProof/>
                <w:sz w:val="18"/>
                <w:szCs w:val="18"/>
                <w:lang w:val="de-DE"/>
              </w:rPr>
            </w:pPr>
            <w:r w:rsidRPr="00B05705">
              <w:rPr>
                <w:rFonts w:cs="Arial"/>
                <w:noProof/>
                <w:sz w:val="18"/>
                <w:szCs w:val="18"/>
                <w:lang w:val="de-DE"/>
              </w:rPr>
              <w:t>4*</w:t>
            </w:r>
          </w:p>
        </w:tc>
        <w:tc>
          <w:tcPr>
            <w:tcW w:w="2062" w:type="dxa"/>
            <w:gridSpan w:val="3"/>
            <w:tcBorders>
              <w:top w:val="single" w:sz="4" w:space="0" w:color="auto"/>
              <w:left w:val="nil"/>
              <w:bottom w:val="single" w:sz="4" w:space="0" w:color="auto"/>
              <w:right w:val="single" w:sz="4"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dritte Wachstumsperiode*</w:t>
            </w:r>
          </w:p>
        </w:tc>
        <w:tc>
          <w:tcPr>
            <w:tcW w:w="2190" w:type="dxa"/>
            <w:tcBorders>
              <w:top w:val="single" w:sz="4" w:space="0" w:color="auto"/>
              <w:left w:val="nil"/>
              <w:bottom w:val="single" w:sz="4" w:space="0" w:color="auto"/>
              <w:right w:val="single" w:sz="4" w:space="0" w:color="auto"/>
            </w:tcBorders>
            <w:shd w:val="clear" w:color="auto" w:fill="auto"/>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nicht homogen*</w:t>
            </w:r>
          </w:p>
        </w:tc>
        <w:tc>
          <w:tcPr>
            <w:tcW w:w="1559" w:type="dxa"/>
            <w:tcBorders>
              <w:top w:val="single" w:sz="4" w:space="0" w:color="auto"/>
              <w:bottom w:val="single" w:sz="4" w:space="0" w:color="auto"/>
              <w:right w:val="single" w:sz="4" w:space="0" w:color="auto"/>
            </w:tcBorders>
            <w:shd w:val="clear" w:color="auto" w:fill="auto"/>
            <w:vAlign w:val="center"/>
          </w:tcPr>
          <w:p w:rsidR="00EA44BD" w:rsidRPr="00B05705" w:rsidRDefault="00EA44BD" w:rsidP="00DC4ECD">
            <w:pPr>
              <w:jc w:val="center"/>
              <w:rPr>
                <w:noProof/>
                <w:sz w:val="18"/>
                <w:szCs w:val="18"/>
                <w:lang w:val="de-DE"/>
              </w:rPr>
            </w:pPr>
            <w:r w:rsidRPr="00B05705">
              <w:rPr>
                <w:noProof/>
                <w:sz w:val="18"/>
                <w:szCs w:val="18"/>
                <w:lang w:val="de-DE"/>
              </w:rPr>
              <w:t>nicht homogen*</w:t>
            </w:r>
          </w:p>
        </w:tc>
      </w:tr>
      <w:tr w:rsidR="00EA44BD" w:rsidRPr="00B05705" w:rsidTr="00DC4ECD">
        <w:trPr>
          <w:trHeight w:val="266"/>
        </w:trPr>
        <w:tc>
          <w:tcPr>
            <w:tcW w:w="567" w:type="dxa"/>
            <w:vMerge/>
            <w:tcBorders>
              <w:left w:val="single" w:sz="4" w:space="0" w:color="auto"/>
              <w:bottom w:val="single" w:sz="4" w:space="0" w:color="auto"/>
              <w:right w:val="single" w:sz="4" w:space="0" w:color="000000"/>
            </w:tcBorders>
            <w:shd w:val="clear" w:color="auto" w:fill="auto"/>
            <w:noWrap/>
            <w:vAlign w:val="bottom"/>
            <w:hideMark/>
          </w:tcPr>
          <w:p w:rsidR="00EA44BD" w:rsidRPr="00B05705" w:rsidRDefault="00EA44BD" w:rsidP="00DC4ECD">
            <w:pPr>
              <w:jc w:val="left"/>
              <w:rPr>
                <w:rFonts w:cs="Arial"/>
                <w:noProof/>
                <w:sz w:val="18"/>
                <w:szCs w:val="18"/>
                <w:lang w:val="de-DE"/>
              </w:rPr>
            </w:pPr>
          </w:p>
        </w:tc>
        <w:tc>
          <w:tcPr>
            <w:tcW w:w="992" w:type="dxa"/>
            <w:gridSpan w:val="2"/>
            <w:tcBorders>
              <w:top w:val="nil"/>
              <w:left w:val="single" w:sz="4" w:space="0" w:color="000000"/>
              <w:bottom w:val="single" w:sz="4" w:space="0" w:color="auto"/>
              <w:right w:val="single" w:sz="4" w:space="0" w:color="auto"/>
            </w:tcBorders>
            <w:shd w:val="clear" w:color="auto" w:fill="auto"/>
            <w:noWrap/>
            <w:vAlign w:val="center"/>
            <w:hideMark/>
          </w:tcPr>
          <w:p w:rsidR="00EA44BD" w:rsidRPr="00B05705" w:rsidRDefault="00EA44BD" w:rsidP="00DC4ECD">
            <w:pPr>
              <w:ind w:left="49"/>
              <w:jc w:val="center"/>
              <w:rPr>
                <w:rFonts w:cs="Arial"/>
                <w:noProof/>
                <w:sz w:val="18"/>
                <w:szCs w:val="18"/>
                <w:lang w:val="de-DE"/>
              </w:rPr>
            </w:pPr>
            <w:r w:rsidRPr="00B05705">
              <w:rPr>
                <w:rFonts w:cs="Arial"/>
                <w:noProof/>
                <w:sz w:val="18"/>
                <w:szCs w:val="18"/>
                <w:lang w:val="de-DE"/>
              </w:rPr>
              <w:t>4**</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1*</w:t>
            </w:r>
          </w:p>
        </w:tc>
        <w:tc>
          <w:tcPr>
            <w:tcW w:w="2062" w:type="dxa"/>
            <w:gridSpan w:val="3"/>
            <w:tcBorders>
              <w:top w:val="nil"/>
              <w:left w:val="single" w:sz="4" w:space="0" w:color="auto"/>
              <w:bottom w:val="single" w:sz="4" w:space="0" w:color="auto"/>
              <w:right w:val="single" w:sz="4"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dritte Wachstumsperiode*</w:t>
            </w:r>
          </w:p>
        </w:tc>
        <w:tc>
          <w:tcPr>
            <w:tcW w:w="2190" w:type="dxa"/>
            <w:tcBorders>
              <w:top w:val="nil"/>
              <w:left w:val="single" w:sz="4" w:space="0" w:color="auto"/>
              <w:bottom w:val="single" w:sz="4" w:space="0" w:color="auto"/>
              <w:right w:val="single" w:sz="4" w:space="0" w:color="auto"/>
            </w:tcBorders>
            <w:shd w:val="clear" w:color="auto" w:fill="auto"/>
            <w:noWrap/>
            <w:vAlign w:val="center"/>
            <w:hideMark/>
          </w:tcPr>
          <w:p w:rsidR="00EA44BD" w:rsidRPr="00B05705" w:rsidRDefault="00EA44BD" w:rsidP="00DC4ECD">
            <w:pPr>
              <w:jc w:val="center"/>
              <w:rPr>
                <w:rFonts w:cs="Arial"/>
                <w:noProof/>
                <w:sz w:val="18"/>
                <w:szCs w:val="18"/>
                <w:lang w:val="de-DE"/>
              </w:rPr>
            </w:pPr>
            <w:r w:rsidRPr="00B05705">
              <w:rPr>
                <w:rFonts w:cs="Arial"/>
                <w:noProof/>
                <w:sz w:val="18"/>
                <w:szCs w:val="18"/>
                <w:lang w:val="de-DE"/>
              </w:rPr>
              <w:t>nicht homogen*</w:t>
            </w:r>
          </w:p>
        </w:tc>
        <w:tc>
          <w:tcPr>
            <w:tcW w:w="1559" w:type="dxa"/>
            <w:tcBorders>
              <w:top w:val="single" w:sz="4" w:space="0" w:color="auto"/>
              <w:bottom w:val="single" w:sz="4" w:space="0" w:color="auto"/>
              <w:right w:val="single" w:sz="4" w:space="0" w:color="auto"/>
            </w:tcBorders>
            <w:shd w:val="clear" w:color="auto" w:fill="auto"/>
            <w:vAlign w:val="center"/>
          </w:tcPr>
          <w:p w:rsidR="00EA44BD" w:rsidRPr="00B05705" w:rsidRDefault="00EA44BD" w:rsidP="00DC4ECD">
            <w:pPr>
              <w:jc w:val="center"/>
              <w:rPr>
                <w:noProof/>
                <w:sz w:val="18"/>
                <w:szCs w:val="18"/>
                <w:lang w:val="de-DE"/>
              </w:rPr>
            </w:pPr>
            <w:r w:rsidRPr="00B05705">
              <w:rPr>
                <w:noProof/>
                <w:sz w:val="18"/>
                <w:szCs w:val="18"/>
                <w:lang w:val="de-DE"/>
              </w:rPr>
              <w:t>nicht homogen*</w:t>
            </w:r>
          </w:p>
        </w:tc>
      </w:tr>
    </w:tbl>
    <w:p w:rsidR="00EA44BD" w:rsidRPr="00B05705" w:rsidRDefault="00EA44BD" w:rsidP="00EA44BD">
      <w:pPr>
        <w:keepNext/>
        <w:keepLines/>
        <w:ind w:left="567" w:right="567"/>
        <w:rPr>
          <w:b/>
          <w:caps/>
          <w:noProof/>
          <w:sz w:val="12"/>
          <w:szCs w:val="24"/>
          <w:lang w:val="de-DE"/>
        </w:rPr>
      </w:pPr>
    </w:p>
    <w:p w:rsidR="00EA44BD" w:rsidRPr="00B05705" w:rsidRDefault="00EA44BD" w:rsidP="00EA44BD">
      <w:pPr>
        <w:keepNext/>
        <w:keepLines/>
        <w:ind w:left="567" w:right="567"/>
        <w:rPr>
          <w:b/>
          <w:caps/>
          <w:noProof/>
          <w:sz w:val="12"/>
          <w:szCs w:val="24"/>
          <w:lang w:val="de-DE"/>
        </w:rPr>
      </w:pPr>
    </w:p>
    <w:p w:rsidR="00EA44BD" w:rsidRPr="007A7E5B" w:rsidRDefault="00EA44BD" w:rsidP="00EA44BD">
      <w:pPr>
        <w:keepNext/>
        <w:keepLines/>
        <w:ind w:left="567"/>
        <w:rPr>
          <w:noProof/>
          <w:sz w:val="16"/>
          <w:szCs w:val="16"/>
          <w:lang w:val="de-DE"/>
        </w:rPr>
      </w:pPr>
      <w:r w:rsidRPr="007A7E5B">
        <w:rPr>
          <w:noProof/>
          <w:sz w:val="16"/>
          <w:szCs w:val="16"/>
          <w:lang w:val="de-DE"/>
        </w:rPr>
        <w:t>* Bei der Bewertung von Ergebnissen, die zwischen den Wachstumsperioden sehr unterschiedlich sind, muss mit größter Sorgfalt verfahren werden, etwa wenn ein Abweichertyp in einer Wachstumsperiode sehr häufig und in einer anderen überhaupt nicht vorkommt. Gegebenenfalls sollte eine statistische Prüfung auf Konsistenz durchgeführt werden. Es ist wichtig, zu erkennen, ob Unterschiede in der Anzahl von Abweichern zwischen Wachstumsperioden durch Umweltursachen oder Unterschiede in der Art der Probennahme bedingt sind.</w:t>
      </w:r>
    </w:p>
    <w:p w:rsidR="00EA44BD" w:rsidRPr="007A7E5B" w:rsidRDefault="00EA44BD" w:rsidP="00EA44BD">
      <w:pPr>
        <w:keepNext/>
        <w:keepLines/>
        <w:ind w:left="567"/>
        <w:rPr>
          <w:noProof/>
          <w:sz w:val="16"/>
          <w:szCs w:val="16"/>
          <w:lang w:val="de-DE"/>
        </w:rPr>
      </w:pPr>
    </w:p>
    <w:p w:rsidR="00EA44BD" w:rsidRPr="007A7E5B" w:rsidRDefault="00EA44BD" w:rsidP="00EA44BD">
      <w:pPr>
        <w:keepNext/>
        <w:keepLines/>
        <w:ind w:left="567"/>
        <w:rPr>
          <w:noProof/>
          <w:sz w:val="16"/>
          <w:szCs w:val="16"/>
          <w:lang w:val="de-DE"/>
        </w:rPr>
      </w:pPr>
      <w:r w:rsidRPr="007A7E5B">
        <w:rPr>
          <w:noProof/>
          <w:sz w:val="16"/>
          <w:szCs w:val="16"/>
          <w:lang w:val="de-DE"/>
        </w:rPr>
        <w:t>** Wenn eine Sorte in der ersten Wachstumsperiode einen festgelegten oberen Grenzwert für Abweicher übersteigt, kann die Sorte nach einer Wachstumsperiode zurückgewiesen werden.</w:t>
      </w: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u w:val="single"/>
          <w:lang w:val="de-DE"/>
        </w:rPr>
      </w:pPr>
      <w:r w:rsidRPr="00B05705">
        <w:rPr>
          <w:noProof/>
          <w:sz w:val="18"/>
          <w:szCs w:val="18"/>
          <w:u w:val="single"/>
          <w:lang w:val="de-DE"/>
        </w:rPr>
        <w:t>Neuer Abschnitt 4.8: Prüfung der Homogenität anhand von Abweichern aufgrund von Unterproben in einer Prüfung/einem Versuch</w:t>
      </w:r>
    </w:p>
    <w:p w:rsidR="00EA44BD" w:rsidRPr="00B05705" w:rsidRDefault="00EA44BD" w:rsidP="00EA44BD">
      <w:pPr>
        <w:ind w:left="567"/>
        <w:rPr>
          <w:noProof/>
          <w:sz w:val="18"/>
          <w:szCs w:val="18"/>
          <w:lang w:val="de-DE"/>
        </w:rPr>
      </w:pPr>
    </w:p>
    <w:p w:rsidR="00EA44BD" w:rsidRPr="00B05705" w:rsidRDefault="00EA44BD" w:rsidP="00EA44BD">
      <w:pPr>
        <w:ind w:left="567" w:firstLine="567"/>
        <w:rPr>
          <w:i/>
          <w:noProof/>
          <w:sz w:val="18"/>
          <w:szCs w:val="18"/>
          <w:lang w:val="de-DE"/>
        </w:rPr>
      </w:pPr>
      <w:r w:rsidRPr="00B05705">
        <w:rPr>
          <w:i/>
          <w:noProof/>
          <w:sz w:val="18"/>
          <w:szCs w:val="18"/>
          <w:lang w:val="de-DE"/>
        </w:rPr>
        <w:t xml:space="preserve">Ansatz: Verwendung von Unterproben als ein erster Prüfungsschritt </w:t>
      </w:r>
    </w:p>
    <w:p w:rsidR="00EA44BD" w:rsidRPr="00B05705" w:rsidRDefault="00EA44BD" w:rsidP="00EA44BD">
      <w:pPr>
        <w:ind w:left="567"/>
        <w:rPr>
          <w:b/>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t xml:space="preserve">Eine Sorte wird als homogen </w:t>
      </w:r>
      <w:r w:rsidRPr="00B05705">
        <w:rPr>
          <w:rFonts w:eastAsia="SimSun"/>
          <w:noProof/>
          <w:sz w:val="18"/>
          <w:szCs w:val="18"/>
          <w:lang w:val="de-DE" w:eastAsia="zh-CN"/>
        </w:rPr>
        <w:t>angesehen</w:t>
      </w:r>
      <w:r w:rsidRPr="00B05705">
        <w:rPr>
          <w:noProof/>
          <w:sz w:val="18"/>
          <w:szCs w:val="18"/>
          <w:lang w:val="de-DE"/>
        </w:rPr>
        <w:t>, wenn die Anzahl der Abweicher einen festgelegten unteren Grenzwert in der Unterprobe nicht übersteigt.</w:t>
      </w: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t xml:space="preserve">Eine Sorte wird als nicht homogen </w:t>
      </w:r>
      <w:r w:rsidRPr="00B05705">
        <w:rPr>
          <w:rFonts w:eastAsia="SimSun"/>
          <w:noProof/>
          <w:sz w:val="18"/>
          <w:szCs w:val="18"/>
          <w:lang w:val="de-DE" w:eastAsia="zh-CN"/>
        </w:rPr>
        <w:t>angesehen</w:t>
      </w:r>
      <w:r w:rsidRPr="00B05705">
        <w:rPr>
          <w:noProof/>
          <w:sz w:val="18"/>
          <w:szCs w:val="18"/>
          <w:lang w:val="de-DE"/>
        </w:rPr>
        <w:t>, wenn die Anzahl der Abweicher einen festgelegten oberen Grenzwert in der Unterprobe übersteigt.</w:t>
      </w:r>
    </w:p>
    <w:p w:rsidR="00EA44BD" w:rsidRPr="00B05705" w:rsidRDefault="00EA44BD" w:rsidP="00EA44BD">
      <w:pPr>
        <w:ind w:left="567"/>
        <w:rPr>
          <w:noProof/>
          <w:sz w:val="18"/>
          <w:szCs w:val="18"/>
          <w:lang w:val="de-DE"/>
        </w:rPr>
      </w:pPr>
    </w:p>
    <w:p w:rsidR="00EA44BD" w:rsidRPr="00B05705" w:rsidRDefault="00EA44BD" w:rsidP="00EA44BD">
      <w:pPr>
        <w:ind w:left="567"/>
        <w:rPr>
          <w:noProof/>
          <w:sz w:val="18"/>
          <w:szCs w:val="18"/>
          <w:lang w:val="de-DE"/>
        </w:rPr>
      </w:pPr>
      <w:r w:rsidRPr="00B05705">
        <w:rPr>
          <w:noProof/>
          <w:sz w:val="18"/>
          <w:szCs w:val="18"/>
          <w:lang w:val="de-DE"/>
        </w:rPr>
        <w:lastRenderedPageBreak/>
        <w:t>Ist die Anzahl an Abweichern zwischen den festgelegten unteren und oberen Grenzwerten, wird die gesamte Stichprobe untersucht. Die unteren und oberen Grenzwerte müssen unter Berücksichtigung vergleichbarer Fehler vom Typ I und Typ II in der Unterprobe und der Gesamtstichprobe gewählt werden.</w:t>
      </w:r>
    </w:p>
    <w:p w:rsidR="00EA44BD" w:rsidRPr="00B05705" w:rsidRDefault="00EA44BD" w:rsidP="00EA44BD">
      <w:pPr>
        <w:ind w:left="567"/>
        <w:rPr>
          <w:noProof/>
          <w:sz w:val="18"/>
          <w:szCs w:val="18"/>
          <w:lang w:val="de-DE"/>
        </w:rPr>
      </w:pPr>
    </w:p>
    <w:p w:rsidR="00EA44BD" w:rsidRPr="00B05705" w:rsidRDefault="00EA44BD" w:rsidP="00EA44BD">
      <w:pPr>
        <w:ind w:left="851"/>
        <w:rPr>
          <w:i/>
          <w:noProof/>
          <w:sz w:val="18"/>
          <w:szCs w:val="18"/>
          <w:lang w:val="de-DE"/>
        </w:rPr>
      </w:pPr>
      <w:r w:rsidRPr="00B05705">
        <w:rPr>
          <w:i/>
          <w:noProof/>
          <w:sz w:val="18"/>
          <w:szCs w:val="18"/>
          <w:lang w:val="de-DE"/>
        </w:rPr>
        <w:t>Beispiel:</w:t>
      </w:r>
    </w:p>
    <w:p w:rsidR="00EA44BD" w:rsidRPr="00B05705" w:rsidRDefault="00EA44BD" w:rsidP="00EA44BD">
      <w:pPr>
        <w:ind w:left="851"/>
        <w:rPr>
          <w:noProof/>
          <w:sz w:val="18"/>
          <w:szCs w:val="18"/>
          <w:lang w:val="de-DE"/>
        </w:rPr>
      </w:pPr>
    </w:p>
    <w:p w:rsidR="00EA44BD" w:rsidRPr="00B05705" w:rsidRDefault="00EA44BD" w:rsidP="00EA44BD">
      <w:pPr>
        <w:autoSpaceDE w:val="0"/>
        <w:autoSpaceDN w:val="0"/>
        <w:adjustRightInd w:val="0"/>
        <w:ind w:left="567" w:right="283"/>
        <w:rPr>
          <w:noProof/>
          <w:color w:val="000000"/>
          <w:sz w:val="18"/>
          <w:szCs w:val="18"/>
          <w:lang w:val="de-DE"/>
        </w:rPr>
      </w:pPr>
      <w:r w:rsidRPr="00B05705">
        <w:rPr>
          <w:noProof/>
          <w:color w:val="000000"/>
          <w:sz w:val="18"/>
          <w:szCs w:val="18"/>
          <w:lang w:val="de-DE"/>
        </w:rPr>
        <w:t>In einer Probengröße von 100 Pflanzen beträgt die akzeptierte Anzahl an Abweichern 3 (ausgehend von einem Populationsstandard von 1% und einer Akzeptanzwahrscheinlichkeit von mindestens 95%).</w:t>
      </w:r>
    </w:p>
    <w:p w:rsidR="00EA44BD" w:rsidRPr="00B05705" w:rsidRDefault="00EA44BD" w:rsidP="00EA44BD">
      <w:pPr>
        <w:autoSpaceDE w:val="0"/>
        <w:autoSpaceDN w:val="0"/>
        <w:adjustRightInd w:val="0"/>
        <w:ind w:left="567" w:right="283"/>
        <w:rPr>
          <w:noProof/>
          <w:color w:val="000000"/>
          <w:sz w:val="18"/>
          <w:szCs w:val="18"/>
          <w:lang w:val="de-DE"/>
        </w:rPr>
      </w:pPr>
    </w:p>
    <w:p w:rsidR="00EA44BD" w:rsidRPr="00B05705" w:rsidRDefault="00EA44BD" w:rsidP="00EA44BD">
      <w:pPr>
        <w:autoSpaceDE w:val="0"/>
        <w:autoSpaceDN w:val="0"/>
        <w:adjustRightInd w:val="0"/>
        <w:ind w:left="567" w:right="283"/>
        <w:rPr>
          <w:noProof/>
          <w:color w:val="000000"/>
          <w:sz w:val="18"/>
          <w:szCs w:val="18"/>
          <w:lang w:val="de-DE"/>
        </w:rPr>
      </w:pPr>
      <w:r w:rsidRPr="00B05705">
        <w:rPr>
          <w:noProof/>
          <w:color w:val="000000"/>
          <w:sz w:val="18"/>
          <w:szCs w:val="18"/>
          <w:lang w:val="de-DE"/>
        </w:rPr>
        <w:t>In einer Unterprobe von 20 Pflanzen, die in Zusammenhang mit der oben genannten Probengröße von 100 Pflanzen verwendet wird, gilt folgendes:</w:t>
      </w:r>
    </w:p>
    <w:p w:rsidR="00EA44BD" w:rsidRPr="00B05705" w:rsidRDefault="00EA44BD" w:rsidP="00EA44BD">
      <w:pPr>
        <w:autoSpaceDE w:val="0"/>
        <w:autoSpaceDN w:val="0"/>
        <w:adjustRightInd w:val="0"/>
        <w:ind w:left="567" w:right="283"/>
        <w:rPr>
          <w:noProof/>
          <w:color w:val="000000"/>
          <w:sz w:val="18"/>
          <w:szCs w:val="18"/>
          <w:lang w:val="de-DE"/>
        </w:rPr>
      </w:pPr>
    </w:p>
    <w:p w:rsidR="00EA44BD" w:rsidRPr="00B05705" w:rsidRDefault="00EA44BD" w:rsidP="00EA44BD">
      <w:pPr>
        <w:autoSpaceDE w:val="0"/>
        <w:autoSpaceDN w:val="0"/>
        <w:adjustRightInd w:val="0"/>
        <w:ind w:left="567" w:right="283"/>
        <w:rPr>
          <w:noProof/>
          <w:color w:val="000000"/>
          <w:sz w:val="18"/>
          <w:szCs w:val="18"/>
          <w:lang w:val="de-DE"/>
        </w:rPr>
      </w:pPr>
      <w:r w:rsidRPr="00B05705">
        <w:rPr>
          <w:noProof/>
          <w:sz w:val="18"/>
          <w:szCs w:val="18"/>
          <w:lang w:val="de-DE"/>
        </w:rPr>
        <w:t xml:space="preserve">Eine Sorte wird als homogen </w:t>
      </w:r>
      <w:r w:rsidRPr="00B05705">
        <w:rPr>
          <w:rFonts w:eastAsia="SimSun"/>
          <w:noProof/>
          <w:sz w:val="18"/>
          <w:szCs w:val="18"/>
          <w:lang w:val="de-DE" w:eastAsia="zh-CN"/>
        </w:rPr>
        <w:t>angesehen</w:t>
      </w:r>
      <w:r w:rsidRPr="00B05705">
        <w:rPr>
          <w:noProof/>
          <w:sz w:val="18"/>
          <w:szCs w:val="18"/>
          <w:lang w:val="de-DE"/>
        </w:rPr>
        <w:t>, wenn die Unterprobe keine Abweicher aufweist.</w:t>
      </w:r>
    </w:p>
    <w:p w:rsidR="00EA44BD" w:rsidRPr="00B05705" w:rsidRDefault="00EA44BD" w:rsidP="00EA44BD">
      <w:pPr>
        <w:autoSpaceDE w:val="0"/>
        <w:autoSpaceDN w:val="0"/>
        <w:adjustRightInd w:val="0"/>
        <w:ind w:left="567" w:right="283"/>
        <w:rPr>
          <w:noProof/>
          <w:color w:val="000000"/>
          <w:sz w:val="18"/>
          <w:szCs w:val="18"/>
          <w:lang w:val="de-DE"/>
        </w:rPr>
      </w:pPr>
    </w:p>
    <w:p w:rsidR="00EA44BD" w:rsidRPr="00B05705" w:rsidRDefault="00EA44BD" w:rsidP="00EA44BD">
      <w:pPr>
        <w:autoSpaceDE w:val="0"/>
        <w:autoSpaceDN w:val="0"/>
        <w:adjustRightInd w:val="0"/>
        <w:ind w:left="567" w:right="283"/>
        <w:rPr>
          <w:noProof/>
          <w:color w:val="000000"/>
          <w:sz w:val="18"/>
          <w:szCs w:val="18"/>
          <w:lang w:val="de-DE"/>
        </w:rPr>
      </w:pPr>
      <w:r w:rsidRPr="00B05705">
        <w:rPr>
          <w:noProof/>
          <w:sz w:val="18"/>
          <w:szCs w:val="18"/>
          <w:lang w:val="de-DE"/>
        </w:rPr>
        <w:t xml:space="preserve">Eine Sorte wird als nicht homogen </w:t>
      </w:r>
      <w:r w:rsidRPr="00B05705">
        <w:rPr>
          <w:rFonts w:eastAsia="SimSun"/>
          <w:noProof/>
          <w:sz w:val="18"/>
          <w:szCs w:val="18"/>
          <w:lang w:val="de-DE" w:eastAsia="zh-CN"/>
        </w:rPr>
        <w:t>angesehen</w:t>
      </w:r>
      <w:r w:rsidRPr="00B05705">
        <w:rPr>
          <w:noProof/>
          <w:sz w:val="18"/>
          <w:szCs w:val="18"/>
          <w:lang w:val="de-DE"/>
        </w:rPr>
        <w:t>, wenn die Unterprobe mehr als 3 Abweicher aufweist.</w:t>
      </w:r>
    </w:p>
    <w:p w:rsidR="00EA44BD" w:rsidRPr="00B05705" w:rsidRDefault="00EA44BD" w:rsidP="00EA44BD">
      <w:pPr>
        <w:autoSpaceDE w:val="0"/>
        <w:autoSpaceDN w:val="0"/>
        <w:adjustRightInd w:val="0"/>
        <w:ind w:left="567" w:right="283"/>
        <w:rPr>
          <w:noProof/>
          <w:color w:val="000000"/>
          <w:sz w:val="18"/>
          <w:szCs w:val="18"/>
          <w:lang w:val="de-DE"/>
        </w:rPr>
      </w:pPr>
    </w:p>
    <w:p w:rsidR="00EA44BD" w:rsidRPr="00B05705" w:rsidRDefault="00EA44BD" w:rsidP="00EA44BD">
      <w:pPr>
        <w:autoSpaceDE w:val="0"/>
        <w:autoSpaceDN w:val="0"/>
        <w:adjustRightInd w:val="0"/>
        <w:ind w:left="567" w:right="283"/>
        <w:rPr>
          <w:noProof/>
          <w:color w:val="000000"/>
          <w:sz w:val="18"/>
          <w:szCs w:val="18"/>
          <w:lang w:val="de-DE"/>
        </w:rPr>
      </w:pPr>
      <w:r w:rsidRPr="00B05705">
        <w:rPr>
          <w:noProof/>
          <w:sz w:val="18"/>
          <w:szCs w:val="18"/>
          <w:lang w:val="de-DE"/>
        </w:rPr>
        <w:t>Ist die Anzahl der Abweicher 1 bis 3, so wird die gesamte Probe von 100 Pflanzen geprüft.</w:t>
      </w:r>
    </w:p>
    <w:p w:rsidR="00EA44BD" w:rsidRPr="00B05705" w:rsidRDefault="00EA44BD" w:rsidP="00EA44BD">
      <w:pPr>
        <w:autoSpaceDE w:val="0"/>
        <w:autoSpaceDN w:val="0"/>
        <w:adjustRightInd w:val="0"/>
        <w:ind w:left="567" w:right="283"/>
        <w:rPr>
          <w:noProof/>
          <w:color w:val="000000"/>
          <w:sz w:val="18"/>
          <w:szCs w:val="18"/>
          <w:lang w:val="de-DE"/>
        </w:rPr>
      </w:pPr>
    </w:p>
    <w:p w:rsidR="00EA44BD" w:rsidRPr="00B05705" w:rsidRDefault="00EA44BD" w:rsidP="00EA44BD">
      <w:pPr>
        <w:autoSpaceDE w:val="0"/>
        <w:autoSpaceDN w:val="0"/>
        <w:adjustRightInd w:val="0"/>
        <w:ind w:left="567" w:right="283"/>
        <w:rPr>
          <w:noProof/>
          <w:color w:val="000000"/>
          <w:sz w:val="18"/>
          <w:szCs w:val="18"/>
          <w:lang w:val="de-DE"/>
        </w:rPr>
      </w:pPr>
      <w:r w:rsidRPr="00B05705">
        <w:rPr>
          <w:rFonts w:cs="Arial"/>
          <w:noProof/>
          <w:sz w:val="18"/>
          <w:szCs w:val="18"/>
          <w:lang w:val="de-DE"/>
        </w:rPr>
        <w:t>Ist die Anzahl der Abweicher in der Probe mit 100 Pflanzen größer als 3, wird die Sorte als nicht homogen angesehen.</w:t>
      </w: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jc w:val="right"/>
        <w:rPr>
          <w:noProof/>
          <w:lang w:val="de-DE"/>
        </w:rPr>
      </w:pPr>
      <w:r w:rsidRPr="00B05705">
        <w:rPr>
          <w:noProof/>
          <w:lang w:val="de-DE"/>
        </w:rPr>
        <w:t>[Anlage IV folgt]</w:t>
      </w:r>
    </w:p>
    <w:p w:rsidR="00EA44BD" w:rsidRPr="00B05705" w:rsidRDefault="00EA44BD" w:rsidP="00EA44BD">
      <w:pPr>
        <w:rPr>
          <w:noProof/>
          <w:lang w:val="de-DE"/>
        </w:rPr>
      </w:pPr>
    </w:p>
    <w:p w:rsidR="00EA44BD" w:rsidRPr="00B05705" w:rsidRDefault="00EA44BD" w:rsidP="00EA44BD">
      <w:pPr>
        <w:rPr>
          <w:noProof/>
          <w:lang w:val="de-DE"/>
        </w:rPr>
        <w:sectPr w:rsidR="00EA44BD" w:rsidRPr="00B05705" w:rsidSect="00DC4ECD">
          <w:headerReference w:type="default" r:id="rId20"/>
          <w:headerReference w:type="first" r:id="rId21"/>
          <w:pgSz w:w="11907" w:h="16840" w:code="9"/>
          <w:pgMar w:top="510" w:right="1134" w:bottom="709" w:left="1134" w:header="510" w:footer="680" w:gutter="0"/>
          <w:pgNumType w:start="1"/>
          <w:cols w:space="720"/>
          <w:titlePg/>
        </w:sectPr>
      </w:pPr>
    </w:p>
    <w:p w:rsidR="00EA44BD" w:rsidRPr="00B05705" w:rsidRDefault="00EA44BD" w:rsidP="00EA44BD">
      <w:pPr>
        <w:jc w:val="center"/>
        <w:rPr>
          <w:noProof/>
          <w:lang w:val="de-DE"/>
        </w:rPr>
      </w:pPr>
      <w:r w:rsidRPr="00B05705">
        <w:rPr>
          <w:noProof/>
          <w:lang w:val="de-DE"/>
        </w:rPr>
        <w:lastRenderedPageBreak/>
        <w:t>ANGELEGENHEITEN ZUR ANNAHME DURCH DEN RAT IM JAHR 2019: DOKUMENT TGP/14</w:t>
      </w:r>
    </w:p>
    <w:p w:rsidR="00EA44BD" w:rsidRPr="00B05705" w:rsidRDefault="00EA44BD" w:rsidP="00EA44BD">
      <w:pPr>
        <w:rPr>
          <w:noProof/>
          <w:lang w:val="de-DE"/>
        </w:rPr>
      </w:pPr>
    </w:p>
    <w:p w:rsidR="00EA44BD" w:rsidRPr="00B05705" w:rsidRDefault="00EA44BD" w:rsidP="00EA44BD">
      <w:pPr>
        <w:rPr>
          <w:noProof/>
          <w:lang w:val="de-DE"/>
        </w:rPr>
      </w:pPr>
      <w:r w:rsidRPr="0059364E">
        <w:rPr>
          <w:noProof/>
          <w:lang w:val="de-DE"/>
        </w:rPr>
        <w:t>E</w:t>
      </w:r>
      <w:r w:rsidRPr="0004263E">
        <w:rPr>
          <w:noProof/>
          <w:lang w:val="de-DE"/>
        </w:rPr>
        <w:t>s w</w:t>
      </w:r>
      <w:r w:rsidRPr="00B05705">
        <w:rPr>
          <w:noProof/>
          <w:lang w:val="de-DE"/>
        </w:rPr>
        <w:t>urde vom Technischen Ausschuß vereinbart, die folgende Überarbeitung von Dokument TGP/14 „Glossar der in den UPOV-Dokumenten verwendeten Begriffe</w:t>
      </w:r>
      <w:r>
        <w:rPr>
          <w:noProof/>
          <w:lang w:val="de-DE"/>
        </w:rPr>
        <w:t>“</w:t>
      </w:r>
      <w:r w:rsidRPr="00B05705">
        <w:rPr>
          <w:noProof/>
          <w:lang w:val="de-DE"/>
        </w:rPr>
        <w:t xml:space="preserve"> zur Annahme durch den Rat auf seiner dreiundfünfzigsten ordentlichen Tagung am 1. November 2019 in Genf, vorbehaltlich der Billigung durch den CAJ auf seiner sechsundsiebzigsten Tagung am 30. Oktober 2019 in Genf</w:t>
      </w:r>
      <w:r>
        <w:rPr>
          <w:noProof/>
          <w:lang w:val="de-DE"/>
        </w:rPr>
        <w:t xml:space="preserve">, </w:t>
      </w:r>
      <w:r w:rsidRPr="00B05705">
        <w:rPr>
          <w:noProof/>
          <w:lang w:val="de-DE"/>
        </w:rPr>
        <w:t>vorzuschlagen.</w:t>
      </w:r>
    </w:p>
    <w:p w:rsidR="00EA44BD" w:rsidRPr="00B05705" w:rsidRDefault="00EA44BD" w:rsidP="00EA44BD">
      <w:pPr>
        <w:rPr>
          <w:noProof/>
          <w:lang w:val="de-DE"/>
        </w:rPr>
      </w:pPr>
    </w:p>
    <w:p w:rsidR="00EA44BD" w:rsidRPr="00B05705" w:rsidRDefault="00EA44BD" w:rsidP="00EA44BD">
      <w:pPr>
        <w:rPr>
          <w:noProof/>
          <w:u w:val="single"/>
          <w:lang w:val="de-DE"/>
        </w:rPr>
      </w:pPr>
      <w:r w:rsidRPr="00B05705">
        <w:rPr>
          <w:noProof/>
          <w:u w:val="single"/>
          <w:lang w:val="de-DE"/>
        </w:rPr>
        <w:t>i)</w:t>
      </w:r>
      <w:r w:rsidRPr="00B05705">
        <w:rPr>
          <w:noProof/>
          <w:u w:val="single"/>
          <w:lang w:val="de-DE"/>
        </w:rPr>
        <w:tab/>
        <w:t>Illustrationen für Form- und Verhältnismerkmale</w:t>
      </w:r>
    </w:p>
    <w:p w:rsidR="00EA44BD" w:rsidRPr="00B05705" w:rsidRDefault="00EA44BD" w:rsidP="00EA44BD">
      <w:pPr>
        <w:rPr>
          <w:noProof/>
          <w:snapToGrid w:val="0"/>
          <w:lang w:val="de-DE"/>
        </w:rPr>
      </w:pPr>
    </w:p>
    <w:p w:rsidR="00EA44BD" w:rsidRPr="00B05705" w:rsidRDefault="00EA44BD" w:rsidP="00EA44BD">
      <w:pPr>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Auf seiner dreiundfünfzigsten Tagung vom 3. bis 5. April 2017 in Genf vereinbarte der TC, Dokument TGP/14: Abschnitt 2: Unterabschnitt 2: „Formen und Strukturen</w:t>
      </w:r>
      <w:r>
        <w:rPr>
          <w:noProof/>
          <w:lang w:val="de-DE"/>
        </w:rPr>
        <w:t>“</w:t>
      </w:r>
      <w:r w:rsidRPr="00B05705">
        <w:rPr>
          <w:noProof/>
          <w:lang w:val="de-DE"/>
        </w:rPr>
        <w:t xml:space="preserve"> zu überarbeiten, um das Raster für die Position der breitesten Stelle und Breite/Verhältnis, dargelegt in Beispiel 5, Alternative 2, zu ändern, den Wortlaut „Verhältnis</w:t>
      </w:r>
      <w:r>
        <w:rPr>
          <w:noProof/>
          <w:lang w:val="de-DE"/>
        </w:rPr>
        <w:t>“</w:t>
      </w:r>
      <w:r w:rsidRPr="00B05705">
        <w:rPr>
          <w:noProof/>
          <w:lang w:val="de-DE"/>
        </w:rPr>
        <w:t xml:space="preserve"> zu streichen und in einer von der Skala von „breit bis schmal</w:t>
      </w:r>
      <w:r>
        <w:rPr>
          <w:noProof/>
          <w:lang w:val="de-DE"/>
        </w:rPr>
        <w:t>“</w:t>
      </w:r>
      <w:r w:rsidRPr="00B05705">
        <w:rPr>
          <w:noProof/>
          <w:lang w:val="de-DE"/>
        </w:rPr>
        <w:t xml:space="preserve"> separaten Spalte mit „relative Breite</w:t>
      </w:r>
      <w:r>
        <w:rPr>
          <w:noProof/>
          <w:lang w:val="de-DE"/>
        </w:rPr>
        <w:t>“</w:t>
      </w:r>
      <w:r w:rsidRPr="00B05705">
        <w:rPr>
          <w:noProof/>
          <w:lang w:val="de-DE"/>
        </w:rPr>
        <w:t xml:space="preserve"> zu ersetzen, wie in Anlage III dieses Dokuments dargelegt (vergleiche Dokument TC/53/31 „Bericht</w:t>
      </w:r>
      <w:r>
        <w:rPr>
          <w:noProof/>
          <w:lang w:val="de-DE"/>
        </w:rPr>
        <w:t>“</w:t>
      </w:r>
      <w:r w:rsidRPr="00B05705">
        <w:rPr>
          <w:noProof/>
          <w:lang w:val="de-DE"/>
        </w:rPr>
        <w:t>, Absatz 141). (</w:t>
      </w:r>
      <w:r w:rsidRPr="00B05705">
        <w:rPr>
          <w:strike/>
          <w:noProof/>
          <w:highlight w:val="lightGray"/>
          <w:lang w:val="de-DE"/>
        </w:rPr>
        <w:t>Hervorheben und Durchstreichen</w:t>
      </w:r>
      <w:r w:rsidRPr="00B05705">
        <w:rPr>
          <w:noProof/>
          <w:lang w:val="de-DE"/>
        </w:rPr>
        <w:t xml:space="preserve"> für Streichungen und </w:t>
      </w:r>
      <w:r w:rsidRPr="00B05705">
        <w:rPr>
          <w:noProof/>
          <w:highlight w:val="lightGray"/>
          <w:u w:val="single"/>
          <w:lang w:val="de-DE"/>
        </w:rPr>
        <w:t>Hervorheben und Unterstreichen</w:t>
      </w:r>
      <w:r w:rsidRPr="00B05705">
        <w:rPr>
          <w:noProof/>
          <w:u w:val="single"/>
          <w:lang w:val="de-DE"/>
        </w:rPr>
        <w:t xml:space="preserve"> für Einfügung</w:t>
      </w:r>
      <w:r w:rsidRPr="00B05705">
        <w:rPr>
          <w:noProof/>
          <w:lang w:val="de-DE"/>
        </w:rPr>
        <w:t>):</w:t>
      </w:r>
    </w:p>
    <w:p w:rsidR="00EA44BD" w:rsidRPr="00B05705" w:rsidRDefault="00EA44BD" w:rsidP="00EA44BD">
      <w:pPr>
        <w:rPr>
          <w:noProof/>
          <w:lang w:val="de-DE"/>
        </w:rPr>
      </w:pPr>
    </w:p>
    <w:p w:rsidR="00EA44BD" w:rsidRPr="00B05705" w:rsidRDefault="00EA44BD" w:rsidP="00EA44BD">
      <w:pPr>
        <w:keepNext/>
        <w:keepLines/>
        <w:rPr>
          <w:noProof/>
          <w:lang w:val="de-D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89"/>
        <w:gridCol w:w="1375"/>
        <w:gridCol w:w="14"/>
      </w:tblGrid>
      <w:tr w:rsidR="00EA44BD" w:rsidRPr="00B05705" w:rsidTr="00DC4ECD">
        <w:trPr>
          <w:gridBefore w:val="1"/>
          <w:gridAfter w:val="1"/>
          <w:wBefore w:w="379" w:type="dxa"/>
          <w:wAfter w:w="14" w:type="dxa"/>
          <w:cantSplit/>
          <w:jc w:val="center"/>
        </w:trPr>
        <w:tc>
          <w:tcPr>
            <w:tcW w:w="422" w:type="dxa"/>
            <w:tcBorders>
              <w:top w:val="nil"/>
              <w:left w:val="nil"/>
              <w:bottom w:val="nil"/>
              <w:right w:val="nil"/>
            </w:tcBorders>
          </w:tcPr>
          <w:p w:rsidR="00EA44BD" w:rsidRPr="00B05705" w:rsidRDefault="00EA44BD" w:rsidP="00DC4ECD">
            <w:pPr>
              <w:keepNext/>
              <w:keepLines/>
              <w:jc w:val="center"/>
              <w:rPr>
                <w:noProof/>
                <w:sz w:val="18"/>
                <w:lang w:val="de-DE"/>
              </w:rPr>
            </w:pPr>
          </w:p>
        </w:tc>
        <w:tc>
          <w:tcPr>
            <w:tcW w:w="283" w:type="dxa"/>
            <w:gridSpan w:val="2"/>
            <w:tcBorders>
              <w:top w:val="nil"/>
              <w:left w:val="nil"/>
              <w:bottom w:val="nil"/>
              <w:right w:val="nil"/>
            </w:tcBorders>
          </w:tcPr>
          <w:p w:rsidR="00EA44BD" w:rsidRPr="00B05705" w:rsidRDefault="00EA44BD" w:rsidP="00DC4ECD">
            <w:pPr>
              <w:keepNext/>
              <w:keepLines/>
              <w:jc w:val="center"/>
              <w:rPr>
                <w:noProof/>
                <w:sz w:val="18"/>
                <w:lang w:val="de-DE"/>
              </w:rPr>
            </w:pPr>
          </w:p>
        </w:tc>
        <w:tc>
          <w:tcPr>
            <w:tcW w:w="8357" w:type="dxa"/>
            <w:gridSpan w:val="9"/>
            <w:tcBorders>
              <w:left w:val="single" w:sz="4" w:space="0" w:color="auto"/>
              <w:bottom w:val="nil"/>
            </w:tcBorders>
          </w:tcPr>
          <w:p w:rsidR="00EA44BD" w:rsidRPr="00B05705" w:rsidRDefault="00EA44BD" w:rsidP="00DC4ECD">
            <w:pPr>
              <w:keepNext/>
              <w:keepLines/>
              <w:jc w:val="center"/>
              <w:rPr>
                <w:noProof/>
                <w:sz w:val="18"/>
                <w:lang w:val="de-DE"/>
              </w:rPr>
            </w:pPr>
            <w:r w:rsidRPr="00B05705">
              <w:rPr>
                <w:noProof/>
                <w:sz w:val="18"/>
                <w:lang w:val="de-DE"/>
              </w:rPr>
              <w:tab/>
            </w:r>
            <w:r w:rsidRPr="00B05705">
              <w:rPr>
                <w:noProof/>
                <w:sz w:val="18"/>
                <w:lang w:val="de-DE"/>
              </w:rPr>
              <w:sym w:font="Wingdings" w:char="F0DF"/>
            </w:r>
            <w:r w:rsidRPr="00B05705">
              <w:rPr>
                <w:noProof/>
                <w:sz w:val="18"/>
                <w:lang w:val="de-DE"/>
              </w:rPr>
              <w:tab/>
            </w:r>
            <w:r w:rsidRPr="00B05705">
              <w:rPr>
                <w:noProof/>
                <w:sz w:val="18"/>
                <w:lang w:val="de-DE"/>
              </w:rPr>
              <w:tab/>
              <w:t>breitester Teil</w:t>
            </w:r>
            <w:r w:rsidRPr="00B05705">
              <w:rPr>
                <w:noProof/>
                <w:sz w:val="18"/>
                <w:lang w:val="de-DE"/>
              </w:rPr>
              <w:tab/>
            </w:r>
            <w:r w:rsidRPr="00B05705">
              <w:rPr>
                <w:noProof/>
                <w:sz w:val="18"/>
                <w:lang w:val="de-DE"/>
              </w:rPr>
              <w:tab/>
            </w:r>
            <w:r w:rsidRPr="00B05705">
              <w:rPr>
                <w:noProof/>
                <w:sz w:val="18"/>
                <w:lang w:val="de-DE"/>
              </w:rPr>
              <w:sym w:font="Wingdings" w:char="F0E0"/>
            </w:r>
            <w:r w:rsidRPr="00B05705">
              <w:rPr>
                <w:noProof/>
                <w:sz w:val="18"/>
                <w:lang w:val="de-DE"/>
              </w:rPr>
              <w:t xml:space="preserve"> </w:t>
            </w:r>
            <w:r w:rsidRPr="00B05705">
              <w:rPr>
                <w:noProof/>
                <w:sz w:val="18"/>
                <w:lang w:val="de-DE"/>
              </w:rPr>
              <w:tab/>
            </w:r>
          </w:p>
        </w:tc>
      </w:tr>
      <w:tr w:rsidR="00EA44BD" w:rsidRPr="00B05705" w:rsidTr="00DC4ECD">
        <w:trPr>
          <w:gridBefore w:val="1"/>
          <w:gridAfter w:val="1"/>
          <w:wBefore w:w="379" w:type="dxa"/>
          <w:wAfter w:w="14" w:type="dxa"/>
          <w:cantSplit/>
          <w:jc w:val="center"/>
        </w:trPr>
        <w:tc>
          <w:tcPr>
            <w:tcW w:w="422" w:type="dxa"/>
            <w:tcBorders>
              <w:top w:val="nil"/>
              <w:left w:val="nil"/>
              <w:bottom w:val="nil"/>
              <w:right w:val="nil"/>
            </w:tcBorders>
          </w:tcPr>
          <w:p w:rsidR="00EA44BD" w:rsidRPr="00B05705" w:rsidRDefault="00EA44BD" w:rsidP="00DC4ECD">
            <w:pPr>
              <w:jc w:val="center"/>
              <w:rPr>
                <w:noProof/>
                <w:sz w:val="18"/>
                <w:lang w:val="de-DE"/>
              </w:rPr>
            </w:pPr>
          </w:p>
        </w:tc>
        <w:tc>
          <w:tcPr>
            <w:tcW w:w="283" w:type="dxa"/>
            <w:gridSpan w:val="2"/>
            <w:tcBorders>
              <w:top w:val="nil"/>
              <w:left w:val="nil"/>
              <w:bottom w:val="nil"/>
              <w:right w:val="nil"/>
            </w:tcBorders>
          </w:tcPr>
          <w:p w:rsidR="00EA44BD" w:rsidRPr="00B05705" w:rsidRDefault="00EA44BD" w:rsidP="00DC4ECD">
            <w:pPr>
              <w:jc w:val="center"/>
              <w:rPr>
                <w:noProof/>
                <w:sz w:val="18"/>
                <w:lang w:val="de-DE"/>
              </w:rPr>
            </w:pPr>
          </w:p>
        </w:tc>
        <w:tc>
          <w:tcPr>
            <w:tcW w:w="2835" w:type="dxa"/>
            <w:gridSpan w:val="4"/>
            <w:tcBorders>
              <w:top w:val="single" w:sz="4" w:space="0" w:color="auto"/>
              <w:left w:val="single" w:sz="4" w:space="0" w:color="auto"/>
              <w:bottom w:val="single" w:sz="4" w:space="0" w:color="auto"/>
              <w:right w:val="single" w:sz="4" w:space="0" w:color="auto"/>
            </w:tcBorders>
          </w:tcPr>
          <w:p w:rsidR="00EA44BD" w:rsidRPr="00B05705" w:rsidRDefault="00EA44BD" w:rsidP="00DC4ECD">
            <w:pPr>
              <w:jc w:val="center"/>
              <w:rPr>
                <w:noProof/>
                <w:sz w:val="18"/>
                <w:lang w:val="de-DE"/>
              </w:rPr>
            </w:pPr>
            <w:r w:rsidRPr="00B05705">
              <w:rPr>
                <w:noProof/>
                <w:sz w:val="18"/>
                <w:lang w:val="de-DE"/>
              </w:rPr>
              <w:t>unterhalb der Mitte</w:t>
            </w:r>
          </w:p>
        </w:tc>
        <w:tc>
          <w:tcPr>
            <w:tcW w:w="1418" w:type="dxa"/>
            <w:gridSpan w:val="2"/>
            <w:tcBorders>
              <w:top w:val="single" w:sz="4" w:space="0" w:color="auto"/>
              <w:left w:val="single" w:sz="4" w:space="0" w:color="auto"/>
              <w:bottom w:val="single" w:sz="4" w:space="0" w:color="auto"/>
              <w:right w:val="single" w:sz="4" w:space="0" w:color="auto"/>
            </w:tcBorders>
          </w:tcPr>
          <w:p w:rsidR="00EA44BD" w:rsidRPr="00B05705" w:rsidRDefault="00EA44BD" w:rsidP="00DC4ECD">
            <w:pPr>
              <w:jc w:val="center"/>
              <w:rPr>
                <w:noProof/>
                <w:sz w:val="18"/>
                <w:lang w:val="de-DE"/>
              </w:rPr>
            </w:pPr>
            <w:r w:rsidRPr="00B05705">
              <w:rPr>
                <w:noProof/>
                <w:sz w:val="18"/>
                <w:lang w:val="de-DE"/>
              </w:rPr>
              <w:t>in der Mitte</w:t>
            </w:r>
          </w:p>
        </w:tc>
        <w:tc>
          <w:tcPr>
            <w:tcW w:w="4104" w:type="dxa"/>
            <w:gridSpan w:val="3"/>
            <w:tcBorders>
              <w:top w:val="single" w:sz="4" w:space="0" w:color="auto"/>
              <w:left w:val="single" w:sz="4" w:space="0" w:color="auto"/>
              <w:bottom w:val="single" w:sz="4" w:space="0" w:color="auto"/>
              <w:right w:val="single" w:sz="4" w:space="0" w:color="auto"/>
            </w:tcBorders>
          </w:tcPr>
          <w:p w:rsidR="00EA44BD" w:rsidRPr="00B05705" w:rsidRDefault="00EA44BD" w:rsidP="00DC4ECD">
            <w:pPr>
              <w:jc w:val="center"/>
              <w:rPr>
                <w:noProof/>
                <w:sz w:val="18"/>
                <w:lang w:val="de-DE"/>
              </w:rPr>
            </w:pPr>
            <w:r w:rsidRPr="00B05705">
              <w:rPr>
                <w:noProof/>
                <w:sz w:val="18"/>
                <w:lang w:val="de-DE"/>
              </w:rPr>
              <w:t>oberhalb der Mitte</w:t>
            </w:r>
          </w:p>
        </w:tc>
      </w:tr>
      <w:tr w:rsidR="00EA44BD" w:rsidRPr="00B05705" w:rsidTr="00DC4ECD">
        <w:trPr>
          <w:gridBefore w:val="1"/>
          <w:wBefore w:w="379" w:type="dxa"/>
          <w:trHeight w:val="163"/>
          <w:jc w:val="center"/>
        </w:trPr>
        <w:tc>
          <w:tcPr>
            <w:tcW w:w="429" w:type="dxa"/>
            <w:gridSpan w:val="2"/>
            <w:tcBorders>
              <w:top w:val="nil"/>
              <w:left w:val="nil"/>
              <w:bottom w:val="nil"/>
              <w:right w:val="nil"/>
            </w:tcBorders>
          </w:tcPr>
          <w:p w:rsidR="00EA44BD" w:rsidRPr="00B05705" w:rsidRDefault="00EA44BD" w:rsidP="00DC4ECD">
            <w:pPr>
              <w:jc w:val="center"/>
              <w:rPr>
                <w:noProof/>
                <w:sz w:val="18"/>
                <w:lang w:val="de-DE"/>
              </w:rPr>
            </w:pPr>
          </w:p>
        </w:tc>
        <w:tc>
          <w:tcPr>
            <w:tcW w:w="283" w:type="dxa"/>
            <w:gridSpan w:val="2"/>
            <w:tcBorders>
              <w:top w:val="nil"/>
              <w:left w:val="nil"/>
              <w:bottom w:val="nil"/>
              <w:right w:val="nil"/>
            </w:tcBorders>
          </w:tcPr>
          <w:p w:rsidR="00EA44BD" w:rsidRPr="00B05705" w:rsidRDefault="00EA44BD" w:rsidP="00DC4ECD">
            <w:pPr>
              <w:jc w:val="center"/>
              <w:rPr>
                <w:noProof/>
                <w:sz w:val="18"/>
                <w:lang w:val="de-DE"/>
              </w:rPr>
            </w:pPr>
          </w:p>
        </w:tc>
        <w:tc>
          <w:tcPr>
            <w:tcW w:w="1420" w:type="dxa"/>
            <w:tcBorders>
              <w:top w:val="nil"/>
              <w:left w:val="nil"/>
              <w:bottom w:val="nil"/>
              <w:right w:val="nil"/>
            </w:tcBorders>
          </w:tcPr>
          <w:p w:rsidR="00EA44BD" w:rsidRPr="00B05705" w:rsidRDefault="00EA44BD" w:rsidP="00DC4ECD">
            <w:pPr>
              <w:jc w:val="center"/>
              <w:rPr>
                <w:noProof/>
                <w:sz w:val="18"/>
                <w:lang w:val="de-DE"/>
              </w:rPr>
            </w:pPr>
          </w:p>
        </w:tc>
        <w:tc>
          <w:tcPr>
            <w:tcW w:w="1389" w:type="dxa"/>
            <w:tcBorders>
              <w:top w:val="nil"/>
              <w:left w:val="nil"/>
              <w:bottom w:val="nil"/>
              <w:right w:val="nil"/>
            </w:tcBorders>
          </w:tcPr>
          <w:p w:rsidR="00EA44BD" w:rsidRPr="00B05705" w:rsidRDefault="00EA44BD" w:rsidP="00DC4ECD">
            <w:pPr>
              <w:jc w:val="center"/>
              <w:rPr>
                <w:noProof/>
                <w:sz w:val="18"/>
                <w:lang w:val="de-DE"/>
              </w:rPr>
            </w:pPr>
          </w:p>
        </w:tc>
        <w:tc>
          <w:tcPr>
            <w:tcW w:w="1389" w:type="dxa"/>
            <w:gridSpan w:val="2"/>
            <w:tcBorders>
              <w:top w:val="nil"/>
              <w:left w:val="nil"/>
              <w:bottom w:val="nil"/>
              <w:right w:val="nil"/>
            </w:tcBorders>
          </w:tcPr>
          <w:p w:rsidR="00EA44BD" w:rsidRPr="00B05705" w:rsidRDefault="00EA44BD" w:rsidP="00DC4ECD">
            <w:pPr>
              <w:jc w:val="center"/>
              <w:rPr>
                <w:noProof/>
                <w:sz w:val="18"/>
                <w:lang w:val="de-DE"/>
              </w:rPr>
            </w:pPr>
          </w:p>
        </w:tc>
        <w:tc>
          <w:tcPr>
            <w:tcW w:w="1388" w:type="dxa"/>
            <w:gridSpan w:val="2"/>
            <w:tcBorders>
              <w:top w:val="nil"/>
              <w:left w:val="nil"/>
              <w:bottom w:val="nil"/>
              <w:right w:val="nil"/>
            </w:tcBorders>
          </w:tcPr>
          <w:p w:rsidR="00EA44BD" w:rsidRPr="00B05705" w:rsidRDefault="00EA44BD" w:rsidP="00DC4ECD">
            <w:pPr>
              <w:jc w:val="center"/>
              <w:rPr>
                <w:noProof/>
                <w:sz w:val="18"/>
                <w:lang w:val="de-DE"/>
              </w:rPr>
            </w:pPr>
          </w:p>
        </w:tc>
        <w:tc>
          <w:tcPr>
            <w:tcW w:w="1389" w:type="dxa"/>
            <w:tcBorders>
              <w:top w:val="nil"/>
              <w:left w:val="nil"/>
              <w:bottom w:val="nil"/>
              <w:right w:val="nil"/>
            </w:tcBorders>
          </w:tcPr>
          <w:p w:rsidR="00EA44BD" w:rsidRPr="00B05705" w:rsidRDefault="00EA44BD" w:rsidP="00DC4ECD">
            <w:pPr>
              <w:jc w:val="center"/>
              <w:rPr>
                <w:noProof/>
                <w:sz w:val="18"/>
                <w:lang w:val="de-DE"/>
              </w:rPr>
            </w:pPr>
          </w:p>
        </w:tc>
        <w:tc>
          <w:tcPr>
            <w:tcW w:w="1389" w:type="dxa"/>
            <w:gridSpan w:val="2"/>
            <w:tcBorders>
              <w:top w:val="nil"/>
              <w:left w:val="nil"/>
              <w:bottom w:val="nil"/>
              <w:right w:val="nil"/>
            </w:tcBorders>
          </w:tcPr>
          <w:p w:rsidR="00EA44BD" w:rsidRPr="00B05705" w:rsidRDefault="00EA44BD" w:rsidP="00DC4ECD">
            <w:pPr>
              <w:jc w:val="center"/>
              <w:rPr>
                <w:noProof/>
                <w:sz w:val="18"/>
                <w:lang w:val="de-DE"/>
              </w:rPr>
            </w:pPr>
          </w:p>
        </w:tc>
      </w:tr>
      <w:tr w:rsidR="00EA44BD" w:rsidRPr="00B05705" w:rsidTr="00DC4ECD">
        <w:trPr>
          <w:cantSplit/>
          <w:jc w:val="center"/>
        </w:trPr>
        <w:tc>
          <w:tcPr>
            <w:tcW w:w="379" w:type="dxa"/>
            <w:vMerge w:val="restart"/>
            <w:shd w:val="clear" w:color="auto" w:fill="auto"/>
            <w:textDirection w:val="btLr"/>
          </w:tcPr>
          <w:p w:rsidR="00EA44BD" w:rsidRPr="00B05705" w:rsidRDefault="00EA44BD" w:rsidP="00DC4ECD">
            <w:pPr>
              <w:ind w:left="113" w:right="113"/>
              <w:jc w:val="center"/>
              <w:rPr>
                <w:noProof/>
                <w:sz w:val="18"/>
                <w:u w:val="single"/>
                <w:lang w:val="de-DE"/>
              </w:rPr>
            </w:pPr>
            <w:r w:rsidRPr="00B05705">
              <w:rPr>
                <w:noProof/>
                <w:sz w:val="18"/>
                <w:highlight w:val="lightGray"/>
                <w:u w:val="single"/>
                <w:lang w:val="de-DE"/>
              </w:rPr>
              <w:sym w:font="Wingdings" w:char="F0DF"/>
            </w:r>
            <w:r>
              <w:rPr>
                <w:noProof/>
                <w:sz w:val="18"/>
                <w:highlight w:val="lightGray"/>
                <w:u w:val="single"/>
                <w:lang w:val="de-DE"/>
              </w:rPr>
              <w:t xml:space="preserve">    </w:t>
            </w:r>
            <w:r w:rsidRPr="00B05705">
              <w:rPr>
                <w:noProof/>
                <w:sz w:val="18"/>
                <w:highlight w:val="lightGray"/>
                <w:u w:val="single"/>
                <w:lang w:val="de-DE"/>
              </w:rPr>
              <w:t xml:space="preserve"> relative Breite</w:t>
            </w:r>
            <w:r>
              <w:rPr>
                <w:noProof/>
                <w:sz w:val="18"/>
                <w:highlight w:val="lightGray"/>
                <w:u w:val="single"/>
                <w:lang w:val="de-DE"/>
              </w:rPr>
              <w:t xml:space="preserve">    </w:t>
            </w:r>
            <w:r w:rsidRPr="00B05705">
              <w:rPr>
                <w:noProof/>
                <w:sz w:val="18"/>
                <w:highlight w:val="lightGray"/>
                <w:u w:val="single"/>
                <w:lang w:val="de-DE"/>
              </w:rPr>
              <w:t xml:space="preserve"> </w:t>
            </w:r>
            <w:r w:rsidRPr="00B05705">
              <w:rPr>
                <w:noProof/>
                <w:sz w:val="18"/>
                <w:highlight w:val="lightGray"/>
                <w:u w:val="single"/>
                <w:lang w:val="de-DE"/>
              </w:rPr>
              <w:sym w:font="Wingdings" w:char="F0E0"/>
            </w:r>
          </w:p>
        </w:tc>
        <w:tc>
          <w:tcPr>
            <w:tcW w:w="429" w:type="dxa"/>
            <w:gridSpan w:val="2"/>
            <w:vMerge w:val="restart"/>
            <w:tcBorders>
              <w:top w:val="single" w:sz="4" w:space="0" w:color="auto"/>
              <w:right w:val="single" w:sz="4" w:space="0" w:color="auto"/>
            </w:tcBorders>
            <w:textDirection w:val="btLr"/>
          </w:tcPr>
          <w:p w:rsidR="00EA44BD" w:rsidRPr="00B05705" w:rsidRDefault="00EA44BD" w:rsidP="00DC4ECD">
            <w:pPr>
              <w:ind w:left="113" w:right="113"/>
              <w:jc w:val="center"/>
              <w:rPr>
                <w:noProof/>
                <w:sz w:val="18"/>
                <w:lang w:val="de-DE"/>
              </w:rPr>
            </w:pPr>
            <w:r w:rsidRPr="00B05705">
              <w:rPr>
                <w:noProof/>
                <w:sz w:val="18"/>
                <w:lang w:val="de-DE"/>
              </w:rPr>
              <w:t xml:space="preserve">breit </w:t>
            </w:r>
            <w:r w:rsidRPr="00B05705">
              <w:rPr>
                <w:strike/>
                <w:noProof/>
                <w:sz w:val="18"/>
                <w:highlight w:val="lightGray"/>
                <w:lang w:val="de-DE"/>
              </w:rPr>
              <w:t>(klein)</w:t>
            </w:r>
            <w:r w:rsidRPr="00B05705">
              <w:rPr>
                <w:noProof/>
                <w:sz w:val="18"/>
                <w:lang w:val="de-DE"/>
              </w:rPr>
              <w:sym w:font="Wingdings" w:char="F0DF"/>
            </w:r>
            <w:r>
              <w:rPr>
                <w:noProof/>
                <w:sz w:val="18"/>
                <w:lang w:val="de-DE"/>
              </w:rPr>
              <w:t xml:space="preserve">  </w:t>
            </w:r>
            <w:r w:rsidRPr="00B05705">
              <w:rPr>
                <w:noProof/>
                <w:sz w:val="18"/>
                <w:lang w:val="de-DE"/>
              </w:rPr>
              <w:t xml:space="preserve"> </w:t>
            </w:r>
            <w:r w:rsidRPr="00B05705">
              <w:rPr>
                <w:strike/>
                <w:noProof/>
                <w:sz w:val="18"/>
                <w:lang w:val="de-DE"/>
              </w:rPr>
              <w:t xml:space="preserve">Breite </w:t>
            </w:r>
            <w:r w:rsidRPr="00B05705">
              <w:rPr>
                <w:strike/>
                <w:noProof/>
                <w:sz w:val="18"/>
                <w:highlight w:val="lightGray"/>
                <w:lang w:val="de-DE"/>
              </w:rPr>
              <w:t>(Verhältnis Länge/Breite)</w:t>
            </w:r>
            <w:r>
              <w:rPr>
                <w:noProof/>
                <w:sz w:val="18"/>
                <w:lang w:val="de-DE"/>
              </w:rPr>
              <w:t xml:space="preserve">  </w:t>
            </w:r>
            <w:r w:rsidRPr="00B05705">
              <w:rPr>
                <w:noProof/>
                <w:sz w:val="18"/>
                <w:lang w:val="de-DE"/>
              </w:rPr>
              <w:t xml:space="preserve"> </w:t>
            </w:r>
            <w:r w:rsidRPr="00B05705">
              <w:rPr>
                <w:noProof/>
                <w:sz w:val="18"/>
                <w:lang w:val="de-DE"/>
              </w:rPr>
              <w:sym w:font="Wingdings" w:char="F0E0"/>
            </w:r>
            <w:r w:rsidRPr="00B05705">
              <w:rPr>
                <w:noProof/>
                <w:sz w:val="18"/>
                <w:lang w:val="de-DE"/>
              </w:rPr>
              <w:t xml:space="preserve"> schmal </w:t>
            </w:r>
            <w:r w:rsidRPr="00B05705">
              <w:rPr>
                <w:strike/>
                <w:noProof/>
                <w:sz w:val="18"/>
                <w:highlight w:val="lightGray"/>
                <w:lang w:val="de-DE"/>
              </w:rPr>
              <w:t>(groß)</w:t>
            </w:r>
          </w:p>
        </w:tc>
        <w:tc>
          <w:tcPr>
            <w:tcW w:w="283" w:type="dxa"/>
            <w:gridSpan w:val="2"/>
            <w:tcBorders>
              <w:top w:val="nil"/>
              <w:left w:val="nil"/>
              <w:bottom w:val="nil"/>
              <w:right w:val="nil"/>
            </w:tcBorders>
          </w:tcPr>
          <w:p w:rsidR="00EA44BD" w:rsidRPr="00B05705" w:rsidRDefault="00EA44BD" w:rsidP="00DC4ECD">
            <w:pPr>
              <w:jc w:val="center"/>
              <w:rPr>
                <w:noProof/>
                <w:sz w:val="18"/>
                <w:lang w:val="de-DE"/>
              </w:rPr>
            </w:pPr>
          </w:p>
        </w:tc>
        <w:tc>
          <w:tcPr>
            <w:tcW w:w="1420" w:type="dxa"/>
            <w:tcBorders>
              <w:left w:val="single" w:sz="4" w:space="0" w:color="auto"/>
            </w:tcBorders>
          </w:tcPr>
          <w:p w:rsidR="00EA44BD" w:rsidRPr="00B05705" w:rsidRDefault="00EA44BD" w:rsidP="00DC4ECD">
            <w:pPr>
              <w:jc w:val="center"/>
              <w:rPr>
                <w:noProof/>
                <w:sz w:val="18"/>
                <w:lang w:val="de-DE"/>
              </w:rPr>
            </w:pPr>
          </w:p>
        </w:tc>
        <w:tc>
          <w:tcPr>
            <w:tcW w:w="1389" w:type="dxa"/>
          </w:tcPr>
          <w:p w:rsidR="00EA44BD" w:rsidRPr="00B05705" w:rsidRDefault="00EA44BD" w:rsidP="00DC4ECD">
            <w:pPr>
              <w:jc w:val="center"/>
              <w:rPr>
                <w:noProof/>
                <w:sz w:val="18"/>
                <w:lang w:val="de-DE"/>
              </w:rPr>
            </w:pPr>
          </w:p>
        </w:tc>
        <w:tc>
          <w:tcPr>
            <w:tcW w:w="1389" w:type="dxa"/>
            <w:gridSpan w:val="2"/>
          </w:tcPr>
          <w:p w:rsidR="00EA44BD" w:rsidRPr="00B05705" w:rsidRDefault="00EA44BD" w:rsidP="00DC4ECD">
            <w:pPr>
              <w:jc w:val="center"/>
              <w:rPr>
                <w:noProof/>
                <w:sz w:val="18"/>
                <w:lang w:val="de-DE"/>
              </w:rPr>
            </w:pPr>
            <w:r w:rsidRPr="00B05705">
              <w:rPr>
                <w:noProof/>
                <w:sz w:val="18"/>
              </w:rPr>
              <w:drawing>
                <wp:inline distT="0" distB="0" distL="0" distR="0" wp14:anchorId="768C16B5" wp14:editId="77501D81">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 xml:space="preserve">6 </w:t>
            </w:r>
          </w:p>
          <w:p w:rsidR="00EA44BD" w:rsidRPr="00B05705" w:rsidRDefault="00EA44BD" w:rsidP="00DC4ECD">
            <w:pPr>
              <w:jc w:val="center"/>
              <w:rPr>
                <w:noProof/>
                <w:sz w:val="18"/>
                <w:lang w:val="de-DE"/>
              </w:rPr>
            </w:pPr>
            <w:r w:rsidRPr="00B05705">
              <w:rPr>
                <w:noProof/>
                <w:sz w:val="18"/>
                <w:lang w:val="de-DE"/>
              </w:rPr>
              <w:t>linear</w:t>
            </w:r>
          </w:p>
        </w:tc>
        <w:tc>
          <w:tcPr>
            <w:tcW w:w="1388" w:type="dxa"/>
            <w:gridSpan w:val="2"/>
          </w:tcPr>
          <w:p w:rsidR="00EA44BD" w:rsidRPr="00B05705" w:rsidRDefault="00EA44BD" w:rsidP="00DC4ECD">
            <w:pPr>
              <w:jc w:val="center"/>
              <w:rPr>
                <w:noProof/>
                <w:sz w:val="18"/>
                <w:lang w:val="de-DE"/>
              </w:rPr>
            </w:pPr>
          </w:p>
        </w:tc>
        <w:tc>
          <w:tcPr>
            <w:tcW w:w="1389" w:type="dxa"/>
          </w:tcPr>
          <w:p w:rsidR="00EA44BD" w:rsidRPr="00B05705" w:rsidRDefault="00EA44BD" w:rsidP="00DC4ECD">
            <w:pPr>
              <w:jc w:val="center"/>
              <w:rPr>
                <w:noProof/>
                <w:sz w:val="18"/>
                <w:lang w:val="de-DE"/>
              </w:rPr>
            </w:pPr>
          </w:p>
        </w:tc>
        <w:tc>
          <w:tcPr>
            <w:tcW w:w="1389" w:type="dxa"/>
            <w:gridSpan w:val="2"/>
          </w:tcPr>
          <w:p w:rsidR="00EA44BD" w:rsidRPr="00B05705" w:rsidRDefault="00EA44BD" w:rsidP="00DC4ECD">
            <w:pPr>
              <w:jc w:val="center"/>
              <w:rPr>
                <w:noProof/>
                <w:sz w:val="18"/>
                <w:lang w:val="de-DE"/>
              </w:rPr>
            </w:pPr>
          </w:p>
        </w:tc>
      </w:tr>
      <w:tr w:rsidR="00EA44BD" w:rsidRPr="00B05705" w:rsidTr="00DC4ECD">
        <w:trPr>
          <w:cantSplit/>
          <w:jc w:val="center"/>
        </w:trPr>
        <w:tc>
          <w:tcPr>
            <w:tcW w:w="379" w:type="dxa"/>
            <w:vMerge/>
            <w:shd w:val="clear" w:color="auto" w:fill="auto"/>
          </w:tcPr>
          <w:p w:rsidR="00EA44BD" w:rsidRPr="00B05705" w:rsidRDefault="00EA44BD" w:rsidP="00DC4ECD">
            <w:pPr>
              <w:jc w:val="center"/>
              <w:rPr>
                <w:noProof/>
                <w:sz w:val="18"/>
                <w:lang w:val="de-DE"/>
              </w:rPr>
            </w:pPr>
          </w:p>
        </w:tc>
        <w:tc>
          <w:tcPr>
            <w:tcW w:w="429" w:type="dxa"/>
            <w:gridSpan w:val="2"/>
            <w:vMerge/>
            <w:tcBorders>
              <w:right w:val="single" w:sz="4" w:space="0" w:color="auto"/>
            </w:tcBorders>
          </w:tcPr>
          <w:p w:rsidR="00EA44BD" w:rsidRPr="00B05705" w:rsidRDefault="00EA44BD" w:rsidP="00DC4ECD">
            <w:pPr>
              <w:jc w:val="center"/>
              <w:rPr>
                <w:noProof/>
                <w:sz w:val="18"/>
                <w:lang w:val="de-DE"/>
              </w:rPr>
            </w:pPr>
          </w:p>
        </w:tc>
        <w:tc>
          <w:tcPr>
            <w:tcW w:w="283" w:type="dxa"/>
            <w:gridSpan w:val="2"/>
            <w:tcBorders>
              <w:top w:val="nil"/>
              <w:left w:val="nil"/>
              <w:bottom w:val="nil"/>
              <w:right w:val="nil"/>
            </w:tcBorders>
          </w:tcPr>
          <w:p w:rsidR="00EA44BD" w:rsidRPr="00B05705" w:rsidRDefault="00EA44BD" w:rsidP="00DC4ECD">
            <w:pPr>
              <w:jc w:val="center"/>
              <w:rPr>
                <w:noProof/>
                <w:sz w:val="18"/>
                <w:lang w:val="de-DE"/>
              </w:rPr>
            </w:pPr>
          </w:p>
        </w:tc>
        <w:tc>
          <w:tcPr>
            <w:tcW w:w="1420" w:type="dxa"/>
            <w:tcBorders>
              <w:left w:val="single" w:sz="4" w:space="0" w:color="auto"/>
            </w:tcBorders>
          </w:tcPr>
          <w:p w:rsidR="00EA44BD" w:rsidRPr="00B05705" w:rsidRDefault="00EA44BD" w:rsidP="00DC4ECD">
            <w:pPr>
              <w:jc w:val="center"/>
              <w:rPr>
                <w:noProof/>
                <w:sz w:val="18"/>
                <w:lang w:val="de-DE"/>
              </w:rPr>
            </w:pPr>
          </w:p>
        </w:tc>
        <w:tc>
          <w:tcPr>
            <w:tcW w:w="1389" w:type="dxa"/>
          </w:tcPr>
          <w:p w:rsidR="00EA44BD" w:rsidRPr="00B05705" w:rsidRDefault="00EA44BD" w:rsidP="00DC4ECD">
            <w:pPr>
              <w:jc w:val="center"/>
              <w:rPr>
                <w:noProof/>
                <w:sz w:val="18"/>
                <w:lang w:val="de-DE"/>
              </w:rPr>
            </w:pPr>
          </w:p>
        </w:tc>
        <w:tc>
          <w:tcPr>
            <w:tcW w:w="1389" w:type="dxa"/>
            <w:gridSpan w:val="2"/>
          </w:tcPr>
          <w:p w:rsidR="00EA44BD" w:rsidRPr="00B05705" w:rsidRDefault="00EA44BD" w:rsidP="00DC4ECD">
            <w:pPr>
              <w:jc w:val="center"/>
              <w:rPr>
                <w:noProof/>
                <w:sz w:val="18"/>
                <w:lang w:val="de-DE"/>
              </w:rPr>
            </w:pPr>
            <w:r w:rsidRPr="00B05705">
              <w:rPr>
                <w:noProof/>
                <w:sz w:val="18"/>
              </w:rPr>
              <w:drawing>
                <wp:inline distT="0" distB="0" distL="0" distR="0" wp14:anchorId="5788D287" wp14:editId="370157D7">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5</w:t>
            </w:r>
          </w:p>
          <w:p w:rsidR="00EA44BD" w:rsidRPr="00B05705" w:rsidRDefault="00EA44BD" w:rsidP="00DC4ECD">
            <w:pPr>
              <w:jc w:val="center"/>
              <w:rPr>
                <w:noProof/>
                <w:sz w:val="18"/>
                <w:lang w:val="de-DE"/>
              </w:rPr>
            </w:pPr>
            <w:r w:rsidRPr="00B05705">
              <w:rPr>
                <w:noProof/>
                <w:sz w:val="18"/>
                <w:lang w:val="de-DE"/>
              </w:rPr>
              <w:t>rechteckig</w:t>
            </w:r>
          </w:p>
        </w:tc>
        <w:tc>
          <w:tcPr>
            <w:tcW w:w="1388" w:type="dxa"/>
            <w:gridSpan w:val="2"/>
          </w:tcPr>
          <w:p w:rsidR="00EA44BD" w:rsidRPr="00B05705" w:rsidRDefault="00EA44BD" w:rsidP="00DC4ECD">
            <w:pPr>
              <w:jc w:val="center"/>
              <w:rPr>
                <w:noProof/>
                <w:sz w:val="18"/>
                <w:lang w:val="de-DE"/>
              </w:rPr>
            </w:pPr>
            <w:r w:rsidRPr="00B05705">
              <w:rPr>
                <w:noProof/>
                <w:sz w:val="18"/>
              </w:rPr>
              <w:drawing>
                <wp:inline distT="0" distB="0" distL="0" distR="0" wp14:anchorId="4993A1EE" wp14:editId="3FB80499">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8</w:t>
            </w:r>
          </w:p>
          <w:p w:rsidR="00EA44BD" w:rsidRPr="00B05705" w:rsidRDefault="00EA44BD" w:rsidP="00DC4ECD">
            <w:pPr>
              <w:jc w:val="center"/>
              <w:rPr>
                <w:noProof/>
                <w:sz w:val="18"/>
                <w:lang w:val="de-DE"/>
              </w:rPr>
            </w:pPr>
            <w:r w:rsidRPr="00B05705">
              <w:rPr>
                <w:noProof/>
                <w:sz w:val="18"/>
                <w:lang w:val="de-DE"/>
              </w:rPr>
              <w:t>verkehrt lanzettlich</w:t>
            </w:r>
          </w:p>
        </w:tc>
        <w:tc>
          <w:tcPr>
            <w:tcW w:w="1389" w:type="dxa"/>
          </w:tcPr>
          <w:p w:rsidR="00EA44BD" w:rsidRPr="00B05705" w:rsidRDefault="00EA44BD" w:rsidP="00DC4ECD">
            <w:pPr>
              <w:jc w:val="center"/>
              <w:rPr>
                <w:noProof/>
                <w:sz w:val="18"/>
                <w:lang w:val="de-DE"/>
              </w:rPr>
            </w:pPr>
            <w:r w:rsidRPr="00B05705">
              <w:rPr>
                <w:noProof/>
                <w:sz w:val="18"/>
              </w:rPr>
              <w:drawing>
                <wp:inline distT="0" distB="0" distL="0" distR="0" wp14:anchorId="119532F5" wp14:editId="23D09E86">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9</w:t>
            </w:r>
          </w:p>
          <w:p w:rsidR="00EA44BD" w:rsidRPr="00B05705" w:rsidRDefault="00EA44BD" w:rsidP="00DC4ECD">
            <w:pPr>
              <w:jc w:val="center"/>
              <w:rPr>
                <w:noProof/>
                <w:sz w:val="18"/>
                <w:lang w:val="de-DE"/>
              </w:rPr>
            </w:pPr>
            <w:r w:rsidRPr="00B05705">
              <w:rPr>
                <w:noProof/>
                <w:sz w:val="18"/>
                <w:lang w:val="de-DE"/>
              </w:rPr>
              <w:t>spatelförmig</w:t>
            </w:r>
          </w:p>
        </w:tc>
        <w:tc>
          <w:tcPr>
            <w:tcW w:w="1389" w:type="dxa"/>
            <w:gridSpan w:val="2"/>
          </w:tcPr>
          <w:p w:rsidR="00EA44BD" w:rsidRPr="00B05705" w:rsidRDefault="00EA44BD" w:rsidP="00DC4ECD">
            <w:pPr>
              <w:jc w:val="center"/>
              <w:rPr>
                <w:noProof/>
                <w:sz w:val="18"/>
                <w:lang w:val="de-DE"/>
              </w:rPr>
            </w:pPr>
          </w:p>
        </w:tc>
      </w:tr>
      <w:tr w:rsidR="00EA44BD" w:rsidRPr="00B05705" w:rsidTr="00DC4ECD">
        <w:trPr>
          <w:cantSplit/>
          <w:jc w:val="center"/>
        </w:trPr>
        <w:tc>
          <w:tcPr>
            <w:tcW w:w="379" w:type="dxa"/>
            <w:vMerge/>
            <w:shd w:val="clear" w:color="auto" w:fill="auto"/>
          </w:tcPr>
          <w:p w:rsidR="00EA44BD" w:rsidRPr="00B05705" w:rsidRDefault="00EA44BD" w:rsidP="00DC4ECD">
            <w:pPr>
              <w:jc w:val="center"/>
              <w:rPr>
                <w:noProof/>
                <w:sz w:val="18"/>
                <w:lang w:val="de-DE"/>
              </w:rPr>
            </w:pPr>
          </w:p>
        </w:tc>
        <w:tc>
          <w:tcPr>
            <w:tcW w:w="429" w:type="dxa"/>
            <w:gridSpan w:val="2"/>
            <w:vMerge/>
            <w:tcBorders>
              <w:right w:val="single" w:sz="4" w:space="0" w:color="auto"/>
            </w:tcBorders>
          </w:tcPr>
          <w:p w:rsidR="00EA44BD" w:rsidRPr="00B05705" w:rsidRDefault="00EA44BD" w:rsidP="00DC4ECD">
            <w:pPr>
              <w:jc w:val="center"/>
              <w:rPr>
                <w:noProof/>
                <w:sz w:val="18"/>
                <w:lang w:val="de-DE"/>
              </w:rPr>
            </w:pPr>
          </w:p>
        </w:tc>
        <w:tc>
          <w:tcPr>
            <w:tcW w:w="283" w:type="dxa"/>
            <w:gridSpan w:val="2"/>
            <w:tcBorders>
              <w:top w:val="nil"/>
              <w:left w:val="nil"/>
              <w:bottom w:val="nil"/>
              <w:right w:val="nil"/>
            </w:tcBorders>
          </w:tcPr>
          <w:p w:rsidR="00EA44BD" w:rsidRPr="00B05705" w:rsidRDefault="00EA44BD" w:rsidP="00DC4ECD">
            <w:pPr>
              <w:jc w:val="center"/>
              <w:rPr>
                <w:noProof/>
                <w:sz w:val="18"/>
                <w:lang w:val="de-DE"/>
              </w:rPr>
            </w:pPr>
          </w:p>
        </w:tc>
        <w:tc>
          <w:tcPr>
            <w:tcW w:w="1420" w:type="dxa"/>
            <w:tcBorders>
              <w:left w:val="single" w:sz="4" w:space="0" w:color="auto"/>
            </w:tcBorders>
          </w:tcPr>
          <w:p w:rsidR="00EA44BD" w:rsidRPr="00B05705" w:rsidRDefault="00EA44BD" w:rsidP="00DC4ECD">
            <w:pPr>
              <w:jc w:val="center"/>
              <w:rPr>
                <w:noProof/>
                <w:sz w:val="18"/>
                <w:lang w:val="de-DE"/>
              </w:rPr>
            </w:pPr>
            <w:r w:rsidRPr="00B05705">
              <w:rPr>
                <w:noProof/>
                <w:sz w:val="18"/>
              </w:rPr>
              <w:drawing>
                <wp:inline distT="0" distB="0" distL="0" distR="0" wp14:anchorId="155E3307" wp14:editId="59D85DCC">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 xml:space="preserve">1 </w:t>
            </w:r>
          </w:p>
          <w:p w:rsidR="00EA44BD" w:rsidRPr="00B05705" w:rsidRDefault="00EA44BD" w:rsidP="00DC4ECD">
            <w:pPr>
              <w:jc w:val="center"/>
              <w:rPr>
                <w:noProof/>
                <w:sz w:val="18"/>
                <w:lang w:val="de-DE"/>
              </w:rPr>
            </w:pPr>
            <w:r w:rsidRPr="00B05705">
              <w:rPr>
                <w:noProof/>
                <w:sz w:val="18"/>
                <w:lang w:val="de-DE"/>
              </w:rPr>
              <w:t>dreieckig</w:t>
            </w:r>
          </w:p>
        </w:tc>
        <w:tc>
          <w:tcPr>
            <w:tcW w:w="1389" w:type="dxa"/>
          </w:tcPr>
          <w:p w:rsidR="00EA44BD" w:rsidRPr="00B05705" w:rsidRDefault="00EA44BD" w:rsidP="00DC4ECD">
            <w:pPr>
              <w:jc w:val="center"/>
              <w:rPr>
                <w:noProof/>
                <w:sz w:val="18"/>
                <w:lang w:val="de-DE"/>
              </w:rPr>
            </w:pPr>
            <w:r w:rsidRPr="00B05705">
              <w:rPr>
                <w:noProof/>
                <w:sz w:val="18"/>
              </w:rPr>
              <w:drawing>
                <wp:inline distT="0" distB="0" distL="0" distR="0" wp14:anchorId="5C93352C" wp14:editId="166BBF90">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2</w:t>
            </w:r>
          </w:p>
          <w:p w:rsidR="00EA44BD" w:rsidRPr="00B05705" w:rsidRDefault="00EA44BD" w:rsidP="00DC4ECD">
            <w:pPr>
              <w:jc w:val="center"/>
              <w:rPr>
                <w:noProof/>
                <w:sz w:val="18"/>
                <w:lang w:val="de-DE"/>
              </w:rPr>
            </w:pPr>
            <w:r w:rsidRPr="00B05705">
              <w:rPr>
                <w:noProof/>
                <w:sz w:val="18"/>
                <w:lang w:val="de-DE"/>
              </w:rPr>
              <w:t>eiförmig</w:t>
            </w:r>
          </w:p>
        </w:tc>
        <w:tc>
          <w:tcPr>
            <w:tcW w:w="1389" w:type="dxa"/>
            <w:gridSpan w:val="2"/>
          </w:tcPr>
          <w:p w:rsidR="00EA44BD" w:rsidRPr="00B05705" w:rsidRDefault="00EA44BD" w:rsidP="00DC4ECD">
            <w:pPr>
              <w:jc w:val="center"/>
              <w:rPr>
                <w:noProof/>
                <w:sz w:val="18"/>
                <w:lang w:val="de-DE"/>
              </w:rPr>
            </w:pPr>
            <w:r w:rsidRPr="00B05705">
              <w:rPr>
                <w:noProof/>
                <w:sz w:val="18"/>
              </w:rPr>
              <w:drawing>
                <wp:inline distT="0" distB="0" distL="0" distR="0" wp14:anchorId="3EA0C457" wp14:editId="38990CF5">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4</w:t>
            </w:r>
          </w:p>
          <w:p w:rsidR="00EA44BD" w:rsidRPr="00B05705" w:rsidRDefault="00EA44BD" w:rsidP="00DC4ECD">
            <w:pPr>
              <w:jc w:val="center"/>
              <w:rPr>
                <w:noProof/>
                <w:sz w:val="18"/>
                <w:lang w:val="de-DE"/>
              </w:rPr>
            </w:pPr>
            <w:r w:rsidRPr="00B05705">
              <w:rPr>
                <w:noProof/>
                <w:sz w:val="18"/>
                <w:lang w:val="de-DE"/>
              </w:rPr>
              <w:t>elliptisch</w:t>
            </w:r>
          </w:p>
        </w:tc>
        <w:tc>
          <w:tcPr>
            <w:tcW w:w="1388" w:type="dxa"/>
            <w:gridSpan w:val="2"/>
          </w:tcPr>
          <w:p w:rsidR="00EA44BD" w:rsidRPr="00B05705" w:rsidRDefault="00EA44BD" w:rsidP="00DC4ECD">
            <w:pPr>
              <w:jc w:val="center"/>
              <w:rPr>
                <w:noProof/>
                <w:sz w:val="18"/>
                <w:lang w:val="de-DE"/>
              </w:rPr>
            </w:pPr>
            <w:r w:rsidRPr="00B05705">
              <w:rPr>
                <w:noProof/>
                <w:sz w:val="18"/>
              </w:rPr>
              <w:drawing>
                <wp:inline distT="0" distB="0" distL="0" distR="0" wp14:anchorId="6292D431" wp14:editId="35E336B1">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7</w:t>
            </w:r>
          </w:p>
          <w:p w:rsidR="00EA44BD" w:rsidRPr="00B05705" w:rsidRDefault="00EA44BD" w:rsidP="00DC4ECD">
            <w:pPr>
              <w:jc w:val="center"/>
              <w:rPr>
                <w:noProof/>
                <w:sz w:val="18"/>
                <w:lang w:val="de-DE"/>
              </w:rPr>
            </w:pPr>
            <w:r w:rsidRPr="00B05705">
              <w:rPr>
                <w:noProof/>
                <w:sz w:val="18"/>
                <w:lang w:val="de-DE"/>
              </w:rPr>
              <w:t>verkehrt eiförmig</w:t>
            </w:r>
          </w:p>
        </w:tc>
        <w:tc>
          <w:tcPr>
            <w:tcW w:w="1389" w:type="dxa"/>
          </w:tcPr>
          <w:p w:rsidR="00EA44BD" w:rsidRPr="00B05705" w:rsidRDefault="00EA44BD" w:rsidP="00DC4ECD">
            <w:pPr>
              <w:jc w:val="center"/>
              <w:rPr>
                <w:noProof/>
                <w:sz w:val="18"/>
                <w:lang w:val="de-DE"/>
              </w:rPr>
            </w:pPr>
          </w:p>
        </w:tc>
        <w:tc>
          <w:tcPr>
            <w:tcW w:w="1389" w:type="dxa"/>
            <w:gridSpan w:val="2"/>
          </w:tcPr>
          <w:p w:rsidR="00EA44BD" w:rsidRPr="00B05705" w:rsidRDefault="00EA44BD" w:rsidP="00DC4ECD">
            <w:pPr>
              <w:jc w:val="center"/>
              <w:rPr>
                <w:noProof/>
                <w:sz w:val="18"/>
                <w:lang w:val="de-DE"/>
              </w:rPr>
            </w:pPr>
            <w:r w:rsidRPr="00B05705">
              <w:rPr>
                <w:noProof/>
                <w:sz w:val="18"/>
              </w:rPr>
              <w:drawing>
                <wp:inline distT="0" distB="0" distL="0" distR="0" wp14:anchorId="68B5E470" wp14:editId="2509891C">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 xml:space="preserve">10 </w:t>
            </w:r>
          </w:p>
          <w:p w:rsidR="00EA44BD" w:rsidRPr="00B05705" w:rsidRDefault="00EA44BD" w:rsidP="00DC4ECD">
            <w:pPr>
              <w:jc w:val="center"/>
              <w:rPr>
                <w:noProof/>
                <w:sz w:val="18"/>
                <w:lang w:val="de-DE"/>
              </w:rPr>
            </w:pPr>
            <w:r w:rsidRPr="00B05705">
              <w:rPr>
                <w:noProof/>
                <w:sz w:val="18"/>
                <w:lang w:val="de-DE"/>
              </w:rPr>
              <w:t>verkehrt dreieckig</w:t>
            </w:r>
          </w:p>
        </w:tc>
      </w:tr>
      <w:tr w:rsidR="00EA44BD" w:rsidRPr="00B05705" w:rsidTr="00DC4ECD">
        <w:trPr>
          <w:cantSplit/>
          <w:trHeight w:val="2035"/>
          <w:jc w:val="center"/>
        </w:trPr>
        <w:tc>
          <w:tcPr>
            <w:tcW w:w="379" w:type="dxa"/>
            <w:vMerge/>
            <w:shd w:val="clear" w:color="auto" w:fill="auto"/>
          </w:tcPr>
          <w:p w:rsidR="00EA44BD" w:rsidRPr="00B05705" w:rsidRDefault="00EA44BD" w:rsidP="00DC4ECD">
            <w:pPr>
              <w:jc w:val="center"/>
              <w:rPr>
                <w:noProof/>
                <w:sz w:val="18"/>
                <w:lang w:val="de-DE"/>
              </w:rPr>
            </w:pPr>
          </w:p>
        </w:tc>
        <w:tc>
          <w:tcPr>
            <w:tcW w:w="429" w:type="dxa"/>
            <w:gridSpan w:val="2"/>
            <w:vMerge/>
            <w:tcBorders>
              <w:right w:val="single" w:sz="4" w:space="0" w:color="auto"/>
            </w:tcBorders>
          </w:tcPr>
          <w:p w:rsidR="00EA44BD" w:rsidRPr="00B05705" w:rsidRDefault="00EA44BD" w:rsidP="00DC4ECD">
            <w:pPr>
              <w:jc w:val="center"/>
              <w:rPr>
                <w:noProof/>
                <w:sz w:val="18"/>
                <w:lang w:val="de-DE"/>
              </w:rPr>
            </w:pPr>
          </w:p>
        </w:tc>
        <w:tc>
          <w:tcPr>
            <w:tcW w:w="283" w:type="dxa"/>
            <w:gridSpan w:val="2"/>
            <w:tcBorders>
              <w:top w:val="nil"/>
              <w:left w:val="nil"/>
              <w:bottom w:val="nil"/>
              <w:right w:val="nil"/>
            </w:tcBorders>
          </w:tcPr>
          <w:p w:rsidR="00EA44BD" w:rsidRPr="00B05705" w:rsidRDefault="00EA44BD" w:rsidP="00DC4ECD">
            <w:pPr>
              <w:jc w:val="center"/>
              <w:rPr>
                <w:noProof/>
                <w:sz w:val="18"/>
                <w:lang w:val="de-DE"/>
              </w:rPr>
            </w:pPr>
          </w:p>
        </w:tc>
        <w:tc>
          <w:tcPr>
            <w:tcW w:w="1420" w:type="dxa"/>
            <w:tcBorders>
              <w:left w:val="single" w:sz="4" w:space="0" w:color="auto"/>
            </w:tcBorders>
          </w:tcPr>
          <w:p w:rsidR="00EA44BD" w:rsidRPr="00B05705" w:rsidRDefault="00EA44BD" w:rsidP="00DC4ECD">
            <w:pPr>
              <w:jc w:val="center"/>
              <w:rPr>
                <w:noProof/>
                <w:sz w:val="18"/>
                <w:lang w:val="de-DE"/>
              </w:rPr>
            </w:pPr>
          </w:p>
        </w:tc>
        <w:tc>
          <w:tcPr>
            <w:tcW w:w="1389" w:type="dxa"/>
          </w:tcPr>
          <w:p w:rsidR="00EA44BD" w:rsidRPr="00B05705" w:rsidRDefault="00EA44BD" w:rsidP="00DC4ECD">
            <w:pPr>
              <w:jc w:val="center"/>
              <w:rPr>
                <w:noProof/>
                <w:sz w:val="18"/>
                <w:lang w:val="de-DE"/>
              </w:rPr>
            </w:pPr>
          </w:p>
        </w:tc>
        <w:tc>
          <w:tcPr>
            <w:tcW w:w="1389" w:type="dxa"/>
            <w:gridSpan w:val="2"/>
          </w:tcPr>
          <w:p w:rsidR="00EA44BD" w:rsidRPr="00B05705" w:rsidRDefault="00EA44BD" w:rsidP="00DC4ECD">
            <w:pPr>
              <w:jc w:val="center"/>
              <w:rPr>
                <w:noProof/>
                <w:sz w:val="18"/>
                <w:lang w:val="de-DE"/>
              </w:rPr>
            </w:pPr>
            <w:r w:rsidRPr="00B05705">
              <w:rPr>
                <w:noProof/>
                <w:sz w:val="18"/>
              </w:rPr>
              <w:drawing>
                <wp:inline distT="0" distB="0" distL="0" distR="0" wp14:anchorId="79DDCAA4" wp14:editId="4CB3DCC1">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EA44BD" w:rsidRPr="00B05705" w:rsidRDefault="00EA44BD" w:rsidP="00DC4ECD">
            <w:pPr>
              <w:jc w:val="center"/>
              <w:rPr>
                <w:noProof/>
                <w:sz w:val="18"/>
                <w:lang w:val="de-DE"/>
              </w:rPr>
            </w:pPr>
            <w:r w:rsidRPr="00B05705">
              <w:rPr>
                <w:noProof/>
                <w:sz w:val="18"/>
                <w:lang w:val="de-DE"/>
              </w:rPr>
              <w:t>3</w:t>
            </w:r>
          </w:p>
          <w:p w:rsidR="00EA44BD" w:rsidRPr="00B05705" w:rsidRDefault="00EA44BD" w:rsidP="00DC4ECD">
            <w:pPr>
              <w:jc w:val="center"/>
              <w:rPr>
                <w:noProof/>
                <w:sz w:val="18"/>
                <w:lang w:val="de-DE"/>
              </w:rPr>
            </w:pPr>
            <w:r w:rsidRPr="00B05705">
              <w:rPr>
                <w:noProof/>
                <w:sz w:val="18"/>
                <w:lang w:val="de-DE"/>
              </w:rPr>
              <w:t>kreisförmig</w:t>
            </w:r>
          </w:p>
          <w:p w:rsidR="00EA44BD" w:rsidRPr="00B05705" w:rsidRDefault="00EA44BD" w:rsidP="00DC4ECD">
            <w:pPr>
              <w:jc w:val="center"/>
              <w:rPr>
                <w:noProof/>
                <w:sz w:val="18"/>
                <w:lang w:val="de-DE"/>
              </w:rPr>
            </w:pPr>
          </w:p>
        </w:tc>
        <w:tc>
          <w:tcPr>
            <w:tcW w:w="1388" w:type="dxa"/>
            <w:gridSpan w:val="2"/>
          </w:tcPr>
          <w:p w:rsidR="00EA44BD" w:rsidRPr="00B05705" w:rsidRDefault="00EA44BD" w:rsidP="00DC4ECD">
            <w:pPr>
              <w:jc w:val="center"/>
              <w:rPr>
                <w:noProof/>
                <w:sz w:val="18"/>
                <w:lang w:val="de-DE"/>
              </w:rPr>
            </w:pPr>
          </w:p>
        </w:tc>
        <w:tc>
          <w:tcPr>
            <w:tcW w:w="1389" w:type="dxa"/>
          </w:tcPr>
          <w:p w:rsidR="00EA44BD" w:rsidRPr="00B05705" w:rsidRDefault="00EA44BD" w:rsidP="00DC4ECD">
            <w:pPr>
              <w:jc w:val="center"/>
              <w:rPr>
                <w:noProof/>
                <w:sz w:val="18"/>
                <w:lang w:val="de-DE"/>
              </w:rPr>
            </w:pPr>
          </w:p>
        </w:tc>
        <w:tc>
          <w:tcPr>
            <w:tcW w:w="1389" w:type="dxa"/>
            <w:gridSpan w:val="2"/>
          </w:tcPr>
          <w:p w:rsidR="00EA44BD" w:rsidRPr="00B05705" w:rsidRDefault="00EA44BD" w:rsidP="00DC4ECD">
            <w:pPr>
              <w:jc w:val="center"/>
              <w:rPr>
                <w:noProof/>
                <w:sz w:val="18"/>
                <w:lang w:val="de-DE"/>
              </w:rPr>
            </w:pPr>
          </w:p>
        </w:tc>
      </w:tr>
    </w:tbl>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jc w:val="left"/>
        <w:rPr>
          <w:noProof/>
          <w:lang w:val="de-DE"/>
        </w:rPr>
      </w:pPr>
      <w:r w:rsidRPr="00B05705">
        <w:rPr>
          <w:noProof/>
          <w:lang w:val="de-DE"/>
        </w:rPr>
        <w:br w:type="page"/>
      </w:r>
    </w:p>
    <w:p w:rsidR="00EA44BD" w:rsidRPr="00B05705" w:rsidRDefault="00EA44BD" w:rsidP="00EA44BD">
      <w:pPr>
        <w:rPr>
          <w:rFonts w:eastAsia="MS Mincho"/>
          <w:noProof/>
          <w:u w:val="single"/>
          <w:lang w:val="de-DE"/>
        </w:rPr>
      </w:pPr>
      <w:r w:rsidRPr="00B05705">
        <w:rPr>
          <w:rFonts w:eastAsia="MS Mincho"/>
          <w:noProof/>
          <w:u w:val="single"/>
          <w:lang w:val="de-DE"/>
        </w:rPr>
        <w:lastRenderedPageBreak/>
        <w:t>ii)</w:t>
      </w:r>
      <w:r w:rsidRPr="00B05705">
        <w:rPr>
          <w:rFonts w:eastAsia="MS Mincho"/>
          <w:noProof/>
          <w:u w:val="single"/>
          <w:lang w:val="de-DE"/>
        </w:rPr>
        <w:tab/>
        <w:t>Faktoren, die bei der Erstellung von Farbgruppen zu berücksichtigen sind</w:t>
      </w:r>
    </w:p>
    <w:p w:rsidR="00EA44BD" w:rsidRPr="00B05705" w:rsidRDefault="00EA44BD" w:rsidP="00EA44BD">
      <w:pPr>
        <w:rPr>
          <w:noProof/>
          <w:lang w:val="de-DE"/>
        </w:rPr>
      </w:pPr>
    </w:p>
    <w:p w:rsidR="00EA44BD" w:rsidRPr="00B05705" w:rsidRDefault="00EA44BD" w:rsidP="00EA44BD">
      <w:pPr>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prüfte auf seiner vierundfünfzigsten Tagung Dokument TC/54/22 „Farbnamen für die RHS-Farbkarte</w:t>
      </w:r>
      <w:r>
        <w:rPr>
          <w:noProof/>
          <w:lang w:val="de-DE"/>
        </w:rPr>
        <w:t>“</w:t>
      </w:r>
      <w:r w:rsidRPr="00B05705">
        <w:rPr>
          <w:noProof/>
          <w:lang w:val="de-DE"/>
        </w:rPr>
        <w:t xml:space="preserve"> (vergleiche Dokument </w:t>
      </w:r>
      <w:r w:rsidR="00DC4ECD">
        <w:rPr>
          <w:noProof/>
          <w:lang w:val="de-DE"/>
        </w:rPr>
        <w:t xml:space="preserve">TC/54/31 </w:t>
      </w:r>
      <w:r w:rsidRPr="00B05705">
        <w:rPr>
          <w:noProof/>
          <w:lang w:val="de-DE"/>
        </w:rPr>
        <w:t>„Bericht</w:t>
      </w:r>
      <w:r>
        <w:rPr>
          <w:noProof/>
          <w:lang w:val="de-DE"/>
        </w:rPr>
        <w:t>“</w:t>
      </w:r>
      <w:r w:rsidRPr="00B05705">
        <w:rPr>
          <w:noProof/>
          <w:lang w:val="de-DE"/>
        </w:rPr>
        <w:t>, Absatz 244).</w:t>
      </w:r>
    </w:p>
    <w:p w:rsidR="00EA44BD" w:rsidRPr="00B05705" w:rsidRDefault="00EA44BD" w:rsidP="00EA44BD">
      <w:pPr>
        <w:rPr>
          <w:noProof/>
          <w:lang w:val="de-DE"/>
        </w:rPr>
      </w:pPr>
    </w:p>
    <w:p w:rsidR="00EA44BD" w:rsidRPr="00B05705" w:rsidRDefault="00EA44BD" w:rsidP="00EA44BD">
      <w:pPr>
        <w:rPr>
          <w:noProof/>
          <w:lang w:val="de-DE"/>
        </w:rPr>
      </w:pPr>
      <w:r w:rsidRPr="00B05705">
        <w:rPr>
          <w:noProof/>
          <w:lang w:val="de-DE"/>
        </w:rPr>
        <w:fldChar w:fldCharType="begin"/>
      </w:r>
      <w:r w:rsidRPr="00B05705">
        <w:rPr>
          <w:noProof/>
          <w:lang w:val="de-DE"/>
        </w:rPr>
        <w:instrText xml:space="preserve"> AUTONUM  </w:instrText>
      </w:r>
      <w:r w:rsidRPr="00B05705">
        <w:rPr>
          <w:noProof/>
          <w:lang w:val="de-DE"/>
        </w:rPr>
        <w:fldChar w:fldCharType="end"/>
      </w:r>
      <w:r w:rsidRPr="00B05705">
        <w:rPr>
          <w:noProof/>
          <w:lang w:val="de-DE"/>
        </w:rPr>
        <w:tab/>
        <w:t>Der TC vereinbarte, die Überarbeitung von Dokument TGP/14 vorzuschlagen, um eine Anleitung für die Faktoren aufzunehmen, die bei der Erstellung von Farbgruppen für die Gruppierung von Sorten und die Organisation der Anbauprüfung zu berücksichtigen sind, wie folgt:</w:t>
      </w:r>
    </w:p>
    <w:p w:rsidR="00EA44BD" w:rsidRPr="00B05705" w:rsidRDefault="00EA44BD" w:rsidP="00EA44BD">
      <w:pPr>
        <w:rPr>
          <w:rFonts w:eastAsiaTheme="minorEastAsia" w:cs="Arial"/>
          <w:noProof/>
          <w:lang w:val="de-DE"/>
        </w:rPr>
      </w:pPr>
    </w:p>
    <w:p w:rsidR="00EA44BD" w:rsidRPr="00B05705" w:rsidRDefault="00EA44BD" w:rsidP="00EA44BD">
      <w:pPr>
        <w:ind w:left="567" w:right="567"/>
        <w:rPr>
          <w:rFonts w:eastAsiaTheme="minorEastAsia" w:cs="Arial"/>
          <w:noProof/>
          <w:sz w:val="18"/>
          <w:szCs w:val="18"/>
          <w:lang w:val="de-DE"/>
        </w:rPr>
      </w:pPr>
      <w:r w:rsidRPr="00B05705">
        <w:rPr>
          <w:rFonts w:eastAsiaTheme="minorEastAsia" w:cs="Arial"/>
          <w:noProof/>
          <w:sz w:val="18"/>
          <w:szCs w:val="18"/>
          <w:lang w:val="de-DE"/>
        </w:rPr>
        <w:t xml:space="preserve">Unterabschnitt 3: Farbe: Neuer Abschnitt: 5 „Faktoren, die bei der Erstellung von Farbgruppen </w:t>
      </w:r>
      <w:r w:rsidRPr="00B05705">
        <w:rPr>
          <w:noProof/>
          <w:sz w:val="18"/>
          <w:szCs w:val="18"/>
          <w:lang w:val="de-DE"/>
        </w:rPr>
        <w:t xml:space="preserve">zu berücksichtigen </w:t>
      </w:r>
      <w:r w:rsidRPr="00B05705">
        <w:rPr>
          <w:rFonts w:eastAsiaTheme="minorEastAsia" w:cs="Arial"/>
          <w:noProof/>
          <w:sz w:val="18"/>
          <w:szCs w:val="18"/>
          <w:lang w:val="de-DE"/>
        </w:rPr>
        <w:t>sind</w:t>
      </w:r>
      <w:r>
        <w:rPr>
          <w:rFonts w:eastAsiaTheme="minorEastAsia" w:cs="Arial"/>
          <w:noProof/>
          <w:sz w:val="18"/>
          <w:szCs w:val="18"/>
          <w:lang w:val="de-DE"/>
        </w:rPr>
        <w:t>“</w:t>
      </w:r>
    </w:p>
    <w:p w:rsidR="00EA44BD" w:rsidRPr="00B05705" w:rsidRDefault="00EA44BD" w:rsidP="00EA44BD">
      <w:pPr>
        <w:ind w:left="567" w:right="567"/>
        <w:rPr>
          <w:rFonts w:eastAsiaTheme="minorEastAsia" w:cs="Arial"/>
          <w:noProof/>
          <w:sz w:val="18"/>
          <w:szCs w:val="18"/>
          <w:lang w:val="de-DE"/>
        </w:rPr>
      </w:pPr>
    </w:p>
    <w:p w:rsidR="00EA44BD" w:rsidRPr="00B05705" w:rsidRDefault="00EA44BD" w:rsidP="00EA44BD">
      <w:pPr>
        <w:ind w:left="567" w:right="567"/>
        <w:rPr>
          <w:rFonts w:eastAsiaTheme="minorEastAsia"/>
          <w:noProof/>
          <w:sz w:val="18"/>
          <w:szCs w:val="18"/>
          <w:lang w:val="de-DE"/>
        </w:rPr>
      </w:pPr>
      <w:r w:rsidRPr="00B05705">
        <w:rPr>
          <w:rFonts w:eastAsiaTheme="minorEastAsia"/>
          <w:noProof/>
          <w:sz w:val="18"/>
          <w:szCs w:val="18"/>
          <w:lang w:val="de-DE"/>
        </w:rPr>
        <w:t>„Wenn die Farbe eines Pflanzenteils für die Gruppierung von Sorten verwendet wird, ist ein sehr deutlicher und großer Unterschied zwischen den Farben erforderlich. Die Farbgruppen werden aber auch im technischen Fragebogen für Anmelder verwendet, die keine RHS-Farbkarte haben. Daher müssen die Gruppen klein genug sein, damit Anmelder in der Lage sind, eine geeignete Ausprägungsstufe für das Merkmal anzugeben.</w:t>
      </w:r>
    </w:p>
    <w:p w:rsidR="00EA44BD" w:rsidRPr="00B05705" w:rsidRDefault="00EA44BD" w:rsidP="00EA44BD">
      <w:pPr>
        <w:ind w:left="567" w:right="567"/>
        <w:rPr>
          <w:rFonts w:eastAsiaTheme="minorEastAsia"/>
          <w:noProof/>
          <w:sz w:val="18"/>
          <w:szCs w:val="18"/>
          <w:lang w:val="de-DE"/>
        </w:rPr>
      </w:pPr>
    </w:p>
    <w:p w:rsidR="00EA44BD" w:rsidRPr="00B05705" w:rsidRDefault="00EA44BD" w:rsidP="00EA44BD">
      <w:pPr>
        <w:ind w:left="567" w:right="567"/>
        <w:rPr>
          <w:rFonts w:eastAsiaTheme="minorEastAsia"/>
          <w:noProof/>
          <w:sz w:val="18"/>
          <w:szCs w:val="18"/>
          <w:lang w:val="de-DE"/>
        </w:rPr>
      </w:pPr>
      <w:r w:rsidRPr="00B05705">
        <w:rPr>
          <w:rFonts w:eastAsiaTheme="minorEastAsia"/>
          <w:noProof/>
          <w:sz w:val="18"/>
          <w:szCs w:val="18"/>
          <w:lang w:val="de-DE"/>
        </w:rPr>
        <w:t>„Folgende Faktoren müssen bei der Erstellung von Farbgruppen für die Gruppierung beachtet werden:</w:t>
      </w:r>
    </w:p>
    <w:p w:rsidR="00EA44BD" w:rsidRPr="00B05705" w:rsidRDefault="00EA44BD" w:rsidP="00EA44BD">
      <w:pPr>
        <w:ind w:left="567" w:right="567"/>
        <w:rPr>
          <w:rFonts w:eastAsiaTheme="minorEastAsia"/>
          <w:noProof/>
          <w:sz w:val="18"/>
          <w:szCs w:val="18"/>
          <w:lang w:val="de-DE"/>
        </w:rPr>
      </w:pPr>
    </w:p>
    <w:p w:rsidR="00EA44BD" w:rsidRPr="00B05705" w:rsidRDefault="00EA44BD" w:rsidP="00EA44BD">
      <w:pPr>
        <w:numPr>
          <w:ilvl w:val="0"/>
          <w:numId w:val="21"/>
        </w:numPr>
        <w:rPr>
          <w:rFonts w:eastAsiaTheme="minorEastAsia"/>
          <w:noProof/>
          <w:sz w:val="18"/>
          <w:szCs w:val="18"/>
          <w:lang w:val="de-DE"/>
        </w:rPr>
      </w:pPr>
      <w:r w:rsidRPr="00B05705">
        <w:rPr>
          <w:rFonts w:eastAsiaTheme="minorEastAsia"/>
          <w:noProof/>
          <w:sz w:val="18"/>
          <w:szCs w:val="18"/>
          <w:lang w:val="de-DE"/>
        </w:rPr>
        <w:t>Variationsbereich der Farbe des Pflanzenteils innerhalb der Art</w:t>
      </w:r>
    </w:p>
    <w:p w:rsidR="00EA44BD" w:rsidRPr="00B05705" w:rsidRDefault="00EA44BD" w:rsidP="00EA44BD">
      <w:pPr>
        <w:numPr>
          <w:ilvl w:val="0"/>
          <w:numId w:val="21"/>
        </w:numPr>
        <w:rPr>
          <w:rFonts w:eastAsiaTheme="minorEastAsia"/>
          <w:noProof/>
          <w:sz w:val="18"/>
          <w:szCs w:val="18"/>
          <w:lang w:val="de-DE"/>
        </w:rPr>
      </w:pPr>
      <w:r w:rsidRPr="00B05705">
        <w:rPr>
          <w:rFonts w:eastAsiaTheme="minorEastAsia"/>
          <w:noProof/>
          <w:sz w:val="18"/>
          <w:szCs w:val="18"/>
          <w:lang w:val="de-DE"/>
        </w:rPr>
        <w:t>Unterschied zwischen Farben für zu prüfende Sorten muss deutlich unterscheidbar sein</w:t>
      </w:r>
    </w:p>
    <w:p w:rsidR="00EA44BD" w:rsidRPr="00B05705" w:rsidRDefault="00EA44BD" w:rsidP="00EA44BD">
      <w:pPr>
        <w:numPr>
          <w:ilvl w:val="0"/>
          <w:numId w:val="21"/>
        </w:numPr>
        <w:rPr>
          <w:rFonts w:eastAsiaTheme="minorEastAsia"/>
          <w:noProof/>
          <w:sz w:val="18"/>
          <w:szCs w:val="18"/>
          <w:lang w:val="de-DE"/>
        </w:rPr>
      </w:pPr>
      <w:r w:rsidRPr="00B05705">
        <w:rPr>
          <w:rFonts w:eastAsiaTheme="minorEastAsia"/>
          <w:noProof/>
          <w:sz w:val="18"/>
          <w:szCs w:val="18"/>
          <w:lang w:val="de-DE"/>
        </w:rPr>
        <w:t>Möglicher Einfluss der Umwelt auf die Farbe des Pflanzenteils.</w:t>
      </w:r>
    </w:p>
    <w:p w:rsidR="00EA44BD" w:rsidRPr="00B05705" w:rsidRDefault="00EA44BD" w:rsidP="00EA44BD">
      <w:pPr>
        <w:ind w:left="567" w:right="567"/>
        <w:rPr>
          <w:rFonts w:eastAsiaTheme="minorEastAsia"/>
          <w:noProof/>
          <w:sz w:val="18"/>
          <w:szCs w:val="18"/>
          <w:lang w:val="de-DE"/>
        </w:rPr>
      </w:pPr>
    </w:p>
    <w:p w:rsidR="00EA44BD" w:rsidRPr="00B05705" w:rsidRDefault="00EA44BD" w:rsidP="00EA44BD">
      <w:pPr>
        <w:ind w:left="567" w:right="567"/>
        <w:rPr>
          <w:rFonts w:eastAsiaTheme="minorEastAsia" w:cs="Arial"/>
          <w:noProof/>
          <w:sz w:val="18"/>
          <w:szCs w:val="18"/>
          <w:lang w:val="de-DE"/>
        </w:rPr>
      </w:pPr>
      <w:r w:rsidRPr="00B05705">
        <w:rPr>
          <w:rFonts w:eastAsiaTheme="minorEastAsia"/>
          <w:noProof/>
          <w:sz w:val="18"/>
          <w:szCs w:val="18"/>
          <w:lang w:val="de-DE"/>
        </w:rPr>
        <w:t>„Je nach Pflanzenart und erfasstem Pflanzenteil können die Farbgruppen für die Gruppierung unterschiedlich sein. Beispiele für Farbgruppen bei Gruppierungsmerkmalen verschiedener Prüfungsrichtlinien sind in der folgenden Tabelle aufgeführt</w:t>
      </w:r>
      <w:r w:rsidRPr="00B05705">
        <w:rPr>
          <w:rFonts w:eastAsiaTheme="minorEastAsia" w:cs="Arial"/>
          <w:noProof/>
          <w:sz w:val="18"/>
          <w:szCs w:val="18"/>
          <w:lang w:val="de-DE"/>
        </w:rPr>
        <w:t>.</w:t>
      </w:r>
    </w:p>
    <w:p w:rsidR="00EA44BD" w:rsidRPr="00B05705" w:rsidRDefault="00EA44BD" w:rsidP="00EA44BD">
      <w:pPr>
        <w:tabs>
          <w:tab w:val="left" w:pos="8556"/>
        </w:tabs>
        <w:rPr>
          <w:rFonts w:eastAsiaTheme="minorEastAsia" w:cs="Arial"/>
          <w:noProof/>
          <w:sz w:val="18"/>
          <w:szCs w:val="18"/>
          <w:lang w:val="de-DE"/>
        </w:rPr>
      </w:pPr>
    </w:p>
    <w:tbl>
      <w:tblPr>
        <w:tblW w:w="8363" w:type="dxa"/>
        <w:jc w:val="center"/>
        <w:tblLayout w:type="fixed"/>
        <w:tblCellMar>
          <w:top w:w="57" w:type="dxa"/>
          <w:left w:w="57" w:type="dxa"/>
          <w:bottom w:w="28" w:type="dxa"/>
          <w:right w:w="57" w:type="dxa"/>
        </w:tblCellMar>
        <w:tblLook w:val="00A0" w:firstRow="1" w:lastRow="0" w:firstColumn="1" w:lastColumn="0" w:noHBand="0" w:noVBand="0"/>
      </w:tblPr>
      <w:tblGrid>
        <w:gridCol w:w="1843"/>
        <w:gridCol w:w="1559"/>
        <w:gridCol w:w="1843"/>
        <w:gridCol w:w="1508"/>
        <w:gridCol w:w="1610"/>
      </w:tblGrid>
      <w:tr w:rsidR="00EA44BD" w:rsidRPr="002C630B" w:rsidTr="00DC4ECD">
        <w:trPr>
          <w:cantSplit/>
          <w:trHeight w:val="397"/>
          <w:jc w:val="center"/>
        </w:trPr>
        <w:tc>
          <w:tcPr>
            <w:tcW w:w="1843" w:type="dxa"/>
            <w:tcBorders>
              <w:top w:val="single" w:sz="4" w:space="0" w:color="auto"/>
              <w:left w:val="nil"/>
              <w:bottom w:val="single" w:sz="4" w:space="0" w:color="auto"/>
              <w:right w:val="single" w:sz="4" w:space="0" w:color="auto"/>
            </w:tcBorders>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Prüfungsrichtlinien</w:t>
            </w:r>
          </w:p>
        </w:tc>
        <w:tc>
          <w:tcPr>
            <w:tcW w:w="1559" w:type="dxa"/>
            <w:tcBorders>
              <w:top w:val="single" w:sz="4" w:space="0" w:color="auto"/>
              <w:left w:val="single" w:sz="4" w:space="0" w:color="auto"/>
              <w:bottom w:val="single" w:sz="4" w:space="0" w:color="auto"/>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Campanula</w:t>
            </w:r>
            <w:r w:rsidRPr="002C630B">
              <w:rPr>
                <w:rFonts w:eastAsiaTheme="minorEastAsia"/>
                <w:noProof/>
                <w:sz w:val="16"/>
                <w:szCs w:val="16"/>
                <w:lang w:val="de-DE"/>
              </w:rPr>
              <w:br/>
              <w:t>(TG/305/1)</w:t>
            </w:r>
          </w:p>
        </w:tc>
        <w:tc>
          <w:tcPr>
            <w:tcW w:w="1843" w:type="dxa"/>
            <w:tcBorders>
              <w:top w:val="single" w:sz="4" w:space="0" w:color="auto"/>
              <w:left w:val="single" w:sz="4" w:space="0" w:color="auto"/>
              <w:bottom w:val="single" w:sz="4" w:space="0" w:color="auto"/>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Hosta</w:t>
            </w:r>
            <w:r w:rsidRPr="002C630B">
              <w:rPr>
                <w:rFonts w:eastAsiaTheme="minorEastAsia"/>
                <w:noProof/>
                <w:sz w:val="16"/>
                <w:szCs w:val="16"/>
                <w:lang w:val="de-DE"/>
              </w:rPr>
              <w:br/>
              <w:t>(TG/299/1)</w:t>
            </w:r>
          </w:p>
        </w:tc>
        <w:tc>
          <w:tcPr>
            <w:tcW w:w="1508" w:type="dxa"/>
            <w:tcBorders>
              <w:top w:val="single" w:sz="4" w:space="0" w:color="auto"/>
              <w:left w:val="single" w:sz="4" w:space="0" w:color="auto"/>
              <w:bottom w:val="single" w:sz="4" w:space="0" w:color="auto"/>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Cordyline</w:t>
            </w:r>
            <w:r w:rsidRPr="002C630B">
              <w:rPr>
                <w:rFonts w:eastAsiaTheme="minorEastAsia"/>
                <w:noProof/>
                <w:sz w:val="16"/>
                <w:szCs w:val="16"/>
                <w:lang w:val="de-DE"/>
              </w:rPr>
              <w:br/>
              <w:t>(TG/317/1)</w:t>
            </w:r>
          </w:p>
        </w:tc>
        <w:tc>
          <w:tcPr>
            <w:tcW w:w="1610" w:type="dxa"/>
            <w:tcBorders>
              <w:top w:val="single" w:sz="4" w:space="0" w:color="auto"/>
              <w:left w:val="single" w:sz="4" w:space="0" w:color="auto"/>
              <w:bottom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Osteospermum</w:t>
            </w:r>
            <w:r w:rsidRPr="002C630B">
              <w:rPr>
                <w:rFonts w:eastAsiaTheme="minorEastAsia"/>
                <w:noProof/>
                <w:sz w:val="16"/>
                <w:szCs w:val="16"/>
                <w:lang w:val="de-DE"/>
              </w:rPr>
              <w:br/>
              <w:t>(TG/175/5)</w:t>
            </w:r>
          </w:p>
        </w:tc>
      </w:tr>
      <w:tr w:rsidR="00EA44BD" w:rsidRPr="000C0C41" w:rsidTr="00DC4ECD">
        <w:trPr>
          <w:cantSplit/>
          <w:jc w:val="center"/>
        </w:trPr>
        <w:tc>
          <w:tcPr>
            <w:tcW w:w="1843" w:type="dxa"/>
            <w:tcBorders>
              <w:top w:val="nil"/>
              <w:left w:val="nil"/>
              <w:bottom w:val="single" w:sz="4" w:space="0" w:color="auto"/>
              <w:right w:val="single" w:sz="4" w:space="0" w:color="auto"/>
            </w:tcBorders>
          </w:tcPr>
          <w:p w:rsidR="00EA44BD" w:rsidRPr="002C630B" w:rsidRDefault="00EA44BD" w:rsidP="00DC4ECD">
            <w:pPr>
              <w:jc w:val="left"/>
              <w:rPr>
                <w:rFonts w:eastAsiaTheme="minorEastAsia"/>
                <w:noProof/>
                <w:sz w:val="16"/>
                <w:szCs w:val="16"/>
                <w:lang w:val="de-DE"/>
              </w:rPr>
            </w:pPr>
            <w:r w:rsidRPr="002C630B">
              <w:rPr>
                <w:rFonts w:eastAsiaTheme="minorEastAsia"/>
                <w:noProof/>
                <w:sz w:val="16"/>
                <w:szCs w:val="16"/>
                <w:lang w:val="de-DE"/>
              </w:rPr>
              <w:t>Merkmal</w:t>
            </w:r>
          </w:p>
        </w:tc>
        <w:tc>
          <w:tcPr>
            <w:tcW w:w="1559" w:type="dxa"/>
            <w:tcBorders>
              <w:top w:val="nil"/>
              <w:left w:val="single" w:sz="4" w:space="0" w:color="auto"/>
              <w:bottom w:val="single" w:sz="4" w:space="0" w:color="auto"/>
              <w:right w:val="single" w:sz="4" w:space="0" w:color="auto"/>
            </w:tcBorders>
            <w:hideMark/>
          </w:tcPr>
          <w:p w:rsidR="00EA44BD" w:rsidRPr="002C630B" w:rsidRDefault="00EA44BD" w:rsidP="00DC4ECD">
            <w:pPr>
              <w:jc w:val="left"/>
              <w:rPr>
                <w:rFonts w:eastAsiaTheme="minorEastAsia"/>
                <w:noProof/>
                <w:sz w:val="16"/>
                <w:szCs w:val="16"/>
                <w:lang w:val="de-DE"/>
              </w:rPr>
            </w:pPr>
            <w:r w:rsidRPr="002C630B">
              <w:rPr>
                <w:rFonts w:eastAsiaTheme="minorEastAsia"/>
                <w:noProof/>
                <w:sz w:val="16"/>
                <w:szCs w:val="16"/>
                <w:lang w:val="de-DE"/>
              </w:rPr>
              <w:t>Krone: Hauptfarbe der Innenseite</w:t>
            </w:r>
          </w:p>
        </w:tc>
        <w:tc>
          <w:tcPr>
            <w:tcW w:w="1843" w:type="dxa"/>
            <w:tcBorders>
              <w:top w:val="nil"/>
              <w:left w:val="single" w:sz="4" w:space="0" w:color="auto"/>
              <w:bottom w:val="single" w:sz="4" w:space="0" w:color="auto"/>
              <w:right w:val="single" w:sz="4" w:space="0" w:color="auto"/>
            </w:tcBorders>
            <w:hideMark/>
          </w:tcPr>
          <w:p w:rsidR="00EA44BD" w:rsidRPr="002C630B" w:rsidRDefault="00EA44BD" w:rsidP="00DC4ECD">
            <w:pPr>
              <w:jc w:val="left"/>
              <w:rPr>
                <w:rFonts w:eastAsiaTheme="minorEastAsia"/>
                <w:noProof/>
                <w:sz w:val="16"/>
                <w:szCs w:val="16"/>
                <w:lang w:val="de-DE"/>
              </w:rPr>
            </w:pPr>
            <w:r w:rsidRPr="002C630B">
              <w:rPr>
                <w:rFonts w:eastAsiaTheme="minorEastAsia"/>
                <w:noProof/>
                <w:sz w:val="16"/>
                <w:szCs w:val="16"/>
                <w:lang w:val="de-DE"/>
              </w:rPr>
              <w:t xml:space="preserve">Blattspreite: </w:t>
            </w:r>
          </w:p>
          <w:p w:rsidR="00EA44BD" w:rsidRPr="002C630B" w:rsidRDefault="00EA44BD" w:rsidP="00DC4ECD">
            <w:pPr>
              <w:jc w:val="left"/>
              <w:rPr>
                <w:rFonts w:eastAsiaTheme="minorEastAsia"/>
                <w:noProof/>
                <w:sz w:val="16"/>
                <w:szCs w:val="16"/>
                <w:lang w:val="de-DE"/>
              </w:rPr>
            </w:pPr>
            <w:r w:rsidRPr="002C630B">
              <w:rPr>
                <w:rFonts w:eastAsiaTheme="minorEastAsia"/>
                <w:noProof/>
                <w:sz w:val="16"/>
                <w:szCs w:val="16"/>
                <w:lang w:val="de-DE"/>
              </w:rPr>
              <w:t>Farbe mit der größten Fläche</w:t>
            </w:r>
          </w:p>
        </w:tc>
        <w:tc>
          <w:tcPr>
            <w:tcW w:w="1508" w:type="dxa"/>
            <w:tcBorders>
              <w:top w:val="nil"/>
              <w:left w:val="single" w:sz="4" w:space="0" w:color="auto"/>
              <w:bottom w:val="single" w:sz="4" w:space="0" w:color="auto"/>
              <w:right w:val="single" w:sz="4" w:space="0" w:color="auto"/>
            </w:tcBorders>
            <w:hideMark/>
          </w:tcPr>
          <w:p w:rsidR="00EA44BD" w:rsidRPr="002C630B" w:rsidRDefault="00EA44BD" w:rsidP="00DC4ECD">
            <w:pPr>
              <w:jc w:val="left"/>
              <w:rPr>
                <w:rFonts w:eastAsiaTheme="minorEastAsia"/>
                <w:noProof/>
                <w:sz w:val="16"/>
                <w:szCs w:val="16"/>
                <w:lang w:val="de-DE"/>
              </w:rPr>
            </w:pPr>
            <w:r w:rsidRPr="002C630B">
              <w:rPr>
                <w:rFonts w:eastAsiaTheme="minorEastAsia"/>
                <w:noProof/>
                <w:sz w:val="16"/>
                <w:szCs w:val="16"/>
                <w:lang w:val="de-DE"/>
              </w:rPr>
              <w:t>Blatt: Sekundärfarbe</w:t>
            </w:r>
          </w:p>
        </w:tc>
        <w:tc>
          <w:tcPr>
            <w:tcW w:w="1610" w:type="dxa"/>
            <w:tcBorders>
              <w:top w:val="nil"/>
              <w:left w:val="single" w:sz="4" w:space="0" w:color="auto"/>
              <w:bottom w:val="single" w:sz="4" w:space="0" w:color="auto"/>
            </w:tcBorders>
            <w:hideMark/>
          </w:tcPr>
          <w:p w:rsidR="00EA44BD" w:rsidRPr="002C630B" w:rsidRDefault="00EA44BD" w:rsidP="00DC4ECD">
            <w:pPr>
              <w:jc w:val="left"/>
              <w:rPr>
                <w:rFonts w:eastAsiaTheme="minorEastAsia"/>
                <w:noProof/>
                <w:sz w:val="16"/>
                <w:szCs w:val="16"/>
                <w:lang w:val="de-DE"/>
              </w:rPr>
            </w:pPr>
            <w:r w:rsidRPr="002C630B">
              <w:rPr>
                <w:rFonts w:eastAsiaTheme="minorEastAsia"/>
                <w:noProof/>
                <w:sz w:val="16"/>
                <w:szCs w:val="16"/>
                <w:lang w:val="de-DE"/>
              </w:rPr>
              <w:t>Randblüte: Hauptfarbe des mittleren Teils</w:t>
            </w:r>
          </w:p>
        </w:tc>
      </w:tr>
      <w:tr w:rsidR="00EA44BD" w:rsidRPr="002C630B" w:rsidTr="00DC4ECD">
        <w:trPr>
          <w:cantSplit/>
          <w:jc w:val="center"/>
        </w:trPr>
        <w:tc>
          <w:tcPr>
            <w:tcW w:w="1843" w:type="dxa"/>
            <w:vMerge w:val="restart"/>
            <w:tcBorders>
              <w:top w:val="nil"/>
              <w:left w:val="nil"/>
              <w:right w:val="single" w:sz="4" w:space="0" w:color="auto"/>
            </w:tcBorders>
            <w:hideMark/>
          </w:tcPr>
          <w:p w:rsidR="00EA44BD" w:rsidRPr="002C630B" w:rsidRDefault="00EA44BD" w:rsidP="00DC4ECD">
            <w:pPr>
              <w:jc w:val="left"/>
              <w:rPr>
                <w:rFonts w:eastAsiaTheme="minorEastAsia"/>
                <w:noProof/>
                <w:sz w:val="16"/>
                <w:szCs w:val="16"/>
                <w:lang w:val="de-DE"/>
              </w:rPr>
            </w:pPr>
            <w:r w:rsidRPr="002C630B">
              <w:rPr>
                <w:rFonts w:eastAsiaTheme="minorEastAsia"/>
                <w:noProof/>
                <w:sz w:val="16"/>
                <w:szCs w:val="16"/>
                <w:lang w:val="de-DE"/>
              </w:rPr>
              <w:t>Farbgruppen für die Gruppierung von Sorten</w:t>
            </w:r>
          </w:p>
        </w:tc>
        <w:tc>
          <w:tcPr>
            <w:tcW w:w="1559"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weiß</w:t>
            </w:r>
          </w:p>
        </w:tc>
        <w:tc>
          <w:tcPr>
            <w:tcW w:w="1843"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weiß</w:t>
            </w:r>
          </w:p>
        </w:tc>
        <w:tc>
          <w:tcPr>
            <w:tcW w:w="1508"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weiß</w:t>
            </w:r>
          </w:p>
        </w:tc>
        <w:tc>
          <w:tcPr>
            <w:tcW w:w="1610" w:type="dxa"/>
            <w:tcBorders>
              <w:top w:val="nil"/>
              <w:left w:val="single" w:sz="4" w:space="0" w:color="auto"/>
              <w:bottom w:val="nil"/>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weiß</w:t>
            </w:r>
          </w:p>
        </w:tc>
      </w:tr>
      <w:tr w:rsidR="00EA44BD" w:rsidRPr="002C630B" w:rsidTr="00DC4ECD">
        <w:trPr>
          <w:cantSplit/>
          <w:trHeight w:val="121"/>
          <w:jc w:val="center"/>
        </w:trPr>
        <w:tc>
          <w:tcPr>
            <w:tcW w:w="1843" w:type="dxa"/>
            <w:vMerge/>
            <w:tcBorders>
              <w:left w:val="nil"/>
              <w:bottom w:val="nil"/>
              <w:right w:val="single" w:sz="4" w:space="0" w:color="auto"/>
            </w:tcBorders>
            <w:hideMark/>
          </w:tcPr>
          <w:p w:rsidR="00EA44BD" w:rsidRPr="002C630B" w:rsidRDefault="00EA44BD" w:rsidP="00DC4ECD">
            <w:pPr>
              <w:rPr>
                <w:rFonts w:eastAsiaTheme="minorEastAsia"/>
                <w:noProof/>
                <w:sz w:val="16"/>
                <w:szCs w:val="16"/>
                <w:lang w:val="de-DE"/>
              </w:rPr>
            </w:pPr>
          </w:p>
        </w:tc>
        <w:tc>
          <w:tcPr>
            <w:tcW w:w="1559"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rosa</w:t>
            </w:r>
          </w:p>
        </w:tc>
        <w:tc>
          <w:tcPr>
            <w:tcW w:w="1843"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hellgelb</w:t>
            </w:r>
          </w:p>
        </w:tc>
        <w:tc>
          <w:tcPr>
            <w:tcW w:w="1508"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gelb</w:t>
            </w:r>
          </w:p>
        </w:tc>
        <w:tc>
          <w:tcPr>
            <w:tcW w:w="1610" w:type="dxa"/>
            <w:tcBorders>
              <w:top w:val="nil"/>
              <w:left w:val="single" w:sz="4" w:space="0" w:color="auto"/>
              <w:bottom w:val="nil"/>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gelb</w:t>
            </w:r>
          </w:p>
        </w:tc>
      </w:tr>
      <w:tr w:rsidR="00EA44BD" w:rsidRPr="002C630B" w:rsidTr="00DC4ECD">
        <w:trPr>
          <w:cantSplit/>
          <w:jc w:val="center"/>
        </w:trPr>
        <w:tc>
          <w:tcPr>
            <w:tcW w:w="1843" w:type="dxa"/>
            <w:tcBorders>
              <w:top w:val="nil"/>
              <w:left w:val="nil"/>
              <w:bottom w:val="nil"/>
              <w:right w:val="single" w:sz="4" w:space="0" w:color="auto"/>
            </w:tcBorders>
          </w:tcPr>
          <w:p w:rsidR="00EA44BD" w:rsidRPr="002C630B" w:rsidRDefault="00EA44BD" w:rsidP="00DC4ECD">
            <w:pPr>
              <w:rPr>
                <w:rFonts w:eastAsiaTheme="minorEastAsia"/>
                <w:noProof/>
                <w:sz w:val="16"/>
                <w:szCs w:val="16"/>
                <w:lang w:val="de-DE"/>
              </w:rPr>
            </w:pPr>
          </w:p>
        </w:tc>
        <w:tc>
          <w:tcPr>
            <w:tcW w:w="1559"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rotpurpurn</w:t>
            </w:r>
          </w:p>
        </w:tc>
        <w:tc>
          <w:tcPr>
            <w:tcW w:w="1843"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mittelgelb</w:t>
            </w:r>
          </w:p>
        </w:tc>
        <w:tc>
          <w:tcPr>
            <w:tcW w:w="1508"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grün</w:t>
            </w:r>
          </w:p>
        </w:tc>
        <w:tc>
          <w:tcPr>
            <w:tcW w:w="1610" w:type="dxa"/>
            <w:tcBorders>
              <w:top w:val="nil"/>
              <w:left w:val="single" w:sz="4" w:space="0" w:color="auto"/>
              <w:bottom w:val="nil"/>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orange</w:t>
            </w:r>
          </w:p>
        </w:tc>
      </w:tr>
      <w:tr w:rsidR="00EA44BD" w:rsidRPr="002C630B" w:rsidTr="00DC4ECD">
        <w:trPr>
          <w:cantSplit/>
          <w:jc w:val="center"/>
        </w:trPr>
        <w:tc>
          <w:tcPr>
            <w:tcW w:w="1843" w:type="dxa"/>
            <w:tcBorders>
              <w:top w:val="nil"/>
              <w:left w:val="nil"/>
              <w:bottom w:val="nil"/>
              <w:right w:val="single" w:sz="4" w:space="0" w:color="auto"/>
            </w:tcBorders>
          </w:tcPr>
          <w:p w:rsidR="00EA44BD" w:rsidRPr="002C630B" w:rsidRDefault="00EA44BD" w:rsidP="00DC4ECD">
            <w:pPr>
              <w:rPr>
                <w:rFonts w:eastAsiaTheme="minorEastAsia"/>
                <w:noProof/>
                <w:sz w:val="16"/>
                <w:szCs w:val="16"/>
                <w:lang w:val="de-DE"/>
              </w:rPr>
            </w:pPr>
          </w:p>
        </w:tc>
        <w:tc>
          <w:tcPr>
            <w:tcW w:w="1559"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purpurn</w:t>
            </w:r>
          </w:p>
        </w:tc>
        <w:tc>
          <w:tcPr>
            <w:tcW w:w="1843"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dunkelgelb</w:t>
            </w:r>
          </w:p>
        </w:tc>
        <w:tc>
          <w:tcPr>
            <w:tcW w:w="1508"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rot</w:t>
            </w:r>
          </w:p>
        </w:tc>
        <w:tc>
          <w:tcPr>
            <w:tcW w:w="1610" w:type="dxa"/>
            <w:tcBorders>
              <w:top w:val="nil"/>
              <w:left w:val="single" w:sz="4" w:space="0" w:color="auto"/>
              <w:bottom w:val="nil"/>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rosa</w:t>
            </w:r>
          </w:p>
        </w:tc>
      </w:tr>
      <w:tr w:rsidR="00EA44BD" w:rsidRPr="002C630B" w:rsidTr="00DC4ECD">
        <w:trPr>
          <w:cantSplit/>
          <w:jc w:val="center"/>
        </w:trPr>
        <w:tc>
          <w:tcPr>
            <w:tcW w:w="1843" w:type="dxa"/>
            <w:tcBorders>
              <w:top w:val="nil"/>
              <w:left w:val="nil"/>
              <w:bottom w:val="nil"/>
              <w:right w:val="single" w:sz="4" w:space="0" w:color="auto"/>
            </w:tcBorders>
          </w:tcPr>
          <w:p w:rsidR="00EA44BD" w:rsidRPr="002C630B" w:rsidRDefault="00EA44BD" w:rsidP="00DC4ECD">
            <w:pPr>
              <w:rPr>
                <w:rFonts w:eastAsiaTheme="minorEastAsia"/>
                <w:noProof/>
                <w:sz w:val="16"/>
                <w:szCs w:val="16"/>
                <w:lang w:val="de-DE"/>
              </w:rPr>
            </w:pPr>
          </w:p>
        </w:tc>
        <w:tc>
          <w:tcPr>
            <w:tcW w:w="1559"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blau</w:t>
            </w:r>
          </w:p>
        </w:tc>
        <w:tc>
          <w:tcPr>
            <w:tcW w:w="1843"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hellgrün</w:t>
            </w:r>
          </w:p>
        </w:tc>
        <w:tc>
          <w:tcPr>
            <w:tcW w:w="1508"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purpurn</w:t>
            </w:r>
          </w:p>
        </w:tc>
        <w:tc>
          <w:tcPr>
            <w:tcW w:w="1610" w:type="dxa"/>
            <w:tcBorders>
              <w:top w:val="nil"/>
              <w:left w:val="single" w:sz="4" w:space="0" w:color="auto"/>
              <w:bottom w:val="nil"/>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rot</w:t>
            </w:r>
          </w:p>
        </w:tc>
      </w:tr>
      <w:tr w:rsidR="00EA44BD" w:rsidRPr="002C630B" w:rsidTr="00DC4ECD">
        <w:trPr>
          <w:cantSplit/>
          <w:jc w:val="center"/>
        </w:trPr>
        <w:tc>
          <w:tcPr>
            <w:tcW w:w="1843" w:type="dxa"/>
            <w:tcBorders>
              <w:top w:val="nil"/>
              <w:left w:val="nil"/>
              <w:bottom w:val="nil"/>
              <w:right w:val="single" w:sz="4" w:space="0" w:color="auto"/>
            </w:tcBorders>
          </w:tcPr>
          <w:p w:rsidR="00EA44BD" w:rsidRPr="002C630B" w:rsidRDefault="00EA44BD" w:rsidP="00DC4ECD">
            <w:pPr>
              <w:rPr>
                <w:rFonts w:eastAsiaTheme="minorEastAsia"/>
                <w:noProof/>
                <w:sz w:val="16"/>
                <w:szCs w:val="16"/>
                <w:lang w:val="de-DE"/>
              </w:rPr>
            </w:pPr>
          </w:p>
        </w:tc>
        <w:tc>
          <w:tcPr>
            <w:tcW w:w="1559" w:type="dxa"/>
            <w:tcBorders>
              <w:top w:val="nil"/>
              <w:left w:val="single" w:sz="4" w:space="0" w:color="auto"/>
              <w:bottom w:val="nil"/>
              <w:right w:val="single" w:sz="4" w:space="0" w:color="auto"/>
            </w:tcBorders>
          </w:tcPr>
          <w:p w:rsidR="00EA44BD" w:rsidRPr="002C630B" w:rsidRDefault="00EA44BD" w:rsidP="00DC4ECD">
            <w:pPr>
              <w:rPr>
                <w:rFonts w:eastAsiaTheme="minorEastAsia"/>
                <w:noProof/>
                <w:sz w:val="16"/>
                <w:szCs w:val="16"/>
                <w:lang w:val="de-DE"/>
              </w:rPr>
            </w:pPr>
          </w:p>
        </w:tc>
        <w:tc>
          <w:tcPr>
            <w:tcW w:w="1843"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mittelgrün</w:t>
            </w:r>
          </w:p>
        </w:tc>
        <w:tc>
          <w:tcPr>
            <w:tcW w:w="1508"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braun</w:t>
            </w:r>
          </w:p>
        </w:tc>
        <w:tc>
          <w:tcPr>
            <w:tcW w:w="1610" w:type="dxa"/>
            <w:tcBorders>
              <w:top w:val="nil"/>
              <w:left w:val="single" w:sz="4" w:space="0" w:color="auto"/>
              <w:bottom w:val="nil"/>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purpurn</w:t>
            </w:r>
          </w:p>
        </w:tc>
      </w:tr>
      <w:tr w:rsidR="00EA44BD" w:rsidRPr="002C630B" w:rsidTr="00DC4ECD">
        <w:trPr>
          <w:cantSplit/>
          <w:jc w:val="center"/>
        </w:trPr>
        <w:tc>
          <w:tcPr>
            <w:tcW w:w="1843" w:type="dxa"/>
            <w:tcBorders>
              <w:top w:val="nil"/>
              <w:left w:val="nil"/>
              <w:bottom w:val="nil"/>
              <w:right w:val="single" w:sz="4" w:space="0" w:color="auto"/>
            </w:tcBorders>
          </w:tcPr>
          <w:p w:rsidR="00EA44BD" w:rsidRPr="002C630B" w:rsidRDefault="00EA44BD" w:rsidP="00DC4ECD">
            <w:pPr>
              <w:rPr>
                <w:rFonts w:eastAsiaTheme="minorEastAsia"/>
                <w:noProof/>
                <w:sz w:val="16"/>
                <w:szCs w:val="16"/>
                <w:lang w:val="de-DE"/>
              </w:rPr>
            </w:pPr>
          </w:p>
        </w:tc>
        <w:tc>
          <w:tcPr>
            <w:tcW w:w="1559" w:type="dxa"/>
            <w:tcBorders>
              <w:top w:val="nil"/>
              <w:left w:val="single" w:sz="4" w:space="0" w:color="auto"/>
              <w:bottom w:val="nil"/>
              <w:right w:val="single" w:sz="4" w:space="0" w:color="auto"/>
            </w:tcBorders>
          </w:tcPr>
          <w:p w:rsidR="00EA44BD" w:rsidRPr="002C630B" w:rsidRDefault="00EA44BD" w:rsidP="00DC4ECD">
            <w:pPr>
              <w:rPr>
                <w:rFonts w:eastAsiaTheme="minorEastAsia"/>
                <w:noProof/>
                <w:sz w:val="16"/>
                <w:szCs w:val="16"/>
                <w:lang w:val="de-DE"/>
              </w:rPr>
            </w:pPr>
          </w:p>
        </w:tc>
        <w:tc>
          <w:tcPr>
            <w:tcW w:w="1843"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dunkelgrün</w:t>
            </w:r>
          </w:p>
        </w:tc>
        <w:tc>
          <w:tcPr>
            <w:tcW w:w="1508"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schwärzlich</w:t>
            </w:r>
          </w:p>
        </w:tc>
        <w:tc>
          <w:tcPr>
            <w:tcW w:w="1610" w:type="dxa"/>
            <w:tcBorders>
              <w:top w:val="nil"/>
              <w:left w:val="single" w:sz="4" w:space="0" w:color="auto"/>
              <w:bottom w:val="nil"/>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violett</w:t>
            </w:r>
          </w:p>
        </w:tc>
      </w:tr>
      <w:tr w:rsidR="00EA44BD" w:rsidRPr="002C630B" w:rsidTr="00DC4ECD">
        <w:trPr>
          <w:cantSplit/>
          <w:jc w:val="center"/>
        </w:trPr>
        <w:tc>
          <w:tcPr>
            <w:tcW w:w="1843" w:type="dxa"/>
            <w:tcBorders>
              <w:top w:val="nil"/>
              <w:left w:val="nil"/>
              <w:bottom w:val="nil"/>
              <w:right w:val="single" w:sz="4" w:space="0" w:color="auto"/>
            </w:tcBorders>
          </w:tcPr>
          <w:p w:rsidR="00EA44BD" w:rsidRPr="002C630B" w:rsidRDefault="00EA44BD" w:rsidP="00DC4ECD">
            <w:pPr>
              <w:rPr>
                <w:rFonts w:eastAsiaTheme="minorEastAsia"/>
                <w:noProof/>
                <w:sz w:val="16"/>
                <w:szCs w:val="16"/>
                <w:lang w:val="de-DE"/>
              </w:rPr>
            </w:pPr>
          </w:p>
        </w:tc>
        <w:tc>
          <w:tcPr>
            <w:tcW w:w="1559" w:type="dxa"/>
            <w:tcBorders>
              <w:top w:val="nil"/>
              <w:left w:val="single" w:sz="4" w:space="0" w:color="auto"/>
              <w:bottom w:val="nil"/>
              <w:right w:val="single" w:sz="4" w:space="0" w:color="auto"/>
            </w:tcBorders>
          </w:tcPr>
          <w:p w:rsidR="00EA44BD" w:rsidRPr="002C630B" w:rsidRDefault="00EA44BD" w:rsidP="00DC4ECD">
            <w:pPr>
              <w:rPr>
                <w:rFonts w:eastAsiaTheme="minorEastAsia"/>
                <w:noProof/>
                <w:sz w:val="16"/>
                <w:szCs w:val="16"/>
                <w:lang w:val="de-DE"/>
              </w:rPr>
            </w:pPr>
          </w:p>
        </w:tc>
        <w:tc>
          <w:tcPr>
            <w:tcW w:w="1843" w:type="dxa"/>
            <w:tcBorders>
              <w:top w:val="nil"/>
              <w:left w:val="single" w:sz="4" w:space="0" w:color="auto"/>
              <w:bottom w:val="nil"/>
              <w:right w:val="single" w:sz="4" w:space="0" w:color="auto"/>
            </w:tcBorders>
            <w:hideMark/>
          </w:tcPr>
          <w:p w:rsidR="00EA44BD" w:rsidRPr="002C630B" w:rsidRDefault="00EA44BD" w:rsidP="00DC4ECD">
            <w:pPr>
              <w:rPr>
                <w:rFonts w:eastAsiaTheme="minorEastAsia"/>
                <w:noProof/>
                <w:sz w:val="16"/>
                <w:szCs w:val="16"/>
                <w:lang w:val="de-DE"/>
              </w:rPr>
            </w:pPr>
            <w:r w:rsidRPr="002C630B">
              <w:rPr>
                <w:rFonts w:eastAsiaTheme="minorEastAsia"/>
                <w:noProof/>
                <w:sz w:val="16"/>
                <w:szCs w:val="16"/>
                <w:lang w:val="de-DE"/>
              </w:rPr>
              <w:t>blaugrün</w:t>
            </w:r>
          </w:p>
        </w:tc>
        <w:tc>
          <w:tcPr>
            <w:tcW w:w="1508" w:type="dxa"/>
            <w:tcBorders>
              <w:top w:val="nil"/>
              <w:left w:val="single" w:sz="4" w:space="0" w:color="auto"/>
              <w:bottom w:val="nil"/>
              <w:right w:val="single" w:sz="4" w:space="0" w:color="auto"/>
            </w:tcBorders>
          </w:tcPr>
          <w:p w:rsidR="00EA44BD" w:rsidRPr="002C630B" w:rsidRDefault="00EA44BD" w:rsidP="00DC4ECD">
            <w:pPr>
              <w:rPr>
                <w:rFonts w:eastAsiaTheme="minorEastAsia"/>
                <w:noProof/>
                <w:sz w:val="16"/>
                <w:szCs w:val="16"/>
                <w:lang w:val="de-DE"/>
              </w:rPr>
            </w:pPr>
          </w:p>
        </w:tc>
        <w:tc>
          <w:tcPr>
            <w:tcW w:w="1610" w:type="dxa"/>
            <w:tcBorders>
              <w:top w:val="nil"/>
              <w:left w:val="single" w:sz="4" w:space="0" w:color="auto"/>
              <w:bottom w:val="nil"/>
            </w:tcBorders>
          </w:tcPr>
          <w:p w:rsidR="00EA44BD" w:rsidRPr="002C630B" w:rsidRDefault="00EA44BD" w:rsidP="00DC4ECD">
            <w:pPr>
              <w:rPr>
                <w:rFonts w:eastAsiaTheme="minorEastAsia"/>
                <w:noProof/>
                <w:sz w:val="16"/>
                <w:szCs w:val="16"/>
                <w:lang w:val="de-DE"/>
              </w:rPr>
            </w:pPr>
          </w:p>
        </w:tc>
      </w:tr>
    </w:tbl>
    <w:p w:rsidR="00EA44BD" w:rsidRPr="00B05705" w:rsidRDefault="00EA44BD" w:rsidP="00EA44BD">
      <w:pPr>
        <w:rPr>
          <w:rFonts w:eastAsiaTheme="minorEastAsia" w:cs="Arial"/>
          <w:noProof/>
          <w:sz w:val="18"/>
          <w:szCs w:val="18"/>
          <w:lang w:val="de-DE"/>
        </w:rPr>
      </w:pPr>
    </w:p>
    <w:p w:rsidR="00EA44BD" w:rsidRPr="00B05705" w:rsidRDefault="00EA44BD" w:rsidP="00EA44BD">
      <w:pPr>
        <w:ind w:left="567" w:right="567"/>
        <w:rPr>
          <w:rFonts w:eastAsiaTheme="minorEastAsia"/>
          <w:noProof/>
          <w:lang w:val="de-DE"/>
        </w:rPr>
      </w:pPr>
      <w:r w:rsidRPr="00B05705">
        <w:rPr>
          <w:rFonts w:eastAsiaTheme="minorEastAsia"/>
          <w:noProof/>
          <w:sz w:val="18"/>
          <w:szCs w:val="18"/>
          <w:lang w:val="de-DE"/>
        </w:rPr>
        <w:t xml:space="preserve">„Es muss betont werden, </w:t>
      </w:r>
      <w:r>
        <w:rPr>
          <w:rFonts w:eastAsiaTheme="minorEastAsia"/>
          <w:noProof/>
          <w:sz w:val="18"/>
          <w:szCs w:val="18"/>
          <w:lang w:val="de-DE"/>
        </w:rPr>
        <w:t>daß</w:t>
      </w:r>
      <w:r w:rsidRPr="00B05705">
        <w:rPr>
          <w:rFonts w:eastAsiaTheme="minorEastAsia"/>
          <w:noProof/>
          <w:sz w:val="18"/>
          <w:szCs w:val="18"/>
          <w:lang w:val="de-DE"/>
        </w:rPr>
        <w:t xml:space="preserve"> nicht alle Gruppen zwangsläufig deutlich voneinander unterscheidbar sind, wenn Informationen verwendet werden, die nicht aus derselben Quelle stammen (gleicher Standort, gleicher Erfasser) und sie können nicht immer dazu verwendet werden, Sorten aus der Anbauprüfung auszuschließen. Z. B. ist es bei Keulenlinie für das Merkmal ‘Blatt: Sekundärfarbe’ eventuell nicht möglich, eindeutig zwischen ‘braun’ und ‘schwärzlich’ zu unterscheiden, wenn man Fotos im Internet oder in einem Pflanzenkatalog betrachtet.</w:t>
      </w:r>
      <w:r>
        <w:rPr>
          <w:rFonts w:eastAsiaTheme="minorEastAsia"/>
          <w:noProof/>
          <w:sz w:val="18"/>
          <w:szCs w:val="18"/>
          <w:lang w:val="de-DE"/>
        </w:rPr>
        <w:t>“</w:t>
      </w:r>
    </w:p>
    <w:p w:rsidR="00EA44BD" w:rsidRPr="00B05705" w:rsidRDefault="00EA44BD" w:rsidP="00EA44BD">
      <w:pPr>
        <w:jc w:val="left"/>
        <w:rPr>
          <w:noProof/>
          <w:lang w:val="de-DE"/>
        </w:rPr>
      </w:pPr>
    </w:p>
    <w:p w:rsidR="00EA44BD" w:rsidRPr="00B05705" w:rsidRDefault="00EA44BD" w:rsidP="00EA44BD">
      <w:pPr>
        <w:jc w:val="left"/>
        <w:rPr>
          <w:noProof/>
          <w:lang w:val="de-DE"/>
        </w:rPr>
      </w:pPr>
    </w:p>
    <w:p w:rsidR="00EA44BD" w:rsidRPr="00B05705" w:rsidRDefault="00EA44BD" w:rsidP="00EA44BD">
      <w:pPr>
        <w:jc w:val="left"/>
        <w:rPr>
          <w:noProof/>
          <w:lang w:val="de-DE"/>
        </w:rPr>
      </w:pPr>
    </w:p>
    <w:p w:rsidR="00EA44BD" w:rsidRPr="00B05705" w:rsidRDefault="00EA44BD" w:rsidP="00EA44BD">
      <w:pPr>
        <w:jc w:val="right"/>
        <w:rPr>
          <w:noProof/>
          <w:lang w:val="de-DE"/>
        </w:rPr>
      </w:pPr>
      <w:r w:rsidRPr="00B05705">
        <w:rPr>
          <w:noProof/>
          <w:lang w:val="de-DE"/>
        </w:rPr>
        <w:t>[Anlage V folgt]</w:t>
      </w:r>
    </w:p>
    <w:p w:rsidR="00EA44BD" w:rsidRPr="00B05705" w:rsidRDefault="00EA44BD" w:rsidP="00EA44BD">
      <w:pPr>
        <w:jc w:val="left"/>
        <w:rPr>
          <w:noProof/>
          <w:lang w:val="de-DE"/>
        </w:rPr>
      </w:pPr>
    </w:p>
    <w:p w:rsidR="00EA44BD" w:rsidRPr="00B05705" w:rsidRDefault="00EA44BD" w:rsidP="00EA44BD">
      <w:pPr>
        <w:jc w:val="left"/>
        <w:rPr>
          <w:noProof/>
          <w:lang w:val="de-DE"/>
        </w:rPr>
        <w:sectPr w:rsidR="00EA44BD" w:rsidRPr="00B05705" w:rsidSect="00DC4ECD">
          <w:headerReference w:type="default" r:id="rId32"/>
          <w:headerReference w:type="first" r:id="rId33"/>
          <w:pgSz w:w="11907" w:h="16840" w:code="9"/>
          <w:pgMar w:top="510" w:right="1134" w:bottom="709" w:left="1134" w:header="510" w:footer="680" w:gutter="0"/>
          <w:pgNumType w:start="1"/>
          <w:cols w:space="720"/>
          <w:titlePg/>
        </w:sectPr>
      </w:pPr>
    </w:p>
    <w:p w:rsidR="00EA44BD" w:rsidRPr="00B05705" w:rsidRDefault="00EA44BD" w:rsidP="00EA44BD">
      <w:pPr>
        <w:jc w:val="center"/>
        <w:rPr>
          <w:noProof/>
          <w:lang w:val="de-DE"/>
        </w:rPr>
      </w:pPr>
      <w:r w:rsidRPr="00B05705">
        <w:rPr>
          <w:noProof/>
          <w:lang w:val="de-DE"/>
        </w:rPr>
        <w:lastRenderedPageBreak/>
        <w:t>ANGELEGENHEITEN ZUR ANNAHME DURCH DEN RAT IM JAHR 2019: DOKUMENT TGP/15</w:t>
      </w:r>
    </w:p>
    <w:p w:rsidR="00EA44BD" w:rsidRPr="00B05705" w:rsidRDefault="00EA44BD" w:rsidP="00EA44BD">
      <w:pPr>
        <w:rPr>
          <w:noProof/>
          <w:lang w:val="de-DE"/>
        </w:rPr>
      </w:pPr>
    </w:p>
    <w:p w:rsidR="00EA44BD" w:rsidRPr="0004263E" w:rsidRDefault="00EA44BD" w:rsidP="00EA44BD">
      <w:pPr>
        <w:rPr>
          <w:noProof/>
          <w:lang w:val="de-DE"/>
        </w:rPr>
      </w:pPr>
      <w:r w:rsidRPr="0059364E">
        <w:rPr>
          <w:noProof/>
          <w:lang w:val="de-DE"/>
        </w:rPr>
        <w:t>E</w:t>
      </w:r>
      <w:r w:rsidRPr="0004263E">
        <w:rPr>
          <w:noProof/>
          <w:lang w:val="de-DE"/>
        </w:rPr>
        <w:t>s wurde vom Technischen Ausschuß vereinbart, die folgenden Überarbeitungen von Dokument TGP/15 „Anleitung zur Verwendung biochemischer und molekularer Marker bei der Prüfung der Unterscheidbarkeit, Homogenität und Beständigkeit (DUS)“ zur Annahme durch den Rat auf seiner dreiundfünfzigsten ordentlichen Tagung am 1. November 2019 in Genf, vorbehaltlich der Billigung durch den CAJ auf seiner sechsundsiebzigsten Tagung am 30. Oktober 2019 in Genf, vorzuschlagen.</w:t>
      </w:r>
    </w:p>
    <w:p w:rsidR="00EA44BD" w:rsidRPr="0004263E" w:rsidRDefault="00EA44BD" w:rsidP="00EA44BD">
      <w:pPr>
        <w:pStyle w:val="ListParagraph"/>
        <w:ind w:left="924"/>
        <w:rPr>
          <w:noProof/>
          <w:lang w:val="de-DE"/>
        </w:rPr>
      </w:pPr>
    </w:p>
    <w:p w:rsidR="00EA44BD" w:rsidRPr="0004263E" w:rsidRDefault="00EA44BD" w:rsidP="00EA44BD">
      <w:pPr>
        <w:ind w:left="567" w:hanging="567"/>
        <w:rPr>
          <w:rFonts w:cs="Arial"/>
          <w:noProof/>
          <w:lang w:val="de-DE"/>
        </w:rPr>
      </w:pPr>
    </w:p>
    <w:p w:rsidR="00EA44BD" w:rsidRPr="0004263E" w:rsidRDefault="00EA44BD" w:rsidP="00EA44BD">
      <w:pPr>
        <w:ind w:left="567" w:hanging="567"/>
        <w:rPr>
          <w:rFonts w:cs="Arial"/>
          <w:noProof/>
          <w:u w:val="single"/>
          <w:lang w:val="de-DE"/>
        </w:rPr>
      </w:pPr>
      <w:r w:rsidRPr="0004263E">
        <w:rPr>
          <w:rFonts w:cs="Arial"/>
          <w:noProof/>
          <w:u w:val="single"/>
          <w:lang w:val="de-DE"/>
        </w:rPr>
        <w:t>Zuverlässigkeit der Verbindung zwischen dem Gen und der Ausprägung des Merkmals</w:t>
      </w:r>
    </w:p>
    <w:p w:rsidR="00EA44BD" w:rsidRPr="0004263E" w:rsidRDefault="00EA44BD" w:rsidP="00EA44BD">
      <w:pPr>
        <w:ind w:left="567" w:hanging="567"/>
        <w:rPr>
          <w:rFonts w:cs="Arial"/>
          <w:noProof/>
          <w:lang w:val="de-DE"/>
        </w:rPr>
      </w:pPr>
    </w:p>
    <w:p w:rsidR="00EA44BD" w:rsidRPr="0004263E" w:rsidRDefault="00EA44BD" w:rsidP="00EA44BD">
      <w:pPr>
        <w:rPr>
          <w:noProof/>
          <w:lang w:val="de-DE"/>
        </w:rPr>
      </w:pPr>
      <w:r w:rsidRPr="0059364E">
        <w:rPr>
          <w:rFonts w:cs="Arial"/>
          <w:noProof/>
          <w:lang w:val="de-DE"/>
        </w:rPr>
        <w:t>2</w:t>
      </w:r>
      <w:r w:rsidRPr="0004263E">
        <w:rPr>
          <w:rFonts w:cs="Arial"/>
          <w:noProof/>
          <w:lang w:val="de-DE"/>
        </w:rPr>
        <w:t>.</w:t>
      </w:r>
      <w:r w:rsidRPr="0004263E">
        <w:rPr>
          <w:rFonts w:cs="Arial"/>
          <w:noProof/>
          <w:lang w:val="de-DE"/>
        </w:rPr>
        <w:tab/>
        <w:t>Der TC</w:t>
      </w:r>
      <w:r w:rsidRPr="0004263E">
        <w:rPr>
          <w:noProof/>
          <w:lang w:val="de-DE"/>
        </w:rPr>
        <w:t xml:space="preserve"> </w:t>
      </w:r>
      <w:r w:rsidRPr="0004263E">
        <w:rPr>
          <w:rFonts w:cs="Arial"/>
          <w:noProof/>
          <w:lang w:val="de-DE"/>
        </w:rPr>
        <w:t xml:space="preserve">vereinbarte </w:t>
      </w:r>
      <w:r w:rsidRPr="0004263E">
        <w:rPr>
          <w:noProof/>
          <w:lang w:val="de-DE"/>
        </w:rPr>
        <w:t>auf seiner vierundfünfzigsten Tagung,</w:t>
      </w:r>
      <w:r>
        <w:rPr>
          <w:noProof/>
          <w:lang w:val="de-DE"/>
        </w:rPr>
        <w:t xml:space="preserve"> </w:t>
      </w:r>
      <w:r w:rsidRPr="0004263E">
        <w:rPr>
          <w:noProof/>
          <w:lang w:val="de-DE"/>
        </w:rPr>
        <w:t>daß der folgende Wortlaut aus Dokument UPOV/INF/18/1 in Dokument TGP/15 aufgenommen werden soll</w:t>
      </w:r>
      <w:r>
        <w:rPr>
          <w:noProof/>
          <w:lang w:val="de-DE"/>
        </w:rPr>
        <w:t>e</w:t>
      </w:r>
      <w:r w:rsidRPr="0004263E">
        <w:rPr>
          <w:noProof/>
          <w:lang w:val="de-DE"/>
        </w:rPr>
        <w:t xml:space="preserve">, um klarzustellen, daß es der Behörde obliegt, über die Zuverlässigkeit der Verbindung zwischen dem Gen und der Ausprägung des Merkmals zu entscheiden (vergleiche Dokument </w:t>
      </w:r>
      <w:r w:rsidR="00DC4ECD">
        <w:rPr>
          <w:noProof/>
          <w:lang w:val="de-DE"/>
        </w:rPr>
        <w:t xml:space="preserve">TC/54/31 </w:t>
      </w:r>
      <w:r w:rsidRPr="0004263E">
        <w:rPr>
          <w:noProof/>
          <w:lang w:val="de-DE"/>
        </w:rPr>
        <w:t>„Bericht“, Absätze 272 und 273):</w:t>
      </w:r>
    </w:p>
    <w:p w:rsidR="00EA44BD" w:rsidRPr="0004263E" w:rsidRDefault="00EA44BD" w:rsidP="00EA44BD">
      <w:pPr>
        <w:rPr>
          <w:rFonts w:cs="Arial"/>
          <w:noProof/>
          <w:lang w:val="de-DE"/>
        </w:rPr>
      </w:pPr>
    </w:p>
    <w:p w:rsidR="00EA44BD" w:rsidRPr="0004263E" w:rsidRDefault="00EA44BD" w:rsidP="00EA44BD">
      <w:pPr>
        <w:autoSpaceDE w:val="0"/>
        <w:autoSpaceDN w:val="0"/>
        <w:adjustRightInd w:val="0"/>
        <w:ind w:left="567" w:right="567"/>
        <w:rPr>
          <w:noProof/>
          <w:sz w:val="18"/>
          <w:szCs w:val="18"/>
          <w:lang w:val="de-DE" w:eastAsia="ja-JP"/>
        </w:rPr>
      </w:pPr>
      <w:r w:rsidRPr="0004263E">
        <w:rPr>
          <w:noProof/>
          <w:sz w:val="18"/>
          <w:szCs w:val="18"/>
          <w:lang w:val="de-DE" w:eastAsia="ja-JP"/>
        </w:rPr>
        <w:t>„3.1.4 Bei der Beurteilung des in Anlage 1 dieses Dokuments dargelegten Modells und Beispiels betonte der TC, daß es wichtig sei, daß die Annahmen erfüllt werden. In dieser Hinsicht merkte er an, daß es Sache der entsprechenden Behörde sein werde zu prüfen, ob diese Annahmen erfüllt worden seien (vergleiche Dokument TC/45/16, „Bericht“, Absatz 152)“</w:t>
      </w:r>
      <w:r w:rsidRPr="0004263E">
        <w:rPr>
          <w:noProof/>
          <w:sz w:val="18"/>
          <w:lang w:val="de-DE" w:eastAsia="ja-JP"/>
        </w:rPr>
        <w:t xml:space="preserve"> </w:t>
      </w:r>
    </w:p>
    <w:p w:rsidR="00EA44BD" w:rsidRPr="0004263E" w:rsidRDefault="00EA44BD" w:rsidP="00EA44BD">
      <w:pPr>
        <w:ind w:left="567" w:hanging="567"/>
        <w:rPr>
          <w:rFonts w:cs="Arial"/>
          <w:noProof/>
          <w:lang w:val="de-DE"/>
        </w:rPr>
      </w:pPr>
    </w:p>
    <w:p w:rsidR="00EA44BD" w:rsidRPr="00B05705" w:rsidRDefault="00EA44BD" w:rsidP="00EA44BD">
      <w:pPr>
        <w:rPr>
          <w:noProof/>
          <w:lang w:val="de-DE"/>
        </w:rPr>
      </w:pPr>
      <w:r w:rsidRPr="0059364E">
        <w:rPr>
          <w:rFonts w:cs="Arial"/>
          <w:noProof/>
          <w:lang w:val="de-DE"/>
        </w:rPr>
        <w:t>3</w:t>
      </w:r>
      <w:r w:rsidRPr="0004263E">
        <w:rPr>
          <w:rFonts w:cs="Arial"/>
          <w:noProof/>
          <w:lang w:val="de-DE"/>
        </w:rPr>
        <w:t>.</w:t>
      </w:r>
      <w:r w:rsidRPr="0004263E">
        <w:rPr>
          <w:rFonts w:cs="Arial"/>
          <w:noProof/>
          <w:lang w:val="de-DE"/>
        </w:rPr>
        <w:tab/>
        <w:t>Der TC prüfte den</w:t>
      </w:r>
      <w:r w:rsidRPr="00B05705">
        <w:rPr>
          <w:rFonts w:cs="Arial"/>
          <w:noProof/>
          <w:lang w:val="de-DE"/>
        </w:rPr>
        <w:t xml:space="preserve"> Vorschlag der BMT und vereinbarte, in Dokument TGP/15 eine Erklärung aufzunehmen, daß es in der Verantwortung der jeweiligen TWP und des TC liegen würde, zu beurteilen, ob die Zuverlässigkeit der Verbindung zwischen dem Gen und </w:t>
      </w:r>
      <w:r>
        <w:rPr>
          <w:rFonts w:cs="Arial"/>
          <w:noProof/>
          <w:lang w:val="de-DE"/>
        </w:rPr>
        <w:t>der</w:t>
      </w:r>
      <w:r w:rsidRPr="00B05705">
        <w:rPr>
          <w:rFonts w:cs="Arial"/>
          <w:noProof/>
          <w:lang w:val="de-DE"/>
        </w:rPr>
        <w:t xml:space="preserve"> </w:t>
      </w:r>
      <w:r>
        <w:rPr>
          <w:rFonts w:cs="Arial"/>
          <w:noProof/>
          <w:lang w:val="de-DE"/>
        </w:rPr>
        <w:t>Ausprägung</w:t>
      </w:r>
      <w:r w:rsidRPr="00B05705">
        <w:rPr>
          <w:rFonts w:cs="Arial"/>
          <w:noProof/>
          <w:lang w:val="de-DE"/>
        </w:rPr>
        <w:t xml:space="preserve"> des Merkmals erfüllt ist, um ein Verfahren in die Prüfungsrichtlinien aufzunehmen</w:t>
      </w:r>
      <w:r w:rsidRPr="00B05705">
        <w:rPr>
          <w:noProof/>
          <w:lang w:val="de-DE"/>
        </w:rPr>
        <w:t>.</w:t>
      </w:r>
    </w:p>
    <w:p w:rsidR="00EA44BD" w:rsidRPr="00B05705" w:rsidRDefault="00EA44BD" w:rsidP="00EA44BD">
      <w:pPr>
        <w:jc w:val="left"/>
        <w:rPr>
          <w:noProof/>
          <w:lang w:val="de-DE"/>
        </w:rPr>
      </w:pPr>
    </w:p>
    <w:p w:rsidR="00EA44BD" w:rsidRPr="00B05705" w:rsidRDefault="00EA44BD" w:rsidP="00EA44BD">
      <w:pPr>
        <w:jc w:val="left"/>
        <w:rPr>
          <w:noProof/>
          <w:lang w:val="de-DE"/>
        </w:rPr>
      </w:pPr>
    </w:p>
    <w:p w:rsidR="00EA44BD" w:rsidRPr="00B05705" w:rsidRDefault="00EA44BD" w:rsidP="00EA44BD">
      <w:pPr>
        <w:rPr>
          <w:noProof/>
          <w:u w:val="single"/>
          <w:lang w:val="de-DE"/>
        </w:rPr>
      </w:pPr>
      <w:r w:rsidRPr="00B05705">
        <w:rPr>
          <w:noProof/>
          <w:u w:val="single"/>
          <w:lang w:val="de-DE"/>
        </w:rPr>
        <w:t>Neues Modell: „Genetische Auswahl von ähnlichen Sorten für die erste Wachstumsperiode</w:t>
      </w:r>
      <w:r>
        <w:rPr>
          <w:noProof/>
          <w:u w:val="single"/>
          <w:lang w:val="de-DE"/>
        </w:rPr>
        <w:t>“</w:t>
      </w:r>
    </w:p>
    <w:p w:rsidR="00EA44BD" w:rsidRPr="00B05705" w:rsidRDefault="00EA44BD" w:rsidP="00EA44BD">
      <w:pPr>
        <w:rPr>
          <w:noProof/>
          <w:lang w:val="de-DE"/>
        </w:rPr>
      </w:pPr>
    </w:p>
    <w:p w:rsidR="00EA44BD" w:rsidRPr="00B05705" w:rsidRDefault="00EA44BD" w:rsidP="00EA44BD">
      <w:pPr>
        <w:rPr>
          <w:noProof/>
          <w:lang w:val="de-DE"/>
        </w:rPr>
      </w:pPr>
      <w:r w:rsidRPr="00B05705">
        <w:rPr>
          <w:noProof/>
          <w:lang w:val="de-DE"/>
        </w:rPr>
        <w:t>4.</w:t>
      </w:r>
      <w:r w:rsidRPr="00B05705">
        <w:rPr>
          <w:noProof/>
          <w:lang w:val="de-DE"/>
        </w:rPr>
        <w:tab/>
        <w:t xml:space="preserve">Der TC hat auf seiner vierundfünfzigsten Tagung der Aufnahme eines neuen Modells in Dokument TGP/15 wie folgt zugestimmt (vergleiche Dokument </w:t>
      </w:r>
      <w:r w:rsidR="00DC4ECD">
        <w:rPr>
          <w:noProof/>
          <w:lang w:val="de-DE"/>
        </w:rPr>
        <w:t xml:space="preserve">TC/54/31 </w:t>
      </w:r>
      <w:r w:rsidRPr="00B05705">
        <w:rPr>
          <w:noProof/>
          <w:lang w:val="de-DE"/>
        </w:rPr>
        <w:t>„Bericht</w:t>
      </w:r>
      <w:r>
        <w:rPr>
          <w:noProof/>
          <w:lang w:val="de-DE"/>
        </w:rPr>
        <w:t>“</w:t>
      </w:r>
      <w:r w:rsidRPr="00B05705">
        <w:rPr>
          <w:noProof/>
          <w:lang w:val="de-DE"/>
        </w:rPr>
        <w:t>, Absätze 290 und 291):</w:t>
      </w:r>
    </w:p>
    <w:p w:rsidR="00EA44BD" w:rsidRPr="00B05705" w:rsidRDefault="00EA44BD" w:rsidP="00EA44BD">
      <w:pPr>
        <w:rPr>
          <w:noProof/>
          <w:lang w:val="de-DE"/>
        </w:rPr>
      </w:pPr>
    </w:p>
    <w:p w:rsidR="00EA44BD" w:rsidRPr="00B05705" w:rsidRDefault="00EA44BD" w:rsidP="00EA44BD">
      <w:pPr>
        <w:ind w:right="567"/>
        <w:rPr>
          <w:i/>
          <w:noProof/>
          <w:lang w:val="de-DE"/>
        </w:rPr>
      </w:pPr>
      <w:r w:rsidRPr="00B05705">
        <w:rPr>
          <w:i/>
          <w:noProof/>
          <w:lang w:val="de-DE"/>
        </w:rPr>
        <w:t>Neuer Abschnitt 2.3: „Genetische Auswahl von ähnlichen Sorten für die erste Wachstumsperiode</w:t>
      </w:r>
      <w:r>
        <w:rPr>
          <w:i/>
          <w:noProof/>
          <w:lang w:val="de-DE"/>
        </w:rPr>
        <w:t>“</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2.3</w:t>
      </w:r>
      <w:r w:rsidRPr="00B05705">
        <w:rPr>
          <w:noProof/>
          <w:lang w:val="de-DE"/>
        </w:rPr>
        <w:tab/>
        <w:t>Genetische Auswahl von ähnlichen Sorten für die erste Wachstumsperiode (vergleiche Anlage III)</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 xml:space="preserve">2.3.1 </w:t>
      </w:r>
      <w:r w:rsidRPr="00B05705">
        <w:rPr>
          <w:noProof/>
          <w:lang w:val="de-DE"/>
        </w:rPr>
        <w:tab/>
        <w:t>Dieser Ansatz beinhaltet einen Schritt zur Prüfung auf genetische Ähnlichkeit vor der ersten Wachstumsperiode.</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2.3.2</w:t>
      </w:r>
      <w:r w:rsidRPr="00B05705">
        <w:rPr>
          <w:noProof/>
          <w:lang w:val="de-DE"/>
        </w:rPr>
        <w:tab/>
        <w:t>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von Unterschieden bei den DUS-Merkmalen nicht in einer Anbauprüfung verglichen werden müssen.</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2.3.3</w:t>
      </w:r>
      <w:r w:rsidRPr="00B05705">
        <w:rPr>
          <w:noProof/>
          <w:lang w:val="de-DE"/>
        </w:rPr>
        <w:tab/>
        <w:t>Auf der Grundlage der in der ersten Wachstumsperiode erstellten Sortenbeschreibung von DUS-Merkmalen wird unter den</w:t>
      </w:r>
      <w:r w:rsidRPr="00B05705" w:rsidDel="00250BCC">
        <w:rPr>
          <w:noProof/>
          <w:lang w:val="de-DE"/>
        </w:rPr>
        <w:t xml:space="preserve"> </w:t>
      </w:r>
      <w:r w:rsidRPr="00B05705">
        <w:rPr>
          <w:noProof/>
          <w:lang w:val="de-DE"/>
        </w:rPr>
        <w:t>Sorten in der Sortensammlung weiter nach ähnlichen Sorten gesucht, die in der ersten Wachstumsperiode nicht verglichen wurden und die in der zweiten Wachstumsperiode mit der Kandidatensorte verglichen werden sollten.</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2.3.4</w:t>
      </w:r>
      <w:r w:rsidRPr="00B05705">
        <w:rPr>
          <w:noProof/>
          <w:lang w:val="de-DE"/>
        </w:rPr>
        <w:tab/>
        <w:t>Anlage III dieses Dokuments, „Genetische Selektion von ähnlichen Sorten für die erste Wachstumsperiode</w:t>
      </w:r>
      <w:r>
        <w:rPr>
          <w:noProof/>
          <w:lang w:val="de-DE"/>
        </w:rPr>
        <w:t>“</w:t>
      </w:r>
      <w:r w:rsidRPr="00B05705">
        <w:rPr>
          <w:noProof/>
          <w:lang w:val="de-DE"/>
        </w:rPr>
        <w:t xml:space="preserve"> enthält ein Beispiel für die genetische Auswahl ähnlicher Sorten für die erste Wachstumsperiode.</w:t>
      </w:r>
    </w:p>
    <w:p w:rsidR="00EA44BD" w:rsidRPr="00B05705" w:rsidRDefault="00EA44BD" w:rsidP="00EA44BD">
      <w:pPr>
        <w:ind w:right="567"/>
        <w:rPr>
          <w:noProof/>
          <w:lang w:val="de-DE"/>
        </w:rPr>
      </w:pPr>
    </w:p>
    <w:p w:rsidR="00EA44BD" w:rsidRPr="00B05705" w:rsidRDefault="00EA44BD" w:rsidP="00EA44BD">
      <w:pPr>
        <w:ind w:right="567"/>
        <w:rPr>
          <w:i/>
          <w:noProof/>
          <w:lang w:val="de-DE"/>
        </w:rPr>
      </w:pPr>
      <w:r w:rsidRPr="00B05705">
        <w:rPr>
          <w:i/>
          <w:noProof/>
          <w:lang w:val="de-DE"/>
        </w:rPr>
        <w:t>Anlage III „Modell: Genetische Auswahl von ähnlichen Sorten für die erste Wachstumsperiode</w:t>
      </w:r>
      <w:r>
        <w:rPr>
          <w:i/>
          <w:noProof/>
          <w:lang w:val="de-DE"/>
        </w:rPr>
        <w:t>“</w:t>
      </w:r>
    </w:p>
    <w:p w:rsidR="00EA44BD" w:rsidRPr="00B05705" w:rsidRDefault="00EA44BD" w:rsidP="00EA44BD">
      <w:pPr>
        <w:ind w:right="567"/>
        <w:jc w:val="center"/>
        <w:rPr>
          <w:noProof/>
          <w:snapToGrid w:val="0"/>
          <w:lang w:val="de-DE"/>
        </w:rPr>
      </w:pPr>
    </w:p>
    <w:p w:rsidR="00EA44BD" w:rsidRPr="00B05705" w:rsidRDefault="00EA44BD" w:rsidP="00EA44BD">
      <w:pPr>
        <w:ind w:right="567"/>
        <w:jc w:val="left"/>
        <w:rPr>
          <w:noProof/>
          <w:lang w:val="de-DE"/>
        </w:rPr>
      </w:pPr>
      <w:r w:rsidRPr="00B05705">
        <w:rPr>
          <w:noProof/>
          <w:lang w:val="de-DE"/>
        </w:rPr>
        <w:t>Beispiel: Gartenbohne (erstellt von einem Sachverständigen aus den Niederlanden)</w:t>
      </w:r>
    </w:p>
    <w:p w:rsidR="00EA44BD" w:rsidRPr="00B05705" w:rsidRDefault="00EA44BD" w:rsidP="00EA44BD">
      <w:pPr>
        <w:ind w:right="567"/>
        <w:jc w:val="center"/>
        <w:rPr>
          <w:rFonts w:cs="Arial"/>
          <w:i/>
          <w:noProof/>
          <w:lang w:val="de-DE"/>
        </w:rPr>
      </w:pPr>
    </w:p>
    <w:p w:rsidR="00EA44BD" w:rsidRPr="00B05705" w:rsidRDefault="00EA44BD" w:rsidP="00EA44BD">
      <w:pPr>
        <w:pStyle w:val="ListParagraph"/>
        <w:numPr>
          <w:ilvl w:val="0"/>
          <w:numId w:val="19"/>
        </w:numPr>
        <w:ind w:left="360" w:right="567"/>
        <w:rPr>
          <w:noProof/>
          <w:u w:val="single"/>
          <w:lang w:val="de-DE"/>
        </w:rPr>
      </w:pPr>
      <w:r w:rsidRPr="00B05705">
        <w:rPr>
          <w:noProof/>
          <w:lang w:val="de-DE"/>
        </w:rPr>
        <w:tab/>
      </w:r>
      <w:r w:rsidRPr="00B05705">
        <w:rPr>
          <w:noProof/>
          <w:u w:val="single"/>
          <w:lang w:val="de-DE"/>
        </w:rPr>
        <w:t>Einleitung</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 xml:space="preserve">1.1 </w:t>
      </w:r>
      <w:r w:rsidRPr="00B05705">
        <w:rPr>
          <w:noProof/>
          <w:lang w:val="de-DE"/>
        </w:rPr>
        <w:tab/>
        <w:t xml:space="preserve">Dieser Ansatz beinhaltet einen Schritt zur Prüfung auf genetische Ähnlichkeit vor der ersten Wachstumsperiode. </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1.2</w:t>
      </w:r>
      <w:r w:rsidRPr="00B05705">
        <w:rPr>
          <w:noProof/>
          <w:lang w:val="de-DE"/>
        </w:rPr>
        <w:tab/>
        <w:t xml:space="preserve">In Fällen, in denen die Mindestprüfungsdauer normalerweise zwei Wachstumsperioden beträgt, wird eine Auswahl ähnlicher Sorten in der Sortensammlung für den Vergleich mit Kandidatensorten in der ersten Wachstumsperiode gemäß genetischer Ähnlichkeit vorgenommen. Im nächsten Schritt wird anhand der Angaben des Antragstellers im Technischen Fragebogen (TQ) geprüft, ob einige der genetisch ähnlichen Sorten aufgrund unterschiedlicher DUS-Merkmale nicht in einer Anbauprüfung verglichen werden müssen. </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1.3</w:t>
      </w:r>
      <w:r w:rsidRPr="00B05705">
        <w:rPr>
          <w:noProof/>
          <w:lang w:val="de-DE"/>
        </w:rPr>
        <w:tab/>
        <w:t xml:space="preserve">Auf der Grundlage einer in der ersten Wachstumsperiode erstellten Sortenbeschreibung von DUS-Merkmalen wird unter den Sorten in der Sortensammlung weiter nach ähnlichen Sorten gesucht, die in der ersten Wachstumsperiode nicht verglichen wurden und die in der zweiten Wachstumsperiode mit der Kandidatensorte verglichen werden sollten. </w:t>
      </w:r>
    </w:p>
    <w:p w:rsidR="00EA44BD" w:rsidRPr="00B05705" w:rsidRDefault="00EA44BD" w:rsidP="00EA44BD">
      <w:pPr>
        <w:ind w:right="567"/>
        <w:rPr>
          <w:noProof/>
          <w:lang w:val="de-DE"/>
        </w:rPr>
      </w:pPr>
    </w:p>
    <w:p w:rsidR="00EA44BD" w:rsidRPr="00B05705" w:rsidRDefault="00EA44BD" w:rsidP="00EA44BD">
      <w:pPr>
        <w:keepNext/>
        <w:ind w:right="567"/>
        <w:outlineLvl w:val="1"/>
        <w:rPr>
          <w:noProof/>
          <w:u w:val="single"/>
          <w:lang w:val="de-DE"/>
        </w:rPr>
      </w:pPr>
      <w:bookmarkStart w:id="69" w:name="_Toc22499455"/>
      <w:bookmarkStart w:id="70" w:name="_Toc22740464"/>
      <w:r w:rsidRPr="00B05705">
        <w:rPr>
          <w:noProof/>
          <w:lang w:val="de-DE"/>
        </w:rPr>
        <w:t>2.</w:t>
      </w:r>
      <w:r w:rsidRPr="00B05705">
        <w:rPr>
          <w:noProof/>
          <w:lang w:val="de-DE"/>
        </w:rPr>
        <w:tab/>
      </w:r>
      <w:r w:rsidRPr="00B05705">
        <w:rPr>
          <w:noProof/>
          <w:u w:val="single"/>
          <w:lang w:val="de-DE"/>
        </w:rPr>
        <w:t>Verfahren</w:t>
      </w:r>
      <w:bookmarkEnd w:id="69"/>
      <w:bookmarkEnd w:id="70"/>
    </w:p>
    <w:p w:rsidR="00EA44BD" w:rsidRPr="00B05705" w:rsidRDefault="00EA44BD" w:rsidP="00EA44BD">
      <w:pPr>
        <w:keepNext/>
        <w:ind w:right="567"/>
        <w:outlineLvl w:val="2"/>
        <w:rPr>
          <w:i/>
          <w:noProof/>
          <w:lang w:val="de-DE"/>
        </w:rPr>
      </w:pPr>
    </w:p>
    <w:p w:rsidR="00EA44BD" w:rsidRPr="00B05705" w:rsidRDefault="00EA44BD" w:rsidP="00EA44BD">
      <w:pPr>
        <w:keepNext/>
        <w:ind w:right="567"/>
        <w:outlineLvl w:val="2"/>
        <w:rPr>
          <w:i/>
          <w:noProof/>
          <w:lang w:val="de-DE"/>
        </w:rPr>
      </w:pPr>
      <w:bookmarkStart w:id="71" w:name="_Toc22499456"/>
      <w:bookmarkStart w:id="72" w:name="_Toc22740465"/>
      <w:r w:rsidRPr="00B05705">
        <w:rPr>
          <w:i/>
          <w:noProof/>
          <w:lang w:val="de-DE"/>
        </w:rPr>
        <w:t>Bestimmung genetischer Ähnlichkeit</w:t>
      </w:r>
      <w:bookmarkEnd w:id="71"/>
      <w:bookmarkEnd w:id="72"/>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2.1</w:t>
      </w:r>
      <w:r w:rsidRPr="00B05705">
        <w:rPr>
          <w:noProof/>
          <w:lang w:val="de-DE"/>
        </w:rPr>
        <w:tab/>
        <w:t>Das DNS-Profil der Kandidatensorte wird erstellt, sobald das Pflanzenmaterial eingetroffen ist.</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2.2</w:t>
      </w:r>
      <w:r w:rsidRPr="00B05705">
        <w:rPr>
          <w:noProof/>
          <w:lang w:val="de-DE"/>
        </w:rPr>
        <w:tab/>
        <w:t xml:space="preserve">Das DNS-Profil wird mit den Profilen aller Sorten in der Sortensammlung verglichen und genetisch ähnliche Sorten werden ermittelt. </w:t>
      </w:r>
    </w:p>
    <w:p w:rsidR="00EA44BD" w:rsidRPr="00B05705" w:rsidRDefault="00EA44BD" w:rsidP="00EA44BD">
      <w:pPr>
        <w:ind w:right="567"/>
        <w:rPr>
          <w:noProof/>
          <w:lang w:val="de-DE"/>
        </w:rPr>
      </w:pPr>
    </w:p>
    <w:p w:rsidR="00EA44BD" w:rsidRPr="00B05705" w:rsidRDefault="00EA44BD" w:rsidP="00EA44BD">
      <w:pPr>
        <w:ind w:right="567"/>
        <w:rPr>
          <w:i/>
          <w:noProof/>
          <w:lang w:val="de-DE"/>
        </w:rPr>
      </w:pPr>
      <w:r w:rsidRPr="00B05705">
        <w:rPr>
          <w:i/>
          <w:noProof/>
          <w:lang w:val="de-DE"/>
        </w:rPr>
        <w:t>Angaben im Technischen Fragebogen</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2.3</w:t>
      </w:r>
      <w:r w:rsidRPr="00B05705">
        <w:rPr>
          <w:noProof/>
          <w:lang w:val="de-DE"/>
        </w:rPr>
        <w:tab/>
        <w:t xml:space="preserve">Dann wird anhand der vom Antragsteller im Technischen Fragebogen (TQ) gemachten Angaben geprüft, ob es bei den DUS-Merkmalen klare Unterschiede von einigen der genetisch ähnlichen Sorten gibt, so </w:t>
      </w:r>
      <w:r>
        <w:rPr>
          <w:noProof/>
          <w:lang w:val="de-DE"/>
        </w:rPr>
        <w:t>daß</w:t>
      </w:r>
      <w:r w:rsidRPr="00B05705">
        <w:rPr>
          <w:noProof/>
          <w:lang w:val="de-DE"/>
        </w:rPr>
        <w:t xml:space="preserve"> sie nicht mit den Kandidatensorten in einer Anbauprüfung verglichen werden müssen. </w:t>
      </w:r>
    </w:p>
    <w:p w:rsidR="00EA44BD" w:rsidRPr="00B05705" w:rsidRDefault="00EA44BD" w:rsidP="00EA44BD">
      <w:pPr>
        <w:ind w:right="567"/>
        <w:rPr>
          <w:noProof/>
          <w:lang w:val="de-DE"/>
        </w:rPr>
      </w:pPr>
    </w:p>
    <w:p w:rsidR="00EA44BD" w:rsidRPr="00B05705" w:rsidRDefault="00EA44BD" w:rsidP="00EA44BD">
      <w:pPr>
        <w:keepNext/>
        <w:ind w:right="567"/>
        <w:outlineLvl w:val="2"/>
        <w:rPr>
          <w:i/>
          <w:noProof/>
          <w:lang w:val="de-DE"/>
        </w:rPr>
      </w:pPr>
      <w:bookmarkStart w:id="73" w:name="_Toc22499457"/>
      <w:bookmarkStart w:id="74" w:name="_Toc22740466"/>
      <w:r w:rsidRPr="00B05705">
        <w:rPr>
          <w:i/>
          <w:noProof/>
          <w:lang w:val="de-DE"/>
        </w:rPr>
        <w:t>Anbauprüfung:</w:t>
      </w:r>
      <w:bookmarkEnd w:id="73"/>
      <w:bookmarkEnd w:id="74"/>
    </w:p>
    <w:p w:rsidR="00EA44BD" w:rsidRPr="00B05705" w:rsidRDefault="00EA44BD" w:rsidP="00EA44BD">
      <w:pPr>
        <w:ind w:right="567"/>
        <w:rPr>
          <w:noProof/>
          <w:lang w:val="de-DE"/>
        </w:rPr>
      </w:pPr>
    </w:p>
    <w:p w:rsidR="00EA44BD" w:rsidRPr="00B05705" w:rsidRDefault="00EA44BD" w:rsidP="00EA44BD">
      <w:pPr>
        <w:keepNext/>
        <w:ind w:left="567" w:right="567"/>
        <w:outlineLvl w:val="3"/>
        <w:rPr>
          <w:noProof/>
          <w:u w:val="single"/>
          <w:lang w:val="de-DE"/>
        </w:rPr>
      </w:pPr>
      <w:bookmarkStart w:id="75" w:name="_Toc22499458"/>
      <w:bookmarkStart w:id="76" w:name="_Toc22740467"/>
      <w:r w:rsidRPr="00B05705">
        <w:rPr>
          <w:noProof/>
          <w:u w:val="single"/>
          <w:lang w:val="de-DE"/>
        </w:rPr>
        <w:t>Erste Wachstumsperiode</w:t>
      </w:r>
      <w:bookmarkEnd w:id="75"/>
      <w:bookmarkEnd w:id="76"/>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2.4</w:t>
      </w:r>
      <w:r w:rsidRPr="00B05705">
        <w:rPr>
          <w:noProof/>
          <w:lang w:val="de-DE"/>
        </w:rPr>
        <w:tab/>
        <w:t>Die Kandidatensorte und die mittels des oben beschriebenen Verfahrens ausgewählten genetisch ähnlichen Sorten werden in derselben Prüfung angebaut. Eine vollständige Beschreibung der DUS</w:t>
      </w:r>
      <w:r w:rsidRPr="00B05705">
        <w:rPr>
          <w:noProof/>
          <w:lang w:val="de-DE"/>
        </w:rPr>
        <w:noBreakHyphen/>
        <w:t xml:space="preserve">Merkmale der Kandidatensorte wird erstellt und mit den Beschreibungen aller Sorten in der Sortensammlung anhand einer Datenbank, die in den Vorjahren am selben Ort erstellte Beschreibungen enthält, verglichen. </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2.5</w:t>
      </w:r>
      <w:r w:rsidRPr="00B05705">
        <w:rPr>
          <w:noProof/>
          <w:lang w:val="de-DE"/>
        </w:rPr>
        <w:tab/>
        <w:t xml:space="preserve">Mögliche Ergebnisse: </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 xml:space="preserve">Ist die Kandidatensorte aufgrund von DUS-Merkmalen nicht von den genetisch ähnlichen Sorten unterscheidbar, wird die Prüfung für eine weitere Wachstumsperiode fortgesetzt. </w:t>
      </w:r>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 xml:space="preserve">Auf jeden Fall wird die in der ersten Wachstumsperiode von der Kandidatensorte erstellte Beschreibung anhand einer Datenbank, die am selben Ort erstellte Beschreibungen enthält, mit den Beschreibungen der Sorten in der Sortensammlung verglichen. </w:t>
      </w:r>
    </w:p>
    <w:p w:rsidR="00EA44BD" w:rsidRPr="00B05705" w:rsidRDefault="00EA44BD" w:rsidP="00EA44BD">
      <w:pPr>
        <w:ind w:right="567"/>
        <w:rPr>
          <w:noProof/>
          <w:lang w:val="de-DE"/>
        </w:rPr>
      </w:pPr>
    </w:p>
    <w:p w:rsidR="00EA44BD" w:rsidRPr="00B05705" w:rsidRDefault="00EA44BD" w:rsidP="00EA44BD">
      <w:pPr>
        <w:numPr>
          <w:ilvl w:val="0"/>
          <w:numId w:val="20"/>
        </w:numPr>
        <w:ind w:left="927" w:right="567"/>
        <w:contextualSpacing/>
        <w:rPr>
          <w:noProof/>
          <w:lang w:val="de-DE"/>
        </w:rPr>
      </w:pPr>
      <w:r w:rsidRPr="00B05705">
        <w:rPr>
          <w:noProof/>
          <w:lang w:val="de-DE"/>
        </w:rPr>
        <w:t xml:space="preserve">Wird festgestellt, </w:t>
      </w:r>
      <w:r>
        <w:rPr>
          <w:noProof/>
          <w:lang w:val="de-DE"/>
        </w:rPr>
        <w:t>daß</w:t>
      </w:r>
      <w:r w:rsidRPr="00B05705">
        <w:rPr>
          <w:noProof/>
          <w:lang w:val="de-DE"/>
        </w:rPr>
        <w:t xml:space="preserve"> sich die Kandidatensorte am Ende der ersten Wachstumsperiode von allen Sorten, die in der ersten Wachstumsperiode angebaut wurden, und von allen anderen Sorten in der Sortensammlung unterscheidet und sie die Anforderungen der Homogenität und Beständigkeit erfüllt, kann die DUS-Prüfung nach der ersten Wachstumsperiode beendet werden.</w:t>
      </w:r>
    </w:p>
    <w:p w:rsidR="00EA44BD" w:rsidRPr="00B05705" w:rsidRDefault="00EA44BD" w:rsidP="00EA44BD">
      <w:pPr>
        <w:ind w:left="567" w:right="567"/>
        <w:contextualSpacing/>
        <w:rPr>
          <w:noProof/>
          <w:lang w:val="de-DE"/>
        </w:rPr>
      </w:pPr>
    </w:p>
    <w:p w:rsidR="00EA44BD" w:rsidRPr="00B05705" w:rsidRDefault="00EA44BD" w:rsidP="00EA44BD">
      <w:pPr>
        <w:numPr>
          <w:ilvl w:val="0"/>
          <w:numId w:val="20"/>
        </w:numPr>
        <w:ind w:left="927" w:right="567"/>
        <w:contextualSpacing/>
        <w:rPr>
          <w:noProof/>
          <w:lang w:val="de-DE"/>
        </w:rPr>
      </w:pPr>
      <w:r w:rsidRPr="00B05705">
        <w:rPr>
          <w:noProof/>
          <w:lang w:val="de-DE"/>
        </w:rPr>
        <w:t xml:space="preserve">In allen anderen Fällen wird eine zweite Wachstumsperiode durchgeführt. </w:t>
      </w:r>
    </w:p>
    <w:p w:rsidR="00EA44BD" w:rsidRPr="00B05705" w:rsidRDefault="00EA44BD" w:rsidP="00EA44BD">
      <w:pPr>
        <w:ind w:right="567"/>
        <w:rPr>
          <w:noProof/>
          <w:lang w:val="de-DE"/>
        </w:rPr>
      </w:pPr>
    </w:p>
    <w:p w:rsidR="00EA44BD" w:rsidRPr="00B05705" w:rsidRDefault="00EA44BD" w:rsidP="00EA44BD">
      <w:pPr>
        <w:ind w:right="567"/>
        <w:rPr>
          <w:noProof/>
          <w:lang w:val="de-DE"/>
        </w:rPr>
      </w:pPr>
    </w:p>
    <w:p w:rsidR="00EA44BD" w:rsidRPr="00B05705" w:rsidRDefault="00EA44BD" w:rsidP="00EA44BD">
      <w:pPr>
        <w:keepNext/>
        <w:ind w:left="567" w:right="567"/>
        <w:outlineLvl w:val="3"/>
        <w:rPr>
          <w:noProof/>
          <w:u w:val="single"/>
          <w:lang w:val="de-DE"/>
        </w:rPr>
      </w:pPr>
      <w:bookmarkStart w:id="77" w:name="_Toc22499459"/>
      <w:bookmarkStart w:id="78" w:name="_Toc22740468"/>
      <w:r w:rsidRPr="00B05705">
        <w:rPr>
          <w:noProof/>
          <w:u w:val="single"/>
          <w:lang w:val="de-DE"/>
        </w:rPr>
        <w:t>Zweite Wachstumsperiode</w:t>
      </w:r>
      <w:bookmarkEnd w:id="77"/>
      <w:bookmarkEnd w:id="78"/>
    </w:p>
    <w:p w:rsidR="00EA44BD" w:rsidRPr="00B05705" w:rsidRDefault="00EA44BD" w:rsidP="00EA44BD">
      <w:pPr>
        <w:ind w:right="567"/>
        <w:rPr>
          <w:noProof/>
          <w:lang w:val="de-DE"/>
        </w:rPr>
      </w:pPr>
    </w:p>
    <w:p w:rsidR="00EA44BD" w:rsidRPr="00B05705" w:rsidRDefault="00EA44BD" w:rsidP="00EA44BD">
      <w:pPr>
        <w:ind w:right="567"/>
        <w:rPr>
          <w:noProof/>
          <w:lang w:val="de-DE"/>
        </w:rPr>
      </w:pPr>
      <w:r w:rsidRPr="00B05705">
        <w:rPr>
          <w:noProof/>
          <w:lang w:val="de-DE"/>
        </w:rPr>
        <w:t>2.6</w:t>
      </w:r>
      <w:r w:rsidRPr="00B05705">
        <w:rPr>
          <w:noProof/>
          <w:lang w:val="de-DE"/>
        </w:rPr>
        <w:tab/>
        <w:t xml:space="preserve">In der zweiten Wachstumsperiode wird die Kandidatensorte mit allen Sorten in der Sortensammlung, von denen sie am Ende der ersten Wachstumsperiode als nicht unterscheidbar befunden wurde, angebaut. </w:t>
      </w:r>
    </w:p>
    <w:p w:rsidR="00EA44BD" w:rsidRPr="00B05705" w:rsidRDefault="00EA44BD" w:rsidP="00EA44BD">
      <w:pPr>
        <w:ind w:right="567"/>
        <w:rPr>
          <w:noProof/>
          <w:lang w:val="de-DE"/>
        </w:rPr>
      </w:pPr>
    </w:p>
    <w:p w:rsidR="00EA44BD" w:rsidRPr="00B05705" w:rsidRDefault="00EA44BD" w:rsidP="00EA44BD">
      <w:pPr>
        <w:rPr>
          <w:noProof/>
          <w:lang w:val="de-DE"/>
        </w:rPr>
      </w:pPr>
      <w:r w:rsidRPr="00B05705">
        <w:rPr>
          <w:noProof/>
          <w:lang w:val="de-DE"/>
        </w:rPr>
        <w:lastRenderedPageBreak/>
        <w:t>2.7</w:t>
      </w:r>
      <w:r w:rsidRPr="00B05705">
        <w:rPr>
          <w:noProof/>
          <w:lang w:val="de-DE"/>
        </w:rPr>
        <w:tab/>
        <w:t xml:space="preserve"> Am Ende der zweiten Wachstumsperiode wird eine DUS-Bewertung vorgenommen. Ist es nicht möglich, am Ende der zweiten Wachstumsperiode eine Entscheidung über DUS zu treffen, kann eine weitere Wachstumsperiode durchgeführt werden.</w:t>
      </w: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rPr>
          <w:noProof/>
          <w:lang w:val="de-DE"/>
        </w:rPr>
      </w:pPr>
    </w:p>
    <w:p w:rsidR="00EA44BD" w:rsidRPr="00B05705" w:rsidRDefault="00EA44BD" w:rsidP="00EA44BD">
      <w:pPr>
        <w:jc w:val="right"/>
        <w:rPr>
          <w:noProof/>
          <w:lang w:val="de-DE"/>
        </w:rPr>
      </w:pPr>
      <w:r w:rsidRPr="00B05705">
        <w:rPr>
          <w:noProof/>
          <w:lang w:val="de-DE"/>
        </w:rPr>
        <w:t>[Anlage VI folgt]</w:t>
      </w:r>
    </w:p>
    <w:p w:rsidR="00EA44BD" w:rsidRPr="00B05705" w:rsidRDefault="00EA44BD" w:rsidP="00EA44BD">
      <w:pPr>
        <w:jc w:val="right"/>
        <w:rPr>
          <w:noProof/>
          <w:lang w:val="de-DE"/>
        </w:rPr>
      </w:pPr>
    </w:p>
    <w:p w:rsidR="00EA44BD" w:rsidRPr="00B05705" w:rsidRDefault="00EA44BD" w:rsidP="00EA44BD">
      <w:pPr>
        <w:jc w:val="right"/>
        <w:rPr>
          <w:noProof/>
          <w:lang w:val="de-DE"/>
        </w:rPr>
        <w:sectPr w:rsidR="00EA44BD" w:rsidRPr="00B05705" w:rsidSect="00DC4ECD">
          <w:headerReference w:type="default" r:id="rId34"/>
          <w:headerReference w:type="first" r:id="rId35"/>
          <w:pgSz w:w="11907" w:h="16840" w:code="9"/>
          <w:pgMar w:top="510" w:right="1134" w:bottom="709" w:left="1134" w:header="510" w:footer="680" w:gutter="0"/>
          <w:pgNumType w:start="1"/>
          <w:cols w:space="720"/>
          <w:titlePg/>
        </w:sectPr>
      </w:pPr>
    </w:p>
    <w:p w:rsidR="00EA44BD" w:rsidRPr="00B05705" w:rsidRDefault="003F1D59" w:rsidP="003F1D59">
      <w:pPr>
        <w:spacing w:line="480" w:lineRule="auto"/>
        <w:ind w:left="-284"/>
        <w:jc w:val="center"/>
        <w:rPr>
          <w:noProof/>
          <w:lang w:val="de-DE"/>
        </w:rPr>
      </w:pPr>
      <w:r w:rsidRPr="003F1D59">
        <w:lastRenderedPageBreak/>
        <w:drawing>
          <wp:inline distT="0" distB="0" distL="0" distR="0">
            <wp:extent cx="9264650" cy="6316229"/>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67560" cy="6318213"/>
                    </a:xfrm>
                    <a:prstGeom prst="rect">
                      <a:avLst/>
                    </a:prstGeom>
                    <a:noFill/>
                    <a:ln>
                      <a:noFill/>
                    </a:ln>
                  </pic:spPr>
                </pic:pic>
              </a:graphicData>
            </a:graphic>
          </wp:inline>
        </w:drawing>
      </w:r>
      <w:bookmarkStart w:id="79" w:name="_GoBack"/>
      <w:bookmarkEnd w:id="79"/>
    </w:p>
    <w:sectPr w:rsidR="00EA44BD" w:rsidRPr="00B05705" w:rsidSect="00AF1695">
      <w:headerReference w:type="default" r:id="rId37"/>
      <w:headerReference w:type="first" r:id="rId38"/>
      <w:footerReference w:type="first" r:id="rId39"/>
      <w:pgSz w:w="16840" w:h="11907" w:orient="landscape" w:code="9"/>
      <w:pgMar w:top="1134" w:right="510" w:bottom="567" w:left="1134" w:header="510" w:footer="34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CED" w:rsidRDefault="00442CED">
      <w:r>
        <w:separator/>
      </w:r>
    </w:p>
  </w:endnote>
  <w:endnote w:type="continuationSeparator" w:id="0">
    <w:p w:rsidR="00442CED" w:rsidRDefault="0044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DE7D82" w:rsidRDefault="00442CED" w:rsidP="00DC4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Default="00442CED" w:rsidP="00DC4ECD">
    <w:pPr>
      <w:pStyle w:val="Footer"/>
      <w:rPr>
        <w:sz w:val="20"/>
      </w:rPr>
    </w:pPr>
  </w:p>
  <w:p w:rsidR="00AF1695" w:rsidRPr="003909F7" w:rsidRDefault="00442CED" w:rsidP="00DC4ECD">
    <w:pPr>
      <w:pStyle w:val="Footer"/>
      <w:rPr>
        <w:sz w:val="20"/>
        <w:lang w:val="de-DE"/>
      </w:rPr>
    </w:pPr>
    <w:r w:rsidRPr="003909F7">
      <w:rPr>
        <w:sz w:val="20"/>
        <w:lang w:val="de-DE"/>
      </w:rPr>
      <w:t>[End</w:t>
    </w:r>
    <w:r w:rsidR="003909F7" w:rsidRPr="003909F7">
      <w:rPr>
        <w:sz w:val="20"/>
        <w:lang w:val="de-DE"/>
      </w:rPr>
      <w:t>e der Anlage</w:t>
    </w:r>
    <w:r w:rsidRPr="003909F7">
      <w:rPr>
        <w:sz w:val="20"/>
        <w:lang w:val="de-DE"/>
      </w:rPr>
      <w:t xml:space="preserve"> VI </w:t>
    </w:r>
    <w:r w:rsidR="003909F7" w:rsidRPr="003909F7">
      <w:rPr>
        <w:sz w:val="20"/>
        <w:lang w:val="de-DE"/>
      </w:rPr>
      <w:t xml:space="preserve">und des </w:t>
    </w:r>
    <w:r w:rsidR="003909F7">
      <w:rPr>
        <w:sz w:val="20"/>
        <w:lang w:val="de-DE"/>
      </w:rPr>
      <w:t>D</w:t>
    </w:r>
    <w:r w:rsidR="003909F7" w:rsidRPr="003909F7">
      <w:rPr>
        <w:sz w:val="20"/>
        <w:lang w:val="de-DE"/>
      </w:rPr>
      <w:t>okuments</w:t>
    </w:r>
    <w:r w:rsidRPr="003909F7">
      <w:rPr>
        <w:sz w:val="20"/>
        <w:lang w:val="de-DE"/>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CED" w:rsidRDefault="00442CED">
      <w:r>
        <w:separator/>
      </w:r>
    </w:p>
  </w:footnote>
  <w:footnote w:type="continuationSeparator" w:id="0">
    <w:p w:rsidR="00442CED" w:rsidRDefault="00442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Pr="002E1B40" w:rsidRDefault="00442CED" w:rsidP="00DC4ECD">
    <w:pPr>
      <w:jc w:val="center"/>
      <w:rPr>
        <w:lang w:val="pt-BR"/>
      </w:rPr>
    </w:pPr>
    <w:r>
      <w:rPr>
        <w:lang w:val="pt-BR"/>
      </w:rPr>
      <w:t>Seite</w:t>
    </w:r>
    <w:r w:rsidRPr="002E1B40">
      <w:rPr>
        <w:lang w:val="pt-BR"/>
      </w:rPr>
      <w:t xml:space="preserve"> </w:t>
    </w:r>
    <w:r w:rsidRPr="00C5280D">
      <w:fldChar w:fldCharType="begin"/>
    </w:r>
    <w:r w:rsidRPr="002E1B40">
      <w:rPr>
        <w:lang w:val="pt-BR"/>
      </w:rPr>
      <w:instrText xml:space="preserve"> PAGE </w:instrText>
    </w:r>
    <w:r w:rsidRPr="00C5280D">
      <w:fldChar w:fldCharType="separate"/>
    </w:r>
    <w:r w:rsidR="003909F7">
      <w:rPr>
        <w:noProof/>
        <w:lang w:val="pt-BR"/>
      </w:rPr>
      <w:t>5</w:t>
    </w:r>
    <w:r w:rsidRPr="00C5280D">
      <w:fldChar w:fldCharType="end"/>
    </w:r>
  </w:p>
  <w:p w:rsidR="00442CED" w:rsidRPr="002E1B40" w:rsidRDefault="00442CED" w:rsidP="00DC4ECD">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Default="00442CED" w:rsidP="00DC4ECD">
    <w:pPr>
      <w:jc w:val="center"/>
    </w:pPr>
  </w:p>
  <w:p w:rsidR="00442CED" w:rsidRDefault="00442CED" w:rsidP="00DC4ECD">
    <w:pPr>
      <w:jc w:val="center"/>
    </w:pPr>
    <w:r>
      <w:t xml:space="preserve">ANLAGE V </w:t>
    </w:r>
  </w:p>
  <w:p w:rsidR="00442CED" w:rsidRPr="004A75CB" w:rsidRDefault="00442CED" w:rsidP="00DC4ECD">
    <w:pPr>
      <w:jc w:val="cent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C5280D" w:rsidRDefault="00442CED" w:rsidP="00DC4ECD">
    <w:pPr>
      <w:pStyle w:val="Header"/>
      <w:rPr>
        <w:rStyle w:val="PageNumber"/>
      </w:rPr>
    </w:pPr>
    <w:r>
      <w:rPr>
        <w:rStyle w:val="PageNumber"/>
      </w:rPr>
      <w:t>TC/55/4</w:t>
    </w:r>
  </w:p>
  <w:p w:rsidR="00442CED" w:rsidRPr="00C5280D" w:rsidRDefault="00442CED" w:rsidP="00DC4ECD">
    <w:pPr>
      <w:pStyle w:val="Header"/>
      <w:rPr>
        <w:lang w:val="en-US"/>
      </w:rPr>
    </w:pPr>
    <w:r w:rsidRPr="00C5280D">
      <w:rPr>
        <w:lang w:val="en-US"/>
      </w:rPr>
      <w:t xml:space="preserve">page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4</w:t>
    </w:r>
    <w:r w:rsidRPr="00C5280D">
      <w:rPr>
        <w:rStyle w:val="PageNumber"/>
      </w:rPr>
      <w:fldChar w:fldCharType="end"/>
    </w:r>
  </w:p>
  <w:p w:rsidR="00442CED" w:rsidRPr="00C5280D" w:rsidRDefault="00442CED" w:rsidP="00DC4ECD"/>
  <w:p w:rsidR="00442CED" w:rsidRDefault="00442CED"/>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7C60B9" w:rsidRDefault="00442CED" w:rsidP="00DC4ECD">
    <w:pPr>
      <w:jc w:val="center"/>
      <w:rPr>
        <w:lang w:val="de-DE"/>
      </w:rPr>
    </w:pPr>
    <w:r w:rsidRPr="007C60B9">
      <w:rPr>
        <w:lang w:val="de-DE"/>
      </w:rPr>
      <w:t>TC/55/4</w:t>
    </w:r>
  </w:p>
  <w:p w:rsidR="00442CED" w:rsidRPr="007C60B9" w:rsidRDefault="00442CED" w:rsidP="00DC4ECD">
    <w:pPr>
      <w:jc w:val="center"/>
      <w:rPr>
        <w:lang w:val="de-DE"/>
      </w:rPr>
    </w:pPr>
  </w:p>
  <w:p w:rsidR="00442CED" w:rsidRPr="006F72EE" w:rsidRDefault="00442CED" w:rsidP="00DC4ECD">
    <w:pPr>
      <w:spacing w:after="120"/>
      <w:jc w:val="center"/>
      <w:rPr>
        <w:lang w:val="de-DE"/>
      </w:rPr>
    </w:pPr>
    <w:r w:rsidRPr="003C03FC">
      <w:rPr>
        <w:lang w:val="de-DE"/>
      </w:rPr>
      <w:t>ANLAGE VI</w:t>
    </w:r>
    <w:r>
      <w:rPr>
        <w:lang w:val="de-DE"/>
      </w:rPr>
      <w:t xml:space="preserve"> </w:t>
    </w:r>
    <w:r w:rsidRPr="003C03FC">
      <w:rPr>
        <w:lang w:val="de-DE"/>
      </w:rPr>
      <w:t>- PROGRAMM ZUR ER</w:t>
    </w:r>
    <w:r>
      <w:rPr>
        <w:lang w:val="de-DE"/>
      </w:rPr>
      <w:t>S</w:t>
    </w:r>
    <w:r w:rsidRPr="003C03FC">
      <w:rPr>
        <w:lang w:val="de-DE"/>
      </w:rPr>
      <w:t>TELLUNG VON TGP</w:t>
    </w:r>
    <w:r>
      <w:rPr>
        <w:lang w:val="de-DE"/>
      </w:rPr>
      <w:t>-</w:t>
    </w:r>
    <w:r w:rsidRPr="003C03FC">
      <w:rPr>
        <w:lang w:val="de-DE"/>
      </w:rPr>
      <w:t>DOKUMENTEN</w:t>
    </w:r>
    <w:r w:rsidRPr="007C60B9">
      <w:rPr>
        <w:lang w:val="de-D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Pr="00C5280D" w:rsidRDefault="00442CED" w:rsidP="00DC4ECD">
    <w:pPr>
      <w:pStyle w:val="Header"/>
      <w:rPr>
        <w:lang w:val="en-US"/>
      </w:rPr>
    </w:pPr>
    <w:r>
      <w:rPr>
        <w:lang w:val="en-US"/>
      </w:rPr>
      <w:t>Anlage I, Seite</w:t>
    </w:r>
    <w:r w:rsidRPr="00C5280D">
      <w:rPr>
        <w:lang w:val="en-US"/>
      </w:rP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3909F7">
      <w:rPr>
        <w:rStyle w:val="PageNumber"/>
        <w:noProof/>
      </w:rPr>
      <w:t>3</w:t>
    </w:r>
    <w:r w:rsidRPr="00C5280D">
      <w:rPr>
        <w:rStyle w:val="PageNumber"/>
      </w:rPr>
      <w:fldChar w:fldCharType="end"/>
    </w:r>
  </w:p>
  <w:p w:rsidR="00442CED" w:rsidRPr="00C5280D" w:rsidRDefault="00442CED" w:rsidP="00DC4EC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Default="00442CED" w:rsidP="00DC4ECD">
    <w:pPr>
      <w:jc w:val="center"/>
    </w:pPr>
  </w:p>
  <w:p w:rsidR="00442CED" w:rsidRDefault="00442CED" w:rsidP="00DC4ECD">
    <w:pPr>
      <w:jc w:val="center"/>
    </w:pPr>
    <w:r>
      <w:t xml:space="preserve">ANLAGE I </w:t>
    </w:r>
  </w:p>
  <w:p w:rsidR="00442CED" w:rsidRPr="004A75CB" w:rsidRDefault="00442CED" w:rsidP="00DC4ECD">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Default="00442CED" w:rsidP="00DC4ECD">
    <w:pPr>
      <w:jc w:val="center"/>
    </w:pPr>
  </w:p>
  <w:p w:rsidR="00442CED" w:rsidRDefault="00442CED" w:rsidP="00DC4ECD">
    <w:pPr>
      <w:jc w:val="center"/>
    </w:pPr>
    <w:r>
      <w:t xml:space="preserve">ANLAGE II </w:t>
    </w:r>
  </w:p>
  <w:p w:rsidR="00442CED" w:rsidRPr="004A75CB" w:rsidRDefault="00442CED" w:rsidP="00DC4ECD">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Pr="00436698" w:rsidRDefault="00442CED" w:rsidP="00DC4ECD">
    <w:pPr>
      <w:pStyle w:val="Header"/>
      <w:rPr>
        <w:lang w:val="fr-CH"/>
      </w:rPr>
    </w:pPr>
    <w:r w:rsidRPr="00436698">
      <w:rPr>
        <w:lang w:val="fr-CH"/>
      </w:rPr>
      <w:t>An</w:t>
    </w:r>
    <w:r>
      <w:rPr>
        <w:lang w:val="fr-CH"/>
      </w:rPr>
      <w:t>lage</w:t>
    </w:r>
    <w:r w:rsidRPr="00436698">
      <w:rPr>
        <w:lang w:val="fr-CH"/>
      </w:rPr>
      <w:t xml:space="preserve"> III, </w:t>
    </w:r>
    <w:r>
      <w:rPr>
        <w:lang w:val="fr-CH"/>
      </w:rPr>
      <w:t>Seite</w:t>
    </w:r>
    <w:r w:rsidRPr="00436698">
      <w:rPr>
        <w:lang w:val="fr-CH"/>
      </w:rPr>
      <w:t xml:space="preserve"> </w:t>
    </w:r>
    <w:r w:rsidRPr="00C5280D">
      <w:rPr>
        <w:rStyle w:val="PageNumber"/>
      </w:rPr>
      <w:fldChar w:fldCharType="begin"/>
    </w:r>
    <w:r w:rsidRPr="00436698">
      <w:rPr>
        <w:rStyle w:val="PageNumber"/>
        <w:lang w:val="fr-CH"/>
      </w:rPr>
      <w:instrText xml:space="preserve"> PAGE </w:instrText>
    </w:r>
    <w:r w:rsidRPr="00C5280D">
      <w:rPr>
        <w:rStyle w:val="PageNumber"/>
      </w:rPr>
      <w:fldChar w:fldCharType="separate"/>
    </w:r>
    <w:r w:rsidR="003909F7">
      <w:rPr>
        <w:rStyle w:val="PageNumber"/>
        <w:noProof/>
        <w:lang w:val="fr-CH"/>
      </w:rPr>
      <w:t>3</w:t>
    </w:r>
    <w:r w:rsidRPr="00C5280D">
      <w:rPr>
        <w:rStyle w:val="PageNumber"/>
      </w:rPr>
      <w:fldChar w:fldCharType="end"/>
    </w:r>
  </w:p>
  <w:p w:rsidR="00442CED" w:rsidRPr="00436698" w:rsidRDefault="00442CED" w:rsidP="00DC4ECD">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Default="00442CED" w:rsidP="00DC4ECD">
    <w:pPr>
      <w:jc w:val="center"/>
    </w:pPr>
  </w:p>
  <w:p w:rsidR="00442CED" w:rsidRDefault="00442CED" w:rsidP="00DC4ECD">
    <w:pPr>
      <w:jc w:val="center"/>
    </w:pPr>
    <w:r>
      <w:t xml:space="preserve">ANLAGE III </w:t>
    </w:r>
  </w:p>
  <w:p w:rsidR="00442CED" w:rsidRPr="004A75CB" w:rsidRDefault="00442CED" w:rsidP="00DC4ECD">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Pr="00436698" w:rsidRDefault="00442CED" w:rsidP="00DC4ECD">
    <w:pPr>
      <w:pStyle w:val="Header"/>
      <w:rPr>
        <w:lang w:val="fr-CH"/>
      </w:rPr>
    </w:pPr>
    <w:r w:rsidRPr="00436698">
      <w:rPr>
        <w:lang w:val="fr-CH"/>
      </w:rPr>
      <w:t>An</w:t>
    </w:r>
    <w:r>
      <w:rPr>
        <w:lang w:val="fr-CH"/>
      </w:rPr>
      <w:t>lage</w:t>
    </w:r>
    <w:r w:rsidRPr="00436698">
      <w:rPr>
        <w:lang w:val="fr-CH"/>
      </w:rPr>
      <w:t xml:space="preserve"> IV, </w:t>
    </w:r>
    <w:r>
      <w:rPr>
        <w:lang w:val="fr-CH"/>
      </w:rPr>
      <w:t>Seite</w:t>
    </w:r>
    <w:r w:rsidRPr="00436698">
      <w:rPr>
        <w:lang w:val="fr-CH"/>
      </w:rPr>
      <w:t xml:space="preserve"> </w:t>
    </w:r>
    <w:r w:rsidRPr="00C5280D">
      <w:rPr>
        <w:rStyle w:val="PageNumber"/>
      </w:rPr>
      <w:fldChar w:fldCharType="begin"/>
    </w:r>
    <w:r w:rsidRPr="00436698">
      <w:rPr>
        <w:rStyle w:val="PageNumber"/>
        <w:lang w:val="fr-CH"/>
      </w:rPr>
      <w:instrText xml:space="preserve"> PAGE </w:instrText>
    </w:r>
    <w:r w:rsidRPr="00C5280D">
      <w:rPr>
        <w:rStyle w:val="PageNumber"/>
      </w:rPr>
      <w:fldChar w:fldCharType="separate"/>
    </w:r>
    <w:r w:rsidR="003909F7">
      <w:rPr>
        <w:rStyle w:val="PageNumber"/>
        <w:noProof/>
        <w:lang w:val="fr-CH"/>
      </w:rPr>
      <w:t>2</w:t>
    </w:r>
    <w:r w:rsidRPr="00C5280D">
      <w:rPr>
        <w:rStyle w:val="PageNumber"/>
      </w:rPr>
      <w:fldChar w:fldCharType="end"/>
    </w:r>
  </w:p>
  <w:p w:rsidR="00442CED" w:rsidRPr="00436698" w:rsidRDefault="00442CED" w:rsidP="00DC4ECD">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Default="00442CED" w:rsidP="00DC4ECD">
    <w:pPr>
      <w:jc w:val="center"/>
    </w:pPr>
  </w:p>
  <w:p w:rsidR="00442CED" w:rsidRDefault="00442CED" w:rsidP="00DC4ECD">
    <w:pPr>
      <w:jc w:val="center"/>
    </w:pPr>
    <w:r>
      <w:t xml:space="preserve">ANLAGE IV </w:t>
    </w:r>
  </w:p>
  <w:p w:rsidR="00442CED" w:rsidRPr="004A75CB" w:rsidRDefault="00442CED" w:rsidP="00DC4ECD">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2CED" w:rsidRPr="002E1B40" w:rsidRDefault="00442CED" w:rsidP="00DC4ECD">
    <w:pPr>
      <w:jc w:val="center"/>
      <w:rPr>
        <w:lang w:val="pt-BR"/>
      </w:rPr>
    </w:pPr>
    <w:r>
      <w:t>TC/55/4</w:t>
    </w:r>
  </w:p>
  <w:p w:rsidR="00442CED" w:rsidRPr="00436698" w:rsidRDefault="00442CED" w:rsidP="00DC4ECD">
    <w:pPr>
      <w:pStyle w:val="Header"/>
      <w:rPr>
        <w:lang w:val="fr-CH"/>
      </w:rPr>
    </w:pPr>
    <w:r w:rsidRPr="00436698">
      <w:rPr>
        <w:lang w:val="fr-CH"/>
      </w:rPr>
      <w:t>An</w:t>
    </w:r>
    <w:r>
      <w:rPr>
        <w:lang w:val="fr-CH"/>
      </w:rPr>
      <w:t>lage</w:t>
    </w:r>
    <w:r w:rsidRPr="00436698">
      <w:rPr>
        <w:lang w:val="fr-CH"/>
      </w:rPr>
      <w:t xml:space="preserve"> V, </w:t>
    </w:r>
    <w:r>
      <w:rPr>
        <w:lang w:val="fr-CH"/>
      </w:rPr>
      <w:t>Seite</w:t>
    </w:r>
    <w:r w:rsidRPr="00436698">
      <w:rPr>
        <w:lang w:val="fr-CH"/>
      </w:rPr>
      <w:t xml:space="preserve"> </w:t>
    </w:r>
    <w:r w:rsidRPr="00C5280D">
      <w:rPr>
        <w:rStyle w:val="PageNumber"/>
      </w:rPr>
      <w:fldChar w:fldCharType="begin"/>
    </w:r>
    <w:r w:rsidRPr="00436698">
      <w:rPr>
        <w:rStyle w:val="PageNumber"/>
        <w:lang w:val="fr-CH"/>
      </w:rPr>
      <w:instrText xml:space="preserve"> PAGE </w:instrText>
    </w:r>
    <w:r w:rsidRPr="00C5280D">
      <w:rPr>
        <w:rStyle w:val="PageNumber"/>
      </w:rPr>
      <w:fldChar w:fldCharType="separate"/>
    </w:r>
    <w:r w:rsidR="003909F7">
      <w:rPr>
        <w:rStyle w:val="PageNumber"/>
        <w:noProof/>
        <w:lang w:val="fr-CH"/>
      </w:rPr>
      <w:t>3</w:t>
    </w:r>
    <w:r w:rsidRPr="00C5280D">
      <w:rPr>
        <w:rStyle w:val="PageNumber"/>
      </w:rPr>
      <w:fldChar w:fldCharType="end"/>
    </w:r>
  </w:p>
  <w:p w:rsidR="00442CED" w:rsidRPr="00436698" w:rsidRDefault="00442CED" w:rsidP="00DC4ECD">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A7E16"/>
    <w:multiLevelType w:val="hybridMultilevel"/>
    <w:tmpl w:val="D4A0883C"/>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10F66DB3"/>
    <w:multiLevelType w:val="hybridMultilevel"/>
    <w:tmpl w:val="84EE0CCC"/>
    <w:lvl w:ilvl="0" w:tplc="0407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1D406610"/>
    <w:multiLevelType w:val="hybridMultilevel"/>
    <w:tmpl w:val="6FD00E7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7"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34E43D42"/>
    <w:multiLevelType w:val="hybridMultilevel"/>
    <w:tmpl w:val="89587F0E"/>
    <w:lvl w:ilvl="0" w:tplc="04090017">
      <w:start w:val="1"/>
      <w:numFmt w:val="lowerLetter"/>
      <w:lvlText w:val="%1)"/>
      <w:lvlJc w:val="left"/>
      <w:pPr>
        <w:ind w:left="1287" w:hanging="360"/>
      </w:pPr>
      <w:rPr>
        <w:rFonts w:hint="default"/>
      </w:rPr>
    </w:lvl>
    <w:lvl w:ilvl="1" w:tplc="04070019">
      <w:start w:val="1"/>
      <w:numFmt w:val="lowerLetter"/>
      <w:lvlText w:val="%2."/>
      <w:lvlJc w:val="left"/>
      <w:pPr>
        <w:ind w:left="2007" w:hanging="360"/>
      </w:pPr>
    </w:lvl>
    <w:lvl w:ilvl="2" w:tplc="0407001B">
      <w:start w:val="1"/>
      <w:numFmt w:val="lowerRoman"/>
      <w:lvlText w:val="%3."/>
      <w:lvlJc w:val="right"/>
      <w:pPr>
        <w:ind w:left="2727" w:hanging="180"/>
      </w:pPr>
    </w:lvl>
    <w:lvl w:ilvl="3" w:tplc="0407000F">
      <w:start w:val="1"/>
      <w:numFmt w:val="decimal"/>
      <w:lvlText w:val="%4."/>
      <w:lvlJc w:val="left"/>
      <w:pPr>
        <w:ind w:left="3447" w:hanging="360"/>
      </w:pPr>
    </w:lvl>
    <w:lvl w:ilvl="4" w:tplc="04070019">
      <w:start w:val="1"/>
      <w:numFmt w:val="lowerLetter"/>
      <w:lvlText w:val="%5."/>
      <w:lvlJc w:val="left"/>
      <w:pPr>
        <w:ind w:left="4167" w:hanging="360"/>
      </w:pPr>
    </w:lvl>
    <w:lvl w:ilvl="5" w:tplc="0407001B">
      <w:start w:val="1"/>
      <w:numFmt w:val="lowerRoman"/>
      <w:lvlText w:val="%6."/>
      <w:lvlJc w:val="right"/>
      <w:pPr>
        <w:ind w:left="4887" w:hanging="180"/>
      </w:pPr>
    </w:lvl>
    <w:lvl w:ilvl="6" w:tplc="0407000F">
      <w:start w:val="1"/>
      <w:numFmt w:val="decimal"/>
      <w:lvlText w:val="%7."/>
      <w:lvlJc w:val="left"/>
      <w:pPr>
        <w:ind w:left="5607" w:hanging="360"/>
      </w:pPr>
    </w:lvl>
    <w:lvl w:ilvl="7" w:tplc="04070019">
      <w:start w:val="1"/>
      <w:numFmt w:val="lowerLetter"/>
      <w:lvlText w:val="%8."/>
      <w:lvlJc w:val="left"/>
      <w:pPr>
        <w:ind w:left="6327" w:hanging="360"/>
      </w:pPr>
    </w:lvl>
    <w:lvl w:ilvl="8" w:tplc="0407001B">
      <w:start w:val="1"/>
      <w:numFmt w:val="lowerRoman"/>
      <w:lvlText w:val="%9."/>
      <w:lvlJc w:val="right"/>
      <w:pPr>
        <w:ind w:left="7047" w:hanging="180"/>
      </w:pPr>
    </w:lvl>
  </w:abstractNum>
  <w:abstractNum w:abstractNumId="12" w15:restartNumberingAfterBreak="0">
    <w:nsid w:val="42817DDD"/>
    <w:multiLevelType w:val="hybridMultilevel"/>
    <w:tmpl w:val="EDD80630"/>
    <w:lvl w:ilvl="0" w:tplc="04070017">
      <w:start w:val="1"/>
      <w:numFmt w:val="lowerLetter"/>
      <w:lvlText w:val="%1)"/>
      <w:lvlJc w:val="left"/>
      <w:pPr>
        <w:ind w:left="7307"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5"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EF287E"/>
    <w:multiLevelType w:val="hybridMultilevel"/>
    <w:tmpl w:val="21C0109E"/>
    <w:lvl w:ilvl="0" w:tplc="0407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8" w15:restartNumberingAfterBreak="0">
    <w:nsid w:val="5A681811"/>
    <w:multiLevelType w:val="hybridMultilevel"/>
    <w:tmpl w:val="376C7BDE"/>
    <w:lvl w:ilvl="0" w:tplc="538219D4">
      <w:start w:val="1"/>
      <w:numFmt w:val="decimal"/>
      <w:lvlText w:val="%1."/>
      <w:lvlJc w:val="left"/>
      <w:pPr>
        <w:ind w:left="924" w:hanging="56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59717F"/>
    <w:multiLevelType w:val="hybridMultilevel"/>
    <w:tmpl w:val="A2807850"/>
    <w:lvl w:ilvl="0" w:tplc="AFB2BAB0">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1"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2" w15:restartNumberingAfterBreak="0">
    <w:nsid w:val="776E792C"/>
    <w:multiLevelType w:val="hybridMultilevel"/>
    <w:tmpl w:val="412C9854"/>
    <w:lvl w:ilvl="0" w:tplc="CAEC77A4">
      <w:start w:val="1"/>
      <w:numFmt w:val="low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5"/>
  </w:num>
  <w:num w:numId="4">
    <w:abstractNumId w:val="19"/>
  </w:num>
  <w:num w:numId="5">
    <w:abstractNumId w:val="8"/>
  </w:num>
  <w:num w:numId="6">
    <w:abstractNumId w:val="7"/>
  </w:num>
  <w:num w:numId="7">
    <w:abstractNumId w:val="13"/>
  </w:num>
  <w:num w:numId="8">
    <w:abstractNumId w:val="4"/>
  </w:num>
  <w:num w:numId="9">
    <w:abstractNumId w:val="6"/>
  </w:num>
  <w:num w:numId="10">
    <w:abstractNumId w:val="14"/>
  </w:num>
  <w:num w:numId="11">
    <w:abstractNumId w:val="12"/>
  </w:num>
  <w:num w:numId="12">
    <w:abstractNumId w:val="21"/>
  </w:num>
  <w:num w:numId="13">
    <w:abstractNumId w:val="17"/>
  </w:num>
  <w:num w:numId="14">
    <w:abstractNumId w:val="10"/>
  </w:num>
  <w:num w:numId="15">
    <w:abstractNumId w:val="16"/>
  </w:num>
  <w:num w:numId="16">
    <w:abstractNumId w:val="23"/>
  </w:num>
  <w:num w:numId="17">
    <w:abstractNumId w:val="1"/>
  </w:num>
  <w:num w:numId="18">
    <w:abstractNumId w:val="3"/>
  </w:num>
  <w:num w:numId="19">
    <w:abstractNumId w:val="20"/>
  </w:num>
  <w:num w:numId="20">
    <w:abstractNumId w:val="5"/>
  </w:num>
  <w:num w:numId="21">
    <w:abstractNumId w:val="11"/>
  </w:num>
  <w:num w:numId="22">
    <w:abstractNumId w:val="2"/>
  </w:num>
  <w:num w:numId="23">
    <w:abstractNumId w:val="18"/>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4BD"/>
    <w:rsid w:val="000A6B17"/>
    <w:rsid w:val="000C0C41"/>
    <w:rsid w:val="000D114D"/>
    <w:rsid w:val="001762B2"/>
    <w:rsid w:val="003909F7"/>
    <w:rsid w:val="003F1D59"/>
    <w:rsid w:val="003F76FD"/>
    <w:rsid w:val="00442CED"/>
    <w:rsid w:val="00510494"/>
    <w:rsid w:val="006B3406"/>
    <w:rsid w:val="007167D0"/>
    <w:rsid w:val="009379FD"/>
    <w:rsid w:val="009D2D98"/>
    <w:rsid w:val="00AF1695"/>
    <w:rsid w:val="00CB751D"/>
    <w:rsid w:val="00DB2D9C"/>
    <w:rsid w:val="00DC4ECD"/>
    <w:rsid w:val="00EA44BD"/>
    <w:rsid w:val="00EE320F"/>
    <w:rsid w:val="00F176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01CD"/>
  <w15:chartTrackingRefBased/>
  <w15:docId w15:val="{3D349E26-548C-4369-BBF5-9897C671A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BD"/>
    <w:pPr>
      <w:spacing w:after="0" w:line="240" w:lineRule="auto"/>
      <w:jc w:val="both"/>
    </w:pPr>
    <w:rPr>
      <w:rFonts w:ascii="Arial" w:eastAsia="Times New Roman" w:hAnsi="Arial" w:cs="Times New Roman"/>
      <w:sz w:val="20"/>
      <w:szCs w:val="20"/>
      <w:lang w:val="en-US"/>
    </w:rPr>
  </w:style>
  <w:style w:type="paragraph" w:styleId="Heading1">
    <w:name w:val="heading 1"/>
    <w:aliases w:val="COMMON NAME,common"/>
    <w:next w:val="Normal"/>
    <w:link w:val="Heading1Char"/>
    <w:autoRedefine/>
    <w:qFormat/>
    <w:rsid w:val="00EA44BD"/>
    <w:pPr>
      <w:keepNext/>
      <w:spacing w:after="0" w:line="240" w:lineRule="auto"/>
      <w:jc w:val="both"/>
      <w:outlineLvl w:val="0"/>
    </w:pPr>
    <w:rPr>
      <w:rFonts w:ascii="Arial" w:eastAsia="Times New Roman" w:hAnsi="Arial" w:cs="Times New Roman"/>
      <w:caps/>
      <w:sz w:val="20"/>
      <w:szCs w:val="20"/>
      <w:lang w:val="en-US"/>
    </w:rPr>
  </w:style>
  <w:style w:type="paragraph" w:styleId="Heading2">
    <w:name w:val="heading 2"/>
    <w:next w:val="Normal"/>
    <w:link w:val="Heading2Char"/>
    <w:autoRedefine/>
    <w:qFormat/>
    <w:rsid w:val="00EA44BD"/>
    <w:pPr>
      <w:keepNext/>
      <w:spacing w:after="0" w:line="240" w:lineRule="auto"/>
      <w:jc w:val="both"/>
      <w:outlineLvl w:val="1"/>
    </w:pPr>
    <w:rPr>
      <w:rFonts w:ascii="Arial" w:eastAsia="Times New Roman" w:hAnsi="Arial" w:cs="Times New Roman"/>
      <w:sz w:val="20"/>
      <w:szCs w:val="20"/>
      <w:u w:val="single"/>
      <w:lang w:val="en-US"/>
    </w:rPr>
  </w:style>
  <w:style w:type="paragraph" w:styleId="Heading3">
    <w:name w:val="heading 3"/>
    <w:next w:val="Normal"/>
    <w:link w:val="Heading3Char"/>
    <w:autoRedefine/>
    <w:qFormat/>
    <w:rsid w:val="00EA44BD"/>
    <w:pPr>
      <w:keepNext/>
      <w:spacing w:after="0" w:line="240" w:lineRule="auto"/>
      <w:jc w:val="both"/>
      <w:outlineLvl w:val="2"/>
    </w:pPr>
    <w:rPr>
      <w:rFonts w:ascii="Arial" w:eastAsia="Times New Roman" w:hAnsi="Arial" w:cs="Times New Roman"/>
      <w:i/>
      <w:sz w:val="20"/>
      <w:szCs w:val="20"/>
      <w:lang w:val="en-US"/>
    </w:rPr>
  </w:style>
  <w:style w:type="paragraph" w:styleId="Heading4">
    <w:name w:val="heading 4"/>
    <w:next w:val="Normal"/>
    <w:link w:val="Heading4Char"/>
    <w:autoRedefine/>
    <w:qFormat/>
    <w:rsid w:val="00EA44BD"/>
    <w:pPr>
      <w:keepNext/>
      <w:spacing w:after="0" w:line="240" w:lineRule="auto"/>
      <w:ind w:left="567"/>
      <w:jc w:val="both"/>
      <w:outlineLvl w:val="3"/>
    </w:pPr>
    <w:rPr>
      <w:rFonts w:ascii="Arial" w:eastAsia="Times New Roman" w:hAnsi="Arial" w:cs="Times New Roman"/>
      <w:sz w:val="20"/>
      <w:szCs w:val="20"/>
      <w:u w:val="single"/>
      <w:lang w:val="fr-FR"/>
    </w:rPr>
  </w:style>
  <w:style w:type="paragraph" w:styleId="Heading5">
    <w:name w:val="heading 5"/>
    <w:next w:val="Normal"/>
    <w:link w:val="Heading5Char"/>
    <w:autoRedefine/>
    <w:qFormat/>
    <w:rsid w:val="00EA44BD"/>
    <w:pPr>
      <w:keepNext/>
      <w:spacing w:after="0" w:line="240" w:lineRule="auto"/>
      <w:ind w:left="1134" w:hanging="567"/>
      <w:jc w:val="both"/>
      <w:outlineLvl w:val="4"/>
    </w:pPr>
    <w:rPr>
      <w:rFonts w:ascii="Arial" w:eastAsia="Times New Roman" w:hAnsi="Arial" w:cs="Times New Roman"/>
      <w:i/>
      <w:sz w:val="20"/>
      <w:szCs w:val="20"/>
      <w:lang w:val="en-US"/>
    </w:rPr>
  </w:style>
  <w:style w:type="paragraph" w:styleId="Heading6">
    <w:name w:val="heading 6"/>
    <w:basedOn w:val="Normal"/>
    <w:next w:val="Normal"/>
    <w:link w:val="Heading6Char"/>
    <w:semiHidden/>
    <w:unhideWhenUsed/>
    <w:qFormat/>
    <w:rsid w:val="00EA44BD"/>
    <w:pPr>
      <w:keepNext/>
      <w:keepLines/>
      <w:spacing w:before="40"/>
      <w:outlineLvl w:val="5"/>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qFormat/>
    <w:rsid w:val="00EA44B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EA44BD"/>
    <w:rPr>
      <w:rFonts w:ascii="Arial" w:eastAsia="Times New Roman" w:hAnsi="Arial" w:cs="Times New Roman"/>
      <w:caps/>
      <w:sz w:val="20"/>
      <w:szCs w:val="20"/>
      <w:lang w:val="en-US"/>
    </w:rPr>
  </w:style>
  <w:style w:type="character" w:customStyle="1" w:styleId="Heading2Char">
    <w:name w:val="Heading 2 Char"/>
    <w:basedOn w:val="DefaultParagraphFont"/>
    <w:link w:val="Heading2"/>
    <w:rsid w:val="00EA44BD"/>
    <w:rPr>
      <w:rFonts w:ascii="Arial" w:eastAsia="Times New Roman" w:hAnsi="Arial" w:cs="Times New Roman"/>
      <w:sz w:val="20"/>
      <w:szCs w:val="20"/>
      <w:u w:val="single"/>
      <w:lang w:val="en-US"/>
    </w:rPr>
  </w:style>
  <w:style w:type="character" w:customStyle="1" w:styleId="Heading3Char">
    <w:name w:val="Heading 3 Char"/>
    <w:basedOn w:val="DefaultParagraphFont"/>
    <w:link w:val="Heading3"/>
    <w:rsid w:val="00EA44BD"/>
    <w:rPr>
      <w:rFonts w:ascii="Arial" w:eastAsia="Times New Roman" w:hAnsi="Arial" w:cs="Times New Roman"/>
      <w:i/>
      <w:sz w:val="20"/>
      <w:szCs w:val="20"/>
      <w:lang w:val="en-US"/>
    </w:rPr>
  </w:style>
  <w:style w:type="character" w:customStyle="1" w:styleId="Heading4Char">
    <w:name w:val="Heading 4 Char"/>
    <w:basedOn w:val="DefaultParagraphFont"/>
    <w:link w:val="Heading4"/>
    <w:rsid w:val="00EA44BD"/>
    <w:rPr>
      <w:rFonts w:ascii="Arial" w:eastAsia="Times New Roman" w:hAnsi="Arial" w:cs="Times New Roman"/>
      <w:sz w:val="20"/>
      <w:szCs w:val="20"/>
      <w:u w:val="single"/>
      <w:lang w:val="fr-FR"/>
    </w:rPr>
  </w:style>
  <w:style w:type="character" w:customStyle="1" w:styleId="Heading5Char">
    <w:name w:val="Heading 5 Char"/>
    <w:basedOn w:val="DefaultParagraphFont"/>
    <w:link w:val="Heading5"/>
    <w:rsid w:val="00EA44BD"/>
    <w:rPr>
      <w:rFonts w:ascii="Arial" w:eastAsia="Times New Roman" w:hAnsi="Arial" w:cs="Times New Roman"/>
      <w:i/>
      <w:sz w:val="20"/>
      <w:szCs w:val="20"/>
      <w:lang w:val="en-US"/>
    </w:rPr>
  </w:style>
  <w:style w:type="character" w:customStyle="1" w:styleId="Heading6Char">
    <w:name w:val="Heading 6 Char"/>
    <w:basedOn w:val="DefaultParagraphFont"/>
    <w:link w:val="Heading6"/>
    <w:semiHidden/>
    <w:rsid w:val="00EA44BD"/>
    <w:rPr>
      <w:rFonts w:asciiTheme="majorHAnsi" w:eastAsiaTheme="majorEastAsia" w:hAnsiTheme="majorHAnsi" w:cstheme="majorBidi"/>
      <w:color w:val="1F3763" w:themeColor="accent1" w:themeShade="7F"/>
      <w:sz w:val="20"/>
      <w:szCs w:val="20"/>
      <w:lang w:val="en-US"/>
    </w:rPr>
  </w:style>
  <w:style w:type="character" w:customStyle="1" w:styleId="Heading9Char">
    <w:name w:val="Heading 9 Char"/>
    <w:basedOn w:val="DefaultParagraphFont"/>
    <w:link w:val="Heading9"/>
    <w:rsid w:val="00EA44BD"/>
    <w:rPr>
      <w:rFonts w:ascii="Arial" w:eastAsia="Times New Roman" w:hAnsi="Arial" w:cs="Times New Roman"/>
      <w:i/>
      <w:sz w:val="18"/>
      <w:szCs w:val="20"/>
      <w:lang w:val="en-US"/>
    </w:rPr>
  </w:style>
  <w:style w:type="paragraph" w:styleId="Header">
    <w:name w:val="header"/>
    <w:link w:val="HeaderChar"/>
    <w:rsid w:val="00EA44BD"/>
    <w:pPr>
      <w:spacing w:after="0" w:line="240" w:lineRule="auto"/>
      <w:jc w:val="center"/>
    </w:pPr>
    <w:rPr>
      <w:rFonts w:ascii="Arial" w:eastAsia="Times New Roman" w:hAnsi="Arial" w:cs="Times New Roman"/>
      <w:sz w:val="20"/>
      <w:szCs w:val="20"/>
      <w:lang w:val="fr-FR"/>
    </w:rPr>
  </w:style>
  <w:style w:type="character" w:customStyle="1" w:styleId="HeaderChar">
    <w:name w:val="Header Char"/>
    <w:basedOn w:val="DefaultParagraphFont"/>
    <w:link w:val="Header"/>
    <w:rsid w:val="00EA44BD"/>
    <w:rPr>
      <w:rFonts w:ascii="Arial" w:eastAsia="Times New Roman" w:hAnsi="Arial" w:cs="Times New Roman"/>
      <w:sz w:val="20"/>
      <w:szCs w:val="20"/>
      <w:lang w:val="fr-FR"/>
    </w:rPr>
  </w:style>
  <w:style w:type="paragraph" w:styleId="Footer">
    <w:name w:val="footer"/>
    <w:aliases w:val="doc_path_name"/>
    <w:link w:val="FooterChar"/>
    <w:autoRedefine/>
    <w:rsid w:val="00EA44BD"/>
    <w:pPr>
      <w:spacing w:after="0" w:line="240" w:lineRule="auto"/>
      <w:jc w:val="right"/>
    </w:pPr>
    <w:rPr>
      <w:rFonts w:ascii="Arial" w:eastAsia="Times New Roman" w:hAnsi="Arial" w:cs="Times New Roman"/>
      <w:sz w:val="14"/>
      <w:szCs w:val="20"/>
      <w:lang w:val="en-US"/>
    </w:rPr>
  </w:style>
  <w:style w:type="character" w:customStyle="1" w:styleId="FooterChar">
    <w:name w:val="Footer Char"/>
    <w:aliases w:val="doc_path_name Char"/>
    <w:basedOn w:val="DefaultParagraphFont"/>
    <w:link w:val="Footer"/>
    <w:rsid w:val="00EA44BD"/>
    <w:rPr>
      <w:rFonts w:ascii="Arial" w:eastAsia="Times New Roman" w:hAnsi="Arial" w:cs="Times New Roman"/>
      <w:sz w:val="14"/>
      <w:szCs w:val="20"/>
      <w:lang w:val="en-US"/>
    </w:rPr>
  </w:style>
  <w:style w:type="character" w:styleId="PageNumber">
    <w:name w:val="page number"/>
    <w:basedOn w:val="DefaultParagraphFont"/>
    <w:rsid w:val="00EA44BD"/>
    <w:rPr>
      <w:rFonts w:ascii="Arial" w:hAnsi="Arial"/>
      <w:sz w:val="20"/>
    </w:rPr>
  </w:style>
  <w:style w:type="paragraph" w:styleId="Title">
    <w:name w:val="Title"/>
    <w:basedOn w:val="Normal"/>
    <w:link w:val="TitleChar"/>
    <w:qFormat/>
    <w:rsid w:val="00EA44BD"/>
    <w:pPr>
      <w:spacing w:after="300"/>
      <w:jc w:val="center"/>
    </w:pPr>
    <w:rPr>
      <w:b/>
      <w:caps/>
      <w:kern w:val="28"/>
      <w:sz w:val="30"/>
    </w:rPr>
  </w:style>
  <w:style w:type="character" w:customStyle="1" w:styleId="TitleChar">
    <w:name w:val="Title Char"/>
    <w:basedOn w:val="DefaultParagraphFont"/>
    <w:link w:val="Title"/>
    <w:rsid w:val="00EA44BD"/>
    <w:rPr>
      <w:rFonts w:ascii="Arial" w:eastAsia="Times New Roman" w:hAnsi="Arial" w:cs="Times New Roman"/>
      <w:b/>
      <w:caps/>
      <w:kern w:val="28"/>
      <w:sz w:val="30"/>
      <w:szCs w:val="20"/>
      <w:lang w:val="en-US"/>
    </w:rPr>
  </w:style>
  <w:style w:type="paragraph" w:customStyle="1" w:styleId="preparedby">
    <w:name w:val="preparedby"/>
    <w:basedOn w:val="Normal"/>
    <w:next w:val="Normal"/>
    <w:semiHidden/>
    <w:rsid w:val="00EA44BD"/>
    <w:pPr>
      <w:spacing w:after="600"/>
      <w:jc w:val="center"/>
    </w:pPr>
    <w:rPr>
      <w:i/>
    </w:rPr>
  </w:style>
  <w:style w:type="paragraph" w:customStyle="1" w:styleId="Docoriginal">
    <w:name w:val="Doc_original"/>
    <w:basedOn w:val="Code"/>
    <w:link w:val="DocoriginalChar"/>
    <w:rsid w:val="00EA44BD"/>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EA44BD"/>
    <w:pPr>
      <w:tabs>
        <w:tab w:val="left" w:pos="5387"/>
      </w:tabs>
      <w:ind w:left="4820"/>
    </w:pPr>
    <w:rPr>
      <w:i/>
    </w:rPr>
  </w:style>
  <w:style w:type="paragraph" w:styleId="FootnoteText">
    <w:name w:val="footnote text"/>
    <w:link w:val="FootnoteTextChar"/>
    <w:autoRedefine/>
    <w:rsid w:val="00EA44BD"/>
    <w:pPr>
      <w:spacing w:before="60" w:after="0" w:line="240" w:lineRule="auto"/>
      <w:ind w:left="567" w:hanging="567"/>
      <w:jc w:val="both"/>
    </w:pPr>
    <w:rPr>
      <w:rFonts w:ascii="Arial" w:eastAsia="Times New Roman" w:hAnsi="Arial" w:cs="Times New Roman"/>
      <w:sz w:val="16"/>
      <w:szCs w:val="20"/>
      <w:lang w:val="en-US"/>
    </w:rPr>
  </w:style>
  <w:style w:type="character" w:customStyle="1" w:styleId="FootnoteTextChar">
    <w:name w:val="Footnote Text Char"/>
    <w:basedOn w:val="DefaultParagraphFont"/>
    <w:link w:val="FootnoteText"/>
    <w:rsid w:val="00EA44BD"/>
    <w:rPr>
      <w:rFonts w:ascii="Arial" w:eastAsia="Times New Roman" w:hAnsi="Arial" w:cs="Times New Roman"/>
      <w:sz w:val="16"/>
      <w:szCs w:val="20"/>
      <w:lang w:val="en-US"/>
    </w:rPr>
  </w:style>
  <w:style w:type="character" w:styleId="FootnoteReference">
    <w:name w:val="footnote reference"/>
    <w:basedOn w:val="DefaultParagraphFont"/>
    <w:semiHidden/>
    <w:rsid w:val="00EA44BD"/>
    <w:rPr>
      <w:vertAlign w:val="superscript"/>
    </w:rPr>
  </w:style>
  <w:style w:type="paragraph" w:styleId="Closing">
    <w:name w:val="Closing"/>
    <w:basedOn w:val="Normal"/>
    <w:link w:val="ClosingChar"/>
    <w:rsid w:val="00EA44BD"/>
    <w:pPr>
      <w:ind w:left="4536"/>
      <w:jc w:val="center"/>
    </w:pPr>
  </w:style>
  <w:style w:type="character" w:customStyle="1" w:styleId="ClosingChar">
    <w:name w:val="Closing Char"/>
    <w:basedOn w:val="DefaultParagraphFont"/>
    <w:link w:val="Closing"/>
    <w:rsid w:val="00EA44BD"/>
    <w:rPr>
      <w:rFonts w:ascii="Arial" w:eastAsia="Times New Roman" w:hAnsi="Arial" w:cs="Times New Roman"/>
      <w:sz w:val="20"/>
      <w:szCs w:val="20"/>
      <w:lang w:val="en-US"/>
    </w:rPr>
  </w:style>
  <w:style w:type="paragraph" w:styleId="Index1">
    <w:name w:val="index 1"/>
    <w:basedOn w:val="Normal"/>
    <w:next w:val="Normal"/>
    <w:semiHidden/>
    <w:rsid w:val="00EA44BD"/>
    <w:pPr>
      <w:tabs>
        <w:tab w:val="right" w:leader="dot" w:pos="9071"/>
      </w:tabs>
      <w:ind w:left="284" w:hanging="284"/>
    </w:pPr>
    <w:rPr>
      <w:sz w:val="24"/>
    </w:rPr>
  </w:style>
  <w:style w:type="paragraph" w:styleId="Index2">
    <w:name w:val="index 2"/>
    <w:basedOn w:val="Normal"/>
    <w:next w:val="Normal"/>
    <w:semiHidden/>
    <w:rsid w:val="00EA44BD"/>
    <w:pPr>
      <w:tabs>
        <w:tab w:val="right" w:leader="dot" w:pos="9071"/>
      </w:tabs>
      <w:ind w:left="568" w:hanging="284"/>
    </w:pPr>
    <w:rPr>
      <w:sz w:val="24"/>
    </w:rPr>
  </w:style>
  <w:style w:type="paragraph" w:styleId="Index3">
    <w:name w:val="index 3"/>
    <w:basedOn w:val="Normal"/>
    <w:next w:val="Normal"/>
    <w:semiHidden/>
    <w:rsid w:val="00EA44BD"/>
    <w:pPr>
      <w:tabs>
        <w:tab w:val="right" w:leader="dot" w:pos="9071"/>
      </w:tabs>
      <w:ind w:left="851" w:hanging="284"/>
    </w:pPr>
    <w:rPr>
      <w:sz w:val="24"/>
    </w:rPr>
  </w:style>
  <w:style w:type="paragraph" w:styleId="MacroText">
    <w:name w:val="macro"/>
    <w:link w:val="MacroTextChar"/>
    <w:semiHidden/>
    <w:rsid w:val="00EA44B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16"/>
      <w:szCs w:val="20"/>
      <w:lang w:val="en-US"/>
    </w:rPr>
  </w:style>
  <w:style w:type="character" w:customStyle="1" w:styleId="MacroTextChar">
    <w:name w:val="Macro Text Char"/>
    <w:basedOn w:val="DefaultParagraphFont"/>
    <w:link w:val="MacroText"/>
    <w:semiHidden/>
    <w:rsid w:val="00EA44BD"/>
    <w:rPr>
      <w:rFonts w:ascii="Courier New" w:eastAsia="Times New Roman" w:hAnsi="Courier New" w:cs="Times New Roman"/>
      <w:sz w:val="16"/>
      <w:szCs w:val="20"/>
      <w:lang w:val="en-US"/>
    </w:rPr>
  </w:style>
  <w:style w:type="paragraph" w:styleId="Signature">
    <w:name w:val="Signature"/>
    <w:basedOn w:val="Normal"/>
    <w:link w:val="SignatureChar"/>
    <w:rsid w:val="00EA44BD"/>
    <w:pPr>
      <w:ind w:left="4536"/>
      <w:jc w:val="center"/>
    </w:pPr>
  </w:style>
  <w:style w:type="character" w:customStyle="1" w:styleId="SignatureChar">
    <w:name w:val="Signature Char"/>
    <w:basedOn w:val="DefaultParagraphFont"/>
    <w:link w:val="Signature"/>
    <w:rsid w:val="00EA44BD"/>
    <w:rPr>
      <w:rFonts w:ascii="Arial" w:eastAsia="Times New Roman" w:hAnsi="Arial" w:cs="Times New Roman"/>
      <w:sz w:val="20"/>
      <w:szCs w:val="20"/>
      <w:lang w:val="en-US"/>
    </w:rPr>
  </w:style>
  <w:style w:type="character" w:customStyle="1" w:styleId="Doclang">
    <w:name w:val="Doc_lang"/>
    <w:basedOn w:val="DefaultParagraphFont"/>
    <w:rsid w:val="00EA44BD"/>
    <w:rPr>
      <w:rFonts w:ascii="Arial" w:hAnsi="Arial"/>
      <w:sz w:val="20"/>
      <w:lang w:val="en-US"/>
    </w:rPr>
  </w:style>
  <w:style w:type="paragraph" w:customStyle="1" w:styleId="Session">
    <w:name w:val="Session"/>
    <w:basedOn w:val="Normal"/>
    <w:semiHidden/>
    <w:rsid w:val="00EA44BD"/>
    <w:pPr>
      <w:spacing w:before="60"/>
      <w:jc w:val="center"/>
    </w:pPr>
    <w:rPr>
      <w:b/>
    </w:rPr>
  </w:style>
  <w:style w:type="paragraph" w:customStyle="1" w:styleId="Organizer">
    <w:name w:val="Organizer"/>
    <w:basedOn w:val="Normal"/>
    <w:semiHidden/>
    <w:rsid w:val="00EA44BD"/>
    <w:pPr>
      <w:spacing w:after="600"/>
      <w:ind w:left="-993" w:right="-994"/>
      <w:jc w:val="center"/>
    </w:pPr>
    <w:rPr>
      <w:b/>
      <w:caps/>
      <w:kern w:val="26"/>
      <w:sz w:val="26"/>
    </w:rPr>
  </w:style>
  <w:style w:type="paragraph" w:styleId="BodyText">
    <w:name w:val="Body Text"/>
    <w:basedOn w:val="Normal"/>
    <w:link w:val="BodyTextChar"/>
    <w:rsid w:val="00EA44BD"/>
  </w:style>
  <w:style w:type="character" w:customStyle="1" w:styleId="BodyTextChar">
    <w:name w:val="Body Text Char"/>
    <w:basedOn w:val="DefaultParagraphFont"/>
    <w:link w:val="BodyText"/>
    <w:rsid w:val="00EA44BD"/>
    <w:rPr>
      <w:rFonts w:ascii="Arial" w:eastAsia="Times New Roman" w:hAnsi="Arial" w:cs="Times New Roman"/>
      <w:sz w:val="20"/>
      <w:szCs w:val="20"/>
      <w:lang w:val="en-US"/>
    </w:rPr>
  </w:style>
  <w:style w:type="paragraph" w:customStyle="1" w:styleId="Disclaimer">
    <w:name w:val="Disclaimer"/>
    <w:next w:val="Normal"/>
    <w:qFormat/>
    <w:rsid w:val="00EA44BD"/>
    <w:pPr>
      <w:spacing w:after="600" w:line="240" w:lineRule="auto"/>
    </w:pPr>
    <w:rPr>
      <w:rFonts w:ascii="Arial" w:eastAsia="Times New Roman" w:hAnsi="Arial" w:cs="Times New Roman"/>
      <w:i/>
      <w:iCs/>
      <w:color w:val="A6A6A6" w:themeColor="background1" w:themeShade="A6"/>
      <w:sz w:val="20"/>
      <w:szCs w:val="20"/>
      <w:lang w:val="en-US"/>
    </w:rPr>
  </w:style>
  <w:style w:type="paragraph" w:customStyle="1" w:styleId="upove">
    <w:name w:val="upov_e"/>
    <w:basedOn w:val="Normal"/>
    <w:rsid w:val="00EA44BD"/>
    <w:pPr>
      <w:spacing w:before="120"/>
    </w:pPr>
    <w:rPr>
      <w:sz w:val="16"/>
    </w:rPr>
  </w:style>
  <w:style w:type="paragraph" w:customStyle="1" w:styleId="TitleofDoc">
    <w:name w:val="Title of Doc"/>
    <w:basedOn w:val="Normal"/>
    <w:semiHidden/>
    <w:rsid w:val="00EA44BD"/>
    <w:pPr>
      <w:spacing w:before="1200"/>
      <w:jc w:val="center"/>
    </w:pPr>
    <w:rPr>
      <w:caps/>
    </w:rPr>
  </w:style>
  <w:style w:type="paragraph" w:customStyle="1" w:styleId="preparedby0">
    <w:name w:val="prepared by"/>
    <w:basedOn w:val="Normal"/>
    <w:semiHidden/>
    <w:rsid w:val="00EA44BD"/>
    <w:pPr>
      <w:spacing w:before="600" w:after="600"/>
      <w:jc w:val="center"/>
    </w:pPr>
    <w:rPr>
      <w:i/>
    </w:rPr>
  </w:style>
  <w:style w:type="paragraph" w:customStyle="1" w:styleId="PlaceAndDate">
    <w:name w:val="PlaceAndDate"/>
    <w:basedOn w:val="Session"/>
    <w:semiHidden/>
    <w:rsid w:val="00EA44BD"/>
  </w:style>
  <w:style w:type="paragraph" w:styleId="EndnoteText">
    <w:name w:val="endnote text"/>
    <w:basedOn w:val="Normal"/>
    <w:link w:val="EndnoteTextChar"/>
    <w:semiHidden/>
    <w:rsid w:val="00EA44BD"/>
  </w:style>
  <w:style w:type="character" w:customStyle="1" w:styleId="EndnoteTextChar">
    <w:name w:val="Endnote Text Char"/>
    <w:basedOn w:val="DefaultParagraphFont"/>
    <w:link w:val="EndnoteText"/>
    <w:semiHidden/>
    <w:rsid w:val="00EA44BD"/>
    <w:rPr>
      <w:rFonts w:ascii="Arial" w:eastAsia="Times New Roman" w:hAnsi="Arial" w:cs="Times New Roman"/>
      <w:sz w:val="20"/>
      <w:szCs w:val="20"/>
      <w:lang w:val="en-US"/>
    </w:rPr>
  </w:style>
  <w:style w:type="character" w:styleId="EndnoteReference">
    <w:name w:val="endnote reference"/>
    <w:basedOn w:val="DefaultParagraphFont"/>
    <w:semiHidden/>
    <w:rsid w:val="00EA44BD"/>
    <w:rPr>
      <w:vertAlign w:val="superscript"/>
    </w:rPr>
  </w:style>
  <w:style w:type="paragraph" w:customStyle="1" w:styleId="SessionMeetingPlace">
    <w:name w:val="Session_MeetingPlace"/>
    <w:basedOn w:val="Normal"/>
    <w:semiHidden/>
    <w:rsid w:val="00EA44BD"/>
    <w:pPr>
      <w:spacing w:before="480"/>
      <w:jc w:val="center"/>
    </w:pPr>
    <w:rPr>
      <w:b/>
      <w:bCs/>
      <w:kern w:val="28"/>
      <w:sz w:val="24"/>
    </w:rPr>
  </w:style>
  <w:style w:type="paragraph" w:customStyle="1" w:styleId="Original">
    <w:name w:val="Original"/>
    <w:basedOn w:val="Normal"/>
    <w:semiHidden/>
    <w:rsid w:val="00EA44BD"/>
    <w:pPr>
      <w:spacing w:before="60"/>
      <w:ind w:left="1276"/>
    </w:pPr>
    <w:rPr>
      <w:b/>
      <w:sz w:val="22"/>
    </w:rPr>
  </w:style>
  <w:style w:type="paragraph" w:styleId="Date">
    <w:name w:val="Date"/>
    <w:basedOn w:val="Normal"/>
    <w:link w:val="DateChar"/>
    <w:semiHidden/>
    <w:rsid w:val="00EA44BD"/>
    <w:pPr>
      <w:spacing w:line="340" w:lineRule="exact"/>
      <w:ind w:left="1276"/>
    </w:pPr>
    <w:rPr>
      <w:b/>
      <w:sz w:val="22"/>
    </w:rPr>
  </w:style>
  <w:style w:type="character" w:customStyle="1" w:styleId="DateChar">
    <w:name w:val="Date Char"/>
    <w:basedOn w:val="DefaultParagraphFont"/>
    <w:link w:val="Date"/>
    <w:semiHidden/>
    <w:rsid w:val="00EA44BD"/>
    <w:rPr>
      <w:rFonts w:ascii="Arial" w:eastAsia="Times New Roman" w:hAnsi="Arial" w:cs="Times New Roman"/>
      <w:b/>
      <w:szCs w:val="20"/>
      <w:lang w:val="en-US"/>
    </w:rPr>
  </w:style>
  <w:style w:type="paragraph" w:customStyle="1" w:styleId="Code">
    <w:name w:val="Code"/>
    <w:basedOn w:val="Normal"/>
    <w:link w:val="CodeChar"/>
    <w:semiHidden/>
    <w:rsid w:val="00EA44BD"/>
    <w:pPr>
      <w:spacing w:line="340" w:lineRule="atLeast"/>
      <w:ind w:left="1276"/>
    </w:pPr>
    <w:rPr>
      <w:b/>
      <w:bCs/>
      <w:spacing w:val="10"/>
    </w:rPr>
  </w:style>
  <w:style w:type="paragraph" w:customStyle="1" w:styleId="Country">
    <w:name w:val="Country"/>
    <w:basedOn w:val="Normal"/>
    <w:semiHidden/>
    <w:rsid w:val="00EA44BD"/>
    <w:pPr>
      <w:spacing w:before="60" w:after="480"/>
      <w:jc w:val="center"/>
    </w:pPr>
  </w:style>
  <w:style w:type="paragraph" w:customStyle="1" w:styleId="Lettrine">
    <w:name w:val="Lettrine"/>
    <w:basedOn w:val="Normal"/>
    <w:rsid w:val="00EA44BD"/>
    <w:pPr>
      <w:spacing w:line="340" w:lineRule="atLeast"/>
      <w:jc w:val="right"/>
    </w:pPr>
    <w:rPr>
      <w:b/>
      <w:bCs/>
      <w:sz w:val="36"/>
    </w:rPr>
  </w:style>
  <w:style w:type="paragraph" w:customStyle="1" w:styleId="LogoUPOV">
    <w:name w:val="LogoUPOV"/>
    <w:basedOn w:val="Normal"/>
    <w:rsid w:val="00EA44BD"/>
    <w:pPr>
      <w:spacing w:before="600" w:after="80"/>
      <w:jc w:val="center"/>
    </w:pPr>
    <w:rPr>
      <w:snapToGrid w:val="0"/>
    </w:rPr>
  </w:style>
  <w:style w:type="paragraph" w:customStyle="1" w:styleId="Sessiontc">
    <w:name w:val="Session_tc"/>
    <w:basedOn w:val="StyleSessionAllcaps"/>
    <w:rsid w:val="00EA44BD"/>
    <w:pPr>
      <w:spacing w:before="0" w:line="280" w:lineRule="exact"/>
      <w:jc w:val="left"/>
    </w:pPr>
    <w:rPr>
      <w:caps w:val="0"/>
      <w:sz w:val="20"/>
    </w:rPr>
  </w:style>
  <w:style w:type="paragraph" w:customStyle="1" w:styleId="TitreUpov">
    <w:name w:val="TitreUpov"/>
    <w:basedOn w:val="Normal"/>
    <w:semiHidden/>
    <w:rsid w:val="00EA44BD"/>
    <w:pPr>
      <w:spacing w:before="60"/>
      <w:jc w:val="center"/>
    </w:pPr>
    <w:rPr>
      <w:b/>
      <w:sz w:val="24"/>
    </w:rPr>
  </w:style>
  <w:style w:type="paragraph" w:customStyle="1" w:styleId="StyleSessionAllcaps">
    <w:name w:val="Style Session + All caps"/>
    <w:basedOn w:val="Session"/>
    <w:semiHidden/>
    <w:rsid w:val="00EA44BD"/>
    <w:pPr>
      <w:spacing w:before="480"/>
    </w:pPr>
    <w:rPr>
      <w:bCs/>
      <w:caps/>
      <w:kern w:val="28"/>
      <w:sz w:val="24"/>
    </w:rPr>
  </w:style>
  <w:style w:type="paragraph" w:customStyle="1" w:styleId="plcountry">
    <w:name w:val="plcountry"/>
    <w:basedOn w:val="Normal"/>
    <w:rsid w:val="00EA44BD"/>
    <w:pPr>
      <w:keepNext/>
      <w:keepLines/>
      <w:spacing w:before="180" w:after="120"/>
      <w:jc w:val="left"/>
    </w:pPr>
    <w:rPr>
      <w:caps/>
      <w:noProof/>
      <w:snapToGrid w:val="0"/>
      <w:u w:val="single"/>
    </w:rPr>
  </w:style>
  <w:style w:type="paragraph" w:customStyle="1" w:styleId="pldetails">
    <w:name w:val="pldetails"/>
    <w:basedOn w:val="Normal"/>
    <w:rsid w:val="00EA44BD"/>
    <w:pPr>
      <w:keepLines/>
      <w:spacing w:before="60" w:after="60"/>
      <w:jc w:val="left"/>
    </w:pPr>
    <w:rPr>
      <w:noProof/>
      <w:snapToGrid w:val="0"/>
    </w:rPr>
  </w:style>
  <w:style w:type="paragraph" w:customStyle="1" w:styleId="plheading">
    <w:name w:val="plheading"/>
    <w:basedOn w:val="Normal"/>
    <w:rsid w:val="00EA44BD"/>
    <w:pPr>
      <w:keepNext/>
      <w:spacing w:before="480" w:after="120"/>
      <w:jc w:val="center"/>
    </w:pPr>
    <w:rPr>
      <w:caps/>
      <w:snapToGrid w:val="0"/>
      <w:u w:val="single"/>
    </w:rPr>
  </w:style>
  <w:style w:type="paragraph" w:customStyle="1" w:styleId="Sessiontcplacedate">
    <w:name w:val="Session_tc_place_date"/>
    <w:basedOn w:val="SessionMeetingPlace"/>
    <w:rsid w:val="00EA44BD"/>
    <w:pPr>
      <w:spacing w:before="240"/>
      <w:contextualSpacing/>
      <w:jc w:val="left"/>
    </w:pPr>
    <w:rPr>
      <w:sz w:val="20"/>
    </w:rPr>
  </w:style>
  <w:style w:type="paragraph" w:customStyle="1" w:styleId="Titleofdoc0">
    <w:name w:val="Title_of_doc"/>
    <w:basedOn w:val="TitleofDoc"/>
    <w:rsid w:val="00EA44BD"/>
    <w:pPr>
      <w:spacing w:before="600" w:after="240"/>
      <w:jc w:val="left"/>
    </w:pPr>
    <w:rPr>
      <w:b/>
    </w:rPr>
  </w:style>
  <w:style w:type="paragraph" w:customStyle="1" w:styleId="preparedby1">
    <w:name w:val="prepared_by"/>
    <w:basedOn w:val="preparedby0"/>
    <w:rsid w:val="00EA44BD"/>
    <w:pPr>
      <w:spacing w:before="0" w:after="240"/>
    </w:pPr>
    <w:rPr>
      <w:iCs/>
    </w:rPr>
  </w:style>
  <w:style w:type="character" w:customStyle="1" w:styleId="CodeChar">
    <w:name w:val="Code Char"/>
    <w:basedOn w:val="DefaultParagraphFont"/>
    <w:link w:val="Code"/>
    <w:semiHidden/>
    <w:rsid w:val="00EA44BD"/>
    <w:rPr>
      <w:rFonts w:ascii="Arial" w:eastAsia="Times New Roman" w:hAnsi="Arial" w:cs="Times New Roman"/>
      <w:b/>
      <w:bCs/>
      <w:spacing w:val="10"/>
      <w:sz w:val="20"/>
      <w:szCs w:val="20"/>
      <w:lang w:val="en-US"/>
    </w:rPr>
  </w:style>
  <w:style w:type="paragraph" w:customStyle="1" w:styleId="endofdoc">
    <w:name w:val="end_of_doc"/>
    <w:next w:val="Header"/>
    <w:autoRedefine/>
    <w:rsid w:val="00EA44BD"/>
    <w:pPr>
      <w:spacing w:before="480" w:after="0" w:line="240" w:lineRule="auto"/>
      <w:ind w:left="567" w:hanging="567"/>
      <w:jc w:val="right"/>
    </w:pPr>
    <w:rPr>
      <w:rFonts w:ascii="Arial" w:eastAsia="Times New Roman" w:hAnsi="Arial" w:cs="Times New Roman"/>
      <w:sz w:val="20"/>
      <w:szCs w:val="20"/>
      <w:lang w:val="en-US"/>
    </w:rPr>
  </w:style>
  <w:style w:type="character" w:customStyle="1" w:styleId="DocoriginalChar">
    <w:name w:val="Doc_original Char"/>
    <w:basedOn w:val="CodeChar"/>
    <w:link w:val="Docoriginal"/>
    <w:rsid w:val="00EA44BD"/>
    <w:rPr>
      <w:rFonts w:ascii="Arial" w:eastAsia="Times New Roman" w:hAnsi="Arial" w:cs="Times New Roman"/>
      <w:b/>
      <w:bCs/>
      <w:spacing w:val="10"/>
      <w:sz w:val="18"/>
      <w:szCs w:val="20"/>
      <w:lang w:val="en-US"/>
    </w:rPr>
  </w:style>
  <w:style w:type="paragraph" w:styleId="TOC2">
    <w:name w:val="toc 2"/>
    <w:basedOn w:val="Normal"/>
    <w:next w:val="Normal"/>
    <w:autoRedefine/>
    <w:uiPriority w:val="39"/>
    <w:qFormat/>
    <w:rsid w:val="000C0C41"/>
    <w:pPr>
      <w:tabs>
        <w:tab w:val="right" w:leader="dot" w:pos="9639"/>
      </w:tabs>
      <w:ind w:left="284" w:right="851"/>
      <w:contextualSpacing/>
      <w:jc w:val="left"/>
    </w:pPr>
    <w:rPr>
      <w:sz w:val="18"/>
    </w:rPr>
  </w:style>
  <w:style w:type="paragraph" w:styleId="TOC3">
    <w:name w:val="toc 3"/>
    <w:basedOn w:val="Normal"/>
    <w:next w:val="Normal"/>
    <w:autoRedefine/>
    <w:uiPriority w:val="39"/>
    <w:qFormat/>
    <w:rsid w:val="00EA44BD"/>
    <w:pPr>
      <w:tabs>
        <w:tab w:val="right" w:leader="dot" w:pos="9639"/>
      </w:tabs>
      <w:spacing w:after="60"/>
      <w:ind w:left="851" w:right="1418" w:hanging="284"/>
      <w:contextualSpacing/>
      <w:jc w:val="left"/>
    </w:pPr>
    <w:rPr>
      <w:i/>
      <w:sz w:val="18"/>
      <w:lang w:val="fr-FR"/>
    </w:rPr>
  </w:style>
  <w:style w:type="character" w:styleId="Hyperlink">
    <w:name w:val="Hyperlink"/>
    <w:basedOn w:val="DefaultParagraphFont"/>
    <w:uiPriority w:val="99"/>
    <w:rsid w:val="00EA44BD"/>
    <w:rPr>
      <w:rFonts w:ascii="Arial" w:hAnsi="Arial"/>
      <w:color w:val="0000FF"/>
      <w:u w:val="single"/>
    </w:rPr>
  </w:style>
  <w:style w:type="paragraph" w:styleId="TOC4">
    <w:name w:val="toc 4"/>
    <w:next w:val="Normal"/>
    <w:autoRedefine/>
    <w:uiPriority w:val="39"/>
    <w:rsid w:val="00EA44BD"/>
    <w:pPr>
      <w:tabs>
        <w:tab w:val="right" w:leader="dot" w:pos="9639"/>
      </w:tabs>
      <w:spacing w:before="120" w:after="0" w:line="240" w:lineRule="auto"/>
      <w:ind w:left="738" w:right="851" w:hanging="284"/>
    </w:pPr>
    <w:rPr>
      <w:rFonts w:ascii="Arial" w:eastAsia="MS Mincho" w:hAnsi="Arial" w:cs="Times New Roman"/>
      <w:noProof/>
      <w:sz w:val="18"/>
      <w:szCs w:val="20"/>
    </w:rPr>
  </w:style>
  <w:style w:type="paragraph" w:styleId="TOC1">
    <w:name w:val="toc 1"/>
    <w:basedOn w:val="Normal"/>
    <w:next w:val="Normal"/>
    <w:autoRedefine/>
    <w:uiPriority w:val="39"/>
    <w:qFormat/>
    <w:rsid w:val="00EA44BD"/>
    <w:pPr>
      <w:tabs>
        <w:tab w:val="right" w:leader="dot" w:pos="9639"/>
      </w:tabs>
      <w:spacing w:before="60"/>
      <w:ind w:right="1418"/>
      <w:contextualSpacing/>
      <w:jc w:val="left"/>
    </w:pPr>
    <w:rPr>
      <w:caps/>
      <w:sz w:val="18"/>
    </w:rPr>
  </w:style>
  <w:style w:type="paragraph" w:styleId="TOC5">
    <w:name w:val="toc 5"/>
    <w:next w:val="Normal"/>
    <w:autoRedefine/>
    <w:rsid w:val="00EA44BD"/>
    <w:pPr>
      <w:tabs>
        <w:tab w:val="right" w:leader="dot" w:pos="9639"/>
      </w:tabs>
      <w:spacing w:after="0" w:line="240" w:lineRule="auto"/>
      <w:ind w:left="567" w:right="851" w:firstLine="284"/>
      <w:jc w:val="both"/>
    </w:pPr>
    <w:rPr>
      <w:rFonts w:ascii="Arial" w:eastAsia="Times New Roman" w:hAnsi="Arial" w:cs="Times New Roman"/>
      <w:sz w:val="16"/>
      <w:szCs w:val="20"/>
      <w:lang w:val="fr-FR"/>
    </w:rPr>
  </w:style>
  <w:style w:type="paragraph" w:styleId="BalloonText">
    <w:name w:val="Balloon Text"/>
    <w:basedOn w:val="Normal"/>
    <w:link w:val="BalloonTextChar"/>
    <w:rsid w:val="00EA44BD"/>
    <w:rPr>
      <w:rFonts w:ascii="Tahoma" w:hAnsi="Tahoma" w:cs="Tahoma"/>
      <w:sz w:val="16"/>
      <w:szCs w:val="16"/>
    </w:rPr>
  </w:style>
  <w:style w:type="character" w:customStyle="1" w:styleId="BalloonTextChar">
    <w:name w:val="Balloon Text Char"/>
    <w:basedOn w:val="DefaultParagraphFont"/>
    <w:link w:val="BalloonText"/>
    <w:rsid w:val="00EA44BD"/>
    <w:rPr>
      <w:rFonts w:ascii="Tahoma" w:eastAsia="Times New Roman" w:hAnsi="Tahoma" w:cs="Tahoma"/>
      <w:sz w:val="16"/>
      <w:szCs w:val="16"/>
      <w:lang w:val="en-US"/>
    </w:rPr>
  </w:style>
  <w:style w:type="paragraph" w:customStyle="1" w:styleId="Doccode">
    <w:name w:val="Doc_code"/>
    <w:qFormat/>
    <w:rsid w:val="00EA44BD"/>
    <w:pPr>
      <w:spacing w:after="0" w:line="240" w:lineRule="auto"/>
    </w:pPr>
    <w:rPr>
      <w:rFonts w:ascii="Arial" w:eastAsia="Times New Roman" w:hAnsi="Arial" w:cs="Times New Roman"/>
      <w:b/>
      <w:bCs/>
      <w:spacing w:val="10"/>
      <w:sz w:val="18"/>
      <w:szCs w:val="20"/>
      <w:lang w:val="en-US"/>
    </w:rPr>
  </w:style>
  <w:style w:type="paragraph" w:customStyle="1" w:styleId="Sessiontwp">
    <w:name w:val="Session_twp"/>
    <w:basedOn w:val="Normal"/>
    <w:next w:val="Normal"/>
    <w:qFormat/>
    <w:rsid w:val="00EA44BD"/>
    <w:rPr>
      <w:b/>
    </w:rPr>
  </w:style>
  <w:style w:type="paragraph" w:customStyle="1" w:styleId="Sessiontwpplacedate">
    <w:name w:val="Session_twp_place_date"/>
    <w:basedOn w:val="Normal"/>
    <w:next w:val="Normal"/>
    <w:qFormat/>
    <w:rsid w:val="00EA44BD"/>
  </w:style>
  <w:style w:type="paragraph" w:styleId="ListParagraph">
    <w:name w:val="List Paragraph"/>
    <w:basedOn w:val="Normal"/>
    <w:uiPriority w:val="34"/>
    <w:qFormat/>
    <w:rsid w:val="00EA44BD"/>
    <w:pPr>
      <w:ind w:left="720"/>
      <w:contextualSpacing/>
    </w:pPr>
  </w:style>
  <w:style w:type="table" w:customStyle="1" w:styleId="TableGrid2">
    <w:name w:val="Table Grid2"/>
    <w:basedOn w:val="TableNormal"/>
    <w:next w:val="TableGrid"/>
    <w:uiPriority w:val="59"/>
    <w:rsid w:val="00EA44BD"/>
    <w:pPr>
      <w:spacing w:after="0" w:line="240" w:lineRule="auto"/>
    </w:pPr>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A44B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cisionParagraphsChar">
    <w:name w:val="DecisionParagraphs Char"/>
    <w:basedOn w:val="DefaultParagraphFont"/>
    <w:link w:val="DecisionParagraphs"/>
    <w:rsid w:val="00EA44BD"/>
    <w:rPr>
      <w:rFonts w:ascii="Arial" w:eastAsia="Times New Roman" w:hAnsi="Arial" w:cs="Times New Roman"/>
      <w:i/>
      <w:sz w:val="20"/>
      <w:szCs w:val="20"/>
      <w:lang w:val="en-US"/>
    </w:rPr>
  </w:style>
  <w:style w:type="character" w:styleId="FollowedHyperlink">
    <w:name w:val="FollowedHyperlink"/>
    <w:basedOn w:val="DefaultParagraphFont"/>
    <w:uiPriority w:val="99"/>
    <w:semiHidden/>
    <w:unhideWhenUsed/>
    <w:rsid w:val="000D11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ov.int/meetings/en/doc_details.jsp?meeting_id=48107&amp;doc_id=419311" TargetMode="External"/><Relationship Id="rId18" Type="http://schemas.openxmlformats.org/officeDocument/2006/relationships/header" Target="header3.xml"/><Relationship Id="rId26" Type="http://schemas.openxmlformats.org/officeDocument/2006/relationships/image" Target="media/image6.wmf"/><Relationship Id="rId39" Type="http://schemas.openxmlformats.org/officeDocument/2006/relationships/footer" Target="footer2.xml"/><Relationship Id="rId21" Type="http://schemas.openxmlformats.org/officeDocument/2006/relationships/header" Target="header6.xml"/><Relationship Id="rId34" Type="http://schemas.openxmlformats.org/officeDocument/2006/relationships/header" Target="header9.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image" Target="media/image9.wmf"/><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pov.int/edocs/mdocs/upov/en/tc_54/tc_54_31.pdf" TargetMode="External"/><Relationship Id="rId24" Type="http://schemas.openxmlformats.org/officeDocument/2006/relationships/image" Target="media/image4.wmf"/><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3.wmf"/><Relationship Id="rId28" Type="http://schemas.openxmlformats.org/officeDocument/2006/relationships/image" Target="media/image8.wmf"/><Relationship Id="rId36" Type="http://schemas.openxmlformats.org/officeDocument/2006/relationships/image" Target="media/image12.emf"/><Relationship Id="rId10" Type="http://schemas.openxmlformats.org/officeDocument/2006/relationships/hyperlink" Target="https://www.upov.int/meetings/en/doc_details.jsp?meeting_id=48107&amp;doc_id=419311" TargetMode="External"/><Relationship Id="rId19" Type="http://schemas.openxmlformats.org/officeDocument/2006/relationships/header" Target="header4.xml"/><Relationship Id="rId31"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yperlink" Target="https://www.upov.int/meetings/en/doc_details.jsp?meeting_id=48107&amp;doc_id=419311" TargetMode="External"/><Relationship Id="rId14" Type="http://schemas.openxmlformats.org/officeDocument/2006/relationships/hyperlink" Target="https://www.upov.int/meetings/en/doc_details.jsp?meeting_id=48107&amp;doc_id=419311" TargetMode="External"/><Relationship Id="rId22" Type="http://schemas.openxmlformats.org/officeDocument/2006/relationships/image" Target="media/image2.wmf"/><Relationship Id="rId27" Type="http://schemas.openxmlformats.org/officeDocument/2006/relationships/image" Target="media/image7.wmf"/><Relationship Id="rId30" Type="http://schemas.openxmlformats.org/officeDocument/2006/relationships/image" Target="media/image10.wmf"/><Relationship Id="rId35" Type="http://schemas.openxmlformats.org/officeDocument/2006/relationships/header" Target="header10.xml"/><Relationship Id="rId8" Type="http://schemas.openxmlformats.org/officeDocument/2006/relationships/hyperlink" Target="https://www.upov.int/upov_collection/de/" TargetMode="External"/><Relationship Id="rId3" Type="http://schemas.openxmlformats.org/officeDocument/2006/relationships/settings" Target="settings.xml"/><Relationship Id="rId12" Type="http://schemas.openxmlformats.org/officeDocument/2006/relationships/hyperlink" Target="https://www.upov.int/meetings/en/doc_details.jsp?meeting_id=48107&amp;doc_id=419311" TargetMode="External"/><Relationship Id="rId17" Type="http://schemas.openxmlformats.org/officeDocument/2006/relationships/footer" Target="footer1.xml"/><Relationship Id="rId25" Type="http://schemas.openxmlformats.org/officeDocument/2006/relationships/image" Target="media/image5.wmf"/><Relationship Id="rId33" Type="http://schemas.openxmlformats.org/officeDocument/2006/relationships/header" Target="header8.xml"/><Relationship Id="rId38" Type="http://schemas.openxmlformats.org/officeDocument/2006/relationships/header" Target="header1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10751</Words>
  <Characters>61285</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MAY Jessica</cp:lastModifiedBy>
  <cp:revision>16</cp:revision>
  <dcterms:created xsi:type="dcterms:W3CDTF">2019-10-25T17:09:00Z</dcterms:created>
  <dcterms:modified xsi:type="dcterms:W3CDTF">2019-10-25T17:28:00Z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19124671-5162-44ba-b197-5469c547a882</vt:lpwstr>
  </property>
</Properties>
</file>